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E3" w:rsidRPr="00B83F66" w:rsidRDefault="00576CDB" w:rsidP="00A61C09">
      <w:pPr>
        <w:tabs>
          <w:tab w:val="center" w:pos="4513"/>
        </w:tabs>
        <w:suppressAutoHyphens/>
        <w:jc w:val="center"/>
        <w:outlineLvl w:val="0"/>
        <w:rPr>
          <w:rFonts w:ascii="Times New Roman" w:hAnsi="Times New Roman"/>
          <w:b/>
          <w:color w:val="000000"/>
          <w:spacing w:val="-3"/>
        </w:rPr>
      </w:pPr>
      <w:r>
        <w:rPr>
          <w:rFonts w:ascii="Times New Roman" w:hAnsi="Times New Roman"/>
          <w:b/>
          <w:color w:val="000000"/>
          <w:spacing w:val="-3"/>
        </w:rPr>
        <w:t>PRODUCT INFORMATION</w:t>
      </w:r>
    </w:p>
    <w:p w:rsidR="002B34E3" w:rsidRPr="00B83F66" w:rsidRDefault="002B34E3">
      <w:pPr>
        <w:tabs>
          <w:tab w:val="left" w:pos="-720"/>
        </w:tabs>
        <w:suppressAutoHyphens/>
        <w:jc w:val="both"/>
        <w:rPr>
          <w:rFonts w:ascii="Times New Roman" w:hAnsi="Times New Roman"/>
          <w:b/>
          <w:color w:val="000000"/>
          <w:spacing w:val="-3"/>
        </w:rPr>
      </w:pPr>
    </w:p>
    <w:p w:rsidR="002B34E3" w:rsidRPr="00D634BB" w:rsidRDefault="00D634BB" w:rsidP="003D71AB">
      <w:pPr>
        <w:tabs>
          <w:tab w:val="center" w:pos="4513"/>
        </w:tabs>
        <w:suppressAutoHyphens/>
        <w:jc w:val="center"/>
        <w:outlineLvl w:val="0"/>
        <w:rPr>
          <w:rFonts w:ascii="Times New Roman" w:hAnsi="Times New Roman"/>
          <w:spacing w:val="-3"/>
        </w:rPr>
      </w:pPr>
      <w:r w:rsidRPr="00D634BB">
        <w:rPr>
          <w:rFonts w:ascii="Times New Roman" w:hAnsi="Times New Roman"/>
          <w:b/>
          <w:spacing w:val="-3"/>
        </w:rPr>
        <w:t>NOVOTHIRTEEN</w:t>
      </w:r>
      <w:r w:rsidR="00933978">
        <w:rPr>
          <w:rFonts w:ascii="Times New Roman" w:hAnsi="Times New Roman"/>
          <w:b/>
          <w:spacing w:val="-3"/>
          <w:vertAlign w:val="superscript"/>
        </w:rPr>
        <w:t>®</w:t>
      </w:r>
    </w:p>
    <w:p w:rsidR="002B34E3" w:rsidRPr="00D634BB" w:rsidRDefault="002B34E3" w:rsidP="00D06BA3">
      <w:pPr>
        <w:tabs>
          <w:tab w:val="center" w:pos="4513"/>
        </w:tabs>
        <w:suppressAutoHyphens/>
        <w:jc w:val="both"/>
        <w:outlineLvl w:val="0"/>
        <w:rPr>
          <w:rFonts w:ascii="Times New Roman" w:hAnsi="Times New Roman"/>
          <w:spacing w:val="-3"/>
        </w:rPr>
      </w:pPr>
    </w:p>
    <w:p w:rsidR="002B34E3" w:rsidRPr="00D634BB" w:rsidRDefault="002B34E3" w:rsidP="005D7B4E">
      <w:pPr>
        <w:pStyle w:val="Heading1"/>
        <w:spacing w:before="360"/>
      </w:pPr>
      <w:r w:rsidRPr="00D634BB">
        <w:t xml:space="preserve">NAME OF </w:t>
      </w:r>
      <w:r w:rsidR="00D731FD" w:rsidRPr="00D634BB">
        <w:t>THE MEDICINE</w:t>
      </w:r>
    </w:p>
    <w:p w:rsidR="00D93251" w:rsidRDefault="002B34E3" w:rsidP="00D06BA3">
      <w:pPr>
        <w:tabs>
          <w:tab w:val="left" w:pos="-720"/>
        </w:tabs>
        <w:suppressAutoHyphens/>
        <w:jc w:val="both"/>
        <w:rPr>
          <w:rFonts w:ascii="Times New Roman" w:hAnsi="Times New Roman"/>
          <w:spacing w:val="-2"/>
        </w:rPr>
      </w:pPr>
      <w:r w:rsidRPr="00D634BB">
        <w:rPr>
          <w:rFonts w:ascii="Times New Roman" w:hAnsi="Times New Roman"/>
          <w:spacing w:val="-2"/>
        </w:rPr>
        <w:t xml:space="preserve">Recombinant </w:t>
      </w:r>
      <w:r w:rsidR="004F49DB">
        <w:rPr>
          <w:rFonts w:ascii="Times New Roman" w:hAnsi="Times New Roman"/>
          <w:spacing w:val="-2"/>
        </w:rPr>
        <w:t>h</w:t>
      </w:r>
      <w:r w:rsidR="00D634BB" w:rsidRPr="00D634BB">
        <w:rPr>
          <w:rFonts w:ascii="Times New Roman" w:hAnsi="Times New Roman"/>
          <w:spacing w:val="-2"/>
        </w:rPr>
        <w:t>uman</w:t>
      </w:r>
      <w:r w:rsidRPr="00D634BB">
        <w:rPr>
          <w:rFonts w:ascii="Times New Roman" w:hAnsi="Times New Roman"/>
          <w:spacing w:val="-2"/>
        </w:rPr>
        <w:t xml:space="preserve"> </w:t>
      </w:r>
      <w:r w:rsidR="004F49DB">
        <w:rPr>
          <w:rFonts w:ascii="Times New Roman" w:hAnsi="Times New Roman"/>
          <w:spacing w:val="-2"/>
        </w:rPr>
        <w:t>f</w:t>
      </w:r>
      <w:r w:rsidR="00D634BB" w:rsidRPr="00D634BB">
        <w:rPr>
          <w:rFonts w:ascii="Times New Roman" w:hAnsi="Times New Roman"/>
          <w:spacing w:val="-2"/>
        </w:rPr>
        <w:t>actor XIII (rFXIII</w:t>
      </w:r>
      <w:r w:rsidRPr="00D634BB">
        <w:rPr>
          <w:rFonts w:ascii="Times New Roman" w:hAnsi="Times New Roman"/>
          <w:spacing w:val="-2"/>
        </w:rPr>
        <w:t>)</w:t>
      </w:r>
      <w:r w:rsidR="00D634BB">
        <w:rPr>
          <w:rFonts w:ascii="Times New Roman" w:hAnsi="Times New Roman"/>
          <w:spacing w:val="-2"/>
        </w:rPr>
        <w:t xml:space="preserve"> 250</w:t>
      </w:r>
      <w:r w:rsidR="00933978">
        <w:rPr>
          <w:rFonts w:ascii="Times New Roman" w:hAnsi="Times New Roman"/>
          <w:spacing w:val="-2"/>
        </w:rPr>
        <w:t>0</w:t>
      </w:r>
      <w:r w:rsidR="00D634BB">
        <w:rPr>
          <w:rFonts w:ascii="Times New Roman" w:hAnsi="Times New Roman"/>
          <w:spacing w:val="-2"/>
        </w:rPr>
        <w:t xml:space="preserve"> IU (15</w:t>
      </w:r>
      <w:r w:rsidR="006952EA">
        <w:rPr>
          <w:rFonts w:ascii="Times New Roman" w:hAnsi="Times New Roman"/>
          <w:spacing w:val="-2"/>
        </w:rPr>
        <w:t xml:space="preserve"> </w:t>
      </w:r>
      <w:r w:rsidR="00D634BB">
        <w:rPr>
          <w:rFonts w:ascii="Times New Roman" w:hAnsi="Times New Roman"/>
          <w:spacing w:val="-2"/>
        </w:rPr>
        <w:t>mg) powder and solvent</w:t>
      </w:r>
      <w:r w:rsidR="00933978">
        <w:rPr>
          <w:rFonts w:ascii="Times New Roman" w:hAnsi="Times New Roman"/>
          <w:spacing w:val="-2"/>
        </w:rPr>
        <w:t xml:space="preserve"> for</w:t>
      </w:r>
      <w:r w:rsidR="00D634BB">
        <w:rPr>
          <w:rFonts w:ascii="Times New Roman" w:hAnsi="Times New Roman"/>
          <w:spacing w:val="-2"/>
        </w:rPr>
        <w:t xml:space="preserve"> solution for injection</w:t>
      </w:r>
    </w:p>
    <w:p w:rsidR="00EE1A02" w:rsidRPr="00D634BB" w:rsidRDefault="00EE1A02" w:rsidP="00D06BA3">
      <w:pPr>
        <w:tabs>
          <w:tab w:val="left" w:pos="-720"/>
        </w:tabs>
        <w:suppressAutoHyphens/>
        <w:jc w:val="both"/>
        <w:rPr>
          <w:rFonts w:ascii="Times New Roman" w:hAnsi="Times New Roman"/>
          <w:spacing w:val="-2"/>
        </w:rPr>
      </w:pPr>
    </w:p>
    <w:p w:rsidR="002B34E3" w:rsidRPr="00D634BB" w:rsidRDefault="00D634BB" w:rsidP="00D06BA3">
      <w:pPr>
        <w:tabs>
          <w:tab w:val="left" w:pos="-720"/>
        </w:tabs>
        <w:suppressAutoHyphens/>
        <w:jc w:val="both"/>
        <w:rPr>
          <w:rFonts w:ascii="Times New Roman" w:hAnsi="Times New Roman"/>
          <w:spacing w:val="-2"/>
        </w:rPr>
      </w:pPr>
      <w:proofErr w:type="gramStart"/>
      <w:r w:rsidRPr="00D634BB">
        <w:rPr>
          <w:rFonts w:ascii="Times New Roman" w:hAnsi="Times New Roman"/>
          <w:spacing w:val="-2"/>
        </w:rPr>
        <w:t>catridecacog</w:t>
      </w:r>
      <w:proofErr w:type="gramEnd"/>
      <w:r w:rsidRPr="00D634BB">
        <w:rPr>
          <w:rFonts w:ascii="Times New Roman" w:hAnsi="Times New Roman"/>
          <w:spacing w:val="-2"/>
        </w:rPr>
        <w:t xml:space="preserve"> </w:t>
      </w:r>
      <w:r w:rsidR="00EB625A">
        <w:rPr>
          <w:rFonts w:ascii="Times New Roman" w:hAnsi="Times New Roman"/>
          <w:spacing w:val="-2"/>
        </w:rPr>
        <w:t>(rys)</w:t>
      </w:r>
    </w:p>
    <w:p w:rsidR="00D731FD" w:rsidRPr="00FE102D" w:rsidRDefault="00D731FD" w:rsidP="00D06BA3">
      <w:pPr>
        <w:tabs>
          <w:tab w:val="left" w:pos="-720"/>
        </w:tabs>
        <w:suppressAutoHyphens/>
        <w:jc w:val="both"/>
        <w:rPr>
          <w:rFonts w:ascii="Times New Roman" w:hAnsi="Times New Roman"/>
          <w:spacing w:val="-2"/>
        </w:rPr>
      </w:pPr>
    </w:p>
    <w:p w:rsidR="00D731FD" w:rsidRPr="00D634BB" w:rsidRDefault="00D731FD" w:rsidP="00D06BA3">
      <w:pPr>
        <w:tabs>
          <w:tab w:val="left" w:pos="-720"/>
        </w:tabs>
        <w:suppressAutoHyphens/>
        <w:jc w:val="both"/>
        <w:rPr>
          <w:rFonts w:ascii="Times New Roman" w:hAnsi="Times New Roman"/>
          <w:spacing w:val="-2"/>
        </w:rPr>
      </w:pPr>
      <w:r w:rsidRPr="00D634BB">
        <w:rPr>
          <w:rFonts w:ascii="Times New Roman" w:hAnsi="Times New Roman"/>
          <w:spacing w:val="-2"/>
        </w:rPr>
        <w:t xml:space="preserve">CAS number: </w:t>
      </w:r>
      <w:r w:rsidR="00D634BB" w:rsidRPr="00D634BB">
        <w:rPr>
          <w:rFonts w:ascii="Times New Roman" w:hAnsi="Times New Roman"/>
          <w:spacing w:val="-2"/>
        </w:rPr>
        <w:t>606138-08-3</w:t>
      </w:r>
    </w:p>
    <w:p w:rsidR="002B34E3" w:rsidRPr="00581653" w:rsidRDefault="002B34E3" w:rsidP="00D93251">
      <w:pPr>
        <w:pStyle w:val="Heading1"/>
        <w:spacing w:before="360"/>
      </w:pPr>
      <w:r w:rsidRPr="00581653">
        <w:t>DESCRIPTION</w:t>
      </w:r>
    </w:p>
    <w:p w:rsidR="00560DAA" w:rsidRDefault="00560DAA" w:rsidP="00D634BB">
      <w:pPr>
        <w:pStyle w:val="BodyText"/>
      </w:pPr>
      <w:r>
        <w:t>NovoThirteen</w:t>
      </w:r>
      <w:r w:rsidRPr="00D634BB">
        <w:t xml:space="preserve"> </w:t>
      </w:r>
      <w:r>
        <w:t xml:space="preserve">contains catridecacog, a </w:t>
      </w:r>
      <w:r w:rsidRPr="00D634BB">
        <w:t>recombinant coagulation factor XIII A-subunit with a molecular mass of approximately 83.2 kDa</w:t>
      </w:r>
      <w:r>
        <w:t>. Catridecacog</w:t>
      </w:r>
      <w:r w:rsidRPr="00D634BB">
        <w:t xml:space="preserve"> </w:t>
      </w:r>
      <w:r>
        <w:t xml:space="preserve">is </w:t>
      </w:r>
      <w:r w:rsidRPr="00D634BB">
        <w:t>produced in yeast cells (</w:t>
      </w:r>
      <w:r w:rsidRPr="003F007B">
        <w:rPr>
          <w:i/>
        </w:rPr>
        <w:t>Saccharomyces cerevisiae</w:t>
      </w:r>
      <w:r w:rsidRPr="00D634BB">
        <w:t>) by recombinant DNA technology</w:t>
      </w:r>
      <w:r>
        <w:t>, without the use of animal derived materials</w:t>
      </w:r>
      <w:r w:rsidRPr="00D634BB">
        <w:t>.</w:t>
      </w:r>
    </w:p>
    <w:p w:rsidR="00560DAA" w:rsidRDefault="00560DAA" w:rsidP="00D634BB">
      <w:pPr>
        <w:pStyle w:val="BodyText"/>
      </w:pPr>
    </w:p>
    <w:p w:rsidR="003F007B" w:rsidRDefault="004F49DB" w:rsidP="00D634BB">
      <w:pPr>
        <w:pStyle w:val="BodyText"/>
      </w:pPr>
      <w:r>
        <w:t>One</w:t>
      </w:r>
      <w:r w:rsidRPr="00D634BB">
        <w:t xml:space="preserve"> </w:t>
      </w:r>
      <w:r w:rsidR="00D634BB" w:rsidRPr="00D634BB">
        <w:t>vial of NovoThirteen</w:t>
      </w:r>
      <w:r>
        <w:t xml:space="preserve"> </w:t>
      </w:r>
      <w:r w:rsidR="00D634BB" w:rsidRPr="00D634BB">
        <w:t>co</w:t>
      </w:r>
      <w:r w:rsidR="003F007B">
        <w:t>ntains 2500 IU</w:t>
      </w:r>
      <w:r w:rsidR="00635D3C">
        <w:t xml:space="preserve"> </w:t>
      </w:r>
      <w:r w:rsidR="00635D3C" w:rsidRPr="00D634BB">
        <w:t>catridecacog</w:t>
      </w:r>
      <w:r>
        <w:t xml:space="preserve"> per 3</w:t>
      </w:r>
      <w:r w:rsidR="006952EA">
        <w:t xml:space="preserve"> </w:t>
      </w:r>
      <w:r>
        <w:t>mL, after reconstitution</w:t>
      </w:r>
      <w:r w:rsidR="00560DAA">
        <w:t>, corresponding to a concentration of 833 IU/mL</w:t>
      </w:r>
      <w:r w:rsidR="00A65927">
        <w:t xml:space="preserve">. </w:t>
      </w:r>
      <w:r w:rsidR="002316DB">
        <w:rPr>
          <w:bCs/>
          <w:lang w:val="en-GB"/>
        </w:rPr>
        <w:t>The specific activity of rFXIII is approximately 165 IU/mg protein.</w:t>
      </w:r>
    </w:p>
    <w:p w:rsidR="002B34E3" w:rsidRPr="00D634BB" w:rsidRDefault="002B34E3" w:rsidP="005D7B4E">
      <w:pPr>
        <w:pStyle w:val="BodyText"/>
      </w:pPr>
    </w:p>
    <w:p w:rsidR="00D634BB" w:rsidRDefault="003F007B" w:rsidP="00D634BB">
      <w:pPr>
        <w:pStyle w:val="BodyText"/>
      </w:pPr>
      <w:r>
        <w:t>NovoThirteen powder contains the following e</w:t>
      </w:r>
      <w:r w:rsidR="00E7162D">
        <w:t xml:space="preserve">xcipients: </w:t>
      </w:r>
      <w:r w:rsidR="00D634BB" w:rsidRPr="00D634BB">
        <w:t>sodium chloride</w:t>
      </w:r>
      <w:r w:rsidR="00E7162D">
        <w:t>,</w:t>
      </w:r>
      <w:r w:rsidR="00D634BB" w:rsidRPr="00D634BB">
        <w:t xml:space="preserve"> sucrose</w:t>
      </w:r>
      <w:r w:rsidR="00E7162D">
        <w:t xml:space="preserve">, </w:t>
      </w:r>
      <w:r w:rsidR="00D634BB" w:rsidRPr="00D634BB">
        <w:t>polysorbate 20</w:t>
      </w:r>
      <w:r w:rsidR="00E7162D">
        <w:t xml:space="preserve">, </w:t>
      </w:r>
      <w:r w:rsidR="00D634BB" w:rsidRPr="00D634BB">
        <w:t>L-histidine</w:t>
      </w:r>
      <w:r w:rsidR="00E7162D">
        <w:t xml:space="preserve">, </w:t>
      </w:r>
      <w:r w:rsidR="00D634BB" w:rsidRPr="00D634BB">
        <w:t>hydrochloric acid (for pH-adjustment)</w:t>
      </w:r>
      <w:r w:rsidR="00E7162D">
        <w:t>, so</w:t>
      </w:r>
      <w:r w:rsidR="00D634BB" w:rsidRPr="00D634BB">
        <w:t>dium hydroxide (for pH-adjustment)</w:t>
      </w:r>
      <w:r w:rsidR="00933978">
        <w:t>.</w:t>
      </w:r>
    </w:p>
    <w:p w:rsidR="00E7162D" w:rsidRPr="00D634BB" w:rsidRDefault="00E7162D" w:rsidP="00D634BB">
      <w:pPr>
        <w:pStyle w:val="BodyText"/>
      </w:pPr>
    </w:p>
    <w:p w:rsidR="002B34E3" w:rsidRDefault="00D634BB" w:rsidP="00E7162D">
      <w:pPr>
        <w:pStyle w:val="BodyText"/>
      </w:pPr>
      <w:r w:rsidRPr="00D634BB">
        <w:t>Solvent</w:t>
      </w:r>
      <w:r w:rsidR="00933978">
        <w:t xml:space="preserve"> contains</w:t>
      </w:r>
      <w:r w:rsidR="007649A2">
        <w:t>:</w:t>
      </w:r>
      <w:r w:rsidR="00933978">
        <w:t xml:space="preserve"> W</w:t>
      </w:r>
      <w:r w:rsidR="00E7162D">
        <w:t>at</w:t>
      </w:r>
      <w:r w:rsidRPr="00D634BB">
        <w:t>er for injection</w:t>
      </w:r>
      <w:r w:rsidR="00933978">
        <w:t>.</w:t>
      </w:r>
    </w:p>
    <w:p w:rsidR="00E7162D" w:rsidRPr="00E7162D" w:rsidRDefault="00E7162D" w:rsidP="00E7162D">
      <w:pPr>
        <w:pStyle w:val="BodyText"/>
        <w:rPr>
          <w:szCs w:val="24"/>
        </w:rPr>
      </w:pPr>
    </w:p>
    <w:p w:rsidR="00D634BB" w:rsidRPr="00E7162D" w:rsidRDefault="00E7162D" w:rsidP="00F35473">
      <w:pPr>
        <w:tabs>
          <w:tab w:val="left" w:pos="-720"/>
        </w:tabs>
        <w:suppressAutoHyphens/>
        <w:jc w:val="both"/>
        <w:rPr>
          <w:rFonts w:ascii="Times New Roman" w:hAnsi="Times New Roman"/>
          <w:szCs w:val="24"/>
        </w:rPr>
      </w:pPr>
      <w:r w:rsidRPr="00E7162D">
        <w:rPr>
          <w:rFonts w:ascii="Times New Roman" w:hAnsi="Times New Roman"/>
          <w:szCs w:val="24"/>
        </w:rPr>
        <w:t>The potency of this medicinal product is expressed in international units (IU). These units are not interchangeable with the units used to express the potency for other FXIII-containing products.</w:t>
      </w:r>
    </w:p>
    <w:p w:rsidR="00E7162D" w:rsidRPr="00FE102D" w:rsidRDefault="00E7162D" w:rsidP="00F35473">
      <w:pPr>
        <w:tabs>
          <w:tab w:val="left" w:pos="-720"/>
        </w:tabs>
        <w:suppressAutoHyphens/>
        <w:jc w:val="both"/>
        <w:rPr>
          <w:rFonts w:ascii="Times New Roman" w:hAnsi="Times New Roman"/>
          <w:spacing w:val="-2"/>
        </w:rPr>
      </w:pPr>
    </w:p>
    <w:p w:rsidR="00D634BB" w:rsidRPr="00D634BB" w:rsidRDefault="00D634BB" w:rsidP="005D7B4E">
      <w:pPr>
        <w:pStyle w:val="BodyText"/>
      </w:pPr>
      <w:r>
        <w:t>NovoThirteen is supplied as a w</w:t>
      </w:r>
      <w:r w:rsidRPr="00D634BB">
        <w:t>hite lyophili</w:t>
      </w:r>
      <w:r w:rsidR="00C43FC2">
        <w:t>s</w:t>
      </w:r>
      <w:r w:rsidRPr="00D634BB">
        <w:t xml:space="preserve">ed powder to be reconstituted with solvent for injection. </w:t>
      </w:r>
      <w:r w:rsidR="00DE198A">
        <w:t xml:space="preserve">The solvent is clear and colourless. </w:t>
      </w:r>
      <w:r w:rsidRPr="00D634BB">
        <w:t>The reconstituted solution has a pH of approximately 8.0.</w:t>
      </w:r>
    </w:p>
    <w:p w:rsidR="002B34E3" w:rsidRPr="00581653" w:rsidRDefault="002B34E3" w:rsidP="00D93251">
      <w:pPr>
        <w:pStyle w:val="Heading1"/>
        <w:spacing w:before="360"/>
      </w:pPr>
      <w:r w:rsidRPr="00581653">
        <w:t>PH</w:t>
      </w:r>
      <w:r w:rsidRPr="00581653">
        <w:rPr>
          <w:bCs/>
        </w:rPr>
        <w:t>A</w:t>
      </w:r>
      <w:r w:rsidRPr="00581653">
        <w:t>RMACOLOGY</w:t>
      </w:r>
    </w:p>
    <w:p w:rsidR="00FB21F7" w:rsidRPr="00E07EB4" w:rsidRDefault="00FB21F7" w:rsidP="00FB21F7">
      <w:pPr>
        <w:tabs>
          <w:tab w:val="left" w:pos="-720"/>
        </w:tabs>
        <w:suppressAutoHyphens/>
        <w:spacing w:after="180"/>
        <w:jc w:val="both"/>
        <w:outlineLvl w:val="0"/>
        <w:rPr>
          <w:rFonts w:ascii="Times New Roman" w:hAnsi="Times New Roman"/>
          <w:b/>
          <w:spacing w:val="-2"/>
          <w:u w:val="single"/>
        </w:rPr>
      </w:pPr>
      <w:r w:rsidRPr="00E07EB4">
        <w:rPr>
          <w:rFonts w:ascii="Times New Roman" w:hAnsi="Times New Roman"/>
          <w:b/>
          <w:spacing w:val="-2"/>
          <w:u w:val="single"/>
        </w:rPr>
        <w:t>Pharmacodynamics</w:t>
      </w:r>
    </w:p>
    <w:p w:rsidR="00DF37E7" w:rsidRDefault="00DF37E7" w:rsidP="005D7B4E">
      <w:pPr>
        <w:jc w:val="both"/>
      </w:pPr>
      <w:r w:rsidRPr="00DF37E7">
        <w:t>FXIII is the terminal enzyme in the blood coagulation cascade. When activated by thrombin at the site of vessel wall injury</w:t>
      </w:r>
      <w:r w:rsidR="00117479">
        <w:t>,</w:t>
      </w:r>
      <w:r w:rsidRPr="00DF37E7">
        <w:t xml:space="preserve"> FXIII plays an important role in the maintenance of haemostasis through cross-linking of fibrin and other proteins in the fibrin clot. </w:t>
      </w:r>
    </w:p>
    <w:p w:rsidR="00DF37E7" w:rsidRPr="00DF37E7" w:rsidRDefault="00DF37E7" w:rsidP="00DF37E7">
      <w:pPr>
        <w:pStyle w:val="BodyText"/>
      </w:pPr>
    </w:p>
    <w:p w:rsidR="00DF37E7" w:rsidRDefault="00DF37E7" w:rsidP="005D7B4E">
      <w:pPr>
        <w:jc w:val="both"/>
      </w:pPr>
      <w:r w:rsidRPr="00DF37E7">
        <w:t xml:space="preserve">At present there are no markers that can quantitatively assess the </w:t>
      </w:r>
      <w:r w:rsidRPr="0052520E">
        <w:rPr>
          <w:i/>
        </w:rPr>
        <w:t>in vivo</w:t>
      </w:r>
      <w:r w:rsidRPr="00DF37E7">
        <w:t xml:space="preserve"> pharmacodynamics of FXIII. The results of standard coagulation tests are normal</w:t>
      </w:r>
      <w:r w:rsidR="0052520E">
        <w:t>,</w:t>
      </w:r>
      <w:r w:rsidRPr="00DF37E7">
        <w:t xml:space="preserve"> as it is the quality of the clot that is affected. A clot solubility assay is widely used as an indicator of FXIII deficiency, but </w:t>
      </w:r>
      <w:r w:rsidRPr="00DF37E7">
        <w:lastRenderedPageBreak/>
        <w:t>the assay is qualitative, and when performed correctly the test is positive only when the FXIII activity in the sample is close to zero.</w:t>
      </w:r>
    </w:p>
    <w:p w:rsidR="00DF37E7" w:rsidRPr="00DF37E7" w:rsidRDefault="00DF37E7" w:rsidP="00DF37E7">
      <w:pPr>
        <w:pStyle w:val="BodyText"/>
      </w:pPr>
    </w:p>
    <w:p w:rsidR="00DF37E7" w:rsidRPr="00DF37E7" w:rsidRDefault="00DF37E7" w:rsidP="00DF37E7">
      <w:pPr>
        <w:tabs>
          <w:tab w:val="left" w:pos="-720"/>
        </w:tabs>
        <w:suppressAutoHyphens/>
        <w:jc w:val="both"/>
        <w:rPr>
          <w:rFonts w:ascii="Times New Roman" w:hAnsi="Times New Roman"/>
          <w:spacing w:val="-2"/>
        </w:rPr>
      </w:pPr>
      <w:r w:rsidRPr="00DF37E7">
        <w:t xml:space="preserve">In </w:t>
      </w:r>
      <w:r w:rsidRPr="00DF37E7">
        <w:rPr>
          <w:rFonts w:ascii="Times New Roman" w:hAnsi="Times New Roman"/>
          <w:spacing w:val="-2"/>
        </w:rPr>
        <w:t>plasma, FXIII circulates as a heterotetramer [</w:t>
      </w:r>
      <w:r w:rsidR="00F874F4" w:rsidRPr="00DF37E7">
        <w:t>A</w:t>
      </w:r>
      <w:r w:rsidR="00F874F4" w:rsidRPr="0048534A">
        <w:rPr>
          <w:vertAlign w:val="subscript"/>
        </w:rPr>
        <w:t>2</w:t>
      </w:r>
      <w:r w:rsidR="00F874F4" w:rsidRPr="00DF37E7">
        <w:t>B</w:t>
      </w:r>
      <w:r w:rsidR="00F874F4" w:rsidRPr="0048534A">
        <w:rPr>
          <w:vertAlign w:val="subscript"/>
        </w:rPr>
        <w:t>2</w:t>
      </w:r>
      <w:r w:rsidRPr="00DF37E7">
        <w:rPr>
          <w:rFonts w:ascii="Times New Roman" w:hAnsi="Times New Roman"/>
          <w:spacing w:val="-2"/>
        </w:rPr>
        <w:t>] composed of 2 FXIII A-subunits and 2 FXIII B-subunits held together by strong non-covalent interactions. The FXIII B-subunit acts as carrier molecule for the FXIII A-subunit in circulation, and is present in excess in plasma. When FXIII A-subunit is bound to FXIII B-subunit [</w:t>
      </w:r>
      <w:r w:rsidR="00F874F4" w:rsidRPr="00DF37E7">
        <w:t>A</w:t>
      </w:r>
      <w:r w:rsidR="00F874F4" w:rsidRPr="0048534A">
        <w:rPr>
          <w:vertAlign w:val="subscript"/>
        </w:rPr>
        <w:t>2</w:t>
      </w:r>
      <w:r w:rsidR="00F874F4" w:rsidRPr="00DF37E7">
        <w:t>B</w:t>
      </w:r>
      <w:r w:rsidR="00F874F4" w:rsidRPr="0048534A">
        <w:rPr>
          <w:vertAlign w:val="subscript"/>
        </w:rPr>
        <w:t>2</w:t>
      </w:r>
      <w:r w:rsidRPr="00DF37E7">
        <w:rPr>
          <w:rFonts w:ascii="Times New Roman" w:hAnsi="Times New Roman"/>
          <w:spacing w:val="-2"/>
        </w:rPr>
        <w:t>]</w:t>
      </w:r>
      <w:r w:rsidR="0052520E">
        <w:rPr>
          <w:rFonts w:ascii="Times New Roman" w:hAnsi="Times New Roman"/>
          <w:spacing w:val="-2"/>
        </w:rPr>
        <w:t>,</w:t>
      </w:r>
      <w:r w:rsidRPr="00DF37E7">
        <w:rPr>
          <w:rFonts w:ascii="Times New Roman" w:hAnsi="Times New Roman"/>
          <w:spacing w:val="-2"/>
        </w:rPr>
        <w:t xml:space="preserve"> the half-life of the FXIII A-subunit [A</w:t>
      </w:r>
      <w:r w:rsidRPr="00F874F4">
        <w:rPr>
          <w:rFonts w:ascii="Times New Roman" w:hAnsi="Times New Roman"/>
          <w:spacing w:val="-2"/>
          <w:vertAlign w:val="subscript"/>
        </w:rPr>
        <w:t>2</w:t>
      </w:r>
      <w:r w:rsidRPr="00DF37E7">
        <w:rPr>
          <w:rFonts w:ascii="Times New Roman" w:hAnsi="Times New Roman"/>
          <w:spacing w:val="-2"/>
        </w:rPr>
        <w:t>] is prolonged. FXIII is a pro-enzyme (pro-transglutaminase), which is activated by thrombin in the presence of Ca</w:t>
      </w:r>
      <w:r w:rsidRPr="00F874F4">
        <w:rPr>
          <w:rFonts w:ascii="Times New Roman" w:hAnsi="Times New Roman"/>
          <w:spacing w:val="-2"/>
          <w:vertAlign w:val="superscript"/>
        </w:rPr>
        <w:t>2+</w:t>
      </w:r>
      <w:r w:rsidRPr="00DF37E7">
        <w:rPr>
          <w:rFonts w:ascii="Times New Roman" w:hAnsi="Times New Roman"/>
          <w:spacing w:val="-2"/>
        </w:rPr>
        <w:t>. The enzymatic activity resides with the FXIII-A subunit. Upon activation, the FXIII A-subunit dissociates from the FXIII B-subunit and thereby exposes the active site of the FXIII A-subunit. The active transglutaminase cross-links fibrin and other proteins resulting in increased mechanical strength and resistance to fibrinolysis of the fibrin clot and contribute</w:t>
      </w:r>
      <w:r w:rsidR="00F874F4">
        <w:rPr>
          <w:rFonts w:ascii="Times New Roman" w:hAnsi="Times New Roman"/>
          <w:spacing w:val="-2"/>
        </w:rPr>
        <w:t>s</w:t>
      </w:r>
      <w:r w:rsidRPr="00DF37E7">
        <w:rPr>
          <w:rFonts w:ascii="Times New Roman" w:hAnsi="Times New Roman"/>
          <w:spacing w:val="-2"/>
        </w:rPr>
        <w:t xml:space="preserve"> to enhance</w:t>
      </w:r>
      <w:r w:rsidR="00F874F4">
        <w:rPr>
          <w:rFonts w:ascii="Times New Roman" w:hAnsi="Times New Roman"/>
          <w:spacing w:val="-2"/>
        </w:rPr>
        <w:t>d</w:t>
      </w:r>
      <w:r w:rsidRPr="00DF37E7">
        <w:rPr>
          <w:rFonts w:ascii="Times New Roman" w:hAnsi="Times New Roman"/>
          <w:spacing w:val="-2"/>
        </w:rPr>
        <w:t xml:space="preserve"> platelet and clot adhesion to the injured tissue.</w:t>
      </w:r>
    </w:p>
    <w:p w:rsidR="00DF37E7" w:rsidRPr="00DF37E7" w:rsidRDefault="00DF37E7" w:rsidP="00DF37E7">
      <w:pPr>
        <w:tabs>
          <w:tab w:val="left" w:pos="-720"/>
        </w:tabs>
        <w:suppressAutoHyphens/>
        <w:jc w:val="both"/>
        <w:rPr>
          <w:rFonts w:ascii="Times New Roman" w:hAnsi="Times New Roman"/>
          <w:spacing w:val="-2"/>
        </w:rPr>
      </w:pPr>
    </w:p>
    <w:p w:rsidR="00DF37E7" w:rsidRPr="00DF37E7" w:rsidRDefault="002316DB" w:rsidP="00DF37E7">
      <w:pPr>
        <w:tabs>
          <w:tab w:val="left" w:pos="-720"/>
        </w:tabs>
        <w:suppressAutoHyphens/>
        <w:jc w:val="both"/>
        <w:rPr>
          <w:rFonts w:ascii="Times New Roman" w:hAnsi="Times New Roman"/>
          <w:spacing w:val="-2"/>
        </w:rPr>
      </w:pPr>
      <w:proofErr w:type="gramStart"/>
      <w:r>
        <w:rPr>
          <w:rFonts w:ascii="Times New Roman" w:hAnsi="Times New Roman"/>
          <w:spacing w:val="-2"/>
        </w:rPr>
        <w:t>r</w:t>
      </w:r>
      <w:r w:rsidR="00714582">
        <w:rPr>
          <w:rFonts w:ascii="Times New Roman" w:hAnsi="Times New Roman"/>
          <w:spacing w:val="-2"/>
        </w:rPr>
        <w:t>FXIII</w:t>
      </w:r>
      <w:proofErr w:type="gramEnd"/>
      <w:r w:rsidR="00DF37E7" w:rsidRPr="00DF37E7">
        <w:rPr>
          <w:rFonts w:ascii="Times New Roman" w:hAnsi="Times New Roman"/>
          <w:spacing w:val="-2"/>
        </w:rPr>
        <w:t xml:space="preserve"> is a pro</w:t>
      </w:r>
      <w:r w:rsidR="0052520E">
        <w:rPr>
          <w:rFonts w:ascii="Times New Roman" w:hAnsi="Times New Roman"/>
          <w:spacing w:val="-2"/>
        </w:rPr>
        <w:t>-</w:t>
      </w:r>
      <w:r w:rsidR="00DF37E7" w:rsidRPr="00DF37E7">
        <w:rPr>
          <w:rFonts w:ascii="Times New Roman" w:hAnsi="Times New Roman"/>
          <w:spacing w:val="-2"/>
        </w:rPr>
        <w:t>transglutaminase (rFXIII [rA</w:t>
      </w:r>
      <w:r w:rsidR="00DF37E7" w:rsidRPr="00BD0543">
        <w:rPr>
          <w:rFonts w:ascii="Times New Roman" w:hAnsi="Times New Roman"/>
          <w:spacing w:val="-2"/>
          <w:vertAlign w:val="subscript"/>
        </w:rPr>
        <w:t>2</w:t>
      </w:r>
      <w:r w:rsidR="00DF37E7" w:rsidRPr="00DF37E7">
        <w:rPr>
          <w:rFonts w:ascii="Times New Roman" w:hAnsi="Times New Roman"/>
          <w:spacing w:val="-2"/>
        </w:rPr>
        <w:t xml:space="preserve">] homodimer) </w:t>
      </w:r>
      <w:r w:rsidR="0052520E">
        <w:rPr>
          <w:rFonts w:ascii="Times New Roman" w:hAnsi="Times New Roman"/>
          <w:spacing w:val="-2"/>
        </w:rPr>
        <w:t>which</w:t>
      </w:r>
      <w:r w:rsidR="00DF37E7" w:rsidRPr="00DF37E7">
        <w:rPr>
          <w:rFonts w:ascii="Times New Roman" w:hAnsi="Times New Roman"/>
          <w:spacing w:val="-2"/>
        </w:rPr>
        <w:t xml:space="preserve"> is identical to the human FXIII A-subunit [A</w:t>
      </w:r>
      <w:r w:rsidR="00DF37E7" w:rsidRPr="00BD0543">
        <w:rPr>
          <w:rFonts w:ascii="Times New Roman" w:hAnsi="Times New Roman"/>
          <w:spacing w:val="-2"/>
          <w:vertAlign w:val="subscript"/>
        </w:rPr>
        <w:t>2</w:t>
      </w:r>
      <w:r w:rsidR="00DF37E7" w:rsidRPr="00DF37E7">
        <w:rPr>
          <w:rFonts w:ascii="Times New Roman" w:hAnsi="Times New Roman"/>
          <w:spacing w:val="-2"/>
        </w:rPr>
        <w:t xml:space="preserve">]. </w:t>
      </w:r>
      <w:proofErr w:type="gramStart"/>
      <w:r w:rsidR="00DF37E7" w:rsidRPr="00DF37E7">
        <w:rPr>
          <w:rFonts w:ascii="Times New Roman" w:hAnsi="Times New Roman"/>
          <w:spacing w:val="-2"/>
        </w:rPr>
        <w:t>rFXIII</w:t>
      </w:r>
      <w:proofErr w:type="gramEnd"/>
      <w:r w:rsidR="00DF37E7" w:rsidRPr="00DF37E7">
        <w:rPr>
          <w:rFonts w:ascii="Times New Roman" w:hAnsi="Times New Roman"/>
          <w:spacing w:val="-2"/>
        </w:rPr>
        <w:t xml:space="preserve"> A-subunit binds to free human FXIII B-subunit resulting in a heterotetramer [r</w:t>
      </w:r>
      <w:r w:rsidR="00F874F4" w:rsidRPr="00DF37E7">
        <w:t>A</w:t>
      </w:r>
      <w:r w:rsidR="00F874F4" w:rsidRPr="0048534A">
        <w:rPr>
          <w:vertAlign w:val="subscript"/>
        </w:rPr>
        <w:t>2</w:t>
      </w:r>
      <w:r w:rsidR="00F874F4" w:rsidRPr="00DF37E7">
        <w:t>B</w:t>
      </w:r>
      <w:r w:rsidR="00F874F4" w:rsidRPr="0048534A">
        <w:rPr>
          <w:vertAlign w:val="subscript"/>
        </w:rPr>
        <w:t>2</w:t>
      </w:r>
      <w:r w:rsidR="00DF37E7" w:rsidRPr="00DF37E7">
        <w:rPr>
          <w:rFonts w:ascii="Times New Roman" w:hAnsi="Times New Roman"/>
          <w:spacing w:val="-2"/>
        </w:rPr>
        <w:t>] with a similar half-life to endogenous [</w:t>
      </w:r>
      <w:r w:rsidR="00F874F4" w:rsidRPr="00DF37E7">
        <w:t>A</w:t>
      </w:r>
      <w:r w:rsidR="00F874F4" w:rsidRPr="0048534A">
        <w:rPr>
          <w:vertAlign w:val="subscript"/>
        </w:rPr>
        <w:t>2</w:t>
      </w:r>
      <w:r w:rsidR="00F874F4" w:rsidRPr="00DF37E7">
        <w:t>B</w:t>
      </w:r>
      <w:r w:rsidR="00F874F4" w:rsidRPr="0048534A">
        <w:rPr>
          <w:vertAlign w:val="subscript"/>
        </w:rPr>
        <w:t>2</w:t>
      </w:r>
      <w:r w:rsidR="00DF37E7" w:rsidRPr="00DF37E7">
        <w:rPr>
          <w:rFonts w:ascii="Times New Roman" w:hAnsi="Times New Roman"/>
          <w:spacing w:val="-2"/>
        </w:rPr>
        <w:t>].</w:t>
      </w:r>
      <w:r w:rsidR="00714582">
        <w:rPr>
          <w:rFonts w:ascii="Times New Roman" w:hAnsi="Times New Roman"/>
          <w:spacing w:val="-2"/>
        </w:rPr>
        <w:t xml:space="preserve"> </w:t>
      </w:r>
      <w:proofErr w:type="gramStart"/>
      <w:r w:rsidR="00714582">
        <w:rPr>
          <w:rFonts w:ascii="Times New Roman" w:hAnsi="Times New Roman"/>
          <w:spacing w:val="-2"/>
        </w:rPr>
        <w:t>rFXIII</w:t>
      </w:r>
      <w:proofErr w:type="gramEnd"/>
      <w:r w:rsidR="00714582">
        <w:rPr>
          <w:rFonts w:ascii="Times New Roman" w:hAnsi="Times New Roman"/>
          <w:spacing w:val="-2"/>
        </w:rPr>
        <w:t xml:space="preserve"> is</w:t>
      </w:r>
      <w:r w:rsidR="00DF37E7" w:rsidRPr="00DF37E7">
        <w:rPr>
          <w:rFonts w:ascii="Times New Roman" w:hAnsi="Times New Roman"/>
          <w:spacing w:val="-2"/>
        </w:rPr>
        <w:t xml:space="preserve"> activated by thrombin in the presence of </w:t>
      </w:r>
      <w:r w:rsidR="00F874F4" w:rsidRPr="00DF37E7">
        <w:rPr>
          <w:rFonts w:ascii="Times New Roman" w:hAnsi="Times New Roman"/>
          <w:spacing w:val="-2"/>
        </w:rPr>
        <w:t>Ca</w:t>
      </w:r>
      <w:r w:rsidR="00F874F4" w:rsidRPr="00F874F4">
        <w:rPr>
          <w:rFonts w:ascii="Times New Roman" w:hAnsi="Times New Roman"/>
          <w:spacing w:val="-2"/>
          <w:vertAlign w:val="superscript"/>
        </w:rPr>
        <w:t>2+</w:t>
      </w:r>
      <w:r w:rsidR="00F874F4" w:rsidRPr="00DF37E7">
        <w:rPr>
          <w:rFonts w:ascii="Times New Roman" w:hAnsi="Times New Roman"/>
          <w:spacing w:val="-2"/>
        </w:rPr>
        <w:t xml:space="preserve">. </w:t>
      </w:r>
      <w:r w:rsidR="00DF37E7" w:rsidRPr="00DF37E7">
        <w:rPr>
          <w:rFonts w:ascii="Times New Roman" w:hAnsi="Times New Roman"/>
          <w:spacing w:val="-2"/>
        </w:rPr>
        <w:t xml:space="preserve">Activated </w:t>
      </w:r>
      <w:r w:rsidR="00714582">
        <w:rPr>
          <w:rFonts w:ascii="Times New Roman" w:hAnsi="Times New Roman"/>
          <w:spacing w:val="-2"/>
        </w:rPr>
        <w:t>rFXIII</w:t>
      </w:r>
      <w:r>
        <w:rPr>
          <w:rFonts w:ascii="Times New Roman" w:hAnsi="Times New Roman"/>
          <w:spacing w:val="-2"/>
        </w:rPr>
        <w:t xml:space="preserve"> </w:t>
      </w:r>
      <w:r w:rsidR="00DF37E7" w:rsidRPr="00DF37E7">
        <w:rPr>
          <w:rFonts w:ascii="Times New Roman" w:hAnsi="Times New Roman"/>
          <w:spacing w:val="-2"/>
        </w:rPr>
        <w:t>increase</w:t>
      </w:r>
      <w:r w:rsidR="0052520E">
        <w:rPr>
          <w:rFonts w:ascii="Times New Roman" w:hAnsi="Times New Roman"/>
          <w:spacing w:val="-2"/>
        </w:rPr>
        <w:t>s the</w:t>
      </w:r>
      <w:r w:rsidR="00DF37E7" w:rsidRPr="00DF37E7">
        <w:rPr>
          <w:rFonts w:ascii="Times New Roman" w:hAnsi="Times New Roman"/>
          <w:spacing w:val="-2"/>
        </w:rPr>
        <w:t xml:space="preserve"> mechanical strength of fibrin clots, </w:t>
      </w:r>
      <w:r w:rsidR="00714582">
        <w:rPr>
          <w:rFonts w:ascii="Times New Roman" w:hAnsi="Times New Roman"/>
          <w:spacing w:val="-2"/>
        </w:rPr>
        <w:t xml:space="preserve">thereby </w:t>
      </w:r>
      <w:r w:rsidR="00DF37E7" w:rsidRPr="00DF37E7">
        <w:rPr>
          <w:rFonts w:ascii="Times New Roman" w:hAnsi="Times New Roman"/>
          <w:spacing w:val="-2"/>
        </w:rPr>
        <w:t>retard</w:t>
      </w:r>
      <w:r w:rsidR="00714582">
        <w:rPr>
          <w:rFonts w:ascii="Times New Roman" w:hAnsi="Times New Roman"/>
          <w:spacing w:val="-2"/>
        </w:rPr>
        <w:t>ing</w:t>
      </w:r>
      <w:r w:rsidR="00DF37E7" w:rsidRPr="00DF37E7">
        <w:rPr>
          <w:rFonts w:ascii="Times New Roman" w:hAnsi="Times New Roman"/>
          <w:spacing w:val="-2"/>
        </w:rPr>
        <w:t xml:space="preserve"> fibrinolysis in </w:t>
      </w:r>
      <w:r w:rsidR="0052520E">
        <w:rPr>
          <w:rFonts w:ascii="Times New Roman" w:hAnsi="Times New Roman"/>
          <w:spacing w:val="-2"/>
        </w:rPr>
        <w:t xml:space="preserve">a </w:t>
      </w:r>
      <w:r w:rsidR="00DF37E7" w:rsidRPr="00DF37E7">
        <w:rPr>
          <w:rFonts w:ascii="Times New Roman" w:hAnsi="Times New Roman"/>
          <w:spacing w:val="-2"/>
        </w:rPr>
        <w:t xml:space="preserve">dose-dependent manner. </w:t>
      </w:r>
      <w:proofErr w:type="gramStart"/>
      <w:r w:rsidR="00714582">
        <w:rPr>
          <w:rFonts w:ascii="Times New Roman" w:hAnsi="Times New Roman"/>
          <w:spacing w:val="-2"/>
        </w:rPr>
        <w:t>rFXIII</w:t>
      </w:r>
      <w:proofErr w:type="gramEnd"/>
      <w:r w:rsidR="0052520E" w:rsidRPr="00DF37E7">
        <w:rPr>
          <w:rFonts w:ascii="Times New Roman" w:hAnsi="Times New Roman"/>
          <w:spacing w:val="-2"/>
        </w:rPr>
        <w:t xml:space="preserve"> </w:t>
      </w:r>
      <w:r w:rsidR="00DF37E7" w:rsidRPr="00DF37E7">
        <w:rPr>
          <w:rFonts w:ascii="Times New Roman" w:hAnsi="Times New Roman"/>
          <w:spacing w:val="-2"/>
        </w:rPr>
        <w:t>enhance</w:t>
      </w:r>
      <w:r w:rsidR="0052520E">
        <w:rPr>
          <w:rFonts w:ascii="Times New Roman" w:hAnsi="Times New Roman"/>
          <w:spacing w:val="-2"/>
        </w:rPr>
        <w:t>s</w:t>
      </w:r>
      <w:r w:rsidR="00DF37E7" w:rsidRPr="00DF37E7">
        <w:rPr>
          <w:rFonts w:ascii="Times New Roman" w:hAnsi="Times New Roman"/>
          <w:spacing w:val="-2"/>
        </w:rPr>
        <w:t xml:space="preserve"> platelet adhesion to the site of injury. Thus, </w:t>
      </w:r>
      <w:r w:rsidR="00714582">
        <w:rPr>
          <w:rFonts w:ascii="Times New Roman" w:hAnsi="Times New Roman"/>
          <w:spacing w:val="-2"/>
        </w:rPr>
        <w:t xml:space="preserve">rFXIII </w:t>
      </w:r>
      <w:r w:rsidR="00DF37E7" w:rsidRPr="00DF37E7">
        <w:rPr>
          <w:rFonts w:ascii="Times New Roman" w:hAnsi="Times New Roman"/>
          <w:spacing w:val="-2"/>
        </w:rPr>
        <w:t>has been shown to have the same pharmacodynamic properties in plasma as endogenous FXIII.</w:t>
      </w:r>
    </w:p>
    <w:p w:rsidR="00960E8E" w:rsidRPr="00DF37E7" w:rsidRDefault="00960E8E" w:rsidP="00F35473">
      <w:pPr>
        <w:tabs>
          <w:tab w:val="left" w:pos="-720"/>
        </w:tabs>
        <w:suppressAutoHyphens/>
        <w:jc w:val="both"/>
        <w:outlineLvl w:val="0"/>
        <w:rPr>
          <w:rFonts w:ascii="Times New Roman" w:hAnsi="Times New Roman"/>
          <w:spacing w:val="-2"/>
        </w:rPr>
      </w:pPr>
    </w:p>
    <w:p w:rsidR="00480173" w:rsidRDefault="00E52373" w:rsidP="00765040">
      <w:pPr>
        <w:tabs>
          <w:tab w:val="left" w:pos="-720"/>
        </w:tabs>
        <w:suppressAutoHyphens/>
        <w:spacing w:after="180"/>
        <w:jc w:val="both"/>
        <w:outlineLvl w:val="0"/>
        <w:rPr>
          <w:rFonts w:ascii="Times New Roman" w:hAnsi="Times New Roman"/>
          <w:b/>
          <w:spacing w:val="-2"/>
          <w:u w:val="single"/>
        </w:rPr>
      </w:pPr>
      <w:r w:rsidRPr="00DC16CF">
        <w:rPr>
          <w:rFonts w:ascii="Times New Roman" w:hAnsi="Times New Roman"/>
          <w:b/>
          <w:spacing w:val="-2"/>
          <w:u w:val="single"/>
        </w:rPr>
        <w:t>Pharmacokinetics</w:t>
      </w:r>
    </w:p>
    <w:bookmarkStart w:id="0" w:name="_MON_1362983171"/>
    <w:bookmarkStart w:id="1" w:name="_MON_1362983592"/>
    <w:bookmarkStart w:id="2" w:name="_MON_1362983596"/>
    <w:bookmarkEnd w:id="0"/>
    <w:bookmarkEnd w:id="1"/>
    <w:bookmarkEnd w:id="2"/>
    <w:p w:rsidR="00DF37E7" w:rsidRDefault="003D71AB" w:rsidP="00765040">
      <w:pPr>
        <w:tabs>
          <w:tab w:val="left" w:pos="-720"/>
        </w:tabs>
        <w:suppressAutoHyphens/>
        <w:spacing w:after="180"/>
        <w:jc w:val="both"/>
        <w:outlineLvl w:val="0"/>
      </w:pPr>
      <w:r w:rsidRPr="00D53357">
        <w:object w:dxaOrig="561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harmacokinetics" style="width:280.4pt;height:102.85pt" o:ole="" filled="t">
            <v:imagedata r:id="rId9" o:title=""/>
          </v:shape>
          <o:OLEObject Type="Embed" ProgID="Word.Picture.8" ShapeID="_x0000_i1025" DrawAspect="Content" ObjectID="_1463469806" r:id="rId10"/>
        </w:object>
      </w:r>
    </w:p>
    <w:p w:rsidR="00DF37E7" w:rsidRPr="00F57923" w:rsidRDefault="00DF37E7" w:rsidP="00DF37E7">
      <w:pPr>
        <w:ind w:left="567" w:hanging="567"/>
        <w:rPr>
          <w:sz w:val="20"/>
        </w:rPr>
      </w:pPr>
      <w:r w:rsidRPr="00F57923">
        <w:rPr>
          <w:sz w:val="20"/>
        </w:rPr>
        <w:t xml:space="preserve">Figure </w:t>
      </w:r>
      <w:r w:rsidRPr="00F57923">
        <w:rPr>
          <w:sz w:val="20"/>
        </w:rPr>
        <w:fldChar w:fldCharType="begin"/>
      </w:r>
      <w:r w:rsidRPr="00F57923">
        <w:rPr>
          <w:sz w:val="20"/>
        </w:rPr>
        <w:instrText xml:space="preserve"> SEQ Figure \* ARABIC </w:instrText>
      </w:r>
      <w:r w:rsidRPr="00F57923">
        <w:rPr>
          <w:sz w:val="20"/>
        </w:rPr>
        <w:fldChar w:fldCharType="separate"/>
      </w:r>
      <w:r w:rsidR="00032467">
        <w:rPr>
          <w:noProof/>
          <w:sz w:val="20"/>
        </w:rPr>
        <w:t>1</w:t>
      </w:r>
      <w:r w:rsidRPr="00F57923">
        <w:rPr>
          <w:sz w:val="20"/>
        </w:rPr>
        <w:fldChar w:fldCharType="end"/>
      </w:r>
      <w:r w:rsidRPr="00F57923">
        <w:rPr>
          <w:sz w:val="20"/>
        </w:rPr>
        <w:t xml:space="preserve"> Simulated example of Total A</w:t>
      </w:r>
      <w:r w:rsidRPr="00F57923">
        <w:rPr>
          <w:sz w:val="20"/>
          <w:vertAlign w:val="subscript"/>
        </w:rPr>
        <w:t>2</w:t>
      </w:r>
      <w:r w:rsidRPr="00F57923">
        <w:rPr>
          <w:sz w:val="20"/>
        </w:rPr>
        <w:t>, A</w:t>
      </w:r>
      <w:r w:rsidRPr="00F57923">
        <w:rPr>
          <w:sz w:val="20"/>
          <w:vertAlign w:val="subscript"/>
        </w:rPr>
        <w:t>2</w:t>
      </w:r>
      <w:r w:rsidRPr="00F57923">
        <w:rPr>
          <w:sz w:val="20"/>
        </w:rPr>
        <w:t>B</w:t>
      </w:r>
      <w:r w:rsidRPr="00F57923">
        <w:rPr>
          <w:sz w:val="20"/>
          <w:vertAlign w:val="subscript"/>
        </w:rPr>
        <w:t>2</w:t>
      </w:r>
      <w:r w:rsidRPr="00F57923">
        <w:rPr>
          <w:sz w:val="20"/>
        </w:rPr>
        <w:t xml:space="preserve"> complex and Free B in plasma as determined by ELISA following single intravenous administration of 35 IU/kg to FXIII-deficient patients</w:t>
      </w:r>
    </w:p>
    <w:p w:rsidR="0033112A" w:rsidRDefault="0033112A" w:rsidP="00DF37E7">
      <w:pPr>
        <w:pStyle w:val="BodyText"/>
      </w:pPr>
    </w:p>
    <w:p w:rsidR="00DF37E7" w:rsidRDefault="00DF37E7" w:rsidP="005D7B4E">
      <w:pPr>
        <w:jc w:val="both"/>
      </w:pPr>
      <w:r w:rsidRPr="00DF37E7">
        <w:t xml:space="preserve">Assessment of the pharmacokinetics properties of </w:t>
      </w:r>
      <w:r w:rsidR="002316DB">
        <w:t>rFXIII</w:t>
      </w:r>
      <w:r w:rsidR="00422B0C" w:rsidRPr="00DF37E7">
        <w:t xml:space="preserve"> </w:t>
      </w:r>
      <w:r w:rsidRPr="00DF37E7">
        <w:t xml:space="preserve">in healthy subjects and in patients with congenital FXIII deficiency was based on assays developed to measure plasma concentrations of FXIII subunits (individual dimers or complexes) </w:t>
      </w:r>
      <w:r w:rsidR="009E7B91">
        <w:t>and</w:t>
      </w:r>
      <w:r w:rsidR="009E7B91" w:rsidRPr="00DF37E7">
        <w:t xml:space="preserve"> </w:t>
      </w:r>
      <w:r w:rsidRPr="00DF37E7">
        <w:t>FXIII activity. ELISA</w:t>
      </w:r>
      <w:r w:rsidR="004C1637">
        <w:t xml:space="preserve"> methods</w:t>
      </w:r>
      <w:r w:rsidRPr="00DF37E7">
        <w:t xml:space="preserve"> w</w:t>
      </w:r>
      <w:r w:rsidR="004C1637">
        <w:t>ere</w:t>
      </w:r>
      <w:r w:rsidRPr="00DF37E7">
        <w:t xml:space="preserve"> developed to measure free B</w:t>
      </w:r>
      <w:r w:rsidRPr="00F874F4">
        <w:rPr>
          <w:vertAlign w:val="subscript"/>
        </w:rPr>
        <w:t>2</w:t>
      </w:r>
      <w:r w:rsidRPr="00DF37E7">
        <w:t xml:space="preserve">, </w:t>
      </w:r>
      <w:r w:rsidR="00F874F4" w:rsidRPr="00DF37E7">
        <w:t>A</w:t>
      </w:r>
      <w:r w:rsidR="00F874F4" w:rsidRPr="00F874F4">
        <w:rPr>
          <w:vertAlign w:val="subscript"/>
        </w:rPr>
        <w:t>2</w:t>
      </w:r>
      <w:r w:rsidRPr="00DF37E7">
        <w:t xml:space="preserve"> in complex with B</w:t>
      </w:r>
      <w:r w:rsidRPr="00F874F4">
        <w:rPr>
          <w:vertAlign w:val="subscript"/>
        </w:rPr>
        <w:t>2</w:t>
      </w:r>
      <w:r w:rsidRPr="00DF37E7">
        <w:t xml:space="preserve"> [r</w:t>
      </w:r>
      <w:r w:rsidR="00F874F4" w:rsidRPr="00DF37E7">
        <w:t>A</w:t>
      </w:r>
      <w:r w:rsidR="00F874F4" w:rsidRPr="0048534A">
        <w:rPr>
          <w:vertAlign w:val="subscript"/>
        </w:rPr>
        <w:t>2</w:t>
      </w:r>
      <w:r w:rsidR="00F874F4" w:rsidRPr="00DF37E7">
        <w:t>B</w:t>
      </w:r>
      <w:r w:rsidR="00F874F4" w:rsidRPr="0048534A">
        <w:rPr>
          <w:vertAlign w:val="subscript"/>
        </w:rPr>
        <w:t>2</w:t>
      </w:r>
      <w:r w:rsidRPr="00DF37E7">
        <w:t xml:space="preserve">, </w:t>
      </w:r>
      <w:r w:rsidR="00F874F4" w:rsidRPr="00DF37E7">
        <w:t>A</w:t>
      </w:r>
      <w:r w:rsidR="00F874F4" w:rsidRPr="0048534A">
        <w:rPr>
          <w:vertAlign w:val="subscript"/>
        </w:rPr>
        <w:t>2</w:t>
      </w:r>
      <w:r w:rsidR="00F874F4" w:rsidRPr="00DF37E7">
        <w:t>B</w:t>
      </w:r>
      <w:r w:rsidR="00F874F4" w:rsidRPr="0048534A">
        <w:rPr>
          <w:vertAlign w:val="subscript"/>
        </w:rPr>
        <w:t>2</w:t>
      </w:r>
      <w:r w:rsidRPr="00DF37E7">
        <w:t>] and total A</w:t>
      </w:r>
      <w:r w:rsidRPr="00F874F4">
        <w:rPr>
          <w:vertAlign w:val="subscript"/>
        </w:rPr>
        <w:t>2</w:t>
      </w:r>
      <w:r w:rsidRPr="00DF37E7">
        <w:t xml:space="preserve"> [rA</w:t>
      </w:r>
      <w:r w:rsidRPr="00D60502">
        <w:rPr>
          <w:vertAlign w:val="subscript"/>
        </w:rPr>
        <w:t>2</w:t>
      </w:r>
      <w:r w:rsidRPr="00DF37E7">
        <w:t>, A</w:t>
      </w:r>
      <w:r w:rsidRPr="00D60502">
        <w:rPr>
          <w:vertAlign w:val="subscript"/>
        </w:rPr>
        <w:t>2</w:t>
      </w:r>
      <w:r w:rsidRPr="00DF37E7">
        <w:t>, r</w:t>
      </w:r>
      <w:r w:rsidR="00F874F4" w:rsidRPr="00DF37E7">
        <w:t>A</w:t>
      </w:r>
      <w:r w:rsidR="00F874F4" w:rsidRPr="0048534A">
        <w:rPr>
          <w:vertAlign w:val="subscript"/>
        </w:rPr>
        <w:t>2</w:t>
      </w:r>
      <w:r w:rsidR="00F874F4" w:rsidRPr="00DF37E7">
        <w:t>B</w:t>
      </w:r>
      <w:r w:rsidR="00F874F4" w:rsidRPr="0048534A">
        <w:rPr>
          <w:vertAlign w:val="subscript"/>
        </w:rPr>
        <w:t>2</w:t>
      </w:r>
      <w:r w:rsidRPr="00DF37E7">
        <w:t xml:space="preserve">, </w:t>
      </w:r>
      <w:r w:rsidR="00F874F4" w:rsidRPr="00DF37E7">
        <w:t>A</w:t>
      </w:r>
      <w:r w:rsidR="00F874F4" w:rsidRPr="0048534A">
        <w:rPr>
          <w:vertAlign w:val="subscript"/>
        </w:rPr>
        <w:t>2</w:t>
      </w:r>
      <w:r w:rsidR="00F874F4" w:rsidRPr="00DF37E7">
        <w:t>B</w:t>
      </w:r>
      <w:r w:rsidR="00F874F4" w:rsidRPr="0048534A">
        <w:rPr>
          <w:vertAlign w:val="subscript"/>
        </w:rPr>
        <w:t>2</w:t>
      </w:r>
      <w:r w:rsidRPr="00DF37E7">
        <w:t>]. The total FXIII activity from both endogenous and exogenous protein was measured by the Berichrom</w:t>
      </w:r>
      <w:r w:rsidR="00FD619D" w:rsidRPr="00FD619D">
        <w:rPr>
          <w:vertAlign w:val="superscript"/>
        </w:rPr>
        <w:t>®</w:t>
      </w:r>
      <w:r w:rsidRPr="00DF37E7">
        <w:t xml:space="preserve"> assay. </w:t>
      </w:r>
    </w:p>
    <w:p w:rsidR="00DF37E7" w:rsidRPr="00DF37E7" w:rsidRDefault="00DF37E7" w:rsidP="005D7B4E">
      <w:pPr>
        <w:jc w:val="both"/>
      </w:pPr>
    </w:p>
    <w:p w:rsidR="00DF37E7" w:rsidRDefault="00DF37E7" w:rsidP="005D7B4E">
      <w:pPr>
        <w:jc w:val="both"/>
      </w:pPr>
      <w:proofErr w:type="gramStart"/>
      <w:r w:rsidRPr="00DF37E7">
        <w:t>rFXIII</w:t>
      </w:r>
      <w:proofErr w:type="gramEnd"/>
      <w:r w:rsidRPr="00DF37E7">
        <w:t xml:space="preserve"> has shown to have the same pharmacokinetic properties as endogenous FXIII A- subunit [</w:t>
      </w:r>
      <w:r w:rsidR="00F874F4" w:rsidRPr="00DF37E7">
        <w:t>A</w:t>
      </w:r>
      <w:r w:rsidR="00F874F4" w:rsidRPr="00F874F4">
        <w:rPr>
          <w:vertAlign w:val="subscript"/>
        </w:rPr>
        <w:t>2</w:t>
      </w:r>
      <w:r w:rsidRPr="00DF37E7">
        <w:t>] following binding to endogenous FXIII B-subunit [B</w:t>
      </w:r>
      <w:r w:rsidRPr="00F874F4">
        <w:rPr>
          <w:vertAlign w:val="subscript"/>
        </w:rPr>
        <w:t>2</w:t>
      </w:r>
      <w:r w:rsidRPr="00DF37E7">
        <w:t>].</w:t>
      </w:r>
    </w:p>
    <w:p w:rsidR="00DF37E7" w:rsidRPr="00DF37E7" w:rsidRDefault="00DF37E7" w:rsidP="005D7B4E">
      <w:pPr>
        <w:jc w:val="both"/>
      </w:pPr>
    </w:p>
    <w:p w:rsidR="00DF37E7" w:rsidRDefault="00DF37E7" w:rsidP="005D7B4E">
      <w:pPr>
        <w:jc w:val="both"/>
      </w:pPr>
      <w:r w:rsidRPr="00DF37E7">
        <w:t>When rFXIII [rA</w:t>
      </w:r>
      <w:r w:rsidRPr="0048534A">
        <w:rPr>
          <w:vertAlign w:val="subscript"/>
        </w:rPr>
        <w:t>2</w:t>
      </w:r>
      <w:r w:rsidRPr="00DF37E7">
        <w:t>] is administered to FXIII A-subunit deficient patients or to healthy subjects, r</w:t>
      </w:r>
      <w:r w:rsidR="0048534A" w:rsidRPr="00DF37E7">
        <w:t>A</w:t>
      </w:r>
      <w:r w:rsidR="0048534A" w:rsidRPr="0048534A">
        <w:rPr>
          <w:vertAlign w:val="subscript"/>
        </w:rPr>
        <w:t>2</w:t>
      </w:r>
      <w:r w:rsidRPr="00DF37E7">
        <w:t xml:space="preserve"> forms a heterotetramer complex [rA</w:t>
      </w:r>
      <w:r w:rsidRPr="0048534A">
        <w:rPr>
          <w:vertAlign w:val="subscript"/>
        </w:rPr>
        <w:t>2</w:t>
      </w:r>
      <w:r w:rsidRPr="00DF37E7">
        <w:t>B</w:t>
      </w:r>
      <w:r w:rsidRPr="0048534A">
        <w:rPr>
          <w:vertAlign w:val="subscript"/>
        </w:rPr>
        <w:t>2</w:t>
      </w:r>
      <w:r w:rsidRPr="00DF37E7">
        <w:t xml:space="preserve">] with free B-subunit resulting in a </w:t>
      </w:r>
      <w:r w:rsidRPr="00DF37E7">
        <w:lastRenderedPageBreak/>
        <w:t>rapid decrease of the plasma concentration of free B-subunit after rFXIII administration. In parallel to this, a rapid increase is observed for the concentration of the heterotetramer [rA</w:t>
      </w:r>
      <w:r w:rsidRPr="0048534A">
        <w:rPr>
          <w:vertAlign w:val="subscript"/>
        </w:rPr>
        <w:t>2</w:t>
      </w:r>
      <w:r w:rsidRPr="00DF37E7">
        <w:t>B</w:t>
      </w:r>
      <w:r w:rsidRPr="0048534A">
        <w:rPr>
          <w:vertAlign w:val="subscript"/>
        </w:rPr>
        <w:t>2</w:t>
      </w:r>
      <w:r w:rsidRPr="00DF37E7">
        <w:t>, A</w:t>
      </w:r>
      <w:r w:rsidRPr="0048534A">
        <w:rPr>
          <w:vertAlign w:val="subscript"/>
        </w:rPr>
        <w:t>2</w:t>
      </w:r>
      <w:r w:rsidRPr="00DF37E7">
        <w:t>B</w:t>
      </w:r>
      <w:r w:rsidRPr="0048534A">
        <w:rPr>
          <w:vertAlign w:val="subscript"/>
        </w:rPr>
        <w:t>2</w:t>
      </w:r>
      <w:r w:rsidRPr="00DF37E7">
        <w:t xml:space="preserve">]. </w:t>
      </w:r>
      <w:r w:rsidR="009E7B91">
        <w:t>After the initial decline, t</w:t>
      </w:r>
      <w:r w:rsidRPr="00DF37E7">
        <w:t>he pool of free B-subunit increases gradually following administration of rFXIII. Following administration of 20, 50 or 75 U/kg (corresponding to 24, 60 and 89 IU/kg, respectively) of rFXIII to patients, the plasma concentrations of free B-subunit were essentially restored to pre-dose levels within 72 hours.</w:t>
      </w:r>
    </w:p>
    <w:p w:rsidR="00DF37E7" w:rsidRPr="00DF37E7" w:rsidRDefault="00DF37E7" w:rsidP="005D7B4E">
      <w:pPr>
        <w:jc w:val="both"/>
      </w:pPr>
    </w:p>
    <w:p w:rsidR="00DF37E7" w:rsidRDefault="00DF37E7" w:rsidP="005D7B4E">
      <w:pPr>
        <w:jc w:val="both"/>
      </w:pPr>
      <w:r w:rsidRPr="00DF37E7">
        <w:t>The resulting half-life observed in clinical single-dose trials in healthy subjects (UKHV-1) was in the range of 218 to 321 hours (9-13 days) based on FXIII activity (Berichrom</w:t>
      </w:r>
      <w:r w:rsidRPr="00FD619D">
        <w:rPr>
          <w:vertAlign w:val="superscript"/>
        </w:rPr>
        <w:t>®</w:t>
      </w:r>
      <w:r w:rsidRPr="00DF37E7">
        <w:t xml:space="preserve">), total </w:t>
      </w:r>
      <w:r w:rsidR="00F874F4" w:rsidRPr="00DF37E7">
        <w:t>A</w:t>
      </w:r>
      <w:r w:rsidR="00F874F4" w:rsidRPr="00F874F4">
        <w:rPr>
          <w:vertAlign w:val="subscript"/>
        </w:rPr>
        <w:t>2</w:t>
      </w:r>
      <w:r w:rsidRPr="00DF37E7">
        <w:t xml:space="preserve"> (ELISA) and </w:t>
      </w:r>
      <w:r w:rsidR="00F874F4" w:rsidRPr="00DF37E7">
        <w:t>A</w:t>
      </w:r>
      <w:r w:rsidR="00F874F4" w:rsidRPr="0048534A">
        <w:rPr>
          <w:vertAlign w:val="subscript"/>
        </w:rPr>
        <w:t>2</w:t>
      </w:r>
      <w:r w:rsidR="00F874F4" w:rsidRPr="00DF37E7">
        <w:t>B</w:t>
      </w:r>
      <w:r w:rsidR="00F874F4" w:rsidRPr="0048534A">
        <w:rPr>
          <w:vertAlign w:val="subscript"/>
        </w:rPr>
        <w:t>2</w:t>
      </w:r>
      <w:r w:rsidRPr="00DF37E7">
        <w:t xml:space="preserve"> (ELISA). Plasma clearance was observed to be in the range of 0.15 to 0.25 ml/h/kg. Pharmacokinetic parameters of rFXIII obtained in patients with congenital FXIII deficiency (CD-1) were comparable to those in healthy subjects (UKHV-1).</w:t>
      </w:r>
    </w:p>
    <w:p w:rsidR="00DF37E7" w:rsidRPr="00DF37E7" w:rsidRDefault="00DF37E7" w:rsidP="00E07EB4">
      <w:pPr>
        <w:pStyle w:val="BodyText"/>
      </w:pPr>
    </w:p>
    <w:p w:rsidR="00DF37E7" w:rsidRDefault="00DF37E7" w:rsidP="00E07EB4">
      <w:pPr>
        <w:jc w:val="both"/>
        <w:rPr>
          <w:rFonts w:ascii="Times New Roman" w:hAnsi="Times New Roman"/>
          <w:spacing w:val="-2"/>
        </w:rPr>
      </w:pPr>
      <w:r w:rsidRPr="00DF37E7">
        <w:rPr>
          <w:rFonts w:ascii="Times New Roman" w:hAnsi="Times New Roman"/>
          <w:spacing w:val="-2"/>
        </w:rPr>
        <w:t>In a single dose trial, of 35 IU/kg of rFXIII, in healthy male subjects the following geometrical mean values of pharmacokinetics parameters were estimated based on baseline-adjusted Berichrom</w:t>
      </w:r>
      <w:r w:rsidRPr="00FD619D">
        <w:rPr>
          <w:rFonts w:ascii="Times New Roman" w:hAnsi="Times New Roman"/>
          <w:spacing w:val="-2"/>
          <w:vertAlign w:val="superscript"/>
        </w:rPr>
        <w:t>®</w:t>
      </w:r>
      <w:r w:rsidRPr="00DF37E7">
        <w:rPr>
          <w:rFonts w:ascii="Times New Roman" w:hAnsi="Times New Roman"/>
          <w:spacing w:val="-2"/>
        </w:rPr>
        <w:t xml:space="preserve"> data. Clearance was 0.13 mL/h/kg, the half-life was 11.1 days and volume of distribution at steady state was 47.1</w:t>
      </w:r>
      <w:r w:rsidR="000D31B7">
        <w:rPr>
          <w:rFonts w:ascii="Times New Roman" w:hAnsi="Times New Roman"/>
          <w:spacing w:val="-2"/>
        </w:rPr>
        <w:t xml:space="preserve"> </w:t>
      </w:r>
      <w:r w:rsidRPr="00DF37E7">
        <w:rPr>
          <w:rFonts w:ascii="Times New Roman" w:hAnsi="Times New Roman"/>
          <w:spacing w:val="-2"/>
        </w:rPr>
        <w:t>mL/kg. The initial baseline-adjusted geometrical mean activity at 30 minutes post-dosing was 0.85 IU/mL (CV=24.2%) which decreased to 0.11 IU/mL (CV=85.5%) 28 days post-dose.  The mean AUC</w:t>
      </w:r>
      <w:r w:rsidRPr="00BB063A">
        <w:rPr>
          <w:rFonts w:ascii="Times New Roman" w:hAnsi="Times New Roman"/>
          <w:spacing w:val="-2"/>
          <w:vertAlign w:val="subscript"/>
        </w:rPr>
        <w:t>0-28days</w:t>
      </w:r>
      <w:r w:rsidRPr="00DF37E7">
        <w:rPr>
          <w:rFonts w:ascii="Times New Roman" w:hAnsi="Times New Roman"/>
          <w:spacing w:val="-2"/>
        </w:rPr>
        <w:t xml:space="preserve"> was 220.3. IU*h/mL (CV=23.8%) and the mean</w:t>
      </w:r>
      <w:r w:rsidR="00F437A3" w:rsidRPr="00F437A3">
        <w:rPr>
          <w:rFonts w:ascii="Times New Roman" w:hAnsi="Times New Roman"/>
          <w:spacing w:val="-2"/>
        </w:rPr>
        <w:t xml:space="preserve"> </w:t>
      </w:r>
      <w:r w:rsidRPr="00DF37E7">
        <w:rPr>
          <w:rFonts w:ascii="Times New Roman" w:hAnsi="Times New Roman"/>
          <w:spacing w:val="-2"/>
        </w:rPr>
        <w:t>AUC</w:t>
      </w:r>
      <w:r w:rsidR="00F437A3" w:rsidRPr="00F437A3">
        <w:rPr>
          <w:rFonts w:ascii="Times New Roman" w:hAnsi="Times New Roman"/>
          <w:spacing w:val="-2"/>
          <w:vertAlign w:val="subscript"/>
        </w:rPr>
        <w:t>∞</w:t>
      </w:r>
      <w:r w:rsidRPr="00DF37E7">
        <w:rPr>
          <w:rFonts w:ascii="Times New Roman" w:hAnsi="Times New Roman"/>
          <w:spacing w:val="-2"/>
        </w:rPr>
        <w:t xml:space="preserve"> 277.6 IU*h/mL (CV=47.2%).</w:t>
      </w:r>
    </w:p>
    <w:p w:rsidR="008E4E23" w:rsidRDefault="008E4E23" w:rsidP="00E07EB4">
      <w:pPr>
        <w:jc w:val="both"/>
        <w:rPr>
          <w:rFonts w:ascii="Times New Roman" w:hAnsi="Times New Roman"/>
          <w:spacing w:val="-2"/>
        </w:rPr>
      </w:pPr>
    </w:p>
    <w:p w:rsidR="008E4E23" w:rsidRDefault="00EF0C88" w:rsidP="008E4E23">
      <w:pPr>
        <w:pStyle w:val="Caption"/>
      </w:pPr>
      <w:r w:rsidRPr="00EF0C88">
        <w:t>The PK resu</w:t>
      </w:r>
      <w:r w:rsidR="00A71442">
        <w:t xml:space="preserve">lts have been summarized in </w:t>
      </w:r>
      <w:r w:rsidR="00EF0BA8">
        <w:t>T</w:t>
      </w:r>
      <w:r w:rsidR="00A71442">
        <w:t>able 1 below for the clinical studies F13CD-1725, F13CD-3720 and F13CD-3760</w:t>
      </w:r>
      <w:r w:rsidRPr="00EF0C88">
        <w:t xml:space="preserve">. In summary, systemic exposure to </w:t>
      </w:r>
      <w:r w:rsidR="004C1637">
        <w:t>r</w:t>
      </w:r>
      <w:r w:rsidRPr="00EF0C88">
        <w:t>FXIII activity (AUC0-30 days) in children aged 1 to &lt; 6 years with congenital FXIII deficiency was similar to that in adults with the condition</w:t>
      </w:r>
      <w:r w:rsidR="00555D64">
        <w:t>.</w:t>
      </w:r>
    </w:p>
    <w:p w:rsidR="008E4E23" w:rsidRDefault="008E4E23" w:rsidP="00E07EB4">
      <w:pPr>
        <w:jc w:val="both"/>
        <w:rPr>
          <w:rFonts w:ascii="Times New Roman" w:hAnsi="Times New Roman"/>
          <w:spacing w:val="-2"/>
        </w:rPr>
      </w:pPr>
    </w:p>
    <w:p w:rsidR="00515B59" w:rsidRPr="001F7847" w:rsidRDefault="00515B59" w:rsidP="00515B59">
      <w:pPr>
        <w:ind w:left="567" w:hanging="567"/>
        <w:rPr>
          <w:rFonts w:ascii="Times New Roman" w:hAnsi="Times New Roman"/>
          <w:b/>
          <w:szCs w:val="24"/>
        </w:rPr>
      </w:pPr>
      <w:r w:rsidRPr="001F7847">
        <w:rPr>
          <w:rFonts w:ascii="Times New Roman" w:hAnsi="Times New Roman"/>
          <w:b/>
          <w:szCs w:val="24"/>
        </w:rPr>
        <w:t xml:space="preserve">Table </w:t>
      </w:r>
      <w:r w:rsidR="001F7847" w:rsidRPr="001F7847">
        <w:rPr>
          <w:rFonts w:ascii="Times New Roman" w:hAnsi="Times New Roman"/>
          <w:b/>
          <w:szCs w:val="24"/>
        </w:rPr>
        <w:t>1</w:t>
      </w:r>
      <w:r w:rsidR="001F7847">
        <w:rPr>
          <w:rFonts w:ascii="Times New Roman" w:hAnsi="Times New Roman"/>
          <w:b/>
          <w:szCs w:val="24"/>
        </w:rPr>
        <w:t>:</w:t>
      </w:r>
      <w:r w:rsidRPr="001F7847">
        <w:rPr>
          <w:rFonts w:ascii="Times New Roman" w:hAnsi="Times New Roman"/>
          <w:b/>
          <w:szCs w:val="24"/>
        </w:rPr>
        <w:t xml:space="preserve"> Pharmacokinetic parameters for different age groups (F13CD-3760, F13CD-1725 and F13CD-3720 results)</w:t>
      </w:r>
    </w:p>
    <w:p w:rsidR="00515B59" w:rsidRDefault="00515B59" w:rsidP="00E07EB4">
      <w:pPr>
        <w:jc w:val="both"/>
        <w:rPr>
          <w:rFonts w:ascii="Times New Roman" w:hAnsi="Times New Roman"/>
          <w:spacing w:val="-2"/>
        </w:rPr>
      </w:pPr>
    </w:p>
    <w:tbl>
      <w:tblPr>
        <w:tblW w:w="0" w:type="auto"/>
        <w:tblInd w:w="2" w:type="dxa"/>
        <w:tblLook w:val="00A0" w:firstRow="1" w:lastRow="0" w:firstColumn="1" w:lastColumn="0" w:noHBand="0" w:noVBand="0"/>
      </w:tblPr>
      <w:tblGrid>
        <w:gridCol w:w="2233"/>
        <w:gridCol w:w="1417"/>
        <w:gridCol w:w="1251"/>
        <w:gridCol w:w="1411"/>
        <w:gridCol w:w="1165"/>
        <w:gridCol w:w="1525"/>
      </w:tblGrid>
      <w:tr w:rsidR="008E4E23" w:rsidRPr="00495547" w:rsidTr="008C709A">
        <w:trPr>
          <w:trHeight w:val="268"/>
        </w:trPr>
        <w:tc>
          <w:tcPr>
            <w:tcW w:w="2233" w:type="dxa"/>
            <w:vMerge w:val="restart"/>
            <w:tcBorders>
              <w:top w:val="single" w:sz="4" w:space="0" w:color="auto"/>
            </w:tcBorders>
          </w:tcPr>
          <w:p w:rsidR="008E4E23" w:rsidRDefault="009E638B" w:rsidP="008C709A">
            <w:pPr>
              <w:widowControl/>
              <w:overflowPunct/>
              <w:autoSpaceDE/>
              <w:autoSpaceDN/>
              <w:adjustRightInd/>
              <w:textAlignment w:val="auto"/>
              <w:rPr>
                <w:rFonts w:ascii="Times New Roman" w:hAnsi="Times New Roman"/>
                <w:sz w:val="20"/>
                <w:lang w:val="en-US"/>
              </w:rPr>
            </w:pPr>
            <w:r w:rsidRPr="00515B59">
              <w:rPr>
                <w:rFonts w:ascii="Times New Roman" w:hAnsi="Times New Roman"/>
                <w:sz w:val="20"/>
                <w:lang w:val="en-US"/>
              </w:rPr>
              <w:t xml:space="preserve">Geometric mean </w:t>
            </w:r>
          </w:p>
          <w:p w:rsidR="00AF56E4" w:rsidRPr="00515B59" w:rsidRDefault="00AF56E4" w:rsidP="008C709A">
            <w:pPr>
              <w:widowControl/>
              <w:overflowPunct/>
              <w:autoSpaceDE/>
              <w:autoSpaceDN/>
              <w:adjustRightInd/>
              <w:textAlignment w:val="auto"/>
              <w:rPr>
                <w:rFonts w:ascii="Times New Roman" w:hAnsi="Times New Roman"/>
                <w:sz w:val="20"/>
                <w:lang w:val="en-US"/>
              </w:rPr>
            </w:pPr>
            <w:r>
              <w:rPr>
                <w:rFonts w:ascii="Times New Roman" w:hAnsi="Times New Roman"/>
                <w:sz w:val="20"/>
                <w:lang w:val="en-US"/>
              </w:rPr>
              <w:t>(CV</w:t>
            </w:r>
            <w:proofErr w:type="gramStart"/>
            <w:r>
              <w:rPr>
                <w:rFonts w:ascii="Times New Roman" w:hAnsi="Times New Roman"/>
                <w:sz w:val="20"/>
                <w:lang w:val="en-US"/>
              </w:rPr>
              <w:t>,%</w:t>
            </w:r>
            <w:proofErr w:type="gramEnd"/>
            <w:r>
              <w:rPr>
                <w:rFonts w:ascii="Times New Roman" w:hAnsi="Times New Roman"/>
                <w:sz w:val="20"/>
                <w:lang w:val="en-US"/>
              </w:rPr>
              <w:t>)</w:t>
            </w:r>
          </w:p>
        </w:tc>
        <w:tc>
          <w:tcPr>
            <w:tcW w:w="1417" w:type="dxa"/>
            <w:tcBorders>
              <w:top w:val="single" w:sz="4" w:space="0" w:color="auto"/>
            </w:tcBorders>
          </w:tcPr>
          <w:p w:rsidR="008E4E23" w:rsidRPr="00515B59" w:rsidRDefault="009E638B" w:rsidP="008C709A">
            <w:pPr>
              <w:widowControl/>
              <w:overflowPunct/>
              <w:autoSpaceDE/>
              <w:autoSpaceDN/>
              <w:adjustRightInd/>
              <w:jc w:val="center"/>
              <w:textAlignment w:val="auto"/>
              <w:rPr>
                <w:rFonts w:ascii="Times New Roman" w:hAnsi="Times New Roman"/>
                <w:sz w:val="20"/>
                <w:lang w:val="en-US"/>
              </w:rPr>
            </w:pPr>
            <w:r>
              <w:rPr>
                <w:rFonts w:ascii="Times New Roman" w:hAnsi="Times New Roman"/>
                <w:sz w:val="20"/>
              </w:rPr>
              <w:t>*F13CD-3760</w:t>
            </w:r>
          </w:p>
        </w:tc>
        <w:tc>
          <w:tcPr>
            <w:tcW w:w="3827" w:type="dxa"/>
            <w:gridSpan w:val="3"/>
            <w:tcBorders>
              <w:top w:val="single" w:sz="4" w:space="0" w:color="auto"/>
            </w:tcBorders>
          </w:tcPr>
          <w:p w:rsidR="008E4E23" w:rsidRPr="00515B59" w:rsidRDefault="009E638B" w:rsidP="008E4E23">
            <w:pPr>
              <w:widowControl/>
              <w:overflowPunct/>
              <w:autoSpaceDE/>
              <w:autoSpaceDN/>
              <w:adjustRightInd/>
              <w:jc w:val="center"/>
              <w:textAlignment w:val="auto"/>
              <w:rPr>
                <w:rFonts w:ascii="Times New Roman" w:hAnsi="Times New Roman"/>
                <w:sz w:val="20"/>
                <w:lang w:val="en-US"/>
              </w:rPr>
            </w:pPr>
            <w:r w:rsidRPr="00A71442">
              <w:rPr>
                <w:rFonts w:ascii="Times New Roman" w:hAnsi="Times New Roman"/>
                <w:spacing w:val="-2"/>
                <w:sz w:val="18"/>
                <w:szCs w:val="18"/>
              </w:rPr>
              <w:t>†</w:t>
            </w:r>
            <w:r w:rsidR="00515B59" w:rsidRPr="00515B59">
              <w:rPr>
                <w:rFonts w:ascii="Times New Roman" w:hAnsi="Times New Roman"/>
                <w:sz w:val="20"/>
              </w:rPr>
              <w:t>F13CD-1725</w:t>
            </w:r>
          </w:p>
        </w:tc>
        <w:tc>
          <w:tcPr>
            <w:tcW w:w="1525" w:type="dxa"/>
            <w:tcBorders>
              <w:top w:val="single" w:sz="4" w:space="0" w:color="auto"/>
            </w:tcBorders>
          </w:tcPr>
          <w:p w:rsidR="008E4E23" w:rsidRPr="00515B59" w:rsidRDefault="009E638B" w:rsidP="008C709A">
            <w:pPr>
              <w:widowControl/>
              <w:overflowPunct/>
              <w:autoSpaceDE/>
              <w:autoSpaceDN/>
              <w:adjustRightInd/>
              <w:jc w:val="center"/>
              <w:textAlignment w:val="auto"/>
              <w:rPr>
                <w:rFonts w:ascii="Times New Roman" w:hAnsi="Times New Roman"/>
                <w:b/>
                <w:sz w:val="20"/>
                <w:lang w:val="en-US"/>
              </w:rPr>
            </w:pPr>
            <w:r>
              <w:rPr>
                <w:rFonts w:ascii="Times New Roman" w:hAnsi="Times New Roman"/>
                <w:sz w:val="20"/>
              </w:rPr>
              <w:t>**</w:t>
            </w:r>
            <w:r w:rsidR="00515B59" w:rsidRPr="00515B59">
              <w:rPr>
                <w:rFonts w:ascii="Times New Roman" w:hAnsi="Times New Roman"/>
                <w:sz w:val="20"/>
              </w:rPr>
              <w:t>F13CD-3720</w:t>
            </w:r>
          </w:p>
        </w:tc>
      </w:tr>
      <w:tr w:rsidR="00515B59" w:rsidRPr="00495547" w:rsidTr="008C709A">
        <w:trPr>
          <w:trHeight w:val="251"/>
        </w:trPr>
        <w:tc>
          <w:tcPr>
            <w:tcW w:w="2233" w:type="dxa"/>
            <w:vMerge/>
            <w:tcBorders>
              <w:bottom w:val="single" w:sz="4" w:space="0" w:color="auto"/>
            </w:tcBorders>
          </w:tcPr>
          <w:p w:rsidR="008E4E23" w:rsidRPr="00495547" w:rsidRDefault="008E4E23" w:rsidP="008E4E23">
            <w:pPr>
              <w:widowControl/>
              <w:overflowPunct/>
              <w:autoSpaceDE/>
              <w:autoSpaceDN/>
              <w:adjustRightInd/>
              <w:textAlignment w:val="auto"/>
              <w:rPr>
                <w:rFonts w:ascii="Times New Roman" w:hAnsi="Times New Roman"/>
                <w:sz w:val="20"/>
                <w:lang w:val="en-US"/>
              </w:rPr>
            </w:pPr>
          </w:p>
        </w:tc>
        <w:tc>
          <w:tcPr>
            <w:tcW w:w="1417" w:type="dxa"/>
            <w:tcBorders>
              <w:bottom w:val="single" w:sz="4" w:space="0" w:color="auto"/>
            </w:tcBorders>
          </w:tcPr>
          <w:p w:rsidR="008E4E23" w:rsidRPr="00495547" w:rsidRDefault="008E4E23" w:rsidP="008E4E23">
            <w:pPr>
              <w:widowControl/>
              <w:overflowPunct/>
              <w:autoSpaceDE/>
              <w:autoSpaceDN/>
              <w:adjustRightInd/>
              <w:jc w:val="center"/>
              <w:textAlignment w:val="auto"/>
              <w:rPr>
                <w:rFonts w:ascii="Times New Roman" w:hAnsi="Times New Roman"/>
                <w:sz w:val="20"/>
                <w:lang w:val="en-US"/>
              </w:rPr>
            </w:pPr>
            <w:r w:rsidRPr="00495547">
              <w:rPr>
                <w:rFonts w:ascii="Times New Roman" w:hAnsi="Times New Roman"/>
                <w:sz w:val="20"/>
                <w:lang w:val="en-US"/>
              </w:rPr>
              <w:t>1–5 years</w:t>
            </w:r>
          </w:p>
        </w:tc>
        <w:tc>
          <w:tcPr>
            <w:tcW w:w="1251" w:type="dxa"/>
            <w:tcBorders>
              <w:bottom w:val="single" w:sz="4" w:space="0" w:color="auto"/>
            </w:tcBorders>
          </w:tcPr>
          <w:p w:rsidR="008E4E23" w:rsidRPr="00495547" w:rsidRDefault="008E4E23" w:rsidP="008E4E23">
            <w:pPr>
              <w:widowControl/>
              <w:overflowPunct/>
              <w:autoSpaceDE/>
              <w:autoSpaceDN/>
              <w:adjustRightInd/>
              <w:jc w:val="center"/>
              <w:textAlignment w:val="auto"/>
              <w:rPr>
                <w:rFonts w:ascii="Times New Roman" w:hAnsi="Times New Roman"/>
                <w:sz w:val="20"/>
                <w:lang w:val="en-US"/>
              </w:rPr>
            </w:pPr>
            <w:r w:rsidRPr="00495547">
              <w:rPr>
                <w:rFonts w:ascii="Times New Roman" w:hAnsi="Times New Roman"/>
                <w:sz w:val="20"/>
                <w:lang w:val="en-US"/>
              </w:rPr>
              <w:t>6–11 years</w:t>
            </w:r>
          </w:p>
        </w:tc>
        <w:tc>
          <w:tcPr>
            <w:tcW w:w="1411" w:type="dxa"/>
            <w:tcBorders>
              <w:bottom w:val="single" w:sz="4" w:space="0" w:color="auto"/>
            </w:tcBorders>
          </w:tcPr>
          <w:p w:rsidR="008E4E23" w:rsidRPr="00495547" w:rsidRDefault="008E4E23" w:rsidP="008E4E23">
            <w:pPr>
              <w:widowControl/>
              <w:overflowPunct/>
              <w:autoSpaceDE/>
              <w:autoSpaceDN/>
              <w:adjustRightInd/>
              <w:jc w:val="center"/>
              <w:textAlignment w:val="auto"/>
              <w:rPr>
                <w:rFonts w:ascii="Times New Roman" w:hAnsi="Times New Roman"/>
                <w:sz w:val="20"/>
                <w:lang w:val="en-US"/>
              </w:rPr>
            </w:pPr>
            <w:r w:rsidRPr="00495547">
              <w:rPr>
                <w:rFonts w:ascii="Times New Roman" w:hAnsi="Times New Roman"/>
                <w:sz w:val="20"/>
                <w:lang w:val="en-US"/>
              </w:rPr>
              <w:t>12–17 years</w:t>
            </w:r>
          </w:p>
        </w:tc>
        <w:tc>
          <w:tcPr>
            <w:tcW w:w="1165" w:type="dxa"/>
            <w:tcBorders>
              <w:bottom w:val="single" w:sz="4" w:space="0" w:color="auto"/>
            </w:tcBorders>
          </w:tcPr>
          <w:p w:rsidR="008E4E23" w:rsidRPr="00495547" w:rsidRDefault="008E4E23" w:rsidP="008E4E23">
            <w:pPr>
              <w:widowControl/>
              <w:overflowPunct/>
              <w:autoSpaceDE/>
              <w:autoSpaceDN/>
              <w:adjustRightInd/>
              <w:jc w:val="center"/>
              <w:textAlignment w:val="auto"/>
              <w:rPr>
                <w:rFonts w:ascii="Times New Roman" w:hAnsi="Times New Roman"/>
                <w:sz w:val="20"/>
                <w:lang w:val="en-US"/>
              </w:rPr>
            </w:pPr>
            <w:r w:rsidRPr="00495547">
              <w:rPr>
                <w:rFonts w:ascii="Times New Roman" w:hAnsi="Times New Roman"/>
                <w:sz w:val="20"/>
                <w:lang w:val="en-US"/>
              </w:rPr>
              <w:t>18+ years</w:t>
            </w:r>
          </w:p>
        </w:tc>
        <w:tc>
          <w:tcPr>
            <w:tcW w:w="1525" w:type="dxa"/>
            <w:tcBorders>
              <w:bottom w:val="single" w:sz="4" w:space="0" w:color="auto"/>
            </w:tcBorders>
          </w:tcPr>
          <w:p w:rsidR="008E4E23" w:rsidRPr="002D3630" w:rsidRDefault="008E4E23" w:rsidP="008E4E23">
            <w:pPr>
              <w:widowControl/>
              <w:overflowPunct/>
              <w:autoSpaceDE/>
              <w:autoSpaceDN/>
              <w:adjustRightInd/>
              <w:jc w:val="center"/>
              <w:textAlignment w:val="auto"/>
              <w:rPr>
                <w:rFonts w:ascii="Times New Roman" w:hAnsi="Times New Roman"/>
                <w:sz w:val="20"/>
                <w:lang w:val="en-US"/>
              </w:rPr>
            </w:pPr>
            <w:r w:rsidRPr="002D3630">
              <w:rPr>
                <w:rFonts w:ascii="Times New Roman" w:hAnsi="Times New Roman"/>
                <w:sz w:val="20"/>
                <w:lang w:val="en-US"/>
              </w:rPr>
              <w:t>7-58 years</w:t>
            </w:r>
          </w:p>
        </w:tc>
      </w:tr>
      <w:tr w:rsidR="00515B59" w:rsidRPr="00495547" w:rsidTr="008C709A">
        <w:tc>
          <w:tcPr>
            <w:tcW w:w="2233" w:type="dxa"/>
            <w:tcBorders>
              <w:top w:val="single" w:sz="4" w:space="0" w:color="auto"/>
            </w:tcBorders>
            <w:vAlign w:val="center"/>
          </w:tcPr>
          <w:p w:rsidR="008E4E23" w:rsidRPr="00515B59" w:rsidRDefault="008E4E23" w:rsidP="008E4E23">
            <w:pPr>
              <w:widowControl/>
              <w:overflowPunct/>
              <w:autoSpaceDE/>
              <w:autoSpaceDN/>
              <w:adjustRightInd/>
              <w:textAlignment w:val="auto"/>
              <w:rPr>
                <w:rFonts w:ascii="Times New Roman" w:hAnsi="Times New Roman"/>
                <w:sz w:val="20"/>
                <w:lang w:val="en-US"/>
              </w:rPr>
            </w:pPr>
            <w:r w:rsidRPr="00515B59">
              <w:rPr>
                <w:rFonts w:ascii="Times New Roman" w:hAnsi="Times New Roman"/>
                <w:sz w:val="20"/>
                <w:lang w:val="en-US"/>
              </w:rPr>
              <w:t xml:space="preserve">Patients, </w:t>
            </w:r>
            <w:r w:rsidRPr="00515B59">
              <w:rPr>
                <w:rFonts w:ascii="Times New Roman" w:hAnsi="Times New Roman"/>
                <w:i/>
                <w:iCs/>
                <w:sz w:val="20"/>
                <w:lang w:val="en-US"/>
              </w:rPr>
              <w:t>n</w:t>
            </w:r>
          </w:p>
        </w:tc>
        <w:tc>
          <w:tcPr>
            <w:tcW w:w="1417" w:type="dxa"/>
            <w:tcBorders>
              <w:top w:val="single" w:sz="4" w:space="0" w:color="auto"/>
            </w:tcBorders>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6</w:t>
            </w:r>
          </w:p>
        </w:tc>
        <w:tc>
          <w:tcPr>
            <w:tcW w:w="1251" w:type="dxa"/>
            <w:tcBorders>
              <w:top w:val="single" w:sz="4" w:space="0" w:color="auto"/>
            </w:tcBorders>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9</w:t>
            </w:r>
          </w:p>
        </w:tc>
        <w:tc>
          <w:tcPr>
            <w:tcW w:w="1411" w:type="dxa"/>
            <w:tcBorders>
              <w:top w:val="single" w:sz="4" w:space="0" w:color="auto"/>
            </w:tcBorders>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6</w:t>
            </w:r>
          </w:p>
        </w:tc>
        <w:tc>
          <w:tcPr>
            <w:tcW w:w="1165" w:type="dxa"/>
            <w:tcBorders>
              <w:top w:val="single" w:sz="4" w:space="0" w:color="auto"/>
            </w:tcBorders>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26</w:t>
            </w:r>
          </w:p>
        </w:tc>
        <w:tc>
          <w:tcPr>
            <w:tcW w:w="1525" w:type="dxa"/>
            <w:tcBorders>
              <w:top w:val="single" w:sz="4" w:space="0" w:color="auto"/>
            </w:tcBorders>
          </w:tcPr>
          <w:p w:rsidR="008E4E23" w:rsidRPr="00515B59" w:rsidRDefault="009E638B" w:rsidP="008E4E23">
            <w:pPr>
              <w:widowControl/>
              <w:overflowPunct/>
              <w:autoSpaceDE/>
              <w:autoSpaceDN/>
              <w:adjustRightInd/>
              <w:jc w:val="right"/>
              <w:textAlignment w:val="auto"/>
              <w:rPr>
                <w:rFonts w:ascii="Times New Roman" w:hAnsi="Times New Roman"/>
                <w:sz w:val="20"/>
                <w:lang w:val="en-US"/>
              </w:rPr>
            </w:pPr>
            <w:r>
              <w:rPr>
                <w:rFonts w:ascii="Times New Roman" w:hAnsi="Times New Roman"/>
                <w:sz w:val="20"/>
                <w:lang w:val="en-US"/>
              </w:rPr>
              <w:t>3</w:t>
            </w:r>
            <w:r w:rsidR="008E4E23" w:rsidRPr="00515B59">
              <w:rPr>
                <w:rFonts w:ascii="Times New Roman" w:hAnsi="Times New Roman"/>
                <w:sz w:val="20"/>
                <w:lang w:val="en-US"/>
              </w:rPr>
              <w:t>3</w:t>
            </w:r>
          </w:p>
        </w:tc>
      </w:tr>
      <w:tr w:rsidR="00515B59" w:rsidRPr="00495547" w:rsidTr="008C709A">
        <w:tc>
          <w:tcPr>
            <w:tcW w:w="2233" w:type="dxa"/>
            <w:vAlign w:val="center"/>
          </w:tcPr>
          <w:p w:rsidR="008E4E23" w:rsidRPr="00515B59" w:rsidRDefault="008E4E23" w:rsidP="008E4E23">
            <w:pPr>
              <w:widowControl/>
              <w:overflowPunct/>
              <w:autoSpaceDE/>
              <w:autoSpaceDN/>
              <w:adjustRightInd/>
              <w:textAlignment w:val="auto"/>
              <w:rPr>
                <w:rFonts w:ascii="Times New Roman" w:hAnsi="Times New Roman"/>
                <w:sz w:val="20"/>
                <w:lang w:val="en-US"/>
              </w:rPr>
            </w:pPr>
            <w:r w:rsidRPr="00515B59">
              <w:rPr>
                <w:rFonts w:ascii="Times New Roman" w:hAnsi="Times New Roman"/>
                <w:sz w:val="20"/>
                <w:lang w:val="en-US"/>
              </w:rPr>
              <w:t>AUC</w:t>
            </w:r>
            <w:r w:rsidR="00F437A3">
              <w:rPr>
                <w:rFonts w:ascii="Times New Roman" w:hAnsi="Times New Roman"/>
                <w:sz w:val="20"/>
                <w:vertAlign w:val="subscript"/>
                <w:lang w:val="en-US"/>
              </w:rPr>
              <w:t>0-28</w:t>
            </w:r>
            <w:r w:rsidRPr="00515B59">
              <w:rPr>
                <w:rFonts w:ascii="Times New Roman" w:hAnsi="Times New Roman"/>
                <w:sz w:val="20"/>
                <w:lang w:val="en-US"/>
              </w:rPr>
              <w:t>, IU·h/mL*</w:t>
            </w:r>
          </w:p>
        </w:tc>
        <w:tc>
          <w:tcPr>
            <w:tcW w:w="1417" w:type="dxa"/>
            <w:vAlign w:val="center"/>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248.6 (13)</w:t>
            </w:r>
          </w:p>
        </w:tc>
        <w:tc>
          <w:tcPr>
            <w:tcW w:w="1251" w:type="dxa"/>
            <w:vAlign w:val="center"/>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251.7 (26)</w:t>
            </w:r>
          </w:p>
        </w:tc>
        <w:tc>
          <w:tcPr>
            <w:tcW w:w="1411" w:type="dxa"/>
            <w:vAlign w:val="center"/>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217.1 (19)</w:t>
            </w:r>
          </w:p>
        </w:tc>
        <w:tc>
          <w:tcPr>
            <w:tcW w:w="1165" w:type="dxa"/>
            <w:vAlign w:val="center"/>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245.2 (22)</w:t>
            </w:r>
          </w:p>
        </w:tc>
        <w:tc>
          <w:tcPr>
            <w:tcW w:w="1525" w:type="dxa"/>
            <w:vAlign w:val="center"/>
          </w:tcPr>
          <w:p w:rsidR="008E4E23" w:rsidRPr="00515B59" w:rsidRDefault="008E4E23" w:rsidP="009E638B">
            <w:pPr>
              <w:widowControl/>
              <w:overflowPunct/>
              <w:autoSpaceDE/>
              <w:autoSpaceDN/>
              <w:adjustRightInd/>
              <w:jc w:val="right"/>
              <w:textAlignment w:val="auto"/>
              <w:rPr>
                <w:rFonts w:ascii="Times New Roman" w:hAnsi="Times New Roman"/>
                <w:sz w:val="20"/>
                <w:lang w:val="en-US"/>
              </w:rPr>
            </w:pPr>
          </w:p>
        </w:tc>
      </w:tr>
      <w:tr w:rsidR="00515B59" w:rsidRPr="00495547" w:rsidTr="008C709A">
        <w:tc>
          <w:tcPr>
            <w:tcW w:w="2233" w:type="dxa"/>
            <w:vAlign w:val="center"/>
          </w:tcPr>
          <w:p w:rsidR="008E4E23" w:rsidRPr="00515B59" w:rsidRDefault="008E4E23" w:rsidP="008E4E23">
            <w:pPr>
              <w:widowControl/>
              <w:overflowPunct/>
              <w:autoSpaceDE/>
              <w:autoSpaceDN/>
              <w:adjustRightInd/>
              <w:textAlignment w:val="auto"/>
              <w:rPr>
                <w:rFonts w:ascii="Times New Roman" w:hAnsi="Times New Roman"/>
                <w:sz w:val="20"/>
                <w:lang w:val="en-US"/>
              </w:rPr>
            </w:pPr>
            <w:r w:rsidRPr="00515B59">
              <w:rPr>
                <w:rFonts w:ascii="Times New Roman" w:hAnsi="Times New Roman"/>
                <w:sz w:val="20"/>
                <w:lang w:val="en-US"/>
              </w:rPr>
              <w:t>C</w:t>
            </w:r>
            <w:r w:rsidRPr="00515B59">
              <w:rPr>
                <w:rFonts w:ascii="Times New Roman" w:hAnsi="Times New Roman"/>
                <w:sz w:val="20"/>
                <w:vertAlign w:val="subscript"/>
                <w:lang w:val="en-US"/>
              </w:rPr>
              <w:t>max</w:t>
            </w:r>
            <w:r w:rsidRPr="00515B59">
              <w:rPr>
                <w:rFonts w:ascii="Times New Roman" w:hAnsi="Times New Roman"/>
                <w:sz w:val="20"/>
                <w:lang w:val="en-US"/>
              </w:rPr>
              <w:t>, IU/mL</w:t>
            </w:r>
          </w:p>
        </w:tc>
        <w:tc>
          <w:tcPr>
            <w:tcW w:w="1417" w:type="dxa"/>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0.67 (21)</w:t>
            </w:r>
          </w:p>
        </w:tc>
        <w:tc>
          <w:tcPr>
            <w:tcW w:w="1251" w:type="dxa"/>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0.75 (43)</w:t>
            </w:r>
          </w:p>
        </w:tc>
        <w:tc>
          <w:tcPr>
            <w:tcW w:w="1411" w:type="dxa"/>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0.67 (15)</w:t>
            </w:r>
          </w:p>
        </w:tc>
        <w:tc>
          <w:tcPr>
            <w:tcW w:w="1165" w:type="dxa"/>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0.76 (21)</w:t>
            </w:r>
          </w:p>
        </w:tc>
        <w:tc>
          <w:tcPr>
            <w:tcW w:w="1525" w:type="dxa"/>
          </w:tcPr>
          <w:p w:rsidR="008E4E23" w:rsidRPr="00515B59" w:rsidRDefault="008E4E23" w:rsidP="00C04646">
            <w:pPr>
              <w:widowControl/>
              <w:overflowPunct/>
              <w:autoSpaceDE/>
              <w:autoSpaceDN/>
              <w:adjustRightInd/>
              <w:jc w:val="right"/>
              <w:textAlignment w:val="auto"/>
              <w:rPr>
                <w:rFonts w:ascii="Times New Roman" w:hAnsi="Times New Roman"/>
                <w:sz w:val="20"/>
                <w:lang w:val="en-US"/>
              </w:rPr>
            </w:pPr>
          </w:p>
        </w:tc>
      </w:tr>
      <w:tr w:rsidR="00515B59" w:rsidRPr="00495547" w:rsidTr="008C709A">
        <w:tc>
          <w:tcPr>
            <w:tcW w:w="2233" w:type="dxa"/>
            <w:vAlign w:val="center"/>
          </w:tcPr>
          <w:p w:rsidR="008E4E23" w:rsidRPr="00515B59" w:rsidRDefault="008E4E23" w:rsidP="008E4E23">
            <w:pPr>
              <w:widowControl/>
              <w:overflowPunct/>
              <w:autoSpaceDE/>
              <w:autoSpaceDN/>
              <w:adjustRightInd/>
              <w:textAlignment w:val="auto"/>
              <w:rPr>
                <w:rFonts w:ascii="Times New Roman" w:hAnsi="Times New Roman"/>
                <w:sz w:val="20"/>
                <w:lang w:val="en-US"/>
              </w:rPr>
            </w:pPr>
            <w:r w:rsidRPr="00515B59">
              <w:rPr>
                <w:rFonts w:ascii="Times New Roman" w:hAnsi="Times New Roman"/>
                <w:sz w:val="20"/>
                <w:lang w:val="en-US"/>
              </w:rPr>
              <w:t>Trough, IU/mL</w:t>
            </w:r>
          </w:p>
        </w:tc>
        <w:tc>
          <w:tcPr>
            <w:tcW w:w="1417" w:type="dxa"/>
            <w:vAlign w:val="center"/>
          </w:tcPr>
          <w:p w:rsidR="008E4E23" w:rsidRPr="00515B59" w:rsidRDefault="008E4E23" w:rsidP="00957FA9">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0.2</w:t>
            </w:r>
            <w:r w:rsidR="00957FA9">
              <w:rPr>
                <w:rFonts w:ascii="Times New Roman" w:hAnsi="Times New Roman"/>
                <w:sz w:val="20"/>
                <w:lang w:val="en-GB"/>
              </w:rPr>
              <w:t>0</w:t>
            </w:r>
            <w:r w:rsidRPr="00515B59">
              <w:rPr>
                <w:rFonts w:ascii="Times New Roman" w:hAnsi="Times New Roman"/>
                <w:sz w:val="20"/>
                <w:lang w:val="en-GB"/>
              </w:rPr>
              <w:t xml:space="preserve"> (2</w:t>
            </w:r>
            <w:r w:rsidR="00957FA9">
              <w:rPr>
                <w:rFonts w:ascii="Times New Roman" w:hAnsi="Times New Roman"/>
                <w:sz w:val="20"/>
                <w:lang w:val="en-GB"/>
              </w:rPr>
              <w:t>2</w:t>
            </w:r>
            <w:r w:rsidRPr="00515B59">
              <w:rPr>
                <w:rFonts w:ascii="Times New Roman" w:hAnsi="Times New Roman"/>
                <w:sz w:val="20"/>
                <w:lang w:val="en-GB"/>
              </w:rPr>
              <w:t>)</w:t>
            </w:r>
          </w:p>
        </w:tc>
        <w:tc>
          <w:tcPr>
            <w:tcW w:w="1251" w:type="dxa"/>
            <w:vAlign w:val="center"/>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0.20 (25)</w:t>
            </w:r>
          </w:p>
        </w:tc>
        <w:tc>
          <w:tcPr>
            <w:tcW w:w="1411" w:type="dxa"/>
            <w:vAlign w:val="center"/>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0.17 (28)</w:t>
            </w:r>
          </w:p>
        </w:tc>
        <w:tc>
          <w:tcPr>
            <w:tcW w:w="1165" w:type="dxa"/>
            <w:vAlign w:val="center"/>
          </w:tcPr>
          <w:p w:rsidR="008E4E23" w:rsidRPr="00515B59" w:rsidRDefault="008E4E23" w:rsidP="008E4E23">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0.18 (22)</w:t>
            </w:r>
          </w:p>
        </w:tc>
        <w:tc>
          <w:tcPr>
            <w:tcW w:w="1525" w:type="dxa"/>
            <w:vAlign w:val="center"/>
          </w:tcPr>
          <w:p w:rsidR="008E4E23" w:rsidRPr="00515B59" w:rsidRDefault="009E638B" w:rsidP="009E638B">
            <w:pPr>
              <w:widowControl/>
              <w:overflowPunct/>
              <w:autoSpaceDE/>
              <w:autoSpaceDN/>
              <w:adjustRightInd/>
              <w:jc w:val="right"/>
              <w:textAlignment w:val="auto"/>
              <w:rPr>
                <w:rFonts w:ascii="Times New Roman" w:hAnsi="Times New Roman"/>
                <w:sz w:val="20"/>
                <w:lang w:val="en-US"/>
              </w:rPr>
            </w:pPr>
            <w:r>
              <w:rPr>
                <w:rFonts w:ascii="Times New Roman" w:hAnsi="Times New Roman"/>
                <w:sz w:val="20"/>
                <w:lang w:val="en-US"/>
              </w:rPr>
              <w:t>0.21 (19)</w:t>
            </w:r>
          </w:p>
        </w:tc>
      </w:tr>
      <w:tr w:rsidR="00515B59" w:rsidRPr="00495547" w:rsidTr="008C709A">
        <w:tc>
          <w:tcPr>
            <w:tcW w:w="2233" w:type="dxa"/>
            <w:vAlign w:val="center"/>
          </w:tcPr>
          <w:p w:rsidR="008E4E23" w:rsidRPr="00515B59" w:rsidRDefault="008E4E23" w:rsidP="008E4E23">
            <w:pPr>
              <w:widowControl/>
              <w:overflowPunct/>
              <w:autoSpaceDE/>
              <w:autoSpaceDN/>
              <w:adjustRightInd/>
              <w:textAlignment w:val="auto"/>
              <w:rPr>
                <w:rFonts w:ascii="Times New Roman" w:hAnsi="Times New Roman"/>
                <w:sz w:val="20"/>
                <w:lang w:val="en-US"/>
              </w:rPr>
            </w:pPr>
            <w:r w:rsidRPr="00515B59">
              <w:rPr>
                <w:rFonts w:ascii="Times New Roman" w:hAnsi="Times New Roman"/>
                <w:sz w:val="20"/>
                <w:lang w:val="en-US"/>
              </w:rPr>
              <w:t>T</w:t>
            </w:r>
            <w:r w:rsidRPr="00515B59">
              <w:rPr>
                <w:rFonts w:ascii="Times New Roman" w:hAnsi="Times New Roman"/>
                <w:sz w:val="20"/>
                <w:vertAlign w:val="subscript"/>
                <w:lang w:val="en-US"/>
              </w:rPr>
              <w:t xml:space="preserve">½ </w:t>
            </w:r>
            <w:r w:rsidRPr="00515B59">
              <w:rPr>
                <w:rFonts w:ascii="Times New Roman" w:hAnsi="Times New Roman"/>
                <w:sz w:val="20"/>
                <w:lang w:val="en-US"/>
              </w:rPr>
              <w:t xml:space="preserve">, days </w:t>
            </w:r>
          </w:p>
        </w:tc>
        <w:tc>
          <w:tcPr>
            <w:tcW w:w="1417" w:type="dxa"/>
          </w:tcPr>
          <w:p w:rsidR="008E4E23" w:rsidRPr="00515B59" w:rsidRDefault="008E4E23" w:rsidP="00C04646">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15.</w:t>
            </w:r>
            <w:r w:rsidR="00C04646">
              <w:rPr>
                <w:rFonts w:ascii="Times New Roman" w:hAnsi="Times New Roman"/>
                <w:sz w:val="20"/>
                <w:lang w:val="en-GB"/>
              </w:rPr>
              <w:t>0</w:t>
            </w:r>
            <w:r w:rsidRPr="00515B59">
              <w:rPr>
                <w:rFonts w:ascii="Times New Roman" w:hAnsi="Times New Roman"/>
                <w:sz w:val="20"/>
                <w:lang w:val="en-GB"/>
              </w:rPr>
              <w:t xml:space="preserve"> (34)</w:t>
            </w:r>
          </w:p>
        </w:tc>
        <w:tc>
          <w:tcPr>
            <w:tcW w:w="1251" w:type="dxa"/>
          </w:tcPr>
          <w:p w:rsidR="008E4E23" w:rsidRPr="00515B59" w:rsidRDefault="008E4E23" w:rsidP="00C04646">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12.</w:t>
            </w:r>
            <w:r w:rsidR="00C04646">
              <w:rPr>
                <w:rFonts w:ascii="Times New Roman" w:hAnsi="Times New Roman"/>
                <w:sz w:val="20"/>
                <w:lang w:val="en-GB"/>
              </w:rPr>
              <w:t>4</w:t>
            </w:r>
            <w:r w:rsidRPr="00515B59">
              <w:rPr>
                <w:rFonts w:ascii="Times New Roman" w:hAnsi="Times New Roman"/>
                <w:sz w:val="20"/>
                <w:lang w:val="en-GB"/>
              </w:rPr>
              <w:t xml:space="preserve"> (21)</w:t>
            </w:r>
          </w:p>
        </w:tc>
        <w:tc>
          <w:tcPr>
            <w:tcW w:w="1411" w:type="dxa"/>
          </w:tcPr>
          <w:p w:rsidR="008E4E23" w:rsidRPr="00515B59" w:rsidRDefault="008E4E23" w:rsidP="00C04646">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11.9 (32)</w:t>
            </w:r>
          </w:p>
        </w:tc>
        <w:tc>
          <w:tcPr>
            <w:tcW w:w="1165" w:type="dxa"/>
          </w:tcPr>
          <w:p w:rsidR="008E4E23" w:rsidRPr="00515B59" w:rsidRDefault="008E4E23" w:rsidP="00C04646">
            <w:pPr>
              <w:widowControl/>
              <w:overflowPunct/>
              <w:autoSpaceDE/>
              <w:autoSpaceDN/>
              <w:adjustRightInd/>
              <w:jc w:val="right"/>
              <w:textAlignment w:val="auto"/>
              <w:rPr>
                <w:rFonts w:ascii="Times New Roman" w:hAnsi="Times New Roman"/>
                <w:sz w:val="20"/>
                <w:lang w:val="en-GB"/>
              </w:rPr>
            </w:pPr>
            <w:r w:rsidRPr="00515B59">
              <w:rPr>
                <w:rFonts w:ascii="Times New Roman" w:hAnsi="Times New Roman"/>
                <w:sz w:val="20"/>
                <w:lang w:val="en-GB"/>
              </w:rPr>
              <w:t>11.</w:t>
            </w:r>
            <w:r w:rsidR="00C04646">
              <w:rPr>
                <w:rFonts w:ascii="Times New Roman" w:hAnsi="Times New Roman"/>
                <w:sz w:val="20"/>
                <w:lang w:val="en-GB"/>
              </w:rPr>
              <w:t>6</w:t>
            </w:r>
            <w:r w:rsidRPr="00515B59">
              <w:rPr>
                <w:rFonts w:ascii="Times New Roman" w:hAnsi="Times New Roman"/>
                <w:sz w:val="20"/>
                <w:lang w:val="en-GB"/>
              </w:rPr>
              <w:t xml:space="preserve"> (18)</w:t>
            </w:r>
          </w:p>
        </w:tc>
        <w:tc>
          <w:tcPr>
            <w:tcW w:w="1525" w:type="dxa"/>
          </w:tcPr>
          <w:p w:rsidR="008E4E23" w:rsidRPr="00515B59" w:rsidRDefault="008E4E23" w:rsidP="00C04646">
            <w:pPr>
              <w:widowControl/>
              <w:overflowPunct/>
              <w:autoSpaceDE/>
              <w:autoSpaceDN/>
              <w:adjustRightInd/>
              <w:jc w:val="right"/>
              <w:textAlignment w:val="auto"/>
              <w:rPr>
                <w:rFonts w:ascii="Times New Roman" w:hAnsi="Times New Roman"/>
                <w:sz w:val="20"/>
                <w:lang w:val="en-US"/>
              </w:rPr>
            </w:pPr>
          </w:p>
        </w:tc>
      </w:tr>
      <w:tr w:rsidR="00A57316" w:rsidRPr="00495547" w:rsidTr="008C709A">
        <w:tc>
          <w:tcPr>
            <w:tcW w:w="2233" w:type="dxa"/>
            <w:vAlign w:val="center"/>
          </w:tcPr>
          <w:p w:rsidR="00A57316" w:rsidRPr="00515B59" w:rsidRDefault="00A57316" w:rsidP="008E4E23">
            <w:pPr>
              <w:widowControl/>
              <w:overflowPunct/>
              <w:autoSpaceDE/>
              <w:autoSpaceDN/>
              <w:adjustRightInd/>
              <w:textAlignment w:val="auto"/>
              <w:rPr>
                <w:rFonts w:ascii="Times New Roman" w:hAnsi="Times New Roman"/>
                <w:sz w:val="20"/>
                <w:lang w:val="en-US"/>
              </w:rPr>
            </w:pPr>
            <w:r>
              <w:rPr>
                <w:rFonts w:ascii="Times New Roman" w:hAnsi="Times New Roman"/>
                <w:sz w:val="20"/>
                <w:lang w:val="en-US"/>
              </w:rPr>
              <w:t>CL</w:t>
            </w:r>
          </w:p>
        </w:tc>
        <w:tc>
          <w:tcPr>
            <w:tcW w:w="1417" w:type="dxa"/>
          </w:tcPr>
          <w:p w:rsidR="00A57316" w:rsidRPr="00515B59" w:rsidRDefault="00A57316" w:rsidP="00A57316">
            <w:pPr>
              <w:widowControl/>
              <w:overflowPunct/>
              <w:autoSpaceDE/>
              <w:autoSpaceDN/>
              <w:adjustRightInd/>
              <w:jc w:val="right"/>
              <w:textAlignment w:val="auto"/>
              <w:rPr>
                <w:rFonts w:ascii="Times New Roman" w:hAnsi="Times New Roman"/>
                <w:sz w:val="20"/>
                <w:lang w:val="en-GB"/>
              </w:rPr>
            </w:pPr>
            <w:r>
              <w:rPr>
                <w:rFonts w:ascii="Times New Roman" w:hAnsi="Times New Roman"/>
                <w:sz w:val="20"/>
                <w:lang w:val="en-GB"/>
              </w:rPr>
              <w:t>0.</w:t>
            </w:r>
            <w:r w:rsidRPr="00515B59">
              <w:rPr>
                <w:rFonts w:ascii="Times New Roman" w:hAnsi="Times New Roman"/>
                <w:sz w:val="20"/>
                <w:lang w:val="en-GB"/>
              </w:rPr>
              <w:t>15 (</w:t>
            </w:r>
            <w:r>
              <w:rPr>
                <w:rFonts w:ascii="Times New Roman" w:hAnsi="Times New Roman"/>
                <w:sz w:val="20"/>
                <w:lang w:val="en-GB"/>
              </w:rPr>
              <w:t>12</w:t>
            </w:r>
            <w:r w:rsidRPr="00515B59">
              <w:rPr>
                <w:rFonts w:ascii="Times New Roman" w:hAnsi="Times New Roman"/>
                <w:sz w:val="20"/>
                <w:lang w:val="en-GB"/>
              </w:rPr>
              <w:t>)</w:t>
            </w:r>
          </w:p>
        </w:tc>
        <w:tc>
          <w:tcPr>
            <w:tcW w:w="1251" w:type="dxa"/>
          </w:tcPr>
          <w:p w:rsidR="00A57316" w:rsidRPr="00515B59" w:rsidRDefault="001F7847" w:rsidP="001F7847">
            <w:pPr>
              <w:widowControl/>
              <w:overflowPunct/>
              <w:autoSpaceDE/>
              <w:autoSpaceDN/>
              <w:adjustRightInd/>
              <w:jc w:val="center"/>
              <w:textAlignment w:val="auto"/>
              <w:rPr>
                <w:rFonts w:ascii="Times New Roman" w:hAnsi="Times New Roman"/>
                <w:sz w:val="20"/>
                <w:lang w:val="en-GB"/>
              </w:rPr>
            </w:pPr>
            <w:r>
              <w:rPr>
                <w:rFonts w:ascii="Times New Roman" w:hAnsi="Times New Roman"/>
                <w:sz w:val="20"/>
                <w:lang w:val="en-GB"/>
              </w:rPr>
              <w:t>-</w:t>
            </w:r>
          </w:p>
        </w:tc>
        <w:tc>
          <w:tcPr>
            <w:tcW w:w="1411" w:type="dxa"/>
          </w:tcPr>
          <w:p w:rsidR="00A57316" w:rsidRPr="00515B59" w:rsidRDefault="001F7847" w:rsidP="001F7847">
            <w:pPr>
              <w:widowControl/>
              <w:overflowPunct/>
              <w:autoSpaceDE/>
              <w:autoSpaceDN/>
              <w:adjustRightInd/>
              <w:jc w:val="center"/>
              <w:textAlignment w:val="auto"/>
              <w:rPr>
                <w:rFonts w:ascii="Times New Roman" w:hAnsi="Times New Roman"/>
                <w:sz w:val="20"/>
                <w:lang w:val="en-GB"/>
              </w:rPr>
            </w:pPr>
            <w:r>
              <w:rPr>
                <w:rFonts w:ascii="Times New Roman" w:hAnsi="Times New Roman"/>
                <w:sz w:val="20"/>
                <w:lang w:val="en-GB"/>
              </w:rPr>
              <w:t>-</w:t>
            </w:r>
          </w:p>
        </w:tc>
        <w:tc>
          <w:tcPr>
            <w:tcW w:w="1165" w:type="dxa"/>
          </w:tcPr>
          <w:p w:rsidR="00A57316" w:rsidRPr="00515B59" w:rsidRDefault="001F7847" w:rsidP="001F7847">
            <w:pPr>
              <w:widowControl/>
              <w:overflowPunct/>
              <w:autoSpaceDE/>
              <w:autoSpaceDN/>
              <w:adjustRightInd/>
              <w:jc w:val="center"/>
              <w:textAlignment w:val="auto"/>
              <w:rPr>
                <w:rFonts w:ascii="Times New Roman" w:hAnsi="Times New Roman"/>
                <w:sz w:val="20"/>
                <w:lang w:val="en-GB"/>
              </w:rPr>
            </w:pPr>
            <w:r>
              <w:rPr>
                <w:rFonts w:ascii="Times New Roman" w:hAnsi="Times New Roman"/>
                <w:sz w:val="20"/>
                <w:lang w:val="en-GB"/>
              </w:rPr>
              <w:t>-</w:t>
            </w:r>
          </w:p>
        </w:tc>
        <w:tc>
          <w:tcPr>
            <w:tcW w:w="1525" w:type="dxa"/>
          </w:tcPr>
          <w:p w:rsidR="00A57316" w:rsidRPr="00515B59" w:rsidRDefault="00A57316" w:rsidP="00A57316">
            <w:pPr>
              <w:widowControl/>
              <w:overflowPunct/>
              <w:autoSpaceDE/>
              <w:autoSpaceDN/>
              <w:adjustRightInd/>
              <w:jc w:val="right"/>
              <w:textAlignment w:val="auto"/>
              <w:rPr>
                <w:rFonts w:ascii="Times New Roman" w:hAnsi="Times New Roman"/>
                <w:sz w:val="20"/>
                <w:lang w:val="en-US"/>
              </w:rPr>
            </w:pPr>
          </w:p>
        </w:tc>
      </w:tr>
      <w:tr w:rsidR="00A57316" w:rsidRPr="00495547" w:rsidTr="008C709A">
        <w:tc>
          <w:tcPr>
            <w:tcW w:w="2233" w:type="dxa"/>
            <w:tcBorders>
              <w:bottom w:val="single" w:sz="4" w:space="0" w:color="auto"/>
            </w:tcBorders>
            <w:vAlign w:val="center"/>
          </w:tcPr>
          <w:p w:rsidR="00A57316" w:rsidRPr="00515B59" w:rsidRDefault="00A57316" w:rsidP="008E4E23">
            <w:pPr>
              <w:widowControl/>
              <w:overflowPunct/>
              <w:autoSpaceDE/>
              <w:autoSpaceDN/>
              <w:adjustRightInd/>
              <w:textAlignment w:val="auto"/>
              <w:rPr>
                <w:rFonts w:ascii="Times New Roman" w:hAnsi="Times New Roman"/>
                <w:sz w:val="20"/>
                <w:lang w:val="en-US"/>
              </w:rPr>
            </w:pPr>
            <w:r>
              <w:rPr>
                <w:rFonts w:ascii="Times New Roman" w:hAnsi="Times New Roman"/>
                <w:sz w:val="20"/>
                <w:lang w:val="en-US"/>
              </w:rPr>
              <w:t>Vss</w:t>
            </w:r>
          </w:p>
        </w:tc>
        <w:tc>
          <w:tcPr>
            <w:tcW w:w="1417" w:type="dxa"/>
            <w:tcBorders>
              <w:bottom w:val="single" w:sz="4" w:space="0" w:color="auto"/>
            </w:tcBorders>
          </w:tcPr>
          <w:p w:rsidR="00A57316" w:rsidRPr="00515B59" w:rsidRDefault="00A57316" w:rsidP="00A57316">
            <w:pPr>
              <w:widowControl/>
              <w:overflowPunct/>
              <w:autoSpaceDE/>
              <w:autoSpaceDN/>
              <w:adjustRightInd/>
              <w:jc w:val="right"/>
              <w:textAlignment w:val="auto"/>
              <w:rPr>
                <w:rFonts w:ascii="Times New Roman" w:hAnsi="Times New Roman"/>
                <w:sz w:val="20"/>
                <w:lang w:val="en-GB"/>
              </w:rPr>
            </w:pPr>
            <w:r>
              <w:rPr>
                <w:rFonts w:ascii="Times New Roman" w:hAnsi="Times New Roman"/>
                <w:sz w:val="20"/>
                <w:lang w:val="en-GB"/>
              </w:rPr>
              <w:t>85.7</w:t>
            </w:r>
            <w:r w:rsidRPr="00515B59">
              <w:rPr>
                <w:rFonts w:ascii="Times New Roman" w:hAnsi="Times New Roman"/>
                <w:sz w:val="20"/>
                <w:lang w:val="en-GB"/>
              </w:rPr>
              <w:t xml:space="preserve"> (34)</w:t>
            </w:r>
          </w:p>
        </w:tc>
        <w:tc>
          <w:tcPr>
            <w:tcW w:w="1251" w:type="dxa"/>
            <w:tcBorders>
              <w:bottom w:val="single" w:sz="4" w:space="0" w:color="auto"/>
            </w:tcBorders>
          </w:tcPr>
          <w:p w:rsidR="00A57316" w:rsidRPr="00515B59" w:rsidRDefault="001F7847" w:rsidP="001F7847">
            <w:pPr>
              <w:widowControl/>
              <w:overflowPunct/>
              <w:autoSpaceDE/>
              <w:autoSpaceDN/>
              <w:adjustRightInd/>
              <w:jc w:val="center"/>
              <w:textAlignment w:val="auto"/>
              <w:rPr>
                <w:rFonts w:ascii="Times New Roman" w:hAnsi="Times New Roman"/>
                <w:sz w:val="20"/>
                <w:lang w:val="en-GB"/>
              </w:rPr>
            </w:pPr>
            <w:r>
              <w:rPr>
                <w:rFonts w:ascii="Times New Roman" w:hAnsi="Times New Roman"/>
                <w:sz w:val="20"/>
                <w:lang w:val="en-GB"/>
              </w:rPr>
              <w:t>-</w:t>
            </w:r>
          </w:p>
        </w:tc>
        <w:tc>
          <w:tcPr>
            <w:tcW w:w="1411" w:type="dxa"/>
            <w:tcBorders>
              <w:bottom w:val="single" w:sz="4" w:space="0" w:color="auto"/>
            </w:tcBorders>
          </w:tcPr>
          <w:p w:rsidR="00A57316" w:rsidRPr="00515B59" w:rsidRDefault="001F7847" w:rsidP="001F7847">
            <w:pPr>
              <w:widowControl/>
              <w:overflowPunct/>
              <w:autoSpaceDE/>
              <w:autoSpaceDN/>
              <w:adjustRightInd/>
              <w:jc w:val="center"/>
              <w:textAlignment w:val="auto"/>
              <w:rPr>
                <w:rFonts w:ascii="Times New Roman" w:hAnsi="Times New Roman"/>
                <w:sz w:val="20"/>
                <w:lang w:val="en-GB"/>
              </w:rPr>
            </w:pPr>
            <w:r>
              <w:rPr>
                <w:rFonts w:ascii="Times New Roman" w:hAnsi="Times New Roman"/>
                <w:sz w:val="20"/>
                <w:lang w:val="en-GB"/>
              </w:rPr>
              <w:t>-</w:t>
            </w:r>
          </w:p>
        </w:tc>
        <w:tc>
          <w:tcPr>
            <w:tcW w:w="1165" w:type="dxa"/>
            <w:tcBorders>
              <w:bottom w:val="single" w:sz="4" w:space="0" w:color="auto"/>
            </w:tcBorders>
          </w:tcPr>
          <w:p w:rsidR="00A57316" w:rsidRPr="00515B59" w:rsidRDefault="001F7847" w:rsidP="001F7847">
            <w:pPr>
              <w:widowControl/>
              <w:overflowPunct/>
              <w:autoSpaceDE/>
              <w:autoSpaceDN/>
              <w:adjustRightInd/>
              <w:jc w:val="center"/>
              <w:textAlignment w:val="auto"/>
              <w:rPr>
                <w:rFonts w:ascii="Times New Roman" w:hAnsi="Times New Roman"/>
                <w:sz w:val="20"/>
                <w:lang w:val="en-GB"/>
              </w:rPr>
            </w:pPr>
            <w:r>
              <w:rPr>
                <w:rFonts w:ascii="Times New Roman" w:hAnsi="Times New Roman"/>
                <w:sz w:val="20"/>
                <w:lang w:val="en-GB"/>
              </w:rPr>
              <w:t>-</w:t>
            </w:r>
          </w:p>
        </w:tc>
        <w:tc>
          <w:tcPr>
            <w:tcW w:w="1525" w:type="dxa"/>
            <w:tcBorders>
              <w:bottom w:val="single" w:sz="4" w:space="0" w:color="auto"/>
            </w:tcBorders>
          </w:tcPr>
          <w:p w:rsidR="00A57316" w:rsidRPr="00515B59" w:rsidRDefault="00A57316" w:rsidP="00A57316">
            <w:pPr>
              <w:widowControl/>
              <w:overflowPunct/>
              <w:autoSpaceDE/>
              <w:autoSpaceDN/>
              <w:adjustRightInd/>
              <w:jc w:val="right"/>
              <w:textAlignment w:val="auto"/>
              <w:rPr>
                <w:rFonts w:ascii="Times New Roman" w:hAnsi="Times New Roman"/>
                <w:sz w:val="20"/>
                <w:lang w:val="en-US"/>
              </w:rPr>
            </w:pPr>
          </w:p>
        </w:tc>
      </w:tr>
    </w:tbl>
    <w:p w:rsidR="008E4E23" w:rsidRPr="00A57316" w:rsidRDefault="008E4E23" w:rsidP="008E4E23">
      <w:pPr>
        <w:jc w:val="both"/>
        <w:rPr>
          <w:rFonts w:ascii="Times New Roman" w:hAnsi="Times New Roman"/>
          <w:spacing w:val="-2"/>
          <w:sz w:val="18"/>
          <w:szCs w:val="18"/>
        </w:rPr>
      </w:pPr>
      <w:r w:rsidRPr="00A57316">
        <w:rPr>
          <w:rFonts w:ascii="Times New Roman" w:hAnsi="Times New Roman"/>
          <w:spacing w:val="-2"/>
          <w:sz w:val="18"/>
          <w:szCs w:val="18"/>
        </w:rPr>
        <w:t>The table presents geometrical means (CV %).</w:t>
      </w:r>
    </w:p>
    <w:p w:rsidR="008E4E23" w:rsidRPr="00A71442" w:rsidRDefault="00A71442" w:rsidP="008E4E23">
      <w:pPr>
        <w:jc w:val="both"/>
        <w:rPr>
          <w:rFonts w:ascii="Times New Roman" w:hAnsi="Times New Roman"/>
          <w:spacing w:val="-2"/>
          <w:sz w:val="18"/>
          <w:szCs w:val="18"/>
        </w:rPr>
      </w:pPr>
      <w:r w:rsidRPr="00A57316">
        <w:rPr>
          <w:rFonts w:ascii="Times New Roman" w:hAnsi="Times New Roman"/>
          <w:spacing w:val="-2"/>
          <w:sz w:val="18"/>
          <w:szCs w:val="18"/>
        </w:rPr>
        <w:t xml:space="preserve">*For </w:t>
      </w:r>
      <w:r w:rsidR="00555D64">
        <w:rPr>
          <w:rFonts w:ascii="Times New Roman" w:hAnsi="Times New Roman"/>
          <w:spacing w:val="-2"/>
          <w:sz w:val="18"/>
          <w:szCs w:val="18"/>
        </w:rPr>
        <w:t>F13CD-3760, AUC</w:t>
      </w:r>
      <w:r w:rsidR="00555D64" w:rsidRPr="00CA601E">
        <w:rPr>
          <w:rFonts w:ascii="Times New Roman" w:hAnsi="Times New Roman"/>
          <w:spacing w:val="-2"/>
          <w:sz w:val="18"/>
          <w:szCs w:val="18"/>
          <w:vertAlign w:val="subscript"/>
        </w:rPr>
        <w:t>0-30</w:t>
      </w:r>
      <w:r w:rsidR="008E4E23" w:rsidRPr="00CA601E">
        <w:rPr>
          <w:rFonts w:ascii="Times New Roman" w:hAnsi="Times New Roman"/>
          <w:spacing w:val="-2"/>
          <w:sz w:val="18"/>
          <w:szCs w:val="18"/>
          <w:vertAlign w:val="subscript"/>
        </w:rPr>
        <w:t xml:space="preserve"> </w:t>
      </w:r>
      <w:r w:rsidR="008E4E23" w:rsidRPr="00A71442">
        <w:rPr>
          <w:rFonts w:ascii="Times New Roman" w:hAnsi="Times New Roman"/>
          <w:spacing w:val="-2"/>
          <w:sz w:val="18"/>
          <w:szCs w:val="18"/>
        </w:rPr>
        <w:t>is presented.</w:t>
      </w:r>
    </w:p>
    <w:p w:rsidR="008E4E23" w:rsidRPr="00A71442" w:rsidRDefault="00A71442" w:rsidP="008E4E23">
      <w:pPr>
        <w:jc w:val="both"/>
        <w:rPr>
          <w:rFonts w:ascii="Times New Roman" w:hAnsi="Times New Roman"/>
          <w:spacing w:val="-2"/>
          <w:sz w:val="18"/>
          <w:szCs w:val="18"/>
        </w:rPr>
      </w:pPr>
      <w:r w:rsidRPr="00A71442">
        <w:rPr>
          <w:rFonts w:ascii="Times New Roman" w:hAnsi="Times New Roman"/>
          <w:spacing w:val="-2"/>
          <w:sz w:val="18"/>
          <w:szCs w:val="18"/>
        </w:rPr>
        <w:t xml:space="preserve">†For </w:t>
      </w:r>
      <w:r>
        <w:rPr>
          <w:rFonts w:ascii="Times New Roman" w:hAnsi="Times New Roman"/>
          <w:spacing w:val="-2"/>
          <w:sz w:val="18"/>
          <w:szCs w:val="18"/>
        </w:rPr>
        <w:t>F13CD-1725</w:t>
      </w:r>
      <w:r w:rsidR="008E4E23" w:rsidRPr="00A71442">
        <w:rPr>
          <w:rFonts w:ascii="Times New Roman" w:hAnsi="Times New Roman"/>
          <w:spacing w:val="-2"/>
          <w:sz w:val="18"/>
          <w:szCs w:val="18"/>
        </w:rPr>
        <w:t xml:space="preserve">, PK calculations were based on a more sparsely sampled curve (three time points </w:t>
      </w:r>
      <w:r>
        <w:rPr>
          <w:rFonts w:ascii="Times New Roman" w:hAnsi="Times New Roman"/>
          <w:spacing w:val="-2"/>
          <w:sz w:val="18"/>
          <w:szCs w:val="18"/>
        </w:rPr>
        <w:t>vs. six time points for F13CD-3760</w:t>
      </w:r>
      <w:r w:rsidR="001F7847">
        <w:rPr>
          <w:rFonts w:ascii="Times New Roman" w:hAnsi="Times New Roman"/>
          <w:spacing w:val="-2"/>
          <w:sz w:val="18"/>
          <w:szCs w:val="18"/>
        </w:rPr>
        <w:t xml:space="preserve"> and F13CD-3720</w:t>
      </w:r>
      <w:r w:rsidR="008E4E23" w:rsidRPr="00A71442">
        <w:rPr>
          <w:rFonts w:ascii="Times New Roman" w:hAnsi="Times New Roman"/>
          <w:spacing w:val="-2"/>
          <w:sz w:val="18"/>
          <w:szCs w:val="18"/>
        </w:rPr>
        <w:t>).</w:t>
      </w:r>
    </w:p>
    <w:p w:rsidR="008E4E23" w:rsidRDefault="008E4E23" w:rsidP="008E4E23">
      <w:pPr>
        <w:jc w:val="both"/>
        <w:rPr>
          <w:rFonts w:ascii="Times New Roman" w:hAnsi="Times New Roman"/>
          <w:spacing w:val="-2"/>
          <w:sz w:val="18"/>
          <w:szCs w:val="18"/>
        </w:rPr>
      </w:pPr>
      <w:r w:rsidRPr="002D3630">
        <w:rPr>
          <w:rFonts w:ascii="Times New Roman" w:hAnsi="Times New Roman"/>
          <w:spacing w:val="-2"/>
          <w:sz w:val="18"/>
          <w:szCs w:val="18"/>
        </w:rPr>
        <w:t>AUC, area under the concentration vs. time curve; Cmax, maximal measured FXIII activity; CV, coefficient of variance; T1/2, ter</w:t>
      </w:r>
      <w:r w:rsidRPr="00C04646">
        <w:rPr>
          <w:rFonts w:ascii="Times New Roman" w:hAnsi="Times New Roman"/>
          <w:spacing w:val="-2"/>
          <w:sz w:val="18"/>
          <w:szCs w:val="18"/>
        </w:rPr>
        <w:t>minal half-life.</w:t>
      </w:r>
    </w:p>
    <w:p w:rsidR="009E638B" w:rsidRPr="00C04646" w:rsidRDefault="009E638B" w:rsidP="008E4E23">
      <w:pPr>
        <w:jc w:val="both"/>
        <w:rPr>
          <w:rFonts w:ascii="Times New Roman" w:hAnsi="Times New Roman"/>
          <w:spacing w:val="-2"/>
          <w:sz w:val="18"/>
          <w:szCs w:val="18"/>
        </w:rPr>
      </w:pPr>
      <w:r>
        <w:rPr>
          <w:rFonts w:ascii="Times New Roman" w:hAnsi="Times New Roman"/>
          <w:spacing w:val="-2"/>
          <w:sz w:val="18"/>
          <w:szCs w:val="18"/>
        </w:rPr>
        <w:t xml:space="preserve">**Only 6 </w:t>
      </w:r>
      <w:proofErr w:type="gramStart"/>
      <w:r>
        <w:rPr>
          <w:rFonts w:ascii="Times New Roman" w:hAnsi="Times New Roman"/>
          <w:spacing w:val="-2"/>
          <w:sz w:val="18"/>
          <w:szCs w:val="18"/>
        </w:rPr>
        <w:t>months</w:t>
      </w:r>
      <w:proofErr w:type="gramEnd"/>
      <w:r>
        <w:rPr>
          <w:rFonts w:ascii="Times New Roman" w:hAnsi="Times New Roman"/>
          <w:spacing w:val="-2"/>
          <w:sz w:val="18"/>
          <w:szCs w:val="18"/>
        </w:rPr>
        <w:t xml:space="preserve"> data until Feb. 11. 2011</w:t>
      </w:r>
    </w:p>
    <w:p w:rsidR="002B34E3" w:rsidRDefault="002B34E3" w:rsidP="00D93251">
      <w:pPr>
        <w:pStyle w:val="Heading1"/>
        <w:spacing w:before="360"/>
        <w:rPr>
          <w:bCs/>
        </w:rPr>
      </w:pPr>
      <w:r w:rsidRPr="00581653">
        <w:rPr>
          <w:bCs/>
        </w:rPr>
        <w:lastRenderedPageBreak/>
        <w:t>CLINICAL TRIALS</w:t>
      </w:r>
    </w:p>
    <w:p w:rsidR="00A65927" w:rsidRDefault="00CF1867" w:rsidP="005D7B4E">
      <w:pPr>
        <w:jc w:val="both"/>
        <w:rPr>
          <w:lang w:val="en-GB"/>
        </w:rPr>
      </w:pPr>
      <w:r w:rsidRPr="00E07EB4">
        <w:rPr>
          <w:lang w:val="en-GB"/>
        </w:rPr>
        <w:t xml:space="preserve">A pivotal prospective, open-label, single-arm phase 3 trial (F13CD-1725) including 41 patients with FXIII A-subunit deficiency was conducted to investigate the haemostatic efficacy of </w:t>
      </w:r>
      <w:r>
        <w:rPr>
          <w:lang w:val="en-GB"/>
        </w:rPr>
        <w:t>NovoThirteen</w:t>
      </w:r>
      <w:r w:rsidRPr="00E07EB4">
        <w:rPr>
          <w:lang w:val="en-GB"/>
        </w:rPr>
        <w:t xml:space="preserve"> in patients with congenital FXIII deficiency</w:t>
      </w:r>
      <w:r w:rsidR="00576CDB">
        <w:rPr>
          <w:lang w:val="en-GB"/>
        </w:rPr>
        <w:t>,</w:t>
      </w:r>
      <w:r w:rsidRPr="00E07EB4">
        <w:rPr>
          <w:lang w:val="en-GB"/>
        </w:rPr>
        <w:t xml:space="preserve"> as reflected by the rate of bleeding episodes requiring treatment with a FXIII-containing product. The dosing scheme used was 35 IU/kg/month (every 28 days +/- 2 days)</w:t>
      </w:r>
      <w:r w:rsidR="00BC4CEA">
        <w:rPr>
          <w:lang w:val="en-GB"/>
        </w:rPr>
        <w:t xml:space="preserve"> administered as an intravenous bolus injection</w:t>
      </w:r>
      <w:r w:rsidRPr="00E07EB4">
        <w:rPr>
          <w:lang w:val="en-GB"/>
        </w:rPr>
        <w:t>.</w:t>
      </w:r>
    </w:p>
    <w:p w:rsidR="00A65927" w:rsidRDefault="00A65927" w:rsidP="005D7B4E">
      <w:pPr>
        <w:jc w:val="both"/>
        <w:rPr>
          <w:lang w:val="en-GB"/>
        </w:rPr>
      </w:pPr>
    </w:p>
    <w:p w:rsidR="00B6652D" w:rsidRDefault="00CF1867" w:rsidP="005D7B4E">
      <w:pPr>
        <w:jc w:val="both"/>
        <w:rPr>
          <w:lang w:val="en-GB"/>
        </w:rPr>
      </w:pPr>
      <w:r w:rsidRPr="00E07EB4">
        <w:rPr>
          <w:lang w:val="en-GB"/>
        </w:rPr>
        <w:t xml:space="preserve">Five bleeding episodes requiring treatment with a FXIII-containing product have been observed in four patients during treatment with </w:t>
      </w:r>
      <w:r>
        <w:rPr>
          <w:lang w:val="en-GB"/>
        </w:rPr>
        <w:t>NovoThirteen</w:t>
      </w:r>
      <w:r w:rsidRPr="00E07EB4">
        <w:rPr>
          <w:lang w:val="en-GB"/>
        </w:rPr>
        <w:t xml:space="preserve"> in the trial.</w:t>
      </w:r>
      <w:r>
        <w:rPr>
          <w:lang w:val="en-GB"/>
        </w:rPr>
        <w:t xml:space="preserve"> </w:t>
      </w:r>
    </w:p>
    <w:p w:rsidR="00B6652D" w:rsidRDefault="00B6652D" w:rsidP="005D7B4E">
      <w:pPr>
        <w:jc w:val="both"/>
        <w:rPr>
          <w:lang w:val="en-GB"/>
        </w:rPr>
      </w:pPr>
    </w:p>
    <w:p w:rsidR="00020AB5" w:rsidRDefault="00020AB5" w:rsidP="005D7B4E">
      <w:pPr>
        <w:jc w:val="both"/>
        <w:rPr>
          <w:lang w:val="en-GB"/>
        </w:rPr>
      </w:pPr>
      <w:r w:rsidRPr="00020AB5">
        <w:rPr>
          <w:lang w:val="en-GB"/>
        </w:rPr>
        <w:t>The mean rate of treatment requiring bleeds was determined to</w:t>
      </w:r>
      <w:r w:rsidR="00576CDB">
        <w:rPr>
          <w:lang w:val="en-GB"/>
        </w:rPr>
        <w:t xml:space="preserve"> be</w:t>
      </w:r>
      <w:r w:rsidRPr="00020AB5">
        <w:rPr>
          <w:lang w:val="en-GB"/>
        </w:rPr>
        <w:t xml:space="preserve"> 0.138 per subject year, when calculated for all 41 patients. In the primary endpoint analysis, the age-adjusted rate (number per subject year) of treatment-requiring bleeds during the rFXIII treatment period was 0.048/year (95% CI: 0.009 - 0.250; model-based estimate corresponding to the mean age of 26.4 years).</w:t>
      </w:r>
    </w:p>
    <w:p w:rsidR="00020AB5" w:rsidRPr="00020AB5" w:rsidRDefault="00020AB5" w:rsidP="005D7B4E">
      <w:pPr>
        <w:jc w:val="both"/>
        <w:rPr>
          <w:lang w:val="en-GB"/>
        </w:rPr>
      </w:pPr>
    </w:p>
    <w:p w:rsidR="00576CDB" w:rsidRDefault="00020AB5" w:rsidP="005D7B4E">
      <w:pPr>
        <w:jc w:val="both"/>
        <w:rPr>
          <w:lang w:val="en-GB"/>
        </w:rPr>
      </w:pPr>
      <w:r w:rsidRPr="00020AB5">
        <w:rPr>
          <w:lang w:val="en-GB"/>
        </w:rPr>
        <w:t>Comparing with retrospectively collected data from patients with congenital FXIII deficiency, the bleeding frequency in the F13CD-1725 trial is numerically lower than the bleeding frequency for patients on regular replacement therapy</w:t>
      </w:r>
      <w:r w:rsidR="00BC4CEA">
        <w:rPr>
          <w:lang w:val="en-GB"/>
        </w:rPr>
        <w:t xml:space="preserve"> (n=60)</w:t>
      </w:r>
      <w:r w:rsidRPr="00020AB5">
        <w:rPr>
          <w:lang w:val="en-GB"/>
        </w:rPr>
        <w:t xml:space="preserve"> (on average approximately 0.3 treatment-requiring bleeds/year) and significantly lower than the rate of 2.91 treatment-requiring bleeds/year in patients receiving on-demand treatment</w:t>
      </w:r>
      <w:r w:rsidR="00BC4CEA">
        <w:rPr>
          <w:lang w:val="en-GB"/>
        </w:rPr>
        <w:t xml:space="preserve"> (n=16)</w:t>
      </w:r>
      <w:r w:rsidRPr="00020AB5">
        <w:rPr>
          <w:lang w:val="en-GB"/>
        </w:rPr>
        <w:t>.</w:t>
      </w:r>
    </w:p>
    <w:p w:rsidR="00F93D8B" w:rsidRDefault="00F93D8B" w:rsidP="005D7B4E">
      <w:pPr>
        <w:jc w:val="both"/>
        <w:rPr>
          <w:lang w:val="en-GB"/>
        </w:rPr>
      </w:pPr>
    </w:p>
    <w:p w:rsidR="00F93D8B" w:rsidRDefault="00F93D8B" w:rsidP="005D7B4E">
      <w:pPr>
        <w:jc w:val="both"/>
        <w:rPr>
          <w:lang w:val="en-GB"/>
        </w:rPr>
      </w:pPr>
      <w:r>
        <w:rPr>
          <w:lang w:val="en-GB"/>
        </w:rPr>
        <w:t>Paediatric population</w:t>
      </w:r>
    </w:p>
    <w:p w:rsidR="00CE3A05" w:rsidRDefault="00F93D8B" w:rsidP="005D7B4E">
      <w:pPr>
        <w:jc w:val="both"/>
        <w:rPr>
          <w:lang w:val="en-GB"/>
        </w:rPr>
      </w:pPr>
      <w:r w:rsidRPr="00F93D8B">
        <w:rPr>
          <w:lang w:val="en-GB"/>
        </w:rPr>
        <w:t>Six children (</w:t>
      </w:r>
      <w:r w:rsidR="00314513">
        <w:rPr>
          <w:lang w:val="en-GB"/>
        </w:rPr>
        <w:t>1-4 years of age</w:t>
      </w:r>
      <w:r w:rsidR="00946F25">
        <w:rPr>
          <w:lang w:val="en-GB"/>
        </w:rPr>
        <w:t>), 9</w:t>
      </w:r>
      <w:r w:rsidRPr="00F93D8B">
        <w:rPr>
          <w:lang w:val="en-GB"/>
        </w:rPr>
        <w:t xml:space="preserve"> childre</w:t>
      </w:r>
      <w:r w:rsidR="00946F25">
        <w:rPr>
          <w:lang w:val="en-GB"/>
        </w:rPr>
        <w:t>n (6-12 years of age) and 6</w:t>
      </w:r>
      <w:r w:rsidRPr="00F93D8B">
        <w:rPr>
          <w:lang w:val="en-GB"/>
        </w:rPr>
        <w:t xml:space="preserve"> adolescents (13-17 years of age) have been treated with</w:t>
      </w:r>
      <w:r w:rsidR="00946F25">
        <w:rPr>
          <w:lang w:val="en-GB"/>
        </w:rPr>
        <w:t xml:space="preserve"> NovoThirteen for a total of 277</w:t>
      </w:r>
      <w:r w:rsidRPr="00F93D8B">
        <w:rPr>
          <w:lang w:val="en-GB"/>
        </w:rPr>
        <w:t xml:space="preserve"> exposures. Analyses of data from p</w:t>
      </w:r>
      <w:r>
        <w:rPr>
          <w:lang w:val="en-GB"/>
        </w:rPr>
        <w:t>a</w:t>
      </w:r>
      <w:r w:rsidRPr="00F93D8B">
        <w:rPr>
          <w:lang w:val="en-GB"/>
        </w:rPr>
        <w:t>ediatric patients included in clinical trials have not identified differences in treatment response according to age.</w:t>
      </w:r>
    </w:p>
    <w:p w:rsidR="00CE3A05" w:rsidRDefault="00CE3A05" w:rsidP="005D7B4E">
      <w:pPr>
        <w:jc w:val="both"/>
        <w:rPr>
          <w:lang w:val="en-GB"/>
        </w:rPr>
      </w:pPr>
    </w:p>
    <w:p w:rsidR="002B34E3" w:rsidRPr="00606F12" w:rsidRDefault="002B34E3" w:rsidP="00CE3A05">
      <w:pPr>
        <w:jc w:val="both"/>
        <w:rPr>
          <w:b/>
          <w:vertAlign w:val="superscript"/>
        </w:rPr>
      </w:pPr>
      <w:r w:rsidRPr="00606F12">
        <w:rPr>
          <w:b/>
        </w:rPr>
        <w:t>INDICATION</w:t>
      </w:r>
      <w:r w:rsidR="00425599" w:rsidRPr="00606F12">
        <w:rPr>
          <w:b/>
        </w:rPr>
        <w:t>S</w:t>
      </w:r>
    </w:p>
    <w:p w:rsidR="008669D4" w:rsidRDefault="00CF1867" w:rsidP="008669D4">
      <w:pPr>
        <w:tabs>
          <w:tab w:val="left" w:pos="-720"/>
          <w:tab w:val="num" w:pos="1440"/>
        </w:tabs>
        <w:suppressAutoHyphens/>
        <w:jc w:val="both"/>
        <w:rPr>
          <w:rFonts w:ascii="Verdana" w:hAnsi="Verdana"/>
          <w:sz w:val="20"/>
        </w:rPr>
      </w:pPr>
      <w:r w:rsidRPr="008669D4">
        <w:rPr>
          <w:rFonts w:ascii="Times New Roman" w:hAnsi="Times New Roman"/>
          <w:spacing w:val="-2"/>
        </w:rPr>
        <w:t xml:space="preserve">NovoThirteen is indicated for </w:t>
      </w:r>
      <w:r w:rsidR="00182477">
        <w:rPr>
          <w:rFonts w:ascii="Times New Roman" w:hAnsi="Times New Roman"/>
          <w:spacing w:val="-2"/>
        </w:rPr>
        <w:t xml:space="preserve">routine </w:t>
      </w:r>
      <w:r w:rsidR="003F007B">
        <w:rPr>
          <w:rFonts w:ascii="Times New Roman" w:hAnsi="Times New Roman"/>
          <w:spacing w:val="-2"/>
        </w:rPr>
        <w:t>prophyla</w:t>
      </w:r>
      <w:r w:rsidR="00182477">
        <w:rPr>
          <w:rFonts w:ascii="Times New Roman" w:hAnsi="Times New Roman"/>
          <w:spacing w:val="-2"/>
        </w:rPr>
        <w:t>xis</w:t>
      </w:r>
      <w:r w:rsidR="003F007B">
        <w:rPr>
          <w:rFonts w:ascii="Times New Roman" w:hAnsi="Times New Roman"/>
          <w:spacing w:val="-2"/>
        </w:rPr>
        <w:t xml:space="preserve"> </w:t>
      </w:r>
      <w:r w:rsidR="00F449B6">
        <w:rPr>
          <w:rFonts w:ascii="Times New Roman" w:hAnsi="Times New Roman"/>
          <w:spacing w:val="-2"/>
        </w:rPr>
        <w:t xml:space="preserve">of </w:t>
      </w:r>
      <w:r w:rsidR="008669D4" w:rsidRPr="008669D4">
        <w:rPr>
          <w:rFonts w:ascii="Times New Roman" w:hAnsi="Times New Roman"/>
          <w:spacing w:val="-2"/>
        </w:rPr>
        <w:t>bleeding in patients with congenital Factor XIII A-subunit deficiency</w:t>
      </w:r>
      <w:r w:rsidR="00020AB5">
        <w:rPr>
          <w:rFonts w:ascii="Times New Roman" w:hAnsi="Times New Roman"/>
          <w:spacing w:val="-2"/>
        </w:rPr>
        <w:t>.</w:t>
      </w:r>
      <w:r w:rsidR="008669D4" w:rsidRPr="005C37E6" w:rsidDel="005A5FEF">
        <w:rPr>
          <w:rFonts w:ascii="Verdana" w:hAnsi="Verdana"/>
          <w:sz w:val="20"/>
        </w:rPr>
        <w:t xml:space="preserve"> </w:t>
      </w:r>
    </w:p>
    <w:p w:rsidR="002B34E3" w:rsidRPr="00DC16CF" w:rsidRDefault="002B34E3" w:rsidP="0063768B">
      <w:pPr>
        <w:pStyle w:val="Heading1"/>
        <w:spacing w:before="360"/>
        <w:rPr>
          <w:bCs/>
        </w:rPr>
      </w:pPr>
      <w:r w:rsidRPr="00DC16CF">
        <w:rPr>
          <w:bCs/>
        </w:rPr>
        <w:t>CONTRAINDICATIONS</w:t>
      </w:r>
    </w:p>
    <w:p w:rsidR="00182477" w:rsidRDefault="00CF1867" w:rsidP="00DC16CF">
      <w:pPr>
        <w:pStyle w:val="Text"/>
        <w:spacing w:before="0"/>
        <w:rPr>
          <w:spacing w:val="-2"/>
        </w:rPr>
      </w:pPr>
      <w:r w:rsidRPr="00DC16CF">
        <w:t>NovoThirteen is c</w:t>
      </w:r>
      <w:r>
        <w:t xml:space="preserve">ontraindicated in patients with </w:t>
      </w:r>
      <w:r w:rsidRPr="00DC16CF">
        <w:t xml:space="preserve">a known </w:t>
      </w:r>
      <w:r w:rsidR="00C071C2" w:rsidRPr="00DC16CF">
        <w:t xml:space="preserve">hypersensitivity </w:t>
      </w:r>
      <w:r w:rsidR="00C071C2" w:rsidRPr="00DC16CF">
        <w:rPr>
          <w:spacing w:val="-2"/>
        </w:rPr>
        <w:t>to</w:t>
      </w:r>
      <w:r w:rsidR="00D6397C">
        <w:rPr>
          <w:spacing w:val="-2"/>
        </w:rPr>
        <w:t xml:space="preserve">, </w:t>
      </w:r>
      <w:r w:rsidRPr="00DC16CF">
        <w:rPr>
          <w:spacing w:val="-2"/>
        </w:rPr>
        <w:t xml:space="preserve">rFXIII or any of the </w:t>
      </w:r>
      <w:r w:rsidR="00D6397C">
        <w:rPr>
          <w:spacing w:val="-2"/>
        </w:rPr>
        <w:t>excipients</w:t>
      </w:r>
      <w:r w:rsidRPr="00DC16CF">
        <w:rPr>
          <w:spacing w:val="-2"/>
        </w:rPr>
        <w:t xml:space="preserve"> of NovoThirteen</w:t>
      </w:r>
      <w:r w:rsidR="00F9026C" w:rsidRPr="00DC16CF">
        <w:rPr>
          <w:spacing w:val="-2"/>
        </w:rPr>
        <w:t>.</w:t>
      </w:r>
      <w:r>
        <w:rPr>
          <w:spacing w:val="-2"/>
        </w:rPr>
        <w:t xml:space="preserve"> </w:t>
      </w:r>
    </w:p>
    <w:p w:rsidR="002B34E3" w:rsidRPr="00DC16CF" w:rsidRDefault="002B34E3" w:rsidP="005D7B4E">
      <w:pPr>
        <w:pStyle w:val="Heading1"/>
        <w:spacing w:before="360"/>
        <w:rPr>
          <w:bCs/>
        </w:rPr>
      </w:pPr>
      <w:r w:rsidRPr="00DC16CF">
        <w:rPr>
          <w:bCs/>
        </w:rPr>
        <w:t>PRECAUTIONS</w:t>
      </w:r>
    </w:p>
    <w:p w:rsidR="00CA68DA" w:rsidRPr="00E95B63" w:rsidRDefault="005D757D" w:rsidP="00D06BA3">
      <w:pPr>
        <w:tabs>
          <w:tab w:val="left" w:pos="-720"/>
        </w:tabs>
        <w:suppressAutoHyphens/>
        <w:jc w:val="both"/>
        <w:rPr>
          <w:rFonts w:ascii="Times New Roman" w:hAnsi="Times New Roman"/>
          <w:b/>
          <w:i/>
          <w:szCs w:val="24"/>
        </w:rPr>
      </w:pPr>
      <w:r w:rsidRPr="00E95B63">
        <w:rPr>
          <w:rFonts w:ascii="Times New Roman" w:hAnsi="Times New Roman"/>
          <w:b/>
          <w:i/>
          <w:szCs w:val="24"/>
        </w:rPr>
        <w:t>General</w:t>
      </w:r>
    </w:p>
    <w:p w:rsidR="00ED6FAC" w:rsidRDefault="00566B03" w:rsidP="00ED6FAC">
      <w:pPr>
        <w:tabs>
          <w:tab w:val="left" w:pos="-720"/>
        </w:tabs>
        <w:suppressAutoHyphens/>
        <w:jc w:val="both"/>
        <w:rPr>
          <w:rFonts w:ascii="Times New Roman" w:hAnsi="Times New Roman"/>
          <w:szCs w:val="24"/>
          <w:lang w:val="en-GB"/>
        </w:rPr>
      </w:pPr>
      <w:r w:rsidRPr="00A50B60">
        <w:rPr>
          <w:rFonts w:ascii="Times New Roman" w:hAnsi="Times New Roman"/>
          <w:szCs w:val="24"/>
          <w:lang w:val="en-GB"/>
        </w:rPr>
        <w:t>NovoThirteen should not be used for prophylactic treatment of bleeding in patients with congenital FXIII B-subunit deficiency. FXIII B-subunit deficiency is associated with a much reduced half-life of the administered pharmacologically active A-subunit. The subunit deficiency of patients sho</w:t>
      </w:r>
      <w:r>
        <w:rPr>
          <w:rFonts w:ascii="Times New Roman" w:hAnsi="Times New Roman"/>
          <w:szCs w:val="24"/>
          <w:lang w:val="en-GB"/>
        </w:rPr>
        <w:t>uld be known prior to treatment.</w:t>
      </w:r>
    </w:p>
    <w:p w:rsidR="00566B03" w:rsidRPr="00A50B60" w:rsidRDefault="00566B03" w:rsidP="00ED6FAC">
      <w:pPr>
        <w:tabs>
          <w:tab w:val="left" w:pos="-720"/>
        </w:tabs>
        <w:suppressAutoHyphens/>
        <w:jc w:val="both"/>
        <w:rPr>
          <w:rFonts w:ascii="Times New Roman" w:hAnsi="Times New Roman"/>
          <w:szCs w:val="24"/>
          <w:lang w:val="en-GB"/>
        </w:rPr>
      </w:pPr>
    </w:p>
    <w:p w:rsidR="00ED6FAC" w:rsidRDefault="00ED6FAC" w:rsidP="00ED6FAC">
      <w:pPr>
        <w:tabs>
          <w:tab w:val="left" w:pos="-720"/>
        </w:tabs>
        <w:suppressAutoHyphens/>
        <w:jc w:val="both"/>
        <w:rPr>
          <w:rFonts w:ascii="Times New Roman" w:hAnsi="Times New Roman"/>
          <w:szCs w:val="24"/>
          <w:lang w:val="en-GB"/>
        </w:rPr>
      </w:pPr>
      <w:r w:rsidRPr="00A50B60">
        <w:rPr>
          <w:rFonts w:ascii="Times New Roman" w:hAnsi="Times New Roman"/>
          <w:szCs w:val="24"/>
          <w:lang w:val="en-GB"/>
        </w:rPr>
        <w:lastRenderedPageBreak/>
        <w:t>The on-demand treatment of acute bleeds or breakthrough bleeds with NovoThirteen has not been studied in clinical trials.</w:t>
      </w:r>
    </w:p>
    <w:p w:rsidR="00ED6FAC" w:rsidRPr="00A50B60" w:rsidRDefault="00ED6FAC" w:rsidP="00ED6FAC">
      <w:pPr>
        <w:tabs>
          <w:tab w:val="left" w:pos="-720"/>
        </w:tabs>
        <w:suppressAutoHyphens/>
        <w:jc w:val="both"/>
        <w:rPr>
          <w:rFonts w:ascii="Times New Roman" w:hAnsi="Times New Roman"/>
          <w:szCs w:val="24"/>
          <w:lang w:val="en-GB"/>
        </w:rPr>
      </w:pPr>
    </w:p>
    <w:p w:rsidR="00A50B60" w:rsidRDefault="00A50B60" w:rsidP="00A50B60">
      <w:pPr>
        <w:tabs>
          <w:tab w:val="left" w:pos="-720"/>
        </w:tabs>
        <w:suppressAutoHyphens/>
        <w:jc w:val="both"/>
        <w:rPr>
          <w:rFonts w:ascii="Times New Roman" w:hAnsi="Times New Roman"/>
          <w:szCs w:val="24"/>
          <w:lang w:val="en-GB"/>
        </w:rPr>
      </w:pPr>
      <w:r w:rsidRPr="00A50B60">
        <w:rPr>
          <w:rFonts w:ascii="Times New Roman" w:hAnsi="Times New Roman"/>
          <w:szCs w:val="24"/>
          <w:lang w:val="en-GB"/>
        </w:rPr>
        <w:t xml:space="preserve">As </w:t>
      </w:r>
      <w:r w:rsidR="0082455C" w:rsidRPr="00A50B60">
        <w:rPr>
          <w:rFonts w:ascii="Times New Roman" w:hAnsi="Times New Roman"/>
          <w:szCs w:val="24"/>
          <w:lang w:val="en-GB"/>
        </w:rPr>
        <w:t>NovoThirteen</w:t>
      </w:r>
      <w:r w:rsidRPr="00A50B60">
        <w:rPr>
          <w:rFonts w:ascii="Times New Roman" w:hAnsi="Times New Roman"/>
          <w:szCs w:val="24"/>
          <w:lang w:val="en-GB"/>
        </w:rPr>
        <w:t xml:space="preserve"> </w:t>
      </w:r>
      <w:r w:rsidR="0082455C">
        <w:rPr>
          <w:rFonts w:ascii="Times New Roman" w:hAnsi="Times New Roman"/>
          <w:szCs w:val="24"/>
          <w:lang w:val="en-GB"/>
        </w:rPr>
        <w:t xml:space="preserve">contains </w:t>
      </w:r>
      <w:r w:rsidRPr="00A50B60">
        <w:rPr>
          <w:rFonts w:ascii="Times New Roman" w:hAnsi="Times New Roman"/>
          <w:szCs w:val="24"/>
          <w:lang w:val="en-GB"/>
        </w:rPr>
        <w:t xml:space="preserve">a recombinant protein it may cause allergic reactions including anaphylactic reaction. </w:t>
      </w:r>
      <w:r w:rsidR="00F400AF" w:rsidRPr="00A50B60">
        <w:rPr>
          <w:rFonts w:ascii="Times New Roman" w:hAnsi="Times New Roman"/>
          <w:szCs w:val="24"/>
          <w:lang w:val="en-GB"/>
        </w:rPr>
        <w:t xml:space="preserve">Patients should be informed of the early signs of hypersensitivity reactions (including hives, generalised urticaria, </w:t>
      </w:r>
      <w:proofErr w:type="gramStart"/>
      <w:r w:rsidR="00F400AF" w:rsidRPr="00A50B60">
        <w:rPr>
          <w:rFonts w:ascii="Times New Roman" w:hAnsi="Times New Roman"/>
          <w:szCs w:val="24"/>
          <w:lang w:val="en-GB"/>
        </w:rPr>
        <w:t>tightness</w:t>
      </w:r>
      <w:proofErr w:type="gramEnd"/>
      <w:r w:rsidR="00F400AF" w:rsidRPr="00A50B60">
        <w:rPr>
          <w:rFonts w:ascii="Times New Roman" w:hAnsi="Times New Roman"/>
          <w:szCs w:val="24"/>
          <w:lang w:val="en-GB"/>
        </w:rPr>
        <w:t xml:space="preserve"> of the chest, wheezing, hypotension) and anaphylaxis. </w:t>
      </w:r>
      <w:r w:rsidRPr="00A50B60">
        <w:rPr>
          <w:rFonts w:ascii="Times New Roman" w:hAnsi="Times New Roman"/>
          <w:szCs w:val="24"/>
          <w:lang w:val="en-GB"/>
        </w:rPr>
        <w:t>If allergic or anaphylactic-type reactions occur, the administration should be immediately discontinued and further treatment with NovoThirteen should not be given.</w:t>
      </w:r>
    </w:p>
    <w:p w:rsidR="00271C5D" w:rsidRDefault="00271C5D" w:rsidP="00A50B60">
      <w:pPr>
        <w:tabs>
          <w:tab w:val="left" w:pos="-720"/>
        </w:tabs>
        <w:suppressAutoHyphens/>
        <w:jc w:val="both"/>
        <w:rPr>
          <w:rFonts w:ascii="Times New Roman" w:hAnsi="Times New Roman"/>
          <w:szCs w:val="24"/>
          <w:lang w:val="en-GB"/>
        </w:rPr>
      </w:pPr>
    </w:p>
    <w:p w:rsidR="00CE3A05" w:rsidRDefault="00DD57AC" w:rsidP="00A50B60">
      <w:pPr>
        <w:tabs>
          <w:tab w:val="left" w:pos="-720"/>
        </w:tabs>
        <w:suppressAutoHyphens/>
        <w:jc w:val="both"/>
        <w:rPr>
          <w:rFonts w:ascii="Times New Roman" w:hAnsi="Times New Roman"/>
          <w:szCs w:val="24"/>
          <w:lang w:val="en-GB"/>
        </w:rPr>
      </w:pPr>
      <w:r>
        <w:rPr>
          <w:rFonts w:ascii="Times New Roman" w:hAnsi="Times New Roman"/>
          <w:szCs w:val="24"/>
          <w:lang w:val="en-GB"/>
        </w:rPr>
        <w:t>R</w:t>
      </w:r>
      <w:r w:rsidR="00271C5D">
        <w:rPr>
          <w:rFonts w:ascii="Times New Roman" w:hAnsi="Times New Roman"/>
          <w:szCs w:val="24"/>
          <w:lang w:val="en-GB"/>
        </w:rPr>
        <w:t>ecombinant FXIII may contain trace amounts of yeast</w:t>
      </w:r>
      <w:r w:rsidR="00CC0BC5">
        <w:rPr>
          <w:rFonts w:ascii="Times New Roman" w:hAnsi="Times New Roman"/>
          <w:szCs w:val="24"/>
          <w:lang w:val="en-GB"/>
        </w:rPr>
        <w:t xml:space="preserve"> protein</w:t>
      </w:r>
      <w:r w:rsidR="00DC0407">
        <w:rPr>
          <w:rFonts w:ascii="Times New Roman" w:hAnsi="Times New Roman"/>
          <w:szCs w:val="24"/>
          <w:lang w:val="en-GB"/>
        </w:rPr>
        <w:t xml:space="preserve"> </w:t>
      </w:r>
      <w:r w:rsidR="00EF0BA8">
        <w:rPr>
          <w:rFonts w:ascii="Times New Roman" w:hAnsi="Times New Roman"/>
          <w:szCs w:val="24"/>
          <w:lang w:val="en-GB"/>
        </w:rPr>
        <w:t xml:space="preserve">and therefore </w:t>
      </w:r>
      <w:r w:rsidR="00DC0407">
        <w:rPr>
          <w:rFonts w:ascii="Times New Roman" w:hAnsi="Times New Roman"/>
          <w:szCs w:val="24"/>
          <w:lang w:val="en-GB"/>
        </w:rPr>
        <w:t>care should be taken when administering NovoThirteen to patients with known allergy to yeast.</w:t>
      </w:r>
    </w:p>
    <w:p w:rsidR="00A50B60" w:rsidRDefault="00A50B60" w:rsidP="00A50B60">
      <w:pPr>
        <w:tabs>
          <w:tab w:val="left" w:pos="-720"/>
        </w:tabs>
        <w:suppressAutoHyphens/>
        <w:jc w:val="both"/>
        <w:rPr>
          <w:rFonts w:ascii="Times New Roman" w:hAnsi="Times New Roman"/>
          <w:szCs w:val="24"/>
          <w:lang w:val="en-GB"/>
        </w:rPr>
      </w:pPr>
    </w:p>
    <w:p w:rsidR="00A1046A" w:rsidRPr="00A1046A" w:rsidRDefault="00A1046A" w:rsidP="00A50B60">
      <w:pPr>
        <w:tabs>
          <w:tab w:val="left" w:pos="-720"/>
        </w:tabs>
        <w:suppressAutoHyphens/>
        <w:jc w:val="both"/>
        <w:rPr>
          <w:rFonts w:ascii="Times New Roman" w:hAnsi="Times New Roman"/>
          <w:b/>
          <w:i/>
          <w:szCs w:val="24"/>
          <w:lang w:val="en-GB"/>
        </w:rPr>
      </w:pPr>
      <w:r w:rsidRPr="00A1046A">
        <w:rPr>
          <w:rFonts w:ascii="Times New Roman" w:hAnsi="Times New Roman"/>
          <w:b/>
          <w:i/>
          <w:szCs w:val="24"/>
          <w:lang w:val="en-GB"/>
        </w:rPr>
        <w:t>Inhibitor formation</w:t>
      </w:r>
    </w:p>
    <w:p w:rsidR="00A50B60" w:rsidRPr="00A50B60" w:rsidRDefault="00A50B60" w:rsidP="00A50B60">
      <w:pPr>
        <w:tabs>
          <w:tab w:val="left" w:pos="-720"/>
        </w:tabs>
        <w:suppressAutoHyphens/>
        <w:jc w:val="both"/>
        <w:rPr>
          <w:rFonts w:ascii="Times New Roman" w:hAnsi="Times New Roman"/>
          <w:szCs w:val="24"/>
          <w:lang w:val="en-GB"/>
        </w:rPr>
      </w:pPr>
      <w:r w:rsidRPr="00A50B60">
        <w:rPr>
          <w:rFonts w:ascii="Times New Roman" w:hAnsi="Times New Roman"/>
          <w:szCs w:val="24"/>
          <w:lang w:val="en-GB"/>
        </w:rPr>
        <w:t>Inhibitor formation to NovoThirteen therapy has not been detected in clinical trials. Inhibitors may be suspected in the event of lack of therapeutic response observed as bleeding or demonstrated by laboratory findings including FXIII activity that fails to reach expected levels. In the event that inhibitors are suspected analysis for antibodies should be performed.</w:t>
      </w:r>
    </w:p>
    <w:p w:rsidR="00A50B60" w:rsidRPr="00A50B60" w:rsidRDefault="00A50B60" w:rsidP="00A50B60">
      <w:pPr>
        <w:tabs>
          <w:tab w:val="left" w:pos="-720"/>
        </w:tabs>
        <w:suppressAutoHyphens/>
        <w:jc w:val="both"/>
        <w:rPr>
          <w:rFonts w:ascii="Times New Roman" w:hAnsi="Times New Roman"/>
          <w:szCs w:val="24"/>
          <w:lang w:val="en-GB"/>
        </w:rPr>
      </w:pPr>
    </w:p>
    <w:p w:rsidR="00A50B60" w:rsidRPr="00A50B60" w:rsidRDefault="00A50B60" w:rsidP="00A50B60">
      <w:pPr>
        <w:tabs>
          <w:tab w:val="left" w:pos="-720"/>
        </w:tabs>
        <w:suppressAutoHyphens/>
        <w:jc w:val="both"/>
        <w:rPr>
          <w:rFonts w:ascii="Times New Roman" w:hAnsi="Times New Roman"/>
          <w:szCs w:val="24"/>
          <w:lang w:val="en-GB"/>
        </w:rPr>
      </w:pPr>
      <w:r w:rsidRPr="00A50B60">
        <w:rPr>
          <w:rFonts w:ascii="Times New Roman" w:hAnsi="Times New Roman"/>
          <w:szCs w:val="24"/>
          <w:lang w:val="en-GB"/>
        </w:rPr>
        <w:t xml:space="preserve">Patients known to have neutralising antibodies to FXIII should not be treated with </w:t>
      </w:r>
      <w:r w:rsidR="00ED6FAC">
        <w:rPr>
          <w:rFonts w:ascii="Times New Roman" w:hAnsi="Times New Roman"/>
          <w:szCs w:val="24"/>
          <w:lang w:val="en-GB"/>
        </w:rPr>
        <w:t>NovoThirteen</w:t>
      </w:r>
      <w:r w:rsidR="00ED6FAC" w:rsidRPr="00A50B60">
        <w:rPr>
          <w:rFonts w:ascii="Times New Roman" w:hAnsi="Times New Roman"/>
          <w:szCs w:val="24"/>
          <w:lang w:val="en-GB"/>
        </w:rPr>
        <w:t xml:space="preserve"> </w:t>
      </w:r>
      <w:r w:rsidRPr="00A50B60">
        <w:rPr>
          <w:rFonts w:ascii="Times New Roman" w:hAnsi="Times New Roman"/>
          <w:szCs w:val="24"/>
          <w:lang w:val="en-GB"/>
        </w:rPr>
        <w:t>without close monitoring.</w:t>
      </w:r>
    </w:p>
    <w:p w:rsidR="00A50B60" w:rsidRDefault="00A50B60" w:rsidP="00A50B60">
      <w:pPr>
        <w:tabs>
          <w:tab w:val="left" w:pos="-720"/>
        </w:tabs>
        <w:suppressAutoHyphens/>
        <w:jc w:val="both"/>
        <w:rPr>
          <w:rFonts w:ascii="Times New Roman" w:hAnsi="Times New Roman"/>
          <w:szCs w:val="24"/>
          <w:lang w:val="en-GB"/>
        </w:rPr>
      </w:pPr>
    </w:p>
    <w:p w:rsidR="00A1046A" w:rsidRPr="00A1046A" w:rsidRDefault="00A1046A" w:rsidP="00A50B60">
      <w:pPr>
        <w:tabs>
          <w:tab w:val="left" w:pos="-720"/>
        </w:tabs>
        <w:suppressAutoHyphens/>
        <w:jc w:val="both"/>
        <w:rPr>
          <w:rFonts w:ascii="Times New Roman" w:hAnsi="Times New Roman"/>
          <w:b/>
          <w:i/>
          <w:szCs w:val="24"/>
          <w:lang w:val="en-GB"/>
        </w:rPr>
      </w:pPr>
      <w:r w:rsidRPr="00A1046A">
        <w:rPr>
          <w:rFonts w:ascii="Times New Roman" w:hAnsi="Times New Roman"/>
          <w:b/>
          <w:i/>
          <w:szCs w:val="24"/>
          <w:lang w:val="en-GB"/>
        </w:rPr>
        <w:t>Thromboembolic risk</w:t>
      </w:r>
    </w:p>
    <w:p w:rsidR="00A50B60" w:rsidRPr="00A50B60" w:rsidRDefault="00A50B60" w:rsidP="00A50B60">
      <w:pPr>
        <w:tabs>
          <w:tab w:val="left" w:pos="-720"/>
        </w:tabs>
        <w:suppressAutoHyphens/>
        <w:jc w:val="both"/>
        <w:rPr>
          <w:rFonts w:ascii="Times New Roman" w:hAnsi="Times New Roman"/>
          <w:szCs w:val="24"/>
          <w:lang w:val="en-GB"/>
        </w:rPr>
      </w:pPr>
      <w:r w:rsidRPr="00A50B60">
        <w:rPr>
          <w:rFonts w:ascii="Times New Roman" w:hAnsi="Times New Roman"/>
          <w:szCs w:val="24"/>
          <w:lang w:val="en-GB"/>
        </w:rPr>
        <w:t xml:space="preserve">The reconstituted </w:t>
      </w:r>
      <w:r w:rsidR="00A1046A">
        <w:rPr>
          <w:rFonts w:ascii="Times New Roman" w:hAnsi="Times New Roman"/>
          <w:szCs w:val="24"/>
          <w:lang w:val="en-GB"/>
        </w:rPr>
        <w:t xml:space="preserve">medicinal </w:t>
      </w:r>
      <w:r w:rsidRPr="00A50B60">
        <w:rPr>
          <w:rFonts w:ascii="Times New Roman" w:hAnsi="Times New Roman"/>
          <w:szCs w:val="24"/>
          <w:lang w:val="en-GB"/>
        </w:rPr>
        <w:t xml:space="preserve">product must be handled in accordance with </w:t>
      </w:r>
      <w:r w:rsidR="00A1046A">
        <w:rPr>
          <w:rFonts w:ascii="Times New Roman" w:hAnsi="Times New Roman"/>
          <w:szCs w:val="24"/>
          <w:lang w:val="en-GB"/>
        </w:rPr>
        <w:t>DOSAGE AND ADMINISTRATION</w:t>
      </w:r>
      <w:r w:rsidRPr="00A50B60">
        <w:rPr>
          <w:rFonts w:ascii="Times New Roman" w:hAnsi="Times New Roman"/>
          <w:szCs w:val="24"/>
          <w:lang w:val="en-GB"/>
        </w:rPr>
        <w:t xml:space="preserve">. Incorrect storage of the product after reconstitution must be avoided as it may result in loss of sterility and in increased levels of activated </w:t>
      </w:r>
      <w:r w:rsidR="008C34DD">
        <w:rPr>
          <w:rFonts w:ascii="Times New Roman" w:hAnsi="Times New Roman"/>
          <w:szCs w:val="24"/>
          <w:lang w:val="en-GB"/>
        </w:rPr>
        <w:t>rFXIII</w:t>
      </w:r>
      <w:r w:rsidRPr="00A50B60">
        <w:rPr>
          <w:rFonts w:ascii="Times New Roman" w:hAnsi="Times New Roman"/>
          <w:szCs w:val="24"/>
          <w:lang w:val="en-GB"/>
        </w:rPr>
        <w:t xml:space="preserve">. Increased levels of activated </w:t>
      </w:r>
      <w:r w:rsidR="00ED6FAC">
        <w:rPr>
          <w:rFonts w:ascii="Times New Roman" w:hAnsi="Times New Roman"/>
          <w:szCs w:val="24"/>
          <w:lang w:val="en-GB"/>
        </w:rPr>
        <w:t>rFXIII</w:t>
      </w:r>
      <w:r w:rsidR="00ED6FAC" w:rsidRPr="00A50B60" w:rsidDel="006272D8">
        <w:rPr>
          <w:rFonts w:ascii="Times New Roman" w:hAnsi="Times New Roman"/>
          <w:szCs w:val="24"/>
          <w:lang w:val="en-GB"/>
        </w:rPr>
        <w:t xml:space="preserve"> </w:t>
      </w:r>
      <w:r w:rsidRPr="00A50B60">
        <w:rPr>
          <w:rFonts w:ascii="Times New Roman" w:hAnsi="Times New Roman"/>
          <w:szCs w:val="24"/>
          <w:lang w:val="en-GB"/>
        </w:rPr>
        <w:t>may increase the risk of thrombosis.</w:t>
      </w:r>
    </w:p>
    <w:p w:rsidR="00A50B60" w:rsidRPr="00A50B60" w:rsidRDefault="00A50B60" w:rsidP="00A50B60">
      <w:pPr>
        <w:tabs>
          <w:tab w:val="left" w:pos="-720"/>
        </w:tabs>
        <w:suppressAutoHyphens/>
        <w:jc w:val="both"/>
        <w:rPr>
          <w:rFonts w:ascii="Times New Roman" w:hAnsi="Times New Roman"/>
          <w:szCs w:val="24"/>
          <w:lang w:val="en-GB"/>
        </w:rPr>
      </w:pPr>
    </w:p>
    <w:p w:rsidR="00A50B60" w:rsidRPr="00A50B60" w:rsidRDefault="00A50B60" w:rsidP="00A50B60">
      <w:pPr>
        <w:tabs>
          <w:tab w:val="left" w:pos="-720"/>
        </w:tabs>
        <w:suppressAutoHyphens/>
        <w:jc w:val="both"/>
        <w:rPr>
          <w:rFonts w:ascii="Times New Roman" w:hAnsi="Times New Roman"/>
          <w:szCs w:val="24"/>
          <w:lang w:val="en-GB"/>
        </w:rPr>
      </w:pPr>
      <w:r w:rsidRPr="00A50B60">
        <w:rPr>
          <w:rFonts w:ascii="Times New Roman" w:hAnsi="Times New Roman"/>
          <w:szCs w:val="24"/>
          <w:lang w:val="en-GB"/>
        </w:rPr>
        <w:t>In case of predisposition to conditions of thrombosis, caution should be exercised due to the fibrin-stabili</w:t>
      </w:r>
      <w:r w:rsidR="00A1046A">
        <w:rPr>
          <w:rFonts w:ascii="Times New Roman" w:hAnsi="Times New Roman"/>
          <w:szCs w:val="24"/>
          <w:lang w:val="en-GB"/>
        </w:rPr>
        <w:t>s</w:t>
      </w:r>
      <w:r w:rsidRPr="00A50B60">
        <w:rPr>
          <w:rFonts w:ascii="Times New Roman" w:hAnsi="Times New Roman"/>
          <w:szCs w:val="24"/>
          <w:lang w:val="en-GB"/>
        </w:rPr>
        <w:t xml:space="preserve">ing effect of </w:t>
      </w:r>
      <w:r w:rsidR="00C43FC2" w:rsidRPr="00A50B60">
        <w:rPr>
          <w:rFonts w:ascii="Times New Roman" w:hAnsi="Times New Roman"/>
          <w:szCs w:val="24"/>
          <w:lang w:val="en-GB"/>
        </w:rPr>
        <w:t>NovoThirteen</w:t>
      </w:r>
      <w:r w:rsidRPr="00A50B60">
        <w:rPr>
          <w:rFonts w:ascii="Times New Roman" w:hAnsi="Times New Roman"/>
          <w:szCs w:val="24"/>
          <w:lang w:val="en-GB"/>
        </w:rPr>
        <w:t xml:space="preserve">. A </w:t>
      </w:r>
      <w:r w:rsidR="00C43FC2" w:rsidRPr="00A50B60">
        <w:rPr>
          <w:rFonts w:ascii="Times New Roman" w:hAnsi="Times New Roman"/>
          <w:szCs w:val="24"/>
          <w:lang w:val="en-GB"/>
        </w:rPr>
        <w:t>stabili</w:t>
      </w:r>
      <w:r w:rsidR="00C43FC2">
        <w:rPr>
          <w:rFonts w:ascii="Times New Roman" w:hAnsi="Times New Roman"/>
          <w:szCs w:val="24"/>
          <w:lang w:val="en-GB"/>
        </w:rPr>
        <w:t>s</w:t>
      </w:r>
      <w:r w:rsidR="00C43FC2" w:rsidRPr="00A50B60">
        <w:rPr>
          <w:rFonts w:ascii="Times New Roman" w:hAnsi="Times New Roman"/>
          <w:szCs w:val="24"/>
          <w:lang w:val="en-GB"/>
        </w:rPr>
        <w:t xml:space="preserve">ation </w:t>
      </w:r>
      <w:r w:rsidRPr="00A50B60">
        <w:rPr>
          <w:rFonts w:ascii="Times New Roman" w:hAnsi="Times New Roman"/>
          <w:szCs w:val="24"/>
          <w:lang w:val="en-GB"/>
        </w:rPr>
        <w:t>of the thrombus might occur, resulting in increased risk of vessel occlusions.</w:t>
      </w:r>
    </w:p>
    <w:p w:rsidR="00AB41FF" w:rsidRDefault="00AB41FF" w:rsidP="00A50B60">
      <w:pPr>
        <w:tabs>
          <w:tab w:val="left" w:pos="-720"/>
        </w:tabs>
        <w:suppressAutoHyphens/>
        <w:jc w:val="both"/>
        <w:rPr>
          <w:rFonts w:ascii="Times New Roman" w:hAnsi="Times New Roman"/>
          <w:szCs w:val="24"/>
          <w:lang w:val="en-GB"/>
        </w:rPr>
      </w:pPr>
    </w:p>
    <w:p w:rsidR="00AE0325" w:rsidRPr="00E95B63" w:rsidRDefault="00AE0325" w:rsidP="00D06BA3">
      <w:pPr>
        <w:tabs>
          <w:tab w:val="left" w:pos="-720"/>
        </w:tabs>
        <w:suppressAutoHyphens/>
        <w:jc w:val="both"/>
        <w:rPr>
          <w:rFonts w:ascii="Times New Roman" w:hAnsi="Times New Roman"/>
          <w:b/>
          <w:i/>
          <w:spacing w:val="-2"/>
        </w:rPr>
      </w:pPr>
      <w:r w:rsidRPr="00E95B63">
        <w:rPr>
          <w:rFonts w:ascii="Times New Roman" w:hAnsi="Times New Roman"/>
          <w:b/>
          <w:i/>
          <w:spacing w:val="-2"/>
        </w:rPr>
        <w:t>Effects on Fertility</w:t>
      </w:r>
    </w:p>
    <w:p w:rsidR="002B34E3" w:rsidRPr="006C73C3" w:rsidRDefault="00760620" w:rsidP="00D06BA3">
      <w:pPr>
        <w:tabs>
          <w:tab w:val="left" w:pos="-720"/>
        </w:tabs>
        <w:suppressAutoHyphens/>
        <w:jc w:val="both"/>
        <w:rPr>
          <w:rFonts w:ascii="Times New Roman" w:hAnsi="Times New Roman"/>
          <w:spacing w:val="-2"/>
        </w:rPr>
      </w:pPr>
      <w:r>
        <w:rPr>
          <w:rFonts w:ascii="Times New Roman" w:hAnsi="Times New Roman"/>
          <w:spacing w:val="-2"/>
        </w:rPr>
        <w:t>The potential effect on fertility has not been studied</w:t>
      </w:r>
      <w:r w:rsidR="00BE0ECD">
        <w:rPr>
          <w:rFonts w:ascii="Times New Roman" w:hAnsi="Times New Roman"/>
          <w:spacing w:val="-2"/>
        </w:rPr>
        <w:t xml:space="preserve"> in animals</w:t>
      </w:r>
      <w:r>
        <w:rPr>
          <w:rFonts w:ascii="Times New Roman" w:hAnsi="Times New Roman"/>
          <w:spacing w:val="-2"/>
        </w:rPr>
        <w:t xml:space="preserve">. </w:t>
      </w:r>
      <w:r w:rsidR="006C73C3" w:rsidRPr="006C73C3">
        <w:rPr>
          <w:rFonts w:ascii="Times New Roman" w:hAnsi="Times New Roman"/>
          <w:spacing w:val="-2"/>
        </w:rPr>
        <w:t xml:space="preserve">No effects on reproductive organs </w:t>
      </w:r>
      <w:r w:rsidR="00B93646">
        <w:rPr>
          <w:rFonts w:ascii="Times New Roman" w:hAnsi="Times New Roman"/>
          <w:spacing w:val="-2"/>
        </w:rPr>
        <w:t>have been</w:t>
      </w:r>
      <w:r w:rsidR="00B93646" w:rsidRPr="006C73C3">
        <w:rPr>
          <w:rFonts w:ascii="Times New Roman" w:hAnsi="Times New Roman"/>
          <w:spacing w:val="-2"/>
        </w:rPr>
        <w:t xml:space="preserve"> </w:t>
      </w:r>
      <w:r w:rsidR="006C73C3" w:rsidRPr="006C73C3">
        <w:rPr>
          <w:rFonts w:ascii="Times New Roman" w:hAnsi="Times New Roman"/>
          <w:spacing w:val="-2"/>
        </w:rPr>
        <w:t>seen in non-clinical studies.</w:t>
      </w:r>
    </w:p>
    <w:p w:rsidR="002B34E3" w:rsidRPr="00E95B63" w:rsidRDefault="002B34E3" w:rsidP="00D06BA3">
      <w:pPr>
        <w:tabs>
          <w:tab w:val="left" w:pos="-720"/>
        </w:tabs>
        <w:suppressAutoHyphens/>
        <w:jc w:val="both"/>
        <w:rPr>
          <w:rFonts w:ascii="Times New Roman" w:hAnsi="Times New Roman"/>
          <w:spacing w:val="-2"/>
        </w:rPr>
      </w:pPr>
    </w:p>
    <w:p w:rsidR="002B34E3" w:rsidRPr="00E95B63" w:rsidRDefault="002B34E3" w:rsidP="00D06BA3">
      <w:pPr>
        <w:keepNext/>
        <w:tabs>
          <w:tab w:val="left" w:pos="-720"/>
        </w:tabs>
        <w:suppressAutoHyphens/>
        <w:jc w:val="both"/>
        <w:outlineLvl w:val="0"/>
        <w:rPr>
          <w:rFonts w:ascii="Times New Roman" w:hAnsi="Times New Roman"/>
          <w:b/>
          <w:spacing w:val="-2"/>
        </w:rPr>
      </w:pPr>
      <w:bookmarkStart w:id="3" w:name="OLE_LINK11"/>
      <w:bookmarkStart w:id="4" w:name="OLE_LINK12"/>
      <w:r w:rsidRPr="00E95B63">
        <w:rPr>
          <w:rFonts w:ascii="Times New Roman" w:hAnsi="Times New Roman"/>
          <w:b/>
          <w:i/>
          <w:spacing w:val="-2"/>
        </w:rPr>
        <w:t>Use in pregnancy</w:t>
      </w:r>
    </w:p>
    <w:p w:rsidR="0086065E" w:rsidRPr="00E95B63" w:rsidRDefault="002B34E3" w:rsidP="00D06BA3">
      <w:pPr>
        <w:tabs>
          <w:tab w:val="left" w:pos="-720"/>
        </w:tabs>
        <w:suppressAutoHyphens/>
        <w:jc w:val="both"/>
        <w:rPr>
          <w:rFonts w:ascii="Times New Roman" w:hAnsi="Times New Roman"/>
          <w:spacing w:val="-2"/>
        </w:rPr>
      </w:pPr>
      <w:r w:rsidRPr="00E95B63">
        <w:rPr>
          <w:rFonts w:ascii="Times New Roman" w:hAnsi="Times New Roman"/>
          <w:spacing w:val="-2"/>
        </w:rPr>
        <w:t xml:space="preserve">Category </w:t>
      </w:r>
      <w:r w:rsidR="0067624D">
        <w:rPr>
          <w:rFonts w:ascii="Times New Roman" w:hAnsi="Times New Roman"/>
          <w:spacing w:val="-2"/>
        </w:rPr>
        <w:t>B2</w:t>
      </w:r>
      <w:r w:rsidRPr="00E95B63">
        <w:rPr>
          <w:rFonts w:ascii="Times New Roman" w:hAnsi="Times New Roman"/>
          <w:spacing w:val="-2"/>
        </w:rPr>
        <w:t xml:space="preserve"> </w:t>
      </w:r>
    </w:p>
    <w:p w:rsidR="00AB41FF" w:rsidRPr="00E95B63" w:rsidRDefault="00117479" w:rsidP="006C73C3">
      <w:pPr>
        <w:rPr>
          <w:rFonts w:ascii="Times New Roman" w:hAnsi="Times New Roman"/>
          <w:spacing w:val="-2"/>
        </w:rPr>
      </w:pPr>
      <w:r w:rsidRPr="00E95B63">
        <w:rPr>
          <w:rFonts w:ascii="Times New Roman" w:hAnsi="Times New Roman"/>
          <w:spacing w:val="-2"/>
        </w:rPr>
        <w:t xml:space="preserve">There is no clinical data on the use of </w:t>
      </w:r>
      <w:r w:rsidR="00C43FC2" w:rsidRPr="00E95B63">
        <w:rPr>
          <w:rFonts w:ascii="Times New Roman" w:hAnsi="Times New Roman"/>
          <w:spacing w:val="-2"/>
        </w:rPr>
        <w:t>NovoThirteen</w:t>
      </w:r>
      <w:r w:rsidR="001D0C58" w:rsidRPr="00E95B63">
        <w:rPr>
          <w:rFonts w:ascii="Times New Roman" w:hAnsi="Times New Roman"/>
          <w:spacing w:val="-2"/>
        </w:rPr>
        <w:t xml:space="preserve"> </w:t>
      </w:r>
      <w:r w:rsidR="006C73C3" w:rsidRPr="00E95B63">
        <w:rPr>
          <w:rFonts w:ascii="Times New Roman" w:hAnsi="Times New Roman"/>
          <w:spacing w:val="-2"/>
        </w:rPr>
        <w:t>in pregnant women.</w:t>
      </w:r>
      <w:r w:rsidR="00760620">
        <w:rPr>
          <w:rFonts w:ascii="Times New Roman" w:hAnsi="Times New Roman"/>
          <w:spacing w:val="-2"/>
        </w:rPr>
        <w:t xml:space="preserve"> </w:t>
      </w:r>
      <w:r w:rsidRPr="00E95B63">
        <w:rPr>
          <w:rFonts w:ascii="Times New Roman" w:hAnsi="Times New Roman"/>
          <w:spacing w:val="-2"/>
        </w:rPr>
        <w:t>NovoThirteen</w:t>
      </w:r>
      <w:r w:rsidR="001D0C58" w:rsidRPr="00E95B63">
        <w:rPr>
          <w:rFonts w:ascii="Times New Roman" w:hAnsi="Times New Roman"/>
          <w:spacing w:val="-2"/>
        </w:rPr>
        <w:t xml:space="preserve"> has not been studied in pregnant animals</w:t>
      </w:r>
      <w:r w:rsidR="00FF48F2" w:rsidRPr="00E95B63">
        <w:rPr>
          <w:rFonts w:ascii="Times New Roman" w:hAnsi="Times New Roman"/>
          <w:spacing w:val="-2"/>
        </w:rPr>
        <w:t xml:space="preserve">. </w:t>
      </w:r>
      <w:r w:rsidR="006C73C3" w:rsidRPr="00E95B63">
        <w:rPr>
          <w:rFonts w:ascii="Times New Roman" w:hAnsi="Times New Roman"/>
          <w:spacing w:val="-2"/>
        </w:rPr>
        <w:t>The risk to humans is not known.</w:t>
      </w:r>
      <w:r w:rsidRPr="00E95B63">
        <w:rPr>
          <w:rFonts w:ascii="Times New Roman" w:hAnsi="Times New Roman"/>
          <w:spacing w:val="-2"/>
        </w:rPr>
        <w:t xml:space="preserve"> </w:t>
      </w:r>
      <w:r w:rsidR="004D6713">
        <w:rPr>
          <w:rFonts w:ascii="Times New Roman" w:hAnsi="Times New Roman"/>
          <w:spacing w:val="-2"/>
        </w:rPr>
        <w:t xml:space="preserve">However, based on the therapeutic need, the use of </w:t>
      </w:r>
      <w:r w:rsidR="00D60502">
        <w:rPr>
          <w:rFonts w:ascii="Times New Roman" w:hAnsi="Times New Roman"/>
          <w:spacing w:val="-2"/>
        </w:rPr>
        <w:t>NovoThirteen</w:t>
      </w:r>
      <w:r w:rsidR="008A44C7">
        <w:rPr>
          <w:rFonts w:ascii="Times New Roman" w:hAnsi="Times New Roman"/>
          <w:spacing w:val="-2"/>
        </w:rPr>
        <w:t xml:space="preserve"> as replacement therapy</w:t>
      </w:r>
      <w:r w:rsidR="00D60502">
        <w:rPr>
          <w:rFonts w:ascii="Times New Roman" w:hAnsi="Times New Roman"/>
          <w:spacing w:val="-2"/>
        </w:rPr>
        <w:t xml:space="preserve"> </w:t>
      </w:r>
      <w:r w:rsidR="004D6713">
        <w:rPr>
          <w:rFonts w:ascii="Times New Roman" w:hAnsi="Times New Roman"/>
          <w:spacing w:val="-2"/>
        </w:rPr>
        <w:t>may be considered during pregnancy.</w:t>
      </w:r>
    </w:p>
    <w:p w:rsidR="00182917" w:rsidRPr="00E95B63" w:rsidRDefault="00182917" w:rsidP="00D06BA3">
      <w:pPr>
        <w:tabs>
          <w:tab w:val="left" w:pos="-720"/>
        </w:tabs>
        <w:suppressAutoHyphens/>
        <w:jc w:val="both"/>
        <w:outlineLvl w:val="0"/>
        <w:rPr>
          <w:rFonts w:ascii="Times New Roman" w:hAnsi="Times New Roman"/>
          <w:spacing w:val="-2"/>
        </w:rPr>
      </w:pPr>
    </w:p>
    <w:p w:rsidR="002B34E3" w:rsidRPr="00E95B63" w:rsidRDefault="002B34E3" w:rsidP="00A154AD">
      <w:pPr>
        <w:keepNext/>
        <w:tabs>
          <w:tab w:val="left" w:pos="-720"/>
        </w:tabs>
        <w:suppressAutoHyphens/>
        <w:jc w:val="both"/>
        <w:outlineLvl w:val="0"/>
        <w:rPr>
          <w:rFonts w:ascii="Times New Roman" w:hAnsi="Times New Roman"/>
          <w:b/>
          <w:i/>
          <w:spacing w:val="-2"/>
        </w:rPr>
      </w:pPr>
      <w:r w:rsidRPr="00E95B63">
        <w:rPr>
          <w:rFonts w:ascii="Times New Roman" w:hAnsi="Times New Roman"/>
          <w:b/>
          <w:i/>
          <w:spacing w:val="-2"/>
        </w:rPr>
        <w:t>Use in lactation</w:t>
      </w:r>
    </w:p>
    <w:bookmarkEnd w:id="3"/>
    <w:bookmarkEnd w:id="4"/>
    <w:p w:rsidR="005D7B4E" w:rsidRDefault="00117479" w:rsidP="00117479">
      <w:pPr>
        <w:pStyle w:val="BodyText"/>
      </w:pPr>
      <w:r>
        <w:t xml:space="preserve">It is unknown whether </w:t>
      </w:r>
      <w:r w:rsidR="00C43FC2">
        <w:t>rFXIII</w:t>
      </w:r>
      <w:r w:rsidR="00FF48F2" w:rsidRPr="00FF48F2">
        <w:t xml:space="preserve"> is excreted in human breast milk. The excretion of </w:t>
      </w:r>
      <w:r w:rsidR="00C43FC2">
        <w:t>rFXIII</w:t>
      </w:r>
      <w:r w:rsidR="00990ECD">
        <w:t xml:space="preserve"> drug substance</w:t>
      </w:r>
      <w:r w:rsidR="00FF48F2" w:rsidRPr="00FF48F2">
        <w:t xml:space="preserve"> in milk has not been studied in animals. A decision on whether to </w:t>
      </w:r>
      <w:r w:rsidR="00FF48F2" w:rsidRPr="00FF48F2">
        <w:lastRenderedPageBreak/>
        <w:t xml:space="preserve">continue/discontinue breast-feeding or to continue/discontinue therapy with </w:t>
      </w:r>
      <w:r>
        <w:t>NovoThirteen</w:t>
      </w:r>
      <w:r w:rsidR="00FF48F2" w:rsidRPr="00FF48F2">
        <w:t xml:space="preserve"> should be made taking into account the benefit of breast-feeding to the child and the benefit of </w:t>
      </w:r>
      <w:r>
        <w:t>NovoThirteen</w:t>
      </w:r>
      <w:r w:rsidR="00FF48F2" w:rsidRPr="00FF48F2">
        <w:t xml:space="preserve"> therapy to the mother.</w:t>
      </w:r>
    </w:p>
    <w:p w:rsidR="00117479" w:rsidRPr="00FF48F2" w:rsidRDefault="00117479" w:rsidP="00117479">
      <w:pPr>
        <w:pStyle w:val="BodyText"/>
      </w:pPr>
    </w:p>
    <w:p w:rsidR="002B34E3" w:rsidRPr="00E95B63" w:rsidRDefault="007F0792" w:rsidP="00D06BA3">
      <w:pPr>
        <w:tabs>
          <w:tab w:val="left" w:pos="-720"/>
        </w:tabs>
        <w:suppressAutoHyphens/>
        <w:jc w:val="both"/>
        <w:outlineLvl w:val="0"/>
        <w:rPr>
          <w:rFonts w:ascii="Times New Roman" w:hAnsi="Times New Roman"/>
          <w:b/>
          <w:i/>
          <w:spacing w:val="-2"/>
        </w:rPr>
      </w:pPr>
      <w:r w:rsidRPr="00E95B63">
        <w:rPr>
          <w:rFonts w:ascii="Times New Roman" w:hAnsi="Times New Roman"/>
          <w:b/>
          <w:i/>
          <w:spacing w:val="-2"/>
        </w:rPr>
        <w:t>Paediatric use</w:t>
      </w:r>
    </w:p>
    <w:p w:rsidR="00FF48F2" w:rsidRDefault="00C65BA7" w:rsidP="00F93D8B">
      <w:pPr>
        <w:tabs>
          <w:tab w:val="left" w:pos="-720"/>
        </w:tabs>
        <w:suppressAutoHyphens/>
        <w:jc w:val="both"/>
        <w:rPr>
          <w:rFonts w:ascii="Times New Roman" w:hAnsi="Times New Roman"/>
        </w:rPr>
      </w:pPr>
      <w:r>
        <w:rPr>
          <w:rFonts w:ascii="Times New Roman" w:hAnsi="Times New Roman"/>
        </w:rPr>
        <w:t>Analyses of data from paediatric patients included in clinical trials have not identified difference in treatment response according to age</w:t>
      </w:r>
      <w:r w:rsidR="00F93D8B">
        <w:rPr>
          <w:rFonts w:ascii="Times New Roman" w:hAnsi="Times New Roman"/>
        </w:rPr>
        <w:t>.</w:t>
      </w:r>
    </w:p>
    <w:p w:rsidR="00314513" w:rsidRPr="00B92D96" w:rsidRDefault="00314513" w:rsidP="00F93D8B">
      <w:pPr>
        <w:tabs>
          <w:tab w:val="left" w:pos="-720"/>
        </w:tabs>
        <w:suppressAutoHyphens/>
        <w:jc w:val="both"/>
        <w:rPr>
          <w:rFonts w:ascii="Times New Roman" w:hAnsi="Times New Roman"/>
          <w:i/>
          <w:spacing w:val="-2"/>
        </w:rPr>
      </w:pPr>
    </w:p>
    <w:p w:rsidR="00C65BA7" w:rsidRPr="00E95B63" w:rsidRDefault="00C65BA7" w:rsidP="00C65BA7">
      <w:pPr>
        <w:tabs>
          <w:tab w:val="left" w:pos="-720"/>
        </w:tabs>
        <w:suppressAutoHyphens/>
        <w:jc w:val="both"/>
        <w:outlineLvl w:val="0"/>
        <w:rPr>
          <w:rFonts w:ascii="Times New Roman" w:hAnsi="Times New Roman"/>
          <w:b/>
          <w:i/>
          <w:spacing w:val="-2"/>
        </w:rPr>
      </w:pPr>
      <w:r w:rsidRPr="00E95B63">
        <w:rPr>
          <w:rFonts w:ascii="Times New Roman" w:hAnsi="Times New Roman"/>
          <w:b/>
          <w:i/>
          <w:spacing w:val="-2"/>
        </w:rPr>
        <w:t>Use in the Elderly</w:t>
      </w:r>
    </w:p>
    <w:p w:rsidR="00E95B63" w:rsidRDefault="00C65BA7" w:rsidP="00C65BA7">
      <w:pPr>
        <w:tabs>
          <w:tab w:val="left" w:pos="-720"/>
        </w:tabs>
        <w:suppressAutoHyphens/>
        <w:jc w:val="both"/>
        <w:rPr>
          <w:rFonts w:ascii="Times New Roman" w:hAnsi="Times New Roman"/>
          <w:szCs w:val="24"/>
          <w:lang w:val="en-GB"/>
        </w:rPr>
      </w:pPr>
      <w:r w:rsidRPr="00A50B60">
        <w:rPr>
          <w:rFonts w:ascii="Times New Roman" w:hAnsi="Times New Roman"/>
          <w:szCs w:val="24"/>
          <w:lang w:val="en-GB"/>
        </w:rPr>
        <w:t>There is limited clinical experience administering NovoThirteen to elderly patients</w:t>
      </w:r>
      <w:r w:rsidR="00CE3A05">
        <w:rPr>
          <w:rFonts w:ascii="Times New Roman" w:hAnsi="Times New Roman"/>
          <w:szCs w:val="24"/>
          <w:lang w:val="en-GB"/>
        </w:rPr>
        <w:t xml:space="preserve"> </w:t>
      </w:r>
      <w:r w:rsidR="00DC0407">
        <w:rPr>
          <w:rFonts w:ascii="Times New Roman" w:hAnsi="Times New Roman"/>
          <w:szCs w:val="24"/>
          <w:lang w:val="en-GB"/>
        </w:rPr>
        <w:t>(≥65 yrs)</w:t>
      </w:r>
      <w:r w:rsidRPr="00A50B60">
        <w:rPr>
          <w:rFonts w:ascii="Times New Roman" w:hAnsi="Times New Roman"/>
          <w:szCs w:val="24"/>
          <w:lang w:val="en-GB"/>
        </w:rPr>
        <w:t xml:space="preserve"> with congenital FXIII deficiency.</w:t>
      </w:r>
    </w:p>
    <w:p w:rsidR="00E95B63" w:rsidRDefault="00E95B63" w:rsidP="00E95B63">
      <w:pPr>
        <w:tabs>
          <w:tab w:val="left" w:pos="-720"/>
        </w:tabs>
        <w:suppressAutoHyphens/>
        <w:jc w:val="both"/>
        <w:rPr>
          <w:rFonts w:ascii="Times New Roman" w:hAnsi="Times New Roman"/>
          <w:szCs w:val="24"/>
          <w:lang w:val="en-GB"/>
        </w:rPr>
      </w:pPr>
    </w:p>
    <w:p w:rsidR="00E95B63" w:rsidRPr="00E95B63" w:rsidRDefault="00E95B63" w:rsidP="00E95B63">
      <w:pPr>
        <w:tabs>
          <w:tab w:val="left" w:pos="-720"/>
        </w:tabs>
        <w:suppressAutoHyphens/>
        <w:jc w:val="both"/>
        <w:rPr>
          <w:rFonts w:ascii="Times New Roman" w:hAnsi="Times New Roman"/>
          <w:b/>
          <w:i/>
          <w:szCs w:val="24"/>
          <w:lang w:val="en-GB"/>
        </w:rPr>
      </w:pPr>
      <w:r w:rsidRPr="00E95B63">
        <w:rPr>
          <w:rFonts w:ascii="Times New Roman" w:hAnsi="Times New Roman"/>
          <w:b/>
          <w:i/>
          <w:szCs w:val="24"/>
          <w:lang w:val="en-GB"/>
        </w:rPr>
        <w:t>Renal and Hepatic Impairment</w:t>
      </w:r>
    </w:p>
    <w:p w:rsidR="00C43FC2" w:rsidRPr="00A50B60" w:rsidRDefault="00E95B63" w:rsidP="00C43FC2">
      <w:pPr>
        <w:tabs>
          <w:tab w:val="left" w:pos="-720"/>
        </w:tabs>
        <w:suppressAutoHyphens/>
        <w:jc w:val="both"/>
        <w:rPr>
          <w:rFonts w:ascii="Times New Roman" w:hAnsi="Times New Roman"/>
          <w:szCs w:val="24"/>
          <w:lang w:val="en-GB"/>
        </w:rPr>
      </w:pPr>
      <w:r w:rsidRPr="00A50B60">
        <w:rPr>
          <w:rFonts w:ascii="Times New Roman" w:hAnsi="Times New Roman"/>
          <w:szCs w:val="24"/>
          <w:lang w:val="en-GB"/>
        </w:rPr>
        <w:t>Patients with hepatic impairment have not been studied. NovoThirteen may not be effective in patients with hepatic impairment</w:t>
      </w:r>
      <w:r w:rsidR="004D6713">
        <w:rPr>
          <w:rFonts w:ascii="Times New Roman" w:hAnsi="Times New Roman"/>
          <w:szCs w:val="24"/>
          <w:lang w:val="en-GB"/>
        </w:rPr>
        <w:t xml:space="preserve"> if the hepatic impairment is severe enough to result in </w:t>
      </w:r>
      <w:r w:rsidRPr="00A50B60">
        <w:rPr>
          <w:rFonts w:ascii="Times New Roman" w:hAnsi="Times New Roman"/>
          <w:szCs w:val="24"/>
          <w:lang w:val="en-GB"/>
        </w:rPr>
        <w:t xml:space="preserve">decreased levels of FXIII B-subunits. </w:t>
      </w:r>
      <w:r w:rsidR="00C43FC2" w:rsidRPr="00A50B60">
        <w:rPr>
          <w:rFonts w:ascii="Times New Roman" w:hAnsi="Times New Roman"/>
          <w:szCs w:val="24"/>
          <w:lang w:val="en-GB"/>
        </w:rPr>
        <w:t xml:space="preserve">FXIII activity levels should be monitored in patients with severe </w:t>
      </w:r>
      <w:r w:rsidR="00C43FC2">
        <w:rPr>
          <w:rFonts w:ascii="Times New Roman" w:hAnsi="Times New Roman"/>
          <w:szCs w:val="24"/>
          <w:lang w:val="en-GB"/>
        </w:rPr>
        <w:t>hepatic impairment</w:t>
      </w:r>
      <w:r w:rsidR="00C43FC2" w:rsidRPr="00A50B60">
        <w:rPr>
          <w:rFonts w:ascii="Times New Roman" w:hAnsi="Times New Roman"/>
          <w:szCs w:val="24"/>
          <w:lang w:val="en-GB"/>
        </w:rPr>
        <w:t>.</w:t>
      </w:r>
    </w:p>
    <w:p w:rsidR="00E95B63" w:rsidRPr="00A50B60" w:rsidRDefault="00E95B63" w:rsidP="00E95B63">
      <w:pPr>
        <w:tabs>
          <w:tab w:val="left" w:pos="-720"/>
        </w:tabs>
        <w:suppressAutoHyphens/>
        <w:jc w:val="both"/>
        <w:rPr>
          <w:rFonts w:ascii="Times New Roman" w:hAnsi="Times New Roman"/>
          <w:szCs w:val="24"/>
          <w:lang w:val="en-GB"/>
        </w:rPr>
      </w:pPr>
    </w:p>
    <w:p w:rsidR="00E95B63" w:rsidRPr="00A50B60" w:rsidRDefault="00CE6C06" w:rsidP="00E95B63">
      <w:pPr>
        <w:tabs>
          <w:tab w:val="left" w:pos="-720"/>
        </w:tabs>
        <w:suppressAutoHyphens/>
        <w:jc w:val="both"/>
        <w:rPr>
          <w:rFonts w:ascii="Times New Roman" w:hAnsi="Times New Roman"/>
          <w:szCs w:val="24"/>
          <w:lang w:val="en-GB"/>
        </w:rPr>
      </w:pPr>
      <w:r w:rsidRPr="00A50B60">
        <w:rPr>
          <w:rFonts w:ascii="Times New Roman" w:hAnsi="Times New Roman"/>
          <w:szCs w:val="24"/>
          <w:lang w:val="en-GB"/>
        </w:rPr>
        <w:t>Patients with renal insufficiency requiring dialysis have not been studied in clinical trials.</w:t>
      </w:r>
    </w:p>
    <w:p w:rsidR="00CE6C06" w:rsidRDefault="00CE6C06" w:rsidP="00990ECD">
      <w:pPr>
        <w:tabs>
          <w:tab w:val="left" w:pos="-720"/>
        </w:tabs>
        <w:suppressAutoHyphens/>
        <w:jc w:val="both"/>
        <w:rPr>
          <w:rFonts w:ascii="Times New Roman" w:hAnsi="Times New Roman"/>
        </w:rPr>
      </w:pPr>
    </w:p>
    <w:p w:rsidR="00DC16CF" w:rsidRPr="00E95B63" w:rsidRDefault="00DC16CF" w:rsidP="00DC16CF">
      <w:pPr>
        <w:tabs>
          <w:tab w:val="left" w:pos="-720"/>
        </w:tabs>
        <w:suppressAutoHyphens/>
        <w:jc w:val="both"/>
        <w:rPr>
          <w:rFonts w:ascii="Times New Roman" w:hAnsi="Times New Roman"/>
          <w:b/>
          <w:i/>
        </w:rPr>
      </w:pPr>
      <w:r w:rsidRPr="00E95B63">
        <w:rPr>
          <w:rFonts w:ascii="Times New Roman" w:hAnsi="Times New Roman"/>
          <w:b/>
          <w:i/>
        </w:rPr>
        <w:t>Genotoxicity</w:t>
      </w:r>
    </w:p>
    <w:p w:rsidR="00DC16CF" w:rsidRPr="00CE3A05" w:rsidRDefault="00831C03" w:rsidP="00DC16CF">
      <w:pPr>
        <w:tabs>
          <w:tab w:val="left" w:pos="-720"/>
        </w:tabs>
        <w:suppressAutoHyphens/>
        <w:jc w:val="both"/>
        <w:rPr>
          <w:rFonts w:ascii="Times New Roman" w:hAnsi="Times New Roman"/>
          <w:spacing w:val="-2"/>
        </w:rPr>
      </w:pPr>
      <w:r w:rsidRPr="00102694">
        <w:rPr>
          <w:rFonts w:ascii="Times New Roman" w:hAnsi="Times New Roman"/>
          <w:spacing w:val="-2"/>
        </w:rPr>
        <w:t xml:space="preserve">Genotoxicity studies have not been performed with </w:t>
      </w:r>
      <w:r>
        <w:t>NovoThirteen</w:t>
      </w:r>
      <w:r>
        <w:rPr>
          <w:rFonts w:ascii="Times New Roman" w:hAnsi="Times New Roman"/>
          <w:spacing w:val="-2"/>
        </w:rPr>
        <w:t xml:space="preserve"> since FXIII is an endogenous protein.</w:t>
      </w:r>
    </w:p>
    <w:p w:rsidR="00DC16CF" w:rsidRPr="00187712" w:rsidRDefault="00DC16CF" w:rsidP="00DC16CF">
      <w:pPr>
        <w:tabs>
          <w:tab w:val="left" w:pos="-720"/>
        </w:tabs>
        <w:suppressAutoHyphens/>
        <w:jc w:val="both"/>
        <w:rPr>
          <w:rFonts w:ascii="Times New Roman" w:hAnsi="Times New Roman"/>
          <w:spacing w:val="-2"/>
        </w:rPr>
      </w:pPr>
    </w:p>
    <w:p w:rsidR="00DC16CF" w:rsidRPr="00E95B63" w:rsidRDefault="00DC16CF" w:rsidP="00DC16CF">
      <w:pPr>
        <w:jc w:val="both"/>
        <w:outlineLvl w:val="0"/>
        <w:rPr>
          <w:rFonts w:ascii="Times New Roman" w:hAnsi="Times New Roman"/>
          <w:b/>
          <w:i/>
        </w:rPr>
      </w:pPr>
      <w:r w:rsidRPr="00E95B63">
        <w:rPr>
          <w:rFonts w:ascii="Times New Roman" w:hAnsi="Times New Roman"/>
          <w:b/>
          <w:i/>
        </w:rPr>
        <w:t>Carcinogenicity</w:t>
      </w:r>
    </w:p>
    <w:p w:rsidR="00DC16CF" w:rsidRDefault="00831C03" w:rsidP="00DC16CF">
      <w:pPr>
        <w:tabs>
          <w:tab w:val="left" w:pos="-720"/>
        </w:tabs>
        <w:suppressAutoHyphens/>
        <w:jc w:val="both"/>
        <w:rPr>
          <w:rFonts w:ascii="Times New Roman" w:hAnsi="Times New Roman"/>
          <w:spacing w:val="-2"/>
        </w:rPr>
      </w:pPr>
      <w:r w:rsidRPr="00187712">
        <w:rPr>
          <w:rFonts w:ascii="Times New Roman" w:hAnsi="Times New Roman"/>
          <w:spacing w:val="-2"/>
        </w:rPr>
        <w:t xml:space="preserve">No carcinogenicity studies have been conducted with </w:t>
      </w:r>
      <w:r>
        <w:t xml:space="preserve">NovoThirteen </w:t>
      </w:r>
      <w:r>
        <w:rPr>
          <w:rFonts w:ascii="Times New Roman" w:hAnsi="Times New Roman"/>
          <w:spacing w:val="-2"/>
        </w:rPr>
        <w:t>since FXIII is an endogenous protein</w:t>
      </w:r>
      <w:r w:rsidRPr="00187712">
        <w:rPr>
          <w:rFonts w:ascii="Times New Roman" w:hAnsi="Times New Roman"/>
          <w:spacing w:val="-2"/>
        </w:rPr>
        <w:t>.</w:t>
      </w:r>
    </w:p>
    <w:p w:rsidR="007F0792" w:rsidRDefault="007F0792" w:rsidP="00DC16CF">
      <w:pPr>
        <w:tabs>
          <w:tab w:val="left" w:pos="-720"/>
        </w:tabs>
        <w:suppressAutoHyphens/>
        <w:jc w:val="both"/>
        <w:rPr>
          <w:rFonts w:ascii="Times New Roman" w:hAnsi="Times New Roman"/>
          <w:spacing w:val="-2"/>
        </w:rPr>
      </w:pPr>
    </w:p>
    <w:p w:rsidR="007F0792" w:rsidRPr="00E95B63" w:rsidRDefault="007F0792" w:rsidP="00DC16CF">
      <w:pPr>
        <w:tabs>
          <w:tab w:val="left" w:pos="-720"/>
        </w:tabs>
        <w:suppressAutoHyphens/>
        <w:jc w:val="both"/>
        <w:rPr>
          <w:rFonts w:ascii="Times New Roman" w:hAnsi="Times New Roman"/>
          <w:b/>
          <w:i/>
          <w:spacing w:val="-2"/>
        </w:rPr>
      </w:pPr>
      <w:r w:rsidRPr="00E95B63">
        <w:rPr>
          <w:rFonts w:ascii="Times New Roman" w:hAnsi="Times New Roman"/>
          <w:b/>
          <w:i/>
          <w:spacing w:val="-2"/>
        </w:rPr>
        <w:t>Monitoring and Laboratory Tests</w:t>
      </w:r>
    </w:p>
    <w:p w:rsidR="00A2225D" w:rsidRDefault="00A2225D" w:rsidP="00DC16CF">
      <w:pPr>
        <w:tabs>
          <w:tab w:val="left" w:pos="-720"/>
        </w:tabs>
        <w:suppressAutoHyphens/>
        <w:jc w:val="both"/>
        <w:rPr>
          <w:rFonts w:ascii="Times New Roman" w:hAnsi="Times New Roman"/>
          <w:spacing w:val="-2"/>
        </w:rPr>
      </w:pPr>
      <w:r>
        <w:rPr>
          <w:rFonts w:ascii="Times New Roman" w:hAnsi="Times New Roman"/>
          <w:spacing w:val="-2"/>
        </w:rPr>
        <w:t>Monitoring NovoThirteen activity levels using a standard FXIII activity assay is recommended.</w:t>
      </w:r>
    </w:p>
    <w:p w:rsidR="00A2225D" w:rsidRDefault="00A2225D" w:rsidP="00DC16CF">
      <w:pPr>
        <w:tabs>
          <w:tab w:val="left" w:pos="-720"/>
        </w:tabs>
        <w:suppressAutoHyphens/>
        <w:jc w:val="both"/>
        <w:rPr>
          <w:rFonts w:ascii="Times New Roman" w:hAnsi="Times New Roman"/>
          <w:spacing w:val="-2"/>
        </w:rPr>
      </w:pPr>
    </w:p>
    <w:p w:rsidR="0086065E" w:rsidRDefault="00E95B63" w:rsidP="001B6056">
      <w:pPr>
        <w:tabs>
          <w:tab w:val="left" w:pos="-720"/>
        </w:tabs>
        <w:suppressAutoHyphens/>
        <w:jc w:val="both"/>
        <w:rPr>
          <w:rFonts w:ascii="Times New Roman" w:hAnsi="Times New Roman"/>
          <w:spacing w:val="-2"/>
        </w:rPr>
      </w:pPr>
      <w:r>
        <w:rPr>
          <w:rFonts w:ascii="Times New Roman" w:hAnsi="Times New Roman"/>
          <w:spacing w:val="-2"/>
        </w:rPr>
        <w:t>I</w:t>
      </w:r>
      <w:r w:rsidR="007F0792">
        <w:rPr>
          <w:rFonts w:ascii="Times New Roman" w:hAnsi="Times New Roman"/>
          <w:spacing w:val="-2"/>
        </w:rPr>
        <w:t>f during monitoring FXIII activity fails to reach expected levels or if reduced therapeutic effect is observed, analysis for antibodies should be performed.</w:t>
      </w:r>
    </w:p>
    <w:p w:rsidR="002B34E3" w:rsidRPr="00DC16CF" w:rsidRDefault="00DC16CF" w:rsidP="001B6056">
      <w:pPr>
        <w:pStyle w:val="Heading1"/>
        <w:spacing w:before="360"/>
        <w:rPr>
          <w:bCs/>
        </w:rPr>
      </w:pPr>
      <w:r>
        <w:rPr>
          <w:bCs/>
        </w:rPr>
        <w:t>INTERACTION WITH OTHER MEDICINES</w:t>
      </w:r>
    </w:p>
    <w:p w:rsidR="00187712" w:rsidRDefault="00187712" w:rsidP="00187712">
      <w:pPr>
        <w:rPr>
          <w:rFonts w:ascii="Times New Roman" w:hAnsi="Times New Roman"/>
          <w:szCs w:val="24"/>
          <w:lang w:eastAsia="en-GB"/>
        </w:rPr>
      </w:pPr>
      <w:r w:rsidRPr="00187712">
        <w:rPr>
          <w:rFonts w:ascii="Times New Roman" w:hAnsi="Times New Roman"/>
          <w:szCs w:val="24"/>
          <w:lang w:eastAsia="en-GB"/>
        </w:rPr>
        <w:t>There is no clinical data availab</w:t>
      </w:r>
      <w:r w:rsidR="00A50B60">
        <w:rPr>
          <w:rFonts w:ascii="Times New Roman" w:hAnsi="Times New Roman"/>
          <w:szCs w:val="24"/>
          <w:lang w:eastAsia="en-GB"/>
        </w:rPr>
        <w:t xml:space="preserve">le on interaction between </w:t>
      </w:r>
      <w:r w:rsidR="002B58C2">
        <w:rPr>
          <w:rFonts w:ascii="Times New Roman" w:hAnsi="Times New Roman"/>
          <w:szCs w:val="24"/>
          <w:lang w:eastAsia="en-GB"/>
        </w:rPr>
        <w:t>rFXIII</w:t>
      </w:r>
      <w:r w:rsidRPr="00187712">
        <w:rPr>
          <w:rFonts w:ascii="Times New Roman" w:hAnsi="Times New Roman"/>
          <w:szCs w:val="24"/>
          <w:lang w:eastAsia="en-GB"/>
        </w:rPr>
        <w:t xml:space="preserve"> and other medicinal products.</w:t>
      </w:r>
    </w:p>
    <w:p w:rsidR="00187712" w:rsidRPr="00187712" w:rsidRDefault="00187712" w:rsidP="00187712">
      <w:pPr>
        <w:rPr>
          <w:rFonts w:ascii="Times New Roman" w:hAnsi="Times New Roman"/>
          <w:szCs w:val="24"/>
          <w:lang w:eastAsia="en-GB"/>
        </w:rPr>
      </w:pPr>
    </w:p>
    <w:p w:rsidR="00187712" w:rsidRDefault="00187712" w:rsidP="00187712">
      <w:pPr>
        <w:pStyle w:val="BodyText"/>
        <w:tabs>
          <w:tab w:val="left" w:pos="1845"/>
        </w:tabs>
        <w:rPr>
          <w:szCs w:val="24"/>
          <w:lang w:eastAsia="en-GB"/>
        </w:rPr>
      </w:pPr>
      <w:r w:rsidRPr="00187712">
        <w:rPr>
          <w:szCs w:val="24"/>
          <w:lang w:eastAsia="en-GB"/>
        </w:rPr>
        <w:t xml:space="preserve">A potential synergistic effect of combined treatment with </w:t>
      </w:r>
      <w:r w:rsidR="002B58C2">
        <w:rPr>
          <w:szCs w:val="24"/>
          <w:lang w:eastAsia="en-GB"/>
        </w:rPr>
        <w:t>rFXIII</w:t>
      </w:r>
      <w:r w:rsidRPr="00187712">
        <w:rPr>
          <w:szCs w:val="24"/>
          <w:lang w:eastAsia="en-GB"/>
        </w:rPr>
        <w:t xml:space="preserve"> and rFVIIa in an advanced cardiovascular mod</w:t>
      </w:r>
      <w:r w:rsidR="00A50B60">
        <w:rPr>
          <w:szCs w:val="24"/>
          <w:lang w:eastAsia="en-GB"/>
        </w:rPr>
        <w:t>el in cynomolgus monkey resulted</w:t>
      </w:r>
      <w:r w:rsidRPr="00187712">
        <w:rPr>
          <w:szCs w:val="24"/>
          <w:lang w:eastAsia="en-GB"/>
        </w:rPr>
        <w:t xml:space="preserve"> in exaggerated pharmacology (thrombosis and death) at a lower dose level than when administering the individual compounds.</w:t>
      </w:r>
    </w:p>
    <w:p w:rsidR="00187712" w:rsidRPr="00187712" w:rsidRDefault="00187712" w:rsidP="00187712">
      <w:pPr>
        <w:pStyle w:val="BodyText"/>
        <w:tabs>
          <w:tab w:val="left" w:pos="1845"/>
        </w:tabs>
        <w:rPr>
          <w:szCs w:val="24"/>
        </w:rPr>
      </w:pPr>
    </w:p>
    <w:p w:rsidR="00A36D89" w:rsidRPr="00187712" w:rsidRDefault="00187712" w:rsidP="00187712">
      <w:pPr>
        <w:tabs>
          <w:tab w:val="left" w:pos="-720"/>
        </w:tabs>
        <w:suppressAutoHyphens/>
        <w:jc w:val="both"/>
        <w:outlineLvl w:val="0"/>
        <w:rPr>
          <w:rFonts w:ascii="Times New Roman" w:hAnsi="Times New Roman"/>
          <w:szCs w:val="24"/>
        </w:rPr>
      </w:pPr>
      <w:r w:rsidRPr="00187712">
        <w:rPr>
          <w:rFonts w:ascii="Times New Roman" w:hAnsi="Times New Roman"/>
          <w:szCs w:val="24"/>
        </w:rPr>
        <w:t>Based on the non-clinical study it is n</w:t>
      </w:r>
      <w:r w:rsidR="00BC6786">
        <w:rPr>
          <w:rFonts w:ascii="Times New Roman" w:hAnsi="Times New Roman"/>
          <w:szCs w:val="24"/>
        </w:rPr>
        <w:t xml:space="preserve">ot recommended to combine </w:t>
      </w:r>
      <w:r w:rsidR="002B58C2">
        <w:rPr>
          <w:rFonts w:ascii="Times New Roman" w:hAnsi="Times New Roman"/>
          <w:szCs w:val="24"/>
        </w:rPr>
        <w:t>rFXIII</w:t>
      </w:r>
      <w:r w:rsidRPr="00187712">
        <w:rPr>
          <w:rFonts w:ascii="Times New Roman" w:hAnsi="Times New Roman"/>
          <w:szCs w:val="24"/>
        </w:rPr>
        <w:t xml:space="preserve"> and rFVIIa.</w:t>
      </w:r>
    </w:p>
    <w:p w:rsidR="00187712" w:rsidRPr="00187712" w:rsidRDefault="00187712" w:rsidP="00187712">
      <w:pPr>
        <w:tabs>
          <w:tab w:val="left" w:pos="-720"/>
        </w:tabs>
        <w:suppressAutoHyphens/>
        <w:jc w:val="both"/>
        <w:outlineLvl w:val="0"/>
        <w:rPr>
          <w:rFonts w:ascii="Times New Roman" w:hAnsi="Times New Roman"/>
          <w:i/>
          <w:spacing w:val="-2"/>
        </w:rPr>
      </w:pPr>
    </w:p>
    <w:p w:rsidR="002B34E3" w:rsidRPr="002B58C2" w:rsidRDefault="002B34E3" w:rsidP="00D06BA3">
      <w:pPr>
        <w:tabs>
          <w:tab w:val="left" w:pos="-720"/>
        </w:tabs>
        <w:suppressAutoHyphens/>
        <w:jc w:val="both"/>
        <w:outlineLvl w:val="0"/>
        <w:rPr>
          <w:rFonts w:ascii="Times New Roman" w:hAnsi="Times New Roman"/>
          <w:b/>
          <w:spacing w:val="-2"/>
        </w:rPr>
      </w:pPr>
      <w:r w:rsidRPr="002B58C2">
        <w:rPr>
          <w:rFonts w:ascii="Times New Roman" w:hAnsi="Times New Roman"/>
          <w:b/>
          <w:i/>
          <w:spacing w:val="-2"/>
        </w:rPr>
        <w:lastRenderedPageBreak/>
        <w:t>Incompatibilities</w:t>
      </w:r>
    </w:p>
    <w:p w:rsidR="00187712" w:rsidRPr="00CE3A05" w:rsidRDefault="00187712" w:rsidP="00D06BA3">
      <w:pPr>
        <w:tabs>
          <w:tab w:val="left" w:pos="-720"/>
        </w:tabs>
        <w:suppressAutoHyphens/>
        <w:jc w:val="both"/>
        <w:rPr>
          <w:rFonts w:ascii="Times New Roman" w:hAnsi="Times New Roman"/>
          <w:spacing w:val="-2"/>
          <w:szCs w:val="24"/>
        </w:rPr>
      </w:pPr>
      <w:r w:rsidRPr="00187712">
        <w:rPr>
          <w:rFonts w:ascii="Times New Roman" w:hAnsi="Times New Roman"/>
          <w:color w:val="000000"/>
          <w:szCs w:val="24"/>
        </w:rPr>
        <w:t>In the absence of compatibility studies, this medicinal product must not be mixed with other medicinal products.</w:t>
      </w:r>
    </w:p>
    <w:p w:rsidR="00324C62" w:rsidRPr="00DC16CF" w:rsidRDefault="002B34E3" w:rsidP="005D7B4E">
      <w:pPr>
        <w:pStyle w:val="Heading1"/>
        <w:spacing w:before="360"/>
      </w:pPr>
      <w:r w:rsidRPr="00DC16CF">
        <w:rPr>
          <w:bCs/>
        </w:rPr>
        <w:t xml:space="preserve">ADVERSE </w:t>
      </w:r>
      <w:r w:rsidR="00225DCE" w:rsidRPr="00DC16CF">
        <w:rPr>
          <w:bCs/>
        </w:rPr>
        <w:t>EFFECTS</w:t>
      </w:r>
    </w:p>
    <w:p w:rsidR="00755564" w:rsidRDefault="00EA104B" w:rsidP="00EA104B">
      <w:pPr>
        <w:pStyle w:val="BodyText"/>
        <w:rPr>
          <w:szCs w:val="24"/>
        </w:rPr>
      </w:pPr>
      <w:r w:rsidRPr="00EA104B">
        <w:rPr>
          <w:szCs w:val="24"/>
        </w:rPr>
        <w:t xml:space="preserve">In </w:t>
      </w:r>
      <w:r w:rsidR="00A56AEE">
        <w:rPr>
          <w:szCs w:val="24"/>
        </w:rPr>
        <w:t>two p</w:t>
      </w:r>
      <w:r w:rsidR="00755564">
        <w:rPr>
          <w:szCs w:val="24"/>
        </w:rPr>
        <w:t xml:space="preserve">hase 3 </w:t>
      </w:r>
      <w:r w:rsidRPr="00EA104B">
        <w:rPr>
          <w:szCs w:val="24"/>
        </w:rPr>
        <w:t xml:space="preserve">clinical trials, </w:t>
      </w:r>
      <w:r w:rsidR="00E37250">
        <w:rPr>
          <w:szCs w:val="24"/>
        </w:rPr>
        <w:t>NovoThirteen</w:t>
      </w:r>
      <w:r w:rsidR="00E37250" w:rsidRPr="00EA104B">
        <w:rPr>
          <w:szCs w:val="24"/>
        </w:rPr>
        <w:t xml:space="preserve"> </w:t>
      </w:r>
      <w:r w:rsidRPr="00EA104B">
        <w:rPr>
          <w:szCs w:val="24"/>
        </w:rPr>
        <w:t xml:space="preserve">has been administered to </w:t>
      </w:r>
      <w:r w:rsidR="00755564">
        <w:rPr>
          <w:szCs w:val="24"/>
        </w:rPr>
        <w:t>41</w:t>
      </w:r>
      <w:r w:rsidR="00755564" w:rsidRPr="00EA104B">
        <w:rPr>
          <w:i/>
          <w:szCs w:val="24"/>
        </w:rPr>
        <w:t> </w:t>
      </w:r>
      <w:r w:rsidRPr="00EA104B">
        <w:rPr>
          <w:szCs w:val="24"/>
        </w:rPr>
        <w:t>patients with congenital factor XIII A-subunit deficiency (</w:t>
      </w:r>
      <w:r w:rsidR="00871683">
        <w:rPr>
          <w:szCs w:val="24"/>
        </w:rPr>
        <w:t>15</w:t>
      </w:r>
      <w:r w:rsidR="00FF345D">
        <w:rPr>
          <w:szCs w:val="24"/>
        </w:rPr>
        <w:t xml:space="preserve"> </w:t>
      </w:r>
      <w:r w:rsidR="00D60EAA">
        <w:rPr>
          <w:szCs w:val="24"/>
        </w:rPr>
        <w:t>patients were between the age of 6 to less than 18 years old</w:t>
      </w:r>
      <w:r w:rsidR="000D31B7">
        <w:rPr>
          <w:szCs w:val="24"/>
        </w:rPr>
        <w:t>)</w:t>
      </w:r>
      <w:r w:rsidR="00D60EAA">
        <w:rPr>
          <w:szCs w:val="24"/>
        </w:rPr>
        <w:t>.</w:t>
      </w:r>
    </w:p>
    <w:p w:rsidR="008F0B4C" w:rsidRDefault="008F0B4C" w:rsidP="00EA104B">
      <w:pPr>
        <w:pStyle w:val="BodyText"/>
        <w:rPr>
          <w:szCs w:val="24"/>
        </w:rPr>
      </w:pPr>
    </w:p>
    <w:p w:rsidR="00F26BE7" w:rsidRDefault="006369EA" w:rsidP="00EA104B">
      <w:pPr>
        <w:pStyle w:val="BodyText"/>
        <w:rPr>
          <w:rStyle w:val="BodyTextChar"/>
          <w:b/>
          <w:i/>
          <w:szCs w:val="24"/>
        </w:rPr>
      </w:pPr>
      <w:r w:rsidRPr="004224D7">
        <w:rPr>
          <w:rStyle w:val="BodyTextChar"/>
          <w:b/>
          <w:i/>
          <w:szCs w:val="24"/>
        </w:rPr>
        <w:t>Ta</w:t>
      </w:r>
      <w:r>
        <w:rPr>
          <w:rStyle w:val="BodyTextChar"/>
          <w:b/>
          <w:i/>
          <w:szCs w:val="24"/>
        </w:rPr>
        <w:t>bulated list of adverse events</w:t>
      </w:r>
    </w:p>
    <w:p w:rsidR="006369EA" w:rsidRPr="00FF345D" w:rsidRDefault="00A56AEE" w:rsidP="00EA104B">
      <w:pPr>
        <w:pStyle w:val="BodyText"/>
      </w:pPr>
      <w:r>
        <w:t xml:space="preserve">A </w:t>
      </w:r>
      <w:r w:rsidR="006369EA" w:rsidRPr="00FF345D">
        <w:t xml:space="preserve">total of </w:t>
      </w:r>
      <w:r w:rsidR="00871683">
        <w:t>352</w:t>
      </w:r>
      <w:r w:rsidR="006369EA" w:rsidRPr="00FF345D">
        <w:t xml:space="preserve"> adverse events </w:t>
      </w:r>
      <w:r w:rsidR="009D3E87">
        <w:t>regardless of relationship to rFXIII</w:t>
      </w:r>
      <w:r w:rsidR="006369EA" w:rsidRPr="00FF345D">
        <w:t xml:space="preserve"> were reported </w:t>
      </w:r>
      <w:r>
        <w:t xml:space="preserve">in the two phase </w:t>
      </w:r>
      <w:r w:rsidR="00004945">
        <w:t>3</w:t>
      </w:r>
      <w:r>
        <w:t xml:space="preserve"> trials </w:t>
      </w:r>
      <w:r w:rsidR="00715B6B">
        <w:t xml:space="preserve">among </w:t>
      </w:r>
      <w:r w:rsidR="00871683">
        <w:t>32</w:t>
      </w:r>
      <w:r w:rsidR="00715B6B">
        <w:t xml:space="preserve"> of the 41 patients receiv</w:t>
      </w:r>
      <w:r>
        <w:t>ing</w:t>
      </w:r>
      <w:r w:rsidR="00715B6B">
        <w:t xml:space="preserve"> a total of 910 </w:t>
      </w:r>
      <w:r w:rsidR="00FF345D">
        <w:t>injections</w:t>
      </w:r>
      <w:r w:rsidR="00715B6B">
        <w:t xml:space="preserve"> of rFXIII</w:t>
      </w:r>
      <w:r>
        <w:t>.</w:t>
      </w:r>
      <w:r w:rsidR="006369EA" w:rsidRPr="00FF345D">
        <w:t xml:space="preserve"> Adverse events </w:t>
      </w:r>
      <w:r w:rsidR="00715B6B" w:rsidRPr="00715B6B">
        <w:t xml:space="preserve">reported </w:t>
      </w:r>
      <w:r w:rsidR="00715B6B">
        <w:t xml:space="preserve">by </w:t>
      </w:r>
      <w:r w:rsidR="00DD57AC">
        <w:t xml:space="preserve">more than </w:t>
      </w:r>
      <w:r w:rsidR="006369EA" w:rsidRPr="00FF345D">
        <w:t>10% of the patients are presented in</w:t>
      </w:r>
      <w:r w:rsidR="00CE3A05">
        <w:t xml:space="preserve"> </w:t>
      </w:r>
      <w:r w:rsidR="00994500">
        <w:t>T</w:t>
      </w:r>
      <w:r w:rsidR="000D31B7">
        <w:t>able 2</w:t>
      </w:r>
      <w:r w:rsidR="00CE3A05">
        <w:t>.</w:t>
      </w:r>
    </w:p>
    <w:p w:rsidR="006369EA" w:rsidRDefault="006369EA" w:rsidP="00EA104B">
      <w:pPr>
        <w:pStyle w:val="BodyText"/>
        <w:rPr>
          <w:rStyle w:val="BodyTextChar"/>
          <w:b/>
          <w:szCs w:val="24"/>
        </w:rPr>
      </w:pPr>
    </w:p>
    <w:p w:rsidR="00CE3A05" w:rsidRDefault="003D71AB" w:rsidP="00EA104B">
      <w:pPr>
        <w:pStyle w:val="BodyText"/>
        <w:rPr>
          <w:rStyle w:val="BodyTextChar"/>
          <w:b/>
          <w:szCs w:val="24"/>
        </w:rPr>
      </w:pPr>
      <w:r>
        <w:rPr>
          <w:rStyle w:val="BodyTextChar"/>
          <w:b/>
          <w:szCs w:val="24"/>
        </w:rPr>
        <w:br w:type="page"/>
      </w:r>
      <w:r w:rsidR="00CE3A05">
        <w:rPr>
          <w:rStyle w:val="BodyTextChar"/>
          <w:b/>
          <w:szCs w:val="24"/>
        </w:rPr>
        <w:lastRenderedPageBreak/>
        <w:t xml:space="preserve">Table </w:t>
      </w:r>
      <w:r w:rsidR="001F7847">
        <w:rPr>
          <w:rStyle w:val="BodyTextChar"/>
          <w:b/>
          <w:szCs w:val="24"/>
        </w:rPr>
        <w:t>2:</w:t>
      </w:r>
      <w:r w:rsidR="00CE3A05">
        <w:rPr>
          <w:rStyle w:val="BodyTextChar"/>
          <w:b/>
          <w:szCs w:val="24"/>
        </w:rPr>
        <w:t xml:space="preserve"> Tabulated list of adverse events reported in more than 10% of patients</w:t>
      </w:r>
    </w:p>
    <w:p w:rsidR="006369EA" w:rsidRPr="00CE3A05" w:rsidRDefault="006369EA" w:rsidP="00EA104B">
      <w:pPr>
        <w:pStyle w:val="BodyTex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993"/>
        <w:gridCol w:w="1490"/>
        <w:gridCol w:w="1723"/>
        <w:gridCol w:w="1723"/>
      </w:tblGrid>
      <w:tr w:rsidR="00F26BE7" w:rsidRPr="009B7C46" w:rsidTr="00DD57AC">
        <w:tc>
          <w:tcPr>
            <w:tcW w:w="2075" w:type="dxa"/>
            <w:shd w:val="clear" w:color="auto" w:fill="auto"/>
            <w:vAlign w:val="center"/>
          </w:tcPr>
          <w:p w:rsidR="00F26BE7" w:rsidRPr="009B7C46" w:rsidRDefault="00F26BE7" w:rsidP="00DD57AC">
            <w:pPr>
              <w:pStyle w:val="BodyText"/>
              <w:jc w:val="left"/>
              <w:rPr>
                <w:szCs w:val="24"/>
                <w:lang w:val="en-GB"/>
              </w:rPr>
            </w:pPr>
            <w:r w:rsidRPr="009B7C46">
              <w:rPr>
                <w:szCs w:val="24"/>
                <w:lang w:val="en-GB"/>
              </w:rPr>
              <w:t>MedDRAa System Organ Class</w:t>
            </w:r>
          </w:p>
        </w:tc>
        <w:tc>
          <w:tcPr>
            <w:tcW w:w="1993" w:type="dxa"/>
            <w:shd w:val="clear" w:color="auto" w:fill="auto"/>
            <w:vAlign w:val="center"/>
          </w:tcPr>
          <w:p w:rsidR="00F26BE7" w:rsidRPr="009B7C46" w:rsidRDefault="00F26BE7" w:rsidP="00DD57AC">
            <w:pPr>
              <w:pStyle w:val="BodyText"/>
              <w:jc w:val="left"/>
              <w:rPr>
                <w:szCs w:val="24"/>
                <w:lang w:val="en-GB"/>
              </w:rPr>
            </w:pPr>
            <w:r w:rsidRPr="009B7C46">
              <w:rPr>
                <w:szCs w:val="24"/>
                <w:lang w:val="en-GB"/>
              </w:rPr>
              <w:t xml:space="preserve">Meddra Preferred </w:t>
            </w:r>
            <w:r w:rsidR="00DD57AC">
              <w:rPr>
                <w:szCs w:val="24"/>
                <w:lang w:val="en-GB"/>
              </w:rPr>
              <w:t>T</w:t>
            </w:r>
            <w:r w:rsidRPr="009B7C46">
              <w:rPr>
                <w:szCs w:val="24"/>
                <w:lang w:val="en-GB"/>
              </w:rPr>
              <w:t>erm</w:t>
            </w:r>
          </w:p>
        </w:tc>
        <w:tc>
          <w:tcPr>
            <w:tcW w:w="1490" w:type="dxa"/>
            <w:shd w:val="clear" w:color="auto" w:fill="auto"/>
            <w:vAlign w:val="center"/>
          </w:tcPr>
          <w:p w:rsidR="00F26BE7" w:rsidRPr="009B7C46" w:rsidRDefault="00F26BE7" w:rsidP="00DD57AC">
            <w:pPr>
              <w:pStyle w:val="BodyText"/>
              <w:jc w:val="left"/>
              <w:rPr>
                <w:szCs w:val="24"/>
                <w:lang w:val="en-GB"/>
              </w:rPr>
            </w:pPr>
            <w:r w:rsidRPr="009B7C46">
              <w:rPr>
                <w:szCs w:val="24"/>
                <w:lang w:val="en-GB"/>
              </w:rPr>
              <w:t>Number of patients</w:t>
            </w:r>
          </w:p>
        </w:tc>
        <w:tc>
          <w:tcPr>
            <w:tcW w:w="1723" w:type="dxa"/>
            <w:shd w:val="clear" w:color="auto" w:fill="auto"/>
            <w:vAlign w:val="center"/>
          </w:tcPr>
          <w:p w:rsidR="00F26BE7" w:rsidRPr="009B7C46" w:rsidRDefault="00F26BE7" w:rsidP="00DD57AC">
            <w:pPr>
              <w:pStyle w:val="BodyText"/>
              <w:jc w:val="left"/>
              <w:rPr>
                <w:szCs w:val="24"/>
                <w:lang w:val="en-GB"/>
              </w:rPr>
            </w:pPr>
            <w:r w:rsidRPr="009B7C46">
              <w:rPr>
                <w:szCs w:val="24"/>
                <w:lang w:val="en-GB"/>
              </w:rPr>
              <w:t>% of patients exposed</w:t>
            </w:r>
          </w:p>
        </w:tc>
        <w:tc>
          <w:tcPr>
            <w:tcW w:w="1723" w:type="dxa"/>
            <w:shd w:val="clear" w:color="auto" w:fill="auto"/>
            <w:vAlign w:val="center"/>
          </w:tcPr>
          <w:p w:rsidR="00F26BE7" w:rsidRPr="009B7C46" w:rsidRDefault="00F26BE7" w:rsidP="00DD57AC">
            <w:pPr>
              <w:pStyle w:val="BodyText"/>
              <w:jc w:val="left"/>
              <w:rPr>
                <w:szCs w:val="24"/>
                <w:lang w:val="en-GB"/>
              </w:rPr>
            </w:pPr>
            <w:r w:rsidRPr="009B7C46">
              <w:rPr>
                <w:szCs w:val="24"/>
                <w:lang w:val="en-GB"/>
              </w:rPr>
              <w:t>Number of events</w:t>
            </w:r>
          </w:p>
        </w:tc>
      </w:tr>
      <w:tr w:rsidR="00F26BE7" w:rsidRPr="009B7C46" w:rsidTr="00DD57AC">
        <w:tc>
          <w:tcPr>
            <w:tcW w:w="2075" w:type="dxa"/>
            <w:shd w:val="clear" w:color="auto" w:fill="auto"/>
            <w:vAlign w:val="center"/>
          </w:tcPr>
          <w:p w:rsidR="00F26BE7" w:rsidRPr="009B7C46" w:rsidRDefault="00F26BE7" w:rsidP="00DD57AC">
            <w:pPr>
              <w:pStyle w:val="BodyText"/>
              <w:jc w:val="left"/>
              <w:rPr>
                <w:szCs w:val="24"/>
                <w:lang w:val="en-GB"/>
              </w:rPr>
            </w:pPr>
            <w:r w:rsidRPr="009B7C46">
              <w:rPr>
                <w:szCs w:val="24"/>
                <w:lang w:val="en-GB"/>
              </w:rPr>
              <w:t>General disorders and administration site conditions</w:t>
            </w:r>
          </w:p>
        </w:tc>
        <w:tc>
          <w:tcPr>
            <w:tcW w:w="1993" w:type="dxa"/>
            <w:shd w:val="clear" w:color="auto" w:fill="auto"/>
            <w:vAlign w:val="center"/>
          </w:tcPr>
          <w:p w:rsidR="00F26BE7" w:rsidRPr="009B7C46" w:rsidRDefault="00F26BE7" w:rsidP="009B7C46">
            <w:pPr>
              <w:pStyle w:val="BodyText"/>
              <w:rPr>
                <w:szCs w:val="24"/>
                <w:lang w:val="en-GB"/>
              </w:rPr>
            </w:pPr>
            <w:r w:rsidRPr="009B7C46">
              <w:rPr>
                <w:szCs w:val="24"/>
                <w:lang w:val="en-GB"/>
              </w:rPr>
              <w:t>Pyrexia</w:t>
            </w:r>
          </w:p>
        </w:tc>
        <w:tc>
          <w:tcPr>
            <w:tcW w:w="1490" w:type="dxa"/>
            <w:shd w:val="clear" w:color="auto" w:fill="auto"/>
            <w:vAlign w:val="center"/>
          </w:tcPr>
          <w:p w:rsidR="00F26BE7" w:rsidRPr="009B7C46" w:rsidRDefault="00F26BE7" w:rsidP="009B7C46">
            <w:pPr>
              <w:pStyle w:val="BodyText"/>
              <w:rPr>
                <w:szCs w:val="24"/>
                <w:lang w:val="en-GB"/>
              </w:rPr>
            </w:pPr>
            <w:r w:rsidRPr="009B7C46">
              <w:rPr>
                <w:szCs w:val="24"/>
                <w:lang w:val="en-GB"/>
              </w:rPr>
              <w:t>8</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19.5</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10</w:t>
            </w:r>
          </w:p>
        </w:tc>
      </w:tr>
      <w:tr w:rsidR="00F26BE7" w:rsidRPr="009B7C46" w:rsidTr="00DD57AC">
        <w:tc>
          <w:tcPr>
            <w:tcW w:w="2075" w:type="dxa"/>
            <w:shd w:val="clear" w:color="auto" w:fill="auto"/>
            <w:vAlign w:val="center"/>
          </w:tcPr>
          <w:p w:rsidR="00F26BE7" w:rsidRPr="009B7C46" w:rsidRDefault="00F26BE7" w:rsidP="00DD57AC">
            <w:pPr>
              <w:pStyle w:val="BodyText"/>
              <w:jc w:val="left"/>
              <w:rPr>
                <w:szCs w:val="24"/>
                <w:lang w:val="en-GB"/>
              </w:rPr>
            </w:pPr>
            <w:r w:rsidRPr="009B7C46">
              <w:rPr>
                <w:szCs w:val="24"/>
                <w:lang w:val="en-GB"/>
              </w:rPr>
              <w:t>Infection and infestations</w:t>
            </w:r>
          </w:p>
        </w:tc>
        <w:tc>
          <w:tcPr>
            <w:tcW w:w="1993" w:type="dxa"/>
            <w:shd w:val="clear" w:color="auto" w:fill="auto"/>
            <w:vAlign w:val="center"/>
          </w:tcPr>
          <w:p w:rsidR="00F26BE7" w:rsidRPr="009B7C46" w:rsidRDefault="00F26BE7" w:rsidP="009B7C46">
            <w:pPr>
              <w:pStyle w:val="BodyText"/>
              <w:rPr>
                <w:szCs w:val="24"/>
                <w:lang w:val="en-GB"/>
              </w:rPr>
            </w:pPr>
            <w:r w:rsidRPr="009B7C46">
              <w:rPr>
                <w:szCs w:val="24"/>
                <w:lang w:val="en-GB"/>
              </w:rPr>
              <w:t>Nasopharyngitis</w:t>
            </w:r>
          </w:p>
        </w:tc>
        <w:tc>
          <w:tcPr>
            <w:tcW w:w="1490" w:type="dxa"/>
            <w:shd w:val="clear" w:color="auto" w:fill="auto"/>
            <w:vAlign w:val="center"/>
          </w:tcPr>
          <w:p w:rsidR="00F26BE7" w:rsidRPr="009B7C46" w:rsidRDefault="00F26BE7" w:rsidP="009B7C46">
            <w:pPr>
              <w:pStyle w:val="BodyText"/>
              <w:rPr>
                <w:szCs w:val="24"/>
                <w:lang w:val="en-GB"/>
              </w:rPr>
            </w:pPr>
            <w:r w:rsidRPr="009B7C46">
              <w:rPr>
                <w:szCs w:val="24"/>
                <w:lang w:val="en-GB"/>
              </w:rPr>
              <w:t>11</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26.8</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19</w:t>
            </w:r>
          </w:p>
        </w:tc>
      </w:tr>
      <w:tr w:rsidR="00F26BE7" w:rsidRPr="009B7C46" w:rsidTr="00DD57AC">
        <w:tc>
          <w:tcPr>
            <w:tcW w:w="2075" w:type="dxa"/>
            <w:vMerge w:val="restart"/>
            <w:shd w:val="clear" w:color="auto" w:fill="auto"/>
            <w:vAlign w:val="center"/>
          </w:tcPr>
          <w:p w:rsidR="00F26BE7" w:rsidRPr="009B7C46" w:rsidRDefault="00F26BE7" w:rsidP="00DD57AC">
            <w:pPr>
              <w:pStyle w:val="BodyText"/>
              <w:jc w:val="left"/>
              <w:rPr>
                <w:szCs w:val="24"/>
                <w:lang w:val="en-GB"/>
              </w:rPr>
            </w:pPr>
            <w:r w:rsidRPr="009B7C46">
              <w:rPr>
                <w:szCs w:val="24"/>
                <w:lang w:val="en-GB"/>
              </w:rPr>
              <w:t>Injury poisoning and procedural complications</w:t>
            </w:r>
          </w:p>
        </w:tc>
        <w:tc>
          <w:tcPr>
            <w:tcW w:w="1993" w:type="dxa"/>
            <w:shd w:val="clear" w:color="auto" w:fill="auto"/>
            <w:vAlign w:val="center"/>
          </w:tcPr>
          <w:p w:rsidR="00F26BE7" w:rsidRPr="009B7C46" w:rsidRDefault="00F26BE7" w:rsidP="009B7C46">
            <w:pPr>
              <w:pStyle w:val="BodyText"/>
              <w:rPr>
                <w:szCs w:val="24"/>
                <w:lang w:val="en-GB"/>
              </w:rPr>
            </w:pPr>
            <w:r w:rsidRPr="009B7C46">
              <w:rPr>
                <w:szCs w:val="24"/>
                <w:lang w:val="en-GB"/>
              </w:rPr>
              <w:t>Excoriation</w:t>
            </w:r>
          </w:p>
        </w:tc>
        <w:tc>
          <w:tcPr>
            <w:tcW w:w="1490" w:type="dxa"/>
            <w:shd w:val="clear" w:color="auto" w:fill="auto"/>
            <w:vAlign w:val="center"/>
          </w:tcPr>
          <w:p w:rsidR="00F26BE7" w:rsidRPr="009B7C46" w:rsidRDefault="00F26BE7" w:rsidP="009B7C46">
            <w:pPr>
              <w:pStyle w:val="BodyText"/>
              <w:rPr>
                <w:szCs w:val="24"/>
                <w:lang w:val="en-GB"/>
              </w:rPr>
            </w:pPr>
            <w:r w:rsidRPr="009B7C46">
              <w:rPr>
                <w:szCs w:val="24"/>
                <w:lang w:val="en-GB"/>
              </w:rPr>
              <w:t>5</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12.2</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6</w:t>
            </w:r>
          </w:p>
        </w:tc>
      </w:tr>
      <w:tr w:rsidR="00F26BE7" w:rsidRPr="009B7C46" w:rsidTr="00DD57AC">
        <w:tc>
          <w:tcPr>
            <w:tcW w:w="2075" w:type="dxa"/>
            <w:vMerge/>
            <w:shd w:val="clear" w:color="auto" w:fill="auto"/>
            <w:vAlign w:val="center"/>
          </w:tcPr>
          <w:p w:rsidR="00F26BE7" w:rsidRPr="009B7C46" w:rsidRDefault="00F26BE7" w:rsidP="00DD57AC">
            <w:pPr>
              <w:pStyle w:val="BodyText"/>
              <w:jc w:val="left"/>
              <w:rPr>
                <w:szCs w:val="24"/>
                <w:lang w:val="en-GB"/>
              </w:rPr>
            </w:pPr>
          </w:p>
        </w:tc>
        <w:tc>
          <w:tcPr>
            <w:tcW w:w="1993" w:type="dxa"/>
            <w:shd w:val="clear" w:color="auto" w:fill="auto"/>
            <w:vAlign w:val="center"/>
          </w:tcPr>
          <w:p w:rsidR="00F26BE7" w:rsidRPr="009B7C46" w:rsidRDefault="00F26BE7" w:rsidP="009B7C46">
            <w:pPr>
              <w:pStyle w:val="BodyText"/>
              <w:rPr>
                <w:szCs w:val="24"/>
                <w:lang w:val="en-GB"/>
              </w:rPr>
            </w:pPr>
            <w:r w:rsidRPr="009B7C46">
              <w:rPr>
                <w:szCs w:val="24"/>
                <w:lang w:val="en-GB"/>
              </w:rPr>
              <w:t>Incorrect dose administration</w:t>
            </w:r>
          </w:p>
        </w:tc>
        <w:tc>
          <w:tcPr>
            <w:tcW w:w="1490" w:type="dxa"/>
            <w:shd w:val="clear" w:color="auto" w:fill="auto"/>
            <w:vAlign w:val="center"/>
          </w:tcPr>
          <w:p w:rsidR="00F26BE7" w:rsidRPr="009B7C46" w:rsidRDefault="00F26BE7" w:rsidP="009B7C46">
            <w:pPr>
              <w:pStyle w:val="BodyText"/>
              <w:rPr>
                <w:szCs w:val="24"/>
                <w:lang w:val="en-GB"/>
              </w:rPr>
            </w:pPr>
            <w:r w:rsidRPr="009B7C46">
              <w:rPr>
                <w:szCs w:val="24"/>
                <w:lang w:val="en-GB"/>
              </w:rPr>
              <w:t>5</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12.2</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12</w:t>
            </w:r>
          </w:p>
        </w:tc>
      </w:tr>
      <w:tr w:rsidR="00F26BE7" w:rsidRPr="009B7C46" w:rsidTr="00DD57AC">
        <w:tc>
          <w:tcPr>
            <w:tcW w:w="2075" w:type="dxa"/>
            <w:vMerge/>
            <w:shd w:val="clear" w:color="auto" w:fill="auto"/>
            <w:vAlign w:val="center"/>
          </w:tcPr>
          <w:p w:rsidR="00F26BE7" w:rsidRPr="009B7C46" w:rsidRDefault="00F26BE7" w:rsidP="00DD57AC">
            <w:pPr>
              <w:pStyle w:val="BodyText"/>
              <w:jc w:val="left"/>
              <w:rPr>
                <w:szCs w:val="24"/>
                <w:lang w:val="en-GB"/>
              </w:rPr>
            </w:pPr>
          </w:p>
        </w:tc>
        <w:tc>
          <w:tcPr>
            <w:tcW w:w="1993" w:type="dxa"/>
            <w:shd w:val="clear" w:color="auto" w:fill="auto"/>
            <w:vAlign w:val="center"/>
          </w:tcPr>
          <w:p w:rsidR="00F26BE7" w:rsidRPr="009B7C46" w:rsidRDefault="00F26BE7" w:rsidP="009B7C46">
            <w:pPr>
              <w:pStyle w:val="BodyText"/>
              <w:rPr>
                <w:szCs w:val="24"/>
                <w:lang w:val="en-GB"/>
              </w:rPr>
            </w:pPr>
            <w:r w:rsidRPr="009B7C46">
              <w:rPr>
                <w:szCs w:val="24"/>
                <w:lang w:val="en-GB"/>
              </w:rPr>
              <w:t>Joint sprain</w:t>
            </w:r>
          </w:p>
        </w:tc>
        <w:tc>
          <w:tcPr>
            <w:tcW w:w="1490" w:type="dxa"/>
            <w:shd w:val="clear" w:color="auto" w:fill="auto"/>
            <w:vAlign w:val="center"/>
          </w:tcPr>
          <w:p w:rsidR="00F26BE7" w:rsidRPr="009B7C46" w:rsidRDefault="00F26BE7" w:rsidP="009B7C46">
            <w:pPr>
              <w:pStyle w:val="BodyText"/>
              <w:rPr>
                <w:szCs w:val="24"/>
                <w:lang w:val="en-GB"/>
              </w:rPr>
            </w:pPr>
            <w:r w:rsidRPr="009B7C46">
              <w:rPr>
                <w:szCs w:val="24"/>
                <w:lang w:val="en-GB"/>
              </w:rPr>
              <w:t>5</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12.2</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7</w:t>
            </w:r>
          </w:p>
        </w:tc>
      </w:tr>
      <w:tr w:rsidR="00F26BE7" w:rsidRPr="009B7C46" w:rsidTr="00DD57AC">
        <w:tc>
          <w:tcPr>
            <w:tcW w:w="2075" w:type="dxa"/>
            <w:vMerge w:val="restart"/>
            <w:shd w:val="clear" w:color="auto" w:fill="auto"/>
            <w:vAlign w:val="center"/>
          </w:tcPr>
          <w:p w:rsidR="00F26BE7" w:rsidRPr="009B7C46" w:rsidRDefault="00F26BE7" w:rsidP="00DD57AC">
            <w:pPr>
              <w:pStyle w:val="BodyText"/>
              <w:jc w:val="left"/>
              <w:rPr>
                <w:szCs w:val="24"/>
                <w:lang w:val="en-GB"/>
              </w:rPr>
            </w:pPr>
            <w:r w:rsidRPr="009B7C46">
              <w:rPr>
                <w:szCs w:val="24"/>
                <w:lang w:val="en-GB"/>
              </w:rPr>
              <w:t>Musculoskeletal and connective tissue disorders</w:t>
            </w:r>
          </w:p>
        </w:tc>
        <w:tc>
          <w:tcPr>
            <w:tcW w:w="1993" w:type="dxa"/>
            <w:shd w:val="clear" w:color="auto" w:fill="auto"/>
            <w:vAlign w:val="center"/>
          </w:tcPr>
          <w:p w:rsidR="00F26BE7" w:rsidRPr="009B7C46" w:rsidRDefault="00F26BE7" w:rsidP="009B7C46">
            <w:pPr>
              <w:pStyle w:val="BodyText"/>
              <w:rPr>
                <w:szCs w:val="24"/>
                <w:lang w:val="en-GB"/>
              </w:rPr>
            </w:pPr>
            <w:r w:rsidRPr="009B7C46">
              <w:rPr>
                <w:szCs w:val="24"/>
                <w:lang w:val="en-GB"/>
              </w:rPr>
              <w:t>Arthralgia</w:t>
            </w:r>
          </w:p>
        </w:tc>
        <w:tc>
          <w:tcPr>
            <w:tcW w:w="1490" w:type="dxa"/>
            <w:shd w:val="clear" w:color="auto" w:fill="auto"/>
            <w:vAlign w:val="center"/>
          </w:tcPr>
          <w:p w:rsidR="00F26BE7" w:rsidRPr="009B7C46" w:rsidRDefault="00F26BE7" w:rsidP="009B7C46">
            <w:pPr>
              <w:pStyle w:val="BodyText"/>
              <w:rPr>
                <w:szCs w:val="24"/>
                <w:lang w:val="en-GB"/>
              </w:rPr>
            </w:pPr>
            <w:r w:rsidRPr="009B7C46">
              <w:rPr>
                <w:szCs w:val="24"/>
                <w:lang w:val="en-GB"/>
              </w:rPr>
              <w:t>7</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17.1</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8</w:t>
            </w:r>
          </w:p>
        </w:tc>
      </w:tr>
      <w:tr w:rsidR="00F26BE7" w:rsidRPr="009B7C46" w:rsidTr="00DD57AC">
        <w:tc>
          <w:tcPr>
            <w:tcW w:w="2075" w:type="dxa"/>
            <w:vMerge/>
            <w:shd w:val="clear" w:color="auto" w:fill="auto"/>
            <w:vAlign w:val="center"/>
          </w:tcPr>
          <w:p w:rsidR="00F26BE7" w:rsidRPr="009B7C46" w:rsidRDefault="00F26BE7" w:rsidP="00DD57AC">
            <w:pPr>
              <w:pStyle w:val="BodyText"/>
              <w:jc w:val="left"/>
              <w:rPr>
                <w:szCs w:val="24"/>
                <w:lang w:val="en-GB"/>
              </w:rPr>
            </w:pPr>
          </w:p>
        </w:tc>
        <w:tc>
          <w:tcPr>
            <w:tcW w:w="1993" w:type="dxa"/>
            <w:shd w:val="clear" w:color="auto" w:fill="auto"/>
            <w:vAlign w:val="center"/>
          </w:tcPr>
          <w:p w:rsidR="00F26BE7" w:rsidRPr="009B7C46" w:rsidRDefault="00F26BE7" w:rsidP="009B7C46">
            <w:pPr>
              <w:pStyle w:val="BodyText"/>
              <w:rPr>
                <w:szCs w:val="24"/>
                <w:lang w:val="en-GB"/>
              </w:rPr>
            </w:pPr>
            <w:r w:rsidRPr="009B7C46">
              <w:rPr>
                <w:szCs w:val="24"/>
                <w:lang w:val="en-GB"/>
              </w:rPr>
              <w:t>Pain in extremity</w:t>
            </w:r>
          </w:p>
        </w:tc>
        <w:tc>
          <w:tcPr>
            <w:tcW w:w="1490" w:type="dxa"/>
            <w:shd w:val="clear" w:color="auto" w:fill="auto"/>
            <w:vAlign w:val="center"/>
          </w:tcPr>
          <w:p w:rsidR="00F26BE7" w:rsidRPr="009B7C46" w:rsidRDefault="00F26BE7" w:rsidP="009B7C46">
            <w:pPr>
              <w:pStyle w:val="BodyText"/>
              <w:rPr>
                <w:szCs w:val="24"/>
                <w:lang w:val="en-GB"/>
              </w:rPr>
            </w:pPr>
            <w:r w:rsidRPr="009B7C46">
              <w:rPr>
                <w:szCs w:val="24"/>
                <w:lang w:val="en-GB"/>
              </w:rPr>
              <w:t>7</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17.1</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7</w:t>
            </w:r>
          </w:p>
        </w:tc>
      </w:tr>
      <w:tr w:rsidR="00F26BE7" w:rsidRPr="009B7C46" w:rsidTr="00DD57AC">
        <w:tc>
          <w:tcPr>
            <w:tcW w:w="2075" w:type="dxa"/>
            <w:shd w:val="clear" w:color="auto" w:fill="auto"/>
            <w:vAlign w:val="center"/>
          </w:tcPr>
          <w:p w:rsidR="00F26BE7" w:rsidRPr="009B7C46" w:rsidRDefault="00F26BE7" w:rsidP="00DD57AC">
            <w:pPr>
              <w:pStyle w:val="BodyText"/>
              <w:jc w:val="left"/>
              <w:rPr>
                <w:szCs w:val="24"/>
                <w:lang w:val="en-GB"/>
              </w:rPr>
            </w:pPr>
            <w:r w:rsidRPr="009B7C46">
              <w:rPr>
                <w:szCs w:val="24"/>
                <w:lang w:val="en-GB"/>
              </w:rPr>
              <w:t>Nervous system disorders</w:t>
            </w:r>
          </w:p>
        </w:tc>
        <w:tc>
          <w:tcPr>
            <w:tcW w:w="1993" w:type="dxa"/>
            <w:shd w:val="clear" w:color="auto" w:fill="auto"/>
            <w:vAlign w:val="center"/>
          </w:tcPr>
          <w:p w:rsidR="00F26BE7" w:rsidRPr="009B7C46" w:rsidRDefault="00F26BE7" w:rsidP="009B7C46">
            <w:pPr>
              <w:pStyle w:val="BodyText"/>
              <w:rPr>
                <w:szCs w:val="24"/>
                <w:lang w:val="en-GB"/>
              </w:rPr>
            </w:pPr>
            <w:r w:rsidRPr="009B7C46">
              <w:rPr>
                <w:szCs w:val="24"/>
                <w:lang w:val="en-GB"/>
              </w:rPr>
              <w:t>Headache</w:t>
            </w:r>
          </w:p>
        </w:tc>
        <w:tc>
          <w:tcPr>
            <w:tcW w:w="1490" w:type="dxa"/>
            <w:shd w:val="clear" w:color="auto" w:fill="auto"/>
            <w:vAlign w:val="center"/>
          </w:tcPr>
          <w:p w:rsidR="00F26BE7" w:rsidRPr="009B7C46" w:rsidRDefault="00F26BE7" w:rsidP="009B7C46">
            <w:pPr>
              <w:pStyle w:val="BodyText"/>
              <w:rPr>
                <w:szCs w:val="24"/>
                <w:lang w:val="en-GB"/>
              </w:rPr>
            </w:pPr>
            <w:r w:rsidRPr="009B7C46">
              <w:rPr>
                <w:szCs w:val="24"/>
                <w:lang w:val="en-GB"/>
              </w:rPr>
              <w:t>13</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31.7</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32</w:t>
            </w:r>
          </w:p>
        </w:tc>
      </w:tr>
      <w:tr w:rsidR="00F26BE7" w:rsidRPr="009B7C46" w:rsidTr="00DD57AC">
        <w:tc>
          <w:tcPr>
            <w:tcW w:w="2075" w:type="dxa"/>
            <w:vMerge w:val="restart"/>
            <w:shd w:val="clear" w:color="auto" w:fill="auto"/>
            <w:vAlign w:val="center"/>
          </w:tcPr>
          <w:p w:rsidR="00F26BE7" w:rsidRPr="009B7C46" w:rsidRDefault="00F26BE7" w:rsidP="00DD57AC">
            <w:pPr>
              <w:pStyle w:val="BodyText"/>
              <w:jc w:val="left"/>
              <w:rPr>
                <w:szCs w:val="24"/>
                <w:lang w:val="en-GB"/>
              </w:rPr>
            </w:pPr>
            <w:r w:rsidRPr="009B7C46">
              <w:rPr>
                <w:szCs w:val="24"/>
                <w:lang w:val="en-GB"/>
              </w:rPr>
              <w:t>Respiratory, thoracic and mediastinal disorders</w:t>
            </w:r>
          </w:p>
        </w:tc>
        <w:tc>
          <w:tcPr>
            <w:tcW w:w="1993" w:type="dxa"/>
            <w:shd w:val="clear" w:color="auto" w:fill="auto"/>
            <w:vAlign w:val="center"/>
          </w:tcPr>
          <w:p w:rsidR="00F26BE7" w:rsidRPr="009B7C46" w:rsidRDefault="00F26BE7" w:rsidP="009B7C46">
            <w:pPr>
              <w:pStyle w:val="BodyText"/>
              <w:rPr>
                <w:szCs w:val="24"/>
                <w:lang w:val="en-GB"/>
              </w:rPr>
            </w:pPr>
            <w:r w:rsidRPr="009B7C46">
              <w:rPr>
                <w:szCs w:val="24"/>
                <w:lang w:val="en-GB"/>
              </w:rPr>
              <w:t>Nasal congestion</w:t>
            </w:r>
          </w:p>
        </w:tc>
        <w:tc>
          <w:tcPr>
            <w:tcW w:w="1490" w:type="dxa"/>
            <w:shd w:val="clear" w:color="auto" w:fill="auto"/>
            <w:vAlign w:val="center"/>
          </w:tcPr>
          <w:p w:rsidR="00F26BE7" w:rsidRPr="009B7C46" w:rsidRDefault="00F26BE7" w:rsidP="009B7C46">
            <w:pPr>
              <w:pStyle w:val="BodyText"/>
              <w:rPr>
                <w:szCs w:val="24"/>
                <w:lang w:val="en-GB"/>
              </w:rPr>
            </w:pPr>
            <w:r w:rsidRPr="009B7C46">
              <w:rPr>
                <w:szCs w:val="24"/>
                <w:lang w:val="en-GB"/>
              </w:rPr>
              <w:t>7</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17.1</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8</w:t>
            </w:r>
          </w:p>
        </w:tc>
      </w:tr>
      <w:tr w:rsidR="00F26BE7" w:rsidRPr="009B7C46" w:rsidTr="00DD57AC">
        <w:tc>
          <w:tcPr>
            <w:tcW w:w="2075" w:type="dxa"/>
            <w:vMerge/>
            <w:shd w:val="clear" w:color="auto" w:fill="auto"/>
            <w:vAlign w:val="center"/>
          </w:tcPr>
          <w:p w:rsidR="00F26BE7" w:rsidRPr="009B7C46" w:rsidRDefault="00F26BE7" w:rsidP="00DD57AC">
            <w:pPr>
              <w:pStyle w:val="BodyText"/>
              <w:jc w:val="left"/>
              <w:rPr>
                <w:szCs w:val="24"/>
                <w:lang w:val="en-GB"/>
              </w:rPr>
            </w:pPr>
          </w:p>
        </w:tc>
        <w:tc>
          <w:tcPr>
            <w:tcW w:w="1993" w:type="dxa"/>
            <w:shd w:val="clear" w:color="auto" w:fill="auto"/>
            <w:vAlign w:val="center"/>
          </w:tcPr>
          <w:p w:rsidR="00F26BE7" w:rsidRPr="009B7C46" w:rsidRDefault="00F26BE7" w:rsidP="009B7C46">
            <w:pPr>
              <w:pStyle w:val="BodyText"/>
              <w:rPr>
                <w:szCs w:val="24"/>
                <w:lang w:val="en-GB"/>
              </w:rPr>
            </w:pPr>
            <w:r w:rsidRPr="009B7C46">
              <w:rPr>
                <w:szCs w:val="24"/>
                <w:lang w:val="en-GB"/>
              </w:rPr>
              <w:t>Oropharyngeal pain</w:t>
            </w:r>
          </w:p>
        </w:tc>
        <w:tc>
          <w:tcPr>
            <w:tcW w:w="1490" w:type="dxa"/>
            <w:shd w:val="clear" w:color="auto" w:fill="auto"/>
            <w:vAlign w:val="center"/>
          </w:tcPr>
          <w:p w:rsidR="00F26BE7" w:rsidRPr="009B7C46" w:rsidRDefault="00F26BE7" w:rsidP="009B7C46">
            <w:pPr>
              <w:pStyle w:val="BodyText"/>
              <w:rPr>
                <w:szCs w:val="24"/>
                <w:lang w:val="en-GB"/>
              </w:rPr>
            </w:pPr>
            <w:r w:rsidRPr="009B7C46">
              <w:rPr>
                <w:szCs w:val="24"/>
                <w:lang w:val="en-GB"/>
              </w:rPr>
              <w:t>7</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17.1</w:t>
            </w:r>
          </w:p>
        </w:tc>
        <w:tc>
          <w:tcPr>
            <w:tcW w:w="1723" w:type="dxa"/>
            <w:shd w:val="clear" w:color="auto" w:fill="auto"/>
            <w:vAlign w:val="center"/>
          </w:tcPr>
          <w:p w:rsidR="00F26BE7" w:rsidRPr="009B7C46" w:rsidRDefault="00F26BE7" w:rsidP="009B7C46">
            <w:pPr>
              <w:pStyle w:val="BodyText"/>
              <w:rPr>
                <w:szCs w:val="24"/>
                <w:lang w:val="en-GB"/>
              </w:rPr>
            </w:pPr>
            <w:r w:rsidRPr="009B7C46">
              <w:rPr>
                <w:szCs w:val="24"/>
                <w:lang w:val="en-GB"/>
              </w:rPr>
              <w:t>10</w:t>
            </w:r>
          </w:p>
        </w:tc>
      </w:tr>
    </w:tbl>
    <w:p w:rsidR="00E37250" w:rsidRDefault="00E37250" w:rsidP="00EA104B">
      <w:pPr>
        <w:pStyle w:val="BodyText"/>
        <w:rPr>
          <w:rStyle w:val="BodyTextChar"/>
          <w:szCs w:val="24"/>
        </w:rPr>
      </w:pPr>
    </w:p>
    <w:p w:rsidR="00E37250" w:rsidRPr="004224D7" w:rsidRDefault="00E37250" w:rsidP="00EA104B">
      <w:pPr>
        <w:pStyle w:val="BodyText"/>
        <w:rPr>
          <w:rStyle w:val="BodyTextChar"/>
          <w:b/>
          <w:i/>
          <w:szCs w:val="24"/>
        </w:rPr>
      </w:pPr>
      <w:r w:rsidRPr="004224D7">
        <w:rPr>
          <w:rStyle w:val="BodyTextChar"/>
          <w:b/>
          <w:i/>
          <w:szCs w:val="24"/>
        </w:rPr>
        <w:t>Tabulated list of adverse reactions</w:t>
      </w:r>
    </w:p>
    <w:p w:rsidR="008F1107" w:rsidRDefault="004224D7" w:rsidP="00EA104B">
      <w:pPr>
        <w:pStyle w:val="BodyText"/>
        <w:rPr>
          <w:szCs w:val="24"/>
        </w:rPr>
      </w:pPr>
      <w:r>
        <w:rPr>
          <w:szCs w:val="24"/>
        </w:rPr>
        <w:t>Frequency descriptions of all adverse reactions</w:t>
      </w:r>
      <w:r w:rsidR="00F46D6C">
        <w:rPr>
          <w:szCs w:val="24"/>
        </w:rPr>
        <w:t xml:space="preserve"> (assessed by the investigator to be possibly or probably related to rFXIII)</w:t>
      </w:r>
      <w:r>
        <w:rPr>
          <w:szCs w:val="24"/>
        </w:rPr>
        <w:t xml:space="preserve"> identified from </w:t>
      </w:r>
      <w:r w:rsidR="006369EA">
        <w:rPr>
          <w:szCs w:val="24"/>
        </w:rPr>
        <w:t xml:space="preserve">41 </w:t>
      </w:r>
      <w:r>
        <w:rPr>
          <w:szCs w:val="24"/>
        </w:rPr>
        <w:t xml:space="preserve">patients with congenital FXIII deficiency exposed in </w:t>
      </w:r>
      <w:r w:rsidR="006369EA">
        <w:rPr>
          <w:szCs w:val="24"/>
        </w:rPr>
        <w:t xml:space="preserve">phase 3 </w:t>
      </w:r>
      <w:r>
        <w:rPr>
          <w:szCs w:val="24"/>
        </w:rPr>
        <w:t>clinical trials are presented in t</w:t>
      </w:r>
      <w:r w:rsidR="008F1107">
        <w:rPr>
          <w:szCs w:val="24"/>
        </w:rPr>
        <w:t>he T</w:t>
      </w:r>
      <w:r>
        <w:rPr>
          <w:szCs w:val="24"/>
        </w:rPr>
        <w:t xml:space="preserve">able </w:t>
      </w:r>
      <w:r w:rsidR="000D31B7">
        <w:rPr>
          <w:szCs w:val="24"/>
        </w:rPr>
        <w:t>3</w:t>
      </w:r>
      <w:r w:rsidR="008F1107">
        <w:rPr>
          <w:szCs w:val="24"/>
        </w:rPr>
        <w:t xml:space="preserve"> (</w:t>
      </w:r>
      <w:r>
        <w:rPr>
          <w:szCs w:val="24"/>
        </w:rPr>
        <w:t>below</w:t>
      </w:r>
      <w:r w:rsidR="008F1107">
        <w:rPr>
          <w:szCs w:val="24"/>
        </w:rPr>
        <w:t>)</w:t>
      </w:r>
      <w:r>
        <w:rPr>
          <w:szCs w:val="24"/>
        </w:rPr>
        <w:t>, by system organ class</w:t>
      </w:r>
      <w:r w:rsidR="008F1107">
        <w:rPr>
          <w:szCs w:val="24"/>
        </w:rPr>
        <w:t>. Within each grouping, undesirable effects are presented in order of decreasing seriousness.</w:t>
      </w:r>
      <w:r w:rsidRPr="00EA104B" w:rsidDel="00C05DFB">
        <w:rPr>
          <w:szCs w:val="24"/>
        </w:rPr>
        <w:t xml:space="preserve"> </w:t>
      </w:r>
    </w:p>
    <w:p w:rsidR="008F1107" w:rsidRDefault="008F1107" w:rsidP="00EA104B">
      <w:pPr>
        <w:pStyle w:val="BodyText"/>
        <w:rPr>
          <w:szCs w:val="24"/>
        </w:rPr>
      </w:pPr>
    </w:p>
    <w:p w:rsidR="008F1107" w:rsidRPr="008F1107" w:rsidRDefault="008F1107" w:rsidP="00EA104B">
      <w:pPr>
        <w:pStyle w:val="BodyText"/>
        <w:rPr>
          <w:b/>
          <w:szCs w:val="24"/>
        </w:rPr>
      </w:pPr>
      <w:r w:rsidRPr="008F1107">
        <w:rPr>
          <w:b/>
          <w:szCs w:val="24"/>
        </w:rPr>
        <w:t xml:space="preserve">Table </w:t>
      </w:r>
      <w:r w:rsidR="001F7847">
        <w:rPr>
          <w:b/>
          <w:szCs w:val="24"/>
        </w:rPr>
        <w:t>3</w:t>
      </w:r>
      <w:r w:rsidRPr="008F1107">
        <w:rPr>
          <w:b/>
          <w:szCs w:val="24"/>
        </w:rPr>
        <w:t>: Adverse reactions reported in patients treated with rFXIII</w:t>
      </w:r>
    </w:p>
    <w:p w:rsidR="008F1107" w:rsidRPr="00EA104B" w:rsidRDefault="008F1107" w:rsidP="00EA104B">
      <w:pPr>
        <w:pStyle w:val="BodyText"/>
        <w:rPr>
          <w:szCs w:val="24"/>
        </w:rPr>
      </w:pPr>
    </w:p>
    <w:tbl>
      <w:tblPr>
        <w:tblW w:w="8662"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571"/>
        <w:gridCol w:w="3091"/>
      </w:tblGrid>
      <w:tr w:rsidR="00EA104B" w:rsidRPr="00EA104B" w:rsidTr="00EA104B">
        <w:trPr>
          <w:trHeight w:val="330"/>
          <w:tblCellSpacing w:w="0" w:type="dxa"/>
        </w:trPr>
        <w:tc>
          <w:tcPr>
            <w:tcW w:w="5571" w:type="dxa"/>
          </w:tcPr>
          <w:p w:rsidR="00EA104B" w:rsidRPr="00EA104B" w:rsidRDefault="00EA104B" w:rsidP="00EA104B">
            <w:pPr>
              <w:pStyle w:val="BodyText"/>
              <w:spacing w:line="360" w:lineRule="auto"/>
              <w:rPr>
                <w:i/>
                <w:szCs w:val="24"/>
              </w:rPr>
            </w:pPr>
            <w:r w:rsidRPr="00EA104B">
              <w:rPr>
                <w:i/>
                <w:szCs w:val="24"/>
              </w:rPr>
              <w:t>Blood and lymphatic system disorders</w:t>
            </w:r>
          </w:p>
          <w:p w:rsidR="00EA104B" w:rsidRPr="00EA104B" w:rsidRDefault="00EA104B" w:rsidP="00EA104B">
            <w:pPr>
              <w:pStyle w:val="BodyText"/>
              <w:spacing w:line="360" w:lineRule="auto"/>
              <w:rPr>
                <w:i/>
                <w:szCs w:val="24"/>
              </w:rPr>
            </w:pPr>
            <w:r w:rsidRPr="00EA104B">
              <w:rPr>
                <w:noProof/>
                <w:szCs w:val="24"/>
              </w:rPr>
              <w:t>common (≥</w:t>
            </w:r>
            <w:r w:rsidRPr="00EA104B">
              <w:rPr>
                <w:i/>
                <w:szCs w:val="24"/>
              </w:rPr>
              <w:t> </w:t>
            </w:r>
            <w:r w:rsidRPr="00EA104B">
              <w:rPr>
                <w:noProof/>
                <w:szCs w:val="24"/>
              </w:rPr>
              <w:t>1/100 to &lt;</w:t>
            </w:r>
            <w:r w:rsidRPr="00EA104B">
              <w:rPr>
                <w:i/>
                <w:szCs w:val="24"/>
              </w:rPr>
              <w:t> </w:t>
            </w:r>
            <w:r w:rsidRPr="00EA104B">
              <w:rPr>
                <w:noProof/>
                <w:szCs w:val="24"/>
              </w:rPr>
              <w:t>1/10)</w:t>
            </w:r>
          </w:p>
        </w:tc>
        <w:tc>
          <w:tcPr>
            <w:tcW w:w="3091" w:type="dxa"/>
          </w:tcPr>
          <w:p w:rsidR="00EA104B" w:rsidRPr="00EA104B" w:rsidRDefault="00EA104B" w:rsidP="00EA104B">
            <w:pPr>
              <w:pStyle w:val="BodyText"/>
              <w:spacing w:line="360" w:lineRule="auto"/>
              <w:rPr>
                <w:szCs w:val="24"/>
              </w:rPr>
            </w:pPr>
          </w:p>
          <w:p w:rsidR="00EA104B" w:rsidRPr="00EA104B" w:rsidRDefault="00EA104B" w:rsidP="00EA104B">
            <w:pPr>
              <w:pStyle w:val="BodyText"/>
              <w:spacing w:line="360" w:lineRule="auto"/>
              <w:rPr>
                <w:szCs w:val="24"/>
              </w:rPr>
            </w:pPr>
            <w:r w:rsidRPr="00EA104B">
              <w:rPr>
                <w:szCs w:val="24"/>
              </w:rPr>
              <w:t>Leucopenia and aggravated neutropenia</w:t>
            </w:r>
          </w:p>
        </w:tc>
      </w:tr>
      <w:tr w:rsidR="00EA104B" w:rsidRPr="00EA104B" w:rsidTr="00EA104B">
        <w:trPr>
          <w:trHeight w:val="330"/>
          <w:tblCellSpacing w:w="0" w:type="dxa"/>
        </w:trPr>
        <w:tc>
          <w:tcPr>
            <w:tcW w:w="5571" w:type="dxa"/>
          </w:tcPr>
          <w:p w:rsidR="00EA104B" w:rsidRPr="00EA104B" w:rsidRDefault="00EA104B" w:rsidP="00EA104B">
            <w:pPr>
              <w:pStyle w:val="BodyText"/>
              <w:spacing w:line="360" w:lineRule="auto"/>
              <w:rPr>
                <w:i/>
                <w:szCs w:val="24"/>
              </w:rPr>
            </w:pPr>
            <w:r w:rsidRPr="00EA104B">
              <w:rPr>
                <w:i/>
                <w:szCs w:val="24"/>
              </w:rPr>
              <w:t>Nervous system disorders</w:t>
            </w:r>
          </w:p>
          <w:p w:rsidR="00EA104B" w:rsidRPr="00EA104B" w:rsidRDefault="00EA104B" w:rsidP="00EA104B">
            <w:pPr>
              <w:pStyle w:val="BodyText"/>
              <w:spacing w:line="360" w:lineRule="auto"/>
              <w:rPr>
                <w:i/>
                <w:szCs w:val="24"/>
              </w:rPr>
            </w:pPr>
            <w:r w:rsidRPr="00EA104B">
              <w:rPr>
                <w:noProof/>
                <w:szCs w:val="24"/>
              </w:rPr>
              <w:t>common (≥</w:t>
            </w:r>
            <w:r w:rsidRPr="00EA104B">
              <w:rPr>
                <w:i/>
                <w:szCs w:val="24"/>
              </w:rPr>
              <w:t> </w:t>
            </w:r>
            <w:r w:rsidRPr="00EA104B">
              <w:rPr>
                <w:noProof/>
                <w:szCs w:val="24"/>
              </w:rPr>
              <w:t>1/100 to &lt;</w:t>
            </w:r>
            <w:r w:rsidRPr="00EA104B">
              <w:rPr>
                <w:i/>
                <w:szCs w:val="24"/>
              </w:rPr>
              <w:t> </w:t>
            </w:r>
            <w:r w:rsidRPr="00EA104B">
              <w:rPr>
                <w:noProof/>
                <w:szCs w:val="24"/>
              </w:rPr>
              <w:t>1/10)</w:t>
            </w:r>
          </w:p>
        </w:tc>
        <w:tc>
          <w:tcPr>
            <w:tcW w:w="3091" w:type="dxa"/>
          </w:tcPr>
          <w:p w:rsidR="00EA104B" w:rsidRPr="00EA104B" w:rsidRDefault="00EA104B" w:rsidP="00EA104B">
            <w:pPr>
              <w:pStyle w:val="BodyText"/>
              <w:spacing w:line="360" w:lineRule="auto"/>
              <w:rPr>
                <w:szCs w:val="24"/>
              </w:rPr>
            </w:pPr>
          </w:p>
          <w:p w:rsidR="00EA104B" w:rsidRPr="00EA104B" w:rsidRDefault="00EA104B" w:rsidP="00EA104B">
            <w:pPr>
              <w:pStyle w:val="BodyText"/>
              <w:spacing w:line="360" w:lineRule="auto"/>
              <w:rPr>
                <w:szCs w:val="24"/>
              </w:rPr>
            </w:pPr>
            <w:r w:rsidRPr="00EA104B">
              <w:rPr>
                <w:szCs w:val="24"/>
              </w:rPr>
              <w:t>Headache</w:t>
            </w:r>
          </w:p>
        </w:tc>
      </w:tr>
      <w:tr w:rsidR="00EA104B" w:rsidRPr="00EA104B" w:rsidTr="00EA104B">
        <w:trPr>
          <w:trHeight w:val="330"/>
          <w:tblCellSpacing w:w="0" w:type="dxa"/>
        </w:trPr>
        <w:tc>
          <w:tcPr>
            <w:tcW w:w="5571" w:type="dxa"/>
          </w:tcPr>
          <w:p w:rsidR="00EA104B" w:rsidRPr="00EA104B" w:rsidRDefault="00EA104B" w:rsidP="00EA104B">
            <w:pPr>
              <w:pStyle w:val="BodyText"/>
              <w:spacing w:line="360" w:lineRule="auto"/>
              <w:rPr>
                <w:i/>
                <w:szCs w:val="24"/>
              </w:rPr>
            </w:pPr>
            <w:r w:rsidRPr="00EA104B">
              <w:rPr>
                <w:i/>
                <w:szCs w:val="24"/>
              </w:rPr>
              <w:t>Musculoskeletal and connective tissue disorders</w:t>
            </w:r>
          </w:p>
          <w:p w:rsidR="00EA104B" w:rsidRPr="00EA104B" w:rsidRDefault="00EA104B" w:rsidP="00EA104B">
            <w:pPr>
              <w:pStyle w:val="BodyText"/>
              <w:spacing w:line="360" w:lineRule="auto"/>
              <w:rPr>
                <w:i/>
                <w:szCs w:val="24"/>
              </w:rPr>
            </w:pPr>
            <w:r w:rsidRPr="00EA104B">
              <w:rPr>
                <w:noProof/>
                <w:szCs w:val="24"/>
              </w:rPr>
              <w:t>common (≥</w:t>
            </w:r>
            <w:r w:rsidRPr="00EA104B">
              <w:rPr>
                <w:i/>
                <w:szCs w:val="24"/>
              </w:rPr>
              <w:t> </w:t>
            </w:r>
            <w:r w:rsidRPr="00EA104B">
              <w:rPr>
                <w:noProof/>
                <w:szCs w:val="24"/>
              </w:rPr>
              <w:t>1/100 to &lt;</w:t>
            </w:r>
            <w:r w:rsidRPr="00EA104B">
              <w:rPr>
                <w:i/>
                <w:szCs w:val="24"/>
              </w:rPr>
              <w:t> </w:t>
            </w:r>
            <w:r w:rsidRPr="00EA104B">
              <w:rPr>
                <w:noProof/>
                <w:szCs w:val="24"/>
              </w:rPr>
              <w:t>1/10)</w:t>
            </w:r>
          </w:p>
        </w:tc>
        <w:tc>
          <w:tcPr>
            <w:tcW w:w="3091" w:type="dxa"/>
          </w:tcPr>
          <w:p w:rsidR="00EA104B" w:rsidRPr="00EA104B" w:rsidRDefault="00EA104B" w:rsidP="00EA104B">
            <w:pPr>
              <w:pStyle w:val="BodyText"/>
              <w:spacing w:line="360" w:lineRule="auto"/>
              <w:rPr>
                <w:szCs w:val="24"/>
              </w:rPr>
            </w:pPr>
          </w:p>
          <w:p w:rsidR="00EA104B" w:rsidRPr="00EA104B" w:rsidRDefault="00EA104B" w:rsidP="00EA104B">
            <w:pPr>
              <w:pStyle w:val="BodyText"/>
              <w:spacing w:line="360" w:lineRule="auto"/>
              <w:rPr>
                <w:szCs w:val="24"/>
              </w:rPr>
            </w:pPr>
            <w:r w:rsidRPr="00EA104B">
              <w:rPr>
                <w:szCs w:val="24"/>
              </w:rPr>
              <w:t>Pain in extremity</w:t>
            </w:r>
          </w:p>
        </w:tc>
      </w:tr>
      <w:tr w:rsidR="00EA104B" w:rsidRPr="00EA104B" w:rsidTr="00EA104B">
        <w:trPr>
          <w:trHeight w:val="330"/>
          <w:tblCellSpacing w:w="0" w:type="dxa"/>
        </w:trPr>
        <w:tc>
          <w:tcPr>
            <w:tcW w:w="5571" w:type="dxa"/>
          </w:tcPr>
          <w:p w:rsidR="00EA104B" w:rsidRPr="00EA104B" w:rsidRDefault="00EA104B" w:rsidP="00EA104B">
            <w:pPr>
              <w:pStyle w:val="BodyText"/>
              <w:spacing w:line="360" w:lineRule="auto"/>
              <w:rPr>
                <w:i/>
                <w:szCs w:val="24"/>
              </w:rPr>
            </w:pPr>
            <w:r w:rsidRPr="00EA104B">
              <w:rPr>
                <w:i/>
                <w:szCs w:val="24"/>
              </w:rPr>
              <w:t>General disorders and administrative site conditions</w:t>
            </w:r>
          </w:p>
          <w:p w:rsidR="00EA104B" w:rsidRPr="00EA104B" w:rsidRDefault="00EA104B" w:rsidP="00EA104B">
            <w:pPr>
              <w:pStyle w:val="BodyText"/>
              <w:spacing w:line="360" w:lineRule="auto"/>
              <w:rPr>
                <w:i/>
                <w:szCs w:val="24"/>
              </w:rPr>
            </w:pPr>
            <w:r w:rsidRPr="00EA104B">
              <w:rPr>
                <w:noProof/>
                <w:szCs w:val="24"/>
              </w:rPr>
              <w:t>common (≥</w:t>
            </w:r>
            <w:r w:rsidRPr="00EA104B">
              <w:rPr>
                <w:i/>
                <w:szCs w:val="24"/>
              </w:rPr>
              <w:t> </w:t>
            </w:r>
            <w:r w:rsidRPr="00EA104B">
              <w:rPr>
                <w:noProof/>
                <w:szCs w:val="24"/>
              </w:rPr>
              <w:t>1/100 to &lt;</w:t>
            </w:r>
            <w:r w:rsidRPr="00EA104B">
              <w:rPr>
                <w:i/>
                <w:szCs w:val="24"/>
              </w:rPr>
              <w:t> </w:t>
            </w:r>
            <w:r w:rsidRPr="00EA104B">
              <w:rPr>
                <w:noProof/>
                <w:szCs w:val="24"/>
              </w:rPr>
              <w:t>1/10)</w:t>
            </w:r>
          </w:p>
        </w:tc>
        <w:tc>
          <w:tcPr>
            <w:tcW w:w="3091" w:type="dxa"/>
          </w:tcPr>
          <w:p w:rsidR="00EA104B" w:rsidRPr="00EA104B" w:rsidRDefault="00EA104B" w:rsidP="00EA104B">
            <w:pPr>
              <w:pStyle w:val="BodyText"/>
              <w:spacing w:line="360" w:lineRule="auto"/>
              <w:rPr>
                <w:szCs w:val="24"/>
              </w:rPr>
            </w:pPr>
          </w:p>
          <w:p w:rsidR="00EA104B" w:rsidRPr="00EA104B" w:rsidRDefault="00EA104B" w:rsidP="00EA104B">
            <w:pPr>
              <w:pStyle w:val="BodyText"/>
              <w:spacing w:line="360" w:lineRule="auto"/>
              <w:rPr>
                <w:szCs w:val="24"/>
              </w:rPr>
            </w:pPr>
            <w:r w:rsidRPr="00EA104B">
              <w:rPr>
                <w:szCs w:val="24"/>
              </w:rPr>
              <w:t>Injection site pain</w:t>
            </w:r>
          </w:p>
        </w:tc>
      </w:tr>
      <w:tr w:rsidR="00EA104B" w:rsidRPr="00EA104B" w:rsidTr="00EA104B">
        <w:trPr>
          <w:trHeight w:val="330"/>
          <w:tblCellSpacing w:w="0" w:type="dxa"/>
        </w:trPr>
        <w:tc>
          <w:tcPr>
            <w:tcW w:w="5571" w:type="dxa"/>
          </w:tcPr>
          <w:p w:rsidR="00EA104B" w:rsidRPr="00EA104B" w:rsidRDefault="00EA104B" w:rsidP="00EA104B">
            <w:pPr>
              <w:pStyle w:val="BodyText"/>
              <w:spacing w:line="360" w:lineRule="auto"/>
              <w:rPr>
                <w:i/>
                <w:szCs w:val="24"/>
              </w:rPr>
            </w:pPr>
            <w:r w:rsidRPr="00EA104B">
              <w:rPr>
                <w:i/>
                <w:szCs w:val="24"/>
              </w:rPr>
              <w:lastRenderedPageBreak/>
              <w:t>Investigations</w:t>
            </w:r>
          </w:p>
          <w:p w:rsidR="00EA104B" w:rsidRPr="00EA104B" w:rsidRDefault="00EA104B" w:rsidP="00EA104B">
            <w:pPr>
              <w:pStyle w:val="BodyText"/>
              <w:spacing w:line="360" w:lineRule="auto"/>
              <w:rPr>
                <w:noProof/>
                <w:szCs w:val="24"/>
              </w:rPr>
            </w:pPr>
            <w:r w:rsidRPr="00EA104B">
              <w:rPr>
                <w:noProof/>
                <w:szCs w:val="24"/>
              </w:rPr>
              <w:t>common (≥</w:t>
            </w:r>
            <w:r w:rsidRPr="00EA104B">
              <w:rPr>
                <w:i/>
                <w:szCs w:val="24"/>
              </w:rPr>
              <w:t> </w:t>
            </w:r>
            <w:r w:rsidRPr="00EA104B">
              <w:rPr>
                <w:noProof/>
                <w:szCs w:val="24"/>
              </w:rPr>
              <w:t>1/100 to &lt;</w:t>
            </w:r>
            <w:r w:rsidRPr="00EA104B">
              <w:rPr>
                <w:i/>
                <w:szCs w:val="24"/>
              </w:rPr>
              <w:t> </w:t>
            </w:r>
            <w:r w:rsidRPr="00EA104B">
              <w:rPr>
                <w:noProof/>
                <w:szCs w:val="24"/>
              </w:rPr>
              <w:t>1/10)</w:t>
            </w:r>
          </w:p>
          <w:p w:rsidR="00EA104B" w:rsidRPr="00EA104B" w:rsidRDefault="00EA104B" w:rsidP="00EA104B">
            <w:pPr>
              <w:pStyle w:val="BodyText"/>
              <w:spacing w:line="360" w:lineRule="auto"/>
              <w:rPr>
                <w:szCs w:val="24"/>
              </w:rPr>
            </w:pPr>
            <w:r w:rsidRPr="00EA104B">
              <w:rPr>
                <w:noProof/>
                <w:szCs w:val="24"/>
              </w:rPr>
              <w:t>common (≥</w:t>
            </w:r>
            <w:r w:rsidRPr="00EA104B">
              <w:rPr>
                <w:i/>
                <w:szCs w:val="24"/>
              </w:rPr>
              <w:t> </w:t>
            </w:r>
            <w:r w:rsidRPr="00EA104B">
              <w:rPr>
                <w:noProof/>
                <w:szCs w:val="24"/>
              </w:rPr>
              <w:t>1/100 to &lt;</w:t>
            </w:r>
            <w:r w:rsidRPr="00EA104B">
              <w:rPr>
                <w:i/>
                <w:szCs w:val="24"/>
              </w:rPr>
              <w:t> </w:t>
            </w:r>
            <w:r w:rsidRPr="00EA104B">
              <w:rPr>
                <w:noProof/>
                <w:szCs w:val="24"/>
              </w:rPr>
              <w:t>1/10)</w:t>
            </w:r>
          </w:p>
        </w:tc>
        <w:tc>
          <w:tcPr>
            <w:tcW w:w="3091" w:type="dxa"/>
          </w:tcPr>
          <w:p w:rsidR="00EA104B" w:rsidRPr="00EA104B" w:rsidRDefault="00EA104B" w:rsidP="00EA104B">
            <w:pPr>
              <w:pStyle w:val="BodyText"/>
              <w:spacing w:line="360" w:lineRule="auto"/>
              <w:rPr>
                <w:szCs w:val="24"/>
              </w:rPr>
            </w:pPr>
          </w:p>
          <w:p w:rsidR="00EA104B" w:rsidRPr="00EA104B" w:rsidRDefault="00EA104B" w:rsidP="00EA104B">
            <w:pPr>
              <w:pStyle w:val="BodyText"/>
              <w:spacing w:line="360" w:lineRule="auto"/>
              <w:rPr>
                <w:szCs w:val="24"/>
              </w:rPr>
            </w:pPr>
            <w:r w:rsidRPr="00EA104B">
              <w:rPr>
                <w:szCs w:val="24"/>
              </w:rPr>
              <w:t>Non- neutralising antibodies</w:t>
            </w:r>
          </w:p>
          <w:p w:rsidR="00EA104B" w:rsidRPr="00EA104B" w:rsidRDefault="00EA104B" w:rsidP="00EA104B">
            <w:pPr>
              <w:pStyle w:val="BodyText"/>
              <w:spacing w:line="360" w:lineRule="auto"/>
              <w:rPr>
                <w:szCs w:val="24"/>
              </w:rPr>
            </w:pPr>
            <w:r w:rsidRPr="00EA104B">
              <w:rPr>
                <w:szCs w:val="24"/>
              </w:rPr>
              <w:t>Fibrin D dimer increased</w:t>
            </w:r>
          </w:p>
        </w:tc>
      </w:tr>
    </w:tbl>
    <w:p w:rsidR="001B6056" w:rsidRPr="00EA104B" w:rsidRDefault="001B6056" w:rsidP="00EA104B">
      <w:pPr>
        <w:rPr>
          <w:szCs w:val="24"/>
          <w:lang w:eastAsia="en-GB"/>
        </w:rPr>
      </w:pPr>
    </w:p>
    <w:p w:rsidR="00EA104B" w:rsidRPr="004224D7" w:rsidRDefault="00EA104B" w:rsidP="00EA104B">
      <w:pPr>
        <w:pStyle w:val="BodyText"/>
        <w:rPr>
          <w:b/>
          <w:bCs/>
          <w:i/>
          <w:iCs/>
          <w:szCs w:val="24"/>
          <w:lang w:eastAsia="en-GB"/>
        </w:rPr>
      </w:pPr>
      <w:r w:rsidRPr="004224D7">
        <w:rPr>
          <w:b/>
          <w:bCs/>
          <w:i/>
          <w:iCs/>
          <w:szCs w:val="24"/>
          <w:lang w:eastAsia="en-GB"/>
        </w:rPr>
        <w:t>Description of selected adverse reactions</w:t>
      </w:r>
    </w:p>
    <w:p w:rsidR="002209E3" w:rsidRDefault="002209E3" w:rsidP="00960C82">
      <w:pPr>
        <w:jc w:val="both"/>
      </w:pPr>
      <w:r w:rsidRPr="00EA104B">
        <w:t xml:space="preserve">One patient with a pre-existing neutropenia experienced a mild aggravation of neutropenia and leucopenia during treatment with </w:t>
      </w:r>
      <w:r>
        <w:t>NovoThirteen</w:t>
      </w:r>
      <w:r w:rsidRPr="00EA104B">
        <w:t xml:space="preserve">. </w:t>
      </w:r>
      <w:r>
        <w:t>Following discontinuation of NovoThirteen the patient’s neutrophil count returned to levels similar to those prior to treatment with NovoThirteen.</w:t>
      </w:r>
    </w:p>
    <w:p w:rsidR="002209E3" w:rsidRDefault="002209E3" w:rsidP="00960C82">
      <w:pPr>
        <w:jc w:val="both"/>
      </w:pPr>
    </w:p>
    <w:p w:rsidR="00E37250" w:rsidRDefault="00E37250" w:rsidP="00960C82">
      <w:pPr>
        <w:jc w:val="both"/>
        <w:rPr>
          <w:rStyle w:val="BodyTextChar"/>
          <w:szCs w:val="24"/>
        </w:rPr>
      </w:pPr>
      <w:r w:rsidRPr="00EA104B">
        <w:t>Non</w:t>
      </w:r>
      <w:r w:rsidR="00FF1DB4">
        <w:t>-</w:t>
      </w:r>
      <w:r w:rsidRPr="00EA104B">
        <w:t>neutralising</w:t>
      </w:r>
      <w:r w:rsidR="00FF1DB4">
        <w:t xml:space="preserve"> </w:t>
      </w:r>
      <w:r w:rsidRPr="00EA104B">
        <w:t xml:space="preserve">antibodies have been seen in 4 of the </w:t>
      </w:r>
      <w:r w:rsidR="0000664F">
        <w:t>4</w:t>
      </w:r>
      <w:r w:rsidRPr="00EA104B">
        <w:t>1</w:t>
      </w:r>
      <w:r>
        <w:t xml:space="preserve"> exposed</w:t>
      </w:r>
      <w:r w:rsidRPr="00EA104B">
        <w:rPr>
          <w:i/>
        </w:rPr>
        <w:t> </w:t>
      </w:r>
      <w:r w:rsidRPr="00EA104B">
        <w:t xml:space="preserve">patients with </w:t>
      </w:r>
      <w:r>
        <w:t>congenital FXIII</w:t>
      </w:r>
      <w:r w:rsidRPr="00EA104B">
        <w:t xml:space="preserve"> deficiency. </w:t>
      </w:r>
      <w:r w:rsidR="005328CF">
        <w:t xml:space="preserve">The four events of non-neutralising antibodies occurred in patients below the age of 18 (age 8, 8, 14 and 16). </w:t>
      </w:r>
      <w:r w:rsidRPr="00EA104B">
        <w:rPr>
          <w:rStyle w:val="BodyTextChar"/>
          <w:szCs w:val="24"/>
        </w:rPr>
        <w:t xml:space="preserve">These antibodies were seen at the start of treatment with </w:t>
      </w:r>
      <w:r>
        <w:rPr>
          <w:rStyle w:val="BodyTextChar"/>
          <w:szCs w:val="24"/>
        </w:rPr>
        <w:t>NovoThirteen</w:t>
      </w:r>
      <w:r w:rsidRPr="00EA104B">
        <w:rPr>
          <w:rStyle w:val="BodyTextChar"/>
          <w:szCs w:val="24"/>
        </w:rPr>
        <w:t xml:space="preserve">. All </w:t>
      </w:r>
      <w:r w:rsidR="005328CF">
        <w:rPr>
          <w:rStyle w:val="BodyTextChar"/>
          <w:szCs w:val="24"/>
        </w:rPr>
        <w:t>four</w:t>
      </w:r>
      <w:r w:rsidRPr="00EA104B">
        <w:rPr>
          <w:i/>
        </w:rPr>
        <w:t> </w:t>
      </w:r>
      <w:r w:rsidRPr="00EA104B">
        <w:rPr>
          <w:rStyle w:val="BodyTextChar"/>
          <w:szCs w:val="24"/>
        </w:rPr>
        <w:t>patients received at least 2</w:t>
      </w:r>
      <w:r w:rsidRPr="00EA104B">
        <w:rPr>
          <w:i/>
        </w:rPr>
        <w:t> </w:t>
      </w:r>
      <w:r>
        <w:rPr>
          <w:rStyle w:val="BodyTextChar"/>
          <w:szCs w:val="24"/>
        </w:rPr>
        <w:t>doses of NovoThirteen</w:t>
      </w:r>
      <w:r w:rsidR="005328CF" w:rsidRPr="00EA104B">
        <w:rPr>
          <w:rStyle w:val="BodyTextChar"/>
          <w:szCs w:val="24"/>
        </w:rPr>
        <w:t xml:space="preserve">. </w:t>
      </w:r>
      <w:r w:rsidR="005328CF">
        <w:rPr>
          <w:rStyle w:val="BodyTextChar"/>
          <w:szCs w:val="24"/>
        </w:rPr>
        <w:t>Three of the patients discontinued the s</w:t>
      </w:r>
      <w:r w:rsidR="00960C82">
        <w:rPr>
          <w:rStyle w:val="BodyTextChar"/>
          <w:szCs w:val="24"/>
        </w:rPr>
        <w:t>tudy and returned to their previous</w:t>
      </w:r>
      <w:r w:rsidR="005328CF">
        <w:rPr>
          <w:rStyle w:val="BodyTextChar"/>
          <w:szCs w:val="24"/>
        </w:rPr>
        <w:t xml:space="preserve"> treatment.  One continued to receive NovoThirteen and the antibodies </w:t>
      </w:r>
      <w:r w:rsidR="00FF1DB4">
        <w:rPr>
          <w:rStyle w:val="BodyTextChar"/>
          <w:szCs w:val="24"/>
        </w:rPr>
        <w:t>were no longer detected following repeated exposure</w:t>
      </w:r>
      <w:r w:rsidR="005328CF">
        <w:rPr>
          <w:rStyle w:val="BodyTextChar"/>
          <w:szCs w:val="24"/>
        </w:rPr>
        <w:t xml:space="preserve">. </w:t>
      </w:r>
      <w:r w:rsidRPr="00EA104B">
        <w:rPr>
          <w:rStyle w:val="BodyTextChar"/>
          <w:szCs w:val="24"/>
        </w:rPr>
        <w:t xml:space="preserve">The antibodies had no inhibitory </w:t>
      </w:r>
      <w:r w:rsidR="005328CF">
        <w:rPr>
          <w:rStyle w:val="BodyTextChar"/>
          <w:szCs w:val="24"/>
        </w:rPr>
        <w:t>effect</w:t>
      </w:r>
      <w:r w:rsidR="005328CF" w:rsidRPr="00EA104B">
        <w:rPr>
          <w:rStyle w:val="BodyTextChar"/>
          <w:szCs w:val="24"/>
        </w:rPr>
        <w:t xml:space="preserve"> </w:t>
      </w:r>
      <w:r w:rsidRPr="00EA104B">
        <w:rPr>
          <w:rStyle w:val="BodyTextChar"/>
          <w:szCs w:val="24"/>
        </w:rPr>
        <w:t>and the patients did not experience any adverse events or bleeding in association with these an</w:t>
      </w:r>
      <w:r>
        <w:rPr>
          <w:rStyle w:val="BodyTextChar"/>
          <w:szCs w:val="24"/>
        </w:rPr>
        <w:t>tibodies. A</w:t>
      </w:r>
      <w:r w:rsidRPr="00EA104B">
        <w:rPr>
          <w:rStyle w:val="BodyTextChar"/>
          <w:szCs w:val="24"/>
        </w:rPr>
        <w:t>ntibodies were transient in all patients.</w:t>
      </w:r>
    </w:p>
    <w:p w:rsidR="00E37250" w:rsidRDefault="00E37250" w:rsidP="00960C82">
      <w:pPr>
        <w:jc w:val="both"/>
      </w:pPr>
    </w:p>
    <w:p w:rsidR="00E37250" w:rsidRDefault="004224D7" w:rsidP="00960C82">
      <w:pPr>
        <w:jc w:val="both"/>
      </w:pPr>
      <w:r>
        <w:t xml:space="preserve">One healthy subject developed </w:t>
      </w:r>
      <w:r w:rsidR="00FF1DB4">
        <w:t xml:space="preserve">binding </w:t>
      </w:r>
      <w:r>
        <w:t xml:space="preserve">antibodies after receiving the first dose of NovoThirteen.  The antibodies had no inhibitory activity, and the subject did not experience any adverse events or bleeding in association with these antibodies. The antibodies </w:t>
      </w:r>
      <w:r w:rsidR="00FF1DB4">
        <w:t>were no longer detected at a</w:t>
      </w:r>
      <w:r>
        <w:t xml:space="preserve"> 6-month follow up.</w:t>
      </w:r>
    </w:p>
    <w:p w:rsidR="00102694" w:rsidRDefault="00102694" w:rsidP="00960C82">
      <w:pPr>
        <w:jc w:val="both"/>
      </w:pPr>
    </w:p>
    <w:p w:rsidR="002209E3" w:rsidRPr="005D7B4E" w:rsidRDefault="002209E3" w:rsidP="00EA104B">
      <w:pPr>
        <w:pStyle w:val="BodyText"/>
        <w:rPr>
          <w:b/>
          <w:i/>
          <w:szCs w:val="24"/>
        </w:rPr>
      </w:pPr>
      <w:r w:rsidRPr="005D7B4E">
        <w:rPr>
          <w:b/>
          <w:i/>
          <w:szCs w:val="24"/>
        </w:rPr>
        <w:t>Paediatric population</w:t>
      </w:r>
    </w:p>
    <w:p w:rsidR="00C745D9" w:rsidRDefault="002209E3" w:rsidP="00C745D9">
      <w:pPr>
        <w:jc w:val="both"/>
        <w:rPr>
          <w:lang w:val="en-GB"/>
        </w:rPr>
      </w:pPr>
      <w:r w:rsidRPr="002209E3">
        <w:rPr>
          <w:lang w:val="en-GB"/>
        </w:rPr>
        <w:t>In clinical studies, adverse reactions were more freq</w:t>
      </w:r>
      <w:r>
        <w:rPr>
          <w:lang w:val="en-GB"/>
        </w:rPr>
        <w:t>uently reported in patients</w:t>
      </w:r>
      <w:r w:rsidRPr="002209E3">
        <w:rPr>
          <w:lang w:val="en-GB"/>
        </w:rPr>
        <w:t xml:space="preserve"> from 6 to less than 18 years </w:t>
      </w:r>
      <w:r>
        <w:rPr>
          <w:lang w:val="en-GB"/>
        </w:rPr>
        <w:t>of age</w:t>
      </w:r>
      <w:r w:rsidRPr="002209E3">
        <w:rPr>
          <w:lang w:val="en-GB"/>
        </w:rPr>
        <w:t xml:space="preserve"> than in adults. </w:t>
      </w:r>
      <w:r w:rsidR="00C745D9" w:rsidRPr="00F93D8B">
        <w:rPr>
          <w:lang w:val="en-GB"/>
        </w:rPr>
        <w:t>Adverse reactions were more frequently reported in patients aged from 6 to less than 18 years old than in adults. Three patients under 18 years experienced serious adverse reactions (non</w:t>
      </w:r>
      <w:r w:rsidR="00E6465F">
        <w:rPr>
          <w:lang w:val="en-GB"/>
        </w:rPr>
        <w:t>-</w:t>
      </w:r>
      <w:r w:rsidR="000D31B7">
        <w:rPr>
          <w:lang w:val="en-GB"/>
        </w:rPr>
        <w:t>neutralis</w:t>
      </w:r>
      <w:r w:rsidR="00C745D9" w:rsidRPr="00F93D8B">
        <w:rPr>
          <w:lang w:val="en-GB"/>
        </w:rPr>
        <w:t>ing antibodies) in comparison to no serious adverse reactions in patients over 18 years.</w:t>
      </w:r>
    </w:p>
    <w:p w:rsidR="003069AC" w:rsidRPr="00606F12" w:rsidRDefault="003069AC" w:rsidP="00C745D9">
      <w:pPr>
        <w:jc w:val="both"/>
        <w:rPr>
          <w:b/>
          <w:lang w:val="en-GB"/>
        </w:rPr>
      </w:pPr>
    </w:p>
    <w:p w:rsidR="002B34E3" w:rsidRPr="00DC16CF" w:rsidRDefault="002B34E3" w:rsidP="00C745D9">
      <w:pPr>
        <w:jc w:val="both"/>
      </w:pPr>
      <w:r w:rsidRPr="00606F12">
        <w:rPr>
          <w:b/>
        </w:rPr>
        <w:t xml:space="preserve">DOSAGE </w:t>
      </w:r>
      <w:r w:rsidR="0068790F" w:rsidRPr="00606F12">
        <w:rPr>
          <w:b/>
        </w:rPr>
        <w:t xml:space="preserve">AND </w:t>
      </w:r>
      <w:r w:rsidRPr="00606F12">
        <w:rPr>
          <w:b/>
        </w:rPr>
        <w:t>ADMINISTRATION</w:t>
      </w:r>
    </w:p>
    <w:p w:rsidR="0073500E" w:rsidRDefault="0073500E" w:rsidP="00960C82">
      <w:pPr>
        <w:jc w:val="both"/>
      </w:pPr>
      <w:r w:rsidRPr="00DC16CF">
        <w:t xml:space="preserve">Treatment should be initiated </w:t>
      </w:r>
      <w:r w:rsidR="00D2235E" w:rsidRPr="00D2235E">
        <w:t xml:space="preserve">and continued for a period of time </w:t>
      </w:r>
      <w:r w:rsidRPr="00DC16CF">
        <w:t>under the supervision of a doctor experienced in the treatment of rare bleeding disorders.</w:t>
      </w:r>
      <w:r w:rsidR="00DE198A">
        <w:t xml:space="preserve"> The congenital factor XIII A-subunit deficiency should be confirmed by appropriate diagnostic procedures.  </w:t>
      </w:r>
    </w:p>
    <w:p w:rsidR="00C63170" w:rsidRDefault="00C63170" w:rsidP="00960C82">
      <w:pPr>
        <w:jc w:val="both"/>
      </w:pPr>
    </w:p>
    <w:p w:rsidR="00C63170" w:rsidRDefault="00C63170" w:rsidP="00960C82">
      <w:pPr>
        <w:jc w:val="both"/>
      </w:pPr>
      <w:r>
        <w:t xml:space="preserve">For detailed instructions for reconstitution and administration of NovoThirteen, refer to the Instructions for Use leaflet.  </w:t>
      </w:r>
    </w:p>
    <w:p w:rsidR="003E4A0F" w:rsidRPr="00DC16CF" w:rsidRDefault="003E4A0F" w:rsidP="0073500E">
      <w:pPr>
        <w:pStyle w:val="BodyText"/>
        <w:rPr>
          <w:spacing w:val="0"/>
          <w:szCs w:val="24"/>
        </w:rPr>
      </w:pPr>
    </w:p>
    <w:p w:rsidR="0073500E" w:rsidRPr="00FD619D" w:rsidRDefault="0073500E" w:rsidP="0073500E">
      <w:pPr>
        <w:pStyle w:val="BodyText"/>
        <w:rPr>
          <w:b/>
          <w:i/>
          <w:spacing w:val="0"/>
          <w:szCs w:val="24"/>
        </w:rPr>
      </w:pPr>
      <w:r w:rsidRPr="00FD619D">
        <w:rPr>
          <w:b/>
          <w:i/>
          <w:spacing w:val="0"/>
          <w:szCs w:val="24"/>
        </w:rPr>
        <w:t>Dose and dose interval</w:t>
      </w:r>
    </w:p>
    <w:p w:rsidR="0073500E" w:rsidRPr="00DC16CF" w:rsidRDefault="0073500E" w:rsidP="0073500E">
      <w:pPr>
        <w:pStyle w:val="BodyText"/>
        <w:rPr>
          <w:spacing w:val="0"/>
          <w:szCs w:val="24"/>
        </w:rPr>
      </w:pPr>
      <w:r w:rsidRPr="00DC16CF">
        <w:rPr>
          <w:spacing w:val="0"/>
          <w:szCs w:val="24"/>
        </w:rPr>
        <w:t>The recommended dose is 35 IU/kg body weight</w:t>
      </w:r>
      <w:r w:rsidR="00182477">
        <w:rPr>
          <w:spacing w:val="0"/>
          <w:szCs w:val="24"/>
        </w:rPr>
        <w:t xml:space="preserve"> (bw)</w:t>
      </w:r>
      <w:r w:rsidRPr="00DC16CF">
        <w:rPr>
          <w:spacing w:val="0"/>
          <w:szCs w:val="24"/>
        </w:rPr>
        <w:t xml:space="preserve"> once monthly</w:t>
      </w:r>
      <w:r w:rsidR="00182477">
        <w:rPr>
          <w:spacing w:val="0"/>
          <w:szCs w:val="24"/>
        </w:rPr>
        <w:t xml:space="preserve"> </w:t>
      </w:r>
      <w:r w:rsidR="00FD619D">
        <w:rPr>
          <w:spacing w:val="0"/>
          <w:szCs w:val="24"/>
        </w:rPr>
        <w:t>(every 28 days +/- 2 days)</w:t>
      </w:r>
      <w:r w:rsidRPr="00DC16CF">
        <w:rPr>
          <w:spacing w:val="0"/>
          <w:szCs w:val="24"/>
        </w:rPr>
        <w:t>, administered as an intravenous bolus injection.</w:t>
      </w:r>
      <w:r w:rsidR="00DE198A">
        <w:rPr>
          <w:spacing w:val="0"/>
          <w:szCs w:val="24"/>
        </w:rPr>
        <w:t xml:space="preserve">  </w:t>
      </w:r>
      <w:r w:rsidRPr="00DC16CF">
        <w:rPr>
          <w:spacing w:val="0"/>
          <w:szCs w:val="24"/>
        </w:rPr>
        <w:t>The dose volume in millilitres can be calculated from the formula below:</w:t>
      </w:r>
      <w:r w:rsidR="00DC16CF">
        <w:rPr>
          <w:spacing w:val="0"/>
          <w:szCs w:val="24"/>
        </w:rPr>
        <w:br/>
      </w:r>
    </w:p>
    <w:p w:rsidR="00534DAB" w:rsidRPr="00534DAB" w:rsidRDefault="00DC16CF" w:rsidP="00C420C1">
      <w:pPr>
        <w:pStyle w:val="BodyText"/>
        <w:rPr>
          <w:lang w:val="en-GB"/>
        </w:rPr>
      </w:pPr>
      <w:r>
        <w:rPr>
          <w:spacing w:val="0"/>
          <w:szCs w:val="24"/>
        </w:rPr>
        <w:lastRenderedPageBreak/>
        <w:tab/>
      </w:r>
      <w:r w:rsidR="003E4A0F">
        <w:rPr>
          <w:spacing w:val="0"/>
          <w:szCs w:val="24"/>
        </w:rPr>
        <w:t>Dose volume in mL</w:t>
      </w:r>
      <w:r w:rsidR="0073500E" w:rsidRPr="00DC16CF">
        <w:rPr>
          <w:spacing w:val="0"/>
          <w:szCs w:val="24"/>
        </w:rPr>
        <w:t xml:space="preserve"> = 0.042 x subject </w:t>
      </w:r>
      <w:proofErr w:type="gramStart"/>
      <w:r w:rsidR="0073500E" w:rsidRPr="00DC16CF">
        <w:rPr>
          <w:spacing w:val="0"/>
          <w:szCs w:val="24"/>
        </w:rPr>
        <w:t>bw</w:t>
      </w:r>
      <w:proofErr w:type="gramEnd"/>
      <w:r w:rsidR="0073500E" w:rsidRPr="00DC16CF">
        <w:rPr>
          <w:spacing w:val="0"/>
          <w:szCs w:val="24"/>
        </w:rPr>
        <w:t xml:space="preserve"> (kg)</w:t>
      </w:r>
      <w:r>
        <w:rPr>
          <w:spacing w:val="0"/>
          <w:szCs w:val="24"/>
        </w:rPr>
        <w:br/>
      </w:r>
    </w:p>
    <w:p w:rsidR="002209E3" w:rsidRDefault="002209E3" w:rsidP="008000DD">
      <w:pPr>
        <w:rPr>
          <w:lang w:val="en-CA"/>
        </w:rPr>
      </w:pPr>
      <w:r>
        <w:rPr>
          <w:lang w:val="en-CA"/>
        </w:rPr>
        <w:t>Dose adjustment can be considered necessary by the physician in certain situations where the prevention of bleeding is not appropriately covered by the recommended 35 IU/kg/month dose. This dose adjustment should be based on FXIII activity levels.</w:t>
      </w:r>
    </w:p>
    <w:p w:rsidR="002209E3" w:rsidRDefault="002209E3" w:rsidP="008000DD">
      <w:pPr>
        <w:rPr>
          <w:lang w:val="en-CA"/>
        </w:rPr>
      </w:pPr>
      <w:r>
        <w:rPr>
          <w:lang w:val="en-CA"/>
        </w:rPr>
        <w:t xml:space="preserve">Monitoring FXIII activity levels using a standard FXIII activity assay is recommended. </w:t>
      </w:r>
    </w:p>
    <w:p w:rsidR="00D2235E" w:rsidRDefault="00D2235E" w:rsidP="008000DD">
      <w:pPr>
        <w:rPr>
          <w:lang w:val="en-CA"/>
        </w:rPr>
      </w:pPr>
    </w:p>
    <w:p w:rsidR="00D2235E" w:rsidRDefault="00D2235E" w:rsidP="008000DD">
      <w:pPr>
        <w:rPr>
          <w:lang w:val="en-CA"/>
        </w:rPr>
      </w:pPr>
      <w:r w:rsidRPr="00D2235E">
        <w:rPr>
          <w:lang w:val="en-CA"/>
        </w:rPr>
        <w:t>Low FXIII activity levels may indicate development of antibodies (refer to section Inhibitor development) in which case further treatment should only be performed under close patient supervision</w:t>
      </w:r>
      <w:r w:rsidR="000D31B7">
        <w:rPr>
          <w:lang w:val="en-CA"/>
        </w:rPr>
        <w:t>.</w:t>
      </w:r>
    </w:p>
    <w:p w:rsidR="002209E3" w:rsidRDefault="002209E3" w:rsidP="008000DD">
      <w:pPr>
        <w:rPr>
          <w:lang w:val="en-CA"/>
        </w:rPr>
      </w:pPr>
    </w:p>
    <w:p w:rsidR="008000DD" w:rsidRPr="008000DD" w:rsidRDefault="008000DD" w:rsidP="008000DD">
      <w:pPr>
        <w:rPr>
          <w:lang w:val="en-CA"/>
        </w:rPr>
      </w:pPr>
      <w:r>
        <w:rPr>
          <w:lang w:val="en-CA"/>
        </w:rPr>
        <w:t>The amount of NovoThirteen</w:t>
      </w:r>
      <w:r w:rsidRPr="008000DD">
        <w:rPr>
          <w:lang w:val="en-CA"/>
        </w:rPr>
        <w:t xml:space="preserve"> is calculated upon body weight. W</w:t>
      </w:r>
      <w:r>
        <w:rPr>
          <w:lang w:val="en-CA"/>
        </w:rPr>
        <w:t>hen NovoThirteen</w:t>
      </w:r>
      <w:r w:rsidRPr="008000DD">
        <w:rPr>
          <w:lang w:val="en-CA"/>
        </w:rPr>
        <w:t xml:space="preserve"> is administered to small children a further dilution of the product might be necessary (see Special additional instructions for patients weighing less than 24 kg). </w:t>
      </w:r>
    </w:p>
    <w:p w:rsidR="00CA68DA" w:rsidRPr="008000DD" w:rsidRDefault="00CA68DA" w:rsidP="008000DD">
      <w:pPr>
        <w:rPr>
          <w:lang w:val="en-CA"/>
        </w:rPr>
      </w:pPr>
    </w:p>
    <w:p w:rsidR="008000DD" w:rsidRPr="008000DD" w:rsidRDefault="008000DD" w:rsidP="008000DD">
      <w:pPr>
        <w:rPr>
          <w:b/>
          <w:lang w:val="en-CA"/>
        </w:rPr>
      </w:pPr>
      <w:r w:rsidRPr="008000DD">
        <w:rPr>
          <w:b/>
          <w:u w:val="single"/>
          <w:lang w:val="en-CA"/>
        </w:rPr>
        <w:t>Special additional instructions for patients weighing less than 24 kg</w:t>
      </w:r>
    </w:p>
    <w:p w:rsidR="008000DD" w:rsidRPr="008000DD" w:rsidRDefault="008000DD" w:rsidP="008000DD">
      <w:pPr>
        <w:rPr>
          <w:lang w:val="en-CA"/>
        </w:rPr>
      </w:pPr>
      <w:r w:rsidRPr="008000DD">
        <w:rPr>
          <w:lang w:val="en-CA"/>
        </w:rPr>
        <w:t>If the body weight is les</w:t>
      </w:r>
      <w:r>
        <w:rPr>
          <w:lang w:val="en-CA"/>
        </w:rPr>
        <w:t>s than 24 kg, the reconstituted NovoThirteen</w:t>
      </w:r>
      <w:r w:rsidRPr="008000DD">
        <w:rPr>
          <w:lang w:val="en-CA"/>
        </w:rPr>
        <w:t xml:space="preserve"> can be further diluted with 6.0 mL of 0.9% sodium chloride. To use the formula below the reconstituted product should be diluted with 6.0 mL of 0.9% sodium chloride. </w:t>
      </w:r>
    </w:p>
    <w:p w:rsidR="008000DD" w:rsidRPr="008000DD" w:rsidRDefault="008000DD" w:rsidP="008000DD">
      <w:pPr>
        <w:rPr>
          <w:lang w:val="en-CA"/>
        </w:rPr>
      </w:pPr>
    </w:p>
    <w:p w:rsidR="008000DD" w:rsidRDefault="008000DD" w:rsidP="008000DD">
      <w:pPr>
        <w:ind w:firstLine="720"/>
        <w:rPr>
          <w:lang w:val="en-US"/>
        </w:rPr>
      </w:pPr>
      <w:r w:rsidRPr="008000DD">
        <w:rPr>
          <w:lang w:val="en-US"/>
        </w:rPr>
        <w:t>Dose volume in mL of diluted product = 0.117 x Body weight in kilograms</w:t>
      </w:r>
    </w:p>
    <w:p w:rsidR="00606F12" w:rsidRPr="008000DD" w:rsidRDefault="00606F12" w:rsidP="008000DD">
      <w:pPr>
        <w:ind w:firstLine="720"/>
        <w:rPr>
          <w:lang w:val="en-CA"/>
        </w:rPr>
      </w:pPr>
    </w:p>
    <w:p w:rsidR="00534DAB" w:rsidRPr="00534DAB" w:rsidRDefault="00534DAB" w:rsidP="00534DAB">
      <w:pPr>
        <w:rPr>
          <w:lang w:val="en-GB"/>
        </w:rPr>
      </w:pPr>
      <w:r w:rsidRPr="00534DAB">
        <w:rPr>
          <w:lang w:val="en-GB"/>
        </w:rPr>
        <w:t>The potency of this medicinal product is expressed in international units (IU).</w:t>
      </w:r>
    </w:p>
    <w:p w:rsidR="00534DAB" w:rsidRPr="00534DAB" w:rsidRDefault="00534DAB" w:rsidP="00534DAB">
      <w:pPr>
        <w:rPr>
          <w:lang w:val="en-GB"/>
        </w:rPr>
      </w:pPr>
    </w:p>
    <w:p w:rsidR="00534DAB" w:rsidRDefault="00534DAB" w:rsidP="00534DAB">
      <w:pPr>
        <w:rPr>
          <w:lang w:val="en-GB"/>
        </w:rPr>
      </w:pPr>
      <w:r w:rsidRPr="00534DAB">
        <w:rPr>
          <w:lang w:val="en-GB"/>
        </w:rPr>
        <w:t>Monitoring NovoThirteen activity levels using a standard FXIII activity assay is recommended.</w:t>
      </w:r>
    </w:p>
    <w:p w:rsidR="000777DD" w:rsidRDefault="000777DD" w:rsidP="00534DAB">
      <w:pPr>
        <w:rPr>
          <w:lang w:val="en-GB"/>
        </w:rPr>
      </w:pPr>
    </w:p>
    <w:p w:rsidR="000777DD" w:rsidRDefault="00AA141F" w:rsidP="00534DAB">
      <w:pPr>
        <w:rPr>
          <w:rFonts w:ascii="Times New Roman" w:hAnsi="Times New Roman"/>
          <w:b/>
          <w:i/>
          <w:lang w:val="en-GB"/>
        </w:rPr>
      </w:pPr>
      <w:r>
        <w:rPr>
          <w:rFonts w:ascii="Times New Roman" w:hAnsi="Times New Roman"/>
          <w:b/>
          <w:i/>
          <w:lang w:val="en-GB"/>
        </w:rPr>
        <w:t>NovoThirteen</w:t>
      </w:r>
      <w:r w:rsidR="000777DD" w:rsidRPr="000777DD">
        <w:rPr>
          <w:rFonts w:ascii="Times New Roman" w:hAnsi="Times New Roman"/>
          <w:b/>
          <w:i/>
          <w:lang w:val="en-GB"/>
        </w:rPr>
        <w:t xml:space="preserve"> User Instructions</w:t>
      </w:r>
    </w:p>
    <w:p w:rsidR="00AA141F" w:rsidRDefault="00AA141F" w:rsidP="00534DAB">
      <w:pPr>
        <w:rPr>
          <w:rFonts w:ascii="Times New Roman" w:hAnsi="Times New Roman"/>
          <w:b/>
          <w:i/>
          <w:lang w:val="en-GB"/>
        </w:rPr>
      </w:pPr>
    </w:p>
    <w:p w:rsidR="00AA141F" w:rsidRPr="000777DD" w:rsidRDefault="00AA141F" w:rsidP="00AA141F">
      <w:pPr>
        <w:rPr>
          <w:lang w:val="en-GB"/>
        </w:rPr>
      </w:pPr>
      <w:r w:rsidRPr="000777DD">
        <w:rPr>
          <w:lang w:val="en-GB"/>
        </w:rPr>
        <w:t>To reconstitute and administer this medicinal product the following tools are needed: a 1</w:t>
      </w:r>
      <w:r w:rsidR="000D31B7">
        <w:rPr>
          <w:lang w:val="en-GB"/>
        </w:rPr>
        <w:t>0 mL</w:t>
      </w:r>
      <w:r w:rsidRPr="000777DD">
        <w:rPr>
          <w:lang w:val="en-GB"/>
        </w:rPr>
        <w:t xml:space="preserve"> syringe or a syringe of convenient size according to the injection volume, alcohol swabs, the included vial adaptor and an infusion set (tubing, butterfly needle)</w:t>
      </w:r>
      <w:r w:rsidR="00C94133">
        <w:rPr>
          <w:lang w:val="en-GB"/>
        </w:rPr>
        <w:t>.</w:t>
      </w:r>
    </w:p>
    <w:p w:rsidR="00AA141F" w:rsidRPr="000777DD" w:rsidRDefault="00AA141F" w:rsidP="00AA141F">
      <w:pPr>
        <w:rPr>
          <w:lang w:val="en-GB"/>
        </w:rPr>
      </w:pPr>
    </w:p>
    <w:p w:rsidR="00AA141F" w:rsidRPr="007B6176" w:rsidRDefault="00AA141F" w:rsidP="00AA141F">
      <w:pPr>
        <w:rPr>
          <w:i/>
          <w:lang w:val="en-GB"/>
        </w:rPr>
      </w:pPr>
      <w:r w:rsidRPr="007B6176">
        <w:rPr>
          <w:i/>
          <w:lang w:val="en-GB"/>
        </w:rPr>
        <w:t>Preparing the solution</w:t>
      </w:r>
    </w:p>
    <w:p w:rsidR="00AA141F" w:rsidRPr="00AA141F" w:rsidRDefault="007B6176" w:rsidP="00AA141F">
      <w:pPr>
        <w:rPr>
          <w:rFonts w:ascii="Times New Roman" w:hAnsi="Times New Roman"/>
          <w:lang w:val="en-GB"/>
        </w:rPr>
      </w:pPr>
      <w:r>
        <w:rPr>
          <w:lang w:val="en-GB"/>
        </w:rPr>
        <w:t>Wash the hands before starting. NovoThirteen</w:t>
      </w:r>
      <w:r w:rsidR="00AA141F" w:rsidRPr="000777DD">
        <w:rPr>
          <w:lang w:val="en-GB"/>
        </w:rPr>
        <w:t xml:space="preserve"> powder and solvent vials should be at room temperature (not above 25°C) for reconstitution. Remove the plastic caps from the two vials. If the caps are loose or missing, do not use the vials. Clean the rubber stoppers on the vials with alcohol swabs and allow them to dry before use.</w:t>
      </w:r>
    </w:p>
    <w:p w:rsidR="000777DD" w:rsidRPr="000777DD" w:rsidRDefault="000777DD" w:rsidP="00534DAB">
      <w:pPr>
        <w:rPr>
          <w:rFonts w:ascii="Times New Roman" w:hAnsi="Times New Roman"/>
          <w:b/>
          <w:i/>
          <w:lang w:val="en-GB"/>
        </w:rPr>
      </w:pPr>
    </w:p>
    <w:p w:rsidR="00F449B6" w:rsidRDefault="003D71AB" w:rsidP="00534DAB">
      <w:pPr>
        <w:rPr>
          <w:rFonts w:ascii="Times New Roman" w:hAnsi="Times New Roman"/>
          <w:color w:val="075095"/>
          <w:szCs w:val="22"/>
          <w:lang w:val="da-DK"/>
        </w:rPr>
      </w:pPr>
      <w:r w:rsidRPr="00AA141F">
        <w:rPr>
          <w:rFonts w:ascii="Times New Roman" w:hAnsi="Times New Roman"/>
          <w:color w:val="075095"/>
          <w:szCs w:val="22"/>
          <w:lang w:val="da-DK"/>
        </w:rPr>
        <w:object w:dxaOrig="4802" w:dyaOrig="3601">
          <v:shape id="_x0000_i1026" type="#_x0000_t75" alt="Solvent and powder vials and vial adapter" style="width:240.15pt;height:180.2pt">
            <v:imagedata r:id="rId11" o:title=""/>
          </v:shape>
        </w:object>
      </w:r>
    </w:p>
    <w:p w:rsidR="000777DD" w:rsidRPr="00AA141F" w:rsidRDefault="000777DD" w:rsidP="00534DAB">
      <w:pPr>
        <w:rPr>
          <w:rFonts w:ascii="Times New Roman" w:hAnsi="Times New Roman"/>
          <w:color w:val="075095"/>
          <w:szCs w:val="22"/>
          <w:lang w:val="en-US"/>
        </w:rPr>
      </w:pPr>
    </w:p>
    <w:p w:rsidR="00AA141F" w:rsidRPr="00AA141F" w:rsidRDefault="00AA141F" w:rsidP="00AA141F">
      <w:pPr>
        <w:rPr>
          <w:lang w:val="en-GB"/>
        </w:rPr>
      </w:pPr>
      <w:r w:rsidRPr="00AA141F">
        <w:rPr>
          <w:lang w:val="en-GB"/>
        </w:rPr>
        <w:t>A</w:t>
      </w:r>
    </w:p>
    <w:p w:rsidR="000777DD" w:rsidRDefault="00AA141F" w:rsidP="00AA141F">
      <w:pPr>
        <w:rPr>
          <w:lang w:val="en-GB"/>
        </w:rPr>
      </w:pPr>
      <w:r w:rsidRPr="00AA141F">
        <w:rPr>
          <w:lang w:val="en-GB"/>
        </w:rPr>
        <w:t xml:space="preserve">Remove the protective paper from the vial </w:t>
      </w:r>
      <w:r w:rsidR="000D31B7">
        <w:rPr>
          <w:lang w:val="en-GB"/>
        </w:rPr>
        <w:t>adaptor</w:t>
      </w:r>
      <w:r w:rsidRPr="00AA141F">
        <w:rPr>
          <w:lang w:val="en-GB"/>
        </w:rPr>
        <w:t xml:space="preserve"> without taking it out of the protective cap. Attach the vial </w:t>
      </w:r>
      <w:r w:rsidR="000D31B7">
        <w:rPr>
          <w:lang w:val="en-GB"/>
        </w:rPr>
        <w:t>adaptor</w:t>
      </w:r>
      <w:r w:rsidRPr="00AA141F">
        <w:rPr>
          <w:lang w:val="en-GB"/>
        </w:rPr>
        <w:t xml:space="preserve"> to the solvent vial (water for injection). Take care not to touch the spike on the vial </w:t>
      </w:r>
      <w:r w:rsidR="000D31B7">
        <w:rPr>
          <w:lang w:val="en-GB"/>
        </w:rPr>
        <w:t>adaptor</w:t>
      </w:r>
      <w:r w:rsidRPr="00AA141F">
        <w:rPr>
          <w:lang w:val="en-GB"/>
        </w:rPr>
        <w:t>.</w:t>
      </w:r>
    </w:p>
    <w:p w:rsidR="00AA141F" w:rsidRDefault="00AA141F" w:rsidP="00AA141F">
      <w:pPr>
        <w:rPr>
          <w:lang w:val="en-GB"/>
        </w:rPr>
      </w:pPr>
    </w:p>
    <w:p w:rsidR="00AA141F" w:rsidRDefault="000020E9" w:rsidP="00AA141F">
      <w:pPr>
        <w:rPr>
          <w:rFonts w:ascii="Times New Roman" w:hAnsi="Times New Roman"/>
          <w:color w:val="075095"/>
          <w:szCs w:val="22"/>
          <w:lang w:val="da-DK"/>
        </w:rPr>
      </w:pPr>
      <w:r w:rsidRPr="00AA141F">
        <w:rPr>
          <w:rFonts w:ascii="Times New Roman" w:hAnsi="Times New Roman"/>
          <w:color w:val="075095"/>
          <w:szCs w:val="22"/>
          <w:lang w:val="da-DK"/>
        </w:rPr>
        <w:object w:dxaOrig="2640" w:dyaOrig="2641">
          <v:shape id="_x0000_i1027" type="#_x0000_t75" alt="Remove the protective paper from the vial adaptor without taking it out of the protective cap. Attach the vial adaptor to the solvent vial (water for injection). Take care not to touch the spike on the vial adaptor." style="width:131.95pt;height:131.95pt">
            <v:imagedata r:id="rId12" o:title=""/>
          </v:shape>
        </w:object>
      </w:r>
    </w:p>
    <w:p w:rsidR="009B2D48" w:rsidRDefault="009B2D48" w:rsidP="00AA141F">
      <w:pPr>
        <w:rPr>
          <w:rFonts w:ascii="Times New Roman" w:hAnsi="Times New Roman"/>
          <w:color w:val="075095"/>
          <w:szCs w:val="22"/>
          <w:lang w:val="da-DK"/>
        </w:rPr>
      </w:pPr>
    </w:p>
    <w:p w:rsidR="00AA141F" w:rsidRPr="00A12DF7" w:rsidRDefault="00AA141F" w:rsidP="00AA141F">
      <w:pPr>
        <w:rPr>
          <w:rFonts w:ascii="Times New Roman" w:hAnsi="Times New Roman"/>
          <w:szCs w:val="22"/>
          <w:lang w:val="en-GB"/>
        </w:rPr>
      </w:pPr>
      <w:r w:rsidRPr="00A12DF7">
        <w:rPr>
          <w:rFonts w:ascii="Times New Roman" w:hAnsi="Times New Roman"/>
          <w:szCs w:val="22"/>
          <w:lang w:val="en-GB"/>
        </w:rPr>
        <w:t>B</w:t>
      </w:r>
    </w:p>
    <w:p w:rsidR="00AA141F" w:rsidRPr="003069AC" w:rsidRDefault="00AA141F" w:rsidP="00AA141F">
      <w:pPr>
        <w:rPr>
          <w:rFonts w:ascii="Times New Roman" w:hAnsi="Times New Roman"/>
          <w:szCs w:val="22"/>
          <w:lang w:val="en-US"/>
        </w:rPr>
      </w:pPr>
      <w:r w:rsidRPr="003069AC">
        <w:rPr>
          <w:rFonts w:ascii="Times New Roman" w:hAnsi="Times New Roman"/>
          <w:szCs w:val="22"/>
          <w:lang w:val="en-US"/>
        </w:rPr>
        <w:t xml:space="preserve">Once attached, remove the protective cap from the vial </w:t>
      </w:r>
      <w:r w:rsidR="000D31B7">
        <w:rPr>
          <w:rFonts w:ascii="Times New Roman" w:hAnsi="Times New Roman"/>
          <w:szCs w:val="22"/>
          <w:lang w:val="en-US"/>
        </w:rPr>
        <w:t>adaptor</w:t>
      </w:r>
      <w:r w:rsidRPr="003069AC">
        <w:rPr>
          <w:rFonts w:ascii="Times New Roman" w:hAnsi="Times New Roman"/>
          <w:szCs w:val="22"/>
          <w:lang w:val="en-US"/>
        </w:rPr>
        <w:t xml:space="preserve"> by lightly squeezing the protective cap with your thumb and index finger as shown.</w:t>
      </w:r>
    </w:p>
    <w:p w:rsidR="00AA141F" w:rsidRDefault="00AA141F" w:rsidP="00AA141F">
      <w:pPr>
        <w:rPr>
          <w:lang w:val="en-GB"/>
        </w:rPr>
      </w:pPr>
    </w:p>
    <w:p w:rsidR="00AA141F" w:rsidRDefault="000020E9" w:rsidP="00AA141F">
      <w:pPr>
        <w:rPr>
          <w:rFonts w:ascii="Times New Roman" w:hAnsi="Times New Roman"/>
          <w:color w:val="075095"/>
          <w:szCs w:val="22"/>
        </w:rPr>
      </w:pPr>
      <w:r w:rsidRPr="00AA141F">
        <w:rPr>
          <w:rFonts w:ascii="Times New Roman" w:hAnsi="Times New Roman"/>
          <w:color w:val="075095"/>
          <w:szCs w:val="22"/>
        </w:rPr>
        <w:object w:dxaOrig="2644" w:dyaOrig="2643">
          <v:shape id="_x0000_i1028" type="#_x0000_t75" alt="Once attached, remove the protective cap from the vial adaptor by lightly squeezing the protective cap with your thumb and index finger as shown." style="width:130.6pt;height:131.05pt">
            <v:imagedata r:id="rId13" o:title=""/>
          </v:shape>
        </w:object>
      </w:r>
    </w:p>
    <w:p w:rsidR="00AA141F" w:rsidRDefault="00AA141F" w:rsidP="00AA141F">
      <w:pPr>
        <w:rPr>
          <w:rFonts w:ascii="Times New Roman" w:hAnsi="Times New Roman"/>
          <w:color w:val="075095"/>
          <w:szCs w:val="22"/>
        </w:rPr>
      </w:pPr>
    </w:p>
    <w:p w:rsidR="00AA141F" w:rsidRPr="00AA141F" w:rsidRDefault="000020E9" w:rsidP="00AA141F">
      <w:pPr>
        <w:rPr>
          <w:lang w:val="en-GB"/>
        </w:rPr>
      </w:pPr>
      <w:r>
        <w:rPr>
          <w:lang w:val="en-GB"/>
        </w:rPr>
        <w:br w:type="page"/>
      </w:r>
      <w:r w:rsidR="00AA141F">
        <w:rPr>
          <w:lang w:val="en-GB"/>
        </w:rPr>
        <w:lastRenderedPageBreak/>
        <w:t>C</w:t>
      </w:r>
    </w:p>
    <w:p w:rsidR="00AA141F" w:rsidRDefault="00AA141F" w:rsidP="00AA141F">
      <w:pPr>
        <w:rPr>
          <w:lang w:val="en-GB"/>
        </w:rPr>
      </w:pPr>
      <w:r w:rsidRPr="00AA141F">
        <w:rPr>
          <w:lang w:val="en-GB"/>
        </w:rPr>
        <w:t>Pull the plunger to draw in a volume of air that is equal to the amount of</w:t>
      </w:r>
      <w:r w:rsidR="000D31B7">
        <w:rPr>
          <w:lang w:val="en-GB"/>
        </w:rPr>
        <w:t xml:space="preserve"> solvent in the solvent vial (mL</w:t>
      </w:r>
      <w:r w:rsidRPr="00AA141F">
        <w:rPr>
          <w:lang w:val="en-GB"/>
        </w:rPr>
        <w:t xml:space="preserve"> equals cc on</w:t>
      </w:r>
      <w:r>
        <w:rPr>
          <w:lang w:val="en-GB"/>
        </w:rPr>
        <w:t xml:space="preserve"> the syringe).</w:t>
      </w:r>
    </w:p>
    <w:p w:rsidR="00AA141F" w:rsidRDefault="00AA141F" w:rsidP="00AA141F">
      <w:pPr>
        <w:rPr>
          <w:lang w:val="en-GB"/>
        </w:rPr>
      </w:pPr>
    </w:p>
    <w:p w:rsidR="00AA141F" w:rsidRDefault="000020E9" w:rsidP="00AA141F">
      <w:pPr>
        <w:rPr>
          <w:rFonts w:ascii="Times New Roman" w:hAnsi="Times New Roman"/>
          <w:color w:val="075095"/>
          <w:szCs w:val="22"/>
        </w:rPr>
      </w:pPr>
      <w:r w:rsidRPr="00AA141F">
        <w:rPr>
          <w:rFonts w:ascii="Times New Roman" w:hAnsi="Times New Roman"/>
          <w:color w:val="075095"/>
          <w:szCs w:val="22"/>
        </w:rPr>
        <w:object w:dxaOrig="2625" w:dyaOrig="2624">
          <v:shape id="_x0000_i1029" type="#_x0000_t75" alt="Pull the plunger to draw in a volume of air that is equal to the amount of solvent in the solvent vial (mL equals cc on the syringe)." style="width:131.05pt;height:131.05pt">
            <v:imagedata r:id="rId14" o:title=""/>
          </v:shape>
        </w:object>
      </w:r>
    </w:p>
    <w:p w:rsidR="00AA141F" w:rsidRPr="003069AC" w:rsidRDefault="00AA141F" w:rsidP="00AA141F">
      <w:pPr>
        <w:rPr>
          <w:rFonts w:ascii="Times New Roman" w:hAnsi="Times New Roman"/>
          <w:szCs w:val="22"/>
        </w:rPr>
      </w:pPr>
    </w:p>
    <w:p w:rsidR="00AA141F" w:rsidRPr="003069AC" w:rsidRDefault="00AA141F" w:rsidP="00AA141F">
      <w:pPr>
        <w:rPr>
          <w:rFonts w:ascii="Times New Roman" w:hAnsi="Times New Roman"/>
          <w:szCs w:val="22"/>
        </w:rPr>
      </w:pPr>
      <w:r w:rsidRPr="003069AC">
        <w:rPr>
          <w:rFonts w:ascii="Times New Roman" w:hAnsi="Times New Roman"/>
          <w:szCs w:val="22"/>
        </w:rPr>
        <w:t>D</w:t>
      </w:r>
    </w:p>
    <w:p w:rsidR="00AA141F" w:rsidRDefault="00AA141F" w:rsidP="00AA141F">
      <w:pPr>
        <w:rPr>
          <w:lang w:val="en-GB"/>
        </w:rPr>
      </w:pPr>
      <w:r w:rsidRPr="00AA141F">
        <w:rPr>
          <w:lang w:val="en-GB"/>
        </w:rPr>
        <w:t xml:space="preserve">Screw the syringe securely onto the vial </w:t>
      </w:r>
      <w:r w:rsidR="000D31B7">
        <w:rPr>
          <w:lang w:val="en-GB"/>
        </w:rPr>
        <w:t>adaptor</w:t>
      </w:r>
      <w:r w:rsidRPr="00AA141F">
        <w:rPr>
          <w:lang w:val="en-GB"/>
        </w:rPr>
        <w:t xml:space="preserve"> on the solvent vial. Inject air into the vial by pushing the plunger until you feel a clear resistance.</w:t>
      </w:r>
    </w:p>
    <w:p w:rsidR="00AA141F" w:rsidRDefault="00AA141F" w:rsidP="00AA141F">
      <w:pPr>
        <w:rPr>
          <w:lang w:val="en-GB"/>
        </w:rPr>
      </w:pPr>
    </w:p>
    <w:p w:rsidR="00AA141F" w:rsidRDefault="00D867A2" w:rsidP="00AA141F">
      <w:pPr>
        <w:rPr>
          <w:rFonts w:ascii="Times New Roman" w:hAnsi="Times New Roman"/>
          <w:color w:val="075095"/>
          <w:szCs w:val="22"/>
        </w:rPr>
      </w:pPr>
      <w:r w:rsidRPr="00AA141F">
        <w:rPr>
          <w:rFonts w:ascii="Times New Roman" w:hAnsi="Times New Roman"/>
          <w:color w:val="075095"/>
          <w:szCs w:val="22"/>
        </w:rPr>
        <w:object w:dxaOrig="2644" w:dyaOrig="2640">
          <v:shape id="_x0000_i1030" type="#_x0000_t75" alt="Screw the syringe securely onto the vial adaptor on the solvent vial. Inject air into the vial by pushing the plunger until you feel a clear resistance." style="width:130.6pt;height:131.95pt">
            <v:imagedata r:id="rId15" o:title=""/>
          </v:shape>
        </w:object>
      </w:r>
    </w:p>
    <w:p w:rsidR="007A0A4F" w:rsidRDefault="007A0A4F" w:rsidP="00AA141F">
      <w:pPr>
        <w:rPr>
          <w:rFonts w:ascii="Times New Roman" w:hAnsi="Times New Roman"/>
          <w:color w:val="075095"/>
          <w:szCs w:val="22"/>
        </w:rPr>
      </w:pPr>
    </w:p>
    <w:p w:rsidR="00AA141F" w:rsidRPr="003069AC" w:rsidRDefault="00AA141F" w:rsidP="00AA141F">
      <w:pPr>
        <w:rPr>
          <w:rFonts w:ascii="Times New Roman" w:hAnsi="Times New Roman"/>
          <w:szCs w:val="22"/>
        </w:rPr>
      </w:pPr>
      <w:r w:rsidRPr="003069AC">
        <w:rPr>
          <w:rFonts w:ascii="Times New Roman" w:hAnsi="Times New Roman"/>
          <w:szCs w:val="22"/>
        </w:rPr>
        <w:t>E</w:t>
      </w:r>
    </w:p>
    <w:p w:rsidR="00AA141F" w:rsidRPr="003069AC" w:rsidRDefault="00AA141F" w:rsidP="00AA141F">
      <w:pPr>
        <w:rPr>
          <w:rFonts w:ascii="Times New Roman" w:hAnsi="Times New Roman"/>
          <w:szCs w:val="22"/>
        </w:rPr>
      </w:pPr>
      <w:r w:rsidRPr="003069AC">
        <w:rPr>
          <w:rFonts w:ascii="Times New Roman" w:hAnsi="Times New Roman"/>
          <w:szCs w:val="22"/>
        </w:rPr>
        <w:t>Hold the syringe with the solvent vial upside down. Pull the plunger to draw the solvent into the syringe.</w:t>
      </w:r>
    </w:p>
    <w:p w:rsidR="00AA141F" w:rsidRPr="003069AC" w:rsidRDefault="00AA141F" w:rsidP="00AA141F">
      <w:pPr>
        <w:rPr>
          <w:rFonts w:ascii="Times New Roman" w:hAnsi="Times New Roman"/>
          <w:szCs w:val="22"/>
        </w:rPr>
      </w:pPr>
    </w:p>
    <w:p w:rsidR="00AA141F" w:rsidRDefault="00D867A2" w:rsidP="00AA141F">
      <w:pPr>
        <w:rPr>
          <w:rFonts w:ascii="Times New Roman" w:hAnsi="Times New Roman"/>
          <w:color w:val="075095"/>
          <w:szCs w:val="22"/>
        </w:rPr>
      </w:pPr>
      <w:r w:rsidRPr="00AA141F">
        <w:rPr>
          <w:rFonts w:ascii="Times New Roman" w:hAnsi="Times New Roman"/>
          <w:color w:val="075095"/>
          <w:szCs w:val="22"/>
        </w:rPr>
        <w:object w:dxaOrig="2641" w:dyaOrig="2640">
          <v:shape id="_x0000_i1031" type="#_x0000_t75" alt="Hold the syringe with the solvent vial upside down. Pull the plunger to draw the solvent into the syringe." style="width:131.95pt;height:131.95pt">
            <v:imagedata r:id="rId16" o:title=""/>
          </v:shape>
        </w:object>
      </w:r>
    </w:p>
    <w:p w:rsidR="00AA141F" w:rsidRDefault="00AA141F" w:rsidP="00AA141F">
      <w:pPr>
        <w:rPr>
          <w:rFonts w:ascii="Times New Roman" w:hAnsi="Times New Roman"/>
          <w:color w:val="075095"/>
          <w:szCs w:val="22"/>
        </w:rPr>
      </w:pPr>
    </w:p>
    <w:p w:rsidR="00AA141F" w:rsidRPr="003069AC" w:rsidRDefault="00D867A2" w:rsidP="00AA141F">
      <w:pPr>
        <w:rPr>
          <w:rFonts w:ascii="Times New Roman" w:hAnsi="Times New Roman"/>
          <w:szCs w:val="22"/>
        </w:rPr>
      </w:pPr>
      <w:r>
        <w:rPr>
          <w:rFonts w:ascii="Times New Roman" w:hAnsi="Times New Roman"/>
          <w:szCs w:val="22"/>
        </w:rPr>
        <w:br w:type="page"/>
      </w:r>
      <w:r w:rsidR="00AA141F" w:rsidRPr="003069AC">
        <w:rPr>
          <w:rFonts w:ascii="Times New Roman" w:hAnsi="Times New Roman"/>
          <w:szCs w:val="22"/>
        </w:rPr>
        <w:lastRenderedPageBreak/>
        <w:t>F</w:t>
      </w:r>
    </w:p>
    <w:p w:rsidR="00AA141F" w:rsidRPr="003069AC" w:rsidRDefault="00AA141F" w:rsidP="00AA141F">
      <w:pPr>
        <w:rPr>
          <w:rFonts w:ascii="Times New Roman" w:hAnsi="Times New Roman"/>
          <w:szCs w:val="22"/>
        </w:rPr>
      </w:pPr>
      <w:r w:rsidRPr="003069AC">
        <w:rPr>
          <w:rFonts w:ascii="Times New Roman" w:hAnsi="Times New Roman"/>
          <w:szCs w:val="22"/>
        </w:rPr>
        <w:t>Remove the empty solvent vial by tipping the syringe with the vial adaptor.</w:t>
      </w:r>
    </w:p>
    <w:p w:rsidR="00AA141F" w:rsidRDefault="00AA141F" w:rsidP="00AA141F">
      <w:pPr>
        <w:rPr>
          <w:rFonts w:ascii="Times New Roman" w:hAnsi="Times New Roman"/>
          <w:color w:val="075095"/>
          <w:szCs w:val="22"/>
        </w:rPr>
      </w:pPr>
    </w:p>
    <w:p w:rsidR="00AA141F" w:rsidRDefault="00D867A2" w:rsidP="00AA141F">
      <w:pPr>
        <w:rPr>
          <w:rFonts w:ascii="Times New Roman" w:hAnsi="Times New Roman"/>
          <w:color w:val="075095"/>
          <w:szCs w:val="22"/>
        </w:rPr>
      </w:pPr>
      <w:r w:rsidRPr="00AA141F">
        <w:rPr>
          <w:rFonts w:ascii="Times New Roman" w:hAnsi="Times New Roman"/>
          <w:color w:val="075095"/>
          <w:szCs w:val="22"/>
        </w:rPr>
        <w:object w:dxaOrig="2610" w:dyaOrig="2640">
          <v:shape id="_x0000_i1032" type="#_x0000_t75" alt="Remove the empty solvent vial by tipping the syringe with the vial adaptor." style="width:130.6pt;height:131.95pt">
            <v:imagedata r:id="rId17" o:title=""/>
          </v:shape>
        </w:object>
      </w:r>
    </w:p>
    <w:p w:rsidR="00AA141F" w:rsidRPr="003069AC" w:rsidRDefault="00AA141F" w:rsidP="00AA141F">
      <w:pPr>
        <w:rPr>
          <w:rFonts w:ascii="Times New Roman" w:hAnsi="Times New Roman"/>
          <w:szCs w:val="22"/>
        </w:rPr>
      </w:pPr>
    </w:p>
    <w:p w:rsidR="00AA141F" w:rsidRPr="003069AC" w:rsidRDefault="00AA141F" w:rsidP="00AA141F">
      <w:pPr>
        <w:rPr>
          <w:rFonts w:ascii="Times New Roman" w:hAnsi="Times New Roman"/>
          <w:szCs w:val="22"/>
        </w:rPr>
      </w:pPr>
      <w:r w:rsidRPr="003069AC">
        <w:rPr>
          <w:rFonts w:ascii="Times New Roman" w:hAnsi="Times New Roman"/>
          <w:szCs w:val="22"/>
        </w:rPr>
        <w:t>G</w:t>
      </w:r>
    </w:p>
    <w:p w:rsidR="00AA141F" w:rsidRPr="003069AC" w:rsidRDefault="00C94133" w:rsidP="00AA141F">
      <w:pPr>
        <w:rPr>
          <w:rFonts w:ascii="Times New Roman" w:hAnsi="Times New Roman"/>
          <w:szCs w:val="22"/>
        </w:rPr>
      </w:pPr>
      <w:r w:rsidRPr="003069AC">
        <w:rPr>
          <w:rFonts w:ascii="Times New Roman" w:hAnsi="Times New Roman"/>
          <w:szCs w:val="22"/>
        </w:rPr>
        <w:t xml:space="preserve">Click the vial </w:t>
      </w:r>
      <w:r w:rsidR="000D31B7">
        <w:rPr>
          <w:rFonts w:ascii="Times New Roman" w:hAnsi="Times New Roman"/>
          <w:szCs w:val="22"/>
        </w:rPr>
        <w:t>adaptor</w:t>
      </w:r>
      <w:r w:rsidRPr="003069AC">
        <w:rPr>
          <w:rFonts w:ascii="Times New Roman" w:hAnsi="Times New Roman"/>
          <w:szCs w:val="22"/>
        </w:rPr>
        <w:t>, still attached to the syringe, onto the powder vial. Hold the syringe slightly tilted with the vial facing downwards. Push the plunger slowly to inject the solvent into the powder vial. Do not aim the stream of solve</w:t>
      </w:r>
      <w:r w:rsidR="007B6176" w:rsidRPr="003069AC">
        <w:rPr>
          <w:rFonts w:ascii="Times New Roman" w:hAnsi="Times New Roman"/>
          <w:szCs w:val="22"/>
        </w:rPr>
        <w:t>nt directly at the NovoThirteen</w:t>
      </w:r>
      <w:r w:rsidRPr="003069AC">
        <w:rPr>
          <w:rFonts w:ascii="Times New Roman" w:hAnsi="Times New Roman"/>
          <w:szCs w:val="22"/>
        </w:rPr>
        <w:t xml:space="preserve"> powder as this may cause foaming. If foaming occurs, allow the foam to settle and then swirl gently before proceeding.</w:t>
      </w:r>
    </w:p>
    <w:p w:rsidR="00C94133" w:rsidRPr="003069AC" w:rsidRDefault="00C94133" w:rsidP="00AA141F">
      <w:pPr>
        <w:rPr>
          <w:rFonts w:ascii="Times New Roman" w:hAnsi="Times New Roman"/>
          <w:szCs w:val="22"/>
        </w:rPr>
      </w:pPr>
    </w:p>
    <w:p w:rsidR="00C94133" w:rsidRDefault="00D867A2" w:rsidP="00AA141F">
      <w:pPr>
        <w:rPr>
          <w:rFonts w:ascii="Times New Roman" w:hAnsi="Times New Roman"/>
          <w:color w:val="075095"/>
          <w:szCs w:val="22"/>
        </w:rPr>
      </w:pPr>
      <w:r w:rsidRPr="00C94133">
        <w:rPr>
          <w:rFonts w:ascii="Times New Roman" w:hAnsi="Times New Roman"/>
          <w:color w:val="075095"/>
          <w:szCs w:val="22"/>
        </w:rPr>
        <w:object w:dxaOrig="2615" w:dyaOrig="2645">
          <v:shape id="_x0000_i1033" type="#_x0000_t75" alt="Click the vial adaptor, still attached to the syringe, onto the powder vial. Hold the syringe slightly tilted with the vial facing downwards. Push the plunger slowly to inject the solvent into the powder vial. Do not aim the stream of solvent directly at the NovoThirteen powder as this may cause foaming. If foaming occurs, allow the foam to settle and then swirl gently before proceeding." style="width:129.7pt;height:130.6pt">
            <v:imagedata r:id="rId18" o:title=""/>
          </v:shape>
        </w:object>
      </w:r>
    </w:p>
    <w:p w:rsidR="00C94133" w:rsidRDefault="00C94133" w:rsidP="00AA141F">
      <w:pPr>
        <w:rPr>
          <w:rFonts w:ascii="Times New Roman" w:hAnsi="Times New Roman"/>
          <w:color w:val="075095"/>
          <w:szCs w:val="22"/>
        </w:rPr>
      </w:pPr>
    </w:p>
    <w:p w:rsidR="00AA141F" w:rsidRPr="003069AC" w:rsidRDefault="00AA141F" w:rsidP="00AA141F">
      <w:pPr>
        <w:rPr>
          <w:rFonts w:ascii="Times New Roman" w:hAnsi="Times New Roman"/>
          <w:szCs w:val="22"/>
        </w:rPr>
      </w:pPr>
      <w:r w:rsidRPr="003069AC">
        <w:rPr>
          <w:rFonts w:ascii="Times New Roman" w:hAnsi="Times New Roman"/>
          <w:szCs w:val="22"/>
        </w:rPr>
        <w:t>H</w:t>
      </w:r>
    </w:p>
    <w:p w:rsidR="00C94133" w:rsidRPr="003069AC" w:rsidRDefault="00C94133" w:rsidP="00C94133">
      <w:pPr>
        <w:rPr>
          <w:rFonts w:ascii="Times New Roman" w:hAnsi="Times New Roman"/>
          <w:szCs w:val="22"/>
        </w:rPr>
      </w:pPr>
      <w:r w:rsidRPr="003069AC">
        <w:rPr>
          <w:rFonts w:ascii="Times New Roman" w:hAnsi="Times New Roman"/>
          <w:szCs w:val="22"/>
        </w:rPr>
        <w:t>Gently swirl the vial until all the powder is dissolved. Do not shake the vial as this will cause foaming. If foaming occurs, allow the foam to settle and then swirl gently before proceeding.</w:t>
      </w:r>
    </w:p>
    <w:p w:rsidR="00C94133" w:rsidRPr="003069AC" w:rsidRDefault="00C94133" w:rsidP="00C94133">
      <w:pPr>
        <w:rPr>
          <w:rFonts w:ascii="Times New Roman" w:hAnsi="Times New Roman"/>
          <w:szCs w:val="22"/>
        </w:rPr>
      </w:pPr>
    </w:p>
    <w:p w:rsidR="00AA141F" w:rsidRPr="003069AC" w:rsidRDefault="00C94133" w:rsidP="00C94133">
      <w:pPr>
        <w:rPr>
          <w:rFonts w:ascii="Times New Roman" w:hAnsi="Times New Roman"/>
          <w:szCs w:val="22"/>
        </w:rPr>
      </w:pPr>
      <w:r w:rsidRPr="003069AC">
        <w:rPr>
          <w:rFonts w:ascii="Times New Roman" w:hAnsi="Times New Roman"/>
          <w:szCs w:val="22"/>
        </w:rPr>
        <w:t>Check the solution for visible particles and discolouration. If you notice either, do not use it. NovoThirt</w:t>
      </w:r>
      <w:r w:rsidR="007B6176" w:rsidRPr="003069AC">
        <w:rPr>
          <w:rFonts w:ascii="Times New Roman" w:hAnsi="Times New Roman"/>
          <w:szCs w:val="22"/>
        </w:rPr>
        <w:t>een</w:t>
      </w:r>
      <w:r w:rsidRPr="003069AC">
        <w:rPr>
          <w:rFonts w:ascii="Times New Roman" w:hAnsi="Times New Roman"/>
          <w:szCs w:val="22"/>
        </w:rPr>
        <w:t xml:space="preserve"> reconstituted product is a clear, colourless solution. If a larger dose is needed, repeat the procedure in a separate syringe until the required dose if reached.</w:t>
      </w:r>
    </w:p>
    <w:p w:rsidR="00C94133" w:rsidRPr="003069AC" w:rsidRDefault="00C94133" w:rsidP="00C94133">
      <w:pPr>
        <w:rPr>
          <w:rFonts w:ascii="Times New Roman" w:hAnsi="Times New Roman"/>
          <w:szCs w:val="22"/>
        </w:rPr>
      </w:pPr>
    </w:p>
    <w:p w:rsidR="00C94133" w:rsidRDefault="00D867A2" w:rsidP="00C94133">
      <w:pPr>
        <w:rPr>
          <w:rFonts w:ascii="Times New Roman" w:hAnsi="Times New Roman"/>
          <w:color w:val="075095"/>
          <w:szCs w:val="22"/>
        </w:rPr>
      </w:pPr>
      <w:r w:rsidRPr="00C94133">
        <w:rPr>
          <w:rFonts w:ascii="Times New Roman" w:hAnsi="Times New Roman"/>
          <w:color w:val="075095"/>
          <w:szCs w:val="22"/>
        </w:rPr>
        <w:object w:dxaOrig="2611" w:dyaOrig="2610">
          <v:shape id="_x0000_i1034" type="#_x0000_t75" alt="Gently swirl the vial until all the powder is dissolved. Do not shake the vial as this will cause foaming. If foaming occurs, allow the foam to settle and then swirl gently before proceeding." style="width:130.6pt;height:130.6pt">
            <v:imagedata r:id="rId19" o:title=""/>
          </v:shape>
        </w:object>
      </w:r>
    </w:p>
    <w:p w:rsidR="00C94133" w:rsidRPr="003069AC" w:rsidRDefault="00C94133" w:rsidP="00C94133">
      <w:pPr>
        <w:rPr>
          <w:rFonts w:ascii="Times New Roman" w:hAnsi="Times New Roman"/>
          <w:szCs w:val="22"/>
        </w:rPr>
      </w:pPr>
    </w:p>
    <w:p w:rsidR="00C94133" w:rsidRPr="003069AC" w:rsidRDefault="00C94133" w:rsidP="00C94133">
      <w:pPr>
        <w:rPr>
          <w:rFonts w:ascii="Times New Roman" w:hAnsi="Times New Roman"/>
          <w:i/>
          <w:szCs w:val="22"/>
        </w:rPr>
      </w:pPr>
      <w:r w:rsidRPr="003069AC">
        <w:rPr>
          <w:rFonts w:ascii="Times New Roman" w:hAnsi="Times New Roman"/>
          <w:i/>
          <w:szCs w:val="22"/>
        </w:rPr>
        <w:t>Important Information</w:t>
      </w:r>
    </w:p>
    <w:p w:rsidR="00C94133" w:rsidRPr="003069AC" w:rsidRDefault="00C94133" w:rsidP="00C94133">
      <w:pPr>
        <w:rPr>
          <w:rFonts w:ascii="Times New Roman" w:hAnsi="Times New Roman"/>
          <w:szCs w:val="22"/>
        </w:rPr>
      </w:pPr>
      <w:r w:rsidRPr="003069AC">
        <w:rPr>
          <w:rFonts w:ascii="Times New Roman" w:hAnsi="Times New Roman"/>
          <w:szCs w:val="22"/>
        </w:rPr>
        <w:t>Once you have prepared NovoThirteen for injection it should be used immediately. If the reconstituted product is not used immediately it should be used within 3 hours if stored at temperature below 25°C or within 2</w:t>
      </w:r>
      <w:r w:rsidR="000D31B7">
        <w:rPr>
          <w:rFonts w:ascii="Times New Roman" w:hAnsi="Times New Roman"/>
          <w:szCs w:val="22"/>
        </w:rPr>
        <w:t>4 hours if stored at 2 – 8</w:t>
      </w:r>
      <w:r w:rsidR="000D3388" w:rsidRPr="003069AC">
        <w:rPr>
          <w:rFonts w:ascii="Times New Roman" w:hAnsi="Times New Roman"/>
          <w:szCs w:val="22"/>
        </w:rPr>
        <w:t xml:space="preserve">°C. </w:t>
      </w:r>
      <w:r w:rsidRPr="003069AC">
        <w:rPr>
          <w:rFonts w:ascii="Times New Roman" w:hAnsi="Times New Roman"/>
          <w:szCs w:val="22"/>
        </w:rPr>
        <w:t>This is because if it is left longer, the medicine may no longer be sterile and the amount of a</w:t>
      </w:r>
      <w:r w:rsidR="007B6176" w:rsidRPr="003069AC">
        <w:rPr>
          <w:rFonts w:ascii="Times New Roman" w:hAnsi="Times New Roman"/>
          <w:szCs w:val="22"/>
        </w:rPr>
        <w:t>ctivated rFXIII in NovoThirteen</w:t>
      </w:r>
      <w:r w:rsidRPr="003069AC">
        <w:rPr>
          <w:rFonts w:ascii="Times New Roman" w:hAnsi="Times New Roman"/>
          <w:szCs w:val="22"/>
        </w:rPr>
        <w:t xml:space="preserve"> will in</w:t>
      </w:r>
      <w:r w:rsidR="007B6176" w:rsidRPr="003069AC">
        <w:rPr>
          <w:rFonts w:ascii="Times New Roman" w:hAnsi="Times New Roman"/>
          <w:szCs w:val="22"/>
        </w:rPr>
        <w:t>crease. Activated NovoThirteen</w:t>
      </w:r>
      <w:r w:rsidRPr="003069AC">
        <w:rPr>
          <w:rFonts w:ascii="Times New Roman" w:hAnsi="Times New Roman"/>
          <w:szCs w:val="22"/>
        </w:rPr>
        <w:t xml:space="preserve"> may increase the risk of getting a blood clot or it may increase the severity of a pre-existing blood clot.</w:t>
      </w:r>
    </w:p>
    <w:p w:rsidR="00C94133" w:rsidRPr="003069AC" w:rsidRDefault="00C94133" w:rsidP="00C94133">
      <w:pPr>
        <w:rPr>
          <w:rFonts w:ascii="Times New Roman" w:hAnsi="Times New Roman"/>
          <w:szCs w:val="22"/>
        </w:rPr>
      </w:pPr>
    </w:p>
    <w:p w:rsidR="00C94133" w:rsidRPr="003069AC" w:rsidRDefault="00C94133" w:rsidP="00C94133">
      <w:pPr>
        <w:rPr>
          <w:rFonts w:ascii="Times New Roman" w:hAnsi="Times New Roman"/>
          <w:szCs w:val="22"/>
        </w:rPr>
      </w:pPr>
      <w:r w:rsidRPr="003069AC">
        <w:rPr>
          <w:rFonts w:ascii="Times New Roman" w:hAnsi="Times New Roman"/>
          <w:szCs w:val="22"/>
        </w:rPr>
        <w:t>Any unused product stored at room temperature for 3 hours, or stored in the refrigerator for longer than 24 hours, should be discarded.</w:t>
      </w:r>
    </w:p>
    <w:p w:rsidR="00C94133" w:rsidRPr="003069AC" w:rsidRDefault="00C94133" w:rsidP="00C94133">
      <w:pPr>
        <w:rPr>
          <w:rFonts w:ascii="Times New Roman" w:hAnsi="Times New Roman"/>
          <w:szCs w:val="22"/>
        </w:rPr>
      </w:pPr>
    </w:p>
    <w:p w:rsidR="00C94133" w:rsidRPr="003069AC" w:rsidRDefault="00C94133" w:rsidP="00C94133">
      <w:pPr>
        <w:rPr>
          <w:rFonts w:ascii="Times New Roman" w:hAnsi="Times New Roman"/>
          <w:szCs w:val="22"/>
        </w:rPr>
      </w:pPr>
      <w:r w:rsidRPr="003069AC">
        <w:rPr>
          <w:rFonts w:ascii="Times New Roman" w:hAnsi="Times New Roman"/>
          <w:szCs w:val="22"/>
        </w:rPr>
        <w:t>The reconstituted product must not be frozen. If the reconstituted product does become frozen it must not be used and must be discarded.</w:t>
      </w:r>
    </w:p>
    <w:p w:rsidR="00C94133" w:rsidRPr="003069AC" w:rsidRDefault="00C94133" w:rsidP="00C94133">
      <w:pPr>
        <w:rPr>
          <w:rFonts w:ascii="Times New Roman" w:hAnsi="Times New Roman"/>
          <w:szCs w:val="22"/>
        </w:rPr>
      </w:pPr>
    </w:p>
    <w:p w:rsidR="00C94133" w:rsidRPr="003069AC" w:rsidRDefault="00C94133" w:rsidP="00C94133">
      <w:pPr>
        <w:rPr>
          <w:rFonts w:ascii="Times New Roman" w:hAnsi="Times New Roman"/>
          <w:i/>
          <w:szCs w:val="22"/>
          <w:u w:val="single"/>
        </w:rPr>
      </w:pPr>
      <w:r w:rsidRPr="003069AC">
        <w:rPr>
          <w:rFonts w:ascii="Times New Roman" w:hAnsi="Times New Roman"/>
          <w:i/>
          <w:szCs w:val="22"/>
          <w:u w:val="single"/>
        </w:rPr>
        <w:t>Injecting the solution</w:t>
      </w:r>
    </w:p>
    <w:p w:rsidR="00AA141F" w:rsidRPr="003069AC" w:rsidRDefault="00AA141F" w:rsidP="00AA141F">
      <w:pPr>
        <w:rPr>
          <w:rFonts w:ascii="Times New Roman" w:hAnsi="Times New Roman"/>
          <w:szCs w:val="22"/>
        </w:rPr>
      </w:pPr>
      <w:r w:rsidRPr="003069AC">
        <w:rPr>
          <w:rFonts w:ascii="Times New Roman" w:hAnsi="Times New Roman"/>
          <w:szCs w:val="22"/>
        </w:rPr>
        <w:t>I</w:t>
      </w:r>
    </w:p>
    <w:p w:rsidR="00C94133" w:rsidRPr="003069AC" w:rsidRDefault="00C94133" w:rsidP="00C94133">
      <w:pPr>
        <w:rPr>
          <w:rFonts w:ascii="Times New Roman" w:hAnsi="Times New Roman"/>
          <w:szCs w:val="22"/>
        </w:rPr>
      </w:pPr>
      <w:r w:rsidRPr="003069AC">
        <w:rPr>
          <w:rFonts w:ascii="Times New Roman" w:hAnsi="Times New Roman"/>
          <w:szCs w:val="22"/>
        </w:rPr>
        <w:t>Ensure that the plunger is pushed all the way in before turning the syringe upside down (it may have</w:t>
      </w:r>
      <w:r w:rsidR="00436374" w:rsidRPr="003069AC">
        <w:rPr>
          <w:rFonts w:ascii="Times New Roman" w:hAnsi="Times New Roman"/>
          <w:szCs w:val="22"/>
        </w:rPr>
        <w:t xml:space="preserve"> </w:t>
      </w:r>
      <w:r w:rsidRPr="003069AC">
        <w:rPr>
          <w:rFonts w:ascii="Times New Roman" w:hAnsi="Times New Roman"/>
          <w:szCs w:val="22"/>
        </w:rPr>
        <w:t>been pushed ou</w:t>
      </w:r>
      <w:r w:rsidR="00EB35E0" w:rsidRPr="003069AC">
        <w:rPr>
          <w:rFonts w:ascii="Times New Roman" w:hAnsi="Times New Roman"/>
          <w:szCs w:val="22"/>
        </w:rPr>
        <w:t>t by the pressure in the vial).</w:t>
      </w:r>
      <w:r w:rsidRPr="003069AC">
        <w:rPr>
          <w:rFonts w:ascii="Times New Roman" w:hAnsi="Times New Roman"/>
          <w:szCs w:val="22"/>
        </w:rPr>
        <w:t xml:space="preserve"> Hold the syringe with the vial upside down and pull the plunger to draw up the amount calculated for the injection into the syringe.</w:t>
      </w:r>
    </w:p>
    <w:p w:rsidR="00C94133" w:rsidRPr="003069AC" w:rsidRDefault="00C94133" w:rsidP="00C94133">
      <w:pPr>
        <w:rPr>
          <w:rFonts w:ascii="Times New Roman" w:hAnsi="Times New Roman"/>
          <w:szCs w:val="22"/>
        </w:rPr>
      </w:pPr>
    </w:p>
    <w:p w:rsidR="00C94133" w:rsidRDefault="00D867A2" w:rsidP="00C94133">
      <w:pPr>
        <w:rPr>
          <w:rFonts w:ascii="Times New Roman" w:hAnsi="Times New Roman"/>
          <w:color w:val="075095"/>
          <w:szCs w:val="22"/>
        </w:rPr>
      </w:pPr>
      <w:r w:rsidRPr="00C94133">
        <w:rPr>
          <w:rFonts w:ascii="Times New Roman" w:hAnsi="Times New Roman"/>
          <w:color w:val="075095"/>
          <w:szCs w:val="22"/>
        </w:rPr>
        <w:object w:dxaOrig="2612" w:dyaOrig="2611">
          <v:shape id="_x0000_i1035" type="#_x0000_t75" alt="Ensure that the plunger is pushed all the way in before turning the syringe upside down (it may have been pushed out by the pressure in the vial). Hold the syringe with the vial upside down and pull the plunger to draw up the amount calculated for the injection into the syringe." style="width:129.25pt;height:130.6pt">
            <v:imagedata r:id="rId20" o:title=""/>
          </v:shape>
        </w:object>
      </w:r>
    </w:p>
    <w:p w:rsidR="00C94133" w:rsidRDefault="00C94133" w:rsidP="00C94133">
      <w:pPr>
        <w:rPr>
          <w:rFonts w:ascii="Times New Roman" w:hAnsi="Times New Roman"/>
          <w:color w:val="075095"/>
          <w:szCs w:val="22"/>
        </w:rPr>
      </w:pPr>
    </w:p>
    <w:p w:rsidR="00AA141F" w:rsidRPr="003069AC" w:rsidRDefault="00AA141F" w:rsidP="00AA141F">
      <w:pPr>
        <w:rPr>
          <w:rFonts w:ascii="Times New Roman" w:hAnsi="Times New Roman"/>
          <w:szCs w:val="22"/>
        </w:rPr>
      </w:pPr>
      <w:r w:rsidRPr="003069AC">
        <w:rPr>
          <w:rFonts w:ascii="Times New Roman" w:hAnsi="Times New Roman"/>
          <w:szCs w:val="22"/>
        </w:rPr>
        <w:t>J</w:t>
      </w:r>
    </w:p>
    <w:p w:rsidR="007B6176" w:rsidRDefault="00C94133" w:rsidP="00AA141F">
      <w:pPr>
        <w:rPr>
          <w:lang w:val="en-GB"/>
        </w:rPr>
      </w:pPr>
      <w:r w:rsidRPr="00C94133">
        <w:rPr>
          <w:lang w:val="en-GB"/>
        </w:rPr>
        <w:t xml:space="preserve">Unscrew the vial </w:t>
      </w:r>
      <w:r w:rsidR="000D31B7">
        <w:rPr>
          <w:lang w:val="en-GB"/>
        </w:rPr>
        <w:t>adaptor</w:t>
      </w:r>
      <w:r w:rsidRPr="00C94133">
        <w:rPr>
          <w:lang w:val="en-GB"/>
        </w:rPr>
        <w:t xml:space="preserve"> wi</w:t>
      </w:r>
      <w:r w:rsidR="007B6176">
        <w:rPr>
          <w:lang w:val="en-GB"/>
        </w:rPr>
        <w:t>th the empty vial. NovoThirteen</w:t>
      </w:r>
      <w:r w:rsidRPr="00C94133">
        <w:rPr>
          <w:lang w:val="en-GB"/>
        </w:rPr>
        <w:t xml:space="preserve"> is now ready for injection in the vein. Follow the injection procedure as instructed by your healthcare professional.</w:t>
      </w:r>
    </w:p>
    <w:p w:rsidR="002B17C1" w:rsidRDefault="002B17C1" w:rsidP="00AA141F">
      <w:pPr>
        <w:rPr>
          <w:lang w:val="en-GB"/>
        </w:rPr>
      </w:pPr>
    </w:p>
    <w:p w:rsidR="002B17C1" w:rsidRDefault="002B17C1" w:rsidP="00AA141F">
      <w:pPr>
        <w:rPr>
          <w:lang w:val="en-GB"/>
        </w:rPr>
      </w:pPr>
      <w:r>
        <w:rPr>
          <w:lang w:val="en-GB"/>
        </w:rPr>
        <w:t xml:space="preserve">The reconstituted NovoThirteen shall be administered </w:t>
      </w:r>
      <w:r w:rsidR="00BA10D7">
        <w:rPr>
          <w:lang w:val="en-GB"/>
        </w:rPr>
        <w:t>as an</w:t>
      </w:r>
      <w:r>
        <w:rPr>
          <w:lang w:val="en-GB"/>
        </w:rPr>
        <w:t xml:space="preserve"> intravenous </w:t>
      </w:r>
      <w:r w:rsidR="00BA10D7">
        <w:rPr>
          <w:lang w:val="en-GB"/>
        </w:rPr>
        <w:t xml:space="preserve">bolus </w:t>
      </w:r>
      <w:r>
        <w:rPr>
          <w:lang w:val="en-GB"/>
        </w:rPr>
        <w:t xml:space="preserve">injection at a </w:t>
      </w:r>
      <w:r>
        <w:rPr>
          <w:lang w:val="en-GB"/>
        </w:rPr>
        <w:lastRenderedPageBreak/>
        <w:t>rate not higher than 2 mL/minute.</w:t>
      </w:r>
    </w:p>
    <w:p w:rsidR="00C94133" w:rsidRDefault="00D867A2" w:rsidP="00C94133">
      <w:pPr>
        <w:rPr>
          <w:rFonts w:ascii="Times New Roman" w:hAnsi="Times New Roman"/>
          <w:color w:val="075095"/>
          <w:szCs w:val="22"/>
        </w:rPr>
      </w:pPr>
      <w:r w:rsidRPr="007B6176">
        <w:rPr>
          <w:rFonts w:ascii="Times New Roman" w:hAnsi="Times New Roman"/>
          <w:color w:val="075095"/>
          <w:szCs w:val="22"/>
        </w:rPr>
        <w:object w:dxaOrig="2611" w:dyaOrig="2624">
          <v:shape id="_x0000_i1036" type="#_x0000_t75" alt="The reconstituted NovoThirteen shall be administered as an intravenous bolus injection at a rate not higher than 2 mL/minute." style="width:130.6pt;height:131.05pt">
            <v:imagedata r:id="rId21" o:title=""/>
          </v:shape>
        </w:object>
      </w:r>
    </w:p>
    <w:p w:rsidR="007B6176" w:rsidRDefault="007B6176" w:rsidP="00C94133">
      <w:pPr>
        <w:rPr>
          <w:lang w:val="en-GB"/>
        </w:rPr>
      </w:pPr>
    </w:p>
    <w:p w:rsidR="00C94133" w:rsidRDefault="00C94133" w:rsidP="00C94133">
      <w:pPr>
        <w:rPr>
          <w:lang w:val="en-GB"/>
        </w:rPr>
      </w:pPr>
      <w:r>
        <w:rPr>
          <w:lang w:val="en-GB"/>
        </w:rPr>
        <w:t>K</w:t>
      </w:r>
    </w:p>
    <w:p w:rsidR="00C94133" w:rsidRDefault="00C94133" w:rsidP="00C94133">
      <w:pPr>
        <w:rPr>
          <w:lang w:val="en-GB"/>
        </w:rPr>
      </w:pPr>
      <w:r w:rsidRPr="00C94133">
        <w:rPr>
          <w:lang w:val="en-GB"/>
        </w:rPr>
        <w:t>Safely dispose of the syringe, vial ad</w:t>
      </w:r>
      <w:r w:rsidR="007B6176">
        <w:rPr>
          <w:lang w:val="en-GB"/>
        </w:rPr>
        <w:t xml:space="preserve">aptor, infusion set and vials. </w:t>
      </w:r>
      <w:r w:rsidRPr="00C94133">
        <w:rPr>
          <w:lang w:val="en-GB"/>
        </w:rPr>
        <w:t>Any unused medicinal product and or waste materials should be disposed of in accordance with local requirements or as instructed by your healthcare professional.</w:t>
      </w:r>
    </w:p>
    <w:p w:rsidR="00C94133" w:rsidRDefault="00C94133" w:rsidP="00C94133">
      <w:pPr>
        <w:rPr>
          <w:lang w:val="en-GB"/>
        </w:rPr>
      </w:pPr>
    </w:p>
    <w:p w:rsidR="007B6176" w:rsidRDefault="00D867A2" w:rsidP="00C94133">
      <w:pPr>
        <w:rPr>
          <w:rFonts w:ascii="Times New Roman" w:hAnsi="Times New Roman"/>
          <w:color w:val="075095"/>
          <w:szCs w:val="22"/>
        </w:rPr>
      </w:pPr>
      <w:r w:rsidRPr="007B6176">
        <w:rPr>
          <w:rFonts w:ascii="Times New Roman" w:hAnsi="Times New Roman"/>
          <w:color w:val="075095"/>
          <w:szCs w:val="22"/>
        </w:rPr>
        <w:object w:dxaOrig="2612" w:dyaOrig="2641">
          <v:shape id="_x0000_i1037" type="#_x0000_t75" alt="Safely dispose of the syringe, vial adaptor, infusion set and vials. Any unused medicinal product and or waste materials should be disposed of in accordance with local requirements or as instructed by your healthcare professional." style="width:129.25pt;height:131.95pt">
            <v:imagedata r:id="rId22" o:title=""/>
          </v:shape>
        </w:object>
      </w:r>
    </w:p>
    <w:p w:rsidR="007B6176" w:rsidRDefault="007B6176" w:rsidP="00C94133">
      <w:pPr>
        <w:rPr>
          <w:lang w:val="en-GB"/>
        </w:rPr>
      </w:pPr>
    </w:p>
    <w:p w:rsidR="00C94133" w:rsidRPr="003069AC" w:rsidRDefault="00C94133" w:rsidP="00C94133">
      <w:pPr>
        <w:rPr>
          <w:b/>
          <w:i/>
          <w:lang w:val="en-GB"/>
        </w:rPr>
      </w:pPr>
      <w:r w:rsidRPr="003069AC">
        <w:rPr>
          <w:b/>
          <w:i/>
          <w:lang w:val="en-GB"/>
        </w:rPr>
        <w:t>Dilution of the reconstituted product with 0.9% sodium chloride</w:t>
      </w:r>
    </w:p>
    <w:p w:rsidR="00C94133" w:rsidRPr="00EB35E0" w:rsidRDefault="00C94133" w:rsidP="00C94133">
      <w:pPr>
        <w:rPr>
          <w:lang w:val="en-CA"/>
        </w:rPr>
      </w:pPr>
      <w:r w:rsidRPr="00C94133">
        <w:rPr>
          <w:lang w:val="en-GB"/>
        </w:rPr>
        <w:t>If dilution of</w:t>
      </w:r>
      <w:r w:rsidR="007B6176">
        <w:rPr>
          <w:lang w:val="en-GB"/>
        </w:rPr>
        <w:t xml:space="preserve"> the reconstituted NovoThirteen</w:t>
      </w:r>
      <w:r w:rsidRPr="00C94133">
        <w:rPr>
          <w:lang w:val="en-GB"/>
        </w:rPr>
        <w:t xml:space="preserve"> is necessary in order to be able to handle the dosing of children below 24 kg</w:t>
      </w:r>
      <w:r w:rsidR="007B6176">
        <w:rPr>
          <w:lang w:val="en-GB"/>
        </w:rPr>
        <w:t xml:space="preserve"> the reconstituted NovoThirteen</w:t>
      </w:r>
      <w:r w:rsidRPr="00C94133">
        <w:rPr>
          <w:lang w:val="en-GB"/>
        </w:rPr>
        <w:t xml:space="preserve"> should be diluted with 6.0 m</w:t>
      </w:r>
      <w:r w:rsidR="00994500">
        <w:rPr>
          <w:lang w:val="en-GB"/>
        </w:rPr>
        <w:t>L</w:t>
      </w:r>
      <w:r w:rsidRPr="00C94133">
        <w:rPr>
          <w:lang w:val="en-GB"/>
        </w:rPr>
        <w:t xml:space="preserve"> 0.9% sodium chloride (s</w:t>
      </w:r>
      <w:r w:rsidR="000D31B7">
        <w:rPr>
          <w:lang w:val="en-GB"/>
        </w:rPr>
        <w:t>ee section ‘</w:t>
      </w:r>
      <w:r w:rsidR="00EB35E0" w:rsidRPr="00EB35E0">
        <w:rPr>
          <w:lang w:val="en-CA"/>
        </w:rPr>
        <w:t>Special additional instructions for patients weighing less than 24 kg</w:t>
      </w:r>
      <w:r w:rsidRPr="00C94133">
        <w:rPr>
          <w:lang w:val="en-GB"/>
        </w:rPr>
        <w:t>’).</w:t>
      </w:r>
    </w:p>
    <w:p w:rsidR="00C94133" w:rsidRPr="00C94133" w:rsidRDefault="00C94133" w:rsidP="00C94133">
      <w:pPr>
        <w:rPr>
          <w:lang w:val="en-GB"/>
        </w:rPr>
      </w:pPr>
    </w:p>
    <w:p w:rsidR="00C94133" w:rsidRDefault="00C94133" w:rsidP="00C94133">
      <w:pPr>
        <w:rPr>
          <w:lang w:val="en-GB"/>
        </w:rPr>
      </w:pPr>
      <w:r w:rsidRPr="00C94133">
        <w:rPr>
          <w:lang w:val="en-GB"/>
        </w:rPr>
        <w:t>Ask your doctor for advice before</w:t>
      </w:r>
      <w:r w:rsidR="007B6176">
        <w:rPr>
          <w:lang w:val="en-GB"/>
        </w:rPr>
        <w:t xml:space="preserve"> the reconstituted NovoThirteen</w:t>
      </w:r>
      <w:r w:rsidRPr="00C94133">
        <w:rPr>
          <w:lang w:val="en-GB"/>
        </w:rPr>
        <w:t xml:space="preserve"> is diluted with 0.9% sodium chloride.</w:t>
      </w:r>
    </w:p>
    <w:p w:rsidR="00C94133" w:rsidRDefault="00C94133" w:rsidP="00C94133">
      <w:pPr>
        <w:rPr>
          <w:lang w:val="en-GB"/>
        </w:rPr>
      </w:pPr>
    </w:p>
    <w:p w:rsidR="002B34E3" w:rsidRPr="00DC16CF" w:rsidRDefault="002B34E3" w:rsidP="00D93251">
      <w:pPr>
        <w:pStyle w:val="Heading1"/>
        <w:spacing w:before="360"/>
        <w:rPr>
          <w:bCs/>
          <w:vertAlign w:val="superscript"/>
        </w:rPr>
      </w:pPr>
      <w:r w:rsidRPr="0033112A">
        <w:rPr>
          <w:bCs/>
        </w:rPr>
        <w:t>OVE</w:t>
      </w:r>
      <w:r w:rsidRPr="00DC16CF">
        <w:rPr>
          <w:bCs/>
        </w:rPr>
        <w:t>RDOSAGE</w:t>
      </w:r>
    </w:p>
    <w:p w:rsidR="00E51E15" w:rsidRPr="00DC16CF" w:rsidRDefault="00DC16CF" w:rsidP="00B07649">
      <w:pPr>
        <w:tabs>
          <w:tab w:val="left" w:pos="-720"/>
        </w:tabs>
        <w:suppressAutoHyphens/>
        <w:jc w:val="both"/>
        <w:rPr>
          <w:rFonts w:ascii="Times New Roman" w:hAnsi="Times New Roman"/>
          <w:spacing w:val="-2"/>
        </w:rPr>
      </w:pPr>
      <w:r w:rsidRPr="00DC16CF">
        <w:rPr>
          <w:rFonts w:ascii="Times New Roman" w:hAnsi="Times New Roman"/>
          <w:spacing w:val="-2"/>
        </w:rPr>
        <w:t xml:space="preserve">In reported cases of </w:t>
      </w:r>
      <w:r w:rsidR="00A50B60">
        <w:t>NovoThirteen</w:t>
      </w:r>
      <w:r w:rsidRPr="00DC16CF">
        <w:rPr>
          <w:rFonts w:ascii="Times New Roman" w:hAnsi="Times New Roman"/>
          <w:spacing w:val="-2"/>
        </w:rPr>
        <w:t xml:space="preserve"> overdos</w:t>
      </w:r>
      <w:r w:rsidR="00635D3C">
        <w:rPr>
          <w:rFonts w:ascii="Times New Roman" w:hAnsi="Times New Roman"/>
          <w:spacing w:val="-2"/>
        </w:rPr>
        <w:t>e</w:t>
      </w:r>
      <w:r w:rsidRPr="00DC16CF">
        <w:rPr>
          <w:rFonts w:ascii="Times New Roman" w:hAnsi="Times New Roman"/>
          <w:spacing w:val="-2"/>
        </w:rPr>
        <w:t xml:space="preserve">, </w:t>
      </w:r>
      <w:r w:rsidR="00635D3C">
        <w:rPr>
          <w:rFonts w:ascii="Times New Roman" w:hAnsi="Times New Roman"/>
          <w:spacing w:val="-2"/>
        </w:rPr>
        <w:t>a dose up to 2.3 times the recommended dose did not result in</w:t>
      </w:r>
      <w:r w:rsidRPr="00DC16CF">
        <w:rPr>
          <w:rFonts w:ascii="Times New Roman" w:hAnsi="Times New Roman"/>
          <w:spacing w:val="-2"/>
        </w:rPr>
        <w:t xml:space="preserve"> clinical symptoms </w:t>
      </w:r>
      <w:r w:rsidR="00635D3C">
        <w:rPr>
          <w:rFonts w:ascii="Times New Roman" w:hAnsi="Times New Roman"/>
          <w:spacing w:val="-2"/>
        </w:rPr>
        <w:t>being</w:t>
      </w:r>
      <w:r w:rsidRPr="00DC16CF">
        <w:rPr>
          <w:rFonts w:ascii="Times New Roman" w:hAnsi="Times New Roman"/>
          <w:spacing w:val="-2"/>
        </w:rPr>
        <w:t xml:space="preserve"> observed.</w:t>
      </w:r>
    </w:p>
    <w:p w:rsidR="009B6A37" w:rsidRPr="00DC16CF" w:rsidRDefault="009B6A37" w:rsidP="00B07649">
      <w:pPr>
        <w:tabs>
          <w:tab w:val="left" w:pos="-720"/>
        </w:tabs>
        <w:suppressAutoHyphens/>
        <w:jc w:val="both"/>
        <w:rPr>
          <w:rFonts w:ascii="Times New Roman" w:hAnsi="Times New Roman"/>
          <w:spacing w:val="-2"/>
        </w:rPr>
      </w:pPr>
    </w:p>
    <w:p w:rsidR="009D70BB" w:rsidRPr="00DC16CF" w:rsidRDefault="00B32364" w:rsidP="009D70BB">
      <w:pPr>
        <w:rPr>
          <w:rFonts w:ascii="Times New Roman" w:hAnsi="Times New Roman"/>
          <w:szCs w:val="24"/>
        </w:rPr>
      </w:pPr>
      <w:r w:rsidRPr="00DC16CF">
        <w:rPr>
          <w:rFonts w:ascii="Times New Roman" w:hAnsi="Times New Roman"/>
          <w:szCs w:val="24"/>
        </w:rPr>
        <w:t xml:space="preserve">For further information on </w:t>
      </w:r>
      <w:r w:rsidR="00422B0C">
        <w:rPr>
          <w:rFonts w:ascii="Times New Roman" w:hAnsi="Times New Roman"/>
          <w:szCs w:val="24"/>
        </w:rPr>
        <w:t xml:space="preserve">the management of </w:t>
      </w:r>
      <w:r w:rsidRPr="00DC16CF">
        <w:rPr>
          <w:rFonts w:ascii="Times New Roman" w:hAnsi="Times New Roman"/>
          <w:szCs w:val="24"/>
        </w:rPr>
        <w:t>overdose contact the Poisons Information Centre on 13 11 26.</w:t>
      </w:r>
    </w:p>
    <w:p w:rsidR="002B34E3" w:rsidRPr="00DC16CF" w:rsidRDefault="002B34E3" w:rsidP="00D93251">
      <w:pPr>
        <w:pStyle w:val="Heading1"/>
        <w:spacing w:before="360"/>
        <w:rPr>
          <w:bCs/>
          <w:vertAlign w:val="superscript"/>
        </w:rPr>
      </w:pPr>
      <w:r w:rsidRPr="00DC16CF">
        <w:rPr>
          <w:bCs/>
        </w:rPr>
        <w:lastRenderedPageBreak/>
        <w:t>PRESENTATION</w:t>
      </w:r>
      <w:r w:rsidR="0068790F" w:rsidRPr="00DC16CF">
        <w:rPr>
          <w:bCs/>
        </w:rPr>
        <w:t xml:space="preserve"> AND STORAGE CONDITIONS</w:t>
      </w:r>
    </w:p>
    <w:p w:rsidR="00DC16CF" w:rsidRPr="00581653" w:rsidRDefault="00DC16CF" w:rsidP="00581653">
      <w:pPr>
        <w:jc w:val="both"/>
        <w:rPr>
          <w:rFonts w:ascii="Times New Roman" w:hAnsi="Times New Roman"/>
          <w:szCs w:val="24"/>
        </w:rPr>
      </w:pPr>
      <w:r w:rsidRPr="00EC6190">
        <w:rPr>
          <w:rFonts w:ascii="Times New Roman" w:hAnsi="Times New Roman"/>
          <w:b/>
          <w:szCs w:val="24"/>
        </w:rPr>
        <w:t>Storage Conditions</w:t>
      </w:r>
    </w:p>
    <w:p w:rsidR="00581653" w:rsidRDefault="007823D4" w:rsidP="00581653">
      <w:pPr>
        <w:jc w:val="both"/>
        <w:rPr>
          <w:rFonts w:ascii="Times New Roman" w:hAnsi="Times New Roman"/>
          <w:szCs w:val="24"/>
        </w:rPr>
      </w:pPr>
      <w:r w:rsidRPr="00581653">
        <w:rPr>
          <w:rFonts w:ascii="Times New Roman" w:hAnsi="Times New Roman"/>
          <w:szCs w:val="24"/>
        </w:rPr>
        <w:t>Store</w:t>
      </w:r>
      <w:r w:rsidR="0070435D" w:rsidRPr="00581653">
        <w:rPr>
          <w:rFonts w:ascii="Times New Roman" w:hAnsi="Times New Roman"/>
          <w:szCs w:val="24"/>
        </w:rPr>
        <w:t xml:space="preserve"> </w:t>
      </w:r>
      <w:r w:rsidR="0073500E" w:rsidRPr="00581653">
        <w:rPr>
          <w:rFonts w:ascii="Times New Roman" w:hAnsi="Times New Roman"/>
          <w:szCs w:val="24"/>
        </w:rPr>
        <w:t>at 2-8°C</w:t>
      </w:r>
      <w:r w:rsidR="0028002E" w:rsidRPr="00581653">
        <w:rPr>
          <w:rFonts w:ascii="Times New Roman" w:hAnsi="Times New Roman"/>
          <w:szCs w:val="24"/>
        </w:rPr>
        <w:t xml:space="preserve">. </w:t>
      </w:r>
      <w:r w:rsidR="0036129F">
        <w:rPr>
          <w:rFonts w:ascii="Times New Roman" w:hAnsi="Times New Roman"/>
          <w:szCs w:val="24"/>
        </w:rPr>
        <w:t>Refrigerate.</w:t>
      </w:r>
      <w:r w:rsidR="0028002E" w:rsidRPr="00581653">
        <w:rPr>
          <w:rFonts w:ascii="Times New Roman" w:hAnsi="Times New Roman"/>
          <w:szCs w:val="24"/>
        </w:rPr>
        <w:t xml:space="preserve"> </w:t>
      </w:r>
      <w:r w:rsidR="00741BCD">
        <w:rPr>
          <w:rFonts w:ascii="Times New Roman" w:hAnsi="Times New Roman"/>
          <w:szCs w:val="24"/>
        </w:rPr>
        <w:t xml:space="preserve">Do not freeze. </w:t>
      </w:r>
      <w:proofErr w:type="gramStart"/>
      <w:r w:rsidR="00825E79">
        <w:rPr>
          <w:rFonts w:ascii="Times New Roman" w:hAnsi="Times New Roman"/>
          <w:szCs w:val="24"/>
        </w:rPr>
        <w:t>Store in the original package in order to p</w:t>
      </w:r>
      <w:r w:rsidR="002B34E3" w:rsidRPr="00581653">
        <w:rPr>
          <w:rFonts w:ascii="Times New Roman" w:hAnsi="Times New Roman"/>
          <w:szCs w:val="24"/>
        </w:rPr>
        <w:t>rotect from light.</w:t>
      </w:r>
      <w:proofErr w:type="gramEnd"/>
      <w:r w:rsidR="002B34E3" w:rsidRPr="00581653">
        <w:rPr>
          <w:rFonts w:ascii="Times New Roman" w:hAnsi="Times New Roman"/>
          <w:szCs w:val="24"/>
        </w:rPr>
        <w:t xml:space="preserve"> </w:t>
      </w:r>
      <w:proofErr w:type="gramStart"/>
      <w:r w:rsidR="008D0987" w:rsidRPr="00581653">
        <w:rPr>
          <w:rFonts w:ascii="Times New Roman" w:hAnsi="Times New Roman"/>
          <w:szCs w:val="24"/>
        </w:rPr>
        <w:t>Do not use</w:t>
      </w:r>
      <w:proofErr w:type="gramEnd"/>
      <w:r w:rsidR="008D0987" w:rsidRPr="00581653">
        <w:rPr>
          <w:rFonts w:ascii="Times New Roman" w:hAnsi="Times New Roman"/>
          <w:szCs w:val="24"/>
        </w:rPr>
        <w:t xml:space="preserve"> after the expiry date</w:t>
      </w:r>
      <w:r w:rsidR="00E50EBF" w:rsidRPr="00581653">
        <w:rPr>
          <w:rFonts w:ascii="Times New Roman" w:hAnsi="Times New Roman"/>
          <w:szCs w:val="24"/>
        </w:rPr>
        <w:t>.</w:t>
      </w:r>
    </w:p>
    <w:p w:rsidR="00581653" w:rsidRDefault="00581653" w:rsidP="00581653">
      <w:pPr>
        <w:jc w:val="both"/>
        <w:rPr>
          <w:rFonts w:ascii="Times New Roman" w:hAnsi="Times New Roman"/>
          <w:szCs w:val="24"/>
        </w:rPr>
      </w:pPr>
    </w:p>
    <w:p w:rsidR="008D0987" w:rsidRPr="00581653" w:rsidRDefault="00741BCD" w:rsidP="005D7B4E">
      <w:pPr>
        <w:spacing w:before="240"/>
        <w:jc w:val="both"/>
        <w:rPr>
          <w:rFonts w:ascii="Times New Roman" w:hAnsi="Times New Roman"/>
          <w:szCs w:val="24"/>
        </w:rPr>
      </w:pPr>
      <w:r>
        <w:rPr>
          <w:rFonts w:ascii="Times New Roman" w:hAnsi="Times New Roman"/>
          <w:szCs w:val="24"/>
        </w:rPr>
        <w:t>For storage conditions of the reconstituted product, see DOSAGE AND ADMINISTRATION</w:t>
      </w:r>
    </w:p>
    <w:p w:rsidR="00581653" w:rsidRPr="00E6465F" w:rsidRDefault="00581653" w:rsidP="001F0498">
      <w:pPr>
        <w:jc w:val="both"/>
        <w:rPr>
          <w:rFonts w:ascii="Times New Roman" w:hAnsi="Times New Roman"/>
          <w:spacing w:val="-2"/>
          <w:lang w:val="en-US"/>
        </w:rPr>
      </w:pPr>
    </w:p>
    <w:p w:rsidR="00741BCD" w:rsidRPr="00EC6190" w:rsidRDefault="00741BCD" w:rsidP="001F0498">
      <w:pPr>
        <w:jc w:val="both"/>
        <w:rPr>
          <w:rFonts w:ascii="Times New Roman" w:hAnsi="Times New Roman"/>
          <w:b/>
          <w:spacing w:val="-2"/>
          <w:lang w:val="en-US"/>
        </w:rPr>
      </w:pPr>
      <w:r w:rsidRPr="00EC6190">
        <w:rPr>
          <w:rFonts w:ascii="Times New Roman" w:hAnsi="Times New Roman"/>
          <w:b/>
          <w:spacing w:val="-2"/>
          <w:lang w:val="en-US"/>
        </w:rPr>
        <w:t>Presentation</w:t>
      </w:r>
    </w:p>
    <w:p w:rsidR="00741BCD" w:rsidRPr="00E6465F" w:rsidRDefault="00741BCD" w:rsidP="00741BCD">
      <w:pPr>
        <w:jc w:val="both"/>
        <w:rPr>
          <w:rFonts w:ascii="Times New Roman" w:hAnsi="Times New Roman"/>
          <w:spacing w:val="-2"/>
          <w:lang w:val="en-US"/>
        </w:rPr>
      </w:pPr>
      <w:r w:rsidRPr="00EC6190">
        <w:rPr>
          <w:rFonts w:ascii="Times New Roman" w:hAnsi="Times New Roman"/>
          <w:spacing w:val="-2"/>
          <w:lang w:val="en-US"/>
        </w:rPr>
        <w:t>Each NovoThirteen pack contains</w:t>
      </w:r>
      <w:r w:rsidRPr="00E6465F">
        <w:rPr>
          <w:rFonts w:ascii="Times New Roman" w:hAnsi="Times New Roman"/>
          <w:spacing w:val="-2"/>
          <w:lang w:val="en-US"/>
        </w:rPr>
        <w:t>:</w:t>
      </w:r>
    </w:p>
    <w:p w:rsidR="00741BCD" w:rsidRDefault="00741BCD" w:rsidP="00EC6190">
      <w:pPr>
        <w:pStyle w:val="ListBullet"/>
        <w:rPr>
          <w:lang w:val="en-US"/>
        </w:rPr>
      </w:pPr>
      <w:r>
        <w:rPr>
          <w:lang w:val="en-US"/>
        </w:rPr>
        <w:t>a single use glass vial</w:t>
      </w:r>
      <w:r w:rsidR="00635D3C">
        <w:rPr>
          <w:lang w:val="en-US"/>
        </w:rPr>
        <w:t xml:space="preserve"> containing 2500 IU</w:t>
      </w:r>
      <w:r>
        <w:rPr>
          <w:lang w:val="en-US"/>
        </w:rPr>
        <w:t xml:space="preserve"> white, lyophilised powder</w:t>
      </w:r>
      <w:r w:rsidR="00EC6190">
        <w:rPr>
          <w:lang w:val="en-US"/>
        </w:rPr>
        <w:t xml:space="preserve"> for solution for injection</w:t>
      </w:r>
    </w:p>
    <w:p w:rsidR="00EC6190" w:rsidRDefault="00EC6190" w:rsidP="00EC6190">
      <w:pPr>
        <w:pStyle w:val="ListBullet"/>
        <w:rPr>
          <w:lang w:val="en-US"/>
        </w:rPr>
      </w:pPr>
      <w:r>
        <w:rPr>
          <w:lang w:val="en-US"/>
        </w:rPr>
        <w:t>a single use glass vial containing sol</w:t>
      </w:r>
      <w:r w:rsidR="00E6465F">
        <w:rPr>
          <w:lang w:val="en-US"/>
        </w:rPr>
        <w:t xml:space="preserve">vent (water for injection) for </w:t>
      </w:r>
      <w:r>
        <w:rPr>
          <w:lang w:val="en-US"/>
        </w:rPr>
        <w:t>NovoThirteen for reconstitution, containing 3.2 mL</w:t>
      </w:r>
    </w:p>
    <w:p w:rsidR="00EC6190" w:rsidRDefault="00EC6190" w:rsidP="00EC6190">
      <w:pPr>
        <w:pStyle w:val="ListBullet"/>
        <w:rPr>
          <w:lang w:val="en-US"/>
        </w:rPr>
      </w:pPr>
      <w:r>
        <w:rPr>
          <w:lang w:val="en-US"/>
        </w:rPr>
        <w:t xml:space="preserve">a sterile vial </w:t>
      </w:r>
      <w:r w:rsidR="000D31B7">
        <w:rPr>
          <w:lang w:val="en-US"/>
        </w:rPr>
        <w:t>adaptor</w:t>
      </w:r>
      <w:r>
        <w:rPr>
          <w:lang w:val="en-US"/>
        </w:rPr>
        <w:t xml:space="preserve"> for reconstitution</w:t>
      </w:r>
    </w:p>
    <w:p w:rsidR="00EC6190" w:rsidRDefault="00EC6190" w:rsidP="00EC6190">
      <w:pPr>
        <w:pStyle w:val="ListBullet"/>
        <w:numPr>
          <w:ilvl w:val="0"/>
          <w:numId w:val="0"/>
        </w:numPr>
        <w:ind w:left="360" w:hanging="360"/>
        <w:rPr>
          <w:lang w:val="en-US"/>
        </w:rPr>
      </w:pPr>
    </w:p>
    <w:p w:rsidR="00EC6190" w:rsidRDefault="00EC6190" w:rsidP="0036129F">
      <w:pPr>
        <w:pStyle w:val="ListBullet"/>
        <w:numPr>
          <w:ilvl w:val="0"/>
          <w:numId w:val="0"/>
        </w:numPr>
        <w:rPr>
          <w:lang w:val="en-US"/>
        </w:rPr>
      </w:pPr>
      <w:r w:rsidRPr="0036129F">
        <w:rPr>
          <w:rFonts w:ascii="Times New Roman" w:hAnsi="Times New Roman"/>
          <w:spacing w:val="-2"/>
          <w:szCs w:val="24"/>
          <w:lang w:val="en-GB"/>
        </w:rPr>
        <w:t>The glass vials are type 1 glass vials closed with a chlorobutyl (powder)/bromobutyl (diluent) rubber stopper sealed with a plastic disc and aluminium cap.</w:t>
      </w:r>
    </w:p>
    <w:p w:rsidR="00EC6190" w:rsidRDefault="00EC6190" w:rsidP="00EC6190">
      <w:pPr>
        <w:pStyle w:val="ListBullet"/>
        <w:numPr>
          <w:ilvl w:val="0"/>
          <w:numId w:val="0"/>
        </w:numPr>
        <w:ind w:left="360" w:hanging="360"/>
        <w:rPr>
          <w:lang w:val="en-US"/>
        </w:rPr>
      </w:pPr>
    </w:p>
    <w:p w:rsidR="00EC6190" w:rsidRPr="00741BCD" w:rsidRDefault="00EC6190" w:rsidP="00EC6190">
      <w:pPr>
        <w:pStyle w:val="ListBullet"/>
        <w:numPr>
          <w:ilvl w:val="0"/>
          <w:numId w:val="0"/>
        </w:numPr>
        <w:ind w:left="360" w:hanging="360"/>
        <w:rPr>
          <w:lang w:val="en-US"/>
        </w:rPr>
      </w:pPr>
      <w:r>
        <w:rPr>
          <w:lang w:val="en-US"/>
        </w:rPr>
        <w:t>The closed vials are equipped with a tamper-evident snap-off cap which is made of plastic.</w:t>
      </w:r>
    </w:p>
    <w:p w:rsidR="002B34E3" w:rsidRPr="00D634BB" w:rsidRDefault="0068790F" w:rsidP="00D93251">
      <w:pPr>
        <w:pStyle w:val="Heading1"/>
        <w:spacing w:before="360"/>
        <w:rPr>
          <w:bCs/>
        </w:rPr>
      </w:pPr>
      <w:r w:rsidRPr="00D634BB">
        <w:rPr>
          <w:bCs/>
        </w:rPr>
        <w:t xml:space="preserve">NAME AND ADDRESS OF THE </w:t>
      </w:r>
      <w:r w:rsidR="002B34E3" w:rsidRPr="00D634BB">
        <w:rPr>
          <w:bCs/>
        </w:rPr>
        <w:t>SPONSOR</w:t>
      </w:r>
    </w:p>
    <w:p w:rsidR="002D2FFD" w:rsidRPr="00D634BB" w:rsidRDefault="002D2FFD" w:rsidP="002D2FFD">
      <w:pPr>
        <w:jc w:val="both"/>
        <w:rPr>
          <w:rFonts w:ascii="Times New Roman" w:hAnsi="Times New Roman"/>
          <w:szCs w:val="24"/>
        </w:rPr>
      </w:pPr>
      <w:r w:rsidRPr="00D634BB">
        <w:rPr>
          <w:rFonts w:ascii="Times New Roman" w:hAnsi="Times New Roman"/>
          <w:szCs w:val="24"/>
        </w:rPr>
        <w:t>Novo Nordisk Pharmaceuticals Pty Ltd</w:t>
      </w:r>
    </w:p>
    <w:p w:rsidR="002D2FFD" w:rsidRPr="00D634BB" w:rsidRDefault="002D2FFD" w:rsidP="002D2FFD">
      <w:pPr>
        <w:tabs>
          <w:tab w:val="left" w:pos="-1440"/>
          <w:tab w:val="left" w:pos="-720"/>
          <w:tab w:val="left" w:pos="777"/>
          <w:tab w:val="left" w:pos="2688"/>
          <w:tab w:val="left" w:pos="3360"/>
          <w:tab w:val="decimal" w:pos="8736"/>
        </w:tabs>
        <w:jc w:val="both"/>
        <w:rPr>
          <w:rFonts w:ascii="Times New Roman" w:hAnsi="Times New Roman"/>
        </w:rPr>
      </w:pPr>
      <w:r w:rsidRPr="00D634BB">
        <w:rPr>
          <w:rFonts w:ascii="Times New Roman" w:hAnsi="Times New Roman"/>
        </w:rPr>
        <w:t>A.B.N. 40 002 879 996</w:t>
      </w:r>
    </w:p>
    <w:p w:rsidR="002D2FFD" w:rsidRPr="00D634BB" w:rsidRDefault="002D2FFD" w:rsidP="002D2FFD">
      <w:pPr>
        <w:pStyle w:val="Manufacturer"/>
        <w:rPr>
          <w:color w:val="auto"/>
          <w:sz w:val="24"/>
          <w:szCs w:val="24"/>
          <w:lang w:val="en-US"/>
        </w:rPr>
      </w:pPr>
      <w:r w:rsidRPr="00D634BB">
        <w:rPr>
          <w:color w:val="auto"/>
          <w:sz w:val="24"/>
          <w:szCs w:val="24"/>
          <w:lang w:val="en-US"/>
        </w:rPr>
        <w:t>Level 3</w:t>
      </w:r>
    </w:p>
    <w:p w:rsidR="002D2FFD" w:rsidRPr="00D634BB" w:rsidRDefault="002D2FFD" w:rsidP="002D2FFD">
      <w:pPr>
        <w:pStyle w:val="Manufacturer"/>
        <w:rPr>
          <w:color w:val="auto"/>
          <w:sz w:val="24"/>
          <w:szCs w:val="24"/>
          <w:lang w:val="en-US"/>
        </w:rPr>
      </w:pPr>
      <w:r w:rsidRPr="00D634BB">
        <w:rPr>
          <w:color w:val="auto"/>
          <w:sz w:val="24"/>
          <w:szCs w:val="24"/>
          <w:lang w:val="en-US"/>
        </w:rPr>
        <w:t>21</w:t>
      </w:r>
      <w:r w:rsidRPr="001B6056">
        <w:rPr>
          <w:color w:val="auto"/>
          <w:sz w:val="24"/>
          <w:szCs w:val="24"/>
          <w:lang w:val="en-AU"/>
        </w:rPr>
        <w:t xml:space="preserve"> Solent</w:t>
      </w:r>
      <w:r w:rsidRPr="00D634BB">
        <w:rPr>
          <w:color w:val="auto"/>
          <w:sz w:val="24"/>
          <w:szCs w:val="24"/>
          <w:lang w:val="en-US"/>
        </w:rPr>
        <w:t xml:space="preserve"> Circuit</w:t>
      </w:r>
    </w:p>
    <w:p w:rsidR="0068790F" w:rsidRPr="00D634BB" w:rsidRDefault="002D2FFD" w:rsidP="00D06BA3">
      <w:pPr>
        <w:pStyle w:val="Manufacturer"/>
        <w:rPr>
          <w:color w:val="auto"/>
          <w:sz w:val="24"/>
          <w:szCs w:val="24"/>
          <w:lang w:val="en-US"/>
        </w:rPr>
      </w:pPr>
      <w:r w:rsidRPr="00D634BB">
        <w:rPr>
          <w:color w:val="auto"/>
          <w:sz w:val="24"/>
          <w:szCs w:val="24"/>
          <w:lang w:val="en-US"/>
        </w:rPr>
        <w:t xml:space="preserve">Baulkham </w:t>
      </w:r>
      <w:r w:rsidR="005D7B4E" w:rsidRPr="00D634BB">
        <w:rPr>
          <w:color w:val="auto"/>
          <w:sz w:val="24"/>
          <w:szCs w:val="24"/>
          <w:lang w:val="en-US"/>
        </w:rPr>
        <w:t>Hills NSW 2153</w:t>
      </w:r>
    </w:p>
    <w:p w:rsidR="0068790F" w:rsidRPr="00D634BB" w:rsidRDefault="0068790F" w:rsidP="00117479">
      <w:pPr>
        <w:pStyle w:val="Heading1"/>
        <w:rPr>
          <w:lang w:val="en-US"/>
        </w:rPr>
      </w:pPr>
      <w:r w:rsidRPr="00117479">
        <w:t>POISON SCHEDULE OF THE MEDICINE</w:t>
      </w:r>
    </w:p>
    <w:p w:rsidR="0068790F" w:rsidRPr="00D634BB" w:rsidRDefault="002D2FFD" w:rsidP="00D06BA3">
      <w:pPr>
        <w:pStyle w:val="Manufacturer"/>
        <w:rPr>
          <w:color w:val="auto"/>
          <w:sz w:val="24"/>
          <w:szCs w:val="24"/>
          <w:lang w:val="en-US"/>
        </w:rPr>
      </w:pPr>
      <w:proofErr w:type="gramStart"/>
      <w:r w:rsidRPr="00D634BB">
        <w:rPr>
          <w:color w:val="auto"/>
          <w:sz w:val="24"/>
          <w:szCs w:val="24"/>
          <w:lang w:val="en-US"/>
        </w:rPr>
        <w:t>Unscheduled.</w:t>
      </w:r>
      <w:proofErr w:type="gramEnd"/>
    </w:p>
    <w:p w:rsidR="0068790F" w:rsidRPr="00D634BB" w:rsidRDefault="00117479" w:rsidP="00117479">
      <w:pPr>
        <w:pStyle w:val="Heading1"/>
        <w:rPr>
          <w:lang w:val="en-US"/>
        </w:rPr>
      </w:pPr>
      <w:r>
        <w:rPr>
          <w:lang w:val="en-US"/>
        </w:rPr>
        <w:t>DATE OF FIRST INCLUSION IN THE AUSTRALIAN REGISTER OF THERAPEUTIC GOODS (ARTG)</w:t>
      </w:r>
    </w:p>
    <w:p w:rsidR="002B34E3" w:rsidRPr="00D634BB" w:rsidRDefault="002B34E3" w:rsidP="006E5745">
      <w:pPr>
        <w:tabs>
          <w:tab w:val="left" w:pos="-720"/>
        </w:tabs>
        <w:suppressAutoHyphens/>
        <w:jc w:val="both"/>
        <w:outlineLvl w:val="0"/>
        <w:rPr>
          <w:rFonts w:ascii="Times New Roman" w:hAnsi="Times New Roman"/>
          <w:spacing w:val="-2"/>
        </w:rPr>
      </w:pPr>
      <w:r w:rsidRPr="00D634BB">
        <w:rPr>
          <w:rFonts w:ascii="Times New Roman" w:hAnsi="Times New Roman"/>
          <w:spacing w:val="-2"/>
        </w:rPr>
        <w:t xml:space="preserve">Date of </w:t>
      </w:r>
      <w:r w:rsidR="00DC16CF">
        <w:rPr>
          <w:rFonts w:ascii="Times New Roman" w:hAnsi="Times New Roman"/>
          <w:spacing w:val="-2"/>
        </w:rPr>
        <w:t>first inclusion in the Australian Register of Therapeutic Goods:</w:t>
      </w:r>
      <w:r w:rsidR="00D93251" w:rsidRPr="00D634BB">
        <w:rPr>
          <w:rFonts w:ascii="Times New Roman" w:hAnsi="Times New Roman"/>
          <w:spacing w:val="-2"/>
        </w:rPr>
        <w:t xml:space="preserve">  </w:t>
      </w:r>
      <w:r w:rsidR="00603C98">
        <w:rPr>
          <w:rFonts w:ascii="Times New Roman" w:hAnsi="Times New Roman"/>
          <w:spacing w:val="-2"/>
        </w:rPr>
        <w:t>7 November 2013</w:t>
      </w:r>
    </w:p>
    <w:p w:rsidR="0086065E" w:rsidRDefault="0053063A" w:rsidP="0053063A">
      <w:pPr>
        <w:pStyle w:val="Heading1"/>
      </w:pPr>
      <w:r>
        <w:t>DATE OF MOST RECENT AMENDMENT</w:t>
      </w:r>
    </w:p>
    <w:p w:rsidR="00B32364" w:rsidRPr="00B32364" w:rsidRDefault="00B32364" w:rsidP="00B32364">
      <w:r>
        <w:t>Not applicable.</w:t>
      </w:r>
    </w:p>
    <w:sectPr w:rsidR="00B32364" w:rsidRPr="00B32364" w:rsidSect="00995144">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992" w:right="1701" w:bottom="993" w:left="1418" w:header="720" w:footer="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8D4" w:rsidRDefault="000328D4">
      <w:pPr>
        <w:spacing w:line="20" w:lineRule="exact"/>
      </w:pPr>
    </w:p>
  </w:endnote>
  <w:endnote w:type="continuationSeparator" w:id="0">
    <w:p w:rsidR="000328D4" w:rsidRDefault="000328D4">
      <w:r>
        <w:t xml:space="preserve"> </w:t>
      </w:r>
    </w:p>
  </w:endnote>
  <w:endnote w:type="continuationNotice" w:id="1">
    <w:p w:rsidR="000328D4" w:rsidRDefault="000328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AA" w:rsidRDefault="00890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AA" w:rsidRDefault="00890B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AA" w:rsidRDefault="00890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8D4" w:rsidRDefault="000328D4">
      <w:r>
        <w:separator/>
      </w:r>
    </w:p>
  </w:footnote>
  <w:footnote w:type="continuationSeparator" w:id="0">
    <w:p w:rsidR="000328D4" w:rsidRDefault="00032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AA" w:rsidRDefault="00890B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E9" w:rsidRDefault="000020E9" w:rsidP="004C28A9">
    <w:pPr>
      <w:pStyle w:val="Footer"/>
      <w:tabs>
        <w:tab w:val="clear" w:pos="8306"/>
        <w:tab w:val="right" w:pos="7920"/>
      </w:tabs>
      <w:ind w:right="566"/>
      <w:rPr>
        <w:bCs/>
        <w:sz w:val="20"/>
      </w:rPr>
    </w:pPr>
  </w:p>
  <w:p w:rsidR="000020E9" w:rsidRPr="000020E9" w:rsidRDefault="000020E9" w:rsidP="000020E9">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0020E9">
      <w:rPr>
        <w:b/>
        <w:sz w:val="20"/>
        <w:shd w:val="clear" w:color="auto" w:fill="E4F2E0"/>
      </w:rPr>
      <w:t xml:space="preserve">Attachment 1: Product information for </w:t>
    </w:r>
    <w:r w:rsidRPr="000020E9">
      <w:rPr>
        <w:b/>
        <w:sz w:val="20"/>
      </w:rPr>
      <w:t>AusPAR NovoThirteen Novo Nordisk Pharmaceuticals Pty Ltd PM-2012-02713-3-4 Final 10 April 2014. This Product Information was approved at the time this AusPAR was published.</w:t>
    </w:r>
  </w:p>
  <w:p w:rsidR="000020E9" w:rsidRDefault="000020E9" w:rsidP="000020E9">
    <w:pPr>
      <w:pStyle w:val="Header"/>
    </w:pPr>
  </w:p>
  <w:p w:rsidR="00760620" w:rsidRPr="00B34CA4" w:rsidRDefault="00760620" w:rsidP="00B34CA4">
    <w:pPr>
      <w:pStyle w:val="Footer"/>
      <w:pBdr>
        <w:bottom w:val="single" w:sz="4" w:space="1" w:color="auto"/>
      </w:pBdr>
      <w:tabs>
        <w:tab w:val="clear" w:pos="8306"/>
        <w:tab w:val="right" w:pos="8789"/>
      </w:tabs>
      <w:ind w:right="566"/>
      <w:rPr>
        <w:bCs/>
        <w:sz w:val="20"/>
      </w:rPr>
    </w:pPr>
    <w:r>
      <w:rPr>
        <w:bCs/>
        <w:sz w:val="20"/>
      </w:rPr>
      <w:t>Product Information</w:t>
    </w:r>
    <w:r w:rsidR="00B34CA4">
      <w:rPr>
        <w:bCs/>
        <w:sz w:val="20"/>
      </w:rPr>
      <w:tab/>
    </w:r>
    <w:r w:rsidR="00B34CA4">
      <w:rPr>
        <w:bCs/>
        <w:sz w:val="20"/>
      </w:rPr>
      <w:tab/>
    </w:r>
    <w:r>
      <w:rPr>
        <w:bCs/>
        <w:sz w:val="20"/>
      </w:rPr>
      <w:t xml:space="preserve">Page </w:t>
    </w:r>
    <w:r>
      <w:rPr>
        <w:bCs/>
        <w:sz w:val="20"/>
      </w:rPr>
      <w:fldChar w:fldCharType="begin"/>
    </w:r>
    <w:r>
      <w:rPr>
        <w:bCs/>
        <w:sz w:val="20"/>
      </w:rPr>
      <w:instrText xml:space="preserve"> PAGE </w:instrText>
    </w:r>
    <w:r>
      <w:rPr>
        <w:bCs/>
        <w:sz w:val="20"/>
      </w:rPr>
      <w:fldChar w:fldCharType="separate"/>
    </w:r>
    <w:r w:rsidR="00890BAA">
      <w:rPr>
        <w:bCs/>
        <w:noProof/>
        <w:sz w:val="20"/>
      </w:rPr>
      <w:t>16</w:t>
    </w:r>
    <w:r>
      <w:rPr>
        <w:bCs/>
        <w:sz w:val="20"/>
      </w:rPr>
      <w:fldChar w:fldCharType="end"/>
    </w:r>
    <w:r>
      <w:rPr>
        <w:bCs/>
        <w:sz w:val="20"/>
      </w:rPr>
      <w:t xml:space="preserve"> of </w:t>
    </w:r>
    <w:r w:rsidR="00603C98">
      <w:rPr>
        <w:bCs/>
        <w:sz w:val="20"/>
      </w:rPr>
      <w:t>14</w:t>
    </w:r>
  </w:p>
  <w:p w:rsidR="00760620" w:rsidRDefault="007606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AB" w:rsidRPr="000020E9" w:rsidRDefault="003D71AB" w:rsidP="00890BAA">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bookmarkStart w:id="5" w:name="_GoBack"/>
    <w:r w:rsidRPr="00890BAA">
      <w:rPr>
        <w:b/>
        <w:sz w:val="20"/>
      </w:rPr>
      <w:t xml:space="preserve">Attachment 1: Product information for </w:t>
    </w:r>
    <w:r w:rsidR="000020E9" w:rsidRPr="000020E9">
      <w:rPr>
        <w:b/>
        <w:sz w:val="20"/>
      </w:rPr>
      <w:t>AusPAR NovoThirteen Novo Nordisk Pharmaceuticals Pty Ltd PM-2012-02713-3-4 Final 10 April 2014</w:t>
    </w:r>
    <w:r w:rsidRPr="000020E9">
      <w:rPr>
        <w:b/>
        <w:sz w:val="20"/>
      </w:rPr>
      <w:t>. This Product Information was approved at the time this AusPAR was published.</w:t>
    </w:r>
  </w:p>
  <w:bookmarkEnd w:id="5"/>
  <w:p w:rsidR="00603C98" w:rsidRDefault="00603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6CEE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9CC60246"/>
    <w:lvl w:ilvl="0">
      <w:numFmt w:val="decimal"/>
      <w:lvlText w:val="*"/>
      <w:lvlJc w:val="left"/>
    </w:lvl>
  </w:abstractNum>
  <w:abstractNum w:abstractNumId="2">
    <w:nsid w:val="05F361DF"/>
    <w:multiLevelType w:val="hybridMultilevel"/>
    <w:tmpl w:val="C234CD16"/>
    <w:lvl w:ilvl="0" w:tplc="AFDADA92">
      <w:start w:val="1"/>
      <w:numFmt w:val="bullet"/>
      <w:lvlText w:val=""/>
      <w:lvlJc w:val="left"/>
      <w:pPr>
        <w:tabs>
          <w:tab w:val="num" w:pos="360"/>
        </w:tabs>
        <w:ind w:left="360" w:hanging="360"/>
      </w:pPr>
      <w:rPr>
        <w:rFonts w:ascii="Symbol" w:hAnsi="Symbol" w:hint="default"/>
        <w:color w:val="0000FF"/>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60C6D99"/>
    <w:multiLevelType w:val="hybridMultilevel"/>
    <w:tmpl w:val="B9DCBA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49A647F"/>
    <w:multiLevelType w:val="hybridMultilevel"/>
    <w:tmpl w:val="5322BB38"/>
    <w:lvl w:ilvl="0" w:tplc="04090001">
      <w:start w:val="1"/>
      <w:numFmt w:val="bullet"/>
      <w:lvlText w:val=""/>
      <w:lvlJc w:val="left"/>
      <w:pPr>
        <w:tabs>
          <w:tab w:val="num" w:pos="360"/>
        </w:tabs>
        <w:ind w:left="360" w:hanging="360"/>
      </w:pPr>
      <w:rPr>
        <w:rFonts w:ascii="Symbol" w:hAnsi="Symbol" w:cs="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29C4758D"/>
    <w:multiLevelType w:val="hybridMultilevel"/>
    <w:tmpl w:val="D862B596"/>
    <w:lvl w:ilvl="0" w:tplc="04090001">
      <w:start w:val="1"/>
      <w:numFmt w:val="bullet"/>
      <w:lvlText w:val=""/>
      <w:lvlJc w:val="left"/>
      <w:pPr>
        <w:tabs>
          <w:tab w:val="num" w:pos="360"/>
        </w:tabs>
        <w:ind w:left="360" w:hanging="360"/>
      </w:pPr>
      <w:rPr>
        <w:rFonts w:ascii="Symbol" w:hAnsi="Symbol" w:cs="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380A1BEA"/>
    <w:multiLevelType w:val="hybridMultilevel"/>
    <w:tmpl w:val="162E5330"/>
    <w:lvl w:ilvl="0" w:tplc="04090001">
      <w:start w:val="1"/>
      <w:numFmt w:val="bullet"/>
      <w:lvlText w:val=""/>
      <w:lvlJc w:val="left"/>
      <w:pPr>
        <w:tabs>
          <w:tab w:val="num" w:pos="360"/>
        </w:tabs>
        <w:ind w:left="360" w:hanging="360"/>
      </w:pPr>
      <w:rPr>
        <w:rFonts w:ascii="Symbol" w:hAnsi="Symbol" w:cs="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3CAB277A"/>
    <w:multiLevelType w:val="hybridMultilevel"/>
    <w:tmpl w:val="41BE7642"/>
    <w:lvl w:ilvl="0" w:tplc="5DD2B2B8">
      <w:start w:val="1"/>
      <w:numFmt w:val="bullet"/>
      <w:lvlText w:val=""/>
      <w:lvlJc w:val="left"/>
      <w:pPr>
        <w:tabs>
          <w:tab w:val="num" w:pos="360"/>
        </w:tabs>
        <w:ind w:left="360" w:hanging="360"/>
      </w:pPr>
      <w:rPr>
        <w:rFonts w:ascii="Symbol" w:hAnsi="Symbol" w:cs="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443A26FD"/>
    <w:multiLevelType w:val="hybridMultilevel"/>
    <w:tmpl w:val="CA2454FE"/>
    <w:lvl w:ilvl="0" w:tplc="04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47D2AD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4D00319E"/>
    <w:multiLevelType w:val="hybridMultilevel"/>
    <w:tmpl w:val="782A6316"/>
    <w:lvl w:ilvl="0" w:tplc="04090001">
      <w:start w:val="1"/>
      <w:numFmt w:val="bullet"/>
      <w:lvlText w:val=""/>
      <w:lvlJc w:val="left"/>
      <w:pPr>
        <w:tabs>
          <w:tab w:val="num" w:pos="360"/>
        </w:tabs>
        <w:ind w:left="360" w:hanging="360"/>
      </w:pPr>
      <w:rPr>
        <w:rFonts w:ascii="Symbol" w:hAnsi="Symbol" w:cs="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534E2ABE"/>
    <w:multiLevelType w:val="hybridMultilevel"/>
    <w:tmpl w:val="4A3AED2A"/>
    <w:lvl w:ilvl="0" w:tplc="5BF65152">
      <w:start w:val="1"/>
      <w:numFmt w:val="decimal"/>
      <w:lvlText w:val="%1)"/>
      <w:lvlJc w:val="left"/>
      <w:pPr>
        <w:tabs>
          <w:tab w:val="num" w:pos="180"/>
        </w:tabs>
        <w:ind w:left="180" w:hanging="360"/>
      </w:pPr>
      <w:rPr>
        <w:rFonts w:hint="default"/>
      </w:rPr>
    </w:lvl>
    <w:lvl w:ilvl="1" w:tplc="0C090019" w:tentative="1">
      <w:start w:val="1"/>
      <w:numFmt w:val="lowerLetter"/>
      <w:lvlText w:val="%2."/>
      <w:lvlJc w:val="left"/>
      <w:pPr>
        <w:tabs>
          <w:tab w:val="num" w:pos="900"/>
        </w:tabs>
        <w:ind w:left="900" w:hanging="360"/>
      </w:pPr>
    </w:lvl>
    <w:lvl w:ilvl="2" w:tplc="0C09001B" w:tentative="1">
      <w:start w:val="1"/>
      <w:numFmt w:val="lowerRoman"/>
      <w:lvlText w:val="%3."/>
      <w:lvlJc w:val="right"/>
      <w:pPr>
        <w:tabs>
          <w:tab w:val="num" w:pos="1620"/>
        </w:tabs>
        <w:ind w:left="1620" w:hanging="180"/>
      </w:p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abstractNum w:abstractNumId="12">
    <w:nsid w:val="5863197B"/>
    <w:multiLevelType w:val="multilevel"/>
    <w:tmpl w:val="5322BB3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5CD0743E"/>
    <w:multiLevelType w:val="hybridMultilevel"/>
    <w:tmpl w:val="9DDCA3F6"/>
    <w:lvl w:ilvl="0" w:tplc="04060001">
      <w:start w:val="1"/>
      <w:numFmt w:val="bullet"/>
      <w:lvlText w:val=""/>
      <w:lvlJc w:val="left"/>
      <w:pPr>
        <w:tabs>
          <w:tab w:val="num" w:pos="778"/>
        </w:tabs>
        <w:ind w:left="778" w:hanging="360"/>
      </w:pPr>
      <w:rPr>
        <w:rFonts w:ascii="Symbol" w:hAnsi="Symbol" w:hint="default"/>
      </w:rPr>
    </w:lvl>
    <w:lvl w:ilvl="1" w:tplc="04060003" w:tentative="1">
      <w:start w:val="1"/>
      <w:numFmt w:val="bullet"/>
      <w:lvlText w:val="o"/>
      <w:lvlJc w:val="left"/>
      <w:pPr>
        <w:tabs>
          <w:tab w:val="num" w:pos="1498"/>
        </w:tabs>
        <w:ind w:left="1498" w:hanging="360"/>
      </w:pPr>
      <w:rPr>
        <w:rFonts w:ascii="Courier New" w:hAnsi="Courier New" w:cs="Courier New" w:hint="default"/>
      </w:rPr>
    </w:lvl>
    <w:lvl w:ilvl="2" w:tplc="04060005" w:tentative="1">
      <w:start w:val="1"/>
      <w:numFmt w:val="bullet"/>
      <w:lvlText w:val=""/>
      <w:lvlJc w:val="left"/>
      <w:pPr>
        <w:tabs>
          <w:tab w:val="num" w:pos="2218"/>
        </w:tabs>
        <w:ind w:left="2218" w:hanging="360"/>
      </w:pPr>
      <w:rPr>
        <w:rFonts w:ascii="Wingdings" w:hAnsi="Wingdings" w:hint="default"/>
      </w:rPr>
    </w:lvl>
    <w:lvl w:ilvl="3" w:tplc="04060001" w:tentative="1">
      <w:start w:val="1"/>
      <w:numFmt w:val="bullet"/>
      <w:lvlText w:val=""/>
      <w:lvlJc w:val="left"/>
      <w:pPr>
        <w:tabs>
          <w:tab w:val="num" w:pos="2938"/>
        </w:tabs>
        <w:ind w:left="2938" w:hanging="360"/>
      </w:pPr>
      <w:rPr>
        <w:rFonts w:ascii="Symbol" w:hAnsi="Symbol" w:hint="default"/>
      </w:rPr>
    </w:lvl>
    <w:lvl w:ilvl="4" w:tplc="04060003" w:tentative="1">
      <w:start w:val="1"/>
      <w:numFmt w:val="bullet"/>
      <w:lvlText w:val="o"/>
      <w:lvlJc w:val="left"/>
      <w:pPr>
        <w:tabs>
          <w:tab w:val="num" w:pos="3658"/>
        </w:tabs>
        <w:ind w:left="3658" w:hanging="360"/>
      </w:pPr>
      <w:rPr>
        <w:rFonts w:ascii="Courier New" w:hAnsi="Courier New" w:cs="Courier New" w:hint="default"/>
      </w:rPr>
    </w:lvl>
    <w:lvl w:ilvl="5" w:tplc="04060005" w:tentative="1">
      <w:start w:val="1"/>
      <w:numFmt w:val="bullet"/>
      <w:lvlText w:val=""/>
      <w:lvlJc w:val="left"/>
      <w:pPr>
        <w:tabs>
          <w:tab w:val="num" w:pos="4378"/>
        </w:tabs>
        <w:ind w:left="4378" w:hanging="360"/>
      </w:pPr>
      <w:rPr>
        <w:rFonts w:ascii="Wingdings" w:hAnsi="Wingdings" w:hint="default"/>
      </w:rPr>
    </w:lvl>
    <w:lvl w:ilvl="6" w:tplc="04060001" w:tentative="1">
      <w:start w:val="1"/>
      <w:numFmt w:val="bullet"/>
      <w:lvlText w:val=""/>
      <w:lvlJc w:val="left"/>
      <w:pPr>
        <w:tabs>
          <w:tab w:val="num" w:pos="5098"/>
        </w:tabs>
        <w:ind w:left="5098" w:hanging="360"/>
      </w:pPr>
      <w:rPr>
        <w:rFonts w:ascii="Symbol" w:hAnsi="Symbol" w:hint="default"/>
      </w:rPr>
    </w:lvl>
    <w:lvl w:ilvl="7" w:tplc="04060003" w:tentative="1">
      <w:start w:val="1"/>
      <w:numFmt w:val="bullet"/>
      <w:lvlText w:val="o"/>
      <w:lvlJc w:val="left"/>
      <w:pPr>
        <w:tabs>
          <w:tab w:val="num" w:pos="5818"/>
        </w:tabs>
        <w:ind w:left="5818" w:hanging="360"/>
      </w:pPr>
      <w:rPr>
        <w:rFonts w:ascii="Courier New" w:hAnsi="Courier New" w:cs="Courier New" w:hint="default"/>
      </w:rPr>
    </w:lvl>
    <w:lvl w:ilvl="8" w:tplc="04060005" w:tentative="1">
      <w:start w:val="1"/>
      <w:numFmt w:val="bullet"/>
      <w:lvlText w:val=""/>
      <w:lvlJc w:val="left"/>
      <w:pPr>
        <w:tabs>
          <w:tab w:val="num" w:pos="6538"/>
        </w:tabs>
        <w:ind w:left="6538" w:hanging="360"/>
      </w:pPr>
      <w:rPr>
        <w:rFonts w:ascii="Wingdings" w:hAnsi="Wingdings" w:hint="default"/>
      </w:rPr>
    </w:lvl>
  </w:abstractNum>
  <w:abstractNum w:abstractNumId="14">
    <w:nsid w:val="5FF74FDB"/>
    <w:multiLevelType w:val="singleLevel"/>
    <w:tmpl w:val="8BD62ED2"/>
    <w:lvl w:ilvl="0">
      <w:start w:val="1"/>
      <w:numFmt w:val="decimal"/>
      <w:lvlText w:val="%1."/>
      <w:lvlJc w:val="left"/>
      <w:pPr>
        <w:tabs>
          <w:tab w:val="num" w:pos="360"/>
        </w:tabs>
        <w:ind w:left="360" w:hanging="360"/>
      </w:pPr>
      <w:rPr>
        <w:rFonts w:hint="default"/>
      </w:rPr>
    </w:lvl>
  </w:abstractNum>
  <w:abstractNum w:abstractNumId="15">
    <w:nsid w:val="630909F6"/>
    <w:multiLevelType w:val="hybridMultilevel"/>
    <w:tmpl w:val="20D26A6E"/>
    <w:lvl w:ilvl="0" w:tplc="04090001">
      <w:start w:val="1"/>
      <w:numFmt w:val="bullet"/>
      <w:lvlText w:val=""/>
      <w:lvlJc w:val="left"/>
      <w:pPr>
        <w:tabs>
          <w:tab w:val="num" w:pos="360"/>
        </w:tabs>
        <w:ind w:left="360" w:hanging="360"/>
      </w:pPr>
      <w:rPr>
        <w:rFonts w:ascii="Symbol" w:hAnsi="Symbol" w:cs="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71D129C6"/>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8"/>
  </w:num>
  <w:num w:numId="4">
    <w:abstractNumId w:val="15"/>
  </w:num>
  <w:num w:numId="5">
    <w:abstractNumId w:val="6"/>
  </w:num>
  <w:num w:numId="6">
    <w:abstractNumId w:val="14"/>
  </w:num>
  <w:num w:numId="7">
    <w:abstractNumId w:val="9"/>
  </w:num>
  <w:num w:numId="8">
    <w:abstractNumId w:val="16"/>
  </w:num>
  <w:num w:numId="9">
    <w:abstractNumId w:val="10"/>
  </w:num>
  <w:num w:numId="10">
    <w:abstractNumId w:val="5"/>
  </w:num>
  <w:num w:numId="11">
    <w:abstractNumId w:val="12"/>
  </w:num>
  <w:num w:numId="12">
    <w:abstractNumId w:val="7"/>
  </w:num>
  <w:num w:numId="13">
    <w:abstractNumId w:val="13"/>
  </w:num>
  <w:num w:numId="14">
    <w:abstractNumId w:val="3"/>
  </w:num>
  <w:num w:numId="15">
    <w:abstractNumId w:val="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embedSystemFonts/>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7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F1"/>
    <w:rsid w:val="00001755"/>
    <w:rsid w:val="000020E9"/>
    <w:rsid w:val="00002582"/>
    <w:rsid w:val="00002632"/>
    <w:rsid w:val="00002664"/>
    <w:rsid w:val="0000334A"/>
    <w:rsid w:val="0000337D"/>
    <w:rsid w:val="00003B7C"/>
    <w:rsid w:val="000041CF"/>
    <w:rsid w:val="00004945"/>
    <w:rsid w:val="0000664F"/>
    <w:rsid w:val="0001041E"/>
    <w:rsid w:val="00011DC0"/>
    <w:rsid w:val="00012505"/>
    <w:rsid w:val="00012F02"/>
    <w:rsid w:val="00013C49"/>
    <w:rsid w:val="000160C3"/>
    <w:rsid w:val="0001700C"/>
    <w:rsid w:val="0001760C"/>
    <w:rsid w:val="00020AB5"/>
    <w:rsid w:val="0002236B"/>
    <w:rsid w:val="0002698A"/>
    <w:rsid w:val="00026F3D"/>
    <w:rsid w:val="00032467"/>
    <w:rsid w:val="000328D4"/>
    <w:rsid w:val="000334F9"/>
    <w:rsid w:val="00035555"/>
    <w:rsid w:val="000376A5"/>
    <w:rsid w:val="000377FD"/>
    <w:rsid w:val="00037934"/>
    <w:rsid w:val="0004084F"/>
    <w:rsid w:val="00041086"/>
    <w:rsid w:val="00041786"/>
    <w:rsid w:val="00043333"/>
    <w:rsid w:val="00043C69"/>
    <w:rsid w:val="0004655C"/>
    <w:rsid w:val="0004673A"/>
    <w:rsid w:val="000468B3"/>
    <w:rsid w:val="000468B6"/>
    <w:rsid w:val="0005121C"/>
    <w:rsid w:val="00052F16"/>
    <w:rsid w:val="000550CC"/>
    <w:rsid w:val="00055383"/>
    <w:rsid w:val="000575C7"/>
    <w:rsid w:val="00060CA2"/>
    <w:rsid w:val="00060F33"/>
    <w:rsid w:val="00064C5B"/>
    <w:rsid w:val="00066AF1"/>
    <w:rsid w:val="00066B11"/>
    <w:rsid w:val="00066D9D"/>
    <w:rsid w:val="0007433B"/>
    <w:rsid w:val="000748F8"/>
    <w:rsid w:val="0007494F"/>
    <w:rsid w:val="00076708"/>
    <w:rsid w:val="000777DD"/>
    <w:rsid w:val="00077E15"/>
    <w:rsid w:val="00077ECF"/>
    <w:rsid w:val="00080709"/>
    <w:rsid w:val="00081BA9"/>
    <w:rsid w:val="00082639"/>
    <w:rsid w:val="00085BE4"/>
    <w:rsid w:val="00086ED8"/>
    <w:rsid w:val="00091227"/>
    <w:rsid w:val="00091BDC"/>
    <w:rsid w:val="00092F3C"/>
    <w:rsid w:val="000938A8"/>
    <w:rsid w:val="000943BD"/>
    <w:rsid w:val="00094B6E"/>
    <w:rsid w:val="00094E0F"/>
    <w:rsid w:val="00095A0F"/>
    <w:rsid w:val="000A0CCF"/>
    <w:rsid w:val="000A39A2"/>
    <w:rsid w:val="000A43A0"/>
    <w:rsid w:val="000A5E4D"/>
    <w:rsid w:val="000A7F94"/>
    <w:rsid w:val="000B0148"/>
    <w:rsid w:val="000B0838"/>
    <w:rsid w:val="000B2FF6"/>
    <w:rsid w:val="000B3D0A"/>
    <w:rsid w:val="000B610B"/>
    <w:rsid w:val="000B7503"/>
    <w:rsid w:val="000C2596"/>
    <w:rsid w:val="000C3EA7"/>
    <w:rsid w:val="000C4977"/>
    <w:rsid w:val="000C6B9C"/>
    <w:rsid w:val="000C6FDE"/>
    <w:rsid w:val="000C7B3F"/>
    <w:rsid w:val="000D0D1B"/>
    <w:rsid w:val="000D1EBA"/>
    <w:rsid w:val="000D31B7"/>
    <w:rsid w:val="000D3388"/>
    <w:rsid w:val="000D3828"/>
    <w:rsid w:val="000E06EF"/>
    <w:rsid w:val="000E3713"/>
    <w:rsid w:val="000E4186"/>
    <w:rsid w:val="000E4C97"/>
    <w:rsid w:val="000E56DF"/>
    <w:rsid w:val="000E5ADD"/>
    <w:rsid w:val="000F137A"/>
    <w:rsid w:val="000F28A2"/>
    <w:rsid w:val="000F2F2B"/>
    <w:rsid w:val="000F3C16"/>
    <w:rsid w:val="000F492F"/>
    <w:rsid w:val="000F65D8"/>
    <w:rsid w:val="000F6C36"/>
    <w:rsid w:val="000F7618"/>
    <w:rsid w:val="00100951"/>
    <w:rsid w:val="00101148"/>
    <w:rsid w:val="00101332"/>
    <w:rsid w:val="00101F33"/>
    <w:rsid w:val="00102694"/>
    <w:rsid w:val="001031D3"/>
    <w:rsid w:val="001049F7"/>
    <w:rsid w:val="00106935"/>
    <w:rsid w:val="00107995"/>
    <w:rsid w:val="001108C9"/>
    <w:rsid w:val="0011183A"/>
    <w:rsid w:val="00115536"/>
    <w:rsid w:val="0011573D"/>
    <w:rsid w:val="00116736"/>
    <w:rsid w:val="0011681F"/>
    <w:rsid w:val="00117479"/>
    <w:rsid w:val="001175C3"/>
    <w:rsid w:val="00120F37"/>
    <w:rsid w:val="00122136"/>
    <w:rsid w:val="0012445E"/>
    <w:rsid w:val="00125EBC"/>
    <w:rsid w:val="00130101"/>
    <w:rsid w:val="00133A21"/>
    <w:rsid w:val="0013458D"/>
    <w:rsid w:val="0013743F"/>
    <w:rsid w:val="00140955"/>
    <w:rsid w:val="001413EF"/>
    <w:rsid w:val="00142C08"/>
    <w:rsid w:val="00144AD0"/>
    <w:rsid w:val="001468BD"/>
    <w:rsid w:val="00147111"/>
    <w:rsid w:val="00147C88"/>
    <w:rsid w:val="00150C84"/>
    <w:rsid w:val="00150F67"/>
    <w:rsid w:val="001561E4"/>
    <w:rsid w:val="00161555"/>
    <w:rsid w:val="00161FD8"/>
    <w:rsid w:val="0016563D"/>
    <w:rsid w:val="00166430"/>
    <w:rsid w:val="00170679"/>
    <w:rsid w:val="00171F93"/>
    <w:rsid w:val="00172273"/>
    <w:rsid w:val="00172444"/>
    <w:rsid w:val="00174A61"/>
    <w:rsid w:val="0017615B"/>
    <w:rsid w:val="00182477"/>
    <w:rsid w:val="00182917"/>
    <w:rsid w:val="001871CB"/>
    <w:rsid w:val="00187712"/>
    <w:rsid w:val="001903FE"/>
    <w:rsid w:val="00190EC0"/>
    <w:rsid w:val="001915B7"/>
    <w:rsid w:val="001918D4"/>
    <w:rsid w:val="001925A8"/>
    <w:rsid w:val="001936D2"/>
    <w:rsid w:val="00196E85"/>
    <w:rsid w:val="001970A5"/>
    <w:rsid w:val="001A34A3"/>
    <w:rsid w:val="001A4DBC"/>
    <w:rsid w:val="001A505E"/>
    <w:rsid w:val="001A5B23"/>
    <w:rsid w:val="001B0A87"/>
    <w:rsid w:val="001B2EE3"/>
    <w:rsid w:val="001B6056"/>
    <w:rsid w:val="001B6A07"/>
    <w:rsid w:val="001B765B"/>
    <w:rsid w:val="001C0242"/>
    <w:rsid w:val="001C21EE"/>
    <w:rsid w:val="001C353A"/>
    <w:rsid w:val="001C43D2"/>
    <w:rsid w:val="001C596E"/>
    <w:rsid w:val="001C6453"/>
    <w:rsid w:val="001D0C58"/>
    <w:rsid w:val="001D1426"/>
    <w:rsid w:val="001D4890"/>
    <w:rsid w:val="001D74E4"/>
    <w:rsid w:val="001E0240"/>
    <w:rsid w:val="001E128B"/>
    <w:rsid w:val="001E1D73"/>
    <w:rsid w:val="001E5F9B"/>
    <w:rsid w:val="001F0498"/>
    <w:rsid w:val="001F2D68"/>
    <w:rsid w:val="001F5E30"/>
    <w:rsid w:val="001F6D28"/>
    <w:rsid w:val="001F7847"/>
    <w:rsid w:val="00201C6F"/>
    <w:rsid w:val="00202F77"/>
    <w:rsid w:val="0020382A"/>
    <w:rsid w:val="002102BF"/>
    <w:rsid w:val="00210989"/>
    <w:rsid w:val="00213BE0"/>
    <w:rsid w:val="00214D04"/>
    <w:rsid w:val="00217FE4"/>
    <w:rsid w:val="002209E3"/>
    <w:rsid w:val="00221A3A"/>
    <w:rsid w:val="0022390D"/>
    <w:rsid w:val="00225DCE"/>
    <w:rsid w:val="002316DB"/>
    <w:rsid w:val="00231AB4"/>
    <w:rsid w:val="0023330C"/>
    <w:rsid w:val="00233BBD"/>
    <w:rsid w:val="00233C0B"/>
    <w:rsid w:val="00237A4B"/>
    <w:rsid w:val="00237ABC"/>
    <w:rsid w:val="0024002A"/>
    <w:rsid w:val="00241A39"/>
    <w:rsid w:val="002421B0"/>
    <w:rsid w:val="00243B25"/>
    <w:rsid w:val="0024469E"/>
    <w:rsid w:val="00246345"/>
    <w:rsid w:val="002463F3"/>
    <w:rsid w:val="002475B3"/>
    <w:rsid w:val="00247EEA"/>
    <w:rsid w:val="0025392E"/>
    <w:rsid w:val="00255354"/>
    <w:rsid w:val="00257758"/>
    <w:rsid w:val="00260462"/>
    <w:rsid w:val="00260E77"/>
    <w:rsid w:val="00261093"/>
    <w:rsid w:val="0026122E"/>
    <w:rsid w:val="00262966"/>
    <w:rsid w:val="00263B1C"/>
    <w:rsid w:val="00264043"/>
    <w:rsid w:val="002647EC"/>
    <w:rsid w:val="002668B7"/>
    <w:rsid w:val="00267501"/>
    <w:rsid w:val="00270D6E"/>
    <w:rsid w:val="00271C5D"/>
    <w:rsid w:val="002723D8"/>
    <w:rsid w:val="00273A8C"/>
    <w:rsid w:val="002745F0"/>
    <w:rsid w:val="00275207"/>
    <w:rsid w:val="0028002E"/>
    <w:rsid w:val="002846F8"/>
    <w:rsid w:val="00286C68"/>
    <w:rsid w:val="00287E73"/>
    <w:rsid w:val="0029329F"/>
    <w:rsid w:val="002954C0"/>
    <w:rsid w:val="00295737"/>
    <w:rsid w:val="00295A08"/>
    <w:rsid w:val="002A1A06"/>
    <w:rsid w:val="002A5855"/>
    <w:rsid w:val="002A6E05"/>
    <w:rsid w:val="002B17C1"/>
    <w:rsid w:val="002B18CF"/>
    <w:rsid w:val="002B34E3"/>
    <w:rsid w:val="002B4893"/>
    <w:rsid w:val="002B562A"/>
    <w:rsid w:val="002B58C1"/>
    <w:rsid w:val="002B58C2"/>
    <w:rsid w:val="002B6540"/>
    <w:rsid w:val="002C0271"/>
    <w:rsid w:val="002C1409"/>
    <w:rsid w:val="002C2E79"/>
    <w:rsid w:val="002C4028"/>
    <w:rsid w:val="002D0BE1"/>
    <w:rsid w:val="002D1380"/>
    <w:rsid w:val="002D21DE"/>
    <w:rsid w:val="002D21E4"/>
    <w:rsid w:val="002D2B5C"/>
    <w:rsid w:val="002D2FFD"/>
    <w:rsid w:val="002D3630"/>
    <w:rsid w:val="002D54FB"/>
    <w:rsid w:val="002D57AA"/>
    <w:rsid w:val="002E073D"/>
    <w:rsid w:val="002E0F4C"/>
    <w:rsid w:val="002E10B4"/>
    <w:rsid w:val="002E18AC"/>
    <w:rsid w:val="002E21A9"/>
    <w:rsid w:val="002F2F54"/>
    <w:rsid w:val="00300293"/>
    <w:rsid w:val="00300F43"/>
    <w:rsid w:val="00305FBD"/>
    <w:rsid w:val="003069AC"/>
    <w:rsid w:val="003133D6"/>
    <w:rsid w:val="00313B1F"/>
    <w:rsid w:val="00314513"/>
    <w:rsid w:val="003156CD"/>
    <w:rsid w:val="00317BDF"/>
    <w:rsid w:val="00317CEA"/>
    <w:rsid w:val="003209A7"/>
    <w:rsid w:val="003220DC"/>
    <w:rsid w:val="00322448"/>
    <w:rsid w:val="00324C62"/>
    <w:rsid w:val="003267D3"/>
    <w:rsid w:val="0033112A"/>
    <w:rsid w:val="003331A6"/>
    <w:rsid w:val="0033321A"/>
    <w:rsid w:val="00333B63"/>
    <w:rsid w:val="00333D4A"/>
    <w:rsid w:val="0033417E"/>
    <w:rsid w:val="003362AC"/>
    <w:rsid w:val="00336C85"/>
    <w:rsid w:val="0033755F"/>
    <w:rsid w:val="00341F8F"/>
    <w:rsid w:val="00342C76"/>
    <w:rsid w:val="00343060"/>
    <w:rsid w:val="003434C9"/>
    <w:rsid w:val="00344875"/>
    <w:rsid w:val="00345710"/>
    <w:rsid w:val="0035100E"/>
    <w:rsid w:val="0035263A"/>
    <w:rsid w:val="00353F76"/>
    <w:rsid w:val="003559E7"/>
    <w:rsid w:val="00357446"/>
    <w:rsid w:val="0036129F"/>
    <w:rsid w:val="00362E67"/>
    <w:rsid w:val="003631A3"/>
    <w:rsid w:val="0036566B"/>
    <w:rsid w:val="0036587C"/>
    <w:rsid w:val="00367697"/>
    <w:rsid w:val="00371CB3"/>
    <w:rsid w:val="00371F6F"/>
    <w:rsid w:val="00374D4D"/>
    <w:rsid w:val="003808AA"/>
    <w:rsid w:val="00381D22"/>
    <w:rsid w:val="003835D3"/>
    <w:rsid w:val="003837FF"/>
    <w:rsid w:val="00383E02"/>
    <w:rsid w:val="00385715"/>
    <w:rsid w:val="00385CE3"/>
    <w:rsid w:val="00392690"/>
    <w:rsid w:val="00395170"/>
    <w:rsid w:val="003958F2"/>
    <w:rsid w:val="00395E7F"/>
    <w:rsid w:val="00396363"/>
    <w:rsid w:val="0039659C"/>
    <w:rsid w:val="00397CA5"/>
    <w:rsid w:val="003A017E"/>
    <w:rsid w:val="003A28DB"/>
    <w:rsid w:val="003A4301"/>
    <w:rsid w:val="003A43EB"/>
    <w:rsid w:val="003A7106"/>
    <w:rsid w:val="003B221A"/>
    <w:rsid w:val="003B39DB"/>
    <w:rsid w:val="003B3D2D"/>
    <w:rsid w:val="003B4CCA"/>
    <w:rsid w:val="003B5E51"/>
    <w:rsid w:val="003B7E6D"/>
    <w:rsid w:val="003C3058"/>
    <w:rsid w:val="003C67B8"/>
    <w:rsid w:val="003D1162"/>
    <w:rsid w:val="003D5482"/>
    <w:rsid w:val="003D71AB"/>
    <w:rsid w:val="003E1BD8"/>
    <w:rsid w:val="003E4A0F"/>
    <w:rsid w:val="003E565E"/>
    <w:rsid w:val="003E5C04"/>
    <w:rsid w:val="003E5CAA"/>
    <w:rsid w:val="003E789B"/>
    <w:rsid w:val="003F007B"/>
    <w:rsid w:val="003F109F"/>
    <w:rsid w:val="003F30B9"/>
    <w:rsid w:val="003F3C95"/>
    <w:rsid w:val="003F7C1F"/>
    <w:rsid w:val="004008B1"/>
    <w:rsid w:val="00400C1A"/>
    <w:rsid w:val="0040421B"/>
    <w:rsid w:val="00404D30"/>
    <w:rsid w:val="00407EF6"/>
    <w:rsid w:val="0041133E"/>
    <w:rsid w:val="004154C4"/>
    <w:rsid w:val="0041652A"/>
    <w:rsid w:val="00416B78"/>
    <w:rsid w:val="0041716A"/>
    <w:rsid w:val="00417A8B"/>
    <w:rsid w:val="00420A7B"/>
    <w:rsid w:val="004224D7"/>
    <w:rsid w:val="00422B0C"/>
    <w:rsid w:val="0042334D"/>
    <w:rsid w:val="00423454"/>
    <w:rsid w:val="00425599"/>
    <w:rsid w:val="00427733"/>
    <w:rsid w:val="004278E4"/>
    <w:rsid w:val="00434096"/>
    <w:rsid w:val="00435BBA"/>
    <w:rsid w:val="00435BD4"/>
    <w:rsid w:val="00436374"/>
    <w:rsid w:val="00437A0D"/>
    <w:rsid w:val="00437C20"/>
    <w:rsid w:val="004409A8"/>
    <w:rsid w:val="004411C6"/>
    <w:rsid w:val="00442C61"/>
    <w:rsid w:val="00442FBC"/>
    <w:rsid w:val="004435AC"/>
    <w:rsid w:val="00443B08"/>
    <w:rsid w:val="00445AE9"/>
    <w:rsid w:val="00447CB3"/>
    <w:rsid w:val="00447D55"/>
    <w:rsid w:val="0045040A"/>
    <w:rsid w:val="00450CB0"/>
    <w:rsid w:val="004511FB"/>
    <w:rsid w:val="00451796"/>
    <w:rsid w:val="0045285A"/>
    <w:rsid w:val="00455CF4"/>
    <w:rsid w:val="004573D5"/>
    <w:rsid w:val="004574FA"/>
    <w:rsid w:val="00457829"/>
    <w:rsid w:val="00463361"/>
    <w:rsid w:val="004647E7"/>
    <w:rsid w:val="00465080"/>
    <w:rsid w:val="0046538F"/>
    <w:rsid w:val="004661F1"/>
    <w:rsid w:val="00466B1E"/>
    <w:rsid w:val="004674AB"/>
    <w:rsid w:val="00470ED6"/>
    <w:rsid w:val="00472118"/>
    <w:rsid w:val="00474665"/>
    <w:rsid w:val="004757B4"/>
    <w:rsid w:val="004773A1"/>
    <w:rsid w:val="00477F6F"/>
    <w:rsid w:val="00480173"/>
    <w:rsid w:val="0048534A"/>
    <w:rsid w:val="00486854"/>
    <w:rsid w:val="00487217"/>
    <w:rsid w:val="00490B79"/>
    <w:rsid w:val="00490BAE"/>
    <w:rsid w:val="00492D4B"/>
    <w:rsid w:val="0049386B"/>
    <w:rsid w:val="00493B70"/>
    <w:rsid w:val="00495547"/>
    <w:rsid w:val="00497179"/>
    <w:rsid w:val="00497799"/>
    <w:rsid w:val="0049786A"/>
    <w:rsid w:val="004A1A54"/>
    <w:rsid w:val="004A1F7C"/>
    <w:rsid w:val="004A2FEB"/>
    <w:rsid w:val="004A4654"/>
    <w:rsid w:val="004A4766"/>
    <w:rsid w:val="004A6AE2"/>
    <w:rsid w:val="004B107E"/>
    <w:rsid w:val="004B21ED"/>
    <w:rsid w:val="004B35EF"/>
    <w:rsid w:val="004B3D86"/>
    <w:rsid w:val="004B43E6"/>
    <w:rsid w:val="004B559B"/>
    <w:rsid w:val="004B70AB"/>
    <w:rsid w:val="004C0F2C"/>
    <w:rsid w:val="004C13F6"/>
    <w:rsid w:val="004C1637"/>
    <w:rsid w:val="004C1810"/>
    <w:rsid w:val="004C28A9"/>
    <w:rsid w:val="004C2B03"/>
    <w:rsid w:val="004C4416"/>
    <w:rsid w:val="004C54FB"/>
    <w:rsid w:val="004D0046"/>
    <w:rsid w:val="004D0132"/>
    <w:rsid w:val="004D418D"/>
    <w:rsid w:val="004D4480"/>
    <w:rsid w:val="004D5F2A"/>
    <w:rsid w:val="004D605D"/>
    <w:rsid w:val="004D6713"/>
    <w:rsid w:val="004E1ECE"/>
    <w:rsid w:val="004E360E"/>
    <w:rsid w:val="004E3A07"/>
    <w:rsid w:val="004E583B"/>
    <w:rsid w:val="004E5D38"/>
    <w:rsid w:val="004E73A4"/>
    <w:rsid w:val="004E776F"/>
    <w:rsid w:val="004E7F3B"/>
    <w:rsid w:val="004F13B2"/>
    <w:rsid w:val="004F251E"/>
    <w:rsid w:val="004F2932"/>
    <w:rsid w:val="004F2AA0"/>
    <w:rsid w:val="004F4188"/>
    <w:rsid w:val="004F49DB"/>
    <w:rsid w:val="004F5144"/>
    <w:rsid w:val="00500B61"/>
    <w:rsid w:val="00502D7C"/>
    <w:rsid w:val="00504794"/>
    <w:rsid w:val="00504A01"/>
    <w:rsid w:val="00505932"/>
    <w:rsid w:val="005061B1"/>
    <w:rsid w:val="00507BBE"/>
    <w:rsid w:val="0051222C"/>
    <w:rsid w:val="00513A7D"/>
    <w:rsid w:val="0051521B"/>
    <w:rsid w:val="00515B59"/>
    <w:rsid w:val="00517569"/>
    <w:rsid w:val="00520DA6"/>
    <w:rsid w:val="0052215B"/>
    <w:rsid w:val="00524D5A"/>
    <w:rsid w:val="0052520E"/>
    <w:rsid w:val="0052741D"/>
    <w:rsid w:val="00527451"/>
    <w:rsid w:val="00527C2D"/>
    <w:rsid w:val="005305A7"/>
    <w:rsid w:val="0053063A"/>
    <w:rsid w:val="005317B6"/>
    <w:rsid w:val="0053229F"/>
    <w:rsid w:val="005328CF"/>
    <w:rsid w:val="00534DAB"/>
    <w:rsid w:val="00540EA4"/>
    <w:rsid w:val="005440A3"/>
    <w:rsid w:val="00550AE8"/>
    <w:rsid w:val="0055160E"/>
    <w:rsid w:val="005548ED"/>
    <w:rsid w:val="00555D64"/>
    <w:rsid w:val="005565AD"/>
    <w:rsid w:val="00560DAA"/>
    <w:rsid w:val="005619FA"/>
    <w:rsid w:val="005658B8"/>
    <w:rsid w:val="00566B03"/>
    <w:rsid w:val="00567609"/>
    <w:rsid w:val="00567977"/>
    <w:rsid w:val="00571FBC"/>
    <w:rsid w:val="00572292"/>
    <w:rsid w:val="00574622"/>
    <w:rsid w:val="00574A60"/>
    <w:rsid w:val="00574ABB"/>
    <w:rsid w:val="00576CDB"/>
    <w:rsid w:val="00576E28"/>
    <w:rsid w:val="00581653"/>
    <w:rsid w:val="005829CF"/>
    <w:rsid w:val="005837EC"/>
    <w:rsid w:val="00583939"/>
    <w:rsid w:val="00585D3E"/>
    <w:rsid w:val="005900B3"/>
    <w:rsid w:val="0059519E"/>
    <w:rsid w:val="00595263"/>
    <w:rsid w:val="00596431"/>
    <w:rsid w:val="005A006C"/>
    <w:rsid w:val="005A1A24"/>
    <w:rsid w:val="005A2031"/>
    <w:rsid w:val="005A3A0A"/>
    <w:rsid w:val="005A5916"/>
    <w:rsid w:val="005A6AB9"/>
    <w:rsid w:val="005B2045"/>
    <w:rsid w:val="005B5716"/>
    <w:rsid w:val="005B5EE8"/>
    <w:rsid w:val="005C1C63"/>
    <w:rsid w:val="005C5B37"/>
    <w:rsid w:val="005C5C3B"/>
    <w:rsid w:val="005C6E2F"/>
    <w:rsid w:val="005D0185"/>
    <w:rsid w:val="005D096F"/>
    <w:rsid w:val="005D290D"/>
    <w:rsid w:val="005D31D7"/>
    <w:rsid w:val="005D4115"/>
    <w:rsid w:val="005D5214"/>
    <w:rsid w:val="005D5E1C"/>
    <w:rsid w:val="005D757D"/>
    <w:rsid w:val="005D7B4E"/>
    <w:rsid w:val="005E2B3B"/>
    <w:rsid w:val="005E62FC"/>
    <w:rsid w:val="005E669C"/>
    <w:rsid w:val="005E69BC"/>
    <w:rsid w:val="005F2493"/>
    <w:rsid w:val="005F36FE"/>
    <w:rsid w:val="005F3AB7"/>
    <w:rsid w:val="005F4690"/>
    <w:rsid w:val="005F54DF"/>
    <w:rsid w:val="005F70E2"/>
    <w:rsid w:val="0060221A"/>
    <w:rsid w:val="00602A95"/>
    <w:rsid w:val="00602CEB"/>
    <w:rsid w:val="00603288"/>
    <w:rsid w:val="00603C98"/>
    <w:rsid w:val="00604FE5"/>
    <w:rsid w:val="006054A4"/>
    <w:rsid w:val="00605631"/>
    <w:rsid w:val="006059B6"/>
    <w:rsid w:val="00606F12"/>
    <w:rsid w:val="00616FDD"/>
    <w:rsid w:val="0061741D"/>
    <w:rsid w:val="00617CB3"/>
    <w:rsid w:val="006201D3"/>
    <w:rsid w:val="00620E71"/>
    <w:rsid w:val="00620EAA"/>
    <w:rsid w:val="0062484B"/>
    <w:rsid w:val="00625AA3"/>
    <w:rsid w:val="00626698"/>
    <w:rsid w:val="00627BEF"/>
    <w:rsid w:val="00631FDF"/>
    <w:rsid w:val="0063220D"/>
    <w:rsid w:val="00634784"/>
    <w:rsid w:val="00635D3C"/>
    <w:rsid w:val="00635E4D"/>
    <w:rsid w:val="006369EA"/>
    <w:rsid w:val="0063768B"/>
    <w:rsid w:val="00637AEC"/>
    <w:rsid w:val="00640CD8"/>
    <w:rsid w:val="00640EDF"/>
    <w:rsid w:val="00643DD7"/>
    <w:rsid w:val="006443FB"/>
    <w:rsid w:val="00646875"/>
    <w:rsid w:val="00647BDC"/>
    <w:rsid w:val="00647E6C"/>
    <w:rsid w:val="0065065C"/>
    <w:rsid w:val="006508F5"/>
    <w:rsid w:val="0065293A"/>
    <w:rsid w:val="00653F75"/>
    <w:rsid w:val="006543D2"/>
    <w:rsid w:val="0066053C"/>
    <w:rsid w:val="00661E72"/>
    <w:rsid w:val="00662213"/>
    <w:rsid w:val="006656FE"/>
    <w:rsid w:val="0067099D"/>
    <w:rsid w:val="0067624D"/>
    <w:rsid w:val="006835B1"/>
    <w:rsid w:val="0068392D"/>
    <w:rsid w:val="00684926"/>
    <w:rsid w:val="0068790F"/>
    <w:rsid w:val="0069088E"/>
    <w:rsid w:val="00693D94"/>
    <w:rsid w:val="00694D80"/>
    <w:rsid w:val="00695174"/>
    <w:rsid w:val="006952EA"/>
    <w:rsid w:val="00696ACF"/>
    <w:rsid w:val="006A1F36"/>
    <w:rsid w:val="006A2B8C"/>
    <w:rsid w:val="006A4857"/>
    <w:rsid w:val="006A4E9C"/>
    <w:rsid w:val="006B0453"/>
    <w:rsid w:val="006B0505"/>
    <w:rsid w:val="006B2004"/>
    <w:rsid w:val="006B38EC"/>
    <w:rsid w:val="006B4B13"/>
    <w:rsid w:val="006B4E70"/>
    <w:rsid w:val="006B5C0E"/>
    <w:rsid w:val="006B67DB"/>
    <w:rsid w:val="006B70F0"/>
    <w:rsid w:val="006C1190"/>
    <w:rsid w:val="006C2D2A"/>
    <w:rsid w:val="006C3688"/>
    <w:rsid w:val="006C36B6"/>
    <w:rsid w:val="006C4635"/>
    <w:rsid w:val="006C6D2C"/>
    <w:rsid w:val="006C73C3"/>
    <w:rsid w:val="006D1880"/>
    <w:rsid w:val="006D529E"/>
    <w:rsid w:val="006D7ABB"/>
    <w:rsid w:val="006D7F48"/>
    <w:rsid w:val="006E322E"/>
    <w:rsid w:val="006E5745"/>
    <w:rsid w:val="006E5DCF"/>
    <w:rsid w:val="006E7865"/>
    <w:rsid w:val="006E7C4A"/>
    <w:rsid w:val="006F25A8"/>
    <w:rsid w:val="006F26C7"/>
    <w:rsid w:val="006F2F68"/>
    <w:rsid w:val="006F377A"/>
    <w:rsid w:val="006F7A9F"/>
    <w:rsid w:val="00701230"/>
    <w:rsid w:val="007023A7"/>
    <w:rsid w:val="0070421F"/>
    <w:rsid w:val="0070435D"/>
    <w:rsid w:val="007057A8"/>
    <w:rsid w:val="0070690E"/>
    <w:rsid w:val="00707F87"/>
    <w:rsid w:val="007143DB"/>
    <w:rsid w:val="00714582"/>
    <w:rsid w:val="00715516"/>
    <w:rsid w:val="007156C8"/>
    <w:rsid w:val="00715B6B"/>
    <w:rsid w:val="007179A5"/>
    <w:rsid w:val="00725F5F"/>
    <w:rsid w:val="00727E36"/>
    <w:rsid w:val="00731CEC"/>
    <w:rsid w:val="0073263D"/>
    <w:rsid w:val="00732A36"/>
    <w:rsid w:val="00733A5E"/>
    <w:rsid w:val="0073406E"/>
    <w:rsid w:val="0073500E"/>
    <w:rsid w:val="00737793"/>
    <w:rsid w:val="00741B21"/>
    <w:rsid w:val="00741BCD"/>
    <w:rsid w:val="00741D46"/>
    <w:rsid w:val="0074352C"/>
    <w:rsid w:val="00743C1D"/>
    <w:rsid w:val="00744D37"/>
    <w:rsid w:val="00745E3E"/>
    <w:rsid w:val="0074663E"/>
    <w:rsid w:val="007508E5"/>
    <w:rsid w:val="00751552"/>
    <w:rsid w:val="00751A8A"/>
    <w:rsid w:val="00751E5E"/>
    <w:rsid w:val="00755564"/>
    <w:rsid w:val="007557A1"/>
    <w:rsid w:val="00760620"/>
    <w:rsid w:val="0076158C"/>
    <w:rsid w:val="0076221A"/>
    <w:rsid w:val="007638DA"/>
    <w:rsid w:val="00763C0F"/>
    <w:rsid w:val="007649A2"/>
    <w:rsid w:val="00765040"/>
    <w:rsid w:val="00766A77"/>
    <w:rsid w:val="00766C5D"/>
    <w:rsid w:val="0077047F"/>
    <w:rsid w:val="00773533"/>
    <w:rsid w:val="00775C79"/>
    <w:rsid w:val="007813DE"/>
    <w:rsid w:val="00781939"/>
    <w:rsid w:val="007823D4"/>
    <w:rsid w:val="00782437"/>
    <w:rsid w:val="00785924"/>
    <w:rsid w:val="00786CA9"/>
    <w:rsid w:val="007A0A4F"/>
    <w:rsid w:val="007A45B6"/>
    <w:rsid w:val="007B10F3"/>
    <w:rsid w:val="007B43F1"/>
    <w:rsid w:val="007B481D"/>
    <w:rsid w:val="007B5826"/>
    <w:rsid w:val="007B5CC3"/>
    <w:rsid w:val="007B6176"/>
    <w:rsid w:val="007B6732"/>
    <w:rsid w:val="007B7323"/>
    <w:rsid w:val="007C34C3"/>
    <w:rsid w:val="007C3EAB"/>
    <w:rsid w:val="007C4867"/>
    <w:rsid w:val="007C58B3"/>
    <w:rsid w:val="007C5A22"/>
    <w:rsid w:val="007D2135"/>
    <w:rsid w:val="007D2924"/>
    <w:rsid w:val="007D4714"/>
    <w:rsid w:val="007D4FFD"/>
    <w:rsid w:val="007D5604"/>
    <w:rsid w:val="007D5B3A"/>
    <w:rsid w:val="007E6B1C"/>
    <w:rsid w:val="007F0792"/>
    <w:rsid w:val="007F3316"/>
    <w:rsid w:val="007F58D1"/>
    <w:rsid w:val="007F650B"/>
    <w:rsid w:val="007F6C33"/>
    <w:rsid w:val="007F6E68"/>
    <w:rsid w:val="007F6FE8"/>
    <w:rsid w:val="007F71EA"/>
    <w:rsid w:val="008000DD"/>
    <w:rsid w:val="008024E7"/>
    <w:rsid w:val="00803549"/>
    <w:rsid w:val="00803653"/>
    <w:rsid w:val="00804168"/>
    <w:rsid w:val="0080504A"/>
    <w:rsid w:val="00811EFB"/>
    <w:rsid w:val="00812D1B"/>
    <w:rsid w:val="0081359D"/>
    <w:rsid w:val="00814055"/>
    <w:rsid w:val="008150F0"/>
    <w:rsid w:val="00815894"/>
    <w:rsid w:val="0081733B"/>
    <w:rsid w:val="00817C26"/>
    <w:rsid w:val="0082274C"/>
    <w:rsid w:val="00823CE4"/>
    <w:rsid w:val="0082455C"/>
    <w:rsid w:val="00825E79"/>
    <w:rsid w:val="00827647"/>
    <w:rsid w:val="00830356"/>
    <w:rsid w:val="00830620"/>
    <w:rsid w:val="00831B06"/>
    <w:rsid w:val="00831C03"/>
    <w:rsid w:val="0083246E"/>
    <w:rsid w:val="00832F86"/>
    <w:rsid w:val="00833540"/>
    <w:rsid w:val="00835FF9"/>
    <w:rsid w:val="00837CB0"/>
    <w:rsid w:val="008406E3"/>
    <w:rsid w:val="00840ECA"/>
    <w:rsid w:val="00842BE1"/>
    <w:rsid w:val="00845220"/>
    <w:rsid w:val="00846D34"/>
    <w:rsid w:val="00847DA4"/>
    <w:rsid w:val="00850998"/>
    <w:rsid w:val="008543B6"/>
    <w:rsid w:val="008559BF"/>
    <w:rsid w:val="0086065E"/>
    <w:rsid w:val="00860E8F"/>
    <w:rsid w:val="0086155F"/>
    <w:rsid w:val="008669D4"/>
    <w:rsid w:val="00870801"/>
    <w:rsid w:val="008709E5"/>
    <w:rsid w:val="00871683"/>
    <w:rsid w:val="00871CD1"/>
    <w:rsid w:val="008721D2"/>
    <w:rsid w:val="008721F1"/>
    <w:rsid w:val="008732B0"/>
    <w:rsid w:val="00873BAF"/>
    <w:rsid w:val="00873E80"/>
    <w:rsid w:val="008740F2"/>
    <w:rsid w:val="0088739C"/>
    <w:rsid w:val="00890B0E"/>
    <w:rsid w:val="00890BAA"/>
    <w:rsid w:val="00893541"/>
    <w:rsid w:val="00893ADB"/>
    <w:rsid w:val="0089407C"/>
    <w:rsid w:val="00894232"/>
    <w:rsid w:val="00897C17"/>
    <w:rsid w:val="00897DAD"/>
    <w:rsid w:val="008A0532"/>
    <w:rsid w:val="008A1DC2"/>
    <w:rsid w:val="008A1E82"/>
    <w:rsid w:val="008A2652"/>
    <w:rsid w:val="008A2F07"/>
    <w:rsid w:val="008A3C2E"/>
    <w:rsid w:val="008A3F6A"/>
    <w:rsid w:val="008A44C7"/>
    <w:rsid w:val="008A59B1"/>
    <w:rsid w:val="008A59E8"/>
    <w:rsid w:val="008B2053"/>
    <w:rsid w:val="008B234F"/>
    <w:rsid w:val="008B2E7D"/>
    <w:rsid w:val="008B3374"/>
    <w:rsid w:val="008B36E3"/>
    <w:rsid w:val="008B55DF"/>
    <w:rsid w:val="008B7FF1"/>
    <w:rsid w:val="008C33F6"/>
    <w:rsid w:val="008C34DD"/>
    <w:rsid w:val="008C3D3C"/>
    <w:rsid w:val="008C709A"/>
    <w:rsid w:val="008D0987"/>
    <w:rsid w:val="008D32A7"/>
    <w:rsid w:val="008E1299"/>
    <w:rsid w:val="008E1E55"/>
    <w:rsid w:val="008E1EB2"/>
    <w:rsid w:val="008E2C0D"/>
    <w:rsid w:val="008E3AC1"/>
    <w:rsid w:val="008E4750"/>
    <w:rsid w:val="008E4E23"/>
    <w:rsid w:val="008E5642"/>
    <w:rsid w:val="008E63AB"/>
    <w:rsid w:val="008E7029"/>
    <w:rsid w:val="008E74B4"/>
    <w:rsid w:val="008F0B42"/>
    <w:rsid w:val="008F0B4C"/>
    <w:rsid w:val="008F0F85"/>
    <w:rsid w:val="008F1107"/>
    <w:rsid w:val="008F1560"/>
    <w:rsid w:val="008F185B"/>
    <w:rsid w:val="008F1AF8"/>
    <w:rsid w:val="008F3646"/>
    <w:rsid w:val="008F46F5"/>
    <w:rsid w:val="00901A2F"/>
    <w:rsid w:val="0090423F"/>
    <w:rsid w:val="00904AEA"/>
    <w:rsid w:val="0090776A"/>
    <w:rsid w:val="0091140C"/>
    <w:rsid w:val="00913419"/>
    <w:rsid w:val="00916657"/>
    <w:rsid w:val="00916FDF"/>
    <w:rsid w:val="00920B91"/>
    <w:rsid w:val="009210BA"/>
    <w:rsid w:val="00921DCD"/>
    <w:rsid w:val="0092270D"/>
    <w:rsid w:val="00924D35"/>
    <w:rsid w:val="00925295"/>
    <w:rsid w:val="00925663"/>
    <w:rsid w:val="009262A5"/>
    <w:rsid w:val="00926DAD"/>
    <w:rsid w:val="0093024A"/>
    <w:rsid w:val="009326F1"/>
    <w:rsid w:val="00932920"/>
    <w:rsid w:val="00932DD4"/>
    <w:rsid w:val="009331A7"/>
    <w:rsid w:val="00933978"/>
    <w:rsid w:val="00934651"/>
    <w:rsid w:val="00934B81"/>
    <w:rsid w:val="00934DDA"/>
    <w:rsid w:val="00935151"/>
    <w:rsid w:val="00936598"/>
    <w:rsid w:val="009365C6"/>
    <w:rsid w:val="00936B21"/>
    <w:rsid w:val="00937F36"/>
    <w:rsid w:val="009458C7"/>
    <w:rsid w:val="009463F3"/>
    <w:rsid w:val="00946ABF"/>
    <w:rsid w:val="00946F25"/>
    <w:rsid w:val="009501F6"/>
    <w:rsid w:val="0095250F"/>
    <w:rsid w:val="0095496B"/>
    <w:rsid w:val="009557C3"/>
    <w:rsid w:val="0095690B"/>
    <w:rsid w:val="00956A43"/>
    <w:rsid w:val="00957339"/>
    <w:rsid w:val="00957FA9"/>
    <w:rsid w:val="00960C82"/>
    <w:rsid w:val="00960E8E"/>
    <w:rsid w:val="00963957"/>
    <w:rsid w:val="00963F8A"/>
    <w:rsid w:val="009643C4"/>
    <w:rsid w:val="00965621"/>
    <w:rsid w:val="009670DD"/>
    <w:rsid w:val="00971B76"/>
    <w:rsid w:val="009728CF"/>
    <w:rsid w:val="0097298B"/>
    <w:rsid w:val="00973DDB"/>
    <w:rsid w:val="00974B2E"/>
    <w:rsid w:val="00975C22"/>
    <w:rsid w:val="00981748"/>
    <w:rsid w:val="00981C68"/>
    <w:rsid w:val="00983F69"/>
    <w:rsid w:val="009859F7"/>
    <w:rsid w:val="00986D18"/>
    <w:rsid w:val="00987D93"/>
    <w:rsid w:val="00990462"/>
    <w:rsid w:val="00990ECD"/>
    <w:rsid w:val="00992919"/>
    <w:rsid w:val="00994500"/>
    <w:rsid w:val="00995144"/>
    <w:rsid w:val="009951F3"/>
    <w:rsid w:val="009A030D"/>
    <w:rsid w:val="009A0407"/>
    <w:rsid w:val="009A0EF1"/>
    <w:rsid w:val="009A2EF2"/>
    <w:rsid w:val="009A3983"/>
    <w:rsid w:val="009A475B"/>
    <w:rsid w:val="009A693B"/>
    <w:rsid w:val="009B0D86"/>
    <w:rsid w:val="009B2D48"/>
    <w:rsid w:val="009B4A60"/>
    <w:rsid w:val="009B6639"/>
    <w:rsid w:val="009B6669"/>
    <w:rsid w:val="009B6A37"/>
    <w:rsid w:val="009B70FF"/>
    <w:rsid w:val="009B7C46"/>
    <w:rsid w:val="009C0A76"/>
    <w:rsid w:val="009C1971"/>
    <w:rsid w:val="009C4A7E"/>
    <w:rsid w:val="009C7BE9"/>
    <w:rsid w:val="009C7C22"/>
    <w:rsid w:val="009D0749"/>
    <w:rsid w:val="009D0A67"/>
    <w:rsid w:val="009D1796"/>
    <w:rsid w:val="009D3E87"/>
    <w:rsid w:val="009D5E75"/>
    <w:rsid w:val="009D6E66"/>
    <w:rsid w:val="009D6EA4"/>
    <w:rsid w:val="009D70BB"/>
    <w:rsid w:val="009D7145"/>
    <w:rsid w:val="009E44A3"/>
    <w:rsid w:val="009E638B"/>
    <w:rsid w:val="009E7B91"/>
    <w:rsid w:val="009F1B3B"/>
    <w:rsid w:val="009F2CC2"/>
    <w:rsid w:val="009F5015"/>
    <w:rsid w:val="009F5037"/>
    <w:rsid w:val="009F5734"/>
    <w:rsid w:val="009F6FFF"/>
    <w:rsid w:val="00A0114C"/>
    <w:rsid w:val="00A025F0"/>
    <w:rsid w:val="00A0288E"/>
    <w:rsid w:val="00A029B0"/>
    <w:rsid w:val="00A1046A"/>
    <w:rsid w:val="00A12294"/>
    <w:rsid w:val="00A12DF7"/>
    <w:rsid w:val="00A154AD"/>
    <w:rsid w:val="00A15BA9"/>
    <w:rsid w:val="00A15F0D"/>
    <w:rsid w:val="00A1680F"/>
    <w:rsid w:val="00A177E9"/>
    <w:rsid w:val="00A20443"/>
    <w:rsid w:val="00A21DCC"/>
    <w:rsid w:val="00A2225D"/>
    <w:rsid w:val="00A22C39"/>
    <w:rsid w:val="00A22D17"/>
    <w:rsid w:val="00A24950"/>
    <w:rsid w:val="00A24BCF"/>
    <w:rsid w:val="00A30FD1"/>
    <w:rsid w:val="00A311B1"/>
    <w:rsid w:val="00A317CE"/>
    <w:rsid w:val="00A32697"/>
    <w:rsid w:val="00A331EE"/>
    <w:rsid w:val="00A3690A"/>
    <w:rsid w:val="00A36D89"/>
    <w:rsid w:val="00A36EED"/>
    <w:rsid w:val="00A37AB4"/>
    <w:rsid w:val="00A42859"/>
    <w:rsid w:val="00A4392A"/>
    <w:rsid w:val="00A439E9"/>
    <w:rsid w:val="00A45A16"/>
    <w:rsid w:val="00A46AFE"/>
    <w:rsid w:val="00A47362"/>
    <w:rsid w:val="00A50B60"/>
    <w:rsid w:val="00A53E50"/>
    <w:rsid w:val="00A545C9"/>
    <w:rsid w:val="00A55512"/>
    <w:rsid w:val="00A56AEE"/>
    <w:rsid w:val="00A57248"/>
    <w:rsid w:val="00A57316"/>
    <w:rsid w:val="00A6070A"/>
    <w:rsid w:val="00A60E14"/>
    <w:rsid w:val="00A6199C"/>
    <w:rsid w:val="00A61C09"/>
    <w:rsid w:val="00A630FD"/>
    <w:rsid w:val="00A63B78"/>
    <w:rsid w:val="00A63ECA"/>
    <w:rsid w:val="00A65927"/>
    <w:rsid w:val="00A66686"/>
    <w:rsid w:val="00A66DC6"/>
    <w:rsid w:val="00A67FC8"/>
    <w:rsid w:val="00A70FEF"/>
    <w:rsid w:val="00A71442"/>
    <w:rsid w:val="00A72476"/>
    <w:rsid w:val="00A729D9"/>
    <w:rsid w:val="00A7313D"/>
    <w:rsid w:val="00A7458E"/>
    <w:rsid w:val="00A7641E"/>
    <w:rsid w:val="00A764CE"/>
    <w:rsid w:val="00A818BA"/>
    <w:rsid w:val="00A833A3"/>
    <w:rsid w:val="00A833BF"/>
    <w:rsid w:val="00A8354C"/>
    <w:rsid w:val="00A83A55"/>
    <w:rsid w:val="00A83FDD"/>
    <w:rsid w:val="00A87C62"/>
    <w:rsid w:val="00A93B0D"/>
    <w:rsid w:val="00A943CA"/>
    <w:rsid w:val="00A96038"/>
    <w:rsid w:val="00AA0F68"/>
    <w:rsid w:val="00AA141F"/>
    <w:rsid w:val="00AA2F17"/>
    <w:rsid w:val="00AA2FD6"/>
    <w:rsid w:val="00AA4C1D"/>
    <w:rsid w:val="00AA551F"/>
    <w:rsid w:val="00AA5824"/>
    <w:rsid w:val="00AA7528"/>
    <w:rsid w:val="00AA7C9E"/>
    <w:rsid w:val="00AB0043"/>
    <w:rsid w:val="00AB3B43"/>
    <w:rsid w:val="00AB3BFB"/>
    <w:rsid w:val="00AB41FF"/>
    <w:rsid w:val="00AB4E6C"/>
    <w:rsid w:val="00AC0297"/>
    <w:rsid w:val="00AD22CA"/>
    <w:rsid w:val="00AD4192"/>
    <w:rsid w:val="00AD6944"/>
    <w:rsid w:val="00AE0325"/>
    <w:rsid w:val="00AE18BB"/>
    <w:rsid w:val="00AE2417"/>
    <w:rsid w:val="00AE586A"/>
    <w:rsid w:val="00AE6E7C"/>
    <w:rsid w:val="00AF0041"/>
    <w:rsid w:val="00AF0D3D"/>
    <w:rsid w:val="00AF0ED2"/>
    <w:rsid w:val="00AF56E4"/>
    <w:rsid w:val="00B00A1D"/>
    <w:rsid w:val="00B02F2F"/>
    <w:rsid w:val="00B03931"/>
    <w:rsid w:val="00B03DE2"/>
    <w:rsid w:val="00B06FD4"/>
    <w:rsid w:val="00B07649"/>
    <w:rsid w:val="00B10DDA"/>
    <w:rsid w:val="00B12BAA"/>
    <w:rsid w:val="00B20F37"/>
    <w:rsid w:val="00B220D3"/>
    <w:rsid w:val="00B24B34"/>
    <w:rsid w:val="00B26014"/>
    <w:rsid w:val="00B266E9"/>
    <w:rsid w:val="00B26A5D"/>
    <w:rsid w:val="00B26CAF"/>
    <w:rsid w:val="00B31038"/>
    <w:rsid w:val="00B31A4D"/>
    <w:rsid w:val="00B32364"/>
    <w:rsid w:val="00B325D5"/>
    <w:rsid w:val="00B33568"/>
    <w:rsid w:val="00B34CA4"/>
    <w:rsid w:val="00B34F3D"/>
    <w:rsid w:val="00B429B8"/>
    <w:rsid w:val="00B42F68"/>
    <w:rsid w:val="00B47C61"/>
    <w:rsid w:val="00B5156D"/>
    <w:rsid w:val="00B525F1"/>
    <w:rsid w:val="00B5403E"/>
    <w:rsid w:val="00B55258"/>
    <w:rsid w:val="00B57053"/>
    <w:rsid w:val="00B57541"/>
    <w:rsid w:val="00B57CAD"/>
    <w:rsid w:val="00B60307"/>
    <w:rsid w:val="00B63A2E"/>
    <w:rsid w:val="00B65F7A"/>
    <w:rsid w:val="00B6652D"/>
    <w:rsid w:val="00B665D2"/>
    <w:rsid w:val="00B66654"/>
    <w:rsid w:val="00B700CF"/>
    <w:rsid w:val="00B728B8"/>
    <w:rsid w:val="00B76A09"/>
    <w:rsid w:val="00B76D8C"/>
    <w:rsid w:val="00B819B9"/>
    <w:rsid w:val="00B83F66"/>
    <w:rsid w:val="00B8439C"/>
    <w:rsid w:val="00B908A2"/>
    <w:rsid w:val="00B912D8"/>
    <w:rsid w:val="00B91695"/>
    <w:rsid w:val="00B9214D"/>
    <w:rsid w:val="00B92D96"/>
    <w:rsid w:val="00B9305B"/>
    <w:rsid w:val="00B93646"/>
    <w:rsid w:val="00B947B9"/>
    <w:rsid w:val="00B949EE"/>
    <w:rsid w:val="00B96429"/>
    <w:rsid w:val="00BA04F8"/>
    <w:rsid w:val="00BA10D7"/>
    <w:rsid w:val="00BA12CF"/>
    <w:rsid w:val="00BA4756"/>
    <w:rsid w:val="00BA4ADC"/>
    <w:rsid w:val="00BA5542"/>
    <w:rsid w:val="00BA6D6F"/>
    <w:rsid w:val="00BA6D72"/>
    <w:rsid w:val="00BA726A"/>
    <w:rsid w:val="00BB04E0"/>
    <w:rsid w:val="00BB063A"/>
    <w:rsid w:val="00BB0B43"/>
    <w:rsid w:val="00BB5A65"/>
    <w:rsid w:val="00BB7463"/>
    <w:rsid w:val="00BB7800"/>
    <w:rsid w:val="00BC0C72"/>
    <w:rsid w:val="00BC0F1A"/>
    <w:rsid w:val="00BC0FEF"/>
    <w:rsid w:val="00BC11CF"/>
    <w:rsid w:val="00BC2357"/>
    <w:rsid w:val="00BC374A"/>
    <w:rsid w:val="00BC47D3"/>
    <w:rsid w:val="00BC4A22"/>
    <w:rsid w:val="00BC4CEA"/>
    <w:rsid w:val="00BC506A"/>
    <w:rsid w:val="00BC536A"/>
    <w:rsid w:val="00BC6786"/>
    <w:rsid w:val="00BC6B10"/>
    <w:rsid w:val="00BC7CA7"/>
    <w:rsid w:val="00BD01F2"/>
    <w:rsid w:val="00BD0543"/>
    <w:rsid w:val="00BD5235"/>
    <w:rsid w:val="00BD59A7"/>
    <w:rsid w:val="00BD7D63"/>
    <w:rsid w:val="00BE0ECD"/>
    <w:rsid w:val="00BE78E9"/>
    <w:rsid w:val="00BF0279"/>
    <w:rsid w:val="00BF32B4"/>
    <w:rsid w:val="00BF4903"/>
    <w:rsid w:val="00BF718C"/>
    <w:rsid w:val="00BF7C70"/>
    <w:rsid w:val="00C00CE9"/>
    <w:rsid w:val="00C01731"/>
    <w:rsid w:val="00C02525"/>
    <w:rsid w:val="00C0273B"/>
    <w:rsid w:val="00C04646"/>
    <w:rsid w:val="00C04864"/>
    <w:rsid w:val="00C05A13"/>
    <w:rsid w:val="00C071C2"/>
    <w:rsid w:val="00C074DE"/>
    <w:rsid w:val="00C10E93"/>
    <w:rsid w:val="00C150C6"/>
    <w:rsid w:val="00C15810"/>
    <w:rsid w:val="00C2076C"/>
    <w:rsid w:val="00C233E3"/>
    <w:rsid w:val="00C24552"/>
    <w:rsid w:val="00C30381"/>
    <w:rsid w:val="00C3206D"/>
    <w:rsid w:val="00C32BD3"/>
    <w:rsid w:val="00C33108"/>
    <w:rsid w:val="00C34AC7"/>
    <w:rsid w:val="00C40CBD"/>
    <w:rsid w:val="00C420C1"/>
    <w:rsid w:val="00C43FC2"/>
    <w:rsid w:val="00C44009"/>
    <w:rsid w:val="00C50A49"/>
    <w:rsid w:val="00C50E17"/>
    <w:rsid w:val="00C54D4C"/>
    <w:rsid w:val="00C55CD2"/>
    <w:rsid w:val="00C566AC"/>
    <w:rsid w:val="00C56CEF"/>
    <w:rsid w:val="00C56F80"/>
    <w:rsid w:val="00C574DC"/>
    <w:rsid w:val="00C57DF5"/>
    <w:rsid w:val="00C63170"/>
    <w:rsid w:val="00C64645"/>
    <w:rsid w:val="00C65BA7"/>
    <w:rsid w:val="00C71DEF"/>
    <w:rsid w:val="00C72BFC"/>
    <w:rsid w:val="00C732F0"/>
    <w:rsid w:val="00C745D9"/>
    <w:rsid w:val="00C81A7E"/>
    <w:rsid w:val="00C8366C"/>
    <w:rsid w:val="00C84491"/>
    <w:rsid w:val="00C850F7"/>
    <w:rsid w:val="00C86118"/>
    <w:rsid w:val="00C90366"/>
    <w:rsid w:val="00C90755"/>
    <w:rsid w:val="00C907D4"/>
    <w:rsid w:val="00C9277A"/>
    <w:rsid w:val="00C94133"/>
    <w:rsid w:val="00C96077"/>
    <w:rsid w:val="00CA0195"/>
    <w:rsid w:val="00CA121F"/>
    <w:rsid w:val="00CA1E0F"/>
    <w:rsid w:val="00CA1F91"/>
    <w:rsid w:val="00CA601E"/>
    <w:rsid w:val="00CA68DA"/>
    <w:rsid w:val="00CB05E0"/>
    <w:rsid w:val="00CB11AB"/>
    <w:rsid w:val="00CB195F"/>
    <w:rsid w:val="00CB6071"/>
    <w:rsid w:val="00CB710C"/>
    <w:rsid w:val="00CC0BC5"/>
    <w:rsid w:val="00CC3CDF"/>
    <w:rsid w:val="00CD0F06"/>
    <w:rsid w:val="00CD1117"/>
    <w:rsid w:val="00CD1F08"/>
    <w:rsid w:val="00CD509B"/>
    <w:rsid w:val="00CD6AE0"/>
    <w:rsid w:val="00CD6B13"/>
    <w:rsid w:val="00CD74C1"/>
    <w:rsid w:val="00CE1779"/>
    <w:rsid w:val="00CE1AB6"/>
    <w:rsid w:val="00CE366A"/>
    <w:rsid w:val="00CE3A05"/>
    <w:rsid w:val="00CE3D02"/>
    <w:rsid w:val="00CE5AE0"/>
    <w:rsid w:val="00CE608B"/>
    <w:rsid w:val="00CE6A2B"/>
    <w:rsid w:val="00CE6C06"/>
    <w:rsid w:val="00CF0AD1"/>
    <w:rsid w:val="00CF1413"/>
    <w:rsid w:val="00CF1867"/>
    <w:rsid w:val="00CF22EE"/>
    <w:rsid w:val="00CF38A6"/>
    <w:rsid w:val="00CF3AFF"/>
    <w:rsid w:val="00CF5F4A"/>
    <w:rsid w:val="00D00B9C"/>
    <w:rsid w:val="00D06BA3"/>
    <w:rsid w:val="00D07E69"/>
    <w:rsid w:val="00D13085"/>
    <w:rsid w:val="00D1430A"/>
    <w:rsid w:val="00D14DC4"/>
    <w:rsid w:val="00D16A93"/>
    <w:rsid w:val="00D16F01"/>
    <w:rsid w:val="00D203F7"/>
    <w:rsid w:val="00D2137D"/>
    <w:rsid w:val="00D2235E"/>
    <w:rsid w:val="00D224CC"/>
    <w:rsid w:val="00D243F8"/>
    <w:rsid w:val="00D2798A"/>
    <w:rsid w:val="00D27BD5"/>
    <w:rsid w:val="00D31641"/>
    <w:rsid w:val="00D34062"/>
    <w:rsid w:val="00D340C2"/>
    <w:rsid w:val="00D3416D"/>
    <w:rsid w:val="00D34288"/>
    <w:rsid w:val="00D34981"/>
    <w:rsid w:val="00D34C47"/>
    <w:rsid w:val="00D35911"/>
    <w:rsid w:val="00D402F0"/>
    <w:rsid w:val="00D415C5"/>
    <w:rsid w:val="00D43767"/>
    <w:rsid w:val="00D43FCC"/>
    <w:rsid w:val="00D4498F"/>
    <w:rsid w:val="00D4527F"/>
    <w:rsid w:val="00D45BFE"/>
    <w:rsid w:val="00D45F27"/>
    <w:rsid w:val="00D52081"/>
    <w:rsid w:val="00D5233F"/>
    <w:rsid w:val="00D5237D"/>
    <w:rsid w:val="00D552F1"/>
    <w:rsid w:val="00D57D1D"/>
    <w:rsid w:val="00D57EAF"/>
    <w:rsid w:val="00D60502"/>
    <w:rsid w:val="00D60EAA"/>
    <w:rsid w:val="00D6149A"/>
    <w:rsid w:val="00D615C2"/>
    <w:rsid w:val="00D634BB"/>
    <w:rsid w:val="00D6397C"/>
    <w:rsid w:val="00D63A78"/>
    <w:rsid w:val="00D63F3A"/>
    <w:rsid w:val="00D64123"/>
    <w:rsid w:val="00D65A54"/>
    <w:rsid w:val="00D66640"/>
    <w:rsid w:val="00D66887"/>
    <w:rsid w:val="00D66F7D"/>
    <w:rsid w:val="00D70FA3"/>
    <w:rsid w:val="00D731FD"/>
    <w:rsid w:val="00D752BA"/>
    <w:rsid w:val="00D8106D"/>
    <w:rsid w:val="00D856C4"/>
    <w:rsid w:val="00D8602A"/>
    <w:rsid w:val="00D8650B"/>
    <w:rsid w:val="00D8664D"/>
    <w:rsid w:val="00D867A2"/>
    <w:rsid w:val="00D86BDA"/>
    <w:rsid w:val="00D93251"/>
    <w:rsid w:val="00D93698"/>
    <w:rsid w:val="00D939D1"/>
    <w:rsid w:val="00D94264"/>
    <w:rsid w:val="00D975CF"/>
    <w:rsid w:val="00DA14BB"/>
    <w:rsid w:val="00DA512E"/>
    <w:rsid w:val="00DB06B2"/>
    <w:rsid w:val="00DB0D18"/>
    <w:rsid w:val="00DB121A"/>
    <w:rsid w:val="00DB188F"/>
    <w:rsid w:val="00DB27C9"/>
    <w:rsid w:val="00DB293C"/>
    <w:rsid w:val="00DB78ED"/>
    <w:rsid w:val="00DC0407"/>
    <w:rsid w:val="00DC06B6"/>
    <w:rsid w:val="00DC15EF"/>
    <w:rsid w:val="00DC16CF"/>
    <w:rsid w:val="00DC4F4F"/>
    <w:rsid w:val="00DC7F76"/>
    <w:rsid w:val="00DD040E"/>
    <w:rsid w:val="00DD07DD"/>
    <w:rsid w:val="00DD4550"/>
    <w:rsid w:val="00DD57AC"/>
    <w:rsid w:val="00DD6FBD"/>
    <w:rsid w:val="00DD7475"/>
    <w:rsid w:val="00DE198A"/>
    <w:rsid w:val="00DE2E4D"/>
    <w:rsid w:val="00DE3E90"/>
    <w:rsid w:val="00DE6E52"/>
    <w:rsid w:val="00DF020C"/>
    <w:rsid w:val="00DF0E60"/>
    <w:rsid w:val="00DF1EB4"/>
    <w:rsid w:val="00DF22E6"/>
    <w:rsid w:val="00DF2C1F"/>
    <w:rsid w:val="00DF36B5"/>
    <w:rsid w:val="00DF37E7"/>
    <w:rsid w:val="00DF4F36"/>
    <w:rsid w:val="00E031EF"/>
    <w:rsid w:val="00E059AD"/>
    <w:rsid w:val="00E05CDC"/>
    <w:rsid w:val="00E06291"/>
    <w:rsid w:val="00E07EB4"/>
    <w:rsid w:val="00E11331"/>
    <w:rsid w:val="00E139AB"/>
    <w:rsid w:val="00E16D5F"/>
    <w:rsid w:val="00E16F60"/>
    <w:rsid w:val="00E20AC0"/>
    <w:rsid w:val="00E214DA"/>
    <w:rsid w:val="00E2169A"/>
    <w:rsid w:val="00E21F66"/>
    <w:rsid w:val="00E22EE7"/>
    <w:rsid w:val="00E22FA5"/>
    <w:rsid w:val="00E30F43"/>
    <w:rsid w:val="00E32FA4"/>
    <w:rsid w:val="00E3549B"/>
    <w:rsid w:val="00E366CA"/>
    <w:rsid w:val="00E37250"/>
    <w:rsid w:val="00E40FB8"/>
    <w:rsid w:val="00E420C9"/>
    <w:rsid w:val="00E50667"/>
    <w:rsid w:val="00E50EBF"/>
    <w:rsid w:val="00E51B06"/>
    <w:rsid w:val="00E51E15"/>
    <w:rsid w:val="00E52373"/>
    <w:rsid w:val="00E53BCD"/>
    <w:rsid w:val="00E63A51"/>
    <w:rsid w:val="00E6465F"/>
    <w:rsid w:val="00E64F3E"/>
    <w:rsid w:val="00E66FE5"/>
    <w:rsid w:val="00E67763"/>
    <w:rsid w:val="00E67CCD"/>
    <w:rsid w:val="00E67E20"/>
    <w:rsid w:val="00E7162D"/>
    <w:rsid w:val="00E72102"/>
    <w:rsid w:val="00E724CB"/>
    <w:rsid w:val="00E72936"/>
    <w:rsid w:val="00E77346"/>
    <w:rsid w:val="00E815CD"/>
    <w:rsid w:val="00E821AB"/>
    <w:rsid w:val="00E83216"/>
    <w:rsid w:val="00E839A2"/>
    <w:rsid w:val="00E93C0D"/>
    <w:rsid w:val="00E93DBF"/>
    <w:rsid w:val="00E95B63"/>
    <w:rsid w:val="00E9618B"/>
    <w:rsid w:val="00EA104B"/>
    <w:rsid w:val="00EA20FF"/>
    <w:rsid w:val="00EA4BA6"/>
    <w:rsid w:val="00EA5A25"/>
    <w:rsid w:val="00EA5C85"/>
    <w:rsid w:val="00EB17BF"/>
    <w:rsid w:val="00EB1EF0"/>
    <w:rsid w:val="00EB2EC0"/>
    <w:rsid w:val="00EB35E0"/>
    <w:rsid w:val="00EB5893"/>
    <w:rsid w:val="00EB5DC3"/>
    <w:rsid w:val="00EB5EFF"/>
    <w:rsid w:val="00EB61F9"/>
    <w:rsid w:val="00EB625A"/>
    <w:rsid w:val="00EB6988"/>
    <w:rsid w:val="00EB74ED"/>
    <w:rsid w:val="00EC5395"/>
    <w:rsid w:val="00EC5F40"/>
    <w:rsid w:val="00EC6190"/>
    <w:rsid w:val="00ED2784"/>
    <w:rsid w:val="00ED3776"/>
    <w:rsid w:val="00ED4CDB"/>
    <w:rsid w:val="00ED6745"/>
    <w:rsid w:val="00ED6FAC"/>
    <w:rsid w:val="00ED70A4"/>
    <w:rsid w:val="00EE055E"/>
    <w:rsid w:val="00EE1A02"/>
    <w:rsid w:val="00EE260D"/>
    <w:rsid w:val="00EE3A39"/>
    <w:rsid w:val="00EE4E79"/>
    <w:rsid w:val="00EF00AA"/>
    <w:rsid w:val="00EF0BA8"/>
    <w:rsid w:val="00EF0C88"/>
    <w:rsid w:val="00EF1BD8"/>
    <w:rsid w:val="00EF2FB0"/>
    <w:rsid w:val="00EF6D27"/>
    <w:rsid w:val="00F017B5"/>
    <w:rsid w:val="00F01E0B"/>
    <w:rsid w:val="00F03175"/>
    <w:rsid w:val="00F042B0"/>
    <w:rsid w:val="00F050E9"/>
    <w:rsid w:val="00F1067C"/>
    <w:rsid w:val="00F10D37"/>
    <w:rsid w:val="00F125A4"/>
    <w:rsid w:val="00F12E8C"/>
    <w:rsid w:val="00F1641A"/>
    <w:rsid w:val="00F17BDE"/>
    <w:rsid w:val="00F2035F"/>
    <w:rsid w:val="00F2062C"/>
    <w:rsid w:val="00F21E10"/>
    <w:rsid w:val="00F24FEC"/>
    <w:rsid w:val="00F25D58"/>
    <w:rsid w:val="00F26BE7"/>
    <w:rsid w:val="00F30059"/>
    <w:rsid w:val="00F300EF"/>
    <w:rsid w:val="00F3136E"/>
    <w:rsid w:val="00F319A1"/>
    <w:rsid w:val="00F35473"/>
    <w:rsid w:val="00F35C29"/>
    <w:rsid w:val="00F36379"/>
    <w:rsid w:val="00F36D7F"/>
    <w:rsid w:val="00F37192"/>
    <w:rsid w:val="00F400AF"/>
    <w:rsid w:val="00F40582"/>
    <w:rsid w:val="00F429A2"/>
    <w:rsid w:val="00F437A3"/>
    <w:rsid w:val="00F44157"/>
    <w:rsid w:val="00F445AE"/>
    <w:rsid w:val="00F449B6"/>
    <w:rsid w:val="00F44AF9"/>
    <w:rsid w:val="00F46D6C"/>
    <w:rsid w:val="00F50E1E"/>
    <w:rsid w:val="00F51B2A"/>
    <w:rsid w:val="00F54C1F"/>
    <w:rsid w:val="00F56ED1"/>
    <w:rsid w:val="00F60D97"/>
    <w:rsid w:val="00F625FB"/>
    <w:rsid w:val="00F62F15"/>
    <w:rsid w:val="00F63D0B"/>
    <w:rsid w:val="00F65F08"/>
    <w:rsid w:val="00F66D72"/>
    <w:rsid w:val="00F7046F"/>
    <w:rsid w:val="00F70744"/>
    <w:rsid w:val="00F71B11"/>
    <w:rsid w:val="00F72934"/>
    <w:rsid w:val="00F740EB"/>
    <w:rsid w:val="00F822E1"/>
    <w:rsid w:val="00F83536"/>
    <w:rsid w:val="00F83C10"/>
    <w:rsid w:val="00F84B9B"/>
    <w:rsid w:val="00F85993"/>
    <w:rsid w:val="00F85B69"/>
    <w:rsid w:val="00F874F4"/>
    <w:rsid w:val="00F87A27"/>
    <w:rsid w:val="00F9026C"/>
    <w:rsid w:val="00F916D8"/>
    <w:rsid w:val="00F93D8B"/>
    <w:rsid w:val="00F949A2"/>
    <w:rsid w:val="00F959A2"/>
    <w:rsid w:val="00F973F4"/>
    <w:rsid w:val="00FA15AD"/>
    <w:rsid w:val="00FA2C3D"/>
    <w:rsid w:val="00FA37A2"/>
    <w:rsid w:val="00FA7486"/>
    <w:rsid w:val="00FB2090"/>
    <w:rsid w:val="00FB2126"/>
    <w:rsid w:val="00FB21F7"/>
    <w:rsid w:val="00FB5059"/>
    <w:rsid w:val="00FB6308"/>
    <w:rsid w:val="00FB6CEC"/>
    <w:rsid w:val="00FB7D12"/>
    <w:rsid w:val="00FC3018"/>
    <w:rsid w:val="00FC61BA"/>
    <w:rsid w:val="00FC77F9"/>
    <w:rsid w:val="00FD24C9"/>
    <w:rsid w:val="00FD56CD"/>
    <w:rsid w:val="00FD5F46"/>
    <w:rsid w:val="00FD619D"/>
    <w:rsid w:val="00FD7A2A"/>
    <w:rsid w:val="00FE0128"/>
    <w:rsid w:val="00FE102D"/>
    <w:rsid w:val="00FE280D"/>
    <w:rsid w:val="00FE4556"/>
    <w:rsid w:val="00FE491A"/>
    <w:rsid w:val="00FE600C"/>
    <w:rsid w:val="00FE709F"/>
    <w:rsid w:val="00FE7D1A"/>
    <w:rsid w:val="00FE7EE9"/>
    <w:rsid w:val="00FF13B2"/>
    <w:rsid w:val="00FF1DB4"/>
    <w:rsid w:val="00FF345D"/>
    <w:rsid w:val="00FF45C7"/>
    <w:rsid w:val="00FF48F2"/>
    <w:rsid w:val="00FF60B8"/>
    <w:rsid w:val="00FF6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rFonts w:ascii="Dutch Roman 12pt" w:hAnsi="Dutch Roman 12pt"/>
      <w:sz w:val="24"/>
      <w:lang w:eastAsia="en-US"/>
    </w:rPr>
  </w:style>
  <w:style w:type="paragraph" w:styleId="Heading1">
    <w:name w:val="heading 1"/>
    <w:basedOn w:val="Normal"/>
    <w:next w:val="Normal"/>
    <w:qFormat/>
    <w:rsid w:val="00745E3E"/>
    <w:pPr>
      <w:keepNext/>
      <w:tabs>
        <w:tab w:val="left" w:pos="-720"/>
      </w:tabs>
      <w:suppressAutoHyphens/>
      <w:spacing w:before="240" w:after="240"/>
      <w:outlineLvl w:val="0"/>
    </w:pPr>
    <w:rPr>
      <w:rFonts w:ascii="Times New Roman" w:eastAsia="MS Mincho" w:hAnsi="Times New Roman"/>
      <w:b/>
      <w:spacing w:val="-2"/>
      <w:szCs w:val="24"/>
    </w:rPr>
  </w:style>
  <w:style w:type="paragraph" w:styleId="Heading2">
    <w:name w:val="heading 2"/>
    <w:basedOn w:val="Normal"/>
    <w:next w:val="Normal"/>
    <w:qFormat/>
    <w:rsid w:val="009326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641A"/>
    <w:pPr>
      <w:keepNext/>
      <w:spacing w:before="240" w:after="60"/>
      <w:outlineLvl w:val="2"/>
    </w:pPr>
    <w:rPr>
      <w:rFonts w:ascii="Arial" w:hAnsi="Arial" w:cs="Arial"/>
      <w:b/>
      <w:bCs/>
      <w:sz w:val="26"/>
      <w:szCs w:val="26"/>
    </w:rPr>
  </w:style>
  <w:style w:type="paragraph" w:styleId="Heading7">
    <w:name w:val="heading 7"/>
    <w:aliases w:val="TemplateHeading 7"/>
    <w:basedOn w:val="Normal"/>
    <w:next w:val="Normal"/>
    <w:qFormat/>
    <w:pPr>
      <w:keepNext/>
      <w:widowControl/>
      <w:overflowPunct/>
      <w:autoSpaceDE/>
      <w:autoSpaceDN/>
      <w:adjustRightInd/>
      <w:jc w:val="center"/>
      <w:textAlignment w:val="auto"/>
      <w:outlineLvl w:val="6"/>
    </w:pPr>
    <w:rPr>
      <w:rFonts w:ascii="Arial" w:hAnsi="Arial"/>
      <w:b/>
      <w:bCs/>
      <w:sz w:val="32"/>
      <w:szCs w:val="24"/>
    </w:rPr>
  </w:style>
  <w:style w:type="paragraph" w:styleId="Heading8">
    <w:name w:val="heading 8"/>
    <w:aliases w:val="TemplateHeading 8"/>
    <w:basedOn w:val="Normal"/>
    <w:next w:val="Normal"/>
    <w:qFormat/>
    <w:pPr>
      <w:keepNext/>
      <w:widowControl/>
      <w:overflowPunct/>
      <w:autoSpaceDE/>
      <w:autoSpaceDN/>
      <w:adjustRightInd/>
      <w:jc w:val="center"/>
      <w:textAlignment w:val="auto"/>
      <w:outlineLvl w:val="7"/>
    </w:pPr>
    <w:rPr>
      <w:rFonts w:ascii="Arial" w:hAnsi="Arial" w:cs="Arial"/>
      <w:b/>
      <w:bCs/>
      <w:sz w:val="36"/>
      <w:szCs w:val="24"/>
    </w:rPr>
  </w:style>
  <w:style w:type="paragraph" w:styleId="Heading9">
    <w:name w:val="heading 9"/>
    <w:aliases w:val="TemplateHeading 9"/>
    <w:basedOn w:val="Normal"/>
    <w:next w:val="Normal"/>
    <w:qFormat/>
    <w:pPr>
      <w:keepNext/>
      <w:widowControl/>
      <w:overflowPunct/>
      <w:autoSpaceDE/>
      <w:autoSpaceDN/>
      <w:adjustRightInd/>
      <w:jc w:val="center"/>
      <w:textAlignment w:val="auto"/>
      <w:outlineLvl w:val="8"/>
    </w:pPr>
    <w:rPr>
      <w:rFonts w:ascii="Arial" w:hAnsi="Arial" w:cs="Arial"/>
      <w:b/>
      <w:bCs/>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paragraph" w:styleId="BodyText">
    <w:name w:val="Body Text"/>
    <w:basedOn w:val="Normal"/>
    <w:link w:val="BodyTextChar"/>
    <w:pPr>
      <w:tabs>
        <w:tab w:val="left" w:pos="-720"/>
      </w:tabs>
      <w:suppressAutoHyphens/>
      <w:jc w:val="both"/>
    </w:pPr>
    <w:rPr>
      <w:rFonts w:ascii="Times New Roman" w:hAnsi="Times New Roman"/>
      <w:spacing w:val="-2"/>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rk2linie1">
    <w:name w:val="rk2linie1"/>
    <w:basedOn w:val="Normal"/>
    <w:next w:val="Normal"/>
    <w:pPr>
      <w:widowControl/>
      <w:spacing w:before="280"/>
      <w:jc w:val="center"/>
    </w:pPr>
    <w:rPr>
      <w:rFonts w:ascii="Arial" w:hAnsi="Arial"/>
      <w:b/>
      <w:sz w:val="28"/>
      <w:lang w:val="en-GB"/>
    </w:rPr>
  </w:style>
  <w:style w:type="paragraph" w:styleId="DocumentMap">
    <w:name w:val="Document Map"/>
    <w:basedOn w:val="Normal"/>
    <w:semiHidden/>
    <w:pPr>
      <w:shd w:val="clear" w:color="auto" w:fill="000080"/>
    </w:pPr>
    <w:rPr>
      <w:rFonts w:ascii="Tahoma" w:hAnsi="Tahoma" w:cs="Tahoma"/>
    </w:rPr>
  </w:style>
  <w:style w:type="paragraph" w:customStyle="1" w:styleId="Manufacturer">
    <w:name w:val="Manufacturer"/>
    <w:basedOn w:val="Normal"/>
    <w:pPr>
      <w:widowControl/>
      <w:overflowPunct/>
      <w:autoSpaceDE/>
      <w:autoSpaceDN/>
      <w:adjustRightInd/>
      <w:spacing w:before="20" w:after="20" w:line="260" w:lineRule="exact"/>
      <w:jc w:val="both"/>
      <w:textAlignment w:val="auto"/>
    </w:pPr>
    <w:rPr>
      <w:rFonts w:ascii="Times New Roman" w:hAnsi="Times New Roman"/>
      <w:color w:val="000000"/>
      <w:sz w:val="20"/>
      <w:lang w:val="pt-BR"/>
    </w:rPr>
  </w:style>
  <w:style w:type="paragraph" w:styleId="BalloonText">
    <w:name w:val="Balloon Text"/>
    <w:basedOn w:val="Normal"/>
    <w:semiHidden/>
    <w:rsid w:val="00FD56CD"/>
    <w:rPr>
      <w:rFonts w:ascii="Tahoma" w:hAnsi="Tahoma" w:cs="Tahoma"/>
      <w:sz w:val="16"/>
      <w:szCs w:val="16"/>
    </w:rPr>
  </w:style>
  <w:style w:type="table" w:styleId="TableGrid">
    <w:name w:val="Table Grid"/>
    <w:basedOn w:val="TableNormal"/>
    <w:uiPriority w:val="59"/>
    <w:rsid w:val="00D4498F"/>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C071C2"/>
    <w:pPr>
      <w:widowControl/>
      <w:overflowPunct/>
      <w:autoSpaceDE/>
      <w:autoSpaceDN/>
      <w:adjustRightInd/>
      <w:spacing w:before="120"/>
      <w:jc w:val="both"/>
      <w:textAlignment w:val="auto"/>
    </w:pPr>
    <w:rPr>
      <w:rFonts w:ascii="Times New Roman" w:hAnsi="Times New Roman"/>
      <w:lang w:val="en-GB"/>
    </w:rPr>
  </w:style>
  <w:style w:type="paragraph" w:customStyle="1" w:styleId="Listlevel1">
    <w:name w:val="List level 1"/>
    <w:basedOn w:val="Normal"/>
    <w:rsid w:val="003B221A"/>
    <w:pPr>
      <w:widowControl/>
      <w:overflowPunct/>
      <w:autoSpaceDE/>
      <w:autoSpaceDN/>
      <w:adjustRightInd/>
      <w:spacing w:before="40" w:after="20"/>
      <w:ind w:left="425" w:hanging="425"/>
      <w:textAlignment w:val="auto"/>
    </w:pPr>
    <w:rPr>
      <w:rFonts w:ascii="Times New Roman" w:hAnsi="Times New Roman"/>
      <w:lang w:val="en-US"/>
    </w:rPr>
  </w:style>
  <w:style w:type="paragraph" w:customStyle="1" w:styleId="Table">
    <w:name w:val="Table"/>
    <w:basedOn w:val="Normal"/>
    <w:rsid w:val="00BC0C72"/>
    <w:pPr>
      <w:keepLines/>
      <w:widowControl/>
      <w:tabs>
        <w:tab w:val="left" w:pos="284"/>
      </w:tabs>
      <w:overflowPunct/>
      <w:autoSpaceDE/>
      <w:autoSpaceDN/>
      <w:adjustRightInd/>
      <w:spacing w:before="40" w:after="20"/>
      <w:textAlignment w:val="auto"/>
    </w:pPr>
    <w:rPr>
      <w:rFonts w:ascii="Arial" w:hAnsi="Arial"/>
      <w:sz w:val="20"/>
      <w:lang w:val="en-GB"/>
    </w:rPr>
  </w:style>
  <w:style w:type="paragraph" w:styleId="CommentSubject">
    <w:name w:val="annotation subject"/>
    <w:basedOn w:val="CommentText"/>
    <w:next w:val="CommentText"/>
    <w:semiHidden/>
    <w:rsid w:val="00765040"/>
    <w:rPr>
      <w:b/>
      <w:bCs/>
    </w:rPr>
  </w:style>
  <w:style w:type="character" w:customStyle="1" w:styleId="BodyTextChar">
    <w:name w:val="Body Text Char"/>
    <w:link w:val="BodyText"/>
    <w:rsid w:val="0073500E"/>
    <w:rPr>
      <w:spacing w:val="-2"/>
      <w:sz w:val="24"/>
      <w:lang w:val="en-AU" w:eastAsia="en-US" w:bidi="ar-SA"/>
    </w:rPr>
  </w:style>
  <w:style w:type="character" w:styleId="Hyperlink">
    <w:name w:val="Hyperlink"/>
    <w:rsid w:val="0067624D"/>
    <w:rPr>
      <w:color w:val="0000FF"/>
      <w:u w:val="single"/>
    </w:rPr>
  </w:style>
  <w:style w:type="character" w:styleId="FollowedHyperlink">
    <w:name w:val="FollowedHyperlink"/>
    <w:rsid w:val="0067624D"/>
    <w:rPr>
      <w:color w:val="800080"/>
      <w:u w:val="single"/>
    </w:rPr>
  </w:style>
  <w:style w:type="paragraph" w:styleId="ListBullet">
    <w:name w:val="List Bullet"/>
    <w:basedOn w:val="Normal"/>
    <w:rsid w:val="00741BCD"/>
    <w:pPr>
      <w:numPr>
        <w:numId w:val="17"/>
      </w:numPr>
      <w:contextualSpacing/>
    </w:pPr>
  </w:style>
  <w:style w:type="paragraph" w:styleId="Revision">
    <w:name w:val="Revision"/>
    <w:hidden/>
    <w:uiPriority w:val="99"/>
    <w:semiHidden/>
    <w:rsid w:val="002209E3"/>
    <w:rPr>
      <w:rFonts w:ascii="Dutch Roman 12pt" w:hAnsi="Dutch Roman 12p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rFonts w:ascii="Dutch Roman 12pt" w:hAnsi="Dutch Roman 12pt"/>
      <w:sz w:val="24"/>
      <w:lang w:eastAsia="en-US"/>
    </w:rPr>
  </w:style>
  <w:style w:type="paragraph" w:styleId="Heading1">
    <w:name w:val="heading 1"/>
    <w:basedOn w:val="Normal"/>
    <w:next w:val="Normal"/>
    <w:qFormat/>
    <w:rsid w:val="00745E3E"/>
    <w:pPr>
      <w:keepNext/>
      <w:tabs>
        <w:tab w:val="left" w:pos="-720"/>
      </w:tabs>
      <w:suppressAutoHyphens/>
      <w:spacing w:before="240" w:after="240"/>
      <w:outlineLvl w:val="0"/>
    </w:pPr>
    <w:rPr>
      <w:rFonts w:ascii="Times New Roman" w:eastAsia="MS Mincho" w:hAnsi="Times New Roman"/>
      <w:b/>
      <w:spacing w:val="-2"/>
      <w:szCs w:val="24"/>
    </w:rPr>
  </w:style>
  <w:style w:type="paragraph" w:styleId="Heading2">
    <w:name w:val="heading 2"/>
    <w:basedOn w:val="Normal"/>
    <w:next w:val="Normal"/>
    <w:qFormat/>
    <w:rsid w:val="009326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641A"/>
    <w:pPr>
      <w:keepNext/>
      <w:spacing w:before="240" w:after="60"/>
      <w:outlineLvl w:val="2"/>
    </w:pPr>
    <w:rPr>
      <w:rFonts w:ascii="Arial" w:hAnsi="Arial" w:cs="Arial"/>
      <w:b/>
      <w:bCs/>
      <w:sz w:val="26"/>
      <w:szCs w:val="26"/>
    </w:rPr>
  </w:style>
  <w:style w:type="paragraph" w:styleId="Heading7">
    <w:name w:val="heading 7"/>
    <w:aliases w:val="TemplateHeading 7"/>
    <w:basedOn w:val="Normal"/>
    <w:next w:val="Normal"/>
    <w:qFormat/>
    <w:pPr>
      <w:keepNext/>
      <w:widowControl/>
      <w:overflowPunct/>
      <w:autoSpaceDE/>
      <w:autoSpaceDN/>
      <w:adjustRightInd/>
      <w:jc w:val="center"/>
      <w:textAlignment w:val="auto"/>
      <w:outlineLvl w:val="6"/>
    </w:pPr>
    <w:rPr>
      <w:rFonts w:ascii="Arial" w:hAnsi="Arial"/>
      <w:b/>
      <w:bCs/>
      <w:sz w:val="32"/>
      <w:szCs w:val="24"/>
    </w:rPr>
  </w:style>
  <w:style w:type="paragraph" w:styleId="Heading8">
    <w:name w:val="heading 8"/>
    <w:aliases w:val="TemplateHeading 8"/>
    <w:basedOn w:val="Normal"/>
    <w:next w:val="Normal"/>
    <w:qFormat/>
    <w:pPr>
      <w:keepNext/>
      <w:widowControl/>
      <w:overflowPunct/>
      <w:autoSpaceDE/>
      <w:autoSpaceDN/>
      <w:adjustRightInd/>
      <w:jc w:val="center"/>
      <w:textAlignment w:val="auto"/>
      <w:outlineLvl w:val="7"/>
    </w:pPr>
    <w:rPr>
      <w:rFonts w:ascii="Arial" w:hAnsi="Arial" w:cs="Arial"/>
      <w:b/>
      <w:bCs/>
      <w:sz w:val="36"/>
      <w:szCs w:val="24"/>
    </w:rPr>
  </w:style>
  <w:style w:type="paragraph" w:styleId="Heading9">
    <w:name w:val="heading 9"/>
    <w:aliases w:val="TemplateHeading 9"/>
    <w:basedOn w:val="Normal"/>
    <w:next w:val="Normal"/>
    <w:qFormat/>
    <w:pPr>
      <w:keepNext/>
      <w:widowControl/>
      <w:overflowPunct/>
      <w:autoSpaceDE/>
      <w:autoSpaceDN/>
      <w:adjustRightInd/>
      <w:jc w:val="center"/>
      <w:textAlignment w:val="auto"/>
      <w:outlineLvl w:val="8"/>
    </w:pPr>
    <w:rPr>
      <w:rFonts w:ascii="Arial" w:hAnsi="Arial" w:cs="Arial"/>
      <w:b/>
      <w:bCs/>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paragraph" w:styleId="BodyText">
    <w:name w:val="Body Text"/>
    <w:basedOn w:val="Normal"/>
    <w:link w:val="BodyTextChar"/>
    <w:pPr>
      <w:tabs>
        <w:tab w:val="left" w:pos="-720"/>
      </w:tabs>
      <w:suppressAutoHyphens/>
      <w:jc w:val="both"/>
    </w:pPr>
    <w:rPr>
      <w:rFonts w:ascii="Times New Roman" w:hAnsi="Times New Roman"/>
      <w:spacing w:val="-2"/>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rk2linie1">
    <w:name w:val="rk2linie1"/>
    <w:basedOn w:val="Normal"/>
    <w:next w:val="Normal"/>
    <w:pPr>
      <w:widowControl/>
      <w:spacing w:before="280"/>
      <w:jc w:val="center"/>
    </w:pPr>
    <w:rPr>
      <w:rFonts w:ascii="Arial" w:hAnsi="Arial"/>
      <w:b/>
      <w:sz w:val="28"/>
      <w:lang w:val="en-GB"/>
    </w:rPr>
  </w:style>
  <w:style w:type="paragraph" w:styleId="DocumentMap">
    <w:name w:val="Document Map"/>
    <w:basedOn w:val="Normal"/>
    <w:semiHidden/>
    <w:pPr>
      <w:shd w:val="clear" w:color="auto" w:fill="000080"/>
    </w:pPr>
    <w:rPr>
      <w:rFonts w:ascii="Tahoma" w:hAnsi="Tahoma" w:cs="Tahoma"/>
    </w:rPr>
  </w:style>
  <w:style w:type="paragraph" w:customStyle="1" w:styleId="Manufacturer">
    <w:name w:val="Manufacturer"/>
    <w:basedOn w:val="Normal"/>
    <w:pPr>
      <w:widowControl/>
      <w:overflowPunct/>
      <w:autoSpaceDE/>
      <w:autoSpaceDN/>
      <w:adjustRightInd/>
      <w:spacing w:before="20" w:after="20" w:line="260" w:lineRule="exact"/>
      <w:jc w:val="both"/>
      <w:textAlignment w:val="auto"/>
    </w:pPr>
    <w:rPr>
      <w:rFonts w:ascii="Times New Roman" w:hAnsi="Times New Roman"/>
      <w:color w:val="000000"/>
      <w:sz w:val="20"/>
      <w:lang w:val="pt-BR"/>
    </w:rPr>
  </w:style>
  <w:style w:type="paragraph" w:styleId="BalloonText">
    <w:name w:val="Balloon Text"/>
    <w:basedOn w:val="Normal"/>
    <w:semiHidden/>
    <w:rsid w:val="00FD56CD"/>
    <w:rPr>
      <w:rFonts w:ascii="Tahoma" w:hAnsi="Tahoma" w:cs="Tahoma"/>
      <w:sz w:val="16"/>
      <w:szCs w:val="16"/>
    </w:rPr>
  </w:style>
  <w:style w:type="table" w:styleId="TableGrid">
    <w:name w:val="Table Grid"/>
    <w:basedOn w:val="TableNormal"/>
    <w:uiPriority w:val="59"/>
    <w:rsid w:val="00D4498F"/>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C071C2"/>
    <w:pPr>
      <w:widowControl/>
      <w:overflowPunct/>
      <w:autoSpaceDE/>
      <w:autoSpaceDN/>
      <w:adjustRightInd/>
      <w:spacing w:before="120"/>
      <w:jc w:val="both"/>
      <w:textAlignment w:val="auto"/>
    </w:pPr>
    <w:rPr>
      <w:rFonts w:ascii="Times New Roman" w:hAnsi="Times New Roman"/>
      <w:lang w:val="en-GB"/>
    </w:rPr>
  </w:style>
  <w:style w:type="paragraph" w:customStyle="1" w:styleId="Listlevel1">
    <w:name w:val="List level 1"/>
    <w:basedOn w:val="Normal"/>
    <w:rsid w:val="003B221A"/>
    <w:pPr>
      <w:widowControl/>
      <w:overflowPunct/>
      <w:autoSpaceDE/>
      <w:autoSpaceDN/>
      <w:adjustRightInd/>
      <w:spacing w:before="40" w:after="20"/>
      <w:ind w:left="425" w:hanging="425"/>
      <w:textAlignment w:val="auto"/>
    </w:pPr>
    <w:rPr>
      <w:rFonts w:ascii="Times New Roman" w:hAnsi="Times New Roman"/>
      <w:lang w:val="en-US"/>
    </w:rPr>
  </w:style>
  <w:style w:type="paragraph" w:customStyle="1" w:styleId="Table">
    <w:name w:val="Table"/>
    <w:basedOn w:val="Normal"/>
    <w:rsid w:val="00BC0C72"/>
    <w:pPr>
      <w:keepLines/>
      <w:widowControl/>
      <w:tabs>
        <w:tab w:val="left" w:pos="284"/>
      </w:tabs>
      <w:overflowPunct/>
      <w:autoSpaceDE/>
      <w:autoSpaceDN/>
      <w:adjustRightInd/>
      <w:spacing w:before="40" w:after="20"/>
      <w:textAlignment w:val="auto"/>
    </w:pPr>
    <w:rPr>
      <w:rFonts w:ascii="Arial" w:hAnsi="Arial"/>
      <w:sz w:val="20"/>
      <w:lang w:val="en-GB"/>
    </w:rPr>
  </w:style>
  <w:style w:type="paragraph" w:styleId="CommentSubject">
    <w:name w:val="annotation subject"/>
    <w:basedOn w:val="CommentText"/>
    <w:next w:val="CommentText"/>
    <w:semiHidden/>
    <w:rsid w:val="00765040"/>
    <w:rPr>
      <w:b/>
      <w:bCs/>
    </w:rPr>
  </w:style>
  <w:style w:type="character" w:customStyle="1" w:styleId="BodyTextChar">
    <w:name w:val="Body Text Char"/>
    <w:link w:val="BodyText"/>
    <w:rsid w:val="0073500E"/>
    <w:rPr>
      <w:spacing w:val="-2"/>
      <w:sz w:val="24"/>
      <w:lang w:val="en-AU" w:eastAsia="en-US" w:bidi="ar-SA"/>
    </w:rPr>
  </w:style>
  <w:style w:type="character" w:styleId="Hyperlink">
    <w:name w:val="Hyperlink"/>
    <w:rsid w:val="0067624D"/>
    <w:rPr>
      <w:color w:val="0000FF"/>
      <w:u w:val="single"/>
    </w:rPr>
  </w:style>
  <w:style w:type="character" w:styleId="FollowedHyperlink">
    <w:name w:val="FollowedHyperlink"/>
    <w:rsid w:val="0067624D"/>
    <w:rPr>
      <w:color w:val="800080"/>
      <w:u w:val="single"/>
    </w:rPr>
  </w:style>
  <w:style w:type="paragraph" w:styleId="ListBullet">
    <w:name w:val="List Bullet"/>
    <w:basedOn w:val="Normal"/>
    <w:rsid w:val="00741BCD"/>
    <w:pPr>
      <w:numPr>
        <w:numId w:val="17"/>
      </w:numPr>
      <w:contextualSpacing/>
    </w:pPr>
  </w:style>
  <w:style w:type="paragraph" w:styleId="Revision">
    <w:name w:val="Revision"/>
    <w:hidden/>
    <w:uiPriority w:val="99"/>
    <w:semiHidden/>
    <w:rsid w:val="002209E3"/>
    <w:rPr>
      <w:rFonts w:ascii="Dutch Roman 12pt" w:hAnsi="Dutch Roman 12p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4790">
      <w:bodyDiv w:val="1"/>
      <w:marLeft w:val="0"/>
      <w:marRight w:val="0"/>
      <w:marTop w:val="0"/>
      <w:marBottom w:val="0"/>
      <w:divBdr>
        <w:top w:val="none" w:sz="0" w:space="0" w:color="auto"/>
        <w:left w:val="none" w:sz="0" w:space="0" w:color="auto"/>
        <w:bottom w:val="none" w:sz="0" w:space="0" w:color="auto"/>
        <w:right w:val="none" w:sz="0" w:space="0" w:color="auto"/>
      </w:divBdr>
    </w:div>
    <w:div w:id="15097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642A-4B92-4A58-A5A6-227FC7B2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4004</Words>
  <Characters>22825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AusPAR Attachment 1: Product Information for NovoThirteen</vt:lpstr>
    </vt:vector>
  </TitlesOfParts>
  <Company>Novo Nordisk Pharmaceuticals, Australasia</Company>
  <LinksUpToDate>false</LinksUpToDate>
  <CharactersWithSpaces>26776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NovoThirteen</dc:title>
  <dc:subject>prescription medicines regulation</dc:subject>
  <dc:creator>Novo Nordisk Pharmaceuticals Pty Ltd</dc:creator>
  <cp:keywords>pi, product information, novothirteen, recombinant, human, factor XIII</cp:keywords>
  <dc:description>Final approved PI from initial registration.</dc:description>
  <cp:lastModifiedBy>Sheppard, Fran</cp:lastModifiedBy>
  <cp:revision>2</cp:revision>
  <cp:lastPrinted>2013-11-19T07:15:00Z</cp:lastPrinted>
  <dcterms:created xsi:type="dcterms:W3CDTF">2014-06-05T00:37:00Z</dcterms:created>
  <dcterms:modified xsi:type="dcterms:W3CDTF">2014-06-05T00:37:00Z</dcterms:modified>
</cp:coreProperties>
</file>