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51E61" w:rsidP="0057000A">
            <w:pPr>
              <w:rPr>
                <w:rFonts w:ascii="Arial" w:hAnsi="Arial" w:cs="Arial"/>
                <w:b/>
                <w:color w:val="002C47"/>
                <w:sz w:val="36"/>
                <w:szCs w:val="36"/>
              </w:rPr>
            </w:pPr>
            <w:r>
              <w:rPr>
                <w:rFonts w:ascii="Arial" w:hAnsi="Arial" w:cs="Arial"/>
                <w:b/>
                <w:color w:val="002C47"/>
                <w:sz w:val="36"/>
                <w:szCs w:val="36"/>
              </w:rPr>
              <w:t xml:space="preserve">February </w:t>
            </w:r>
            <w:r w:rsidR="0057000A">
              <w:rPr>
                <w:rFonts w:ascii="Arial" w:hAnsi="Arial" w:cs="Arial"/>
                <w:b/>
                <w:color w:val="002C47"/>
                <w:sz w:val="36"/>
                <w:szCs w:val="36"/>
              </w:rPr>
              <w:t>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57000A" w:rsidRDefault="0032583B" w:rsidP="0057000A">
            <w:pPr>
              <w:pStyle w:val="Title"/>
              <w:rPr>
                <w:rFonts w:asciiTheme="majorHAnsi" w:hAnsiTheme="majorHAnsi" w:cstheme="majorHAnsi"/>
                <w:color w:val="FFFFFF" w:themeColor="background1"/>
              </w:rPr>
            </w:pPr>
            <w:r w:rsidRPr="0057000A">
              <w:rPr>
                <w:rFonts w:asciiTheme="majorHAnsi" w:hAnsiTheme="majorHAnsi" w:cstheme="majorHAnsi"/>
                <w:color w:val="FFFFFF" w:themeColor="background1"/>
              </w:rPr>
              <w:t xml:space="preserve">Australian Public Assessment Report for </w:t>
            </w:r>
            <w:proofErr w:type="spellStart"/>
            <w:r w:rsidR="006A3326" w:rsidRPr="006A3326">
              <w:rPr>
                <w:rFonts w:asciiTheme="majorHAnsi" w:hAnsiTheme="majorHAnsi" w:cstheme="majorHAnsi"/>
                <w:color w:val="FFFFFF" w:themeColor="background1"/>
              </w:rPr>
              <w:t>Ceftobiprole</w:t>
            </w:r>
            <w:proofErr w:type="spellEnd"/>
            <w:r w:rsidR="006A3326" w:rsidRPr="006A3326">
              <w:rPr>
                <w:rFonts w:asciiTheme="majorHAnsi" w:hAnsiTheme="majorHAnsi" w:cstheme="majorHAnsi"/>
                <w:color w:val="FFFFFF" w:themeColor="background1"/>
              </w:rPr>
              <w:t xml:space="preserve"> </w:t>
            </w:r>
            <w:proofErr w:type="spellStart"/>
            <w:r w:rsidR="006A3326" w:rsidRPr="006A3326">
              <w:rPr>
                <w:rFonts w:asciiTheme="majorHAnsi" w:hAnsiTheme="majorHAnsi" w:cstheme="majorHAnsi"/>
                <w:color w:val="FFFFFF" w:themeColor="background1"/>
              </w:rPr>
              <w:t>medocaril</w:t>
            </w:r>
            <w:proofErr w:type="spellEnd"/>
            <w:r w:rsidR="006A3326" w:rsidRPr="006A3326">
              <w:rPr>
                <w:rFonts w:asciiTheme="majorHAnsi" w:hAnsiTheme="majorHAnsi" w:cstheme="majorHAnsi"/>
                <w:color w:val="FFFFFF" w:themeColor="background1"/>
              </w:rPr>
              <w:t xml:space="preserve"> sodium</w:t>
            </w:r>
          </w:p>
        </w:tc>
      </w:tr>
      <w:tr w:rsidR="0032583B" w:rsidRPr="00B64760" w:rsidTr="0032583B">
        <w:tc>
          <w:tcPr>
            <w:tcW w:w="9079" w:type="dxa"/>
          </w:tcPr>
          <w:p w:rsidR="0032583B" w:rsidRPr="0057000A" w:rsidRDefault="0032583B" w:rsidP="0032583B">
            <w:pPr>
              <w:pStyle w:val="Subtitle"/>
              <w:rPr>
                <w:rFonts w:asciiTheme="majorHAnsi" w:hAnsiTheme="majorHAnsi" w:cstheme="majorHAnsi"/>
                <w:color w:val="FFFFFF" w:themeColor="background1"/>
              </w:rPr>
            </w:pPr>
            <w:r w:rsidRPr="0057000A">
              <w:rPr>
                <w:rFonts w:asciiTheme="majorHAnsi" w:hAnsiTheme="majorHAnsi" w:cstheme="majorHAnsi"/>
                <w:color w:val="FFFFFF" w:themeColor="background1"/>
              </w:rPr>
              <w:t xml:space="preserve">Proprietary Product Name: </w:t>
            </w:r>
            <w:proofErr w:type="spellStart"/>
            <w:r w:rsidR="0057000A" w:rsidRPr="0057000A">
              <w:rPr>
                <w:rFonts w:asciiTheme="majorHAnsi" w:hAnsiTheme="majorHAnsi" w:cstheme="majorHAnsi"/>
                <w:color w:val="FFFFFF" w:themeColor="background1"/>
              </w:rPr>
              <w:t>Zevtera</w:t>
            </w:r>
            <w:proofErr w:type="spellEnd"/>
          </w:p>
        </w:tc>
      </w:tr>
      <w:tr w:rsidR="0032583B" w:rsidRPr="00B64760" w:rsidTr="0032583B">
        <w:trPr>
          <w:trHeight w:val="486"/>
        </w:trPr>
        <w:tc>
          <w:tcPr>
            <w:tcW w:w="9079" w:type="dxa"/>
          </w:tcPr>
          <w:p w:rsidR="0032583B" w:rsidRPr="0057000A" w:rsidRDefault="0032583B" w:rsidP="0032583B">
            <w:pPr>
              <w:pStyle w:val="Subtitle"/>
              <w:rPr>
                <w:rFonts w:asciiTheme="majorHAnsi" w:hAnsiTheme="majorHAnsi" w:cstheme="majorHAnsi"/>
                <w:color w:val="FFFFFF" w:themeColor="background1"/>
              </w:rPr>
            </w:pPr>
            <w:r w:rsidRPr="0057000A">
              <w:rPr>
                <w:rFonts w:asciiTheme="majorHAnsi" w:hAnsiTheme="majorHAnsi" w:cstheme="majorHAnsi"/>
                <w:color w:val="FFFFFF" w:themeColor="background1"/>
              </w:rPr>
              <w:t>Sponsor</w:t>
            </w:r>
            <w:r w:rsidRPr="0057000A">
              <w:rPr>
                <w:rFonts w:asciiTheme="majorHAnsi" w:hAnsiTheme="majorHAnsi" w:cstheme="majorHAnsi"/>
                <w:color w:val="FFFFFF" w:themeColor="background1"/>
                <w:szCs w:val="40"/>
              </w:rPr>
              <w:t xml:space="preserve">: </w:t>
            </w:r>
            <w:r w:rsidR="0057000A" w:rsidRPr="0057000A">
              <w:rPr>
                <w:rFonts w:asciiTheme="majorHAnsi" w:hAnsiTheme="majorHAnsi" w:cstheme="majorHAnsi"/>
                <w:color w:val="FFFFFF" w:themeColor="background1"/>
                <w:szCs w:val="40"/>
              </w:rPr>
              <w:t>JACE Pharma Australia</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4135B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4135B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4135BA">
      <w:pPr>
        <w:pStyle w:val="ListBullet"/>
        <w:numPr>
          <w:ilvl w:val="0"/>
          <w:numId w:val="1"/>
        </w:numPr>
        <w:ind w:left="357" w:hanging="357"/>
      </w:pPr>
      <w:r>
        <w:t>The work of the TGA is based on applying scientific and clinical expertise to decision-</w:t>
      </w:r>
      <w:proofErr w:type="gramStart"/>
      <w:r>
        <w:t>making</w:t>
      </w:r>
      <w:proofErr w:type="gramEnd"/>
      <w:r>
        <w:t>, to ensure that the benefits to consumers outweigh any risks associated with the use of medicines and medical devices.</w:t>
      </w:r>
    </w:p>
    <w:p w:rsidR="008E7846" w:rsidRDefault="008E7846" w:rsidP="004135B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135BA">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D72C99">
      <w:pPr>
        <w:pStyle w:val="NonTOCHeading2"/>
      </w:pPr>
      <w:r>
        <w:t xml:space="preserve">About </w:t>
      </w:r>
      <w:proofErr w:type="spellStart"/>
      <w:r>
        <w:t>AusPARs</w:t>
      </w:r>
      <w:proofErr w:type="spellEnd"/>
    </w:p>
    <w:p w:rsidR="008E7846" w:rsidRDefault="008E7846" w:rsidP="004135BA">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rsidR="008E7846" w:rsidRDefault="008E7846" w:rsidP="004135BA">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4135BA">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4135BA">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rsidR="00B452CE" w:rsidRDefault="008E7846" w:rsidP="004135BA">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A3326">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62F1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3060213" w:history="1">
            <w:r w:rsidR="00A62F1E" w:rsidRPr="00BE7C4A">
              <w:rPr>
                <w:rStyle w:val="Hyperlink"/>
                <w:noProof/>
              </w:rPr>
              <w:t>Common abbreviations</w:t>
            </w:r>
            <w:r w:rsidR="00A62F1E">
              <w:rPr>
                <w:noProof/>
                <w:webHidden/>
              </w:rPr>
              <w:tab/>
            </w:r>
            <w:r w:rsidR="00A62F1E">
              <w:rPr>
                <w:noProof/>
                <w:webHidden/>
              </w:rPr>
              <w:fldChar w:fldCharType="begin"/>
            </w:r>
            <w:r w:rsidR="00A62F1E">
              <w:rPr>
                <w:noProof/>
                <w:webHidden/>
              </w:rPr>
              <w:instrText xml:space="preserve"> PAGEREF _Toc443060213 \h </w:instrText>
            </w:r>
            <w:r w:rsidR="00A62F1E">
              <w:rPr>
                <w:noProof/>
                <w:webHidden/>
              </w:rPr>
            </w:r>
            <w:r w:rsidR="00A62F1E">
              <w:rPr>
                <w:noProof/>
                <w:webHidden/>
              </w:rPr>
              <w:fldChar w:fldCharType="separate"/>
            </w:r>
            <w:r w:rsidR="00A62F1E">
              <w:rPr>
                <w:noProof/>
                <w:webHidden/>
              </w:rPr>
              <w:t>5</w:t>
            </w:r>
            <w:r w:rsidR="00A62F1E">
              <w:rPr>
                <w:noProof/>
                <w:webHidden/>
              </w:rPr>
              <w:fldChar w:fldCharType="end"/>
            </w:r>
          </w:hyperlink>
        </w:p>
        <w:p w:rsidR="00A62F1E" w:rsidRDefault="00A62F1E">
          <w:pPr>
            <w:pStyle w:val="TOC2"/>
            <w:rPr>
              <w:rFonts w:asciiTheme="minorHAnsi" w:eastAsiaTheme="minorEastAsia" w:hAnsiTheme="minorHAnsi" w:cstheme="minorBidi"/>
              <w:b w:val="0"/>
              <w:noProof/>
              <w:sz w:val="22"/>
              <w:lang w:eastAsia="en-AU"/>
            </w:rPr>
          </w:pPr>
          <w:hyperlink w:anchor="_Toc443060214" w:history="1">
            <w:r w:rsidRPr="00BE7C4A">
              <w:rPr>
                <w:rStyle w:val="Hyperlink"/>
                <w:noProof/>
              </w:rPr>
              <w:t>I. Introduction to product submission</w:t>
            </w:r>
            <w:r>
              <w:rPr>
                <w:noProof/>
                <w:webHidden/>
              </w:rPr>
              <w:tab/>
            </w:r>
            <w:r>
              <w:rPr>
                <w:noProof/>
                <w:webHidden/>
              </w:rPr>
              <w:fldChar w:fldCharType="begin"/>
            </w:r>
            <w:r>
              <w:rPr>
                <w:noProof/>
                <w:webHidden/>
              </w:rPr>
              <w:instrText xml:space="preserve"> PAGEREF _Toc443060214 \h </w:instrText>
            </w:r>
            <w:r>
              <w:rPr>
                <w:noProof/>
                <w:webHidden/>
              </w:rPr>
            </w:r>
            <w:r>
              <w:rPr>
                <w:noProof/>
                <w:webHidden/>
              </w:rPr>
              <w:fldChar w:fldCharType="separate"/>
            </w:r>
            <w:r>
              <w:rPr>
                <w:noProof/>
                <w:webHidden/>
              </w:rPr>
              <w:t>10</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15" w:history="1">
            <w:r w:rsidRPr="00BE7C4A">
              <w:rPr>
                <w:rStyle w:val="Hyperlink"/>
                <w:noProof/>
                <w:lang w:eastAsia="en-AU"/>
              </w:rPr>
              <w:t>Submission details</w:t>
            </w:r>
            <w:r>
              <w:rPr>
                <w:noProof/>
                <w:webHidden/>
              </w:rPr>
              <w:tab/>
            </w:r>
            <w:r>
              <w:rPr>
                <w:noProof/>
                <w:webHidden/>
              </w:rPr>
              <w:fldChar w:fldCharType="begin"/>
            </w:r>
            <w:r>
              <w:rPr>
                <w:noProof/>
                <w:webHidden/>
              </w:rPr>
              <w:instrText xml:space="preserve"> PAGEREF _Toc443060215 \h </w:instrText>
            </w:r>
            <w:r>
              <w:rPr>
                <w:noProof/>
                <w:webHidden/>
              </w:rPr>
            </w:r>
            <w:r>
              <w:rPr>
                <w:noProof/>
                <w:webHidden/>
              </w:rPr>
              <w:fldChar w:fldCharType="separate"/>
            </w:r>
            <w:r>
              <w:rPr>
                <w:noProof/>
                <w:webHidden/>
              </w:rPr>
              <w:t>10</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16" w:history="1">
            <w:r w:rsidRPr="00BE7C4A">
              <w:rPr>
                <w:rStyle w:val="Hyperlink"/>
                <w:noProof/>
              </w:rPr>
              <w:t>Product background</w:t>
            </w:r>
            <w:r>
              <w:rPr>
                <w:noProof/>
                <w:webHidden/>
              </w:rPr>
              <w:tab/>
            </w:r>
            <w:r>
              <w:rPr>
                <w:noProof/>
                <w:webHidden/>
              </w:rPr>
              <w:fldChar w:fldCharType="begin"/>
            </w:r>
            <w:r>
              <w:rPr>
                <w:noProof/>
                <w:webHidden/>
              </w:rPr>
              <w:instrText xml:space="preserve"> PAGEREF _Toc443060216 \h </w:instrText>
            </w:r>
            <w:r>
              <w:rPr>
                <w:noProof/>
                <w:webHidden/>
              </w:rPr>
            </w:r>
            <w:r>
              <w:rPr>
                <w:noProof/>
                <w:webHidden/>
              </w:rPr>
              <w:fldChar w:fldCharType="separate"/>
            </w:r>
            <w:r>
              <w:rPr>
                <w:noProof/>
                <w:webHidden/>
              </w:rPr>
              <w:t>11</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17" w:history="1">
            <w:r w:rsidRPr="00BE7C4A">
              <w:rPr>
                <w:rStyle w:val="Hyperlink"/>
                <w:noProof/>
              </w:rPr>
              <w:t>Regulatory status</w:t>
            </w:r>
            <w:r>
              <w:rPr>
                <w:noProof/>
                <w:webHidden/>
              </w:rPr>
              <w:tab/>
            </w:r>
            <w:r>
              <w:rPr>
                <w:noProof/>
                <w:webHidden/>
              </w:rPr>
              <w:fldChar w:fldCharType="begin"/>
            </w:r>
            <w:r>
              <w:rPr>
                <w:noProof/>
                <w:webHidden/>
              </w:rPr>
              <w:instrText xml:space="preserve"> PAGEREF _Toc443060217 \h </w:instrText>
            </w:r>
            <w:r>
              <w:rPr>
                <w:noProof/>
                <w:webHidden/>
              </w:rPr>
            </w:r>
            <w:r>
              <w:rPr>
                <w:noProof/>
                <w:webHidden/>
              </w:rPr>
              <w:fldChar w:fldCharType="separate"/>
            </w:r>
            <w:r>
              <w:rPr>
                <w:noProof/>
                <w:webHidden/>
              </w:rPr>
              <w:t>11</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18" w:history="1">
            <w:r w:rsidRPr="00BE7C4A">
              <w:rPr>
                <w:rStyle w:val="Hyperlink"/>
                <w:noProof/>
              </w:rPr>
              <w:t>Product Information</w:t>
            </w:r>
            <w:r>
              <w:rPr>
                <w:noProof/>
                <w:webHidden/>
              </w:rPr>
              <w:tab/>
            </w:r>
            <w:r>
              <w:rPr>
                <w:noProof/>
                <w:webHidden/>
              </w:rPr>
              <w:fldChar w:fldCharType="begin"/>
            </w:r>
            <w:r>
              <w:rPr>
                <w:noProof/>
                <w:webHidden/>
              </w:rPr>
              <w:instrText xml:space="preserve"> PAGEREF _Toc443060218 \h </w:instrText>
            </w:r>
            <w:r>
              <w:rPr>
                <w:noProof/>
                <w:webHidden/>
              </w:rPr>
            </w:r>
            <w:r>
              <w:rPr>
                <w:noProof/>
                <w:webHidden/>
              </w:rPr>
              <w:fldChar w:fldCharType="separate"/>
            </w:r>
            <w:r>
              <w:rPr>
                <w:noProof/>
                <w:webHidden/>
              </w:rPr>
              <w:t>12</w:t>
            </w:r>
            <w:r>
              <w:rPr>
                <w:noProof/>
                <w:webHidden/>
              </w:rPr>
              <w:fldChar w:fldCharType="end"/>
            </w:r>
          </w:hyperlink>
        </w:p>
        <w:p w:rsidR="00A62F1E" w:rsidRDefault="00A62F1E">
          <w:pPr>
            <w:pStyle w:val="TOC2"/>
            <w:rPr>
              <w:rFonts w:asciiTheme="minorHAnsi" w:eastAsiaTheme="minorEastAsia" w:hAnsiTheme="minorHAnsi" w:cstheme="minorBidi"/>
              <w:b w:val="0"/>
              <w:noProof/>
              <w:sz w:val="22"/>
              <w:lang w:eastAsia="en-AU"/>
            </w:rPr>
          </w:pPr>
          <w:hyperlink w:anchor="_Toc443060219" w:history="1">
            <w:r w:rsidRPr="00BE7C4A">
              <w:rPr>
                <w:rStyle w:val="Hyperlink"/>
                <w:noProof/>
              </w:rPr>
              <w:t>II. Quality findings</w:t>
            </w:r>
            <w:r>
              <w:rPr>
                <w:noProof/>
                <w:webHidden/>
              </w:rPr>
              <w:tab/>
            </w:r>
            <w:r>
              <w:rPr>
                <w:noProof/>
                <w:webHidden/>
              </w:rPr>
              <w:fldChar w:fldCharType="begin"/>
            </w:r>
            <w:r>
              <w:rPr>
                <w:noProof/>
                <w:webHidden/>
              </w:rPr>
              <w:instrText xml:space="preserve"> PAGEREF _Toc443060219 \h </w:instrText>
            </w:r>
            <w:r>
              <w:rPr>
                <w:noProof/>
                <w:webHidden/>
              </w:rPr>
            </w:r>
            <w:r>
              <w:rPr>
                <w:noProof/>
                <w:webHidden/>
              </w:rPr>
              <w:fldChar w:fldCharType="separate"/>
            </w:r>
            <w:r>
              <w:rPr>
                <w:noProof/>
                <w:webHidden/>
              </w:rPr>
              <w:t>13</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20" w:history="1">
            <w:r w:rsidRPr="00BE7C4A">
              <w:rPr>
                <w:rStyle w:val="Hyperlink"/>
                <w:noProof/>
              </w:rPr>
              <w:t>Introduction</w:t>
            </w:r>
            <w:r>
              <w:rPr>
                <w:noProof/>
                <w:webHidden/>
              </w:rPr>
              <w:tab/>
            </w:r>
            <w:r>
              <w:rPr>
                <w:noProof/>
                <w:webHidden/>
              </w:rPr>
              <w:fldChar w:fldCharType="begin"/>
            </w:r>
            <w:r>
              <w:rPr>
                <w:noProof/>
                <w:webHidden/>
              </w:rPr>
              <w:instrText xml:space="preserve"> PAGEREF _Toc443060220 \h </w:instrText>
            </w:r>
            <w:r>
              <w:rPr>
                <w:noProof/>
                <w:webHidden/>
              </w:rPr>
            </w:r>
            <w:r>
              <w:rPr>
                <w:noProof/>
                <w:webHidden/>
              </w:rPr>
              <w:fldChar w:fldCharType="separate"/>
            </w:r>
            <w:r>
              <w:rPr>
                <w:noProof/>
                <w:webHidden/>
              </w:rPr>
              <w:t>13</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21" w:history="1">
            <w:r w:rsidRPr="00BE7C4A">
              <w:rPr>
                <w:rStyle w:val="Hyperlink"/>
                <w:noProof/>
              </w:rPr>
              <w:t>Drug product</w:t>
            </w:r>
            <w:r>
              <w:rPr>
                <w:noProof/>
                <w:webHidden/>
              </w:rPr>
              <w:tab/>
            </w:r>
            <w:r>
              <w:rPr>
                <w:noProof/>
                <w:webHidden/>
              </w:rPr>
              <w:fldChar w:fldCharType="begin"/>
            </w:r>
            <w:r>
              <w:rPr>
                <w:noProof/>
                <w:webHidden/>
              </w:rPr>
              <w:instrText xml:space="preserve"> PAGEREF _Toc443060221 \h </w:instrText>
            </w:r>
            <w:r>
              <w:rPr>
                <w:noProof/>
                <w:webHidden/>
              </w:rPr>
            </w:r>
            <w:r>
              <w:rPr>
                <w:noProof/>
                <w:webHidden/>
              </w:rPr>
              <w:fldChar w:fldCharType="separate"/>
            </w:r>
            <w:r>
              <w:rPr>
                <w:noProof/>
                <w:webHidden/>
              </w:rPr>
              <w:t>14</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22" w:history="1">
            <w:r w:rsidRPr="00BE7C4A">
              <w:rPr>
                <w:rStyle w:val="Hyperlink"/>
                <w:noProof/>
              </w:rPr>
              <w:t>Quality summary and conclusions</w:t>
            </w:r>
            <w:r>
              <w:rPr>
                <w:noProof/>
                <w:webHidden/>
              </w:rPr>
              <w:tab/>
            </w:r>
            <w:r>
              <w:rPr>
                <w:noProof/>
                <w:webHidden/>
              </w:rPr>
              <w:fldChar w:fldCharType="begin"/>
            </w:r>
            <w:r>
              <w:rPr>
                <w:noProof/>
                <w:webHidden/>
              </w:rPr>
              <w:instrText xml:space="preserve"> PAGEREF _Toc443060222 \h </w:instrText>
            </w:r>
            <w:r>
              <w:rPr>
                <w:noProof/>
                <w:webHidden/>
              </w:rPr>
            </w:r>
            <w:r>
              <w:rPr>
                <w:noProof/>
                <w:webHidden/>
              </w:rPr>
              <w:fldChar w:fldCharType="separate"/>
            </w:r>
            <w:r>
              <w:rPr>
                <w:noProof/>
                <w:webHidden/>
              </w:rPr>
              <w:t>15</w:t>
            </w:r>
            <w:r>
              <w:rPr>
                <w:noProof/>
                <w:webHidden/>
              </w:rPr>
              <w:fldChar w:fldCharType="end"/>
            </w:r>
          </w:hyperlink>
        </w:p>
        <w:p w:rsidR="00A62F1E" w:rsidRDefault="00A62F1E">
          <w:pPr>
            <w:pStyle w:val="TOC2"/>
            <w:rPr>
              <w:rFonts w:asciiTheme="minorHAnsi" w:eastAsiaTheme="minorEastAsia" w:hAnsiTheme="minorHAnsi" w:cstheme="minorBidi"/>
              <w:b w:val="0"/>
              <w:noProof/>
              <w:sz w:val="22"/>
              <w:lang w:eastAsia="en-AU"/>
            </w:rPr>
          </w:pPr>
          <w:hyperlink w:anchor="_Toc443060223" w:history="1">
            <w:r w:rsidRPr="00BE7C4A">
              <w:rPr>
                <w:rStyle w:val="Hyperlink"/>
                <w:noProof/>
              </w:rPr>
              <w:t>III. Nonclinical findings</w:t>
            </w:r>
            <w:r>
              <w:rPr>
                <w:noProof/>
                <w:webHidden/>
              </w:rPr>
              <w:tab/>
            </w:r>
            <w:r>
              <w:rPr>
                <w:noProof/>
                <w:webHidden/>
              </w:rPr>
              <w:fldChar w:fldCharType="begin"/>
            </w:r>
            <w:r>
              <w:rPr>
                <w:noProof/>
                <w:webHidden/>
              </w:rPr>
              <w:instrText xml:space="preserve"> PAGEREF _Toc443060223 \h </w:instrText>
            </w:r>
            <w:r>
              <w:rPr>
                <w:noProof/>
                <w:webHidden/>
              </w:rPr>
            </w:r>
            <w:r>
              <w:rPr>
                <w:noProof/>
                <w:webHidden/>
              </w:rPr>
              <w:fldChar w:fldCharType="separate"/>
            </w:r>
            <w:r>
              <w:rPr>
                <w:noProof/>
                <w:webHidden/>
              </w:rPr>
              <w:t>15</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24" w:history="1">
            <w:r w:rsidRPr="00BE7C4A">
              <w:rPr>
                <w:rStyle w:val="Hyperlink"/>
                <w:noProof/>
              </w:rPr>
              <w:t>Introduction</w:t>
            </w:r>
            <w:r>
              <w:rPr>
                <w:noProof/>
                <w:webHidden/>
              </w:rPr>
              <w:tab/>
            </w:r>
            <w:r>
              <w:rPr>
                <w:noProof/>
                <w:webHidden/>
              </w:rPr>
              <w:fldChar w:fldCharType="begin"/>
            </w:r>
            <w:r>
              <w:rPr>
                <w:noProof/>
                <w:webHidden/>
              </w:rPr>
              <w:instrText xml:space="preserve"> PAGEREF _Toc443060224 \h </w:instrText>
            </w:r>
            <w:r>
              <w:rPr>
                <w:noProof/>
                <w:webHidden/>
              </w:rPr>
            </w:r>
            <w:r>
              <w:rPr>
                <w:noProof/>
                <w:webHidden/>
              </w:rPr>
              <w:fldChar w:fldCharType="separate"/>
            </w:r>
            <w:r>
              <w:rPr>
                <w:noProof/>
                <w:webHidden/>
              </w:rPr>
              <w:t>15</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25" w:history="1">
            <w:r w:rsidRPr="00BE7C4A">
              <w:rPr>
                <w:rStyle w:val="Hyperlink"/>
                <w:noProof/>
              </w:rPr>
              <w:t>Pharmacology</w:t>
            </w:r>
            <w:r>
              <w:rPr>
                <w:noProof/>
                <w:webHidden/>
              </w:rPr>
              <w:tab/>
            </w:r>
            <w:r>
              <w:rPr>
                <w:noProof/>
                <w:webHidden/>
              </w:rPr>
              <w:fldChar w:fldCharType="begin"/>
            </w:r>
            <w:r>
              <w:rPr>
                <w:noProof/>
                <w:webHidden/>
              </w:rPr>
              <w:instrText xml:space="preserve"> PAGEREF _Toc443060225 \h </w:instrText>
            </w:r>
            <w:r>
              <w:rPr>
                <w:noProof/>
                <w:webHidden/>
              </w:rPr>
            </w:r>
            <w:r>
              <w:rPr>
                <w:noProof/>
                <w:webHidden/>
              </w:rPr>
              <w:fldChar w:fldCharType="separate"/>
            </w:r>
            <w:r>
              <w:rPr>
                <w:noProof/>
                <w:webHidden/>
              </w:rPr>
              <w:t>15</w:t>
            </w:r>
            <w:r>
              <w:rPr>
                <w:noProof/>
                <w:webHidden/>
              </w:rPr>
              <w:fldChar w:fldCharType="end"/>
            </w:r>
          </w:hyperlink>
        </w:p>
        <w:p w:rsidR="00A62F1E" w:rsidRDefault="00A62F1E">
          <w:pPr>
            <w:pStyle w:val="TOC2"/>
            <w:rPr>
              <w:rFonts w:asciiTheme="minorHAnsi" w:eastAsiaTheme="minorEastAsia" w:hAnsiTheme="minorHAnsi" w:cstheme="minorBidi"/>
              <w:b w:val="0"/>
              <w:noProof/>
              <w:sz w:val="22"/>
              <w:lang w:eastAsia="en-AU"/>
            </w:rPr>
          </w:pPr>
          <w:hyperlink w:anchor="_Toc443060226" w:history="1">
            <w:r w:rsidRPr="00BE7C4A">
              <w:rPr>
                <w:rStyle w:val="Hyperlink"/>
                <w:noProof/>
              </w:rPr>
              <w:t>IV. Clinical findings</w:t>
            </w:r>
            <w:r>
              <w:rPr>
                <w:noProof/>
                <w:webHidden/>
              </w:rPr>
              <w:tab/>
            </w:r>
            <w:r>
              <w:rPr>
                <w:noProof/>
                <w:webHidden/>
              </w:rPr>
              <w:fldChar w:fldCharType="begin"/>
            </w:r>
            <w:r>
              <w:rPr>
                <w:noProof/>
                <w:webHidden/>
              </w:rPr>
              <w:instrText xml:space="preserve"> PAGEREF _Toc443060226 \h </w:instrText>
            </w:r>
            <w:r>
              <w:rPr>
                <w:noProof/>
                <w:webHidden/>
              </w:rPr>
            </w:r>
            <w:r>
              <w:rPr>
                <w:noProof/>
                <w:webHidden/>
              </w:rPr>
              <w:fldChar w:fldCharType="separate"/>
            </w:r>
            <w:r>
              <w:rPr>
                <w:noProof/>
                <w:webHidden/>
              </w:rPr>
              <w:t>20</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27" w:history="1">
            <w:r w:rsidRPr="00BE7C4A">
              <w:rPr>
                <w:rStyle w:val="Hyperlink"/>
                <w:noProof/>
              </w:rPr>
              <w:t>Introduction</w:t>
            </w:r>
            <w:r>
              <w:rPr>
                <w:noProof/>
                <w:webHidden/>
              </w:rPr>
              <w:tab/>
            </w:r>
            <w:r>
              <w:rPr>
                <w:noProof/>
                <w:webHidden/>
              </w:rPr>
              <w:fldChar w:fldCharType="begin"/>
            </w:r>
            <w:r>
              <w:rPr>
                <w:noProof/>
                <w:webHidden/>
              </w:rPr>
              <w:instrText xml:space="preserve"> PAGEREF _Toc443060227 \h </w:instrText>
            </w:r>
            <w:r>
              <w:rPr>
                <w:noProof/>
                <w:webHidden/>
              </w:rPr>
            </w:r>
            <w:r>
              <w:rPr>
                <w:noProof/>
                <w:webHidden/>
              </w:rPr>
              <w:fldChar w:fldCharType="separate"/>
            </w:r>
            <w:r>
              <w:rPr>
                <w:noProof/>
                <w:webHidden/>
              </w:rPr>
              <w:t>21</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28" w:history="1">
            <w:r w:rsidRPr="00BE7C4A">
              <w:rPr>
                <w:rStyle w:val="Hyperlink"/>
                <w:noProof/>
              </w:rPr>
              <w:t>Pharmacokinetics</w:t>
            </w:r>
            <w:r>
              <w:rPr>
                <w:noProof/>
                <w:webHidden/>
              </w:rPr>
              <w:tab/>
            </w:r>
            <w:r>
              <w:rPr>
                <w:noProof/>
                <w:webHidden/>
              </w:rPr>
              <w:fldChar w:fldCharType="begin"/>
            </w:r>
            <w:r>
              <w:rPr>
                <w:noProof/>
                <w:webHidden/>
              </w:rPr>
              <w:instrText xml:space="preserve"> PAGEREF _Toc443060228 \h </w:instrText>
            </w:r>
            <w:r>
              <w:rPr>
                <w:noProof/>
                <w:webHidden/>
              </w:rPr>
            </w:r>
            <w:r>
              <w:rPr>
                <w:noProof/>
                <w:webHidden/>
              </w:rPr>
              <w:fldChar w:fldCharType="separate"/>
            </w:r>
            <w:r>
              <w:rPr>
                <w:noProof/>
                <w:webHidden/>
              </w:rPr>
              <w:t>24</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29" w:history="1">
            <w:r w:rsidRPr="00BE7C4A">
              <w:rPr>
                <w:rStyle w:val="Hyperlink"/>
                <w:noProof/>
              </w:rPr>
              <w:t>Pharmacodynamics</w:t>
            </w:r>
            <w:r>
              <w:rPr>
                <w:noProof/>
                <w:webHidden/>
              </w:rPr>
              <w:tab/>
            </w:r>
            <w:r>
              <w:rPr>
                <w:noProof/>
                <w:webHidden/>
              </w:rPr>
              <w:fldChar w:fldCharType="begin"/>
            </w:r>
            <w:r>
              <w:rPr>
                <w:noProof/>
                <w:webHidden/>
              </w:rPr>
              <w:instrText xml:space="preserve"> PAGEREF _Toc443060229 \h </w:instrText>
            </w:r>
            <w:r>
              <w:rPr>
                <w:noProof/>
                <w:webHidden/>
              </w:rPr>
            </w:r>
            <w:r>
              <w:rPr>
                <w:noProof/>
                <w:webHidden/>
              </w:rPr>
              <w:fldChar w:fldCharType="separate"/>
            </w:r>
            <w:r>
              <w:rPr>
                <w:noProof/>
                <w:webHidden/>
              </w:rPr>
              <w:t>25</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30" w:history="1">
            <w:r w:rsidRPr="00BE7C4A">
              <w:rPr>
                <w:rStyle w:val="Hyperlink"/>
                <w:noProof/>
              </w:rPr>
              <w:t>Dosage selection for the pivotal studies</w:t>
            </w:r>
            <w:r>
              <w:rPr>
                <w:noProof/>
                <w:webHidden/>
              </w:rPr>
              <w:tab/>
            </w:r>
            <w:r>
              <w:rPr>
                <w:noProof/>
                <w:webHidden/>
              </w:rPr>
              <w:fldChar w:fldCharType="begin"/>
            </w:r>
            <w:r>
              <w:rPr>
                <w:noProof/>
                <w:webHidden/>
              </w:rPr>
              <w:instrText xml:space="preserve"> PAGEREF _Toc443060230 \h </w:instrText>
            </w:r>
            <w:r>
              <w:rPr>
                <w:noProof/>
                <w:webHidden/>
              </w:rPr>
            </w:r>
            <w:r>
              <w:rPr>
                <w:noProof/>
                <w:webHidden/>
              </w:rPr>
              <w:fldChar w:fldCharType="separate"/>
            </w:r>
            <w:r>
              <w:rPr>
                <w:noProof/>
                <w:webHidden/>
              </w:rPr>
              <w:t>26</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31" w:history="1">
            <w:r w:rsidRPr="00BE7C4A">
              <w:rPr>
                <w:rStyle w:val="Hyperlink"/>
                <w:noProof/>
              </w:rPr>
              <w:t>Efficacy</w:t>
            </w:r>
            <w:r>
              <w:rPr>
                <w:noProof/>
                <w:webHidden/>
              </w:rPr>
              <w:tab/>
            </w:r>
            <w:r>
              <w:rPr>
                <w:noProof/>
                <w:webHidden/>
              </w:rPr>
              <w:fldChar w:fldCharType="begin"/>
            </w:r>
            <w:r>
              <w:rPr>
                <w:noProof/>
                <w:webHidden/>
              </w:rPr>
              <w:instrText xml:space="preserve"> PAGEREF _Toc443060231 \h </w:instrText>
            </w:r>
            <w:r>
              <w:rPr>
                <w:noProof/>
                <w:webHidden/>
              </w:rPr>
            </w:r>
            <w:r>
              <w:rPr>
                <w:noProof/>
                <w:webHidden/>
              </w:rPr>
              <w:fldChar w:fldCharType="separate"/>
            </w:r>
            <w:r>
              <w:rPr>
                <w:noProof/>
                <w:webHidden/>
              </w:rPr>
              <w:t>26</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32" w:history="1">
            <w:r w:rsidRPr="00BE7C4A">
              <w:rPr>
                <w:rStyle w:val="Hyperlink"/>
                <w:noProof/>
              </w:rPr>
              <w:t>Safety</w:t>
            </w:r>
            <w:r>
              <w:rPr>
                <w:noProof/>
                <w:webHidden/>
              </w:rPr>
              <w:tab/>
            </w:r>
            <w:r>
              <w:rPr>
                <w:noProof/>
                <w:webHidden/>
              </w:rPr>
              <w:fldChar w:fldCharType="begin"/>
            </w:r>
            <w:r>
              <w:rPr>
                <w:noProof/>
                <w:webHidden/>
              </w:rPr>
              <w:instrText xml:space="preserve"> PAGEREF _Toc443060232 \h </w:instrText>
            </w:r>
            <w:r>
              <w:rPr>
                <w:noProof/>
                <w:webHidden/>
              </w:rPr>
            </w:r>
            <w:r>
              <w:rPr>
                <w:noProof/>
                <w:webHidden/>
              </w:rPr>
              <w:fldChar w:fldCharType="separate"/>
            </w:r>
            <w:r>
              <w:rPr>
                <w:noProof/>
                <w:webHidden/>
              </w:rPr>
              <w:t>28</w:t>
            </w:r>
            <w:r>
              <w:rPr>
                <w:noProof/>
                <w:webHidden/>
              </w:rPr>
              <w:fldChar w:fldCharType="end"/>
            </w:r>
          </w:hyperlink>
        </w:p>
        <w:p w:rsidR="00A62F1E" w:rsidRDefault="00A62F1E" w:rsidP="00A62F1E">
          <w:pPr>
            <w:pStyle w:val="TOC3"/>
            <w:rPr>
              <w:rFonts w:asciiTheme="minorHAnsi" w:eastAsiaTheme="minorEastAsia" w:hAnsiTheme="minorHAnsi" w:cstheme="minorBidi"/>
              <w:noProof/>
              <w:lang w:eastAsia="en-AU"/>
            </w:rPr>
          </w:pPr>
          <w:hyperlink w:anchor="_Toc443060233" w:history="1">
            <w:r w:rsidRPr="00BE7C4A">
              <w:rPr>
                <w:rStyle w:val="Hyperlink"/>
                <w:noProof/>
              </w:rPr>
              <w:t>First round benefit-risk assessment</w:t>
            </w:r>
            <w:r>
              <w:rPr>
                <w:noProof/>
                <w:webHidden/>
              </w:rPr>
              <w:tab/>
            </w:r>
            <w:r>
              <w:rPr>
                <w:noProof/>
                <w:webHidden/>
              </w:rPr>
              <w:fldChar w:fldCharType="begin"/>
            </w:r>
            <w:r>
              <w:rPr>
                <w:noProof/>
                <w:webHidden/>
              </w:rPr>
              <w:instrText xml:space="preserve"> PAGEREF _Toc443060233 \h </w:instrText>
            </w:r>
            <w:r>
              <w:rPr>
                <w:noProof/>
                <w:webHidden/>
              </w:rPr>
            </w:r>
            <w:r>
              <w:rPr>
                <w:noProof/>
                <w:webHidden/>
              </w:rPr>
              <w:fldChar w:fldCharType="separate"/>
            </w:r>
            <w:r>
              <w:rPr>
                <w:noProof/>
                <w:webHidden/>
              </w:rPr>
              <w:t>31</w:t>
            </w:r>
            <w:r>
              <w:rPr>
                <w:noProof/>
                <w:webHidden/>
              </w:rPr>
              <w:fldChar w:fldCharType="end"/>
            </w:r>
          </w:hyperlink>
        </w:p>
        <w:p w:rsidR="00A62F1E" w:rsidRDefault="00A62F1E" w:rsidP="00A62F1E">
          <w:pPr>
            <w:pStyle w:val="TOC3"/>
            <w:rPr>
              <w:rFonts w:asciiTheme="minorHAnsi" w:eastAsiaTheme="minorEastAsia" w:hAnsiTheme="minorHAnsi" w:cstheme="minorBidi"/>
              <w:noProof/>
              <w:lang w:eastAsia="en-AU"/>
            </w:rPr>
          </w:pPr>
          <w:hyperlink w:anchor="_Toc443060235" w:history="1">
            <w:r w:rsidRPr="00BE7C4A">
              <w:rPr>
                <w:rStyle w:val="Hyperlink"/>
                <w:noProof/>
              </w:rPr>
              <w:t>Clinical questions</w:t>
            </w:r>
            <w:r>
              <w:rPr>
                <w:noProof/>
                <w:webHidden/>
              </w:rPr>
              <w:tab/>
            </w:r>
            <w:r>
              <w:rPr>
                <w:noProof/>
                <w:webHidden/>
              </w:rPr>
              <w:fldChar w:fldCharType="begin"/>
            </w:r>
            <w:r>
              <w:rPr>
                <w:noProof/>
                <w:webHidden/>
              </w:rPr>
              <w:instrText xml:space="preserve"> PAGEREF _Toc443060235 \h </w:instrText>
            </w:r>
            <w:r>
              <w:rPr>
                <w:noProof/>
                <w:webHidden/>
              </w:rPr>
            </w:r>
            <w:r>
              <w:rPr>
                <w:noProof/>
                <w:webHidden/>
              </w:rPr>
              <w:fldChar w:fldCharType="separate"/>
            </w:r>
            <w:r>
              <w:rPr>
                <w:noProof/>
                <w:webHidden/>
              </w:rPr>
              <w:t>32</w:t>
            </w:r>
            <w:r>
              <w:rPr>
                <w:noProof/>
                <w:webHidden/>
              </w:rPr>
              <w:fldChar w:fldCharType="end"/>
            </w:r>
          </w:hyperlink>
        </w:p>
        <w:p w:rsidR="00A62F1E" w:rsidRDefault="00A62F1E">
          <w:pPr>
            <w:pStyle w:val="TOC2"/>
            <w:rPr>
              <w:rFonts w:asciiTheme="minorHAnsi" w:eastAsiaTheme="minorEastAsia" w:hAnsiTheme="minorHAnsi" w:cstheme="minorBidi"/>
              <w:b w:val="0"/>
              <w:noProof/>
              <w:sz w:val="22"/>
              <w:lang w:eastAsia="en-AU"/>
            </w:rPr>
          </w:pPr>
          <w:hyperlink w:anchor="_Toc443060237" w:history="1">
            <w:r w:rsidRPr="00BE7C4A">
              <w:rPr>
                <w:rStyle w:val="Hyperlink"/>
                <w:noProof/>
              </w:rPr>
              <w:t>V. Pharmacovigilance findings</w:t>
            </w:r>
            <w:r>
              <w:rPr>
                <w:noProof/>
                <w:webHidden/>
              </w:rPr>
              <w:tab/>
            </w:r>
            <w:r>
              <w:rPr>
                <w:noProof/>
                <w:webHidden/>
              </w:rPr>
              <w:fldChar w:fldCharType="begin"/>
            </w:r>
            <w:r>
              <w:rPr>
                <w:noProof/>
                <w:webHidden/>
              </w:rPr>
              <w:instrText xml:space="preserve"> PAGEREF _Toc443060237 \h </w:instrText>
            </w:r>
            <w:r>
              <w:rPr>
                <w:noProof/>
                <w:webHidden/>
              </w:rPr>
            </w:r>
            <w:r>
              <w:rPr>
                <w:noProof/>
                <w:webHidden/>
              </w:rPr>
              <w:fldChar w:fldCharType="separate"/>
            </w:r>
            <w:r>
              <w:rPr>
                <w:noProof/>
                <w:webHidden/>
              </w:rPr>
              <w:t>33</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38" w:history="1">
            <w:r w:rsidRPr="00BE7C4A">
              <w:rPr>
                <w:rStyle w:val="Hyperlink"/>
                <w:noProof/>
                <w:lang w:eastAsia="en-AU"/>
              </w:rPr>
              <w:t xml:space="preserve">Risk </w:t>
            </w:r>
            <w:r w:rsidRPr="00BE7C4A">
              <w:rPr>
                <w:rStyle w:val="Hyperlink"/>
                <w:noProof/>
              </w:rPr>
              <w:t>management</w:t>
            </w:r>
            <w:r w:rsidRPr="00BE7C4A">
              <w:rPr>
                <w:rStyle w:val="Hyperlink"/>
                <w:noProof/>
                <w:lang w:eastAsia="en-AU"/>
              </w:rPr>
              <w:t xml:space="preserve"> plan</w:t>
            </w:r>
            <w:r>
              <w:rPr>
                <w:noProof/>
                <w:webHidden/>
              </w:rPr>
              <w:tab/>
            </w:r>
            <w:r>
              <w:rPr>
                <w:noProof/>
                <w:webHidden/>
              </w:rPr>
              <w:fldChar w:fldCharType="begin"/>
            </w:r>
            <w:r>
              <w:rPr>
                <w:noProof/>
                <w:webHidden/>
              </w:rPr>
              <w:instrText xml:space="preserve"> PAGEREF _Toc443060238 \h </w:instrText>
            </w:r>
            <w:r>
              <w:rPr>
                <w:noProof/>
                <w:webHidden/>
              </w:rPr>
            </w:r>
            <w:r>
              <w:rPr>
                <w:noProof/>
                <w:webHidden/>
              </w:rPr>
              <w:fldChar w:fldCharType="separate"/>
            </w:r>
            <w:r>
              <w:rPr>
                <w:noProof/>
                <w:webHidden/>
              </w:rPr>
              <w:t>33</w:t>
            </w:r>
            <w:r>
              <w:rPr>
                <w:noProof/>
                <w:webHidden/>
              </w:rPr>
              <w:fldChar w:fldCharType="end"/>
            </w:r>
          </w:hyperlink>
        </w:p>
        <w:p w:rsidR="00A62F1E" w:rsidRDefault="00A62F1E">
          <w:pPr>
            <w:pStyle w:val="TOC2"/>
            <w:rPr>
              <w:rFonts w:asciiTheme="minorHAnsi" w:eastAsiaTheme="minorEastAsia" w:hAnsiTheme="minorHAnsi" w:cstheme="minorBidi"/>
              <w:b w:val="0"/>
              <w:noProof/>
              <w:sz w:val="22"/>
              <w:lang w:eastAsia="en-AU"/>
            </w:rPr>
          </w:pPr>
          <w:hyperlink w:anchor="_Toc443060239" w:history="1">
            <w:r w:rsidRPr="00BE7C4A">
              <w:rPr>
                <w:rStyle w:val="Hyperlink"/>
                <w:noProof/>
              </w:rPr>
              <w:t>VI. Overall conclusion and risk/benefit assessment</w:t>
            </w:r>
            <w:r>
              <w:rPr>
                <w:noProof/>
                <w:webHidden/>
              </w:rPr>
              <w:tab/>
            </w:r>
            <w:r>
              <w:rPr>
                <w:noProof/>
                <w:webHidden/>
              </w:rPr>
              <w:fldChar w:fldCharType="begin"/>
            </w:r>
            <w:r>
              <w:rPr>
                <w:noProof/>
                <w:webHidden/>
              </w:rPr>
              <w:instrText xml:space="preserve"> PAGEREF _Toc443060239 \h </w:instrText>
            </w:r>
            <w:r>
              <w:rPr>
                <w:noProof/>
                <w:webHidden/>
              </w:rPr>
            </w:r>
            <w:r>
              <w:rPr>
                <w:noProof/>
                <w:webHidden/>
              </w:rPr>
              <w:fldChar w:fldCharType="separate"/>
            </w:r>
            <w:r>
              <w:rPr>
                <w:noProof/>
                <w:webHidden/>
              </w:rPr>
              <w:t>38</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40" w:history="1">
            <w:r w:rsidRPr="00BE7C4A">
              <w:rPr>
                <w:rStyle w:val="Hyperlink"/>
                <w:noProof/>
              </w:rPr>
              <w:t>Quality</w:t>
            </w:r>
            <w:r>
              <w:rPr>
                <w:noProof/>
                <w:webHidden/>
              </w:rPr>
              <w:tab/>
            </w:r>
            <w:r>
              <w:rPr>
                <w:noProof/>
                <w:webHidden/>
              </w:rPr>
              <w:fldChar w:fldCharType="begin"/>
            </w:r>
            <w:r>
              <w:rPr>
                <w:noProof/>
                <w:webHidden/>
              </w:rPr>
              <w:instrText xml:space="preserve"> PAGEREF _Toc443060240 \h </w:instrText>
            </w:r>
            <w:r>
              <w:rPr>
                <w:noProof/>
                <w:webHidden/>
              </w:rPr>
            </w:r>
            <w:r>
              <w:rPr>
                <w:noProof/>
                <w:webHidden/>
              </w:rPr>
              <w:fldChar w:fldCharType="separate"/>
            </w:r>
            <w:r>
              <w:rPr>
                <w:noProof/>
                <w:webHidden/>
              </w:rPr>
              <w:t>38</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41" w:history="1">
            <w:r w:rsidRPr="00BE7C4A">
              <w:rPr>
                <w:rStyle w:val="Hyperlink"/>
                <w:noProof/>
              </w:rPr>
              <w:t>Nonclinical</w:t>
            </w:r>
            <w:r>
              <w:rPr>
                <w:noProof/>
                <w:webHidden/>
              </w:rPr>
              <w:tab/>
            </w:r>
            <w:r>
              <w:rPr>
                <w:noProof/>
                <w:webHidden/>
              </w:rPr>
              <w:fldChar w:fldCharType="begin"/>
            </w:r>
            <w:r>
              <w:rPr>
                <w:noProof/>
                <w:webHidden/>
              </w:rPr>
              <w:instrText xml:space="preserve"> PAGEREF _Toc443060241 \h </w:instrText>
            </w:r>
            <w:r>
              <w:rPr>
                <w:noProof/>
                <w:webHidden/>
              </w:rPr>
            </w:r>
            <w:r>
              <w:rPr>
                <w:noProof/>
                <w:webHidden/>
              </w:rPr>
              <w:fldChar w:fldCharType="separate"/>
            </w:r>
            <w:r>
              <w:rPr>
                <w:noProof/>
                <w:webHidden/>
              </w:rPr>
              <w:t>38</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42" w:history="1">
            <w:r w:rsidRPr="00BE7C4A">
              <w:rPr>
                <w:rStyle w:val="Hyperlink"/>
                <w:noProof/>
              </w:rPr>
              <w:t>Clinical</w:t>
            </w:r>
            <w:r>
              <w:rPr>
                <w:noProof/>
                <w:webHidden/>
              </w:rPr>
              <w:tab/>
            </w:r>
            <w:r>
              <w:rPr>
                <w:noProof/>
                <w:webHidden/>
              </w:rPr>
              <w:fldChar w:fldCharType="begin"/>
            </w:r>
            <w:r>
              <w:rPr>
                <w:noProof/>
                <w:webHidden/>
              </w:rPr>
              <w:instrText xml:space="preserve"> PAGEREF _Toc443060242 \h </w:instrText>
            </w:r>
            <w:r>
              <w:rPr>
                <w:noProof/>
                <w:webHidden/>
              </w:rPr>
            </w:r>
            <w:r>
              <w:rPr>
                <w:noProof/>
                <w:webHidden/>
              </w:rPr>
              <w:fldChar w:fldCharType="separate"/>
            </w:r>
            <w:r>
              <w:rPr>
                <w:noProof/>
                <w:webHidden/>
              </w:rPr>
              <w:t>39</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43" w:history="1">
            <w:r w:rsidRPr="00BE7C4A">
              <w:rPr>
                <w:rStyle w:val="Hyperlink"/>
                <w:noProof/>
              </w:rPr>
              <w:t>Risk-benefit analysis</w:t>
            </w:r>
            <w:r>
              <w:rPr>
                <w:noProof/>
                <w:webHidden/>
              </w:rPr>
              <w:tab/>
            </w:r>
            <w:r>
              <w:rPr>
                <w:noProof/>
                <w:webHidden/>
              </w:rPr>
              <w:fldChar w:fldCharType="begin"/>
            </w:r>
            <w:r>
              <w:rPr>
                <w:noProof/>
                <w:webHidden/>
              </w:rPr>
              <w:instrText xml:space="preserve"> PAGEREF _Toc443060243 \h </w:instrText>
            </w:r>
            <w:r>
              <w:rPr>
                <w:noProof/>
                <w:webHidden/>
              </w:rPr>
            </w:r>
            <w:r>
              <w:rPr>
                <w:noProof/>
                <w:webHidden/>
              </w:rPr>
              <w:fldChar w:fldCharType="separate"/>
            </w:r>
            <w:r>
              <w:rPr>
                <w:noProof/>
                <w:webHidden/>
              </w:rPr>
              <w:t>49</w:t>
            </w:r>
            <w:r>
              <w:rPr>
                <w:noProof/>
                <w:webHidden/>
              </w:rPr>
              <w:fldChar w:fldCharType="end"/>
            </w:r>
          </w:hyperlink>
        </w:p>
        <w:p w:rsidR="00A62F1E" w:rsidRDefault="00A62F1E">
          <w:pPr>
            <w:pStyle w:val="TOC3"/>
            <w:rPr>
              <w:rFonts w:asciiTheme="minorHAnsi" w:eastAsiaTheme="minorEastAsia" w:hAnsiTheme="minorHAnsi" w:cstheme="minorBidi"/>
              <w:noProof/>
              <w:lang w:eastAsia="en-AU"/>
            </w:rPr>
          </w:pPr>
          <w:hyperlink w:anchor="_Toc443060244" w:history="1">
            <w:r w:rsidRPr="00BE7C4A">
              <w:rPr>
                <w:rStyle w:val="Hyperlink"/>
                <w:noProof/>
              </w:rPr>
              <w:t>Outcome</w:t>
            </w:r>
            <w:r>
              <w:rPr>
                <w:noProof/>
                <w:webHidden/>
              </w:rPr>
              <w:tab/>
            </w:r>
            <w:r>
              <w:rPr>
                <w:noProof/>
                <w:webHidden/>
              </w:rPr>
              <w:fldChar w:fldCharType="begin"/>
            </w:r>
            <w:r>
              <w:rPr>
                <w:noProof/>
                <w:webHidden/>
              </w:rPr>
              <w:instrText xml:space="preserve"> PAGEREF _Toc443060244 \h </w:instrText>
            </w:r>
            <w:r>
              <w:rPr>
                <w:noProof/>
                <w:webHidden/>
              </w:rPr>
            </w:r>
            <w:r>
              <w:rPr>
                <w:noProof/>
                <w:webHidden/>
              </w:rPr>
              <w:fldChar w:fldCharType="separate"/>
            </w:r>
            <w:r>
              <w:rPr>
                <w:noProof/>
                <w:webHidden/>
              </w:rPr>
              <w:t>57</w:t>
            </w:r>
            <w:r>
              <w:rPr>
                <w:noProof/>
                <w:webHidden/>
              </w:rPr>
              <w:fldChar w:fldCharType="end"/>
            </w:r>
          </w:hyperlink>
        </w:p>
        <w:p w:rsidR="00A62F1E" w:rsidRDefault="00A62F1E">
          <w:pPr>
            <w:pStyle w:val="TOC2"/>
            <w:rPr>
              <w:rFonts w:asciiTheme="minorHAnsi" w:eastAsiaTheme="minorEastAsia" w:hAnsiTheme="minorHAnsi" w:cstheme="minorBidi"/>
              <w:b w:val="0"/>
              <w:noProof/>
              <w:sz w:val="22"/>
              <w:lang w:eastAsia="en-AU"/>
            </w:rPr>
          </w:pPr>
          <w:hyperlink w:anchor="_Toc443060245" w:history="1">
            <w:r w:rsidRPr="00BE7C4A">
              <w:rPr>
                <w:rStyle w:val="Hyperlink"/>
                <w:noProof/>
              </w:rPr>
              <w:t>Attachment 1. Product Information</w:t>
            </w:r>
            <w:r>
              <w:rPr>
                <w:noProof/>
                <w:webHidden/>
              </w:rPr>
              <w:tab/>
            </w:r>
            <w:r>
              <w:rPr>
                <w:noProof/>
                <w:webHidden/>
              </w:rPr>
              <w:fldChar w:fldCharType="begin"/>
            </w:r>
            <w:r>
              <w:rPr>
                <w:noProof/>
                <w:webHidden/>
              </w:rPr>
              <w:instrText xml:space="preserve"> PAGEREF _Toc443060245 \h </w:instrText>
            </w:r>
            <w:r>
              <w:rPr>
                <w:noProof/>
                <w:webHidden/>
              </w:rPr>
            </w:r>
            <w:r>
              <w:rPr>
                <w:noProof/>
                <w:webHidden/>
              </w:rPr>
              <w:fldChar w:fldCharType="separate"/>
            </w:r>
            <w:r>
              <w:rPr>
                <w:noProof/>
                <w:webHidden/>
              </w:rPr>
              <w:t>57</w:t>
            </w:r>
            <w:r>
              <w:rPr>
                <w:noProof/>
                <w:webHidden/>
              </w:rPr>
              <w:fldChar w:fldCharType="end"/>
            </w:r>
          </w:hyperlink>
        </w:p>
        <w:p w:rsidR="00A62F1E" w:rsidRDefault="00A62F1E">
          <w:pPr>
            <w:pStyle w:val="TOC2"/>
            <w:rPr>
              <w:rFonts w:asciiTheme="minorHAnsi" w:eastAsiaTheme="minorEastAsia" w:hAnsiTheme="minorHAnsi" w:cstheme="minorBidi"/>
              <w:b w:val="0"/>
              <w:noProof/>
              <w:sz w:val="22"/>
              <w:lang w:eastAsia="en-AU"/>
            </w:rPr>
          </w:pPr>
          <w:hyperlink w:anchor="_Toc443060246" w:history="1">
            <w:r w:rsidRPr="00BE7C4A">
              <w:rPr>
                <w:rStyle w:val="Hyperlink"/>
                <w:noProof/>
              </w:rPr>
              <w:t>Attachment</w:t>
            </w:r>
            <w:r w:rsidRPr="00BE7C4A">
              <w:rPr>
                <w:rStyle w:val="Hyperlink"/>
                <w:noProof/>
                <w:lang w:eastAsia="en-AU"/>
              </w:rPr>
              <w:t xml:space="preserve"> 2. Extract from the Clinical Evaluation Report</w:t>
            </w:r>
            <w:r>
              <w:rPr>
                <w:noProof/>
                <w:webHidden/>
              </w:rPr>
              <w:tab/>
            </w:r>
            <w:r>
              <w:rPr>
                <w:noProof/>
                <w:webHidden/>
              </w:rPr>
              <w:fldChar w:fldCharType="begin"/>
            </w:r>
            <w:r>
              <w:rPr>
                <w:noProof/>
                <w:webHidden/>
              </w:rPr>
              <w:instrText xml:space="preserve"> PAGEREF _Toc443060246 \h </w:instrText>
            </w:r>
            <w:r>
              <w:rPr>
                <w:noProof/>
                <w:webHidden/>
              </w:rPr>
            </w:r>
            <w:r>
              <w:rPr>
                <w:noProof/>
                <w:webHidden/>
              </w:rPr>
              <w:fldChar w:fldCharType="separate"/>
            </w:r>
            <w:r>
              <w:rPr>
                <w:noProof/>
                <w:webHidden/>
              </w:rPr>
              <w:t>57</w:t>
            </w:r>
            <w:r>
              <w:rPr>
                <w:noProof/>
                <w:webHidden/>
              </w:rPr>
              <w:fldChar w:fldCharType="end"/>
            </w:r>
          </w:hyperlink>
        </w:p>
        <w:p w:rsidR="003A7F6C" w:rsidRPr="00B811C6" w:rsidRDefault="00DB6124" w:rsidP="00B811C6">
          <w:pPr>
            <w:pStyle w:val="TOC2"/>
          </w:pPr>
          <w:r>
            <w:fldChar w:fldCharType="end"/>
          </w:r>
        </w:p>
      </w:sdtContent>
    </w:sdt>
    <w:bookmarkStart w:id="0" w:name="_Toc314842482" w:displacedByCustomXml="prev"/>
    <w:p w:rsidR="00FD119B" w:rsidRDefault="00FD119B" w:rsidP="006A3326">
      <w:r>
        <w:br w:type="page"/>
      </w:r>
      <w:bookmarkStart w:id="1" w:name="_GoBack"/>
    </w:p>
    <w:p w:rsidR="00FD119B" w:rsidRPr="00FD119B" w:rsidRDefault="00441C3F" w:rsidP="004F0C4A">
      <w:pPr>
        <w:pStyle w:val="Heading2"/>
      </w:pPr>
      <w:bookmarkStart w:id="2" w:name="_Toc351716269"/>
      <w:bookmarkStart w:id="3" w:name="_Toc351718881"/>
      <w:bookmarkStart w:id="4" w:name="_Toc355338616"/>
      <w:bookmarkStart w:id="5" w:name="_Toc356306144"/>
      <w:bookmarkStart w:id="6" w:name="_Toc443060213"/>
      <w:bookmarkEnd w:id="1"/>
      <w:r>
        <w:lastRenderedPageBreak/>
        <w:t>Common</w:t>
      </w:r>
      <w:r w:rsidR="00FD119B" w:rsidRPr="00FD119B">
        <w:t xml:space="preserve"> abbreviations</w:t>
      </w:r>
      <w:bookmarkEnd w:id="2"/>
      <w:bookmarkEnd w:id="3"/>
      <w:bookmarkEnd w:id="4"/>
      <w:bookmarkEnd w:id="5"/>
      <w:bookmarkEnd w:id="6"/>
    </w:p>
    <w:tbl>
      <w:tblPr>
        <w:tblStyle w:val="TableTGAblue"/>
        <w:tblW w:w="9039" w:type="dxa"/>
        <w:tblLook w:val="04A0" w:firstRow="1" w:lastRow="0" w:firstColumn="1" w:lastColumn="0" w:noHBand="0" w:noVBand="1"/>
      </w:tblPr>
      <w:tblGrid>
        <w:gridCol w:w="1890"/>
        <w:gridCol w:w="7149"/>
      </w:tblGrid>
      <w:tr w:rsidR="00FD119B" w:rsidRPr="00FD119B" w:rsidTr="006A3326">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6A3326">
            <w:pPr>
              <w:rPr>
                <w:lang w:eastAsia="en-US"/>
              </w:rPr>
            </w:pPr>
            <w:r w:rsidRPr="00FD119B">
              <w:rPr>
                <w:lang w:eastAsia="en-US"/>
              </w:rPr>
              <w:t>Abbreviation</w:t>
            </w:r>
          </w:p>
        </w:tc>
        <w:tc>
          <w:tcPr>
            <w:tcW w:w="7230" w:type="dxa"/>
          </w:tcPr>
          <w:p w:rsidR="00FD119B" w:rsidRPr="00FD119B" w:rsidRDefault="00FD119B" w:rsidP="006A3326">
            <w:pPr>
              <w:rPr>
                <w:lang w:eastAsia="en-US"/>
              </w:rPr>
            </w:pPr>
            <w:r w:rsidRPr="00FD119B">
              <w:rPr>
                <w:lang w:eastAsia="en-US"/>
              </w:rPr>
              <w:t>Meaning</w:t>
            </w:r>
          </w:p>
        </w:tc>
      </w:tr>
      <w:tr w:rsidR="0053664C" w:rsidRPr="00FD119B" w:rsidTr="006A3326">
        <w:tc>
          <w:tcPr>
            <w:tcW w:w="1809" w:type="dxa"/>
          </w:tcPr>
          <w:p w:rsidR="0053664C" w:rsidRPr="004A26C7" w:rsidRDefault="0053664C" w:rsidP="006A3326">
            <w:r w:rsidRPr="004A26C7">
              <w:t>ALT</w:t>
            </w:r>
          </w:p>
        </w:tc>
        <w:tc>
          <w:tcPr>
            <w:tcW w:w="7230" w:type="dxa"/>
          </w:tcPr>
          <w:p w:rsidR="0053664C" w:rsidRPr="004A26C7" w:rsidRDefault="0053664C" w:rsidP="006A3326">
            <w:r w:rsidRPr="004A26C7">
              <w:t xml:space="preserve">Alanine aminotransferase </w:t>
            </w:r>
          </w:p>
        </w:tc>
      </w:tr>
      <w:tr w:rsidR="0053664C" w:rsidRPr="00FD119B" w:rsidTr="006A3326">
        <w:tc>
          <w:tcPr>
            <w:tcW w:w="1809" w:type="dxa"/>
          </w:tcPr>
          <w:p w:rsidR="0053664C" w:rsidRPr="004A26C7" w:rsidRDefault="0053664C" w:rsidP="006A3326">
            <w:r w:rsidRPr="004A26C7">
              <w:t>AST</w:t>
            </w:r>
          </w:p>
        </w:tc>
        <w:tc>
          <w:tcPr>
            <w:tcW w:w="7230" w:type="dxa"/>
          </w:tcPr>
          <w:p w:rsidR="0053664C" w:rsidRPr="004A26C7" w:rsidRDefault="0053664C" w:rsidP="006A3326">
            <w:r w:rsidRPr="004A26C7">
              <w:t>Aspartate aminotransferase</w:t>
            </w:r>
          </w:p>
        </w:tc>
      </w:tr>
      <w:tr w:rsidR="0053664C" w:rsidRPr="00FD119B" w:rsidTr="006A3326">
        <w:tc>
          <w:tcPr>
            <w:tcW w:w="1809" w:type="dxa"/>
          </w:tcPr>
          <w:p w:rsidR="0053664C" w:rsidRPr="004A26C7" w:rsidRDefault="0053664C" w:rsidP="006A3326">
            <w:r w:rsidRPr="004A26C7">
              <w:t>AE</w:t>
            </w:r>
          </w:p>
        </w:tc>
        <w:tc>
          <w:tcPr>
            <w:tcW w:w="7230" w:type="dxa"/>
          </w:tcPr>
          <w:p w:rsidR="0053664C" w:rsidRPr="004A26C7" w:rsidRDefault="0053664C" w:rsidP="006A3326">
            <w:r w:rsidRPr="004A26C7">
              <w:t>Adverse event</w:t>
            </w:r>
          </w:p>
        </w:tc>
      </w:tr>
      <w:tr w:rsidR="0053664C" w:rsidRPr="00FD119B" w:rsidTr="006A3326">
        <w:tc>
          <w:tcPr>
            <w:tcW w:w="1809" w:type="dxa"/>
          </w:tcPr>
          <w:p w:rsidR="0053664C" w:rsidRPr="004A26C7" w:rsidRDefault="0053664C" w:rsidP="006A3326">
            <w:r w:rsidRPr="004A26C7">
              <w:t>ADME</w:t>
            </w:r>
          </w:p>
        </w:tc>
        <w:tc>
          <w:tcPr>
            <w:tcW w:w="7230" w:type="dxa"/>
          </w:tcPr>
          <w:p w:rsidR="0053664C" w:rsidRPr="004A26C7" w:rsidRDefault="0053664C" w:rsidP="006A3326">
            <w:r w:rsidRPr="004A26C7">
              <w:t>Absorption, distribution, metabolism and excretion</w:t>
            </w:r>
          </w:p>
        </w:tc>
      </w:tr>
      <w:tr w:rsidR="0053664C" w:rsidRPr="00FD119B" w:rsidTr="006A3326">
        <w:tc>
          <w:tcPr>
            <w:tcW w:w="1809" w:type="dxa"/>
          </w:tcPr>
          <w:p w:rsidR="0053664C" w:rsidRPr="004A26C7" w:rsidRDefault="0053664C" w:rsidP="006A3326">
            <w:r w:rsidRPr="004A26C7">
              <w:t>ADR</w:t>
            </w:r>
          </w:p>
        </w:tc>
        <w:tc>
          <w:tcPr>
            <w:tcW w:w="7230" w:type="dxa"/>
          </w:tcPr>
          <w:p w:rsidR="0053664C" w:rsidRPr="004A26C7" w:rsidRDefault="0053664C" w:rsidP="006A3326">
            <w:r w:rsidRPr="004A26C7">
              <w:t>Adverse drug reaction</w:t>
            </w:r>
          </w:p>
        </w:tc>
      </w:tr>
      <w:tr w:rsidR="0053664C" w:rsidRPr="00FD119B" w:rsidTr="006A3326">
        <w:tc>
          <w:tcPr>
            <w:tcW w:w="1809" w:type="dxa"/>
          </w:tcPr>
          <w:p w:rsidR="0053664C" w:rsidRPr="004A26C7" w:rsidRDefault="0053664C" w:rsidP="006A3326">
            <w:r w:rsidRPr="004A26C7">
              <w:t>AIDS</w:t>
            </w:r>
          </w:p>
        </w:tc>
        <w:tc>
          <w:tcPr>
            <w:tcW w:w="7230" w:type="dxa"/>
          </w:tcPr>
          <w:p w:rsidR="0053664C" w:rsidRPr="004A26C7" w:rsidRDefault="0053664C" w:rsidP="006A3326">
            <w:r w:rsidRPr="004A26C7">
              <w:t xml:space="preserve">Acquired immunodeficiency syndrome </w:t>
            </w:r>
          </w:p>
        </w:tc>
      </w:tr>
      <w:tr w:rsidR="0053664C" w:rsidRPr="00FD119B" w:rsidTr="006A3326">
        <w:tc>
          <w:tcPr>
            <w:tcW w:w="1809" w:type="dxa"/>
          </w:tcPr>
          <w:p w:rsidR="0053664C" w:rsidRPr="004A26C7" w:rsidRDefault="0053664C" w:rsidP="006A3326">
            <w:r w:rsidRPr="004A26C7">
              <w:t>AM</w:t>
            </w:r>
          </w:p>
        </w:tc>
        <w:tc>
          <w:tcPr>
            <w:tcW w:w="7230" w:type="dxa"/>
          </w:tcPr>
          <w:p w:rsidR="0053664C" w:rsidRPr="004A26C7" w:rsidRDefault="0053664C" w:rsidP="006A3326">
            <w:pPr>
              <w:rPr>
                <w:bCs/>
              </w:rPr>
            </w:pPr>
            <w:r w:rsidRPr="004A26C7">
              <w:t xml:space="preserve">Alveolar macrophages </w:t>
            </w:r>
          </w:p>
        </w:tc>
      </w:tr>
      <w:tr w:rsidR="0053664C" w:rsidRPr="00FD119B" w:rsidTr="006A3326">
        <w:tc>
          <w:tcPr>
            <w:tcW w:w="1809" w:type="dxa"/>
          </w:tcPr>
          <w:p w:rsidR="0053664C" w:rsidRPr="004A26C7" w:rsidRDefault="0053664C" w:rsidP="006A3326">
            <w:r w:rsidRPr="004A26C7">
              <w:t>ANC</w:t>
            </w:r>
          </w:p>
        </w:tc>
        <w:tc>
          <w:tcPr>
            <w:tcW w:w="7230" w:type="dxa"/>
          </w:tcPr>
          <w:p w:rsidR="0053664C" w:rsidRPr="004A26C7" w:rsidRDefault="0053664C" w:rsidP="006A3326">
            <w:pPr>
              <w:rPr>
                <w:bCs/>
              </w:rPr>
            </w:pPr>
            <w:r w:rsidRPr="004A26C7">
              <w:rPr>
                <w:bCs/>
              </w:rPr>
              <w:t>Absolute neutrophil count</w:t>
            </w:r>
          </w:p>
        </w:tc>
      </w:tr>
      <w:tr w:rsidR="0053664C" w:rsidRPr="00FD119B" w:rsidTr="006A3326">
        <w:tc>
          <w:tcPr>
            <w:tcW w:w="1809" w:type="dxa"/>
          </w:tcPr>
          <w:p w:rsidR="0053664C" w:rsidRPr="004A26C7" w:rsidRDefault="0053664C" w:rsidP="006A3326">
            <w:r w:rsidRPr="004A26C7">
              <w:t>ARF</w:t>
            </w:r>
          </w:p>
        </w:tc>
        <w:tc>
          <w:tcPr>
            <w:tcW w:w="7230" w:type="dxa"/>
          </w:tcPr>
          <w:p w:rsidR="0053664C" w:rsidRPr="004A26C7" w:rsidRDefault="0053664C" w:rsidP="006A3326">
            <w:pPr>
              <w:rPr>
                <w:bCs/>
              </w:rPr>
            </w:pPr>
            <w:r w:rsidRPr="004A26C7">
              <w:t>Acute renal failure</w:t>
            </w:r>
          </w:p>
        </w:tc>
      </w:tr>
      <w:tr w:rsidR="0053664C" w:rsidRPr="00FD119B" w:rsidTr="006A3326">
        <w:tc>
          <w:tcPr>
            <w:tcW w:w="1809" w:type="dxa"/>
          </w:tcPr>
          <w:p w:rsidR="0053664C" w:rsidRPr="004A26C7" w:rsidRDefault="0053664C" w:rsidP="006A3326">
            <w:r w:rsidRPr="004A26C7">
              <w:t>APACHE II</w:t>
            </w:r>
          </w:p>
        </w:tc>
        <w:tc>
          <w:tcPr>
            <w:tcW w:w="7230" w:type="dxa"/>
          </w:tcPr>
          <w:p w:rsidR="0053664C" w:rsidRPr="004A26C7" w:rsidRDefault="0053664C" w:rsidP="006A3326">
            <w:pPr>
              <w:rPr>
                <w:bCs/>
              </w:rPr>
            </w:pPr>
            <w:r w:rsidRPr="004A26C7">
              <w:rPr>
                <w:bCs/>
              </w:rPr>
              <w:t>Acute Physiology Score and Chronic Health Evaluation II</w:t>
            </w:r>
          </w:p>
        </w:tc>
      </w:tr>
      <w:tr w:rsidR="0053664C" w:rsidRPr="00FD119B" w:rsidTr="006A3326">
        <w:tc>
          <w:tcPr>
            <w:tcW w:w="1809" w:type="dxa"/>
          </w:tcPr>
          <w:p w:rsidR="0053664C" w:rsidRPr="004A26C7" w:rsidRDefault="0053664C" w:rsidP="006A3326">
            <w:r w:rsidRPr="004A26C7">
              <w:t>AUC</w:t>
            </w:r>
          </w:p>
        </w:tc>
        <w:tc>
          <w:tcPr>
            <w:tcW w:w="7230" w:type="dxa"/>
          </w:tcPr>
          <w:p w:rsidR="0053664C" w:rsidRPr="004A26C7" w:rsidRDefault="0053664C" w:rsidP="006A3326">
            <w:r w:rsidRPr="004A26C7">
              <w:rPr>
                <w:bCs/>
              </w:rPr>
              <w:t xml:space="preserve">Area under the plasma concentration−time curve </w:t>
            </w:r>
          </w:p>
        </w:tc>
      </w:tr>
      <w:tr w:rsidR="0053664C" w:rsidRPr="00FD119B" w:rsidTr="006A3326">
        <w:tc>
          <w:tcPr>
            <w:tcW w:w="1809" w:type="dxa"/>
          </w:tcPr>
          <w:p w:rsidR="0053664C" w:rsidRPr="004A26C7" w:rsidRDefault="0053664C" w:rsidP="006A3326">
            <w:r w:rsidRPr="004A26C7">
              <w:t>AUC</w:t>
            </w:r>
            <w:r w:rsidRPr="004A26C7">
              <w:rPr>
                <w:vertAlign w:val="subscript"/>
              </w:rPr>
              <w:t>0–</w:t>
            </w:r>
            <w:r w:rsidRPr="004A26C7">
              <w:rPr>
                <w:rFonts w:cs="Symbol"/>
                <w:vertAlign w:val="subscript"/>
              </w:rPr>
              <w:t>∞</w:t>
            </w:r>
          </w:p>
        </w:tc>
        <w:tc>
          <w:tcPr>
            <w:tcW w:w="7230" w:type="dxa"/>
          </w:tcPr>
          <w:p w:rsidR="0053664C" w:rsidRPr="004A26C7" w:rsidRDefault="0053664C" w:rsidP="006A3326">
            <w:r w:rsidRPr="004A26C7">
              <w:t>Area under the plasma concentration-time curve from time zero to infinity</w:t>
            </w:r>
          </w:p>
        </w:tc>
      </w:tr>
      <w:tr w:rsidR="0053664C" w:rsidRPr="00FD119B" w:rsidTr="006A3326">
        <w:tc>
          <w:tcPr>
            <w:tcW w:w="1809" w:type="dxa"/>
          </w:tcPr>
          <w:p w:rsidR="0053664C" w:rsidRPr="004A26C7" w:rsidRDefault="0053664C" w:rsidP="006A3326">
            <w:r w:rsidRPr="004A26C7">
              <w:t>AUC</w:t>
            </w:r>
            <w:r w:rsidRPr="004A26C7">
              <w:rPr>
                <w:vertAlign w:val="subscript"/>
              </w:rPr>
              <w:t>0-8h</w:t>
            </w:r>
          </w:p>
        </w:tc>
        <w:tc>
          <w:tcPr>
            <w:tcW w:w="7230" w:type="dxa"/>
          </w:tcPr>
          <w:p w:rsidR="0053664C" w:rsidRPr="004A26C7" w:rsidRDefault="0053664C" w:rsidP="006A3326">
            <w:r w:rsidRPr="004A26C7">
              <w:t xml:space="preserve">Area under the plasma concentration-time curve over the time interval 0 to 8 </w:t>
            </w:r>
            <w:r w:rsidR="00712FCD">
              <w:t>h</w:t>
            </w:r>
          </w:p>
        </w:tc>
      </w:tr>
      <w:tr w:rsidR="0053664C" w:rsidRPr="00FD119B" w:rsidTr="006A3326">
        <w:tc>
          <w:tcPr>
            <w:tcW w:w="1809" w:type="dxa"/>
          </w:tcPr>
          <w:p w:rsidR="0053664C" w:rsidRPr="004A26C7" w:rsidRDefault="0053664C" w:rsidP="006A3326">
            <w:r w:rsidRPr="004A26C7">
              <w:t>AUC</w:t>
            </w:r>
            <w:r w:rsidRPr="004A26C7">
              <w:rPr>
                <w:vertAlign w:val="subscript"/>
              </w:rPr>
              <w:t>ss24h</w:t>
            </w:r>
          </w:p>
        </w:tc>
        <w:tc>
          <w:tcPr>
            <w:tcW w:w="7230" w:type="dxa"/>
          </w:tcPr>
          <w:p w:rsidR="0053664C" w:rsidRPr="004A26C7" w:rsidRDefault="0053664C" w:rsidP="006A3326">
            <w:r w:rsidRPr="004A26C7">
              <w:t>AUC over a 24</w:t>
            </w:r>
            <w:r>
              <w:t xml:space="preserve"> hr</w:t>
            </w:r>
            <w:r w:rsidRPr="004A26C7">
              <w:t xml:space="preserve"> period at steady state</w:t>
            </w:r>
          </w:p>
        </w:tc>
      </w:tr>
      <w:tr w:rsidR="0053664C" w:rsidRPr="00FD119B" w:rsidTr="006A3326">
        <w:tc>
          <w:tcPr>
            <w:tcW w:w="1809" w:type="dxa"/>
          </w:tcPr>
          <w:p w:rsidR="0053664C" w:rsidRPr="004A26C7" w:rsidRDefault="0053664C" w:rsidP="006A3326">
            <w:r w:rsidRPr="004A26C7">
              <w:rPr>
                <w:rFonts w:ascii="Times New Roman" w:hAnsi="Times New Roman"/>
                <w:color w:val="000000"/>
              </w:rPr>
              <w:t>AUIC</w:t>
            </w:r>
          </w:p>
        </w:tc>
        <w:tc>
          <w:tcPr>
            <w:tcW w:w="7230" w:type="dxa"/>
          </w:tcPr>
          <w:p w:rsidR="0053664C" w:rsidRPr="004A26C7" w:rsidRDefault="0053664C" w:rsidP="006A3326">
            <w:r w:rsidRPr="004A26C7">
              <w:rPr>
                <w:rFonts w:ascii="Times New Roman" w:hAnsi="Times New Roman"/>
                <w:color w:val="000000"/>
              </w:rPr>
              <w:t xml:space="preserve">Area under the inhibition curve </w:t>
            </w:r>
          </w:p>
        </w:tc>
      </w:tr>
      <w:tr w:rsidR="0053664C" w:rsidRPr="00FD119B" w:rsidTr="006A3326">
        <w:tc>
          <w:tcPr>
            <w:tcW w:w="1809" w:type="dxa"/>
          </w:tcPr>
          <w:p w:rsidR="0053664C" w:rsidRPr="004A26C7" w:rsidRDefault="0053664C" w:rsidP="006A3326">
            <w:r w:rsidRPr="004A26C7">
              <w:t>BID</w:t>
            </w:r>
          </w:p>
        </w:tc>
        <w:tc>
          <w:tcPr>
            <w:tcW w:w="7230" w:type="dxa"/>
          </w:tcPr>
          <w:p w:rsidR="0053664C" w:rsidRPr="004A26C7" w:rsidRDefault="0053664C" w:rsidP="006A3326">
            <w:r w:rsidRPr="004A26C7">
              <w:t>Twice a day</w:t>
            </w:r>
          </w:p>
        </w:tc>
      </w:tr>
      <w:tr w:rsidR="0053664C" w:rsidRPr="00FD119B" w:rsidTr="006A3326">
        <w:tc>
          <w:tcPr>
            <w:tcW w:w="1809" w:type="dxa"/>
          </w:tcPr>
          <w:p w:rsidR="0053664C" w:rsidRPr="004A26C7" w:rsidRDefault="0053664C" w:rsidP="006A3326">
            <w:r w:rsidRPr="004A26C7">
              <w:t>BLQ</w:t>
            </w:r>
          </w:p>
        </w:tc>
        <w:tc>
          <w:tcPr>
            <w:tcW w:w="7230" w:type="dxa"/>
          </w:tcPr>
          <w:p w:rsidR="0053664C" w:rsidRPr="004A26C7" w:rsidRDefault="0053664C" w:rsidP="006A3326">
            <w:r w:rsidRPr="004A26C7">
              <w:t>Below the limit of quantification</w:t>
            </w:r>
          </w:p>
        </w:tc>
      </w:tr>
      <w:tr w:rsidR="0053664C" w:rsidRPr="00FD119B" w:rsidTr="006A3326">
        <w:tc>
          <w:tcPr>
            <w:tcW w:w="1809" w:type="dxa"/>
          </w:tcPr>
          <w:p w:rsidR="0053664C" w:rsidRPr="004A26C7" w:rsidRDefault="0053664C" w:rsidP="006A3326">
            <w:r>
              <w:t>BP</w:t>
            </w:r>
          </w:p>
        </w:tc>
        <w:tc>
          <w:tcPr>
            <w:tcW w:w="7230" w:type="dxa"/>
          </w:tcPr>
          <w:p w:rsidR="0053664C" w:rsidRPr="004A26C7" w:rsidRDefault="0053664C" w:rsidP="006A3326">
            <w:r>
              <w:t>Blood pressure</w:t>
            </w:r>
          </w:p>
        </w:tc>
      </w:tr>
      <w:tr w:rsidR="0053664C" w:rsidRPr="00FD119B" w:rsidTr="006A3326">
        <w:tc>
          <w:tcPr>
            <w:tcW w:w="1809" w:type="dxa"/>
          </w:tcPr>
          <w:p w:rsidR="0053664C" w:rsidRPr="004A26C7" w:rsidRDefault="0053664C" w:rsidP="006A3326">
            <w:r w:rsidRPr="004A26C7">
              <w:t>CAP</w:t>
            </w:r>
          </w:p>
        </w:tc>
        <w:tc>
          <w:tcPr>
            <w:tcW w:w="7230" w:type="dxa"/>
          </w:tcPr>
          <w:p w:rsidR="0053664C" w:rsidRPr="004A26C7" w:rsidRDefault="0053664C" w:rsidP="006A3326">
            <w:r w:rsidRPr="004A26C7">
              <w:t>Community-acquired pneumonia</w:t>
            </w:r>
          </w:p>
        </w:tc>
      </w:tr>
      <w:tr w:rsidR="0053664C" w:rsidRPr="00FD119B" w:rsidTr="006A3326">
        <w:tc>
          <w:tcPr>
            <w:tcW w:w="1809" w:type="dxa"/>
          </w:tcPr>
          <w:p w:rsidR="0053664C" w:rsidRPr="004A26C7" w:rsidRDefault="0053664C" w:rsidP="006A3326">
            <w:r w:rsidRPr="004A26C7">
              <w:t>CDAD</w:t>
            </w:r>
          </w:p>
        </w:tc>
        <w:tc>
          <w:tcPr>
            <w:tcW w:w="7230" w:type="dxa"/>
          </w:tcPr>
          <w:p w:rsidR="0053664C" w:rsidRPr="004A26C7" w:rsidRDefault="0053664C" w:rsidP="006A3326">
            <w:r w:rsidRPr="004A26C7">
              <w:t>Clostridium difficile associated diarrhoea</w:t>
            </w:r>
          </w:p>
        </w:tc>
      </w:tr>
      <w:tr w:rsidR="0053664C" w:rsidRPr="00FD119B" w:rsidTr="006A3326">
        <w:tc>
          <w:tcPr>
            <w:tcW w:w="1809" w:type="dxa"/>
          </w:tcPr>
          <w:p w:rsidR="0053664C" w:rsidRPr="004A26C7" w:rsidRDefault="0053664C" w:rsidP="006A3326">
            <w:r w:rsidRPr="004A26C7">
              <w:t xml:space="preserve">CHMP </w:t>
            </w:r>
          </w:p>
        </w:tc>
        <w:tc>
          <w:tcPr>
            <w:tcW w:w="7230" w:type="dxa"/>
          </w:tcPr>
          <w:p w:rsidR="0053664C" w:rsidRPr="004A26C7" w:rsidRDefault="0053664C" w:rsidP="006A3326">
            <w:r w:rsidRPr="004A26C7">
              <w:t>Committee for Medicinal Products for Human Use</w:t>
            </w:r>
          </w:p>
        </w:tc>
      </w:tr>
      <w:tr w:rsidR="0053664C" w:rsidRPr="00FD119B" w:rsidTr="006A3326">
        <w:tc>
          <w:tcPr>
            <w:tcW w:w="1809" w:type="dxa"/>
          </w:tcPr>
          <w:p w:rsidR="0053664C" w:rsidRPr="004A26C7" w:rsidRDefault="0053664C" w:rsidP="006A3326">
            <w:r w:rsidRPr="004A26C7">
              <w:t xml:space="preserve">CI </w:t>
            </w:r>
          </w:p>
        </w:tc>
        <w:tc>
          <w:tcPr>
            <w:tcW w:w="7230" w:type="dxa"/>
          </w:tcPr>
          <w:p w:rsidR="0053664C" w:rsidRPr="004A26C7" w:rsidRDefault="0053664C" w:rsidP="006A3326">
            <w:r w:rsidRPr="004A26C7">
              <w:t>Confidence interval</w:t>
            </w:r>
          </w:p>
        </w:tc>
      </w:tr>
      <w:tr w:rsidR="0053664C" w:rsidRPr="00FD119B" w:rsidTr="006A3326">
        <w:tc>
          <w:tcPr>
            <w:tcW w:w="1809" w:type="dxa"/>
          </w:tcPr>
          <w:p w:rsidR="0053664C" w:rsidRPr="004A26C7" w:rsidRDefault="0053664C" w:rsidP="006A3326">
            <w:r w:rsidRPr="004A26C7">
              <w:t xml:space="preserve">CL </w:t>
            </w:r>
          </w:p>
        </w:tc>
        <w:tc>
          <w:tcPr>
            <w:tcW w:w="7230" w:type="dxa"/>
          </w:tcPr>
          <w:p w:rsidR="0053664C" w:rsidRPr="004A26C7" w:rsidRDefault="0053664C" w:rsidP="006A3326">
            <w:r w:rsidRPr="004A26C7">
              <w:t>Plasma clearance</w:t>
            </w:r>
          </w:p>
        </w:tc>
      </w:tr>
      <w:tr w:rsidR="0053664C" w:rsidRPr="00FD119B" w:rsidTr="006A3326">
        <w:tc>
          <w:tcPr>
            <w:tcW w:w="1809" w:type="dxa"/>
          </w:tcPr>
          <w:p w:rsidR="0053664C" w:rsidRPr="004A26C7" w:rsidRDefault="0053664C" w:rsidP="006A3326">
            <w:r w:rsidRPr="004A26C7">
              <w:t>CLR</w:t>
            </w:r>
          </w:p>
        </w:tc>
        <w:tc>
          <w:tcPr>
            <w:tcW w:w="7230" w:type="dxa"/>
          </w:tcPr>
          <w:p w:rsidR="0053664C" w:rsidRPr="004A26C7" w:rsidRDefault="0053664C" w:rsidP="006A3326">
            <w:r>
              <w:t>T</w:t>
            </w:r>
            <w:r w:rsidRPr="004A26C7">
              <w:t xml:space="preserve">otal renal clearance, estimated by CLS </w:t>
            </w:r>
            <w:r w:rsidRPr="004A26C7">
              <w:rPr>
                <w:rFonts w:cs="Symbol"/>
              </w:rPr>
              <w:t xml:space="preserve">× </w:t>
            </w:r>
            <w:proofErr w:type="spellStart"/>
            <w:r w:rsidRPr="004A26C7">
              <w:t>fu</w:t>
            </w:r>
            <w:proofErr w:type="spellEnd"/>
            <w:r w:rsidRPr="004A26C7">
              <w:t xml:space="preserve">, where </w:t>
            </w:r>
            <w:proofErr w:type="spellStart"/>
            <w:r w:rsidRPr="004A26C7">
              <w:t>fu</w:t>
            </w:r>
            <w:proofErr w:type="spellEnd"/>
            <w:r w:rsidRPr="004A26C7">
              <w:t xml:space="preserve"> is the fraction of </w:t>
            </w:r>
            <w:r w:rsidRPr="004A26C7">
              <w:lastRenderedPageBreak/>
              <w:t>dose excreted in urine within 24 h.</w:t>
            </w:r>
          </w:p>
        </w:tc>
      </w:tr>
      <w:tr w:rsidR="0053664C" w:rsidRPr="00FD119B" w:rsidTr="006A3326">
        <w:tc>
          <w:tcPr>
            <w:tcW w:w="1809" w:type="dxa"/>
          </w:tcPr>
          <w:p w:rsidR="0053664C" w:rsidRPr="004A26C7" w:rsidRDefault="0053664C" w:rsidP="006A3326">
            <w:r w:rsidRPr="004A26C7">
              <w:lastRenderedPageBreak/>
              <w:t>CL</w:t>
            </w:r>
            <w:r w:rsidRPr="004A26C7">
              <w:rPr>
                <w:vertAlign w:val="subscript"/>
              </w:rPr>
              <w:t>s</w:t>
            </w:r>
          </w:p>
        </w:tc>
        <w:tc>
          <w:tcPr>
            <w:tcW w:w="7230" w:type="dxa"/>
          </w:tcPr>
          <w:p w:rsidR="0053664C" w:rsidRPr="004A26C7" w:rsidRDefault="0053664C" w:rsidP="006A3326">
            <w:r w:rsidRPr="004A26C7">
              <w:t>Is the total systemic clearance estimated by CLS = dose/AUC</w:t>
            </w:r>
            <w:r w:rsidRPr="004A26C7">
              <w:rPr>
                <w:vertAlign w:val="subscript"/>
              </w:rPr>
              <w:t>0–</w:t>
            </w:r>
            <w:r w:rsidRPr="004A26C7">
              <w:rPr>
                <w:rFonts w:cs="Symbol"/>
                <w:vertAlign w:val="subscript"/>
              </w:rPr>
              <w:t>∞</w:t>
            </w:r>
            <w:r w:rsidRPr="004A26C7">
              <w:rPr>
                <w:vertAlign w:val="subscript"/>
              </w:rPr>
              <w:t>.</w:t>
            </w:r>
          </w:p>
        </w:tc>
      </w:tr>
      <w:tr w:rsidR="0053664C" w:rsidRPr="00FD119B" w:rsidTr="006A3326">
        <w:tc>
          <w:tcPr>
            <w:tcW w:w="1809" w:type="dxa"/>
          </w:tcPr>
          <w:p w:rsidR="0053664C" w:rsidRPr="004A26C7" w:rsidRDefault="0053664C" w:rsidP="006A3326">
            <w:proofErr w:type="spellStart"/>
            <w:r w:rsidRPr="004A26C7">
              <w:t>C</w:t>
            </w:r>
            <w:r w:rsidRPr="004A26C7">
              <w:rPr>
                <w:vertAlign w:val="subscript"/>
              </w:rPr>
              <w:t>max</w:t>
            </w:r>
            <w:proofErr w:type="spellEnd"/>
          </w:p>
        </w:tc>
        <w:tc>
          <w:tcPr>
            <w:tcW w:w="7230" w:type="dxa"/>
          </w:tcPr>
          <w:p w:rsidR="0053664C" w:rsidRPr="004A26C7" w:rsidRDefault="0053664C" w:rsidP="006A3326">
            <w:r w:rsidRPr="004A26C7">
              <w:t>Is the observed maximum plasma concentration</w:t>
            </w:r>
          </w:p>
        </w:tc>
      </w:tr>
      <w:tr w:rsidR="0053664C" w:rsidRPr="00FD119B" w:rsidTr="006A3326">
        <w:tc>
          <w:tcPr>
            <w:tcW w:w="1809" w:type="dxa"/>
          </w:tcPr>
          <w:p w:rsidR="0053664C" w:rsidRPr="004A26C7" w:rsidRDefault="0053664C" w:rsidP="006A3326">
            <w:proofErr w:type="spellStart"/>
            <w:r w:rsidRPr="004A26C7">
              <w:t>C</w:t>
            </w:r>
            <w:r w:rsidRPr="004A26C7">
              <w:rPr>
                <w:vertAlign w:val="subscript"/>
              </w:rPr>
              <w:t>min</w:t>
            </w:r>
            <w:proofErr w:type="spellEnd"/>
          </w:p>
        </w:tc>
        <w:tc>
          <w:tcPr>
            <w:tcW w:w="7230" w:type="dxa"/>
          </w:tcPr>
          <w:p w:rsidR="0053664C" w:rsidRPr="004A26C7" w:rsidRDefault="0053664C" w:rsidP="006A3326">
            <w:r w:rsidRPr="004A26C7">
              <w:t>Minimum plasma concentration</w:t>
            </w:r>
          </w:p>
        </w:tc>
      </w:tr>
      <w:tr w:rsidR="0053664C" w:rsidRPr="00FD119B" w:rsidTr="006A3326">
        <w:tc>
          <w:tcPr>
            <w:tcW w:w="1809" w:type="dxa"/>
          </w:tcPr>
          <w:p w:rsidR="0053664C" w:rsidRPr="004A26C7" w:rsidRDefault="0053664C" w:rsidP="006A3326">
            <w:r w:rsidRPr="004A26C7">
              <w:t>CNS</w:t>
            </w:r>
          </w:p>
        </w:tc>
        <w:tc>
          <w:tcPr>
            <w:tcW w:w="7230" w:type="dxa"/>
          </w:tcPr>
          <w:p w:rsidR="0053664C" w:rsidRPr="004A26C7" w:rsidRDefault="0053664C" w:rsidP="006A3326">
            <w:r w:rsidRPr="004A26C7">
              <w:t>Central nervous system</w:t>
            </w:r>
          </w:p>
        </w:tc>
      </w:tr>
      <w:tr w:rsidR="0053664C" w:rsidRPr="00FD119B" w:rsidTr="006A3326">
        <w:tc>
          <w:tcPr>
            <w:tcW w:w="1809" w:type="dxa"/>
          </w:tcPr>
          <w:p w:rsidR="0053664C" w:rsidRPr="004A26C7" w:rsidRDefault="0053664C" w:rsidP="006A3326">
            <w:r w:rsidRPr="004A26C7">
              <w:t>COPD</w:t>
            </w:r>
          </w:p>
        </w:tc>
        <w:tc>
          <w:tcPr>
            <w:tcW w:w="7230" w:type="dxa"/>
          </w:tcPr>
          <w:p w:rsidR="0053664C" w:rsidRPr="004A26C7" w:rsidRDefault="0053664C" w:rsidP="006A3326">
            <w:r w:rsidRPr="004A26C7">
              <w:t>Chronic obstructive pulmonary disease</w:t>
            </w:r>
          </w:p>
        </w:tc>
      </w:tr>
      <w:tr w:rsidR="0053664C" w:rsidRPr="00FD119B" w:rsidTr="006A3326">
        <w:tc>
          <w:tcPr>
            <w:tcW w:w="1809" w:type="dxa"/>
          </w:tcPr>
          <w:p w:rsidR="0053664C" w:rsidRPr="004A26C7" w:rsidRDefault="0053664C" w:rsidP="006A3326">
            <w:proofErr w:type="spellStart"/>
            <w:r w:rsidRPr="004A26C7">
              <w:t>Cp</w:t>
            </w:r>
            <w:proofErr w:type="spellEnd"/>
            <w:r w:rsidRPr="004A26C7">
              <w:t xml:space="preserve"> </w:t>
            </w:r>
          </w:p>
        </w:tc>
        <w:tc>
          <w:tcPr>
            <w:tcW w:w="7230" w:type="dxa"/>
          </w:tcPr>
          <w:p w:rsidR="0053664C" w:rsidRPr="004A26C7" w:rsidRDefault="0053664C" w:rsidP="006A3326">
            <w:r w:rsidRPr="004A26C7">
              <w:t>Plasma concentration</w:t>
            </w:r>
          </w:p>
        </w:tc>
      </w:tr>
      <w:tr w:rsidR="0053664C" w:rsidRPr="00FD119B" w:rsidTr="006A3326">
        <w:tc>
          <w:tcPr>
            <w:tcW w:w="1809" w:type="dxa"/>
          </w:tcPr>
          <w:p w:rsidR="0053664C" w:rsidRPr="004A26C7" w:rsidRDefault="0053664C" w:rsidP="006A3326">
            <w:proofErr w:type="spellStart"/>
            <w:r w:rsidRPr="004A26C7">
              <w:t>CrCl</w:t>
            </w:r>
            <w:proofErr w:type="spellEnd"/>
          </w:p>
        </w:tc>
        <w:tc>
          <w:tcPr>
            <w:tcW w:w="7230" w:type="dxa"/>
          </w:tcPr>
          <w:p w:rsidR="0053664C" w:rsidRPr="004A26C7" w:rsidRDefault="0053664C" w:rsidP="006A3326">
            <w:r w:rsidRPr="004A26C7">
              <w:t>Creatinine clearance</w:t>
            </w:r>
          </w:p>
        </w:tc>
      </w:tr>
      <w:tr w:rsidR="0053664C" w:rsidRPr="00FD119B" w:rsidTr="006A3326">
        <w:tc>
          <w:tcPr>
            <w:tcW w:w="1809" w:type="dxa"/>
          </w:tcPr>
          <w:p w:rsidR="0053664C" w:rsidRPr="004A26C7" w:rsidRDefault="0053664C" w:rsidP="006A3326">
            <w:r w:rsidRPr="004A26C7">
              <w:t>CK</w:t>
            </w:r>
          </w:p>
        </w:tc>
        <w:tc>
          <w:tcPr>
            <w:tcW w:w="7230" w:type="dxa"/>
          </w:tcPr>
          <w:p w:rsidR="0053664C" w:rsidRPr="004A26C7" w:rsidRDefault="0053664C" w:rsidP="006A3326">
            <w:proofErr w:type="spellStart"/>
            <w:r w:rsidRPr="004A26C7">
              <w:t>Creatine</w:t>
            </w:r>
            <w:proofErr w:type="spellEnd"/>
            <w:r w:rsidRPr="004A26C7">
              <w:t xml:space="preserve"> kinase</w:t>
            </w:r>
          </w:p>
        </w:tc>
      </w:tr>
      <w:tr w:rsidR="0053664C" w:rsidRPr="00FD119B" w:rsidTr="006A3326">
        <w:tc>
          <w:tcPr>
            <w:tcW w:w="1809" w:type="dxa"/>
          </w:tcPr>
          <w:p w:rsidR="0053664C" w:rsidRPr="004A26C7" w:rsidRDefault="0053664C" w:rsidP="006A3326">
            <w:proofErr w:type="spellStart"/>
            <w:r w:rsidRPr="004A26C7">
              <w:t>cSSSI</w:t>
            </w:r>
            <w:proofErr w:type="spellEnd"/>
          </w:p>
        </w:tc>
        <w:tc>
          <w:tcPr>
            <w:tcW w:w="7230" w:type="dxa"/>
          </w:tcPr>
          <w:p w:rsidR="0053664C" w:rsidRPr="004A26C7" w:rsidRDefault="0053664C" w:rsidP="006A3326">
            <w:r w:rsidRPr="004A26C7">
              <w:t>Complicated skin and skin structure infection</w:t>
            </w:r>
          </w:p>
        </w:tc>
      </w:tr>
      <w:tr w:rsidR="0053664C" w:rsidRPr="00FD119B" w:rsidTr="006A3326">
        <w:tc>
          <w:tcPr>
            <w:tcW w:w="1809" w:type="dxa"/>
          </w:tcPr>
          <w:p w:rsidR="0053664C" w:rsidRPr="004A26C7" w:rsidRDefault="0053664C" w:rsidP="006A3326">
            <w:r w:rsidRPr="004A26C7">
              <w:t>DAGT</w:t>
            </w:r>
          </w:p>
        </w:tc>
        <w:tc>
          <w:tcPr>
            <w:tcW w:w="7230" w:type="dxa"/>
          </w:tcPr>
          <w:p w:rsidR="0053664C" w:rsidRPr="004A26C7" w:rsidRDefault="0053664C" w:rsidP="006A3326">
            <w:r w:rsidRPr="004A26C7">
              <w:t xml:space="preserve">Direct </w:t>
            </w:r>
            <w:proofErr w:type="spellStart"/>
            <w:r w:rsidRPr="004A26C7">
              <w:t>antiglobulin</w:t>
            </w:r>
            <w:proofErr w:type="spellEnd"/>
            <w:r w:rsidRPr="004A26C7">
              <w:t xml:space="preserve"> test</w:t>
            </w:r>
          </w:p>
        </w:tc>
      </w:tr>
      <w:tr w:rsidR="0053664C" w:rsidRPr="00FD119B" w:rsidTr="006A3326">
        <w:tc>
          <w:tcPr>
            <w:tcW w:w="1809" w:type="dxa"/>
          </w:tcPr>
          <w:p w:rsidR="0053664C" w:rsidRPr="004A26C7" w:rsidRDefault="0053664C" w:rsidP="006A3326">
            <w:r w:rsidRPr="004A26C7">
              <w:t>DIC</w:t>
            </w:r>
          </w:p>
        </w:tc>
        <w:tc>
          <w:tcPr>
            <w:tcW w:w="7230" w:type="dxa"/>
          </w:tcPr>
          <w:p w:rsidR="0053664C" w:rsidRPr="004A26C7" w:rsidRDefault="0053664C" w:rsidP="006A3326">
            <w:r w:rsidRPr="004A26C7">
              <w:t>Disseminated intravascular coagulation</w:t>
            </w:r>
          </w:p>
        </w:tc>
      </w:tr>
      <w:tr w:rsidR="0053664C" w:rsidRPr="00FD119B" w:rsidTr="006A3326">
        <w:tc>
          <w:tcPr>
            <w:tcW w:w="1809" w:type="dxa"/>
          </w:tcPr>
          <w:p w:rsidR="0053664C" w:rsidRPr="004A26C7" w:rsidRDefault="0053664C" w:rsidP="006A3326">
            <w:r w:rsidRPr="004A26C7">
              <w:t>DIIHA</w:t>
            </w:r>
          </w:p>
        </w:tc>
        <w:tc>
          <w:tcPr>
            <w:tcW w:w="7230" w:type="dxa"/>
          </w:tcPr>
          <w:p w:rsidR="0053664C" w:rsidRPr="004A26C7" w:rsidRDefault="0053664C" w:rsidP="006A3326">
            <w:r w:rsidRPr="004A26C7">
              <w:t>Drug-induced immune haemolytic anaemia</w:t>
            </w:r>
          </w:p>
        </w:tc>
      </w:tr>
      <w:tr w:rsidR="0053664C" w:rsidRPr="00FD119B" w:rsidTr="006A3326">
        <w:tc>
          <w:tcPr>
            <w:tcW w:w="1809" w:type="dxa"/>
          </w:tcPr>
          <w:p w:rsidR="0053664C" w:rsidRPr="004A26C7" w:rsidRDefault="0053664C" w:rsidP="006A3326">
            <w:r w:rsidRPr="004A26C7">
              <w:t>DSUR</w:t>
            </w:r>
          </w:p>
        </w:tc>
        <w:tc>
          <w:tcPr>
            <w:tcW w:w="7230" w:type="dxa"/>
          </w:tcPr>
          <w:p w:rsidR="0053664C" w:rsidRPr="004A26C7" w:rsidRDefault="0053664C" w:rsidP="006A3326">
            <w:r w:rsidRPr="004A26C7">
              <w:t>Development safety update report</w:t>
            </w:r>
          </w:p>
        </w:tc>
      </w:tr>
      <w:tr w:rsidR="0053664C" w:rsidRPr="00FD119B" w:rsidTr="006A3326">
        <w:tc>
          <w:tcPr>
            <w:tcW w:w="1809" w:type="dxa"/>
          </w:tcPr>
          <w:p w:rsidR="0053664C" w:rsidRPr="004A26C7" w:rsidRDefault="0053664C" w:rsidP="006A3326">
            <w:r w:rsidRPr="004A26C7">
              <w:t>ECG</w:t>
            </w:r>
          </w:p>
        </w:tc>
        <w:tc>
          <w:tcPr>
            <w:tcW w:w="7230" w:type="dxa"/>
          </w:tcPr>
          <w:p w:rsidR="0053664C" w:rsidRPr="004A26C7" w:rsidRDefault="0053664C" w:rsidP="006A3326">
            <w:r w:rsidRPr="004A26C7">
              <w:t>Elect</w:t>
            </w:r>
            <w:r w:rsidR="00E01646">
              <w:t>r</w:t>
            </w:r>
            <w:r w:rsidRPr="004A26C7">
              <w:t>ocardiogram</w:t>
            </w:r>
          </w:p>
        </w:tc>
      </w:tr>
      <w:tr w:rsidR="0053664C" w:rsidRPr="00FD119B" w:rsidTr="006A3326">
        <w:tc>
          <w:tcPr>
            <w:tcW w:w="1809" w:type="dxa"/>
          </w:tcPr>
          <w:p w:rsidR="0053664C" w:rsidRPr="004A26C7" w:rsidRDefault="0053664C" w:rsidP="006A3326">
            <w:r w:rsidRPr="004A26C7">
              <w:t>ELF</w:t>
            </w:r>
          </w:p>
        </w:tc>
        <w:tc>
          <w:tcPr>
            <w:tcW w:w="7230" w:type="dxa"/>
          </w:tcPr>
          <w:p w:rsidR="0053664C" w:rsidRPr="004A26C7" w:rsidRDefault="0053664C" w:rsidP="006A3326">
            <w:r w:rsidRPr="004A26C7">
              <w:t xml:space="preserve">Epithelial lining fluid </w:t>
            </w:r>
          </w:p>
        </w:tc>
      </w:tr>
      <w:tr w:rsidR="0053664C" w:rsidRPr="00FD119B" w:rsidTr="006A3326">
        <w:tc>
          <w:tcPr>
            <w:tcW w:w="1809" w:type="dxa"/>
          </w:tcPr>
          <w:p w:rsidR="0053664C" w:rsidRPr="004A26C7" w:rsidRDefault="0053664C" w:rsidP="006A3326">
            <w:r w:rsidRPr="004A26C7">
              <w:t>EMEA</w:t>
            </w:r>
          </w:p>
        </w:tc>
        <w:tc>
          <w:tcPr>
            <w:tcW w:w="7230" w:type="dxa"/>
          </w:tcPr>
          <w:p w:rsidR="0053664C" w:rsidRPr="004A26C7" w:rsidRDefault="0053664C" w:rsidP="006A3326">
            <w:r w:rsidRPr="004A26C7">
              <w:t>European medicines agency</w:t>
            </w:r>
          </w:p>
        </w:tc>
      </w:tr>
      <w:tr w:rsidR="0053664C" w:rsidRPr="00FD119B" w:rsidTr="006A3326">
        <w:tc>
          <w:tcPr>
            <w:tcW w:w="1809" w:type="dxa"/>
          </w:tcPr>
          <w:p w:rsidR="0053664C" w:rsidRPr="004A26C7" w:rsidRDefault="0053664C" w:rsidP="006A3326">
            <w:r>
              <w:t>EOI</w:t>
            </w:r>
          </w:p>
        </w:tc>
        <w:tc>
          <w:tcPr>
            <w:tcW w:w="7230" w:type="dxa"/>
          </w:tcPr>
          <w:p w:rsidR="0053664C" w:rsidRPr="004A26C7" w:rsidRDefault="0053664C" w:rsidP="006A3326">
            <w:r>
              <w:t>End of infusion</w:t>
            </w:r>
          </w:p>
        </w:tc>
      </w:tr>
      <w:tr w:rsidR="0053664C" w:rsidRPr="00FD119B" w:rsidTr="006A3326">
        <w:tc>
          <w:tcPr>
            <w:tcW w:w="1809" w:type="dxa"/>
          </w:tcPr>
          <w:p w:rsidR="0053664C" w:rsidRPr="004A26C7" w:rsidRDefault="0053664C" w:rsidP="006A3326">
            <w:r>
              <w:t>EOT</w:t>
            </w:r>
          </w:p>
        </w:tc>
        <w:tc>
          <w:tcPr>
            <w:tcW w:w="7230" w:type="dxa"/>
          </w:tcPr>
          <w:p w:rsidR="0053664C" w:rsidRPr="004A26C7" w:rsidRDefault="0053664C" w:rsidP="006A3326">
            <w:r>
              <w:t>End of therapy</w:t>
            </w:r>
          </w:p>
        </w:tc>
      </w:tr>
      <w:tr w:rsidR="0053664C" w:rsidRPr="00FD119B" w:rsidTr="006A3326">
        <w:tc>
          <w:tcPr>
            <w:tcW w:w="1809" w:type="dxa"/>
          </w:tcPr>
          <w:p w:rsidR="0053664C" w:rsidRPr="004A26C7" w:rsidRDefault="0053664C" w:rsidP="006A3326">
            <w:r w:rsidRPr="004A26C7">
              <w:t>ESBL</w:t>
            </w:r>
          </w:p>
        </w:tc>
        <w:tc>
          <w:tcPr>
            <w:tcW w:w="7230" w:type="dxa"/>
          </w:tcPr>
          <w:p w:rsidR="0053664C" w:rsidRPr="004A26C7" w:rsidRDefault="0053664C" w:rsidP="006A3326">
            <w:r w:rsidRPr="004A26C7">
              <w:t>Extended spectrum β-lactamases</w:t>
            </w:r>
          </w:p>
        </w:tc>
      </w:tr>
      <w:tr w:rsidR="0053664C" w:rsidRPr="00FD119B" w:rsidTr="006A3326">
        <w:tc>
          <w:tcPr>
            <w:tcW w:w="1809" w:type="dxa"/>
          </w:tcPr>
          <w:p w:rsidR="0053664C" w:rsidRPr="004A26C7" w:rsidRDefault="0053664C" w:rsidP="006A3326">
            <w:r w:rsidRPr="004A26C7">
              <w:t>ESRD</w:t>
            </w:r>
          </w:p>
        </w:tc>
        <w:tc>
          <w:tcPr>
            <w:tcW w:w="7230" w:type="dxa"/>
          </w:tcPr>
          <w:p w:rsidR="0053664C" w:rsidRPr="004A26C7" w:rsidRDefault="0053664C" w:rsidP="006A3326">
            <w:r w:rsidRPr="004A26C7">
              <w:t>End-stage renal disease</w:t>
            </w:r>
          </w:p>
        </w:tc>
      </w:tr>
      <w:tr w:rsidR="0053664C" w:rsidRPr="00FD119B" w:rsidTr="006A3326">
        <w:tc>
          <w:tcPr>
            <w:tcW w:w="1809" w:type="dxa"/>
          </w:tcPr>
          <w:p w:rsidR="0053664C" w:rsidRPr="004A26C7" w:rsidRDefault="0053664C" w:rsidP="006A3326">
            <w:r w:rsidRPr="004A26C7">
              <w:t>EUCAST</w:t>
            </w:r>
          </w:p>
        </w:tc>
        <w:tc>
          <w:tcPr>
            <w:tcW w:w="7230" w:type="dxa"/>
          </w:tcPr>
          <w:p w:rsidR="0053664C" w:rsidRPr="004A26C7" w:rsidRDefault="0053664C" w:rsidP="006A3326">
            <w:r w:rsidRPr="004A26C7">
              <w:t xml:space="preserve">European Committee on Antimicrobial Susceptibility Testing </w:t>
            </w:r>
          </w:p>
        </w:tc>
      </w:tr>
      <w:tr w:rsidR="0053664C" w:rsidRPr="00FD119B" w:rsidTr="006A3326">
        <w:tc>
          <w:tcPr>
            <w:tcW w:w="1809" w:type="dxa"/>
          </w:tcPr>
          <w:p w:rsidR="0053664C" w:rsidRPr="004A26C7" w:rsidRDefault="0053664C" w:rsidP="006A3326">
            <w:r w:rsidRPr="004A26C7">
              <w:t xml:space="preserve">EU </w:t>
            </w:r>
          </w:p>
        </w:tc>
        <w:tc>
          <w:tcPr>
            <w:tcW w:w="7230" w:type="dxa"/>
          </w:tcPr>
          <w:p w:rsidR="0053664C" w:rsidRPr="004A26C7" w:rsidRDefault="0053664C" w:rsidP="006A3326">
            <w:r w:rsidRPr="004A26C7">
              <w:t>European union</w:t>
            </w:r>
          </w:p>
        </w:tc>
      </w:tr>
      <w:tr w:rsidR="0053664C" w:rsidRPr="00FD119B" w:rsidTr="006A3326">
        <w:tc>
          <w:tcPr>
            <w:tcW w:w="1809" w:type="dxa"/>
          </w:tcPr>
          <w:p w:rsidR="0053664C" w:rsidRPr="004A26C7" w:rsidRDefault="0053664C" w:rsidP="006A3326">
            <w:r w:rsidRPr="004A26C7">
              <w:t>EU-RMP</w:t>
            </w:r>
          </w:p>
        </w:tc>
        <w:tc>
          <w:tcPr>
            <w:tcW w:w="7230" w:type="dxa"/>
          </w:tcPr>
          <w:p w:rsidR="0053664C" w:rsidRPr="004A26C7" w:rsidRDefault="0053664C" w:rsidP="006A3326">
            <w:r w:rsidRPr="004A26C7">
              <w:t>European union risk management plan</w:t>
            </w:r>
          </w:p>
        </w:tc>
      </w:tr>
      <w:tr w:rsidR="0053664C" w:rsidRPr="00FD119B" w:rsidTr="006A3326">
        <w:tc>
          <w:tcPr>
            <w:tcW w:w="1809" w:type="dxa"/>
          </w:tcPr>
          <w:p w:rsidR="0053664C" w:rsidRPr="004A26C7" w:rsidRDefault="0053664C" w:rsidP="006A3326">
            <w:r w:rsidRPr="004A26C7">
              <w:t>EU-QPPV</w:t>
            </w:r>
          </w:p>
        </w:tc>
        <w:tc>
          <w:tcPr>
            <w:tcW w:w="7230" w:type="dxa"/>
          </w:tcPr>
          <w:p w:rsidR="0053664C" w:rsidRPr="004A26C7" w:rsidRDefault="0053664C" w:rsidP="006A3326">
            <w:r w:rsidRPr="004A26C7">
              <w:t>EU Qualified Person for Pharmacovigilance</w:t>
            </w:r>
          </w:p>
        </w:tc>
      </w:tr>
      <w:tr w:rsidR="0053664C" w:rsidRPr="00FD119B" w:rsidTr="006A3326">
        <w:tc>
          <w:tcPr>
            <w:tcW w:w="1809" w:type="dxa"/>
          </w:tcPr>
          <w:p w:rsidR="0053664C" w:rsidRPr="004A26C7" w:rsidRDefault="0053664C" w:rsidP="006A3326">
            <w:r w:rsidRPr="004A26C7">
              <w:t>FBC</w:t>
            </w:r>
          </w:p>
        </w:tc>
        <w:tc>
          <w:tcPr>
            <w:tcW w:w="7230" w:type="dxa"/>
          </w:tcPr>
          <w:p w:rsidR="0053664C" w:rsidRPr="004A26C7" w:rsidRDefault="0053664C" w:rsidP="006A3326">
            <w:r w:rsidRPr="004A26C7">
              <w:t>Full blood count</w:t>
            </w:r>
          </w:p>
        </w:tc>
      </w:tr>
      <w:tr w:rsidR="0053664C" w:rsidRPr="00FD119B" w:rsidTr="006A3326">
        <w:tc>
          <w:tcPr>
            <w:tcW w:w="1809" w:type="dxa"/>
          </w:tcPr>
          <w:p w:rsidR="0053664C" w:rsidRPr="004A26C7" w:rsidRDefault="0053664C" w:rsidP="006A3326">
            <w:proofErr w:type="spellStart"/>
            <w:r>
              <w:lastRenderedPageBreak/>
              <w:t>gp</w:t>
            </w:r>
            <w:proofErr w:type="spellEnd"/>
          </w:p>
        </w:tc>
        <w:tc>
          <w:tcPr>
            <w:tcW w:w="7230" w:type="dxa"/>
          </w:tcPr>
          <w:p w:rsidR="0053664C" w:rsidRPr="004A26C7" w:rsidRDefault="0053664C" w:rsidP="006A3326">
            <w:r>
              <w:t>Group</w:t>
            </w:r>
          </w:p>
        </w:tc>
      </w:tr>
      <w:tr w:rsidR="0053664C" w:rsidRPr="00FD119B" w:rsidTr="006A3326">
        <w:tc>
          <w:tcPr>
            <w:tcW w:w="1809" w:type="dxa"/>
          </w:tcPr>
          <w:p w:rsidR="0053664C" w:rsidRPr="004A26C7" w:rsidRDefault="0053664C" w:rsidP="006A3326">
            <w:r w:rsidRPr="004A26C7">
              <w:t>GPU</w:t>
            </w:r>
          </w:p>
        </w:tc>
        <w:tc>
          <w:tcPr>
            <w:tcW w:w="7230" w:type="dxa"/>
          </w:tcPr>
          <w:p w:rsidR="0053664C" w:rsidRPr="004A26C7" w:rsidRDefault="0053664C" w:rsidP="006A3326">
            <w:r w:rsidRPr="004A26C7">
              <w:t>Global Pharmacovigilance Unit</w:t>
            </w:r>
          </w:p>
        </w:tc>
      </w:tr>
      <w:tr w:rsidR="0053664C" w:rsidRPr="00FD119B" w:rsidTr="006A3326">
        <w:tc>
          <w:tcPr>
            <w:tcW w:w="1809" w:type="dxa"/>
          </w:tcPr>
          <w:p w:rsidR="0053664C" w:rsidRPr="004A26C7" w:rsidRDefault="0053664C" w:rsidP="006A3326">
            <w:r w:rsidRPr="004A26C7">
              <w:t>HAP</w:t>
            </w:r>
          </w:p>
        </w:tc>
        <w:tc>
          <w:tcPr>
            <w:tcW w:w="7230" w:type="dxa"/>
          </w:tcPr>
          <w:p w:rsidR="0053664C" w:rsidRPr="004A26C7" w:rsidRDefault="0053664C" w:rsidP="006A3326">
            <w:r w:rsidRPr="004A26C7">
              <w:t xml:space="preserve">Hospital-Acquired Pneumonia </w:t>
            </w:r>
          </w:p>
        </w:tc>
      </w:tr>
      <w:tr w:rsidR="0053664C" w:rsidRPr="00FD119B" w:rsidTr="006A3326">
        <w:tc>
          <w:tcPr>
            <w:tcW w:w="1809" w:type="dxa"/>
          </w:tcPr>
          <w:p w:rsidR="0053664C" w:rsidRPr="004A26C7" w:rsidRDefault="0053664C" w:rsidP="006A3326">
            <w:proofErr w:type="spellStart"/>
            <w:r w:rsidRPr="004A26C7">
              <w:t>Hb</w:t>
            </w:r>
            <w:proofErr w:type="spellEnd"/>
          </w:p>
        </w:tc>
        <w:tc>
          <w:tcPr>
            <w:tcW w:w="7230" w:type="dxa"/>
          </w:tcPr>
          <w:p w:rsidR="0053664C" w:rsidRPr="004A26C7" w:rsidRDefault="0053664C" w:rsidP="006A3326">
            <w:r w:rsidRPr="004A26C7">
              <w:t>Haemoglobin</w:t>
            </w:r>
          </w:p>
        </w:tc>
      </w:tr>
      <w:tr w:rsidR="0053664C" w:rsidRPr="00FD119B" w:rsidTr="006A3326">
        <w:tc>
          <w:tcPr>
            <w:tcW w:w="1809" w:type="dxa"/>
          </w:tcPr>
          <w:p w:rsidR="0053664C" w:rsidRPr="004A26C7" w:rsidRDefault="0053664C" w:rsidP="006A3326">
            <w:r w:rsidRPr="004A26C7">
              <w:t>FDA</w:t>
            </w:r>
          </w:p>
        </w:tc>
        <w:tc>
          <w:tcPr>
            <w:tcW w:w="7230" w:type="dxa"/>
          </w:tcPr>
          <w:p w:rsidR="0053664C" w:rsidRPr="004A26C7" w:rsidRDefault="0053664C" w:rsidP="006A3326">
            <w:r w:rsidRPr="004A26C7">
              <w:t>Food And Drug Administration</w:t>
            </w:r>
          </w:p>
        </w:tc>
      </w:tr>
      <w:tr w:rsidR="0053664C" w:rsidRPr="00FD119B" w:rsidTr="006A3326">
        <w:tc>
          <w:tcPr>
            <w:tcW w:w="1809" w:type="dxa"/>
          </w:tcPr>
          <w:p w:rsidR="0053664C" w:rsidRPr="004A26C7" w:rsidRDefault="0053664C" w:rsidP="006A3326">
            <w:r w:rsidRPr="004A26C7">
              <w:t>GCP</w:t>
            </w:r>
          </w:p>
        </w:tc>
        <w:tc>
          <w:tcPr>
            <w:tcW w:w="7230" w:type="dxa"/>
          </w:tcPr>
          <w:p w:rsidR="0053664C" w:rsidRPr="004A26C7" w:rsidRDefault="0053664C" w:rsidP="006A3326">
            <w:r w:rsidRPr="004A26C7">
              <w:t>Good Clinical Practice</w:t>
            </w:r>
          </w:p>
        </w:tc>
      </w:tr>
      <w:tr w:rsidR="0053664C" w:rsidRPr="00FD119B" w:rsidTr="006A3326">
        <w:tc>
          <w:tcPr>
            <w:tcW w:w="1809" w:type="dxa"/>
          </w:tcPr>
          <w:p w:rsidR="0053664C" w:rsidRPr="004A26C7" w:rsidRDefault="0053664C" w:rsidP="006A3326">
            <w:r w:rsidRPr="004A26C7">
              <w:t>GI</w:t>
            </w:r>
          </w:p>
        </w:tc>
        <w:tc>
          <w:tcPr>
            <w:tcW w:w="7230" w:type="dxa"/>
          </w:tcPr>
          <w:p w:rsidR="0053664C" w:rsidRPr="004A26C7" w:rsidRDefault="0053664C" w:rsidP="006A3326">
            <w:r w:rsidRPr="004A26C7">
              <w:t>Gastrointestinal</w:t>
            </w:r>
          </w:p>
        </w:tc>
      </w:tr>
      <w:tr w:rsidR="0053664C" w:rsidRPr="00FD119B" w:rsidTr="006A3326">
        <w:tc>
          <w:tcPr>
            <w:tcW w:w="1809" w:type="dxa"/>
          </w:tcPr>
          <w:p w:rsidR="0053664C" w:rsidRPr="004A26C7" w:rsidRDefault="0053664C" w:rsidP="006A3326">
            <w:r w:rsidRPr="004A26C7">
              <w:t>ICH</w:t>
            </w:r>
          </w:p>
        </w:tc>
        <w:tc>
          <w:tcPr>
            <w:tcW w:w="7230" w:type="dxa"/>
          </w:tcPr>
          <w:p w:rsidR="0053664C" w:rsidRPr="004A26C7" w:rsidRDefault="0053664C" w:rsidP="006A3326">
            <w:r w:rsidRPr="004A26C7">
              <w:t>International Conference On Harmonization</w:t>
            </w:r>
          </w:p>
        </w:tc>
      </w:tr>
      <w:tr w:rsidR="0053664C" w:rsidRPr="00FD119B" w:rsidTr="006A3326">
        <w:tc>
          <w:tcPr>
            <w:tcW w:w="1809" w:type="dxa"/>
          </w:tcPr>
          <w:p w:rsidR="0053664C" w:rsidRPr="004A26C7" w:rsidRDefault="0053664C" w:rsidP="006A3326">
            <w:r w:rsidRPr="004A26C7">
              <w:t>ICU</w:t>
            </w:r>
          </w:p>
        </w:tc>
        <w:tc>
          <w:tcPr>
            <w:tcW w:w="7230" w:type="dxa"/>
          </w:tcPr>
          <w:p w:rsidR="0053664C" w:rsidRPr="004A26C7" w:rsidRDefault="0053664C" w:rsidP="006A3326">
            <w:r w:rsidRPr="004A26C7">
              <w:t>Intensive Care Unit</w:t>
            </w:r>
          </w:p>
        </w:tc>
      </w:tr>
      <w:tr w:rsidR="0053664C" w:rsidRPr="00FD119B" w:rsidTr="006A3326">
        <w:tc>
          <w:tcPr>
            <w:tcW w:w="1809" w:type="dxa"/>
          </w:tcPr>
          <w:p w:rsidR="0053664C" w:rsidRPr="004A26C7" w:rsidRDefault="0053664C" w:rsidP="006A3326">
            <w:r w:rsidRPr="004A26C7">
              <w:t>IDMC</w:t>
            </w:r>
          </w:p>
        </w:tc>
        <w:tc>
          <w:tcPr>
            <w:tcW w:w="7230" w:type="dxa"/>
          </w:tcPr>
          <w:p w:rsidR="0053664C" w:rsidRPr="004A26C7" w:rsidRDefault="0053664C" w:rsidP="006A3326">
            <w:r w:rsidRPr="004A26C7">
              <w:t>Independent Data Monitoring Committee</w:t>
            </w:r>
          </w:p>
        </w:tc>
      </w:tr>
      <w:tr w:rsidR="0053664C" w:rsidRPr="00FD119B" w:rsidTr="006A3326">
        <w:tc>
          <w:tcPr>
            <w:tcW w:w="1809" w:type="dxa"/>
          </w:tcPr>
          <w:p w:rsidR="0053664C" w:rsidRPr="004A26C7" w:rsidRDefault="0053664C" w:rsidP="006A3326">
            <w:r>
              <w:t>ISR</w:t>
            </w:r>
          </w:p>
        </w:tc>
        <w:tc>
          <w:tcPr>
            <w:tcW w:w="7230" w:type="dxa"/>
          </w:tcPr>
          <w:p w:rsidR="0053664C" w:rsidRPr="004A26C7" w:rsidRDefault="0053664C" w:rsidP="006A3326">
            <w:r>
              <w:t>Infusion/Injection Site Reaction</w:t>
            </w:r>
          </w:p>
        </w:tc>
      </w:tr>
      <w:tr w:rsidR="0053664C" w:rsidRPr="00FD119B" w:rsidTr="006A3326">
        <w:tc>
          <w:tcPr>
            <w:tcW w:w="1809" w:type="dxa"/>
          </w:tcPr>
          <w:p w:rsidR="0053664C" w:rsidRPr="004A26C7" w:rsidRDefault="0053664C" w:rsidP="006A3326">
            <w:r w:rsidRPr="004A26C7">
              <w:t xml:space="preserve">IV </w:t>
            </w:r>
          </w:p>
        </w:tc>
        <w:tc>
          <w:tcPr>
            <w:tcW w:w="7230" w:type="dxa"/>
          </w:tcPr>
          <w:p w:rsidR="0053664C" w:rsidRPr="004A26C7" w:rsidRDefault="0053664C" w:rsidP="006A3326">
            <w:r w:rsidRPr="004A26C7">
              <w:t>Intravenous</w:t>
            </w:r>
          </w:p>
        </w:tc>
      </w:tr>
      <w:tr w:rsidR="0053664C" w:rsidRPr="00FD119B" w:rsidTr="006A3326">
        <w:tc>
          <w:tcPr>
            <w:tcW w:w="1809" w:type="dxa"/>
          </w:tcPr>
          <w:p w:rsidR="0053664C" w:rsidRPr="004A26C7" w:rsidRDefault="0053664C" w:rsidP="006A3326">
            <w:r w:rsidRPr="004A26C7">
              <w:rPr>
                <w:rFonts w:cs="ArialNarrow"/>
              </w:rPr>
              <w:t>LC/LC-MS/MS</w:t>
            </w:r>
          </w:p>
        </w:tc>
        <w:tc>
          <w:tcPr>
            <w:tcW w:w="7230" w:type="dxa"/>
          </w:tcPr>
          <w:p w:rsidR="0053664C" w:rsidRPr="004A26C7" w:rsidRDefault="0053664C" w:rsidP="006A3326">
            <w:r w:rsidRPr="004A26C7">
              <w:rPr>
                <w:rFonts w:cs="ArialNarrow"/>
              </w:rPr>
              <w:t>Gradient Reversed-Phase Liquid Chromatography In Back-Flush Mode Coupled With A Tandem Mass Spectrometer</w:t>
            </w:r>
          </w:p>
        </w:tc>
      </w:tr>
      <w:tr w:rsidR="0053664C" w:rsidRPr="00FD119B" w:rsidTr="006A3326">
        <w:tc>
          <w:tcPr>
            <w:tcW w:w="1809" w:type="dxa"/>
          </w:tcPr>
          <w:p w:rsidR="0053664C" w:rsidRPr="004A26C7" w:rsidRDefault="0053664C" w:rsidP="006A3326">
            <w:pPr>
              <w:rPr>
                <w:rFonts w:cs="ArialNarrow"/>
              </w:rPr>
            </w:pPr>
            <w:r>
              <w:rPr>
                <w:rFonts w:cs="ArialNarrow"/>
              </w:rPr>
              <w:t>LL</w:t>
            </w:r>
          </w:p>
        </w:tc>
        <w:tc>
          <w:tcPr>
            <w:tcW w:w="7230" w:type="dxa"/>
          </w:tcPr>
          <w:p w:rsidR="0053664C" w:rsidRPr="004A26C7" w:rsidRDefault="0053664C" w:rsidP="006A3326">
            <w:pPr>
              <w:rPr>
                <w:rFonts w:cs="ArialNarrow"/>
              </w:rPr>
            </w:pPr>
            <w:r>
              <w:rPr>
                <w:rFonts w:cs="ArialNarrow"/>
              </w:rPr>
              <w:t>Lower Limit</w:t>
            </w:r>
          </w:p>
        </w:tc>
      </w:tr>
      <w:tr w:rsidR="0053664C" w:rsidRPr="00FD119B" w:rsidTr="006A3326">
        <w:tc>
          <w:tcPr>
            <w:tcW w:w="1809" w:type="dxa"/>
          </w:tcPr>
          <w:p w:rsidR="0053664C" w:rsidRPr="004A26C7" w:rsidRDefault="0053664C" w:rsidP="006A3326">
            <w:pPr>
              <w:rPr>
                <w:rFonts w:cs="ArialNarrow"/>
              </w:rPr>
            </w:pPr>
            <w:r w:rsidRPr="004A26C7">
              <w:rPr>
                <w:rFonts w:cs="ArialNarrow"/>
              </w:rPr>
              <w:t>LRTI</w:t>
            </w:r>
          </w:p>
        </w:tc>
        <w:tc>
          <w:tcPr>
            <w:tcW w:w="7230" w:type="dxa"/>
          </w:tcPr>
          <w:p w:rsidR="0053664C" w:rsidRPr="004A26C7" w:rsidRDefault="0053664C" w:rsidP="006A3326">
            <w:pPr>
              <w:rPr>
                <w:rFonts w:cs="ArialNarrow"/>
              </w:rPr>
            </w:pPr>
            <w:r w:rsidRPr="004A26C7">
              <w:rPr>
                <w:rFonts w:cs="ArialNarrow"/>
              </w:rPr>
              <w:t>Lower Respiratory Tract Infection</w:t>
            </w:r>
          </w:p>
        </w:tc>
      </w:tr>
      <w:tr w:rsidR="0053664C" w:rsidRPr="00FD119B" w:rsidTr="006A3326">
        <w:tc>
          <w:tcPr>
            <w:tcW w:w="1809" w:type="dxa"/>
          </w:tcPr>
          <w:p w:rsidR="0053664C" w:rsidRPr="004A26C7" w:rsidRDefault="0053664C" w:rsidP="006A3326">
            <w:r w:rsidRPr="004A26C7">
              <w:t xml:space="preserve">MAA </w:t>
            </w:r>
          </w:p>
        </w:tc>
        <w:tc>
          <w:tcPr>
            <w:tcW w:w="7230" w:type="dxa"/>
          </w:tcPr>
          <w:p w:rsidR="0053664C" w:rsidRPr="004A26C7" w:rsidRDefault="0053664C" w:rsidP="006A3326">
            <w:r w:rsidRPr="004A26C7">
              <w:t>Marketing Authorization Application</w:t>
            </w:r>
          </w:p>
        </w:tc>
      </w:tr>
      <w:tr w:rsidR="0053664C" w:rsidRPr="00FD119B" w:rsidTr="006A3326">
        <w:tc>
          <w:tcPr>
            <w:tcW w:w="1809" w:type="dxa"/>
          </w:tcPr>
          <w:p w:rsidR="0053664C" w:rsidRPr="004A26C7" w:rsidRDefault="0053664C" w:rsidP="006A3326">
            <w:r w:rsidRPr="004A26C7">
              <w:rPr>
                <w:color w:val="000000"/>
              </w:rPr>
              <w:t>MCS</w:t>
            </w:r>
          </w:p>
        </w:tc>
        <w:tc>
          <w:tcPr>
            <w:tcW w:w="7230" w:type="dxa"/>
          </w:tcPr>
          <w:p w:rsidR="0053664C" w:rsidRPr="004A26C7" w:rsidRDefault="0053664C" w:rsidP="006A3326">
            <w:r w:rsidRPr="004A26C7">
              <w:rPr>
                <w:color w:val="000000"/>
              </w:rPr>
              <w:t xml:space="preserve">Monte Carlo Simulation </w:t>
            </w:r>
          </w:p>
        </w:tc>
      </w:tr>
      <w:tr w:rsidR="0053664C" w:rsidRPr="00FD119B" w:rsidTr="006A3326">
        <w:tc>
          <w:tcPr>
            <w:tcW w:w="1809" w:type="dxa"/>
          </w:tcPr>
          <w:p w:rsidR="0053664C" w:rsidRPr="004A26C7" w:rsidRDefault="0053664C" w:rsidP="006A3326">
            <w:r>
              <w:t>MDR</w:t>
            </w:r>
          </w:p>
        </w:tc>
        <w:tc>
          <w:tcPr>
            <w:tcW w:w="7230" w:type="dxa"/>
          </w:tcPr>
          <w:p w:rsidR="0053664C" w:rsidRPr="004A26C7" w:rsidRDefault="0053664C" w:rsidP="006A3326">
            <w:r>
              <w:t>Multi-Drug Resistant</w:t>
            </w:r>
          </w:p>
        </w:tc>
      </w:tr>
      <w:tr w:rsidR="0053664C" w:rsidRPr="00FD119B" w:rsidTr="006A3326">
        <w:tc>
          <w:tcPr>
            <w:tcW w:w="1809" w:type="dxa"/>
          </w:tcPr>
          <w:p w:rsidR="0053664C" w:rsidRPr="004A26C7" w:rsidRDefault="0053664C" w:rsidP="006A3326">
            <w:r w:rsidRPr="004A26C7">
              <w:t>MEDRA</w:t>
            </w:r>
          </w:p>
        </w:tc>
        <w:tc>
          <w:tcPr>
            <w:tcW w:w="7230" w:type="dxa"/>
          </w:tcPr>
          <w:p w:rsidR="0053664C" w:rsidRPr="004A26C7" w:rsidRDefault="0053664C" w:rsidP="006A3326">
            <w:r w:rsidRPr="004A26C7">
              <w:t>Medical Dictionary For Regulatory Activities</w:t>
            </w:r>
          </w:p>
        </w:tc>
      </w:tr>
      <w:tr w:rsidR="0053664C" w:rsidRPr="00FD119B" w:rsidTr="006A3326">
        <w:tc>
          <w:tcPr>
            <w:tcW w:w="1809" w:type="dxa"/>
          </w:tcPr>
          <w:p w:rsidR="0053664C" w:rsidRPr="004A26C7" w:rsidRDefault="0053664C" w:rsidP="006A3326">
            <w:r w:rsidRPr="004A26C7">
              <w:t>MIC</w:t>
            </w:r>
          </w:p>
        </w:tc>
        <w:tc>
          <w:tcPr>
            <w:tcW w:w="7230" w:type="dxa"/>
          </w:tcPr>
          <w:p w:rsidR="0053664C" w:rsidRPr="004A26C7" w:rsidRDefault="0053664C" w:rsidP="006A3326">
            <w:r w:rsidRPr="004A26C7">
              <w:t>Minimum Inhibitory Concentration</w:t>
            </w:r>
          </w:p>
        </w:tc>
      </w:tr>
      <w:tr w:rsidR="0053664C" w:rsidRPr="00FD119B" w:rsidTr="006A3326">
        <w:tc>
          <w:tcPr>
            <w:tcW w:w="1809" w:type="dxa"/>
          </w:tcPr>
          <w:p w:rsidR="0053664C" w:rsidRPr="004A26C7" w:rsidRDefault="0053664C" w:rsidP="006A3326">
            <w:r w:rsidRPr="004A26C7">
              <w:t xml:space="preserve">ml </w:t>
            </w:r>
          </w:p>
        </w:tc>
        <w:tc>
          <w:tcPr>
            <w:tcW w:w="7230" w:type="dxa"/>
          </w:tcPr>
          <w:p w:rsidR="0053664C" w:rsidRPr="004A26C7" w:rsidRDefault="0053664C" w:rsidP="006A3326">
            <w:proofErr w:type="spellStart"/>
            <w:r w:rsidRPr="004A26C7">
              <w:t>Milliliters</w:t>
            </w:r>
            <w:proofErr w:type="spellEnd"/>
          </w:p>
        </w:tc>
      </w:tr>
      <w:tr w:rsidR="0053664C" w:rsidRPr="00FD119B" w:rsidTr="006A3326">
        <w:tc>
          <w:tcPr>
            <w:tcW w:w="1809" w:type="dxa"/>
          </w:tcPr>
          <w:p w:rsidR="0053664C" w:rsidRPr="004A26C7" w:rsidRDefault="0053664C" w:rsidP="006A3326">
            <w:r w:rsidRPr="004A26C7">
              <w:t>MRSA</w:t>
            </w:r>
          </w:p>
        </w:tc>
        <w:tc>
          <w:tcPr>
            <w:tcW w:w="7230" w:type="dxa"/>
          </w:tcPr>
          <w:p w:rsidR="0053664C" w:rsidRPr="004A26C7" w:rsidRDefault="0053664C" w:rsidP="006A3326">
            <w:r w:rsidRPr="004A26C7">
              <w:t xml:space="preserve">Methicillin-Resistant </w:t>
            </w:r>
            <w:proofErr w:type="spellStart"/>
            <w:r w:rsidRPr="004A26C7">
              <w:t>Staphlyococcus</w:t>
            </w:r>
            <w:proofErr w:type="spellEnd"/>
            <w:r w:rsidRPr="004A26C7">
              <w:t xml:space="preserve"> Aureus</w:t>
            </w:r>
          </w:p>
        </w:tc>
      </w:tr>
      <w:tr w:rsidR="0053664C" w:rsidRPr="00FD119B" w:rsidTr="006A3326">
        <w:tc>
          <w:tcPr>
            <w:tcW w:w="1809" w:type="dxa"/>
          </w:tcPr>
          <w:p w:rsidR="0053664C" w:rsidRPr="004A26C7" w:rsidRDefault="0053664C" w:rsidP="006A3326">
            <w:r w:rsidRPr="004A26C7">
              <w:t>MSSA</w:t>
            </w:r>
          </w:p>
        </w:tc>
        <w:tc>
          <w:tcPr>
            <w:tcW w:w="7230" w:type="dxa"/>
          </w:tcPr>
          <w:p w:rsidR="0053664C" w:rsidRPr="004A26C7" w:rsidRDefault="0053664C" w:rsidP="006A3326">
            <w:r w:rsidRPr="004A26C7">
              <w:t xml:space="preserve">Methicillin-Susceptible </w:t>
            </w:r>
            <w:proofErr w:type="spellStart"/>
            <w:r w:rsidRPr="004A26C7">
              <w:t>Staphlyococcus</w:t>
            </w:r>
            <w:proofErr w:type="spellEnd"/>
            <w:r w:rsidRPr="004A26C7">
              <w:t xml:space="preserve"> Aureus</w:t>
            </w:r>
          </w:p>
        </w:tc>
      </w:tr>
      <w:tr w:rsidR="0053664C" w:rsidRPr="00FD119B" w:rsidTr="006A3326">
        <w:tc>
          <w:tcPr>
            <w:tcW w:w="1809" w:type="dxa"/>
          </w:tcPr>
          <w:p w:rsidR="0053664C" w:rsidRPr="004A26C7" w:rsidRDefault="0053664C" w:rsidP="006A3326">
            <w:r w:rsidRPr="004A26C7">
              <w:t>NAFLD</w:t>
            </w:r>
          </w:p>
        </w:tc>
        <w:tc>
          <w:tcPr>
            <w:tcW w:w="7230" w:type="dxa"/>
          </w:tcPr>
          <w:p w:rsidR="0053664C" w:rsidRPr="004A26C7" w:rsidRDefault="0053664C" w:rsidP="006A3326">
            <w:r w:rsidRPr="004A26C7">
              <w:t>Non-Alcoholic Fatty Liver Disease</w:t>
            </w:r>
          </w:p>
        </w:tc>
      </w:tr>
      <w:tr w:rsidR="0053664C" w:rsidRPr="00BE7D4D" w:rsidTr="006A3326">
        <w:tc>
          <w:tcPr>
            <w:tcW w:w="1809" w:type="dxa"/>
          </w:tcPr>
          <w:p w:rsidR="0053664C" w:rsidRPr="004A26C7" w:rsidRDefault="0053664C" w:rsidP="006A3326">
            <w:r w:rsidRPr="004A26C7">
              <w:t>NIDDM</w:t>
            </w:r>
          </w:p>
        </w:tc>
        <w:tc>
          <w:tcPr>
            <w:tcW w:w="7230" w:type="dxa"/>
          </w:tcPr>
          <w:p w:rsidR="0053664C" w:rsidRPr="00614CF0" w:rsidRDefault="0053664C" w:rsidP="006A3326">
            <w:pPr>
              <w:rPr>
                <w:lang w:val="fr-FR"/>
              </w:rPr>
            </w:pPr>
            <w:r w:rsidRPr="00614CF0">
              <w:rPr>
                <w:lang w:val="fr-FR"/>
              </w:rPr>
              <w:t>Non-</w:t>
            </w:r>
            <w:proofErr w:type="spellStart"/>
            <w:r w:rsidRPr="00614CF0">
              <w:rPr>
                <w:lang w:val="fr-FR"/>
              </w:rPr>
              <w:t>Insulin</w:t>
            </w:r>
            <w:proofErr w:type="spellEnd"/>
            <w:r w:rsidRPr="00614CF0">
              <w:rPr>
                <w:lang w:val="fr-FR"/>
              </w:rPr>
              <w:t xml:space="preserve"> </w:t>
            </w:r>
            <w:proofErr w:type="spellStart"/>
            <w:r w:rsidRPr="00614CF0">
              <w:rPr>
                <w:lang w:val="fr-FR"/>
              </w:rPr>
              <w:t>Dependent</w:t>
            </w:r>
            <w:proofErr w:type="spellEnd"/>
            <w:r w:rsidRPr="00614CF0">
              <w:rPr>
                <w:lang w:val="fr-FR"/>
              </w:rPr>
              <w:t xml:space="preserve"> </w:t>
            </w:r>
            <w:proofErr w:type="spellStart"/>
            <w:r w:rsidRPr="00614CF0">
              <w:rPr>
                <w:lang w:val="fr-FR"/>
              </w:rPr>
              <w:t>Diabetes</w:t>
            </w:r>
            <w:proofErr w:type="spellEnd"/>
            <w:r w:rsidRPr="00614CF0">
              <w:rPr>
                <w:lang w:val="fr-FR"/>
              </w:rPr>
              <w:t xml:space="preserve"> </w:t>
            </w:r>
            <w:proofErr w:type="spellStart"/>
            <w:r w:rsidRPr="00614CF0">
              <w:rPr>
                <w:lang w:val="fr-FR"/>
              </w:rPr>
              <w:t>Mellitus</w:t>
            </w:r>
            <w:proofErr w:type="spellEnd"/>
          </w:p>
        </w:tc>
      </w:tr>
      <w:tr w:rsidR="0053664C" w:rsidRPr="00FD119B" w:rsidTr="006A3326">
        <w:tc>
          <w:tcPr>
            <w:tcW w:w="1809" w:type="dxa"/>
          </w:tcPr>
          <w:p w:rsidR="0053664C" w:rsidRPr="004A26C7" w:rsidRDefault="0053664C" w:rsidP="006A3326">
            <w:r w:rsidRPr="004A26C7">
              <w:rPr>
                <w:bCs/>
              </w:rPr>
              <w:lastRenderedPageBreak/>
              <w:t>NOAEL</w:t>
            </w:r>
          </w:p>
        </w:tc>
        <w:tc>
          <w:tcPr>
            <w:tcW w:w="7230" w:type="dxa"/>
          </w:tcPr>
          <w:p w:rsidR="0053664C" w:rsidRPr="004A26C7" w:rsidRDefault="0053664C" w:rsidP="006A3326">
            <w:r w:rsidRPr="004A26C7">
              <w:rPr>
                <w:bCs/>
              </w:rPr>
              <w:t xml:space="preserve">No-Observed Adverse- Effect Level </w:t>
            </w:r>
          </w:p>
        </w:tc>
      </w:tr>
      <w:tr w:rsidR="0053664C" w:rsidRPr="00FD119B" w:rsidTr="006A3326">
        <w:tc>
          <w:tcPr>
            <w:tcW w:w="1809" w:type="dxa"/>
          </w:tcPr>
          <w:p w:rsidR="0053664C" w:rsidRPr="004A26C7" w:rsidRDefault="0053664C" w:rsidP="006A3326">
            <w:r w:rsidRPr="004A26C7">
              <w:t>NP</w:t>
            </w:r>
          </w:p>
        </w:tc>
        <w:tc>
          <w:tcPr>
            <w:tcW w:w="7230" w:type="dxa"/>
          </w:tcPr>
          <w:p w:rsidR="0053664C" w:rsidRPr="004A26C7" w:rsidRDefault="0053664C" w:rsidP="006A3326">
            <w:r w:rsidRPr="004A26C7">
              <w:t>Nosocomial Pneumonia</w:t>
            </w:r>
          </w:p>
        </w:tc>
      </w:tr>
      <w:tr w:rsidR="0053664C" w:rsidRPr="00FD119B" w:rsidTr="006A3326">
        <w:tc>
          <w:tcPr>
            <w:tcW w:w="1809" w:type="dxa"/>
          </w:tcPr>
          <w:p w:rsidR="0053664C" w:rsidRPr="004A26C7" w:rsidRDefault="0053664C" w:rsidP="006A3326">
            <w:r w:rsidRPr="004A26C7">
              <w:t>PBPs</w:t>
            </w:r>
          </w:p>
        </w:tc>
        <w:tc>
          <w:tcPr>
            <w:tcW w:w="7230" w:type="dxa"/>
          </w:tcPr>
          <w:p w:rsidR="0053664C" w:rsidRPr="004A26C7" w:rsidRDefault="0053664C" w:rsidP="006A3326">
            <w:r w:rsidRPr="004A26C7">
              <w:t xml:space="preserve">Penicillin Binding Proteins </w:t>
            </w:r>
          </w:p>
        </w:tc>
      </w:tr>
      <w:tr w:rsidR="0053664C" w:rsidRPr="00FD119B" w:rsidTr="006A3326">
        <w:tc>
          <w:tcPr>
            <w:tcW w:w="1809" w:type="dxa"/>
          </w:tcPr>
          <w:p w:rsidR="0053664C" w:rsidRPr="004A26C7" w:rsidRDefault="0053664C" w:rsidP="006A3326">
            <w:r w:rsidRPr="004A26C7">
              <w:t>PD</w:t>
            </w:r>
          </w:p>
        </w:tc>
        <w:tc>
          <w:tcPr>
            <w:tcW w:w="7230" w:type="dxa"/>
          </w:tcPr>
          <w:p w:rsidR="0053664C" w:rsidRPr="004A26C7" w:rsidRDefault="0053664C" w:rsidP="006A3326">
            <w:proofErr w:type="spellStart"/>
            <w:r w:rsidRPr="004A26C7">
              <w:t>Pharmacodynamic</w:t>
            </w:r>
            <w:proofErr w:type="spellEnd"/>
          </w:p>
        </w:tc>
      </w:tr>
      <w:tr w:rsidR="0053664C" w:rsidRPr="00FD119B" w:rsidTr="006A3326">
        <w:tc>
          <w:tcPr>
            <w:tcW w:w="1809" w:type="dxa"/>
          </w:tcPr>
          <w:p w:rsidR="0053664C" w:rsidRPr="004A26C7" w:rsidRDefault="0053664C" w:rsidP="006A3326">
            <w:r w:rsidRPr="004A26C7">
              <w:t xml:space="preserve">PI </w:t>
            </w:r>
          </w:p>
        </w:tc>
        <w:tc>
          <w:tcPr>
            <w:tcW w:w="7230" w:type="dxa"/>
          </w:tcPr>
          <w:p w:rsidR="0053664C" w:rsidRPr="004A26C7" w:rsidRDefault="0053664C" w:rsidP="006A3326">
            <w:r w:rsidRPr="004A26C7">
              <w:t>Prescribing Information</w:t>
            </w:r>
          </w:p>
        </w:tc>
      </w:tr>
      <w:tr w:rsidR="0053664C" w:rsidRPr="00FD119B" w:rsidTr="006A3326">
        <w:tc>
          <w:tcPr>
            <w:tcW w:w="1809" w:type="dxa"/>
          </w:tcPr>
          <w:p w:rsidR="0053664C" w:rsidRPr="004A26C7" w:rsidRDefault="0053664C" w:rsidP="006A3326">
            <w:r w:rsidRPr="004A26C7">
              <w:t>PK</w:t>
            </w:r>
          </w:p>
        </w:tc>
        <w:tc>
          <w:tcPr>
            <w:tcW w:w="7230" w:type="dxa"/>
          </w:tcPr>
          <w:p w:rsidR="0053664C" w:rsidRPr="004A26C7" w:rsidRDefault="0053664C" w:rsidP="006A3326">
            <w:r w:rsidRPr="004A26C7">
              <w:t>Pharmacokinetic</w:t>
            </w:r>
          </w:p>
        </w:tc>
      </w:tr>
      <w:tr w:rsidR="0053664C" w:rsidRPr="00FD119B" w:rsidTr="006A3326">
        <w:tc>
          <w:tcPr>
            <w:tcW w:w="1809" w:type="dxa"/>
          </w:tcPr>
          <w:p w:rsidR="0053664C" w:rsidRPr="004A26C7" w:rsidRDefault="0053664C" w:rsidP="006A3326">
            <w:proofErr w:type="spellStart"/>
            <w:r w:rsidRPr="004A26C7">
              <w:t>pKa</w:t>
            </w:r>
            <w:proofErr w:type="spellEnd"/>
          </w:p>
        </w:tc>
        <w:tc>
          <w:tcPr>
            <w:tcW w:w="7230" w:type="dxa"/>
          </w:tcPr>
          <w:p w:rsidR="0053664C" w:rsidRPr="004A26C7" w:rsidRDefault="0053664C" w:rsidP="006A3326">
            <w:r w:rsidRPr="004A26C7">
              <w:t>Acid Dissociation Constant</w:t>
            </w:r>
          </w:p>
        </w:tc>
      </w:tr>
      <w:tr w:rsidR="0053664C" w:rsidRPr="00FD119B" w:rsidTr="006A3326">
        <w:tc>
          <w:tcPr>
            <w:tcW w:w="1809" w:type="dxa"/>
          </w:tcPr>
          <w:p w:rsidR="0053664C" w:rsidRPr="004A26C7" w:rsidRDefault="0053664C" w:rsidP="006A3326">
            <w:r w:rsidRPr="004A26C7">
              <w:t>PMS</w:t>
            </w:r>
          </w:p>
        </w:tc>
        <w:tc>
          <w:tcPr>
            <w:tcW w:w="7230" w:type="dxa"/>
          </w:tcPr>
          <w:p w:rsidR="0053664C" w:rsidRPr="004A26C7" w:rsidRDefault="0053664C" w:rsidP="006A3326">
            <w:r w:rsidRPr="004A26C7">
              <w:t>Post Marketing Surveillance</w:t>
            </w:r>
          </w:p>
        </w:tc>
      </w:tr>
      <w:tr w:rsidR="0053664C" w:rsidRPr="00FD119B" w:rsidTr="006A3326">
        <w:tc>
          <w:tcPr>
            <w:tcW w:w="1809" w:type="dxa"/>
          </w:tcPr>
          <w:p w:rsidR="0053664C" w:rsidRPr="004A26C7" w:rsidRDefault="0053664C" w:rsidP="006A3326">
            <w:r w:rsidRPr="004A26C7">
              <w:t>PORT</w:t>
            </w:r>
          </w:p>
        </w:tc>
        <w:tc>
          <w:tcPr>
            <w:tcW w:w="7230" w:type="dxa"/>
          </w:tcPr>
          <w:p w:rsidR="0053664C" w:rsidRPr="004A26C7" w:rsidRDefault="0053664C" w:rsidP="006A3326">
            <w:r w:rsidRPr="004A26C7">
              <w:t>Pneumonia Outcomes Research Team</w:t>
            </w:r>
          </w:p>
        </w:tc>
      </w:tr>
      <w:tr w:rsidR="0053664C" w:rsidRPr="00FD119B" w:rsidTr="006A3326">
        <w:tc>
          <w:tcPr>
            <w:tcW w:w="1809" w:type="dxa"/>
          </w:tcPr>
          <w:p w:rsidR="0053664C" w:rsidRPr="004A26C7" w:rsidRDefault="0053664C" w:rsidP="006A3326">
            <w:r w:rsidRPr="004A26C7">
              <w:t>PRSP</w:t>
            </w:r>
          </w:p>
        </w:tc>
        <w:tc>
          <w:tcPr>
            <w:tcW w:w="7230" w:type="dxa"/>
          </w:tcPr>
          <w:p w:rsidR="0053664C" w:rsidRPr="004A26C7" w:rsidRDefault="0053664C" w:rsidP="006A3326">
            <w:r w:rsidRPr="004A26C7">
              <w:t>Penicillin-Resistant Streptococcus Pneumoniae</w:t>
            </w:r>
          </w:p>
        </w:tc>
      </w:tr>
      <w:tr w:rsidR="0053664C" w:rsidRPr="00FD119B" w:rsidTr="006A3326">
        <w:tc>
          <w:tcPr>
            <w:tcW w:w="1809" w:type="dxa"/>
          </w:tcPr>
          <w:p w:rsidR="0053664C" w:rsidRPr="004A26C7" w:rsidRDefault="0053664C" w:rsidP="006A3326">
            <w:r w:rsidRPr="004A26C7">
              <w:rPr>
                <w:rFonts w:cs="TimesNewRoman"/>
              </w:rPr>
              <w:t>PSI</w:t>
            </w:r>
          </w:p>
        </w:tc>
        <w:tc>
          <w:tcPr>
            <w:tcW w:w="7230" w:type="dxa"/>
          </w:tcPr>
          <w:p w:rsidR="0053664C" w:rsidRPr="004A26C7" w:rsidRDefault="0053664C" w:rsidP="006A3326">
            <w:r w:rsidRPr="004A26C7">
              <w:rPr>
                <w:rFonts w:cs="TimesNewRoman"/>
              </w:rPr>
              <w:t xml:space="preserve">Pneumonia Outcomes Research Team Severity Index </w:t>
            </w:r>
          </w:p>
        </w:tc>
      </w:tr>
      <w:tr w:rsidR="0053664C" w:rsidRPr="00FD119B" w:rsidTr="006A3326">
        <w:tc>
          <w:tcPr>
            <w:tcW w:w="1809" w:type="dxa"/>
          </w:tcPr>
          <w:p w:rsidR="0053664C" w:rsidRPr="004A26C7" w:rsidRDefault="0053664C" w:rsidP="006A3326">
            <w:r w:rsidRPr="004A26C7">
              <w:t xml:space="preserve">PSUR </w:t>
            </w:r>
          </w:p>
        </w:tc>
        <w:tc>
          <w:tcPr>
            <w:tcW w:w="7230" w:type="dxa"/>
          </w:tcPr>
          <w:p w:rsidR="0053664C" w:rsidRPr="004A26C7" w:rsidRDefault="0053664C" w:rsidP="006A3326">
            <w:r w:rsidRPr="004A26C7">
              <w:t>Periodic Safety Update Report</w:t>
            </w:r>
          </w:p>
        </w:tc>
      </w:tr>
      <w:tr w:rsidR="0053664C" w:rsidRPr="00FD119B" w:rsidTr="006A3326">
        <w:tc>
          <w:tcPr>
            <w:tcW w:w="1809" w:type="dxa"/>
          </w:tcPr>
          <w:p w:rsidR="0053664C" w:rsidRPr="004A26C7" w:rsidRDefault="0053664C" w:rsidP="006A3326">
            <w:r w:rsidRPr="004A26C7">
              <w:t xml:space="preserve">PT </w:t>
            </w:r>
          </w:p>
        </w:tc>
        <w:tc>
          <w:tcPr>
            <w:tcW w:w="7230" w:type="dxa"/>
          </w:tcPr>
          <w:p w:rsidR="0053664C" w:rsidRPr="004A26C7" w:rsidRDefault="0053664C" w:rsidP="006A3326">
            <w:r w:rsidRPr="004A26C7">
              <w:t>Preferred Term</w:t>
            </w:r>
          </w:p>
        </w:tc>
      </w:tr>
      <w:tr w:rsidR="0053664C" w:rsidRPr="00FD119B" w:rsidTr="006A3326">
        <w:tc>
          <w:tcPr>
            <w:tcW w:w="1809" w:type="dxa"/>
          </w:tcPr>
          <w:p w:rsidR="0053664C" w:rsidRPr="004A26C7" w:rsidRDefault="0053664C" w:rsidP="006A3326">
            <w:r w:rsidRPr="004A26C7">
              <w:t>PTA</w:t>
            </w:r>
          </w:p>
        </w:tc>
        <w:tc>
          <w:tcPr>
            <w:tcW w:w="7230" w:type="dxa"/>
          </w:tcPr>
          <w:p w:rsidR="0053664C" w:rsidRPr="004A26C7" w:rsidRDefault="0053664C" w:rsidP="006A3326">
            <w:r w:rsidRPr="004A26C7">
              <w:t>Probability Of Target Attainment</w:t>
            </w:r>
          </w:p>
        </w:tc>
      </w:tr>
      <w:tr w:rsidR="0053664C" w:rsidRPr="00FD119B" w:rsidTr="006A3326">
        <w:tc>
          <w:tcPr>
            <w:tcW w:w="1809" w:type="dxa"/>
          </w:tcPr>
          <w:p w:rsidR="0053664C" w:rsidRPr="004A26C7" w:rsidRDefault="0053664C" w:rsidP="006A3326">
            <w:r w:rsidRPr="004A26C7">
              <w:t>QD</w:t>
            </w:r>
          </w:p>
        </w:tc>
        <w:tc>
          <w:tcPr>
            <w:tcW w:w="7230" w:type="dxa"/>
          </w:tcPr>
          <w:p w:rsidR="0053664C" w:rsidRPr="004A26C7" w:rsidRDefault="0053664C" w:rsidP="006A3326">
            <w:r w:rsidRPr="004A26C7">
              <w:t>Once Daily</w:t>
            </w:r>
          </w:p>
        </w:tc>
      </w:tr>
      <w:tr w:rsidR="0053664C" w:rsidRPr="00FD119B" w:rsidTr="006A3326">
        <w:tc>
          <w:tcPr>
            <w:tcW w:w="1809" w:type="dxa"/>
          </w:tcPr>
          <w:p w:rsidR="0053664C" w:rsidRPr="004A26C7" w:rsidRDefault="0053664C" w:rsidP="006A3326">
            <w:r w:rsidRPr="004A26C7">
              <w:t>RMP</w:t>
            </w:r>
          </w:p>
        </w:tc>
        <w:tc>
          <w:tcPr>
            <w:tcW w:w="7230" w:type="dxa"/>
          </w:tcPr>
          <w:p w:rsidR="0053664C" w:rsidRPr="004A26C7" w:rsidRDefault="0053664C" w:rsidP="006A3326">
            <w:r w:rsidRPr="004A26C7">
              <w:t>Risk Management Plan</w:t>
            </w:r>
          </w:p>
        </w:tc>
      </w:tr>
      <w:tr w:rsidR="0053664C" w:rsidRPr="00FD119B" w:rsidTr="006A3326">
        <w:tc>
          <w:tcPr>
            <w:tcW w:w="1809" w:type="dxa"/>
          </w:tcPr>
          <w:p w:rsidR="0053664C" w:rsidRPr="004A26C7" w:rsidRDefault="0053664C" w:rsidP="006A3326">
            <w:r w:rsidRPr="004A26C7">
              <w:t>RTI</w:t>
            </w:r>
          </w:p>
        </w:tc>
        <w:tc>
          <w:tcPr>
            <w:tcW w:w="7230" w:type="dxa"/>
          </w:tcPr>
          <w:p w:rsidR="0053664C" w:rsidRPr="004A26C7" w:rsidRDefault="0053664C" w:rsidP="006A3326">
            <w:r w:rsidRPr="004A26C7">
              <w:t>Respiratory Tract Infection</w:t>
            </w:r>
          </w:p>
        </w:tc>
      </w:tr>
      <w:tr w:rsidR="0053664C" w:rsidRPr="00FD119B" w:rsidTr="006A3326">
        <w:tc>
          <w:tcPr>
            <w:tcW w:w="1809" w:type="dxa"/>
          </w:tcPr>
          <w:p w:rsidR="0053664C" w:rsidRPr="004A26C7" w:rsidRDefault="0053664C" w:rsidP="006A3326">
            <w:r w:rsidRPr="004A26C7">
              <w:t xml:space="preserve">SAE </w:t>
            </w:r>
          </w:p>
        </w:tc>
        <w:tc>
          <w:tcPr>
            <w:tcW w:w="7230" w:type="dxa"/>
          </w:tcPr>
          <w:p w:rsidR="0053664C" w:rsidRPr="004A26C7" w:rsidRDefault="0053664C" w:rsidP="006A3326">
            <w:r w:rsidRPr="004A26C7">
              <w:t>Serious Adverse Event</w:t>
            </w:r>
          </w:p>
        </w:tc>
      </w:tr>
      <w:tr w:rsidR="0053664C" w:rsidRPr="00FD119B" w:rsidTr="006A3326">
        <w:tc>
          <w:tcPr>
            <w:tcW w:w="1809" w:type="dxa"/>
          </w:tcPr>
          <w:p w:rsidR="0053664C" w:rsidRPr="004A26C7" w:rsidRDefault="0053664C" w:rsidP="006A3326">
            <w:r w:rsidRPr="004A26C7">
              <w:t>SAP</w:t>
            </w:r>
          </w:p>
        </w:tc>
        <w:tc>
          <w:tcPr>
            <w:tcW w:w="7230" w:type="dxa"/>
          </w:tcPr>
          <w:p w:rsidR="0053664C" w:rsidRPr="004A26C7" w:rsidRDefault="0053664C" w:rsidP="006A3326">
            <w:r w:rsidRPr="004A26C7">
              <w:t>Statistical Analysis Plan</w:t>
            </w:r>
          </w:p>
        </w:tc>
      </w:tr>
      <w:tr w:rsidR="0053664C" w:rsidRPr="00FD119B" w:rsidTr="006A3326">
        <w:tc>
          <w:tcPr>
            <w:tcW w:w="1809" w:type="dxa"/>
          </w:tcPr>
          <w:p w:rsidR="0053664C" w:rsidRPr="004A26C7" w:rsidRDefault="0053664C" w:rsidP="006A3326">
            <w:r w:rsidRPr="004A26C7">
              <w:t>SD</w:t>
            </w:r>
          </w:p>
        </w:tc>
        <w:tc>
          <w:tcPr>
            <w:tcW w:w="7230" w:type="dxa"/>
          </w:tcPr>
          <w:p w:rsidR="0053664C" w:rsidRPr="004A26C7" w:rsidRDefault="0053664C" w:rsidP="006A3326">
            <w:r w:rsidRPr="004A26C7">
              <w:t>Standard Deviation</w:t>
            </w:r>
          </w:p>
        </w:tc>
      </w:tr>
      <w:tr w:rsidR="0053664C" w:rsidRPr="00FD119B" w:rsidTr="006A3326">
        <w:tc>
          <w:tcPr>
            <w:tcW w:w="1809" w:type="dxa"/>
          </w:tcPr>
          <w:p w:rsidR="0053664C" w:rsidRPr="004A26C7" w:rsidRDefault="0053664C" w:rsidP="006A3326">
            <w:r>
              <w:t>SE</w:t>
            </w:r>
          </w:p>
        </w:tc>
        <w:tc>
          <w:tcPr>
            <w:tcW w:w="7230" w:type="dxa"/>
          </w:tcPr>
          <w:p w:rsidR="0053664C" w:rsidRPr="004A26C7" w:rsidRDefault="0053664C" w:rsidP="006A3326">
            <w:r>
              <w:t>Standard Error</w:t>
            </w:r>
          </w:p>
        </w:tc>
      </w:tr>
      <w:tr w:rsidR="0053664C" w:rsidRPr="00FD119B" w:rsidTr="006A3326">
        <w:tc>
          <w:tcPr>
            <w:tcW w:w="1809" w:type="dxa"/>
          </w:tcPr>
          <w:p w:rsidR="0053664C" w:rsidRPr="004A26C7" w:rsidRDefault="0053664C" w:rsidP="006A3326">
            <w:r w:rsidRPr="004A26C7">
              <w:t>SIRS</w:t>
            </w:r>
          </w:p>
        </w:tc>
        <w:tc>
          <w:tcPr>
            <w:tcW w:w="7230" w:type="dxa"/>
          </w:tcPr>
          <w:p w:rsidR="0053664C" w:rsidRPr="004A26C7" w:rsidRDefault="0053664C" w:rsidP="006A3326">
            <w:r w:rsidRPr="004A26C7">
              <w:t>Systemic Inflammatory Response Syndrome</w:t>
            </w:r>
          </w:p>
        </w:tc>
      </w:tr>
      <w:tr w:rsidR="0053664C" w:rsidRPr="00FD119B" w:rsidTr="006A3326">
        <w:tc>
          <w:tcPr>
            <w:tcW w:w="1809" w:type="dxa"/>
          </w:tcPr>
          <w:p w:rsidR="0053664C" w:rsidRPr="004A26C7" w:rsidRDefault="0053664C" w:rsidP="006A3326">
            <w:bookmarkStart w:id="7" w:name="_Toc400319079"/>
            <w:proofErr w:type="spellStart"/>
            <w:r w:rsidRPr="004A26C7">
              <w:t>SmPC</w:t>
            </w:r>
            <w:bookmarkEnd w:id="7"/>
            <w:proofErr w:type="spellEnd"/>
            <w:r w:rsidRPr="004A26C7">
              <w:t xml:space="preserve"> </w:t>
            </w:r>
          </w:p>
        </w:tc>
        <w:tc>
          <w:tcPr>
            <w:tcW w:w="7230" w:type="dxa"/>
          </w:tcPr>
          <w:p w:rsidR="0053664C" w:rsidRPr="004A26C7" w:rsidRDefault="0053664C" w:rsidP="006A3326">
            <w:r w:rsidRPr="004A26C7">
              <w:t>Summary Of Product Characteristics</w:t>
            </w:r>
          </w:p>
        </w:tc>
      </w:tr>
      <w:tr w:rsidR="0053664C" w:rsidRPr="00FD119B" w:rsidTr="006A3326">
        <w:tc>
          <w:tcPr>
            <w:tcW w:w="1809" w:type="dxa"/>
          </w:tcPr>
          <w:p w:rsidR="0053664C" w:rsidRPr="004A26C7" w:rsidRDefault="0053664C" w:rsidP="006A3326">
            <w:r w:rsidRPr="004A26C7">
              <w:t xml:space="preserve">SMR </w:t>
            </w:r>
          </w:p>
        </w:tc>
        <w:tc>
          <w:tcPr>
            <w:tcW w:w="7230" w:type="dxa"/>
          </w:tcPr>
          <w:p w:rsidR="0053664C" w:rsidRPr="004A26C7" w:rsidRDefault="0053664C" w:rsidP="006A3326">
            <w:r w:rsidRPr="004A26C7">
              <w:t>Standardised Mortality Rate</w:t>
            </w:r>
          </w:p>
        </w:tc>
      </w:tr>
      <w:tr w:rsidR="0053664C" w:rsidRPr="00FD119B" w:rsidTr="006A3326">
        <w:tc>
          <w:tcPr>
            <w:tcW w:w="1809" w:type="dxa"/>
          </w:tcPr>
          <w:p w:rsidR="0053664C" w:rsidRPr="004A26C7" w:rsidRDefault="0053664C" w:rsidP="006A3326">
            <w:r w:rsidRPr="004A26C7">
              <w:t xml:space="preserve">SOC </w:t>
            </w:r>
          </w:p>
        </w:tc>
        <w:tc>
          <w:tcPr>
            <w:tcW w:w="7230" w:type="dxa"/>
          </w:tcPr>
          <w:p w:rsidR="0053664C" w:rsidRPr="004A26C7" w:rsidRDefault="0053664C" w:rsidP="006A3326">
            <w:r w:rsidRPr="004A26C7">
              <w:t>System Organ Class</w:t>
            </w:r>
          </w:p>
        </w:tc>
      </w:tr>
      <w:tr w:rsidR="0053664C" w:rsidRPr="00FD119B" w:rsidTr="006A3326">
        <w:tc>
          <w:tcPr>
            <w:tcW w:w="1809" w:type="dxa"/>
          </w:tcPr>
          <w:p w:rsidR="0053664C" w:rsidRPr="004A26C7" w:rsidRDefault="0053664C" w:rsidP="006A3326">
            <w:r w:rsidRPr="004A26C7">
              <w:t>SOP</w:t>
            </w:r>
          </w:p>
        </w:tc>
        <w:tc>
          <w:tcPr>
            <w:tcW w:w="7230" w:type="dxa"/>
          </w:tcPr>
          <w:p w:rsidR="0053664C" w:rsidRPr="004A26C7" w:rsidRDefault="0053664C" w:rsidP="006A3326">
            <w:r w:rsidRPr="004A26C7">
              <w:t>Standard Operation Procedure</w:t>
            </w:r>
          </w:p>
        </w:tc>
      </w:tr>
      <w:tr w:rsidR="0053664C" w:rsidRPr="00FD119B" w:rsidTr="006A3326">
        <w:tc>
          <w:tcPr>
            <w:tcW w:w="1809" w:type="dxa"/>
          </w:tcPr>
          <w:p w:rsidR="0053664C" w:rsidRPr="004A26C7" w:rsidRDefault="0053664C" w:rsidP="006A3326">
            <w:proofErr w:type="spellStart"/>
            <w:r w:rsidRPr="004A26C7">
              <w:lastRenderedPageBreak/>
              <w:t>tds</w:t>
            </w:r>
            <w:proofErr w:type="spellEnd"/>
          </w:p>
        </w:tc>
        <w:tc>
          <w:tcPr>
            <w:tcW w:w="7230" w:type="dxa"/>
          </w:tcPr>
          <w:p w:rsidR="0053664C" w:rsidRPr="004A26C7" w:rsidRDefault="0053664C" w:rsidP="006A3326">
            <w:r w:rsidRPr="004A26C7">
              <w:t>Three Times A Day</w:t>
            </w:r>
          </w:p>
        </w:tc>
      </w:tr>
      <w:tr w:rsidR="0053664C" w:rsidRPr="00FD119B" w:rsidTr="006A3326">
        <w:tc>
          <w:tcPr>
            <w:tcW w:w="1809" w:type="dxa"/>
          </w:tcPr>
          <w:p w:rsidR="0053664C" w:rsidRPr="004A26C7" w:rsidRDefault="0053664C" w:rsidP="006A3326">
            <w:r w:rsidRPr="004A26C7">
              <w:t xml:space="preserve">TEAE </w:t>
            </w:r>
          </w:p>
        </w:tc>
        <w:tc>
          <w:tcPr>
            <w:tcW w:w="7230" w:type="dxa"/>
          </w:tcPr>
          <w:p w:rsidR="0053664C" w:rsidRPr="004A26C7" w:rsidRDefault="0053664C" w:rsidP="006A3326">
            <w:r w:rsidRPr="004A26C7">
              <w:t>Treatment-Emergent AE</w:t>
            </w:r>
          </w:p>
        </w:tc>
      </w:tr>
      <w:tr w:rsidR="0053664C" w:rsidRPr="00FD119B" w:rsidTr="006A3326">
        <w:tc>
          <w:tcPr>
            <w:tcW w:w="1809" w:type="dxa"/>
          </w:tcPr>
          <w:p w:rsidR="0053664C" w:rsidRPr="004A26C7" w:rsidRDefault="0053664C" w:rsidP="006A3326">
            <w:r w:rsidRPr="004A26C7">
              <w:t>TRAE</w:t>
            </w:r>
          </w:p>
        </w:tc>
        <w:tc>
          <w:tcPr>
            <w:tcW w:w="7230" w:type="dxa"/>
          </w:tcPr>
          <w:p w:rsidR="0053664C" w:rsidRPr="004A26C7" w:rsidRDefault="0053664C" w:rsidP="006A3326">
            <w:r w:rsidRPr="004A26C7">
              <w:t>Treatment-Related AE</w:t>
            </w:r>
          </w:p>
        </w:tc>
      </w:tr>
      <w:tr w:rsidR="0053664C" w:rsidRPr="00FD119B" w:rsidTr="006A3326">
        <w:tc>
          <w:tcPr>
            <w:tcW w:w="1809" w:type="dxa"/>
          </w:tcPr>
          <w:p w:rsidR="0053664C" w:rsidRPr="004A26C7" w:rsidRDefault="0053664C" w:rsidP="006A3326">
            <w:r w:rsidRPr="004A26C7">
              <w:t>t</w:t>
            </w:r>
            <w:r w:rsidRPr="004A26C7">
              <w:rPr>
                <w:vertAlign w:val="subscript"/>
              </w:rPr>
              <w:t>1/2</w:t>
            </w:r>
            <w:r w:rsidRPr="004A26C7">
              <w:rPr>
                <w:rFonts w:cs="Symbol"/>
                <w:vertAlign w:val="subscript"/>
              </w:rPr>
              <w:sym w:font="Symbol" w:char="F062"/>
            </w:r>
          </w:p>
        </w:tc>
        <w:tc>
          <w:tcPr>
            <w:tcW w:w="7230" w:type="dxa"/>
          </w:tcPr>
          <w:p w:rsidR="0053664C" w:rsidRPr="004A26C7" w:rsidRDefault="0053664C" w:rsidP="006A3326">
            <w:r>
              <w:t>A</w:t>
            </w:r>
            <w:r w:rsidRPr="004A26C7">
              <w:t>pparent Terminal Elimination Half-Life</w:t>
            </w:r>
          </w:p>
        </w:tc>
      </w:tr>
      <w:tr w:rsidR="0053664C" w:rsidRPr="00FD119B" w:rsidTr="006A3326">
        <w:tc>
          <w:tcPr>
            <w:tcW w:w="1809" w:type="dxa"/>
          </w:tcPr>
          <w:p w:rsidR="0053664C" w:rsidRPr="004A26C7" w:rsidRDefault="0053664C" w:rsidP="006A3326">
            <w:r w:rsidRPr="004A26C7">
              <w:t>TOC</w:t>
            </w:r>
          </w:p>
        </w:tc>
        <w:tc>
          <w:tcPr>
            <w:tcW w:w="7230" w:type="dxa"/>
          </w:tcPr>
          <w:p w:rsidR="0053664C" w:rsidRPr="004A26C7" w:rsidRDefault="0053664C" w:rsidP="006A3326">
            <w:r w:rsidRPr="004A26C7">
              <w:t>Test-Of-Cure</w:t>
            </w:r>
          </w:p>
        </w:tc>
      </w:tr>
      <w:tr w:rsidR="0053664C" w:rsidRPr="00FD119B" w:rsidTr="006A3326">
        <w:tc>
          <w:tcPr>
            <w:tcW w:w="1809" w:type="dxa"/>
          </w:tcPr>
          <w:p w:rsidR="0053664C" w:rsidRPr="004A26C7" w:rsidRDefault="0053664C" w:rsidP="006A3326">
            <w:r>
              <w:t>UL</w:t>
            </w:r>
          </w:p>
        </w:tc>
        <w:tc>
          <w:tcPr>
            <w:tcW w:w="7230" w:type="dxa"/>
          </w:tcPr>
          <w:p w:rsidR="0053664C" w:rsidRPr="004A26C7" w:rsidRDefault="0053664C" w:rsidP="006A3326">
            <w:r>
              <w:t>Upper Limit</w:t>
            </w:r>
          </w:p>
        </w:tc>
      </w:tr>
      <w:tr w:rsidR="0053664C" w:rsidRPr="00FD119B" w:rsidTr="006A3326">
        <w:tc>
          <w:tcPr>
            <w:tcW w:w="1809" w:type="dxa"/>
          </w:tcPr>
          <w:p w:rsidR="0053664C" w:rsidRPr="004A26C7" w:rsidRDefault="0053664C" w:rsidP="006A3326">
            <w:r w:rsidRPr="004A26C7">
              <w:t>ULN</w:t>
            </w:r>
          </w:p>
        </w:tc>
        <w:tc>
          <w:tcPr>
            <w:tcW w:w="7230" w:type="dxa"/>
          </w:tcPr>
          <w:p w:rsidR="0053664C" w:rsidRPr="004A26C7" w:rsidRDefault="0053664C" w:rsidP="006A3326">
            <w:r w:rsidRPr="004A26C7">
              <w:t>Upper Limit Of Normal</w:t>
            </w:r>
          </w:p>
        </w:tc>
      </w:tr>
      <w:tr w:rsidR="0053664C" w:rsidRPr="00FD119B" w:rsidTr="006A3326">
        <w:tc>
          <w:tcPr>
            <w:tcW w:w="1809" w:type="dxa"/>
          </w:tcPr>
          <w:p w:rsidR="0053664C" w:rsidRPr="004A26C7" w:rsidRDefault="0053664C" w:rsidP="006A3326">
            <w:r w:rsidRPr="004A26C7">
              <w:t>US</w:t>
            </w:r>
          </w:p>
        </w:tc>
        <w:tc>
          <w:tcPr>
            <w:tcW w:w="7230" w:type="dxa"/>
          </w:tcPr>
          <w:p w:rsidR="0053664C" w:rsidRPr="004A26C7" w:rsidRDefault="0053664C" w:rsidP="006A3326">
            <w:r w:rsidRPr="004A26C7">
              <w:t>United States</w:t>
            </w:r>
          </w:p>
        </w:tc>
      </w:tr>
      <w:tr w:rsidR="0053664C" w:rsidRPr="00FD119B" w:rsidTr="006A3326">
        <w:tc>
          <w:tcPr>
            <w:tcW w:w="1809" w:type="dxa"/>
          </w:tcPr>
          <w:p w:rsidR="0053664C" w:rsidRPr="004A26C7" w:rsidRDefault="0053664C" w:rsidP="006A3326">
            <w:r w:rsidRPr="004A26C7">
              <w:t>VAP</w:t>
            </w:r>
          </w:p>
        </w:tc>
        <w:tc>
          <w:tcPr>
            <w:tcW w:w="7230" w:type="dxa"/>
          </w:tcPr>
          <w:p w:rsidR="0053664C" w:rsidRPr="004A26C7" w:rsidRDefault="0053664C" w:rsidP="006A3326">
            <w:r w:rsidRPr="004A26C7">
              <w:t>Ventilator-Associated Pneumonia</w:t>
            </w:r>
          </w:p>
        </w:tc>
      </w:tr>
      <w:tr w:rsidR="0053664C" w:rsidRPr="00FD119B" w:rsidTr="006A3326">
        <w:tc>
          <w:tcPr>
            <w:tcW w:w="1809" w:type="dxa"/>
          </w:tcPr>
          <w:p w:rsidR="0053664C" w:rsidRPr="004A26C7" w:rsidRDefault="0053664C" w:rsidP="006A3326">
            <w:r w:rsidRPr="004A26C7">
              <w:t>VRSA</w:t>
            </w:r>
          </w:p>
        </w:tc>
        <w:tc>
          <w:tcPr>
            <w:tcW w:w="7230" w:type="dxa"/>
          </w:tcPr>
          <w:p w:rsidR="0053664C" w:rsidRPr="004A26C7" w:rsidRDefault="0053664C" w:rsidP="006A3326">
            <w:r w:rsidRPr="004A26C7">
              <w:t xml:space="preserve">Vancomycin-Resistant </w:t>
            </w:r>
            <w:r w:rsidRPr="004A26C7">
              <w:rPr>
                <w:i/>
              </w:rPr>
              <w:t>Staphylococcus Aureus</w:t>
            </w:r>
          </w:p>
        </w:tc>
      </w:tr>
      <w:tr w:rsidR="0053664C" w:rsidRPr="00FD119B" w:rsidTr="006A3326">
        <w:tc>
          <w:tcPr>
            <w:tcW w:w="1809" w:type="dxa"/>
          </w:tcPr>
          <w:p w:rsidR="0053664C" w:rsidRPr="004A26C7" w:rsidRDefault="0053664C" w:rsidP="006A3326">
            <w:proofErr w:type="spellStart"/>
            <w:r w:rsidRPr="004A26C7">
              <w:t>V</w:t>
            </w:r>
            <w:r w:rsidR="006A3326">
              <w:rPr>
                <w:vertAlign w:val="subscript"/>
              </w:rPr>
              <w:t>ss</w:t>
            </w:r>
            <w:proofErr w:type="spellEnd"/>
          </w:p>
        </w:tc>
        <w:tc>
          <w:tcPr>
            <w:tcW w:w="7230" w:type="dxa"/>
          </w:tcPr>
          <w:p w:rsidR="0053664C" w:rsidRPr="004A26C7" w:rsidRDefault="0053664C" w:rsidP="006A3326">
            <w:r w:rsidRPr="004A26C7">
              <w:t>Volume Of Distribution</w:t>
            </w:r>
          </w:p>
        </w:tc>
      </w:tr>
      <w:tr w:rsidR="0053664C" w:rsidRPr="00FD119B" w:rsidTr="006A3326">
        <w:tc>
          <w:tcPr>
            <w:tcW w:w="1809" w:type="dxa"/>
          </w:tcPr>
          <w:p w:rsidR="0053664C" w:rsidRPr="004A26C7" w:rsidRDefault="0053664C" w:rsidP="006A3326">
            <w:r w:rsidRPr="004A26C7">
              <w:t>WBC</w:t>
            </w:r>
          </w:p>
        </w:tc>
        <w:tc>
          <w:tcPr>
            <w:tcW w:w="7230" w:type="dxa"/>
          </w:tcPr>
          <w:p w:rsidR="0053664C" w:rsidRPr="004A26C7" w:rsidRDefault="0053664C" w:rsidP="006A3326">
            <w:r w:rsidRPr="004A26C7">
              <w:t>White Blood Count</w:t>
            </w:r>
          </w:p>
        </w:tc>
      </w:tr>
    </w:tbl>
    <w:p w:rsidR="00FD119B" w:rsidRPr="00FD119B" w:rsidRDefault="00FD119B" w:rsidP="006A3326">
      <w:r w:rsidRPr="00FD119B">
        <w:br w:type="page"/>
      </w:r>
    </w:p>
    <w:p w:rsidR="008E7846" w:rsidRDefault="00F53C07" w:rsidP="008E7846">
      <w:pPr>
        <w:pStyle w:val="Heading2"/>
      </w:pPr>
      <w:bookmarkStart w:id="8" w:name="_Toc443060214"/>
      <w:r>
        <w:lastRenderedPageBreak/>
        <w:t>I.</w:t>
      </w:r>
      <w:r w:rsidR="008E7846">
        <w:t xml:space="preserve"> Introduction to product submission</w:t>
      </w:r>
      <w:bookmarkEnd w:id="0"/>
      <w:bookmarkEnd w:id="8"/>
    </w:p>
    <w:p w:rsidR="008E7846" w:rsidRDefault="008E7846" w:rsidP="008E7846">
      <w:pPr>
        <w:pStyle w:val="Heading3"/>
        <w:rPr>
          <w:lang w:eastAsia="en-AU"/>
        </w:rPr>
      </w:pPr>
      <w:bookmarkStart w:id="9" w:name="_Toc247691502"/>
      <w:bookmarkStart w:id="10" w:name="_Toc314842483"/>
      <w:bookmarkStart w:id="11" w:name="_Toc443060215"/>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590"/>
      </w:tblGrid>
      <w:tr w:rsidR="008E7846" w:rsidRPr="007E15DB" w:rsidTr="0089635C">
        <w:trPr>
          <w:trHeight w:hRule="exact" w:val="454"/>
        </w:trPr>
        <w:tc>
          <w:tcPr>
            <w:tcW w:w="2907" w:type="dxa"/>
          </w:tcPr>
          <w:p w:rsidR="008E7846" w:rsidRPr="006A3326" w:rsidRDefault="001B5C90" w:rsidP="007E15DB">
            <w:pPr>
              <w:rPr>
                <w:i/>
              </w:rPr>
            </w:pPr>
            <w:r w:rsidRPr="006A3326">
              <w:rPr>
                <w:i/>
              </w:rPr>
              <w:t>Type of s</w:t>
            </w:r>
            <w:r w:rsidR="008E7846" w:rsidRPr="006A3326">
              <w:rPr>
                <w:i/>
              </w:rPr>
              <w:t>ubmission</w:t>
            </w:r>
            <w:r w:rsidRPr="006A3326">
              <w:rPr>
                <w:i/>
              </w:rPr>
              <w:t>:</w:t>
            </w:r>
          </w:p>
        </w:tc>
        <w:tc>
          <w:tcPr>
            <w:tcW w:w="6590" w:type="dxa"/>
          </w:tcPr>
          <w:p w:rsidR="008E7846" w:rsidRPr="007E15DB" w:rsidRDefault="008E7846" w:rsidP="007E15DB">
            <w:r w:rsidRPr="007E15DB">
              <w:t xml:space="preserve">New </w:t>
            </w:r>
            <w:r w:rsidR="001B5C90" w:rsidRPr="007E15DB">
              <w:t>c</w:t>
            </w:r>
            <w:r w:rsidRPr="007E15DB">
              <w:t xml:space="preserve">hemical </w:t>
            </w:r>
            <w:r w:rsidR="001B5C90" w:rsidRPr="007E15DB">
              <w:t>e</w:t>
            </w:r>
            <w:r w:rsidR="006A3326">
              <w:t>ntity</w:t>
            </w:r>
          </w:p>
        </w:tc>
      </w:tr>
      <w:tr w:rsidR="008E7846" w:rsidRPr="007E15DB" w:rsidTr="0089635C">
        <w:trPr>
          <w:trHeight w:hRule="exact" w:val="454"/>
        </w:trPr>
        <w:tc>
          <w:tcPr>
            <w:tcW w:w="2907" w:type="dxa"/>
          </w:tcPr>
          <w:p w:rsidR="008E7846" w:rsidRPr="006A3326" w:rsidRDefault="008E7846" w:rsidP="007E15DB">
            <w:pPr>
              <w:rPr>
                <w:i/>
              </w:rPr>
            </w:pPr>
            <w:r w:rsidRPr="006A3326">
              <w:rPr>
                <w:i/>
              </w:rPr>
              <w:t>Decision:</w:t>
            </w:r>
          </w:p>
        </w:tc>
        <w:tc>
          <w:tcPr>
            <w:tcW w:w="6590" w:type="dxa"/>
          </w:tcPr>
          <w:p w:rsidR="008E7846" w:rsidRPr="007E15DB" w:rsidRDefault="006A3326" w:rsidP="007E15DB">
            <w:r>
              <w:t>Approved</w:t>
            </w:r>
          </w:p>
        </w:tc>
      </w:tr>
      <w:tr w:rsidR="008E7846" w:rsidRPr="007E15DB" w:rsidTr="0089635C">
        <w:trPr>
          <w:trHeight w:hRule="exact" w:val="454"/>
        </w:trPr>
        <w:tc>
          <w:tcPr>
            <w:tcW w:w="2907" w:type="dxa"/>
          </w:tcPr>
          <w:p w:rsidR="008E7846" w:rsidRPr="006A3326" w:rsidRDefault="008E7846" w:rsidP="007E15DB">
            <w:pPr>
              <w:rPr>
                <w:i/>
              </w:rPr>
            </w:pPr>
            <w:r w:rsidRPr="006A3326">
              <w:rPr>
                <w:i/>
              </w:rPr>
              <w:t xml:space="preserve">Date of </w:t>
            </w:r>
            <w:r w:rsidR="001B5C90" w:rsidRPr="006A3326">
              <w:rPr>
                <w:i/>
              </w:rPr>
              <w:t>d</w:t>
            </w:r>
            <w:r w:rsidRPr="006A3326">
              <w:rPr>
                <w:i/>
              </w:rPr>
              <w:t>ecision:</w:t>
            </w:r>
          </w:p>
        </w:tc>
        <w:tc>
          <w:tcPr>
            <w:tcW w:w="6590" w:type="dxa"/>
          </w:tcPr>
          <w:p w:rsidR="008E7846" w:rsidRPr="007E15DB" w:rsidRDefault="004C2228" w:rsidP="007E15DB">
            <w:r>
              <w:t>2 November 2015</w:t>
            </w:r>
          </w:p>
        </w:tc>
      </w:tr>
      <w:tr w:rsidR="00ED2922" w:rsidRPr="007E15DB" w:rsidTr="0089635C">
        <w:trPr>
          <w:trHeight w:hRule="exact" w:val="454"/>
        </w:trPr>
        <w:tc>
          <w:tcPr>
            <w:tcW w:w="2907" w:type="dxa"/>
          </w:tcPr>
          <w:p w:rsidR="00ED2922" w:rsidRPr="006A3326" w:rsidRDefault="00ED2922" w:rsidP="007E15DB">
            <w:pPr>
              <w:rPr>
                <w:i/>
              </w:rPr>
            </w:pPr>
            <w:r w:rsidRPr="006A3326">
              <w:rPr>
                <w:i/>
              </w:rPr>
              <w:t>Date of entry onto ARTG</w:t>
            </w:r>
          </w:p>
        </w:tc>
        <w:tc>
          <w:tcPr>
            <w:tcW w:w="6590" w:type="dxa"/>
          </w:tcPr>
          <w:p w:rsidR="00ED2922" w:rsidRPr="007E15DB" w:rsidRDefault="00103109" w:rsidP="007E15DB">
            <w:r>
              <w:t>10 November 2015</w:t>
            </w:r>
          </w:p>
        </w:tc>
      </w:tr>
    </w:tbl>
    <w:p w:rsidR="008E7846" w:rsidRPr="007E15DB" w:rsidRDefault="008E7846" w:rsidP="007E15DB"/>
    <w:tbl>
      <w:tblPr>
        <w:tblW w:w="9214" w:type="dxa"/>
        <w:tblInd w:w="108" w:type="dxa"/>
        <w:tblLook w:val="01E0" w:firstRow="1" w:lastRow="1" w:firstColumn="1" w:lastColumn="1" w:noHBand="0" w:noVBand="0"/>
      </w:tblPr>
      <w:tblGrid>
        <w:gridCol w:w="2907"/>
        <w:gridCol w:w="6307"/>
      </w:tblGrid>
      <w:tr w:rsidR="008E7846" w:rsidRPr="007E15DB" w:rsidTr="00BF1190">
        <w:tc>
          <w:tcPr>
            <w:tcW w:w="2907" w:type="dxa"/>
          </w:tcPr>
          <w:p w:rsidR="008E7846" w:rsidRPr="006A3326" w:rsidRDefault="001B5C90" w:rsidP="007E15DB">
            <w:pPr>
              <w:rPr>
                <w:i/>
              </w:rPr>
            </w:pPr>
            <w:r w:rsidRPr="006A3326">
              <w:rPr>
                <w:i/>
              </w:rPr>
              <w:t>Active ingredient(s):</w:t>
            </w:r>
          </w:p>
        </w:tc>
        <w:tc>
          <w:tcPr>
            <w:tcW w:w="6307" w:type="dxa"/>
          </w:tcPr>
          <w:p w:rsidR="008E7846" w:rsidRPr="007E15DB" w:rsidRDefault="007E15DB" w:rsidP="007E15DB">
            <w:proofErr w:type="spellStart"/>
            <w:r w:rsidRPr="007E15DB">
              <w:t>Ceftobiprole</w:t>
            </w:r>
            <w:proofErr w:type="spellEnd"/>
            <w:r w:rsidRPr="007E15DB">
              <w:t xml:space="preserve"> </w:t>
            </w:r>
            <w:proofErr w:type="spellStart"/>
            <w:r w:rsidRPr="007E15DB">
              <w:t>medocaril</w:t>
            </w:r>
            <w:proofErr w:type="spellEnd"/>
            <w:r w:rsidRPr="007E15DB">
              <w:t xml:space="preserve"> sodium</w:t>
            </w:r>
          </w:p>
        </w:tc>
      </w:tr>
      <w:tr w:rsidR="008E7846" w:rsidRPr="007E15DB" w:rsidTr="00BF1190">
        <w:tc>
          <w:tcPr>
            <w:tcW w:w="2907" w:type="dxa"/>
          </w:tcPr>
          <w:p w:rsidR="008E7846" w:rsidRPr="006A3326" w:rsidRDefault="008E7846" w:rsidP="007E15DB">
            <w:pPr>
              <w:rPr>
                <w:i/>
              </w:rPr>
            </w:pPr>
            <w:r w:rsidRPr="006A3326">
              <w:rPr>
                <w:i/>
              </w:rPr>
              <w:t>Product</w:t>
            </w:r>
            <w:r w:rsidR="001B5C90" w:rsidRPr="006A3326">
              <w:rPr>
                <w:i/>
              </w:rPr>
              <w:t xml:space="preserve"> name(s):</w:t>
            </w:r>
          </w:p>
        </w:tc>
        <w:tc>
          <w:tcPr>
            <w:tcW w:w="6307" w:type="dxa"/>
          </w:tcPr>
          <w:p w:rsidR="008E7846" w:rsidRPr="007E15DB" w:rsidRDefault="007E15DB" w:rsidP="007E15DB">
            <w:proofErr w:type="spellStart"/>
            <w:r w:rsidRPr="007E15DB">
              <w:t>Zevtera</w:t>
            </w:r>
            <w:proofErr w:type="spellEnd"/>
          </w:p>
        </w:tc>
      </w:tr>
      <w:tr w:rsidR="008E7846" w:rsidRPr="007E15DB" w:rsidTr="00BF1190">
        <w:tc>
          <w:tcPr>
            <w:tcW w:w="2907" w:type="dxa"/>
          </w:tcPr>
          <w:p w:rsidR="008E7846" w:rsidRPr="006A3326" w:rsidRDefault="008E7846" w:rsidP="007E15DB">
            <w:pPr>
              <w:rPr>
                <w:i/>
              </w:rPr>
            </w:pPr>
            <w:r w:rsidRPr="006A3326">
              <w:rPr>
                <w:i/>
              </w:rPr>
              <w:t xml:space="preserve">Sponsor’s </w:t>
            </w:r>
            <w:r w:rsidR="001B5C90" w:rsidRPr="006A3326">
              <w:rPr>
                <w:i/>
              </w:rPr>
              <w:t>n</w:t>
            </w:r>
            <w:r w:rsidRPr="006A3326">
              <w:rPr>
                <w:i/>
              </w:rPr>
              <w:t xml:space="preserve">ame and </w:t>
            </w:r>
            <w:r w:rsidR="001B5C90" w:rsidRPr="006A3326">
              <w:rPr>
                <w:i/>
              </w:rPr>
              <w:t>a</w:t>
            </w:r>
            <w:r w:rsidRPr="006A3326">
              <w:rPr>
                <w:i/>
              </w:rPr>
              <w:t>ddress:</w:t>
            </w:r>
          </w:p>
        </w:tc>
        <w:tc>
          <w:tcPr>
            <w:tcW w:w="6307" w:type="dxa"/>
          </w:tcPr>
          <w:p w:rsidR="008E7846" w:rsidRPr="0053664C" w:rsidRDefault="007E15DB" w:rsidP="0053664C">
            <w:r w:rsidRPr="0053664C">
              <w:t>JACE Pharma Pty Ltd</w:t>
            </w:r>
          </w:p>
          <w:p w:rsidR="00103109" w:rsidRPr="0053664C" w:rsidRDefault="00103109" w:rsidP="0053664C">
            <w:r w:rsidRPr="0053664C">
              <w:t xml:space="preserve">7 </w:t>
            </w:r>
            <w:proofErr w:type="spellStart"/>
            <w:r w:rsidRPr="0053664C">
              <w:t>Clunies</w:t>
            </w:r>
            <w:proofErr w:type="spellEnd"/>
            <w:r w:rsidRPr="0053664C">
              <w:t>-Ross Court</w:t>
            </w:r>
            <w:r w:rsidR="00411EBC">
              <w:t xml:space="preserve">, </w:t>
            </w:r>
            <w:r w:rsidRPr="0053664C">
              <w:t>Brisbane Technology Park</w:t>
            </w:r>
          </w:p>
          <w:p w:rsidR="00103109" w:rsidRPr="0053664C" w:rsidRDefault="00103109" w:rsidP="0053664C">
            <w:r w:rsidRPr="0053664C">
              <w:t>Eight Mile Plains, QLD, 4113</w:t>
            </w:r>
          </w:p>
        </w:tc>
      </w:tr>
      <w:tr w:rsidR="008E7846" w:rsidRPr="007E15DB" w:rsidTr="00BF1190">
        <w:tc>
          <w:tcPr>
            <w:tcW w:w="2907" w:type="dxa"/>
          </w:tcPr>
          <w:p w:rsidR="008E7846" w:rsidRPr="006A3326" w:rsidRDefault="001B5C90" w:rsidP="007E15DB">
            <w:pPr>
              <w:rPr>
                <w:i/>
              </w:rPr>
            </w:pPr>
            <w:r w:rsidRPr="006A3326">
              <w:rPr>
                <w:i/>
              </w:rPr>
              <w:t>Dose form(s):</w:t>
            </w:r>
          </w:p>
        </w:tc>
        <w:tc>
          <w:tcPr>
            <w:tcW w:w="6307" w:type="dxa"/>
          </w:tcPr>
          <w:p w:rsidR="008E7846" w:rsidRPr="0053664C" w:rsidRDefault="007E15DB" w:rsidP="0053664C">
            <w:r w:rsidRPr="0053664C">
              <w:t>Powder for Injection</w:t>
            </w:r>
          </w:p>
        </w:tc>
      </w:tr>
      <w:tr w:rsidR="008E7846" w:rsidRPr="007E15DB" w:rsidTr="00BF1190">
        <w:tc>
          <w:tcPr>
            <w:tcW w:w="2907" w:type="dxa"/>
          </w:tcPr>
          <w:p w:rsidR="008E7846" w:rsidRPr="006A3326" w:rsidRDefault="008E7846" w:rsidP="007E15DB">
            <w:pPr>
              <w:rPr>
                <w:i/>
              </w:rPr>
            </w:pPr>
            <w:r w:rsidRPr="006A3326">
              <w:rPr>
                <w:i/>
              </w:rPr>
              <w:t xml:space="preserve">Strength(s): </w:t>
            </w:r>
          </w:p>
        </w:tc>
        <w:tc>
          <w:tcPr>
            <w:tcW w:w="6307" w:type="dxa"/>
          </w:tcPr>
          <w:p w:rsidR="008E7846" w:rsidRPr="0053664C" w:rsidRDefault="007E15DB" w:rsidP="0053664C">
            <w:r w:rsidRPr="0053664C">
              <w:t>667</w:t>
            </w:r>
            <w:r w:rsidR="00411EBC">
              <w:t xml:space="preserve"> </w:t>
            </w:r>
            <w:r w:rsidRPr="0053664C">
              <w:t>mg (equivalent to 50</w:t>
            </w:r>
            <w:r w:rsidR="00631076">
              <w:t>0 mg</w:t>
            </w:r>
            <w:r w:rsidRPr="0053664C">
              <w:t xml:space="preserve"> </w:t>
            </w:r>
            <w:proofErr w:type="spellStart"/>
            <w:r w:rsidRPr="0053664C">
              <w:t>ceftobiprole</w:t>
            </w:r>
            <w:proofErr w:type="spellEnd"/>
            <w:r w:rsidRPr="0053664C">
              <w:t>)</w:t>
            </w:r>
          </w:p>
        </w:tc>
      </w:tr>
      <w:tr w:rsidR="008E7846" w:rsidRPr="007E15DB" w:rsidTr="00BF1190">
        <w:tc>
          <w:tcPr>
            <w:tcW w:w="2907" w:type="dxa"/>
          </w:tcPr>
          <w:p w:rsidR="008E7846" w:rsidRPr="006A3326" w:rsidRDefault="008E7846" w:rsidP="007E15DB">
            <w:pPr>
              <w:rPr>
                <w:i/>
              </w:rPr>
            </w:pPr>
            <w:r w:rsidRPr="006A3326">
              <w:rPr>
                <w:i/>
              </w:rPr>
              <w:t>Container(s):</w:t>
            </w:r>
          </w:p>
        </w:tc>
        <w:tc>
          <w:tcPr>
            <w:tcW w:w="6307" w:type="dxa"/>
          </w:tcPr>
          <w:p w:rsidR="008E7846" w:rsidRPr="0053664C" w:rsidRDefault="00103109" w:rsidP="0053664C">
            <w:r w:rsidRPr="0053664C">
              <w:t xml:space="preserve">20 mL </w:t>
            </w:r>
            <w:r w:rsidR="007E15DB" w:rsidRPr="0053664C">
              <w:t>vials</w:t>
            </w:r>
          </w:p>
        </w:tc>
      </w:tr>
      <w:tr w:rsidR="008E7846" w:rsidRPr="007E15DB" w:rsidTr="00BF1190">
        <w:tc>
          <w:tcPr>
            <w:tcW w:w="2907" w:type="dxa"/>
          </w:tcPr>
          <w:p w:rsidR="008E7846" w:rsidRPr="006A3326" w:rsidRDefault="008E7846" w:rsidP="007E15DB">
            <w:pPr>
              <w:rPr>
                <w:i/>
              </w:rPr>
            </w:pPr>
            <w:r w:rsidRPr="006A3326">
              <w:rPr>
                <w:i/>
              </w:rPr>
              <w:t>Pack size(s):</w:t>
            </w:r>
          </w:p>
        </w:tc>
        <w:tc>
          <w:tcPr>
            <w:tcW w:w="6307" w:type="dxa"/>
          </w:tcPr>
          <w:p w:rsidR="008E7846" w:rsidRPr="0053664C" w:rsidRDefault="007E15DB" w:rsidP="0053664C">
            <w:r w:rsidRPr="0053664C">
              <w:t>10 vials</w:t>
            </w:r>
          </w:p>
        </w:tc>
      </w:tr>
      <w:tr w:rsidR="008E7846" w:rsidRPr="007E15DB" w:rsidTr="00BF1190">
        <w:tc>
          <w:tcPr>
            <w:tcW w:w="2907" w:type="dxa"/>
          </w:tcPr>
          <w:p w:rsidR="008E7846" w:rsidRPr="006A3326" w:rsidRDefault="008E7846" w:rsidP="007E15DB">
            <w:pPr>
              <w:rPr>
                <w:i/>
              </w:rPr>
            </w:pPr>
            <w:r w:rsidRPr="006A3326">
              <w:rPr>
                <w:i/>
              </w:rPr>
              <w:t xml:space="preserve">Approved </w:t>
            </w:r>
            <w:r w:rsidR="001B5C90" w:rsidRPr="006A3326">
              <w:rPr>
                <w:i/>
              </w:rPr>
              <w:t>t</w:t>
            </w:r>
            <w:r w:rsidRPr="006A3326">
              <w:rPr>
                <w:i/>
              </w:rPr>
              <w:t>herapeutic use:</w:t>
            </w:r>
          </w:p>
        </w:tc>
        <w:tc>
          <w:tcPr>
            <w:tcW w:w="6307" w:type="dxa"/>
          </w:tcPr>
          <w:p w:rsidR="004C2228" w:rsidRPr="0053664C" w:rsidRDefault="004C2228" w:rsidP="0053664C">
            <w:pPr>
              <w:rPr>
                <w:i/>
              </w:rPr>
            </w:pPr>
            <w:proofErr w:type="spellStart"/>
            <w:r w:rsidRPr="0053664C">
              <w:rPr>
                <w:i/>
              </w:rPr>
              <w:t>Zevtera</w:t>
            </w:r>
            <w:proofErr w:type="spellEnd"/>
            <w:r w:rsidRPr="0053664C">
              <w:rPr>
                <w:i/>
              </w:rPr>
              <w:t xml:space="preserve"> (</w:t>
            </w:r>
            <w:proofErr w:type="spellStart"/>
            <w:r w:rsidRPr="0053664C">
              <w:rPr>
                <w:i/>
              </w:rPr>
              <w:t>ceftobiprole</w:t>
            </w:r>
            <w:proofErr w:type="spellEnd"/>
            <w:r w:rsidRPr="0053664C">
              <w:rPr>
                <w:i/>
              </w:rPr>
              <w:t xml:space="preserve"> </w:t>
            </w:r>
            <w:proofErr w:type="spellStart"/>
            <w:r w:rsidRPr="0053664C">
              <w:rPr>
                <w:i/>
              </w:rPr>
              <w:t>medocaril</w:t>
            </w:r>
            <w:proofErr w:type="spellEnd"/>
            <w:r w:rsidR="00E01646">
              <w:rPr>
                <w:i/>
              </w:rPr>
              <w:t xml:space="preserve"> </w:t>
            </w:r>
            <w:r w:rsidRPr="0053664C">
              <w:rPr>
                <w:i/>
              </w:rPr>
              <w:t>sodium) is indicated for the treatment of the following</w:t>
            </w:r>
            <w:r w:rsidR="00103109" w:rsidRPr="0053664C">
              <w:rPr>
                <w:i/>
              </w:rPr>
              <w:t xml:space="preserve"> </w:t>
            </w:r>
            <w:r w:rsidRPr="0053664C">
              <w:rPr>
                <w:i/>
              </w:rPr>
              <w:t>infections in adults suspected or proven to be caused by designated susceptible</w:t>
            </w:r>
            <w:r w:rsidR="00103109" w:rsidRPr="0053664C">
              <w:rPr>
                <w:i/>
              </w:rPr>
              <w:t xml:space="preserve"> </w:t>
            </w:r>
            <w:r w:rsidRPr="0053664C">
              <w:rPr>
                <w:i/>
              </w:rPr>
              <w:t>microorgani</w:t>
            </w:r>
            <w:r w:rsidR="00E01646">
              <w:rPr>
                <w:i/>
              </w:rPr>
              <w:t>s</w:t>
            </w:r>
            <w:r w:rsidRPr="0053664C">
              <w:rPr>
                <w:i/>
              </w:rPr>
              <w:t>ms:</w:t>
            </w:r>
          </w:p>
          <w:p w:rsidR="004C2228" w:rsidRPr="0053664C" w:rsidRDefault="004C2228" w:rsidP="0053664C">
            <w:pPr>
              <w:pStyle w:val="ListBullet"/>
              <w:rPr>
                <w:i/>
              </w:rPr>
            </w:pPr>
            <w:r w:rsidRPr="0053664C">
              <w:rPr>
                <w:i/>
              </w:rPr>
              <w:t>Hospital-acquired pneumonia (HAP), excluding ventilator-associated pneumonia</w:t>
            </w:r>
            <w:r w:rsidR="00103109" w:rsidRPr="0053664C">
              <w:rPr>
                <w:i/>
              </w:rPr>
              <w:t xml:space="preserve"> </w:t>
            </w:r>
            <w:r w:rsidRPr="0053664C">
              <w:rPr>
                <w:i/>
              </w:rPr>
              <w:t>(VAP)</w:t>
            </w:r>
          </w:p>
          <w:p w:rsidR="008E7846" w:rsidRPr="0053664C" w:rsidRDefault="004C2228" w:rsidP="0053664C">
            <w:pPr>
              <w:pStyle w:val="ListBullet"/>
              <w:rPr>
                <w:i/>
              </w:rPr>
            </w:pPr>
            <w:r w:rsidRPr="0053664C">
              <w:rPr>
                <w:i/>
              </w:rPr>
              <w:t>Community-acquired pneumonia (CAP)</w:t>
            </w:r>
          </w:p>
        </w:tc>
      </w:tr>
      <w:tr w:rsidR="008E7846" w:rsidRPr="007E15DB" w:rsidTr="00BF1190">
        <w:tc>
          <w:tcPr>
            <w:tcW w:w="2907" w:type="dxa"/>
          </w:tcPr>
          <w:p w:rsidR="008E7846" w:rsidRPr="006A3326" w:rsidRDefault="008E7846" w:rsidP="007E15DB">
            <w:pPr>
              <w:rPr>
                <w:i/>
              </w:rPr>
            </w:pPr>
            <w:r w:rsidRPr="006A3326">
              <w:rPr>
                <w:i/>
              </w:rPr>
              <w:t>Route(s) of administration:</w:t>
            </w:r>
          </w:p>
        </w:tc>
        <w:tc>
          <w:tcPr>
            <w:tcW w:w="6307" w:type="dxa"/>
          </w:tcPr>
          <w:p w:rsidR="008E7846" w:rsidRPr="0053664C" w:rsidRDefault="003E6564" w:rsidP="0053664C">
            <w:r w:rsidRPr="0053664C">
              <w:t>I</w:t>
            </w:r>
            <w:r w:rsidR="007E15DB" w:rsidRPr="0053664C">
              <w:t>ntravenous</w:t>
            </w:r>
            <w:r w:rsidRPr="0053664C">
              <w:t xml:space="preserve"> (IV)</w:t>
            </w:r>
          </w:p>
        </w:tc>
      </w:tr>
      <w:tr w:rsidR="008E7846" w:rsidRPr="007E15DB" w:rsidTr="00BF1190">
        <w:tc>
          <w:tcPr>
            <w:tcW w:w="2907" w:type="dxa"/>
          </w:tcPr>
          <w:p w:rsidR="008E7846" w:rsidRPr="006A3326" w:rsidRDefault="008E7846" w:rsidP="007E15DB">
            <w:pPr>
              <w:rPr>
                <w:i/>
              </w:rPr>
            </w:pPr>
            <w:r w:rsidRPr="006A3326">
              <w:rPr>
                <w:i/>
              </w:rPr>
              <w:t>Dosage:</w:t>
            </w:r>
          </w:p>
        </w:tc>
        <w:tc>
          <w:tcPr>
            <w:tcW w:w="6307" w:type="dxa"/>
          </w:tcPr>
          <w:p w:rsidR="00103109" w:rsidRPr="0053664C" w:rsidRDefault="00103109" w:rsidP="0053664C">
            <w:proofErr w:type="spellStart"/>
            <w:r w:rsidRPr="0053664C">
              <w:t>Zevtera</w:t>
            </w:r>
            <w:proofErr w:type="spellEnd"/>
            <w:r w:rsidRPr="0053664C">
              <w:t xml:space="preserve"> must be reconstituted and then further diluted (see Special precautions for disposal and other handling) prior to administration by intravenous infusion over a period of 2 hours.</w:t>
            </w:r>
          </w:p>
          <w:p w:rsidR="00103109" w:rsidRPr="0053664C" w:rsidRDefault="00103109" w:rsidP="0053664C">
            <w:pPr>
              <w:rPr>
                <w:i/>
              </w:rPr>
            </w:pPr>
            <w:r w:rsidRPr="0053664C">
              <w:rPr>
                <w:i/>
              </w:rPr>
              <w:t>Adults (18 years and older)</w:t>
            </w:r>
          </w:p>
          <w:p w:rsidR="00103109" w:rsidRPr="0053664C" w:rsidRDefault="00103109" w:rsidP="0053664C">
            <w:r w:rsidRPr="0053664C">
              <w:t xml:space="preserve">The recommended dose of </w:t>
            </w:r>
            <w:proofErr w:type="spellStart"/>
            <w:r w:rsidRPr="0053664C">
              <w:t>Zevtera</w:t>
            </w:r>
            <w:proofErr w:type="spellEnd"/>
            <w:r w:rsidRPr="0053664C">
              <w:t xml:space="preserve"> is 666.6 mg administered as a 2-hour intravenous infusion every 8 hours. Treatment is continued for 4-14 days depending on disease severity and patient response. For CAP, a switch to an appropriate oral antibiotic may be considered after completion of at least 3</w:t>
            </w:r>
            <w:r w:rsidR="0053664C">
              <w:t xml:space="preserve"> </w:t>
            </w:r>
            <w:r w:rsidRPr="0053664C">
              <w:t xml:space="preserve">days of intravenous </w:t>
            </w:r>
            <w:proofErr w:type="spellStart"/>
            <w:r w:rsidRPr="0053664C">
              <w:t>ceftobiprole</w:t>
            </w:r>
            <w:proofErr w:type="spellEnd"/>
            <w:r w:rsidRPr="0053664C">
              <w:t xml:space="preserve"> </w:t>
            </w:r>
            <w:proofErr w:type="spellStart"/>
            <w:r w:rsidRPr="0053664C">
              <w:t>medocaril</w:t>
            </w:r>
            <w:proofErr w:type="spellEnd"/>
            <w:r w:rsidRPr="0053664C">
              <w:t xml:space="preserve"> sodium treatment, depending on the patient’s clinical response.</w:t>
            </w:r>
          </w:p>
          <w:p w:rsidR="00103109" w:rsidRPr="0053664C" w:rsidRDefault="00103109" w:rsidP="0053664C">
            <w:pPr>
              <w:rPr>
                <w:i/>
              </w:rPr>
            </w:pPr>
            <w:r w:rsidRPr="0053664C">
              <w:rPr>
                <w:i/>
              </w:rPr>
              <w:t>Children (&lt;18 years)</w:t>
            </w:r>
          </w:p>
          <w:p w:rsidR="00103109" w:rsidRPr="0053664C" w:rsidRDefault="00103109" w:rsidP="0053664C">
            <w:r w:rsidRPr="0053664C">
              <w:lastRenderedPageBreak/>
              <w:t xml:space="preserve">The safety and efficacy of </w:t>
            </w:r>
            <w:proofErr w:type="spellStart"/>
            <w:r w:rsidRPr="0053664C">
              <w:t>Zevtera</w:t>
            </w:r>
            <w:proofErr w:type="spellEnd"/>
            <w:r w:rsidRPr="0053664C">
              <w:t xml:space="preserve"> in children aged birth to &lt; 18 years have not yet been established. </w:t>
            </w:r>
            <w:proofErr w:type="spellStart"/>
            <w:r w:rsidRPr="0053664C">
              <w:t>Zevtera</w:t>
            </w:r>
            <w:proofErr w:type="spellEnd"/>
            <w:r w:rsidRPr="0053664C">
              <w:t xml:space="preserve"> is not</w:t>
            </w:r>
            <w:r w:rsidR="0053664C">
              <w:t xml:space="preserve"> </w:t>
            </w:r>
            <w:r w:rsidRPr="0053664C">
              <w:t>recommended for use in children or adolescents below 18 years of age.</w:t>
            </w:r>
          </w:p>
          <w:p w:rsidR="00103109" w:rsidRPr="0053664C" w:rsidRDefault="00103109" w:rsidP="0053664C">
            <w:pPr>
              <w:rPr>
                <w:i/>
              </w:rPr>
            </w:pPr>
            <w:r w:rsidRPr="0053664C">
              <w:rPr>
                <w:i/>
              </w:rPr>
              <w:t>Elderly</w:t>
            </w:r>
          </w:p>
          <w:p w:rsidR="008E7846" w:rsidRPr="0053664C" w:rsidRDefault="00103109" w:rsidP="0053664C">
            <w:r w:rsidRPr="0053664C">
              <w:t xml:space="preserve">No dose adjustment is necessary in elderly patients, except in cases of moderate to severe renal impairment (see below </w:t>
            </w:r>
            <w:r w:rsidR="0053664C">
              <w:t xml:space="preserve">[PI] </w:t>
            </w:r>
            <w:r w:rsidRPr="0053664C">
              <w:t>and Pharmacokinetic Properties).</w:t>
            </w:r>
          </w:p>
        </w:tc>
      </w:tr>
      <w:tr w:rsidR="008E7846" w:rsidRPr="007E15DB" w:rsidTr="00BF1190">
        <w:tc>
          <w:tcPr>
            <w:tcW w:w="2907" w:type="dxa"/>
          </w:tcPr>
          <w:p w:rsidR="008E7846" w:rsidRPr="006A3326" w:rsidRDefault="008E7846" w:rsidP="007E15DB">
            <w:pPr>
              <w:rPr>
                <w:i/>
              </w:rPr>
            </w:pPr>
            <w:r w:rsidRPr="006A3326">
              <w:rPr>
                <w:i/>
              </w:rPr>
              <w:lastRenderedPageBreak/>
              <w:t xml:space="preserve">ARTG </w:t>
            </w:r>
            <w:r w:rsidR="001B5C90" w:rsidRPr="006A3326">
              <w:rPr>
                <w:i/>
              </w:rPr>
              <w:t>n</w:t>
            </w:r>
            <w:r w:rsidRPr="006A3326">
              <w:rPr>
                <w:i/>
              </w:rPr>
              <w:t>umber (s)</w:t>
            </w:r>
            <w:r w:rsidR="001B5C90" w:rsidRPr="006A3326">
              <w:rPr>
                <w:i/>
              </w:rPr>
              <w:t>:</w:t>
            </w:r>
          </w:p>
        </w:tc>
        <w:tc>
          <w:tcPr>
            <w:tcW w:w="6307" w:type="dxa"/>
          </w:tcPr>
          <w:p w:rsidR="008E7846" w:rsidRPr="0053664C" w:rsidRDefault="00103109" w:rsidP="0053664C">
            <w:r w:rsidRPr="0053664C">
              <w:t>229773</w:t>
            </w:r>
          </w:p>
        </w:tc>
      </w:tr>
    </w:tbl>
    <w:p w:rsidR="008E7846" w:rsidRDefault="008E7846" w:rsidP="008E7846">
      <w:pPr>
        <w:pStyle w:val="Heading3"/>
      </w:pPr>
      <w:bookmarkStart w:id="12" w:name="_Toc247691503"/>
      <w:bookmarkStart w:id="13" w:name="_Toc314842484"/>
      <w:bookmarkStart w:id="14" w:name="_Toc443060216"/>
      <w:r>
        <w:t>Product background</w:t>
      </w:r>
      <w:bookmarkEnd w:id="12"/>
      <w:bookmarkEnd w:id="13"/>
      <w:bookmarkEnd w:id="14"/>
    </w:p>
    <w:p w:rsidR="006A3326" w:rsidRDefault="00940A89" w:rsidP="0053664C">
      <w:pPr>
        <w:autoSpaceDE w:val="0"/>
        <w:autoSpaceDN w:val="0"/>
        <w:rPr>
          <w:rFonts w:asciiTheme="minorHAnsi" w:eastAsiaTheme="minorHAnsi" w:hAnsiTheme="minorHAnsi" w:cs="Cambria"/>
          <w:color w:val="000000"/>
        </w:rPr>
      </w:pPr>
      <w:r w:rsidRPr="00940A89">
        <w:t xml:space="preserve">This </w:t>
      </w:r>
      <w:proofErr w:type="spellStart"/>
      <w:r w:rsidRPr="00940A89">
        <w:t>AusPAR</w:t>
      </w:r>
      <w:proofErr w:type="spellEnd"/>
      <w:r w:rsidRPr="00940A89">
        <w:t xml:space="preserve"> describes the application by </w:t>
      </w:r>
      <w:r w:rsidR="0053664C">
        <w:rPr>
          <w:rFonts w:asciiTheme="minorHAnsi" w:eastAsiaTheme="minorHAnsi" w:hAnsiTheme="minorHAnsi" w:cs="Cambria"/>
          <w:color w:val="000000"/>
        </w:rPr>
        <w:t xml:space="preserve">JACE Pharma Pty Ltd, acting as an agent for </w:t>
      </w:r>
      <w:proofErr w:type="spellStart"/>
      <w:r w:rsidR="0053664C">
        <w:rPr>
          <w:rFonts w:asciiTheme="minorHAnsi" w:eastAsiaTheme="minorHAnsi" w:hAnsiTheme="minorHAnsi" w:cs="Cambria"/>
          <w:color w:val="000000"/>
        </w:rPr>
        <w:t>Basilea</w:t>
      </w:r>
      <w:proofErr w:type="spellEnd"/>
      <w:r w:rsidR="0053664C">
        <w:rPr>
          <w:rFonts w:asciiTheme="minorHAnsi" w:eastAsiaTheme="minorHAnsi" w:hAnsiTheme="minorHAnsi" w:cs="Cambria"/>
          <w:color w:val="000000"/>
        </w:rPr>
        <w:t xml:space="preserve"> </w:t>
      </w:r>
      <w:proofErr w:type="spellStart"/>
      <w:r w:rsidR="0053664C">
        <w:rPr>
          <w:rFonts w:asciiTheme="minorHAnsi" w:eastAsiaTheme="minorHAnsi" w:hAnsiTheme="minorHAnsi" w:cs="Cambria"/>
          <w:color w:val="000000"/>
        </w:rPr>
        <w:t>Pharmaceutica</w:t>
      </w:r>
      <w:proofErr w:type="spellEnd"/>
      <w:r w:rsidR="0053664C">
        <w:rPr>
          <w:rFonts w:asciiTheme="minorHAnsi" w:eastAsiaTheme="minorHAnsi" w:hAnsiTheme="minorHAnsi" w:cs="Cambria"/>
          <w:color w:val="000000"/>
        </w:rPr>
        <w:t xml:space="preserve"> International Ltd, </w:t>
      </w:r>
      <w:r w:rsidR="0053664C">
        <w:rPr>
          <w:rFonts w:asciiTheme="minorHAnsi" w:hAnsiTheme="minorHAnsi"/>
        </w:rPr>
        <w:t>to register the new chemical entity</w:t>
      </w:r>
      <w:r w:rsidR="0053664C">
        <w:rPr>
          <w:rFonts w:asciiTheme="minorHAnsi" w:eastAsiaTheme="minorHAnsi" w:hAnsiTheme="minorHAnsi" w:cs="Cambria"/>
          <w:color w:val="000000"/>
        </w:rPr>
        <w:t xml:space="preserve"> </w:t>
      </w:r>
      <w:proofErr w:type="spellStart"/>
      <w:r w:rsidR="0053664C">
        <w:rPr>
          <w:rFonts w:asciiTheme="minorHAnsi" w:eastAsiaTheme="minorHAnsi" w:hAnsiTheme="minorHAnsi" w:cs="Cambria"/>
          <w:color w:val="000000"/>
        </w:rPr>
        <w:t>ceftobiprole</w:t>
      </w:r>
      <w:proofErr w:type="spellEnd"/>
      <w:r w:rsidR="0053664C">
        <w:rPr>
          <w:rFonts w:asciiTheme="minorHAnsi" w:eastAsiaTheme="minorHAnsi" w:hAnsiTheme="minorHAnsi" w:cs="Cambria"/>
          <w:color w:val="000000"/>
        </w:rPr>
        <w:t xml:space="preserve"> </w:t>
      </w:r>
      <w:proofErr w:type="spellStart"/>
      <w:r w:rsidR="0053664C">
        <w:rPr>
          <w:rFonts w:asciiTheme="minorHAnsi" w:eastAsiaTheme="minorHAnsi" w:hAnsiTheme="minorHAnsi" w:cs="Cambria"/>
          <w:color w:val="000000"/>
        </w:rPr>
        <w:t>medocaril</w:t>
      </w:r>
      <w:proofErr w:type="spellEnd"/>
      <w:r w:rsidR="0053664C">
        <w:rPr>
          <w:rFonts w:asciiTheme="minorHAnsi" w:eastAsiaTheme="minorHAnsi" w:hAnsiTheme="minorHAnsi" w:cs="Cambria"/>
          <w:color w:val="000000"/>
        </w:rPr>
        <w:t xml:space="preserve"> sodium </w:t>
      </w:r>
      <w:r w:rsidR="00E01646">
        <w:rPr>
          <w:rFonts w:asciiTheme="minorHAnsi" w:eastAsiaTheme="minorHAnsi" w:hAnsiTheme="minorHAnsi" w:cs="Cambria"/>
          <w:color w:val="000000"/>
        </w:rPr>
        <w:t xml:space="preserve">as </w:t>
      </w:r>
      <w:proofErr w:type="spellStart"/>
      <w:r w:rsidR="0053664C">
        <w:rPr>
          <w:rFonts w:asciiTheme="minorHAnsi" w:eastAsiaTheme="minorHAnsi" w:hAnsiTheme="minorHAnsi" w:cs="Cambria"/>
          <w:color w:val="000000"/>
        </w:rPr>
        <w:t>Zevtera</w:t>
      </w:r>
      <w:proofErr w:type="spellEnd"/>
      <w:r w:rsidR="0053664C">
        <w:rPr>
          <w:rFonts w:asciiTheme="minorHAnsi" w:eastAsiaTheme="minorHAnsi" w:hAnsiTheme="minorHAnsi" w:cs="Cambria"/>
          <w:color w:val="000000"/>
        </w:rPr>
        <w:t xml:space="preserve"> for the treatment of </w:t>
      </w:r>
      <w:r w:rsidR="000771DB">
        <w:t>infections</w:t>
      </w:r>
      <w:r w:rsidR="000771DB">
        <w:rPr>
          <w:rFonts w:asciiTheme="minorHAnsi" w:eastAsiaTheme="minorHAnsi" w:hAnsiTheme="minorHAnsi" w:cs="Cambria"/>
          <w:color w:val="000000"/>
        </w:rPr>
        <w:t xml:space="preserve"> in </w:t>
      </w:r>
      <w:r w:rsidR="0053664C">
        <w:rPr>
          <w:rFonts w:asciiTheme="minorHAnsi" w:eastAsiaTheme="minorHAnsi" w:hAnsiTheme="minorHAnsi" w:cs="Cambria"/>
          <w:color w:val="000000"/>
        </w:rPr>
        <w:t>adult patients with hospital-acquired pneumonia (excluding ventilator-associated pneumonia) or community-acquired pneumonia (CAP)</w:t>
      </w:r>
      <w:r w:rsidR="006A3326">
        <w:rPr>
          <w:rFonts w:asciiTheme="minorHAnsi" w:eastAsiaTheme="minorHAnsi" w:hAnsiTheme="minorHAnsi" w:cs="Cambria"/>
          <w:color w:val="000000"/>
        </w:rPr>
        <w:t>.</w:t>
      </w:r>
    </w:p>
    <w:p w:rsidR="00A7675A" w:rsidRPr="003E6564" w:rsidRDefault="0057000A" w:rsidP="00A7675A">
      <w:bookmarkStart w:id="15" w:name="_Toc314842485"/>
      <w:bookmarkStart w:id="16" w:name="_Toc247691504"/>
      <w:proofErr w:type="spellStart"/>
      <w:r w:rsidRPr="00E01646">
        <w:t>Ceftobiprole</w:t>
      </w:r>
      <w:proofErr w:type="spellEnd"/>
      <w:r w:rsidRPr="00E01646">
        <w:t xml:space="preserve"> </w:t>
      </w:r>
      <w:proofErr w:type="spellStart"/>
      <w:r w:rsidRPr="00E01646">
        <w:t>medocaril</w:t>
      </w:r>
      <w:proofErr w:type="spellEnd"/>
      <w:r w:rsidRPr="00E01646">
        <w:t xml:space="preserve"> sodium was developed as a prodrug, due to solubility limitations of the active moiety </w:t>
      </w:r>
      <w:proofErr w:type="spellStart"/>
      <w:r w:rsidRPr="00E01646">
        <w:t>ceftobiprole</w:t>
      </w:r>
      <w:proofErr w:type="spellEnd"/>
      <w:r w:rsidRPr="00E01646">
        <w:t xml:space="preserve">. </w:t>
      </w:r>
      <w:proofErr w:type="spellStart"/>
      <w:r w:rsidRPr="00E01646">
        <w:t>Ceftobiprole</w:t>
      </w:r>
      <w:proofErr w:type="spellEnd"/>
      <w:r w:rsidRPr="00E01646">
        <w:t xml:space="preserve"> </w:t>
      </w:r>
      <w:proofErr w:type="spellStart"/>
      <w:r w:rsidRPr="00E01646">
        <w:t>medocaril</w:t>
      </w:r>
      <w:proofErr w:type="spellEnd"/>
      <w:r w:rsidRPr="00E01646">
        <w:t xml:space="preserve"> sodium is a beta-lactam antibiotic with bactericidal activity against a broad spectrum of gram</w:t>
      </w:r>
      <w:r w:rsidR="000771DB" w:rsidRPr="00E01646">
        <w:t xml:space="preserve"> </w:t>
      </w:r>
      <w:r w:rsidRPr="00E01646">
        <w:t>positive and</w:t>
      </w:r>
      <w:r w:rsidR="000771DB" w:rsidRPr="00E01646">
        <w:t xml:space="preserve"> </w:t>
      </w:r>
      <w:r w:rsidRPr="00E01646">
        <w:t xml:space="preserve">negative bacteria; many of these are important aetiological agents of CAP and/or nosocomial pneumonia. </w:t>
      </w:r>
      <w:r w:rsidR="00A7675A" w:rsidRPr="00E01646">
        <w:t xml:space="preserve">As with other </w:t>
      </w:r>
      <w:proofErr w:type="spellStart"/>
      <w:r w:rsidR="00A7675A" w:rsidRPr="00E01646">
        <w:t>cephalosporins</w:t>
      </w:r>
      <w:proofErr w:type="spellEnd"/>
      <w:r w:rsidR="00A7675A" w:rsidRPr="00E01646">
        <w:t xml:space="preserve">, </w:t>
      </w:r>
      <w:proofErr w:type="spellStart"/>
      <w:r w:rsidR="00A7675A" w:rsidRPr="00E01646">
        <w:t>ceftobiprole</w:t>
      </w:r>
      <w:proofErr w:type="spellEnd"/>
      <w:r w:rsidR="00A7675A" w:rsidRPr="00E01646">
        <w:t xml:space="preserve"> acts by binding tightly to penicillin binding proteins (PBPs)</w:t>
      </w:r>
      <w:r w:rsidR="00E01646" w:rsidRPr="00E01646">
        <w:t>. PBPs are</w:t>
      </w:r>
      <w:r w:rsidR="00A7675A" w:rsidRPr="00E01646">
        <w:t xml:space="preserve"> membrane associated bacterial enzymes involved in cell wall biosynthesis. </w:t>
      </w:r>
      <w:proofErr w:type="spellStart"/>
      <w:r w:rsidR="00A7675A" w:rsidRPr="00E01646">
        <w:t>Ceftobiprole</w:t>
      </w:r>
      <w:proofErr w:type="spellEnd"/>
      <w:r w:rsidR="00A7675A" w:rsidRPr="00E01646">
        <w:t xml:space="preserve"> binds tightly to the PBPs related to beta-lactam resistance in staphylococci (PBP2a) and pneumococci (PBP2x). At this juncture, there appears to be a low propensity for the development of resistance.</w:t>
      </w:r>
    </w:p>
    <w:p w:rsidR="006A3326" w:rsidRDefault="0057000A" w:rsidP="000771DB">
      <w:proofErr w:type="spellStart"/>
      <w:r w:rsidRPr="000771DB">
        <w:t>Ceftobiprole</w:t>
      </w:r>
      <w:proofErr w:type="spellEnd"/>
      <w:r w:rsidRPr="000771DB">
        <w:t xml:space="preserve"> can be considered a ‘</w:t>
      </w:r>
      <w:r w:rsidR="000771DB" w:rsidRPr="000771DB">
        <w:t>fifth</w:t>
      </w:r>
      <w:r w:rsidRPr="000771DB">
        <w:t xml:space="preserve"> generation’ cephalosporin as its antibacterial activity extends to methicillin-resistant </w:t>
      </w:r>
      <w:r w:rsidR="000771DB" w:rsidRPr="000771DB">
        <w:rPr>
          <w:i/>
        </w:rPr>
        <w:t>Staphylococcus aureus</w:t>
      </w:r>
      <w:r w:rsidR="000771DB" w:rsidRPr="00826430">
        <w:t xml:space="preserve"> (</w:t>
      </w:r>
      <w:r w:rsidRPr="000771DB">
        <w:rPr>
          <w:i/>
        </w:rPr>
        <w:t>S. aureus</w:t>
      </w:r>
      <w:r w:rsidR="000771DB">
        <w:rPr>
          <w:i/>
        </w:rPr>
        <w:t>)</w:t>
      </w:r>
      <w:r w:rsidRPr="000771DB">
        <w:t xml:space="preserve"> (MRSA), vancomycin-resistant </w:t>
      </w:r>
      <w:r w:rsidRPr="000771DB">
        <w:rPr>
          <w:i/>
        </w:rPr>
        <w:t>S. aureus</w:t>
      </w:r>
      <w:r w:rsidRPr="000771DB">
        <w:t xml:space="preserve"> (VRSA), as well as penicillin-resistant </w:t>
      </w:r>
      <w:r w:rsidRPr="000771DB">
        <w:rPr>
          <w:i/>
        </w:rPr>
        <w:t>Streptococcus pneumoniae</w:t>
      </w:r>
      <w:r w:rsidRPr="000771DB">
        <w:t xml:space="preserve"> (PRSP) and ceftriaxone-resistant </w:t>
      </w:r>
      <w:proofErr w:type="spellStart"/>
      <w:r w:rsidRPr="000771DB">
        <w:rPr>
          <w:i/>
        </w:rPr>
        <w:t>S.pneumoniae</w:t>
      </w:r>
      <w:proofErr w:type="spellEnd"/>
      <w:r w:rsidRPr="000771DB">
        <w:rPr>
          <w:i/>
        </w:rPr>
        <w:t xml:space="preserve">, Haemophilus </w:t>
      </w:r>
      <w:proofErr w:type="spellStart"/>
      <w:r w:rsidRPr="000771DB">
        <w:rPr>
          <w:i/>
        </w:rPr>
        <w:t>influenzae</w:t>
      </w:r>
      <w:proofErr w:type="spellEnd"/>
      <w:r w:rsidRPr="000771DB">
        <w:rPr>
          <w:i/>
        </w:rPr>
        <w:t xml:space="preserve">, Moraxella </w:t>
      </w:r>
      <w:proofErr w:type="spellStart"/>
      <w:r w:rsidRPr="000771DB">
        <w:rPr>
          <w:i/>
        </w:rPr>
        <w:t>catharralis</w:t>
      </w:r>
      <w:proofErr w:type="spellEnd"/>
      <w:r w:rsidRPr="000771DB">
        <w:rPr>
          <w:i/>
        </w:rPr>
        <w:t xml:space="preserve">, </w:t>
      </w:r>
      <w:proofErr w:type="spellStart"/>
      <w:r w:rsidRPr="000771DB">
        <w:rPr>
          <w:i/>
        </w:rPr>
        <w:t>enterobacteriaceae</w:t>
      </w:r>
      <w:proofErr w:type="spellEnd"/>
      <w:r w:rsidRPr="000771DB">
        <w:t xml:space="preserve"> and </w:t>
      </w:r>
      <w:r w:rsidRPr="000771DB">
        <w:rPr>
          <w:i/>
        </w:rPr>
        <w:t>Pseudomonas aeruginosa</w:t>
      </w:r>
      <w:r w:rsidR="006A3326">
        <w:t>.</w:t>
      </w:r>
    </w:p>
    <w:p w:rsidR="008E7846" w:rsidRPr="003F31A2" w:rsidRDefault="00386150" w:rsidP="008E7846">
      <w:pPr>
        <w:pStyle w:val="Heading3"/>
      </w:pPr>
      <w:bookmarkStart w:id="17" w:name="_Toc443060217"/>
      <w:r>
        <w:t>Regulatory s</w:t>
      </w:r>
      <w:r w:rsidR="008E7846">
        <w:t>tatus</w:t>
      </w:r>
      <w:bookmarkEnd w:id="15"/>
      <w:bookmarkEnd w:id="16"/>
      <w:bookmarkEnd w:id="17"/>
    </w:p>
    <w:p w:rsidR="006A3326" w:rsidRDefault="00A7675A" w:rsidP="000771DB">
      <w:bookmarkStart w:id="18" w:name="_Toc247691505"/>
      <w:bookmarkStart w:id="19" w:name="_Toc314842486"/>
      <w:r>
        <w:t xml:space="preserve">This is an application for a new chemical entity. </w:t>
      </w:r>
      <w:r w:rsidR="00940A89" w:rsidRPr="00940A89">
        <w:t>The product received initial registration on the Australian Register of Therapeutic Goods (ARTG) on</w:t>
      </w:r>
      <w:r w:rsidR="0053664C">
        <w:t xml:space="preserve"> the 10 November 2015</w:t>
      </w:r>
      <w:r w:rsidR="006A3326">
        <w:t>.</w:t>
      </w:r>
    </w:p>
    <w:p w:rsidR="000771DB" w:rsidRDefault="000771DB" w:rsidP="000771DB">
      <w:pPr>
        <w:rPr>
          <w:rFonts w:asciiTheme="minorHAnsi" w:hAnsiTheme="minorHAnsi"/>
        </w:rPr>
      </w:pPr>
      <w:r>
        <w:rPr>
          <w:rFonts w:asciiTheme="minorHAnsi" w:hAnsiTheme="minorHAnsi"/>
        </w:rPr>
        <w:t>F</w:t>
      </w:r>
      <w:r>
        <w:rPr>
          <w:rFonts w:asciiTheme="minorHAnsi" w:hAnsiTheme="minorHAnsi" w:cs="Calibri"/>
        </w:rPr>
        <w:t xml:space="preserve">or the treatment of hospital-acquired </w:t>
      </w:r>
      <w:r>
        <w:rPr>
          <w:rFonts w:asciiTheme="minorHAnsi" w:hAnsiTheme="minorHAnsi"/>
        </w:rPr>
        <w:t>pneumonia</w:t>
      </w:r>
      <w:r>
        <w:rPr>
          <w:rFonts w:asciiTheme="minorHAnsi" w:hAnsiTheme="minorHAnsi" w:cs="Calibri"/>
        </w:rPr>
        <w:t xml:space="preserve"> (HAP) and </w:t>
      </w:r>
      <w:r>
        <w:rPr>
          <w:rFonts w:asciiTheme="minorHAnsi" w:hAnsiTheme="minorHAnsi"/>
        </w:rPr>
        <w:t>community-acquired pneumonia CAP), a</w:t>
      </w:r>
      <w:r>
        <w:rPr>
          <w:rFonts w:asciiTheme="minorHAnsi" w:hAnsiTheme="minorHAnsi" w:cs="Calibri"/>
        </w:rPr>
        <w:t xml:space="preserve">n application was made by </w:t>
      </w:r>
      <w:proofErr w:type="spellStart"/>
      <w:r>
        <w:rPr>
          <w:rFonts w:asciiTheme="minorHAnsi" w:hAnsiTheme="minorHAnsi" w:cs="Calibri"/>
        </w:rPr>
        <w:t>Basilea</w:t>
      </w:r>
      <w:proofErr w:type="spellEnd"/>
      <w:r>
        <w:rPr>
          <w:rFonts w:asciiTheme="minorHAnsi" w:hAnsiTheme="minorHAnsi" w:cs="Calibri"/>
        </w:rPr>
        <w:t xml:space="preserve"> Medical UK in 2012 via the decentralised route with </w:t>
      </w:r>
      <w:r w:rsidR="00A7675A">
        <w:rPr>
          <w:rFonts w:asciiTheme="minorHAnsi" w:hAnsiTheme="minorHAnsi" w:cs="Calibri"/>
        </w:rPr>
        <w:t>United Kingdom (</w:t>
      </w:r>
      <w:r>
        <w:rPr>
          <w:rFonts w:asciiTheme="minorHAnsi" w:hAnsiTheme="minorHAnsi" w:cs="Calibri"/>
        </w:rPr>
        <w:t>UK</w:t>
      </w:r>
      <w:r w:rsidR="00A7675A">
        <w:rPr>
          <w:rFonts w:asciiTheme="minorHAnsi" w:hAnsiTheme="minorHAnsi" w:cs="Calibri"/>
        </w:rPr>
        <w:t>)</w:t>
      </w:r>
      <w:r>
        <w:rPr>
          <w:rFonts w:asciiTheme="minorHAnsi" w:hAnsiTheme="minorHAnsi" w:cs="Calibri"/>
        </w:rPr>
        <w:t xml:space="preserve"> as the reference member state. Marketing </w:t>
      </w:r>
      <w:r w:rsidR="00A7675A">
        <w:rPr>
          <w:rFonts w:asciiTheme="minorHAnsi" w:hAnsiTheme="minorHAnsi" w:cs="Calibri"/>
        </w:rPr>
        <w:t>a</w:t>
      </w:r>
      <w:r>
        <w:rPr>
          <w:rFonts w:asciiTheme="minorHAnsi" w:hAnsiTheme="minorHAnsi" w:cs="Calibri"/>
        </w:rPr>
        <w:t xml:space="preserve">uthorisation was granted in the UK for the treatment of HAP and CAP on 20 November 2013 (Table 1). </w:t>
      </w:r>
      <w:r>
        <w:rPr>
          <w:rFonts w:asciiTheme="minorHAnsi" w:hAnsiTheme="minorHAnsi" w:cs="Arial"/>
        </w:rPr>
        <w:t xml:space="preserve">Following approval under the European decentralized procedure, </w:t>
      </w:r>
      <w:proofErr w:type="spellStart"/>
      <w:r>
        <w:rPr>
          <w:rFonts w:asciiTheme="minorHAnsi" w:hAnsiTheme="minorHAnsi" w:cs="Arial"/>
        </w:rPr>
        <w:t>ceftobiprole</w:t>
      </w:r>
      <w:proofErr w:type="spellEnd"/>
      <w:r>
        <w:rPr>
          <w:rFonts w:asciiTheme="minorHAnsi" w:hAnsiTheme="minorHAnsi" w:cs="Arial"/>
        </w:rPr>
        <w:t xml:space="preserve"> </w:t>
      </w:r>
      <w:proofErr w:type="spellStart"/>
      <w:r>
        <w:rPr>
          <w:rFonts w:asciiTheme="minorHAnsi" w:hAnsiTheme="minorHAnsi"/>
        </w:rPr>
        <w:t>medocaril</w:t>
      </w:r>
      <w:proofErr w:type="spellEnd"/>
      <w:r w:rsidR="003427D7">
        <w:rPr>
          <w:rFonts w:asciiTheme="minorHAnsi" w:hAnsiTheme="minorHAnsi"/>
        </w:rPr>
        <w:t xml:space="preserve"> </w:t>
      </w:r>
      <w:r>
        <w:rPr>
          <w:rFonts w:asciiTheme="minorHAnsi" w:hAnsiTheme="minorHAnsi" w:cs="Arial"/>
        </w:rPr>
        <w:t>has received national licenses for the treatment of CAP and HAP (excluding VAP) in adults in Austria, Belgium, Denmark, Finland, France, Germany, Italy, Luxembourg, Norway, Spain and Sweden. A similar application has been approved in Switzerland</w:t>
      </w:r>
      <w:r w:rsidR="00D64522">
        <w:rPr>
          <w:rFonts w:asciiTheme="minorHAnsi" w:hAnsiTheme="minorHAnsi" w:cs="Arial"/>
        </w:rPr>
        <w:t xml:space="preserve"> and Canada (Table 1)</w:t>
      </w:r>
      <w:r>
        <w:rPr>
          <w:rFonts w:asciiTheme="minorHAnsi" w:hAnsiTheme="minorHAnsi" w:cs="Arial"/>
        </w:rPr>
        <w:t>.</w:t>
      </w:r>
    </w:p>
    <w:p w:rsidR="000771DB" w:rsidRDefault="000771DB" w:rsidP="00951E61">
      <w:pPr>
        <w:pStyle w:val="TableTitle"/>
      </w:pPr>
      <w:r>
        <w:lastRenderedPageBreak/>
        <w:t>Table 1: International regulatory status</w:t>
      </w:r>
    </w:p>
    <w:tbl>
      <w:tblPr>
        <w:tblStyle w:val="TableTGAblue"/>
        <w:tblW w:w="8613" w:type="dxa"/>
        <w:tblLayout w:type="fixed"/>
        <w:tblLook w:val="04A0" w:firstRow="1" w:lastRow="0" w:firstColumn="1" w:lastColumn="0" w:noHBand="0" w:noVBand="1"/>
      </w:tblPr>
      <w:tblGrid>
        <w:gridCol w:w="1526"/>
        <w:gridCol w:w="1559"/>
        <w:gridCol w:w="1843"/>
        <w:gridCol w:w="1984"/>
        <w:gridCol w:w="1701"/>
      </w:tblGrid>
      <w:tr w:rsidR="00463C3C" w:rsidRPr="00D64522" w:rsidTr="00463C3C">
        <w:trPr>
          <w:cnfStyle w:val="100000000000" w:firstRow="1" w:lastRow="0" w:firstColumn="0" w:lastColumn="0" w:oddVBand="0" w:evenVBand="0" w:oddHBand="0" w:evenHBand="0" w:firstRowFirstColumn="0" w:firstRowLastColumn="0" w:lastRowFirstColumn="0" w:lastRowLastColumn="0"/>
          <w:trHeight w:val="1200"/>
        </w:trPr>
        <w:tc>
          <w:tcPr>
            <w:tcW w:w="1526" w:type="dxa"/>
            <w:hideMark/>
          </w:tcPr>
          <w:p w:rsidR="00463C3C" w:rsidRPr="00951E61" w:rsidRDefault="00463C3C" w:rsidP="00951E61">
            <w:pPr>
              <w:rPr>
                <w:b w:val="0"/>
                <w:sz w:val="18"/>
                <w:szCs w:val="18"/>
                <w:lang w:val="en-US" w:eastAsia="ja-JP"/>
              </w:rPr>
            </w:pPr>
            <w:r w:rsidRPr="00951E61">
              <w:rPr>
                <w:sz w:val="18"/>
                <w:szCs w:val="18"/>
                <w:lang w:val="en-US" w:eastAsia="ja-JP"/>
              </w:rPr>
              <w:t>Country</w:t>
            </w:r>
          </w:p>
        </w:tc>
        <w:tc>
          <w:tcPr>
            <w:tcW w:w="1559" w:type="dxa"/>
            <w:hideMark/>
          </w:tcPr>
          <w:p w:rsidR="00463C3C" w:rsidRDefault="00463C3C" w:rsidP="00951E61">
            <w:pPr>
              <w:rPr>
                <w:sz w:val="18"/>
                <w:szCs w:val="18"/>
                <w:lang w:val="en-US" w:eastAsia="ja-JP"/>
              </w:rPr>
            </w:pPr>
            <w:r w:rsidRPr="00951E61">
              <w:rPr>
                <w:sz w:val="18"/>
                <w:szCs w:val="18"/>
                <w:lang w:val="en-US" w:eastAsia="ja-JP"/>
              </w:rPr>
              <w:t>Invented Name</w:t>
            </w:r>
            <w:r>
              <w:rPr>
                <w:sz w:val="18"/>
                <w:szCs w:val="18"/>
                <w:lang w:val="en-US" w:eastAsia="ja-JP"/>
              </w:rPr>
              <w:t>/</w:t>
            </w:r>
          </w:p>
          <w:p w:rsidR="00463C3C" w:rsidRPr="00951E61" w:rsidRDefault="00463C3C" w:rsidP="00951E61">
            <w:pPr>
              <w:rPr>
                <w:b w:val="0"/>
                <w:sz w:val="18"/>
                <w:szCs w:val="18"/>
                <w:lang w:val="en-US" w:eastAsia="ja-JP"/>
              </w:rPr>
            </w:pPr>
            <w:r>
              <w:rPr>
                <w:sz w:val="18"/>
                <w:szCs w:val="18"/>
                <w:lang w:val="en-US" w:eastAsia="ja-JP"/>
              </w:rPr>
              <w:t>Active substance</w:t>
            </w:r>
          </w:p>
        </w:tc>
        <w:tc>
          <w:tcPr>
            <w:tcW w:w="1843" w:type="dxa"/>
            <w:hideMark/>
          </w:tcPr>
          <w:p w:rsidR="00463C3C" w:rsidRDefault="00463C3C" w:rsidP="00951E61">
            <w:pPr>
              <w:rPr>
                <w:sz w:val="18"/>
                <w:szCs w:val="18"/>
                <w:lang w:val="en-US" w:eastAsia="ja-JP"/>
              </w:rPr>
            </w:pPr>
            <w:r w:rsidRPr="00951E61">
              <w:rPr>
                <w:sz w:val="18"/>
                <w:szCs w:val="18"/>
                <w:lang w:val="en-US" w:eastAsia="ja-JP"/>
              </w:rPr>
              <w:t>Dosage Form</w:t>
            </w:r>
            <w:r>
              <w:rPr>
                <w:sz w:val="18"/>
                <w:szCs w:val="18"/>
                <w:lang w:val="en-US" w:eastAsia="ja-JP"/>
              </w:rPr>
              <w:t>/</w:t>
            </w:r>
          </w:p>
          <w:p w:rsidR="00463C3C" w:rsidRPr="00951E61" w:rsidRDefault="00463C3C" w:rsidP="00951E61">
            <w:pPr>
              <w:rPr>
                <w:b w:val="0"/>
                <w:sz w:val="18"/>
                <w:szCs w:val="18"/>
                <w:lang w:val="en-US" w:eastAsia="ja-JP"/>
              </w:rPr>
            </w:pPr>
            <w:r>
              <w:rPr>
                <w:sz w:val="18"/>
                <w:szCs w:val="18"/>
                <w:lang w:val="en-US" w:eastAsia="ja-JP"/>
              </w:rPr>
              <w:t>Strength</w:t>
            </w:r>
          </w:p>
        </w:tc>
        <w:tc>
          <w:tcPr>
            <w:tcW w:w="1984" w:type="dxa"/>
            <w:hideMark/>
          </w:tcPr>
          <w:p w:rsidR="00463C3C" w:rsidRPr="00951E61" w:rsidRDefault="00463C3C" w:rsidP="00951E61">
            <w:pPr>
              <w:rPr>
                <w:b w:val="0"/>
                <w:sz w:val="18"/>
                <w:szCs w:val="18"/>
                <w:lang w:val="en-US" w:eastAsia="ja-JP"/>
              </w:rPr>
            </w:pPr>
            <w:r w:rsidRPr="00951E61">
              <w:rPr>
                <w:sz w:val="18"/>
                <w:szCs w:val="18"/>
                <w:lang w:val="en-US" w:eastAsia="ja-JP"/>
              </w:rPr>
              <w:t>Indication(s)</w:t>
            </w:r>
          </w:p>
        </w:tc>
        <w:tc>
          <w:tcPr>
            <w:tcW w:w="1701" w:type="dxa"/>
            <w:hideMark/>
          </w:tcPr>
          <w:p w:rsidR="00463C3C" w:rsidRPr="00951E61" w:rsidRDefault="00463C3C" w:rsidP="00951E61">
            <w:pPr>
              <w:rPr>
                <w:b w:val="0"/>
                <w:sz w:val="18"/>
                <w:szCs w:val="18"/>
                <w:lang w:val="en-US" w:eastAsia="ja-JP"/>
              </w:rPr>
            </w:pPr>
            <w:r w:rsidRPr="00951E61">
              <w:rPr>
                <w:sz w:val="18"/>
                <w:szCs w:val="18"/>
                <w:lang w:val="en-US" w:eastAsia="ja-JP"/>
              </w:rPr>
              <w:t>Approval Date</w:t>
            </w:r>
          </w:p>
        </w:tc>
      </w:tr>
      <w:tr w:rsidR="00463C3C" w:rsidRPr="00D64522" w:rsidTr="00463C3C">
        <w:trPr>
          <w:trHeight w:val="2700"/>
        </w:trPr>
        <w:tc>
          <w:tcPr>
            <w:tcW w:w="1526" w:type="dxa"/>
            <w:noWrap/>
            <w:hideMark/>
          </w:tcPr>
          <w:p w:rsidR="00463C3C" w:rsidRPr="00951E61" w:rsidRDefault="00463C3C" w:rsidP="00951E61">
            <w:pPr>
              <w:rPr>
                <w:sz w:val="18"/>
                <w:szCs w:val="18"/>
                <w:lang w:val="en-US" w:eastAsia="ja-JP"/>
              </w:rPr>
            </w:pPr>
            <w:r w:rsidRPr="00951E61">
              <w:rPr>
                <w:sz w:val="18"/>
                <w:szCs w:val="18"/>
                <w:lang w:val="en-US" w:eastAsia="ja-JP"/>
              </w:rPr>
              <w:t>UK</w:t>
            </w:r>
            <w:r w:rsidRPr="00951E61">
              <w:rPr>
                <w:sz w:val="18"/>
                <w:szCs w:val="18"/>
                <w:vertAlign w:val="superscript"/>
                <w:lang w:val="en-US" w:eastAsia="ja-JP"/>
              </w:rPr>
              <w:t>1</w:t>
            </w:r>
          </w:p>
        </w:tc>
        <w:tc>
          <w:tcPr>
            <w:tcW w:w="1559" w:type="dxa"/>
            <w:noWrap/>
            <w:hideMark/>
          </w:tcPr>
          <w:p w:rsidR="00463C3C" w:rsidRDefault="00463C3C" w:rsidP="00951E61">
            <w:pPr>
              <w:rPr>
                <w:sz w:val="18"/>
                <w:szCs w:val="18"/>
                <w:lang w:val="en-US" w:eastAsia="ja-JP"/>
              </w:rPr>
            </w:pPr>
            <w:proofErr w:type="spellStart"/>
            <w:r w:rsidRPr="00951E61">
              <w:rPr>
                <w:sz w:val="18"/>
                <w:szCs w:val="18"/>
                <w:lang w:val="en-US" w:eastAsia="ja-JP"/>
              </w:rPr>
              <w:t>Zevtera</w:t>
            </w:r>
            <w:proofErr w:type="spellEnd"/>
            <w:r>
              <w:rPr>
                <w:sz w:val="18"/>
                <w:szCs w:val="18"/>
                <w:lang w:val="en-US" w:eastAsia="ja-JP"/>
              </w:rPr>
              <w:t>/</w:t>
            </w:r>
          </w:p>
          <w:p w:rsidR="00463C3C" w:rsidRPr="00951E61" w:rsidRDefault="00463C3C" w:rsidP="00951E61">
            <w:pPr>
              <w:rPr>
                <w:sz w:val="18"/>
                <w:szCs w:val="18"/>
                <w:lang w:val="en-US" w:eastAsia="ja-JP"/>
              </w:rPr>
            </w:pPr>
            <w:proofErr w:type="spellStart"/>
            <w:r w:rsidRPr="00951E61">
              <w:rPr>
                <w:sz w:val="18"/>
                <w:szCs w:val="18"/>
                <w:lang w:val="en-US" w:eastAsia="ja-JP"/>
              </w:rPr>
              <w:t>Ceftobiprole</w:t>
            </w:r>
            <w:proofErr w:type="spellEnd"/>
          </w:p>
        </w:tc>
        <w:tc>
          <w:tcPr>
            <w:tcW w:w="1843" w:type="dxa"/>
            <w:hideMark/>
          </w:tcPr>
          <w:p w:rsidR="00463C3C" w:rsidRDefault="006A3326" w:rsidP="00951E61">
            <w:pPr>
              <w:rPr>
                <w:sz w:val="18"/>
                <w:szCs w:val="18"/>
                <w:lang w:val="en-US" w:eastAsia="ja-JP"/>
              </w:rPr>
            </w:pPr>
            <w:r>
              <w:rPr>
                <w:sz w:val="18"/>
                <w:szCs w:val="18"/>
                <w:lang w:val="en-US" w:eastAsia="ja-JP"/>
              </w:rPr>
              <w:t>Powder</w:t>
            </w:r>
            <w:r w:rsidR="00463C3C" w:rsidRPr="00951E61">
              <w:rPr>
                <w:sz w:val="18"/>
                <w:szCs w:val="18"/>
                <w:lang w:val="en-US" w:eastAsia="ja-JP"/>
              </w:rPr>
              <w:br/>
              <w:t>for concentrate for solution for infusion</w:t>
            </w:r>
          </w:p>
          <w:p w:rsidR="00463C3C" w:rsidRPr="00951E61" w:rsidRDefault="00463C3C" w:rsidP="00951E61">
            <w:pPr>
              <w:rPr>
                <w:sz w:val="18"/>
                <w:szCs w:val="18"/>
                <w:lang w:val="en-US" w:eastAsia="ja-JP"/>
              </w:rPr>
            </w:pPr>
            <w:r w:rsidRPr="00951E61">
              <w:rPr>
                <w:sz w:val="18"/>
                <w:szCs w:val="18"/>
                <w:lang w:val="en-US" w:eastAsia="ja-JP"/>
              </w:rPr>
              <w:t>500 mg</w:t>
            </w:r>
          </w:p>
        </w:tc>
        <w:tc>
          <w:tcPr>
            <w:tcW w:w="1984" w:type="dxa"/>
            <w:hideMark/>
          </w:tcPr>
          <w:p w:rsidR="00463C3C" w:rsidRPr="00951E61" w:rsidRDefault="00463C3C" w:rsidP="00951E61">
            <w:pPr>
              <w:rPr>
                <w:sz w:val="18"/>
                <w:szCs w:val="18"/>
                <w:lang w:val="en-US" w:eastAsia="ja-JP"/>
              </w:rPr>
            </w:pPr>
            <w:r w:rsidRPr="00951E61">
              <w:rPr>
                <w:sz w:val="18"/>
                <w:szCs w:val="18"/>
                <w:lang w:val="en-US" w:eastAsia="ja-JP"/>
              </w:rPr>
              <w:t>Hospital-acquired pneumonia (HAP), excluding ventilator-associated pneumonia (VAP)</w:t>
            </w:r>
          </w:p>
          <w:p w:rsidR="00463C3C" w:rsidRPr="00951E61" w:rsidRDefault="00463C3C" w:rsidP="00951E61">
            <w:pPr>
              <w:rPr>
                <w:sz w:val="18"/>
                <w:szCs w:val="18"/>
                <w:lang w:val="en-US" w:eastAsia="ja-JP"/>
              </w:rPr>
            </w:pPr>
            <w:r w:rsidRPr="00951E61">
              <w:rPr>
                <w:sz w:val="18"/>
                <w:szCs w:val="18"/>
                <w:lang w:val="en-US" w:eastAsia="ja-JP"/>
              </w:rPr>
              <w:t>Community-acquired pneumonia (CAP)</w:t>
            </w:r>
          </w:p>
        </w:tc>
        <w:tc>
          <w:tcPr>
            <w:tcW w:w="1701" w:type="dxa"/>
            <w:hideMark/>
          </w:tcPr>
          <w:p w:rsidR="00463C3C" w:rsidRPr="00951E61" w:rsidRDefault="00463C3C" w:rsidP="00951E61">
            <w:pPr>
              <w:rPr>
                <w:sz w:val="18"/>
                <w:szCs w:val="18"/>
                <w:lang w:val="en-US" w:eastAsia="ja-JP"/>
              </w:rPr>
            </w:pPr>
            <w:r w:rsidRPr="00951E61">
              <w:rPr>
                <w:sz w:val="18"/>
                <w:szCs w:val="18"/>
                <w:lang w:val="en-US" w:eastAsia="ja-JP"/>
              </w:rPr>
              <w:t>20 Nov 2013</w:t>
            </w:r>
          </w:p>
        </w:tc>
      </w:tr>
      <w:tr w:rsidR="00463C3C" w:rsidTr="00463C3C">
        <w:trPr>
          <w:trHeight w:val="2400"/>
        </w:trPr>
        <w:tc>
          <w:tcPr>
            <w:tcW w:w="1526" w:type="dxa"/>
            <w:noWrap/>
          </w:tcPr>
          <w:p w:rsidR="00463C3C" w:rsidRPr="00951E61" w:rsidRDefault="00463C3C" w:rsidP="00951E61">
            <w:pPr>
              <w:rPr>
                <w:sz w:val="18"/>
                <w:szCs w:val="18"/>
              </w:rPr>
            </w:pPr>
            <w:r w:rsidRPr="00951E61">
              <w:rPr>
                <w:sz w:val="18"/>
                <w:szCs w:val="18"/>
              </w:rPr>
              <w:t>Switzerland</w:t>
            </w:r>
          </w:p>
        </w:tc>
        <w:tc>
          <w:tcPr>
            <w:tcW w:w="1559" w:type="dxa"/>
            <w:noWrap/>
          </w:tcPr>
          <w:p w:rsidR="00463C3C" w:rsidRPr="00951E61" w:rsidRDefault="00463C3C" w:rsidP="006A3326">
            <w:pPr>
              <w:rPr>
                <w:sz w:val="18"/>
                <w:szCs w:val="18"/>
              </w:rPr>
            </w:pPr>
            <w:proofErr w:type="spellStart"/>
            <w:r w:rsidRPr="00951E61">
              <w:rPr>
                <w:sz w:val="18"/>
                <w:szCs w:val="18"/>
              </w:rPr>
              <w:t>Zevtera</w:t>
            </w:r>
            <w:proofErr w:type="spellEnd"/>
            <w:r>
              <w:rPr>
                <w:sz w:val="18"/>
                <w:szCs w:val="18"/>
              </w:rPr>
              <w:t>/</w:t>
            </w:r>
            <w:r w:rsidRPr="00951E61">
              <w:rPr>
                <w:sz w:val="18"/>
                <w:szCs w:val="18"/>
              </w:rPr>
              <w:t xml:space="preserve"> </w:t>
            </w:r>
            <w:proofErr w:type="spellStart"/>
            <w:r w:rsidRPr="00951E61">
              <w:rPr>
                <w:sz w:val="18"/>
                <w:szCs w:val="18"/>
              </w:rPr>
              <w:t>Ceftobiprole</w:t>
            </w:r>
            <w:proofErr w:type="spellEnd"/>
          </w:p>
        </w:tc>
        <w:tc>
          <w:tcPr>
            <w:tcW w:w="1843" w:type="dxa"/>
          </w:tcPr>
          <w:p w:rsidR="00463C3C" w:rsidRDefault="00463C3C" w:rsidP="00951E61">
            <w:pPr>
              <w:rPr>
                <w:sz w:val="18"/>
                <w:szCs w:val="18"/>
              </w:rPr>
            </w:pPr>
            <w:r w:rsidRPr="00951E61">
              <w:rPr>
                <w:sz w:val="18"/>
                <w:szCs w:val="18"/>
              </w:rPr>
              <w:t>Powder</w:t>
            </w:r>
            <w:r w:rsidRPr="00951E61">
              <w:rPr>
                <w:sz w:val="18"/>
                <w:szCs w:val="18"/>
              </w:rPr>
              <w:br/>
              <w:t>for concentrate for solution for infusion</w:t>
            </w:r>
          </w:p>
          <w:p w:rsidR="00463C3C" w:rsidRPr="00951E61" w:rsidRDefault="00463C3C" w:rsidP="006A3326">
            <w:pPr>
              <w:rPr>
                <w:sz w:val="18"/>
                <w:szCs w:val="18"/>
              </w:rPr>
            </w:pPr>
            <w:r w:rsidRPr="00951E61">
              <w:rPr>
                <w:sz w:val="18"/>
                <w:szCs w:val="18"/>
                <w:lang w:val="it-IT"/>
              </w:rPr>
              <w:t>500 mg</w:t>
            </w:r>
          </w:p>
        </w:tc>
        <w:tc>
          <w:tcPr>
            <w:tcW w:w="1984" w:type="dxa"/>
          </w:tcPr>
          <w:p w:rsidR="00463C3C" w:rsidRPr="00951E61" w:rsidRDefault="00463C3C" w:rsidP="00951E61">
            <w:pPr>
              <w:rPr>
                <w:sz w:val="18"/>
                <w:szCs w:val="18"/>
              </w:rPr>
            </w:pPr>
            <w:r w:rsidRPr="00951E61">
              <w:rPr>
                <w:sz w:val="18"/>
                <w:szCs w:val="18"/>
              </w:rPr>
              <w:t>Hospital-acquired pneumonia (HAP), excluding ventilator-associated pneumonia (VAP)</w:t>
            </w:r>
          </w:p>
          <w:p w:rsidR="00463C3C" w:rsidRPr="00951E61" w:rsidRDefault="00463C3C" w:rsidP="00951E61">
            <w:pPr>
              <w:rPr>
                <w:sz w:val="18"/>
                <w:szCs w:val="18"/>
              </w:rPr>
            </w:pPr>
            <w:r w:rsidRPr="00951E61">
              <w:rPr>
                <w:sz w:val="18"/>
                <w:szCs w:val="18"/>
              </w:rPr>
              <w:t>Community-acquired pneumonia (CAP)</w:t>
            </w:r>
          </w:p>
        </w:tc>
        <w:tc>
          <w:tcPr>
            <w:tcW w:w="1701" w:type="dxa"/>
          </w:tcPr>
          <w:p w:rsidR="00463C3C" w:rsidRPr="00951E61" w:rsidRDefault="00463C3C" w:rsidP="00951E61">
            <w:pPr>
              <w:rPr>
                <w:sz w:val="18"/>
                <w:szCs w:val="18"/>
              </w:rPr>
            </w:pPr>
            <w:r w:rsidRPr="00951E61">
              <w:rPr>
                <w:sz w:val="18"/>
                <w:szCs w:val="18"/>
              </w:rPr>
              <w:t>23 Dec 2014</w:t>
            </w:r>
          </w:p>
        </w:tc>
      </w:tr>
      <w:tr w:rsidR="00463C3C" w:rsidTr="00463C3C">
        <w:trPr>
          <w:trHeight w:val="2400"/>
        </w:trPr>
        <w:tc>
          <w:tcPr>
            <w:tcW w:w="1526" w:type="dxa"/>
            <w:noWrap/>
          </w:tcPr>
          <w:p w:rsidR="00463C3C" w:rsidRPr="00951E61" w:rsidRDefault="00463C3C" w:rsidP="00951E61">
            <w:pPr>
              <w:rPr>
                <w:sz w:val="18"/>
                <w:szCs w:val="18"/>
              </w:rPr>
            </w:pPr>
            <w:r w:rsidRPr="00951E61">
              <w:rPr>
                <w:sz w:val="18"/>
                <w:szCs w:val="18"/>
              </w:rPr>
              <w:t>Canada</w:t>
            </w:r>
          </w:p>
        </w:tc>
        <w:tc>
          <w:tcPr>
            <w:tcW w:w="1559" w:type="dxa"/>
            <w:noWrap/>
          </w:tcPr>
          <w:p w:rsidR="00463C3C" w:rsidRPr="00951E61" w:rsidRDefault="00463C3C" w:rsidP="00951E61">
            <w:pPr>
              <w:rPr>
                <w:sz w:val="18"/>
                <w:szCs w:val="18"/>
              </w:rPr>
            </w:pPr>
            <w:proofErr w:type="spellStart"/>
            <w:r w:rsidRPr="00951E61">
              <w:rPr>
                <w:sz w:val="18"/>
                <w:szCs w:val="18"/>
              </w:rPr>
              <w:t>Zevtera</w:t>
            </w:r>
            <w:proofErr w:type="spellEnd"/>
            <w:r>
              <w:rPr>
                <w:sz w:val="18"/>
                <w:szCs w:val="18"/>
              </w:rPr>
              <w:t>/</w:t>
            </w:r>
            <w:r w:rsidRPr="00951E61">
              <w:rPr>
                <w:sz w:val="18"/>
                <w:szCs w:val="18"/>
              </w:rPr>
              <w:t xml:space="preserve"> </w:t>
            </w:r>
            <w:proofErr w:type="spellStart"/>
            <w:r w:rsidRPr="00951E61">
              <w:rPr>
                <w:sz w:val="18"/>
                <w:szCs w:val="18"/>
              </w:rPr>
              <w:t>Ceftobiprole</w:t>
            </w:r>
            <w:proofErr w:type="spellEnd"/>
          </w:p>
        </w:tc>
        <w:tc>
          <w:tcPr>
            <w:tcW w:w="1843" w:type="dxa"/>
          </w:tcPr>
          <w:p w:rsidR="00463C3C" w:rsidRDefault="00463C3C" w:rsidP="00951E61">
            <w:pPr>
              <w:rPr>
                <w:sz w:val="18"/>
                <w:szCs w:val="18"/>
              </w:rPr>
            </w:pPr>
            <w:r w:rsidRPr="00951E61">
              <w:rPr>
                <w:sz w:val="18"/>
                <w:szCs w:val="18"/>
              </w:rPr>
              <w:t>Powder</w:t>
            </w:r>
            <w:r w:rsidRPr="00951E61">
              <w:rPr>
                <w:sz w:val="18"/>
                <w:szCs w:val="18"/>
              </w:rPr>
              <w:br/>
              <w:t>for concentrate for solution for infusion</w:t>
            </w:r>
          </w:p>
          <w:p w:rsidR="00463C3C" w:rsidRPr="00951E61" w:rsidRDefault="00463C3C" w:rsidP="006A3326">
            <w:pPr>
              <w:rPr>
                <w:sz w:val="18"/>
                <w:szCs w:val="18"/>
              </w:rPr>
            </w:pPr>
            <w:r w:rsidRPr="00951E61">
              <w:rPr>
                <w:sz w:val="18"/>
                <w:szCs w:val="18"/>
                <w:lang w:val="it-IT"/>
              </w:rPr>
              <w:t>500 mg</w:t>
            </w:r>
          </w:p>
        </w:tc>
        <w:tc>
          <w:tcPr>
            <w:tcW w:w="1984" w:type="dxa"/>
          </w:tcPr>
          <w:p w:rsidR="00463C3C" w:rsidRPr="00951E61" w:rsidRDefault="00463C3C" w:rsidP="00951E61">
            <w:pPr>
              <w:rPr>
                <w:sz w:val="18"/>
                <w:szCs w:val="18"/>
              </w:rPr>
            </w:pPr>
            <w:r w:rsidRPr="00951E61">
              <w:rPr>
                <w:sz w:val="18"/>
                <w:szCs w:val="18"/>
              </w:rPr>
              <w:t>Hospital-acquired pneumonia (HAP), excluding ventilator-associated pneumonia (VAP)</w:t>
            </w:r>
          </w:p>
          <w:p w:rsidR="00463C3C" w:rsidRPr="00951E61" w:rsidRDefault="00463C3C" w:rsidP="00951E61">
            <w:pPr>
              <w:rPr>
                <w:sz w:val="18"/>
                <w:szCs w:val="18"/>
              </w:rPr>
            </w:pPr>
            <w:r w:rsidRPr="00951E61">
              <w:rPr>
                <w:sz w:val="18"/>
                <w:szCs w:val="18"/>
              </w:rPr>
              <w:t>Community-acquired pneumonia (CAP)</w:t>
            </w:r>
          </w:p>
        </w:tc>
        <w:tc>
          <w:tcPr>
            <w:tcW w:w="1701" w:type="dxa"/>
          </w:tcPr>
          <w:p w:rsidR="00463C3C" w:rsidRPr="00951E61" w:rsidRDefault="00463C3C" w:rsidP="00951E61">
            <w:pPr>
              <w:rPr>
                <w:sz w:val="18"/>
                <w:szCs w:val="18"/>
              </w:rPr>
            </w:pPr>
            <w:r w:rsidRPr="00951E61">
              <w:rPr>
                <w:sz w:val="18"/>
                <w:szCs w:val="18"/>
              </w:rPr>
              <w:t>24 Sep 2015</w:t>
            </w:r>
          </w:p>
        </w:tc>
      </w:tr>
    </w:tbl>
    <w:p w:rsidR="000771DB" w:rsidRDefault="000771DB" w:rsidP="00951E61">
      <w:pPr>
        <w:pStyle w:val="TableDescription"/>
      </w:pPr>
      <w:r w:rsidRPr="000771DB">
        <w:rPr>
          <w:vertAlign w:val="superscript"/>
        </w:rPr>
        <w:t>1</w:t>
      </w:r>
      <w:r>
        <w:t>Decentralised Procedure: Reference Member State</w:t>
      </w:r>
      <w:r w:rsidR="00A7675A">
        <w:t>.</w:t>
      </w:r>
    </w:p>
    <w:p w:rsidR="008E7846" w:rsidRDefault="008E7846" w:rsidP="00940A89">
      <w:pPr>
        <w:pStyle w:val="Heading3"/>
      </w:pPr>
      <w:bookmarkStart w:id="20" w:name="_Toc443060218"/>
      <w:r>
        <w:t>Product Information</w:t>
      </w:r>
      <w:bookmarkEnd w:id="18"/>
      <w:bookmarkEnd w:id="19"/>
      <w:bookmarkEnd w:id="20"/>
    </w:p>
    <w:p w:rsidR="00940A89" w:rsidRDefault="00940A89" w:rsidP="00940A89">
      <w:pPr>
        <w:rPr>
          <w:b/>
          <w:bCs/>
        </w:rPr>
      </w:pPr>
      <w:bookmarkStart w:id="21" w:name="_Toc247691506"/>
      <w:bookmarkStart w:id="22"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3" w:name="_Toc443060219"/>
      <w:r>
        <w:lastRenderedPageBreak/>
        <w:t>II. Quality findings</w:t>
      </w:r>
      <w:bookmarkEnd w:id="21"/>
      <w:bookmarkEnd w:id="22"/>
      <w:bookmarkEnd w:id="23"/>
    </w:p>
    <w:p w:rsidR="00940A89" w:rsidRPr="006A3326" w:rsidRDefault="00940A89" w:rsidP="006A3326">
      <w:pPr>
        <w:pStyle w:val="Heading3"/>
        <w:rPr>
          <w:rFonts w:eastAsia="Cambria"/>
        </w:rPr>
      </w:pPr>
      <w:bookmarkStart w:id="24" w:name="_Toc247691507"/>
      <w:bookmarkStart w:id="25" w:name="_Toc314842488"/>
      <w:bookmarkStart w:id="26" w:name="_Toc443060220"/>
      <w:r w:rsidRPr="006A3326">
        <w:t>Introduction</w:t>
      </w:r>
      <w:bookmarkEnd w:id="26"/>
    </w:p>
    <w:p w:rsidR="008E7846" w:rsidRDefault="008E7846" w:rsidP="006A3326">
      <w:pPr>
        <w:pStyle w:val="Heading4"/>
      </w:pPr>
      <w:r w:rsidRPr="008751DC">
        <w:t xml:space="preserve">Drug </w:t>
      </w:r>
      <w:r>
        <w:t>s</w:t>
      </w:r>
      <w:r w:rsidRPr="008751DC">
        <w:t>ubstance</w:t>
      </w:r>
      <w:r>
        <w:t xml:space="preserve"> (active ingredient)</w:t>
      </w:r>
      <w:bookmarkEnd w:id="24"/>
      <w:bookmarkEnd w:id="25"/>
    </w:p>
    <w:p w:rsidR="00DF4FC0" w:rsidRPr="009B5C5C" w:rsidRDefault="00DF4FC0" w:rsidP="006A3326">
      <w:r w:rsidRPr="009B5C5C">
        <w:t xml:space="preserve">The new chemical entity </w:t>
      </w:r>
      <w:proofErr w:type="spellStart"/>
      <w:r w:rsidRPr="009B5C5C">
        <w:t>ceftobiprole</w:t>
      </w:r>
      <w:proofErr w:type="spellEnd"/>
      <w:r w:rsidRPr="009B5C5C">
        <w:t xml:space="preserve"> </w:t>
      </w:r>
      <w:proofErr w:type="spellStart"/>
      <w:r w:rsidRPr="009B5C5C">
        <w:t>medocaril</w:t>
      </w:r>
      <w:proofErr w:type="spellEnd"/>
      <w:r w:rsidRPr="009B5C5C">
        <w:t xml:space="preserve"> sodium is a powder for injection, containing 667 mg of the drug substance in vials. The drug substance is a pro-drug for the cephalosporin beta-lactam antibiotic </w:t>
      </w:r>
      <w:proofErr w:type="spellStart"/>
      <w:r w:rsidRPr="009B5C5C">
        <w:t>ceftobiprole</w:t>
      </w:r>
      <w:proofErr w:type="spellEnd"/>
      <w:r w:rsidRPr="009B5C5C">
        <w:t xml:space="preserve"> </w:t>
      </w:r>
      <w:r w:rsidR="009B5C5C" w:rsidRPr="009B5C5C">
        <w:t xml:space="preserve">(Figure 1) </w:t>
      </w:r>
      <w:r w:rsidRPr="009B5C5C">
        <w:t>and the proposed product contains the equivalent of 50</w:t>
      </w:r>
      <w:r w:rsidR="006A3326">
        <w:t xml:space="preserve">0 mg of the active antibiotic. </w:t>
      </w:r>
      <w:r w:rsidR="009B5C5C" w:rsidRPr="009B5C5C">
        <w:t xml:space="preserve">Use of the prodrug is necessary to overcome the very low solubility of </w:t>
      </w:r>
      <w:proofErr w:type="spellStart"/>
      <w:r w:rsidR="009B5C5C" w:rsidRPr="009B5C5C">
        <w:t>ceftobiprole</w:t>
      </w:r>
      <w:proofErr w:type="spellEnd"/>
      <w:r w:rsidR="009B5C5C" w:rsidRPr="009B5C5C">
        <w:t xml:space="preserve"> itself.</w:t>
      </w:r>
    </w:p>
    <w:p w:rsidR="006A3326" w:rsidRDefault="00DF4FC0" w:rsidP="006A3326">
      <w:r w:rsidRPr="009B5C5C">
        <w:t xml:space="preserve">The strength of the proposed product was initially expressed on the labels and elsewhere with respect to the quantity of the active antibiotic metabolite </w:t>
      </w:r>
      <w:proofErr w:type="spellStart"/>
      <w:r w:rsidRPr="009B5C5C">
        <w:t>ceftobiprole</w:t>
      </w:r>
      <w:proofErr w:type="spellEnd"/>
      <w:r w:rsidRPr="009B5C5C">
        <w:t xml:space="preserve"> (500 mg).This was not considered appropriate nor consistent with TGA practice and the company has now submitted labelling with respect to the prodrug (that is, </w:t>
      </w:r>
      <w:proofErr w:type="spellStart"/>
      <w:r w:rsidRPr="009B5C5C">
        <w:t>ceftobiprole</w:t>
      </w:r>
      <w:proofErr w:type="spellEnd"/>
      <w:r w:rsidRPr="009B5C5C">
        <w:t xml:space="preserve"> </w:t>
      </w:r>
      <w:proofErr w:type="spellStart"/>
      <w:r w:rsidRPr="009B5C5C">
        <w:t>medocaril</w:t>
      </w:r>
      <w:proofErr w:type="spellEnd"/>
      <w:r w:rsidRPr="009B5C5C">
        <w:t xml:space="preserve"> sodium 667</w:t>
      </w:r>
      <w:r w:rsidR="009B5C5C" w:rsidRPr="009B5C5C">
        <w:t xml:space="preserve"> </w:t>
      </w:r>
      <w:r w:rsidRPr="009B5C5C">
        <w:t>mg)</w:t>
      </w:r>
      <w:r w:rsidR="006A3326">
        <w:t>.</w:t>
      </w:r>
    </w:p>
    <w:p w:rsidR="007D2624" w:rsidRDefault="007D2624" w:rsidP="007D2624">
      <w:pPr>
        <w:pStyle w:val="FigureTitle"/>
        <w:rPr>
          <w:rFonts w:ascii="Times New Roman" w:hAnsi="Times New Roman"/>
          <w:sz w:val="24"/>
          <w:szCs w:val="20"/>
        </w:rPr>
      </w:pPr>
      <w:r>
        <w:t xml:space="preserve">Figure 1: Chemical structures of </w:t>
      </w:r>
      <w:proofErr w:type="spellStart"/>
      <w:r>
        <w:t>ceftobiprole</w:t>
      </w:r>
      <w:proofErr w:type="spellEnd"/>
      <w:r>
        <w:t xml:space="preserve"> </w:t>
      </w:r>
      <w:proofErr w:type="spellStart"/>
      <w:r>
        <w:t>medocaril</w:t>
      </w:r>
      <w:proofErr w:type="spellEnd"/>
      <w:r>
        <w:t xml:space="preserve"> sodium </w:t>
      </w:r>
      <w:r w:rsidRPr="007D2624">
        <w:t>and</w:t>
      </w:r>
      <w:r>
        <w:rPr>
          <w:rFonts w:ascii="Times New Roman" w:hAnsi="Times New Roman"/>
          <w:sz w:val="24"/>
          <w:szCs w:val="20"/>
        </w:rPr>
        <w:t xml:space="preserve"> </w:t>
      </w:r>
      <w:proofErr w:type="spellStart"/>
      <w:r>
        <w:rPr>
          <w:rFonts w:ascii="Times New Roman" w:hAnsi="Times New Roman"/>
          <w:sz w:val="24"/>
          <w:szCs w:val="20"/>
        </w:rPr>
        <w:t>c</w:t>
      </w:r>
      <w:r>
        <w:t>eftobiprole</w:t>
      </w:r>
      <w:proofErr w:type="spellEnd"/>
    </w:p>
    <w:p w:rsidR="007E15DB" w:rsidRDefault="007E15DB" w:rsidP="006A3326">
      <w:r>
        <w:rPr>
          <w:noProof/>
          <w:lang w:eastAsia="en-AU"/>
        </w:rPr>
        <w:drawing>
          <wp:inline distT="0" distB="0" distL="0" distR="0" wp14:anchorId="5AD5504B" wp14:editId="4476267C">
            <wp:extent cx="4176979" cy="1249444"/>
            <wp:effectExtent l="0" t="0" r="0" b="8255"/>
            <wp:docPr id="3" name="Picture 3" descr="Figure 1: Chemical structure of ceftobiprole medocaril sod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9748" cy="1250272"/>
                    </a:xfrm>
                    <a:prstGeom prst="rect">
                      <a:avLst/>
                    </a:prstGeom>
                    <a:noFill/>
                    <a:ln>
                      <a:noFill/>
                    </a:ln>
                  </pic:spPr>
                </pic:pic>
              </a:graphicData>
            </a:graphic>
          </wp:inline>
        </w:drawing>
      </w:r>
    </w:p>
    <w:p w:rsidR="007E15DB" w:rsidRPr="00A7675A" w:rsidRDefault="007D2624" w:rsidP="00F71129">
      <w:pPr>
        <w:pStyle w:val="FigureTitle"/>
      </w:pPr>
      <w:proofErr w:type="spellStart"/>
      <w:r w:rsidRPr="00A7675A">
        <w:t>C</w:t>
      </w:r>
      <w:r w:rsidR="007E15DB" w:rsidRPr="00A7675A">
        <w:t>eftobiprole</w:t>
      </w:r>
      <w:proofErr w:type="spellEnd"/>
      <w:r w:rsidR="007E15DB" w:rsidRPr="00A7675A">
        <w:t xml:space="preserve"> </w:t>
      </w:r>
      <w:proofErr w:type="spellStart"/>
      <w:r w:rsidR="007E15DB" w:rsidRPr="00A7675A">
        <w:t>medocaril</w:t>
      </w:r>
      <w:proofErr w:type="spellEnd"/>
      <w:r w:rsidR="007E15DB" w:rsidRPr="00A7675A">
        <w:t xml:space="preserve"> sodium</w:t>
      </w:r>
    </w:p>
    <w:p w:rsidR="00F71129" w:rsidRDefault="007E15DB" w:rsidP="00F71129">
      <w:r>
        <w:rPr>
          <w:noProof/>
          <w:lang w:eastAsia="en-AU"/>
        </w:rPr>
        <w:drawing>
          <wp:inline distT="0" distB="0" distL="0" distR="0" wp14:anchorId="4372BD2D" wp14:editId="23D05246">
            <wp:extent cx="2169160" cy="1052830"/>
            <wp:effectExtent l="0" t="0" r="2540" b="0"/>
            <wp:docPr id="2" name="Picture 2" descr="Figure 1: Chemical structures of ceftobip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eftobiprole2DCSD.sv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69160" cy="1052830"/>
                    </a:xfrm>
                    <a:prstGeom prst="rect">
                      <a:avLst/>
                    </a:prstGeom>
                    <a:noFill/>
                    <a:ln>
                      <a:noFill/>
                    </a:ln>
                  </pic:spPr>
                </pic:pic>
              </a:graphicData>
            </a:graphic>
          </wp:inline>
        </w:drawing>
      </w:r>
    </w:p>
    <w:p w:rsidR="007E15DB" w:rsidRPr="00A7675A" w:rsidRDefault="007E15DB" w:rsidP="00F71129">
      <w:pPr>
        <w:pStyle w:val="FigureTitle"/>
      </w:pPr>
      <w:proofErr w:type="spellStart"/>
      <w:r w:rsidRPr="00A7675A">
        <w:t>Ceftobiprole</w:t>
      </w:r>
      <w:proofErr w:type="spellEnd"/>
    </w:p>
    <w:p w:rsidR="007E15DB" w:rsidRDefault="007E15DB" w:rsidP="00F71129">
      <w:pPr>
        <w:rPr>
          <w:szCs w:val="24"/>
        </w:rPr>
      </w:pPr>
      <w:r>
        <w:t>As shown below</w:t>
      </w:r>
      <w:r w:rsidR="00A7675A">
        <w:t xml:space="preserve"> (Figure 2)</w:t>
      </w:r>
      <w:r>
        <w:t>, the (</w:t>
      </w:r>
      <w:proofErr w:type="spellStart"/>
      <w:r>
        <w:t>oxod</w:t>
      </w:r>
      <w:r w:rsidR="007D2624">
        <w:t>ioxolenyl</w:t>
      </w:r>
      <w:proofErr w:type="spellEnd"/>
      <w:r w:rsidR="007D2624">
        <w:t>)</w:t>
      </w:r>
      <w:r w:rsidR="00E01646">
        <w:t xml:space="preserve"> </w:t>
      </w:r>
      <w:r w:rsidR="007D2624">
        <w:t xml:space="preserve">methyl carbamate (that is, </w:t>
      </w:r>
      <w:proofErr w:type="spellStart"/>
      <w:r>
        <w:t>medocaril</w:t>
      </w:r>
      <w:proofErr w:type="spellEnd"/>
      <w:r w:rsidR="007D2624">
        <w:t>)</w:t>
      </w:r>
      <w:r>
        <w:t xml:space="preserve"> moiety of the drug substance undergoes </w:t>
      </w:r>
      <w:r w:rsidRPr="007D2624">
        <w:t>in</w:t>
      </w:r>
      <w:r w:rsidR="007D2624">
        <w:t xml:space="preserve"> </w:t>
      </w:r>
      <w:r w:rsidRPr="007D2624">
        <w:t>vivo</w:t>
      </w:r>
      <w:r>
        <w:t xml:space="preserve"> cleavage, </w:t>
      </w:r>
      <w:r w:rsidR="007D2624">
        <w:t>by</w:t>
      </w:r>
      <w:r>
        <w:t xml:space="preserve"> base or enzyme catalysis to form </w:t>
      </w:r>
      <w:proofErr w:type="spellStart"/>
      <w:r>
        <w:t>ceftobiprole</w:t>
      </w:r>
      <w:proofErr w:type="spellEnd"/>
      <w:r>
        <w:t xml:space="preserve"> free amine and releasing </w:t>
      </w:r>
      <w:proofErr w:type="spellStart"/>
      <w:r>
        <w:t>butanedione</w:t>
      </w:r>
      <w:proofErr w:type="spellEnd"/>
      <w:r>
        <w:t xml:space="preserve"> (aka diacetyl) and </w:t>
      </w:r>
      <w:r w:rsidR="007D2624">
        <w:t>carbon dioxide (</w:t>
      </w:r>
      <w:r>
        <w:t>CO</w:t>
      </w:r>
      <w:r>
        <w:rPr>
          <w:vertAlign w:val="subscript"/>
        </w:rPr>
        <w:t>2</w:t>
      </w:r>
      <w:r w:rsidR="00A7675A">
        <w:t>)</w:t>
      </w:r>
      <w:r w:rsidR="007D2624">
        <w:t>.</w:t>
      </w:r>
      <w:r>
        <w:t xml:space="preserve"> Analogous pro-drugs which cleave in a similar manner are </w:t>
      </w:r>
      <w:proofErr w:type="spellStart"/>
      <w:r>
        <w:t>precedented</w:t>
      </w:r>
      <w:proofErr w:type="spellEnd"/>
      <w:r>
        <w:t xml:space="preserve"> on the ARTG (</w:t>
      </w:r>
      <w:r w:rsidR="007D2624">
        <w:t>such as</w:t>
      </w:r>
      <w:r>
        <w:t xml:space="preserve"> </w:t>
      </w:r>
      <w:proofErr w:type="spellStart"/>
      <w:r>
        <w:rPr>
          <w:szCs w:val="24"/>
        </w:rPr>
        <w:t>Olmesartan</w:t>
      </w:r>
      <w:proofErr w:type="spellEnd"/>
      <w:r>
        <w:rPr>
          <w:szCs w:val="24"/>
        </w:rPr>
        <w:t xml:space="preserve"> </w:t>
      </w:r>
      <w:proofErr w:type="spellStart"/>
      <w:r>
        <w:rPr>
          <w:szCs w:val="24"/>
        </w:rPr>
        <w:t>medoxomil</w:t>
      </w:r>
      <w:proofErr w:type="spellEnd"/>
      <w:r>
        <w:rPr>
          <w:szCs w:val="24"/>
        </w:rPr>
        <w:t>).</w:t>
      </w:r>
    </w:p>
    <w:p w:rsidR="007D2624" w:rsidRDefault="007D2624" w:rsidP="007D2624">
      <w:pPr>
        <w:pStyle w:val="FigureTitle"/>
      </w:pPr>
      <w:r>
        <w:rPr>
          <w:szCs w:val="24"/>
        </w:rPr>
        <w:t xml:space="preserve">Figure 2: </w:t>
      </w:r>
      <w:r>
        <w:t>Cleavage of (</w:t>
      </w:r>
      <w:proofErr w:type="spellStart"/>
      <w:r>
        <w:t>oxodioxolenyl</w:t>
      </w:r>
      <w:proofErr w:type="spellEnd"/>
      <w:proofErr w:type="gramStart"/>
      <w:r>
        <w:t>)methyl</w:t>
      </w:r>
      <w:proofErr w:type="gramEnd"/>
      <w:r>
        <w:t xml:space="preserve"> carbamate moiety (</w:t>
      </w:r>
      <w:proofErr w:type="spellStart"/>
      <w:r>
        <w:t>medocaril</w:t>
      </w:r>
      <w:proofErr w:type="spellEnd"/>
      <w:r>
        <w:t>) to give the free amine</w:t>
      </w:r>
    </w:p>
    <w:p w:rsidR="007E15DB" w:rsidRDefault="007E15DB" w:rsidP="007D2624">
      <w:r>
        <w:rPr>
          <w:noProof/>
          <w:lang w:eastAsia="en-AU"/>
        </w:rPr>
        <w:drawing>
          <wp:inline distT="0" distB="0" distL="0" distR="0" wp14:anchorId="36374E22" wp14:editId="02BD4BA4">
            <wp:extent cx="3391535" cy="786765"/>
            <wp:effectExtent l="0" t="0" r="0" b="0"/>
            <wp:docPr id="1" name="Picture 1" descr="Figure 2: Cleavage of (oxodioxolenyl)methyl carbamate moiety (medocaril) to give the free 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3391535" cy="786765"/>
                    </a:xfrm>
                    <a:prstGeom prst="rect">
                      <a:avLst/>
                    </a:prstGeom>
                    <a:noFill/>
                    <a:ln>
                      <a:noFill/>
                    </a:ln>
                  </pic:spPr>
                </pic:pic>
              </a:graphicData>
            </a:graphic>
          </wp:inline>
        </w:drawing>
      </w:r>
    </w:p>
    <w:p w:rsidR="007E15DB" w:rsidRDefault="007E15DB" w:rsidP="00F71129">
      <w:proofErr w:type="spellStart"/>
      <w:r>
        <w:t>Ceftobiprole</w:t>
      </w:r>
      <w:proofErr w:type="spellEnd"/>
      <w:r>
        <w:t xml:space="preserve"> </w:t>
      </w:r>
      <w:proofErr w:type="spellStart"/>
      <w:r>
        <w:t>medocaril</w:t>
      </w:r>
      <w:proofErr w:type="spellEnd"/>
      <w:r>
        <w:t xml:space="preserve"> sodium is a white to yellowish or slightly brownish amorphous, hygroscopic powder which is highly soluble in water and at higher pH (&gt;60</w:t>
      </w:r>
      <w:r w:rsidR="007D2624">
        <w:t xml:space="preserve"> </w:t>
      </w:r>
      <w:r>
        <w:t>mg/mL), but solubility drops below pH 4 (</w:t>
      </w:r>
      <w:r w:rsidR="007D2624">
        <w:t>for example,</w:t>
      </w:r>
      <w:r>
        <w:t xml:space="preserve"> 2</w:t>
      </w:r>
      <w:r w:rsidR="007D2624">
        <w:t xml:space="preserve"> </w:t>
      </w:r>
      <w:r>
        <w:t xml:space="preserve">mg/mL at pH 3). It is sparingly soluble in </w:t>
      </w:r>
      <w:r w:rsidR="007D2624">
        <w:lastRenderedPageBreak/>
        <w:t>p</w:t>
      </w:r>
      <w:r>
        <w:t>ropylene glycol and insoluble in many other organic solvents (</w:t>
      </w:r>
      <w:r w:rsidR="007D2624">
        <w:t>such as</w:t>
      </w:r>
      <w:r>
        <w:t xml:space="preserve"> acetonitrile, acetone</w:t>
      </w:r>
      <w:r w:rsidR="007D2624">
        <w:t xml:space="preserve"> and</w:t>
      </w:r>
      <w:r>
        <w:t xml:space="preserve"> </w:t>
      </w:r>
      <w:r w:rsidR="007D2624" w:rsidRPr="007D2624">
        <w:t>tetrahydrofuran</w:t>
      </w:r>
      <w:r w:rsidR="007D2624">
        <w:t xml:space="preserve"> (</w:t>
      </w:r>
      <w:r>
        <w:t>THF</w:t>
      </w:r>
      <w:r w:rsidR="007D2624">
        <w:t>)</w:t>
      </w:r>
      <w:r>
        <w:t>).</w:t>
      </w:r>
    </w:p>
    <w:p w:rsidR="006A3326" w:rsidRDefault="007E15DB" w:rsidP="007D2624">
      <w:proofErr w:type="spellStart"/>
      <w:r>
        <w:t>Ceftobiprole</w:t>
      </w:r>
      <w:proofErr w:type="spellEnd"/>
      <w:r>
        <w:t xml:space="preserve"> </w:t>
      </w:r>
      <w:proofErr w:type="spellStart"/>
      <w:r>
        <w:t>medocaril</w:t>
      </w:r>
      <w:proofErr w:type="spellEnd"/>
      <w:r>
        <w:t xml:space="preserve"> sodium is manufactured in 6 chemical steps </w:t>
      </w:r>
      <w:r w:rsidR="00A00BB8">
        <w:t>and t</w:t>
      </w:r>
      <w:r>
        <w:t>he process is considered adequately described and controlled. A large number of potential related substances were identified, resulting from the fermentation and chemical steps and 21 of these are controlled as specified impurities in the drug substance</w:t>
      </w:r>
      <w:r w:rsidR="006A3326">
        <w:t>.</w:t>
      </w:r>
    </w:p>
    <w:p w:rsidR="007E15DB" w:rsidRDefault="007E15DB" w:rsidP="007D2624">
      <w:r>
        <w:t>Controls applied to the drug substance are considered acceptable after some tightening of limits for some specified impurities, in-line with the provided toxicological justification.</w:t>
      </w:r>
    </w:p>
    <w:p w:rsidR="008E7846" w:rsidRDefault="008E7846" w:rsidP="008E7846">
      <w:pPr>
        <w:pStyle w:val="Heading3"/>
      </w:pPr>
      <w:bookmarkStart w:id="27" w:name="_Toc247691508"/>
      <w:bookmarkStart w:id="28" w:name="_Toc314842490"/>
      <w:bookmarkStart w:id="29" w:name="_Toc443060221"/>
      <w:r w:rsidRPr="008751DC">
        <w:t xml:space="preserve">Drug </w:t>
      </w:r>
      <w:r>
        <w:t>p</w:t>
      </w:r>
      <w:r w:rsidRPr="008751DC">
        <w:t>roduct</w:t>
      </w:r>
      <w:bookmarkEnd w:id="27"/>
      <w:bookmarkEnd w:id="28"/>
      <w:bookmarkEnd w:id="29"/>
    </w:p>
    <w:p w:rsidR="009B5C5C" w:rsidRPr="00B33FA7" w:rsidRDefault="009B5C5C" w:rsidP="00F71129">
      <w:pPr>
        <w:rPr>
          <w:rFonts w:ascii="Times New Roman" w:hAnsi="Times New Roman"/>
          <w:sz w:val="24"/>
          <w:szCs w:val="20"/>
        </w:rPr>
      </w:pPr>
      <w:proofErr w:type="spellStart"/>
      <w:r w:rsidRPr="00B33FA7">
        <w:t>Zevtera</w:t>
      </w:r>
      <w:proofErr w:type="spellEnd"/>
      <w:r w:rsidRPr="00B33FA7">
        <w:t xml:space="preserve"> is a sterile lyophilised powder for concentrate for solution for infusion containing </w:t>
      </w:r>
      <w:proofErr w:type="spellStart"/>
      <w:r w:rsidRPr="00B33FA7">
        <w:t>ceftobiprole</w:t>
      </w:r>
      <w:proofErr w:type="spellEnd"/>
      <w:r w:rsidRPr="00B33FA7">
        <w:t xml:space="preserve"> </w:t>
      </w:r>
      <w:proofErr w:type="spellStart"/>
      <w:r w:rsidRPr="00B33FA7">
        <w:t>medocaril</w:t>
      </w:r>
      <w:proofErr w:type="spellEnd"/>
      <w:r w:rsidRPr="00B33FA7">
        <w:t xml:space="preserve"> in a sodium citrate buffer system. The finished dosage form contains 666.6 mg of </w:t>
      </w:r>
      <w:proofErr w:type="spellStart"/>
      <w:r w:rsidRPr="00B33FA7">
        <w:t>ceftobiprole</w:t>
      </w:r>
      <w:proofErr w:type="spellEnd"/>
      <w:r w:rsidRPr="00B33FA7">
        <w:t xml:space="preserve"> </w:t>
      </w:r>
      <w:proofErr w:type="spellStart"/>
      <w:r w:rsidRPr="00B33FA7">
        <w:t>medocaril</w:t>
      </w:r>
      <w:proofErr w:type="spellEnd"/>
      <w:r w:rsidRPr="00B33FA7">
        <w:t xml:space="preserve"> sodium, 26.3 mg of citric acid monohydrate and approximately 10 mg sodium hydroxide (for pH adjustment) as a lyophilised powder in a 20 mL Type I glass vial with a fluoropoly</w:t>
      </w:r>
      <w:r w:rsidR="00F71129">
        <w:t xml:space="preserve">mer-coated </w:t>
      </w:r>
      <w:proofErr w:type="spellStart"/>
      <w:r w:rsidR="00F71129">
        <w:t>bromobutyl</w:t>
      </w:r>
      <w:proofErr w:type="spellEnd"/>
      <w:r w:rsidR="00F71129">
        <w:t xml:space="preserve"> stopper.</w:t>
      </w:r>
    </w:p>
    <w:p w:rsidR="006A3326" w:rsidRDefault="009B5C5C" w:rsidP="009B5C5C">
      <w:r w:rsidRPr="00B33FA7">
        <w:rPr>
          <w:szCs w:val="24"/>
        </w:rPr>
        <w:t xml:space="preserve">The product must be reconstituted and then further diluted prior to infusion. </w:t>
      </w:r>
      <w:r w:rsidRPr="00B33FA7">
        <w:t xml:space="preserve">Prior to reconstitution, the product appears as a </w:t>
      </w:r>
      <w:r w:rsidRPr="00B33FA7">
        <w:rPr>
          <w:i/>
        </w:rPr>
        <w:t>yellowish to slightly brown powder or cake</w:t>
      </w:r>
      <w:r w:rsidR="006A3326">
        <w:t>.</w:t>
      </w:r>
    </w:p>
    <w:p w:rsidR="009B5C5C" w:rsidRPr="00B33FA7" w:rsidRDefault="009B5C5C" w:rsidP="009B5C5C">
      <w:r w:rsidRPr="00B33FA7">
        <w:t xml:space="preserve">The reconstituted solution is a </w:t>
      </w:r>
      <w:r w:rsidRPr="00B33FA7">
        <w:rPr>
          <w:i/>
        </w:rPr>
        <w:t>clear to a slightly opalescent, yellowish to brownish solution free from visible foreign material</w:t>
      </w:r>
      <w:r w:rsidRPr="00B33FA7">
        <w:t xml:space="preserve">.  Each vial is reconstituted with 10 mL of either water for injection or 5% glucose injection to yield 66.7 mg/mL of </w:t>
      </w:r>
      <w:proofErr w:type="spellStart"/>
      <w:r w:rsidRPr="00B33FA7">
        <w:t>ceftobiprole</w:t>
      </w:r>
      <w:proofErr w:type="spellEnd"/>
      <w:r w:rsidRPr="00B33FA7">
        <w:t xml:space="preserve"> </w:t>
      </w:r>
      <w:proofErr w:type="spellStart"/>
      <w:r w:rsidRPr="00B33FA7">
        <w:t>medocaril</w:t>
      </w:r>
      <w:proofErr w:type="spellEnd"/>
      <w:r w:rsidRPr="00B33FA7">
        <w:t xml:space="preserve"> (equivalent to 50.0 mg/mL </w:t>
      </w:r>
      <w:proofErr w:type="spellStart"/>
      <w:r w:rsidRPr="00B33FA7">
        <w:t>ceftobiprole</w:t>
      </w:r>
      <w:proofErr w:type="spellEnd"/>
      <w:r w:rsidRPr="00B33FA7">
        <w:t>), prior to further dilution with the intravenous infusion solution (</w:t>
      </w:r>
      <w:r w:rsidRPr="00B33FA7">
        <w:rPr>
          <w:szCs w:val="24"/>
        </w:rPr>
        <w:t>infusion bag or bottle containing 250 mL of 0.9% sodium chloride, 5% dextrose, or lactated Ringer’s solutions for injection)</w:t>
      </w:r>
      <w:r w:rsidR="00F71129">
        <w:t>.</w:t>
      </w:r>
    </w:p>
    <w:p w:rsidR="009B5C5C" w:rsidRPr="00B33FA7" w:rsidRDefault="009B5C5C" w:rsidP="009B5C5C">
      <w:pPr>
        <w:rPr>
          <w:szCs w:val="20"/>
        </w:rPr>
      </w:pPr>
      <w:r w:rsidRPr="00B33FA7">
        <w:t xml:space="preserve">The recommended dose of </w:t>
      </w:r>
      <w:proofErr w:type="spellStart"/>
      <w:r w:rsidRPr="00B33FA7">
        <w:t>Zevtera</w:t>
      </w:r>
      <w:proofErr w:type="spellEnd"/>
      <w:r w:rsidRPr="00B33FA7">
        <w:t xml:space="preserve"> is 500 mg (as 667 mg </w:t>
      </w:r>
      <w:proofErr w:type="spellStart"/>
      <w:r w:rsidRPr="00B33FA7">
        <w:t>ceftobiprole</w:t>
      </w:r>
      <w:proofErr w:type="spellEnd"/>
      <w:r w:rsidRPr="00B33FA7">
        <w:t xml:space="preserve"> </w:t>
      </w:r>
      <w:proofErr w:type="spellStart"/>
      <w:r w:rsidRPr="00B33FA7">
        <w:t>medocaril</w:t>
      </w:r>
      <w:proofErr w:type="spellEnd"/>
      <w:r w:rsidRPr="00B33FA7">
        <w:t xml:space="preserve"> sodium) administered as a 2 h intravenous infusion every 8 h (that is, 2000 mg of </w:t>
      </w:r>
      <w:proofErr w:type="spellStart"/>
      <w:r w:rsidRPr="00B33FA7">
        <w:t>ceftobiprole</w:t>
      </w:r>
      <w:proofErr w:type="spellEnd"/>
      <w:r w:rsidRPr="00B33FA7">
        <w:t xml:space="preserve"> </w:t>
      </w:r>
      <w:proofErr w:type="spellStart"/>
      <w:r w:rsidRPr="00B33FA7">
        <w:t>medocaril</w:t>
      </w:r>
      <w:proofErr w:type="spellEnd"/>
      <w:r w:rsidRPr="00B33FA7">
        <w:t xml:space="preserve"> sodium per day). Treatment is continued for 4 to 14 days depending on disease severity and patient response.</w:t>
      </w:r>
    </w:p>
    <w:p w:rsidR="007E15DB" w:rsidRDefault="007E15DB" w:rsidP="007E15DB">
      <w:pPr>
        <w:rPr>
          <w:szCs w:val="24"/>
        </w:rPr>
      </w:pPr>
      <w:r>
        <w:t xml:space="preserve">The drug substance is very soluble in aqueous media at pH &gt; 4 but rapidly decomposes in non-acidic media pH &gt; 6, mainly to the active drug </w:t>
      </w:r>
      <w:proofErr w:type="spellStart"/>
      <w:r>
        <w:t>ceftobiprole</w:t>
      </w:r>
      <w:proofErr w:type="spellEnd"/>
      <w:r>
        <w:t>.  Consequently, a citrate buffering system is necessary during manufacture of the bulk solution to ensure stability of the drug substance (pH 4.6</w:t>
      </w:r>
      <w:r w:rsidR="00A00BB8">
        <w:t xml:space="preserve"> to </w:t>
      </w:r>
      <w:r>
        <w:t>5.2).</w:t>
      </w:r>
      <w:r>
        <w:rPr>
          <w:szCs w:val="24"/>
        </w:rPr>
        <w:t xml:space="preserve"> Each vial contains 26.3</w:t>
      </w:r>
      <w:r w:rsidR="00A00BB8">
        <w:rPr>
          <w:szCs w:val="24"/>
        </w:rPr>
        <w:t xml:space="preserve"> </w:t>
      </w:r>
      <w:r>
        <w:rPr>
          <w:szCs w:val="24"/>
        </w:rPr>
        <w:t>mg of citric acid and the pH is adjusted with sodium hydroxide.</w:t>
      </w:r>
    </w:p>
    <w:p w:rsidR="007E15DB" w:rsidRDefault="007E15DB" w:rsidP="007E15DB">
      <w:pPr>
        <w:rPr>
          <w:szCs w:val="24"/>
        </w:rPr>
      </w:pPr>
      <w:r>
        <w:rPr>
          <w:szCs w:val="24"/>
        </w:rPr>
        <w:t xml:space="preserve">The product is manufactured by </w:t>
      </w:r>
      <w:r>
        <w:t>aseptic sterile filtration of the bulk solution followed by filling into 20</w:t>
      </w:r>
      <w:r w:rsidR="00A00BB8">
        <w:t xml:space="preserve"> </w:t>
      </w:r>
      <w:r>
        <w:t>m</w:t>
      </w:r>
      <w:r w:rsidR="00A00BB8">
        <w:t>L</w:t>
      </w:r>
      <w:r>
        <w:t xml:space="preserve"> clear Type I glass vials and lyophilisation. The vials are sealed with fluorinated polymer coated grey </w:t>
      </w:r>
      <w:proofErr w:type="spellStart"/>
      <w:r>
        <w:t>bromobutyl</w:t>
      </w:r>
      <w:proofErr w:type="spellEnd"/>
      <w:r>
        <w:t xml:space="preserve"> rubber stoppers with aluminium foil crimp seal with plastic flip-off cap.</w:t>
      </w:r>
    </w:p>
    <w:p w:rsidR="006A3326" w:rsidRDefault="007E15DB" w:rsidP="007E15DB">
      <w:r>
        <w:t xml:space="preserve">The proposed finished product specifications included controls on appearance, identity of drug substance, water content, uniformity of dosage units, reconstitution time, colour and turbidity of solution, pH, </w:t>
      </w:r>
      <w:proofErr w:type="gramStart"/>
      <w:r>
        <w:t>particulate</w:t>
      </w:r>
      <w:proofErr w:type="gramEnd"/>
      <w:r>
        <w:t xml:space="preserve"> matter, assay of active drug, nine degradation products, residual solvents, endotoxins and microbial limits.</w:t>
      </w:r>
      <w:r>
        <w:rPr>
          <w:color w:val="0070C0"/>
        </w:rPr>
        <w:t xml:space="preserve"> </w:t>
      </w:r>
      <w:r>
        <w:t>Apart from the proposed limits for the degradation products, these were adequately justified and comply with TGA requirements</w:t>
      </w:r>
      <w:r w:rsidR="006A3326">
        <w:t>.</w:t>
      </w:r>
    </w:p>
    <w:p w:rsidR="007E15DB" w:rsidRDefault="007E15DB" w:rsidP="007E15DB">
      <w:r>
        <w:t>Toxicological data were submitted to qualify the proposed degradant limits but the nonclinical evaluator found that many limits were not adequately qualified. The company subsequently proposed lower limits for the degradants which are in-line with the toxicological assessment. The revised finished product specifications are considered adequate to ensure the quality of the finished product at release and throughout the shelf-life.</w:t>
      </w:r>
    </w:p>
    <w:p w:rsidR="006A3326" w:rsidRDefault="007E15DB" w:rsidP="00DF4FC0">
      <w:r>
        <w:lastRenderedPageBreak/>
        <w:t>However, the tightened limits for degradants necessitated a reduction of the proposed shelf-life from 48 months to 12 months (</w:t>
      </w:r>
      <w:r w:rsidRPr="00E948E4">
        <w:rPr>
          <w:i/>
        </w:rPr>
        <w:t xml:space="preserve">stored at 2°C to 8°C, protected from light, do not </w:t>
      </w:r>
      <w:r w:rsidRPr="00DF4FC0">
        <w:rPr>
          <w:i/>
        </w:rPr>
        <w:t>freeze</w:t>
      </w:r>
      <w:r w:rsidRPr="00DF4FC0">
        <w:t>) to ensure compliance</w:t>
      </w:r>
      <w:r w:rsidR="006A3326">
        <w:t>.</w:t>
      </w:r>
    </w:p>
    <w:p w:rsidR="006A3326" w:rsidRDefault="00DF4FC0" w:rsidP="00DF4FC0">
      <w:r w:rsidRPr="00DF4FC0">
        <w:t>There are no clinical objections to the proposed trade</w:t>
      </w:r>
      <w:r w:rsidR="00A7675A">
        <w:t xml:space="preserve"> </w:t>
      </w:r>
      <w:r w:rsidRPr="00DF4FC0">
        <w:t>name</w:t>
      </w:r>
      <w:r w:rsidR="006A3326">
        <w:t>.</w:t>
      </w:r>
    </w:p>
    <w:p w:rsidR="008E7846" w:rsidRPr="008751DC" w:rsidRDefault="008E7846" w:rsidP="00F71129">
      <w:pPr>
        <w:pStyle w:val="Heading3"/>
      </w:pPr>
      <w:bookmarkStart w:id="30" w:name="_Toc247691509"/>
      <w:bookmarkStart w:id="31" w:name="_Toc314842493"/>
      <w:bookmarkStart w:id="32" w:name="_Toc443060222"/>
      <w:r>
        <w:t>Quality s</w:t>
      </w:r>
      <w:r w:rsidRPr="008751DC">
        <w:t>ummary</w:t>
      </w:r>
      <w:r>
        <w:t xml:space="preserve"> and </w:t>
      </w:r>
      <w:r w:rsidRPr="00F71129">
        <w:t>conclusions</w:t>
      </w:r>
      <w:bookmarkEnd w:id="30"/>
      <w:bookmarkEnd w:id="31"/>
      <w:bookmarkEnd w:id="32"/>
    </w:p>
    <w:p w:rsidR="007E15DB" w:rsidRDefault="007E15DB" w:rsidP="007E15DB">
      <w:r>
        <w:t>All issues raised during the initial evaluation of this application have now been satisfactorily resolved.</w:t>
      </w:r>
    </w:p>
    <w:p w:rsidR="007E15DB" w:rsidRDefault="007E15DB" w:rsidP="007E15DB">
      <w:r>
        <w:rPr>
          <w:szCs w:val="24"/>
        </w:rPr>
        <w:t>Microbiological aspects of the submission have been evaluated separately and all issues raised have been resolved.</w:t>
      </w:r>
    </w:p>
    <w:p w:rsidR="006A3326" w:rsidRDefault="00E948E4" w:rsidP="007E15DB">
      <w:r>
        <w:t xml:space="preserve">Registration of the proposed </w:t>
      </w:r>
      <w:proofErr w:type="spellStart"/>
      <w:r>
        <w:t>Zevtera</w:t>
      </w:r>
      <w:proofErr w:type="spellEnd"/>
      <w:r>
        <w:t xml:space="preserve"> </w:t>
      </w:r>
      <w:proofErr w:type="spellStart"/>
      <w:r w:rsidR="007E15DB">
        <w:t>ceftobiprole</w:t>
      </w:r>
      <w:proofErr w:type="spellEnd"/>
      <w:r w:rsidR="007E15DB">
        <w:t xml:space="preserve"> </w:t>
      </w:r>
      <w:proofErr w:type="spellStart"/>
      <w:r w:rsidR="007E15DB">
        <w:t>medocaril</w:t>
      </w:r>
      <w:proofErr w:type="spellEnd"/>
      <w:r w:rsidR="007E15DB">
        <w:t xml:space="preserve"> sodium 667</w:t>
      </w:r>
      <w:r>
        <w:t xml:space="preserve"> </w:t>
      </w:r>
      <w:r w:rsidR="007E15DB">
        <w:t xml:space="preserve">mg powder for injection in vials is recommended with respect to quality and </w:t>
      </w:r>
      <w:proofErr w:type="spellStart"/>
      <w:r w:rsidR="007E15DB">
        <w:t>biopharmaceutic</w:t>
      </w:r>
      <w:proofErr w:type="spellEnd"/>
      <w:r w:rsidR="007E15DB">
        <w:t xml:space="preserve"> aspects</w:t>
      </w:r>
      <w:r w:rsidR="006A3326">
        <w:t>.</w:t>
      </w:r>
    </w:p>
    <w:p w:rsidR="007E15DB" w:rsidRDefault="007E15DB" w:rsidP="007E15DB">
      <w:r>
        <w:t xml:space="preserve">As no significant pharmaceutical chemistry issues were identified, the submission was not referred to the Pharmaceutical Subcommittee of the </w:t>
      </w:r>
      <w:r w:rsidR="00E948E4">
        <w:t>TGA’s Advisory Committee on Prescription Medicines (</w:t>
      </w:r>
      <w:r>
        <w:t>ACPM</w:t>
      </w:r>
      <w:r w:rsidR="00E948E4">
        <w:t>)</w:t>
      </w:r>
      <w:r>
        <w:t>.</w:t>
      </w:r>
    </w:p>
    <w:p w:rsidR="008E7846" w:rsidRDefault="008E7846" w:rsidP="00F71129">
      <w:pPr>
        <w:pStyle w:val="Heading2"/>
      </w:pPr>
      <w:bookmarkStart w:id="33" w:name="_Toc196046439"/>
      <w:bookmarkStart w:id="34" w:name="_Toc247691510"/>
      <w:bookmarkStart w:id="35" w:name="_Toc314842494"/>
      <w:bookmarkStart w:id="36" w:name="_Toc443060223"/>
      <w:r>
        <w:t>III. Nonclinical</w:t>
      </w:r>
      <w:bookmarkEnd w:id="33"/>
      <w:r>
        <w:t xml:space="preserve"> </w:t>
      </w:r>
      <w:r w:rsidRPr="00F71129">
        <w:t>findings</w:t>
      </w:r>
      <w:bookmarkEnd w:id="34"/>
      <w:bookmarkEnd w:id="35"/>
      <w:bookmarkEnd w:id="36"/>
    </w:p>
    <w:p w:rsidR="007D1897" w:rsidRDefault="007D1897" w:rsidP="00B33FA7">
      <w:pPr>
        <w:pStyle w:val="Heading3"/>
      </w:pPr>
      <w:bookmarkStart w:id="37" w:name="_Toc247691512"/>
      <w:bookmarkStart w:id="38" w:name="_Toc314842496"/>
      <w:bookmarkStart w:id="39" w:name="_Toc443060224"/>
      <w:r>
        <w:t>Introduction</w:t>
      </w:r>
      <w:bookmarkEnd w:id="39"/>
    </w:p>
    <w:p w:rsidR="006A3326" w:rsidRDefault="007D1897" w:rsidP="00F71129">
      <w:r w:rsidRPr="003E6564">
        <w:t xml:space="preserve">The sponsor has submitted a high quality dossier of studies. The crucial genotoxicity, repeat-dose toxicity and reproductive and developmental toxicity studies were performed to </w:t>
      </w:r>
      <w:r>
        <w:t>Good Laboratory practice (</w:t>
      </w:r>
      <w:r w:rsidRPr="003E6564">
        <w:t>GLP</w:t>
      </w:r>
      <w:r>
        <w:t>)</w:t>
      </w:r>
      <w:r w:rsidRPr="003E6564">
        <w:t xml:space="preserve"> standard. The newly submitted studies provide useful information and cover deficiencies in the original presentation</w:t>
      </w:r>
      <w:r w:rsidR="006A3326">
        <w:t>.</w:t>
      </w:r>
    </w:p>
    <w:p w:rsidR="008E7846" w:rsidRPr="00B33FA7" w:rsidRDefault="008E7846" w:rsidP="00B33FA7">
      <w:pPr>
        <w:pStyle w:val="Heading3"/>
      </w:pPr>
      <w:bookmarkStart w:id="40" w:name="_Toc443060225"/>
      <w:r w:rsidRPr="00020030">
        <w:t>Pharmacology</w:t>
      </w:r>
      <w:bookmarkEnd w:id="37"/>
      <w:bookmarkEnd w:id="38"/>
      <w:bookmarkEnd w:id="40"/>
    </w:p>
    <w:p w:rsidR="003E6564" w:rsidRPr="003E6564" w:rsidRDefault="00F71129" w:rsidP="00B33FA7">
      <w:pPr>
        <w:pStyle w:val="Heading4"/>
      </w:pPr>
      <w:r>
        <w:t>Primary pharmacology</w:t>
      </w:r>
    </w:p>
    <w:p w:rsidR="006A3326" w:rsidRDefault="003E6564" w:rsidP="00F71129">
      <w:r w:rsidRPr="00B33FA7">
        <w:t xml:space="preserve">The sponsor’s </w:t>
      </w:r>
      <w:r w:rsidR="00AC1807" w:rsidRPr="00964474">
        <w:t>S</w:t>
      </w:r>
      <w:r w:rsidR="00AC1807">
        <w:t>ummary of</w:t>
      </w:r>
      <w:r w:rsidR="00AC1807" w:rsidRPr="00964474">
        <w:t xml:space="preserve"> C</w:t>
      </w:r>
      <w:r w:rsidR="00AC1807">
        <w:t>linical</w:t>
      </w:r>
      <w:r w:rsidR="00AC1807" w:rsidRPr="00964474">
        <w:t xml:space="preserve"> P</w:t>
      </w:r>
      <w:r w:rsidR="00AC1807">
        <w:t>harmacology</w:t>
      </w:r>
      <w:r w:rsidR="00AC1807" w:rsidRPr="00B33FA7">
        <w:t xml:space="preserve"> </w:t>
      </w:r>
      <w:r w:rsidR="00AC1807">
        <w:t xml:space="preserve">gave a </w:t>
      </w:r>
      <w:r w:rsidRPr="00B33FA7">
        <w:t xml:space="preserve">summary of </w:t>
      </w:r>
      <w:r w:rsidRPr="00B33FA7">
        <w:rPr>
          <w:iCs/>
        </w:rPr>
        <w:t xml:space="preserve">in vitro </w:t>
      </w:r>
      <w:r w:rsidRPr="00B33FA7">
        <w:t xml:space="preserve">and </w:t>
      </w:r>
      <w:r w:rsidRPr="00B33FA7">
        <w:rPr>
          <w:iCs/>
        </w:rPr>
        <w:t xml:space="preserve">in vivo </w:t>
      </w:r>
      <w:r w:rsidRPr="00B33FA7">
        <w:t xml:space="preserve">studies testing the activity of </w:t>
      </w:r>
      <w:proofErr w:type="spellStart"/>
      <w:r w:rsidRPr="00B33FA7">
        <w:t>ceftobiprole</w:t>
      </w:r>
      <w:proofErr w:type="spellEnd"/>
      <w:r w:rsidRPr="00B33FA7">
        <w:t xml:space="preserve"> against Gram</w:t>
      </w:r>
      <w:r w:rsidR="00B33FA7">
        <w:t xml:space="preserve"> </w:t>
      </w:r>
      <w:r w:rsidRPr="00B33FA7">
        <w:t>positive and negative bacteria</w:t>
      </w:r>
      <w:r w:rsidR="00AC1807">
        <w:t>.</w:t>
      </w:r>
      <w:r w:rsidRPr="00B33FA7">
        <w:t xml:space="preserve"> These studies include the testing of over 10,000 historical clinical isolates from the Europe, America, and the rest of the world for their susceptibility to </w:t>
      </w:r>
      <w:proofErr w:type="spellStart"/>
      <w:r w:rsidRPr="00B33FA7">
        <w:t>ceftobiprole</w:t>
      </w:r>
      <w:proofErr w:type="spellEnd"/>
      <w:r w:rsidR="006A3326">
        <w:t>.</w:t>
      </w:r>
    </w:p>
    <w:p w:rsidR="003E6564" w:rsidRPr="00B33FA7" w:rsidRDefault="003E6564" w:rsidP="00B33FA7">
      <w:r w:rsidRPr="00B33FA7">
        <w:t>The sponsor</w:t>
      </w:r>
      <w:r w:rsidR="00AC1807">
        <w:t xml:space="preserve"> submitted an</w:t>
      </w:r>
      <w:r w:rsidRPr="00B33FA7">
        <w:t xml:space="preserve"> Australian antibiotic resistance risk assessment</w:t>
      </w:r>
      <w:r w:rsidR="00AC1807" w:rsidRPr="00AC1807">
        <w:t xml:space="preserve"> </w:t>
      </w:r>
      <w:r w:rsidR="00AC1807">
        <w:t>(Risk Assessment of Microbial Resistance)</w:t>
      </w:r>
      <w:r w:rsidRPr="00B33FA7">
        <w:t xml:space="preserve">, including resistance of Australian bacterial isolates to </w:t>
      </w:r>
      <w:proofErr w:type="spellStart"/>
      <w:r w:rsidRPr="00B33FA7">
        <w:t>ceftobiprole</w:t>
      </w:r>
      <w:proofErr w:type="spellEnd"/>
      <w:r w:rsidR="00F71129">
        <w:t>.</w:t>
      </w:r>
    </w:p>
    <w:p w:rsidR="003E6564" w:rsidRPr="003E6564" w:rsidRDefault="003E6564" w:rsidP="00B33FA7">
      <w:pPr>
        <w:pStyle w:val="Heading4"/>
      </w:pPr>
      <w:r w:rsidRPr="003E6564">
        <w:t>Secondary pharmacod</w:t>
      </w:r>
      <w:r w:rsidR="00F71129">
        <w:t>ynamics and safety pharmacology</w:t>
      </w:r>
    </w:p>
    <w:p w:rsidR="006A3326" w:rsidRDefault="003E6564" w:rsidP="005547C7">
      <w:r w:rsidRPr="003E6564">
        <w:t xml:space="preserve">No secondary </w:t>
      </w:r>
      <w:proofErr w:type="spellStart"/>
      <w:r w:rsidRPr="003E6564">
        <w:t>pharmacodynamic</w:t>
      </w:r>
      <w:proofErr w:type="spellEnd"/>
      <w:r w:rsidRPr="003E6564">
        <w:t xml:space="preserve"> pharmacology studies were presented by the sponsor. This is not unreasonable given the lengthy history of development and use of </w:t>
      </w:r>
      <w:r w:rsidR="00B33FA7">
        <w:t xml:space="preserve">beta </w:t>
      </w:r>
      <w:r w:rsidRPr="003E6564">
        <w:t>lactam</w:t>
      </w:r>
      <w:r w:rsidR="00B33FA7">
        <w:t xml:space="preserve"> </w:t>
      </w:r>
      <w:r w:rsidRPr="003E6564">
        <w:t>type antibiotics</w:t>
      </w:r>
      <w:r w:rsidR="006A3326">
        <w:t>.</w:t>
      </w:r>
    </w:p>
    <w:p w:rsidR="005547C7" w:rsidRDefault="003E6564" w:rsidP="00F71129">
      <w:r w:rsidRPr="003E6564">
        <w:t xml:space="preserve">No new safety pharmacology studies were submitted by the sponsor. Previously evaluated studies consisted of </w:t>
      </w:r>
      <w:r w:rsidR="00B33FA7">
        <w:t>central nervous system (</w:t>
      </w:r>
      <w:r w:rsidRPr="003E6564">
        <w:t>CNS</w:t>
      </w:r>
      <w:r w:rsidR="00B33FA7">
        <w:t>)</w:t>
      </w:r>
      <w:r w:rsidRPr="003E6564">
        <w:t xml:space="preserve"> and renal studies in mice, cardiovascular studies in rats, dogs and marmosets, and a study on pulmonary function in rats. A </w:t>
      </w:r>
      <w:proofErr w:type="spellStart"/>
      <w:r w:rsidRPr="003E6564">
        <w:t>ceftobiprole</w:t>
      </w:r>
      <w:proofErr w:type="spellEnd"/>
      <w:r w:rsidRPr="003E6564">
        <w:t xml:space="preserve"> </w:t>
      </w:r>
      <w:proofErr w:type="spellStart"/>
      <w:r w:rsidRPr="003E6564">
        <w:t>medocaril</w:t>
      </w:r>
      <w:proofErr w:type="spellEnd"/>
      <w:r w:rsidRPr="003E6564">
        <w:t xml:space="preserve"> dose of ≥</w:t>
      </w:r>
      <w:r w:rsidR="00B33FA7">
        <w:t xml:space="preserve"> </w:t>
      </w:r>
      <w:r w:rsidRPr="003E6564">
        <w:t xml:space="preserve">250 mg/kg IV produced tremors and convulsions in mice. The maximum plasma concentration of </w:t>
      </w:r>
      <w:proofErr w:type="spellStart"/>
      <w:r w:rsidRPr="003E6564">
        <w:t>ceftobiprole</w:t>
      </w:r>
      <w:proofErr w:type="spellEnd"/>
      <w:r w:rsidRPr="003E6564">
        <w:t xml:space="preserve"> at 250 mg/kg </w:t>
      </w:r>
      <w:proofErr w:type="gramStart"/>
      <w:r w:rsidRPr="003E6564">
        <w:t xml:space="preserve">(183 </w:t>
      </w:r>
      <w:r w:rsidR="00B33FA7">
        <w:t>µ</w:t>
      </w:r>
      <w:r w:rsidRPr="003E6564">
        <w:t>g/mL)</w:t>
      </w:r>
      <w:proofErr w:type="gramEnd"/>
      <w:r w:rsidRPr="003E6564">
        <w:t xml:space="preserve"> was </w:t>
      </w:r>
      <w:r w:rsidR="00B33FA7">
        <w:t>approximately</w:t>
      </w:r>
      <w:r w:rsidRPr="003E6564">
        <w:rPr>
          <w:i/>
          <w:iCs/>
        </w:rPr>
        <w:t xml:space="preserve"> </w:t>
      </w:r>
      <w:r w:rsidRPr="003E6564">
        <w:t>5</w:t>
      </w:r>
      <w:r w:rsidR="00B33FA7">
        <w:t xml:space="preserve"> </w:t>
      </w:r>
      <w:r w:rsidRPr="003E6564">
        <w:t xml:space="preserve">times the clinical concentration. Direct administration of </w:t>
      </w:r>
      <w:proofErr w:type="spellStart"/>
      <w:r w:rsidRPr="003E6564">
        <w:t>ceftobiprole</w:t>
      </w:r>
      <w:proofErr w:type="spellEnd"/>
      <w:r w:rsidRPr="003E6564">
        <w:t xml:space="preserve"> </w:t>
      </w:r>
      <w:r w:rsidRPr="003E6564">
        <w:lastRenderedPageBreak/>
        <w:t xml:space="preserve">into the mouse brain produced convulsions with similar potency to the </w:t>
      </w:r>
      <w:r w:rsidR="00B33FA7">
        <w:t xml:space="preserve">beta </w:t>
      </w:r>
      <w:r w:rsidRPr="003E6564">
        <w:t>lactam antibiotic imipenem (</w:t>
      </w:r>
      <w:r w:rsidR="00B33FA7">
        <w:t xml:space="preserve">50% effective </w:t>
      </w:r>
      <w:r w:rsidR="009E26F9">
        <w:t>dose</w:t>
      </w:r>
      <w:r w:rsidR="00B33FA7">
        <w:t xml:space="preserve"> (</w:t>
      </w:r>
      <w:r w:rsidRPr="003E6564">
        <w:t>ED</w:t>
      </w:r>
      <w:r w:rsidR="00B33FA7">
        <w:rPr>
          <w:sz w:val="14"/>
          <w:szCs w:val="14"/>
        </w:rPr>
        <w:t>50</w:t>
      </w:r>
      <w:r w:rsidR="00B33FA7" w:rsidRPr="00B33FA7">
        <w:t xml:space="preserve">) </w:t>
      </w:r>
      <w:r w:rsidRPr="003E6564">
        <w:t xml:space="preserve">values of 2.55 and 3.16 </w:t>
      </w:r>
      <w:proofErr w:type="spellStart"/>
      <w:r w:rsidRPr="003E6564">
        <w:t>μg</w:t>
      </w:r>
      <w:proofErr w:type="spellEnd"/>
      <w:r w:rsidRPr="003E6564">
        <w:t xml:space="preserve"> for </w:t>
      </w:r>
      <w:proofErr w:type="spellStart"/>
      <w:r w:rsidRPr="003E6564">
        <w:t>ceftobiprole</w:t>
      </w:r>
      <w:proofErr w:type="spellEnd"/>
      <w:r w:rsidRPr="003E6564">
        <w:t xml:space="preserve"> and imipenem, respectively). These results suggest that </w:t>
      </w:r>
      <w:proofErr w:type="spellStart"/>
      <w:r w:rsidRPr="003E6564">
        <w:t>ceftobiprole</w:t>
      </w:r>
      <w:proofErr w:type="spellEnd"/>
      <w:r w:rsidRPr="003E6564">
        <w:t xml:space="preserve"> has limited ability to cross the blood-brain barrier but can induce convulsions when present at high systemic concentrations. The induction of convulsions in animals and humans is a well</w:t>
      </w:r>
      <w:r w:rsidR="005547C7">
        <w:t>-</w:t>
      </w:r>
      <w:r w:rsidRPr="003E6564">
        <w:t xml:space="preserve">known class effect of </w:t>
      </w:r>
      <w:r w:rsidR="007D2624">
        <w:t>beta</w:t>
      </w:r>
      <w:r w:rsidR="005547C7">
        <w:t xml:space="preserve"> </w:t>
      </w:r>
      <w:r w:rsidR="007D2624">
        <w:t>lactam</w:t>
      </w:r>
      <w:r w:rsidR="00E01646">
        <w:t xml:space="preserve"> </w:t>
      </w:r>
      <w:r w:rsidRPr="003E6564">
        <w:t>antibiotics.</w:t>
      </w:r>
      <w:r w:rsidR="00AC1807" w:rsidRPr="00914222">
        <w:rPr>
          <w:rStyle w:val="FootnoteReference"/>
        </w:rPr>
        <w:footnoteReference w:id="1"/>
      </w:r>
    </w:p>
    <w:p w:rsidR="006A3326" w:rsidRDefault="003E6564" w:rsidP="005547C7">
      <w:r w:rsidRPr="003E6564">
        <w:t xml:space="preserve">The cardiovascular studies showed no safety signals. </w:t>
      </w:r>
      <w:proofErr w:type="spellStart"/>
      <w:r w:rsidRPr="003E6564">
        <w:t>Ceftobiprole</w:t>
      </w:r>
      <w:proofErr w:type="spellEnd"/>
      <w:r w:rsidRPr="003E6564">
        <w:t xml:space="preserve"> showed no significant </w:t>
      </w:r>
      <w:r w:rsidRPr="005547C7">
        <w:rPr>
          <w:iCs/>
        </w:rPr>
        <w:t xml:space="preserve">in vitro </w:t>
      </w:r>
      <w:r w:rsidRPr="005547C7">
        <w:t xml:space="preserve">inhibition of mammalian </w:t>
      </w:r>
      <w:r w:rsidR="005547C7">
        <w:t>potassium (</w:t>
      </w:r>
      <w:proofErr w:type="spellStart"/>
      <w:r w:rsidRPr="005547C7">
        <w:t>hERG</w:t>
      </w:r>
      <w:proofErr w:type="spellEnd"/>
      <w:r w:rsidR="005547C7">
        <w:t>)</w:t>
      </w:r>
      <w:r w:rsidRPr="005547C7">
        <w:t xml:space="preserve"> channels, although (due to solubility issues) the drug</w:t>
      </w:r>
      <w:r w:rsidRPr="003E6564">
        <w:t xml:space="preserve"> concentration tested (5 </w:t>
      </w:r>
      <w:proofErr w:type="spellStart"/>
      <w:r w:rsidRPr="003E6564">
        <w:t>μM</w:t>
      </w:r>
      <w:proofErr w:type="spellEnd"/>
      <w:r w:rsidRPr="003E6564">
        <w:t xml:space="preserve">) is only about </w:t>
      </w:r>
      <w:r w:rsidR="005547C7">
        <w:t xml:space="preserve">a tenth of </w:t>
      </w:r>
      <w:r w:rsidRPr="003E6564">
        <w:t xml:space="preserve">the expected clinical plasma concentration. </w:t>
      </w:r>
      <w:proofErr w:type="spellStart"/>
      <w:r w:rsidRPr="003E6564">
        <w:t>Ceftobiprole</w:t>
      </w:r>
      <w:proofErr w:type="spellEnd"/>
      <w:r w:rsidRPr="003E6564">
        <w:t xml:space="preserve"> </w:t>
      </w:r>
      <w:proofErr w:type="spellStart"/>
      <w:r w:rsidRPr="003E6564">
        <w:t>medocaril</w:t>
      </w:r>
      <w:proofErr w:type="spellEnd"/>
      <w:r w:rsidRPr="003E6564">
        <w:t xml:space="preserve"> doses of up to 500 mg/kg IV (expected to produce around 5</w:t>
      </w:r>
      <w:r w:rsidR="005547C7">
        <w:t xml:space="preserve"> </w:t>
      </w:r>
      <w:r w:rsidRPr="003E6564">
        <w:t xml:space="preserve">times the clinical concentration of </w:t>
      </w:r>
      <w:proofErr w:type="spellStart"/>
      <w:r w:rsidRPr="003E6564">
        <w:t>ceftobiprole</w:t>
      </w:r>
      <w:proofErr w:type="spellEnd"/>
      <w:r w:rsidRPr="003E6564">
        <w:t>) showed no effects on breathing parameters. The major adverse findings from the safety pharmacology studies were renal toxicity and convulsions in mice (similar results seen for rat repeat-dose toxicity studies</w:t>
      </w:r>
      <w:r w:rsidR="005547C7">
        <w:t xml:space="preserve">; </w:t>
      </w:r>
      <w:r w:rsidRPr="003E6564">
        <w:t>see below)</w:t>
      </w:r>
      <w:r w:rsidR="006A3326">
        <w:t>.</w:t>
      </w:r>
    </w:p>
    <w:p w:rsidR="008E7846" w:rsidRPr="005547C7" w:rsidRDefault="008E7846" w:rsidP="005547C7">
      <w:pPr>
        <w:pStyle w:val="Heading4"/>
      </w:pPr>
      <w:bookmarkStart w:id="41" w:name="_Toc247691513"/>
      <w:bookmarkStart w:id="42" w:name="_Toc314842497"/>
      <w:r>
        <w:t>Pharmacokinetics</w:t>
      </w:r>
      <w:bookmarkEnd w:id="41"/>
      <w:bookmarkEnd w:id="42"/>
    </w:p>
    <w:p w:rsidR="005547C7" w:rsidRDefault="003E6564" w:rsidP="005547C7">
      <w:pPr>
        <w:pStyle w:val="Heading5"/>
      </w:pPr>
      <w:bookmarkStart w:id="43" w:name="_Toc247691514"/>
      <w:bookmarkStart w:id="44" w:name="_Toc314842498"/>
      <w:r w:rsidRPr="003E6564">
        <w:rPr>
          <w:rFonts w:eastAsiaTheme="minorHAnsi"/>
        </w:rPr>
        <w:t>Genera</w:t>
      </w:r>
      <w:r w:rsidR="005547C7">
        <w:rPr>
          <w:rFonts w:eastAsiaTheme="minorHAnsi"/>
        </w:rPr>
        <w:t>l</w:t>
      </w:r>
    </w:p>
    <w:p w:rsidR="006A3326" w:rsidRDefault="003E6564" w:rsidP="005547C7">
      <w:r w:rsidRPr="003E6564">
        <w:t xml:space="preserve">New studies compared the pharmacokinetics of </w:t>
      </w:r>
      <w:proofErr w:type="spellStart"/>
      <w:r w:rsidRPr="003E6564">
        <w:t>ceftobiprole</w:t>
      </w:r>
      <w:proofErr w:type="spellEnd"/>
      <w:r w:rsidRPr="003E6564">
        <w:t xml:space="preserve"> </w:t>
      </w:r>
      <w:proofErr w:type="spellStart"/>
      <w:r w:rsidRPr="003E6564">
        <w:t>medocaril</w:t>
      </w:r>
      <w:proofErr w:type="spellEnd"/>
      <w:r w:rsidRPr="003E6564">
        <w:t xml:space="preserve">, </w:t>
      </w:r>
      <w:proofErr w:type="spellStart"/>
      <w:r w:rsidRPr="003E6564">
        <w:t>ceftobiprole</w:t>
      </w:r>
      <w:proofErr w:type="spellEnd"/>
      <w:r w:rsidRPr="003E6564">
        <w:t xml:space="preserve"> and BAL1029 (the major metabolite of </w:t>
      </w:r>
      <w:proofErr w:type="spellStart"/>
      <w:r w:rsidRPr="003E6564">
        <w:t>ceftobiprole</w:t>
      </w:r>
      <w:proofErr w:type="spellEnd"/>
      <w:r w:rsidRPr="003E6564">
        <w:t xml:space="preserve">, derived by </w:t>
      </w:r>
      <w:r w:rsidR="007D2624">
        <w:t>beta-lactam</w:t>
      </w:r>
      <w:r w:rsidR="00E01646">
        <w:t xml:space="preserve"> </w:t>
      </w:r>
      <w:r w:rsidRPr="003E6564">
        <w:t xml:space="preserve">ring opening) in rats and dogs following a single 4 h IV infusion of </w:t>
      </w:r>
      <w:proofErr w:type="spellStart"/>
      <w:r w:rsidRPr="003E6564">
        <w:t>ceftobiprole</w:t>
      </w:r>
      <w:proofErr w:type="spellEnd"/>
      <w:r w:rsidRPr="003E6564">
        <w:t xml:space="preserve"> </w:t>
      </w:r>
      <w:proofErr w:type="spellStart"/>
      <w:r w:rsidRPr="003E6564">
        <w:t>medocaril</w:t>
      </w:r>
      <w:proofErr w:type="spellEnd"/>
      <w:r w:rsidRPr="003E6564">
        <w:t xml:space="preserve">. In both species, </w:t>
      </w:r>
      <w:r w:rsidR="005547C7">
        <w:t xml:space="preserve">the </w:t>
      </w:r>
      <w:r w:rsidRPr="003E6564">
        <w:t>pharmacokinetics w</w:t>
      </w:r>
      <w:r w:rsidR="005547C7">
        <w:t>as</w:t>
      </w:r>
      <w:r w:rsidRPr="003E6564">
        <w:t xml:space="preserve"> similar for both </w:t>
      </w:r>
      <w:r w:rsidR="005547C7">
        <w:t>genders</w:t>
      </w:r>
      <w:r w:rsidRPr="003E6564">
        <w:t xml:space="preserve">. Exposure (based on </w:t>
      </w:r>
      <w:r w:rsidR="005547C7">
        <w:t>the area under the plasma concentration versus time curve (</w:t>
      </w:r>
      <w:r w:rsidRPr="003E6564">
        <w:t>AUC</w:t>
      </w:r>
      <w:r w:rsidR="005547C7">
        <w:t>)</w:t>
      </w:r>
      <w:r w:rsidRPr="003E6564">
        <w:t xml:space="preserve">) to </w:t>
      </w:r>
      <w:proofErr w:type="spellStart"/>
      <w:r w:rsidRPr="003E6564">
        <w:t>ceftobiprole</w:t>
      </w:r>
      <w:proofErr w:type="spellEnd"/>
      <w:r w:rsidRPr="003E6564">
        <w:t xml:space="preserve"> was approx</w:t>
      </w:r>
      <w:r w:rsidR="005547C7">
        <w:t>imately</w:t>
      </w:r>
      <w:r w:rsidRPr="003E6564">
        <w:t xml:space="preserve"> 6 (rats) or 2</w:t>
      </w:r>
      <w:r w:rsidR="005547C7">
        <w:t xml:space="preserve"> </w:t>
      </w:r>
      <w:r w:rsidRPr="003E6564">
        <w:t xml:space="preserve">times (dogs) that for </w:t>
      </w:r>
      <w:proofErr w:type="spellStart"/>
      <w:r w:rsidRPr="003E6564">
        <w:t>ceftobiprole</w:t>
      </w:r>
      <w:proofErr w:type="spellEnd"/>
      <w:r w:rsidRPr="003E6564">
        <w:t xml:space="preserve"> </w:t>
      </w:r>
      <w:proofErr w:type="spellStart"/>
      <w:r w:rsidRPr="003E6564">
        <w:t>medocaril</w:t>
      </w:r>
      <w:proofErr w:type="spellEnd"/>
      <w:r w:rsidRPr="003E6564">
        <w:t>, whilst exposure to BAL1029 was approx</w:t>
      </w:r>
      <w:r w:rsidR="005547C7">
        <w:t>imately</w:t>
      </w:r>
      <w:r w:rsidRPr="003E6564">
        <w:t xml:space="preserve"> </w:t>
      </w:r>
      <w:r w:rsidR="005547C7">
        <w:t>one fifth (1/5)</w:t>
      </w:r>
      <w:r w:rsidRPr="003E6564">
        <w:t xml:space="preserve"> that for </w:t>
      </w:r>
      <w:proofErr w:type="spellStart"/>
      <w:r w:rsidRPr="003E6564">
        <w:t>ceftobiprole</w:t>
      </w:r>
      <w:proofErr w:type="spellEnd"/>
      <w:r w:rsidRPr="003E6564">
        <w:t xml:space="preserve"> </w:t>
      </w:r>
      <w:proofErr w:type="spellStart"/>
      <w:r w:rsidRPr="003E6564">
        <w:t>medocaril</w:t>
      </w:r>
      <w:proofErr w:type="spellEnd"/>
      <w:r w:rsidRPr="003E6564">
        <w:t xml:space="preserve"> in both species</w:t>
      </w:r>
      <w:r w:rsidR="006A3326">
        <w:t>.</w:t>
      </w:r>
    </w:p>
    <w:p w:rsidR="005547C7" w:rsidRDefault="003E6564" w:rsidP="005547C7">
      <w:pPr>
        <w:pStyle w:val="Heading5"/>
      </w:pPr>
      <w:r w:rsidRPr="003E6564">
        <w:rPr>
          <w:rFonts w:eastAsiaTheme="minorHAnsi"/>
        </w:rPr>
        <w:t>Distribution</w:t>
      </w:r>
    </w:p>
    <w:p w:rsidR="006A3326" w:rsidRDefault="003E6564" w:rsidP="005547C7">
      <w:r w:rsidRPr="003E6564">
        <w:t>Notable findings from previously presented studies using mice and rats, were the high</w:t>
      </w:r>
      <w:r>
        <w:t xml:space="preserve"> </w:t>
      </w:r>
      <w:r w:rsidR="004C2228" w:rsidRPr="004C2228">
        <w:t xml:space="preserve">level of </w:t>
      </w:r>
      <w:proofErr w:type="spellStart"/>
      <w:r w:rsidR="004C2228" w:rsidRPr="004C2228">
        <w:t>ceftobiprole</w:t>
      </w:r>
      <w:proofErr w:type="spellEnd"/>
      <w:r w:rsidR="004C2228" w:rsidRPr="004C2228">
        <w:t xml:space="preserve"> (and/or metabolites) uptake by kidney (both species) and the persistence of this material in kidney cortex (rat only). Such results are consistent with the renal drug precipitation and toxicity found in repeat-dose studies (see below)</w:t>
      </w:r>
      <w:r w:rsidR="006A3326">
        <w:t>.</w:t>
      </w:r>
    </w:p>
    <w:p w:rsidR="005547C7" w:rsidRDefault="004C2228" w:rsidP="005547C7">
      <w:pPr>
        <w:pStyle w:val="Heading5"/>
      </w:pPr>
      <w:r w:rsidRPr="004C2228">
        <w:rPr>
          <w:rFonts w:eastAsiaTheme="minorHAnsi"/>
        </w:rPr>
        <w:t>Metabolism</w:t>
      </w:r>
    </w:p>
    <w:p w:rsidR="006A3326" w:rsidRDefault="004C2228" w:rsidP="005547C7">
      <w:r w:rsidRPr="004C2228">
        <w:t xml:space="preserve">Previously presented studies suggested that </w:t>
      </w:r>
      <w:proofErr w:type="spellStart"/>
      <w:r w:rsidRPr="004C2228">
        <w:t>ceftobiprole</w:t>
      </w:r>
      <w:proofErr w:type="spellEnd"/>
      <w:r w:rsidRPr="004C2228">
        <w:t xml:space="preserve"> was not extensively metabolised and was predominantly excreted in urine as the parental compound. A new study examined enzymes likely involved in the conversion of the ester prodrug to the active agent. It was concluded that multiple hydrolytic enzymes as well as non-enzymatic hydrolysis contribute to the conversion of </w:t>
      </w:r>
      <w:proofErr w:type="spellStart"/>
      <w:r w:rsidRPr="004C2228">
        <w:t>ceftobiprole</w:t>
      </w:r>
      <w:proofErr w:type="spellEnd"/>
      <w:r w:rsidRPr="004C2228">
        <w:t xml:space="preserve"> </w:t>
      </w:r>
      <w:proofErr w:type="spellStart"/>
      <w:r w:rsidRPr="004C2228">
        <w:t>medocaril</w:t>
      </w:r>
      <w:proofErr w:type="spellEnd"/>
      <w:r w:rsidRPr="004C2228">
        <w:t xml:space="preserve"> to </w:t>
      </w:r>
      <w:proofErr w:type="spellStart"/>
      <w:r w:rsidRPr="004C2228">
        <w:t>ceftobiprole</w:t>
      </w:r>
      <w:proofErr w:type="spellEnd"/>
      <w:r w:rsidRPr="004C2228">
        <w:t>. Hence, pro-drug conversion is unlikely to be significantly affected by drug-drug interactions or by genetic polymorphisms that inactivate individual hydrolytic enzymes</w:t>
      </w:r>
      <w:r w:rsidR="006A3326">
        <w:t>.</w:t>
      </w:r>
    </w:p>
    <w:p w:rsidR="005547C7" w:rsidRDefault="004C2228" w:rsidP="005547C7">
      <w:pPr>
        <w:pStyle w:val="Heading5"/>
      </w:pPr>
      <w:r w:rsidRPr="004C2228">
        <w:rPr>
          <w:rFonts w:eastAsiaTheme="minorHAnsi"/>
        </w:rPr>
        <w:t>Conclusion</w:t>
      </w:r>
    </w:p>
    <w:p w:rsidR="006A3326" w:rsidRDefault="004C2228" w:rsidP="005547C7">
      <w:r w:rsidRPr="004C2228">
        <w:t xml:space="preserve">Previously reviewed studies indicated that metabolite profiles are qualitatively similar and the major route of excretion (renal) is the same between humans and tested animal species. This suggests that the animal species used provide reasonable models for the assessment of </w:t>
      </w:r>
      <w:proofErr w:type="spellStart"/>
      <w:r w:rsidRPr="004C2228">
        <w:t>ceftobiprole</w:t>
      </w:r>
      <w:proofErr w:type="spellEnd"/>
      <w:r w:rsidRPr="004C2228">
        <w:t xml:space="preserve"> </w:t>
      </w:r>
      <w:proofErr w:type="spellStart"/>
      <w:r w:rsidRPr="004C2228">
        <w:t>medocaril</w:t>
      </w:r>
      <w:proofErr w:type="spellEnd"/>
      <w:r w:rsidRPr="004C2228">
        <w:t xml:space="preserve"> toxicity in humans</w:t>
      </w:r>
      <w:r w:rsidR="006A3326">
        <w:t>.</w:t>
      </w:r>
    </w:p>
    <w:p w:rsidR="004C2228" w:rsidRPr="004C2228" w:rsidRDefault="004C2228" w:rsidP="005547C7">
      <w:pPr>
        <w:pStyle w:val="Heading5"/>
        <w:rPr>
          <w:rFonts w:eastAsiaTheme="minorHAnsi"/>
        </w:rPr>
      </w:pPr>
      <w:r w:rsidRPr="004C2228">
        <w:rPr>
          <w:rFonts w:eastAsiaTheme="minorHAnsi"/>
        </w:rPr>
        <w:t>Ph</w:t>
      </w:r>
      <w:r w:rsidR="00F71129">
        <w:rPr>
          <w:rFonts w:eastAsiaTheme="minorHAnsi"/>
        </w:rPr>
        <w:t>armacokinetic drug interactions</w:t>
      </w:r>
    </w:p>
    <w:p w:rsidR="006A3326" w:rsidRDefault="004C2228" w:rsidP="005547C7">
      <w:r w:rsidRPr="005547C7">
        <w:rPr>
          <w:iCs/>
        </w:rPr>
        <w:t>In vitro</w:t>
      </w:r>
      <w:r w:rsidRPr="004C2228">
        <w:rPr>
          <w:i/>
          <w:iCs/>
        </w:rPr>
        <w:t xml:space="preserve"> </w:t>
      </w:r>
      <w:r w:rsidRPr="004C2228">
        <w:t xml:space="preserve">studies suggested that </w:t>
      </w:r>
      <w:proofErr w:type="spellStart"/>
      <w:r w:rsidRPr="004C2228">
        <w:t>ceftobiprole</w:t>
      </w:r>
      <w:proofErr w:type="spellEnd"/>
      <w:r w:rsidRPr="004C2228">
        <w:t xml:space="preserve"> (0.3</w:t>
      </w:r>
      <w:r w:rsidR="005547C7">
        <w:t xml:space="preserve"> to </w:t>
      </w:r>
      <w:r w:rsidRPr="004C2228">
        <w:t xml:space="preserve">200 </w:t>
      </w:r>
      <w:proofErr w:type="spellStart"/>
      <w:r w:rsidRPr="004C2228">
        <w:t>μM</w:t>
      </w:r>
      <w:proofErr w:type="spellEnd"/>
      <w:r w:rsidRPr="004C2228">
        <w:t>) is not a substrate or inhibitor of P-glycoprotein, breast cancer resistance protein (BCRP)</w:t>
      </w:r>
      <w:r w:rsidR="009E26F9">
        <w:t xml:space="preserve"> and</w:t>
      </w:r>
      <w:r w:rsidRPr="004C2228">
        <w:t xml:space="preserve"> multidrug resistance protein 2 (MRP2). </w:t>
      </w:r>
      <w:proofErr w:type="spellStart"/>
      <w:r w:rsidRPr="004C2228">
        <w:t>Ceftobiprole</w:t>
      </w:r>
      <w:proofErr w:type="spellEnd"/>
      <w:r w:rsidRPr="004C2228">
        <w:t xml:space="preserve"> is also not a substrate for BSEP (bile salt export pump)</w:t>
      </w:r>
      <w:r w:rsidR="006A3326">
        <w:t>.</w:t>
      </w:r>
    </w:p>
    <w:p w:rsidR="006A3326" w:rsidRDefault="004C2228" w:rsidP="005547C7">
      <w:proofErr w:type="spellStart"/>
      <w:r w:rsidRPr="004C2228">
        <w:lastRenderedPageBreak/>
        <w:t>Ceftobiprole</w:t>
      </w:r>
      <w:proofErr w:type="spellEnd"/>
      <w:r w:rsidRPr="004C2228">
        <w:t xml:space="preserve"> was, however, an </w:t>
      </w:r>
      <w:r w:rsidRPr="009E26F9">
        <w:t xml:space="preserve">inhibitor of </w:t>
      </w:r>
      <w:r w:rsidR="009E26F9" w:rsidRPr="009E26F9">
        <w:t>organic anion transporting polypeptides 1B1 and 1B3 (</w:t>
      </w:r>
      <w:r w:rsidRPr="009E26F9">
        <w:t>OATP1B1</w:t>
      </w:r>
      <w:r w:rsidR="009E26F9" w:rsidRPr="009E26F9">
        <w:t xml:space="preserve"> </w:t>
      </w:r>
      <w:r w:rsidRPr="009E26F9">
        <w:t>and OATP1B3</w:t>
      </w:r>
      <w:r w:rsidR="009E26F9" w:rsidRPr="009E26F9">
        <w:t xml:space="preserve">) </w:t>
      </w:r>
      <w:r w:rsidRPr="009E26F9">
        <w:t xml:space="preserve">mediated uptake of </w:t>
      </w:r>
      <w:r w:rsidR="00E01646">
        <w:t>o</w:t>
      </w:r>
      <w:r w:rsidRPr="009E26F9">
        <w:t xml:space="preserve">estradiol by cultured cells with </w:t>
      </w:r>
      <w:r w:rsidR="009E26F9" w:rsidRPr="009E26F9">
        <w:t>50% inhibitory concentration (</w:t>
      </w:r>
      <w:r w:rsidRPr="009E26F9">
        <w:t>IC</w:t>
      </w:r>
      <w:r w:rsidR="009E26F9" w:rsidRPr="009E26F9">
        <w:t xml:space="preserve">50) </w:t>
      </w:r>
      <w:r w:rsidRPr="009E26F9">
        <w:t>values of 67</w:t>
      </w:r>
      <w:r w:rsidRPr="004C2228">
        <w:t xml:space="preserve">.7 and 44.1 </w:t>
      </w:r>
      <w:proofErr w:type="spellStart"/>
      <w:r w:rsidRPr="004C2228">
        <w:t>μM</w:t>
      </w:r>
      <w:proofErr w:type="spellEnd"/>
      <w:r w:rsidRPr="004C2228">
        <w:t xml:space="preserve">, respectively (other </w:t>
      </w:r>
      <w:proofErr w:type="spellStart"/>
      <w:r w:rsidRPr="004C2228">
        <w:t>cephalosporins</w:t>
      </w:r>
      <w:proofErr w:type="spellEnd"/>
      <w:r w:rsidRPr="004C2228">
        <w:t xml:space="preserve"> have been shown to be substrates of these two transporters</w:t>
      </w:r>
      <w:r w:rsidR="00DD5297">
        <w:rPr>
          <w:rStyle w:val="FootnoteReference"/>
        </w:rPr>
        <w:footnoteReference w:id="2"/>
      </w:r>
      <w:r w:rsidRPr="004C2228">
        <w:t xml:space="preserve">). Hence, plasma levels of </w:t>
      </w:r>
      <w:proofErr w:type="spellStart"/>
      <w:r w:rsidRPr="004C2228">
        <w:t>ceftobiprole</w:t>
      </w:r>
      <w:proofErr w:type="spellEnd"/>
      <w:r w:rsidRPr="004C2228">
        <w:t xml:space="preserve"> in patients (</w:t>
      </w:r>
      <w:r w:rsidR="009E26F9">
        <w:t xml:space="preserve">approximately </w:t>
      </w:r>
      <w:r w:rsidRPr="004C2228">
        <w:t xml:space="preserve">60 </w:t>
      </w:r>
      <w:proofErr w:type="spellStart"/>
      <w:r w:rsidRPr="004C2228">
        <w:t>μM</w:t>
      </w:r>
      <w:proofErr w:type="spellEnd"/>
      <w:r w:rsidRPr="004C2228">
        <w:t xml:space="preserve">) could inhibit the metabolism/clearance by hepatocytes of substrates of these transporters. </w:t>
      </w:r>
      <w:proofErr w:type="spellStart"/>
      <w:r w:rsidRPr="004C2228">
        <w:t>Ceftobiprole</w:t>
      </w:r>
      <w:proofErr w:type="spellEnd"/>
      <w:r w:rsidRPr="004C2228">
        <w:t xml:space="preserve"> showed accumulation in OAT1- and OCT2-expressing cells suggesting that it may be a substrate of those transporters, both of which are present in the basolateral membrane of pr</w:t>
      </w:r>
      <w:r w:rsidR="00DD5297">
        <w:t>oximal tubular epithelial cells</w:t>
      </w:r>
      <w:r w:rsidRPr="004C2228">
        <w:t>.</w:t>
      </w:r>
      <w:r w:rsidR="00DD5297">
        <w:rPr>
          <w:rStyle w:val="FootnoteReference"/>
        </w:rPr>
        <w:footnoteReference w:id="3"/>
      </w:r>
      <w:r w:rsidRPr="004C2228">
        <w:t xml:space="preserve"> However, an </w:t>
      </w:r>
      <w:r w:rsidRPr="009E26F9">
        <w:rPr>
          <w:iCs/>
        </w:rPr>
        <w:t>in vivo</w:t>
      </w:r>
      <w:r w:rsidRPr="004C2228">
        <w:rPr>
          <w:i/>
          <w:iCs/>
        </w:rPr>
        <w:t xml:space="preserve"> </w:t>
      </w:r>
      <w:r w:rsidRPr="004C2228">
        <w:t xml:space="preserve">study using rats IV dosed with </w:t>
      </w:r>
      <w:proofErr w:type="spellStart"/>
      <w:r w:rsidRPr="004C2228">
        <w:t>ceftobiprole</w:t>
      </w:r>
      <w:proofErr w:type="spellEnd"/>
      <w:r w:rsidRPr="004C2228">
        <w:t xml:space="preserve"> or </w:t>
      </w:r>
      <w:proofErr w:type="spellStart"/>
      <w:r w:rsidRPr="004C2228">
        <w:t>ceftobiprole</w:t>
      </w:r>
      <w:proofErr w:type="spellEnd"/>
      <w:r w:rsidRPr="004C2228">
        <w:t xml:space="preserve"> </w:t>
      </w:r>
      <w:proofErr w:type="spellStart"/>
      <w:r w:rsidRPr="004C2228">
        <w:t>medocaril</w:t>
      </w:r>
      <w:proofErr w:type="spellEnd"/>
      <w:r w:rsidRPr="004C2228">
        <w:t xml:space="preserve"> showed no effect of co-administration of probenecid (an inhibitor of OAT1 and OAT3 that decreases renal tubular excretion of penicillin and other </w:t>
      </w:r>
      <w:r w:rsidR="007D2624">
        <w:t>beta-lactam</w:t>
      </w:r>
      <w:r w:rsidR="00E01646">
        <w:t xml:space="preserve"> </w:t>
      </w:r>
      <w:r w:rsidRPr="004C2228">
        <w:t xml:space="preserve">antibiotics) on </w:t>
      </w:r>
      <w:r w:rsidR="009E26F9">
        <w:t xml:space="preserve">the </w:t>
      </w:r>
      <w:r w:rsidRPr="004C2228">
        <w:t xml:space="preserve">plasma time-concentration profiles for </w:t>
      </w:r>
      <w:proofErr w:type="spellStart"/>
      <w:r w:rsidRPr="004C2228">
        <w:t>ceftobiprole</w:t>
      </w:r>
      <w:proofErr w:type="spellEnd"/>
      <w:r w:rsidRPr="004C2228">
        <w:t xml:space="preserve">. This suggests that renal excretion of </w:t>
      </w:r>
      <w:proofErr w:type="spellStart"/>
      <w:r w:rsidRPr="004C2228">
        <w:t>ceftobiprole</w:t>
      </w:r>
      <w:proofErr w:type="spellEnd"/>
      <w:r w:rsidRPr="004C2228">
        <w:t xml:space="preserve"> is not mediated by active transport processes</w:t>
      </w:r>
      <w:r w:rsidR="006A3326">
        <w:t>.</w:t>
      </w:r>
    </w:p>
    <w:p w:rsidR="003E6564" w:rsidRPr="004334C7" w:rsidRDefault="004C2228" w:rsidP="005547C7">
      <w:r w:rsidRPr="004C2228">
        <w:t xml:space="preserve">New studies showed that </w:t>
      </w:r>
      <w:proofErr w:type="spellStart"/>
      <w:r w:rsidRPr="004C2228">
        <w:t>ceftobiprole</w:t>
      </w:r>
      <w:proofErr w:type="spellEnd"/>
      <w:r w:rsidRPr="004C2228">
        <w:t xml:space="preserve"> (0.5</w:t>
      </w:r>
      <w:r w:rsidR="009E26F9">
        <w:t xml:space="preserve"> to </w:t>
      </w:r>
      <w:r w:rsidRPr="004C2228">
        <w:t xml:space="preserve">200 </w:t>
      </w:r>
      <w:proofErr w:type="spellStart"/>
      <w:r w:rsidRPr="004C2228">
        <w:t>μM</w:t>
      </w:r>
      <w:proofErr w:type="spellEnd"/>
      <w:r w:rsidRPr="004C2228">
        <w:t>) produced neither direct nor time</w:t>
      </w:r>
      <w:r w:rsidR="009E26F9">
        <w:t xml:space="preserve"> </w:t>
      </w:r>
      <w:r w:rsidRPr="004C2228">
        <w:t xml:space="preserve">dependent inhibition of </w:t>
      </w:r>
      <w:r w:rsidR="009E26F9">
        <w:t>cytochrome P450 (</w:t>
      </w:r>
      <w:r w:rsidRPr="004C2228">
        <w:t>CYP</w:t>
      </w:r>
      <w:r w:rsidR="009E26F9">
        <w:t>)</w:t>
      </w:r>
      <w:r w:rsidRPr="004C2228">
        <w:t xml:space="preserve"> isozyme (CYP1A2, CYP2B6, CYP2C8, CYP2C9, CYP2C19, CYP2D6, and CYP3A4) activity in human liver </w:t>
      </w:r>
      <w:proofErr w:type="spellStart"/>
      <w:r w:rsidRPr="004C2228">
        <w:t>microsome</w:t>
      </w:r>
      <w:proofErr w:type="spellEnd"/>
      <w:r w:rsidRPr="004C2228">
        <w:t xml:space="preserve"> preparations. Exposure of human hepatocytes to </w:t>
      </w:r>
      <w:proofErr w:type="spellStart"/>
      <w:r w:rsidRPr="004C2228">
        <w:t>ceftobiprole</w:t>
      </w:r>
      <w:proofErr w:type="spellEnd"/>
      <w:r w:rsidRPr="004C2228">
        <w:t xml:space="preserve"> </w:t>
      </w:r>
      <w:proofErr w:type="spellStart"/>
      <w:r w:rsidRPr="004C2228">
        <w:t>medocaril</w:t>
      </w:r>
      <w:proofErr w:type="spellEnd"/>
      <w:r w:rsidRPr="004C2228">
        <w:t xml:space="preserve"> at up to 200 </w:t>
      </w:r>
      <w:proofErr w:type="spellStart"/>
      <w:r w:rsidRPr="004C2228">
        <w:t>μM</w:t>
      </w:r>
      <w:proofErr w:type="spellEnd"/>
      <w:r w:rsidRPr="004C2228">
        <w:t xml:space="preserve"> for three successive days produced no or a trivial increase in a similar panel of CYP enzyme activities. These results, plus the finding that </w:t>
      </w:r>
      <w:proofErr w:type="spellStart"/>
      <w:r w:rsidRPr="004C2228">
        <w:t>ceftobiprole</w:t>
      </w:r>
      <w:proofErr w:type="spellEnd"/>
      <w:r w:rsidRPr="004C2228">
        <w:t xml:space="preserve"> undergoes only limited metabolism by CYP enzymes, suggest that </w:t>
      </w:r>
      <w:proofErr w:type="spellStart"/>
      <w:r w:rsidRPr="004C2228">
        <w:t>ceftobiprole</w:t>
      </w:r>
      <w:proofErr w:type="spellEnd"/>
      <w:r w:rsidRPr="004C2228">
        <w:t xml:space="preserve"> is unlikely to show pharmacokinetic interactions with co-administered drugs that are CYP metabolised.</w:t>
      </w:r>
    </w:p>
    <w:p w:rsidR="001B5C90" w:rsidRDefault="008E7846" w:rsidP="009E26F9">
      <w:pPr>
        <w:pStyle w:val="Heading4"/>
      </w:pPr>
      <w:r>
        <w:t>Toxicology</w:t>
      </w:r>
      <w:bookmarkEnd w:id="43"/>
      <w:bookmarkEnd w:id="44"/>
    </w:p>
    <w:p w:rsidR="004C2228" w:rsidRDefault="004C2228" w:rsidP="009E26F9">
      <w:pPr>
        <w:pStyle w:val="Heading5"/>
      </w:pPr>
      <w:bookmarkStart w:id="45" w:name="_Toc247691515"/>
      <w:bookmarkStart w:id="46" w:name="_Toc314842499"/>
      <w:r>
        <w:t>Acute</w:t>
      </w:r>
      <w:r w:rsidR="00F71129">
        <w:t xml:space="preserve"> toxicity</w:t>
      </w:r>
    </w:p>
    <w:p w:rsidR="006A3326" w:rsidRDefault="004C2228" w:rsidP="009E26F9">
      <w:r>
        <w:t>See Safety Pharmacology studies section</w:t>
      </w:r>
      <w:r w:rsidR="00411EBC">
        <w:t xml:space="preserve"> above</w:t>
      </w:r>
      <w:r w:rsidR="006A3326">
        <w:t>.</w:t>
      </w:r>
    </w:p>
    <w:p w:rsidR="004C2228" w:rsidRDefault="00F71129" w:rsidP="009E26F9">
      <w:pPr>
        <w:pStyle w:val="Heading5"/>
      </w:pPr>
      <w:r>
        <w:t>Repeat-dose toxicity</w:t>
      </w:r>
    </w:p>
    <w:p w:rsidR="006A3326" w:rsidRDefault="004C2228" w:rsidP="009E26F9">
      <w:r>
        <w:t xml:space="preserve">Studies using rats, dogs, and marmosets were reviewed </w:t>
      </w:r>
      <w:r w:rsidR="009E26F9">
        <w:t xml:space="preserve">in a </w:t>
      </w:r>
      <w:r>
        <w:t>previous</w:t>
      </w:r>
      <w:r w:rsidR="009E26F9">
        <w:t xml:space="preserve"> </w:t>
      </w:r>
      <w:r w:rsidR="00E01646">
        <w:t>evaluation</w:t>
      </w:r>
      <w:r>
        <w:t>. No new studies have been provided by the sponsor</w:t>
      </w:r>
      <w:r w:rsidR="006A3326">
        <w:t>.</w:t>
      </w:r>
    </w:p>
    <w:p w:rsidR="004C2228" w:rsidRDefault="00F71129" w:rsidP="009E26F9">
      <w:pPr>
        <w:pStyle w:val="Heading6"/>
      </w:pPr>
      <w:r>
        <w:t>Relative exposure</w:t>
      </w:r>
    </w:p>
    <w:p w:rsidR="006A3326" w:rsidRDefault="004C2228" w:rsidP="009E26F9">
      <w:r>
        <w:t xml:space="preserve">Exposure ratios for two weeks of once or twice daily IV infusion of </w:t>
      </w:r>
      <w:proofErr w:type="spellStart"/>
      <w:r>
        <w:t>ceftobiprole</w:t>
      </w:r>
      <w:proofErr w:type="spellEnd"/>
      <w:r>
        <w:t xml:space="preserve"> </w:t>
      </w:r>
      <w:proofErr w:type="spellStart"/>
      <w:r>
        <w:t>medocaril</w:t>
      </w:r>
      <w:proofErr w:type="spellEnd"/>
      <w:r>
        <w:t xml:space="preserve">, calculated </w:t>
      </w:r>
      <w:r w:rsidRPr="004C2228">
        <w:t>on the basis of animal:</w:t>
      </w:r>
      <w:r w:rsidR="009E26F9">
        <w:t xml:space="preserve"> </w:t>
      </w:r>
      <w:r w:rsidRPr="004C2228">
        <w:t xml:space="preserve">human plasma AUCs at </w:t>
      </w:r>
      <w:r w:rsidR="009E26F9">
        <w:t>the no observable adverse effect level (</w:t>
      </w:r>
      <w:r w:rsidRPr="004C2228">
        <w:t>NOAEL</w:t>
      </w:r>
      <w:r w:rsidR="009E26F9">
        <w:t>)</w:t>
      </w:r>
      <w:r w:rsidRPr="004C2228">
        <w:t xml:space="preserve"> were low: </w:t>
      </w:r>
      <w:r w:rsidR="009E26F9">
        <w:t xml:space="preserve">approximately </w:t>
      </w:r>
      <w:r w:rsidRPr="004C2228">
        <w:t xml:space="preserve">1 for rats and dogs and </w:t>
      </w:r>
      <w:r w:rsidR="009E26F9">
        <w:t xml:space="preserve">approximately between </w:t>
      </w:r>
      <w:r w:rsidRPr="004C2228">
        <w:t>2</w:t>
      </w:r>
      <w:r w:rsidR="009E26F9">
        <w:t xml:space="preserve"> and </w:t>
      </w:r>
      <w:r w:rsidRPr="004C2228">
        <w:t>4 for marmosets</w:t>
      </w:r>
      <w:r w:rsidR="006A3326">
        <w:t>.</w:t>
      </w:r>
    </w:p>
    <w:p w:rsidR="004C2228" w:rsidRPr="004C2228" w:rsidRDefault="00F71129" w:rsidP="009E26F9">
      <w:pPr>
        <w:pStyle w:val="Heading6"/>
        <w:rPr>
          <w:rFonts w:eastAsiaTheme="minorHAnsi"/>
        </w:rPr>
      </w:pPr>
      <w:r>
        <w:rPr>
          <w:rFonts w:eastAsiaTheme="minorHAnsi"/>
        </w:rPr>
        <w:t>Major toxicities</w:t>
      </w:r>
    </w:p>
    <w:p w:rsidR="006A3326" w:rsidRDefault="004C2228" w:rsidP="004C2228">
      <w:pPr>
        <w:autoSpaceDE w:val="0"/>
        <w:autoSpaceDN w:val="0"/>
        <w:adjustRightInd w:val="0"/>
        <w:spacing w:before="0" w:after="0" w:line="240" w:lineRule="auto"/>
        <w:rPr>
          <w:rFonts w:eastAsiaTheme="minorHAnsi" w:cs="Cambria"/>
          <w:color w:val="000000"/>
        </w:rPr>
      </w:pPr>
      <w:r w:rsidRPr="004C2228">
        <w:rPr>
          <w:rFonts w:eastAsiaTheme="minorHAnsi" w:cs="Cambria"/>
          <w:color w:val="000000"/>
        </w:rPr>
        <w:t xml:space="preserve">The major target organ for </w:t>
      </w:r>
      <w:proofErr w:type="spellStart"/>
      <w:r w:rsidRPr="004C2228">
        <w:rPr>
          <w:rFonts w:eastAsiaTheme="minorHAnsi" w:cs="Cambria"/>
          <w:color w:val="000000"/>
        </w:rPr>
        <w:t>ceftobiprole</w:t>
      </w:r>
      <w:proofErr w:type="spellEnd"/>
      <w:r w:rsidRPr="004C2228">
        <w:rPr>
          <w:rFonts w:eastAsiaTheme="minorHAnsi" w:cs="Cambria"/>
          <w:color w:val="000000"/>
        </w:rPr>
        <w:t xml:space="preserve"> </w:t>
      </w:r>
      <w:proofErr w:type="spellStart"/>
      <w:r w:rsidRPr="004C2228">
        <w:rPr>
          <w:rFonts w:eastAsiaTheme="minorHAnsi" w:cs="Cambria"/>
          <w:color w:val="000000"/>
        </w:rPr>
        <w:t>medocaril</w:t>
      </w:r>
      <w:proofErr w:type="spellEnd"/>
      <w:r w:rsidRPr="004C2228">
        <w:rPr>
          <w:rFonts w:eastAsiaTheme="minorHAnsi" w:cs="Cambria"/>
          <w:color w:val="000000"/>
        </w:rPr>
        <w:t xml:space="preserve"> in rats and marmosets (but not dogs) was kidney. Drug precipitation was noted in proximal tubules, although it was not associated with damage</w:t>
      </w:r>
      <w:r w:rsidR="005440D0">
        <w:rPr>
          <w:rFonts w:eastAsiaTheme="minorHAnsi" w:cs="Cambria"/>
          <w:color w:val="000000"/>
        </w:rPr>
        <w:t>. P</w:t>
      </w:r>
      <w:r w:rsidRPr="004C2228">
        <w:rPr>
          <w:rFonts w:eastAsiaTheme="minorHAnsi" w:cs="Cambria"/>
          <w:color w:val="000000"/>
        </w:rPr>
        <w:t xml:space="preserve">recipitation in distal parts of the nephron was associated with local degeneration and necrosis. These changes were not observed in dogs, even at higher plasma and urine concentrations of </w:t>
      </w:r>
      <w:proofErr w:type="spellStart"/>
      <w:r w:rsidRPr="004C2228">
        <w:rPr>
          <w:rFonts w:eastAsiaTheme="minorHAnsi" w:cs="Cambria"/>
          <w:color w:val="000000"/>
        </w:rPr>
        <w:t>ceftobiprole</w:t>
      </w:r>
      <w:proofErr w:type="spellEnd"/>
      <w:r w:rsidRPr="004C2228">
        <w:rPr>
          <w:rFonts w:eastAsiaTheme="minorHAnsi" w:cs="Cambria"/>
          <w:color w:val="000000"/>
        </w:rPr>
        <w:t xml:space="preserve"> than produced changes in rats. Convulsions occurred in some rats and marmosets exposed to high test article concentrations (see also Safety pharmacology section). In some cases, the convulsions may have been associated with impaired renal function (</w:t>
      </w:r>
      <w:r w:rsidR="005440D0">
        <w:rPr>
          <w:rFonts w:eastAsiaTheme="minorHAnsi" w:cs="Cambria"/>
          <w:color w:val="000000"/>
        </w:rPr>
        <w:t>that is,</w:t>
      </w:r>
      <w:r w:rsidRPr="004C2228">
        <w:rPr>
          <w:rFonts w:eastAsiaTheme="minorHAnsi" w:cs="Cambria"/>
          <w:color w:val="000000"/>
        </w:rPr>
        <w:t xml:space="preserve"> decreased drug clearance). Histaminergic reactions were noted in dogs but could be avoided by extension of the drug infusion time. Test article-related mortalities in rats and marmosets were associated with </w:t>
      </w:r>
      <w:r w:rsidRPr="004C2228">
        <w:rPr>
          <w:rFonts w:eastAsiaTheme="minorHAnsi" w:cs="Cambria"/>
          <w:color w:val="000000"/>
        </w:rPr>
        <w:lastRenderedPageBreak/>
        <w:t>renal toxicity and with vascular reactions (</w:t>
      </w:r>
      <w:proofErr w:type="spellStart"/>
      <w:r w:rsidRPr="004C2228">
        <w:rPr>
          <w:rFonts w:eastAsiaTheme="minorHAnsi" w:cs="Cambria"/>
          <w:color w:val="000000"/>
        </w:rPr>
        <w:t>thrombo</w:t>
      </w:r>
      <w:proofErr w:type="spellEnd"/>
      <w:r w:rsidRPr="004C2228">
        <w:rPr>
          <w:rFonts w:eastAsiaTheme="minorHAnsi" w:cs="Cambria"/>
          <w:color w:val="000000"/>
        </w:rPr>
        <w:t xml:space="preserve">-embolism) at the infusion site. The sponsor’s product information document states that renal disorders and hypersensitivity/anaphylactic shock are rare adverse reactions to </w:t>
      </w:r>
      <w:proofErr w:type="spellStart"/>
      <w:r w:rsidRPr="004C2228">
        <w:rPr>
          <w:rFonts w:eastAsiaTheme="minorHAnsi" w:cs="Cambria"/>
          <w:color w:val="000000"/>
        </w:rPr>
        <w:t>ceftobiprole</w:t>
      </w:r>
      <w:proofErr w:type="spellEnd"/>
      <w:r w:rsidRPr="004C2228">
        <w:rPr>
          <w:rFonts w:eastAsiaTheme="minorHAnsi" w:cs="Cambria"/>
          <w:color w:val="000000"/>
        </w:rPr>
        <w:t xml:space="preserve"> </w:t>
      </w:r>
      <w:proofErr w:type="spellStart"/>
      <w:r w:rsidRPr="004C2228">
        <w:rPr>
          <w:rFonts w:eastAsiaTheme="minorHAnsi" w:cs="Cambria"/>
          <w:color w:val="000000"/>
        </w:rPr>
        <w:t>medocaril</w:t>
      </w:r>
      <w:proofErr w:type="spellEnd"/>
      <w:r w:rsidRPr="004C2228">
        <w:rPr>
          <w:rFonts w:eastAsiaTheme="minorHAnsi" w:cs="Cambria"/>
          <w:color w:val="000000"/>
        </w:rPr>
        <w:t xml:space="preserve"> dosing in humans</w:t>
      </w:r>
      <w:r w:rsidR="006A3326">
        <w:rPr>
          <w:rFonts w:eastAsiaTheme="minorHAnsi" w:cs="Cambria"/>
          <w:color w:val="000000"/>
        </w:rPr>
        <w:t>.</w:t>
      </w:r>
    </w:p>
    <w:p w:rsidR="004C2228" w:rsidRPr="004C2228" w:rsidRDefault="00F71129" w:rsidP="009E26F9">
      <w:pPr>
        <w:pStyle w:val="Heading5"/>
        <w:rPr>
          <w:rFonts w:eastAsiaTheme="minorHAnsi"/>
        </w:rPr>
      </w:pPr>
      <w:r>
        <w:rPr>
          <w:rFonts w:eastAsiaTheme="minorHAnsi"/>
        </w:rPr>
        <w:t>Genotoxicity</w:t>
      </w:r>
    </w:p>
    <w:p w:rsidR="006A3326" w:rsidRDefault="004C2228" w:rsidP="005440D0">
      <w:r w:rsidRPr="004C2228">
        <w:t xml:space="preserve">Previous results suggested that </w:t>
      </w:r>
      <w:proofErr w:type="spellStart"/>
      <w:r w:rsidRPr="004C2228">
        <w:t>ceftobiprole</w:t>
      </w:r>
      <w:proofErr w:type="spellEnd"/>
      <w:r w:rsidRPr="004C2228">
        <w:t xml:space="preserve"> </w:t>
      </w:r>
      <w:proofErr w:type="spellStart"/>
      <w:r w:rsidRPr="004C2228">
        <w:t>medocaril</w:t>
      </w:r>
      <w:proofErr w:type="spellEnd"/>
      <w:r w:rsidRPr="004C2228">
        <w:t xml:space="preserve"> could induce mutations and chromosomal aberrations in </w:t>
      </w:r>
      <w:r w:rsidRPr="005440D0">
        <w:t xml:space="preserve">mammalian cells under in vitro conditions, although bacterial mutation and in vivo studies examining induction of chromosomal aberrations (mouse micronucleus assay) and unscheduled </w:t>
      </w:r>
      <w:r w:rsidR="005440D0" w:rsidRPr="005440D0">
        <w:rPr>
          <w:lang w:eastAsia="en-AU"/>
        </w:rPr>
        <w:t>deoxyribonucleic acid</w:t>
      </w:r>
      <w:r w:rsidR="005440D0" w:rsidRPr="005440D0">
        <w:t xml:space="preserve"> (</w:t>
      </w:r>
      <w:r w:rsidRPr="005440D0">
        <w:t>DNA</w:t>
      </w:r>
      <w:r w:rsidR="005440D0" w:rsidRPr="005440D0">
        <w:t>)</w:t>
      </w:r>
      <w:r w:rsidRPr="005440D0">
        <w:t xml:space="preserve"> synthesis in rat hepatocytes showed no </w:t>
      </w:r>
      <w:r w:rsidRPr="00BE1354">
        <w:t xml:space="preserve">activity. A previous result from a bacterial mutagenicity assay and a new study using the in vitro </w:t>
      </w:r>
      <w:r w:rsidR="005440D0" w:rsidRPr="00BE1354">
        <w:t>Chinese hamster ovary (</w:t>
      </w:r>
      <w:r w:rsidRPr="00BE1354">
        <w:t>CHO</w:t>
      </w:r>
      <w:r w:rsidR="005440D0" w:rsidRPr="00BE1354">
        <w:t>)</w:t>
      </w:r>
      <w:r w:rsidRPr="00BE1354">
        <w:t>/</w:t>
      </w:r>
      <w:r w:rsidR="00BE1354" w:rsidRPr="00BE1354">
        <w:t xml:space="preserve">Hypoxanthine-guanine </w:t>
      </w:r>
      <w:proofErr w:type="spellStart"/>
      <w:r w:rsidR="00BE1354" w:rsidRPr="00BE1354">
        <w:t>phosphoribosyltransferase</w:t>
      </w:r>
      <w:proofErr w:type="spellEnd"/>
      <w:r w:rsidR="00BE1354" w:rsidRPr="00BE1354">
        <w:t xml:space="preserve"> (</w:t>
      </w:r>
      <w:r w:rsidRPr="00BE1354">
        <w:t>HPRT</w:t>
      </w:r>
      <w:r w:rsidR="00BE1354" w:rsidRPr="00BE1354">
        <w:t>)</w:t>
      </w:r>
      <w:r w:rsidRPr="00BE1354">
        <w:t xml:space="preserve"> forward mutation assay both showed that </w:t>
      </w:r>
      <w:proofErr w:type="spellStart"/>
      <w:r w:rsidRPr="00BE1354">
        <w:t>ceftobiprole</w:t>
      </w:r>
      <w:proofErr w:type="spellEnd"/>
      <w:r w:rsidRPr="00BE1354">
        <w:t xml:space="preserve"> </w:t>
      </w:r>
      <w:proofErr w:type="spellStart"/>
      <w:r w:rsidRPr="00BE1354">
        <w:t>medocaril</w:t>
      </w:r>
      <w:proofErr w:type="spellEnd"/>
      <w:r w:rsidRPr="00BE1354">
        <w:t>, produced using the sponsor’s current synthesis process, lacked mutagenic activity in the presence or absence of metabolic activation</w:t>
      </w:r>
      <w:r w:rsidRPr="004C2228">
        <w:t xml:space="preserve">. This suggests that current batches of </w:t>
      </w:r>
      <w:proofErr w:type="spellStart"/>
      <w:r w:rsidRPr="004C2228">
        <w:t>ceftobiprole</w:t>
      </w:r>
      <w:proofErr w:type="spellEnd"/>
      <w:r w:rsidRPr="004C2228">
        <w:t xml:space="preserve"> </w:t>
      </w:r>
      <w:proofErr w:type="spellStart"/>
      <w:r w:rsidRPr="004C2228">
        <w:t>medocaril</w:t>
      </w:r>
      <w:proofErr w:type="spellEnd"/>
      <w:r w:rsidRPr="004C2228">
        <w:t xml:space="preserve"> are not of genotoxic concern for patients</w:t>
      </w:r>
      <w:r w:rsidR="006A3326">
        <w:t>.</w:t>
      </w:r>
    </w:p>
    <w:p w:rsidR="004C2228" w:rsidRPr="004C2228" w:rsidRDefault="00F71129" w:rsidP="009E26F9">
      <w:pPr>
        <w:pStyle w:val="Heading5"/>
        <w:rPr>
          <w:rFonts w:eastAsiaTheme="minorHAnsi"/>
        </w:rPr>
      </w:pPr>
      <w:r>
        <w:rPr>
          <w:rFonts w:eastAsiaTheme="minorHAnsi"/>
        </w:rPr>
        <w:t>Carcinogenicity</w:t>
      </w:r>
    </w:p>
    <w:p w:rsidR="004C2228" w:rsidRPr="004C2228" w:rsidRDefault="004C2228" w:rsidP="009E26F9">
      <w:r w:rsidRPr="004C2228">
        <w:t xml:space="preserve">No carcinogenicity studies were submitted by the sponsor. This is acceptable given the relatively short period of patient treatment with </w:t>
      </w:r>
      <w:proofErr w:type="spellStart"/>
      <w:r w:rsidRPr="004C2228">
        <w:t>ceftobiprole</w:t>
      </w:r>
      <w:proofErr w:type="spellEnd"/>
      <w:r w:rsidRPr="004C2228">
        <w:t xml:space="preserve"> </w:t>
      </w:r>
      <w:proofErr w:type="spellStart"/>
      <w:r w:rsidRPr="004C2228">
        <w:t>medocaril</w:t>
      </w:r>
      <w:proofErr w:type="spellEnd"/>
      <w:r w:rsidRPr="004C2228">
        <w:t xml:space="preserve"> (maximum of 14 days) and the drug’s limited activity in genotoxicity assays.</w:t>
      </w:r>
      <w:r w:rsidR="00DD5297">
        <w:rPr>
          <w:rStyle w:val="FootnoteReference"/>
        </w:rPr>
        <w:footnoteReference w:id="4"/>
      </w:r>
    </w:p>
    <w:p w:rsidR="004C2228" w:rsidRPr="004C2228" w:rsidRDefault="00F71129" w:rsidP="009E26F9">
      <w:pPr>
        <w:pStyle w:val="Heading5"/>
        <w:rPr>
          <w:rFonts w:eastAsiaTheme="minorHAnsi"/>
        </w:rPr>
      </w:pPr>
      <w:r>
        <w:rPr>
          <w:rFonts w:eastAsiaTheme="minorHAnsi"/>
        </w:rPr>
        <w:t>Reproductive toxicity</w:t>
      </w:r>
    </w:p>
    <w:p w:rsidR="006A3326" w:rsidRDefault="004C2228" w:rsidP="009E26F9">
      <w:r w:rsidRPr="004C2228">
        <w:t xml:space="preserve">No new studies for this area were presented. Previously analysed data for rats and </w:t>
      </w:r>
      <w:proofErr w:type="spellStart"/>
      <w:r w:rsidRPr="004C2228">
        <w:t>Cynomolgus</w:t>
      </w:r>
      <w:proofErr w:type="spellEnd"/>
      <w:r w:rsidRPr="004C2228">
        <w:t xml:space="preserve"> monkeys, in which exposure ratios of </w:t>
      </w:r>
      <w:r w:rsidR="00BE1354">
        <w:t xml:space="preserve">between </w:t>
      </w:r>
      <w:r w:rsidRPr="004C2228">
        <w:t>2</w:t>
      </w:r>
      <w:r w:rsidR="00BE1354">
        <w:t xml:space="preserve"> and </w:t>
      </w:r>
      <w:r w:rsidRPr="004C2228">
        <w:t xml:space="preserve">6 were achieved, suggested that </w:t>
      </w:r>
      <w:proofErr w:type="spellStart"/>
      <w:r w:rsidRPr="004C2228">
        <w:t>ceftobiprole</w:t>
      </w:r>
      <w:proofErr w:type="spellEnd"/>
      <w:r w:rsidRPr="004C2228">
        <w:t xml:space="preserve"> is neither a teratogen nor an inducer of </w:t>
      </w:r>
      <w:proofErr w:type="spellStart"/>
      <w:r w:rsidRPr="004C2228">
        <w:t>fetal</w:t>
      </w:r>
      <w:proofErr w:type="spellEnd"/>
      <w:r w:rsidRPr="004C2228">
        <w:t>/maternal toxicity</w:t>
      </w:r>
      <w:r w:rsidR="006A3326">
        <w:t>.</w:t>
      </w:r>
    </w:p>
    <w:p w:rsidR="004C2228" w:rsidRPr="004C2228" w:rsidRDefault="004C2228" w:rsidP="009E26F9">
      <w:pPr>
        <w:pStyle w:val="Heading6"/>
        <w:rPr>
          <w:rFonts w:eastAsiaTheme="minorHAnsi"/>
        </w:rPr>
      </w:pPr>
      <w:r w:rsidRPr="004C2228">
        <w:rPr>
          <w:rFonts w:eastAsiaTheme="minorHAnsi"/>
        </w:rPr>
        <w:t>Pregnancy clas</w:t>
      </w:r>
      <w:r w:rsidR="00F71129">
        <w:rPr>
          <w:rFonts w:eastAsiaTheme="minorHAnsi"/>
        </w:rPr>
        <w:t>sification</w:t>
      </w:r>
    </w:p>
    <w:p w:rsidR="006A3326" w:rsidRDefault="004C2228" w:rsidP="009E26F9">
      <w:r w:rsidRPr="004C2228">
        <w:t xml:space="preserve">The sponsor has </w:t>
      </w:r>
      <w:r w:rsidR="00BE1354">
        <w:t>proposed Pregnancy Category B1</w:t>
      </w:r>
      <w:r w:rsidR="00BE1354">
        <w:rPr>
          <w:rStyle w:val="FootnoteReference"/>
        </w:rPr>
        <w:footnoteReference w:id="5"/>
      </w:r>
      <w:r w:rsidRPr="004C2228">
        <w:t>. This category is appropriate given the nonclinical data presented by the sponsor</w:t>
      </w:r>
      <w:r w:rsidR="006A3326">
        <w:t>.</w:t>
      </w:r>
    </w:p>
    <w:p w:rsidR="004C2228" w:rsidRPr="004C2228" w:rsidRDefault="004C2228" w:rsidP="009E26F9">
      <w:pPr>
        <w:pStyle w:val="Heading5"/>
        <w:rPr>
          <w:rFonts w:eastAsiaTheme="minorHAnsi"/>
        </w:rPr>
      </w:pPr>
      <w:r w:rsidRPr="009E26F9">
        <w:rPr>
          <w:rFonts w:eastAsiaTheme="minorHAnsi"/>
        </w:rPr>
        <w:t>Local</w:t>
      </w:r>
      <w:r w:rsidR="00F71129">
        <w:rPr>
          <w:rFonts w:eastAsiaTheme="minorHAnsi"/>
        </w:rPr>
        <w:t xml:space="preserve"> tolerance</w:t>
      </w:r>
    </w:p>
    <w:p w:rsidR="004C2228" w:rsidRDefault="004C2228" w:rsidP="009E26F9">
      <w:r w:rsidRPr="004C2228">
        <w:t xml:space="preserve">Several new studies examined the tolerance of rabbits to intra-arterial, </w:t>
      </w:r>
      <w:r w:rsidR="00BE1354">
        <w:t>intramuscularly (</w:t>
      </w:r>
      <w:r w:rsidRPr="004C2228">
        <w:t>IM</w:t>
      </w:r>
      <w:r w:rsidR="00BE1354">
        <w:t>)</w:t>
      </w:r>
      <w:r w:rsidRPr="004C2228">
        <w:t xml:space="preserve">, perivascular, or </w:t>
      </w:r>
      <w:r w:rsidR="00BE1354">
        <w:t>subcutaneous (</w:t>
      </w:r>
      <w:r w:rsidRPr="004C2228">
        <w:t>SC</w:t>
      </w:r>
      <w:r w:rsidR="00BE1354">
        <w:t>)</w:t>
      </w:r>
      <w:r w:rsidRPr="004C2228">
        <w:t xml:space="preserve"> administration of </w:t>
      </w:r>
      <w:proofErr w:type="spellStart"/>
      <w:r w:rsidRPr="004C2228">
        <w:t>ceftobiprole</w:t>
      </w:r>
      <w:proofErr w:type="spellEnd"/>
      <w:r w:rsidRPr="004C2228">
        <w:t xml:space="preserve"> </w:t>
      </w:r>
      <w:proofErr w:type="spellStart"/>
      <w:r w:rsidRPr="004C2228">
        <w:t>medocaril</w:t>
      </w:r>
      <w:proofErr w:type="spellEnd"/>
      <w:r w:rsidRPr="004C2228">
        <w:t>. No or slight irritation was seen in these studies.</w:t>
      </w:r>
    </w:p>
    <w:p w:rsidR="004C2228" w:rsidRPr="004C2228" w:rsidRDefault="004C2228" w:rsidP="00914222">
      <w:pPr>
        <w:pStyle w:val="Heading5"/>
        <w:rPr>
          <w:rFonts w:eastAsiaTheme="minorHAnsi"/>
        </w:rPr>
      </w:pPr>
      <w:r w:rsidRPr="004C2228">
        <w:rPr>
          <w:rFonts w:eastAsiaTheme="minorHAnsi"/>
        </w:rPr>
        <w:t>Paediatric use</w:t>
      </w:r>
    </w:p>
    <w:p w:rsidR="004C2228" w:rsidRDefault="004C2228" w:rsidP="00914222">
      <w:r w:rsidRPr="004C2228">
        <w:t xml:space="preserve">The sponsor has submitted new studies examining toxicity in juvenile rats receiving a daily SC dose of </w:t>
      </w:r>
      <w:proofErr w:type="spellStart"/>
      <w:r w:rsidRPr="004C2228">
        <w:t>ceftobiprole</w:t>
      </w:r>
      <w:proofErr w:type="spellEnd"/>
      <w:r w:rsidRPr="004C2228">
        <w:t xml:space="preserve"> </w:t>
      </w:r>
      <w:proofErr w:type="spellStart"/>
      <w:r w:rsidRPr="004C2228">
        <w:t>medocaril</w:t>
      </w:r>
      <w:proofErr w:type="spellEnd"/>
      <w:r w:rsidRPr="004C2228">
        <w:t>. Exposure ratios at the NOAEL dose in these studies were low (&lt;1; see table</w:t>
      </w:r>
      <w:r w:rsidR="00BE1354">
        <w:t xml:space="preserve"> below</w:t>
      </w:r>
      <w:r w:rsidRPr="004C2228">
        <w:t>). Similar to adults, possible targets for toxicity were kidney, liver and muscle (at site of injection).</w:t>
      </w:r>
    </w:p>
    <w:p w:rsidR="004C2228" w:rsidRDefault="004C2228" w:rsidP="00914222">
      <w:pPr>
        <w:pStyle w:val="Heading6"/>
        <w:rPr>
          <w:rFonts w:eastAsiaTheme="minorHAnsi" w:cs="Cambria"/>
          <w:color w:val="000000"/>
        </w:rPr>
      </w:pPr>
      <w:r>
        <w:t xml:space="preserve">Relative </w:t>
      </w:r>
      <w:r w:rsidRPr="00914222">
        <w:t>exposure</w:t>
      </w:r>
    </w:p>
    <w:p w:rsidR="004C2228" w:rsidRDefault="00BE1354" w:rsidP="00914222">
      <w:r>
        <w:t>The following table summarises the relative exposure in rats as compared to humans.</w:t>
      </w:r>
    </w:p>
    <w:p w:rsidR="00040E20" w:rsidRDefault="00040E20" w:rsidP="00914222">
      <w:pPr>
        <w:pStyle w:val="TableTitle"/>
      </w:pPr>
      <w:r>
        <w:t xml:space="preserve">Table 2: Relative exposure </w:t>
      </w:r>
      <w:r w:rsidRPr="00914222">
        <w:t>comparisons</w:t>
      </w:r>
      <w:r>
        <w:t xml:space="preserve"> in rats versus humans</w:t>
      </w:r>
    </w:p>
    <w:tbl>
      <w:tblPr>
        <w:tblStyle w:val="TableTGAblue"/>
        <w:tblW w:w="8505" w:type="dxa"/>
        <w:tblInd w:w="108" w:type="dxa"/>
        <w:tblLook w:val="04A0" w:firstRow="1" w:lastRow="0" w:firstColumn="1" w:lastColumn="0" w:noHBand="0" w:noVBand="1"/>
      </w:tblPr>
      <w:tblGrid>
        <w:gridCol w:w="1636"/>
        <w:gridCol w:w="1744"/>
        <w:gridCol w:w="1744"/>
        <w:gridCol w:w="1744"/>
        <w:gridCol w:w="1637"/>
      </w:tblGrid>
      <w:tr w:rsidR="009F47BD" w:rsidTr="009F47BD">
        <w:trPr>
          <w:cnfStyle w:val="100000000000" w:firstRow="1" w:lastRow="0" w:firstColumn="0" w:lastColumn="0" w:oddVBand="0" w:evenVBand="0" w:oddHBand="0" w:evenHBand="0" w:firstRowFirstColumn="0" w:firstRowLastColumn="0" w:lastRowFirstColumn="0" w:lastRowLastColumn="0"/>
        </w:trPr>
        <w:tc>
          <w:tcPr>
            <w:tcW w:w="1636" w:type="dxa"/>
          </w:tcPr>
          <w:p w:rsidR="009F47BD" w:rsidRPr="009F47BD" w:rsidRDefault="009F47BD" w:rsidP="005D6EFA">
            <w:pPr>
              <w:autoSpaceDE w:val="0"/>
              <w:autoSpaceDN w:val="0"/>
              <w:adjustRightInd w:val="0"/>
              <w:spacing w:before="0" w:after="0" w:line="240" w:lineRule="auto"/>
              <w:rPr>
                <w:rFonts w:eastAsiaTheme="minorHAnsi" w:cs="Cambria"/>
                <w:sz w:val="19"/>
                <w:szCs w:val="19"/>
              </w:rPr>
            </w:pPr>
            <w:r w:rsidRPr="009F47BD">
              <w:rPr>
                <w:rFonts w:eastAsiaTheme="minorHAnsi" w:cs="Cambria"/>
                <w:bCs/>
                <w:sz w:val="19"/>
                <w:szCs w:val="19"/>
              </w:rPr>
              <w:t>Species</w:t>
            </w:r>
          </w:p>
        </w:tc>
        <w:tc>
          <w:tcPr>
            <w:tcW w:w="1744" w:type="dxa"/>
          </w:tcPr>
          <w:p w:rsidR="009F47BD" w:rsidRPr="009F47BD" w:rsidRDefault="009F47BD" w:rsidP="009F47BD">
            <w:pPr>
              <w:autoSpaceDE w:val="0"/>
              <w:autoSpaceDN w:val="0"/>
              <w:adjustRightInd w:val="0"/>
              <w:spacing w:before="0" w:after="0" w:line="240" w:lineRule="auto"/>
              <w:rPr>
                <w:rFonts w:eastAsiaTheme="minorHAnsi" w:cs="Cambria"/>
                <w:sz w:val="19"/>
                <w:szCs w:val="19"/>
              </w:rPr>
            </w:pPr>
            <w:r w:rsidRPr="009F47BD">
              <w:rPr>
                <w:rFonts w:eastAsiaTheme="minorHAnsi" w:cs="Cambria"/>
                <w:bCs/>
                <w:sz w:val="19"/>
                <w:szCs w:val="19"/>
              </w:rPr>
              <w:t>Dosing period reference no.</w:t>
            </w:r>
          </w:p>
        </w:tc>
        <w:tc>
          <w:tcPr>
            <w:tcW w:w="1744" w:type="dxa"/>
          </w:tcPr>
          <w:p w:rsidR="009F47BD" w:rsidRPr="009F47BD" w:rsidRDefault="009F47BD" w:rsidP="009F47BD">
            <w:pPr>
              <w:autoSpaceDE w:val="0"/>
              <w:autoSpaceDN w:val="0"/>
              <w:adjustRightInd w:val="0"/>
              <w:spacing w:before="0" w:after="0" w:line="240" w:lineRule="auto"/>
              <w:rPr>
                <w:rFonts w:eastAsiaTheme="minorHAnsi" w:cs="Cambria"/>
                <w:sz w:val="12"/>
                <w:szCs w:val="12"/>
              </w:rPr>
            </w:pPr>
            <w:r w:rsidRPr="009F47BD">
              <w:rPr>
                <w:rFonts w:eastAsiaTheme="minorHAnsi" w:cs="Cambria"/>
                <w:bCs/>
                <w:sz w:val="19"/>
                <w:szCs w:val="19"/>
              </w:rPr>
              <w:t>Dose mg/kg/</w:t>
            </w:r>
            <w:proofErr w:type="spellStart"/>
            <w:r w:rsidRPr="009F47BD">
              <w:rPr>
                <w:rFonts w:eastAsiaTheme="minorHAnsi" w:cs="Cambria"/>
                <w:bCs/>
                <w:sz w:val="19"/>
                <w:szCs w:val="19"/>
              </w:rPr>
              <w:t>day</w:t>
            </w:r>
            <w:r w:rsidRPr="00DD5297">
              <w:rPr>
                <w:rFonts w:eastAsiaTheme="minorHAnsi" w:cs="Cambria"/>
                <w:bCs/>
                <w:sz w:val="20"/>
                <w:szCs w:val="20"/>
                <w:vertAlign w:val="superscript"/>
              </w:rPr>
              <w:t>a</w:t>
            </w:r>
            <w:proofErr w:type="spellEnd"/>
          </w:p>
        </w:tc>
        <w:tc>
          <w:tcPr>
            <w:tcW w:w="1744" w:type="dxa"/>
          </w:tcPr>
          <w:p w:rsidR="009F47BD" w:rsidRPr="009F47BD" w:rsidRDefault="009F47BD" w:rsidP="009F47BD">
            <w:pPr>
              <w:autoSpaceDE w:val="0"/>
              <w:autoSpaceDN w:val="0"/>
              <w:adjustRightInd w:val="0"/>
              <w:spacing w:before="0" w:after="0" w:line="240" w:lineRule="auto"/>
              <w:rPr>
                <w:rFonts w:eastAsiaTheme="minorHAnsi" w:cs="Cambria"/>
                <w:sz w:val="12"/>
                <w:szCs w:val="12"/>
              </w:rPr>
            </w:pPr>
            <w:r w:rsidRPr="009F47BD">
              <w:rPr>
                <w:rFonts w:eastAsiaTheme="minorHAnsi" w:cs="Cambria"/>
                <w:bCs/>
                <w:sz w:val="19"/>
                <w:szCs w:val="19"/>
              </w:rPr>
              <w:t>AUC</w:t>
            </w:r>
            <w:r w:rsidRPr="009F47BD">
              <w:rPr>
                <w:rFonts w:eastAsiaTheme="minorHAnsi" w:cs="Cambria"/>
                <w:bCs/>
                <w:sz w:val="12"/>
                <w:szCs w:val="12"/>
              </w:rPr>
              <w:t xml:space="preserve">0–8 h </w:t>
            </w:r>
            <w:proofErr w:type="spellStart"/>
            <w:r w:rsidRPr="009F47BD">
              <w:rPr>
                <w:rFonts w:eastAsiaTheme="minorHAnsi" w:cs="Cambria"/>
                <w:bCs/>
                <w:sz w:val="19"/>
                <w:szCs w:val="19"/>
              </w:rPr>
              <w:t>μg∙h</w:t>
            </w:r>
            <w:proofErr w:type="spellEnd"/>
            <w:r w:rsidRPr="009F47BD">
              <w:rPr>
                <w:rFonts w:eastAsiaTheme="minorHAnsi" w:cs="Cambria"/>
                <w:bCs/>
                <w:sz w:val="19"/>
                <w:szCs w:val="19"/>
              </w:rPr>
              <w:t>/</w:t>
            </w:r>
            <w:proofErr w:type="spellStart"/>
            <w:r w:rsidRPr="009F47BD">
              <w:rPr>
                <w:rFonts w:eastAsiaTheme="minorHAnsi" w:cs="Cambria"/>
                <w:bCs/>
                <w:sz w:val="19"/>
                <w:szCs w:val="19"/>
              </w:rPr>
              <w:t>mL</w:t>
            </w:r>
            <w:r w:rsidRPr="00DD5297">
              <w:rPr>
                <w:rFonts w:eastAsiaTheme="minorHAnsi" w:cs="Cambria"/>
                <w:bCs/>
                <w:sz w:val="20"/>
                <w:szCs w:val="20"/>
                <w:vertAlign w:val="superscript"/>
              </w:rPr>
              <w:t>b</w:t>
            </w:r>
            <w:proofErr w:type="spellEnd"/>
          </w:p>
        </w:tc>
        <w:tc>
          <w:tcPr>
            <w:tcW w:w="1637" w:type="dxa"/>
          </w:tcPr>
          <w:p w:rsidR="009F47BD" w:rsidRPr="009F47BD" w:rsidRDefault="009F47BD" w:rsidP="005D6EFA">
            <w:pPr>
              <w:autoSpaceDE w:val="0"/>
              <w:autoSpaceDN w:val="0"/>
              <w:adjustRightInd w:val="0"/>
              <w:spacing w:before="0" w:after="0" w:line="240" w:lineRule="auto"/>
              <w:rPr>
                <w:rFonts w:eastAsiaTheme="minorHAnsi" w:cs="Cambria"/>
                <w:sz w:val="12"/>
                <w:szCs w:val="12"/>
              </w:rPr>
            </w:pPr>
            <w:r w:rsidRPr="009F47BD">
              <w:rPr>
                <w:rFonts w:eastAsiaTheme="minorHAnsi" w:cs="Cambria"/>
                <w:bCs/>
                <w:sz w:val="19"/>
                <w:szCs w:val="19"/>
              </w:rPr>
              <w:t xml:space="preserve">Exposure </w:t>
            </w:r>
            <w:proofErr w:type="spellStart"/>
            <w:r w:rsidRPr="009F47BD">
              <w:rPr>
                <w:rFonts w:eastAsiaTheme="minorHAnsi" w:cs="Cambria"/>
                <w:bCs/>
                <w:sz w:val="19"/>
                <w:szCs w:val="19"/>
              </w:rPr>
              <w:t>ratio</w:t>
            </w:r>
            <w:r w:rsidRPr="00DD5297">
              <w:rPr>
                <w:rFonts w:eastAsiaTheme="minorHAnsi" w:cs="Cambria"/>
                <w:bCs/>
                <w:sz w:val="20"/>
                <w:szCs w:val="20"/>
                <w:vertAlign w:val="superscript"/>
              </w:rPr>
              <w:t>c</w:t>
            </w:r>
            <w:proofErr w:type="spellEnd"/>
          </w:p>
        </w:tc>
      </w:tr>
      <w:tr w:rsidR="009F47BD" w:rsidTr="009F47BD">
        <w:tc>
          <w:tcPr>
            <w:tcW w:w="1636" w:type="dxa"/>
            <w:vMerge w:val="restart"/>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r w:rsidRPr="004C2228">
              <w:rPr>
                <w:rFonts w:eastAsiaTheme="minorHAnsi" w:cs="Cambria"/>
                <w:b/>
                <w:bCs/>
                <w:color w:val="000000"/>
                <w:sz w:val="18"/>
                <w:szCs w:val="18"/>
              </w:rPr>
              <w:t xml:space="preserve">Rat </w:t>
            </w:r>
            <w:r w:rsidR="00914222">
              <w:rPr>
                <w:rFonts w:eastAsiaTheme="minorHAnsi" w:cs="Cambria"/>
                <w:color w:val="000000"/>
                <w:sz w:val="18"/>
                <w:szCs w:val="18"/>
              </w:rPr>
              <w:t>(SD)</w:t>
            </w:r>
          </w:p>
        </w:tc>
        <w:tc>
          <w:tcPr>
            <w:tcW w:w="1744" w:type="dxa"/>
          </w:tcPr>
          <w:p w:rsidR="009F47BD" w:rsidRPr="004C2228" w:rsidRDefault="00914222" w:rsidP="005D6EFA">
            <w:pPr>
              <w:autoSpaceDE w:val="0"/>
              <w:autoSpaceDN w:val="0"/>
              <w:adjustRightInd w:val="0"/>
              <w:spacing w:before="0" w:after="0" w:line="240" w:lineRule="auto"/>
              <w:rPr>
                <w:rFonts w:eastAsiaTheme="minorHAnsi" w:cs="Cambria"/>
                <w:color w:val="000000"/>
                <w:sz w:val="18"/>
                <w:szCs w:val="18"/>
              </w:rPr>
            </w:pPr>
            <w:r>
              <w:rPr>
                <w:rFonts w:eastAsiaTheme="minorHAnsi" w:cs="Cambria"/>
                <w:color w:val="000000"/>
                <w:sz w:val="18"/>
                <w:szCs w:val="18"/>
              </w:rPr>
              <w:t>PND1‒PND25 (TOX8087)</w:t>
            </w:r>
          </w:p>
        </w:tc>
        <w:tc>
          <w:tcPr>
            <w:tcW w:w="1744" w:type="dxa"/>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r w:rsidRPr="004C2228">
              <w:rPr>
                <w:rFonts w:eastAsiaTheme="minorHAnsi" w:cs="Cambria"/>
                <w:b/>
                <w:bCs/>
                <w:color w:val="000000"/>
                <w:sz w:val="18"/>
                <w:szCs w:val="18"/>
              </w:rPr>
              <w:t>37.5</w:t>
            </w:r>
            <w:r w:rsidRPr="004C2228">
              <w:rPr>
                <w:rFonts w:eastAsiaTheme="minorHAnsi" w:cs="Cambria"/>
                <w:color w:val="000000"/>
                <w:sz w:val="18"/>
                <w:szCs w:val="18"/>
              </w:rPr>
              <w:t>, 112.5, 225.0</w:t>
            </w:r>
          </w:p>
        </w:tc>
        <w:tc>
          <w:tcPr>
            <w:tcW w:w="1744" w:type="dxa"/>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r w:rsidRPr="004C2228">
              <w:rPr>
                <w:rFonts w:eastAsiaTheme="minorHAnsi" w:cs="Cambria"/>
                <w:b/>
                <w:bCs/>
                <w:color w:val="000000"/>
                <w:sz w:val="18"/>
                <w:szCs w:val="18"/>
              </w:rPr>
              <w:t>63.2</w:t>
            </w:r>
            <w:r w:rsidR="00914222">
              <w:rPr>
                <w:rFonts w:eastAsiaTheme="minorHAnsi" w:cs="Cambria"/>
                <w:color w:val="000000"/>
                <w:sz w:val="18"/>
                <w:szCs w:val="18"/>
              </w:rPr>
              <w:t>, 223, 573</w:t>
            </w:r>
          </w:p>
        </w:tc>
        <w:tc>
          <w:tcPr>
            <w:tcW w:w="1637" w:type="dxa"/>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r w:rsidRPr="004C2228">
              <w:rPr>
                <w:rFonts w:eastAsiaTheme="minorHAnsi" w:cs="Cambria"/>
                <w:b/>
                <w:bCs/>
                <w:color w:val="000000"/>
                <w:sz w:val="18"/>
                <w:szCs w:val="18"/>
              </w:rPr>
              <w:t>0.2</w:t>
            </w:r>
            <w:r w:rsidR="00914222">
              <w:rPr>
                <w:rFonts w:eastAsiaTheme="minorHAnsi" w:cs="Cambria"/>
                <w:color w:val="000000"/>
                <w:sz w:val="18"/>
                <w:szCs w:val="18"/>
              </w:rPr>
              <w:t>, 0.7, 1.9</w:t>
            </w:r>
          </w:p>
        </w:tc>
      </w:tr>
      <w:tr w:rsidR="009F47BD" w:rsidTr="009F47BD">
        <w:tc>
          <w:tcPr>
            <w:tcW w:w="1636" w:type="dxa"/>
            <w:vMerge/>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p>
        </w:tc>
        <w:tc>
          <w:tcPr>
            <w:tcW w:w="1744" w:type="dxa"/>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r w:rsidRPr="004C2228">
              <w:rPr>
                <w:rFonts w:eastAsiaTheme="minorHAnsi" w:cs="Cambria"/>
                <w:color w:val="000000"/>
                <w:sz w:val="18"/>
                <w:szCs w:val="18"/>
              </w:rPr>
              <w:t>PND1‒PND50 (TOX8611)</w:t>
            </w:r>
          </w:p>
        </w:tc>
        <w:tc>
          <w:tcPr>
            <w:tcW w:w="1744" w:type="dxa"/>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r w:rsidRPr="004C2228">
              <w:rPr>
                <w:rFonts w:eastAsiaTheme="minorHAnsi" w:cs="Cambria"/>
                <w:color w:val="000000"/>
                <w:sz w:val="18"/>
                <w:szCs w:val="18"/>
              </w:rPr>
              <w:t xml:space="preserve">37.5, </w:t>
            </w:r>
            <w:r w:rsidRPr="004C2228">
              <w:rPr>
                <w:rFonts w:eastAsiaTheme="minorHAnsi" w:cs="Cambria"/>
                <w:b/>
                <w:bCs/>
                <w:color w:val="000000"/>
                <w:sz w:val="18"/>
                <w:szCs w:val="18"/>
              </w:rPr>
              <w:t>75.0</w:t>
            </w:r>
            <w:r w:rsidRPr="004C2228">
              <w:rPr>
                <w:rFonts w:eastAsiaTheme="minorHAnsi" w:cs="Cambria"/>
                <w:color w:val="000000"/>
                <w:sz w:val="18"/>
                <w:szCs w:val="18"/>
              </w:rPr>
              <w:t>, 187.5</w:t>
            </w:r>
          </w:p>
        </w:tc>
        <w:tc>
          <w:tcPr>
            <w:tcW w:w="1744" w:type="dxa"/>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r w:rsidRPr="004C2228">
              <w:rPr>
                <w:rFonts w:eastAsiaTheme="minorHAnsi" w:cs="Cambria"/>
                <w:color w:val="000000"/>
                <w:sz w:val="18"/>
                <w:szCs w:val="18"/>
              </w:rPr>
              <w:t xml:space="preserve">77.6, </w:t>
            </w:r>
            <w:r w:rsidRPr="004C2228">
              <w:rPr>
                <w:rFonts w:eastAsiaTheme="minorHAnsi" w:cs="Cambria"/>
                <w:b/>
                <w:bCs/>
                <w:color w:val="000000"/>
                <w:sz w:val="18"/>
                <w:szCs w:val="18"/>
              </w:rPr>
              <w:t>140.5</w:t>
            </w:r>
            <w:r w:rsidRPr="004C2228">
              <w:rPr>
                <w:rFonts w:eastAsiaTheme="minorHAnsi" w:cs="Cambria"/>
                <w:color w:val="000000"/>
                <w:sz w:val="18"/>
                <w:szCs w:val="18"/>
              </w:rPr>
              <w:t>, 434.5</w:t>
            </w:r>
          </w:p>
        </w:tc>
        <w:tc>
          <w:tcPr>
            <w:tcW w:w="1637" w:type="dxa"/>
          </w:tcPr>
          <w:p w:rsidR="009F47BD" w:rsidRDefault="009F47BD" w:rsidP="004C2228">
            <w:pPr>
              <w:rPr>
                <w:rFonts w:eastAsiaTheme="minorHAnsi" w:cs="Cambria"/>
                <w:color w:val="000000"/>
              </w:rPr>
            </w:pPr>
            <w:r w:rsidRPr="004C2228">
              <w:rPr>
                <w:rFonts w:eastAsiaTheme="minorHAnsi" w:cs="Cambria"/>
                <w:color w:val="000000"/>
                <w:sz w:val="18"/>
                <w:szCs w:val="18"/>
              </w:rPr>
              <w:t xml:space="preserve">0.3, </w:t>
            </w:r>
            <w:r w:rsidRPr="004C2228">
              <w:rPr>
                <w:rFonts w:eastAsiaTheme="minorHAnsi" w:cs="Cambria"/>
                <w:b/>
                <w:bCs/>
                <w:color w:val="000000"/>
                <w:sz w:val="18"/>
                <w:szCs w:val="18"/>
              </w:rPr>
              <w:t>0.5</w:t>
            </w:r>
            <w:r w:rsidRPr="004C2228">
              <w:rPr>
                <w:rFonts w:eastAsiaTheme="minorHAnsi" w:cs="Cambria"/>
                <w:color w:val="000000"/>
                <w:sz w:val="18"/>
                <w:szCs w:val="18"/>
              </w:rPr>
              <w:t>, 1.4</w:t>
            </w:r>
          </w:p>
        </w:tc>
      </w:tr>
      <w:tr w:rsidR="009F47BD" w:rsidTr="009F47BD">
        <w:tc>
          <w:tcPr>
            <w:tcW w:w="1636" w:type="dxa"/>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r w:rsidRPr="004C2228">
              <w:rPr>
                <w:rFonts w:eastAsiaTheme="minorHAnsi" w:cs="Cambria"/>
                <w:b/>
                <w:bCs/>
                <w:color w:val="000000"/>
                <w:sz w:val="18"/>
                <w:szCs w:val="18"/>
              </w:rPr>
              <w:t>Human</w:t>
            </w:r>
          </w:p>
        </w:tc>
        <w:tc>
          <w:tcPr>
            <w:tcW w:w="1744" w:type="dxa"/>
          </w:tcPr>
          <w:p w:rsidR="009F47BD" w:rsidRPr="004C2228" w:rsidRDefault="009F47BD" w:rsidP="009F47BD">
            <w:pPr>
              <w:autoSpaceDE w:val="0"/>
              <w:autoSpaceDN w:val="0"/>
              <w:adjustRightInd w:val="0"/>
              <w:spacing w:before="0" w:after="0" w:line="240" w:lineRule="auto"/>
              <w:rPr>
                <w:rFonts w:eastAsiaTheme="minorHAnsi" w:cs="Cambria"/>
                <w:color w:val="000000"/>
                <w:sz w:val="18"/>
                <w:szCs w:val="18"/>
              </w:rPr>
            </w:pPr>
            <w:r>
              <w:rPr>
                <w:rFonts w:eastAsiaTheme="minorHAnsi" w:cs="Cambria"/>
                <w:color w:val="000000"/>
                <w:sz w:val="18"/>
                <w:szCs w:val="18"/>
              </w:rPr>
              <w:t>C</w:t>
            </w:r>
            <w:r w:rsidRPr="004C2228">
              <w:rPr>
                <w:rFonts w:eastAsiaTheme="minorHAnsi" w:cs="Cambria"/>
                <w:color w:val="000000"/>
                <w:sz w:val="18"/>
                <w:szCs w:val="18"/>
              </w:rPr>
              <w:t>lini</w:t>
            </w:r>
            <w:r w:rsidR="00914222">
              <w:rPr>
                <w:rFonts w:eastAsiaTheme="minorHAnsi" w:cs="Cambria"/>
                <w:color w:val="000000"/>
                <w:sz w:val="18"/>
                <w:szCs w:val="18"/>
              </w:rPr>
              <w:t>cal study no. 30982081-CSI-1004</w:t>
            </w:r>
          </w:p>
        </w:tc>
        <w:tc>
          <w:tcPr>
            <w:tcW w:w="1744" w:type="dxa"/>
          </w:tcPr>
          <w:p w:rsidR="009F47BD" w:rsidRPr="004C2228" w:rsidRDefault="00914222" w:rsidP="005D6EFA">
            <w:pPr>
              <w:autoSpaceDE w:val="0"/>
              <w:autoSpaceDN w:val="0"/>
              <w:adjustRightInd w:val="0"/>
              <w:spacing w:before="0" w:after="0" w:line="240" w:lineRule="auto"/>
              <w:rPr>
                <w:rFonts w:eastAsiaTheme="minorHAnsi" w:cs="Cambria"/>
                <w:color w:val="000000"/>
                <w:sz w:val="18"/>
                <w:szCs w:val="18"/>
              </w:rPr>
            </w:pPr>
            <w:r>
              <w:rPr>
                <w:rFonts w:eastAsiaTheme="minorHAnsi" w:cs="Cambria"/>
                <w:color w:val="000000"/>
                <w:sz w:val="18"/>
                <w:szCs w:val="18"/>
              </w:rPr>
              <w:t>[500 mg]</w:t>
            </w:r>
          </w:p>
        </w:tc>
        <w:tc>
          <w:tcPr>
            <w:tcW w:w="1744" w:type="dxa"/>
          </w:tcPr>
          <w:p w:rsidR="009F47BD" w:rsidRPr="004C2228" w:rsidRDefault="009F47BD" w:rsidP="005D6EFA">
            <w:pPr>
              <w:autoSpaceDE w:val="0"/>
              <w:autoSpaceDN w:val="0"/>
              <w:adjustRightInd w:val="0"/>
              <w:spacing w:before="0" w:after="0" w:line="240" w:lineRule="auto"/>
              <w:rPr>
                <w:rFonts w:eastAsiaTheme="minorHAnsi" w:cs="Cambria"/>
                <w:color w:val="000000"/>
                <w:sz w:val="18"/>
                <w:szCs w:val="18"/>
              </w:rPr>
            </w:pPr>
            <w:r w:rsidRPr="004C2228">
              <w:rPr>
                <w:rFonts w:eastAsiaTheme="minorHAnsi" w:cs="Cambria"/>
                <w:color w:val="000000"/>
                <w:sz w:val="18"/>
                <w:szCs w:val="18"/>
              </w:rPr>
              <w:t xml:space="preserve">102 </w:t>
            </w:r>
            <w:r w:rsidR="00914222">
              <w:rPr>
                <w:rFonts w:eastAsiaTheme="minorHAnsi" w:cs="Cambria"/>
                <w:color w:val="000000"/>
                <w:sz w:val="18"/>
                <w:szCs w:val="18"/>
              </w:rPr>
              <w:t>x 3</w:t>
            </w:r>
          </w:p>
        </w:tc>
        <w:tc>
          <w:tcPr>
            <w:tcW w:w="1637" w:type="dxa"/>
          </w:tcPr>
          <w:p w:rsidR="009F47BD" w:rsidRDefault="009F47BD" w:rsidP="004C2228">
            <w:pPr>
              <w:rPr>
                <w:rFonts w:eastAsiaTheme="minorHAnsi" w:cs="Cambria"/>
                <w:color w:val="000000"/>
              </w:rPr>
            </w:pPr>
            <w:r>
              <w:rPr>
                <w:rFonts w:eastAsiaTheme="minorHAnsi" w:cs="Cambria"/>
                <w:color w:val="000000"/>
              </w:rPr>
              <w:t>-</w:t>
            </w:r>
          </w:p>
        </w:tc>
      </w:tr>
    </w:tbl>
    <w:p w:rsidR="004C2228" w:rsidRDefault="004C2228" w:rsidP="00914222">
      <w:pPr>
        <w:pStyle w:val="TableDescription"/>
      </w:pPr>
      <w:proofErr w:type="spellStart"/>
      <w:proofErr w:type="gramStart"/>
      <w:r w:rsidRPr="00DD5297">
        <w:rPr>
          <w:sz w:val="20"/>
          <w:szCs w:val="20"/>
          <w:vertAlign w:val="superscript"/>
        </w:rPr>
        <w:t>a</w:t>
      </w:r>
      <w:proofErr w:type="spellEnd"/>
      <w:proofErr w:type="gramEnd"/>
      <w:r w:rsidR="00914222">
        <w:rPr>
          <w:sz w:val="20"/>
          <w:szCs w:val="20"/>
          <w:vertAlign w:val="superscript"/>
        </w:rPr>
        <w:t xml:space="preserve"> </w:t>
      </w:r>
      <w:r>
        <w:t xml:space="preserve">equivalent as </w:t>
      </w:r>
      <w:proofErr w:type="spellStart"/>
      <w:r>
        <w:t>ceftobiprole</w:t>
      </w:r>
      <w:proofErr w:type="spellEnd"/>
      <w:r>
        <w:t xml:space="preserve">; </w:t>
      </w:r>
      <w:r w:rsidRPr="00DD5297">
        <w:rPr>
          <w:sz w:val="20"/>
          <w:szCs w:val="20"/>
          <w:vertAlign w:val="superscript"/>
        </w:rPr>
        <w:t>b</w:t>
      </w:r>
      <w:r>
        <w:rPr>
          <w:sz w:val="12"/>
          <w:szCs w:val="12"/>
        </w:rPr>
        <w:t xml:space="preserve"> </w:t>
      </w:r>
      <w:r>
        <w:t xml:space="preserve">values for </w:t>
      </w:r>
      <w:proofErr w:type="spellStart"/>
      <w:r>
        <w:t>ceftobiprole</w:t>
      </w:r>
      <w:proofErr w:type="spellEnd"/>
      <w:r>
        <w:t xml:space="preserve"> on PND12 (TOX8087) and PND18 (TOX8611); </w:t>
      </w:r>
      <w:r w:rsidRPr="00DD5297">
        <w:rPr>
          <w:sz w:val="20"/>
          <w:szCs w:val="20"/>
          <w:vertAlign w:val="superscript"/>
        </w:rPr>
        <w:t>c</w:t>
      </w:r>
      <w:r>
        <w:rPr>
          <w:sz w:val="12"/>
          <w:szCs w:val="12"/>
        </w:rPr>
        <w:t xml:space="preserve"> </w:t>
      </w:r>
      <w:r>
        <w:t>animal:</w:t>
      </w:r>
      <w:r w:rsidR="009F47BD">
        <w:t xml:space="preserve"> </w:t>
      </w:r>
      <w:r>
        <w:t>human plasma AUC</w:t>
      </w:r>
      <w:r>
        <w:rPr>
          <w:sz w:val="12"/>
          <w:szCs w:val="12"/>
        </w:rPr>
        <w:t>0–8 h</w:t>
      </w:r>
      <w:r>
        <w:t xml:space="preserve">; </w:t>
      </w:r>
      <w:r w:rsidR="00DD5297">
        <w:t>V</w:t>
      </w:r>
      <w:r>
        <w:t>alues at NOAEL are in boldface.</w:t>
      </w:r>
    </w:p>
    <w:p w:rsidR="004C2228" w:rsidRDefault="004C2228" w:rsidP="00914222">
      <w:r>
        <w:t xml:space="preserve">Note that the sponsor has requested that </w:t>
      </w:r>
      <w:proofErr w:type="spellStart"/>
      <w:r>
        <w:t>ceftobiprole</w:t>
      </w:r>
      <w:proofErr w:type="spellEnd"/>
      <w:r>
        <w:t xml:space="preserve"> </w:t>
      </w:r>
      <w:proofErr w:type="spellStart"/>
      <w:r>
        <w:t>medocaril</w:t>
      </w:r>
      <w:proofErr w:type="spellEnd"/>
      <w:r>
        <w:t xml:space="preserve"> be registered for the treatment of adult patients only.</w:t>
      </w:r>
    </w:p>
    <w:p w:rsidR="008E7846" w:rsidRDefault="008E7846" w:rsidP="00914222">
      <w:pPr>
        <w:pStyle w:val="Heading4"/>
      </w:pPr>
      <w:r>
        <w:t xml:space="preserve">Nonclinical </w:t>
      </w:r>
      <w:r w:rsidRPr="00914222">
        <w:t>summary</w:t>
      </w:r>
      <w:bookmarkEnd w:id="45"/>
      <w:bookmarkEnd w:id="46"/>
    </w:p>
    <w:p w:rsidR="006A3326" w:rsidRDefault="003E6564" w:rsidP="00914222">
      <w:pPr>
        <w:pStyle w:val="ListBullet"/>
      </w:pPr>
      <w:bookmarkStart w:id="47" w:name="_Toc196046462"/>
      <w:bookmarkStart w:id="48" w:name="_Toc247691516"/>
      <w:bookmarkStart w:id="49" w:name="_Toc314842500"/>
      <w:bookmarkStart w:id="50" w:name="_Toc163441353"/>
      <w:bookmarkStart w:id="51" w:name="_Toc163441348"/>
      <w:r w:rsidRPr="003E6564">
        <w:t>Janssen-</w:t>
      </w:r>
      <w:proofErr w:type="spellStart"/>
      <w:r w:rsidRPr="003E6564">
        <w:t>Cilag</w:t>
      </w:r>
      <w:proofErr w:type="spellEnd"/>
      <w:r w:rsidRPr="003E6564">
        <w:t xml:space="preserve"> Pty Ltd had previously applied to register </w:t>
      </w:r>
      <w:proofErr w:type="spellStart"/>
      <w:r w:rsidRPr="003E6564">
        <w:t>ceftobiprole</w:t>
      </w:r>
      <w:proofErr w:type="spellEnd"/>
      <w:r w:rsidRPr="003E6564">
        <w:t xml:space="preserve"> </w:t>
      </w:r>
      <w:proofErr w:type="spellStart"/>
      <w:r w:rsidRPr="003E6564">
        <w:t>medocaril</w:t>
      </w:r>
      <w:proofErr w:type="spellEnd"/>
      <w:r w:rsidRPr="003E6564">
        <w:t xml:space="preserve"> sodium in Australia for the treatment of complicated skin and skin</w:t>
      </w:r>
      <w:r w:rsidR="00A7675A">
        <w:t xml:space="preserve"> </w:t>
      </w:r>
      <w:r w:rsidRPr="003E6564">
        <w:t>structure infections. That application was withdrawn in Australia, although the submitted nonclinical data were evaluated. The assessment and summary sections of th</w:t>
      </w:r>
      <w:r w:rsidR="005F67B4">
        <w:t>e nonclinical</w:t>
      </w:r>
      <w:r w:rsidRPr="003E6564">
        <w:t xml:space="preserve"> report are based on both the previously evaluated data and the new nonclinical studies submitted with this application</w:t>
      </w:r>
      <w:r w:rsidR="006A3326">
        <w:t>.</w:t>
      </w:r>
    </w:p>
    <w:p w:rsidR="006A3326" w:rsidRDefault="003E6564" w:rsidP="009F47BD">
      <w:pPr>
        <w:pStyle w:val="ListBullet"/>
      </w:pPr>
      <w:r w:rsidRPr="003E6564">
        <w:t>The sponsor has submitted a high quality dossier of studies. The crucial genotoxicity, repeat-dose toxicity and reproductive and developmental toxicity studies were performed to GLP standard. The newly submitted studies provide useful information and cover deficiencies in the original presentation</w:t>
      </w:r>
      <w:r w:rsidR="006A3326">
        <w:t>.</w:t>
      </w:r>
    </w:p>
    <w:p w:rsidR="006A3326" w:rsidRDefault="003E6564" w:rsidP="009F47BD">
      <w:pPr>
        <w:pStyle w:val="ListBullet"/>
      </w:pPr>
      <w:r w:rsidRPr="003E6564">
        <w:t xml:space="preserve">The sponsor’s primary pharmacology studies support the proposed indication for </w:t>
      </w:r>
      <w:proofErr w:type="spellStart"/>
      <w:r w:rsidRPr="003E6564">
        <w:t>ceftobiprole</w:t>
      </w:r>
      <w:proofErr w:type="spellEnd"/>
      <w:r w:rsidRPr="003E6564">
        <w:t xml:space="preserve"> </w:t>
      </w:r>
      <w:proofErr w:type="spellStart"/>
      <w:r w:rsidRPr="003E6564">
        <w:t>medocaril</w:t>
      </w:r>
      <w:proofErr w:type="spellEnd"/>
      <w:r w:rsidRPr="003E6564">
        <w:t xml:space="preserve"> sodium. No new studies were submitted</w:t>
      </w:r>
      <w:r w:rsidR="006A3326">
        <w:t>.</w:t>
      </w:r>
    </w:p>
    <w:p w:rsidR="006A3326" w:rsidRDefault="003E6564" w:rsidP="009F47BD">
      <w:pPr>
        <w:pStyle w:val="ListBullet"/>
      </w:pPr>
      <w:r w:rsidRPr="003E6564">
        <w:t>No new secondary pharmacodynamics or safety pharmacology studies were submitted. The major adverse findings from previously submitted studies were renal toxicity and convulsions</w:t>
      </w:r>
      <w:r w:rsidR="006A3326">
        <w:t>.</w:t>
      </w:r>
    </w:p>
    <w:p w:rsidR="006A3326" w:rsidRDefault="003E6564" w:rsidP="00914222">
      <w:pPr>
        <w:pStyle w:val="ListBullet"/>
      </w:pPr>
      <w:r w:rsidRPr="003E6564">
        <w:t xml:space="preserve">A new study showed that multiple hydrolytic enzymes, as well as non-enzymatic hydrolysis, contribute to the conversion of </w:t>
      </w:r>
      <w:proofErr w:type="spellStart"/>
      <w:r w:rsidRPr="00914222">
        <w:t>ceftobiprole</w:t>
      </w:r>
      <w:proofErr w:type="spellEnd"/>
      <w:r w:rsidRPr="003E6564">
        <w:t xml:space="preserve"> </w:t>
      </w:r>
      <w:proofErr w:type="spellStart"/>
      <w:r w:rsidRPr="003E6564">
        <w:t>medocaril</w:t>
      </w:r>
      <w:proofErr w:type="spellEnd"/>
      <w:r w:rsidRPr="003E6564">
        <w:t xml:space="preserve"> to the active compound, </w:t>
      </w:r>
      <w:proofErr w:type="spellStart"/>
      <w:r w:rsidRPr="003E6564">
        <w:t>ceftobiprole</w:t>
      </w:r>
      <w:proofErr w:type="spellEnd"/>
      <w:r w:rsidRPr="003E6564">
        <w:t xml:space="preserve">. Hence, pro-drug conversion is unlikely to be significantly affected by drug-drug interactions or by genetic polymorphisms that inactivate individual hydrolytic enzymes. Previously presented studies suggested that </w:t>
      </w:r>
      <w:proofErr w:type="spellStart"/>
      <w:r w:rsidRPr="003E6564">
        <w:t>ceftobiprole</w:t>
      </w:r>
      <w:proofErr w:type="spellEnd"/>
      <w:r w:rsidRPr="003E6564">
        <w:t xml:space="preserve"> is not extensively metabolised and is predominantly excreted in urine as the parental compound. Renal excretion of </w:t>
      </w:r>
      <w:proofErr w:type="spellStart"/>
      <w:r w:rsidRPr="003E6564">
        <w:t>ceftobiprole</w:t>
      </w:r>
      <w:proofErr w:type="spellEnd"/>
      <w:r w:rsidRPr="003E6564">
        <w:t xml:space="preserve"> is apparently not mediated by an active transport process in rats. New studies confirmed that exposure to the major plasma metabolite (derived by </w:t>
      </w:r>
      <w:r w:rsidR="007D2624">
        <w:t>beta-lactam</w:t>
      </w:r>
      <w:r w:rsidR="00E01646">
        <w:t xml:space="preserve"> </w:t>
      </w:r>
      <w:r w:rsidRPr="003E6564">
        <w:t xml:space="preserve">ring opening) is minor in both rats and dogs. New studies also demonstrated that </w:t>
      </w:r>
      <w:proofErr w:type="spellStart"/>
      <w:r w:rsidRPr="003E6564">
        <w:t>ceftobiprole</w:t>
      </w:r>
      <w:proofErr w:type="spellEnd"/>
      <w:r w:rsidRPr="003E6564">
        <w:t xml:space="preserve"> is neither an inhibitor nor inducer of major human CYP activities. Previous results showed that </w:t>
      </w:r>
      <w:proofErr w:type="spellStart"/>
      <w:r w:rsidRPr="003E6564">
        <w:t>ceftobiprole</w:t>
      </w:r>
      <w:proofErr w:type="spellEnd"/>
      <w:r w:rsidRPr="003E6564">
        <w:t xml:space="preserve"> is neither a substrate nor inhibitor of most drug transporters tested, although it is a modest inhibitor of the hepatocyte uptake transporters OATP1B1 and OATP1B3. Overall, it appears unlikely that there would be significant pharmacokinetic interaction between </w:t>
      </w:r>
      <w:proofErr w:type="spellStart"/>
      <w:r w:rsidRPr="003E6564">
        <w:t>ceftobiprole</w:t>
      </w:r>
      <w:proofErr w:type="spellEnd"/>
      <w:r w:rsidRPr="003E6564">
        <w:t xml:space="preserve"> and co-administered drugs</w:t>
      </w:r>
      <w:r w:rsidR="006A3326">
        <w:t>.</w:t>
      </w:r>
    </w:p>
    <w:p w:rsidR="006A3326" w:rsidRDefault="003E6564" w:rsidP="00914222">
      <w:pPr>
        <w:pStyle w:val="ListBullet"/>
      </w:pPr>
      <w:r w:rsidRPr="003E6564">
        <w:t xml:space="preserve">Previously evaluated repeat-dose toxicity studies showed that the major target organ for </w:t>
      </w:r>
      <w:proofErr w:type="spellStart"/>
      <w:r w:rsidRPr="003E6564">
        <w:t>ceftobiprole</w:t>
      </w:r>
      <w:proofErr w:type="spellEnd"/>
      <w:r w:rsidRPr="003E6564">
        <w:t xml:space="preserve"> </w:t>
      </w:r>
      <w:proofErr w:type="spellStart"/>
      <w:r w:rsidRPr="003E6564">
        <w:t>medocaril</w:t>
      </w:r>
      <w:proofErr w:type="spellEnd"/>
      <w:r w:rsidRPr="003E6564">
        <w:t xml:space="preserve"> in rats and marmosets but not dogs, was kidney. Renal toxicity was associated with precipitation of drug-like material in the distal tubules. Convulsions occurred in some rats and marmosets exposed to high test article concentrations. In some cases, the convulsions may have been associated with impaired renal function. Histaminergic reactions were noted in dogs. Test article-</w:t>
      </w:r>
      <w:r w:rsidRPr="003E6564">
        <w:lastRenderedPageBreak/>
        <w:t>related mortalities in rats and marmosets were associated with renal toxicity and with vascular reactions (</w:t>
      </w:r>
      <w:proofErr w:type="spellStart"/>
      <w:r w:rsidRPr="003E6564">
        <w:t>thrombo</w:t>
      </w:r>
      <w:proofErr w:type="spellEnd"/>
      <w:r w:rsidRPr="003E6564">
        <w:t>-embolism) at the infusion site</w:t>
      </w:r>
      <w:r w:rsidR="006A3326">
        <w:t>.</w:t>
      </w:r>
    </w:p>
    <w:p w:rsidR="006A3326" w:rsidRDefault="003E6564" w:rsidP="009F47BD">
      <w:pPr>
        <w:pStyle w:val="ListBullet"/>
      </w:pPr>
      <w:r w:rsidRPr="003E6564">
        <w:t xml:space="preserve">Previous studies suggested that </w:t>
      </w:r>
      <w:proofErr w:type="spellStart"/>
      <w:r w:rsidRPr="003E6564">
        <w:t>ceftobiprole</w:t>
      </w:r>
      <w:proofErr w:type="spellEnd"/>
      <w:r w:rsidRPr="003E6564">
        <w:t xml:space="preserve"> </w:t>
      </w:r>
      <w:proofErr w:type="spellStart"/>
      <w:r w:rsidRPr="003E6564">
        <w:t>medocaril</w:t>
      </w:r>
      <w:proofErr w:type="spellEnd"/>
      <w:r w:rsidRPr="003E6564">
        <w:t xml:space="preserve"> could show mutagenicity/</w:t>
      </w:r>
      <w:proofErr w:type="spellStart"/>
      <w:r w:rsidRPr="003E6564">
        <w:t>clastogenicity</w:t>
      </w:r>
      <w:proofErr w:type="spellEnd"/>
      <w:r w:rsidRPr="003E6564">
        <w:t xml:space="preserve"> </w:t>
      </w:r>
      <w:r w:rsidRPr="007D1897">
        <w:t xml:space="preserve">under </w:t>
      </w:r>
      <w:r w:rsidRPr="007D1897">
        <w:rPr>
          <w:iCs/>
        </w:rPr>
        <w:t xml:space="preserve">in vitro </w:t>
      </w:r>
      <w:r w:rsidRPr="007D1897">
        <w:t xml:space="preserve">but not </w:t>
      </w:r>
      <w:r w:rsidRPr="007D1897">
        <w:rPr>
          <w:iCs/>
        </w:rPr>
        <w:t>in vivo</w:t>
      </w:r>
      <w:r w:rsidRPr="003E6564">
        <w:rPr>
          <w:i/>
          <w:iCs/>
        </w:rPr>
        <w:t xml:space="preserve"> </w:t>
      </w:r>
      <w:r w:rsidRPr="003E6564">
        <w:t xml:space="preserve">conditions. New studies support the conclusion that </w:t>
      </w:r>
      <w:proofErr w:type="spellStart"/>
      <w:r w:rsidRPr="003E6564">
        <w:t>ceftobiprole</w:t>
      </w:r>
      <w:proofErr w:type="spellEnd"/>
      <w:r w:rsidRPr="003E6564">
        <w:t xml:space="preserve"> </w:t>
      </w:r>
      <w:proofErr w:type="spellStart"/>
      <w:r w:rsidRPr="003E6564">
        <w:t>medocaril</w:t>
      </w:r>
      <w:proofErr w:type="spellEnd"/>
      <w:r w:rsidRPr="003E6564">
        <w:t xml:space="preserve">, produced using the sponsor’s current synthesis process, lacks mutagenic activity in the presence or absence of metabolic activation. No carcinogenicity studies were performed. This is acceptable given the relatively short period of patient treatment with </w:t>
      </w:r>
      <w:proofErr w:type="spellStart"/>
      <w:r w:rsidRPr="003E6564">
        <w:t>ceftobiprole</w:t>
      </w:r>
      <w:proofErr w:type="spellEnd"/>
      <w:r w:rsidRPr="003E6564">
        <w:t xml:space="preserve"> </w:t>
      </w:r>
      <w:proofErr w:type="spellStart"/>
      <w:r w:rsidRPr="003E6564">
        <w:t>medocaril</w:t>
      </w:r>
      <w:proofErr w:type="spellEnd"/>
      <w:r w:rsidRPr="003E6564">
        <w:t xml:space="preserve"> (maximum of 14 days) and the drug’s limited/lack of activity in genotoxicity assays</w:t>
      </w:r>
      <w:r w:rsidR="006A3326">
        <w:t>.</w:t>
      </w:r>
    </w:p>
    <w:p w:rsidR="006A3326" w:rsidRDefault="003E6564" w:rsidP="009F47BD">
      <w:pPr>
        <w:pStyle w:val="ListBullet"/>
      </w:pPr>
      <w:r w:rsidRPr="003E6564">
        <w:t xml:space="preserve">Previously analysed reproductive toxicity data for rats and </w:t>
      </w:r>
      <w:proofErr w:type="spellStart"/>
      <w:r w:rsidRPr="003E6564">
        <w:t>Cynomolgus</w:t>
      </w:r>
      <w:proofErr w:type="spellEnd"/>
      <w:r w:rsidRPr="003E6564">
        <w:t xml:space="preserve"> monkeys suggested that </w:t>
      </w:r>
      <w:proofErr w:type="spellStart"/>
      <w:r w:rsidRPr="003E6564">
        <w:t>ceftobiprole</w:t>
      </w:r>
      <w:proofErr w:type="spellEnd"/>
      <w:r w:rsidRPr="003E6564">
        <w:t xml:space="preserve"> is neither a teratogen nor inducer of </w:t>
      </w:r>
      <w:proofErr w:type="spellStart"/>
      <w:r w:rsidRPr="003E6564">
        <w:t>fetal</w:t>
      </w:r>
      <w:proofErr w:type="spellEnd"/>
      <w:r w:rsidRPr="003E6564">
        <w:t>/maternal toxicity</w:t>
      </w:r>
      <w:r w:rsidR="006A3326">
        <w:t>.</w:t>
      </w:r>
    </w:p>
    <w:p w:rsidR="006A3326" w:rsidRDefault="005D45D1" w:rsidP="005D45D1">
      <w:pPr>
        <w:pStyle w:val="ListBullet"/>
      </w:pPr>
      <w:proofErr w:type="spellStart"/>
      <w:r w:rsidRPr="003E6564">
        <w:t>Ceftobiprole</w:t>
      </w:r>
      <w:proofErr w:type="spellEnd"/>
      <w:r w:rsidRPr="003E6564">
        <w:t xml:space="preserve"> </w:t>
      </w:r>
      <w:proofErr w:type="spellStart"/>
      <w:r w:rsidRPr="003E6564">
        <w:t>medocaril</w:t>
      </w:r>
      <w:proofErr w:type="spellEnd"/>
      <w:r w:rsidRPr="003E6564">
        <w:t xml:space="preserve"> drug product contains a large number of impurities. Although the sponsor has shown that current batches of </w:t>
      </w:r>
      <w:proofErr w:type="spellStart"/>
      <w:r w:rsidRPr="003E6564">
        <w:t>ceftobiprole</w:t>
      </w:r>
      <w:proofErr w:type="spellEnd"/>
      <w:r w:rsidRPr="003E6564">
        <w:t xml:space="preserve"> </w:t>
      </w:r>
      <w:proofErr w:type="spellStart"/>
      <w:r w:rsidRPr="003E6564">
        <w:t>medocaril</w:t>
      </w:r>
      <w:proofErr w:type="spellEnd"/>
      <w:r w:rsidRPr="003E6564">
        <w:t xml:space="preserve"> are not of genotoxic concern, many impurities have not been adequately qualified by repeat-dose toxicity studies</w:t>
      </w:r>
      <w:r>
        <w:rPr>
          <w:rStyle w:val="FootnoteReference"/>
        </w:rPr>
        <w:footnoteReference w:id="6"/>
      </w:r>
      <w:r w:rsidRPr="003E6564">
        <w:t xml:space="preserve"> and it is recommended that their levels be appropriately reduced or that toxicological studies that would allow qualification of higher impurity levels be performed</w:t>
      </w:r>
      <w:r w:rsidR="006A3326">
        <w:t>.</w:t>
      </w:r>
    </w:p>
    <w:p w:rsidR="003E6564" w:rsidRPr="003E6564" w:rsidRDefault="00A7675A" w:rsidP="00914222">
      <w:pPr>
        <w:pStyle w:val="Heading4"/>
      </w:pPr>
      <w:r>
        <w:t>Nonclinical c</w:t>
      </w:r>
      <w:r w:rsidR="00914222">
        <w:t>onclusions and recommendation</w:t>
      </w:r>
    </w:p>
    <w:p w:rsidR="006A3326" w:rsidRDefault="003E6564" w:rsidP="00914222">
      <w:pPr>
        <w:pStyle w:val="ListBullet"/>
      </w:pPr>
      <w:r w:rsidRPr="003E6564">
        <w:t xml:space="preserve">A number of minor deficiencies in the </w:t>
      </w:r>
      <w:r w:rsidRPr="00914222">
        <w:t>original</w:t>
      </w:r>
      <w:r w:rsidRPr="003E6564">
        <w:t xml:space="preserve"> submission, principally in the areas of metabolism, genotoxicity, local tolerance and impurities have now been addressed by the sponsor</w:t>
      </w:r>
      <w:r w:rsidR="006A3326">
        <w:t>.</w:t>
      </w:r>
    </w:p>
    <w:p w:rsidR="006A3326" w:rsidRDefault="003E6564" w:rsidP="009F47BD">
      <w:pPr>
        <w:pStyle w:val="ListBullet"/>
      </w:pPr>
      <w:r w:rsidRPr="003E6564">
        <w:t xml:space="preserve">The basic conclusions from the first assessment, regarding </w:t>
      </w:r>
      <w:r w:rsidR="00C64683">
        <w:rPr>
          <w:rFonts w:asciiTheme="minorHAnsi" w:eastAsiaTheme="minorHAnsi" w:hAnsiTheme="minorHAnsi" w:cs="Cambria"/>
          <w:color w:val="000000"/>
        </w:rPr>
        <w:t xml:space="preserve">(but not limited to) </w:t>
      </w:r>
      <w:r w:rsidRPr="003E6564">
        <w:t>primary pharmacology, genotoxicity</w:t>
      </w:r>
      <w:r w:rsidR="00C64683">
        <w:t xml:space="preserve"> and</w:t>
      </w:r>
      <w:r w:rsidRPr="003E6564">
        <w:t xml:space="preserve"> reproductive toxicity remain unchanged</w:t>
      </w:r>
      <w:r w:rsidR="006A3326">
        <w:t>.</w:t>
      </w:r>
    </w:p>
    <w:p w:rsidR="006A3326" w:rsidRDefault="003E6564" w:rsidP="009F47BD">
      <w:pPr>
        <w:pStyle w:val="ListBullet"/>
      </w:pPr>
      <w:r w:rsidRPr="003E6564">
        <w:t xml:space="preserve">The lack of effects of </w:t>
      </w:r>
      <w:proofErr w:type="spellStart"/>
      <w:r w:rsidRPr="003E6564">
        <w:t>ceftobiprole</w:t>
      </w:r>
      <w:proofErr w:type="spellEnd"/>
      <w:r w:rsidRPr="003E6564">
        <w:t xml:space="preserve"> </w:t>
      </w:r>
      <w:proofErr w:type="spellStart"/>
      <w:r w:rsidRPr="003E6564">
        <w:t>medocaril</w:t>
      </w:r>
      <w:proofErr w:type="spellEnd"/>
      <w:r w:rsidRPr="003E6564">
        <w:t xml:space="preserve"> in tests for teratogenicity and </w:t>
      </w:r>
      <w:proofErr w:type="spellStart"/>
      <w:r w:rsidRPr="003E6564">
        <w:t>fetal</w:t>
      </w:r>
      <w:proofErr w:type="spellEnd"/>
      <w:r w:rsidRPr="003E6564">
        <w:t>/maternal toxicity support its placement in Pregnancy Category B1</w:t>
      </w:r>
      <w:r w:rsidR="006A3326">
        <w:t>.</w:t>
      </w:r>
    </w:p>
    <w:p w:rsidR="006A3326" w:rsidRDefault="003E6564" w:rsidP="009F47BD">
      <w:pPr>
        <w:pStyle w:val="ListBullet"/>
      </w:pPr>
      <w:r w:rsidRPr="003E6564">
        <w:t>Provided that concerns about the levels of impurities are addressed, there are no nonclinical objections to registration</w:t>
      </w:r>
      <w:r w:rsidR="006A3326">
        <w:t>.</w:t>
      </w:r>
    </w:p>
    <w:p w:rsidR="006A3326" w:rsidRDefault="009F47BD" w:rsidP="009F47BD">
      <w:pPr>
        <w:pStyle w:val="ListBullet"/>
      </w:pPr>
      <w:r>
        <w:t xml:space="preserve">Amendments to the </w:t>
      </w:r>
      <w:r w:rsidR="003E6564" w:rsidRPr="003E6564">
        <w:t xml:space="preserve">draft Product Information </w:t>
      </w:r>
      <w:r>
        <w:t xml:space="preserve">were also recommended to the Delegate but these are beyond the scope of this </w:t>
      </w:r>
      <w:proofErr w:type="spellStart"/>
      <w:r>
        <w:t>AusPAR</w:t>
      </w:r>
      <w:proofErr w:type="spellEnd"/>
      <w:r w:rsidR="006A3326">
        <w:t>.</w:t>
      </w:r>
    </w:p>
    <w:p w:rsidR="008E7846" w:rsidRPr="00254787" w:rsidRDefault="008E7846" w:rsidP="00914222">
      <w:pPr>
        <w:pStyle w:val="Heading2"/>
      </w:pPr>
      <w:bookmarkStart w:id="52" w:name="_Toc443060226"/>
      <w:r>
        <w:t xml:space="preserve">IV. </w:t>
      </w:r>
      <w:r w:rsidRPr="00254787">
        <w:t>Clinical</w:t>
      </w:r>
      <w:bookmarkEnd w:id="47"/>
      <w:r>
        <w:t xml:space="preserve"> </w:t>
      </w:r>
      <w:r w:rsidR="003A7F6C" w:rsidRPr="00914222">
        <w:t>f</w:t>
      </w:r>
      <w:r w:rsidRPr="00914222">
        <w:t>indings</w:t>
      </w:r>
      <w:bookmarkEnd w:id="48"/>
      <w:bookmarkEnd w:id="49"/>
      <w:bookmarkEnd w:id="52"/>
    </w:p>
    <w:p w:rsidR="00C80137" w:rsidRDefault="00C80137" w:rsidP="00914222">
      <w:bookmarkStart w:id="5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914222">
      <w:pPr>
        <w:pStyle w:val="Heading3"/>
      </w:pPr>
      <w:bookmarkStart w:id="54" w:name="_Toc247691517"/>
      <w:bookmarkStart w:id="55" w:name="_Toc314842501"/>
      <w:bookmarkStart w:id="56" w:name="_Toc443060227"/>
      <w:r w:rsidRPr="00914222">
        <w:lastRenderedPageBreak/>
        <w:t>Introduction</w:t>
      </w:r>
      <w:bookmarkEnd w:id="53"/>
      <w:bookmarkEnd w:id="54"/>
      <w:bookmarkEnd w:id="55"/>
      <w:bookmarkEnd w:id="56"/>
    </w:p>
    <w:p w:rsidR="00605AD4" w:rsidRDefault="00605AD4" w:rsidP="00914222">
      <w:pPr>
        <w:pStyle w:val="Heading4"/>
      </w:pPr>
      <w:bookmarkStart w:id="57" w:name="_Toc196046464"/>
      <w:bookmarkStart w:id="58" w:name="_Toc247691518"/>
      <w:bookmarkStart w:id="59" w:name="_Toc314842502"/>
      <w:r w:rsidRPr="00605AD4">
        <w:t xml:space="preserve">Clinical </w:t>
      </w:r>
      <w:r w:rsidR="00914222" w:rsidRPr="00914222">
        <w:t>r</w:t>
      </w:r>
      <w:r w:rsidRPr="00914222">
        <w:t>ationale</w:t>
      </w:r>
    </w:p>
    <w:p w:rsidR="00712FCD" w:rsidRDefault="0057000A" w:rsidP="00914222">
      <w:r>
        <w:t xml:space="preserve">In September 2009, the European Centre for Disease Prevention and Control and the EMEA issued a joint technical report entitled </w:t>
      </w:r>
      <w:proofErr w:type="gramStart"/>
      <w:r>
        <w:rPr>
          <w:rFonts w:cs="TimesNewRoman,Italic"/>
          <w:i/>
          <w:iCs/>
        </w:rPr>
        <w:t>The</w:t>
      </w:r>
      <w:proofErr w:type="gramEnd"/>
      <w:r>
        <w:rPr>
          <w:rFonts w:cs="TimesNewRoman,Italic"/>
          <w:i/>
          <w:iCs/>
        </w:rPr>
        <w:t xml:space="preserve"> bacterial challenge: time to react</w:t>
      </w:r>
      <w:r>
        <w:t>.</w:t>
      </w:r>
      <w:r w:rsidR="00712FCD">
        <w:rPr>
          <w:rStyle w:val="FootnoteReference"/>
        </w:rPr>
        <w:footnoteReference w:id="7"/>
      </w:r>
      <w:r>
        <w:t xml:space="preserve"> This report focused on antibiotic-resistant bacteria and emphasised the urgency required to ensure adequate antibiotics are available to treat human disease due to these pathogens. The 7 important path</w:t>
      </w:r>
      <w:r w:rsidR="00914222">
        <w:t>ogens cited in the report were:</w:t>
      </w:r>
    </w:p>
    <w:p w:rsidR="00712FCD" w:rsidRDefault="0057000A" w:rsidP="00914222">
      <w:pPr>
        <w:pStyle w:val="Numberbullet0"/>
      </w:pPr>
      <w:r>
        <w:rPr>
          <w:rFonts w:cs="TimesNewRoman,Italic"/>
          <w:i/>
          <w:iCs/>
        </w:rPr>
        <w:t>S. aureus</w:t>
      </w:r>
      <w:r>
        <w:t xml:space="preserve">, methicillin resistant (MRSA); </w:t>
      </w:r>
    </w:p>
    <w:p w:rsidR="00712FCD" w:rsidRDefault="0057000A" w:rsidP="00914222">
      <w:pPr>
        <w:pStyle w:val="Numberbullet0"/>
      </w:pPr>
      <w:r>
        <w:rPr>
          <w:rFonts w:cs="TimesNewRoman,Italic"/>
          <w:i/>
          <w:iCs/>
        </w:rPr>
        <w:t>S. aureus</w:t>
      </w:r>
      <w:r>
        <w:t>, vancomycin intermediate resistant and vancomycin resistant (VISA/VR</w:t>
      </w:r>
      <w:r w:rsidR="00914222">
        <w:t>SA);</w:t>
      </w:r>
    </w:p>
    <w:p w:rsidR="00712FCD" w:rsidRDefault="0057000A" w:rsidP="00914222">
      <w:pPr>
        <w:pStyle w:val="Numberbullet0"/>
      </w:pPr>
      <w:r>
        <w:rPr>
          <w:rFonts w:cs="TimesNewRoman,Italic"/>
          <w:i/>
          <w:iCs/>
        </w:rPr>
        <w:t xml:space="preserve">Enterococcus </w:t>
      </w:r>
      <w:r>
        <w:t>spp. (</w:t>
      </w:r>
      <w:r w:rsidR="00712FCD">
        <w:t>for example</w:t>
      </w:r>
      <w:r>
        <w:t xml:space="preserve"> </w:t>
      </w:r>
      <w:r>
        <w:rPr>
          <w:rFonts w:cs="TimesNewRoman,Italic"/>
          <w:i/>
          <w:iCs/>
        </w:rPr>
        <w:t xml:space="preserve">Enterococcus </w:t>
      </w:r>
      <w:proofErr w:type="spellStart"/>
      <w:r>
        <w:rPr>
          <w:rFonts w:cs="TimesNewRoman,Italic"/>
          <w:i/>
          <w:iCs/>
        </w:rPr>
        <w:t>faecium</w:t>
      </w:r>
      <w:proofErr w:type="spellEnd"/>
      <w:r w:rsidR="00914222">
        <w:t>), vancomycin resistant (VRE);</w:t>
      </w:r>
    </w:p>
    <w:p w:rsidR="00712FCD" w:rsidRDefault="0057000A" w:rsidP="00914222">
      <w:pPr>
        <w:pStyle w:val="Numberbullet0"/>
      </w:pPr>
      <w:r>
        <w:rPr>
          <w:rFonts w:cs="TimesNewRoman,Italic"/>
          <w:i/>
          <w:iCs/>
        </w:rPr>
        <w:t>Streptococcus pneumoniae</w:t>
      </w:r>
      <w:r w:rsidR="00914222">
        <w:t>, penicillin resistance (PRSP);</w:t>
      </w:r>
    </w:p>
    <w:p w:rsidR="00712FCD" w:rsidRDefault="0057000A" w:rsidP="00914222">
      <w:pPr>
        <w:pStyle w:val="Numberbullet0"/>
      </w:pPr>
      <w:proofErr w:type="spellStart"/>
      <w:r>
        <w:t>Enterobacteriaceae</w:t>
      </w:r>
      <w:proofErr w:type="spellEnd"/>
      <w:r>
        <w:t xml:space="preserve"> (</w:t>
      </w:r>
      <w:r w:rsidR="00712FCD">
        <w:t>for example</w:t>
      </w:r>
      <w:r>
        <w:t xml:space="preserve"> </w:t>
      </w:r>
      <w:r>
        <w:rPr>
          <w:rFonts w:cs="TimesNewRoman,Italic"/>
          <w:i/>
          <w:iCs/>
        </w:rPr>
        <w:t>E.coli</w:t>
      </w:r>
      <w:r>
        <w:t xml:space="preserve">, </w:t>
      </w:r>
      <w:proofErr w:type="spellStart"/>
      <w:r>
        <w:rPr>
          <w:rFonts w:cs="TimesNewRoman,Italic"/>
          <w:i/>
          <w:iCs/>
        </w:rPr>
        <w:t>Klebsiella</w:t>
      </w:r>
      <w:proofErr w:type="spellEnd"/>
      <w:r>
        <w:rPr>
          <w:rFonts w:cs="TimesNewRoman,Italic"/>
          <w:i/>
          <w:iCs/>
        </w:rPr>
        <w:t xml:space="preserve"> pneumoniae</w:t>
      </w:r>
      <w:r>
        <w:t>), third</w:t>
      </w:r>
      <w:r w:rsidR="00A95440">
        <w:t xml:space="preserve"> </w:t>
      </w:r>
      <w:r>
        <w:t>generation cephalosporin resist</w:t>
      </w:r>
      <w:r w:rsidR="00914222">
        <w:t>ant;</w:t>
      </w:r>
    </w:p>
    <w:p w:rsidR="00712FCD" w:rsidRDefault="0057000A" w:rsidP="00914222">
      <w:pPr>
        <w:pStyle w:val="Numberbullet0"/>
      </w:pPr>
      <w:proofErr w:type="spellStart"/>
      <w:r>
        <w:t>Enterobacteriaceae</w:t>
      </w:r>
      <w:proofErr w:type="spellEnd"/>
      <w:r>
        <w:t xml:space="preserve"> (</w:t>
      </w:r>
      <w:r w:rsidR="00712FCD">
        <w:t>for example</w:t>
      </w:r>
      <w:r>
        <w:t xml:space="preserve"> </w:t>
      </w:r>
      <w:r>
        <w:rPr>
          <w:rFonts w:cs="TimesNewRoman,Italic"/>
          <w:i/>
          <w:iCs/>
        </w:rPr>
        <w:t>K. pneumoniae</w:t>
      </w:r>
      <w:r w:rsidR="00914222">
        <w:t xml:space="preserve">), </w:t>
      </w:r>
      <w:proofErr w:type="spellStart"/>
      <w:r w:rsidR="00914222">
        <w:t>carbapenem</w:t>
      </w:r>
      <w:proofErr w:type="spellEnd"/>
      <w:r w:rsidR="00914222">
        <w:t xml:space="preserve"> resistant;</w:t>
      </w:r>
    </w:p>
    <w:p w:rsidR="006A3326" w:rsidRDefault="0057000A" w:rsidP="00914222">
      <w:pPr>
        <w:pStyle w:val="Numberbullet0"/>
      </w:pPr>
      <w:r>
        <w:t>Non-fermentative gram-negative bacteria (</w:t>
      </w:r>
      <w:r w:rsidR="00712FCD">
        <w:t>for example</w:t>
      </w:r>
      <w:r>
        <w:t xml:space="preserve"> </w:t>
      </w:r>
      <w:r>
        <w:rPr>
          <w:rFonts w:cs="TimesNewRoman,Italic"/>
          <w:i/>
          <w:iCs/>
        </w:rPr>
        <w:t>Pseudomonas aeruginosa</w:t>
      </w:r>
      <w:r>
        <w:t xml:space="preserve">), </w:t>
      </w:r>
      <w:proofErr w:type="spellStart"/>
      <w:r>
        <w:t>carbapenem</w:t>
      </w:r>
      <w:proofErr w:type="spellEnd"/>
      <w:r>
        <w:t xml:space="preserve"> resistant</w:t>
      </w:r>
      <w:r w:rsidR="006A3326">
        <w:t>.</w:t>
      </w:r>
    </w:p>
    <w:p w:rsidR="0057000A" w:rsidRDefault="0057000A" w:rsidP="00914222">
      <w:proofErr w:type="spellStart"/>
      <w:r>
        <w:t>Ceftobiprole</w:t>
      </w:r>
      <w:proofErr w:type="spellEnd"/>
      <w:r>
        <w:t xml:space="preserve"> has the potential to address some of the challenges brought about by the global pandemic of multi-drug resistant bacteria having demonstrated </w:t>
      </w:r>
      <w:r w:rsidRPr="00712FCD">
        <w:rPr>
          <w:rFonts w:cs="TimesNewRoman,Italic"/>
          <w:iCs/>
        </w:rPr>
        <w:t>in vitro</w:t>
      </w:r>
      <w:r>
        <w:rPr>
          <w:rFonts w:cs="TimesNewRoman,Italic"/>
          <w:i/>
          <w:iCs/>
        </w:rPr>
        <w:t xml:space="preserve"> </w:t>
      </w:r>
      <w:r>
        <w:t>activity against:</w:t>
      </w:r>
    </w:p>
    <w:p w:rsidR="0057000A" w:rsidRDefault="0057000A" w:rsidP="00914222">
      <w:pPr>
        <w:pStyle w:val="ListBullet"/>
      </w:pPr>
      <w:r>
        <w:t xml:space="preserve">MRSA </w:t>
      </w:r>
      <w:r w:rsidRPr="00914222">
        <w:t>including</w:t>
      </w:r>
      <w:r>
        <w:t xml:space="preserve"> prominent healthcare-associated and community-associated strains </w:t>
      </w:r>
      <w:r>
        <w:rPr>
          <w:rFonts w:cs="TimesNewRoman"/>
        </w:rPr>
        <w:t>VISA/VRSA</w:t>
      </w:r>
    </w:p>
    <w:p w:rsidR="0057000A" w:rsidRDefault="0057000A" w:rsidP="00914222">
      <w:pPr>
        <w:pStyle w:val="ListBullet"/>
      </w:pPr>
      <w:r>
        <w:t xml:space="preserve">PRSP </w:t>
      </w:r>
      <w:r w:rsidRPr="00914222">
        <w:t>including</w:t>
      </w:r>
      <w:r>
        <w:t xml:space="preserve"> </w:t>
      </w:r>
      <w:r>
        <w:rPr>
          <w:rFonts w:cs="TimesNewRoman,Italic"/>
          <w:i/>
          <w:iCs/>
        </w:rPr>
        <w:t xml:space="preserve">S. pneumoniae </w:t>
      </w:r>
      <w:r>
        <w:t>isolates highly resistant to ceftriaxone and multi-drug</w:t>
      </w:r>
      <w:r w:rsidR="00E01646">
        <w:t xml:space="preserve"> </w:t>
      </w:r>
      <w:r>
        <w:t xml:space="preserve">resistant 19A </w:t>
      </w:r>
      <w:r>
        <w:rPr>
          <w:rFonts w:cs="TimesNewRoman,Italic"/>
          <w:i/>
          <w:iCs/>
        </w:rPr>
        <w:t xml:space="preserve">S. pneumoniae </w:t>
      </w:r>
      <w:r>
        <w:t>clones</w:t>
      </w:r>
    </w:p>
    <w:p w:rsidR="0057000A" w:rsidRPr="00A95440" w:rsidRDefault="0057000A" w:rsidP="00914222">
      <w:proofErr w:type="spellStart"/>
      <w:r w:rsidRPr="00A95440">
        <w:t>Ceftobiprole</w:t>
      </w:r>
      <w:proofErr w:type="spellEnd"/>
      <w:r w:rsidRPr="00A95440">
        <w:t xml:space="preserve"> has demonstrated in vitro activity against </w:t>
      </w:r>
      <w:proofErr w:type="spellStart"/>
      <w:r w:rsidRPr="00A95440">
        <w:t>daptomycin</w:t>
      </w:r>
      <w:proofErr w:type="spellEnd"/>
      <w:r w:rsidR="00E01646">
        <w:t xml:space="preserve"> </w:t>
      </w:r>
      <w:r w:rsidRPr="00A95440">
        <w:t>non</w:t>
      </w:r>
      <w:r w:rsidR="00E01646">
        <w:t xml:space="preserve"> </w:t>
      </w:r>
      <w:r w:rsidRPr="00A95440">
        <w:t xml:space="preserve">susceptible, </w:t>
      </w:r>
      <w:proofErr w:type="spellStart"/>
      <w:r w:rsidRPr="00A95440">
        <w:t>tigecycline</w:t>
      </w:r>
      <w:proofErr w:type="spellEnd"/>
      <w:r w:rsidR="00E01646">
        <w:t xml:space="preserve"> </w:t>
      </w:r>
      <w:r w:rsidRPr="00A95440">
        <w:t>resistant and linezolid</w:t>
      </w:r>
      <w:r w:rsidR="00E01646">
        <w:t xml:space="preserve"> </w:t>
      </w:r>
      <w:r w:rsidRPr="00A95440">
        <w:t xml:space="preserve">resistant S. aureus. </w:t>
      </w:r>
      <w:proofErr w:type="spellStart"/>
      <w:r w:rsidRPr="00A95440">
        <w:t>Ceftobiprole’s</w:t>
      </w:r>
      <w:proofErr w:type="spellEnd"/>
      <w:r w:rsidRPr="00A95440">
        <w:t xml:space="preserve"> potent activity against MRSA and PRSP extends the predominantly gram-negative spectrum of the well-established fourth</w:t>
      </w:r>
      <w:r w:rsidR="00712FCD" w:rsidRPr="00A95440">
        <w:t xml:space="preserve"> </w:t>
      </w:r>
      <w:r w:rsidRPr="00A95440">
        <w:t xml:space="preserve">generation </w:t>
      </w:r>
      <w:proofErr w:type="spellStart"/>
      <w:r w:rsidRPr="00A95440">
        <w:t>cephalopsorins</w:t>
      </w:r>
      <w:proofErr w:type="spellEnd"/>
      <w:r w:rsidRPr="00A95440">
        <w:t xml:space="preserve"> (such as </w:t>
      </w:r>
      <w:proofErr w:type="spellStart"/>
      <w:r w:rsidRPr="00A95440">
        <w:t>cefepime</w:t>
      </w:r>
      <w:proofErr w:type="spellEnd"/>
      <w:r w:rsidRPr="00A95440">
        <w:t xml:space="preserve"> and ceftazidime), making it a ‘</w:t>
      </w:r>
      <w:r w:rsidR="00712FCD" w:rsidRPr="00A95440">
        <w:t>fifth</w:t>
      </w:r>
      <w:r w:rsidRPr="00A95440">
        <w:t>’ generation cephalosporin.</w:t>
      </w:r>
    </w:p>
    <w:p w:rsidR="0057000A" w:rsidRPr="00914222" w:rsidRDefault="0057000A" w:rsidP="00914222">
      <w:r w:rsidRPr="00712FCD">
        <w:rPr>
          <w:rStyle w:val="Heading5Char"/>
          <w:rFonts w:eastAsia="Cambria"/>
        </w:rPr>
        <w:t>Nosocomial pneumonia</w:t>
      </w:r>
      <w:r>
        <w:rPr>
          <w:rFonts w:cs="TimesNewRoman"/>
        </w:rPr>
        <w:t xml:space="preserve"> = pneumonia occurring &gt;</w:t>
      </w:r>
      <w:r w:rsidR="00712FCD">
        <w:rPr>
          <w:rFonts w:cs="TimesNewRoman"/>
        </w:rPr>
        <w:t xml:space="preserve"> </w:t>
      </w:r>
      <w:r>
        <w:rPr>
          <w:rFonts w:cs="TimesNewRoman"/>
        </w:rPr>
        <w:t>48 hours after</w:t>
      </w:r>
      <w:r>
        <w:rPr>
          <w:rFonts w:cs="TimesNewRoman,Bold"/>
          <w:b/>
          <w:bCs/>
        </w:rPr>
        <w:t xml:space="preserve"> </w:t>
      </w:r>
      <w:r>
        <w:rPr>
          <w:rFonts w:cs="TimesNewRoman"/>
        </w:rPr>
        <w:t xml:space="preserve">hospital admission </w:t>
      </w:r>
      <w:r w:rsidRPr="00A95440">
        <w:t>which was not incubating at the time of admission.</w:t>
      </w:r>
      <w:r w:rsidR="00EC1969" w:rsidRPr="00914222">
        <w:rPr>
          <w:rStyle w:val="FootnoteReference"/>
        </w:rPr>
        <w:footnoteReference w:id="8"/>
      </w:r>
      <w:r w:rsidRPr="00A95440">
        <w:t xml:space="preserve"> VAP = pneumonia which manifests after a patient has been on a ventilator for &gt;</w:t>
      </w:r>
      <w:r w:rsidR="00712FCD" w:rsidRPr="00A95440">
        <w:t xml:space="preserve"> </w:t>
      </w:r>
      <w:r w:rsidRPr="00A95440">
        <w:t xml:space="preserve">48 </w:t>
      </w:r>
      <w:r w:rsidR="00712FCD" w:rsidRPr="00A95440">
        <w:t>h</w:t>
      </w:r>
      <w:r w:rsidRPr="00A95440">
        <w:t>. NP is one of the most common infectious diseases acquired in hospitals, affecting 0.5%</w:t>
      </w:r>
      <w:r w:rsidR="00712FCD" w:rsidRPr="00A95440">
        <w:t xml:space="preserve"> to 1.7% of hospitalis</w:t>
      </w:r>
      <w:r w:rsidRPr="00A95440">
        <w:t>ed patients</w:t>
      </w:r>
      <w:r w:rsidR="00EC1969" w:rsidRPr="00914222">
        <w:rPr>
          <w:rStyle w:val="FootnoteReference"/>
        </w:rPr>
        <w:footnoteReference w:id="9"/>
      </w:r>
      <w:r w:rsidR="00EC1969" w:rsidRPr="00A95440">
        <w:t>,</w:t>
      </w:r>
      <w:r w:rsidR="00EC1969" w:rsidRPr="00914222">
        <w:rPr>
          <w:rStyle w:val="FootnoteReference"/>
        </w:rPr>
        <w:footnoteReference w:id="10"/>
      </w:r>
      <w:r w:rsidRPr="00A95440">
        <w:t xml:space="preserve">, and accounting for </w:t>
      </w:r>
      <w:r w:rsidR="00712FCD" w:rsidRPr="00A95440">
        <w:t xml:space="preserve">approximately </w:t>
      </w:r>
      <w:r w:rsidRPr="00A95440">
        <w:t>25% of all intensive care unit (ICU) infections.</w:t>
      </w:r>
      <w:r w:rsidR="00EC1969" w:rsidRPr="00914222">
        <w:rPr>
          <w:rStyle w:val="FootnoteReference"/>
        </w:rPr>
        <w:footnoteReference w:id="11"/>
      </w:r>
      <w:r w:rsidRPr="00A95440">
        <w:t xml:space="preserve"> All-cause mortality for nosocomial pneumonia varies widely, ranging from 10</w:t>
      </w:r>
      <w:r w:rsidR="00712FCD" w:rsidRPr="00A95440">
        <w:t xml:space="preserve">% to </w:t>
      </w:r>
      <w:r w:rsidRPr="00A95440">
        <w:t>65% depending on patient population, clinical study setting treatment.</w:t>
      </w:r>
      <w:r w:rsidR="00EC1969" w:rsidRPr="00914222">
        <w:rPr>
          <w:rStyle w:val="FootnoteReference"/>
        </w:rPr>
        <w:footnoteReference w:id="12"/>
      </w:r>
      <w:r w:rsidRPr="00A95440">
        <w:t xml:space="preserve"> NP is caused by a wide spectrum of bacterial pathogens, including more resistant gram negatives</w:t>
      </w:r>
      <w:r w:rsidR="00712FCD" w:rsidRPr="00A95440">
        <w:t>, that is</w:t>
      </w:r>
      <w:r w:rsidRPr="00A95440">
        <w:t xml:space="preserve"> P. aeruginosa </w:t>
      </w:r>
      <w:r w:rsidRPr="00A95440">
        <w:lastRenderedPageBreak/>
        <w:t xml:space="preserve">(22%), </w:t>
      </w:r>
      <w:proofErr w:type="spellStart"/>
      <w:r w:rsidRPr="00A95440">
        <w:t>Klebsiella</w:t>
      </w:r>
      <w:proofErr w:type="spellEnd"/>
      <w:r w:rsidRPr="00A95440">
        <w:t xml:space="preserve"> sp. (10%), </w:t>
      </w:r>
      <w:r w:rsidR="005D6EFA" w:rsidRPr="00A95440">
        <w:t>Escherichia coli (</w:t>
      </w:r>
      <w:r w:rsidRPr="00A95440">
        <w:t>E. coli</w:t>
      </w:r>
      <w:r w:rsidR="005D6EFA" w:rsidRPr="00A95440">
        <w:t>)</w:t>
      </w:r>
      <w:r w:rsidRPr="00A95440">
        <w:t xml:space="preserve"> (7%), Acinetobacter sp. (7%), and Enterobacter sp. (6.5%), and gram-positives such as S. aureus (28%), particularly MRSA</w:t>
      </w:r>
      <w:r w:rsidRPr="00576905">
        <w:t>.</w:t>
      </w:r>
      <w:r w:rsidR="00EC1969" w:rsidRPr="00914222">
        <w:rPr>
          <w:rStyle w:val="FootnoteReference"/>
        </w:rPr>
        <w:footnoteReference w:id="13"/>
      </w:r>
      <w:r w:rsidRPr="00576905">
        <w:t xml:space="preserve"> S. aureus has shown an increasing resistance to methicillin/oxacillin over the past four decades, with rates in Europe of 19.7% in 2009 as determined by the </w:t>
      </w:r>
      <w:r w:rsidR="00712FCD" w:rsidRPr="00576905">
        <w:t xml:space="preserve">European Antimicrobial Resistance </w:t>
      </w:r>
      <w:r w:rsidR="005D6EFA" w:rsidRPr="00576905">
        <w:t xml:space="preserve">(EARS-Net) </w:t>
      </w:r>
      <w:r w:rsidRPr="00576905">
        <w:t>surveillance program of 198 laboratories in 22 countries.</w:t>
      </w:r>
      <w:r w:rsidR="00EC1969" w:rsidRPr="00914222">
        <w:rPr>
          <w:rStyle w:val="FootnoteReference"/>
        </w:rPr>
        <w:footnoteReference w:id="14"/>
      </w:r>
      <w:r w:rsidRPr="00576905">
        <w:rPr>
          <w:vertAlign w:val="superscript"/>
        </w:rPr>
        <w:t xml:space="preserve"> </w:t>
      </w:r>
      <w:r w:rsidRPr="00576905">
        <w:t>The rate of MRSA observed among ICU isolates of S. aureus is reported to be even higher at 34</w:t>
      </w:r>
      <w:r w:rsidR="00712FCD" w:rsidRPr="00576905">
        <w:t xml:space="preserve"> to </w:t>
      </w:r>
      <w:r w:rsidRPr="00576905">
        <w:t>44% in two large EU point preval</w:t>
      </w:r>
      <w:r w:rsidR="00EC1969" w:rsidRPr="00576905">
        <w:t xml:space="preserve">ence </w:t>
      </w:r>
      <w:proofErr w:type="gramStart"/>
      <w:r w:rsidR="00EC1969" w:rsidRPr="00576905">
        <w:t>studies</w:t>
      </w:r>
      <w:r w:rsidRPr="00576905">
        <w:t>.</w:t>
      </w:r>
      <w:r w:rsidR="00EC1969" w:rsidRPr="00914222">
        <w:rPr>
          <w:rStyle w:val="FootnoteReference"/>
        </w:rPr>
        <w:footnoteReference w:id="15"/>
      </w:r>
      <w:r w:rsidR="00EC1969" w:rsidRPr="00576905">
        <w:rPr>
          <w:vertAlign w:val="superscript"/>
        </w:rPr>
        <w:t>,</w:t>
      </w:r>
      <w:proofErr w:type="gramEnd"/>
      <w:r w:rsidR="00EC1969" w:rsidRPr="00914222">
        <w:rPr>
          <w:rStyle w:val="FootnoteReference"/>
        </w:rPr>
        <w:footnoteReference w:id="16"/>
      </w:r>
      <w:r w:rsidRPr="00576905">
        <w:t xml:space="preserve"> VAP represents a significant distinct clinical entity within NP related to patient factors including underlying disease and comorbidities.</w:t>
      </w:r>
      <w:r w:rsidR="00EC1969" w:rsidRPr="00914222">
        <w:rPr>
          <w:rStyle w:val="FootnoteReference"/>
        </w:rPr>
        <w:footnoteReference w:id="17"/>
      </w:r>
    </w:p>
    <w:p w:rsidR="0057000A" w:rsidRDefault="0057000A" w:rsidP="00914222">
      <w:r w:rsidRPr="005D6EFA">
        <w:rPr>
          <w:rStyle w:val="Heading5Char"/>
          <w:rFonts w:eastAsia="Cambria"/>
        </w:rPr>
        <w:t>Community-acquired pneumonia</w:t>
      </w:r>
      <w:r>
        <w:t>=</w:t>
      </w:r>
      <w:r w:rsidRPr="00A95440">
        <w:t>pneumonia acquired outside hospital or extended</w:t>
      </w:r>
      <w:r w:rsidR="005D6EFA" w:rsidRPr="00A95440">
        <w:noBreakHyphen/>
      </w:r>
      <w:r w:rsidRPr="00A95440">
        <w:t>care facilities or occurring ≤</w:t>
      </w:r>
      <w:r w:rsidR="005D6EFA" w:rsidRPr="00A95440">
        <w:t xml:space="preserve"> </w:t>
      </w:r>
      <w:r w:rsidRPr="00A95440">
        <w:t xml:space="preserve">48 </w:t>
      </w:r>
      <w:r w:rsidR="00712FCD" w:rsidRPr="00A95440">
        <w:t>h</w:t>
      </w:r>
      <w:r w:rsidRPr="00A95440">
        <w:t xml:space="preserve"> after hospital admission; annual incidence ranging from 3</w:t>
      </w:r>
      <w:r w:rsidR="005D6EFA" w:rsidRPr="00A95440">
        <w:t xml:space="preserve"> to </w:t>
      </w:r>
      <w:r w:rsidRPr="00A95440">
        <w:t xml:space="preserve">40 per 1,000, and rates of hospitalisation of 40 to 60%; the rate at which patients with CAP are admitted to the ICU is </w:t>
      </w:r>
      <w:r w:rsidR="005D6EFA" w:rsidRPr="00A95440">
        <w:t>approximately</w:t>
      </w:r>
      <w:r w:rsidR="00EC1969" w:rsidRPr="00A95440">
        <w:t xml:space="preserve"> 10%</w:t>
      </w:r>
      <w:r w:rsidRPr="00A95440">
        <w:t>.</w:t>
      </w:r>
      <w:bookmarkStart w:id="60" w:name="_Ref437421430"/>
      <w:r w:rsidR="00EC1969" w:rsidRPr="00914222">
        <w:rPr>
          <w:rStyle w:val="FootnoteReference"/>
        </w:rPr>
        <w:footnoteReference w:id="18"/>
      </w:r>
      <w:bookmarkEnd w:id="60"/>
      <w:r w:rsidRPr="00A95440">
        <w:t xml:space="preserve"> Mortality rate due to hospitalised CAP is 10%.</w:t>
      </w:r>
      <w:r w:rsidR="00EC1969" w:rsidRPr="00A95440">
        <w:rPr>
          <w:vertAlign w:val="superscript"/>
        </w:rPr>
        <w:fldChar w:fldCharType="begin"/>
      </w:r>
      <w:r w:rsidR="00EC1969" w:rsidRPr="00A95440">
        <w:rPr>
          <w:vertAlign w:val="superscript"/>
        </w:rPr>
        <w:instrText xml:space="preserve"> NOTEREF _Ref437421430 \h  \* MERGEFORMAT </w:instrText>
      </w:r>
      <w:r w:rsidR="00EC1969" w:rsidRPr="00A95440">
        <w:rPr>
          <w:vertAlign w:val="superscript"/>
        </w:rPr>
      </w:r>
      <w:r w:rsidR="00EC1969" w:rsidRPr="00A95440">
        <w:rPr>
          <w:vertAlign w:val="superscript"/>
        </w:rPr>
        <w:fldChar w:fldCharType="separate"/>
      </w:r>
      <w:r w:rsidR="00463C3C">
        <w:rPr>
          <w:vertAlign w:val="superscript"/>
        </w:rPr>
        <w:t>18</w:t>
      </w:r>
      <w:r w:rsidR="00EC1969" w:rsidRPr="00A95440">
        <w:rPr>
          <w:vertAlign w:val="superscript"/>
        </w:rPr>
        <w:fldChar w:fldCharType="end"/>
      </w:r>
      <w:r w:rsidRPr="00A95440">
        <w:t xml:space="preserve"> This has not substantially decreased over the past decades partially because of the emergence of multidrug-resistant (MDR) pathogens, and an increased % of the population being at risk (</w:t>
      </w:r>
      <w:r w:rsidR="005D6EFA" w:rsidRPr="00A95440">
        <w:t>for example</w:t>
      </w:r>
      <w:r w:rsidRPr="00A95440">
        <w:t>, immunocompromised patients; advanced age). Current international treatment recommendations support a prompt</w:t>
      </w:r>
      <w:r>
        <w:t xml:space="preserve"> initiation of ‘appropriate’ empiric antibiotics</w:t>
      </w:r>
      <w:r w:rsidR="00721A5A" w:rsidRPr="00914222">
        <w:rPr>
          <w:rStyle w:val="FootnoteReference"/>
        </w:rPr>
        <w:footnoteReference w:id="19"/>
      </w:r>
      <w:r w:rsidR="00721A5A" w:rsidRPr="00721A5A">
        <w:rPr>
          <w:vertAlign w:val="superscript"/>
        </w:rPr>
        <w:t>,</w:t>
      </w:r>
      <w:r w:rsidR="00721A5A" w:rsidRPr="00914222">
        <w:rPr>
          <w:rStyle w:val="FootnoteReference"/>
        </w:rPr>
        <w:footnoteReference w:id="20"/>
      </w:r>
      <w:r>
        <w:t xml:space="preserve"> to avoid excess mor</w:t>
      </w:r>
      <w:r w:rsidR="00721A5A">
        <w:t>tality and longer hospital stay</w:t>
      </w:r>
      <w:r>
        <w:t>.</w:t>
      </w:r>
      <w:r w:rsidR="00721A5A" w:rsidRPr="00914222">
        <w:rPr>
          <w:rStyle w:val="FootnoteReference"/>
        </w:rPr>
        <w:footnoteReference w:id="21"/>
      </w:r>
      <w:r>
        <w:t xml:space="preserve">  MRSA is an important cause of pneumonia, accounting for 20</w:t>
      </w:r>
      <w:r w:rsidR="005D6EFA">
        <w:t xml:space="preserve"> to </w:t>
      </w:r>
      <w:r>
        <w:t>40% of NP.</w:t>
      </w:r>
      <w:r w:rsidR="00721A5A" w:rsidRPr="00914222">
        <w:rPr>
          <w:rStyle w:val="FootnoteReference"/>
        </w:rPr>
        <w:footnoteReference w:id="22"/>
      </w:r>
      <w:r>
        <w:t xml:space="preserve"> The frequency of MRSA in CAP is still relatively low at &lt;5% in most parts of the world but becoming more prevalent.</w:t>
      </w:r>
      <w:r w:rsidR="00721A5A" w:rsidRPr="00914222">
        <w:rPr>
          <w:rStyle w:val="FootnoteReference"/>
        </w:rPr>
        <w:footnoteReference w:id="23"/>
      </w:r>
    </w:p>
    <w:p w:rsidR="0057000A" w:rsidRDefault="0057000A" w:rsidP="0028122D">
      <w:r>
        <w:rPr>
          <w:i/>
        </w:rPr>
        <w:t>S. pneumoniae</w:t>
      </w:r>
      <w:r>
        <w:t xml:space="preserve"> is the most frequent bacterial isolate in patients with CAP in the EU</w:t>
      </w:r>
      <w:r w:rsidR="005D6EFA">
        <w:t>, that is,</w:t>
      </w:r>
      <w:r>
        <w:t xml:space="preserve"> </w:t>
      </w:r>
      <w:r w:rsidR="005D6EFA">
        <w:t xml:space="preserve">approximately </w:t>
      </w:r>
      <w:r>
        <w:t>40</w:t>
      </w:r>
      <w:r w:rsidR="005D6EFA">
        <w:t xml:space="preserve"> to </w:t>
      </w:r>
      <w:r>
        <w:t>50% of all CAP in adults.</w:t>
      </w:r>
      <w:r w:rsidR="00721A5A">
        <w:rPr>
          <w:rStyle w:val="FootnoteReference"/>
          <w:rFonts w:cs="TimesNewRoman"/>
        </w:rPr>
        <w:footnoteReference w:id="24"/>
      </w:r>
      <w:r>
        <w:t xml:space="preserve"> Drug resistance in </w:t>
      </w:r>
      <w:r>
        <w:rPr>
          <w:i/>
        </w:rPr>
        <w:t>S. pneumoniae</w:t>
      </w:r>
      <w:r>
        <w:t xml:space="preserve"> occurs in ≤</w:t>
      </w:r>
      <w:r w:rsidR="005D6EFA">
        <w:t xml:space="preserve"> </w:t>
      </w:r>
      <w:r>
        <w:t>20% of RTI</w:t>
      </w:r>
      <w:r w:rsidR="00721A5A">
        <w:rPr>
          <w:rStyle w:val="FootnoteReference"/>
          <w:rFonts w:cs="TimesNewRoman"/>
        </w:rPr>
        <w:footnoteReference w:id="25"/>
      </w:r>
      <w:r>
        <w:t xml:space="preserve">, with an increase in invasive disease attributable to serotypes not covered </w:t>
      </w:r>
      <w:r>
        <w:lastRenderedPageBreak/>
        <w:t>by the current pneumococcal vaccines</w:t>
      </w:r>
      <w:r w:rsidR="005D6EFA">
        <w:t>,</w:t>
      </w:r>
      <w:r>
        <w:t xml:space="preserve"> </w:t>
      </w:r>
      <w:r w:rsidR="005D6EFA">
        <w:t>for example</w:t>
      </w:r>
      <w:r>
        <w:t xml:space="preserve"> serotype 19A.</w:t>
      </w:r>
      <w:r w:rsidR="00721A5A">
        <w:rPr>
          <w:rStyle w:val="FootnoteReference"/>
          <w:rFonts w:cs="TimesNewRoman"/>
        </w:rPr>
        <w:footnoteReference w:id="26"/>
      </w:r>
      <w:r w:rsidR="00721A5A" w:rsidRPr="00721A5A">
        <w:rPr>
          <w:vertAlign w:val="superscript"/>
        </w:rPr>
        <w:t>,</w:t>
      </w:r>
      <w:r w:rsidR="00721A5A">
        <w:rPr>
          <w:rStyle w:val="FootnoteReference"/>
          <w:rFonts w:cs="TimesNewRoman"/>
        </w:rPr>
        <w:footnoteReference w:id="27"/>
      </w:r>
      <w:r>
        <w:t xml:space="preserve"> The reported EU prevalence of </w:t>
      </w:r>
      <w:r>
        <w:rPr>
          <w:i/>
        </w:rPr>
        <w:t xml:space="preserve">S. pneumoniae </w:t>
      </w:r>
      <w:r>
        <w:t>isolates submitted to the EARS-NET surveillance network in 2010 with 3.7% penicillin resistance; 9.3% intermediate penicillin resistance; macrolide resistan</w:t>
      </w:r>
      <w:r w:rsidR="00CC585E">
        <w:t>ce among these isolates was 15%</w:t>
      </w:r>
      <w:r>
        <w:t>.</w:t>
      </w:r>
      <w:r w:rsidR="00CC585E">
        <w:rPr>
          <w:rStyle w:val="FootnoteReference"/>
          <w:rFonts w:cs="TimesNewRoman"/>
        </w:rPr>
        <w:footnoteReference w:id="28"/>
      </w:r>
      <w:r>
        <w:t xml:space="preserve"> Other important bacterial causes of CAP include </w:t>
      </w:r>
      <w:r>
        <w:rPr>
          <w:i/>
        </w:rPr>
        <w:t xml:space="preserve">H. </w:t>
      </w:r>
      <w:proofErr w:type="spellStart"/>
      <w:r>
        <w:rPr>
          <w:i/>
        </w:rPr>
        <w:t>influenzae</w:t>
      </w:r>
      <w:proofErr w:type="spellEnd"/>
      <w:r>
        <w:rPr>
          <w:i/>
        </w:rPr>
        <w:t>, S. aureus,</w:t>
      </w:r>
      <w:r>
        <w:t xml:space="preserve"> and gram-negative enteric organisms. S. aureus including MRSA has emerged as an impor</w:t>
      </w:r>
      <w:r w:rsidR="00E01646">
        <w:t>tant pathogen in severe necrotis</w:t>
      </w:r>
      <w:r>
        <w:t>ing CAP, with a mortality rate of up to 56%.</w:t>
      </w:r>
      <w:r w:rsidR="00884AA0">
        <w:rPr>
          <w:rStyle w:val="FootnoteReference"/>
          <w:rFonts w:cs="TimesNewRoman"/>
        </w:rPr>
        <w:footnoteReference w:id="29"/>
      </w:r>
      <w:r>
        <w:t xml:space="preserve"> According to reports from </w:t>
      </w:r>
      <w:r w:rsidRPr="005D6EFA">
        <w:t xml:space="preserve">the US </w:t>
      </w:r>
      <w:proofErr w:type="spellStart"/>
      <w:r w:rsidR="005D6EFA" w:rsidRPr="005D6EFA">
        <w:t>Centers</w:t>
      </w:r>
      <w:proofErr w:type="spellEnd"/>
      <w:r w:rsidR="005D6EFA" w:rsidRPr="005D6EFA">
        <w:t xml:space="preserve"> for Disease Control and Prevention (CDC)</w:t>
      </w:r>
      <w:r w:rsidRPr="005D6EFA">
        <w:t>, the number of severe CAP-MRSA cases</w:t>
      </w:r>
      <w:r>
        <w:t xml:space="preserve"> continues to rise, with a peak incidence dur</w:t>
      </w:r>
      <w:r w:rsidR="0064118B">
        <w:t xml:space="preserve">ing the annual influenza </w:t>
      </w:r>
      <w:proofErr w:type="gramStart"/>
      <w:r w:rsidR="0064118B">
        <w:t>season</w:t>
      </w:r>
      <w:r>
        <w:t>.</w:t>
      </w:r>
      <w:r w:rsidR="0064118B">
        <w:rPr>
          <w:rStyle w:val="FootnoteReference"/>
          <w:rFonts w:cs="TimesNewRoman"/>
        </w:rPr>
        <w:footnoteReference w:id="30"/>
      </w:r>
      <w:r w:rsidR="0064118B" w:rsidRPr="0064118B">
        <w:rPr>
          <w:vertAlign w:val="superscript"/>
        </w:rPr>
        <w:t>,</w:t>
      </w:r>
      <w:proofErr w:type="gramEnd"/>
      <w:r w:rsidR="0064118B">
        <w:rPr>
          <w:rStyle w:val="FootnoteReference"/>
          <w:rFonts w:cs="TimesNewRoman"/>
        </w:rPr>
        <w:footnoteReference w:id="31"/>
      </w:r>
      <w:r>
        <w:t xml:space="preserve"> High mortality rates due to community-acquired MRSA (CA-MRSA) ha</w:t>
      </w:r>
      <w:r w:rsidR="00884AA0">
        <w:t>ve also been reported in Europe</w:t>
      </w:r>
      <w:r>
        <w:t>.</w:t>
      </w:r>
      <w:r w:rsidR="00884AA0">
        <w:rPr>
          <w:rStyle w:val="FootnoteReference"/>
          <w:rFonts w:cs="TimesNewRoman"/>
        </w:rPr>
        <w:footnoteReference w:id="32"/>
      </w:r>
      <w:r>
        <w:t xml:space="preserve"> Secondary bacterial pneumonia is a common cause of death in patients with seasonal influenza, with co-infections found in </w:t>
      </w:r>
      <w:r w:rsidR="005D6EFA">
        <w:t>approximately</w:t>
      </w:r>
      <w:r w:rsidR="00884AA0">
        <w:t xml:space="preserve"> 25% of flu-related deaths</w:t>
      </w:r>
      <w:r>
        <w:t>.</w:t>
      </w:r>
      <w:r w:rsidR="00884AA0">
        <w:rPr>
          <w:rStyle w:val="FootnoteReference"/>
          <w:rFonts w:cs="TimesNewRoman"/>
        </w:rPr>
        <w:footnoteReference w:id="33"/>
      </w:r>
      <w:r w:rsidR="00884AA0" w:rsidRPr="00884AA0">
        <w:rPr>
          <w:vertAlign w:val="superscript"/>
        </w:rPr>
        <w:t>,</w:t>
      </w:r>
      <w:r w:rsidR="00884AA0">
        <w:rPr>
          <w:rStyle w:val="FootnoteReference"/>
          <w:rFonts w:cs="TimesNewRoman"/>
        </w:rPr>
        <w:footnoteReference w:id="34"/>
      </w:r>
      <w:r>
        <w:t xml:space="preserve"> In a US urban study, MRSA found in 2.4% (14/595) of all cultures, and 14% of positive bacterial cultures, in CAP patients admitted to hospital during 2 consecutive flu seasons.</w:t>
      </w:r>
      <w:r w:rsidR="00884AA0">
        <w:rPr>
          <w:rStyle w:val="FootnoteReference"/>
          <w:rFonts w:cs="TimesNewRoman"/>
        </w:rPr>
        <w:footnoteReference w:id="35"/>
      </w:r>
    </w:p>
    <w:p w:rsidR="0057000A" w:rsidRDefault="005D6EFA" w:rsidP="0028122D">
      <w:pPr>
        <w:rPr>
          <w:rFonts w:cs="Arial"/>
          <w:color w:val="231F20"/>
        </w:rPr>
      </w:pPr>
      <w:r w:rsidRPr="005D6EFA">
        <w:rPr>
          <w:rStyle w:val="Heading5Char"/>
          <w:rFonts w:eastAsia="Cambria"/>
        </w:rPr>
        <w:t>Australia</w:t>
      </w:r>
      <w:r w:rsidR="0057000A" w:rsidRPr="005D6EFA">
        <w:rPr>
          <w:rStyle w:val="Heading5Char"/>
          <w:rFonts w:eastAsia="Cambria"/>
        </w:rPr>
        <w:t xml:space="preserve">: </w:t>
      </w:r>
      <w:r w:rsidR="0057000A" w:rsidRPr="00A7675A">
        <w:rPr>
          <w:rStyle w:val="Heading5Char"/>
          <w:rFonts w:eastAsia="Cambria"/>
          <w:b w:val="0"/>
          <w:i w:val="0"/>
        </w:rPr>
        <w:t>Lower respiratory tract infections (LRTI)</w:t>
      </w:r>
      <w:r w:rsidR="0057000A">
        <w:rPr>
          <w:rFonts w:cs="Arial"/>
          <w:color w:val="231F20"/>
        </w:rPr>
        <w:t xml:space="preserve"> </w:t>
      </w:r>
      <w:r w:rsidR="0057000A" w:rsidRPr="00A95440">
        <w:t xml:space="preserve">account for </w:t>
      </w:r>
      <w:r w:rsidRPr="00A95440">
        <w:t xml:space="preserve">approximately </w:t>
      </w:r>
      <w:r w:rsidR="0057000A" w:rsidRPr="00A95440">
        <w:t xml:space="preserve">3 million visits to </w:t>
      </w:r>
      <w:r w:rsidRPr="00A95440">
        <w:t>General Practitioners (</w:t>
      </w:r>
      <w:r w:rsidR="0057000A" w:rsidRPr="00A95440">
        <w:t>GPs</w:t>
      </w:r>
      <w:r w:rsidRPr="00A95440">
        <w:t>)</w:t>
      </w:r>
      <w:r w:rsidR="0057000A" w:rsidRPr="00A95440">
        <w:t xml:space="preserve"> each year.</w:t>
      </w:r>
      <w:r w:rsidR="00CC585E" w:rsidRPr="0028122D">
        <w:rPr>
          <w:rStyle w:val="FootnoteReference"/>
        </w:rPr>
        <w:footnoteReference w:id="36"/>
      </w:r>
      <w:r w:rsidR="0057000A" w:rsidRPr="00A95440">
        <w:t xml:space="preserve"> The combined death rate for pneumonia and influenza positions these respiratory infections as the </w:t>
      </w:r>
      <w:r w:rsidRPr="00A95440">
        <w:t>sixth</w:t>
      </w:r>
      <w:r w:rsidR="0057000A" w:rsidRPr="00A95440">
        <w:t xml:space="preserve"> leading cause of death. In 2002, pneumonia and influenza accounted for 3084 deaths (2.34% of all deaths in Australia) and 43,953 hospital admissions (average stay=6.3 days). Each year, CAP is associated with an overall mortality rate of 11.8% for hospitalised patients aged &gt;65 years. This mortality rate increases to 19.2% if ≥2 co-morbidities are present. The direct/indirect cost burden of CAP is &gt;A$500million/year. This Case Statement also includes information about increasing antibiotic resistance in Australia and the need for new antibiotics to treat pathogens, namely </w:t>
      </w:r>
      <w:proofErr w:type="spellStart"/>
      <w:r w:rsidR="0057000A" w:rsidRPr="00A95440">
        <w:t>S.pneumoniae</w:t>
      </w:r>
      <w:proofErr w:type="spellEnd"/>
      <w:r w:rsidR="0057000A" w:rsidRPr="00A95440">
        <w:t xml:space="preserve">, MDR </w:t>
      </w:r>
      <w:proofErr w:type="spellStart"/>
      <w:r w:rsidR="0057000A" w:rsidRPr="00A95440">
        <w:t>S.</w:t>
      </w:r>
      <w:r w:rsidR="0057000A" w:rsidRPr="00576905">
        <w:t>aureus</w:t>
      </w:r>
      <w:proofErr w:type="spellEnd"/>
      <w:r w:rsidR="0057000A" w:rsidRPr="00576905">
        <w:t xml:space="preserve"> and MDR gram-negative pathogens. Importantly, while CAP and NP are of public health concern, there is a lack of epidemiological studies examining the incidence in Australia (Murdoch 2014)</w:t>
      </w:r>
      <w:r w:rsidR="0057000A" w:rsidRPr="00576905">
        <w:rPr>
          <w:rFonts w:cs="Calibri"/>
        </w:rPr>
        <w:t>.</w:t>
      </w:r>
      <w:r w:rsidR="005F67B4" w:rsidRPr="00576905">
        <w:rPr>
          <w:rStyle w:val="FootnoteReference"/>
          <w:rFonts w:cs="Calibri"/>
        </w:rPr>
        <w:footnoteReference w:id="37"/>
      </w:r>
    </w:p>
    <w:p w:rsidR="00605AD4" w:rsidRDefault="00605AD4" w:rsidP="0028122D">
      <w:pPr>
        <w:pStyle w:val="Heading4"/>
      </w:pPr>
      <w:r w:rsidRPr="00605AD4">
        <w:lastRenderedPageBreak/>
        <w:t xml:space="preserve">Contents of the clinical </w:t>
      </w:r>
      <w:r w:rsidRPr="0028122D">
        <w:t>dossier</w:t>
      </w:r>
    </w:p>
    <w:p w:rsidR="0057000A" w:rsidRDefault="0057000A" w:rsidP="0028122D">
      <w:pPr>
        <w:pStyle w:val="Heading5"/>
      </w:pPr>
      <w:bookmarkStart w:id="61" w:name="_Toc408385380"/>
      <w:bookmarkStart w:id="62" w:name="_Toc290846234"/>
      <w:r>
        <w:t xml:space="preserve">Scope of the clinical </w:t>
      </w:r>
      <w:r w:rsidRPr="0028122D">
        <w:t>dossier</w:t>
      </w:r>
      <w:bookmarkEnd w:id="61"/>
      <w:bookmarkEnd w:id="62"/>
    </w:p>
    <w:p w:rsidR="0057000A" w:rsidRDefault="0057000A" w:rsidP="0028122D">
      <w:r>
        <w:t>The submission contained the following clinical information:</w:t>
      </w:r>
    </w:p>
    <w:p w:rsidR="0057000A" w:rsidRDefault="0057000A" w:rsidP="0028122D">
      <w:pPr>
        <w:pStyle w:val="ListBullet"/>
        <w:rPr>
          <w:b/>
        </w:rPr>
      </w:pPr>
      <w:r w:rsidRPr="005D6EFA">
        <w:t>21 c</w:t>
      </w:r>
      <w:r>
        <w:t xml:space="preserve">linical </w:t>
      </w:r>
      <w:r w:rsidRPr="0028122D">
        <w:t>pharmacology</w:t>
      </w:r>
      <w:r>
        <w:t xml:space="preserve"> studies, including 14 that provided </w:t>
      </w:r>
      <w:r w:rsidR="005D6EFA">
        <w:t>pharmacokinetic (</w:t>
      </w:r>
      <w:r>
        <w:t>PK</w:t>
      </w:r>
      <w:r w:rsidR="005D6EFA">
        <w:t>)</w:t>
      </w:r>
      <w:r>
        <w:t xml:space="preserve"> data and 7 that provided </w:t>
      </w:r>
      <w:proofErr w:type="spellStart"/>
      <w:r w:rsidR="005D6EFA">
        <w:t>pharmacodynamic</w:t>
      </w:r>
      <w:proofErr w:type="spellEnd"/>
      <w:r w:rsidR="005D6EFA">
        <w:t xml:space="preserve"> (</w:t>
      </w:r>
      <w:r>
        <w:t>PD</w:t>
      </w:r>
      <w:r w:rsidR="005D6EFA">
        <w:t>)</w:t>
      </w:r>
      <w:r>
        <w:t xml:space="preserve"> (and PK/PD) data.</w:t>
      </w:r>
    </w:p>
    <w:p w:rsidR="0057000A" w:rsidRPr="0028122D" w:rsidRDefault="0057000A" w:rsidP="0028122D">
      <w:pPr>
        <w:pStyle w:val="ListBullet2"/>
      </w:pPr>
      <w:r w:rsidRPr="0028122D">
        <w:t>1 population PK analyses in 3 parts: population PK analysis, PK/PD analysis, and target attainment rate calculations.</w:t>
      </w:r>
    </w:p>
    <w:p w:rsidR="0057000A" w:rsidRPr="0028122D" w:rsidRDefault="0057000A" w:rsidP="0028122D">
      <w:pPr>
        <w:pStyle w:val="ListBullet2"/>
      </w:pPr>
      <w:r w:rsidRPr="0028122D">
        <w:t>2 Phase III pivotal efficacy/safety studies.</w:t>
      </w:r>
    </w:p>
    <w:p w:rsidR="006A3326" w:rsidRPr="0028122D" w:rsidRDefault="0057000A" w:rsidP="0028122D">
      <w:pPr>
        <w:pStyle w:val="ListBullet2"/>
      </w:pPr>
      <w:r w:rsidRPr="0028122D">
        <w:t xml:space="preserve">4 other efficacy/safety studies/reports including those conducted in </w:t>
      </w:r>
      <w:proofErr w:type="spellStart"/>
      <w:r w:rsidRPr="0028122D">
        <w:t>cSSTI</w:t>
      </w:r>
      <w:proofErr w:type="spellEnd"/>
      <w:r w:rsidR="006A3326" w:rsidRPr="0028122D">
        <w:t>.</w:t>
      </w:r>
    </w:p>
    <w:p w:rsidR="00605AD4" w:rsidRDefault="00605AD4" w:rsidP="00605AD4">
      <w:pPr>
        <w:pStyle w:val="Heading4"/>
      </w:pPr>
      <w:r w:rsidRPr="00605AD4">
        <w:t>Paediatric data</w:t>
      </w:r>
    </w:p>
    <w:p w:rsidR="0057000A" w:rsidRPr="005D6EFA" w:rsidRDefault="0057000A" w:rsidP="0057000A">
      <w:r>
        <w:t xml:space="preserve">The </w:t>
      </w:r>
      <w:r w:rsidR="005D6EFA">
        <w:t>s</w:t>
      </w:r>
      <w:r>
        <w:t xml:space="preserve">ubmission contained paediatric </w:t>
      </w:r>
      <w:r w:rsidR="005D6EFA">
        <w:t>data f</w:t>
      </w:r>
      <w:r>
        <w:t xml:space="preserve">rom one PK study, </w:t>
      </w:r>
      <w:r w:rsidRPr="005D6EFA">
        <w:t>30982081-CSI-1006.</w:t>
      </w:r>
    </w:p>
    <w:p w:rsidR="00605AD4" w:rsidRDefault="00605AD4" w:rsidP="00605AD4">
      <w:pPr>
        <w:pStyle w:val="Heading4"/>
      </w:pPr>
      <w:r w:rsidRPr="00605AD4">
        <w:t>Good clinical practice</w:t>
      </w:r>
      <w:r w:rsidR="00040E20">
        <w:t xml:space="preserve"> (GCP)</w:t>
      </w:r>
    </w:p>
    <w:p w:rsidR="006A3326" w:rsidRPr="00826430" w:rsidRDefault="0057000A" w:rsidP="00C97E6F">
      <w:bookmarkStart w:id="63" w:name="_Toc241374282"/>
      <w:r>
        <w:t xml:space="preserve">The clinical studies in this Application complied with CPMP/ICH/135/95 an internationally accepted standard for the design, conduct, </w:t>
      </w:r>
      <w:proofErr w:type="gramStart"/>
      <w:r>
        <w:t>recording</w:t>
      </w:r>
      <w:proofErr w:type="gramEnd"/>
      <w:r>
        <w:t xml:space="preserve"> and reporting of </w:t>
      </w:r>
      <w:r>
        <w:rPr>
          <w:bCs/>
        </w:rPr>
        <w:t>clinical</w:t>
      </w:r>
      <w:r>
        <w:t xml:space="preserve"> trials</w:t>
      </w:r>
      <w:r w:rsidR="00C97E6F" w:rsidRPr="00826430">
        <w:t xml:space="preserve">, </w:t>
      </w:r>
      <w:r w:rsidRPr="00826430">
        <w:t>however</w:t>
      </w:r>
      <w:r w:rsidR="00C97E6F" w:rsidRPr="00826430">
        <w:t xml:space="preserve"> </w:t>
      </w:r>
      <w:r w:rsidR="00040E20" w:rsidRPr="00826430">
        <w:t xml:space="preserve">the </w:t>
      </w:r>
      <w:proofErr w:type="spellStart"/>
      <w:r w:rsidRPr="00826430">
        <w:t>cSSTI</w:t>
      </w:r>
      <w:proofErr w:type="spellEnd"/>
      <w:r w:rsidRPr="00826430">
        <w:t xml:space="preserve"> studies ha</w:t>
      </w:r>
      <w:r w:rsidR="00040E20" w:rsidRPr="00826430">
        <w:t>ve</w:t>
      </w:r>
      <w:r w:rsidRPr="00826430">
        <w:t xml:space="preserve"> major GCP deficiencies</w:t>
      </w:r>
      <w:bookmarkEnd w:id="63"/>
      <w:r w:rsidR="006A3326" w:rsidRPr="00826430">
        <w:t>.</w:t>
      </w:r>
    </w:p>
    <w:p w:rsidR="008E7846" w:rsidRDefault="008E7846" w:rsidP="00C97E6F">
      <w:pPr>
        <w:pStyle w:val="Heading3"/>
      </w:pPr>
      <w:bookmarkStart w:id="64" w:name="_Toc443060228"/>
      <w:r w:rsidRPr="00C97E6F">
        <w:t>Pharmacokinetics</w:t>
      </w:r>
      <w:bookmarkEnd w:id="50"/>
      <w:bookmarkEnd w:id="57"/>
      <w:bookmarkEnd w:id="58"/>
      <w:bookmarkEnd w:id="59"/>
      <w:bookmarkEnd w:id="64"/>
    </w:p>
    <w:p w:rsidR="00605AD4" w:rsidRDefault="00605AD4" w:rsidP="00C97E6F">
      <w:pPr>
        <w:pStyle w:val="Heading4"/>
      </w:pPr>
      <w:r>
        <w:t xml:space="preserve">Studies providing </w:t>
      </w:r>
      <w:r w:rsidRPr="00C97E6F">
        <w:t>pharmacokinetic</w:t>
      </w:r>
      <w:r w:rsidR="00C97E6F">
        <w:t xml:space="preserve"> data</w:t>
      </w:r>
    </w:p>
    <w:p w:rsidR="0057000A" w:rsidRDefault="0057000A" w:rsidP="00C97E6F">
      <w:r w:rsidRPr="00040E20">
        <w:t xml:space="preserve">Table </w:t>
      </w:r>
      <w:r w:rsidR="00040E20" w:rsidRPr="00040E20">
        <w:t>3</w:t>
      </w:r>
      <w:r w:rsidRPr="00040E20">
        <w:t xml:space="preserve"> shows</w:t>
      </w:r>
      <w:r>
        <w:t xml:space="preserve"> the studies relating to each PK topic.</w:t>
      </w:r>
    </w:p>
    <w:p w:rsidR="0057000A" w:rsidRDefault="0057000A" w:rsidP="00C97E6F">
      <w:pPr>
        <w:pStyle w:val="TableTitle"/>
      </w:pPr>
      <w:bookmarkStart w:id="65" w:name="_Ref272426277"/>
      <w:bookmarkStart w:id="66" w:name="_Toc290888900"/>
      <w:proofErr w:type="gramStart"/>
      <w:r>
        <w:t xml:space="preserve">Table </w:t>
      </w:r>
      <w:bookmarkEnd w:id="65"/>
      <w:r w:rsidR="00040E20">
        <w:t>3:</w:t>
      </w:r>
      <w:r>
        <w:t xml:space="preserve"> Submitted pharmacokinetic studies.</w:t>
      </w:r>
      <w:bookmarkEnd w:id="66"/>
      <w:proofErr w:type="gramEnd"/>
    </w:p>
    <w:tbl>
      <w:tblPr>
        <w:tblStyle w:val="TableTGAblue"/>
        <w:tblW w:w="8613" w:type="dxa"/>
        <w:tblLayout w:type="fixed"/>
        <w:tblLook w:val="04A0" w:firstRow="1" w:lastRow="0" w:firstColumn="1" w:lastColumn="0" w:noHBand="0" w:noVBand="1"/>
      </w:tblPr>
      <w:tblGrid>
        <w:gridCol w:w="1668"/>
        <w:gridCol w:w="3685"/>
        <w:gridCol w:w="2693"/>
        <w:gridCol w:w="567"/>
      </w:tblGrid>
      <w:tr w:rsidR="00C97E6F" w:rsidTr="00C97E6F">
        <w:trPr>
          <w:cnfStyle w:val="100000000000" w:firstRow="1" w:lastRow="0" w:firstColumn="0" w:lastColumn="0" w:oddVBand="0" w:evenVBand="0" w:oddHBand="0" w:evenHBand="0" w:firstRowFirstColumn="0" w:firstRowLastColumn="0" w:lastRowFirstColumn="0" w:lastRowLastColumn="0"/>
        </w:trPr>
        <w:tc>
          <w:tcPr>
            <w:tcW w:w="1668" w:type="dxa"/>
            <w:hideMark/>
          </w:tcPr>
          <w:p w:rsidR="00C97E6F" w:rsidRPr="00040E20" w:rsidRDefault="00C97E6F" w:rsidP="00C97E6F">
            <w:pPr>
              <w:ind w:left="0" w:right="34"/>
            </w:pPr>
            <w:r w:rsidRPr="00040E20">
              <w:t>PK topic</w:t>
            </w:r>
          </w:p>
        </w:tc>
        <w:tc>
          <w:tcPr>
            <w:tcW w:w="3685" w:type="dxa"/>
            <w:hideMark/>
          </w:tcPr>
          <w:p w:rsidR="00C97E6F" w:rsidRPr="00040E20" w:rsidRDefault="00C97E6F" w:rsidP="00C97E6F">
            <w:pPr>
              <w:ind w:left="33" w:right="34"/>
            </w:pPr>
            <w:r w:rsidRPr="00040E20">
              <w:t>Subtopic</w:t>
            </w:r>
          </w:p>
        </w:tc>
        <w:tc>
          <w:tcPr>
            <w:tcW w:w="2693" w:type="dxa"/>
            <w:hideMark/>
          </w:tcPr>
          <w:p w:rsidR="00C97E6F" w:rsidRPr="00040E20" w:rsidRDefault="00C97E6F" w:rsidP="00C97E6F">
            <w:pPr>
              <w:ind w:left="34" w:right="33"/>
            </w:pPr>
            <w:r w:rsidRPr="00040E20">
              <w:t>Study ID</w:t>
            </w:r>
          </w:p>
        </w:tc>
        <w:tc>
          <w:tcPr>
            <w:tcW w:w="567" w:type="dxa"/>
            <w:hideMark/>
          </w:tcPr>
          <w:p w:rsidR="00C97E6F" w:rsidRPr="00040E20" w:rsidRDefault="00C97E6F" w:rsidP="00C97E6F">
            <w:pPr>
              <w:jc w:val="center"/>
            </w:pPr>
            <w:r w:rsidRPr="00040E20">
              <w:t>*</w:t>
            </w:r>
          </w:p>
        </w:tc>
      </w:tr>
      <w:tr w:rsidR="00040E20" w:rsidTr="00215AAA">
        <w:tc>
          <w:tcPr>
            <w:tcW w:w="1668" w:type="dxa"/>
            <w:vMerge w:val="restart"/>
          </w:tcPr>
          <w:p w:rsidR="00040E20" w:rsidRPr="00C97E6F" w:rsidRDefault="00040E20" w:rsidP="00C97E6F">
            <w:pPr>
              <w:ind w:left="0" w:right="34"/>
              <w:rPr>
                <w:b/>
                <w:kern w:val="16"/>
              </w:rPr>
            </w:pPr>
            <w:r w:rsidRPr="00C97E6F">
              <w:rPr>
                <w:b/>
              </w:rPr>
              <w:t>PK in healthy adults</w:t>
            </w:r>
          </w:p>
        </w:tc>
        <w:tc>
          <w:tcPr>
            <w:tcW w:w="3685" w:type="dxa"/>
            <w:hideMark/>
          </w:tcPr>
          <w:p w:rsidR="00040E20" w:rsidRDefault="00040E20" w:rsidP="00C97E6F">
            <w:pPr>
              <w:tabs>
                <w:tab w:val="left" w:pos="1876"/>
              </w:tabs>
              <w:ind w:left="33" w:right="34"/>
            </w:pPr>
            <w:r>
              <w:t>General PK</w:t>
            </w:r>
            <w:r w:rsidR="00C97E6F">
              <w:tab/>
              <w:t>-</w:t>
            </w:r>
            <w:r>
              <w:t xml:space="preserve"> Single dose</w:t>
            </w:r>
          </w:p>
        </w:tc>
        <w:tc>
          <w:tcPr>
            <w:tcW w:w="2693" w:type="dxa"/>
            <w:hideMark/>
          </w:tcPr>
          <w:p w:rsidR="00040E20" w:rsidRPr="00411EBC" w:rsidRDefault="00040E20" w:rsidP="00C97E6F">
            <w:pPr>
              <w:ind w:left="34" w:right="33"/>
            </w:pPr>
            <w:r w:rsidRPr="00411EBC">
              <w:t>NP16104, BAP0006, BAP00210</w:t>
            </w:r>
          </w:p>
        </w:tc>
        <w:tc>
          <w:tcPr>
            <w:tcW w:w="567" w:type="dxa"/>
            <w:hideMark/>
          </w:tcPr>
          <w:p w:rsidR="00040E20" w:rsidRPr="00C97E6F" w:rsidRDefault="00040E20" w:rsidP="00C97E6F">
            <w:pPr>
              <w:jc w:val="center"/>
              <w:rPr>
                <w:kern w:val="16"/>
              </w:rPr>
            </w:pPr>
            <w:r w:rsidRPr="00C97E6F">
              <w:t>*</w:t>
            </w:r>
          </w:p>
          <w:p w:rsidR="00040E20" w:rsidRPr="00C97E6F" w:rsidRDefault="00040E20" w:rsidP="00C97E6F">
            <w:pPr>
              <w:jc w:val="center"/>
            </w:pPr>
            <w:r w:rsidRPr="00C97E6F">
              <w:t>*</w:t>
            </w:r>
          </w:p>
        </w:tc>
      </w:tr>
      <w:tr w:rsidR="00040E20" w:rsidTr="00215AAA">
        <w:tc>
          <w:tcPr>
            <w:tcW w:w="1668" w:type="dxa"/>
            <w:vMerge/>
            <w:hideMark/>
          </w:tcPr>
          <w:p w:rsidR="00040E20" w:rsidRDefault="00040E20" w:rsidP="00C97E6F">
            <w:pPr>
              <w:ind w:left="0" w:right="34"/>
              <w:rPr>
                <w:kern w:val="16"/>
              </w:rPr>
            </w:pPr>
          </w:p>
        </w:tc>
        <w:tc>
          <w:tcPr>
            <w:tcW w:w="3685" w:type="dxa"/>
            <w:hideMark/>
          </w:tcPr>
          <w:p w:rsidR="00040E20" w:rsidRPr="00C97E6F" w:rsidRDefault="00C97E6F" w:rsidP="00C97E6F">
            <w:pPr>
              <w:tabs>
                <w:tab w:val="left" w:pos="1876"/>
              </w:tabs>
              <w:ind w:left="33" w:right="34"/>
            </w:pPr>
            <w:r>
              <w:tab/>
              <w:t xml:space="preserve">- </w:t>
            </w:r>
            <w:r w:rsidR="00040E20" w:rsidRPr="00C97E6F">
              <w:t>Multi-dose</w:t>
            </w:r>
          </w:p>
        </w:tc>
        <w:tc>
          <w:tcPr>
            <w:tcW w:w="2693" w:type="dxa"/>
            <w:hideMark/>
          </w:tcPr>
          <w:p w:rsidR="00040E20" w:rsidRPr="00411EBC" w:rsidRDefault="00040E20" w:rsidP="00C97E6F">
            <w:pPr>
              <w:ind w:left="34" w:right="33"/>
              <w:rPr>
                <w:kern w:val="16"/>
              </w:rPr>
            </w:pPr>
            <w:r w:rsidRPr="00411EBC">
              <w:t>BAP00010, BAP00058</w:t>
            </w:r>
          </w:p>
          <w:p w:rsidR="00040E20" w:rsidRPr="00411EBC" w:rsidRDefault="00040E20" w:rsidP="00C97E6F">
            <w:pPr>
              <w:ind w:left="34" w:right="33"/>
            </w:pPr>
            <w:r w:rsidRPr="00411EBC">
              <w:t>BAP00393</w:t>
            </w:r>
          </w:p>
          <w:p w:rsidR="00040E20" w:rsidRPr="00411EBC" w:rsidRDefault="00040E20" w:rsidP="00C97E6F">
            <w:pPr>
              <w:ind w:left="34" w:right="33"/>
            </w:pPr>
            <w:r w:rsidRPr="00411EBC">
              <w:t>JNS015-JPN-01</w:t>
            </w:r>
          </w:p>
        </w:tc>
        <w:tc>
          <w:tcPr>
            <w:tcW w:w="567" w:type="dxa"/>
            <w:hideMark/>
          </w:tcPr>
          <w:p w:rsidR="00040E20" w:rsidRPr="00C97E6F" w:rsidRDefault="00040E20" w:rsidP="00C97E6F">
            <w:pPr>
              <w:jc w:val="center"/>
              <w:rPr>
                <w:kern w:val="16"/>
              </w:rPr>
            </w:pPr>
            <w:r w:rsidRPr="00C97E6F">
              <w:t>*</w:t>
            </w:r>
          </w:p>
          <w:p w:rsidR="00040E20" w:rsidRPr="00C97E6F" w:rsidRDefault="00040E20" w:rsidP="00C97E6F">
            <w:pPr>
              <w:jc w:val="center"/>
            </w:pPr>
            <w:r w:rsidRPr="00C97E6F">
              <w:t>*</w:t>
            </w:r>
          </w:p>
          <w:p w:rsidR="00040E20" w:rsidRPr="00C97E6F" w:rsidRDefault="00040E20" w:rsidP="00C97E6F">
            <w:pPr>
              <w:jc w:val="center"/>
            </w:pPr>
            <w:r w:rsidRPr="00C97E6F">
              <w:t>*</w:t>
            </w:r>
          </w:p>
        </w:tc>
      </w:tr>
      <w:tr w:rsidR="00040E20" w:rsidTr="00215AAA">
        <w:tc>
          <w:tcPr>
            <w:tcW w:w="1668" w:type="dxa"/>
            <w:vMerge w:val="restart"/>
          </w:tcPr>
          <w:p w:rsidR="00040E20" w:rsidRPr="00C97E6F" w:rsidRDefault="00040E20" w:rsidP="00C97E6F">
            <w:pPr>
              <w:ind w:left="0" w:right="34"/>
              <w:rPr>
                <w:b/>
                <w:kern w:val="16"/>
              </w:rPr>
            </w:pPr>
            <w:r w:rsidRPr="00C97E6F">
              <w:rPr>
                <w:b/>
              </w:rPr>
              <w:t>PK in special populations</w:t>
            </w:r>
          </w:p>
        </w:tc>
        <w:tc>
          <w:tcPr>
            <w:tcW w:w="3685" w:type="dxa"/>
            <w:hideMark/>
          </w:tcPr>
          <w:p w:rsidR="00040E20" w:rsidRDefault="00040E20" w:rsidP="00C97E6F">
            <w:pPr>
              <w:tabs>
                <w:tab w:val="left" w:pos="1876"/>
              </w:tabs>
              <w:ind w:left="33" w:right="34"/>
            </w:pPr>
            <w:r>
              <w:t>Target population §</w:t>
            </w:r>
            <w:r w:rsidR="00C97E6F">
              <w:t xml:space="preserve"> </w:t>
            </w:r>
            <w:r>
              <w:t>- Single dose</w:t>
            </w:r>
          </w:p>
        </w:tc>
        <w:tc>
          <w:tcPr>
            <w:tcW w:w="2693" w:type="dxa"/>
          </w:tcPr>
          <w:p w:rsidR="00040E20" w:rsidRPr="00411EBC" w:rsidRDefault="00040E20" w:rsidP="00C97E6F">
            <w:pPr>
              <w:ind w:left="34" w:right="33"/>
            </w:pPr>
          </w:p>
        </w:tc>
        <w:tc>
          <w:tcPr>
            <w:tcW w:w="567" w:type="dxa"/>
          </w:tcPr>
          <w:p w:rsidR="00040E20" w:rsidRPr="00C97E6F" w:rsidRDefault="00040E20" w:rsidP="00C97E6F">
            <w:pPr>
              <w:jc w:val="center"/>
            </w:pPr>
          </w:p>
        </w:tc>
      </w:tr>
      <w:tr w:rsidR="00040E20" w:rsidTr="00215AAA">
        <w:tc>
          <w:tcPr>
            <w:tcW w:w="1668" w:type="dxa"/>
            <w:vMerge/>
            <w:hideMark/>
          </w:tcPr>
          <w:p w:rsidR="00040E20" w:rsidRDefault="00040E20" w:rsidP="00C97E6F">
            <w:pPr>
              <w:ind w:left="0" w:right="34"/>
              <w:rPr>
                <w:kern w:val="16"/>
              </w:rPr>
            </w:pPr>
          </w:p>
        </w:tc>
        <w:tc>
          <w:tcPr>
            <w:tcW w:w="3685" w:type="dxa"/>
            <w:hideMark/>
          </w:tcPr>
          <w:p w:rsidR="00040E20" w:rsidRDefault="00C97E6F" w:rsidP="00C97E6F">
            <w:pPr>
              <w:tabs>
                <w:tab w:val="left" w:pos="1876"/>
              </w:tabs>
              <w:ind w:left="33" w:right="34"/>
            </w:pPr>
            <w:r>
              <w:tab/>
            </w:r>
            <w:r w:rsidR="00040E20">
              <w:t>- Multi-dose</w:t>
            </w:r>
          </w:p>
        </w:tc>
        <w:tc>
          <w:tcPr>
            <w:tcW w:w="2693" w:type="dxa"/>
          </w:tcPr>
          <w:p w:rsidR="00040E20" w:rsidRPr="00411EBC" w:rsidRDefault="00040E20" w:rsidP="00C97E6F">
            <w:pPr>
              <w:ind w:left="34" w:right="33"/>
            </w:pPr>
          </w:p>
        </w:tc>
        <w:tc>
          <w:tcPr>
            <w:tcW w:w="567" w:type="dxa"/>
          </w:tcPr>
          <w:p w:rsidR="00040E20" w:rsidRPr="00C97E6F" w:rsidRDefault="00040E20" w:rsidP="00C97E6F">
            <w:pPr>
              <w:jc w:val="center"/>
            </w:pPr>
          </w:p>
        </w:tc>
      </w:tr>
      <w:tr w:rsidR="00040E20" w:rsidTr="00215AAA">
        <w:tc>
          <w:tcPr>
            <w:tcW w:w="1668" w:type="dxa"/>
            <w:vMerge/>
            <w:hideMark/>
          </w:tcPr>
          <w:p w:rsidR="00040E20" w:rsidRDefault="00040E20" w:rsidP="00C97E6F">
            <w:pPr>
              <w:ind w:left="0" w:right="34"/>
              <w:rPr>
                <w:kern w:val="16"/>
              </w:rPr>
            </w:pPr>
          </w:p>
        </w:tc>
        <w:tc>
          <w:tcPr>
            <w:tcW w:w="3685" w:type="dxa"/>
            <w:hideMark/>
          </w:tcPr>
          <w:p w:rsidR="00040E20" w:rsidRDefault="00040E20" w:rsidP="00C97E6F">
            <w:pPr>
              <w:ind w:left="33" w:right="34"/>
            </w:pPr>
            <w:r>
              <w:t>Hepatic impairment</w:t>
            </w:r>
          </w:p>
        </w:tc>
        <w:tc>
          <w:tcPr>
            <w:tcW w:w="2693" w:type="dxa"/>
            <w:hideMark/>
          </w:tcPr>
          <w:p w:rsidR="00040E20" w:rsidRPr="00411EBC" w:rsidRDefault="00040E20" w:rsidP="00C97E6F">
            <w:pPr>
              <w:ind w:left="34" w:right="33"/>
            </w:pPr>
            <w:r w:rsidRPr="00411EBC">
              <w:t>not done</w:t>
            </w:r>
          </w:p>
        </w:tc>
        <w:tc>
          <w:tcPr>
            <w:tcW w:w="567" w:type="dxa"/>
          </w:tcPr>
          <w:p w:rsidR="00040E20" w:rsidRPr="00C97E6F" w:rsidRDefault="00040E20" w:rsidP="00C97E6F">
            <w:pPr>
              <w:jc w:val="center"/>
            </w:pPr>
          </w:p>
        </w:tc>
      </w:tr>
      <w:tr w:rsidR="00040E20" w:rsidTr="00215AAA">
        <w:tc>
          <w:tcPr>
            <w:tcW w:w="1668" w:type="dxa"/>
            <w:vMerge/>
            <w:hideMark/>
          </w:tcPr>
          <w:p w:rsidR="00040E20" w:rsidRDefault="00040E20" w:rsidP="00C97E6F">
            <w:pPr>
              <w:ind w:left="0" w:right="34"/>
              <w:rPr>
                <w:kern w:val="16"/>
              </w:rPr>
            </w:pPr>
          </w:p>
        </w:tc>
        <w:tc>
          <w:tcPr>
            <w:tcW w:w="3685" w:type="dxa"/>
            <w:hideMark/>
          </w:tcPr>
          <w:p w:rsidR="00040E20" w:rsidRDefault="00040E20" w:rsidP="00C97E6F">
            <w:pPr>
              <w:ind w:left="33" w:right="34"/>
            </w:pPr>
            <w:r>
              <w:t>Renal impairment</w:t>
            </w:r>
          </w:p>
        </w:tc>
        <w:tc>
          <w:tcPr>
            <w:tcW w:w="2693" w:type="dxa"/>
            <w:hideMark/>
          </w:tcPr>
          <w:p w:rsidR="00040E20" w:rsidRPr="00411EBC" w:rsidRDefault="00040E20" w:rsidP="00C97E6F">
            <w:pPr>
              <w:ind w:left="34" w:right="33"/>
              <w:rPr>
                <w:kern w:val="16"/>
              </w:rPr>
            </w:pPr>
            <w:r w:rsidRPr="00411EBC">
              <w:t>BAP00018</w:t>
            </w:r>
          </w:p>
          <w:p w:rsidR="00040E20" w:rsidRPr="00411EBC" w:rsidRDefault="00040E20" w:rsidP="00C97E6F">
            <w:pPr>
              <w:ind w:left="34" w:right="33"/>
            </w:pPr>
            <w:r w:rsidRPr="00411EBC">
              <w:t>30982081-CSI-1007</w:t>
            </w:r>
          </w:p>
          <w:p w:rsidR="00040E20" w:rsidRPr="00411EBC" w:rsidRDefault="00040E20" w:rsidP="00C97E6F">
            <w:pPr>
              <w:ind w:left="34" w:right="33"/>
            </w:pPr>
            <w:r w:rsidRPr="00411EBC">
              <w:t>CEFTO-NOS-1001</w:t>
            </w:r>
          </w:p>
        </w:tc>
        <w:tc>
          <w:tcPr>
            <w:tcW w:w="567" w:type="dxa"/>
            <w:hideMark/>
          </w:tcPr>
          <w:p w:rsidR="00040E20" w:rsidRPr="00C97E6F" w:rsidRDefault="00040E20" w:rsidP="00C97E6F">
            <w:pPr>
              <w:jc w:val="center"/>
            </w:pPr>
            <w:r w:rsidRPr="00C97E6F">
              <w:t>*</w:t>
            </w:r>
          </w:p>
        </w:tc>
      </w:tr>
      <w:tr w:rsidR="00040E20" w:rsidTr="00215AAA">
        <w:tc>
          <w:tcPr>
            <w:tcW w:w="1668" w:type="dxa"/>
            <w:vMerge/>
            <w:hideMark/>
          </w:tcPr>
          <w:p w:rsidR="00040E20" w:rsidRDefault="00040E20" w:rsidP="00C97E6F">
            <w:pPr>
              <w:ind w:left="0" w:right="34"/>
              <w:rPr>
                <w:kern w:val="16"/>
              </w:rPr>
            </w:pPr>
          </w:p>
        </w:tc>
        <w:tc>
          <w:tcPr>
            <w:tcW w:w="3685" w:type="dxa"/>
            <w:hideMark/>
          </w:tcPr>
          <w:p w:rsidR="00040E20" w:rsidRDefault="00040E20" w:rsidP="00C97E6F">
            <w:pPr>
              <w:ind w:left="33" w:right="34"/>
            </w:pPr>
            <w:r>
              <w:t>Obese adults</w:t>
            </w:r>
          </w:p>
        </w:tc>
        <w:tc>
          <w:tcPr>
            <w:tcW w:w="2693" w:type="dxa"/>
            <w:hideMark/>
          </w:tcPr>
          <w:p w:rsidR="00040E20" w:rsidRPr="00411EBC" w:rsidRDefault="00040E20" w:rsidP="00C97E6F">
            <w:pPr>
              <w:ind w:left="34" w:right="33"/>
            </w:pPr>
            <w:r w:rsidRPr="00411EBC">
              <w:t>CEFTO-CSI-1008</w:t>
            </w:r>
          </w:p>
        </w:tc>
        <w:tc>
          <w:tcPr>
            <w:tcW w:w="567" w:type="dxa"/>
            <w:hideMark/>
          </w:tcPr>
          <w:p w:rsidR="00040E20" w:rsidRPr="00C97E6F" w:rsidRDefault="00040E20" w:rsidP="00C97E6F">
            <w:pPr>
              <w:jc w:val="center"/>
            </w:pPr>
            <w:r w:rsidRPr="00C97E6F">
              <w:t>*</w:t>
            </w:r>
          </w:p>
        </w:tc>
      </w:tr>
      <w:tr w:rsidR="00040E20" w:rsidTr="00215AAA">
        <w:tc>
          <w:tcPr>
            <w:tcW w:w="1668" w:type="dxa"/>
            <w:vMerge/>
            <w:hideMark/>
          </w:tcPr>
          <w:p w:rsidR="00040E20" w:rsidRDefault="00040E20" w:rsidP="00C97E6F">
            <w:pPr>
              <w:ind w:left="0" w:right="34"/>
              <w:rPr>
                <w:kern w:val="16"/>
              </w:rPr>
            </w:pPr>
          </w:p>
        </w:tc>
        <w:tc>
          <w:tcPr>
            <w:tcW w:w="3685" w:type="dxa"/>
            <w:hideMark/>
          </w:tcPr>
          <w:p w:rsidR="00040E20" w:rsidRDefault="00040E20" w:rsidP="00C97E6F">
            <w:pPr>
              <w:ind w:left="33" w:right="34"/>
            </w:pPr>
            <w:r>
              <w:t>Neonates/infants/children/adolescents</w:t>
            </w:r>
          </w:p>
        </w:tc>
        <w:tc>
          <w:tcPr>
            <w:tcW w:w="2693" w:type="dxa"/>
            <w:hideMark/>
          </w:tcPr>
          <w:p w:rsidR="00040E20" w:rsidRPr="00411EBC" w:rsidRDefault="00040E20" w:rsidP="00C97E6F">
            <w:pPr>
              <w:ind w:left="34" w:right="33"/>
              <w:rPr>
                <w:highlight w:val="magenta"/>
              </w:rPr>
            </w:pPr>
            <w:r w:rsidRPr="00411EBC">
              <w:t>30982081-CSI-1006</w:t>
            </w:r>
          </w:p>
        </w:tc>
        <w:tc>
          <w:tcPr>
            <w:tcW w:w="567" w:type="dxa"/>
            <w:hideMark/>
          </w:tcPr>
          <w:p w:rsidR="00040E20" w:rsidRDefault="00040E20" w:rsidP="00C97E6F">
            <w:pPr>
              <w:jc w:val="center"/>
            </w:pPr>
            <w:r>
              <w:t>*</w:t>
            </w:r>
          </w:p>
        </w:tc>
      </w:tr>
      <w:tr w:rsidR="00040E20" w:rsidTr="00215AAA">
        <w:tc>
          <w:tcPr>
            <w:tcW w:w="1668" w:type="dxa"/>
            <w:vMerge/>
            <w:hideMark/>
          </w:tcPr>
          <w:p w:rsidR="00040E20" w:rsidRDefault="00040E20" w:rsidP="00C97E6F">
            <w:pPr>
              <w:ind w:left="0" w:right="34"/>
              <w:rPr>
                <w:kern w:val="16"/>
              </w:rPr>
            </w:pPr>
          </w:p>
        </w:tc>
        <w:tc>
          <w:tcPr>
            <w:tcW w:w="3685" w:type="dxa"/>
            <w:hideMark/>
          </w:tcPr>
          <w:p w:rsidR="00040E20" w:rsidRDefault="00040E20" w:rsidP="00C97E6F">
            <w:pPr>
              <w:ind w:left="33" w:right="34"/>
            </w:pPr>
            <w:r>
              <w:t>Elderly</w:t>
            </w:r>
          </w:p>
        </w:tc>
        <w:tc>
          <w:tcPr>
            <w:tcW w:w="2693" w:type="dxa"/>
            <w:hideMark/>
          </w:tcPr>
          <w:p w:rsidR="00040E20" w:rsidRPr="00411EBC" w:rsidRDefault="00040E20" w:rsidP="00C97E6F">
            <w:pPr>
              <w:ind w:left="34" w:right="33"/>
            </w:pPr>
            <w:r w:rsidRPr="00411EBC">
              <w:t>not done</w:t>
            </w:r>
          </w:p>
        </w:tc>
        <w:tc>
          <w:tcPr>
            <w:tcW w:w="567" w:type="dxa"/>
          </w:tcPr>
          <w:p w:rsidR="00040E20" w:rsidRDefault="00040E20" w:rsidP="00C97E6F">
            <w:pPr>
              <w:jc w:val="center"/>
            </w:pPr>
          </w:p>
        </w:tc>
      </w:tr>
      <w:tr w:rsidR="00040E20" w:rsidTr="00215AAA">
        <w:tc>
          <w:tcPr>
            <w:tcW w:w="1668" w:type="dxa"/>
            <w:hideMark/>
          </w:tcPr>
          <w:p w:rsidR="00040E20" w:rsidRPr="00C97E6F" w:rsidRDefault="00040E20" w:rsidP="00C97E6F">
            <w:pPr>
              <w:ind w:left="0" w:right="34"/>
              <w:rPr>
                <w:b/>
              </w:rPr>
            </w:pPr>
            <w:r w:rsidRPr="00C97E6F">
              <w:rPr>
                <w:b/>
              </w:rPr>
              <w:t>Genetic/gender-related PK</w:t>
            </w:r>
          </w:p>
        </w:tc>
        <w:tc>
          <w:tcPr>
            <w:tcW w:w="3685" w:type="dxa"/>
            <w:hideMark/>
          </w:tcPr>
          <w:p w:rsidR="00040E20" w:rsidRDefault="00040E20" w:rsidP="00C97E6F">
            <w:pPr>
              <w:ind w:left="33" w:right="34"/>
            </w:pPr>
            <w:r>
              <w:t>Males versus females</w:t>
            </w:r>
          </w:p>
        </w:tc>
        <w:tc>
          <w:tcPr>
            <w:tcW w:w="2693" w:type="dxa"/>
            <w:hideMark/>
          </w:tcPr>
          <w:p w:rsidR="00040E20" w:rsidRPr="00411EBC" w:rsidRDefault="00040E20" w:rsidP="00C97E6F">
            <w:pPr>
              <w:ind w:left="34" w:right="33"/>
              <w:rPr>
                <w:kern w:val="16"/>
              </w:rPr>
            </w:pPr>
            <w:r w:rsidRPr="00411EBC">
              <w:t>BAP00036</w:t>
            </w:r>
          </w:p>
          <w:p w:rsidR="00040E20" w:rsidRPr="00411EBC" w:rsidRDefault="00040E20" w:rsidP="00C97E6F">
            <w:pPr>
              <w:ind w:left="34" w:right="33"/>
            </w:pPr>
            <w:r w:rsidRPr="00411EBC">
              <w:t>30982081-CSI-1004</w:t>
            </w:r>
          </w:p>
        </w:tc>
        <w:tc>
          <w:tcPr>
            <w:tcW w:w="567" w:type="dxa"/>
            <w:hideMark/>
          </w:tcPr>
          <w:p w:rsidR="00040E20" w:rsidRDefault="00040E20" w:rsidP="00C97E6F">
            <w:pPr>
              <w:jc w:val="center"/>
            </w:pPr>
            <w:r>
              <w:t>*</w:t>
            </w:r>
          </w:p>
        </w:tc>
      </w:tr>
      <w:tr w:rsidR="00040E20" w:rsidTr="00215AAA">
        <w:tc>
          <w:tcPr>
            <w:tcW w:w="1668" w:type="dxa"/>
            <w:hideMark/>
          </w:tcPr>
          <w:p w:rsidR="00040E20" w:rsidRPr="00C97E6F" w:rsidRDefault="00040E20" w:rsidP="00C97E6F">
            <w:pPr>
              <w:ind w:left="0" w:right="34"/>
              <w:rPr>
                <w:b/>
              </w:rPr>
            </w:pPr>
            <w:r w:rsidRPr="00C97E6F">
              <w:rPr>
                <w:b/>
              </w:rPr>
              <w:t>PK interactions</w:t>
            </w:r>
          </w:p>
        </w:tc>
        <w:tc>
          <w:tcPr>
            <w:tcW w:w="3685" w:type="dxa"/>
            <w:hideMark/>
          </w:tcPr>
          <w:p w:rsidR="00040E20" w:rsidRDefault="00040E20" w:rsidP="00C97E6F">
            <w:pPr>
              <w:ind w:left="33" w:right="34"/>
            </w:pPr>
          </w:p>
        </w:tc>
        <w:tc>
          <w:tcPr>
            <w:tcW w:w="2693" w:type="dxa"/>
            <w:hideMark/>
          </w:tcPr>
          <w:p w:rsidR="00040E20" w:rsidRPr="00411EBC" w:rsidRDefault="00040E20" w:rsidP="00C97E6F">
            <w:pPr>
              <w:ind w:left="34" w:right="33"/>
            </w:pPr>
            <w:r w:rsidRPr="00411EBC">
              <w:t>not done</w:t>
            </w:r>
          </w:p>
        </w:tc>
        <w:tc>
          <w:tcPr>
            <w:tcW w:w="567" w:type="dxa"/>
          </w:tcPr>
          <w:p w:rsidR="00040E20" w:rsidRDefault="00040E20" w:rsidP="00C97E6F">
            <w:pPr>
              <w:jc w:val="center"/>
            </w:pPr>
          </w:p>
        </w:tc>
      </w:tr>
      <w:tr w:rsidR="00040E20" w:rsidTr="00215AAA">
        <w:tc>
          <w:tcPr>
            <w:tcW w:w="1668" w:type="dxa"/>
            <w:vMerge w:val="restart"/>
            <w:hideMark/>
          </w:tcPr>
          <w:p w:rsidR="00040E20" w:rsidRPr="00C97E6F" w:rsidRDefault="00040E20" w:rsidP="00C97E6F">
            <w:pPr>
              <w:ind w:left="0" w:right="34"/>
              <w:rPr>
                <w:b/>
              </w:rPr>
            </w:pPr>
            <w:r w:rsidRPr="00C97E6F">
              <w:rPr>
                <w:b/>
              </w:rPr>
              <w:t>Population PK analyses</w:t>
            </w:r>
          </w:p>
        </w:tc>
        <w:tc>
          <w:tcPr>
            <w:tcW w:w="3685" w:type="dxa"/>
            <w:hideMark/>
          </w:tcPr>
          <w:p w:rsidR="00040E20" w:rsidRDefault="00040E20" w:rsidP="00C97E6F">
            <w:pPr>
              <w:ind w:left="33" w:right="34"/>
            </w:pPr>
            <w:r>
              <w:t>Healthy subjects</w:t>
            </w:r>
          </w:p>
        </w:tc>
        <w:tc>
          <w:tcPr>
            <w:tcW w:w="2693" w:type="dxa"/>
            <w:hideMark/>
          </w:tcPr>
          <w:p w:rsidR="00040E20" w:rsidRPr="00411EBC" w:rsidRDefault="00040E20" w:rsidP="00C97E6F">
            <w:pPr>
              <w:ind w:left="34" w:right="33"/>
            </w:pPr>
            <w:r w:rsidRPr="00411EBC">
              <w:t>Completed JNJ-30982081</w:t>
            </w:r>
          </w:p>
        </w:tc>
        <w:tc>
          <w:tcPr>
            <w:tcW w:w="567" w:type="dxa"/>
            <w:hideMark/>
          </w:tcPr>
          <w:p w:rsidR="00040E20" w:rsidRDefault="00040E20" w:rsidP="00C97E6F">
            <w:pPr>
              <w:jc w:val="center"/>
            </w:pPr>
            <w:r>
              <w:t>*</w:t>
            </w:r>
          </w:p>
        </w:tc>
      </w:tr>
      <w:tr w:rsidR="00040E20" w:rsidTr="00215AAA">
        <w:tc>
          <w:tcPr>
            <w:tcW w:w="1668" w:type="dxa"/>
            <w:vMerge/>
            <w:hideMark/>
          </w:tcPr>
          <w:p w:rsidR="00040E20" w:rsidRDefault="00040E20" w:rsidP="00C97E6F">
            <w:pPr>
              <w:ind w:left="0" w:right="34"/>
              <w:rPr>
                <w:kern w:val="16"/>
              </w:rPr>
            </w:pPr>
          </w:p>
        </w:tc>
        <w:tc>
          <w:tcPr>
            <w:tcW w:w="3685" w:type="dxa"/>
            <w:hideMark/>
          </w:tcPr>
          <w:p w:rsidR="00040E20" w:rsidRDefault="00040E20" w:rsidP="00C97E6F">
            <w:pPr>
              <w:ind w:left="33" w:right="34"/>
            </w:pPr>
            <w:r>
              <w:t>Target population</w:t>
            </w:r>
          </w:p>
        </w:tc>
        <w:tc>
          <w:tcPr>
            <w:tcW w:w="2693" w:type="dxa"/>
            <w:hideMark/>
          </w:tcPr>
          <w:p w:rsidR="00040E20" w:rsidRPr="00411EBC" w:rsidRDefault="00040E20" w:rsidP="00C97E6F">
            <w:pPr>
              <w:ind w:left="34" w:right="33"/>
            </w:pPr>
            <w:r w:rsidRPr="00411EBC">
              <w:t xml:space="preserve">Patients with </w:t>
            </w:r>
            <w:proofErr w:type="spellStart"/>
            <w:r w:rsidRPr="00411EBC">
              <w:t>cSSSI</w:t>
            </w:r>
            <w:proofErr w:type="spellEnd"/>
            <w:r w:rsidRPr="00411EBC">
              <w:t xml:space="preserve"> JNJ-30982081</w:t>
            </w:r>
          </w:p>
        </w:tc>
        <w:tc>
          <w:tcPr>
            <w:tcW w:w="567" w:type="dxa"/>
            <w:hideMark/>
          </w:tcPr>
          <w:p w:rsidR="00040E20" w:rsidRDefault="00040E20" w:rsidP="00C97E6F">
            <w:pPr>
              <w:jc w:val="center"/>
            </w:pPr>
            <w:r>
              <w:t>*</w:t>
            </w:r>
          </w:p>
        </w:tc>
      </w:tr>
    </w:tbl>
    <w:p w:rsidR="0057000A" w:rsidRDefault="0057000A" w:rsidP="00C97E6F">
      <w:pPr>
        <w:pStyle w:val="TableDescription"/>
        <w:rPr>
          <w:kern w:val="16"/>
        </w:rPr>
      </w:pPr>
      <w:r>
        <w:t>* Indicates the primary aim of the study. † Bioequivalence of different formulations. § Subjects who would be eligible to receive the drug if approved for the proposed indication. None of the pharmacokinetic studies had deficiencies that excluded their results from consideration.</w:t>
      </w:r>
    </w:p>
    <w:p w:rsidR="0057000A" w:rsidRDefault="0057000A" w:rsidP="00C97E6F">
      <w:r>
        <w:t xml:space="preserve">Note: the </w:t>
      </w:r>
      <w:r>
        <w:rPr>
          <w:b/>
        </w:rPr>
        <w:t>**</w:t>
      </w:r>
      <w:r>
        <w:t xml:space="preserve"> studies above also </w:t>
      </w:r>
      <w:r w:rsidRPr="00C97E6F">
        <w:t>included</w:t>
      </w:r>
      <w:r>
        <w:t xml:space="preserve"> PD data which is presented </w:t>
      </w:r>
      <w:r w:rsidR="00040E20">
        <w:t>below.</w:t>
      </w:r>
    </w:p>
    <w:p w:rsidR="00605AD4" w:rsidRDefault="00605AD4" w:rsidP="00C97E6F">
      <w:pPr>
        <w:pStyle w:val="Heading4"/>
      </w:pPr>
      <w:r>
        <w:t>Evaluator’s conclusions on pharmacokinetics</w:t>
      </w:r>
    </w:p>
    <w:p w:rsidR="0057000A" w:rsidRDefault="0057000A" w:rsidP="00C97E6F">
      <w:r>
        <w:t xml:space="preserve">The </w:t>
      </w:r>
      <w:r w:rsidR="00040E20">
        <w:t>a</w:t>
      </w:r>
      <w:r>
        <w:t xml:space="preserve">pplicant has provided a comprehensive PK program (in adults) and a justification for the lack of drug-drug interaction studies. This reveals linear and time-independent PK and a drug that is excreted predominantly unchanged in urine. The programme of studies in </w:t>
      </w:r>
      <w:proofErr w:type="spellStart"/>
      <w:r>
        <w:t>renally</w:t>
      </w:r>
      <w:proofErr w:type="spellEnd"/>
      <w:r>
        <w:t xml:space="preserve"> impaired individuals supports the proposed dosing in those with mild</w:t>
      </w:r>
      <w:r w:rsidR="00040E20">
        <w:t xml:space="preserve"> to </w:t>
      </w:r>
      <w:r>
        <w:t>moderate and severe renal impairment (including dialysis subjects).</w:t>
      </w:r>
    </w:p>
    <w:p w:rsidR="008E7846" w:rsidRDefault="008E7846" w:rsidP="008E7846">
      <w:pPr>
        <w:pStyle w:val="Heading3"/>
      </w:pPr>
      <w:bookmarkStart w:id="67" w:name="_Toc196046481"/>
      <w:bookmarkStart w:id="68" w:name="_Toc247691520"/>
      <w:bookmarkStart w:id="69" w:name="_Toc314842503"/>
      <w:bookmarkStart w:id="70" w:name="_Toc443060229"/>
      <w:r w:rsidRPr="00254787">
        <w:t>Pharmacodynamics</w:t>
      </w:r>
      <w:bookmarkEnd w:id="51"/>
      <w:bookmarkEnd w:id="67"/>
      <w:bookmarkEnd w:id="68"/>
      <w:bookmarkEnd w:id="69"/>
      <w:bookmarkEnd w:id="70"/>
    </w:p>
    <w:p w:rsidR="00605AD4" w:rsidRDefault="00605AD4" w:rsidP="00605AD4">
      <w:pPr>
        <w:pStyle w:val="Heading4"/>
      </w:pPr>
      <w:r>
        <w:t xml:space="preserve">Studies providing </w:t>
      </w:r>
      <w:proofErr w:type="spellStart"/>
      <w:r>
        <w:t>pharmacodynamic</w:t>
      </w:r>
      <w:proofErr w:type="spellEnd"/>
      <w:r>
        <w:t xml:space="preserve"> data</w:t>
      </w:r>
    </w:p>
    <w:p w:rsidR="0057000A" w:rsidRPr="00040E20" w:rsidRDefault="0057000A" w:rsidP="0057000A">
      <w:r w:rsidRPr="00040E20">
        <w:t xml:space="preserve">Table </w:t>
      </w:r>
      <w:r w:rsidR="00040E20" w:rsidRPr="00040E20">
        <w:t>4</w:t>
      </w:r>
      <w:r w:rsidRPr="00040E20">
        <w:t xml:space="preserve"> shows the studies relating to each PD topic.</w:t>
      </w:r>
    </w:p>
    <w:p w:rsidR="0057000A" w:rsidRDefault="0057000A" w:rsidP="00C97E6F">
      <w:pPr>
        <w:pStyle w:val="TableTitle"/>
      </w:pPr>
      <w:bookmarkStart w:id="71" w:name="_Ref269985397"/>
      <w:bookmarkStart w:id="72" w:name="_Toc290888902"/>
      <w:proofErr w:type="gramStart"/>
      <w:r>
        <w:t xml:space="preserve">Table </w:t>
      </w:r>
      <w:bookmarkEnd w:id="71"/>
      <w:r w:rsidR="00040E20">
        <w:t>4</w:t>
      </w:r>
      <w:r w:rsidR="00A7675A">
        <w:t>:</w:t>
      </w:r>
      <w:r>
        <w:t xml:space="preserve"> Submitted </w:t>
      </w:r>
      <w:proofErr w:type="spellStart"/>
      <w:r>
        <w:t>pharmacodynamic</w:t>
      </w:r>
      <w:proofErr w:type="spellEnd"/>
      <w:r>
        <w:t xml:space="preserve"> studies.</w:t>
      </w:r>
      <w:bookmarkEnd w:id="72"/>
      <w:proofErr w:type="gramEnd"/>
    </w:p>
    <w:tbl>
      <w:tblPr>
        <w:tblStyle w:val="TableTGAblue"/>
        <w:tblW w:w="8897" w:type="dxa"/>
        <w:tblLayout w:type="fixed"/>
        <w:tblLook w:val="04A0" w:firstRow="1" w:lastRow="0" w:firstColumn="1" w:lastColumn="0" w:noHBand="0" w:noVBand="1"/>
      </w:tblPr>
      <w:tblGrid>
        <w:gridCol w:w="2094"/>
        <w:gridCol w:w="3684"/>
        <w:gridCol w:w="2127"/>
        <w:gridCol w:w="992"/>
      </w:tblGrid>
      <w:tr w:rsidR="00040E20" w:rsidRPr="00E91A6F" w:rsidTr="00C97E6F">
        <w:trPr>
          <w:cnfStyle w:val="100000000000" w:firstRow="1" w:lastRow="0" w:firstColumn="0" w:lastColumn="0" w:oddVBand="0" w:evenVBand="0" w:oddHBand="0" w:evenHBand="0" w:firstRowFirstColumn="0" w:firstRowLastColumn="0" w:lastRowFirstColumn="0" w:lastRowLastColumn="0"/>
        </w:trPr>
        <w:tc>
          <w:tcPr>
            <w:tcW w:w="2094" w:type="dxa"/>
            <w:hideMark/>
          </w:tcPr>
          <w:p w:rsidR="00040E20" w:rsidRPr="00E91A6F" w:rsidRDefault="00040E20" w:rsidP="00E91A6F">
            <w:pPr>
              <w:ind w:left="0" w:right="35"/>
              <w:rPr>
                <w:sz w:val="20"/>
                <w:szCs w:val="20"/>
              </w:rPr>
            </w:pPr>
            <w:r w:rsidRPr="00E91A6F">
              <w:rPr>
                <w:sz w:val="20"/>
                <w:szCs w:val="20"/>
              </w:rPr>
              <w:t>PD Topic</w:t>
            </w:r>
          </w:p>
        </w:tc>
        <w:tc>
          <w:tcPr>
            <w:tcW w:w="3684" w:type="dxa"/>
            <w:hideMark/>
          </w:tcPr>
          <w:p w:rsidR="00040E20" w:rsidRPr="00E91A6F" w:rsidRDefault="00040E20" w:rsidP="00E91A6F">
            <w:pPr>
              <w:ind w:left="33" w:right="33"/>
              <w:rPr>
                <w:sz w:val="20"/>
                <w:szCs w:val="20"/>
              </w:rPr>
            </w:pPr>
            <w:r w:rsidRPr="00E91A6F">
              <w:rPr>
                <w:sz w:val="20"/>
                <w:szCs w:val="20"/>
              </w:rPr>
              <w:t>Subtopic</w:t>
            </w:r>
          </w:p>
        </w:tc>
        <w:tc>
          <w:tcPr>
            <w:tcW w:w="2127" w:type="dxa"/>
            <w:hideMark/>
          </w:tcPr>
          <w:p w:rsidR="00040E20" w:rsidRPr="00E91A6F" w:rsidRDefault="00040E20" w:rsidP="00E91A6F">
            <w:pPr>
              <w:ind w:left="34" w:right="34"/>
              <w:rPr>
                <w:sz w:val="20"/>
                <w:szCs w:val="20"/>
              </w:rPr>
            </w:pPr>
            <w:r w:rsidRPr="00E91A6F">
              <w:rPr>
                <w:sz w:val="20"/>
                <w:szCs w:val="20"/>
              </w:rPr>
              <w:t>Study ID</w:t>
            </w:r>
          </w:p>
        </w:tc>
        <w:tc>
          <w:tcPr>
            <w:tcW w:w="992" w:type="dxa"/>
            <w:hideMark/>
          </w:tcPr>
          <w:p w:rsidR="00040E20" w:rsidRPr="00E91A6F" w:rsidRDefault="00040E20" w:rsidP="00E91A6F">
            <w:pPr>
              <w:jc w:val="center"/>
              <w:rPr>
                <w:sz w:val="20"/>
                <w:szCs w:val="20"/>
              </w:rPr>
            </w:pPr>
            <w:r w:rsidRPr="00E91A6F">
              <w:rPr>
                <w:sz w:val="20"/>
                <w:szCs w:val="20"/>
              </w:rPr>
              <w:t>*</w:t>
            </w:r>
          </w:p>
        </w:tc>
      </w:tr>
      <w:tr w:rsidR="00040E20" w:rsidRPr="00E91A6F" w:rsidTr="00C97E6F">
        <w:tc>
          <w:tcPr>
            <w:tcW w:w="2094" w:type="dxa"/>
            <w:hideMark/>
          </w:tcPr>
          <w:p w:rsidR="00040E20" w:rsidRPr="00E91A6F" w:rsidRDefault="00040E20" w:rsidP="00E91A6F">
            <w:pPr>
              <w:ind w:left="0" w:right="35"/>
              <w:rPr>
                <w:b/>
                <w:sz w:val="20"/>
                <w:szCs w:val="20"/>
              </w:rPr>
            </w:pPr>
            <w:r w:rsidRPr="00E91A6F">
              <w:rPr>
                <w:b/>
                <w:sz w:val="20"/>
                <w:szCs w:val="20"/>
              </w:rPr>
              <w:t>Primary Pharmacology</w:t>
            </w:r>
          </w:p>
        </w:tc>
        <w:tc>
          <w:tcPr>
            <w:tcW w:w="3684" w:type="dxa"/>
          </w:tcPr>
          <w:p w:rsidR="00040E20" w:rsidRPr="00E91A6F" w:rsidRDefault="00040E20" w:rsidP="00E91A6F">
            <w:pPr>
              <w:ind w:left="33" w:right="33"/>
              <w:rPr>
                <w:kern w:val="16"/>
                <w:sz w:val="20"/>
                <w:szCs w:val="20"/>
              </w:rPr>
            </w:pPr>
            <w:r w:rsidRPr="00E91A6F">
              <w:rPr>
                <w:sz w:val="20"/>
                <w:szCs w:val="20"/>
              </w:rPr>
              <w:t>BAL penetration</w:t>
            </w:r>
          </w:p>
          <w:p w:rsidR="00040E20" w:rsidRPr="00E91A6F" w:rsidRDefault="00040E20" w:rsidP="00E91A6F">
            <w:pPr>
              <w:spacing w:before="480"/>
              <w:ind w:left="34" w:right="34"/>
              <w:rPr>
                <w:sz w:val="20"/>
                <w:szCs w:val="20"/>
              </w:rPr>
            </w:pPr>
            <w:r w:rsidRPr="00E91A6F">
              <w:rPr>
                <w:sz w:val="20"/>
                <w:szCs w:val="20"/>
              </w:rPr>
              <w:t>Tissue penetration in adipose and skeletal tissue</w:t>
            </w:r>
          </w:p>
          <w:p w:rsidR="00040E20" w:rsidRPr="00E91A6F" w:rsidRDefault="00040E20" w:rsidP="00E91A6F">
            <w:pPr>
              <w:ind w:left="33" w:right="33"/>
              <w:rPr>
                <w:sz w:val="20"/>
                <w:szCs w:val="20"/>
              </w:rPr>
            </w:pPr>
            <w:r w:rsidRPr="00E91A6F">
              <w:rPr>
                <w:sz w:val="20"/>
                <w:szCs w:val="20"/>
              </w:rPr>
              <w:t>Penetration into bone</w:t>
            </w:r>
          </w:p>
          <w:p w:rsidR="00040E20" w:rsidRPr="00E91A6F" w:rsidRDefault="00040E20" w:rsidP="00E91A6F">
            <w:pPr>
              <w:ind w:left="33" w:right="33"/>
              <w:rPr>
                <w:sz w:val="20"/>
                <w:szCs w:val="20"/>
              </w:rPr>
            </w:pPr>
            <w:r w:rsidRPr="00E91A6F">
              <w:rPr>
                <w:sz w:val="20"/>
                <w:szCs w:val="20"/>
              </w:rPr>
              <w:t>Penetration into epithelial lining and alveolar macrophages in the lung**</w:t>
            </w:r>
          </w:p>
        </w:tc>
        <w:tc>
          <w:tcPr>
            <w:tcW w:w="2127" w:type="dxa"/>
          </w:tcPr>
          <w:p w:rsidR="00040E20" w:rsidRPr="00E91A6F" w:rsidRDefault="00040E20" w:rsidP="00E91A6F">
            <w:pPr>
              <w:ind w:left="34" w:right="34"/>
              <w:rPr>
                <w:kern w:val="16"/>
                <w:sz w:val="20"/>
                <w:szCs w:val="20"/>
              </w:rPr>
            </w:pPr>
            <w:r w:rsidRPr="00E91A6F">
              <w:rPr>
                <w:sz w:val="20"/>
                <w:szCs w:val="20"/>
              </w:rPr>
              <w:t>30982081-CSI-1005</w:t>
            </w:r>
          </w:p>
          <w:p w:rsidR="00040E20" w:rsidRPr="00E91A6F" w:rsidRDefault="00040E20" w:rsidP="00E91A6F">
            <w:pPr>
              <w:ind w:left="34" w:right="34"/>
              <w:rPr>
                <w:sz w:val="20"/>
                <w:szCs w:val="20"/>
              </w:rPr>
            </w:pPr>
            <w:r w:rsidRPr="00E91A6F">
              <w:rPr>
                <w:sz w:val="20"/>
                <w:szCs w:val="20"/>
              </w:rPr>
              <w:t>30982081-CSI-1002</w:t>
            </w:r>
          </w:p>
          <w:p w:rsidR="00040E20" w:rsidRPr="00E91A6F" w:rsidRDefault="00040E20" w:rsidP="00E91A6F">
            <w:pPr>
              <w:ind w:left="34" w:right="34"/>
              <w:rPr>
                <w:sz w:val="20"/>
                <w:szCs w:val="20"/>
              </w:rPr>
            </w:pPr>
            <w:r w:rsidRPr="00E91A6F">
              <w:rPr>
                <w:sz w:val="20"/>
                <w:szCs w:val="20"/>
              </w:rPr>
              <w:t>CEFTOPED-1001</w:t>
            </w:r>
          </w:p>
          <w:p w:rsidR="00040E20" w:rsidRPr="00E91A6F" w:rsidRDefault="00040E20" w:rsidP="00E91A6F">
            <w:pPr>
              <w:ind w:left="34" w:right="34"/>
              <w:rPr>
                <w:sz w:val="20"/>
                <w:szCs w:val="20"/>
              </w:rPr>
            </w:pPr>
            <w:r w:rsidRPr="00E91A6F">
              <w:rPr>
                <w:sz w:val="20"/>
                <w:szCs w:val="20"/>
              </w:rPr>
              <w:t>CEFTONOS-1002</w:t>
            </w:r>
          </w:p>
        </w:tc>
        <w:tc>
          <w:tcPr>
            <w:tcW w:w="992" w:type="dxa"/>
          </w:tcPr>
          <w:p w:rsidR="00040E20" w:rsidRPr="00E91A6F" w:rsidRDefault="00040E20" w:rsidP="00E91A6F">
            <w:pPr>
              <w:jc w:val="center"/>
              <w:rPr>
                <w:kern w:val="16"/>
                <w:sz w:val="20"/>
                <w:szCs w:val="20"/>
              </w:rPr>
            </w:pPr>
            <w:r w:rsidRPr="00E91A6F">
              <w:rPr>
                <w:sz w:val="20"/>
                <w:szCs w:val="20"/>
              </w:rPr>
              <w:t>*</w:t>
            </w:r>
          </w:p>
          <w:p w:rsidR="00040E20" w:rsidRPr="00E91A6F" w:rsidRDefault="00040E20" w:rsidP="00E91A6F">
            <w:pPr>
              <w:jc w:val="center"/>
              <w:rPr>
                <w:sz w:val="20"/>
                <w:szCs w:val="20"/>
              </w:rPr>
            </w:pPr>
            <w:r w:rsidRPr="00E91A6F">
              <w:rPr>
                <w:sz w:val="20"/>
                <w:szCs w:val="20"/>
              </w:rPr>
              <w:t>*</w:t>
            </w:r>
          </w:p>
          <w:p w:rsidR="00E91A6F" w:rsidRDefault="00E91A6F" w:rsidP="00E91A6F">
            <w:pPr>
              <w:jc w:val="center"/>
              <w:rPr>
                <w:sz w:val="20"/>
                <w:szCs w:val="20"/>
              </w:rPr>
            </w:pPr>
          </w:p>
          <w:p w:rsidR="00040E20" w:rsidRPr="00E91A6F" w:rsidRDefault="00040E20" w:rsidP="00E91A6F">
            <w:pPr>
              <w:jc w:val="center"/>
              <w:rPr>
                <w:sz w:val="20"/>
                <w:szCs w:val="20"/>
              </w:rPr>
            </w:pPr>
            <w:r w:rsidRPr="00E91A6F">
              <w:rPr>
                <w:sz w:val="20"/>
                <w:szCs w:val="20"/>
              </w:rPr>
              <w:t>*</w:t>
            </w:r>
          </w:p>
          <w:p w:rsidR="00040E20" w:rsidRPr="00E91A6F" w:rsidRDefault="00040E20" w:rsidP="00E91A6F">
            <w:pPr>
              <w:jc w:val="center"/>
              <w:rPr>
                <w:sz w:val="20"/>
                <w:szCs w:val="20"/>
              </w:rPr>
            </w:pPr>
            <w:r w:rsidRPr="00E91A6F">
              <w:rPr>
                <w:sz w:val="20"/>
                <w:szCs w:val="20"/>
              </w:rPr>
              <w:t>*</w:t>
            </w:r>
          </w:p>
        </w:tc>
      </w:tr>
      <w:tr w:rsidR="00040E20" w:rsidRPr="00E91A6F" w:rsidTr="00C97E6F">
        <w:tc>
          <w:tcPr>
            <w:tcW w:w="2094" w:type="dxa"/>
            <w:vMerge w:val="restart"/>
            <w:hideMark/>
          </w:tcPr>
          <w:p w:rsidR="00040E20" w:rsidRPr="00E91A6F" w:rsidRDefault="00040E20" w:rsidP="00E91A6F">
            <w:pPr>
              <w:ind w:left="0" w:right="35"/>
              <w:rPr>
                <w:b/>
                <w:sz w:val="20"/>
                <w:szCs w:val="20"/>
              </w:rPr>
            </w:pPr>
            <w:r w:rsidRPr="00E91A6F">
              <w:rPr>
                <w:b/>
                <w:sz w:val="20"/>
                <w:szCs w:val="20"/>
              </w:rPr>
              <w:t>Secondary Pharmacology</w:t>
            </w:r>
          </w:p>
        </w:tc>
        <w:tc>
          <w:tcPr>
            <w:tcW w:w="3684" w:type="dxa"/>
            <w:hideMark/>
          </w:tcPr>
          <w:p w:rsidR="00040E20" w:rsidRPr="00E91A6F" w:rsidRDefault="00040E20" w:rsidP="00E91A6F">
            <w:pPr>
              <w:ind w:left="33" w:right="33"/>
              <w:rPr>
                <w:sz w:val="20"/>
                <w:szCs w:val="20"/>
              </w:rPr>
            </w:pPr>
            <w:r w:rsidRPr="00E91A6F">
              <w:rPr>
                <w:sz w:val="20"/>
                <w:szCs w:val="20"/>
              </w:rPr>
              <w:t>Effect on intestinal flora</w:t>
            </w:r>
          </w:p>
        </w:tc>
        <w:tc>
          <w:tcPr>
            <w:tcW w:w="2127" w:type="dxa"/>
            <w:hideMark/>
          </w:tcPr>
          <w:p w:rsidR="00040E20" w:rsidRPr="00E91A6F" w:rsidRDefault="00040E20" w:rsidP="00E91A6F">
            <w:pPr>
              <w:ind w:left="34" w:right="34"/>
              <w:rPr>
                <w:sz w:val="20"/>
                <w:szCs w:val="20"/>
              </w:rPr>
            </w:pPr>
            <w:r w:rsidRPr="00E91A6F">
              <w:rPr>
                <w:sz w:val="20"/>
                <w:szCs w:val="20"/>
              </w:rPr>
              <w:t>CEFTO-BAC-1002</w:t>
            </w:r>
          </w:p>
        </w:tc>
        <w:tc>
          <w:tcPr>
            <w:tcW w:w="992" w:type="dxa"/>
            <w:hideMark/>
          </w:tcPr>
          <w:p w:rsidR="00040E20" w:rsidRPr="00E91A6F" w:rsidRDefault="00040E20" w:rsidP="00E91A6F">
            <w:pPr>
              <w:jc w:val="center"/>
              <w:rPr>
                <w:sz w:val="20"/>
                <w:szCs w:val="20"/>
              </w:rPr>
            </w:pPr>
            <w:r w:rsidRPr="00E91A6F">
              <w:rPr>
                <w:sz w:val="20"/>
                <w:szCs w:val="20"/>
              </w:rPr>
              <w:t>*</w:t>
            </w:r>
          </w:p>
        </w:tc>
      </w:tr>
      <w:tr w:rsidR="00040E20" w:rsidRPr="00E91A6F" w:rsidTr="00C97E6F">
        <w:tc>
          <w:tcPr>
            <w:tcW w:w="2094" w:type="dxa"/>
            <w:vMerge/>
            <w:hideMark/>
          </w:tcPr>
          <w:p w:rsidR="00040E20" w:rsidRPr="00E91A6F" w:rsidRDefault="00040E20" w:rsidP="00E91A6F">
            <w:pPr>
              <w:ind w:left="0" w:right="35"/>
              <w:rPr>
                <w:b/>
                <w:kern w:val="16"/>
                <w:sz w:val="20"/>
                <w:szCs w:val="20"/>
              </w:rPr>
            </w:pPr>
          </w:p>
        </w:tc>
        <w:tc>
          <w:tcPr>
            <w:tcW w:w="3684" w:type="dxa"/>
            <w:hideMark/>
          </w:tcPr>
          <w:p w:rsidR="00040E20" w:rsidRPr="00E91A6F" w:rsidRDefault="00040E20" w:rsidP="00E91A6F">
            <w:pPr>
              <w:ind w:left="33" w:right="33"/>
              <w:rPr>
                <w:sz w:val="20"/>
                <w:szCs w:val="20"/>
              </w:rPr>
            </w:pPr>
            <w:r w:rsidRPr="00E91A6F">
              <w:rPr>
                <w:sz w:val="20"/>
                <w:szCs w:val="20"/>
              </w:rPr>
              <w:t xml:space="preserve">Effect on </w:t>
            </w:r>
            <w:proofErr w:type="spellStart"/>
            <w:r w:rsidRPr="00E91A6F">
              <w:rPr>
                <w:sz w:val="20"/>
                <w:szCs w:val="20"/>
              </w:rPr>
              <w:t>QTc</w:t>
            </w:r>
            <w:proofErr w:type="spellEnd"/>
            <w:r w:rsidRPr="00E91A6F">
              <w:rPr>
                <w:sz w:val="20"/>
                <w:szCs w:val="20"/>
              </w:rPr>
              <w:t xml:space="preserve"> interval</w:t>
            </w:r>
          </w:p>
        </w:tc>
        <w:tc>
          <w:tcPr>
            <w:tcW w:w="2127" w:type="dxa"/>
            <w:hideMark/>
          </w:tcPr>
          <w:p w:rsidR="00040E20" w:rsidRPr="00E91A6F" w:rsidRDefault="00040E20" w:rsidP="00E91A6F">
            <w:pPr>
              <w:ind w:left="34" w:right="34"/>
              <w:rPr>
                <w:kern w:val="16"/>
                <w:sz w:val="20"/>
                <w:szCs w:val="20"/>
              </w:rPr>
            </w:pPr>
            <w:r w:rsidRPr="00E91A6F">
              <w:rPr>
                <w:sz w:val="20"/>
                <w:szCs w:val="20"/>
              </w:rPr>
              <w:t>30982081-CSI-1001</w:t>
            </w:r>
          </w:p>
          <w:p w:rsidR="00040E20" w:rsidRPr="00E91A6F" w:rsidRDefault="00040E20" w:rsidP="00E91A6F">
            <w:pPr>
              <w:ind w:left="34" w:right="34"/>
              <w:rPr>
                <w:sz w:val="20"/>
                <w:szCs w:val="20"/>
              </w:rPr>
            </w:pPr>
            <w:r w:rsidRPr="00E91A6F">
              <w:rPr>
                <w:sz w:val="20"/>
                <w:szCs w:val="20"/>
              </w:rPr>
              <w:lastRenderedPageBreak/>
              <w:t>30982081-CSI-1003</w:t>
            </w:r>
          </w:p>
        </w:tc>
        <w:tc>
          <w:tcPr>
            <w:tcW w:w="992" w:type="dxa"/>
            <w:hideMark/>
          </w:tcPr>
          <w:p w:rsidR="00040E20" w:rsidRPr="00E91A6F" w:rsidRDefault="00040E20" w:rsidP="00E91A6F">
            <w:pPr>
              <w:jc w:val="center"/>
              <w:rPr>
                <w:kern w:val="16"/>
                <w:sz w:val="20"/>
                <w:szCs w:val="20"/>
              </w:rPr>
            </w:pPr>
            <w:r w:rsidRPr="00E91A6F">
              <w:rPr>
                <w:sz w:val="20"/>
                <w:szCs w:val="20"/>
              </w:rPr>
              <w:lastRenderedPageBreak/>
              <w:t>*</w:t>
            </w:r>
          </w:p>
          <w:p w:rsidR="00040E20" w:rsidRPr="00E91A6F" w:rsidRDefault="00040E20" w:rsidP="00E91A6F">
            <w:pPr>
              <w:jc w:val="center"/>
              <w:rPr>
                <w:sz w:val="20"/>
                <w:szCs w:val="20"/>
              </w:rPr>
            </w:pPr>
            <w:r w:rsidRPr="00E91A6F">
              <w:rPr>
                <w:sz w:val="20"/>
                <w:szCs w:val="20"/>
              </w:rPr>
              <w:lastRenderedPageBreak/>
              <w:t>*</w:t>
            </w:r>
          </w:p>
        </w:tc>
      </w:tr>
      <w:tr w:rsidR="00040E20" w:rsidRPr="00E91A6F" w:rsidTr="00C97E6F">
        <w:tc>
          <w:tcPr>
            <w:tcW w:w="2094" w:type="dxa"/>
            <w:vMerge w:val="restart"/>
            <w:hideMark/>
          </w:tcPr>
          <w:p w:rsidR="00040E20" w:rsidRPr="00E91A6F" w:rsidRDefault="00040E20" w:rsidP="00E91A6F">
            <w:pPr>
              <w:ind w:left="0" w:right="35"/>
              <w:rPr>
                <w:b/>
                <w:sz w:val="20"/>
                <w:szCs w:val="20"/>
              </w:rPr>
            </w:pPr>
            <w:r w:rsidRPr="00E91A6F">
              <w:rPr>
                <w:b/>
                <w:sz w:val="20"/>
                <w:szCs w:val="20"/>
              </w:rPr>
              <w:lastRenderedPageBreak/>
              <w:t>Population PD and PK-PD analyses</w:t>
            </w:r>
          </w:p>
        </w:tc>
        <w:tc>
          <w:tcPr>
            <w:tcW w:w="3684" w:type="dxa"/>
            <w:hideMark/>
          </w:tcPr>
          <w:p w:rsidR="00040E20" w:rsidRPr="00E91A6F" w:rsidRDefault="00040E20" w:rsidP="00E91A6F">
            <w:pPr>
              <w:ind w:left="33" w:right="33"/>
              <w:rPr>
                <w:sz w:val="20"/>
                <w:szCs w:val="20"/>
              </w:rPr>
            </w:pPr>
            <w:r w:rsidRPr="00E91A6F">
              <w:rPr>
                <w:sz w:val="20"/>
                <w:szCs w:val="20"/>
              </w:rPr>
              <w:t>Healthy subjects</w:t>
            </w:r>
          </w:p>
        </w:tc>
        <w:tc>
          <w:tcPr>
            <w:tcW w:w="2127" w:type="dxa"/>
          </w:tcPr>
          <w:p w:rsidR="00040E20" w:rsidRPr="00E91A6F" w:rsidRDefault="00215AAA" w:rsidP="00E91A6F">
            <w:pPr>
              <w:ind w:left="34" w:right="34"/>
              <w:jc w:val="center"/>
              <w:rPr>
                <w:sz w:val="20"/>
                <w:szCs w:val="20"/>
              </w:rPr>
            </w:pPr>
            <w:r w:rsidRPr="00E91A6F">
              <w:rPr>
                <w:sz w:val="20"/>
                <w:szCs w:val="20"/>
              </w:rPr>
              <w:t>-</w:t>
            </w:r>
          </w:p>
        </w:tc>
        <w:tc>
          <w:tcPr>
            <w:tcW w:w="992" w:type="dxa"/>
          </w:tcPr>
          <w:p w:rsidR="00040E20" w:rsidRPr="00E91A6F" w:rsidRDefault="00040E20" w:rsidP="00E91A6F">
            <w:pPr>
              <w:jc w:val="center"/>
              <w:rPr>
                <w:sz w:val="20"/>
                <w:szCs w:val="20"/>
              </w:rPr>
            </w:pPr>
          </w:p>
        </w:tc>
      </w:tr>
      <w:tr w:rsidR="00040E20" w:rsidRPr="00E91A6F" w:rsidTr="00C97E6F">
        <w:tc>
          <w:tcPr>
            <w:tcW w:w="2094" w:type="dxa"/>
            <w:vMerge/>
            <w:hideMark/>
          </w:tcPr>
          <w:p w:rsidR="00040E20" w:rsidRPr="00E91A6F" w:rsidRDefault="00040E20" w:rsidP="00E91A6F">
            <w:pPr>
              <w:ind w:left="0" w:right="35"/>
              <w:rPr>
                <w:kern w:val="16"/>
                <w:sz w:val="20"/>
                <w:szCs w:val="20"/>
              </w:rPr>
            </w:pPr>
          </w:p>
        </w:tc>
        <w:tc>
          <w:tcPr>
            <w:tcW w:w="3684" w:type="dxa"/>
            <w:hideMark/>
          </w:tcPr>
          <w:p w:rsidR="00040E20" w:rsidRPr="00E91A6F" w:rsidRDefault="00040E20" w:rsidP="00E91A6F">
            <w:pPr>
              <w:ind w:left="33" w:right="33"/>
              <w:rPr>
                <w:sz w:val="20"/>
                <w:szCs w:val="20"/>
              </w:rPr>
            </w:pPr>
            <w:r w:rsidRPr="00E91A6F">
              <w:rPr>
                <w:sz w:val="20"/>
                <w:szCs w:val="20"/>
              </w:rPr>
              <w:t>Target population</w:t>
            </w:r>
          </w:p>
        </w:tc>
        <w:tc>
          <w:tcPr>
            <w:tcW w:w="2127" w:type="dxa"/>
          </w:tcPr>
          <w:p w:rsidR="00040E20" w:rsidRPr="00E91A6F" w:rsidRDefault="00215AAA" w:rsidP="00E91A6F">
            <w:pPr>
              <w:ind w:left="34" w:right="34"/>
              <w:jc w:val="center"/>
              <w:rPr>
                <w:sz w:val="20"/>
                <w:szCs w:val="20"/>
              </w:rPr>
            </w:pPr>
            <w:r w:rsidRPr="00E91A6F">
              <w:rPr>
                <w:sz w:val="20"/>
                <w:szCs w:val="20"/>
              </w:rPr>
              <w:t>-</w:t>
            </w:r>
          </w:p>
        </w:tc>
        <w:tc>
          <w:tcPr>
            <w:tcW w:w="992" w:type="dxa"/>
          </w:tcPr>
          <w:p w:rsidR="00040E20" w:rsidRPr="00E91A6F" w:rsidRDefault="00040E20" w:rsidP="00E91A6F">
            <w:pPr>
              <w:jc w:val="center"/>
              <w:rPr>
                <w:sz w:val="20"/>
                <w:szCs w:val="20"/>
              </w:rPr>
            </w:pPr>
          </w:p>
        </w:tc>
      </w:tr>
    </w:tbl>
    <w:p w:rsidR="0057000A" w:rsidRDefault="0057000A" w:rsidP="00E91A6F">
      <w:pPr>
        <w:pStyle w:val="TableDescription"/>
      </w:pPr>
      <w:r>
        <w:t>* Indicates the primary aim of the study.</w:t>
      </w:r>
      <w:r w:rsidR="00040E20">
        <w:t xml:space="preserve"> </w:t>
      </w:r>
      <w:r>
        <w:t>§ Subjects who would be eligible to receive the drug if approved for the proposed indication.</w:t>
      </w:r>
      <w:r w:rsidR="00040E20">
        <w:t xml:space="preserve"> </w:t>
      </w:r>
      <w:r>
        <w:t>‡ And adolescents if applicable.</w:t>
      </w:r>
    </w:p>
    <w:p w:rsidR="0057000A" w:rsidRPr="00040E20" w:rsidRDefault="0057000A" w:rsidP="00E91A6F">
      <w:pPr>
        <w:rPr>
          <w:szCs w:val="24"/>
        </w:rPr>
      </w:pPr>
      <w:r w:rsidRPr="00040E20">
        <w:t xml:space="preserve">None of the PD studies had deficiencies that excluded their results from consideration aside from </w:t>
      </w:r>
      <w:r w:rsidR="00040E20" w:rsidRPr="00040E20">
        <w:t>S</w:t>
      </w:r>
      <w:r w:rsidRPr="00040E20">
        <w:t xml:space="preserve">tudy CEFTONOS-1002 </w:t>
      </w:r>
      <w:r w:rsidR="00040E20" w:rsidRPr="00040E20">
        <w:t>which was</w:t>
      </w:r>
      <w:r w:rsidRPr="00040E20">
        <w:t xml:space="preserve"> terminated early due to very poor enrolment before study drug given.</w:t>
      </w:r>
    </w:p>
    <w:p w:rsidR="00605AD4" w:rsidRDefault="00605AD4" w:rsidP="00605AD4">
      <w:pPr>
        <w:pStyle w:val="Heading4"/>
      </w:pPr>
      <w:r>
        <w:t>Evaluator’s conclusions on pharmacodynamics</w:t>
      </w:r>
    </w:p>
    <w:p w:rsidR="0057000A" w:rsidRDefault="0057000A" w:rsidP="00E91A6F">
      <w:proofErr w:type="spellStart"/>
      <w:r>
        <w:t>Ceftobiprole</w:t>
      </w:r>
      <w:proofErr w:type="spellEnd"/>
      <w:r>
        <w:t xml:space="preserve"> is a </w:t>
      </w:r>
      <w:r w:rsidR="00040E20">
        <w:t>fifth</w:t>
      </w:r>
      <w:r>
        <w:t xml:space="preserve"> generation cephalosporin with potent activity in </w:t>
      </w:r>
      <w:r w:rsidR="00040E20">
        <w:t>non</w:t>
      </w:r>
      <w:r>
        <w:t xml:space="preserve">clinical models against the most common pathogens causing CAP and many of those causing NP. Uniquely, it combines the broad gram negative activity of </w:t>
      </w:r>
      <w:r w:rsidR="00040E20">
        <w:t>fourth</w:t>
      </w:r>
      <w:r>
        <w:t xml:space="preserve"> generation cephalosporin, with activity against </w:t>
      </w:r>
      <w:r>
        <w:rPr>
          <w:i/>
        </w:rPr>
        <w:t>Staph aureus</w:t>
      </w:r>
      <w:r>
        <w:t xml:space="preserve"> incl. MRSA. The drug appears to be </w:t>
      </w:r>
      <w:r>
        <w:rPr>
          <w:rFonts w:cs="TimesNewRoman,Italic"/>
          <w:iCs/>
        </w:rPr>
        <w:t>bactericidal</w:t>
      </w:r>
      <w:r w:rsidR="00040E20">
        <w:rPr>
          <w:rFonts w:cs="TimesNewRoman,Italic"/>
          <w:iCs/>
        </w:rPr>
        <w:t xml:space="preserve"> and</w:t>
      </w:r>
      <w:r>
        <w:rPr>
          <w:rFonts w:cs="TimesNewRoman,Italic"/>
          <w:iCs/>
        </w:rPr>
        <w:t xml:space="preserve"> this may be an advantage in some situations</w:t>
      </w:r>
      <w:r w:rsidR="00040E20">
        <w:rPr>
          <w:rFonts w:cs="TimesNewRoman,Italic"/>
          <w:iCs/>
        </w:rPr>
        <w:t>,</w:t>
      </w:r>
      <w:r>
        <w:rPr>
          <w:rFonts w:cs="TimesNewRoman,Italic"/>
          <w:iCs/>
        </w:rPr>
        <w:t xml:space="preserve"> and </w:t>
      </w:r>
      <w:r w:rsidR="00040E20">
        <w:rPr>
          <w:rFonts w:cs="TimesNewRoman,Italic"/>
          <w:iCs/>
        </w:rPr>
        <w:t>has</w:t>
      </w:r>
      <w:r>
        <w:rPr>
          <w:rFonts w:cs="TimesNewRoman,Italic"/>
          <w:iCs/>
        </w:rPr>
        <w:t xml:space="preserve"> high penetration into tissues of relevance </w:t>
      </w:r>
      <w:r w:rsidR="00040E20">
        <w:rPr>
          <w:rFonts w:cs="TimesNewRoman,Italic"/>
          <w:iCs/>
        </w:rPr>
        <w:t>that is,</w:t>
      </w:r>
      <w:r>
        <w:rPr>
          <w:rFonts w:cs="TimesNewRoman,Italic"/>
          <w:iCs/>
        </w:rPr>
        <w:t xml:space="preserve"> the lung. It appears well tolerated. Its broad spectrum of activity means it can be given as monotherapy. The secondary impact on faecal flora and selection for organisms such as </w:t>
      </w:r>
      <w:proofErr w:type="spellStart"/>
      <w:r>
        <w:rPr>
          <w:rFonts w:cs="TimesNewRoman,Italic"/>
          <w:i/>
          <w:iCs/>
        </w:rPr>
        <w:t>C.difficile</w:t>
      </w:r>
      <w:proofErr w:type="spellEnd"/>
      <w:r>
        <w:rPr>
          <w:rFonts w:cs="TimesNewRoman,Italic"/>
          <w:iCs/>
        </w:rPr>
        <w:t>, have been studied but only in the short term and faecal samples were not collected routinely in the pneumonia studies. The drug has a straightforward PK profile and aside from reduced dosing in renal impairment, there is low risk of drug-drug interactions</w:t>
      </w:r>
      <w:r w:rsidR="00040E20">
        <w:rPr>
          <w:rFonts w:cs="TimesNewRoman,Italic"/>
          <w:iCs/>
        </w:rPr>
        <w:t>;</w:t>
      </w:r>
      <w:r>
        <w:rPr>
          <w:rFonts w:cs="TimesNewRoman,Italic"/>
          <w:iCs/>
        </w:rPr>
        <w:t xml:space="preserve"> again this makes it appealing in the clinical setting.</w:t>
      </w:r>
    </w:p>
    <w:p w:rsidR="008E7846" w:rsidRDefault="00605AD4" w:rsidP="00E91A6F">
      <w:pPr>
        <w:pStyle w:val="Heading3"/>
      </w:pPr>
      <w:bookmarkStart w:id="73" w:name="_Toc443060230"/>
      <w:r>
        <w:t xml:space="preserve">Dosage selection for the </w:t>
      </w:r>
      <w:r w:rsidRPr="00E91A6F">
        <w:t>pivotal</w:t>
      </w:r>
      <w:r>
        <w:t xml:space="preserve"> studies</w:t>
      </w:r>
      <w:bookmarkEnd w:id="73"/>
    </w:p>
    <w:p w:rsidR="0057000A" w:rsidRPr="00040E20" w:rsidRDefault="0057000A" w:rsidP="00E91A6F">
      <w:r w:rsidRPr="00A70130">
        <w:t xml:space="preserve">Animal models demonstrate </w:t>
      </w:r>
      <w:r w:rsidR="00040E20" w:rsidRPr="00A70130">
        <w:t xml:space="preserve">the time the concentration of an antibiotic remains above the </w:t>
      </w:r>
      <w:r w:rsidR="00A70130" w:rsidRPr="004A26C7">
        <w:t>Minimum Inhibitory Concentration</w:t>
      </w:r>
      <w:r w:rsidR="00A70130" w:rsidRPr="00A70130">
        <w:t xml:space="preserve"> </w:t>
      </w:r>
      <w:r w:rsidR="00A70130">
        <w:t>(</w:t>
      </w:r>
      <w:r w:rsidR="00040E20" w:rsidRPr="00A70130">
        <w:t>MIC</w:t>
      </w:r>
      <w:r w:rsidR="00A70130">
        <w:t>)</w:t>
      </w:r>
      <w:r w:rsidR="00040E20" w:rsidRPr="00A70130">
        <w:t xml:space="preserve"> </w:t>
      </w:r>
      <w:r w:rsidR="00A70130" w:rsidRPr="00A70130">
        <w:t>(</w:t>
      </w:r>
      <w:r w:rsidRPr="00A70130">
        <w:t>T&gt;MIC</w:t>
      </w:r>
      <w:r w:rsidR="00A70130" w:rsidRPr="00A70130">
        <w:t>)</w:t>
      </w:r>
      <w:r w:rsidRPr="00A70130">
        <w:t xml:space="preserve"> is the PK/PD driver for </w:t>
      </w:r>
      <w:proofErr w:type="spellStart"/>
      <w:r w:rsidRPr="00A70130">
        <w:t>ceftobiprole</w:t>
      </w:r>
      <w:proofErr w:type="spellEnd"/>
      <w:r w:rsidRPr="00A70130">
        <w:t xml:space="preserve"> efficacy. For coverage including gram-negative pathogens the magnitude of %</w:t>
      </w:r>
      <w:proofErr w:type="spellStart"/>
      <w:r w:rsidRPr="00A70130">
        <w:t>fT</w:t>
      </w:r>
      <w:proofErr w:type="spellEnd"/>
      <w:r w:rsidRPr="00A70130">
        <w:t>&gt;MIC should be ≥</w:t>
      </w:r>
      <w:r w:rsidR="00040E20" w:rsidRPr="00A70130">
        <w:t xml:space="preserve"> </w:t>
      </w:r>
      <w:r w:rsidRPr="00A70130">
        <w:t>50%. Using population PK approaches, projected</w:t>
      </w:r>
      <w:r>
        <w:t xml:space="preserve"> and estimated probability of target attainment demonstrate </w:t>
      </w:r>
      <w:r w:rsidR="00040E20">
        <w:t xml:space="preserve">the adequacy of the 500 mg </w:t>
      </w:r>
      <w:r w:rsidR="00A70130">
        <w:t>three times a day (</w:t>
      </w:r>
      <w:proofErr w:type="spellStart"/>
      <w:r w:rsidR="00040E20">
        <w:t>tds</w:t>
      </w:r>
      <w:proofErr w:type="spellEnd"/>
      <w:r w:rsidR="00A70130">
        <w:t>)</w:t>
      </w:r>
      <w:r w:rsidR="00040E20">
        <w:t xml:space="preserve"> 2 </w:t>
      </w:r>
      <w:r>
        <w:t>h infusion dosing for broad spectrum coverage in NP</w:t>
      </w:r>
      <w:r>
        <w:rPr>
          <w:color w:val="000000"/>
        </w:rPr>
        <w:t xml:space="preserve">. </w:t>
      </w:r>
      <w:r>
        <w:t xml:space="preserve">As per </w:t>
      </w:r>
      <w:r w:rsidR="00040E20">
        <w:t>Efficacy (see below)</w:t>
      </w:r>
      <w:r>
        <w:t xml:space="preserve">, observed PK/PD targets and parameters from these models were predictive of microbiological and clinical </w:t>
      </w:r>
      <w:r w:rsidRPr="00040E20">
        <w:t>response in BAP248/307.</w:t>
      </w:r>
    </w:p>
    <w:p w:rsidR="008E7846" w:rsidRPr="00254787" w:rsidRDefault="008E7846" w:rsidP="008E7846">
      <w:pPr>
        <w:pStyle w:val="Heading3"/>
      </w:pPr>
      <w:bookmarkStart w:id="74" w:name="_Toc163441372"/>
      <w:bookmarkStart w:id="75" w:name="_Toc196046485"/>
      <w:bookmarkStart w:id="76" w:name="_Toc247691521"/>
      <w:bookmarkStart w:id="77" w:name="_Toc314842504"/>
      <w:bookmarkStart w:id="78" w:name="_Toc443060231"/>
      <w:r w:rsidRPr="00254787">
        <w:t>Efficacy</w:t>
      </w:r>
      <w:bookmarkEnd w:id="74"/>
      <w:bookmarkEnd w:id="75"/>
      <w:bookmarkEnd w:id="76"/>
      <w:bookmarkEnd w:id="77"/>
      <w:bookmarkEnd w:id="78"/>
    </w:p>
    <w:p w:rsidR="00605AD4" w:rsidRDefault="00605AD4" w:rsidP="00E91A6F">
      <w:pPr>
        <w:pStyle w:val="Heading4"/>
      </w:pPr>
      <w:bookmarkStart w:id="79" w:name="_Toc184439992"/>
      <w:bookmarkStart w:id="80" w:name="_Toc184440279"/>
      <w:bookmarkStart w:id="81" w:name="_Toc184444657"/>
      <w:bookmarkStart w:id="82" w:name="_Toc196046487"/>
      <w:r>
        <w:t>Studies providing efficacy data</w:t>
      </w:r>
    </w:p>
    <w:p w:rsidR="0057000A" w:rsidRDefault="0057000A" w:rsidP="00E91A6F">
      <w:r>
        <w:t xml:space="preserve">Only the efficacy studies that pertain to the proposed indications (NP and CAP) are included. </w:t>
      </w:r>
      <w:r w:rsidR="00A70130">
        <w:t>T</w:t>
      </w:r>
      <w:r>
        <w:t xml:space="preserve">he </w:t>
      </w:r>
      <w:proofErr w:type="spellStart"/>
      <w:r>
        <w:t>cSSTI</w:t>
      </w:r>
      <w:proofErr w:type="spellEnd"/>
      <w:r>
        <w:t xml:space="preserve"> studies, </w:t>
      </w:r>
      <w:r w:rsidRPr="00A70130">
        <w:t xml:space="preserve">BAP00034; BAP00154; BAP00414 </w:t>
      </w:r>
      <w:r w:rsidR="00A70130" w:rsidRPr="00A70130">
        <w:t xml:space="preserve">were not evaluated </w:t>
      </w:r>
      <w:r w:rsidRPr="00A70130">
        <w:t>because of GCP concerns. Safety data arising</w:t>
      </w:r>
      <w:r>
        <w:t xml:space="preserve"> from these studies is reviewed </w:t>
      </w:r>
      <w:r w:rsidR="00A70130">
        <w:t xml:space="preserve">below under </w:t>
      </w:r>
      <w:r w:rsidR="00A70130" w:rsidRPr="00A70130">
        <w:rPr>
          <w:i/>
        </w:rPr>
        <w:t>S</w:t>
      </w:r>
      <w:r w:rsidR="00A70130">
        <w:rPr>
          <w:i/>
        </w:rPr>
        <w:t>a</w:t>
      </w:r>
      <w:r w:rsidR="00A70130" w:rsidRPr="00A70130">
        <w:rPr>
          <w:i/>
        </w:rPr>
        <w:t>fety</w:t>
      </w:r>
      <w:r>
        <w:t xml:space="preserve">. Study </w:t>
      </w:r>
      <w:r w:rsidRPr="00A70130">
        <w:t>30982081</w:t>
      </w:r>
      <w:r>
        <w:rPr>
          <w:b/>
        </w:rPr>
        <w:t xml:space="preserve">, </w:t>
      </w:r>
      <w:r>
        <w:t xml:space="preserve">in </w:t>
      </w:r>
      <w:proofErr w:type="spellStart"/>
      <w:r>
        <w:t>neutropaenic</w:t>
      </w:r>
      <w:proofErr w:type="spellEnd"/>
      <w:r>
        <w:t xml:space="preserve"> patients was terminated early for </w:t>
      </w:r>
      <w:r w:rsidR="00E01646">
        <w:t>administrative</w:t>
      </w:r>
      <w:r w:rsidR="00E91A6F">
        <w:t xml:space="preserve"> reasons.</w:t>
      </w:r>
    </w:p>
    <w:p w:rsidR="0057000A" w:rsidRDefault="00605AD4" w:rsidP="00E91A6F">
      <w:pPr>
        <w:pStyle w:val="Heading4"/>
      </w:pPr>
      <w:r>
        <w:t xml:space="preserve">Evaluator’s </w:t>
      </w:r>
      <w:r w:rsidRPr="00E91A6F">
        <w:t>conclusions</w:t>
      </w:r>
      <w:r>
        <w:t xml:space="preserve"> on efficacy</w:t>
      </w:r>
      <w:r w:rsidR="0057000A">
        <w:t xml:space="preserve"> </w:t>
      </w:r>
      <w:bookmarkStart w:id="83" w:name="_Toc408385425"/>
      <w:r w:rsidR="0057000A">
        <w:t xml:space="preserve">of </w:t>
      </w:r>
      <w:proofErr w:type="spellStart"/>
      <w:r w:rsidR="00614CF0">
        <w:t>Zevtera</w:t>
      </w:r>
      <w:proofErr w:type="spellEnd"/>
      <w:r w:rsidR="0057000A">
        <w:t xml:space="preserve"> for NP and CAP</w:t>
      </w:r>
      <w:bookmarkEnd w:id="83"/>
    </w:p>
    <w:p w:rsidR="006A3326" w:rsidRDefault="0057000A" w:rsidP="00E91A6F">
      <w:r>
        <w:t xml:space="preserve">The design of both studies was in accordance with the </w:t>
      </w:r>
      <w:r w:rsidR="00A70130">
        <w:t>European Medicines Agency (</w:t>
      </w:r>
      <w:r>
        <w:t>EMA</w:t>
      </w:r>
      <w:r w:rsidR="00A70130">
        <w:t>)</w:t>
      </w:r>
      <w:r>
        <w:t xml:space="preserve"> guideline on the evaluation of medicinal products indicated for treatment of bacterial infections. The double-blind design adds substantially to the strength of the findings. The </w:t>
      </w:r>
      <w:r>
        <w:lastRenderedPageBreak/>
        <w:t>reason for this being so important is that ‘clinical response’ in many infectious diseases including bacterial pneumonia can be rather subjective even with clear guidance in the protocol. The double-blind design removes much of the bias. All bacterial pneumonia studies are additionally hampered by the poor yield of organisms that are causative, which is why ‘clinical cure’ is used as a prima</w:t>
      </w:r>
      <w:r w:rsidR="005C5442">
        <w:t>r</w:t>
      </w:r>
      <w:r>
        <w:t xml:space="preserve">y determinant of efficacy. Both studies demonstrate the efficacy of </w:t>
      </w:r>
      <w:proofErr w:type="spellStart"/>
      <w:r>
        <w:t>ceftobiprole</w:t>
      </w:r>
      <w:proofErr w:type="spellEnd"/>
      <w:r>
        <w:t xml:space="preserve"> – with caveats - and as reviewed in greater detail in </w:t>
      </w:r>
      <w:r w:rsidR="005C5442" w:rsidRPr="005C5442">
        <w:rPr>
          <w:i/>
        </w:rPr>
        <w:t>Safety</w:t>
      </w:r>
      <w:r>
        <w:t xml:space="preserve">, show </w:t>
      </w:r>
      <w:proofErr w:type="spellStart"/>
      <w:r>
        <w:t>ceftobiprole</w:t>
      </w:r>
      <w:proofErr w:type="spellEnd"/>
      <w:r>
        <w:t xml:space="preserve"> to be reasonably well tolerated and safe in the treatment of nosocomial pneumonia and CAP requiring hospitalisation. Both studies met their primary objective of demonstrating the non-inferiority of </w:t>
      </w:r>
      <w:proofErr w:type="spellStart"/>
      <w:r>
        <w:t>ceftobiprole</w:t>
      </w:r>
      <w:proofErr w:type="spellEnd"/>
      <w:r>
        <w:t xml:space="preserve">, to an adequately-dosed ‘standard-of-care’ active comparator.  But, there are two important issues. First, in the NP </w:t>
      </w:r>
      <w:r w:rsidR="005C5442">
        <w:t>S</w:t>
      </w:r>
      <w:r>
        <w:t xml:space="preserve">tudy </w:t>
      </w:r>
      <w:r w:rsidRPr="005C5442">
        <w:t>BAP248/307</w:t>
      </w:r>
      <w:r>
        <w:t>, the choice of comparator Arm</w:t>
      </w:r>
      <w:r w:rsidR="00E01646">
        <w:t>,</w:t>
      </w:r>
      <w:r>
        <w:t xml:space="preserve"> whilst making good sense, is probably still not standard-of-care in most centres</w:t>
      </w:r>
      <w:r w:rsidR="005C5442">
        <w:t>,</w:t>
      </w:r>
      <w:r>
        <w:t xml:space="preserve"> let alone at the time this study was being conducted in 2005-2007. In the design, assumptions had to be made about the expected clinical cure rates of  the comparator arm, as ceftazidime and linezolid had never been partnered together (at least not then) in a clinical trial. While there is robust evidence that </w:t>
      </w:r>
      <w:proofErr w:type="spellStart"/>
      <w:r>
        <w:t>ceftobiprole</w:t>
      </w:r>
      <w:proofErr w:type="spellEnd"/>
      <w:r>
        <w:t xml:space="preserve"> is as efficacious as </w:t>
      </w:r>
      <w:proofErr w:type="spellStart"/>
      <w:r>
        <w:t>cetazidime+linezold</w:t>
      </w:r>
      <w:proofErr w:type="spellEnd"/>
      <w:r>
        <w:t xml:space="preserve"> as measured by clinical cure rates, pneumonia-specific mortality, and all-cause mortality in nosocomial pneumonia, this is only true if the VAP subjects are excluded</w:t>
      </w:r>
      <w:r w:rsidR="006A3326">
        <w:t>.</w:t>
      </w:r>
    </w:p>
    <w:p w:rsidR="006A3326" w:rsidRDefault="0057000A" w:rsidP="00E91A6F">
      <w:r>
        <w:t xml:space="preserve">While </w:t>
      </w:r>
      <w:r w:rsidRPr="005C5442">
        <w:rPr>
          <w:rFonts w:cs="TimesNewRoman"/>
        </w:rPr>
        <w:t>BAP248/307</w:t>
      </w:r>
      <w:r w:rsidR="005C5442">
        <w:rPr>
          <w:rFonts w:cs="TimesNewRoman"/>
        </w:rPr>
        <w:t xml:space="preserve"> </w:t>
      </w:r>
      <w:r w:rsidRPr="005C5442">
        <w:t>only</w:t>
      </w:r>
      <w:r>
        <w:t xml:space="preserve"> enrolled a relatively small subset of VAP subjects (210 out of 781 (27%) subjects with NP), clinical cure and microbiological eradication rates at the </w:t>
      </w:r>
      <w:r w:rsidR="005C5442" w:rsidRPr="004A26C7">
        <w:t>Test-Of-Cure</w:t>
      </w:r>
      <w:r w:rsidR="005C5442">
        <w:t xml:space="preserve"> (</w:t>
      </w:r>
      <w:r>
        <w:t>TOC</w:t>
      </w:r>
      <w:r w:rsidR="005C5442">
        <w:t>)</w:t>
      </w:r>
      <w:r>
        <w:t xml:space="preserve"> visit were lower and all-cause mortality numerically higher, in the </w:t>
      </w:r>
      <w:proofErr w:type="spellStart"/>
      <w:r>
        <w:t>ceftobiprole</w:t>
      </w:r>
      <w:proofErr w:type="spellEnd"/>
      <w:r>
        <w:t xml:space="preserve"> </w:t>
      </w:r>
      <w:proofErr w:type="spellStart"/>
      <w:r>
        <w:t>gp</w:t>
      </w:r>
      <w:proofErr w:type="spellEnd"/>
      <w:r>
        <w:rPr>
          <w:rFonts w:cs="TimesNewRoman"/>
        </w:rPr>
        <w:t xml:space="preserve"> </w:t>
      </w:r>
      <w:r>
        <w:t xml:space="preserve">than in the linezolid/ceftazidime </w:t>
      </w:r>
      <w:proofErr w:type="spellStart"/>
      <w:r>
        <w:t>gp</w:t>
      </w:r>
      <w:proofErr w:type="spellEnd"/>
      <w:r>
        <w:t xml:space="preserve">, although none of these differences were statistically significant. It is not completely clear to </w:t>
      </w:r>
      <w:r w:rsidR="005C5442">
        <w:t>the evaluator</w:t>
      </w:r>
      <w:r>
        <w:t xml:space="preserve"> that the baseline (co</w:t>
      </w:r>
      <w:r w:rsidR="005C5442">
        <w:t>-</w:t>
      </w:r>
      <w:r>
        <w:t>mor</w:t>
      </w:r>
      <w:r w:rsidR="005C5442">
        <w:t>b</w:t>
      </w:r>
      <w:r>
        <w:t>i</w:t>
      </w:r>
      <w:r w:rsidR="005C5442">
        <w:t>di</w:t>
      </w:r>
      <w:r>
        <w:t>ties, severity of disease) and on-study differences completely explain this finding</w:t>
      </w:r>
      <w:r w:rsidR="005C5442">
        <w:t>,</w:t>
      </w:r>
      <w:r>
        <w:t xml:space="preserve"> even with the </w:t>
      </w:r>
      <w:r w:rsidRPr="005C5442">
        <w:t>post hoc</w:t>
      </w:r>
      <w:r>
        <w:t xml:space="preserve"> analysis. However, in such a </w:t>
      </w:r>
      <w:proofErr w:type="spellStart"/>
      <w:r>
        <w:t>heterogenous</w:t>
      </w:r>
      <w:proofErr w:type="spellEnd"/>
      <w:r>
        <w:t xml:space="preserve"> group with numerous confounding factors and relatively small numbers, it is difficult to draw conclusions. An in</w:t>
      </w:r>
      <w:r w:rsidR="005C5442">
        <w:t xml:space="preserve"> </w:t>
      </w:r>
      <w:r>
        <w:t xml:space="preserve">depth PK/PD analysis (which included an analysis of %T&gt;MIC for individual patients considering MICs from isolated pathogens) showed no apparent difference in exposure or target attainment between </w:t>
      </w:r>
      <w:proofErr w:type="spellStart"/>
      <w:r>
        <w:t>ceftobiprole</w:t>
      </w:r>
      <w:proofErr w:type="spellEnd"/>
      <w:r>
        <w:t xml:space="preserve"> and </w:t>
      </w:r>
      <w:proofErr w:type="spellStart"/>
      <w:r>
        <w:t>linezolid+ceftazidime</w:t>
      </w:r>
      <w:proofErr w:type="spellEnd"/>
      <w:r>
        <w:t xml:space="preserve"> treated VAP subjects. The </w:t>
      </w:r>
      <w:r w:rsidR="005C5442">
        <w:t>s</w:t>
      </w:r>
      <w:r>
        <w:t xml:space="preserve">ponsor concludes that this means that inadequate exposure of VAP subjects to </w:t>
      </w:r>
      <w:proofErr w:type="spellStart"/>
      <w:r>
        <w:t>ceftobiprole</w:t>
      </w:r>
      <w:proofErr w:type="spellEnd"/>
      <w:r>
        <w:t xml:space="preserve"> is not an explanation for the observed difference in clinical or microbiological outcome between treatment g</w:t>
      </w:r>
      <w:r w:rsidR="00E01646">
        <w:t>rou</w:t>
      </w:r>
      <w:r>
        <w:t xml:space="preserve">ps. </w:t>
      </w:r>
      <w:r w:rsidR="005C5442">
        <w:t>The clinical evaluator is now</w:t>
      </w:r>
      <w:r>
        <w:t xml:space="preserve"> sure </w:t>
      </w:r>
      <w:r w:rsidR="005C5442">
        <w:t>whether to</w:t>
      </w:r>
      <w:r>
        <w:t xml:space="preserve"> completely agree with this, organism(s) identified as the ‘likely’ organism(s) may not have been the main players</w:t>
      </w:r>
      <w:r w:rsidR="005C5442">
        <w:t>,</w:t>
      </w:r>
      <w:r>
        <w:t xml:space="preserve"> this is often the case for example with pseudomonas, which may be a ‘passenger’ and not a ‘pathogen’</w:t>
      </w:r>
      <w:r w:rsidR="005C5442">
        <w:t>.</w:t>
      </w:r>
      <w:r>
        <w:t xml:space="preserve"> It is just possible, that ceftazidime plus linezolid out</w:t>
      </w:r>
      <w:r w:rsidR="005C5442">
        <w:t xml:space="preserve"> </w:t>
      </w:r>
      <w:r>
        <w:t xml:space="preserve">performed </w:t>
      </w:r>
      <w:proofErr w:type="spellStart"/>
      <w:r>
        <w:t>ceftobiprole</w:t>
      </w:r>
      <w:proofErr w:type="spellEnd"/>
      <w:r>
        <w:t xml:space="preserve"> in the VAP setting for reasons as yet to be determined. The US FDA has recently amended its regulatory guidelines for hospital-acquired pneumonia and VAP such that </w:t>
      </w:r>
      <w:r w:rsidRPr="005C5442">
        <w:t xml:space="preserve">separate studies are conducted for VAP. This amendment recognises the heterogeneity within the study population and the ways to try and overcome these through stratification by </w:t>
      </w:r>
      <w:r w:rsidR="005C5442" w:rsidRPr="005C5442">
        <w:t>Acute Physiology and Chronic Health Evaluation II (</w:t>
      </w:r>
      <w:r w:rsidRPr="005C5442">
        <w:t>APACHE II</w:t>
      </w:r>
      <w:r w:rsidR="005C5442" w:rsidRPr="005C5442">
        <w:t>)</w:t>
      </w:r>
      <w:r w:rsidRPr="005C5442">
        <w:t xml:space="preserve"> score and time of onset of VAP after onset of mechanical ventilation</w:t>
      </w:r>
      <w:r w:rsidR="006A3326">
        <w:t>.</w:t>
      </w:r>
    </w:p>
    <w:p w:rsidR="0057000A" w:rsidRDefault="0057000A" w:rsidP="00E91A6F">
      <w:r w:rsidRPr="005C5442">
        <w:t>One of the rationales for the development of this</w:t>
      </w:r>
      <w:r>
        <w:t xml:space="preserve"> </w:t>
      </w:r>
      <w:r w:rsidR="005C5442">
        <w:t>fifth</w:t>
      </w:r>
      <w:r>
        <w:t xml:space="preserve"> generation cephalosporin is for MDR organisms. So how well did the drug perform from the microbiological perspective? In </w:t>
      </w:r>
      <w:r w:rsidRPr="005C5442">
        <w:t>CAP-3001, there were similar micr</w:t>
      </w:r>
      <w:r w:rsidR="00E01646">
        <w:t>o</w:t>
      </w:r>
      <w:r w:rsidRPr="005C5442">
        <w:t>biological, clinical cure and microbiological eradication rates between treatment g</w:t>
      </w:r>
      <w:r w:rsidR="005C5442">
        <w:t>roups</w:t>
      </w:r>
      <w:r w:rsidRPr="005C5442">
        <w:t xml:space="preserve"> for gram-positive and gram-negative pathogens. With regard to the NP (excluding VAP)</w:t>
      </w:r>
      <w:r>
        <w:t xml:space="preserve"> population, similar clinical cure rates and microbiological eradication rates were observed for gram-positive pathogens including MSSA and MRSA. For gram-negative pathogens overall, clinical cure rates were 70% (51/73) and 78% (62/80) in the </w:t>
      </w:r>
      <w:proofErr w:type="spellStart"/>
      <w:r>
        <w:t>ceftobiprole</w:t>
      </w:r>
      <w:proofErr w:type="spellEnd"/>
      <w:r>
        <w:t xml:space="preserve"> and linezolid/ceftazidime g</w:t>
      </w:r>
      <w:r w:rsidR="005C5442">
        <w:t>roups</w:t>
      </w:r>
      <w:r>
        <w:t xml:space="preserve">, respectively; microbiological eradication rates were 59% (43/73) in the </w:t>
      </w:r>
      <w:proofErr w:type="spellStart"/>
      <w:r>
        <w:t>ceftobiprole</w:t>
      </w:r>
      <w:proofErr w:type="spellEnd"/>
      <w:r>
        <w:t xml:space="preserve"> g</w:t>
      </w:r>
      <w:r w:rsidR="005C5442">
        <w:t>roup</w:t>
      </w:r>
      <w:r>
        <w:t xml:space="preserve"> and 70% (56/80) in the </w:t>
      </w:r>
      <w:proofErr w:type="spellStart"/>
      <w:r>
        <w:t>linezolid+ceftazidime</w:t>
      </w:r>
      <w:proofErr w:type="spellEnd"/>
      <w:r>
        <w:t xml:space="preserve"> g</w:t>
      </w:r>
      <w:r w:rsidR="005C5442">
        <w:t>roup</w:t>
      </w:r>
      <w:r>
        <w:t xml:space="preserve">. These small difference seems to have been partially driven by an imbalance in </w:t>
      </w:r>
      <w:r>
        <w:rPr>
          <w:i/>
        </w:rPr>
        <w:t>Haemophilus</w:t>
      </w:r>
      <w:r>
        <w:t xml:space="preserve"> species (2/5 in the </w:t>
      </w:r>
      <w:proofErr w:type="spellStart"/>
      <w:r>
        <w:t>ceftobiprole</w:t>
      </w:r>
      <w:proofErr w:type="spellEnd"/>
      <w:r>
        <w:t xml:space="preserve"> g</w:t>
      </w:r>
      <w:r w:rsidR="005C5442">
        <w:t>roup versus</w:t>
      </w:r>
      <w:r>
        <w:t xml:space="preserve"> 8/9 subjects with microbiological eradication in the </w:t>
      </w:r>
      <w:proofErr w:type="spellStart"/>
      <w:r>
        <w:lastRenderedPageBreak/>
        <w:t>linezolid+ceftazidime</w:t>
      </w:r>
      <w:proofErr w:type="spellEnd"/>
      <w:r>
        <w:t xml:space="preserve"> g</w:t>
      </w:r>
      <w:r w:rsidR="005C5442">
        <w:t>rou</w:t>
      </w:r>
      <w:r>
        <w:t xml:space="preserve">p). This finding does not seem consistent with the known </w:t>
      </w:r>
      <w:r w:rsidRPr="005C5442">
        <w:t xml:space="preserve">in vitro </w:t>
      </w:r>
      <w:r>
        <w:t xml:space="preserve">activity of </w:t>
      </w:r>
      <w:proofErr w:type="spellStart"/>
      <w:r>
        <w:t>ceftobiprole</w:t>
      </w:r>
      <w:proofErr w:type="spellEnd"/>
      <w:r>
        <w:t xml:space="preserve"> against </w:t>
      </w:r>
      <w:r>
        <w:rPr>
          <w:i/>
        </w:rPr>
        <w:t>Haemophilus</w:t>
      </w:r>
      <w:r>
        <w:t xml:space="preserve"> species and is likely a chance finding. In the NP (excluding VAP) population, another less pronounced imbalance in microbiological eradication rates was for </w:t>
      </w:r>
      <w:r>
        <w:rPr>
          <w:i/>
        </w:rPr>
        <w:t xml:space="preserve">A. </w:t>
      </w:r>
      <w:proofErr w:type="spellStart"/>
      <w:r>
        <w:rPr>
          <w:i/>
        </w:rPr>
        <w:t>baumanii</w:t>
      </w:r>
      <w:proofErr w:type="spellEnd"/>
      <w:r>
        <w:t xml:space="preserve"> (4/8 subjects in the </w:t>
      </w:r>
      <w:proofErr w:type="spellStart"/>
      <w:r>
        <w:t>ceftobiprole</w:t>
      </w:r>
      <w:proofErr w:type="spellEnd"/>
      <w:r>
        <w:t xml:space="preserve"> g</w:t>
      </w:r>
      <w:r w:rsidR="00AA2534">
        <w:t>roup</w:t>
      </w:r>
      <w:r>
        <w:t xml:space="preserve"> v</w:t>
      </w:r>
      <w:r w:rsidR="00AA2534">
        <w:t>ersus</w:t>
      </w:r>
      <w:r>
        <w:t xml:space="preserve"> 9/12 subjects with microbiological eradication in the linezolid+ ceftazidime g</w:t>
      </w:r>
      <w:r w:rsidR="00AA2534">
        <w:t>rou</w:t>
      </w:r>
      <w:r>
        <w:t xml:space="preserve">p). Subjects with Acinetobacter infections in CAP and VAP had similar microbiological eradication with </w:t>
      </w:r>
      <w:proofErr w:type="spellStart"/>
      <w:r>
        <w:t>ceftobiprole</w:t>
      </w:r>
      <w:proofErr w:type="spellEnd"/>
      <w:r>
        <w:t>. However, numbers are very small and these data should not be overcalled. Microbiological eradication rates in the nosocomial pneumonia (excluding VAP) subg</w:t>
      </w:r>
      <w:r w:rsidR="00AA2534">
        <w:t>rou</w:t>
      </w:r>
      <w:r>
        <w:t>p were comparable between treatment g</w:t>
      </w:r>
      <w:r w:rsidR="00AA2534">
        <w:t>rou</w:t>
      </w:r>
      <w:r>
        <w:t>ps for other gram negative organisms.</w:t>
      </w:r>
    </w:p>
    <w:p w:rsidR="006A3326" w:rsidRDefault="00AA2534" w:rsidP="00E91A6F">
      <w:r>
        <w:t>The results of S</w:t>
      </w:r>
      <w:r w:rsidR="0057000A">
        <w:t xml:space="preserve">tudy </w:t>
      </w:r>
      <w:r w:rsidR="0057000A" w:rsidRPr="00AA2534">
        <w:t>CAP-3001</w:t>
      </w:r>
      <w:r w:rsidR="0057000A">
        <w:t xml:space="preserve"> demonstrate that </w:t>
      </w:r>
      <w:proofErr w:type="spellStart"/>
      <w:r w:rsidR="0057000A">
        <w:t>ceftobiprole</w:t>
      </w:r>
      <w:proofErr w:type="spellEnd"/>
      <w:r w:rsidR="0057000A">
        <w:t xml:space="preserve"> is as effective as a high dose of 2 g ceftriaxone </w:t>
      </w:r>
      <w:r>
        <w:t>once a day (</w:t>
      </w:r>
      <w:proofErr w:type="spellStart"/>
      <w:r>
        <w:t>qd</w:t>
      </w:r>
      <w:proofErr w:type="spellEnd"/>
      <w:r>
        <w:t>)</w:t>
      </w:r>
      <w:r w:rsidR="0057000A">
        <w:t xml:space="preserve"> </w:t>
      </w:r>
      <w:r>
        <w:t xml:space="preserve">± </w:t>
      </w:r>
      <w:r w:rsidR="0057000A">
        <w:t xml:space="preserve">linezolid in treating subjects hospitalised with CAP. The most prevalent pathogen identified in the study was </w:t>
      </w:r>
      <w:r w:rsidR="0057000A">
        <w:rPr>
          <w:i/>
        </w:rPr>
        <w:t xml:space="preserve">S. pneumoniae </w:t>
      </w:r>
      <w:r w:rsidR="0057000A">
        <w:t>but importantly it was only found in 28 subjects</w:t>
      </w:r>
      <w:r>
        <w:t>, that is,</w:t>
      </w:r>
      <w:r w:rsidR="0057000A">
        <w:t xml:space="preserve"> a very small number overall.  While cure rates were very high, the issue is that culture positive bacterial pneumonia occurs in the minority using traditional techniques, sequencing in blood may overcome some of these issues in future trials if such results can be provided real-time. Clinical cures for other important CAP pathogens in the </w:t>
      </w:r>
      <w:proofErr w:type="spellStart"/>
      <w:r w:rsidR="0057000A">
        <w:t>ceftobiprole</w:t>
      </w:r>
      <w:proofErr w:type="spellEnd"/>
      <w:r w:rsidR="0057000A">
        <w:t xml:space="preserve"> </w:t>
      </w:r>
      <w:proofErr w:type="spellStart"/>
      <w:r w:rsidR="0057000A">
        <w:t>gp</w:t>
      </w:r>
      <w:proofErr w:type="spellEnd"/>
      <w:r w:rsidR="0057000A">
        <w:t xml:space="preserve"> included 7 (100%) </w:t>
      </w:r>
      <w:proofErr w:type="spellStart"/>
      <w:proofErr w:type="gramStart"/>
      <w:r w:rsidR="0057000A">
        <w:rPr>
          <w:i/>
        </w:rPr>
        <w:t>Staph.aureus</w:t>
      </w:r>
      <w:proofErr w:type="spellEnd"/>
      <w:r w:rsidR="0057000A">
        <w:t xml:space="preserve">; 6 (100%) with </w:t>
      </w:r>
      <w:r w:rsidR="0057000A" w:rsidRPr="00AA2534">
        <w:rPr>
          <w:i/>
        </w:rPr>
        <w:t>E. coli</w:t>
      </w:r>
      <w:r w:rsidR="0057000A">
        <w:t xml:space="preserve">, 4 (80%) with </w:t>
      </w:r>
      <w:r w:rsidR="0057000A">
        <w:rPr>
          <w:i/>
        </w:rPr>
        <w:t>K. pneumoniae</w:t>
      </w:r>
      <w:r w:rsidR="0057000A">
        <w:t xml:space="preserve">, 1 (100%) with </w:t>
      </w:r>
      <w:r w:rsidR="0057000A">
        <w:rPr>
          <w:i/>
        </w:rPr>
        <w:t xml:space="preserve">K. </w:t>
      </w:r>
      <w:proofErr w:type="spellStart"/>
      <w:r w:rsidR="0057000A">
        <w:rPr>
          <w:i/>
        </w:rPr>
        <w:t>oxytoca</w:t>
      </w:r>
      <w:proofErr w:type="spellEnd"/>
      <w:r w:rsidR="0057000A">
        <w:rPr>
          <w:i/>
        </w:rPr>
        <w:t xml:space="preserve">, </w:t>
      </w:r>
      <w:r w:rsidR="0057000A">
        <w:t xml:space="preserve">4 (100%) with </w:t>
      </w:r>
      <w:r w:rsidR="0057000A">
        <w:rPr>
          <w:i/>
        </w:rPr>
        <w:t xml:space="preserve">M. </w:t>
      </w:r>
      <w:proofErr w:type="spellStart"/>
      <w:r w:rsidR="0057000A">
        <w:rPr>
          <w:i/>
        </w:rPr>
        <w:t>catarrhalis</w:t>
      </w:r>
      <w:proofErr w:type="spellEnd"/>
      <w:r w:rsidR="006A3326">
        <w:t>.</w:t>
      </w:r>
      <w:proofErr w:type="gramEnd"/>
    </w:p>
    <w:p w:rsidR="0057000A" w:rsidRPr="0057000A" w:rsidRDefault="0057000A" w:rsidP="00E91A6F">
      <w:proofErr w:type="spellStart"/>
      <w:r>
        <w:t>Ceftobiprole</w:t>
      </w:r>
      <w:proofErr w:type="spellEnd"/>
      <w:r>
        <w:t xml:space="preserve"> constituted a unique new cephalosporin and is a welcome addition to the antibiotic armamentarium providing a new option to treat current/emerging pneumonia infections due to more resistant bacteria. In addition, it appears to have a favourable toxicity profile, at least with short exposures, although </w:t>
      </w:r>
      <w:proofErr w:type="spellStart"/>
      <w:r>
        <w:t>tds</w:t>
      </w:r>
      <w:proofErr w:type="spellEnd"/>
      <w:r>
        <w:t xml:space="preserve"> IV dosing is a major disadvantage in clinical practice.</w:t>
      </w:r>
    </w:p>
    <w:p w:rsidR="008E7846" w:rsidRPr="002E238E" w:rsidRDefault="008E7846" w:rsidP="00E91A6F">
      <w:pPr>
        <w:pStyle w:val="Heading3"/>
      </w:pPr>
      <w:bookmarkStart w:id="84" w:name="_Toc163441378"/>
      <w:bookmarkStart w:id="85" w:name="_Toc196046495"/>
      <w:bookmarkStart w:id="86" w:name="_Toc247691522"/>
      <w:bookmarkStart w:id="87" w:name="_Toc314842505"/>
      <w:bookmarkStart w:id="88" w:name="_Toc443060232"/>
      <w:bookmarkEnd w:id="79"/>
      <w:bookmarkEnd w:id="80"/>
      <w:bookmarkEnd w:id="81"/>
      <w:bookmarkEnd w:id="82"/>
      <w:r w:rsidRPr="00E91A6F">
        <w:t>Safety</w:t>
      </w:r>
      <w:bookmarkEnd w:id="84"/>
      <w:bookmarkEnd w:id="85"/>
      <w:bookmarkEnd w:id="86"/>
      <w:bookmarkEnd w:id="87"/>
      <w:bookmarkEnd w:id="88"/>
    </w:p>
    <w:p w:rsidR="00605AD4" w:rsidRDefault="00605AD4" w:rsidP="00E91A6F">
      <w:pPr>
        <w:pStyle w:val="Heading4"/>
      </w:pPr>
      <w:bookmarkStart w:id="89" w:name="_Toc247691524"/>
      <w:bookmarkStart w:id="90" w:name="_Toc314842508"/>
      <w:bookmarkStart w:id="91" w:name="_Toc196046504"/>
      <w:bookmarkStart w:id="92" w:name="_Toc163441390"/>
      <w:r w:rsidRPr="00605AD4">
        <w:t xml:space="preserve">Studies providing </w:t>
      </w:r>
      <w:r w:rsidRPr="00E91A6F">
        <w:t>safety</w:t>
      </w:r>
      <w:r w:rsidRPr="00605AD4">
        <w:t xml:space="preserve"> data</w:t>
      </w:r>
    </w:p>
    <w:p w:rsidR="0057000A" w:rsidRDefault="00AA2534" w:rsidP="00E91A6F">
      <w:bookmarkStart w:id="93" w:name="_Ref268776745"/>
      <w:r>
        <w:t xml:space="preserve">There were no studies that assessed safety as a primary outcome. </w:t>
      </w:r>
      <w:r w:rsidR="0057000A">
        <w:t>The following studies provided evaluable safety data:</w:t>
      </w:r>
    </w:p>
    <w:p w:rsidR="0057000A" w:rsidRDefault="0057000A" w:rsidP="00E91A6F">
      <w:pPr>
        <w:pStyle w:val="Heading5"/>
      </w:pPr>
      <w:r>
        <w:t xml:space="preserve">Pivotal </w:t>
      </w:r>
      <w:r w:rsidRPr="00E91A6F">
        <w:t>efficacy</w:t>
      </w:r>
      <w:r>
        <w:t xml:space="preserve"> studies</w:t>
      </w:r>
      <w:bookmarkEnd w:id="93"/>
    </w:p>
    <w:p w:rsidR="0057000A" w:rsidRPr="00AA2534" w:rsidRDefault="0057000A" w:rsidP="00E91A6F">
      <w:r w:rsidRPr="00AA2534">
        <w:t>In the pivotal efficacy studies, BAP248/307 and 30982081-CAP-3001, the following safety data were collected:</w:t>
      </w:r>
    </w:p>
    <w:p w:rsidR="006A3326" w:rsidRDefault="0057000A" w:rsidP="00E91A6F">
      <w:pPr>
        <w:pStyle w:val="ListBullet"/>
      </w:pPr>
      <w:r w:rsidRPr="00AA2534">
        <w:t xml:space="preserve">General </w:t>
      </w:r>
      <w:r w:rsidR="00AA2534">
        <w:t>adverse events (</w:t>
      </w:r>
      <w:r w:rsidRPr="00AA2534">
        <w:t>AEs</w:t>
      </w:r>
      <w:r w:rsidR="00AA2534">
        <w:t>)</w:t>
      </w:r>
      <w:r w:rsidRPr="00AA2534">
        <w:t xml:space="preserve">: assessed and graded by </w:t>
      </w:r>
      <w:r w:rsidR="00AA2534">
        <w:t>study i</w:t>
      </w:r>
      <w:r w:rsidRPr="00AA2534">
        <w:t xml:space="preserve">nvestigators against standard toxicity tables. Coded using </w:t>
      </w:r>
      <w:proofErr w:type="spellStart"/>
      <w:r w:rsidRPr="00AA2534">
        <w:t>MedDRA</w:t>
      </w:r>
      <w:proofErr w:type="spellEnd"/>
      <w:r w:rsidR="00AA2534">
        <w:rPr>
          <w:rStyle w:val="FootnoteReference"/>
        </w:rPr>
        <w:footnoteReference w:id="38"/>
      </w:r>
      <w:r w:rsidRPr="00AA2534">
        <w:t xml:space="preserve">. A </w:t>
      </w:r>
      <w:r w:rsidR="00AA2534">
        <w:t>treatment emergent AE (</w:t>
      </w:r>
      <w:r w:rsidRPr="00AA2534">
        <w:t>TEAE</w:t>
      </w:r>
      <w:r w:rsidR="00AA2534">
        <w:t>)</w:t>
      </w:r>
      <w:r w:rsidRPr="00AA2534">
        <w:t xml:space="preserve"> is an AE that first occurred, or worsened in severity, at or after the date and time of the start of administration of the first dose of IV study drug. The n</w:t>
      </w:r>
      <w:r w:rsidR="00AA2534">
        <w:t>umbers</w:t>
      </w:r>
      <w:r w:rsidRPr="00AA2534">
        <w:t xml:space="preserve"> and % of subjects with specific TEAE was summarised by system organ class (SOC) and preferred term (PT) for each treatment/dose and analysed for the following subcategories: </w:t>
      </w:r>
      <w:r w:rsidR="00AA2534">
        <w:t>treatment related AEs (</w:t>
      </w:r>
      <w:r w:rsidRPr="00AA2534">
        <w:t>TRAEs</w:t>
      </w:r>
      <w:r w:rsidR="00AA2534">
        <w:t>)</w:t>
      </w:r>
      <w:r w:rsidRPr="00AA2534">
        <w:t xml:space="preserve">, </w:t>
      </w:r>
      <w:r w:rsidR="00AA2534">
        <w:t>serious AEs (</w:t>
      </w:r>
      <w:r w:rsidRPr="00AA2534">
        <w:t>SAEs</w:t>
      </w:r>
      <w:r w:rsidR="00AA2534">
        <w:t>)</w:t>
      </w:r>
      <w:r w:rsidRPr="00AA2534">
        <w:t>, treatment-related serious AEs and AEs resulting in treatment discontinuation. AE tabulated by severity and relationship to the study medication for each treatment/dose</w:t>
      </w:r>
      <w:r w:rsidR="006A3326">
        <w:t>.</w:t>
      </w:r>
    </w:p>
    <w:p w:rsidR="0057000A" w:rsidRPr="00AA2534" w:rsidRDefault="0057000A" w:rsidP="00AA2534">
      <w:pPr>
        <w:pStyle w:val="ListBullet"/>
      </w:pPr>
      <w:r w:rsidRPr="00AA2534">
        <w:t>AEs of particular interest</w:t>
      </w:r>
      <w:r w:rsidR="00AA2534">
        <w:t xml:space="preserve"> that is, gastrointestinal (</w:t>
      </w:r>
      <w:r w:rsidRPr="00AA2534">
        <w:t>GI</w:t>
      </w:r>
      <w:r w:rsidR="00AA2534">
        <w:t>)</w:t>
      </w:r>
      <w:r w:rsidRPr="00AA2534">
        <w:t>, hypersensitivity (</w:t>
      </w:r>
      <w:r w:rsidR="00AA2534">
        <w:t xml:space="preserve">for example </w:t>
      </w:r>
      <w:r w:rsidRPr="00AA2534">
        <w:t>rash</w:t>
      </w:r>
      <w:r w:rsidR="00AA2534">
        <w:t>)</w:t>
      </w:r>
      <w:r w:rsidRPr="00AA2534">
        <w:t>, were assessed as above.</w:t>
      </w:r>
    </w:p>
    <w:p w:rsidR="0057000A" w:rsidRPr="00AA2534" w:rsidRDefault="0057000A" w:rsidP="00E91A6F">
      <w:pPr>
        <w:pStyle w:val="ListBullet"/>
      </w:pPr>
      <w:r w:rsidRPr="00AA2534">
        <w:t xml:space="preserve">Vital Signs, Physical Examination and </w:t>
      </w:r>
      <w:r w:rsidR="00AA2534" w:rsidRPr="00E91A6F">
        <w:t>electrocardiogram</w:t>
      </w:r>
      <w:r w:rsidR="00AA2534">
        <w:t xml:space="preserve"> (</w:t>
      </w:r>
      <w:r w:rsidRPr="00AA2534">
        <w:t>ECG</w:t>
      </w:r>
      <w:r w:rsidR="00AA2534">
        <w:t>)</w:t>
      </w:r>
      <w:r w:rsidR="00E91A6F">
        <w:t>;</w:t>
      </w:r>
    </w:p>
    <w:p w:rsidR="0057000A" w:rsidRPr="00AA2534" w:rsidRDefault="0057000A" w:rsidP="00AA2534">
      <w:pPr>
        <w:pStyle w:val="ListBullet"/>
      </w:pPr>
      <w:r w:rsidRPr="00AA2534">
        <w:lastRenderedPageBreak/>
        <w:t xml:space="preserve">Laboratory tests, including </w:t>
      </w:r>
      <w:r w:rsidR="00AA2534">
        <w:t>full blood count (</w:t>
      </w:r>
      <w:r w:rsidRPr="00AA2534">
        <w:t>FBC</w:t>
      </w:r>
      <w:r w:rsidR="00AA2534">
        <w:t>)</w:t>
      </w:r>
      <w:r w:rsidRPr="00AA2534">
        <w:t xml:space="preserve"> and differential; renal function, </w:t>
      </w:r>
      <w:r w:rsidR="00AA2534">
        <w:t>liver function tests (</w:t>
      </w:r>
      <w:r w:rsidRPr="00AA2534">
        <w:t>LFTs</w:t>
      </w:r>
      <w:r w:rsidR="00AA2534">
        <w:t>)</w:t>
      </w:r>
      <w:r w:rsidRPr="00AA2534">
        <w:t xml:space="preserve"> and electrolytes, performed at study visits as detailed in the protocol. Graded and assessed as above.</w:t>
      </w:r>
    </w:p>
    <w:p w:rsidR="0057000A" w:rsidRDefault="0057000A" w:rsidP="00E91A6F">
      <w:pPr>
        <w:pStyle w:val="Heading5"/>
      </w:pPr>
      <w:r>
        <w:t xml:space="preserve">Dose-response and non-pivotal efficacy </w:t>
      </w:r>
      <w:r w:rsidRPr="00E91A6F">
        <w:t>studies</w:t>
      </w:r>
    </w:p>
    <w:p w:rsidR="006A3326" w:rsidRDefault="0057000A" w:rsidP="00E91A6F">
      <w:r>
        <w:t>The dose</w:t>
      </w:r>
      <w:r w:rsidR="00AA2534">
        <w:t xml:space="preserve"> </w:t>
      </w:r>
      <w:r>
        <w:t>response and non</w:t>
      </w:r>
      <w:r w:rsidR="00AA2534">
        <w:t>-</w:t>
      </w:r>
      <w:r>
        <w:t xml:space="preserve">pivotal efficacy studies provided safety data. For each of these Phase </w:t>
      </w:r>
      <w:r w:rsidR="00AA2534">
        <w:t>I</w:t>
      </w:r>
      <w:r>
        <w:t xml:space="preserve"> studies, there is a summary section on safety</w:t>
      </w:r>
      <w:r w:rsidR="006A3326">
        <w:t>.</w:t>
      </w:r>
    </w:p>
    <w:p w:rsidR="00605AD4" w:rsidRDefault="00605AD4" w:rsidP="00605AD4">
      <w:pPr>
        <w:pStyle w:val="Heading4"/>
      </w:pPr>
      <w:r w:rsidRPr="00605AD4">
        <w:t>Patient exposure</w:t>
      </w:r>
    </w:p>
    <w:p w:rsidR="0057000A" w:rsidRPr="00AA2534" w:rsidRDefault="0057000A" w:rsidP="00E91A6F">
      <w:r w:rsidRPr="00AA2534">
        <w:t xml:space="preserve">There are 25 completed clinical studies, with 539 subjects in 20 Phase </w:t>
      </w:r>
      <w:r w:rsidR="00AA2534" w:rsidRPr="00AA2534">
        <w:t>I</w:t>
      </w:r>
      <w:r w:rsidRPr="00AA2534">
        <w:t xml:space="preserve"> studies, 40 </w:t>
      </w:r>
      <w:proofErr w:type="spellStart"/>
      <w:r w:rsidRPr="00AA2534">
        <w:t>cSSTI</w:t>
      </w:r>
      <w:proofErr w:type="spellEnd"/>
      <w:r w:rsidRPr="00AA2534">
        <w:t xml:space="preserve"> subjects in the Phase </w:t>
      </w:r>
      <w:r w:rsidR="00AA2534" w:rsidRPr="00AA2534">
        <w:t>II</w:t>
      </w:r>
      <w:r w:rsidRPr="00AA2534">
        <w:t xml:space="preserve"> </w:t>
      </w:r>
      <w:r w:rsidR="00AA2534" w:rsidRPr="00AA2534">
        <w:t>S</w:t>
      </w:r>
      <w:r w:rsidRPr="00AA2534">
        <w:t xml:space="preserve">tudy BAP00034, 632 CAP subjects in CAP-3001, 772 subjects with NP in BAP248/307 and 1,593 </w:t>
      </w:r>
      <w:proofErr w:type="spellStart"/>
      <w:r w:rsidRPr="00AA2534">
        <w:t>cSSTI</w:t>
      </w:r>
      <w:proofErr w:type="spellEnd"/>
      <w:r w:rsidRPr="00AA2534">
        <w:t xml:space="preserve"> subjects in 2 Phase </w:t>
      </w:r>
      <w:r w:rsidR="00AA2534" w:rsidRPr="00AA2534">
        <w:t>III</w:t>
      </w:r>
      <w:r w:rsidRPr="00AA2534">
        <w:t xml:space="preserve"> studies BAP00154 and BAP00414. Safety data from CAP-3001 and BAP248/307 were analysed both by study and in an integrated overall safety analysis. Safety data from the 2 </w:t>
      </w:r>
      <w:proofErr w:type="spellStart"/>
      <w:r w:rsidRPr="00AA2534">
        <w:t>cSSTI</w:t>
      </w:r>
      <w:proofErr w:type="spellEnd"/>
      <w:r w:rsidRPr="00AA2534">
        <w:t xml:space="preserve"> Phase </w:t>
      </w:r>
      <w:r w:rsidR="00AA2534" w:rsidRPr="00AA2534">
        <w:t>III</w:t>
      </w:r>
      <w:r w:rsidRPr="00AA2534">
        <w:t xml:space="preserve"> and single </w:t>
      </w:r>
      <w:proofErr w:type="spellStart"/>
      <w:r w:rsidRPr="00AA2534">
        <w:t>cSSTI</w:t>
      </w:r>
      <w:proofErr w:type="spellEnd"/>
      <w:r w:rsidRPr="00AA2534">
        <w:t xml:space="preserve"> Phase </w:t>
      </w:r>
      <w:r w:rsidR="00AA2534" w:rsidRPr="00AA2534">
        <w:t>II</w:t>
      </w:r>
      <w:r w:rsidRPr="00AA2534">
        <w:t xml:space="preserve"> studies were integrated for analysis and compared with the pooled analysis of safety data from the 2 Phase </w:t>
      </w:r>
      <w:r w:rsidR="00AA2534" w:rsidRPr="00AA2534">
        <w:t>III</w:t>
      </w:r>
      <w:r w:rsidRPr="00AA2534">
        <w:t xml:space="preserve">  pneumonia studies (=safety analysis sets). See Tables </w:t>
      </w:r>
      <w:r w:rsidR="001E2E83">
        <w:t>5</w:t>
      </w:r>
      <w:r w:rsidRPr="00AA2534">
        <w:t xml:space="preserve"> and </w:t>
      </w:r>
      <w:r w:rsidR="001E2E83">
        <w:t>6</w:t>
      </w:r>
      <w:r w:rsidRPr="00AA2534">
        <w:t>.</w:t>
      </w:r>
    </w:p>
    <w:p w:rsidR="0057000A" w:rsidRDefault="0057000A" w:rsidP="00E91A6F">
      <w:pPr>
        <w:pStyle w:val="TableTitle"/>
      </w:pPr>
      <w:r>
        <w:t xml:space="preserve">Table </w:t>
      </w:r>
      <w:r w:rsidR="001E2E83">
        <w:t>5</w:t>
      </w:r>
      <w:r>
        <w:t xml:space="preserve">: Phase </w:t>
      </w:r>
      <w:r w:rsidR="001E2E83">
        <w:t>II</w:t>
      </w:r>
      <w:r>
        <w:t xml:space="preserve"> and </w:t>
      </w:r>
      <w:r w:rsidR="001E2E83">
        <w:t>III</w:t>
      </w:r>
      <w:r>
        <w:t xml:space="preserve"> </w:t>
      </w:r>
      <w:r w:rsidRPr="00E91A6F">
        <w:t>efficacy</w:t>
      </w:r>
      <w:r>
        <w:t xml:space="preserve"> and safety studies</w:t>
      </w:r>
    </w:p>
    <w:p w:rsidR="0057000A" w:rsidRDefault="008A5022" w:rsidP="008A5022">
      <w:r>
        <w:rPr>
          <w:noProof/>
          <w:lang w:eastAsia="en-AU"/>
        </w:rPr>
        <w:drawing>
          <wp:inline distT="0" distB="0" distL="0" distR="0" wp14:anchorId="727F7C1E" wp14:editId="1FC9791F">
            <wp:extent cx="4389110" cy="5632450"/>
            <wp:effectExtent l="0" t="0" r="0" b="6350"/>
            <wp:docPr id="9" name="Picture 9" descr="Table 5: Phase II and III efficacy and safe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1175" cy="5635100"/>
                    </a:xfrm>
                    <a:prstGeom prst="rect">
                      <a:avLst/>
                    </a:prstGeom>
                  </pic:spPr>
                </pic:pic>
              </a:graphicData>
            </a:graphic>
          </wp:inline>
        </w:drawing>
      </w:r>
    </w:p>
    <w:p w:rsidR="00C8633E" w:rsidRDefault="0057000A" w:rsidP="008A5022">
      <w:pPr>
        <w:pStyle w:val="TableTitle"/>
      </w:pPr>
      <w:r>
        <w:lastRenderedPageBreak/>
        <w:t xml:space="preserve">Table </w:t>
      </w:r>
      <w:r w:rsidR="001E2E83">
        <w:t>6</w:t>
      </w:r>
      <w:r>
        <w:t xml:space="preserve">: Extent of Exposure - </w:t>
      </w:r>
      <w:proofErr w:type="spellStart"/>
      <w:r>
        <w:t>Ceftobiprole</w:t>
      </w:r>
      <w:proofErr w:type="spellEnd"/>
      <w:r>
        <w:t xml:space="preserve"> in the Safety analysis sets</w:t>
      </w:r>
    </w:p>
    <w:p w:rsidR="008A5022" w:rsidRDefault="008A5022" w:rsidP="008A5022">
      <w:r>
        <w:rPr>
          <w:noProof/>
          <w:lang w:eastAsia="en-AU"/>
        </w:rPr>
        <w:drawing>
          <wp:inline distT="0" distB="0" distL="0" distR="0" wp14:anchorId="0F38553C" wp14:editId="7F2A9065">
            <wp:extent cx="4718050" cy="2941014"/>
            <wp:effectExtent l="0" t="0" r="6350" b="0"/>
            <wp:docPr id="10" name="Picture 10" descr="Table 6: Extent of Exposure - Ceftobiprole in the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20270" cy="2942398"/>
                    </a:xfrm>
                    <a:prstGeom prst="rect">
                      <a:avLst/>
                    </a:prstGeom>
                  </pic:spPr>
                </pic:pic>
              </a:graphicData>
            </a:graphic>
          </wp:inline>
        </w:drawing>
      </w:r>
    </w:p>
    <w:p w:rsidR="00605AD4" w:rsidRDefault="00605AD4" w:rsidP="008A5022">
      <w:pPr>
        <w:pStyle w:val="Heading4"/>
      </w:pPr>
      <w:r w:rsidRPr="00605AD4">
        <w:t>Safety issues with the potential for major regulatory impact</w:t>
      </w:r>
    </w:p>
    <w:p w:rsidR="0057000A" w:rsidRDefault="0057000A" w:rsidP="008A5022">
      <w:r>
        <w:t>No</w:t>
      </w:r>
      <w:r w:rsidR="001E2E83">
        <w:t xml:space="preserve"> such issues</w:t>
      </w:r>
      <w:r>
        <w:t xml:space="preserve"> </w:t>
      </w:r>
      <w:r w:rsidR="001E2E83">
        <w:t xml:space="preserve">were </w:t>
      </w:r>
      <w:r>
        <w:t>revealed.</w:t>
      </w:r>
    </w:p>
    <w:p w:rsidR="00605AD4" w:rsidRDefault="00605AD4" w:rsidP="008A5022">
      <w:pPr>
        <w:pStyle w:val="Heading4"/>
      </w:pPr>
      <w:r w:rsidRPr="00605AD4">
        <w:t>Post</w:t>
      </w:r>
      <w:r w:rsidR="00A7675A">
        <w:t xml:space="preserve"> </w:t>
      </w:r>
      <w:r w:rsidRPr="00605AD4">
        <w:t>marketing data</w:t>
      </w:r>
    </w:p>
    <w:p w:rsidR="0057000A" w:rsidRPr="0057000A" w:rsidRDefault="0057000A" w:rsidP="008A5022">
      <w:r>
        <w:t>This is an evaluation of a new chemical entity</w:t>
      </w:r>
      <w:r w:rsidR="001E2E83">
        <w:t xml:space="preserve"> and therefore no </w:t>
      </w:r>
      <w:proofErr w:type="spellStart"/>
      <w:r w:rsidR="001E2E83">
        <w:t>postmarketing</w:t>
      </w:r>
      <w:proofErr w:type="spellEnd"/>
      <w:r w:rsidR="001E2E83">
        <w:t xml:space="preserve"> data are available</w:t>
      </w:r>
      <w:r>
        <w:t>.</w:t>
      </w:r>
    </w:p>
    <w:p w:rsidR="00605AD4" w:rsidRPr="00605AD4" w:rsidRDefault="00605AD4" w:rsidP="008A5022">
      <w:pPr>
        <w:pStyle w:val="Heading4"/>
      </w:pPr>
      <w:r w:rsidRPr="00605AD4">
        <w:t>Evaluator’s conclusions on safety</w:t>
      </w:r>
    </w:p>
    <w:p w:rsidR="006A3326" w:rsidRDefault="0057000A" w:rsidP="008A5022">
      <w:r>
        <w:t xml:space="preserve">In the pooled Phase </w:t>
      </w:r>
      <w:r w:rsidR="001E2E83">
        <w:t>III</w:t>
      </w:r>
      <w:r>
        <w:t xml:space="preserve"> pneumonia studies, 29.7% of all </w:t>
      </w:r>
      <w:proofErr w:type="spellStart"/>
      <w:r>
        <w:t>ceftobiprole</w:t>
      </w:r>
      <w:proofErr w:type="spellEnd"/>
      <w:r w:rsidR="0052542E">
        <w:t xml:space="preserve"> </w:t>
      </w:r>
      <w:r>
        <w:t xml:space="preserve">treated subjects and 25.6% of all comparator-treated subjects experienced ≥1 one drug-related AE. Most commonly (in ≥1% of those treated with </w:t>
      </w:r>
      <w:proofErr w:type="spellStart"/>
      <w:r>
        <w:t>ceftobiprole</w:t>
      </w:r>
      <w:proofErr w:type="spellEnd"/>
      <w:r>
        <w:t xml:space="preserve">): nausea (4.3% of subjects), diarrhoea (4.2%), vomiting (3.3%), hyponatraemia (2.7%), phlebitis (2.3%), </w:t>
      </w:r>
      <w:proofErr w:type="spellStart"/>
      <w:r>
        <w:t>dysgeusia</w:t>
      </w:r>
      <w:proofErr w:type="spellEnd"/>
      <w:r>
        <w:t xml:space="preserve"> (1.6%), headache (1.4%), rash (1.1%), </w:t>
      </w:r>
      <w:r w:rsidR="001E2E83">
        <w:t>alanine aminotransferase (</w:t>
      </w:r>
      <w:r>
        <w:t>ALT</w:t>
      </w:r>
      <w:r w:rsidR="001E2E83">
        <w:t>)</w:t>
      </w:r>
      <w:r>
        <w:t xml:space="preserve"> increased (1.1%) and </w:t>
      </w:r>
      <w:r w:rsidR="001E2E83">
        <w:t>aspartate aminotransferase (</w:t>
      </w:r>
      <w:r>
        <w:t>AST</w:t>
      </w:r>
      <w:r w:rsidR="001E2E83">
        <w:t>)</w:t>
      </w:r>
      <w:r>
        <w:t xml:space="preserve"> increased (1.0%). The safety of </w:t>
      </w:r>
      <w:proofErr w:type="spellStart"/>
      <w:r>
        <w:t>ceftobiprole</w:t>
      </w:r>
      <w:proofErr w:type="spellEnd"/>
      <w:r>
        <w:t xml:space="preserve"> was also evaluated in special populations, by age, gender, race, renal impairment and hepatic impairment. Analysis of these special populations revealed no particular safety signal of concern especially in the NP study, where patients were generally muck sicker. The clinical program did not reveal any worrisome signal in regards to the selection of resistance but relatively few patients have been exposed over only a short period of time. Broad spectrum </w:t>
      </w:r>
      <w:proofErr w:type="spellStart"/>
      <w:r>
        <w:t>cephaloporins</w:t>
      </w:r>
      <w:proofErr w:type="spellEnd"/>
      <w:r>
        <w:t xml:space="preserve"> are recognised to increase the risk of </w:t>
      </w:r>
      <w:r>
        <w:rPr>
          <w:i/>
        </w:rPr>
        <w:t>C. difficile</w:t>
      </w:r>
      <w:r>
        <w:t xml:space="preserve"> colonisation and colitis; it would be expected that </w:t>
      </w:r>
      <w:proofErr w:type="spellStart"/>
      <w:r>
        <w:t>Zevetra</w:t>
      </w:r>
      <w:proofErr w:type="spellEnd"/>
      <w:r>
        <w:t xml:space="preserve"> would be no different in this regard</w:t>
      </w:r>
      <w:r w:rsidR="006A3326">
        <w:t>.</w:t>
      </w:r>
    </w:p>
    <w:p w:rsidR="0057000A" w:rsidRDefault="0057000A" w:rsidP="008A5022">
      <w:pPr>
        <w:pStyle w:val="Heading5"/>
      </w:pPr>
      <w:r>
        <w:t xml:space="preserve">What is the </w:t>
      </w:r>
      <w:r w:rsidRPr="008A5022">
        <w:t>real</w:t>
      </w:r>
      <w:r>
        <w:t xml:space="preserve"> risk to health of Australians with the registration of this </w:t>
      </w:r>
      <w:r w:rsidR="005C5442">
        <w:t>fifth</w:t>
      </w:r>
      <w:r>
        <w:t xml:space="preserve"> generation cephalosporin?</w:t>
      </w:r>
    </w:p>
    <w:p w:rsidR="0057000A" w:rsidRDefault="0057000A" w:rsidP="0057000A">
      <w:pPr>
        <w:tabs>
          <w:tab w:val="left" w:pos="720"/>
        </w:tabs>
        <w:autoSpaceDE w:val="0"/>
        <w:autoSpaceDN w:val="0"/>
        <w:adjustRightInd w:val="0"/>
        <w:rPr>
          <w:color w:val="000000"/>
        </w:rPr>
      </w:pPr>
      <w:r>
        <w:rPr>
          <w:color w:val="000000"/>
        </w:rPr>
        <w:t>Overall</w:t>
      </w:r>
      <w:r w:rsidR="001E2E83">
        <w:rPr>
          <w:color w:val="000000"/>
        </w:rPr>
        <w:t xml:space="preserve"> the clinical evaluator </w:t>
      </w:r>
      <w:r>
        <w:rPr>
          <w:color w:val="000000"/>
        </w:rPr>
        <w:t>think</w:t>
      </w:r>
      <w:r w:rsidR="001E2E83">
        <w:rPr>
          <w:color w:val="000000"/>
        </w:rPr>
        <w:t>s</w:t>
      </w:r>
      <w:r>
        <w:rPr>
          <w:color w:val="000000"/>
        </w:rPr>
        <w:t xml:space="preserve"> the risk is </w:t>
      </w:r>
      <w:r w:rsidRPr="001E2E83">
        <w:rPr>
          <w:color w:val="000000"/>
        </w:rPr>
        <w:t>low</w:t>
      </w:r>
      <w:r>
        <w:rPr>
          <w:color w:val="000000"/>
        </w:rPr>
        <w:t>, the rationale for this is:</w:t>
      </w:r>
    </w:p>
    <w:p w:rsidR="0057000A" w:rsidRDefault="0057000A" w:rsidP="008A5022">
      <w:pPr>
        <w:pStyle w:val="Numberbullet0"/>
        <w:numPr>
          <w:ilvl w:val="0"/>
          <w:numId w:val="30"/>
        </w:numPr>
      </w:pPr>
      <w:r>
        <w:t xml:space="preserve">It is clearly quite difficult for </w:t>
      </w:r>
      <w:r w:rsidRPr="008A5022">
        <w:rPr>
          <w:i/>
        </w:rPr>
        <w:t>Staphylococcal</w:t>
      </w:r>
      <w:r>
        <w:t xml:space="preserve"> and </w:t>
      </w:r>
      <w:r w:rsidRPr="008A5022">
        <w:rPr>
          <w:i/>
        </w:rPr>
        <w:t>Streptococcal</w:t>
      </w:r>
      <w:r>
        <w:t xml:space="preserve"> species to develop resistance and even very resistant species remain susceptible to the drug;</w:t>
      </w:r>
    </w:p>
    <w:p w:rsidR="0057000A" w:rsidRDefault="0057000A" w:rsidP="001E2E83">
      <w:pPr>
        <w:pStyle w:val="Numberbullet0"/>
        <w:rPr>
          <w:kern w:val="16"/>
        </w:rPr>
      </w:pPr>
      <w:r>
        <w:lastRenderedPageBreak/>
        <w:t xml:space="preserve">Mechanisms of resistance to various gram negatives have been defined, some of these highly resistant strains are already resistant to the drug so </w:t>
      </w:r>
      <w:proofErr w:type="spellStart"/>
      <w:r>
        <w:t>ceftobiprole</w:t>
      </w:r>
      <w:proofErr w:type="spellEnd"/>
      <w:r>
        <w:t xml:space="preserve"> is unlikely to make the situation worse;</w:t>
      </w:r>
    </w:p>
    <w:p w:rsidR="0057000A" w:rsidRDefault="0057000A" w:rsidP="001E2E83">
      <w:pPr>
        <w:pStyle w:val="Numberbullet0"/>
      </w:pPr>
      <w:r>
        <w:t xml:space="preserve">The </w:t>
      </w:r>
      <w:r w:rsidR="001E2E83">
        <w:t>s</w:t>
      </w:r>
      <w:r>
        <w:t xml:space="preserve">ponsor has projected the expected use of </w:t>
      </w:r>
      <w:proofErr w:type="spellStart"/>
      <w:r>
        <w:t>ceftobiprole</w:t>
      </w:r>
      <w:proofErr w:type="spellEnd"/>
      <w:r>
        <w:t xml:space="preserve"> in Australia. Use in 2016 is expected to be in 50 patients rising to 2650 in 2020, average n</w:t>
      </w:r>
      <w:r w:rsidR="001E2E83">
        <w:t>umber</w:t>
      </w:r>
      <w:r>
        <w:t xml:space="preserve"> of days of dosing will be 8 (extrapolated from the </w:t>
      </w:r>
      <w:r w:rsidR="001E2E83">
        <w:t>P</w:t>
      </w:r>
      <w:r>
        <w:t xml:space="preserve">hase </w:t>
      </w:r>
      <w:r w:rsidR="001E2E83">
        <w:t>III</w:t>
      </w:r>
      <w:r>
        <w:t xml:space="preserve"> pneumonia studies). In other words, there will be very restricted use of the drug (small numbers, short exposure) and this means the risk of dissemination of </w:t>
      </w:r>
      <w:proofErr w:type="spellStart"/>
      <w:r>
        <w:t>ceftobiprole</w:t>
      </w:r>
      <w:proofErr w:type="spellEnd"/>
      <w:r>
        <w:t xml:space="preserve"> resistant strains, should they occur, is low;</w:t>
      </w:r>
    </w:p>
    <w:p w:rsidR="006A3326" w:rsidRDefault="0057000A" w:rsidP="001E2E83">
      <w:pPr>
        <w:pStyle w:val="Numberbullet0"/>
      </w:pPr>
      <w:r>
        <w:t xml:space="preserve">The clinical development program confirms using the recommended dose of 500 mg </w:t>
      </w:r>
      <w:proofErr w:type="spellStart"/>
      <w:r>
        <w:t>tds</w:t>
      </w:r>
      <w:proofErr w:type="spellEnd"/>
      <w:r>
        <w:t xml:space="preserve"> as a 2</w:t>
      </w:r>
      <w:r w:rsidR="001E2E83">
        <w:t xml:space="preserve"> </w:t>
      </w:r>
      <w:r>
        <w:t>h IV infusion has extremely high coverage of the target pathogens isolated during the 2008 surveillance study</w:t>
      </w:r>
      <w:r w:rsidR="006A3326">
        <w:t>.</w:t>
      </w:r>
    </w:p>
    <w:p w:rsidR="006A3326" w:rsidRDefault="0057000A" w:rsidP="008A5022">
      <w:r>
        <w:t xml:space="preserve">In summary, although the risk of emergence of </w:t>
      </w:r>
      <w:proofErr w:type="spellStart"/>
      <w:r>
        <w:t>ceftobiprole</w:t>
      </w:r>
      <w:proofErr w:type="spellEnd"/>
      <w:r>
        <w:t xml:space="preserve"> resistance appears low for gram positive organisms (pneumonia-causing pathogens), the risk is likely greater for some of the gram negative organisms.  Importantly, </w:t>
      </w:r>
      <w:proofErr w:type="spellStart"/>
      <w:r>
        <w:t>ceftobiprole</w:t>
      </w:r>
      <w:proofErr w:type="spellEnd"/>
      <w:r>
        <w:t xml:space="preserve"> resistance may occur for reasons not directly related to the use of the drug in Australia </w:t>
      </w:r>
      <w:r w:rsidR="001E2E83">
        <w:t>for example</w:t>
      </w:r>
      <w:r>
        <w:t xml:space="preserve"> global movement of very resistant pathogens as people and even populations travel and hence, ongoing </w:t>
      </w:r>
      <w:r w:rsidRPr="001E2E83">
        <w:rPr>
          <w:i/>
        </w:rPr>
        <w:t>international</w:t>
      </w:r>
      <w:r>
        <w:t xml:space="preserve"> pharmacovigilance and microbiological surveillance activities are essential. In Australia, the incidence of resistance in CAP organisms is growing but it still remains relatively low. </w:t>
      </w:r>
      <w:r w:rsidR="001E2E83">
        <w:t>The clinical evaluator’s</w:t>
      </w:r>
      <w:r>
        <w:t xml:space="preserve"> greatest concern is that when </w:t>
      </w:r>
      <w:proofErr w:type="spellStart"/>
      <w:r>
        <w:t>Zevetra</w:t>
      </w:r>
      <w:proofErr w:type="spellEnd"/>
      <w:r>
        <w:t xml:space="preserve"> is approved for use in CAP, the drug will be used empirically and </w:t>
      </w:r>
      <w:r w:rsidRPr="001E2E83">
        <w:rPr>
          <w:i/>
        </w:rPr>
        <w:t>not stopped</w:t>
      </w:r>
      <w:r>
        <w:t xml:space="preserve"> even when the organism is revealed to be sensitive to narrower spectrum agents. The use of a very broad-spectrum antibiotic for a common condition such as CAP which is frequently caused by sensitive bacteria</w:t>
      </w:r>
      <w:r w:rsidR="001E2E83">
        <w:t>, for example</w:t>
      </w:r>
      <w:r>
        <w:t xml:space="preserve"> penicillin sensitive pneumococci when the global push is to use narrower spectrum antibiotics wherever possible, seems counter-intuitive. If the drug is misused on a global scale, then there is a risk of the selection of increasingly resistant organisms</w:t>
      </w:r>
      <w:r w:rsidR="006A3326">
        <w:t>.</w:t>
      </w:r>
    </w:p>
    <w:p w:rsidR="00605AD4" w:rsidRPr="00605AD4" w:rsidRDefault="00605AD4" w:rsidP="008A5022">
      <w:pPr>
        <w:pStyle w:val="Heading3"/>
        <w:rPr>
          <w:rFonts w:eastAsia="Cambria"/>
        </w:rPr>
      </w:pPr>
      <w:bookmarkStart w:id="94" w:name="_Toc443060233"/>
      <w:r w:rsidRPr="00605AD4">
        <w:rPr>
          <w:rFonts w:eastAsia="Cambria"/>
        </w:rPr>
        <w:t xml:space="preserve">First </w:t>
      </w:r>
      <w:r w:rsidR="008A5022">
        <w:rPr>
          <w:rFonts w:eastAsia="Cambria"/>
        </w:rPr>
        <w:t>r</w:t>
      </w:r>
      <w:r w:rsidRPr="00605AD4">
        <w:rPr>
          <w:rFonts w:eastAsia="Cambria"/>
        </w:rPr>
        <w:t xml:space="preserve">ound </w:t>
      </w:r>
      <w:r w:rsidR="008A5022">
        <w:rPr>
          <w:rFonts w:eastAsia="Cambria"/>
        </w:rPr>
        <w:t>b</w:t>
      </w:r>
      <w:r w:rsidRPr="00605AD4">
        <w:rPr>
          <w:rFonts w:eastAsia="Cambria"/>
        </w:rPr>
        <w:t>enefit-</w:t>
      </w:r>
      <w:r w:rsidR="008A5022">
        <w:rPr>
          <w:rFonts w:eastAsia="Cambria"/>
        </w:rPr>
        <w:t>r</w:t>
      </w:r>
      <w:r w:rsidRPr="00605AD4">
        <w:rPr>
          <w:rFonts w:eastAsia="Cambria"/>
        </w:rPr>
        <w:t xml:space="preserve">isk </w:t>
      </w:r>
      <w:r w:rsidR="008A5022" w:rsidRPr="008A5022">
        <w:rPr>
          <w:rFonts w:eastAsia="Cambria"/>
        </w:rPr>
        <w:t>a</w:t>
      </w:r>
      <w:r w:rsidRPr="008A5022">
        <w:rPr>
          <w:rFonts w:eastAsia="Cambria"/>
        </w:rPr>
        <w:t>ssessment</w:t>
      </w:r>
      <w:bookmarkEnd w:id="94"/>
    </w:p>
    <w:p w:rsidR="0057000A" w:rsidRDefault="0057000A" w:rsidP="008A5022">
      <w:pPr>
        <w:pStyle w:val="Heading4"/>
      </w:pPr>
      <w:bookmarkStart w:id="95" w:name="_Toc408385456"/>
      <w:bookmarkStart w:id="96" w:name="_Toc290846331"/>
      <w:bookmarkStart w:id="97" w:name="_Toc272414693"/>
      <w:bookmarkStart w:id="98" w:name="_Ref272160836"/>
      <w:bookmarkStart w:id="99" w:name="_Toc241374331"/>
      <w:bookmarkStart w:id="100" w:name="_Toc236802592"/>
      <w:r>
        <w:t>First round assessment of benefits</w:t>
      </w:r>
      <w:bookmarkEnd w:id="95"/>
      <w:bookmarkEnd w:id="96"/>
      <w:bookmarkEnd w:id="97"/>
      <w:bookmarkEnd w:id="98"/>
      <w:bookmarkEnd w:id="99"/>
      <w:bookmarkEnd w:id="100"/>
    </w:p>
    <w:p w:rsidR="0057000A" w:rsidRDefault="0057000A" w:rsidP="008A5022">
      <w:r>
        <w:t xml:space="preserve">The benefits of </w:t>
      </w:r>
      <w:proofErr w:type="spellStart"/>
      <w:r>
        <w:t>Zevtera</w:t>
      </w:r>
      <w:proofErr w:type="spellEnd"/>
      <w:r>
        <w:t xml:space="preserve"> in the proposed usage are:</w:t>
      </w:r>
    </w:p>
    <w:p w:rsidR="0057000A" w:rsidRDefault="0057000A" w:rsidP="008A5022">
      <w:pPr>
        <w:pStyle w:val="ListBullet"/>
      </w:pPr>
      <w:r>
        <w:t xml:space="preserve">A broad-spectrum antibiotic that combines potent gram positive (including for MRSA) and gram </w:t>
      </w:r>
      <w:r w:rsidRPr="008A5022">
        <w:t>negative</w:t>
      </w:r>
      <w:r>
        <w:t xml:space="preserve"> activity against the common pneumonia-causing bacteria</w:t>
      </w:r>
      <w:r w:rsidR="001E2E83">
        <w:t>; the evaluator</w:t>
      </w:r>
      <w:r>
        <w:t xml:space="preserve"> can see the particular utility of this drug for nosocomial infections and perhaps for CAP in a patient with a particular risk for more-resistant organisms (past/current history; other comorbidities; co-infection with respiratory tract viruses that might increase risk of invasive </w:t>
      </w:r>
      <w:r w:rsidRPr="001E2E83">
        <w:rPr>
          <w:i/>
        </w:rPr>
        <w:t>Staphylococcal</w:t>
      </w:r>
      <w:r>
        <w:t xml:space="preserve"> infection including MRSA);</w:t>
      </w:r>
    </w:p>
    <w:p w:rsidR="0057000A" w:rsidRDefault="0057000A" w:rsidP="001E2E83">
      <w:pPr>
        <w:pStyle w:val="ListBullet"/>
      </w:pPr>
      <w:r>
        <w:t>Favourable PK profile with linear PK and no accumulation seen; dose adjustments for varying degrees of renal impairment appear supported by the data derived from the PK program;</w:t>
      </w:r>
    </w:p>
    <w:p w:rsidR="0057000A" w:rsidRDefault="0057000A" w:rsidP="001E2E83">
      <w:pPr>
        <w:pStyle w:val="ListBullet"/>
      </w:pPr>
      <w:r>
        <w:t>Little potential for drug-drug interactions, this is important as the target population are more likely to be elderly with other comorbidities and using polypharmacy as a consequence;</w:t>
      </w:r>
    </w:p>
    <w:p w:rsidR="0057000A" w:rsidRDefault="0057000A" w:rsidP="001E2E83">
      <w:pPr>
        <w:pStyle w:val="ListBullet"/>
      </w:pPr>
      <w:r>
        <w:t>Rapid mode of action;</w:t>
      </w:r>
    </w:p>
    <w:p w:rsidR="0057000A" w:rsidRDefault="0057000A" w:rsidP="008A5022">
      <w:pPr>
        <w:pStyle w:val="ListBullet"/>
      </w:pPr>
      <w:r>
        <w:t xml:space="preserve">Can be given as monotherapy which avoids the use of two (or more) different </w:t>
      </w:r>
      <w:r w:rsidRPr="008A5022">
        <w:t>antibiotics</w:t>
      </w:r>
      <w:r>
        <w:t xml:space="preserve"> to provide ‘appropriate’ antibiotic coverage in those very ill with bacterial pneumonia; </w:t>
      </w:r>
    </w:p>
    <w:p w:rsidR="006A3326" w:rsidRDefault="0057000A" w:rsidP="001E2E83">
      <w:pPr>
        <w:pStyle w:val="ListBullet"/>
      </w:pPr>
      <w:r>
        <w:lastRenderedPageBreak/>
        <w:t>Alternative agents such linezolid, while an excellent gram positive antibiotic, have idiosyncratic haematological and neurological AEs. To date no such idiosyncratic reactions have been revealed for this drug but patient exposure is limited. Other broad-spectrum penicillins (</w:t>
      </w:r>
      <w:r w:rsidR="001E2E83">
        <w:t xml:space="preserve">such as </w:t>
      </w:r>
      <w:proofErr w:type="spellStart"/>
      <w:r>
        <w:t>Timentin</w:t>
      </w:r>
      <w:proofErr w:type="spellEnd"/>
      <w:r>
        <w:sym w:font="Symbol" w:char="F0D2"/>
      </w:r>
      <w:r>
        <w:t>) are well tolerated but do not have MRSA activity in which case they are often combined with glycopeptides or linezolid if MRSA is suspected</w:t>
      </w:r>
      <w:r w:rsidR="006A3326">
        <w:t>.</w:t>
      </w:r>
    </w:p>
    <w:p w:rsidR="0057000A" w:rsidRDefault="0057000A" w:rsidP="008A5022">
      <w:pPr>
        <w:pStyle w:val="Heading4"/>
      </w:pPr>
      <w:bookmarkStart w:id="101" w:name="_Toc408385457"/>
      <w:bookmarkStart w:id="102" w:name="_Toc290846332"/>
      <w:bookmarkStart w:id="103" w:name="_Toc272414694"/>
      <w:bookmarkStart w:id="104" w:name="_Ref272160964"/>
      <w:bookmarkStart w:id="105" w:name="_Toc241374334"/>
      <w:bookmarkStart w:id="106" w:name="_Toc236802596"/>
      <w:r>
        <w:t xml:space="preserve">First </w:t>
      </w:r>
      <w:r w:rsidRPr="008A5022">
        <w:t>round</w:t>
      </w:r>
      <w:r>
        <w:t xml:space="preserve"> assessment of risks</w:t>
      </w:r>
      <w:bookmarkEnd w:id="101"/>
      <w:bookmarkEnd w:id="102"/>
      <w:bookmarkEnd w:id="103"/>
      <w:bookmarkEnd w:id="104"/>
      <w:bookmarkEnd w:id="105"/>
      <w:bookmarkEnd w:id="106"/>
    </w:p>
    <w:p w:rsidR="0057000A" w:rsidRDefault="0057000A" w:rsidP="0057000A">
      <w:r>
        <w:t xml:space="preserve">The risks of </w:t>
      </w:r>
      <w:proofErr w:type="spellStart"/>
      <w:r>
        <w:t>Zevtera</w:t>
      </w:r>
      <w:proofErr w:type="spellEnd"/>
      <w:r>
        <w:t xml:space="preserve"> in the proposed usage are:</w:t>
      </w:r>
    </w:p>
    <w:p w:rsidR="0057000A" w:rsidRDefault="0057000A" w:rsidP="008A5022">
      <w:pPr>
        <w:pStyle w:val="ListBullet"/>
      </w:pPr>
      <w:r>
        <w:t xml:space="preserve">While multidrug resistant organisms are of growing concern worldwide, they are not of such a </w:t>
      </w:r>
      <w:r w:rsidRPr="008A5022">
        <w:t>great</w:t>
      </w:r>
      <w:r>
        <w:t xml:space="preserve"> concern</w:t>
      </w:r>
      <w:r w:rsidR="001E2E83">
        <w:t>,</w:t>
      </w:r>
      <w:r>
        <w:t xml:space="preserve"> yet</w:t>
      </w:r>
      <w:r w:rsidR="001E2E83">
        <w:t xml:space="preserve">, </w:t>
      </w:r>
      <w:r>
        <w:t>in Australia at least not for CAP. The problem with empirical use of such a broad spectrum antibiotic is that it will inevitably be used for sensitive organisms that simply don’t need such a broad-spectrum antibiotic for treatment. Although the development of resistance to the drug especially for gram pos</w:t>
      </w:r>
      <w:r w:rsidR="001E2E83">
        <w:t>i</w:t>
      </w:r>
      <w:r>
        <w:t xml:space="preserve">tives is low, there still  is a potential risk for the selection of resistant organisms and/or overgrowth with </w:t>
      </w:r>
      <w:r>
        <w:rPr>
          <w:i/>
        </w:rPr>
        <w:t>C.</w:t>
      </w:r>
      <w:r w:rsidR="001E2E83">
        <w:rPr>
          <w:i/>
        </w:rPr>
        <w:t xml:space="preserve"> </w:t>
      </w:r>
      <w:r>
        <w:rPr>
          <w:i/>
        </w:rPr>
        <w:t xml:space="preserve">difficile </w:t>
      </w:r>
      <w:r>
        <w:t>and subsequent colitis;</w:t>
      </w:r>
    </w:p>
    <w:p w:rsidR="0057000A" w:rsidRDefault="0057000A" w:rsidP="001E2E83">
      <w:pPr>
        <w:pStyle w:val="ListBullet"/>
      </w:pPr>
      <w:r>
        <w:t>The drug is associated with quite a number of GI toxicities especially nausea and altered taste, while tolerated reasonably well in the clinical trials, these toxicities may be more problematic in the ‘real-life’ setting;</w:t>
      </w:r>
    </w:p>
    <w:p w:rsidR="0057000A" w:rsidRDefault="0057000A" w:rsidP="001E2E83">
      <w:pPr>
        <w:pStyle w:val="ListBullet"/>
      </w:pPr>
      <w:r>
        <w:t xml:space="preserve">The drug has to be given IV as a 2 h infusion </w:t>
      </w:r>
      <w:proofErr w:type="spellStart"/>
      <w:r>
        <w:t>tds</w:t>
      </w:r>
      <w:proofErr w:type="spellEnd"/>
      <w:r w:rsidR="001E2E83">
        <w:t xml:space="preserve"> and</w:t>
      </w:r>
      <w:r>
        <w:t xml:space="preserve"> this is not very user friendly;</w:t>
      </w:r>
    </w:p>
    <w:p w:rsidR="0057000A" w:rsidRDefault="0057000A" w:rsidP="001E2E83">
      <w:pPr>
        <w:pStyle w:val="ListBullet"/>
      </w:pPr>
      <w:r>
        <w:t>The potential for the drug to interfere with some forms of testing for creatinine may be an issue, depending on how widespread those platforms are utilised in biochemistry lab</w:t>
      </w:r>
      <w:r w:rsidR="001E2E83">
        <w:t>oratories</w:t>
      </w:r>
      <w:r>
        <w:t>. This may be an issue in those with renal impairment for whom dose adjustment is required;</w:t>
      </w:r>
    </w:p>
    <w:p w:rsidR="0057000A" w:rsidRDefault="00E01646" w:rsidP="008A5022">
      <w:pPr>
        <w:pStyle w:val="ListBullet"/>
      </w:pPr>
      <w:r>
        <w:t>There is n</w:t>
      </w:r>
      <w:r w:rsidR="0057000A">
        <w:t xml:space="preserve">o oral </w:t>
      </w:r>
      <w:r>
        <w:t xml:space="preserve">treatment </w:t>
      </w:r>
      <w:r w:rsidR="0057000A">
        <w:t xml:space="preserve">equivalent at this juncture for step-down. </w:t>
      </w:r>
      <w:r w:rsidR="001E2E83">
        <w:t>The clinical evaluator</w:t>
      </w:r>
      <w:r w:rsidR="0057000A">
        <w:t xml:space="preserve"> </w:t>
      </w:r>
      <w:r w:rsidR="0057000A" w:rsidRPr="008A5022">
        <w:t>note</w:t>
      </w:r>
      <w:r w:rsidR="001E2E83" w:rsidRPr="008A5022">
        <w:t>s</w:t>
      </w:r>
      <w:r w:rsidR="0057000A">
        <w:t xml:space="preserve"> the step-down option in the CAP study was a first generation cephalosporin, </w:t>
      </w:r>
      <w:r w:rsidR="001E2E83">
        <w:t>one</w:t>
      </w:r>
      <w:r w:rsidR="0057000A">
        <w:t xml:space="preserve"> could argue that most of the patients enrolled in the CAP-3001 study would have done just as well on a </w:t>
      </w:r>
      <w:r w:rsidR="001E2E83">
        <w:t>first</w:t>
      </w:r>
      <w:r w:rsidR="0057000A">
        <w:t xml:space="preserve"> generation cephalosporin from the onset.</w:t>
      </w:r>
    </w:p>
    <w:p w:rsidR="0057000A" w:rsidRDefault="0057000A" w:rsidP="008A5022">
      <w:pPr>
        <w:pStyle w:val="Heading4"/>
      </w:pPr>
      <w:bookmarkStart w:id="107" w:name="_Toc408385458"/>
      <w:bookmarkStart w:id="108" w:name="_Toc290846333"/>
      <w:bookmarkStart w:id="109" w:name="_Toc272414695"/>
      <w:bookmarkStart w:id="110" w:name="_Toc241374335"/>
      <w:bookmarkStart w:id="111" w:name="_Toc236802597"/>
      <w:r>
        <w:t>First round assessment of benefit-risk balance</w:t>
      </w:r>
      <w:bookmarkEnd w:id="107"/>
      <w:bookmarkEnd w:id="108"/>
      <w:bookmarkEnd w:id="109"/>
      <w:bookmarkEnd w:id="110"/>
      <w:bookmarkEnd w:id="111"/>
    </w:p>
    <w:p w:rsidR="0057000A" w:rsidRDefault="0057000A" w:rsidP="008A5022">
      <w:r>
        <w:t xml:space="preserve">The benefit-risk balance of </w:t>
      </w:r>
      <w:proofErr w:type="spellStart"/>
      <w:r>
        <w:t>Zevetra</w:t>
      </w:r>
      <w:proofErr w:type="spellEnd"/>
      <w:r>
        <w:t>, given the proposed usage, is favourable.</w:t>
      </w:r>
    </w:p>
    <w:p w:rsidR="00605AD4" w:rsidRPr="00605AD4" w:rsidRDefault="00605AD4" w:rsidP="008A5022">
      <w:pPr>
        <w:pStyle w:val="Heading3"/>
        <w:rPr>
          <w:rFonts w:eastAsia="Cambria"/>
        </w:rPr>
      </w:pPr>
      <w:bookmarkStart w:id="112" w:name="_Toc443060234"/>
      <w:r w:rsidRPr="00605AD4">
        <w:rPr>
          <w:rFonts w:eastAsia="Cambria"/>
        </w:rPr>
        <w:t xml:space="preserve">First </w:t>
      </w:r>
      <w:r w:rsidR="008A5022">
        <w:rPr>
          <w:rFonts w:eastAsia="Cambria"/>
        </w:rPr>
        <w:t>r</w:t>
      </w:r>
      <w:r w:rsidRPr="00605AD4">
        <w:rPr>
          <w:rFonts w:eastAsia="Cambria"/>
        </w:rPr>
        <w:t xml:space="preserve">ound </w:t>
      </w:r>
      <w:r w:rsidR="008A5022">
        <w:rPr>
          <w:rFonts w:eastAsia="Cambria"/>
        </w:rPr>
        <w:t>r</w:t>
      </w:r>
      <w:r w:rsidRPr="00605AD4">
        <w:rPr>
          <w:rFonts w:eastAsia="Cambria"/>
        </w:rPr>
        <w:t xml:space="preserve">ecommendation </w:t>
      </w:r>
      <w:r w:rsidR="008A5022">
        <w:rPr>
          <w:rFonts w:eastAsia="Cambria"/>
        </w:rPr>
        <w:t>r</w:t>
      </w:r>
      <w:r w:rsidRPr="00605AD4">
        <w:rPr>
          <w:rFonts w:eastAsia="Cambria"/>
        </w:rPr>
        <w:t xml:space="preserve">egarding </w:t>
      </w:r>
      <w:r w:rsidR="008A5022" w:rsidRPr="008A5022">
        <w:rPr>
          <w:rFonts w:eastAsia="Cambria"/>
        </w:rPr>
        <w:t>a</w:t>
      </w:r>
      <w:r w:rsidRPr="008A5022">
        <w:rPr>
          <w:rFonts w:eastAsia="Cambria"/>
        </w:rPr>
        <w:t>uthorisation</w:t>
      </w:r>
      <w:bookmarkEnd w:id="112"/>
    </w:p>
    <w:p w:rsidR="0057000A" w:rsidRDefault="001E2E83" w:rsidP="008A5022">
      <w:r>
        <w:t xml:space="preserve">The clinical evaluator </w:t>
      </w:r>
      <w:r w:rsidR="0057000A">
        <w:t>recommend</w:t>
      </w:r>
      <w:r>
        <w:t>ed</w:t>
      </w:r>
      <w:r w:rsidR="0057000A">
        <w:t xml:space="preserve"> approval of the drug for nosocomial (hospital-acquired) bacterial pneumonia (excluding ventilator-associated pneumonia) and community acquired bacterial pneumonia requiring hospitalisation.</w:t>
      </w:r>
    </w:p>
    <w:p w:rsidR="00605AD4" w:rsidRPr="00605AD4" w:rsidRDefault="00605AD4" w:rsidP="008A5022">
      <w:pPr>
        <w:pStyle w:val="Heading3"/>
        <w:rPr>
          <w:rFonts w:eastAsia="Cambria"/>
        </w:rPr>
      </w:pPr>
      <w:bookmarkStart w:id="113" w:name="_Toc443060235"/>
      <w:r w:rsidRPr="00605AD4">
        <w:rPr>
          <w:rFonts w:eastAsia="Cambria"/>
        </w:rPr>
        <w:t xml:space="preserve">Clinical </w:t>
      </w:r>
      <w:r w:rsidR="008A5022" w:rsidRPr="008A5022">
        <w:rPr>
          <w:rFonts w:eastAsia="Cambria"/>
        </w:rPr>
        <w:t>q</w:t>
      </w:r>
      <w:r w:rsidRPr="008A5022">
        <w:rPr>
          <w:rFonts w:eastAsia="Cambria"/>
        </w:rPr>
        <w:t>uestions</w:t>
      </w:r>
      <w:bookmarkEnd w:id="113"/>
    </w:p>
    <w:p w:rsidR="0057000A" w:rsidRDefault="0057000A" w:rsidP="008A5022">
      <w:pPr>
        <w:pStyle w:val="Heading4"/>
      </w:pPr>
      <w:bookmarkStart w:id="114" w:name="_Toc408385467"/>
      <w:bookmarkStart w:id="115" w:name="_Toc290846342"/>
      <w:bookmarkStart w:id="116" w:name="_Toc272414702"/>
      <w:r w:rsidRPr="008A5022">
        <w:t>Pharmacokinetics</w:t>
      </w:r>
      <w:bookmarkEnd w:id="114"/>
      <w:bookmarkEnd w:id="115"/>
      <w:bookmarkEnd w:id="116"/>
    </w:p>
    <w:p w:rsidR="0057000A" w:rsidRPr="00C8633E" w:rsidRDefault="0057000A" w:rsidP="008A5022">
      <w:pPr>
        <w:pStyle w:val="Numberbullet0"/>
        <w:numPr>
          <w:ilvl w:val="0"/>
          <w:numId w:val="10"/>
        </w:numPr>
      </w:pPr>
      <w:bookmarkStart w:id="117" w:name="_Toc290846343"/>
      <w:bookmarkStart w:id="118" w:name="_Toc272414703"/>
      <w:r>
        <w:t xml:space="preserve">Renal function tests are usually supplied as an </w:t>
      </w:r>
      <w:r w:rsidR="00C8633E">
        <w:t>estimated glomerular filtration rate (</w:t>
      </w:r>
      <w:proofErr w:type="spellStart"/>
      <w:r>
        <w:t>eGFR</w:t>
      </w:r>
      <w:proofErr w:type="spellEnd"/>
      <w:r w:rsidR="00C8633E">
        <w:t>)</w:t>
      </w:r>
      <w:r>
        <w:t xml:space="preserve"> based </w:t>
      </w:r>
      <w:r w:rsidRPr="00C8633E">
        <w:t xml:space="preserve">on the </w:t>
      </w:r>
      <w:r w:rsidR="00C8633E" w:rsidRPr="00C8633E">
        <w:t xml:space="preserve">Modification of Diet in </w:t>
      </w:r>
      <w:r w:rsidR="00C8633E" w:rsidRPr="008A5022">
        <w:t>Renal</w:t>
      </w:r>
      <w:r w:rsidR="00C8633E" w:rsidRPr="00C8633E">
        <w:t xml:space="preserve"> Disease (</w:t>
      </w:r>
      <w:r w:rsidRPr="00C8633E">
        <w:t>MDRD</w:t>
      </w:r>
      <w:r w:rsidR="00C8633E" w:rsidRPr="00C8633E">
        <w:t>)</w:t>
      </w:r>
      <w:r w:rsidRPr="00C8633E">
        <w:t xml:space="preserve"> or </w:t>
      </w:r>
      <w:r w:rsidR="00C8633E" w:rsidRPr="00C8633E">
        <w:t>Chronic Kidney Disease Epidemiology Collaboration (</w:t>
      </w:r>
      <w:r w:rsidRPr="00C8633E">
        <w:t>CKD-EPI</w:t>
      </w:r>
      <w:r w:rsidR="00C8633E" w:rsidRPr="00C8633E">
        <w:t>)</w:t>
      </w:r>
      <w:r w:rsidRPr="00C8633E">
        <w:t xml:space="preserve"> formula; what is the risk in terms of incorrect dosing if the Cockcroft-Gault formula is not used to calculate creatinine clearance?</w:t>
      </w:r>
    </w:p>
    <w:p w:rsidR="0057000A" w:rsidRDefault="0057000A" w:rsidP="008A5022">
      <w:pPr>
        <w:pStyle w:val="Heading4"/>
      </w:pPr>
      <w:bookmarkStart w:id="119" w:name="_Toc408385468"/>
      <w:r w:rsidRPr="008A5022">
        <w:lastRenderedPageBreak/>
        <w:t>Pharmacodynamics</w:t>
      </w:r>
      <w:bookmarkEnd w:id="117"/>
      <w:bookmarkEnd w:id="118"/>
      <w:bookmarkEnd w:id="119"/>
    </w:p>
    <w:p w:rsidR="0057000A" w:rsidRDefault="0057000A" w:rsidP="0057000A">
      <w:r>
        <w:t>No questions.</w:t>
      </w:r>
    </w:p>
    <w:p w:rsidR="0057000A" w:rsidRDefault="0057000A" w:rsidP="00C8633E">
      <w:pPr>
        <w:pStyle w:val="Heading4"/>
      </w:pPr>
      <w:bookmarkStart w:id="120" w:name="_Toc408385469"/>
      <w:bookmarkStart w:id="121" w:name="_Toc290846344"/>
      <w:bookmarkStart w:id="122" w:name="_Toc272414704"/>
      <w:r>
        <w:t>Efficacy</w:t>
      </w:r>
      <w:bookmarkEnd w:id="120"/>
      <w:bookmarkEnd w:id="121"/>
      <w:bookmarkEnd w:id="122"/>
    </w:p>
    <w:p w:rsidR="0057000A" w:rsidRDefault="0057000A" w:rsidP="00A7675A">
      <w:pPr>
        <w:pStyle w:val="Numberbullet0"/>
        <w:numPr>
          <w:ilvl w:val="0"/>
          <w:numId w:val="18"/>
        </w:numPr>
      </w:pPr>
      <w:bookmarkStart w:id="123" w:name="_Toc290846345"/>
      <w:bookmarkStart w:id="124" w:name="_Toc272414705"/>
      <w:r>
        <w:t xml:space="preserve">Unclear to what extent MRSA and NORSA and resistant </w:t>
      </w:r>
      <w:proofErr w:type="spellStart"/>
      <w:r w:rsidRPr="00A7675A">
        <w:rPr>
          <w:i/>
        </w:rPr>
        <w:t>S.pneumoniae</w:t>
      </w:r>
      <w:proofErr w:type="spellEnd"/>
      <w:r>
        <w:t xml:space="preserve"> are a causative agent in CAP in Australia? </w:t>
      </w:r>
      <w:r w:rsidR="00C8633E">
        <w:t>I</w:t>
      </w:r>
      <w:r>
        <w:t xml:space="preserve">n which case do you really need to cover these organisms empirically when treating CAP? </w:t>
      </w:r>
    </w:p>
    <w:p w:rsidR="0057000A" w:rsidRDefault="0057000A" w:rsidP="00A7675A">
      <w:pPr>
        <w:pStyle w:val="Numberbullet0"/>
        <w:numPr>
          <w:ilvl w:val="0"/>
          <w:numId w:val="18"/>
        </w:numPr>
      </w:pPr>
      <w:r>
        <w:t>Do</w:t>
      </w:r>
      <w:r w:rsidR="00C8633E">
        <w:t>es the sponsor</w:t>
      </w:r>
      <w:r>
        <w:t xml:space="preserve"> have any concerns about the use of the drug for </w:t>
      </w:r>
      <w:r w:rsidRPr="00A7675A">
        <w:rPr>
          <w:i/>
        </w:rPr>
        <w:t>Haemophilus</w:t>
      </w:r>
      <w:r>
        <w:t xml:space="preserve"> sp., there seemed to be a signal, albeit small</w:t>
      </w:r>
      <w:r w:rsidR="00C8633E">
        <w:t>,</w:t>
      </w:r>
      <w:r>
        <w:t xml:space="preserve"> that the drug did not perform so well in a couple of patients?</w:t>
      </w:r>
    </w:p>
    <w:p w:rsidR="0057000A" w:rsidRDefault="0057000A" w:rsidP="00A7675A">
      <w:pPr>
        <w:pStyle w:val="Numberbullet0"/>
        <w:numPr>
          <w:ilvl w:val="0"/>
          <w:numId w:val="18"/>
        </w:numPr>
      </w:pPr>
      <w:r>
        <w:t xml:space="preserve">How will </w:t>
      </w:r>
      <w:r w:rsidR="00C8633E">
        <w:t>the sponsor</w:t>
      </w:r>
      <w:r>
        <w:t xml:space="preserve"> monitor the ‘off-label’ use in VAP which is very likely to happen, especially as definitions of VAP can be quite confusing?</w:t>
      </w:r>
    </w:p>
    <w:p w:rsidR="0057000A" w:rsidRDefault="0057000A" w:rsidP="00C8633E">
      <w:pPr>
        <w:pStyle w:val="Heading4"/>
      </w:pPr>
      <w:bookmarkStart w:id="125" w:name="_Toc408385470"/>
      <w:r>
        <w:t>Safety</w:t>
      </w:r>
      <w:bookmarkEnd w:id="123"/>
      <w:bookmarkEnd w:id="124"/>
      <w:bookmarkEnd w:id="125"/>
    </w:p>
    <w:p w:rsidR="0057000A" w:rsidRDefault="0057000A" w:rsidP="0057000A">
      <w:r>
        <w:t>No questions.</w:t>
      </w:r>
    </w:p>
    <w:p w:rsidR="00605AD4" w:rsidRPr="00955D4E" w:rsidRDefault="00605AD4" w:rsidP="008A5022">
      <w:pPr>
        <w:pStyle w:val="Heading3"/>
        <w:rPr>
          <w:rFonts w:eastAsia="Cambria"/>
        </w:rPr>
      </w:pPr>
      <w:bookmarkStart w:id="126" w:name="_Toc443060236"/>
      <w:r w:rsidRPr="00955D4E">
        <w:rPr>
          <w:rFonts w:eastAsia="Cambria"/>
        </w:rPr>
        <w:t xml:space="preserve">Second </w:t>
      </w:r>
      <w:r w:rsidR="008A5022">
        <w:rPr>
          <w:rFonts w:eastAsia="Cambria"/>
        </w:rPr>
        <w:t>r</w:t>
      </w:r>
      <w:r w:rsidRPr="00955D4E">
        <w:rPr>
          <w:rFonts w:eastAsia="Cambria"/>
        </w:rPr>
        <w:t xml:space="preserve">ound </w:t>
      </w:r>
      <w:r w:rsidR="008A5022">
        <w:rPr>
          <w:rFonts w:eastAsia="Cambria"/>
        </w:rPr>
        <w:t>e</w:t>
      </w:r>
      <w:r w:rsidRPr="00955D4E">
        <w:rPr>
          <w:rFonts w:eastAsia="Cambria"/>
        </w:rPr>
        <w:t xml:space="preserve">valuation of clinical data submitted in </w:t>
      </w:r>
      <w:r w:rsidRPr="008A5022">
        <w:rPr>
          <w:rFonts w:eastAsia="Cambria"/>
        </w:rPr>
        <w:t>response</w:t>
      </w:r>
      <w:r w:rsidRPr="00955D4E">
        <w:rPr>
          <w:rFonts w:eastAsia="Cambria"/>
        </w:rPr>
        <w:t xml:space="preserve"> to questions</w:t>
      </w:r>
      <w:bookmarkEnd w:id="126"/>
    </w:p>
    <w:p w:rsidR="00605AD4" w:rsidRPr="00955D4E" w:rsidRDefault="00C8633E" w:rsidP="008A5022">
      <w:r w:rsidRPr="00955D4E">
        <w:t>No second round clinical evaluation was conducted.</w:t>
      </w:r>
      <w:r w:rsidR="00955D4E" w:rsidRPr="00955D4E">
        <w:t xml:space="preserve"> The sponsor’s response to the clinical questions was taken into account when the delegate prepared the Overview (</w:t>
      </w:r>
      <w:r w:rsidR="00955D4E" w:rsidRPr="00955D4E">
        <w:rPr>
          <w:i/>
        </w:rPr>
        <w:t>Overall conclusion and risk/benefit assessment below</w:t>
      </w:r>
      <w:r w:rsidR="008A5022">
        <w:t>).</w:t>
      </w:r>
    </w:p>
    <w:p w:rsidR="008E7846" w:rsidRPr="00E41208" w:rsidRDefault="008E7846" w:rsidP="008A5022">
      <w:pPr>
        <w:pStyle w:val="Heading2"/>
      </w:pPr>
      <w:bookmarkStart w:id="127" w:name="_Toc443060237"/>
      <w:r w:rsidRPr="00E41208">
        <w:t xml:space="preserve">V. </w:t>
      </w:r>
      <w:r w:rsidRPr="008A5022">
        <w:t>Pharmacovigilance</w:t>
      </w:r>
      <w:r w:rsidRPr="00E41208">
        <w:t xml:space="preserve"> </w:t>
      </w:r>
      <w:r>
        <w:t>f</w:t>
      </w:r>
      <w:r w:rsidRPr="00E41208">
        <w:t>indings</w:t>
      </w:r>
      <w:bookmarkEnd w:id="89"/>
      <w:bookmarkEnd w:id="90"/>
      <w:bookmarkEnd w:id="127"/>
    </w:p>
    <w:p w:rsidR="008E7846" w:rsidRDefault="00386150" w:rsidP="008A5022">
      <w:pPr>
        <w:pStyle w:val="Heading3"/>
        <w:rPr>
          <w:lang w:eastAsia="en-AU"/>
        </w:rPr>
      </w:pPr>
      <w:bookmarkStart w:id="128" w:name="_Toc247691526"/>
      <w:bookmarkStart w:id="129" w:name="_Toc314842509"/>
      <w:bookmarkStart w:id="130" w:name="_Toc443060238"/>
      <w:r>
        <w:rPr>
          <w:lang w:eastAsia="en-AU"/>
        </w:rPr>
        <w:t xml:space="preserve">Risk </w:t>
      </w:r>
      <w:r w:rsidRPr="008A5022">
        <w:t>m</w:t>
      </w:r>
      <w:r w:rsidR="008E7846" w:rsidRPr="008A5022">
        <w:t>anagement</w:t>
      </w:r>
      <w:r w:rsidR="008E7846">
        <w:rPr>
          <w:lang w:eastAsia="en-AU"/>
        </w:rPr>
        <w:t xml:space="preserve"> </w:t>
      </w:r>
      <w:r>
        <w:rPr>
          <w:lang w:eastAsia="en-AU"/>
        </w:rPr>
        <w:t>p</w:t>
      </w:r>
      <w:r w:rsidR="008E7846">
        <w:rPr>
          <w:lang w:eastAsia="en-AU"/>
        </w:rPr>
        <w:t>lan</w:t>
      </w:r>
      <w:bookmarkEnd w:id="128"/>
      <w:bookmarkEnd w:id="129"/>
      <w:bookmarkEnd w:id="130"/>
    </w:p>
    <w:p w:rsidR="008E7846" w:rsidRDefault="008E7846" w:rsidP="008A5022">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57000A">
        <w:t>EU-RMP version 2.0 dated 11 June 2014 (data lock point 19 April 2014), Australian Specific Annex version to the EU-RMP</w:t>
      </w:r>
      <w:r w:rsidR="006F25B8" w:rsidRPr="006F25B8">
        <w:rPr>
          <w:lang w:eastAsia="en-AU"/>
        </w:rPr>
        <w:t>)</w:t>
      </w:r>
      <w:r w:rsidRPr="006F25B8">
        <w:t xml:space="preserve"> </w:t>
      </w:r>
      <w:r>
        <w:rPr>
          <w:lang w:eastAsia="en-AU"/>
        </w:rPr>
        <w:t xml:space="preserve">which was reviewed by the </w:t>
      </w:r>
      <w:r w:rsidR="00FC1FCA">
        <w:rPr>
          <w:lang w:eastAsia="en-AU"/>
        </w:rPr>
        <w:t>RMP evaluator.</w:t>
      </w:r>
    </w:p>
    <w:p w:rsidR="008E7846" w:rsidRDefault="003A7F6C" w:rsidP="008A5022">
      <w:pPr>
        <w:pStyle w:val="Heading4"/>
        <w:rPr>
          <w:lang w:eastAsia="en-AU"/>
        </w:rPr>
      </w:pPr>
      <w:r>
        <w:rPr>
          <w:lang w:eastAsia="en-AU"/>
        </w:rPr>
        <w:t xml:space="preserve">Safety </w:t>
      </w:r>
      <w:r w:rsidRPr="008A5022">
        <w:t>s</w:t>
      </w:r>
      <w:r w:rsidR="008E7846" w:rsidRPr="008A5022">
        <w:t>pecification</w:t>
      </w:r>
    </w:p>
    <w:p w:rsidR="008E7846" w:rsidRDefault="008E7846" w:rsidP="008A5022">
      <w:pPr>
        <w:rPr>
          <w:lang w:eastAsia="en-AU"/>
        </w:rPr>
      </w:pPr>
      <w:r>
        <w:rPr>
          <w:lang w:eastAsia="en-AU"/>
        </w:rPr>
        <w:t>The</w:t>
      </w:r>
      <w:r w:rsidR="006F25B8">
        <w:rPr>
          <w:lang w:eastAsia="en-AU"/>
        </w:rPr>
        <w:t xml:space="preserve"> sponsor provided a summary of </w:t>
      </w:r>
      <w:proofErr w:type="gramStart"/>
      <w:r w:rsidR="00C8633E">
        <w:rPr>
          <w:lang w:eastAsia="en-AU"/>
        </w:rPr>
        <w:t>O</w:t>
      </w:r>
      <w:r>
        <w:rPr>
          <w:lang w:eastAsia="en-AU"/>
        </w:rPr>
        <w:t>ngoing</w:t>
      </w:r>
      <w:proofErr w:type="gramEnd"/>
      <w:r>
        <w:rPr>
          <w:lang w:eastAsia="en-AU"/>
        </w:rPr>
        <w:t xml:space="preserve"> safety </w:t>
      </w:r>
      <w:r w:rsidR="006F25B8">
        <w:rPr>
          <w:lang w:eastAsia="en-AU"/>
        </w:rPr>
        <w:t>c</w:t>
      </w:r>
      <w:r>
        <w:rPr>
          <w:lang w:eastAsia="en-AU"/>
        </w:rPr>
        <w:t xml:space="preserve">oncerns which are shown at Table </w:t>
      </w:r>
      <w:r w:rsidR="00C8633E">
        <w:rPr>
          <w:lang w:eastAsia="en-AU"/>
        </w:rPr>
        <w:t>7</w:t>
      </w:r>
      <w:r>
        <w:rPr>
          <w:lang w:eastAsia="en-AU"/>
        </w:rPr>
        <w:t>.</w:t>
      </w:r>
    </w:p>
    <w:p w:rsidR="008A5022" w:rsidRDefault="00C8633E" w:rsidP="008A5022">
      <w:pPr>
        <w:pStyle w:val="TableTitle"/>
        <w:rPr>
          <w:lang w:eastAsia="en-AU"/>
        </w:rPr>
      </w:pPr>
      <w:proofErr w:type="gramStart"/>
      <w:r>
        <w:rPr>
          <w:lang w:eastAsia="en-AU"/>
        </w:rPr>
        <w:lastRenderedPageBreak/>
        <w:t xml:space="preserve">Table 7: Summary of Ongoing </w:t>
      </w:r>
      <w:r w:rsidRPr="008A5022">
        <w:t>safety</w:t>
      </w:r>
      <w:r>
        <w:rPr>
          <w:lang w:eastAsia="en-AU"/>
        </w:rPr>
        <w:t xml:space="preserve"> concerns.</w:t>
      </w:r>
      <w:proofErr w:type="gramEnd"/>
    </w:p>
    <w:p w:rsidR="008A5022" w:rsidRDefault="0057000A" w:rsidP="008A5022">
      <w:pPr>
        <w:rPr>
          <w:lang w:eastAsia="en-AU"/>
        </w:rPr>
      </w:pPr>
      <w:r>
        <w:rPr>
          <w:noProof/>
          <w:lang w:eastAsia="en-AU"/>
        </w:rPr>
        <w:drawing>
          <wp:inline distT="0" distB="0" distL="0" distR="0" wp14:anchorId="1EF27C56" wp14:editId="5798BCA4">
            <wp:extent cx="4242815" cy="3152851"/>
            <wp:effectExtent l="0" t="0" r="5715" b="0"/>
            <wp:docPr id="4" name="Picture 4" descr="Table 7: Summary of Ongoing safety concerns."/>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a:srcRect t="1147"/>
                    <a:stretch/>
                  </pic:blipFill>
                  <pic:spPr bwMode="auto">
                    <a:xfrm>
                      <a:off x="0" y="0"/>
                      <a:ext cx="4243934" cy="3153682"/>
                    </a:xfrm>
                    <a:prstGeom prst="rect">
                      <a:avLst/>
                    </a:prstGeom>
                    <a:ln>
                      <a:noFill/>
                    </a:ln>
                    <a:extLst>
                      <a:ext uri="{53640926-AAD7-44D8-BBD7-CCE9431645EC}">
                        <a14:shadowObscured xmlns:a14="http://schemas.microsoft.com/office/drawing/2010/main"/>
                      </a:ext>
                    </a:extLst>
                  </pic:spPr>
                </pic:pic>
              </a:graphicData>
            </a:graphic>
          </wp:inline>
        </w:drawing>
      </w:r>
    </w:p>
    <w:p w:rsidR="008E7846" w:rsidRDefault="008E7846" w:rsidP="008A5022">
      <w:pPr>
        <w:pStyle w:val="Heading4"/>
        <w:rPr>
          <w:lang w:eastAsia="en-AU"/>
        </w:rPr>
      </w:pPr>
      <w:r>
        <w:rPr>
          <w:lang w:eastAsia="en-AU"/>
        </w:rPr>
        <w:t xml:space="preserve">Pharmacovigilance </w:t>
      </w:r>
      <w:r w:rsidR="003A7F6C">
        <w:rPr>
          <w:lang w:eastAsia="en-AU"/>
        </w:rPr>
        <w:t>p</w:t>
      </w:r>
      <w:r>
        <w:rPr>
          <w:lang w:eastAsia="en-AU"/>
        </w:rPr>
        <w:t>lan</w:t>
      </w:r>
    </w:p>
    <w:p w:rsidR="006A3326" w:rsidRDefault="0057000A" w:rsidP="008A5022">
      <w:r>
        <w:t xml:space="preserve">Routine pharmacovigilance have been proposed to monitor all the safety concerns. This includes targeted follow-up questionnaires for ‘renal toxicity’, ‘development of drug-resistant bacteria’, ‘off-label use in children and adults’, ‘haemolytic anaemia/positive Coombs test’, ‘interaction with copper reduction technique to measure urine glucose’ and ‘interaction with </w:t>
      </w:r>
      <w:proofErr w:type="spellStart"/>
      <w:r>
        <w:t>Jaffé</w:t>
      </w:r>
      <w:proofErr w:type="spellEnd"/>
      <w:r>
        <w:t xml:space="preserve"> method to measure creatinine’. In addition, future clinical studies will include Coombs testing, </w:t>
      </w:r>
      <w:proofErr w:type="spellStart"/>
      <w:r>
        <w:t>haptoglobin</w:t>
      </w:r>
      <w:proofErr w:type="spellEnd"/>
      <w:r>
        <w:t xml:space="preserve"> and reticulocyte testing to monitor ‘haemolytic anaemia’. Monitoring of </w:t>
      </w:r>
      <w:proofErr w:type="spellStart"/>
      <w:r>
        <w:t>ceftobiprole’s</w:t>
      </w:r>
      <w:proofErr w:type="spellEnd"/>
      <w:r>
        <w:t xml:space="preserve"> activity against clinically relevant pathogens through in vitro surveillance studies of clinical isolates will be conducted at geographically distributed sites including multiple sites in various European </w:t>
      </w:r>
      <w:r w:rsidRPr="00C8633E">
        <w:t xml:space="preserve">countries. A </w:t>
      </w:r>
      <w:r w:rsidR="00C8633E" w:rsidRPr="00C8633E">
        <w:t>post-authorisation safety study (</w:t>
      </w:r>
      <w:r w:rsidRPr="00C8633E">
        <w:t>PASS</w:t>
      </w:r>
      <w:r w:rsidR="00C8633E" w:rsidRPr="00C8633E">
        <w:t>)</w:t>
      </w:r>
      <w:r w:rsidRPr="00C8633E">
        <w:t xml:space="preserve"> BPR-PAS-001 has been planned to gather evidence on the use of </w:t>
      </w:r>
      <w:proofErr w:type="spellStart"/>
      <w:r w:rsidRPr="00C8633E">
        <w:t>ceftobiprole</w:t>
      </w:r>
      <w:proofErr w:type="spellEnd"/>
      <w:r w:rsidRPr="00C8633E">
        <w:t xml:space="preserve"> in patients with impaired hepatic or renal function</w:t>
      </w:r>
      <w:r>
        <w:t>, and HIV-positive patients, patients with neutropenia, immunocompromised patients, and patients with myelosuppression</w:t>
      </w:r>
      <w:r w:rsidR="006A3326">
        <w:t>.</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A3326" w:rsidRDefault="0057000A" w:rsidP="008A5022">
      <w:bookmarkStart w:id="131" w:name="_Toc247691527"/>
      <w:r>
        <w:t xml:space="preserve">The sponsor proposes routine risk minimisation activities through the Australian PI and </w:t>
      </w:r>
      <w:r w:rsidR="00C8633E">
        <w:t>Consumer Medicine Information (</w:t>
      </w:r>
      <w:r>
        <w:t>CMI</w:t>
      </w:r>
      <w:r w:rsidR="00C8633E">
        <w:t>)</w:t>
      </w:r>
      <w:r>
        <w:t xml:space="preserve"> for all the safety concerns identified in the RMP. No additional risk minimisation has been proposed</w:t>
      </w:r>
      <w:r w:rsidR="006A3326">
        <w:t>.</w:t>
      </w:r>
    </w:p>
    <w:p w:rsidR="006A3326" w:rsidRDefault="0057000A" w:rsidP="0057000A">
      <w:r>
        <w:t>The sponsor also advised in the ASA that there is no difference between the EU and Australian risk minimisation activities</w:t>
      </w:r>
      <w:r w:rsidR="006A3326">
        <w:t>.</w:t>
      </w:r>
    </w:p>
    <w:p w:rsidR="006F25B8" w:rsidRDefault="006F25B8" w:rsidP="008A5022">
      <w:pPr>
        <w:pStyle w:val="Heading4"/>
        <w:rPr>
          <w:lang w:eastAsia="en-AU"/>
        </w:rPr>
      </w:pPr>
      <w:r w:rsidRPr="006F25B8">
        <w:rPr>
          <w:lang w:eastAsia="en-AU"/>
        </w:rPr>
        <w:t xml:space="preserve">Reconciliation of </w:t>
      </w:r>
      <w:r w:rsidRPr="008A5022">
        <w:t>issues</w:t>
      </w:r>
      <w:r w:rsidRPr="006F25B8">
        <w:rPr>
          <w:lang w:eastAsia="en-AU"/>
        </w:rPr>
        <w:t xml:space="preserve"> outlined in the RMP report </w:t>
      </w:r>
    </w:p>
    <w:p w:rsidR="006F25B8" w:rsidRDefault="006F25B8" w:rsidP="008A5022">
      <w:pPr>
        <w:rPr>
          <w:lang w:eastAsia="en-AU"/>
        </w:rPr>
      </w:pPr>
      <w:r>
        <w:rPr>
          <w:lang w:eastAsia="en-AU"/>
        </w:rPr>
        <w:t xml:space="preserve">Table </w:t>
      </w:r>
      <w:r w:rsidR="00C8633E">
        <w:rPr>
          <w:lang w:eastAsia="en-AU"/>
        </w:rPr>
        <w:t>8</w:t>
      </w:r>
      <w:r>
        <w:rPr>
          <w:lang w:eastAsia="en-AU"/>
        </w:rPr>
        <w:t xml:space="preserve"> summarises the </w:t>
      </w:r>
      <w:r w:rsidR="00EC2FFF">
        <w:rPr>
          <w:lang w:eastAsia="en-AU"/>
        </w:rPr>
        <w:t xml:space="preserve">RMP evaluator’s </w:t>
      </w:r>
      <w:r>
        <w:rPr>
          <w:lang w:eastAsia="en-AU"/>
        </w:rPr>
        <w:t xml:space="preserve">first round evaluation of the RMP, the sponsor’s responses to issues raised by the </w:t>
      </w:r>
      <w:r w:rsidR="00EC2FFF">
        <w:rPr>
          <w:lang w:eastAsia="en-AU"/>
        </w:rPr>
        <w:t>evaluator</w:t>
      </w:r>
      <w:r>
        <w:rPr>
          <w:lang w:eastAsia="en-AU"/>
        </w:rPr>
        <w:t xml:space="preserve"> and the </w:t>
      </w:r>
      <w:r w:rsidR="00EC2FFF">
        <w:rPr>
          <w:lang w:eastAsia="en-AU"/>
        </w:rPr>
        <w:t xml:space="preserve">evaluator’s </w:t>
      </w:r>
      <w:r>
        <w:rPr>
          <w:lang w:eastAsia="en-AU"/>
        </w:rPr>
        <w:t>evaluat</w:t>
      </w:r>
      <w:r w:rsidR="0057000A">
        <w:rPr>
          <w:lang w:eastAsia="en-AU"/>
        </w:rPr>
        <w:t>ion of the sponsor’s responses.</w:t>
      </w:r>
    </w:p>
    <w:p w:rsidR="0057000A" w:rsidRDefault="00C8633E" w:rsidP="008A5022">
      <w:pPr>
        <w:pStyle w:val="TableTitle"/>
      </w:pPr>
      <w:r>
        <w:lastRenderedPageBreak/>
        <w:t xml:space="preserve">Table 8: </w:t>
      </w:r>
      <w:r w:rsidR="0057000A">
        <w:t xml:space="preserve">Reconciliation of </w:t>
      </w:r>
      <w:r w:rsidR="0057000A" w:rsidRPr="008A5022">
        <w:t>issues</w:t>
      </w:r>
      <w:r w:rsidR="0057000A">
        <w:t xml:space="preserve"> outlined in the RMP Evaluation Report (Round 1)</w:t>
      </w:r>
    </w:p>
    <w:tbl>
      <w:tblPr>
        <w:tblStyle w:val="TableTGAblue"/>
        <w:tblW w:w="5000" w:type="pct"/>
        <w:tblLook w:val="04A0" w:firstRow="1" w:lastRow="0" w:firstColumn="1" w:lastColumn="0" w:noHBand="0" w:noVBand="1"/>
      </w:tblPr>
      <w:tblGrid>
        <w:gridCol w:w="3401"/>
        <w:gridCol w:w="3402"/>
        <w:gridCol w:w="1917"/>
      </w:tblGrid>
      <w:tr w:rsidR="0057000A" w:rsidRPr="00CE6F39" w:rsidTr="008A5022">
        <w:trPr>
          <w:cnfStyle w:val="100000000000" w:firstRow="1" w:lastRow="0" w:firstColumn="0" w:lastColumn="0" w:oddVBand="0" w:evenVBand="0" w:oddHBand="0" w:evenHBand="0" w:firstRowFirstColumn="0" w:firstRowLastColumn="0" w:lastRowFirstColumn="0" w:lastRowLastColumn="0"/>
        </w:trPr>
        <w:tc>
          <w:tcPr>
            <w:tcW w:w="1906" w:type="pct"/>
            <w:noWrap/>
            <w:hideMark/>
          </w:tcPr>
          <w:p w:rsidR="0057000A" w:rsidRPr="00CE6F39" w:rsidRDefault="0057000A" w:rsidP="00CE6F39">
            <w:pPr>
              <w:ind w:right="54"/>
              <w:rPr>
                <w:rFonts w:eastAsia="MS Mincho"/>
                <w:sz w:val="20"/>
                <w:szCs w:val="20"/>
              </w:rPr>
            </w:pPr>
            <w:r w:rsidRPr="00CE6F39">
              <w:rPr>
                <w:sz w:val="20"/>
                <w:szCs w:val="20"/>
              </w:rPr>
              <w:t>Recommendation in RMP evaluation report</w:t>
            </w:r>
          </w:p>
        </w:tc>
        <w:tc>
          <w:tcPr>
            <w:tcW w:w="1906" w:type="pct"/>
            <w:noWrap/>
          </w:tcPr>
          <w:p w:rsidR="0057000A" w:rsidRPr="00CE6F39" w:rsidRDefault="0057000A" w:rsidP="00CE6F39">
            <w:pPr>
              <w:ind w:left="13" w:right="41"/>
              <w:rPr>
                <w:rFonts w:eastAsia="MS Mincho"/>
                <w:sz w:val="20"/>
                <w:szCs w:val="20"/>
              </w:rPr>
            </w:pPr>
            <w:r w:rsidRPr="00CE6F39">
              <w:rPr>
                <w:sz w:val="20"/>
                <w:szCs w:val="20"/>
              </w:rPr>
              <w:t>Sponsor’s response</w:t>
            </w:r>
          </w:p>
        </w:tc>
        <w:tc>
          <w:tcPr>
            <w:tcW w:w="1188" w:type="pct"/>
            <w:noWrap/>
            <w:hideMark/>
          </w:tcPr>
          <w:p w:rsidR="0057000A" w:rsidRPr="00CE6F39" w:rsidRDefault="0057000A" w:rsidP="00CE6F39">
            <w:pPr>
              <w:ind w:left="26" w:right="0"/>
              <w:rPr>
                <w:rFonts w:eastAsia="MS Mincho"/>
                <w:sz w:val="20"/>
                <w:szCs w:val="20"/>
              </w:rPr>
            </w:pPr>
            <w:r w:rsidRPr="00CE6F39">
              <w:rPr>
                <w:sz w:val="20"/>
                <w:szCs w:val="20"/>
              </w:rPr>
              <w:t>RMP evaluator’s comment</w:t>
            </w:r>
          </w:p>
        </w:tc>
      </w:tr>
      <w:tr w:rsidR="0057000A" w:rsidRPr="00CE6F39" w:rsidTr="008A5022">
        <w:tc>
          <w:tcPr>
            <w:tcW w:w="1906" w:type="pct"/>
            <w:noWrap/>
            <w:hideMark/>
          </w:tcPr>
          <w:p w:rsidR="0057000A" w:rsidRPr="00CE6F39" w:rsidRDefault="0057000A" w:rsidP="00CE6F39">
            <w:pPr>
              <w:pStyle w:val="Numberbullet0"/>
              <w:numPr>
                <w:ilvl w:val="0"/>
                <w:numId w:val="32"/>
              </w:numPr>
              <w:ind w:left="284" w:right="54" w:hanging="284"/>
              <w:rPr>
                <w:rFonts w:eastAsia="MS Mincho"/>
                <w:sz w:val="20"/>
                <w:szCs w:val="20"/>
              </w:rPr>
            </w:pPr>
            <w:r w:rsidRPr="00CE6F39">
              <w:rPr>
                <w:sz w:val="20"/>
                <w:szCs w:val="20"/>
              </w:rPr>
              <w:t xml:space="preserve">Safety considerations may be raised by the nonclinical and clinical evaluators.  It is important to ensure that the information provided in response to these includes a consideration of the relevance for the Risk Management Plan, and any specific information needed to address this issue in the RMP.  </w:t>
            </w:r>
            <w:r w:rsidRPr="00CE6F39">
              <w:rPr>
                <w:bCs/>
                <w:sz w:val="20"/>
                <w:szCs w:val="20"/>
              </w:rPr>
              <w:t xml:space="preserve">For any safety considerations so raised, </w:t>
            </w:r>
            <w:r w:rsidRPr="00CE6F39">
              <w:rPr>
                <w:sz w:val="20"/>
                <w:szCs w:val="20"/>
              </w:rPr>
              <w:t>the sponsor should</w:t>
            </w:r>
            <w:r w:rsidRPr="00CE6F39">
              <w:rPr>
                <w:bCs/>
                <w:sz w:val="20"/>
                <w:szCs w:val="20"/>
              </w:rPr>
              <w:t xml:space="preserve"> provide information that is relevant and necessary to address the issue in the RMP.</w:t>
            </w:r>
          </w:p>
        </w:tc>
        <w:tc>
          <w:tcPr>
            <w:tcW w:w="1906" w:type="pct"/>
            <w:noWrap/>
            <w:hideMark/>
          </w:tcPr>
          <w:p w:rsidR="0057000A" w:rsidRPr="00CE6F39" w:rsidRDefault="0057000A" w:rsidP="00CE6F39">
            <w:pPr>
              <w:ind w:left="13" w:right="41"/>
              <w:rPr>
                <w:rFonts w:eastAsia="MS Mincho"/>
                <w:i/>
                <w:sz w:val="20"/>
                <w:szCs w:val="20"/>
              </w:rPr>
            </w:pPr>
            <w:r w:rsidRPr="00CE6F39">
              <w:rPr>
                <w:i/>
                <w:sz w:val="20"/>
                <w:szCs w:val="20"/>
              </w:rPr>
              <w:t>The applicant confirms that there are no additional safety considerations other than those already identified in the Risk Management Plan.</w:t>
            </w:r>
          </w:p>
        </w:tc>
        <w:tc>
          <w:tcPr>
            <w:tcW w:w="1188" w:type="pct"/>
            <w:noWrap/>
            <w:hideMark/>
          </w:tcPr>
          <w:p w:rsidR="0057000A" w:rsidRPr="00CE6F39" w:rsidRDefault="0057000A" w:rsidP="00CE6F39">
            <w:pPr>
              <w:ind w:left="26" w:right="0"/>
              <w:rPr>
                <w:rFonts w:eastAsia="MS Mincho"/>
                <w:sz w:val="20"/>
                <w:szCs w:val="20"/>
              </w:rPr>
            </w:pPr>
            <w:r w:rsidRPr="00CE6F39">
              <w:rPr>
                <w:sz w:val="20"/>
                <w:szCs w:val="20"/>
              </w:rPr>
              <w:t>The sponsor should provide response to the clinical evaluator’s comments in the first round CER.</w:t>
            </w:r>
          </w:p>
        </w:tc>
      </w:tr>
      <w:tr w:rsidR="0057000A" w:rsidRPr="00CE6F39" w:rsidTr="008A5022">
        <w:tc>
          <w:tcPr>
            <w:tcW w:w="1906" w:type="pct"/>
            <w:noWrap/>
            <w:hideMark/>
          </w:tcPr>
          <w:p w:rsidR="0057000A" w:rsidRPr="00CE6F39" w:rsidRDefault="0057000A" w:rsidP="00CE6F39">
            <w:pPr>
              <w:pStyle w:val="Numberbullet0"/>
              <w:ind w:left="284" w:right="54" w:hanging="284"/>
              <w:rPr>
                <w:rFonts w:eastAsia="MS Mincho"/>
                <w:sz w:val="20"/>
                <w:szCs w:val="20"/>
              </w:rPr>
            </w:pPr>
            <w:r w:rsidRPr="00CE6F39">
              <w:rPr>
                <w:sz w:val="20"/>
                <w:szCs w:val="20"/>
              </w:rPr>
              <w:t>The sponsor should provide the date and version number for the ASA document.</w:t>
            </w:r>
          </w:p>
        </w:tc>
        <w:tc>
          <w:tcPr>
            <w:tcW w:w="1906" w:type="pct"/>
            <w:noWrap/>
            <w:hideMark/>
          </w:tcPr>
          <w:p w:rsidR="0057000A" w:rsidRPr="00CE6F39" w:rsidRDefault="0057000A" w:rsidP="00CE6F39">
            <w:pPr>
              <w:ind w:left="13" w:right="41"/>
              <w:rPr>
                <w:rFonts w:eastAsia="MS Mincho"/>
                <w:i/>
                <w:sz w:val="20"/>
                <w:szCs w:val="20"/>
              </w:rPr>
            </w:pPr>
            <w:r w:rsidRPr="00CE6F39">
              <w:rPr>
                <w:i/>
                <w:sz w:val="20"/>
                <w:szCs w:val="20"/>
              </w:rPr>
              <w:t>The date of the ASA document is 24 October 2014; the version is 1.0.</w:t>
            </w:r>
          </w:p>
        </w:tc>
        <w:tc>
          <w:tcPr>
            <w:tcW w:w="1188" w:type="pct"/>
            <w:noWrap/>
            <w:hideMark/>
          </w:tcPr>
          <w:p w:rsidR="0057000A" w:rsidRPr="00CE6F39" w:rsidRDefault="0057000A" w:rsidP="00CE6F39">
            <w:pPr>
              <w:ind w:left="26" w:right="0"/>
              <w:rPr>
                <w:rFonts w:eastAsia="MS Mincho"/>
                <w:sz w:val="20"/>
                <w:szCs w:val="20"/>
              </w:rPr>
            </w:pPr>
            <w:r w:rsidRPr="00CE6F39">
              <w:rPr>
                <w:sz w:val="20"/>
                <w:szCs w:val="20"/>
              </w:rPr>
              <w:t>The sponsor’s response is satisfactory.</w:t>
            </w:r>
          </w:p>
        </w:tc>
      </w:tr>
      <w:tr w:rsidR="0057000A" w:rsidRPr="00CE6F39" w:rsidTr="008A5022">
        <w:tc>
          <w:tcPr>
            <w:tcW w:w="1906" w:type="pct"/>
            <w:noWrap/>
            <w:hideMark/>
          </w:tcPr>
          <w:p w:rsidR="0057000A" w:rsidRPr="00CE6F39" w:rsidRDefault="0057000A" w:rsidP="00CE6F39">
            <w:pPr>
              <w:pStyle w:val="Numberbullet0"/>
              <w:ind w:left="284" w:right="54" w:hanging="284"/>
              <w:rPr>
                <w:rFonts w:eastAsia="MS Mincho"/>
                <w:sz w:val="20"/>
                <w:szCs w:val="20"/>
              </w:rPr>
            </w:pPr>
            <w:r w:rsidRPr="00CE6F39">
              <w:rPr>
                <w:sz w:val="20"/>
                <w:szCs w:val="20"/>
              </w:rPr>
              <w:t>The annexes to the EU-RMP do not appear to be included</w:t>
            </w:r>
            <w:r w:rsidR="000E1AD3" w:rsidRPr="00CE6F39">
              <w:rPr>
                <w:sz w:val="20"/>
                <w:szCs w:val="20"/>
              </w:rPr>
              <w:t xml:space="preserve"> in the submission</w:t>
            </w:r>
            <w:r w:rsidRPr="00CE6F39">
              <w:rPr>
                <w:sz w:val="20"/>
                <w:szCs w:val="20"/>
              </w:rPr>
              <w:t>. They are part of the EU-RMP and the sponsor should provide the content of the annexes. In addition, it is unclear whether the study protocol for PASS BPR-PAS-001 and the targeted follow-up questionnaires are part of the annexes. These should also be provided to the TGA for review.</w:t>
            </w:r>
          </w:p>
        </w:tc>
        <w:tc>
          <w:tcPr>
            <w:tcW w:w="1906" w:type="pct"/>
            <w:noWrap/>
            <w:hideMark/>
          </w:tcPr>
          <w:p w:rsidR="0057000A" w:rsidRPr="00CE6F39" w:rsidRDefault="0057000A" w:rsidP="00CE6F39">
            <w:pPr>
              <w:ind w:left="13" w:right="41"/>
              <w:rPr>
                <w:rFonts w:eastAsia="MS Mincho"/>
                <w:i/>
                <w:sz w:val="20"/>
                <w:szCs w:val="20"/>
              </w:rPr>
            </w:pPr>
            <w:r w:rsidRPr="00CE6F39">
              <w:rPr>
                <w:i/>
                <w:sz w:val="20"/>
                <w:szCs w:val="20"/>
              </w:rPr>
              <w:t>The annexes to the EU-RMP were sent to the TGA as an attachment to the response to the matter raised in the Notification Letter dated 28 November 2014.</w:t>
            </w:r>
          </w:p>
          <w:p w:rsidR="0057000A" w:rsidRPr="00CE6F39" w:rsidRDefault="0057000A" w:rsidP="00CE6F39">
            <w:pPr>
              <w:ind w:left="13" w:right="41"/>
              <w:rPr>
                <w:i/>
                <w:sz w:val="20"/>
                <w:szCs w:val="20"/>
              </w:rPr>
            </w:pPr>
            <w:r w:rsidRPr="00CE6F39">
              <w:rPr>
                <w:i/>
                <w:sz w:val="20"/>
                <w:szCs w:val="20"/>
              </w:rPr>
              <w:t>The PASS protocol (BPR-PAS-001) is included in Annex 5. The targeted questionnaires to monitor the safety concerns identified in the RMP are included in Annex 7.</w:t>
            </w:r>
          </w:p>
          <w:p w:rsidR="0057000A" w:rsidRPr="00CE6F39" w:rsidRDefault="0057000A" w:rsidP="00CE6F39">
            <w:pPr>
              <w:ind w:left="13" w:right="41"/>
              <w:rPr>
                <w:rFonts w:eastAsia="MS Mincho"/>
                <w:i/>
                <w:sz w:val="20"/>
                <w:szCs w:val="20"/>
                <w:highlight w:val="yellow"/>
              </w:rPr>
            </w:pPr>
            <w:r w:rsidRPr="00CE6F39">
              <w:rPr>
                <w:i/>
                <w:sz w:val="20"/>
                <w:szCs w:val="20"/>
              </w:rPr>
              <w:t>The EU-RMP including all of the annexes ha</w:t>
            </w:r>
            <w:r w:rsidR="00E01646" w:rsidRPr="00CE6F39">
              <w:rPr>
                <w:i/>
                <w:sz w:val="20"/>
                <w:szCs w:val="20"/>
              </w:rPr>
              <w:t>s</w:t>
            </w:r>
            <w:r w:rsidRPr="00CE6F39">
              <w:rPr>
                <w:i/>
                <w:sz w:val="20"/>
                <w:szCs w:val="20"/>
              </w:rPr>
              <w:t xml:space="preserve"> been included in </w:t>
            </w:r>
            <w:r w:rsidR="000E1AD3" w:rsidRPr="00CE6F39">
              <w:rPr>
                <w:i/>
                <w:sz w:val="20"/>
                <w:szCs w:val="20"/>
              </w:rPr>
              <w:t>the submission</w:t>
            </w:r>
            <w:r w:rsidRPr="00CE6F39">
              <w:rPr>
                <w:i/>
                <w:sz w:val="20"/>
                <w:szCs w:val="20"/>
              </w:rPr>
              <w:t>.</w:t>
            </w:r>
          </w:p>
        </w:tc>
        <w:tc>
          <w:tcPr>
            <w:tcW w:w="1188" w:type="pct"/>
            <w:noWrap/>
            <w:hideMark/>
          </w:tcPr>
          <w:p w:rsidR="0057000A" w:rsidRPr="00CE6F39" w:rsidRDefault="0057000A" w:rsidP="00CE6F39">
            <w:pPr>
              <w:ind w:left="26" w:right="0"/>
              <w:rPr>
                <w:rFonts w:eastAsia="MS Mincho"/>
                <w:sz w:val="20"/>
                <w:szCs w:val="20"/>
              </w:rPr>
            </w:pPr>
            <w:r w:rsidRPr="00CE6F39">
              <w:rPr>
                <w:sz w:val="20"/>
                <w:szCs w:val="20"/>
              </w:rPr>
              <w:t>The sponsor’s response is satisfactory. The evaluator has noted the complete version of the EU-RMP.</w:t>
            </w:r>
          </w:p>
        </w:tc>
      </w:tr>
      <w:tr w:rsidR="0057000A" w:rsidRPr="00CE6F39" w:rsidTr="008A5022">
        <w:tc>
          <w:tcPr>
            <w:tcW w:w="1906" w:type="pct"/>
            <w:noWrap/>
            <w:hideMark/>
          </w:tcPr>
          <w:p w:rsidR="008A5022" w:rsidRPr="00CE6F39" w:rsidRDefault="0057000A" w:rsidP="00CE6F39">
            <w:pPr>
              <w:pStyle w:val="Numberbullet0"/>
              <w:ind w:left="284" w:right="54" w:hanging="284"/>
              <w:rPr>
                <w:sz w:val="20"/>
                <w:szCs w:val="20"/>
              </w:rPr>
            </w:pPr>
            <w:r w:rsidRPr="00CE6F39">
              <w:rPr>
                <w:sz w:val="20"/>
                <w:szCs w:val="20"/>
              </w:rPr>
              <w:t xml:space="preserve">The following adverse events have been related to the use of other antibiotics in the cephalosporin class. The sponsor should provide justification to why they are not relevant to </w:t>
            </w:r>
            <w:proofErr w:type="spellStart"/>
            <w:r w:rsidRPr="00CE6F39">
              <w:rPr>
                <w:sz w:val="20"/>
                <w:szCs w:val="20"/>
              </w:rPr>
              <w:t>ceftobiprole</w:t>
            </w:r>
            <w:proofErr w:type="spellEnd"/>
            <w:r w:rsidRPr="00CE6F39">
              <w:rPr>
                <w:sz w:val="20"/>
                <w:szCs w:val="20"/>
              </w:rPr>
              <w:t xml:space="preserve">. Otherwise, they should be added to the list </w:t>
            </w:r>
            <w:r w:rsidR="008A5022" w:rsidRPr="00CE6F39">
              <w:rPr>
                <w:sz w:val="20"/>
                <w:szCs w:val="20"/>
              </w:rPr>
              <w:t>of safety concerns in the ASA:</w:t>
            </w:r>
          </w:p>
          <w:p w:rsidR="0057000A" w:rsidRPr="00CE6F39" w:rsidRDefault="0057000A" w:rsidP="00CE6F39">
            <w:pPr>
              <w:pStyle w:val="Numberbullet2"/>
              <w:numPr>
                <w:ilvl w:val="0"/>
                <w:numId w:val="0"/>
              </w:numPr>
              <w:ind w:left="567" w:right="54"/>
              <w:rPr>
                <w:sz w:val="20"/>
                <w:szCs w:val="20"/>
              </w:rPr>
            </w:pPr>
            <w:r w:rsidRPr="00CE6F39">
              <w:rPr>
                <w:sz w:val="20"/>
                <w:szCs w:val="20"/>
              </w:rPr>
              <w:t>Serum sickness-like syndrome;</w:t>
            </w:r>
          </w:p>
          <w:p w:rsidR="0057000A" w:rsidRPr="00CE6F39" w:rsidRDefault="0057000A" w:rsidP="00CE6F39">
            <w:pPr>
              <w:pStyle w:val="Numberbullet2"/>
              <w:numPr>
                <w:ilvl w:val="0"/>
                <w:numId w:val="0"/>
              </w:numPr>
              <w:ind w:left="567" w:right="54"/>
              <w:rPr>
                <w:sz w:val="20"/>
                <w:szCs w:val="20"/>
              </w:rPr>
            </w:pPr>
            <w:r w:rsidRPr="00CE6F39">
              <w:rPr>
                <w:sz w:val="20"/>
                <w:szCs w:val="20"/>
              </w:rPr>
              <w:t>Toxic epidermal necrolysis;</w:t>
            </w:r>
          </w:p>
          <w:p w:rsidR="0057000A" w:rsidRPr="00CE6F39" w:rsidRDefault="0057000A" w:rsidP="00CE6F39">
            <w:pPr>
              <w:pStyle w:val="Numberbullet2"/>
              <w:numPr>
                <w:ilvl w:val="0"/>
                <w:numId w:val="0"/>
              </w:numPr>
              <w:ind w:left="567" w:right="54"/>
              <w:rPr>
                <w:rFonts w:eastAsia="MS Mincho"/>
                <w:sz w:val="20"/>
                <w:szCs w:val="20"/>
              </w:rPr>
            </w:pPr>
            <w:r w:rsidRPr="00CE6F39">
              <w:rPr>
                <w:sz w:val="20"/>
                <w:szCs w:val="20"/>
              </w:rPr>
              <w:t>Steven-Johnson syndrome.</w:t>
            </w:r>
          </w:p>
        </w:tc>
        <w:tc>
          <w:tcPr>
            <w:tcW w:w="1906" w:type="pct"/>
            <w:noWrap/>
            <w:hideMark/>
          </w:tcPr>
          <w:p w:rsidR="0057000A" w:rsidRPr="00CE6F39" w:rsidRDefault="0057000A" w:rsidP="00CE6F39">
            <w:pPr>
              <w:ind w:left="13" w:right="41"/>
              <w:rPr>
                <w:rFonts w:eastAsia="MS Mincho"/>
                <w:i/>
                <w:sz w:val="20"/>
                <w:szCs w:val="20"/>
              </w:rPr>
            </w:pPr>
            <w:r w:rsidRPr="00CE6F39">
              <w:rPr>
                <w:i/>
                <w:sz w:val="20"/>
                <w:szCs w:val="20"/>
              </w:rPr>
              <w:t xml:space="preserve">For </w:t>
            </w:r>
            <w:proofErr w:type="spellStart"/>
            <w:r w:rsidRPr="00CE6F39">
              <w:rPr>
                <w:i/>
                <w:sz w:val="20"/>
                <w:szCs w:val="20"/>
              </w:rPr>
              <w:t>ceftobiprole</w:t>
            </w:r>
            <w:proofErr w:type="spellEnd"/>
            <w:r w:rsidRPr="00CE6F39">
              <w:rPr>
                <w:i/>
                <w:sz w:val="20"/>
                <w:szCs w:val="20"/>
              </w:rPr>
              <w:t xml:space="preserve">, there were no reports of treatment-emergent adverse events of serum sickness syndrome, serum sickness like reaction, toxic epidermal necrolysis, or Stevens-Johnson syndrome in the Phase </w:t>
            </w:r>
            <w:r w:rsidR="000E1AD3" w:rsidRPr="00CE6F39">
              <w:rPr>
                <w:i/>
                <w:sz w:val="20"/>
                <w:szCs w:val="20"/>
              </w:rPr>
              <w:t>III</w:t>
            </w:r>
            <w:r w:rsidRPr="00CE6F39">
              <w:rPr>
                <w:i/>
                <w:sz w:val="20"/>
                <w:szCs w:val="20"/>
              </w:rPr>
              <w:t xml:space="preserve"> pneumonia studies or the Phase </w:t>
            </w:r>
            <w:r w:rsidR="000E1AD3" w:rsidRPr="00CE6F39">
              <w:rPr>
                <w:i/>
                <w:sz w:val="20"/>
                <w:szCs w:val="20"/>
              </w:rPr>
              <w:t>I</w:t>
            </w:r>
            <w:r w:rsidRPr="00CE6F39">
              <w:rPr>
                <w:i/>
                <w:sz w:val="20"/>
                <w:szCs w:val="20"/>
              </w:rPr>
              <w:t xml:space="preserve"> studies.</w:t>
            </w:r>
          </w:p>
          <w:p w:rsidR="0057000A" w:rsidRPr="00CE6F39" w:rsidRDefault="0057000A" w:rsidP="00CE6F39">
            <w:pPr>
              <w:ind w:left="13" w:right="41"/>
              <w:rPr>
                <w:i/>
                <w:sz w:val="20"/>
                <w:szCs w:val="20"/>
              </w:rPr>
            </w:pPr>
            <w:r w:rsidRPr="00CE6F39">
              <w:rPr>
                <w:i/>
                <w:sz w:val="20"/>
                <w:szCs w:val="20"/>
              </w:rPr>
              <w:t xml:space="preserve">Taking into account the proposed indications (treatment in adults of hospital-acquired pneumonia [HAP], excluding ventilator-associated pneumonia [VAP], and of community-acquired pneumonia [CAP]), the applicant has identified the following </w:t>
            </w:r>
            <w:proofErr w:type="spellStart"/>
            <w:r w:rsidRPr="00CE6F39">
              <w:rPr>
                <w:i/>
                <w:sz w:val="20"/>
                <w:szCs w:val="20"/>
              </w:rPr>
              <w:t>cephalosporins</w:t>
            </w:r>
            <w:proofErr w:type="spellEnd"/>
            <w:r w:rsidRPr="00CE6F39">
              <w:rPr>
                <w:i/>
                <w:sz w:val="20"/>
                <w:szCs w:val="20"/>
              </w:rPr>
              <w:t xml:space="preserve"> as relevant </w:t>
            </w:r>
            <w:r w:rsidRPr="00CE6F39">
              <w:rPr>
                <w:i/>
                <w:sz w:val="20"/>
                <w:szCs w:val="20"/>
              </w:rPr>
              <w:lastRenderedPageBreak/>
              <w:t xml:space="preserve">comparators to </w:t>
            </w:r>
            <w:proofErr w:type="spellStart"/>
            <w:r w:rsidRPr="00CE6F39">
              <w:rPr>
                <w:i/>
                <w:sz w:val="20"/>
                <w:szCs w:val="20"/>
              </w:rPr>
              <w:t>ceftobiprole</w:t>
            </w:r>
            <w:proofErr w:type="spellEnd"/>
            <w:r w:rsidRPr="00CE6F39">
              <w:rPr>
                <w:i/>
                <w:sz w:val="20"/>
                <w:szCs w:val="20"/>
              </w:rPr>
              <w:t xml:space="preserve">: ceftazidime, ceftriaxone, and </w:t>
            </w:r>
            <w:proofErr w:type="spellStart"/>
            <w:r w:rsidRPr="00CE6F39">
              <w:rPr>
                <w:i/>
                <w:sz w:val="20"/>
                <w:szCs w:val="20"/>
              </w:rPr>
              <w:t>cefepime</w:t>
            </w:r>
            <w:proofErr w:type="spellEnd"/>
            <w:r w:rsidRPr="00CE6F39">
              <w:rPr>
                <w:i/>
                <w:sz w:val="20"/>
                <w:szCs w:val="20"/>
              </w:rPr>
              <w:t>. Table 9</w:t>
            </w:r>
            <w:r w:rsidR="000E1AD3" w:rsidRPr="00CE6F39">
              <w:rPr>
                <w:i/>
                <w:sz w:val="20"/>
                <w:szCs w:val="20"/>
              </w:rPr>
              <w:t xml:space="preserve"> </w:t>
            </w:r>
            <w:r w:rsidRPr="00CE6F39">
              <w:rPr>
                <w:i/>
                <w:sz w:val="20"/>
                <w:szCs w:val="20"/>
              </w:rPr>
              <w:t xml:space="preserve">presents the information available for these drugs in regard to the adverse events referred to, from European </w:t>
            </w:r>
            <w:r w:rsidR="000E1AD3" w:rsidRPr="00CE6F39">
              <w:rPr>
                <w:i/>
                <w:sz w:val="20"/>
                <w:szCs w:val="20"/>
              </w:rPr>
              <w:t>Summary of Product Characteristics (</w:t>
            </w:r>
            <w:proofErr w:type="spellStart"/>
            <w:r w:rsidRPr="00CE6F39">
              <w:rPr>
                <w:i/>
                <w:sz w:val="20"/>
                <w:szCs w:val="20"/>
              </w:rPr>
              <w:t>SmPCs</w:t>
            </w:r>
            <w:proofErr w:type="spellEnd"/>
            <w:r w:rsidR="000E1AD3" w:rsidRPr="00CE6F39">
              <w:rPr>
                <w:i/>
                <w:sz w:val="20"/>
                <w:szCs w:val="20"/>
              </w:rPr>
              <w:t>),</w:t>
            </w:r>
            <w:r w:rsidRPr="00CE6F39">
              <w:rPr>
                <w:i/>
                <w:sz w:val="20"/>
                <w:szCs w:val="20"/>
              </w:rPr>
              <w:t xml:space="preserve"> Australian PIs and publicly available Risk Management Plans.</w:t>
            </w:r>
          </w:p>
          <w:p w:rsidR="0057000A" w:rsidRPr="00CE6F39" w:rsidRDefault="000E1AD3" w:rsidP="00CE6F39">
            <w:pPr>
              <w:ind w:left="13" w:right="41"/>
              <w:rPr>
                <w:sz w:val="20"/>
                <w:szCs w:val="20"/>
              </w:rPr>
            </w:pPr>
            <w:r w:rsidRPr="00CE6F39">
              <w:rPr>
                <w:sz w:val="20"/>
                <w:szCs w:val="20"/>
              </w:rPr>
              <w:t>[</w:t>
            </w:r>
            <w:r w:rsidR="0057000A" w:rsidRPr="00CE6F39">
              <w:rPr>
                <w:sz w:val="20"/>
                <w:szCs w:val="20"/>
              </w:rPr>
              <w:t>RMP evaluator: table not included</w:t>
            </w:r>
            <w:r w:rsidRPr="00CE6F39">
              <w:rPr>
                <w:sz w:val="20"/>
                <w:szCs w:val="20"/>
              </w:rPr>
              <w:t>]</w:t>
            </w:r>
          </w:p>
          <w:p w:rsidR="0057000A" w:rsidRPr="00CE6F39" w:rsidRDefault="0057000A" w:rsidP="00CE6F39">
            <w:pPr>
              <w:ind w:left="13" w:right="41"/>
              <w:rPr>
                <w:i/>
                <w:sz w:val="20"/>
                <w:szCs w:val="20"/>
              </w:rPr>
            </w:pPr>
            <w:r w:rsidRPr="00CE6F39">
              <w:rPr>
                <w:i/>
                <w:sz w:val="20"/>
                <w:szCs w:val="20"/>
              </w:rPr>
              <w:t>Summary</w:t>
            </w:r>
          </w:p>
          <w:p w:rsidR="0057000A" w:rsidRPr="00CE6F39" w:rsidRDefault="0057000A" w:rsidP="00CE6F39">
            <w:pPr>
              <w:ind w:left="13" w:right="41"/>
              <w:rPr>
                <w:i/>
                <w:sz w:val="20"/>
                <w:szCs w:val="20"/>
              </w:rPr>
            </w:pPr>
            <w:r w:rsidRPr="00CE6F39">
              <w:rPr>
                <w:i/>
                <w:sz w:val="20"/>
                <w:szCs w:val="20"/>
              </w:rPr>
              <w:t xml:space="preserve">There were no reports of the adverse events referred to in the question in any of the </w:t>
            </w:r>
            <w:proofErr w:type="spellStart"/>
            <w:r w:rsidRPr="00CE6F39">
              <w:rPr>
                <w:i/>
                <w:sz w:val="20"/>
                <w:szCs w:val="20"/>
              </w:rPr>
              <w:t>ceftobiprole</w:t>
            </w:r>
            <w:proofErr w:type="spellEnd"/>
            <w:r w:rsidRPr="00CE6F39">
              <w:rPr>
                <w:i/>
                <w:sz w:val="20"/>
                <w:szCs w:val="20"/>
              </w:rPr>
              <w:t xml:space="preserve"> clinical studies. Serum sickness was not identified as an adverse drug reaction for the selected </w:t>
            </w:r>
            <w:proofErr w:type="spellStart"/>
            <w:r w:rsidRPr="00CE6F39">
              <w:rPr>
                <w:i/>
                <w:sz w:val="20"/>
                <w:szCs w:val="20"/>
              </w:rPr>
              <w:t>cephalosporins</w:t>
            </w:r>
            <w:proofErr w:type="spellEnd"/>
            <w:r w:rsidRPr="00CE6F39">
              <w:rPr>
                <w:i/>
                <w:sz w:val="20"/>
                <w:szCs w:val="20"/>
              </w:rPr>
              <w:t xml:space="preserve">, and Stevens-Johnson syndrome and toxic epidermal necrolysis have only been reported very rarely or with unknown frequency during </w:t>
            </w:r>
            <w:proofErr w:type="spellStart"/>
            <w:r w:rsidRPr="00CE6F39">
              <w:rPr>
                <w:i/>
                <w:sz w:val="20"/>
                <w:szCs w:val="20"/>
              </w:rPr>
              <w:t>postmarketing</w:t>
            </w:r>
            <w:proofErr w:type="spellEnd"/>
            <w:r w:rsidRPr="00CE6F39">
              <w:rPr>
                <w:i/>
                <w:sz w:val="20"/>
                <w:szCs w:val="20"/>
              </w:rPr>
              <w:t xml:space="preserve"> experience with these drugs. Nor have any of these events been identified as an important identified or potential risk in any available Risk Management Plan for these drugs.</w:t>
            </w:r>
          </w:p>
          <w:p w:rsidR="0057000A" w:rsidRPr="00CE6F39" w:rsidRDefault="0057000A" w:rsidP="00CE6F39">
            <w:pPr>
              <w:ind w:left="13" w:right="41"/>
              <w:rPr>
                <w:rFonts w:eastAsia="MS Mincho"/>
                <w:sz w:val="20"/>
                <w:szCs w:val="20"/>
              </w:rPr>
            </w:pPr>
            <w:r w:rsidRPr="00CE6F39">
              <w:rPr>
                <w:i/>
                <w:sz w:val="20"/>
                <w:szCs w:val="20"/>
              </w:rPr>
              <w:t>The applicant therefore does not propose to add serum sickness-like syndrome, toxic epidermal necrolysis, or Stevens-Johnson syndrome to the list of safety concerns in the ASA.</w:t>
            </w:r>
          </w:p>
        </w:tc>
        <w:tc>
          <w:tcPr>
            <w:tcW w:w="1188" w:type="pct"/>
            <w:noWrap/>
            <w:hideMark/>
          </w:tcPr>
          <w:p w:rsidR="0057000A" w:rsidRPr="00CE6F39" w:rsidRDefault="0057000A" w:rsidP="00CE6F39">
            <w:pPr>
              <w:ind w:left="26" w:right="0"/>
              <w:rPr>
                <w:rFonts w:eastAsia="MS Mincho"/>
                <w:sz w:val="20"/>
                <w:szCs w:val="20"/>
              </w:rPr>
            </w:pPr>
            <w:r w:rsidRPr="00CE6F39">
              <w:rPr>
                <w:sz w:val="20"/>
                <w:szCs w:val="20"/>
              </w:rPr>
              <w:lastRenderedPageBreak/>
              <w:t>The sponsor’s justification is acceptable in the regulatory context. The sponsor should undertake to monitor and report the occurrence of these adverse events in the Periodic Safety Update Reports.</w:t>
            </w:r>
          </w:p>
        </w:tc>
      </w:tr>
      <w:tr w:rsidR="0057000A" w:rsidRPr="00CE6F39" w:rsidTr="008A5022">
        <w:tc>
          <w:tcPr>
            <w:tcW w:w="1906" w:type="pct"/>
            <w:noWrap/>
            <w:hideMark/>
          </w:tcPr>
          <w:p w:rsidR="0057000A" w:rsidRPr="00CE6F39" w:rsidRDefault="0057000A" w:rsidP="00CE6F39">
            <w:pPr>
              <w:pStyle w:val="Numberbullet0"/>
              <w:ind w:left="284" w:hanging="284"/>
              <w:rPr>
                <w:rFonts w:eastAsia="MS Mincho"/>
                <w:sz w:val="20"/>
                <w:szCs w:val="20"/>
              </w:rPr>
            </w:pPr>
            <w:r w:rsidRPr="00CE6F39">
              <w:rPr>
                <w:sz w:val="20"/>
                <w:szCs w:val="20"/>
              </w:rPr>
              <w:lastRenderedPageBreak/>
              <w:t xml:space="preserve">The sponsor should clarify the frequency of hypokalaemia. The proposed Australian PI shows 7.3% of patients had hypokalaemia in clinical studies. However, according to the approved </w:t>
            </w:r>
            <w:proofErr w:type="spellStart"/>
            <w:r w:rsidRPr="00CE6F39">
              <w:rPr>
                <w:sz w:val="20"/>
                <w:szCs w:val="20"/>
              </w:rPr>
              <w:t>S</w:t>
            </w:r>
            <w:r w:rsidR="000E1AD3" w:rsidRPr="00CE6F39">
              <w:rPr>
                <w:sz w:val="20"/>
                <w:szCs w:val="20"/>
              </w:rPr>
              <w:t>m</w:t>
            </w:r>
            <w:r w:rsidRPr="00CE6F39">
              <w:rPr>
                <w:sz w:val="20"/>
                <w:szCs w:val="20"/>
              </w:rPr>
              <w:t>PC</w:t>
            </w:r>
            <w:proofErr w:type="spellEnd"/>
            <w:r w:rsidRPr="00CE6F39">
              <w:rPr>
                <w:sz w:val="20"/>
                <w:szCs w:val="20"/>
              </w:rPr>
              <w:t xml:space="preserve"> (http://www.medicines.org.uk/emc/medicine/29764), it is an uncommon event occurring in less than 1% of patients.</w:t>
            </w:r>
          </w:p>
        </w:tc>
        <w:tc>
          <w:tcPr>
            <w:tcW w:w="1906" w:type="pct"/>
            <w:noWrap/>
            <w:hideMark/>
          </w:tcPr>
          <w:p w:rsidR="0057000A" w:rsidRPr="00CE6F39" w:rsidRDefault="0057000A" w:rsidP="00CE6F39">
            <w:pPr>
              <w:ind w:left="13" w:right="41"/>
              <w:rPr>
                <w:rFonts w:eastAsia="MS Mincho"/>
                <w:i/>
                <w:noProof/>
                <w:sz w:val="20"/>
                <w:szCs w:val="20"/>
              </w:rPr>
            </w:pPr>
            <w:r w:rsidRPr="00CE6F39">
              <w:rPr>
                <w:i/>
                <w:noProof/>
                <w:sz w:val="20"/>
                <w:szCs w:val="20"/>
              </w:rPr>
              <w:t>The distinction between the two rates is that the frequency of hypokalaemia in the Australian PI (7.3%) refers to adverse events, while the frequency of hypokalaemia in the UK SmPC refers to adverse drug reactions.</w:t>
            </w:r>
          </w:p>
          <w:p w:rsidR="0057000A" w:rsidRPr="00CE6F39" w:rsidRDefault="0057000A" w:rsidP="00CE6F39">
            <w:pPr>
              <w:ind w:left="13" w:right="41"/>
              <w:rPr>
                <w:rFonts w:eastAsia="MS Mincho"/>
                <w:i/>
                <w:noProof/>
                <w:sz w:val="20"/>
                <w:szCs w:val="20"/>
              </w:rPr>
            </w:pPr>
            <w:r w:rsidRPr="00CE6F39">
              <w:rPr>
                <w:i/>
                <w:noProof/>
                <w:sz w:val="20"/>
                <w:szCs w:val="20"/>
              </w:rPr>
              <w:t>The figure for proposed Australian PI reflects reports of adverse events with the MedDRA Preferred Term ‘hypokalaemia’ in pooled pneumonia studies (51/696, 7.3%). In the approved UK SmPC, hypokalaemia is included as an uncommon adverse reaction (6/696, 0.9%).</w:t>
            </w:r>
          </w:p>
        </w:tc>
        <w:tc>
          <w:tcPr>
            <w:tcW w:w="1188" w:type="pct"/>
            <w:noWrap/>
            <w:hideMark/>
          </w:tcPr>
          <w:p w:rsidR="0057000A" w:rsidRPr="00CE6F39" w:rsidRDefault="0057000A" w:rsidP="00CE6F39">
            <w:pPr>
              <w:ind w:left="26" w:right="0"/>
              <w:rPr>
                <w:rFonts w:eastAsia="MS Mincho"/>
                <w:sz w:val="20"/>
                <w:szCs w:val="20"/>
              </w:rPr>
            </w:pPr>
            <w:r w:rsidRPr="00CE6F39">
              <w:rPr>
                <w:sz w:val="20"/>
                <w:szCs w:val="20"/>
              </w:rPr>
              <w:t>The sponsor’s response is acceptable.</w:t>
            </w:r>
          </w:p>
        </w:tc>
      </w:tr>
      <w:tr w:rsidR="0057000A" w:rsidRPr="00CE6F39" w:rsidTr="008A5022">
        <w:tc>
          <w:tcPr>
            <w:tcW w:w="1906" w:type="pct"/>
            <w:noWrap/>
            <w:hideMark/>
          </w:tcPr>
          <w:p w:rsidR="0057000A" w:rsidRPr="00CE6F39" w:rsidRDefault="0057000A" w:rsidP="00CE6F39">
            <w:pPr>
              <w:pStyle w:val="Numberbullet0"/>
              <w:ind w:left="284" w:hanging="284"/>
              <w:rPr>
                <w:rFonts w:eastAsia="MS Mincho"/>
                <w:sz w:val="20"/>
                <w:szCs w:val="20"/>
              </w:rPr>
            </w:pPr>
            <w:r w:rsidRPr="00CE6F39">
              <w:rPr>
                <w:sz w:val="20"/>
                <w:szCs w:val="20"/>
              </w:rPr>
              <w:t xml:space="preserve">It should be noted that the pattern of antibiotic activity and resistance in Australia and the EU can be different. The </w:t>
            </w:r>
            <w:r w:rsidRPr="00CE6F39">
              <w:rPr>
                <w:sz w:val="20"/>
                <w:szCs w:val="20"/>
              </w:rPr>
              <w:lastRenderedPageBreak/>
              <w:t>sponsor should include at least six Australian sites in the monitoring system to ensure the surveillance studies of clinical isolates adequately reflect the local situation. Representation should include isolates from different Australian institutions rather than many isolates from few sites. It should be noted that this is in line with the pharmacovigilance activities required for other antibiotics in the previous RMP evaluations.</w:t>
            </w:r>
          </w:p>
        </w:tc>
        <w:tc>
          <w:tcPr>
            <w:tcW w:w="1906" w:type="pct"/>
            <w:noWrap/>
            <w:hideMark/>
          </w:tcPr>
          <w:p w:rsidR="0057000A" w:rsidRPr="00CE6F39" w:rsidRDefault="0057000A" w:rsidP="00CE6F39">
            <w:pPr>
              <w:ind w:left="13" w:right="41"/>
              <w:rPr>
                <w:rFonts w:eastAsia="MS Mincho"/>
                <w:i/>
                <w:sz w:val="20"/>
                <w:szCs w:val="20"/>
              </w:rPr>
            </w:pPr>
            <w:r w:rsidRPr="00CE6F39">
              <w:rPr>
                <w:i/>
                <w:sz w:val="20"/>
                <w:szCs w:val="20"/>
              </w:rPr>
              <w:lastRenderedPageBreak/>
              <w:t xml:space="preserve">The applicant intends to set up annual surveillance programmes on S. aureus and </w:t>
            </w:r>
            <w:proofErr w:type="spellStart"/>
            <w:r w:rsidRPr="00CE6F39">
              <w:rPr>
                <w:i/>
                <w:sz w:val="20"/>
                <w:szCs w:val="20"/>
              </w:rPr>
              <w:t>Enterobacteriaceae</w:t>
            </w:r>
            <w:proofErr w:type="spellEnd"/>
            <w:r w:rsidRPr="00CE6F39">
              <w:rPr>
                <w:i/>
                <w:sz w:val="20"/>
                <w:szCs w:val="20"/>
              </w:rPr>
              <w:t xml:space="preserve"> for </w:t>
            </w:r>
            <w:proofErr w:type="spellStart"/>
            <w:r w:rsidRPr="00CE6F39">
              <w:rPr>
                <w:i/>
                <w:sz w:val="20"/>
                <w:szCs w:val="20"/>
              </w:rPr>
              <w:t>ceftobiprole</w:t>
            </w:r>
            <w:proofErr w:type="spellEnd"/>
            <w:r w:rsidRPr="00CE6F39">
              <w:rPr>
                <w:i/>
                <w:sz w:val="20"/>
                <w:szCs w:val="20"/>
              </w:rPr>
              <w:t xml:space="preserve"> in collab</w:t>
            </w:r>
            <w:r w:rsidR="000E1AD3" w:rsidRPr="00CE6F39">
              <w:rPr>
                <w:i/>
                <w:sz w:val="20"/>
                <w:szCs w:val="20"/>
              </w:rPr>
              <w:t>o</w:t>
            </w:r>
            <w:r w:rsidRPr="00CE6F39">
              <w:rPr>
                <w:i/>
                <w:sz w:val="20"/>
                <w:szCs w:val="20"/>
              </w:rPr>
              <w:t xml:space="preserve">ration with the </w:t>
            </w:r>
            <w:r w:rsidRPr="00CE6F39">
              <w:rPr>
                <w:i/>
                <w:sz w:val="20"/>
                <w:szCs w:val="20"/>
              </w:rPr>
              <w:lastRenderedPageBreak/>
              <w:t xml:space="preserve">Australian Group on Antimicrobial Resistance, once the commercial sponsor for </w:t>
            </w:r>
            <w:proofErr w:type="spellStart"/>
            <w:r w:rsidRPr="00CE6F39">
              <w:rPr>
                <w:i/>
                <w:sz w:val="20"/>
                <w:szCs w:val="20"/>
              </w:rPr>
              <w:t>Zevtera</w:t>
            </w:r>
            <w:proofErr w:type="spellEnd"/>
            <w:r w:rsidRPr="00CE6F39">
              <w:rPr>
                <w:i/>
                <w:sz w:val="20"/>
                <w:szCs w:val="20"/>
              </w:rPr>
              <w:t xml:space="preserve"> in Australia has been defined, and local pharmacovigilance activit</w:t>
            </w:r>
            <w:r w:rsidR="000E1AD3" w:rsidRPr="00CE6F39">
              <w:rPr>
                <w:i/>
                <w:sz w:val="20"/>
                <w:szCs w:val="20"/>
              </w:rPr>
              <w:t>i</w:t>
            </w:r>
            <w:r w:rsidRPr="00CE6F39">
              <w:rPr>
                <w:i/>
                <w:sz w:val="20"/>
                <w:szCs w:val="20"/>
              </w:rPr>
              <w:t>es have been established (see the Australian-specific Annex to the EU-RMP, Section 2.1). The surveillance program will be set up as advised by the TGA (</w:t>
            </w:r>
            <w:r w:rsidR="000E1AD3" w:rsidRPr="00CE6F39">
              <w:rPr>
                <w:i/>
                <w:sz w:val="20"/>
                <w:szCs w:val="20"/>
              </w:rPr>
              <w:t>that is,</w:t>
            </w:r>
            <w:r w:rsidRPr="00CE6F39">
              <w:rPr>
                <w:i/>
                <w:sz w:val="20"/>
                <w:szCs w:val="20"/>
              </w:rPr>
              <w:t xml:space="preserve"> inclusion of at least six Australian sites in the monitoring system, inclusion of isolates from different Australian institutions).</w:t>
            </w:r>
          </w:p>
        </w:tc>
        <w:tc>
          <w:tcPr>
            <w:tcW w:w="1188" w:type="pct"/>
            <w:noWrap/>
            <w:hideMark/>
          </w:tcPr>
          <w:p w:rsidR="0057000A" w:rsidRPr="00CE6F39" w:rsidRDefault="0057000A" w:rsidP="00CE6F39">
            <w:pPr>
              <w:ind w:left="26" w:right="0"/>
              <w:rPr>
                <w:rFonts w:eastAsia="MS Mincho"/>
                <w:sz w:val="20"/>
                <w:szCs w:val="20"/>
              </w:rPr>
            </w:pPr>
            <w:r w:rsidRPr="00CE6F39">
              <w:rPr>
                <w:sz w:val="20"/>
                <w:szCs w:val="20"/>
              </w:rPr>
              <w:lastRenderedPageBreak/>
              <w:t>The sponsor’s response is satisfactory.</w:t>
            </w:r>
          </w:p>
        </w:tc>
      </w:tr>
    </w:tbl>
    <w:p w:rsidR="008E7846" w:rsidRDefault="008E7846" w:rsidP="00CE6F39">
      <w:pPr>
        <w:pStyle w:val="Heading4"/>
        <w:rPr>
          <w:lang w:eastAsia="en-AU"/>
        </w:rPr>
      </w:pPr>
      <w:r>
        <w:rPr>
          <w:lang w:eastAsia="en-AU"/>
        </w:rPr>
        <w:lastRenderedPageBreak/>
        <w:t xml:space="preserve">Summary </w:t>
      </w:r>
      <w:r w:rsidRPr="00CE6F39">
        <w:t>of</w:t>
      </w:r>
      <w:r>
        <w:rPr>
          <w:lang w:eastAsia="en-AU"/>
        </w:rPr>
        <w:t xml:space="preserve"> </w:t>
      </w:r>
      <w:r w:rsidR="003A7F6C">
        <w:rPr>
          <w:lang w:eastAsia="en-AU"/>
        </w:rPr>
        <w:t>r</w:t>
      </w:r>
      <w:r>
        <w:rPr>
          <w:lang w:eastAsia="en-AU"/>
        </w:rPr>
        <w:t>ecommendations</w:t>
      </w:r>
    </w:p>
    <w:p w:rsidR="006A3326" w:rsidRDefault="000E1AD3" w:rsidP="00CE6F39">
      <w:r>
        <w:t>It is considered that the sponsor’s response to the TGA has adequately addressed all of the issues identified in the RMP evaluation report</w:t>
      </w:r>
      <w:r w:rsidR="006A3326">
        <w:t>.</w:t>
      </w:r>
    </w:p>
    <w:p w:rsidR="000E1AD3" w:rsidRDefault="000E1AD3" w:rsidP="000E1AD3">
      <w:r>
        <w:t>There are additional recommendations (see below).</w:t>
      </w:r>
    </w:p>
    <w:p w:rsidR="0057000A" w:rsidRDefault="0057000A" w:rsidP="00CE6F39">
      <w:pPr>
        <w:pStyle w:val="Heading5"/>
      </w:pPr>
      <w:bookmarkStart w:id="132" w:name="_Toc314842510"/>
      <w:r>
        <w:t xml:space="preserve">Outstanding </w:t>
      </w:r>
      <w:r w:rsidRPr="00CE6F39">
        <w:t>issues</w:t>
      </w:r>
    </w:p>
    <w:p w:rsidR="0057000A" w:rsidRDefault="0057000A" w:rsidP="00CE6F39">
      <w:pPr>
        <w:pStyle w:val="Heading6"/>
        <w:rPr>
          <w:szCs w:val="24"/>
        </w:rPr>
      </w:pPr>
      <w:r w:rsidRPr="00955D4E">
        <w:t xml:space="preserve">Additional </w:t>
      </w:r>
      <w:r w:rsidRPr="00CE6F39">
        <w:t>recommendations</w:t>
      </w:r>
      <w:r w:rsidRPr="00955D4E">
        <w:t xml:space="preserve"> by the </w:t>
      </w:r>
      <w:r w:rsidR="00E01646">
        <w:t>Advisory Committee on Safety of Medicines (</w:t>
      </w:r>
      <w:r w:rsidRPr="00955D4E">
        <w:t>ACSOM</w:t>
      </w:r>
      <w:r w:rsidR="00E01646">
        <w:t>)</w:t>
      </w:r>
    </w:p>
    <w:p w:rsidR="0057000A" w:rsidRDefault="0057000A" w:rsidP="00CE6F39">
      <w:r w:rsidRPr="00A7675A">
        <w:rPr>
          <w:i/>
        </w:rPr>
        <w:t>Recommendation 1:</w:t>
      </w:r>
      <w:r>
        <w:rPr>
          <w:b/>
        </w:rPr>
        <w:t xml:space="preserve"> </w:t>
      </w:r>
      <w:r>
        <w:t xml:space="preserve">Potential fluid overload is identified as a safety concern. The recommended dose of </w:t>
      </w:r>
      <w:proofErr w:type="spellStart"/>
      <w:r>
        <w:t>ceftobiprole</w:t>
      </w:r>
      <w:proofErr w:type="spellEnd"/>
      <w:r>
        <w:t xml:space="preserve"> is 500 mg administered in 250 mL saline (or other specified diluent) as a 2 h </w:t>
      </w:r>
      <w:r w:rsidR="000E1AD3">
        <w:t>IV</w:t>
      </w:r>
      <w:r>
        <w:t xml:space="preserve"> infusion every 8 h. It is recommended to the Delegate the PI should mention the size of this fluid load as it may have consequences for patients with heart failure and other conditions. The fluid load may also affect the important identified risk of hyponatraemia.</w:t>
      </w:r>
    </w:p>
    <w:p w:rsidR="0057000A" w:rsidRDefault="0057000A" w:rsidP="000E1AD3">
      <w:r w:rsidRPr="00A7675A">
        <w:rPr>
          <w:i/>
        </w:rPr>
        <w:t>Recommendation 2:</w:t>
      </w:r>
      <w:r>
        <w:rPr>
          <w:b/>
        </w:rPr>
        <w:t xml:space="preserve"> </w:t>
      </w:r>
      <w:r>
        <w:t>The safe and effective use of antibacterial agents depended on local conditions and testing for microbial susceptibility. It is recommended to the Delegate that the proposed indications should also include a statement such as, ‘consideration should be given to published therapeutic guidelines on the appropriate use of antibacterial agents’, or words to that effect.</w:t>
      </w:r>
    </w:p>
    <w:p w:rsidR="006A3326" w:rsidRDefault="0057000A" w:rsidP="000E1AD3">
      <w:r w:rsidRPr="00A7675A">
        <w:rPr>
          <w:i/>
        </w:rPr>
        <w:t>Recommendation 3:</w:t>
      </w:r>
      <w:r>
        <w:rPr>
          <w:b/>
        </w:rPr>
        <w:t xml:space="preserve"> </w:t>
      </w:r>
      <w:r>
        <w:t xml:space="preserve">The 2007 European Medicines Agency (EMA) assessment of </w:t>
      </w:r>
      <w:proofErr w:type="spellStart"/>
      <w:r>
        <w:t>ceftobiprole</w:t>
      </w:r>
      <w:proofErr w:type="spellEnd"/>
      <w:r>
        <w:t xml:space="preserve"> </w:t>
      </w:r>
      <w:proofErr w:type="spellStart"/>
      <w:r>
        <w:t>medocaril</w:t>
      </w:r>
      <w:proofErr w:type="spellEnd"/>
      <w:r>
        <w:t xml:space="preserve"> stated that adverse effects in </w:t>
      </w:r>
      <w:r w:rsidR="000E1AD3">
        <w:t>non</w:t>
      </w:r>
      <w:r>
        <w:t>clinical studies due to impurities could not be completely excluded. The sponsor should provide an update on what risk minimisation activities have been employed to address this</w:t>
      </w:r>
      <w:r w:rsidR="006A3326">
        <w:t>.</w:t>
      </w:r>
    </w:p>
    <w:p w:rsidR="0057000A" w:rsidRDefault="0057000A" w:rsidP="00CE6F39">
      <w:r w:rsidRPr="00A7675A">
        <w:rPr>
          <w:i/>
        </w:rPr>
        <w:t>Recommendation 4:</w:t>
      </w:r>
      <w:r>
        <w:rPr>
          <w:b/>
        </w:rPr>
        <w:t xml:space="preserve"> </w:t>
      </w:r>
      <w:proofErr w:type="spellStart"/>
      <w:r>
        <w:t>Ceftobiprole</w:t>
      </w:r>
      <w:proofErr w:type="spellEnd"/>
      <w:r>
        <w:t xml:space="preserve"> has not undergone clinical trial specifically for multi-drug resistant pneumonia, which will likely be a key use of the medicine. Routine pharmacovigilance activities should monitor this use.</w:t>
      </w:r>
    </w:p>
    <w:p w:rsidR="006A3326" w:rsidRDefault="0057000A" w:rsidP="000E1AD3">
      <w:r w:rsidRPr="00A7675A">
        <w:rPr>
          <w:i/>
        </w:rPr>
        <w:t>Recommendation 5:</w:t>
      </w:r>
      <w:r>
        <w:rPr>
          <w:b/>
        </w:rPr>
        <w:t xml:space="preserve"> </w:t>
      </w:r>
      <w:r>
        <w:t>The PASS study and the term ‘immunocompromised patients’ (as used in the important missing information entry in the safety summary), should include patients who had received lung transplants or patients with cystic fibrosis</w:t>
      </w:r>
      <w:r w:rsidR="006A3326">
        <w:t>.</w:t>
      </w:r>
    </w:p>
    <w:p w:rsidR="0057000A" w:rsidRDefault="0057000A" w:rsidP="00CE6F39">
      <w:pPr>
        <w:pStyle w:val="Heading5"/>
      </w:pPr>
      <w:r>
        <w:lastRenderedPageBreak/>
        <w:t xml:space="preserve">Suggested wording for conditions of registration </w:t>
      </w:r>
    </w:p>
    <w:p w:rsidR="0057000A" w:rsidRDefault="0057000A" w:rsidP="00C64683">
      <w:pPr>
        <w:pStyle w:val="Heading6"/>
        <w:rPr>
          <w:szCs w:val="24"/>
        </w:rPr>
      </w:pPr>
      <w:r>
        <w:t>RMP</w:t>
      </w:r>
    </w:p>
    <w:p w:rsidR="0057000A" w:rsidRDefault="0057000A" w:rsidP="00CE6F39">
      <w:r>
        <w:t>Any changes to which the sponsor agreed become part of the risk management system, whether they are included in the currently available version of the RMP document, or not included, inadvertently or otherwise.</w:t>
      </w:r>
    </w:p>
    <w:p w:rsidR="0057000A" w:rsidRDefault="0057000A" w:rsidP="00CE6F39">
      <w:r>
        <w:t>The suggested wording is:</w:t>
      </w:r>
    </w:p>
    <w:p w:rsidR="0057000A" w:rsidRDefault="0057000A" w:rsidP="00CE6F39">
      <w:pPr>
        <w:pStyle w:val="ListBullet"/>
      </w:pPr>
      <w:r>
        <w:t xml:space="preserve">Implement EU-RMP version </w:t>
      </w:r>
      <w:r w:rsidR="00A3028F">
        <w:t>4</w:t>
      </w:r>
      <w:r>
        <w:t xml:space="preserve">.0 dated </w:t>
      </w:r>
      <w:r w:rsidR="00A3028F">
        <w:t xml:space="preserve">21 July 2015 </w:t>
      </w:r>
      <w:r>
        <w:t xml:space="preserve">(data lock point </w:t>
      </w:r>
      <w:r w:rsidR="00A3028F">
        <w:t>31 March 2015</w:t>
      </w:r>
      <w:r>
        <w:t xml:space="preserve">) with Australian Specific Annex version </w:t>
      </w:r>
      <w:r w:rsidR="00A3028F">
        <w:t>2</w:t>
      </w:r>
      <w:r>
        <w:t xml:space="preserve">.0 dated </w:t>
      </w:r>
      <w:r w:rsidR="00A3028F">
        <w:t xml:space="preserve">21 August 2015 </w:t>
      </w:r>
      <w:r>
        <w:t>and any future updates as a condition of registration.</w:t>
      </w:r>
    </w:p>
    <w:p w:rsidR="008E7846" w:rsidRPr="00792A32" w:rsidRDefault="008E7846" w:rsidP="00CE6F39">
      <w:pPr>
        <w:pStyle w:val="Heading2"/>
      </w:pPr>
      <w:bookmarkStart w:id="133" w:name="_Toc443060239"/>
      <w:r>
        <w:t xml:space="preserve">VI. </w:t>
      </w:r>
      <w:r w:rsidRPr="00CE6F39">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91"/>
      <w:bookmarkEnd w:id="131"/>
      <w:bookmarkEnd w:id="132"/>
      <w:bookmarkEnd w:id="133"/>
    </w:p>
    <w:p w:rsidR="008E7846" w:rsidRDefault="008E7846" w:rsidP="00CE6F39">
      <w:bookmarkStart w:id="13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CE6F39">
      <w:pPr>
        <w:pStyle w:val="Heading3"/>
      </w:pPr>
      <w:bookmarkStart w:id="135" w:name="_Toc314842511"/>
      <w:bookmarkStart w:id="136" w:name="_Toc443060240"/>
      <w:r w:rsidRPr="00CE6F39">
        <w:t>Quality</w:t>
      </w:r>
      <w:bookmarkEnd w:id="134"/>
      <w:bookmarkEnd w:id="135"/>
      <w:bookmarkEnd w:id="136"/>
    </w:p>
    <w:p w:rsidR="003E6564" w:rsidRDefault="00C64683" w:rsidP="00CE6F39">
      <w:bookmarkStart w:id="137" w:name="_Toc314842512"/>
      <w:proofErr w:type="spellStart"/>
      <w:r>
        <w:t>Zevtera</w:t>
      </w:r>
      <w:proofErr w:type="spellEnd"/>
      <w:r>
        <w:t xml:space="preserve"> </w:t>
      </w:r>
      <w:r w:rsidR="003E6564">
        <w:t xml:space="preserve">is a sterile lyophilised powder for infusion and it containing </w:t>
      </w:r>
      <w:proofErr w:type="spellStart"/>
      <w:r w:rsidR="003E6564">
        <w:t>ceftobiprole</w:t>
      </w:r>
      <w:proofErr w:type="spellEnd"/>
      <w:r w:rsidR="003E6564">
        <w:t xml:space="preserve"> </w:t>
      </w:r>
      <w:proofErr w:type="spellStart"/>
      <w:r w:rsidR="003E6564">
        <w:t>medocaril</w:t>
      </w:r>
      <w:proofErr w:type="spellEnd"/>
      <w:r w:rsidR="003E6564">
        <w:t xml:space="preserve"> in a sodium citrate buffer system. The finished dosage form contains 666.6</w:t>
      </w:r>
      <w:r>
        <w:t xml:space="preserve"> </w:t>
      </w:r>
      <w:r w:rsidR="003E6564">
        <w:t xml:space="preserve">mg of </w:t>
      </w:r>
      <w:proofErr w:type="spellStart"/>
      <w:r w:rsidR="003E6564">
        <w:t>ceftobiprole</w:t>
      </w:r>
      <w:proofErr w:type="spellEnd"/>
      <w:r w:rsidR="003E6564">
        <w:t xml:space="preserve"> </w:t>
      </w:r>
      <w:proofErr w:type="spellStart"/>
      <w:r w:rsidR="003E6564">
        <w:t>medocaril</w:t>
      </w:r>
      <w:proofErr w:type="spellEnd"/>
      <w:r w:rsidR="003E6564">
        <w:t xml:space="preserve"> sodium, 26.3</w:t>
      </w:r>
      <w:r>
        <w:t xml:space="preserve"> </w:t>
      </w:r>
      <w:r w:rsidR="003E6564">
        <w:t xml:space="preserve">mg of citric acid monohydrate and </w:t>
      </w:r>
      <w:r>
        <w:t xml:space="preserve">approximately </w:t>
      </w:r>
      <w:r w:rsidR="003E6564">
        <w:t>1</w:t>
      </w:r>
      <w:r w:rsidR="00631076">
        <w:t>0 mg</w:t>
      </w:r>
      <w:r w:rsidR="003E6564">
        <w:t xml:space="preserve"> sodium hydroxide (for pH adjustment) as a lyophilised powder in a 20 mL Type I glass vial with a fluoropolymer-coated </w:t>
      </w:r>
      <w:proofErr w:type="spellStart"/>
      <w:r w:rsidR="003E6564">
        <w:t>bromobutyl</w:t>
      </w:r>
      <w:proofErr w:type="spellEnd"/>
      <w:r w:rsidR="003E6564">
        <w:t xml:space="preserve"> stopp</w:t>
      </w:r>
      <w:r w:rsidR="00CE6F39">
        <w:t>er.</w:t>
      </w:r>
    </w:p>
    <w:p w:rsidR="006A3326" w:rsidRDefault="003E6564" w:rsidP="003E6564">
      <w:r>
        <w:t>The drug substance is a pro-drug for the cephalosporin</w:t>
      </w:r>
      <w:r>
        <w:rPr>
          <w:iCs/>
          <w:szCs w:val="24"/>
        </w:rPr>
        <w:t xml:space="preserve"> </w:t>
      </w:r>
      <w:r w:rsidR="007D2624">
        <w:rPr>
          <w:rFonts w:hint="eastAsia"/>
          <w:iCs/>
          <w:szCs w:val="24"/>
        </w:rPr>
        <w:t>beta-lactam</w:t>
      </w:r>
      <w:r w:rsidR="00E01646">
        <w:rPr>
          <w:iCs/>
          <w:szCs w:val="24"/>
        </w:rPr>
        <w:t xml:space="preserve"> </w:t>
      </w:r>
      <w:r>
        <w:rPr>
          <w:iCs/>
          <w:szCs w:val="24"/>
        </w:rPr>
        <w:t>antibiotic</w:t>
      </w:r>
      <w:r>
        <w:t xml:space="preserve"> </w:t>
      </w:r>
      <w:proofErr w:type="spellStart"/>
      <w:r>
        <w:t>ceftobiprole</w:t>
      </w:r>
      <w:proofErr w:type="spellEnd"/>
      <w:r>
        <w:t xml:space="preserve"> and the proposed product contains the equivalent of 500</w:t>
      </w:r>
      <w:r w:rsidR="00C64683">
        <w:t xml:space="preserve"> </w:t>
      </w:r>
      <w:r>
        <w:t>mg of the active metabolite. The strength of the proposed product was initially expressed on the labels and elsewhere with respect to the quantity of the active antibiotic metabolite</w:t>
      </w:r>
      <w:r>
        <w:rPr>
          <w:b/>
        </w:rPr>
        <w:t xml:space="preserve"> </w:t>
      </w:r>
      <w:proofErr w:type="spellStart"/>
      <w:r>
        <w:t>ceftobiprole</w:t>
      </w:r>
      <w:proofErr w:type="spellEnd"/>
      <w:r>
        <w:t xml:space="preserve"> (500</w:t>
      </w:r>
      <w:r w:rsidR="00C64683">
        <w:t xml:space="preserve"> </w:t>
      </w:r>
      <w:r>
        <w:t>mg).This was not considered appropriate nor consistent with TGA practice and the company has now submitted labelling with respect to the prodrug</w:t>
      </w:r>
      <w:r>
        <w:rPr>
          <w:b/>
          <w:i/>
        </w:rPr>
        <w:t xml:space="preserve"> </w:t>
      </w:r>
      <w:r>
        <w:t>(</w:t>
      </w:r>
      <w:proofErr w:type="spellStart"/>
      <w:r>
        <w:t>ie</w:t>
      </w:r>
      <w:proofErr w:type="spellEnd"/>
      <w:r>
        <w:t xml:space="preserve"> </w:t>
      </w:r>
      <w:proofErr w:type="spellStart"/>
      <w:r>
        <w:t>ceftobiprole</w:t>
      </w:r>
      <w:proofErr w:type="spellEnd"/>
      <w:r>
        <w:t xml:space="preserve"> </w:t>
      </w:r>
      <w:proofErr w:type="spellStart"/>
      <w:r>
        <w:t>medocaril</w:t>
      </w:r>
      <w:proofErr w:type="spellEnd"/>
      <w:r>
        <w:t xml:space="preserve"> sodium 667mg)</w:t>
      </w:r>
      <w:r w:rsidR="006A3326">
        <w:t>.</w:t>
      </w:r>
    </w:p>
    <w:p w:rsidR="006A3326" w:rsidRDefault="003E6564" w:rsidP="00CE6F39">
      <w:r>
        <w:t>The product must be reconstituted and then further diluted prior to infusion. Is intended to be reconstituted with 10</w:t>
      </w:r>
      <w:r w:rsidR="00C64683">
        <w:t xml:space="preserve"> </w:t>
      </w:r>
      <w:r>
        <w:t>mL water for injections or 5% dextrose to form a concentrate solution, which must be further diluted into an infusion bag or bottle containing 250</w:t>
      </w:r>
      <w:r w:rsidR="00C64683">
        <w:t xml:space="preserve"> </w:t>
      </w:r>
      <w:r>
        <w:t>mL of 0.9% sodium chloride, 5% dextrose, or lactated Ringer’s solutions for injection, before intravenous infusion over 2 h</w:t>
      </w:r>
      <w:r w:rsidR="006A3326">
        <w:t>.</w:t>
      </w:r>
    </w:p>
    <w:p w:rsidR="006A3326" w:rsidRDefault="003E6564" w:rsidP="003E6564">
      <w:r>
        <w:t xml:space="preserve">The recommended dose of </w:t>
      </w:r>
      <w:proofErr w:type="spellStart"/>
      <w:r>
        <w:t>Zevtera</w:t>
      </w:r>
      <w:proofErr w:type="spellEnd"/>
      <w:r>
        <w:t xml:space="preserve"> is 500 mg </w:t>
      </w:r>
      <w:proofErr w:type="spellStart"/>
      <w:r>
        <w:t>ceftobiprole</w:t>
      </w:r>
      <w:proofErr w:type="spellEnd"/>
      <w:r>
        <w:t xml:space="preserve"> (as 667mg </w:t>
      </w:r>
      <w:proofErr w:type="spellStart"/>
      <w:r>
        <w:t>ceftobiprole</w:t>
      </w:r>
      <w:proofErr w:type="spellEnd"/>
      <w:r>
        <w:t xml:space="preserve"> </w:t>
      </w:r>
      <w:proofErr w:type="spellStart"/>
      <w:r>
        <w:t>medocaril</w:t>
      </w:r>
      <w:proofErr w:type="spellEnd"/>
      <w:r>
        <w:t xml:space="preserve"> sodium) administered as a 2</w:t>
      </w:r>
      <w:r w:rsidR="00C64683">
        <w:t xml:space="preserve"> h</w:t>
      </w:r>
      <w:r>
        <w:t xml:space="preserve"> </w:t>
      </w:r>
      <w:r w:rsidR="00C64683">
        <w:t>IV</w:t>
      </w:r>
      <w:r>
        <w:t xml:space="preserve"> infusion every 8 h</w:t>
      </w:r>
      <w:r w:rsidR="00C64683">
        <w:t xml:space="preserve"> (</w:t>
      </w:r>
      <w:r>
        <w:t>2000</w:t>
      </w:r>
      <w:r w:rsidR="00C64683">
        <w:t xml:space="preserve"> </w:t>
      </w:r>
      <w:r>
        <w:t xml:space="preserve">mg of </w:t>
      </w:r>
      <w:proofErr w:type="spellStart"/>
      <w:r>
        <w:t>ceftobiprole</w:t>
      </w:r>
      <w:proofErr w:type="spellEnd"/>
      <w:r>
        <w:t xml:space="preserve"> </w:t>
      </w:r>
      <w:proofErr w:type="spellStart"/>
      <w:r>
        <w:t>medocaril</w:t>
      </w:r>
      <w:proofErr w:type="spellEnd"/>
      <w:r>
        <w:t xml:space="preserve"> sodium per day)</w:t>
      </w:r>
      <w:r w:rsidR="006A3326">
        <w:t>.</w:t>
      </w:r>
    </w:p>
    <w:p w:rsidR="003E6564" w:rsidRDefault="003E6564" w:rsidP="00CE6F39">
      <w:r>
        <w:t>All issues raised during the initial evaluation of this application have been satisfactorily resolved, apart from a minor revision to the PI.</w:t>
      </w:r>
    </w:p>
    <w:p w:rsidR="006A3326" w:rsidRDefault="003E6564" w:rsidP="003E6564">
      <w:r>
        <w:t xml:space="preserve">From the quality and </w:t>
      </w:r>
      <w:proofErr w:type="spellStart"/>
      <w:r>
        <w:t>biopharmaceutic</w:t>
      </w:r>
      <w:proofErr w:type="spellEnd"/>
      <w:r>
        <w:t xml:space="preserve"> aspects, there is no objection to the registration of </w:t>
      </w:r>
      <w:proofErr w:type="spellStart"/>
      <w:r w:rsidR="00C64683">
        <w:t>Zevtera</w:t>
      </w:r>
      <w:proofErr w:type="spellEnd"/>
      <w:r w:rsidR="00C64683">
        <w:t xml:space="preserve"> </w:t>
      </w:r>
      <w:r>
        <w:t>(</w:t>
      </w:r>
      <w:proofErr w:type="spellStart"/>
      <w:r>
        <w:t>ceftobiprole</w:t>
      </w:r>
      <w:proofErr w:type="spellEnd"/>
      <w:r>
        <w:t xml:space="preserve"> </w:t>
      </w:r>
      <w:proofErr w:type="spellStart"/>
      <w:r>
        <w:t>medocaril</w:t>
      </w:r>
      <w:proofErr w:type="spellEnd"/>
      <w:r>
        <w:t xml:space="preserve"> sodium) 667mg powder for injection</w:t>
      </w:r>
      <w:r w:rsidR="006A3326">
        <w:t>.</w:t>
      </w:r>
    </w:p>
    <w:p w:rsidR="008E7846" w:rsidRDefault="008E7846" w:rsidP="00CE6F39">
      <w:pPr>
        <w:pStyle w:val="Heading3"/>
      </w:pPr>
      <w:bookmarkStart w:id="138" w:name="_Toc443060241"/>
      <w:r w:rsidRPr="00CE6F39">
        <w:t>Nonclinical</w:t>
      </w:r>
      <w:bookmarkEnd w:id="137"/>
      <w:bookmarkEnd w:id="138"/>
    </w:p>
    <w:p w:rsidR="006A3326" w:rsidRDefault="003E6564" w:rsidP="00CE6F39">
      <w:bookmarkStart w:id="139" w:name="_Toc247691530"/>
      <w:bookmarkStart w:id="140" w:name="_Toc314842513"/>
      <w:r>
        <w:t>Janssen-</w:t>
      </w:r>
      <w:proofErr w:type="spellStart"/>
      <w:r>
        <w:t>Cilag</w:t>
      </w:r>
      <w:proofErr w:type="spellEnd"/>
      <w:r>
        <w:t xml:space="preserve"> Pty Ltd had previously applied to register </w:t>
      </w:r>
      <w:proofErr w:type="spellStart"/>
      <w:r>
        <w:t>ceftobiprole</w:t>
      </w:r>
      <w:proofErr w:type="spellEnd"/>
      <w:r>
        <w:t xml:space="preserve"> </w:t>
      </w:r>
      <w:proofErr w:type="spellStart"/>
      <w:r>
        <w:t>medocaril</w:t>
      </w:r>
      <w:proofErr w:type="spellEnd"/>
      <w:r>
        <w:t xml:space="preserve"> sodium for the treatment of </w:t>
      </w:r>
      <w:proofErr w:type="spellStart"/>
      <w:r>
        <w:rPr>
          <w:rFonts w:cs="Calibri"/>
        </w:rPr>
        <w:t>cSSTI</w:t>
      </w:r>
      <w:proofErr w:type="spellEnd"/>
      <w:r>
        <w:t>. That application was withdrawn in Australia, although the submitted nonclinical data were evaluated. The assessment and summary sections of this report are based on both the previously evaluated data and the new nonclinical studies submitted with this application</w:t>
      </w:r>
      <w:r w:rsidR="006A3326">
        <w:t>.</w:t>
      </w:r>
    </w:p>
    <w:p w:rsidR="006A3326" w:rsidRDefault="003E6564" w:rsidP="003E6564">
      <w:pPr>
        <w:autoSpaceDE w:val="0"/>
        <w:autoSpaceDN w:val="0"/>
        <w:rPr>
          <w:rFonts w:asciiTheme="minorHAnsi" w:eastAsiaTheme="minorHAnsi" w:hAnsiTheme="minorHAnsi" w:cs="Cambria"/>
          <w:color w:val="000000"/>
        </w:rPr>
      </w:pPr>
      <w:r>
        <w:rPr>
          <w:rFonts w:asciiTheme="minorHAnsi" w:eastAsiaTheme="minorHAnsi" w:hAnsiTheme="minorHAnsi" w:cs="Cambria"/>
          <w:color w:val="000000"/>
        </w:rPr>
        <w:lastRenderedPageBreak/>
        <w:t xml:space="preserve">The newly submitted studies addressed the deficiencies in the previous submission. The major adverse findings from previously submitted studies were renal toxicity and convulsions. A new study showed that multiple hydrolytic enzymes, as well as non-enzymatic hydrolysis, contribute to the conversion of </w:t>
      </w:r>
      <w:proofErr w:type="spellStart"/>
      <w:r>
        <w:rPr>
          <w:rFonts w:asciiTheme="minorHAnsi" w:eastAsiaTheme="minorHAnsi" w:hAnsiTheme="minorHAnsi" w:cs="Cambria"/>
          <w:color w:val="000000"/>
        </w:rPr>
        <w:t>ceftobiprole</w:t>
      </w:r>
      <w:proofErr w:type="spellEnd"/>
      <w:r>
        <w:rPr>
          <w:rFonts w:asciiTheme="minorHAnsi" w:eastAsiaTheme="minorHAnsi" w:hAnsiTheme="minorHAnsi" w:cs="Cambria"/>
          <w:color w:val="000000"/>
        </w:rPr>
        <w:t xml:space="preserve"> </w:t>
      </w:r>
      <w:proofErr w:type="spellStart"/>
      <w:r>
        <w:rPr>
          <w:rFonts w:asciiTheme="minorHAnsi" w:eastAsiaTheme="minorHAnsi" w:hAnsiTheme="minorHAnsi" w:cs="Cambria"/>
          <w:color w:val="000000"/>
        </w:rPr>
        <w:t>medocaril</w:t>
      </w:r>
      <w:proofErr w:type="spellEnd"/>
      <w:r>
        <w:rPr>
          <w:rFonts w:asciiTheme="minorHAnsi" w:eastAsiaTheme="minorHAnsi" w:hAnsiTheme="minorHAnsi" w:cs="Cambria"/>
          <w:color w:val="000000"/>
        </w:rPr>
        <w:t xml:space="preserve"> to the active compound, </w:t>
      </w:r>
      <w:proofErr w:type="spellStart"/>
      <w:r>
        <w:rPr>
          <w:rFonts w:asciiTheme="minorHAnsi" w:eastAsiaTheme="minorHAnsi" w:hAnsiTheme="minorHAnsi" w:cs="Cambria"/>
          <w:color w:val="000000"/>
        </w:rPr>
        <w:t>ceftobiprole</w:t>
      </w:r>
      <w:proofErr w:type="spellEnd"/>
      <w:r>
        <w:rPr>
          <w:rFonts w:asciiTheme="minorHAnsi" w:eastAsiaTheme="minorHAnsi" w:hAnsiTheme="minorHAnsi" w:cs="Cambria"/>
          <w:color w:val="000000"/>
        </w:rPr>
        <w:t xml:space="preserve">. Hence, pro-drug conversion is unlikely to be significantly affected by drug-drug interactions or by genetic polymorphisms that inactivate individual hydrolytic enzymes. Previously studies suggested that </w:t>
      </w:r>
      <w:proofErr w:type="spellStart"/>
      <w:r>
        <w:rPr>
          <w:rFonts w:asciiTheme="minorHAnsi" w:eastAsiaTheme="minorHAnsi" w:hAnsiTheme="minorHAnsi" w:cs="Cambria"/>
          <w:color w:val="000000"/>
        </w:rPr>
        <w:t>ceftobiprole</w:t>
      </w:r>
      <w:proofErr w:type="spellEnd"/>
      <w:r>
        <w:rPr>
          <w:rFonts w:asciiTheme="minorHAnsi" w:eastAsiaTheme="minorHAnsi" w:hAnsiTheme="minorHAnsi" w:cs="Cambria"/>
          <w:color w:val="000000"/>
        </w:rPr>
        <w:t xml:space="preserve"> </w:t>
      </w:r>
      <w:proofErr w:type="spellStart"/>
      <w:r>
        <w:rPr>
          <w:rFonts w:asciiTheme="minorHAnsi" w:eastAsiaTheme="minorHAnsi" w:hAnsiTheme="minorHAnsi" w:cs="Cambria"/>
          <w:color w:val="000000"/>
        </w:rPr>
        <w:t>medocaril</w:t>
      </w:r>
      <w:proofErr w:type="spellEnd"/>
      <w:r>
        <w:rPr>
          <w:rFonts w:asciiTheme="minorHAnsi" w:eastAsiaTheme="minorHAnsi" w:hAnsiTheme="minorHAnsi" w:cs="Cambria"/>
          <w:color w:val="000000"/>
        </w:rPr>
        <w:t xml:space="preserve"> is not extensively metabolised and is predominantly excreted in urine as the parental compound. Renal excretion of </w:t>
      </w:r>
      <w:proofErr w:type="spellStart"/>
      <w:r>
        <w:rPr>
          <w:rFonts w:asciiTheme="minorHAnsi" w:eastAsiaTheme="minorHAnsi" w:hAnsiTheme="minorHAnsi" w:cs="Cambria"/>
          <w:color w:val="000000"/>
        </w:rPr>
        <w:t>ceftobiprole</w:t>
      </w:r>
      <w:proofErr w:type="spellEnd"/>
      <w:r>
        <w:rPr>
          <w:rFonts w:asciiTheme="minorHAnsi" w:eastAsiaTheme="minorHAnsi" w:hAnsiTheme="minorHAnsi" w:cs="Cambria"/>
          <w:color w:val="000000"/>
        </w:rPr>
        <w:t xml:space="preserve"> is apparently not mediated by an active transport process in rats. New studies confirmed that exposure to the major plasma metabolite is minor in both rats and dogs. New studies also demonstrated that </w:t>
      </w:r>
      <w:proofErr w:type="spellStart"/>
      <w:r>
        <w:rPr>
          <w:rFonts w:asciiTheme="minorHAnsi" w:eastAsiaTheme="minorHAnsi" w:hAnsiTheme="minorHAnsi" w:cs="Cambria"/>
          <w:color w:val="000000"/>
        </w:rPr>
        <w:t>ceftobiprole</w:t>
      </w:r>
      <w:proofErr w:type="spellEnd"/>
      <w:r>
        <w:rPr>
          <w:rFonts w:asciiTheme="minorHAnsi" w:eastAsiaTheme="minorHAnsi" w:hAnsiTheme="minorHAnsi" w:cs="Cambria"/>
          <w:color w:val="000000"/>
        </w:rPr>
        <w:t xml:space="preserve"> is neither an inhibitor nor inducer of major human CYP activities. Previous results showed that </w:t>
      </w:r>
      <w:proofErr w:type="spellStart"/>
      <w:r>
        <w:rPr>
          <w:rFonts w:asciiTheme="minorHAnsi" w:eastAsiaTheme="minorHAnsi" w:hAnsiTheme="minorHAnsi" w:cs="Cambria"/>
          <w:color w:val="000000"/>
        </w:rPr>
        <w:t>ceftobiprole</w:t>
      </w:r>
      <w:proofErr w:type="spellEnd"/>
      <w:r>
        <w:rPr>
          <w:rFonts w:asciiTheme="minorHAnsi" w:eastAsiaTheme="minorHAnsi" w:hAnsiTheme="minorHAnsi" w:cs="Cambria"/>
          <w:color w:val="000000"/>
        </w:rPr>
        <w:t xml:space="preserve"> is neither a substrate nor inhibitor of most drug transporters tested, although it is a modest inhibitor of the hepatocyte uptake transporters OATP1B1 and OATP1B3. Overall, it appears unlikely that there would be significant pharmacokinetic interaction between </w:t>
      </w:r>
      <w:proofErr w:type="spellStart"/>
      <w:r>
        <w:rPr>
          <w:rFonts w:asciiTheme="minorHAnsi" w:eastAsiaTheme="minorHAnsi" w:hAnsiTheme="minorHAnsi" w:cs="Cambria"/>
          <w:color w:val="000000"/>
        </w:rPr>
        <w:t>ceftobiprole</w:t>
      </w:r>
      <w:proofErr w:type="spellEnd"/>
      <w:r>
        <w:rPr>
          <w:rFonts w:asciiTheme="minorHAnsi" w:eastAsiaTheme="minorHAnsi" w:hAnsiTheme="minorHAnsi" w:cs="Cambria"/>
          <w:color w:val="000000"/>
        </w:rPr>
        <w:t xml:space="preserve"> and co-administered drugs</w:t>
      </w:r>
      <w:r w:rsidR="006A3326">
        <w:rPr>
          <w:rFonts w:asciiTheme="minorHAnsi" w:eastAsiaTheme="minorHAnsi" w:hAnsiTheme="minorHAnsi" w:cs="Cambria"/>
          <w:color w:val="000000"/>
        </w:rPr>
        <w:t>.</w:t>
      </w:r>
    </w:p>
    <w:p w:rsidR="006A3326" w:rsidRDefault="003E6564" w:rsidP="00CE6F39">
      <w:r>
        <w:t xml:space="preserve">Previously evaluated repeat-dose toxicity studies showed that the major target organ for </w:t>
      </w:r>
      <w:proofErr w:type="spellStart"/>
      <w:r>
        <w:t>ceftobiprole</w:t>
      </w:r>
      <w:proofErr w:type="spellEnd"/>
      <w:r>
        <w:t xml:space="preserve"> </w:t>
      </w:r>
      <w:proofErr w:type="spellStart"/>
      <w:r>
        <w:t>medocaril</w:t>
      </w:r>
      <w:proofErr w:type="spellEnd"/>
      <w:r>
        <w:t xml:space="preserve"> in rats and marmosets, but not dogs, was kidney. Renal toxicity was associated with precipitation of drug-like material in the distal tubules. Convulsions occurred in some rats and marmosets exposed to high test article concentrations. In some cases, the convulsions may have been associated with impaired renal function. Histaminergic reactions were noted in dogs. Test article-related mortalities in rats and marmosets were associated with renal toxicity and with vascular reactions at the infusion site</w:t>
      </w:r>
      <w:r w:rsidR="006A3326">
        <w:t>.</w:t>
      </w:r>
    </w:p>
    <w:p w:rsidR="006A3326" w:rsidRDefault="003E6564" w:rsidP="00CE6F39">
      <w:r>
        <w:t xml:space="preserve">Previous studies suggested that </w:t>
      </w:r>
      <w:proofErr w:type="spellStart"/>
      <w:r>
        <w:t>ceftobiprole</w:t>
      </w:r>
      <w:proofErr w:type="spellEnd"/>
      <w:r>
        <w:t xml:space="preserve"> </w:t>
      </w:r>
      <w:proofErr w:type="spellStart"/>
      <w:r>
        <w:t>medocaril</w:t>
      </w:r>
      <w:proofErr w:type="spellEnd"/>
      <w:r>
        <w:t xml:space="preserve"> could show mutagenicity /</w:t>
      </w:r>
      <w:proofErr w:type="spellStart"/>
      <w:r>
        <w:t>clastogenicity</w:t>
      </w:r>
      <w:proofErr w:type="spellEnd"/>
      <w:r>
        <w:t xml:space="preserve"> under </w:t>
      </w:r>
      <w:r w:rsidRPr="00C64683">
        <w:rPr>
          <w:iCs/>
        </w:rPr>
        <w:t xml:space="preserve">in vitro </w:t>
      </w:r>
      <w:r w:rsidRPr="00C64683">
        <w:t xml:space="preserve">but not </w:t>
      </w:r>
      <w:r w:rsidRPr="00C64683">
        <w:rPr>
          <w:iCs/>
        </w:rPr>
        <w:t>in vivo</w:t>
      </w:r>
      <w:r>
        <w:rPr>
          <w:i/>
          <w:iCs/>
        </w:rPr>
        <w:t xml:space="preserve"> </w:t>
      </w:r>
      <w:r>
        <w:t xml:space="preserve">conditions. New studies support the conclusion that </w:t>
      </w:r>
      <w:proofErr w:type="spellStart"/>
      <w:r>
        <w:t>ceftobiprole</w:t>
      </w:r>
      <w:proofErr w:type="spellEnd"/>
      <w:r>
        <w:t xml:space="preserve"> </w:t>
      </w:r>
      <w:proofErr w:type="spellStart"/>
      <w:r>
        <w:t>medocaril</w:t>
      </w:r>
      <w:proofErr w:type="spellEnd"/>
      <w:r>
        <w:t xml:space="preserve">, produced using the sponsor’s current synthesis process, lacks mutagenic activity in the presence or absence of metabolic activation. No carcinogenicity studies were performed. This is considered acceptable given the relatively short treatment duration (maximum of 14 days) and the drug’s limited/lack of activity in genotoxicity assays. Previously analysed reproductive toxicity data for rats and </w:t>
      </w:r>
      <w:proofErr w:type="spellStart"/>
      <w:r>
        <w:t>Cynomolgus</w:t>
      </w:r>
      <w:proofErr w:type="spellEnd"/>
      <w:r>
        <w:t xml:space="preserve"> monkeys suggested that </w:t>
      </w:r>
      <w:proofErr w:type="spellStart"/>
      <w:r>
        <w:t>ceftobiprole</w:t>
      </w:r>
      <w:proofErr w:type="spellEnd"/>
      <w:r>
        <w:t xml:space="preserve"> is neither a teratogen nor inducer of </w:t>
      </w:r>
      <w:proofErr w:type="spellStart"/>
      <w:r>
        <w:t>fetal</w:t>
      </w:r>
      <w:proofErr w:type="spellEnd"/>
      <w:r>
        <w:t>/maternal toxicity</w:t>
      </w:r>
      <w:r w:rsidR="006A3326">
        <w:t>.</w:t>
      </w:r>
    </w:p>
    <w:p w:rsidR="006A3326" w:rsidRDefault="00EC2FFF" w:rsidP="00CE6F39">
      <w:proofErr w:type="spellStart"/>
      <w:r>
        <w:t>Ceftobiprole</w:t>
      </w:r>
      <w:proofErr w:type="spellEnd"/>
      <w:r>
        <w:t xml:space="preserve"> </w:t>
      </w:r>
      <w:proofErr w:type="spellStart"/>
      <w:r>
        <w:t>medocaril</w:t>
      </w:r>
      <w:proofErr w:type="spellEnd"/>
      <w:r>
        <w:t xml:space="preserve"> drug product contains a large number of impurities. Although the sponsor has shown that current batches of </w:t>
      </w:r>
      <w:proofErr w:type="spellStart"/>
      <w:r>
        <w:t>ceftobiprole</w:t>
      </w:r>
      <w:proofErr w:type="spellEnd"/>
      <w:r>
        <w:t xml:space="preserve"> </w:t>
      </w:r>
      <w:proofErr w:type="spellStart"/>
      <w:r>
        <w:t>medocaril</w:t>
      </w:r>
      <w:proofErr w:type="spellEnd"/>
      <w:r>
        <w:t xml:space="preserve"> are not of genotoxic concern, many impurities have not been adequately qualified by repeat-dose toxicity studies and it is recommended that their levels be appropriately reduced or that toxicological studies that would allow qualification of higher impurity levels be performed. In their response, the sponsor has agreed to lower limits for two drug substance impurities and to a shorter shelf life (36 months reduced to 12 months) that allows lower limits for various degradants</w:t>
      </w:r>
      <w:r w:rsidR="006A3326">
        <w:t>.</w:t>
      </w:r>
    </w:p>
    <w:p w:rsidR="006A3326" w:rsidRDefault="003E6564" w:rsidP="003E6564">
      <w:pPr>
        <w:autoSpaceDE w:val="0"/>
        <w:autoSpaceDN w:val="0"/>
        <w:rPr>
          <w:rFonts w:asciiTheme="minorHAnsi" w:eastAsiaTheme="minorHAnsi" w:hAnsiTheme="minorHAnsi" w:cs="Cambria"/>
          <w:color w:val="000000"/>
        </w:rPr>
      </w:pPr>
      <w:r>
        <w:rPr>
          <w:rFonts w:asciiTheme="minorHAnsi" w:eastAsiaTheme="minorHAnsi" w:hAnsiTheme="minorHAnsi" w:cs="Cambria"/>
          <w:bCs/>
          <w:color w:val="000000"/>
        </w:rPr>
        <w:t xml:space="preserve">Overall, </w:t>
      </w:r>
      <w:r>
        <w:rPr>
          <w:rFonts w:asciiTheme="minorHAnsi" w:eastAsiaTheme="minorHAnsi" w:hAnsiTheme="minorHAnsi" w:cs="Cambria"/>
          <w:color w:val="000000"/>
        </w:rPr>
        <w:t xml:space="preserve">a number of minor deficiencies in the original submission have now been addressed. The basic conclusions from the previous assessment regarding </w:t>
      </w:r>
      <w:r w:rsidR="00C64683">
        <w:rPr>
          <w:rFonts w:asciiTheme="minorHAnsi" w:eastAsiaTheme="minorHAnsi" w:hAnsiTheme="minorHAnsi" w:cs="Cambria"/>
          <w:color w:val="000000"/>
        </w:rPr>
        <w:t xml:space="preserve">(but not limited to) </w:t>
      </w:r>
      <w:r>
        <w:rPr>
          <w:rFonts w:asciiTheme="minorHAnsi" w:eastAsiaTheme="minorHAnsi" w:hAnsiTheme="minorHAnsi" w:cs="Cambria"/>
          <w:color w:val="000000"/>
        </w:rPr>
        <w:t>primary pharmacology, genotoxicity</w:t>
      </w:r>
      <w:r w:rsidR="00C64683">
        <w:rPr>
          <w:rFonts w:asciiTheme="minorHAnsi" w:eastAsiaTheme="minorHAnsi" w:hAnsiTheme="minorHAnsi" w:cs="Cambria"/>
          <w:color w:val="000000"/>
        </w:rPr>
        <w:t xml:space="preserve"> and</w:t>
      </w:r>
      <w:r>
        <w:rPr>
          <w:rFonts w:asciiTheme="minorHAnsi" w:eastAsiaTheme="minorHAnsi" w:hAnsiTheme="minorHAnsi" w:cs="Cambria"/>
          <w:color w:val="000000"/>
        </w:rPr>
        <w:t xml:space="preserve"> reproductive toxicity remain unchanged. The lack of effects of </w:t>
      </w:r>
      <w:proofErr w:type="spellStart"/>
      <w:r>
        <w:rPr>
          <w:rFonts w:asciiTheme="minorHAnsi" w:eastAsiaTheme="minorHAnsi" w:hAnsiTheme="minorHAnsi" w:cs="Cambria"/>
          <w:color w:val="000000"/>
        </w:rPr>
        <w:t>ceftobiprole</w:t>
      </w:r>
      <w:proofErr w:type="spellEnd"/>
      <w:r>
        <w:rPr>
          <w:rFonts w:asciiTheme="minorHAnsi" w:eastAsiaTheme="minorHAnsi" w:hAnsiTheme="minorHAnsi" w:cs="Cambria"/>
          <w:color w:val="000000"/>
        </w:rPr>
        <w:t xml:space="preserve"> </w:t>
      </w:r>
      <w:proofErr w:type="spellStart"/>
      <w:r>
        <w:rPr>
          <w:rFonts w:asciiTheme="minorHAnsi" w:eastAsiaTheme="minorHAnsi" w:hAnsiTheme="minorHAnsi" w:cs="Cambria"/>
          <w:color w:val="000000"/>
        </w:rPr>
        <w:t>medocaril</w:t>
      </w:r>
      <w:proofErr w:type="spellEnd"/>
      <w:r>
        <w:rPr>
          <w:rFonts w:asciiTheme="minorHAnsi" w:eastAsiaTheme="minorHAnsi" w:hAnsiTheme="minorHAnsi" w:cs="Cambria"/>
          <w:color w:val="000000"/>
        </w:rPr>
        <w:t xml:space="preserve"> in tests for teratogenicity and </w:t>
      </w:r>
      <w:proofErr w:type="spellStart"/>
      <w:r>
        <w:rPr>
          <w:rFonts w:asciiTheme="minorHAnsi" w:eastAsiaTheme="minorHAnsi" w:hAnsiTheme="minorHAnsi" w:cs="Cambria"/>
          <w:color w:val="000000"/>
        </w:rPr>
        <w:t>fetal</w:t>
      </w:r>
      <w:proofErr w:type="spellEnd"/>
      <w:r>
        <w:rPr>
          <w:rFonts w:asciiTheme="minorHAnsi" w:eastAsiaTheme="minorHAnsi" w:hAnsiTheme="minorHAnsi" w:cs="Cambria"/>
          <w:color w:val="000000"/>
        </w:rPr>
        <w:t>/maternal toxicity support its placement in Pregnancy Category B1. There are now no nonclinical objections to the registration</w:t>
      </w:r>
      <w:r w:rsidR="006A3326">
        <w:rPr>
          <w:rFonts w:asciiTheme="minorHAnsi" w:eastAsiaTheme="minorHAnsi" w:hAnsiTheme="minorHAnsi" w:cs="Cambria"/>
          <w:color w:val="000000"/>
        </w:rPr>
        <w:t>.</w:t>
      </w:r>
    </w:p>
    <w:p w:rsidR="008E7846" w:rsidRDefault="008E7846" w:rsidP="00CE6F39">
      <w:pPr>
        <w:pStyle w:val="Heading3"/>
      </w:pPr>
      <w:bookmarkStart w:id="141" w:name="_Toc443060242"/>
      <w:r w:rsidRPr="00CE6F39">
        <w:t>Clinical</w:t>
      </w:r>
      <w:bookmarkEnd w:id="139"/>
      <w:bookmarkEnd w:id="140"/>
      <w:bookmarkEnd w:id="141"/>
    </w:p>
    <w:p w:rsidR="003E6564" w:rsidRDefault="00C64683" w:rsidP="00CE6F39">
      <w:bookmarkStart w:id="142" w:name="_Toc314842514"/>
      <w:r>
        <w:t xml:space="preserve">The submission </w:t>
      </w:r>
      <w:r w:rsidR="003E6564">
        <w:t>contain</w:t>
      </w:r>
      <w:r>
        <w:t>ed</w:t>
      </w:r>
      <w:r w:rsidR="003E6564">
        <w:t xml:space="preserve"> the following clinical information:</w:t>
      </w:r>
    </w:p>
    <w:p w:rsidR="003E6564" w:rsidRDefault="003E6564" w:rsidP="00CE6F39">
      <w:pPr>
        <w:pStyle w:val="ListBullet"/>
        <w:rPr>
          <w:b/>
        </w:rPr>
      </w:pPr>
      <w:r>
        <w:t>21 clinical pharmacology studies (14 with PK data and 7 with PD (and PK/PD) data.</w:t>
      </w:r>
    </w:p>
    <w:p w:rsidR="003E6564" w:rsidRDefault="00CE6F39" w:rsidP="00C64683">
      <w:pPr>
        <w:pStyle w:val="ListBullet"/>
      </w:pPr>
      <w:r>
        <w:lastRenderedPageBreak/>
        <w:t>1 population PK analyses</w:t>
      </w:r>
    </w:p>
    <w:p w:rsidR="003E6564" w:rsidRDefault="003E6564" w:rsidP="00C64683">
      <w:pPr>
        <w:pStyle w:val="ListBullet"/>
      </w:pPr>
      <w:r>
        <w:t>2 Phase III pivotal efficacy/safety studies (</w:t>
      </w:r>
      <w:r>
        <w:rPr>
          <w:rFonts w:cs="Arial"/>
        </w:rPr>
        <w:t>Studies BAP248/307 and CAP-3001)</w:t>
      </w:r>
      <w:r>
        <w:t>.</w:t>
      </w:r>
    </w:p>
    <w:p w:rsidR="006A3326" w:rsidRDefault="003E6564" w:rsidP="00CE6F39">
      <w:pPr>
        <w:pStyle w:val="ListBullet"/>
      </w:pPr>
      <w:r>
        <w:t>4 other efficacy/safety studies/</w:t>
      </w:r>
      <w:r w:rsidRPr="00CE6F39">
        <w:t>reports</w:t>
      </w:r>
      <w:r>
        <w:t xml:space="preserve"> including those conducted in </w:t>
      </w:r>
      <w:proofErr w:type="spellStart"/>
      <w:r>
        <w:t>cSSTI</w:t>
      </w:r>
      <w:proofErr w:type="spellEnd"/>
      <w:r>
        <w:t xml:space="preserve"> (these studies are not relevant to the requested indication in the current submission)</w:t>
      </w:r>
      <w:r w:rsidR="006A3326">
        <w:t>.</w:t>
      </w:r>
    </w:p>
    <w:p w:rsidR="003E6564" w:rsidRDefault="003E6564" w:rsidP="00CE6F39">
      <w:pPr>
        <w:pStyle w:val="Heading4"/>
      </w:pPr>
      <w:r>
        <w:t xml:space="preserve">Pharmacokinetics (PK) and </w:t>
      </w:r>
      <w:r w:rsidRPr="00CE6F39">
        <w:t>Pharmacodynamics</w:t>
      </w:r>
      <w:r>
        <w:t xml:space="preserve"> (PD)</w:t>
      </w:r>
    </w:p>
    <w:p w:rsidR="003E6564" w:rsidRDefault="003E6564" w:rsidP="00C64683">
      <w:r>
        <w:t>The submitted PK and PD studies is summarised in Table</w:t>
      </w:r>
      <w:r w:rsidR="00C64683">
        <w:t>s 3 and 4 above</w:t>
      </w:r>
      <w:r>
        <w:t xml:space="preserve">. These studies showed that the systemic exposure of </w:t>
      </w:r>
      <w:proofErr w:type="spellStart"/>
      <w:r>
        <w:t>ceftobiprole</w:t>
      </w:r>
      <w:proofErr w:type="spellEnd"/>
      <w:r>
        <w:t xml:space="preserve"> is dose-proportional over a dose range of 125</w:t>
      </w:r>
      <w:r w:rsidR="00C64683">
        <w:t xml:space="preserve"> to </w:t>
      </w:r>
      <w:r>
        <w:t xml:space="preserve">1000 mg. </w:t>
      </w:r>
      <w:proofErr w:type="spellStart"/>
      <w:r>
        <w:t>Ceftobiprole</w:t>
      </w:r>
      <w:proofErr w:type="spellEnd"/>
      <w:r>
        <w:t xml:space="preserve"> exhibits linear and time-independent PK. Steady-state active substance</w:t>
      </w:r>
      <w:r>
        <w:rPr>
          <w:bCs/>
          <w:i/>
          <w:iCs/>
        </w:rPr>
        <w:t xml:space="preserve"> </w:t>
      </w:r>
      <w:r>
        <w:t>concentrations are attained on the first day of dosing; no appreciable accumulation occurs with</w:t>
      </w:r>
      <w:r>
        <w:rPr>
          <w:bCs/>
          <w:i/>
          <w:iCs/>
        </w:rPr>
        <w:t xml:space="preserve"> </w:t>
      </w:r>
      <w:r>
        <w:t>every</w:t>
      </w:r>
      <w:r w:rsidR="00C64683">
        <w:t xml:space="preserve"> </w:t>
      </w:r>
      <w:r>
        <w:t>8</w:t>
      </w:r>
      <w:r w:rsidR="00C64683">
        <w:t xml:space="preserve"> </w:t>
      </w:r>
      <w:r>
        <w:t xml:space="preserve">h dosing in subjects with normal renal function. </w:t>
      </w:r>
      <w:proofErr w:type="spellStart"/>
      <w:r>
        <w:t>Ceftobiprole’s</w:t>
      </w:r>
      <w:proofErr w:type="spellEnd"/>
      <w:r>
        <w:t xml:space="preserve"> steady state volume of distribution (</w:t>
      </w:r>
      <w:r w:rsidR="005D6EFA">
        <w:t>approximately</w:t>
      </w:r>
      <w:r w:rsidR="00C64683">
        <w:t xml:space="preserve"> </w:t>
      </w:r>
      <w:r>
        <w:t>18</w:t>
      </w:r>
      <w:r w:rsidR="00C64683">
        <w:t xml:space="preserve"> </w:t>
      </w:r>
      <w:r>
        <w:t xml:space="preserve">L) approximates the extra-cellular fluid volume and suggests intra-cellular penetration of </w:t>
      </w:r>
      <w:proofErr w:type="spellStart"/>
      <w:r>
        <w:t>ceftobiprole</w:t>
      </w:r>
      <w:proofErr w:type="spellEnd"/>
      <w:r>
        <w:t xml:space="preserve"> does not occur to an appreciable extent. The </w:t>
      </w:r>
      <w:r w:rsidR="00C64683">
        <w:t>volume of distribution (</w:t>
      </w:r>
      <w:proofErr w:type="spellStart"/>
      <w:r>
        <w:t>V</w:t>
      </w:r>
      <w:r>
        <w:rPr>
          <w:vertAlign w:val="subscript"/>
        </w:rPr>
        <w:t>diss</w:t>
      </w:r>
      <w:proofErr w:type="spellEnd"/>
      <w:r w:rsidR="00C64683">
        <w:t xml:space="preserve">) </w:t>
      </w:r>
      <w:r>
        <w:t>is dose and time</w:t>
      </w:r>
      <w:r w:rsidR="00C64683">
        <w:t xml:space="preserve"> </w:t>
      </w:r>
      <w:r>
        <w:t>independent.</w:t>
      </w:r>
    </w:p>
    <w:p w:rsidR="006A3326" w:rsidRDefault="003E6564" w:rsidP="00CE6F39">
      <w:r>
        <w:t xml:space="preserve">Conversion from the pro-drug, to the active moiety </w:t>
      </w:r>
      <w:proofErr w:type="spellStart"/>
      <w:r>
        <w:t>ceftobiprole</w:t>
      </w:r>
      <w:proofErr w:type="spellEnd"/>
      <w:r>
        <w:t xml:space="preserve">, occurs rapidly via non-specific plasma </w:t>
      </w:r>
      <w:proofErr w:type="spellStart"/>
      <w:r>
        <w:t>esterases</w:t>
      </w:r>
      <w:proofErr w:type="spellEnd"/>
      <w:r>
        <w:t xml:space="preserve">. </w:t>
      </w:r>
      <w:proofErr w:type="spellStart"/>
      <w:r>
        <w:t>Ceftobiprole</w:t>
      </w:r>
      <w:proofErr w:type="spellEnd"/>
      <w:r>
        <w:t xml:space="preserve"> was primarily eliminated unchanged in urine</w:t>
      </w:r>
      <w:r w:rsidR="00C64683">
        <w:t>.</w:t>
      </w:r>
      <w:r>
        <w:t xml:space="preserve"> In </w:t>
      </w:r>
      <w:r w:rsidR="00C64683">
        <w:t>S</w:t>
      </w:r>
      <w:r>
        <w:t xml:space="preserve">tudy 30982081-CSI-1004, </w:t>
      </w:r>
      <w:r w:rsidR="005D6EFA">
        <w:t>approximately</w:t>
      </w:r>
      <w:r w:rsidR="00C64683">
        <w:t xml:space="preserve"> </w:t>
      </w:r>
      <w:r>
        <w:t xml:space="preserve">83% of the dose was excreted as unchanged </w:t>
      </w:r>
      <w:proofErr w:type="spellStart"/>
      <w:r>
        <w:t>ceftobiprole</w:t>
      </w:r>
      <w:proofErr w:type="spellEnd"/>
      <w:r>
        <w:t xml:space="preserve"> in urine</w:t>
      </w:r>
      <w:r w:rsidR="00C64683">
        <w:t xml:space="preserve"> and</w:t>
      </w:r>
      <w:r>
        <w:t xml:space="preserve"> </w:t>
      </w:r>
      <w:r w:rsidR="005D6EFA">
        <w:t>approximately</w:t>
      </w:r>
      <w:r>
        <w:t xml:space="preserve"> 5% of the dose was excreted in urine as the open ring metabolite. As </w:t>
      </w:r>
      <w:proofErr w:type="spellStart"/>
      <w:r>
        <w:t>ceftobiprole</w:t>
      </w:r>
      <w:proofErr w:type="spellEnd"/>
      <w:r>
        <w:t xml:space="preserve"> does not appear to undergo significant hepatic metabolism, no PK study in hepatic impairment was conducted. </w:t>
      </w:r>
      <w:proofErr w:type="spellStart"/>
      <w:r>
        <w:t>Ceftobiprole</w:t>
      </w:r>
      <w:proofErr w:type="spellEnd"/>
      <w:r>
        <w:t xml:space="preserve"> is excreted in urine by glomerular filtration and does not undergo renal tubular secretion. The terminal elimination half-life is about 3 h. The effects of renal impairment on the PK were investigated in a single-dose study (BAP00018). Systemic exposure was 1.3</w:t>
      </w:r>
      <w:r w:rsidR="00631076">
        <w:t xml:space="preserve"> times</w:t>
      </w:r>
      <w:r>
        <w:t>, 2.5</w:t>
      </w:r>
      <w:r w:rsidR="00631076">
        <w:t xml:space="preserve"> times</w:t>
      </w:r>
      <w:r>
        <w:t xml:space="preserve"> and 3.3</w:t>
      </w:r>
      <w:r w:rsidR="00631076">
        <w:t xml:space="preserve"> times</w:t>
      </w:r>
      <w:r>
        <w:t xml:space="preserve"> higher in subjects with mild, moderate and severe renal impairment, respectively, than in subjects with normal renal function. In subjects with renal impairment, systemic clearance correlated well with creatinine clearance (</w:t>
      </w:r>
      <w:proofErr w:type="spellStart"/>
      <w:r>
        <w:t>CrCl</w:t>
      </w:r>
      <w:proofErr w:type="spellEnd"/>
      <w:r>
        <w:t xml:space="preserve">). As </w:t>
      </w:r>
      <w:proofErr w:type="spellStart"/>
      <w:r>
        <w:t>ceftobiprole</w:t>
      </w:r>
      <w:proofErr w:type="spellEnd"/>
      <w:r>
        <w:t xml:space="preserve"> is primarily eliminated by renal excretion, dosage adjustments in renal impaired patients were optimised by simulations and modelling, and evaluated in the Phase </w:t>
      </w:r>
      <w:r w:rsidR="00631076">
        <w:t>III</w:t>
      </w:r>
      <w:r>
        <w:t xml:space="preserve"> programme. The table below shows the dose and dose interval adjustments evaluated</w:t>
      </w:r>
      <w:r w:rsidR="006A3326">
        <w:t>.</w:t>
      </w:r>
    </w:p>
    <w:p w:rsidR="003E6564" w:rsidRDefault="00631076" w:rsidP="00CE6F39">
      <w:pPr>
        <w:pStyle w:val="TableTitle"/>
      </w:pPr>
      <w:r>
        <w:t xml:space="preserve">Table 9: </w:t>
      </w:r>
      <w:proofErr w:type="spellStart"/>
      <w:r w:rsidR="003E6564">
        <w:t>Ceftobiprole</w:t>
      </w:r>
      <w:proofErr w:type="spellEnd"/>
      <w:r w:rsidR="003E6564">
        <w:t xml:space="preserve"> dose adjustments based on creatinine clearance</w:t>
      </w:r>
    </w:p>
    <w:p w:rsidR="003E6564" w:rsidRDefault="00CE6F39" w:rsidP="00CE6F39">
      <w:r>
        <w:rPr>
          <w:noProof/>
          <w:lang w:eastAsia="en-AU"/>
        </w:rPr>
        <w:drawing>
          <wp:inline distT="0" distB="0" distL="0" distR="0" wp14:anchorId="1989D1C6" wp14:editId="57414583">
            <wp:extent cx="5400040" cy="1350645"/>
            <wp:effectExtent l="0" t="0" r="0" b="1905"/>
            <wp:docPr id="12" name="Picture 12" descr="Table 9: Ceftobiprole dose adjustments based on creatinine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1350645"/>
                    </a:xfrm>
                    <a:prstGeom prst="rect">
                      <a:avLst/>
                    </a:prstGeom>
                  </pic:spPr>
                </pic:pic>
              </a:graphicData>
            </a:graphic>
          </wp:inline>
        </w:drawing>
      </w:r>
    </w:p>
    <w:p w:rsidR="006A3326" w:rsidRDefault="003E6564" w:rsidP="00CE6F39">
      <w:pPr>
        <w:rPr>
          <w:rFonts w:eastAsiaTheme="minorHAnsi"/>
          <w:color w:val="000000"/>
        </w:rPr>
      </w:pPr>
      <w:r>
        <w:t>The 50</w:t>
      </w:r>
      <w:r w:rsidR="00631076">
        <w:t>0 mg</w:t>
      </w:r>
      <w:r>
        <w:t xml:space="preserve"> dose refers to the active metabolite (</w:t>
      </w:r>
      <w:proofErr w:type="spellStart"/>
      <w:r>
        <w:rPr>
          <w:rFonts w:cs="TimesNewRoman"/>
        </w:rPr>
        <w:t>ceftobiprole</w:t>
      </w:r>
      <w:proofErr w:type="spellEnd"/>
      <w:r>
        <w:rPr>
          <w:rFonts w:cs="TimesNewRoman"/>
        </w:rPr>
        <w:t>) which is equivalent to 667</w:t>
      </w:r>
      <w:r w:rsidR="00631076">
        <w:rPr>
          <w:rFonts w:cs="TimesNewRoman"/>
        </w:rPr>
        <w:t xml:space="preserve"> </w:t>
      </w:r>
      <w:r>
        <w:rPr>
          <w:rFonts w:cs="TimesNewRoman"/>
        </w:rPr>
        <w:t xml:space="preserve">mg parent drug </w:t>
      </w:r>
      <w:r>
        <w:t>(</w:t>
      </w:r>
      <w:proofErr w:type="spellStart"/>
      <w:r>
        <w:rPr>
          <w:rFonts w:eastAsiaTheme="minorHAnsi"/>
          <w:color w:val="000000"/>
        </w:rPr>
        <w:t>ceftobiprole</w:t>
      </w:r>
      <w:proofErr w:type="spellEnd"/>
      <w:r>
        <w:rPr>
          <w:rFonts w:eastAsiaTheme="minorHAnsi"/>
          <w:color w:val="000000"/>
        </w:rPr>
        <w:t xml:space="preserve"> </w:t>
      </w:r>
      <w:proofErr w:type="spellStart"/>
      <w:r>
        <w:rPr>
          <w:rFonts w:eastAsiaTheme="minorHAnsi"/>
          <w:color w:val="000000"/>
        </w:rPr>
        <w:t>medocaril</w:t>
      </w:r>
      <w:proofErr w:type="spellEnd"/>
      <w:r>
        <w:rPr>
          <w:rFonts w:eastAsiaTheme="minorHAnsi"/>
          <w:color w:val="000000"/>
        </w:rPr>
        <w:t>). In this document, the 50</w:t>
      </w:r>
      <w:r w:rsidR="00631076">
        <w:rPr>
          <w:rFonts w:eastAsiaTheme="minorHAnsi"/>
          <w:color w:val="000000"/>
        </w:rPr>
        <w:t>0 mg</w:t>
      </w:r>
      <w:r>
        <w:rPr>
          <w:rFonts w:eastAsiaTheme="minorHAnsi"/>
          <w:color w:val="000000"/>
        </w:rPr>
        <w:t xml:space="preserve"> </w:t>
      </w:r>
      <w:proofErr w:type="spellStart"/>
      <w:r>
        <w:rPr>
          <w:rFonts w:cs="TimesNewRoman"/>
        </w:rPr>
        <w:t>ceftobiprole</w:t>
      </w:r>
      <w:proofErr w:type="spellEnd"/>
      <w:r>
        <w:rPr>
          <w:rFonts w:eastAsiaTheme="minorHAnsi"/>
          <w:color w:val="000000"/>
        </w:rPr>
        <w:t xml:space="preserve"> is used to represent the </w:t>
      </w:r>
      <w:r>
        <w:rPr>
          <w:rFonts w:cs="TimesNewRoman"/>
        </w:rPr>
        <w:t>667</w:t>
      </w:r>
      <w:r w:rsidR="00631076">
        <w:rPr>
          <w:rFonts w:cs="TimesNewRoman"/>
        </w:rPr>
        <w:t xml:space="preserve"> </w:t>
      </w:r>
      <w:r>
        <w:rPr>
          <w:rFonts w:cs="TimesNewRoman"/>
        </w:rPr>
        <w:t xml:space="preserve">mg </w:t>
      </w:r>
      <w:proofErr w:type="spellStart"/>
      <w:r>
        <w:rPr>
          <w:rFonts w:eastAsiaTheme="minorHAnsi"/>
          <w:color w:val="000000"/>
        </w:rPr>
        <w:t>ceftobiprole</w:t>
      </w:r>
      <w:proofErr w:type="spellEnd"/>
      <w:r>
        <w:rPr>
          <w:rFonts w:eastAsiaTheme="minorHAnsi"/>
          <w:color w:val="000000"/>
        </w:rPr>
        <w:t xml:space="preserve"> </w:t>
      </w:r>
      <w:proofErr w:type="spellStart"/>
      <w:r>
        <w:rPr>
          <w:rFonts w:eastAsiaTheme="minorHAnsi"/>
          <w:color w:val="000000"/>
        </w:rPr>
        <w:t>medocaril</w:t>
      </w:r>
      <w:proofErr w:type="spellEnd"/>
      <w:r>
        <w:rPr>
          <w:rFonts w:eastAsiaTheme="minorHAnsi"/>
          <w:color w:val="000000"/>
        </w:rPr>
        <w:t xml:space="preserve"> sodium</w:t>
      </w:r>
      <w:r w:rsidR="006A3326">
        <w:rPr>
          <w:rFonts w:eastAsiaTheme="minorHAnsi"/>
          <w:color w:val="000000"/>
        </w:rPr>
        <w:t>.</w:t>
      </w:r>
    </w:p>
    <w:p w:rsidR="003E6564" w:rsidRDefault="003E6564" w:rsidP="00631076">
      <w:pPr>
        <w:rPr>
          <w:rFonts w:eastAsia="MS Mincho"/>
          <w:lang w:eastAsia="ja-JP"/>
        </w:rPr>
      </w:pPr>
      <w:r>
        <w:t xml:space="preserve">Simulation and experience in </w:t>
      </w:r>
      <w:r w:rsidR="00631076">
        <w:t>end stage renal disease (</w:t>
      </w:r>
      <w:r>
        <w:t>ESRD</w:t>
      </w:r>
      <w:r w:rsidR="00631076">
        <w:t>)</w:t>
      </w:r>
      <w:r>
        <w:t xml:space="preserve"> subjects suggested that a dose of 25</w:t>
      </w:r>
      <w:r w:rsidR="00631076">
        <w:t>0 mg</w:t>
      </w:r>
      <w:r>
        <w:t xml:space="preserve"> </w:t>
      </w:r>
      <w:proofErr w:type="spellStart"/>
      <w:r>
        <w:t>ceftobiprole</w:t>
      </w:r>
      <w:proofErr w:type="spellEnd"/>
      <w:r>
        <w:t xml:space="preserve"> (2 h infusion post-dialysis) </w:t>
      </w:r>
      <w:r w:rsidR="00631076">
        <w:t>every 24 h (</w:t>
      </w:r>
      <w:r>
        <w:t>q24h</w:t>
      </w:r>
      <w:r w:rsidR="00631076">
        <w:t>)</w:t>
      </w:r>
      <w:r>
        <w:t xml:space="preserve"> is an appropriate regimen</w:t>
      </w:r>
      <w:r w:rsidR="00631076">
        <w:t>.</w:t>
      </w:r>
    </w:p>
    <w:p w:rsidR="003E6564" w:rsidRDefault="003E6564" w:rsidP="00CE6F39">
      <w:pPr>
        <w:rPr>
          <w:bCs/>
        </w:rPr>
      </w:pPr>
      <w:r>
        <w:t xml:space="preserve">The influence of </w:t>
      </w:r>
      <w:r w:rsidR="00631076">
        <w:t xml:space="preserve">the </w:t>
      </w:r>
      <w:r>
        <w:t xml:space="preserve">age, gender, </w:t>
      </w:r>
      <w:proofErr w:type="gramStart"/>
      <w:r>
        <w:t>race</w:t>
      </w:r>
      <w:proofErr w:type="gramEnd"/>
      <w:r>
        <w:rPr>
          <w:bCs/>
        </w:rPr>
        <w:t xml:space="preserve"> and body weight</w:t>
      </w:r>
      <w:r>
        <w:t xml:space="preserve"> </w:t>
      </w:r>
      <w:r w:rsidR="00631076">
        <w:t xml:space="preserve">of patients </w:t>
      </w:r>
      <w:r>
        <w:t>w</w:t>
      </w:r>
      <w:r w:rsidR="00631076">
        <w:t>as</w:t>
      </w:r>
      <w:r>
        <w:t xml:space="preserve"> explored in the population PK analysis. These factors were not identified as </w:t>
      </w:r>
      <w:r>
        <w:rPr>
          <w:bCs/>
        </w:rPr>
        <w:t>clinically relevant</w:t>
      </w:r>
      <w:r>
        <w:t xml:space="preserve"> covariates. </w:t>
      </w:r>
      <w:r>
        <w:lastRenderedPageBreak/>
        <w:t xml:space="preserve">It is not consider necessary to adjust the dose on the basis of </w:t>
      </w:r>
      <w:bookmarkStart w:id="143" w:name="_Toc408385400"/>
      <w:bookmarkStart w:id="144" w:name="_Toc290846254"/>
      <w:bookmarkStart w:id="145" w:name="_Toc272414631"/>
      <w:r>
        <w:t>age, gender, race,</w:t>
      </w:r>
      <w:r>
        <w:rPr>
          <w:bCs/>
        </w:rPr>
        <w:t xml:space="preserve"> and body weight.</w:t>
      </w:r>
    </w:p>
    <w:bookmarkEnd w:id="143"/>
    <w:bookmarkEnd w:id="144"/>
    <w:bookmarkEnd w:id="145"/>
    <w:p w:rsidR="006A3326" w:rsidRDefault="003E6564" w:rsidP="00CE6F39">
      <w:r>
        <w:t xml:space="preserve">Clinical drug interaction studies have not been conducted as the overall likelihood of significant interactions is considered minimal based on its PK. Conversion from the prodrug to the active drug </w:t>
      </w:r>
      <w:proofErr w:type="spellStart"/>
      <w:r>
        <w:t>ceftobiprole</w:t>
      </w:r>
      <w:proofErr w:type="spellEnd"/>
      <w:r>
        <w:t xml:space="preserve"> is rapid and complete, and a literature review confirms that administration of concomitant medications is not known to reduce Type </w:t>
      </w:r>
      <w:proofErr w:type="gramStart"/>
      <w:r>
        <w:t>A</w:t>
      </w:r>
      <w:proofErr w:type="gramEnd"/>
      <w:r>
        <w:t xml:space="preserve"> esterase activity. Since protein binding of </w:t>
      </w:r>
      <w:proofErr w:type="spellStart"/>
      <w:r>
        <w:t>ceftobiprole</w:t>
      </w:r>
      <w:proofErr w:type="spellEnd"/>
      <w:r>
        <w:t xml:space="preserve"> is low (16%) and independent of concentration, displacement interactions are not anticipated. As </w:t>
      </w:r>
      <w:proofErr w:type="spellStart"/>
      <w:r>
        <w:t>ceftobiprole</w:t>
      </w:r>
      <w:proofErr w:type="spellEnd"/>
      <w:r>
        <w:t xml:space="preserve"> is not extensively metabolised, does not induce CYP450 isoenzymes and minimally inhibits CYP450 isoenzymes, drug-drug interactions are not anticipated. As </w:t>
      </w:r>
      <w:proofErr w:type="spellStart"/>
      <w:r>
        <w:t>ceftobiprole</w:t>
      </w:r>
      <w:proofErr w:type="spellEnd"/>
      <w:r>
        <w:t xml:space="preserve"> is neither a substrate nor inhibitor of p-glycoprotein, transport-related interactions are also not anticipated. </w:t>
      </w:r>
      <w:proofErr w:type="spellStart"/>
      <w:r>
        <w:t>Ceftobiprole</w:t>
      </w:r>
      <w:proofErr w:type="spellEnd"/>
      <w:r>
        <w:t xml:space="preserve"> is primarily excreted unchanged in urine by glomerular filtration; a fraction of the drug is reabsorbed; </w:t>
      </w:r>
      <w:proofErr w:type="spellStart"/>
      <w:r>
        <w:t>ceftobiprole</w:t>
      </w:r>
      <w:proofErr w:type="spellEnd"/>
      <w:r>
        <w:t xml:space="preserve"> does not undergo renal tubular secretion, as evidenced from an interaction study with probenecid in a rat model. </w:t>
      </w:r>
      <w:proofErr w:type="spellStart"/>
      <w:r>
        <w:t>Ceftobiprole</w:t>
      </w:r>
      <w:proofErr w:type="spellEnd"/>
      <w:r>
        <w:t xml:space="preserve"> should therefore not affect the tubular secretion of other agents. Exploratory population PK screening indicate concomitant administration of fentanyl, lidocaine, paracetamol, diclofenac, aspirin, heparin, diphenhydramine, </w:t>
      </w:r>
      <w:proofErr w:type="spellStart"/>
      <w:r>
        <w:t>propofol</w:t>
      </w:r>
      <w:proofErr w:type="spellEnd"/>
      <w:r>
        <w:t xml:space="preserve">, hydromorphone hydrochloride, methadone, hydrocodone </w:t>
      </w:r>
      <w:proofErr w:type="spellStart"/>
      <w:r>
        <w:t>bitartrate</w:t>
      </w:r>
      <w:proofErr w:type="spellEnd"/>
      <w:r>
        <w:t xml:space="preserve">, </w:t>
      </w:r>
      <w:proofErr w:type="spellStart"/>
      <w:r>
        <w:t>metamizole</w:t>
      </w:r>
      <w:proofErr w:type="spellEnd"/>
      <w:r>
        <w:t xml:space="preserve"> sodium, </w:t>
      </w:r>
      <w:proofErr w:type="gramStart"/>
      <w:r>
        <w:t>furosemide</w:t>
      </w:r>
      <w:proofErr w:type="gramEnd"/>
      <w:r>
        <w:t xml:space="preserve"> di</w:t>
      </w:r>
      <w:r w:rsidR="00631076">
        <w:t>d</w:t>
      </w:r>
      <w:r>
        <w:t xml:space="preserve"> not impact on the PK of </w:t>
      </w:r>
      <w:proofErr w:type="spellStart"/>
      <w:r w:rsidR="00631076">
        <w:t>c</w:t>
      </w:r>
      <w:r>
        <w:t>eftobiprole</w:t>
      </w:r>
      <w:proofErr w:type="spellEnd"/>
      <w:r w:rsidR="006A3326">
        <w:t>.</w:t>
      </w:r>
    </w:p>
    <w:p w:rsidR="006A3326" w:rsidRDefault="003E6564" w:rsidP="00631076">
      <w:bookmarkStart w:id="146" w:name="_Toc241374297"/>
      <w:r>
        <w:t xml:space="preserve">The submitted PD studies are summarised in Table </w:t>
      </w:r>
      <w:r w:rsidR="00631076">
        <w:t>5 above</w:t>
      </w:r>
      <w:r>
        <w:t>. The primary</w:t>
      </w:r>
      <w:bookmarkStart w:id="147" w:name="_Toc408385410"/>
      <w:bookmarkStart w:id="148" w:name="_Toc290846264"/>
      <w:bookmarkStart w:id="149" w:name="_Toc272414642"/>
      <w:bookmarkEnd w:id="146"/>
      <w:r>
        <w:t xml:space="preserve"> PD e</w:t>
      </w:r>
      <w:r>
        <w:rPr>
          <w:color w:val="000000" w:themeColor="text1"/>
        </w:rPr>
        <w:t>ffects</w:t>
      </w:r>
      <w:bookmarkEnd w:id="147"/>
      <w:bookmarkEnd w:id="148"/>
      <w:bookmarkEnd w:id="149"/>
      <w:r>
        <w:rPr>
          <w:color w:val="000000" w:themeColor="text1"/>
        </w:rPr>
        <w:t xml:space="preserve"> in terms of established </w:t>
      </w:r>
      <w:r>
        <w:t>EUCAST MIC breakpoints are described in</w:t>
      </w:r>
      <w:r>
        <w:rPr>
          <w:b/>
        </w:rPr>
        <w:t xml:space="preserve"> </w:t>
      </w:r>
      <w:r>
        <w:t>the table below</w:t>
      </w:r>
      <w:r w:rsidR="006A3326">
        <w:t>.</w:t>
      </w:r>
    </w:p>
    <w:p w:rsidR="003E6564" w:rsidRDefault="00631076" w:rsidP="00631076">
      <w:pPr>
        <w:pStyle w:val="TableTitle"/>
      </w:pPr>
      <w:r>
        <w:t xml:space="preserve">Table 10: </w:t>
      </w:r>
      <w:r w:rsidR="003E6564">
        <w:t>Clinical breakpoint by EUCAST</w:t>
      </w:r>
    </w:p>
    <w:p w:rsidR="003E6564" w:rsidRDefault="00CE6F39" w:rsidP="00CE6F39">
      <w:r>
        <w:rPr>
          <w:noProof/>
          <w:lang w:eastAsia="en-AU"/>
        </w:rPr>
        <w:drawing>
          <wp:inline distT="0" distB="0" distL="0" distR="0" wp14:anchorId="7E148F59" wp14:editId="75CC4496">
            <wp:extent cx="5400040" cy="1437005"/>
            <wp:effectExtent l="0" t="0" r="0" b="0"/>
            <wp:docPr id="13" name="Picture 13" descr="Table 10: Clinical breakpoint by EU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ceftobiprole-medocaril-sodium-160208-table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1437005"/>
                    </a:xfrm>
                    <a:prstGeom prst="rect">
                      <a:avLst/>
                    </a:prstGeom>
                  </pic:spPr>
                </pic:pic>
              </a:graphicData>
            </a:graphic>
          </wp:inline>
        </w:drawing>
      </w:r>
    </w:p>
    <w:p w:rsidR="003E6564" w:rsidRDefault="003E6564" w:rsidP="003E6564">
      <w:pPr>
        <w:rPr>
          <w:rFonts w:asciiTheme="minorHAnsi" w:hAnsiTheme="minorHAnsi"/>
        </w:rPr>
      </w:pPr>
      <w:r>
        <w:rPr>
          <w:rFonts w:asciiTheme="minorHAnsi" w:hAnsiTheme="minorHAnsi"/>
        </w:rPr>
        <w:t xml:space="preserve">Evidence for </w:t>
      </w:r>
      <w:proofErr w:type="spellStart"/>
      <w:r>
        <w:rPr>
          <w:rFonts w:asciiTheme="minorHAnsi" w:hAnsiTheme="minorHAnsi"/>
        </w:rPr>
        <w:t>ceftobiprole’s</w:t>
      </w:r>
      <w:proofErr w:type="spellEnd"/>
      <w:r>
        <w:rPr>
          <w:rFonts w:asciiTheme="minorHAnsi" w:hAnsiTheme="minorHAnsi"/>
        </w:rPr>
        <w:t xml:space="preserve"> antibacterial activity is based on </w:t>
      </w:r>
      <w:r w:rsidR="005D6EFA">
        <w:rPr>
          <w:rFonts w:asciiTheme="minorHAnsi" w:hAnsiTheme="minorHAnsi"/>
        </w:rPr>
        <w:t>approximately</w:t>
      </w:r>
      <w:r w:rsidR="00E01646">
        <w:rPr>
          <w:rFonts w:asciiTheme="minorHAnsi" w:hAnsiTheme="minorHAnsi"/>
        </w:rPr>
        <w:t xml:space="preserve"> </w:t>
      </w:r>
      <w:r>
        <w:rPr>
          <w:rFonts w:asciiTheme="minorHAnsi" w:hAnsiTheme="minorHAnsi"/>
        </w:rPr>
        <w:t xml:space="preserve">120000 surveillance isolates relevant to bacterial pneumonia from North America, Latin America, EU, Asia-Pacific, </w:t>
      </w:r>
      <w:r w:rsidRPr="00631076">
        <w:t xml:space="preserve">China and tested for susceptibility. Collective surveillance data show </w:t>
      </w:r>
      <w:proofErr w:type="spellStart"/>
      <w:r w:rsidRPr="00631076">
        <w:t>ceftobiprole</w:t>
      </w:r>
      <w:proofErr w:type="spellEnd"/>
      <w:r w:rsidRPr="00631076">
        <w:t xml:space="preserve"> has low </w:t>
      </w:r>
      <w:r w:rsidR="00631076" w:rsidRPr="00631076">
        <w:t xml:space="preserve">MIC90 (minimum Inhibitory concentration required to inhibit the growth of 90% of organisms) </w:t>
      </w:r>
      <w:r w:rsidRPr="00631076">
        <w:t>values (</w:t>
      </w:r>
      <w:r w:rsidRPr="00CE6F39">
        <w:t>≤</w:t>
      </w:r>
      <w:r w:rsidR="00631076" w:rsidRPr="00631076">
        <w:t xml:space="preserve"> </w:t>
      </w:r>
      <w:r w:rsidRPr="00631076">
        <w:t xml:space="preserve">4 </w:t>
      </w:r>
      <w:proofErr w:type="spellStart"/>
      <w:r w:rsidRPr="00631076">
        <w:t>μg</w:t>
      </w:r>
      <w:proofErr w:type="spellEnd"/>
      <w:r>
        <w:rPr>
          <w:rFonts w:asciiTheme="minorHAnsi" w:hAnsiTheme="minorHAnsi"/>
        </w:rPr>
        <w:t>/mL) for a wide variety of important gram</w:t>
      </w:r>
      <w:r w:rsidR="00631076">
        <w:rPr>
          <w:rFonts w:asciiTheme="minorHAnsi" w:hAnsiTheme="minorHAnsi"/>
        </w:rPr>
        <w:t xml:space="preserve"> </w:t>
      </w:r>
      <w:r>
        <w:rPr>
          <w:rFonts w:asciiTheme="minorHAnsi" w:hAnsiTheme="minorHAnsi"/>
        </w:rPr>
        <w:t>positive and negative pathogens relevant to HAP and CAP</w:t>
      </w:r>
      <w:r w:rsidR="00631076">
        <w:rPr>
          <w:rFonts w:asciiTheme="minorHAnsi" w:hAnsiTheme="minorHAnsi"/>
        </w:rPr>
        <w:t>, that is,</w:t>
      </w:r>
      <w:r>
        <w:rPr>
          <w:rFonts w:asciiTheme="minorHAnsi" w:hAnsiTheme="minorHAnsi"/>
        </w:rPr>
        <w:t xml:space="preserve"> </w:t>
      </w:r>
      <w:r w:rsidR="00631076" w:rsidRPr="00631076">
        <w:rPr>
          <w:rFonts w:asciiTheme="minorHAnsi" w:hAnsiTheme="minorHAnsi"/>
          <w:i/>
        </w:rPr>
        <w:t>S</w:t>
      </w:r>
      <w:r w:rsidRPr="00631076">
        <w:rPr>
          <w:rFonts w:asciiTheme="minorHAnsi" w:hAnsiTheme="minorHAnsi"/>
          <w:i/>
        </w:rPr>
        <w:t>taphylococci</w:t>
      </w:r>
      <w:r>
        <w:rPr>
          <w:rFonts w:asciiTheme="minorHAnsi" w:hAnsiTheme="minorHAnsi"/>
        </w:rPr>
        <w:t xml:space="preserve">, </w:t>
      </w:r>
      <w:r>
        <w:rPr>
          <w:rFonts w:asciiTheme="minorHAnsi" w:hAnsiTheme="minorHAnsi"/>
          <w:i/>
        </w:rPr>
        <w:t>S. pneumonia</w:t>
      </w:r>
      <w:r>
        <w:rPr>
          <w:rFonts w:asciiTheme="minorHAnsi" w:hAnsiTheme="minorHAnsi"/>
        </w:rPr>
        <w:t xml:space="preserve">, and </w:t>
      </w:r>
      <w:r>
        <w:rPr>
          <w:rFonts w:asciiTheme="minorHAnsi" w:hAnsiTheme="minorHAnsi"/>
          <w:i/>
        </w:rPr>
        <w:t>H. influenza</w:t>
      </w:r>
      <w:r>
        <w:rPr>
          <w:rFonts w:asciiTheme="minorHAnsi" w:hAnsiTheme="minorHAnsi"/>
        </w:rPr>
        <w:t>; MIC</w:t>
      </w:r>
      <w:r>
        <w:rPr>
          <w:rFonts w:asciiTheme="minorHAnsi" w:hAnsiTheme="minorHAnsi"/>
          <w:vertAlign w:val="subscript"/>
        </w:rPr>
        <w:t>50</w:t>
      </w:r>
      <w:r>
        <w:rPr>
          <w:rFonts w:asciiTheme="minorHAnsi" w:hAnsiTheme="minorHAnsi"/>
        </w:rPr>
        <w:t xml:space="preserve"> values ≤4 </w:t>
      </w:r>
      <w:proofErr w:type="spellStart"/>
      <w:r>
        <w:rPr>
          <w:rFonts w:asciiTheme="minorHAnsi" w:hAnsiTheme="minorHAnsi"/>
        </w:rPr>
        <w:t>μg</w:t>
      </w:r>
      <w:proofErr w:type="spellEnd"/>
      <w:r>
        <w:rPr>
          <w:rFonts w:asciiTheme="minorHAnsi" w:hAnsiTheme="minorHAnsi"/>
        </w:rPr>
        <w:t xml:space="preserve">/mL for </w:t>
      </w:r>
      <w:proofErr w:type="spellStart"/>
      <w:r w:rsidRPr="00631076">
        <w:rPr>
          <w:rFonts w:asciiTheme="minorHAnsi" w:hAnsiTheme="minorHAnsi"/>
          <w:i/>
        </w:rPr>
        <w:t>Enterobacteriaceae</w:t>
      </w:r>
      <w:proofErr w:type="spellEnd"/>
      <w:r>
        <w:rPr>
          <w:rFonts w:asciiTheme="minorHAnsi" w:hAnsiTheme="minorHAnsi"/>
        </w:rPr>
        <w:t xml:space="preserve"> and many surveillance </w:t>
      </w:r>
      <w:r>
        <w:rPr>
          <w:rFonts w:asciiTheme="minorHAnsi" w:hAnsiTheme="minorHAnsi"/>
          <w:i/>
        </w:rPr>
        <w:t>P. aeruginosa</w:t>
      </w:r>
      <w:r>
        <w:rPr>
          <w:rFonts w:asciiTheme="minorHAnsi" w:hAnsiTheme="minorHAnsi"/>
        </w:rPr>
        <w:t xml:space="preserve"> isolates. Its spectrum of activity against gram</w:t>
      </w:r>
      <w:r w:rsidR="00631076">
        <w:rPr>
          <w:rFonts w:asciiTheme="minorHAnsi" w:hAnsiTheme="minorHAnsi"/>
        </w:rPr>
        <w:t xml:space="preserve"> </w:t>
      </w:r>
      <w:r>
        <w:rPr>
          <w:rFonts w:asciiTheme="minorHAnsi" w:hAnsiTheme="minorHAnsi"/>
        </w:rPr>
        <w:t>negatives is similar to extended</w:t>
      </w:r>
      <w:r w:rsidR="00631076">
        <w:rPr>
          <w:rFonts w:asciiTheme="minorHAnsi" w:hAnsiTheme="minorHAnsi"/>
        </w:rPr>
        <w:t xml:space="preserve"> </w:t>
      </w:r>
      <w:r>
        <w:rPr>
          <w:rFonts w:asciiTheme="minorHAnsi" w:hAnsiTheme="minorHAnsi"/>
        </w:rPr>
        <w:t xml:space="preserve">spectrum </w:t>
      </w:r>
      <w:proofErr w:type="spellStart"/>
      <w:r>
        <w:rPr>
          <w:rFonts w:asciiTheme="minorHAnsi" w:hAnsiTheme="minorHAnsi"/>
        </w:rPr>
        <w:t>cephalosporins</w:t>
      </w:r>
      <w:proofErr w:type="spellEnd"/>
      <w:r>
        <w:rPr>
          <w:rFonts w:asciiTheme="minorHAnsi" w:hAnsiTheme="minorHAnsi"/>
        </w:rPr>
        <w:t xml:space="preserve">. In addition, </w:t>
      </w:r>
      <w:proofErr w:type="spellStart"/>
      <w:r>
        <w:rPr>
          <w:rFonts w:asciiTheme="minorHAnsi" w:hAnsiTheme="minorHAnsi"/>
        </w:rPr>
        <w:t>ceftobiprole</w:t>
      </w:r>
      <w:proofErr w:type="spellEnd"/>
      <w:r>
        <w:rPr>
          <w:rFonts w:asciiTheme="minorHAnsi" w:hAnsiTheme="minorHAnsi"/>
        </w:rPr>
        <w:t xml:space="preserve"> is active against MRSA and penicillin and ceftriaxone</w:t>
      </w:r>
      <w:r w:rsidR="00631076">
        <w:rPr>
          <w:rFonts w:asciiTheme="minorHAnsi" w:hAnsiTheme="minorHAnsi"/>
        </w:rPr>
        <w:t xml:space="preserve"> </w:t>
      </w:r>
      <w:r>
        <w:rPr>
          <w:rFonts w:asciiTheme="minorHAnsi" w:hAnsiTheme="minorHAnsi"/>
        </w:rPr>
        <w:t>resistant pneumococci. The MIC</w:t>
      </w:r>
      <w:r>
        <w:rPr>
          <w:rFonts w:asciiTheme="minorHAnsi" w:hAnsiTheme="minorHAnsi"/>
          <w:vertAlign w:val="subscript"/>
        </w:rPr>
        <w:t>90</w:t>
      </w:r>
      <w:r>
        <w:rPr>
          <w:rFonts w:asciiTheme="minorHAnsi" w:hAnsiTheme="minorHAnsi"/>
        </w:rPr>
        <w:t xml:space="preserve"> is ≤2 </w:t>
      </w:r>
      <w:proofErr w:type="spellStart"/>
      <w:r>
        <w:rPr>
          <w:rFonts w:asciiTheme="minorHAnsi" w:hAnsiTheme="minorHAnsi"/>
        </w:rPr>
        <w:t>μg</w:t>
      </w:r>
      <w:proofErr w:type="spellEnd"/>
      <w:r>
        <w:rPr>
          <w:rFonts w:asciiTheme="minorHAnsi" w:hAnsiTheme="minorHAnsi"/>
        </w:rPr>
        <w:t xml:space="preserve">/mL across many studies and surveillance programs conducted in different regions of the world. </w:t>
      </w:r>
      <w:proofErr w:type="spellStart"/>
      <w:r>
        <w:rPr>
          <w:rFonts w:asciiTheme="minorHAnsi" w:hAnsiTheme="minorHAnsi"/>
        </w:rPr>
        <w:t>Ceftobiprole</w:t>
      </w:r>
      <w:proofErr w:type="spellEnd"/>
      <w:r>
        <w:rPr>
          <w:rFonts w:asciiTheme="minorHAnsi" w:hAnsiTheme="minorHAnsi"/>
        </w:rPr>
        <w:t xml:space="preserve"> is also active against surveillance isolates of MRSA with VISA (vancomycin-intermediate </w:t>
      </w:r>
      <w:r w:rsidRPr="00631076">
        <w:rPr>
          <w:rFonts w:asciiTheme="minorHAnsi" w:hAnsiTheme="minorHAnsi"/>
          <w:i/>
        </w:rPr>
        <w:t>Staph</w:t>
      </w:r>
      <w:r w:rsidR="00631076">
        <w:rPr>
          <w:rFonts w:asciiTheme="minorHAnsi" w:hAnsiTheme="minorHAnsi"/>
          <w:i/>
        </w:rPr>
        <w:t>.</w:t>
      </w:r>
      <w:r w:rsidRPr="00631076">
        <w:rPr>
          <w:rFonts w:asciiTheme="minorHAnsi" w:hAnsiTheme="minorHAnsi"/>
          <w:i/>
        </w:rPr>
        <w:t xml:space="preserve"> aureus</w:t>
      </w:r>
      <w:r>
        <w:rPr>
          <w:rFonts w:asciiTheme="minorHAnsi" w:hAnsiTheme="minorHAnsi"/>
        </w:rPr>
        <w:t xml:space="preserve">) and linezolid-resistant phenotypes. </w:t>
      </w:r>
      <w:proofErr w:type="spellStart"/>
      <w:r>
        <w:rPr>
          <w:rFonts w:asciiTheme="minorHAnsi" w:hAnsiTheme="minorHAnsi"/>
        </w:rPr>
        <w:t>Ceftobiprole</w:t>
      </w:r>
      <w:proofErr w:type="spellEnd"/>
      <w:r>
        <w:rPr>
          <w:rFonts w:asciiTheme="minorHAnsi" w:hAnsiTheme="minorHAnsi"/>
        </w:rPr>
        <w:t xml:space="preserve"> has MIC values ≤4 </w:t>
      </w:r>
      <w:proofErr w:type="spellStart"/>
      <w:r>
        <w:rPr>
          <w:rFonts w:asciiTheme="minorHAnsi" w:hAnsiTheme="minorHAnsi"/>
        </w:rPr>
        <w:t>μg</w:t>
      </w:r>
      <w:proofErr w:type="spellEnd"/>
      <w:r>
        <w:rPr>
          <w:rFonts w:asciiTheme="minorHAnsi" w:hAnsiTheme="minorHAnsi"/>
        </w:rPr>
        <w:t>/mL against penicillin</w:t>
      </w:r>
      <w:r w:rsidR="00631076">
        <w:rPr>
          <w:rFonts w:asciiTheme="minorHAnsi" w:hAnsiTheme="minorHAnsi"/>
        </w:rPr>
        <w:t xml:space="preserve"> and ceftriaxone r</w:t>
      </w:r>
      <w:r>
        <w:rPr>
          <w:rFonts w:asciiTheme="minorHAnsi" w:hAnsiTheme="minorHAnsi"/>
        </w:rPr>
        <w:t xml:space="preserve">esistant </w:t>
      </w:r>
      <w:r w:rsidRPr="00631076">
        <w:rPr>
          <w:rFonts w:asciiTheme="minorHAnsi" w:hAnsiTheme="minorHAnsi"/>
          <w:i/>
        </w:rPr>
        <w:t>pneumococci</w:t>
      </w:r>
      <w:r>
        <w:rPr>
          <w:rFonts w:asciiTheme="minorHAnsi" w:hAnsiTheme="minorHAnsi"/>
        </w:rPr>
        <w:t xml:space="preserve">, and vancomycin-resistant/ampicillin-susceptible </w:t>
      </w:r>
      <w:r>
        <w:rPr>
          <w:rFonts w:asciiTheme="minorHAnsi" w:hAnsiTheme="minorHAnsi"/>
          <w:i/>
        </w:rPr>
        <w:t xml:space="preserve">E. </w:t>
      </w:r>
      <w:proofErr w:type="spellStart"/>
      <w:r>
        <w:rPr>
          <w:rFonts w:asciiTheme="minorHAnsi" w:hAnsiTheme="minorHAnsi"/>
          <w:i/>
        </w:rPr>
        <w:t>faecalis</w:t>
      </w:r>
      <w:proofErr w:type="spellEnd"/>
      <w:r>
        <w:rPr>
          <w:rFonts w:asciiTheme="minorHAnsi" w:hAnsiTheme="minorHAnsi"/>
        </w:rPr>
        <w:t>.</w:t>
      </w:r>
    </w:p>
    <w:p w:rsidR="003E6564" w:rsidRPr="00CE6F39" w:rsidRDefault="003E6564" w:rsidP="003E6564">
      <w:pPr>
        <w:autoSpaceDE w:val="0"/>
        <w:autoSpaceDN w:val="0"/>
      </w:pPr>
      <w:r>
        <w:rPr>
          <w:rFonts w:asciiTheme="minorHAnsi" w:hAnsiTheme="minorHAnsi"/>
          <w:bCs/>
          <w:iCs/>
        </w:rPr>
        <w:t xml:space="preserve">Effect on the intestinal microflora </w:t>
      </w:r>
      <w:r w:rsidR="00631076">
        <w:rPr>
          <w:rFonts w:asciiTheme="minorHAnsi" w:hAnsiTheme="minorHAnsi"/>
          <w:bCs/>
          <w:iCs/>
        </w:rPr>
        <w:t>is discussed in the</w:t>
      </w:r>
      <w:r>
        <w:rPr>
          <w:rFonts w:asciiTheme="minorHAnsi" w:hAnsiTheme="minorHAnsi"/>
          <w:bCs/>
          <w:iCs/>
        </w:rPr>
        <w:t xml:space="preserve"> CER</w:t>
      </w:r>
      <w:r w:rsidR="00631076">
        <w:rPr>
          <w:rFonts w:asciiTheme="minorHAnsi" w:hAnsiTheme="minorHAnsi"/>
          <w:bCs/>
          <w:iCs/>
        </w:rPr>
        <w:t xml:space="preserve"> (Attachment 2)</w:t>
      </w:r>
      <w:r>
        <w:rPr>
          <w:rFonts w:asciiTheme="minorHAnsi" w:hAnsiTheme="minorHAnsi"/>
          <w:b/>
          <w:bCs/>
          <w:i/>
          <w:iCs/>
        </w:rPr>
        <w:t xml:space="preserve">. </w:t>
      </w:r>
      <w:r>
        <w:rPr>
          <w:rFonts w:asciiTheme="minorHAnsi" w:hAnsiTheme="minorHAnsi" w:cs="TimesNewRoman,Italic"/>
          <w:iCs/>
        </w:rPr>
        <w:t xml:space="preserve">The secondary impact on faecal flora and selection for organisms such as </w:t>
      </w:r>
      <w:proofErr w:type="spellStart"/>
      <w:r>
        <w:rPr>
          <w:rFonts w:asciiTheme="minorHAnsi" w:hAnsiTheme="minorHAnsi" w:cs="TimesNewRoman,Italic"/>
          <w:i/>
          <w:iCs/>
        </w:rPr>
        <w:t>C.difficile</w:t>
      </w:r>
      <w:proofErr w:type="spellEnd"/>
      <w:r>
        <w:rPr>
          <w:rFonts w:asciiTheme="minorHAnsi" w:hAnsiTheme="minorHAnsi" w:cs="TimesNewRoman,Italic"/>
          <w:iCs/>
        </w:rPr>
        <w:t>, have been studied but only in the short term and faecal samples were not collected routinely in the pneumonia studies.</w:t>
      </w:r>
      <w:r>
        <w:rPr>
          <w:rFonts w:asciiTheme="minorHAnsi" w:hAnsiTheme="minorHAnsi"/>
        </w:rPr>
        <w:t xml:space="preserve"> The changes in aerobic intestinal microflora and a</w:t>
      </w:r>
      <w:r>
        <w:rPr>
          <w:rFonts w:asciiTheme="minorHAnsi" w:hAnsiTheme="minorHAnsi"/>
          <w:bCs/>
        </w:rPr>
        <w:t>naerobic intestinal microflora</w:t>
      </w:r>
      <w:r>
        <w:rPr>
          <w:rFonts w:asciiTheme="minorHAnsi" w:hAnsiTheme="minorHAnsi"/>
        </w:rPr>
        <w:t xml:space="preserve"> were within normal variation. No new colonising aerobic </w:t>
      </w:r>
      <w:r w:rsidR="00631076">
        <w:rPr>
          <w:rFonts w:asciiTheme="minorHAnsi" w:hAnsiTheme="minorHAnsi"/>
        </w:rPr>
        <w:t>and</w:t>
      </w:r>
      <w:r>
        <w:rPr>
          <w:rFonts w:asciiTheme="minorHAnsi" w:hAnsiTheme="minorHAnsi"/>
        </w:rPr>
        <w:t xml:space="preserve"> anaerobic bacteria resistant to </w:t>
      </w:r>
      <w:proofErr w:type="spellStart"/>
      <w:r>
        <w:rPr>
          <w:rFonts w:asciiTheme="minorHAnsi" w:hAnsiTheme="minorHAnsi"/>
        </w:rPr>
        <w:t>ceftobiprole</w:t>
      </w:r>
      <w:proofErr w:type="spellEnd"/>
      <w:r>
        <w:rPr>
          <w:rFonts w:asciiTheme="minorHAnsi" w:hAnsiTheme="minorHAnsi"/>
        </w:rPr>
        <w:t xml:space="preserve"> (MIC &gt;4 </w:t>
      </w:r>
      <w:proofErr w:type="spellStart"/>
      <w:r>
        <w:rPr>
          <w:rFonts w:asciiTheme="minorHAnsi" w:hAnsiTheme="minorHAnsi"/>
        </w:rPr>
        <w:t>μg</w:t>
      </w:r>
      <w:proofErr w:type="spellEnd"/>
      <w:r>
        <w:rPr>
          <w:rFonts w:asciiTheme="minorHAnsi" w:hAnsiTheme="minorHAnsi"/>
        </w:rPr>
        <w:t xml:space="preserve">/mL) </w:t>
      </w:r>
      <w:r w:rsidRPr="00CE6F39">
        <w:t>found.</w:t>
      </w:r>
    </w:p>
    <w:p w:rsidR="003E6564" w:rsidRDefault="003E6564" w:rsidP="003E6564">
      <w:pPr>
        <w:autoSpaceDE w:val="0"/>
        <w:autoSpaceDN w:val="0"/>
        <w:rPr>
          <w:rFonts w:asciiTheme="minorHAnsi" w:hAnsiTheme="minorHAnsi"/>
          <w:color w:val="000000" w:themeColor="text1"/>
        </w:rPr>
      </w:pPr>
      <w:r>
        <w:rPr>
          <w:rFonts w:asciiTheme="minorHAnsi" w:hAnsiTheme="minorHAnsi" w:cs="Times New Roman Bold,Bold"/>
          <w:bCs/>
        </w:rPr>
        <w:lastRenderedPageBreak/>
        <w:t xml:space="preserve">Effect on ECG </w:t>
      </w:r>
      <w:r w:rsidR="00631076">
        <w:rPr>
          <w:rFonts w:asciiTheme="minorHAnsi" w:hAnsiTheme="minorHAnsi" w:cs="Times New Roman Bold,Bold"/>
          <w:bCs/>
        </w:rPr>
        <w:t>is</w:t>
      </w:r>
      <w:r>
        <w:rPr>
          <w:rFonts w:asciiTheme="minorHAnsi" w:hAnsiTheme="minorHAnsi" w:cs="Times New Roman Bold,Bold"/>
          <w:bCs/>
        </w:rPr>
        <w:t xml:space="preserve"> discussed </w:t>
      </w:r>
      <w:r w:rsidR="00631076">
        <w:rPr>
          <w:rFonts w:asciiTheme="minorHAnsi" w:hAnsiTheme="minorHAnsi" w:cs="Times New Roman Bold,Bold"/>
          <w:bCs/>
        </w:rPr>
        <w:t>in</w:t>
      </w:r>
      <w:r>
        <w:rPr>
          <w:rFonts w:asciiTheme="minorHAnsi" w:hAnsiTheme="minorHAnsi" w:cs="Times New Roman Bold,Bold"/>
          <w:bCs/>
        </w:rPr>
        <w:t xml:space="preserve"> the CER</w:t>
      </w:r>
      <w:r w:rsidR="00631076">
        <w:rPr>
          <w:rFonts w:asciiTheme="minorHAnsi" w:hAnsiTheme="minorHAnsi" w:cs="Times New Roman Bold,Bold"/>
          <w:bCs/>
        </w:rPr>
        <w:t xml:space="preserve"> (Attachment 2)</w:t>
      </w:r>
      <w:r>
        <w:rPr>
          <w:rFonts w:asciiTheme="minorHAnsi" w:hAnsiTheme="minorHAnsi" w:cs="Times New Roman Bold,Bold"/>
          <w:bCs/>
        </w:rPr>
        <w:t xml:space="preserve">. The </w:t>
      </w:r>
      <w:r>
        <w:rPr>
          <w:rFonts w:asciiTheme="minorHAnsi" w:hAnsiTheme="minorHAnsi"/>
        </w:rPr>
        <w:t>QT/</w:t>
      </w:r>
      <w:proofErr w:type="spellStart"/>
      <w:r>
        <w:rPr>
          <w:rFonts w:asciiTheme="minorHAnsi" w:hAnsiTheme="minorHAnsi"/>
        </w:rPr>
        <w:t>QTc</w:t>
      </w:r>
      <w:proofErr w:type="spellEnd"/>
      <w:r>
        <w:rPr>
          <w:rFonts w:asciiTheme="minorHAnsi" w:hAnsiTheme="minorHAnsi"/>
        </w:rPr>
        <w:t xml:space="preserve"> prolongation</w:t>
      </w:r>
      <w:r w:rsidR="00631076">
        <w:rPr>
          <w:rStyle w:val="FootnoteReference"/>
          <w:rFonts w:asciiTheme="minorHAnsi" w:hAnsiTheme="minorHAnsi"/>
        </w:rPr>
        <w:footnoteReference w:id="39"/>
      </w:r>
      <w:r>
        <w:rPr>
          <w:rFonts w:asciiTheme="minorHAnsi" w:hAnsiTheme="minorHAnsi"/>
        </w:rPr>
        <w:t xml:space="preserve"> effect of single IV </w:t>
      </w:r>
      <w:proofErr w:type="spellStart"/>
      <w:r>
        <w:rPr>
          <w:rFonts w:asciiTheme="minorHAnsi" w:hAnsiTheme="minorHAnsi"/>
        </w:rPr>
        <w:t>ceftobiprole</w:t>
      </w:r>
      <w:proofErr w:type="spellEnd"/>
      <w:r>
        <w:rPr>
          <w:rFonts w:asciiTheme="minorHAnsi" w:hAnsiTheme="minorHAnsi"/>
        </w:rPr>
        <w:t xml:space="preserve"> at therapeutic and supra-therapeutic doses was no worse than that of placebo.</w:t>
      </w:r>
      <w:r>
        <w:rPr>
          <w:rFonts w:asciiTheme="minorHAnsi" w:hAnsiTheme="minorHAnsi"/>
          <w:color w:val="000000" w:themeColor="text1"/>
        </w:rPr>
        <w:t xml:space="preserve"> </w:t>
      </w:r>
      <w:r>
        <w:rPr>
          <w:rFonts w:asciiTheme="minorHAnsi" w:hAnsiTheme="minorHAnsi"/>
        </w:rPr>
        <w:t>No AEs reported suggestive of pro-arrhythmic potential.</w:t>
      </w:r>
    </w:p>
    <w:p w:rsidR="003E6564" w:rsidRDefault="003E6564" w:rsidP="00CE6F39">
      <w:pPr>
        <w:pStyle w:val="Heading4"/>
      </w:pPr>
      <w:r>
        <w:t xml:space="preserve">Clinical </w:t>
      </w:r>
      <w:r w:rsidR="00CE6F39" w:rsidRPr="00CE6F39">
        <w:t>e</w:t>
      </w:r>
      <w:r w:rsidRPr="00CE6F39">
        <w:t>fficacy</w:t>
      </w:r>
    </w:p>
    <w:p w:rsidR="003E6564" w:rsidRDefault="003E6564" w:rsidP="00CE6F39">
      <w:r>
        <w:t xml:space="preserve">No dose-finding studies were conducted and the dosing selection was based on animal models. Animal models demonstrate T&gt;MIC is the PK/PD driver for </w:t>
      </w:r>
      <w:proofErr w:type="spellStart"/>
      <w:r>
        <w:t>ceftobiprole</w:t>
      </w:r>
      <w:proofErr w:type="spellEnd"/>
      <w:r>
        <w:t xml:space="preserve"> efficacy. For coverage including gram-negative pathogens the magnitude of %</w:t>
      </w:r>
      <w:proofErr w:type="spellStart"/>
      <w:r>
        <w:rPr>
          <w:i/>
          <w:iCs/>
        </w:rPr>
        <w:t>f</w:t>
      </w:r>
      <w:r>
        <w:t>T</w:t>
      </w:r>
      <w:proofErr w:type="spellEnd"/>
      <w:r>
        <w:t xml:space="preserve"> &gt;MIC should be ≥50%.</w:t>
      </w:r>
      <w:r>
        <w:rPr>
          <w:rFonts w:cs="Times New Roman Bold,Bold"/>
          <w:b/>
          <w:bCs/>
        </w:rPr>
        <w:t xml:space="preserve"> </w:t>
      </w:r>
      <w:r>
        <w:t>Using population PK approaches, projected and estimated probability of target attainment (PTA) demonstrate the adequacy of the 2</w:t>
      </w:r>
      <w:r w:rsidR="00B41453">
        <w:t xml:space="preserve"> </w:t>
      </w:r>
      <w:r>
        <w:t>h infusion of 50</w:t>
      </w:r>
      <w:r w:rsidR="00631076">
        <w:t>0 mg</w:t>
      </w:r>
      <w:r>
        <w:t xml:space="preserve"> </w:t>
      </w:r>
      <w:proofErr w:type="spellStart"/>
      <w:r w:rsidR="00B41453">
        <w:t>tds</w:t>
      </w:r>
      <w:proofErr w:type="spellEnd"/>
      <w:r>
        <w:t xml:space="preserve"> dosing for broad spectrum coverage in HAP</w:t>
      </w:r>
      <w:r>
        <w:rPr>
          <w:color w:val="000000"/>
        </w:rPr>
        <w:t xml:space="preserve">. The retrospective analysis showed that the </w:t>
      </w:r>
      <w:r>
        <w:t>observed PK/PD targets and parameters from these models were predictive of microbiological and clinical response in Study BAP248/307.</w:t>
      </w:r>
    </w:p>
    <w:p w:rsidR="003E6564" w:rsidRDefault="003E6564" w:rsidP="00B41453">
      <w:pPr>
        <w:pStyle w:val="Heading5"/>
      </w:pPr>
      <w:bookmarkStart w:id="150" w:name="_Toc290846275"/>
      <w:bookmarkStart w:id="151" w:name="_Toc272414653"/>
      <w:bookmarkStart w:id="152" w:name="_Ref271040932"/>
      <w:bookmarkStart w:id="153" w:name="_Ref271040927"/>
      <w:bookmarkStart w:id="154" w:name="_Ref243301615"/>
      <w:bookmarkStart w:id="155" w:name="_Toc408385421"/>
      <w:r>
        <w:t xml:space="preserve">Study BAP248/307 </w:t>
      </w:r>
      <w:bookmarkStart w:id="156" w:name="_Toc408385419"/>
      <w:bookmarkEnd w:id="150"/>
      <w:bookmarkEnd w:id="151"/>
      <w:bookmarkEnd w:id="152"/>
      <w:bookmarkEnd w:id="153"/>
      <w:bookmarkEnd w:id="154"/>
      <w:r>
        <w:t>Hospital-acquired pneumonia</w:t>
      </w:r>
      <w:bookmarkEnd w:id="156"/>
      <w:r>
        <w:t xml:space="preserve"> (HAP)</w:t>
      </w:r>
    </w:p>
    <w:bookmarkEnd w:id="155"/>
    <w:p w:rsidR="006A3326" w:rsidRDefault="003E6564" w:rsidP="003E6564">
      <w:pPr>
        <w:rPr>
          <w:rFonts w:asciiTheme="minorHAnsi" w:hAnsiTheme="minorHAnsi" w:cs="TimesNewRoman"/>
        </w:rPr>
      </w:pPr>
      <w:r>
        <w:rPr>
          <w:rFonts w:asciiTheme="minorHAnsi" w:hAnsiTheme="minorHAnsi" w:cs="TimesNewRoman,Bold"/>
          <w:bCs/>
        </w:rPr>
        <w:t xml:space="preserve">This is a randomised, double-blind, multicentre, </w:t>
      </w:r>
      <w:r>
        <w:rPr>
          <w:rFonts w:asciiTheme="minorHAnsi" w:hAnsiTheme="minorHAnsi" w:cs="Arial"/>
        </w:rPr>
        <w:t xml:space="preserve">non-inferiority </w:t>
      </w:r>
      <w:r>
        <w:rPr>
          <w:rFonts w:asciiTheme="minorHAnsi" w:hAnsiTheme="minorHAnsi" w:cs="TimesNewRoman,Bold"/>
          <w:bCs/>
        </w:rPr>
        <w:t xml:space="preserve">study,  and the primary objective was to </w:t>
      </w:r>
      <w:r>
        <w:rPr>
          <w:rFonts w:asciiTheme="minorHAnsi" w:hAnsiTheme="minorHAnsi" w:cs="TimesNewRoman"/>
        </w:rPr>
        <w:t xml:space="preserve">demonstrate non-inferiority of </w:t>
      </w:r>
      <w:proofErr w:type="spellStart"/>
      <w:r>
        <w:rPr>
          <w:rFonts w:asciiTheme="minorHAnsi" w:hAnsiTheme="minorHAnsi" w:cs="TimesNewRoman"/>
        </w:rPr>
        <w:t>ceftobiprole</w:t>
      </w:r>
      <w:proofErr w:type="spellEnd"/>
      <w:r>
        <w:rPr>
          <w:rFonts w:asciiTheme="minorHAnsi" w:hAnsiTheme="minorHAnsi" w:cs="TimesNewRoman"/>
        </w:rPr>
        <w:t xml:space="preserve"> v</w:t>
      </w:r>
      <w:r w:rsidR="00B41453">
        <w:rPr>
          <w:rFonts w:asciiTheme="minorHAnsi" w:hAnsiTheme="minorHAnsi" w:cs="TimesNewRoman"/>
        </w:rPr>
        <w:t>ersus</w:t>
      </w:r>
      <w:r>
        <w:rPr>
          <w:rFonts w:asciiTheme="minorHAnsi" w:hAnsiTheme="minorHAnsi" w:cs="TimesNewRoman"/>
        </w:rPr>
        <w:t xml:space="preserve"> </w:t>
      </w:r>
      <w:proofErr w:type="spellStart"/>
      <w:r>
        <w:rPr>
          <w:rFonts w:asciiTheme="minorHAnsi" w:hAnsiTheme="minorHAnsi" w:cs="TimesNewRoman"/>
        </w:rPr>
        <w:t>linezolid+ceftazidime</w:t>
      </w:r>
      <w:proofErr w:type="spellEnd"/>
      <w:r>
        <w:rPr>
          <w:rFonts w:asciiTheme="minorHAnsi" w:hAnsiTheme="minorHAnsi" w:cs="TimesNewRoman"/>
        </w:rPr>
        <w:t xml:space="preserve"> with respect to the clinical cure rate at the Test of</w:t>
      </w:r>
      <w:r>
        <w:rPr>
          <w:rFonts w:asciiTheme="minorHAnsi" w:hAnsiTheme="minorHAnsi" w:cs="TimesNewRoman,Bold"/>
          <w:bCs/>
        </w:rPr>
        <w:t xml:space="preserve"> </w:t>
      </w:r>
      <w:r>
        <w:rPr>
          <w:rFonts w:asciiTheme="minorHAnsi" w:hAnsiTheme="minorHAnsi" w:cs="TimesNewRoman"/>
        </w:rPr>
        <w:t xml:space="preserve">Cure (TOC) visit in subjects with </w:t>
      </w:r>
      <w:r>
        <w:rPr>
          <w:rFonts w:asciiTheme="minorHAnsi" w:hAnsiTheme="minorHAnsi"/>
        </w:rPr>
        <w:t>Hospital-acquired pneumonia (HAP)</w:t>
      </w:r>
      <w:r>
        <w:rPr>
          <w:rFonts w:asciiTheme="minorHAnsi" w:hAnsiTheme="minorHAnsi" w:cs="TimesNewRoman"/>
        </w:rPr>
        <w:t xml:space="preserve">, including </w:t>
      </w:r>
      <w:r>
        <w:rPr>
          <w:rFonts w:asciiTheme="minorHAnsi" w:hAnsiTheme="minorHAnsi"/>
        </w:rPr>
        <w:t>ventilator-associated pneumonia (VAP)</w:t>
      </w:r>
      <w:r w:rsidR="006A3326">
        <w:rPr>
          <w:rFonts w:asciiTheme="minorHAnsi" w:hAnsiTheme="minorHAnsi" w:cs="TimesNewRoman"/>
        </w:rPr>
        <w:t>.</w:t>
      </w:r>
    </w:p>
    <w:p w:rsidR="003E6564" w:rsidRDefault="003E6564" w:rsidP="00CE6F39">
      <w:pPr>
        <w:rPr>
          <w:rFonts w:cs="TimesNewRoman,Bold"/>
          <w:bCs/>
        </w:rPr>
      </w:pPr>
      <w:r>
        <w:t>Study population were</w:t>
      </w:r>
      <w:r>
        <w:rPr>
          <w:b/>
        </w:rPr>
        <w:t xml:space="preserve"> </w:t>
      </w:r>
      <w:r>
        <w:t>adults hospitalised with HAP (including VAP).</w:t>
      </w:r>
      <w:r>
        <w:rPr>
          <w:b/>
        </w:rPr>
        <w:t xml:space="preserve"> </w:t>
      </w:r>
      <w:r>
        <w:t>The inclusion criteria are detailed in the CER</w:t>
      </w:r>
      <w:r w:rsidR="00B41453">
        <w:t xml:space="preserve"> (Attachment 2)</w:t>
      </w:r>
      <w:r>
        <w:t>. The planned numbers of subjects were 770</w:t>
      </w:r>
      <w:r>
        <w:rPr>
          <w:rFonts w:cs="TimesNewRoman"/>
        </w:rPr>
        <w:t xml:space="preserve">. </w:t>
      </w:r>
      <w:r>
        <w:t xml:space="preserve">Study treatments were </w:t>
      </w:r>
      <w:proofErr w:type="spellStart"/>
      <w:r>
        <w:t>ceftobiprole</w:t>
      </w:r>
      <w:proofErr w:type="spellEnd"/>
      <w:r>
        <w:t xml:space="preserve"> </w:t>
      </w:r>
      <w:proofErr w:type="spellStart"/>
      <w:r>
        <w:t>medocaril</w:t>
      </w:r>
      <w:proofErr w:type="spellEnd"/>
      <w:r>
        <w:t xml:space="preserve"> (50</w:t>
      </w:r>
      <w:r w:rsidR="00631076">
        <w:t>0 mg</w:t>
      </w:r>
      <w:r>
        <w:t xml:space="preserve"> </w:t>
      </w:r>
      <w:proofErr w:type="spellStart"/>
      <w:r>
        <w:t>tds</w:t>
      </w:r>
      <w:proofErr w:type="spellEnd"/>
      <w:r>
        <w:t xml:space="preserve"> as a 2 h IV infusion), or linezolid (600 mg </w:t>
      </w:r>
      <w:r w:rsidR="00B41453">
        <w:t>twice a day (</w:t>
      </w:r>
      <w:proofErr w:type="spellStart"/>
      <w:r w:rsidR="00B41453">
        <w:t>bd</w:t>
      </w:r>
      <w:proofErr w:type="spellEnd"/>
      <w:r w:rsidR="00B41453">
        <w:t>) as a 1 h</w:t>
      </w:r>
      <w:r>
        <w:t xml:space="preserve"> IV infusion) + ceftazidime (2 g </w:t>
      </w:r>
      <w:proofErr w:type="spellStart"/>
      <w:r>
        <w:t>tds</w:t>
      </w:r>
      <w:proofErr w:type="spellEnd"/>
      <w:r>
        <w:t xml:space="preserve"> as a </w:t>
      </w:r>
      <w:r w:rsidR="00B41453">
        <w:t>2 h</w:t>
      </w:r>
      <w:r>
        <w:t xml:space="preserve"> IV infusion) for 7</w:t>
      </w:r>
      <w:r w:rsidR="00B41453">
        <w:t xml:space="preserve"> to </w:t>
      </w:r>
      <w:r>
        <w:t xml:space="preserve">14 days. </w:t>
      </w:r>
      <w:r>
        <w:rPr>
          <w:rFonts w:cs="Cambria"/>
        </w:rPr>
        <w:t xml:space="preserve">Subjects </w:t>
      </w:r>
      <w:r>
        <w:rPr>
          <w:rFonts w:cs="TimesNewRoman"/>
        </w:rPr>
        <w:t>were randomly assigned in a 1:1 ratio to either group.</w:t>
      </w:r>
      <w:r>
        <w:t xml:space="preserve"> </w:t>
      </w:r>
      <w:r>
        <w:rPr>
          <w:rFonts w:cs="TimesNewRoman"/>
        </w:rPr>
        <w:t>Combination therapy with protocol</w:t>
      </w:r>
      <w:r w:rsidR="00B41453">
        <w:rPr>
          <w:rFonts w:cs="TimesNewRoman"/>
        </w:rPr>
        <w:t xml:space="preserve"> </w:t>
      </w:r>
      <w:r>
        <w:rPr>
          <w:rFonts w:cs="TimesNewRoman"/>
        </w:rPr>
        <w:t xml:space="preserve">defined agents (levofloxacin, amikacin, or gentamicin) is permitted if there is a risk of </w:t>
      </w:r>
      <w:proofErr w:type="spellStart"/>
      <w:r>
        <w:rPr>
          <w:rFonts w:cs="TimesNewRoman"/>
        </w:rPr>
        <w:t>pseudomonal</w:t>
      </w:r>
      <w:proofErr w:type="spellEnd"/>
      <w:r>
        <w:rPr>
          <w:rFonts w:cs="TimesNewRoman"/>
        </w:rPr>
        <w:t xml:space="preserve"> infection.</w:t>
      </w:r>
    </w:p>
    <w:p w:rsidR="006A3326" w:rsidRDefault="003E6564" w:rsidP="003E6564">
      <w:pPr>
        <w:autoSpaceDE w:val="0"/>
        <w:autoSpaceDN w:val="0"/>
        <w:rPr>
          <w:rFonts w:asciiTheme="minorHAnsi" w:hAnsiTheme="minorHAnsi" w:cs="TimesNewRoman"/>
        </w:rPr>
      </w:pPr>
      <w:r>
        <w:rPr>
          <w:rFonts w:asciiTheme="minorHAnsi" w:hAnsiTheme="minorHAnsi" w:cs="TimesNewRoman,Bold"/>
          <w:bCs/>
        </w:rPr>
        <w:t>The</w:t>
      </w:r>
      <w:r>
        <w:rPr>
          <w:rFonts w:asciiTheme="minorHAnsi" w:hAnsiTheme="minorHAnsi"/>
        </w:rPr>
        <w:t xml:space="preserve"> primary efficacy outcome was</w:t>
      </w:r>
      <w:r>
        <w:rPr>
          <w:rFonts w:asciiTheme="minorHAnsi" w:hAnsiTheme="minorHAnsi" w:cs="TimesNewRoman"/>
        </w:rPr>
        <w:t xml:space="preserve"> clinical cure rate at the TOC visit, defined as the ratio of the numbers of subjects with clinical outcome of ‘Cure’ to the total numbers of subjects in the analysis set under consideration. The primary efficacy analysis (non-inferiority of </w:t>
      </w:r>
      <w:proofErr w:type="spellStart"/>
      <w:r>
        <w:rPr>
          <w:rFonts w:asciiTheme="minorHAnsi" w:hAnsiTheme="minorHAnsi" w:cs="TimesNewRoman"/>
        </w:rPr>
        <w:t>ceftobiprole</w:t>
      </w:r>
      <w:proofErr w:type="spellEnd"/>
      <w:r>
        <w:rPr>
          <w:rFonts w:asciiTheme="minorHAnsi" w:hAnsiTheme="minorHAnsi" w:cs="TimesNewRoman"/>
        </w:rPr>
        <w:t xml:space="preserve"> versus </w:t>
      </w:r>
      <w:proofErr w:type="spellStart"/>
      <w:r>
        <w:rPr>
          <w:rFonts w:asciiTheme="minorHAnsi" w:hAnsiTheme="minorHAnsi" w:cs="TimesNewRoman"/>
        </w:rPr>
        <w:t>linezolid+ceftazidime</w:t>
      </w:r>
      <w:proofErr w:type="spellEnd"/>
      <w:r>
        <w:rPr>
          <w:rFonts w:asciiTheme="minorHAnsi" w:hAnsiTheme="minorHAnsi" w:cs="TimesNewRoman"/>
        </w:rPr>
        <w:t>) was performed on the co-primary Clinically Evaluable and</w:t>
      </w:r>
      <w:r>
        <w:rPr>
          <w:rFonts w:asciiTheme="minorHAnsi" w:hAnsiTheme="minorHAnsi" w:cs="TimesNewRoman,Italic"/>
          <w:iCs/>
        </w:rPr>
        <w:t xml:space="preserve"> Intent-to-Treat (</w:t>
      </w:r>
      <w:r>
        <w:rPr>
          <w:rFonts w:asciiTheme="minorHAnsi" w:hAnsiTheme="minorHAnsi" w:cs="TimesNewRoman"/>
        </w:rPr>
        <w:t>ITT) analysis sets</w:t>
      </w:r>
      <w:r w:rsidR="006A3326">
        <w:rPr>
          <w:rFonts w:asciiTheme="minorHAnsi" w:hAnsiTheme="minorHAnsi" w:cs="TimesNewRoman"/>
        </w:rPr>
        <w:t>.</w:t>
      </w:r>
    </w:p>
    <w:p w:rsidR="003E6564" w:rsidRDefault="003E6564" w:rsidP="00CE6F39">
      <w:r>
        <w:rPr>
          <w:rFonts w:cs="TimesNewRoman,Bold"/>
          <w:bCs/>
        </w:rPr>
        <w:t>Secondary efficacy analyses (</w:t>
      </w:r>
      <w:r>
        <w:t xml:space="preserve">non-inferiority of </w:t>
      </w:r>
      <w:proofErr w:type="spellStart"/>
      <w:r>
        <w:t>ceftobiprole</w:t>
      </w:r>
      <w:proofErr w:type="spellEnd"/>
      <w:r>
        <w:t xml:space="preserve"> v</w:t>
      </w:r>
      <w:r w:rsidR="00B41453">
        <w:t>ersu</w:t>
      </w:r>
      <w:r>
        <w:t xml:space="preserve">s </w:t>
      </w:r>
      <w:proofErr w:type="spellStart"/>
      <w:r>
        <w:t>linezolid+ceftazidime</w:t>
      </w:r>
      <w:proofErr w:type="spellEnd"/>
      <w:r>
        <w:t>) with respect to the following outcomes were performed using a</w:t>
      </w:r>
      <w:r>
        <w:rPr>
          <w:rFonts w:cs="TimesNewRoman,Bold"/>
          <w:b/>
          <w:bCs/>
        </w:rPr>
        <w:t xml:space="preserve"> </w:t>
      </w:r>
      <w:r>
        <w:t>step-down pr</w:t>
      </w:r>
      <w:r w:rsidR="00CE6F39">
        <w:t>ocedure in the following order:</w:t>
      </w:r>
    </w:p>
    <w:p w:rsidR="003E6564" w:rsidRDefault="003E6564" w:rsidP="00CE6F39">
      <w:pPr>
        <w:pStyle w:val="Numberbullet0"/>
        <w:numPr>
          <w:ilvl w:val="0"/>
          <w:numId w:val="11"/>
        </w:numPr>
      </w:pPr>
      <w:r w:rsidRPr="00CE6F39">
        <w:t>Microbiological</w:t>
      </w:r>
      <w:r>
        <w:t xml:space="preserve"> eradication rate at the TOC visit, </w:t>
      </w:r>
    </w:p>
    <w:p w:rsidR="003E6564" w:rsidRDefault="003E6564" w:rsidP="00CE6F39">
      <w:pPr>
        <w:pStyle w:val="Numberbullet0"/>
        <w:numPr>
          <w:ilvl w:val="0"/>
          <w:numId w:val="11"/>
        </w:numPr>
      </w:pPr>
      <w:r>
        <w:t xml:space="preserve">Clinical cure rate at TOC in subjects with HAP caused by </w:t>
      </w:r>
      <w:r w:rsidRPr="00CE6F39">
        <w:rPr>
          <w:rFonts w:cs="TimesNewRoman,Italic"/>
          <w:i/>
          <w:iCs/>
        </w:rPr>
        <w:t xml:space="preserve">S. aureus </w:t>
      </w:r>
      <w:r w:rsidR="00CE6F39">
        <w:t>(including MRSA),</w:t>
      </w:r>
    </w:p>
    <w:p w:rsidR="003E6564" w:rsidRDefault="003E6564" w:rsidP="004135BA">
      <w:pPr>
        <w:pStyle w:val="Numberbullet0"/>
        <w:numPr>
          <w:ilvl w:val="0"/>
          <w:numId w:val="11"/>
        </w:numPr>
      </w:pPr>
      <w:r>
        <w:t xml:space="preserve">Clinical cure rate at the </w:t>
      </w:r>
      <w:r w:rsidR="00CE6F39">
        <w:t>TOC visit in subjects with VAP,</w:t>
      </w:r>
    </w:p>
    <w:p w:rsidR="003E6564" w:rsidRPr="00F25104" w:rsidRDefault="003E6564" w:rsidP="004135BA">
      <w:pPr>
        <w:pStyle w:val="Numberbullet0"/>
        <w:numPr>
          <w:ilvl w:val="0"/>
          <w:numId w:val="11"/>
        </w:numPr>
      </w:pPr>
      <w:r w:rsidRPr="00F25104">
        <w:t xml:space="preserve">Clinical relapse rate at the </w:t>
      </w:r>
      <w:r w:rsidR="00CE6F39">
        <w:t>LFU visit in subjects with HAP,</w:t>
      </w:r>
    </w:p>
    <w:p w:rsidR="003E6564" w:rsidRPr="00CE6F39" w:rsidRDefault="003E6564" w:rsidP="00CE6F39">
      <w:pPr>
        <w:pStyle w:val="Numberbullet0"/>
        <w:numPr>
          <w:ilvl w:val="0"/>
          <w:numId w:val="11"/>
        </w:numPr>
        <w:rPr>
          <w:rFonts w:cs="TimesNewRoman,Bold"/>
          <w:bCs/>
        </w:rPr>
      </w:pPr>
      <w:r w:rsidRPr="00F25104">
        <w:t>30</w:t>
      </w:r>
      <w:r w:rsidR="00B41453" w:rsidRPr="00F25104">
        <w:t xml:space="preserve"> </w:t>
      </w:r>
      <w:r w:rsidRPr="00F25104">
        <w:t xml:space="preserve">day pneumonia-specific </w:t>
      </w:r>
      <w:r w:rsidRPr="00CE6F39">
        <w:t>mortality</w:t>
      </w:r>
      <w:r w:rsidRPr="00F25104">
        <w:t xml:space="preserve"> rates in </w:t>
      </w:r>
      <w:r w:rsidRPr="00CE6F39">
        <w:t>subjects</w:t>
      </w:r>
      <w:r w:rsidRPr="00F25104">
        <w:t xml:space="preserve"> with HAP.</w:t>
      </w:r>
    </w:p>
    <w:p w:rsidR="006A3326" w:rsidRDefault="003E6564" w:rsidP="00CE6F39">
      <w:pPr>
        <w:rPr>
          <w:rFonts w:cs="TimesNewRoman"/>
        </w:rPr>
      </w:pPr>
      <w:r>
        <w:t xml:space="preserve">Analysis populations include </w:t>
      </w:r>
      <w:r>
        <w:rPr>
          <w:iCs/>
        </w:rPr>
        <w:t>ITT</w:t>
      </w:r>
      <w:r>
        <w:rPr>
          <w:rFonts w:cs="TimesNewRoman"/>
        </w:rPr>
        <w:t xml:space="preserve">, </w:t>
      </w:r>
      <w:r w:rsidR="00B41453">
        <w:rPr>
          <w:rFonts w:cs="TimesNewRoman"/>
        </w:rPr>
        <w:t>m</w:t>
      </w:r>
      <w:r>
        <w:t>icrobiological Intent-to-Treat</w:t>
      </w:r>
      <w:r>
        <w:rPr>
          <w:b/>
        </w:rPr>
        <w:t xml:space="preserve"> </w:t>
      </w:r>
      <w:r>
        <w:rPr>
          <w:iCs/>
        </w:rPr>
        <w:t>(</w:t>
      </w:r>
      <w:proofErr w:type="spellStart"/>
      <w:r>
        <w:rPr>
          <w:iCs/>
        </w:rPr>
        <w:t>mITT</w:t>
      </w:r>
      <w:proofErr w:type="spellEnd"/>
      <w:r>
        <w:rPr>
          <w:iCs/>
        </w:rPr>
        <w:t>), Clinically Evaluable</w:t>
      </w:r>
      <w:r>
        <w:t xml:space="preserve"> (CE) and </w:t>
      </w:r>
      <w:r>
        <w:rPr>
          <w:iCs/>
        </w:rPr>
        <w:t xml:space="preserve">Microbiologically Evaluable (ME) population. </w:t>
      </w:r>
      <w:r>
        <w:rPr>
          <w:rFonts w:cs="TimesNewRoman"/>
        </w:rPr>
        <w:t xml:space="preserve">A 15% non-inferiority </w:t>
      </w:r>
      <w:r>
        <w:rPr>
          <w:rFonts w:cs="TimesNewRoman"/>
        </w:rPr>
        <w:lastRenderedPageBreak/>
        <w:t xml:space="preserve">margin was prospectively defined, in accordance with the CHMP </w:t>
      </w:r>
      <w:r w:rsidR="00B41453">
        <w:rPr>
          <w:iCs/>
        </w:rPr>
        <w:t>Guideline</w:t>
      </w:r>
      <w:r>
        <w:rPr>
          <w:rFonts w:cs="TimesNewRoman"/>
        </w:rPr>
        <w:t>.</w:t>
      </w:r>
      <w:r w:rsidR="00B41453">
        <w:rPr>
          <w:rStyle w:val="FootnoteReference"/>
          <w:rFonts w:asciiTheme="minorHAnsi" w:hAnsiTheme="minorHAnsi" w:cs="TimesNewRoman"/>
        </w:rPr>
        <w:footnoteReference w:id="40"/>
      </w:r>
      <w:r>
        <w:rPr>
          <w:rFonts w:cs="TimesNewRoman"/>
        </w:rPr>
        <w:t xml:space="preserve"> The justification for the 15% non-inferiority margin was discussed in the CER</w:t>
      </w:r>
      <w:r w:rsidR="00B41453">
        <w:rPr>
          <w:rFonts w:cs="TimesNewRoman"/>
        </w:rPr>
        <w:t xml:space="preserve"> (Attachment 2)</w:t>
      </w:r>
      <w:r w:rsidR="006A3326">
        <w:rPr>
          <w:rFonts w:cs="TimesNewRoman"/>
        </w:rPr>
        <w:t>.</w:t>
      </w:r>
    </w:p>
    <w:p w:rsidR="006A3326" w:rsidRDefault="003E6564" w:rsidP="00EA42DE">
      <w:r>
        <w:t xml:space="preserve">A total of 781 </w:t>
      </w:r>
      <w:r>
        <w:rPr>
          <w:rFonts w:cs="Cambria"/>
        </w:rPr>
        <w:t xml:space="preserve">subjects </w:t>
      </w:r>
      <w:r>
        <w:t xml:space="preserve">were randomised. 251 (64%) in the </w:t>
      </w:r>
      <w:proofErr w:type="spellStart"/>
      <w:r>
        <w:t>ceftobiprole</w:t>
      </w:r>
      <w:proofErr w:type="spellEnd"/>
      <w:r>
        <w:t xml:space="preserve"> group and 244 (63%) in the linezolid/ceftazidime group were considered clinically evaluable for efficacy. A total of 571 subjects were enrolled with HAP (excluding VAP) with 287 in the </w:t>
      </w:r>
      <w:proofErr w:type="spellStart"/>
      <w:r>
        <w:t>ceftobiprole</w:t>
      </w:r>
      <w:proofErr w:type="spellEnd"/>
      <w:r>
        <w:t xml:space="preserve"> group and 284 in the comparator group. </w:t>
      </w:r>
      <w:r w:rsidR="00B41453">
        <w:t xml:space="preserve">Some </w:t>
      </w:r>
      <w:r>
        <w:t xml:space="preserve">210 subjects (27%) were enrolled with VAP; majority of subjects with VAP (77%) were mechanically ventilated for ≥5 days. </w:t>
      </w:r>
      <w:r w:rsidR="00B41453">
        <w:t xml:space="preserve">Some </w:t>
      </w:r>
      <w:r>
        <w:t xml:space="preserve">67% of all subjects were male; mean age 60.6 years. </w:t>
      </w:r>
      <w:r w:rsidR="00B41453">
        <w:t xml:space="preserve">Some </w:t>
      </w:r>
      <w:r>
        <w:t>69% had valid baseline pathogens</w:t>
      </w:r>
      <w:r w:rsidR="00B41453">
        <w:t>,</w:t>
      </w:r>
      <w:r>
        <w:t xml:space="preserve"> of these, 36% were gram-positive, 48% gram-negative, 24% with </w:t>
      </w:r>
      <w:proofErr w:type="spellStart"/>
      <w:r>
        <w:t>polymicrobial</w:t>
      </w:r>
      <w:proofErr w:type="spellEnd"/>
      <w:r>
        <w:t xml:space="preserve"> infection. There was a baseline imbalance with respect to gender between the 2 arms (the % of males in the </w:t>
      </w:r>
      <w:proofErr w:type="spellStart"/>
      <w:r>
        <w:t>ceftobiprole</w:t>
      </w:r>
      <w:proofErr w:type="spellEnd"/>
      <w:r>
        <w:t xml:space="preserve"> and linezolid/ceftazidime group were 71% v</w:t>
      </w:r>
      <w:r w:rsidR="00B41453">
        <w:t>ersu</w:t>
      </w:r>
      <w:r>
        <w:t>s 62%). All other demographic and baseline characteristics were similar for subjects in the ITT set</w:t>
      </w:r>
      <w:r w:rsidR="006A3326">
        <w:t>.</w:t>
      </w:r>
    </w:p>
    <w:p w:rsidR="006A3326" w:rsidRDefault="003E6564" w:rsidP="00EA42DE">
      <w:r>
        <w:t>As expected, patient characteristics were different between VAP subjects and HAP (excluding VAP) subjects. Subjects in the VAP group were about 10 years younger, and with a higher proportion of males, subjects with thoracic trauma, APACHE II scores ≥15, CRP levels &gt;100 mg/L, albumin levels ≤25 g/L</w:t>
      </w:r>
      <w:r w:rsidR="00B41453">
        <w:t xml:space="preserve"> and</w:t>
      </w:r>
      <w:r>
        <w:t xml:space="preserve"> supra-normal creatinine-clearance (≥150 mL/min). More VAP subjects had gram-negative or </w:t>
      </w:r>
      <w:proofErr w:type="spellStart"/>
      <w:r>
        <w:t>polymicrobial</w:t>
      </w:r>
      <w:proofErr w:type="spellEnd"/>
      <w:r>
        <w:t xml:space="preserve"> infections, infections with </w:t>
      </w:r>
      <w:r>
        <w:rPr>
          <w:rFonts w:cs="TimesNewRoman,Italic"/>
          <w:i/>
          <w:iCs/>
        </w:rPr>
        <w:t>MSSA</w:t>
      </w:r>
      <w:r>
        <w:t xml:space="preserve">, </w:t>
      </w:r>
      <w:r>
        <w:rPr>
          <w:rFonts w:cs="TimesNewRoman,Italic"/>
          <w:i/>
          <w:iCs/>
        </w:rPr>
        <w:t xml:space="preserve">P. aeruginosa </w:t>
      </w:r>
      <w:r>
        <w:t xml:space="preserve">or </w:t>
      </w:r>
      <w:r>
        <w:rPr>
          <w:rFonts w:cs="TimesNewRoman,Italic"/>
          <w:i/>
          <w:iCs/>
        </w:rPr>
        <w:t>Acinetobacter species</w:t>
      </w:r>
      <w:r>
        <w:t xml:space="preserve"> and more VAP subjects received antipseudomonal treatment. Compared to VAP subjects, HAP (excluding VAP) subjects had a higher baseline prevalence of systemic inflammatory response syndrome (SIRS) and of medical co</w:t>
      </w:r>
      <w:r w:rsidR="00B41453">
        <w:t>-</w:t>
      </w:r>
      <w:r>
        <w:t>morbidities and renal impairment (</w:t>
      </w:r>
      <w:proofErr w:type="spellStart"/>
      <w:r>
        <w:t>CrCl</w:t>
      </w:r>
      <w:proofErr w:type="spellEnd"/>
      <w:r>
        <w:t xml:space="preserve"> &lt;50 mL/min) and more frequent chronic care utilisation</w:t>
      </w:r>
      <w:r w:rsidR="006A3326">
        <w:t>.</w:t>
      </w:r>
    </w:p>
    <w:p w:rsidR="003E6564" w:rsidRDefault="003E6564" w:rsidP="003E6564">
      <w:pPr>
        <w:autoSpaceDE w:val="0"/>
        <w:autoSpaceDN w:val="0"/>
        <w:rPr>
          <w:rFonts w:asciiTheme="minorHAnsi" w:hAnsiTheme="minorHAnsi" w:cs="TimesNewRoman"/>
        </w:rPr>
      </w:pPr>
      <w:r>
        <w:rPr>
          <w:rFonts w:asciiTheme="minorHAnsi" w:hAnsiTheme="minorHAnsi" w:cs="TimesNewRoman"/>
        </w:rPr>
        <w:t xml:space="preserve">Within the VAP subgroup, mean age was lower in the </w:t>
      </w:r>
      <w:proofErr w:type="spellStart"/>
      <w:r>
        <w:rPr>
          <w:rFonts w:asciiTheme="minorHAnsi" w:hAnsiTheme="minorHAnsi" w:cs="TimesNewRoman"/>
        </w:rPr>
        <w:t>ceftobiprole</w:t>
      </w:r>
      <w:proofErr w:type="spellEnd"/>
      <w:r>
        <w:rPr>
          <w:rFonts w:asciiTheme="minorHAnsi" w:hAnsiTheme="minorHAnsi" w:cs="TimesNewRoman"/>
        </w:rPr>
        <w:t xml:space="preserve"> group (51.7 years </w:t>
      </w:r>
      <w:r w:rsidR="00B41453">
        <w:rPr>
          <w:rFonts w:asciiTheme="minorHAnsi" w:hAnsiTheme="minorHAnsi" w:cs="TimesNewRoman"/>
        </w:rPr>
        <w:t>versus</w:t>
      </w:r>
      <w:r>
        <w:rPr>
          <w:rFonts w:asciiTheme="minorHAnsi" w:hAnsiTheme="minorHAnsi" w:cs="TimesNewRoman"/>
        </w:rPr>
        <w:t xml:space="preserve"> 55.3 years), and the proportion of younger VAP subjects (aged &lt;45 years) was 38% in the </w:t>
      </w:r>
      <w:proofErr w:type="spellStart"/>
      <w:r>
        <w:rPr>
          <w:rFonts w:asciiTheme="minorHAnsi" w:hAnsiTheme="minorHAnsi" w:cs="TimesNewRoman"/>
        </w:rPr>
        <w:t>ceftobiprole</w:t>
      </w:r>
      <w:proofErr w:type="spellEnd"/>
      <w:r>
        <w:rPr>
          <w:rFonts w:asciiTheme="minorHAnsi" w:hAnsiTheme="minorHAnsi" w:cs="TimesNewRoman"/>
        </w:rPr>
        <w:t xml:space="preserve"> arm and 29% in the comparator arm. Further differences (&gt;5%) were apparent in the VAP subgroup</w:t>
      </w:r>
      <w:r w:rsidR="00F25104">
        <w:rPr>
          <w:rFonts w:asciiTheme="minorHAnsi" w:hAnsiTheme="minorHAnsi" w:cs="TimesNewRoman"/>
        </w:rPr>
        <w:t>;</w:t>
      </w:r>
      <w:r>
        <w:rPr>
          <w:rFonts w:asciiTheme="minorHAnsi" w:hAnsiTheme="minorHAnsi" w:cs="TimesNewRoman"/>
        </w:rPr>
        <w:t xml:space="preserve"> baseline prevalence of SIRS, CRP &gt;100 mg/L, albumin ≤25 g/L, APACHE II score ≥15, use of anti-</w:t>
      </w:r>
      <w:proofErr w:type="spellStart"/>
      <w:r>
        <w:rPr>
          <w:rFonts w:asciiTheme="minorHAnsi" w:hAnsiTheme="minorHAnsi" w:cs="TimesNewRoman"/>
        </w:rPr>
        <w:t>pseudomonal</w:t>
      </w:r>
      <w:proofErr w:type="spellEnd"/>
      <w:r>
        <w:rPr>
          <w:rFonts w:asciiTheme="minorHAnsi" w:hAnsiTheme="minorHAnsi" w:cs="TimesNewRoman"/>
        </w:rPr>
        <w:t xml:space="preserve"> antibiotics, valid gram</w:t>
      </w:r>
      <w:r w:rsidR="00B41453">
        <w:rPr>
          <w:rFonts w:asciiTheme="minorHAnsi" w:hAnsiTheme="minorHAnsi" w:cs="TimesNewRoman"/>
        </w:rPr>
        <w:t xml:space="preserve"> </w:t>
      </w:r>
      <w:r>
        <w:rPr>
          <w:rFonts w:asciiTheme="minorHAnsi" w:hAnsiTheme="minorHAnsi" w:cs="TimesNewRoman"/>
        </w:rPr>
        <w:t xml:space="preserve">negative pathogens and </w:t>
      </w:r>
      <w:proofErr w:type="spellStart"/>
      <w:r>
        <w:rPr>
          <w:rFonts w:asciiTheme="minorHAnsi" w:hAnsiTheme="minorHAnsi" w:cs="TimesNewRoman"/>
        </w:rPr>
        <w:t>polymicrobial</w:t>
      </w:r>
      <w:proofErr w:type="spellEnd"/>
      <w:r>
        <w:rPr>
          <w:rFonts w:asciiTheme="minorHAnsi" w:hAnsiTheme="minorHAnsi" w:cs="TimesNewRoman"/>
        </w:rPr>
        <w:t xml:space="preserve"> infections</w:t>
      </w:r>
      <w:r w:rsidR="00F25104">
        <w:rPr>
          <w:rFonts w:asciiTheme="minorHAnsi" w:hAnsiTheme="minorHAnsi" w:cs="TimesNewRoman"/>
        </w:rPr>
        <w:t xml:space="preserve"> were</w:t>
      </w:r>
      <w:r>
        <w:rPr>
          <w:rFonts w:asciiTheme="minorHAnsi" w:hAnsiTheme="minorHAnsi" w:cs="TimesNewRoman"/>
        </w:rPr>
        <w:t xml:space="preserve"> all more frequent in the </w:t>
      </w:r>
      <w:proofErr w:type="spellStart"/>
      <w:r>
        <w:rPr>
          <w:rFonts w:asciiTheme="minorHAnsi" w:hAnsiTheme="minorHAnsi" w:cs="TimesNewRoman"/>
        </w:rPr>
        <w:t>ceftobiprole</w:t>
      </w:r>
      <w:proofErr w:type="spellEnd"/>
      <w:r>
        <w:rPr>
          <w:rFonts w:asciiTheme="minorHAnsi" w:hAnsiTheme="minorHAnsi" w:cs="TimesNewRoman"/>
        </w:rPr>
        <w:t xml:space="preserve"> group. Emphysema, use of antibiotics within 24 </w:t>
      </w:r>
      <w:r w:rsidR="00712FCD">
        <w:rPr>
          <w:rFonts w:asciiTheme="minorHAnsi" w:hAnsiTheme="minorHAnsi" w:cs="TimesNewRoman"/>
        </w:rPr>
        <w:t>h</w:t>
      </w:r>
      <w:r>
        <w:rPr>
          <w:rFonts w:asciiTheme="minorHAnsi" w:hAnsiTheme="minorHAnsi" w:cs="TimesNewRoman"/>
        </w:rPr>
        <w:t xml:space="preserve"> prior to baseline and long-term ventilation were more frequent in the linezolid/ceftazidime group. Additional medical review of patient profiles showed notable imbalances in the VAP subgroup related to head trauma and </w:t>
      </w:r>
      <w:proofErr w:type="spellStart"/>
      <w:r>
        <w:rPr>
          <w:rFonts w:asciiTheme="minorHAnsi" w:hAnsiTheme="minorHAnsi" w:cs="TimesNewRoman"/>
        </w:rPr>
        <w:t>polytrauma</w:t>
      </w:r>
      <w:proofErr w:type="spellEnd"/>
      <w:r>
        <w:rPr>
          <w:rFonts w:asciiTheme="minorHAnsi" w:hAnsiTheme="minorHAnsi" w:cs="TimesNewRoman"/>
        </w:rPr>
        <w:t>. A similar % of subjects did not complete the study in each treatment group. The distribution of subjects by reasons for discontinuation was similar between the treatment groups, with the most common reason being death.</w:t>
      </w:r>
    </w:p>
    <w:p w:rsidR="003E6564" w:rsidRDefault="003E6564" w:rsidP="00EA42DE">
      <w:pPr>
        <w:pStyle w:val="Heading6"/>
      </w:pPr>
      <w:r>
        <w:t xml:space="preserve">Results for the primary </w:t>
      </w:r>
      <w:r w:rsidRPr="00EA42DE">
        <w:t>efficacy</w:t>
      </w:r>
      <w:r>
        <w:t xml:space="preserve"> outcome</w:t>
      </w:r>
    </w:p>
    <w:p w:rsidR="003E6564" w:rsidRDefault="003E6564" w:rsidP="00EA42DE">
      <w:r>
        <w:t xml:space="preserve">The clinical cure rate at the TOC visit in the Clinically Evaluable and ITT analysis sets was similar between the 2 groups. Clinical cure rates were 69.3% </w:t>
      </w:r>
      <w:r w:rsidR="00B41453">
        <w:t>versus</w:t>
      </w:r>
      <w:r>
        <w:t xml:space="preserve"> 71.3% (Clinically Evaluable Set) and 49.9% </w:t>
      </w:r>
      <w:r w:rsidR="00B41453">
        <w:t>versus</w:t>
      </w:r>
      <w:r>
        <w:t xml:space="preserve"> 52.8% (ITT set) in the </w:t>
      </w:r>
      <w:proofErr w:type="spellStart"/>
      <w:r>
        <w:t>ceftobiprole</w:t>
      </w:r>
      <w:proofErr w:type="spellEnd"/>
      <w:r>
        <w:t xml:space="preserve"> and comparator groups respectively. The lower limit of the 2-sided 95% </w:t>
      </w:r>
      <w:r w:rsidR="00F25104">
        <w:t>confidence interval (</w:t>
      </w:r>
      <w:r>
        <w:t>CI</w:t>
      </w:r>
      <w:r w:rsidR="00F25104">
        <w:t>)</w:t>
      </w:r>
      <w:r>
        <w:t xml:space="preserve"> for the difference was −10% (within −15%). Non-inferiority of </w:t>
      </w:r>
      <w:proofErr w:type="spellStart"/>
      <w:r>
        <w:t>ceftobiprole</w:t>
      </w:r>
      <w:proofErr w:type="spellEnd"/>
      <w:r>
        <w:t xml:space="preserve"> </w:t>
      </w:r>
      <w:r w:rsidR="00B41453">
        <w:t>versus</w:t>
      </w:r>
      <w:r>
        <w:t xml:space="preserve"> linezolid/ceftazidime was also demonstrated in the pre-specified subgroup of subjects with HAP (excluding VAP). The reasons for failure were similar between the 2 groups in clinically evaluable set (subjects may have had ≥</w:t>
      </w:r>
      <w:r w:rsidR="00F25104">
        <w:t xml:space="preserve"> </w:t>
      </w:r>
      <w:r>
        <w:t>1 reason)</w:t>
      </w:r>
      <w:r w:rsidR="00F25104">
        <w:t>, that is,</w:t>
      </w:r>
      <w:r>
        <w:t xml:space="preserve"> use of non-study systemic antibiotics for pneumonia (21.5% in </w:t>
      </w:r>
      <w:proofErr w:type="spellStart"/>
      <w:r>
        <w:t>ceftobiprole</w:t>
      </w:r>
      <w:proofErr w:type="spellEnd"/>
      <w:r>
        <w:t xml:space="preserve">-group and 18.9% in the comparator group); deemed clinical failures at TOC visit by investigators (16.7% in </w:t>
      </w:r>
      <w:proofErr w:type="spellStart"/>
      <w:r>
        <w:t>ceftobiprole</w:t>
      </w:r>
      <w:proofErr w:type="spellEnd"/>
      <w:r>
        <w:t xml:space="preserve"> group and 16.8% in comparator group); TOC visit assessment was missing and final assessment before TOC was ‘worsened’/‘unchanged’ from baseline (9.6% of in the </w:t>
      </w:r>
      <w:proofErr w:type="spellStart"/>
      <w:r>
        <w:t>ceftobiprole</w:t>
      </w:r>
      <w:proofErr w:type="spellEnd"/>
      <w:r>
        <w:t xml:space="preserve"> group and 6.1% in the comparator’s group). In addition, during the course of the study, 7 sites were identified as being at risk for having made errors in study </w:t>
      </w:r>
      <w:r>
        <w:lastRenderedPageBreak/>
        <w:t>conduct. A sensitivity analysis excluding all subjects from these sites confirmed the findings of the primary analysis.</w:t>
      </w:r>
    </w:p>
    <w:p w:rsidR="003E6564" w:rsidRDefault="00F25104" w:rsidP="00EA42DE">
      <w:pPr>
        <w:pStyle w:val="TableTitle"/>
      </w:pPr>
      <w:r>
        <w:rPr>
          <w:rFonts w:cs="TimesNewRoman"/>
        </w:rPr>
        <w:t xml:space="preserve">Table 11: </w:t>
      </w:r>
      <w:r w:rsidR="003E6564">
        <w:t>Clinical cure rate at TOC (primary endpoint) in Study BAP248/307</w:t>
      </w:r>
    </w:p>
    <w:p w:rsidR="003E6564" w:rsidRDefault="003E6564" w:rsidP="00EA42DE">
      <w:r>
        <w:rPr>
          <w:noProof/>
          <w:lang w:eastAsia="en-AU"/>
        </w:rPr>
        <w:drawing>
          <wp:inline distT="0" distB="0" distL="0" distR="0" wp14:anchorId="3870270D" wp14:editId="4197019A">
            <wp:extent cx="5003596" cy="1448409"/>
            <wp:effectExtent l="0" t="0" r="6985" b="0"/>
            <wp:docPr id="8" name="Picture 8" descr="Table 11: Clinical cure rate at TOC (primary endpoint) in Study BAP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999318" cy="1447171"/>
                    </a:xfrm>
                    <a:prstGeom prst="rect">
                      <a:avLst/>
                    </a:prstGeom>
                    <a:noFill/>
                    <a:ln>
                      <a:noFill/>
                    </a:ln>
                  </pic:spPr>
                </pic:pic>
              </a:graphicData>
            </a:graphic>
          </wp:inline>
        </w:drawing>
      </w:r>
    </w:p>
    <w:p w:rsidR="006A3326" w:rsidRDefault="003E6564" w:rsidP="00EA42DE">
      <w:r>
        <w:t xml:space="preserve">However, non-inferiority of </w:t>
      </w:r>
      <w:proofErr w:type="spellStart"/>
      <w:r>
        <w:t>ceftobiprole</w:t>
      </w:r>
      <w:proofErr w:type="spellEnd"/>
      <w:r>
        <w:t xml:space="preserve"> was not demonstrated in the subset of VAP subjects. In VAP subjects, clinical cure rates in the clinically evaluable analysis set were 37.7% (20/53) in the </w:t>
      </w:r>
      <w:proofErr w:type="spellStart"/>
      <w:r>
        <w:t>ceftobiprole</w:t>
      </w:r>
      <w:proofErr w:type="spellEnd"/>
      <w:r>
        <w:t xml:space="preserve"> group and 55.9% (33/59) in the comparator group. Similar to the results for all subjects, for both non-VAP and VAP subjects the primary reason for failure was the use of non-study systemic antibiotics for pneumonia and the </w:t>
      </w:r>
      <w:r w:rsidR="009A392C">
        <w:t>second</w:t>
      </w:r>
      <w:r>
        <w:t xml:space="preserve"> most common reason was that subjects were deemed clinical failures at the TOC visit. Similar to the results in the clinically evaluable set, there was a significant difference in the ITT set in the clinical cure rates between the 2 groups with respect to the ventilation status for the non-VAP and VAP subject stratum. The trend toward lower cure rates in the </w:t>
      </w:r>
      <w:proofErr w:type="spellStart"/>
      <w:r>
        <w:t>ceftobiprole</w:t>
      </w:r>
      <w:proofErr w:type="spellEnd"/>
      <w:r>
        <w:t xml:space="preserve"> group versus comparator group that was observed in VAP subjects was not observed in non-VAP subjects, regardless of whether they were never ventilated or were ventilated &lt;</w:t>
      </w:r>
      <w:r w:rsidR="009A392C">
        <w:t xml:space="preserve"> </w:t>
      </w:r>
      <w:r>
        <w:t xml:space="preserve">48 </w:t>
      </w:r>
      <w:r w:rsidR="00712FCD">
        <w:t>h</w:t>
      </w:r>
      <w:r>
        <w:t xml:space="preserve"> prior to the onset of pneumonia. Based on the different outcomes, and the fact that VAP represents a different disease entity (different patient characteristics with regard to co-morbidities and clinical prognosis), the majority of efficacy analyses that were planned to be performed on all subjects were also performed separately on HAP (excluding VAP) subjects and VAP subjects</w:t>
      </w:r>
      <w:r w:rsidR="006A3326">
        <w:t>.</w:t>
      </w:r>
    </w:p>
    <w:p w:rsidR="003E6564" w:rsidRDefault="003E6564" w:rsidP="00EA42DE">
      <w:pPr>
        <w:pStyle w:val="Heading6"/>
      </w:pPr>
      <w:r>
        <w:t>Results for other efficacy outcomes</w:t>
      </w:r>
    </w:p>
    <w:p w:rsidR="003E6564" w:rsidRDefault="003E6564" w:rsidP="00EA42DE">
      <w:pPr>
        <w:pStyle w:val="Heading7"/>
        <w:numPr>
          <w:ilvl w:val="0"/>
          <w:numId w:val="33"/>
        </w:numPr>
        <w:ind w:left="426"/>
      </w:pPr>
      <w:r>
        <w:t>Microbiological eradicati</w:t>
      </w:r>
      <w:r w:rsidR="00EA42DE">
        <w:t>on rates (MER) at the TOC visit</w:t>
      </w:r>
    </w:p>
    <w:p w:rsidR="006A3326" w:rsidRDefault="003E6564" w:rsidP="00EA42DE">
      <w:r>
        <w:t xml:space="preserve">In the Microbiologically Evaluable set, MER at the TOC visit were lower (53.7% </w:t>
      </w:r>
      <w:r w:rsidR="00B41453">
        <w:t>versus</w:t>
      </w:r>
      <w:r w:rsidR="009A392C">
        <w:t xml:space="preserve"> </w:t>
      </w:r>
      <w:r>
        <w:t xml:space="preserve">62.4%) in the </w:t>
      </w:r>
      <w:proofErr w:type="spellStart"/>
      <w:r>
        <w:t>ceftobiprole</w:t>
      </w:r>
      <w:proofErr w:type="spellEnd"/>
      <w:r>
        <w:t xml:space="preserve"> group. The 95% CI for the difference was −19.2% to 1.9%, non-inferiority was not demonstrated. This result was primarily driven by lower MER in the VAP subgroup*</w:t>
      </w:r>
      <w:r w:rsidR="009A392C">
        <w:t xml:space="preserve"> (see below)</w:t>
      </w:r>
      <w:r>
        <w:t>. The lower limit of the 95% CI for the difference in MER in the HAP subjects (excluding VAP) was close to the 15% margin (</w:t>
      </w:r>
      <w:r w:rsidR="009A392C">
        <w:t>that is,</w:t>
      </w:r>
      <w:r>
        <w:t xml:space="preserve"> −15.3% in the MITT set and −16.7% in Microbiologically Evaluable set)</w:t>
      </w:r>
      <w:r w:rsidR="006A3326">
        <w:t>.</w:t>
      </w:r>
    </w:p>
    <w:p w:rsidR="003E6564" w:rsidRDefault="009A392C" w:rsidP="00EA42DE">
      <w:pPr>
        <w:pStyle w:val="TableTitle"/>
      </w:pPr>
      <w:r>
        <w:t xml:space="preserve">Table 12: </w:t>
      </w:r>
      <w:r w:rsidR="003E6564">
        <w:t xml:space="preserve">Microbiological eradication rate at TOC </w:t>
      </w:r>
      <w:r w:rsidR="003E6564" w:rsidRPr="00EA42DE">
        <w:t>visit</w:t>
      </w:r>
    </w:p>
    <w:p w:rsidR="003E6564" w:rsidRDefault="003E6564" w:rsidP="00EA42DE">
      <w:r>
        <w:rPr>
          <w:noProof/>
          <w:lang w:eastAsia="en-AU"/>
        </w:rPr>
        <w:drawing>
          <wp:inline distT="0" distB="0" distL="0" distR="0" wp14:anchorId="59254FA7" wp14:editId="076DAA4A">
            <wp:extent cx="5400670" cy="1931213"/>
            <wp:effectExtent l="0" t="0" r="0" b="0"/>
            <wp:docPr id="7" name="Picture 7" descr="Table 12: Microbiological eradication rate at TOC vis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401310" cy="1931442"/>
                    </a:xfrm>
                    <a:prstGeom prst="rect">
                      <a:avLst/>
                    </a:prstGeom>
                    <a:noFill/>
                    <a:ln>
                      <a:noFill/>
                    </a:ln>
                  </pic:spPr>
                </pic:pic>
              </a:graphicData>
            </a:graphic>
          </wp:inline>
        </w:drawing>
      </w:r>
    </w:p>
    <w:p w:rsidR="009A392C" w:rsidRDefault="003E6564" w:rsidP="00EA42DE">
      <w:r w:rsidRPr="009A392C">
        <w:rPr>
          <w:rFonts w:cs="TimesNewRoman"/>
        </w:rPr>
        <w:lastRenderedPageBreak/>
        <w:t>*</w:t>
      </w:r>
      <w:r w:rsidRPr="009A392C">
        <w:t xml:space="preserve">Among VAP subjects who were microbiologically evaluable, MER at the TOC visit were 30.4% (14/46) for the </w:t>
      </w:r>
      <w:proofErr w:type="spellStart"/>
      <w:r w:rsidRPr="009A392C">
        <w:t>ceftobiprole</w:t>
      </w:r>
      <w:proofErr w:type="spellEnd"/>
      <w:r w:rsidRPr="009A392C">
        <w:t xml:space="preserve"> group and 50.0% (25/50) for the comparator group.</w:t>
      </w:r>
      <w:r w:rsidRPr="009A392C">
        <w:rPr>
          <w:rFonts w:cs="TimesNewRoman"/>
        </w:rPr>
        <w:t xml:space="preserve"> </w:t>
      </w:r>
      <w:r w:rsidRPr="009A392C">
        <w:t xml:space="preserve">The 95% CI for the difference in microbiologically evaluable VAP subjects was –38.8% to </w:t>
      </w:r>
      <w:r w:rsidR="009A392C" w:rsidRPr="009A392C">
        <w:noBreakHyphen/>
      </w:r>
      <w:r w:rsidRPr="009A392C">
        <w:t>0.4%.</w:t>
      </w:r>
      <w:r w:rsidRPr="009A392C">
        <w:rPr>
          <w:rFonts w:cs="TimesNewRoman"/>
        </w:rPr>
        <w:t xml:space="preserve"> </w:t>
      </w:r>
      <w:r w:rsidRPr="009A392C">
        <w:t xml:space="preserve">Of the 46 VAP subjects in the </w:t>
      </w:r>
      <w:proofErr w:type="spellStart"/>
      <w:r w:rsidRPr="009A392C">
        <w:t>ceftobiprole</w:t>
      </w:r>
      <w:proofErr w:type="spellEnd"/>
      <w:r w:rsidRPr="009A392C">
        <w:t xml:space="preserve"> group who were microbiologically evaluable at the TOC visit, only 13 (28.3%) subjects had documented cultures at the TOC visit. The microbiological outcome of the remaining 33 subjects was derived from the clinical outcome. In contrast, 23 of 50 (46.0%) subjects had a documented culture at the TOC visit in the </w:t>
      </w:r>
      <w:r w:rsidRPr="009A392C">
        <w:rPr>
          <w:rFonts w:cs="TimesNewRoman"/>
        </w:rPr>
        <w:t xml:space="preserve">comparator </w:t>
      </w:r>
      <w:r w:rsidRPr="009A392C">
        <w:t>group.</w:t>
      </w:r>
    </w:p>
    <w:p w:rsidR="006A3326" w:rsidRDefault="003E6564" w:rsidP="00EA42DE">
      <w:r>
        <w:t xml:space="preserve">Per-pathogen clinical cure rates for HAP subjects (excluding VAP) in the </w:t>
      </w:r>
      <w:proofErr w:type="spellStart"/>
      <w:r>
        <w:t>Microbiogically</w:t>
      </w:r>
      <w:proofErr w:type="spellEnd"/>
      <w:r>
        <w:t xml:space="preserve"> Evaluable Set were similar between the 2 groups for pathogens isolated from 10 or more subjects</w:t>
      </w:r>
      <w:r w:rsidR="006A3326">
        <w:t>.</w:t>
      </w:r>
    </w:p>
    <w:p w:rsidR="009A392C" w:rsidRPr="00EA42DE" w:rsidRDefault="003E6564" w:rsidP="00EA42DE">
      <w:pPr>
        <w:pStyle w:val="Heading7"/>
        <w:numPr>
          <w:ilvl w:val="0"/>
          <w:numId w:val="33"/>
        </w:numPr>
        <w:ind w:left="426"/>
        <w:rPr>
          <w:rFonts w:eastAsia="Cambria"/>
        </w:rPr>
      </w:pPr>
      <w:r w:rsidRPr="00EA42DE">
        <w:rPr>
          <w:rFonts w:eastAsia="Cambria"/>
        </w:rPr>
        <w:t>30</w:t>
      </w:r>
      <w:r w:rsidR="00AF56A4" w:rsidRPr="00EA42DE">
        <w:rPr>
          <w:rFonts w:eastAsia="Cambria"/>
        </w:rPr>
        <w:t xml:space="preserve"> </w:t>
      </w:r>
      <w:r w:rsidRPr="00EA42DE">
        <w:rPr>
          <w:rFonts w:eastAsia="Cambria"/>
        </w:rPr>
        <w:t>day pneumonia-specific mortality rate</w:t>
      </w:r>
    </w:p>
    <w:p w:rsidR="006A3326" w:rsidRDefault="009A392C" w:rsidP="00EA42DE">
      <w:r>
        <w:t>P</w:t>
      </w:r>
      <w:r w:rsidR="003E6564">
        <w:t>neumonia-specific mortality at 30 days was a pre-specified secondary endpoint. In addition, 30-day all-cause mortality was also analysed. All-cause mortality rates and pneumonia-specific mortality rates were similar between the groups in ITT analysis set. Pneumonia-specific mortality was similar between the groups in HAP (excluding VAP) subjects and VAP subjects. However, there was a trend towards a lower all-cause mortality rate with the comparator in the VAP subgroup, while all-cause mortality was numerically higher with the comparator in HAP (excluding VAP) subjects</w:t>
      </w:r>
      <w:r w:rsidR="006A3326">
        <w:t>.</w:t>
      </w:r>
    </w:p>
    <w:p w:rsidR="009A392C" w:rsidRDefault="003E6564" w:rsidP="00EA42DE">
      <w:pPr>
        <w:pStyle w:val="Heading7"/>
        <w:numPr>
          <w:ilvl w:val="0"/>
          <w:numId w:val="33"/>
        </w:numPr>
        <w:ind w:left="426"/>
      </w:pPr>
      <w:r>
        <w:t>Clinical rela</w:t>
      </w:r>
      <w:r w:rsidR="00EA42DE">
        <w:t>pse at the late follow-up visit</w:t>
      </w:r>
    </w:p>
    <w:p w:rsidR="003E6564" w:rsidRDefault="009A392C" w:rsidP="00EA42DE">
      <w:r>
        <w:t xml:space="preserve">This </w:t>
      </w:r>
      <w:r w:rsidR="003E6564">
        <w:t xml:space="preserve">occurred in 4.6% of the </w:t>
      </w:r>
      <w:proofErr w:type="spellStart"/>
      <w:r w:rsidR="003E6564">
        <w:t>ceftobiprole</w:t>
      </w:r>
      <w:proofErr w:type="spellEnd"/>
      <w:r w:rsidR="003E6564">
        <w:t xml:space="preserve"> group and 4.5% of the comparator group. Microbiological relapse at the late follow-up visit occurred in 3.8% of the </w:t>
      </w:r>
      <w:proofErr w:type="spellStart"/>
      <w:r w:rsidR="003E6564">
        <w:t>ceftobiprole</w:t>
      </w:r>
      <w:proofErr w:type="spellEnd"/>
      <w:r w:rsidR="003E6564">
        <w:t xml:space="preserve"> group and 3.1% of the comparator group.</w:t>
      </w:r>
    </w:p>
    <w:p w:rsidR="003E6564" w:rsidRDefault="003E6564" w:rsidP="00EA42DE">
      <w:pPr>
        <w:pStyle w:val="Heading5"/>
      </w:pPr>
      <w:r>
        <w:t>Study 30982081-CAP-300</w:t>
      </w:r>
      <w:r w:rsidR="009A392C">
        <w:t>.</w:t>
      </w:r>
      <w:r>
        <w:t xml:space="preserve">1 Community-acquired </w:t>
      </w:r>
      <w:r w:rsidRPr="00EA42DE">
        <w:t>pneumonia</w:t>
      </w:r>
      <w:r>
        <w:t xml:space="preserve"> (HAP)</w:t>
      </w:r>
    </w:p>
    <w:p w:rsidR="003E6564" w:rsidRDefault="003E6564" w:rsidP="00EA42DE">
      <w:r>
        <w:t xml:space="preserve">This is a randomised, double-blind, multicentre study. The primary objective was to demonstrate non-inferiority of </w:t>
      </w:r>
      <w:proofErr w:type="spellStart"/>
      <w:r>
        <w:t>ceftobiprole</w:t>
      </w:r>
      <w:proofErr w:type="spellEnd"/>
      <w:r>
        <w:t xml:space="preserve"> </w:t>
      </w:r>
      <w:r w:rsidR="00B41453">
        <w:t>versus</w:t>
      </w:r>
      <w:r>
        <w:t xml:space="preserve"> ceftriaxone </w:t>
      </w:r>
      <w:r w:rsidR="009A392C">
        <w:t>±</w:t>
      </w:r>
      <w:r>
        <w:t xml:space="preserve"> linezolid with respect to clinical cure rates at the TOC visit in subjects hospitalised with CAP.</w:t>
      </w:r>
      <w:r>
        <w:rPr>
          <w:rFonts w:cs="TimesNewRoman,Bold"/>
          <w:b/>
          <w:bCs/>
        </w:rPr>
        <w:t xml:space="preserve"> </w:t>
      </w:r>
      <w:r>
        <w:t>Study population</w:t>
      </w:r>
      <w:r>
        <w:rPr>
          <w:b/>
        </w:rPr>
        <w:t xml:space="preserve"> </w:t>
      </w:r>
      <w:r>
        <w:t xml:space="preserve">were adults hospitalised with CAP and requiring IV antibiotics for </w:t>
      </w:r>
      <w:r w:rsidR="009A392C">
        <w:t xml:space="preserve">≥ </w:t>
      </w:r>
      <w:r>
        <w:t xml:space="preserve">72 </w:t>
      </w:r>
      <w:r w:rsidR="00712FCD">
        <w:t>h</w:t>
      </w:r>
      <w:r>
        <w:t xml:space="preserve">. The study treatment were </w:t>
      </w:r>
      <w:proofErr w:type="spellStart"/>
      <w:r>
        <w:t>ceftobiprole</w:t>
      </w:r>
      <w:proofErr w:type="spellEnd"/>
      <w:r>
        <w:t xml:space="preserve"> </w:t>
      </w:r>
      <w:proofErr w:type="spellStart"/>
      <w:r>
        <w:t>medocaril</w:t>
      </w:r>
      <w:proofErr w:type="spellEnd"/>
      <w:r>
        <w:t xml:space="preserve"> (500 mg </w:t>
      </w:r>
      <w:proofErr w:type="spellStart"/>
      <w:r>
        <w:t>ceftobiprole</w:t>
      </w:r>
      <w:proofErr w:type="spellEnd"/>
      <w:r>
        <w:t xml:space="preserve"> </w:t>
      </w:r>
      <w:proofErr w:type="spellStart"/>
      <w:r>
        <w:t>tds</w:t>
      </w:r>
      <w:proofErr w:type="spellEnd"/>
      <w:r>
        <w:t xml:space="preserve"> as a </w:t>
      </w:r>
      <w:r w:rsidR="009A392C">
        <w:t>2 h</w:t>
      </w:r>
      <w:r>
        <w:t xml:space="preserve"> IV infusion), or ceftriaxone (2g QD as a </w:t>
      </w:r>
      <w:r w:rsidR="009A392C">
        <w:t>0.5 h</w:t>
      </w:r>
      <w:r>
        <w:t xml:space="preserve"> IV infusion) </w:t>
      </w:r>
      <w:r w:rsidR="00AA2534">
        <w:t>±</w:t>
      </w:r>
      <w:r>
        <w:t xml:space="preserve"> 600 mg linezolid every 12 </w:t>
      </w:r>
      <w:r w:rsidR="00712FCD">
        <w:t>h</w:t>
      </w:r>
      <w:r>
        <w:t xml:space="preserve"> as a </w:t>
      </w:r>
      <w:r w:rsidR="009A392C">
        <w:t>1 h</w:t>
      </w:r>
      <w:r>
        <w:t xml:space="preserve"> IV infusion, for 5</w:t>
      </w:r>
      <w:r w:rsidR="009A392C">
        <w:t xml:space="preserve"> to </w:t>
      </w:r>
      <w:r>
        <w:t xml:space="preserve">14 days. </w:t>
      </w:r>
      <w:r>
        <w:rPr>
          <w:rFonts w:cs="Cambria"/>
        </w:rPr>
        <w:t xml:space="preserve">Subjects </w:t>
      </w:r>
      <w:r>
        <w:t xml:space="preserve">were randomly assigned in a 1:1 ratio. A switch from IV to oral cefuroxime </w:t>
      </w:r>
      <w:proofErr w:type="spellStart"/>
      <w:r>
        <w:t>axetil</w:t>
      </w:r>
      <w:proofErr w:type="spellEnd"/>
      <w:r>
        <w:t xml:space="preserve"> (500 mg </w:t>
      </w:r>
      <w:proofErr w:type="spellStart"/>
      <w:r w:rsidR="009A392C">
        <w:t>bd</w:t>
      </w:r>
      <w:proofErr w:type="spellEnd"/>
      <w:r>
        <w:t xml:space="preserve">) was allowed after a minimum of 3 days of IV therapy for subjects who met all protocol-specified criteria for improvement and were candidates for discharge. The total treatment duration was a minimum of 5 days and a target of 7 days. If a subject required additional days of therapy, the duration could have been extended up to 10 days. Therapy could have been further extended to 14 days for subjects with a history of persistent bacteraemia or necrotizing pneumonia. Linezolid was to be added to ceftriaxone for subjects with confirmed ceftriaxone-resistant </w:t>
      </w:r>
      <w:proofErr w:type="spellStart"/>
      <w:r>
        <w:rPr>
          <w:rFonts w:cs="TimesNewRoman,Italic"/>
          <w:i/>
          <w:iCs/>
        </w:rPr>
        <w:t>S.pneumoniae</w:t>
      </w:r>
      <w:proofErr w:type="spellEnd"/>
      <w:r>
        <w:rPr>
          <w:rFonts w:cs="TimesNewRoman,Italic"/>
          <w:i/>
          <w:iCs/>
        </w:rPr>
        <w:t xml:space="preserve"> </w:t>
      </w:r>
      <w:r>
        <w:t>provided the susceptibility of the isolate to</w:t>
      </w:r>
      <w:r>
        <w:rPr>
          <w:rFonts w:cs="TimesNewRoman,Italic"/>
          <w:i/>
          <w:iCs/>
        </w:rPr>
        <w:t xml:space="preserve"> </w:t>
      </w:r>
      <w:r>
        <w:t>linezolid had been confirmed. Linezolid was added</w:t>
      </w:r>
      <w:r>
        <w:rPr>
          <w:rFonts w:cs="TimesNewRoman,Italic"/>
          <w:i/>
          <w:iCs/>
        </w:rPr>
        <w:t xml:space="preserve"> </w:t>
      </w:r>
      <w:r>
        <w:t>to ceftriaxone when the incidence of MRSA in CAP</w:t>
      </w:r>
      <w:r>
        <w:rPr>
          <w:rFonts w:cs="TimesNewRoman,Italic"/>
          <w:i/>
          <w:iCs/>
        </w:rPr>
        <w:t xml:space="preserve"> </w:t>
      </w:r>
      <w:r>
        <w:t>isolates was prevalent (&gt;15%), or when the subject’s initial signs and symptoms</w:t>
      </w:r>
      <w:r>
        <w:rPr>
          <w:rFonts w:cs="TimesNewRoman,Italic"/>
          <w:i/>
          <w:iCs/>
        </w:rPr>
        <w:t xml:space="preserve"> </w:t>
      </w:r>
      <w:r>
        <w:t xml:space="preserve">were suggestive of </w:t>
      </w:r>
      <w:r>
        <w:rPr>
          <w:rFonts w:cs="TimesNewRoman,Italic"/>
          <w:i/>
          <w:iCs/>
        </w:rPr>
        <w:t>S. aureus</w:t>
      </w:r>
      <w:r>
        <w:t xml:space="preserve"> infection.</w:t>
      </w:r>
    </w:p>
    <w:p w:rsidR="003E6564" w:rsidRDefault="003E6564" w:rsidP="003E6564">
      <w:pPr>
        <w:autoSpaceDE w:val="0"/>
        <w:autoSpaceDN w:val="0"/>
        <w:rPr>
          <w:rFonts w:asciiTheme="minorHAnsi" w:hAnsiTheme="minorHAnsi" w:cs="TimesNewRoman"/>
        </w:rPr>
      </w:pPr>
      <w:r>
        <w:rPr>
          <w:rFonts w:asciiTheme="minorHAnsi" w:hAnsiTheme="minorHAnsi" w:cs="TimesNewRoman"/>
        </w:rPr>
        <w:t xml:space="preserve">The primary efficacy endpoint was the clinical cure rate at the TOC visit, defined as the ratio of the number of subjects who had a derived clinical outcome of Cure at the TOC visit to the total number of the subjects in the analysis set under consideration. </w:t>
      </w:r>
      <w:r>
        <w:rPr>
          <w:rFonts w:asciiTheme="minorHAnsi" w:hAnsiTheme="minorHAnsi" w:cs="TimesNewRoman,Bold"/>
          <w:bCs/>
        </w:rPr>
        <w:t>The submitted justification regarding the 10% non-inferiority margin is considered acceptable.</w:t>
      </w:r>
    </w:p>
    <w:p w:rsidR="006A3326" w:rsidRDefault="003E6564" w:rsidP="00EA42DE">
      <w:r>
        <w:t>A total of 666 subjects were randomised and 638 were analysed</w:t>
      </w:r>
      <w:r>
        <w:rPr>
          <w:b/>
        </w:rPr>
        <w:t xml:space="preserve">. </w:t>
      </w:r>
      <w:r>
        <w:t xml:space="preserve">The ITT analysis set comprised 314 subjects randomised to </w:t>
      </w:r>
      <w:proofErr w:type="spellStart"/>
      <w:r>
        <w:t>ceftobiprole</w:t>
      </w:r>
      <w:proofErr w:type="spellEnd"/>
      <w:r>
        <w:t xml:space="preserve"> and 324 to ceftriaxone </w:t>
      </w:r>
      <w:r w:rsidR="00AA2534">
        <w:t>±</w:t>
      </w:r>
      <w:r>
        <w:t xml:space="preserve"> linezolid. Of the 638 subjects, 231 (74%) in the </w:t>
      </w:r>
      <w:proofErr w:type="spellStart"/>
      <w:r>
        <w:t>ceftobiprole</w:t>
      </w:r>
      <w:proofErr w:type="spellEnd"/>
      <w:r>
        <w:t xml:space="preserve"> group, and 238 (73%) in the combination group were considered clinically evaluable. In the ITT analysis set, there were no significant between group differences with respect to demographic and baseline </w:t>
      </w:r>
      <w:r>
        <w:lastRenderedPageBreak/>
        <w:t>characteristics. Demographic and baseline characteristics for subjects in the Clinically Evaluable analysis set were consistent with those of the ITT set. A valid baseline pathogen was isolated from 184 (29%) of 638 subjects in the ITT set: 101 subjects (16%) had ≥</w:t>
      </w:r>
      <w:r w:rsidR="009A392C">
        <w:t> </w:t>
      </w:r>
      <w:r>
        <w:t>1</w:t>
      </w:r>
      <w:r w:rsidR="009A392C">
        <w:t> </w:t>
      </w:r>
      <w:r>
        <w:t>gram</w:t>
      </w:r>
      <w:r w:rsidR="009A392C">
        <w:t xml:space="preserve"> </w:t>
      </w:r>
      <w:r>
        <w:t>positive pathogen, and 100 subjects (16%) had ≥</w:t>
      </w:r>
      <w:r w:rsidR="009A392C">
        <w:t xml:space="preserve"> </w:t>
      </w:r>
      <w:r>
        <w:t>1 gram</w:t>
      </w:r>
      <w:r w:rsidR="009A392C">
        <w:t xml:space="preserve"> </w:t>
      </w:r>
      <w:r>
        <w:t xml:space="preserve">negative pathogen. </w:t>
      </w:r>
      <w:r w:rsidR="009A392C">
        <w:t>Sixteen</w:t>
      </w:r>
      <w:r>
        <w:t xml:space="preserve"> patients in </w:t>
      </w:r>
      <w:proofErr w:type="spellStart"/>
      <w:r>
        <w:t>ceftobiprole</w:t>
      </w:r>
      <w:proofErr w:type="spellEnd"/>
      <w:r>
        <w:t xml:space="preserve"> group and 8 in the combination group had </w:t>
      </w:r>
      <w:proofErr w:type="spellStart"/>
      <w:r>
        <w:t>polymicrobial</w:t>
      </w:r>
      <w:proofErr w:type="spellEnd"/>
      <w:r>
        <w:t xml:space="preserve"> infection. </w:t>
      </w:r>
      <w:r w:rsidR="009A392C">
        <w:t xml:space="preserve">Some </w:t>
      </w:r>
      <w:r>
        <w:t>11% of subjects received concomitant linezolid treatment</w:t>
      </w:r>
      <w:r w:rsidR="009A392C">
        <w:t>,</w:t>
      </w:r>
      <w:r>
        <w:t xml:space="preserve"> 48% of subjects (307/638) were in PORT Risk Classes III–V (PSI score ≥71) and 22% of subjects (141/638) were in PORT Risk Classes IV–V (PSI score ≥91). A similar % of subjects did not complete the study in each group: 18% in the </w:t>
      </w:r>
      <w:proofErr w:type="spellStart"/>
      <w:r>
        <w:t>ceftobiprole</w:t>
      </w:r>
      <w:proofErr w:type="spellEnd"/>
      <w:r>
        <w:t xml:space="preserve"> group and 15% in the ceftriaxone with or without linezolid group</w:t>
      </w:r>
      <w:r w:rsidR="006A3326">
        <w:t>.</w:t>
      </w:r>
    </w:p>
    <w:p w:rsidR="003E6564" w:rsidRDefault="003E6564" w:rsidP="00EA42DE">
      <w:pPr>
        <w:pStyle w:val="Heading6"/>
      </w:pPr>
      <w:r>
        <w:t xml:space="preserve">Results for the </w:t>
      </w:r>
      <w:r w:rsidRPr="00EA42DE">
        <w:t>primary</w:t>
      </w:r>
      <w:r>
        <w:t xml:space="preserve"> efficacy outcome</w:t>
      </w:r>
    </w:p>
    <w:p w:rsidR="003E6564" w:rsidRDefault="003E6564" w:rsidP="00EA42DE">
      <w:r>
        <w:t xml:space="preserve">Non-inferiority of </w:t>
      </w:r>
      <w:proofErr w:type="spellStart"/>
      <w:r>
        <w:t>ceftobiprole</w:t>
      </w:r>
      <w:proofErr w:type="spellEnd"/>
      <w:r>
        <w:t xml:space="preserve"> compared with ceftriaxone </w:t>
      </w:r>
      <w:r w:rsidR="009A392C">
        <w:t>±</w:t>
      </w:r>
      <w:r>
        <w:t xml:space="preserve"> linezolid was demonstrated within the 10% non-inferiority margin for the clinical cure rate at the TOC visit for both the clinically evaluable and ITT co-primary analysis sets. Clinical cure rates at the TOC visit were 86.6% and 87.4% in the </w:t>
      </w:r>
      <w:proofErr w:type="spellStart"/>
      <w:r>
        <w:t>ceftobiprole</w:t>
      </w:r>
      <w:proofErr w:type="spellEnd"/>
      <w:r>
        <w:t xml:space="preserve"> and ceftriaxone </w:t>
      </w:r>
      <w:r w:rsidR="009A392C">
        <w:t>±</w:t>
      </w:r>
      <w:r>
        <w:t xml:space="preserve"> linezolid groups, respectively, in the Clinically Evaluable analysis set and 76.4% and 79.3%, respectively, in the ITT analysis set. Non-inferiority was also shown for the subgroup of subjects in PORT Risk Classes ≥ III (PSI score ≥71) and PORT Risk Classes ≥ IV (PSI score ≥91).</w:t>
      </w:r>
    </w:p>
    <w:p w:rsidR="003E6564" w:rsidRDefault="009A392C" w:rsidP="00EA42DE">
      <w:pPr>
        <w:pStyle w:val="TableTitle"/>
      </w:pPr>
      <w:r>
        <w:t xml:space="preserve">Table 13: </w:t>
      </w:r>
      <w:r w:rsidR="003E6564">
        <w:t>Clinical cure at TOC (primary endpoint) in CAP-3001</w:t>
      </w:r>
    </w:p>
    <w:p w:rsidR="003E6564" w:rsidRDefault="003E6564" w:rsidP="00EA42DE">
      <w:r>
        <w:rPr>
          <w:noProof/>
          <w:lang w:eastAsia="en-AU"/>
        </w:rPr>
        <w:drawing>
          <wp:inline distT="0" distB="0" distL="0" distR="0" wp14:anchorId="152A8C96" wp14:editId="1C6016B5">
            <wp:extent cx="5405932" cy="1938528"/>
            <wp:effectExtent l="0" t="0" r="4445" b="5080"/>
            <wp:docPr id="6" name="Picture 6" descr="Table 13: Clinical cure at TOC (primary endpoint) in CAP-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5401310" cy="1936871"/>
                    </a:xfrm>
                    <a:prstGeom prst="rect">
                      <a:avLst/>
                    </a:prstGeom>
                    <a:noFill/>
                    <a:ln>
                      <a:noFill/>
                    </a:ln>
                  </pic:spPr>
                </pic:pic>
              </a:graphicData>
            </a:graphic>
          </wp:inline>
        </w:drawing>
      </w:r>
    </w:p>
    <w:p w:rsidR="003E6564" w:rsidRDefault="003E6564" w:rsidP="00EA42DE">
      <w:pPr>
        <w:pStyle w:val="Heading6"/>
      </w:pPr>
      <w:r>
        <w:t xml:space="preserve">Results for other efficacy </w:t>
      </w:r>
      <w:r w:rsidRPr="00EA42DE">
        <w:t>outcomes</w:t>
      </w:r>
    </w:p>
    <w:p w:rsidR="003E6564" w:rsidRDefault="003E6564" w:rsidP="00EA42DE">
      <w:r>
        <w:t>The s</w:t>
      </w:r>
      <w:r>
        <w:rPr>
          <w:rFonts w:cs="TimesNewRoman,Bold"/>
          <w:bCs/>
        </w:rPr>
        <w:t xml:space="preserve">econdary endpoints were evaluated </w:t>
      </w:r>
      <w:r>
        <w:t>using a step-down hierarchical pr</w:t>
      </w:r>
      <w:r w:rsidR="00EA42DE">
        <w:t>ocedure in the following order:</w:t>
      </w:r>
    </w:p>
    <w:p w:rsidR="003E6564" w:rsidRDefault="003E6564" w:rsidP="00EA42DE">
      <w:pPr>
        <w:pStyle w:val="Numberbullet0"/>
        <w:numPr>
          <w:ilvl w:val="0"/>
          <w:numId w:val="12"/>
        </w:numPr>
      </w:pPr>
      <w:r w:rsidRPr="00EA42DE">
        <w:t>Microbiological</w:t>
      </w:r>
      <w:r w:rsidR="00EA42DE">
        <w:t xml:space="preserve"> eradication rate at TOC visit</w:t>
      </w:r>
    </w:p>
    <w:p w:rsidR="003E6564" w:rsidRDefault="003E6564" w:rsidP="004135BA">
      <w:pPr>
        <w:pStyle w:val="Numberbullet0"/>
        <w:numPr>
          <w:ilvl w:val="0"/>
          <w:numId w:val="12"/>
        </w:numPr>
      </w:pPr>
      <w:r>
        <w:t xml:space="preserve">Clinical cure rate at TOC visit for those with PSI score </w:t>
      </w:r>
      <w:r w:rsidRPr="009A392C">
        <w:rPr>
          <w:rFonts w:cs="Symbol"/>
        </w:rPr>
        <w:t>≥</w:t>
      </w:r>
      <w:r w:rsidR="00EA42DE">
        <w:t>91;</w:t>
      </w:r>
    </w:p>
    <w:p w:rsidR="003E6564" w:rsidRDefault="003E6564" w:rsidP="00EA42DE">
      <w:pPr>
        <w:pStyle w:val="Numberbullet0"/>
        <w:numPr>
          <w:ilvl w:val="0"/>
          <w:numId w:val="12"/>
        </w:numPr>
      </w:pPr>
      <w:r>
        <w:t xml:space="preserve"> The 30</w:t>
      </w:r>
      <w:r w:rsidR="009A392C">
        <w:t xml:space="preserve"> </w:t>
      </w:r>
      <w:r>
        <w:t>day pneumonia-</w:t>
      </w:r>
      <w:r w:rsidRPr="00EA42DE">
        <w:t>specific</w:t>
      </w:r>
      <w:r>
        <w:t xml:space="preserve"> mortality rates</w:t>
      </w:r>
    </w:p>
    <w:p w:rsidR="006A3326" w:rsidRDefault="003E6564" w:rsidP="00EA42DE">
      <w:r>
        <w:t xml:space="preserve">A 15% non-inferiority margin was used to test all secondary hypotheses. Non-inferiority of </w:t>
      </w:r>
      <w:proofErr w:type="spellStart"/>
      <w:r>
        <w:t>ceftobiprole</w:t>
      </w:r>
      <w:proofErr w:type="spellEnd"/>
      <w:r>
        <w:t xml:space="preserve"> </w:t>
      </w:r>
      <w:r w:rsidR="00B41453">
        <w:t>versus</w:t>
      </w:r>
      <w:r>
        <w:t xml:space="preserve"> ceftriaxone </w:t>
      </w:r>
      <w:r w:rsidR="00AA2534">
        <w:t>±</w:t>
      </w:r>
      <w:r>
        <w:t xml:space="preserve"> linezolid was demonstrated for all three pre-specified secondary efficacy endpoints</w:t>
      </w:r>
      <w:r w:rsidR="006A3326">
        <w:t>.</w:t>
      </w:r>
    </w:p>
    <w:p w:rsidR="009A392C" w:rsidRPr="00EA42DE" w:rsidRDefault="003E6564" w:rsidP="00EA42DE">
      <w:pPr>
        <w:pStyle w:val="Heading7"/>
        <w:numPr>
          <w:ilvl w:val="0"/>
          <w:numId w:val="34"/>
        </w:numPr>
        <w:ind w:left="426"/>
        <w:rPr>
          <w:rFonts w:eastAsia="Cambria"/>
        </w:rPr>
      </w:pPr>
      <w:r w:rsidRPr="00EA42DE">
        <w:rPr>
          <w:rFonts w:eastAsia="Cambria"/>
        </w:rPr>
        <w:t>Microbiological eradication rates</w:t>
      </w:r>
    </w:p>
    <w:p w:rsidR="006A3326" w:rsidRDefault="009A392C" w:rsidP="00EA42DE">
      <w:r>
        <w:rPr>
          <w:rStyle w:val="Heading7Char"/>
          <w:rFonts w:eastAsia="Cambria"/>
        </w:rPr>
        <w:t xml:space="preserve">Some </w:t>
      </w:r>
      <w:r w:rsidR="003E6564">
        <w:t xml:space="preserve">88.2% (60/68 subjects) in the </w:t>
      </w:r>
      <w:proofErr w:type="spellStart"/>
      <w:r w:rsidR="003E6564">
        <w:t>ceftobiprole</w:t>
      </w:r>
      <w:proofErr w:type="spellEnd"/>
      <w:r w:rsidR="003E6564">
        <w:t xml:space="preserve"> group and 90.8% (69/76) in the ceftriaxone </w:t>
      </w:r>
      <w:r w:rsidR="00AA2534">
        <w:t>±</w:t>
      </w:r>
      <w:r w:rsidR="003E6564">
        <w:t xml:space="preserve"> linezolid group in the Micr</w:t>
      </w:r>
      <w:r w:rsidR="00E01646">
        <w:t>o</w:t>
      </w:r>
      <w:r w:rsidR="003E6564">
        <w:t xml:space="preserve">biologically Evaluable analysis set (2-sided 95% CI for the difference of </w:t>
      </w:r>
      <w:proofErr w:type="spellStart"/>
      <w:r w:rsidR="003E6564">
        <w:t>ceftobiprole</w:t>
      </w:r>
      <w:proofErr w:type="spellEnd"/>
      <w:r w:rsidR="003E6564">
        <w:t xml:space="preserve"> minus ceftriaxone </w:t>
      </w:r>
      <w:r w:rsidR="00AA2534">
        <w:t>±</w:t>
      </w:r>
      <w:r w:rsidR="003E6564">
        <w:t xml:space="preserve"> linezolid: −12.6% to 7.5%)</w:t>
      </w:r>
      <w:r w:rsidR="006A3326">
        <w:t>.</w:t>
      </w:r>
    </w:p>
    <w:p w:rsidR="009A392C" w:rsidRDefault="003E6564" w:rsidP="00EA42DE">
      <w:pPr>
        <w:pStyle w:val="Heading7"/>
        <w:numPr>
          <w:ilvl w:val="0"/>
          <w:numId w:val="34"/>
        </w:numPr>
        <w:ind w:left="426"/>
      </w:pPr>
      <w:r>
        <w:t>30</w:t>
      </w:r>
      <w:r w:rsidR="00AF56A4">
        <w:t xml:space="preserve"> </w:t>
      </w:r>
      <w:r>
        <w:t>day all-cause mortality (ITT)</w:t>
      </w:r>
    </w:p>
    <w:p w:rsidR="006A3326" w:rsidRDefault="009A392C" w:rsidP="003E6564">
      <w:pPr>
        <w:autoSpaceDE w:val="0"/>
        <w:autoSpaceDN w:val="0"/>
        <w:rPr>
          <w:rFonts w:asciiTheme="minorHAnsi" w:hAnsiTheme="minorHAnsi" w:cs="TimesNewRoman"/>
        </w:rPr>
      </w:pPr>
      <w:r>
        <w:rPr>
          <w:rFonts w:asciiTheme="minorHAnsi" w:hAnsiTheme="minorHAnsi" w:cs="TimesNewRoman"/>
        </w:rPr>
        <w:t xml:space="preserve">Some </w:t>
      </w:r>
      <w:r w:rsidR="003E6564">
        <w:rPr>
          <w:rFonts w:asciiTheme="minorHAnsi" w:hAnsiTheme="minorHAnsi" w:cs="TimesNewRoman"/>
        </w:rPr>
        <w:t xml:space="preserve">1.6% in the </w:t>
      </w:r>
      <w:proofErr w:type="spellStart"/>
      <w:r w:rsidR="003E6564">
        <w:rPr>
          <w:rFonts w:asciiTheme="minorHAnsi" w:hAnsiTheme="minorHAnsi" w:cs="TimesNewRoman"/>
        </w:rPr>
        <w:t>ceftobiprole</w:t>
      </w:r>
      <w:proofErr w:type="spellEnd"/>
      <w:r w:rsidR="003E6564">
        <w:rPr>
          <w:rFonts w:asciiTheme="minorHAnsi" w:hAnsiTheme="minorHAnsi" w:cs="TimesNewRoman"/>
        </w:rPr>
        <w:t xml:space="preserve"> group and 2.5% in comparator arm. 30</w:t>
      </w:r>
      <w:r>
        <w:rPr>
          <w:rFonts w:asciiTheme="minorHAnsi" w:hAnsiTheme="minorHAnsi" w:cs="TimesNewRoman"/>
        </w:rPr>
        <w:t xml:space="preserve"> </w:t>
      </w:r>
      <w:r w:rsidR="003E6564">
        <w:rPr>
          <w:rFonts w:asciiTheme="minorHAnsi" w:hAnsiTheme="minorHAnsi" w:cs="TimesNewRoman"/>
        </w:rPr>
        <w:t xml:space="preserve">day pneumonia-specific mortality was 0.3% in </w:t>
      </w:r>
      <w:proofErr w:type="spellStart"/>
      <w:r w:rsidR="003E6564">
        <w:rPr>
          <w:rFonts w:asciiTheme="minorHAnsi" w:hAnsiTheme="minorHAnsi" w:cs="TimesNewRoman"/>
        </w:rPr>
        <w:t>ceftobiprole</w:t>
      </w:r>
      <w:proofErr w:type="spellEnd"/>
      <w:r w:rsidR="003E6564">
        <w:rPr>
          <w:rFonts w:asciiTheme="minorHAnsi" w:hAnsiTheme="minorHAnsi" w:cs="TimesNewRoman"/>
        </w:rPr>
        <w:t xml:space="preserve"> group and 0.9% in the ceftriaxone </w:t>
      </w:r>
      <w:r w:rsidR="00AA2534">
        <w:rPr>
          <w:rFonts w:asciiTheme="minorHAnsi" w:hAnsiTheme="minorHAnsi" w:cs="TimesNewRoman"/>
        </w:rPr>
        <w:t>±</w:t>
      </w:r>
      <w:r w:rsidR="003E6564">
        <w:rPr>
          <w:rFonts w:asciiTheme="minorHAnsi" w:hAnsiTheme="minorHAnsi" w:cs="TimesNewRoman"/>
        </w:rPr>
        <w:t xml:space="preserve"> linezolid group</w:t>
      </w:r>
      <w:r w:rsidR="006A3326">
        <w:rPr>
          <w:rFonts w:asciiTheme="minorHAnsi" w:hAnsiTheme="minorHAnsi" w:cs="TimesNewRoman"/>
        </w:rPr>
        <w:t>.</w:t>
      </w:r>
    </w:p>
    <w:p w:rsidR="009A392C" w:rsidRDefault="00EA42DE" w:rsidP="00EA42DE">
      <w:pPr>
        <w:pStyle w:val="Heading7"/>
        <w:numPr>
          <w:ilvl w:val="0"/>
          <w:numId w:val="34"/>
        </w:numPr>
        <w:ind w:left="426"/>
      </w:pPr>
      <w:r>
        <w:lastRenderedPageBreak/>
        <w:t>Clinical cures</w:t>
      </w:r>
    </w:p>
    <w:p w:rsidR="006A3326" w:rsidRDefault="009A392C" w:rsidP="00EA42DE">
      <w:r>
        <w:t xml:space="preserve">Clinical cures was </w:t>
      </w:r>
      <w:r w:rsidR="003E6564">
        <w:t xml:space="preserve">observed for 26 (93%) of 28 subjects with </w:t>
      </w:r>
      <w:r w:rsidR="003E6564">
        <w:rPr>
          <w:rFonts w:cs="TimesNewRoman,Italic"/>
          <w:i/>
          <w:iCs/>
        </w:rPr>
        <w:t xml:space="preserve">S. pneumoniae </w:t>
      </w:r>
      <w:r w:rsidR="003E6564">
        <w:t xml:space="preserve">in the </w:t>
      </w:r>
      <w:proofErr w:type="spellStart"/>
      <w:r w:rsidR="003E6564">
        <w:t>ceftobiprole</w:t>
      </w:r>
      <w:proofErr w:type="spellEnd"/>
      <w:r w:rsidR="003E6564">
        <w:t xml:space="preserve"> group, including cures for both subjects with MDR (multi-drug resistance) </w:t>
      </w:r>
      <w:r w:rsidR="003E6564">
        <w:rPr>
          <w:rFonts w:cs="TimesNewRoman,Italic"/>
          <w:i/>
          <w:iCs/>
        </w:rPr>
        <w:t>S.</w:t>
      </w:r>
      <w:r>
        <w:rPr>
          <w:rFonts w:cs="TimesNewRoman,Italic"/>
          <w:i/>
          <w:iCs/>
        </w:rPr>
        <w:t> </w:t>
      </w:r>
      <w:r w:rsidR="003E6564">
        <w:rPr>
          <w:rFonts w:cs="TimesNewRoman,Italic"/>
          <w:i/>
          <w:iCs/>
        </w:rPr>
        <w:t>pneumoniae</w:t>
      </w:r>
      <w:r w:rsidR="003E6564">
        <w:t xml:space="preserve">. Clinical cures observed for all 7 subjects in the </w:t>
      </w:r>
      <w:proofErr w:type="spellStart"/>
      <w:r w:rsidR="003E6564">
        <w:t>ceftobiprole</w:t>
      </w:r>
      <w:proofErr w:type="spellEnd"/>
      <w:r w:rsidR="003E6564">
        <w:t xml:space="preserve"> group with </w:t>
      </w:r>
      <w:r w:rsidR="003E6564">
        <w:rPr>
          <w:rFonts w:cs="TimesNewRoman,Italic"/>
          <w:i/>
          <w:iCs/>
        </w:rPr>
        <w:t>S.</w:t>
      </w:r>
      <w:r>
        <w:rPr>
          <w:rFonts w:cs="TimesNewRoman,Italic"/>
          <w:i/>
          <w:iCs/>
        </w:rPr>
        <w:t> </w:t>
      </w:r>
      <w:r w:rsidR="003E6564">
        <w:rPr>
          <w:rFonts w:cs="TimesNewRoman,Italic"/>
          <w:i/>
          <w:iCs/>
        </w:rPr>
        <w:t xml:space="preserve">aureus </w:t>
      </w:r>
      <w:r w:rsidR="003E6564">
        <w:t xml:space="preserve">at baseline, including 1 MRSA. Clinical cures observed for all subjects who had </w:t>
      </w:r>
      <w:r w:rsidR="003E6564">
        <w:rPr>
          <w:rFonts w:cs="TimesNewRoman,Italic"/>
          <w:i/>
          <w:iCs/>
        </w:rPr>
        <w:t xml:space="preserve">H. </w:t>
      </w:r>
      <w:proofErr w:type="spellStart"/>
      <w:r w:rsidR="003E6564">
        <w:rPr>
          <w:rFonts w:cs="TimesNewRoman,Italic"/>
          <w:i/>
          <w:iCs/>
        </w:rPr>
        <w:t>influenzae</w:t>
      </w:r>
      <w:proofErr w:type="spellEnd"/>
      <w:r w:rsidR="003E6564">
        <w:t xml:space="preserve">, </w:t>
      </w:r>
      <w:r w:rsidR="003E6564">
        <w:rPr>
          <w:rFonts w:cs="TimesNewRoman,Italic"/>
          <w:i/>
          <w:iCs/>
        </w:rPr>
        <w:t>E. coli</w:t>
      </w:r>
      <w:r w:rsidR="003E6564">
        <w:t xml:space="preserve">, </w:t>
      </w:r>
      <w:r w:rsidR="003E6564">
        <w:rPr>
          <w:rFonts w:cs="TimesNewRoman,Italic"/>
          <w:i/>
          <w:iCs/>
        </w:rPr>
        <w:t xml:space="preserve">M. </w:t>
      </w:r>
      <w:proofErr w:type="spellStart"/>
      <w:r w:rsidR="003E6564">
        <w:rPr>
          <w:rFonts w:cs="TimesNewRoman,Italic"/>
          <w:i/>
          <w:iCs/>
        </w:rPr>
        <w:t>catarrhalis</w:t>
      </w:r>
      <w:proofErr w:type="spellEnd"/>
      <w:r w:rsidR="003E6564">
        <w:t xml:space="preserve">, </w:t>
      </w:r>
      <w:r w:rsidR="003E6564">
        <w:rPr>
          <w:rFonts w:cs="TimesNewRoman,Italic"/>
          <w:i/>
          <w:iCs/>
        </w:rPr>
        <w:t xml:space="preserve">K. </w:t>
      </w:r>
      <w:proofErr w:type="spellStart"/>
      <w:r w:rsidR="003E6564">
        <w:rPr>
          <w:rFonts w:cs="TimesNewRoman,Italic"/>
          <w:i/>
          <w:iCs/>
        </w:rPr>
        <w:t>oxytoca</w:t>
      </w:r>
      <w:proofErr w:type="spellEnd"/>
      <w:r w:rsidR="003E6564">
        <w:t xml:space="preserve">, or </w:t>
      </w:r>
      <w:r w:rsidR="003E6564">
        <w:rPr>
          <w:rFonts w:cs="TimesNewRoman,Italic"/>
          <w:i/>
          <w:iCs/>
        </w:rPr>
        <w:t xml:space="preserve">Acinetobacter </w:t>
      </w:r>
      <w:r w:rsidR="003E6564">
        <w:t xml:space="preserve">species isolated at baseline. Clinical cures observed for 6 (67%) of 9 subjects with </w:t>
      </w:r>
      <w:r w:rsidR="003E6564">
        <w:rPr>
          <w:rFonts w:cs="TimesNewRoman,Italic"/>
          <w:i/>
          <w:iCs/>
        </w:rPr>
        <w:t xml:space="preserve">H. </w:t>
      </w:r>
      <w:proofErr w:type="spellStart"/>
      <w:r w:rsidR="003E6564">
        <w:rPr>
          <w:rFonts w:cs="TimesNewRoman,Italic"/>
          <w:i/>
          <w:iCs/>
        </w:rPr>
        <w:t>parainfluenzae</w:t>
      </w:r>
      <w:proofErr w:type="spellEnd"/>
      <w:r w:rsidR="003E6564">
        <w:rPr>
          <w:rFonts w:cs="TimesNewRoman,Italic"/>
          <w:i/>
          <w:iCs/>
        </w:rPr>
        <w:t xml:space="preserve"> </w:t>
      </w:r>
      <w:r w:rsidR="003E6564">
        <w:t xml:space="preserve">and 4 (80%) of 5 subjects with </w:t>
      </w:r>
      <w:r w:rsidR="003E6564">
        <w:rPr>
          <w:rFonts w:cs="TimesNewRoman,Italic"/>
          <w:i/>
          <w:iCs/>
        </w:rPr>
        <w:t>K. pneumoniae</w:t>
      </w:r>
      <w:r w:rsidR="003E6564">
        <w:t>. The microbiological eradication rates for the pathogens listed above were similar to the clinical cure rates for subjects with those pathogens</w:t>
      </w:r>
      <w:r w:rsidR="006A3326">
        <w:t>.</w:t>
      </w:r>
    </w:p>
    <w:p w:rsidR="003E6564" w:rsidRDefault="003E6564" w:rsidP="00EA42DE">
      <w:pPr>
        <w:pStyle w:val="Heading4"/>
      </w:pPr>
      <w:bookmarkStart w:id="157" w:name="_Toc408385426"/>
      <w:bookmarkStart w:id="158" w:name="_Toc290846283"/>
      <w:bookmarkStart w:id="159" w:name="_Toc272414658"/>
      <w:bookmarkStart w:id="160" w:name="_Ref269120916"/>
      <w:bookmarkStart w:id="161" w:name="_Toc241374316"/>
      <w:r>
        <w:t xml:space="preserve">Clinical </w:t>
      </w:r>
      <w:r w:rsidR="00EA42DE" w:rsidRPr="00EA42DE">
        <w:t>s</w:t>
      </w:r>
      <w:r w:rsidRPr="00EA42DE">
        <w:t>afety</w:t>
      </w:r>
    </w:p>
    <w:p w:rsidR="003E6564" w:rsidRDefault="003E6564" w:rsidP="00EA42DE">
      <w:r>
        <w:t xml:space="preserve">There are 25 completed clinical studies, with 539 subjects in 20 Phase </w:t>
      </w:r>
      <w:r w:rsidR="009A392C">
        <w:t>I</w:t>
      </w:r>
      <w:r>
        <w:t xml:space="preserve"> studies, 40 </w:t>
      </w:r>
      <w:proofErr w:type="spellStart"/>
      <w:r>
        <w:t>cSSTI</w:t>
      </w:r>
      <w:proofErr w:type="spellEnd"/>
      <w:r>
        <w:t xml:space="preserve"> subjects in the Phase </w:t>
      </w:r>
      <w:r w:rsidR="009A392C">
        <w:t>II</w:t>
      </w:r>
      <w:r>
        <w:t xml:space="preserve"> study BAP00034, 632 CAP subjects in CAP-3001, 772 subjects with HAP in BAP248/307 and 1,593 </w:t>
      </w:r>
      <w:proofErr w:type="spellStart"/>
      <w:r>
        <w:t>cSSTI</w:t>
      </w:r>
      <w:proofErr w:type="spellEnd"/>
      <w:r>
        <w:t xml:space="preserve"> subjects in 2 Phase </w:t>
      </w:r>
      <w:r w:rsidR="009A392C">
        <w:t>III</w:t>
      </w:r>
      <w:r>
        <w:t xml:space="preserve"> studies BAP00154 and BAP00414. Safety data from CAP-3001 and BAP248/307 were analysed both by study and in an integrated overall safety analysis. Safety data from the 2 </w:t>
      </w:r>
      <w:proofErr w:type="spellStart"/>
      <w:r>
        <w:t>cSSTI</w:t>
      </w:r>
      <w:proofErr w:type="spellEnd"/>
      <w:r>
        <w:t xml:space="preserve"> Phase </w:t>
      </w:r>
      <w:r w:rsidR="009A392C">
        <w:t>III</w:t>
      </w:r>
      <w:r>
        <w:t xml:space="preserve"> and single </w:t>
      </w:r>
      <w:proofErr w:type="spellStart"/>
      <w:r>
        <w:t>cSSTI</w:t>
      </w:r>
      <w:proofErr w:type="spellEnd"/>
      <w:r>
        <w:t xml:space="preserve"> Phase </w:t>
      </w:r>
      <w:r w:rsidR="009A392C">
        <w:t>II</w:t>
      </w:r>
      <w:r>
        <w:t xml:space="preserve"> studies were integrated for analysis and compared with the pooled analysis of safety data from the 2 Phase </w:t>
      </w:r>
      <w:r w:rsidR="009A392C">
        <w:t>III</w:t>
      </w:r>
      <w:r>
        <w:t xml:space="preserve"> pneumonia studies. </w:t>
      </w:r>
      <w:r w:rsidR="0098494E">
        <w:t>See Tables 5 and 6 above for details.</w:t>
      </w:r>
    </w:p>
    <w:p w:rsidR="006A3326" w:rsidRDefault="003E6564" w:rsidP="003E6564">
      <w:pPr>
        <w:rPr>
          <w:rFonts w:asciiTheme="minorHAnsi" w:hAnsiTheme="minorHAnsi" w:cs="TimesNewRoman"/>
        </w:rPr>
      </w:pPr>
      <w:r>
        <w:rPr>
          <w:rFonts w:asciiTheme="minorHAnsi" w:hAnsiTheme="minorHAnsi" w:cs="TimesNewRoman"/>
        </w:rPr>
        <w:t xml:space="preserve">In </w:t>
      </w:r>
      <w:r>
        <w:rPr>
          <w:rFonts w:asciiTheme="minorHAnsi" w:hAnsiTheme="minorHAnsi"/>
        </w:rPr>
        <w:t>Study BAP248/307, the o</w:t>
      </w:r>
      <w:r>
        <w:rPr>
          <w:rFonts w:asciiTheme="minorHAnsi" w:hAnsiTheme="minorHAnsi" w:cs="TimesNewRoman"/>
        </w:rPr>
        <w:t>verall incidences of AEs, SAEs, AEs that led to discontinuation, TRAEs were comparable between the two treatment groups.</w:t>
      </w:r>
      <w:r>
        <w:rPr>
          <w:rFonts w:asciiTheme="minorHAnsi" w:hAnsiTheme="minorHAnsi"/>
        </w:rPr>
        <w:t xml:space="preserve"> </w:t>
      </w:r>
      <w:r>
        <w:rPr>
          <w:rFonts w:asciiTheme="minorHAnsi" w:hAnsiTheme="minorHAnsi" w:cs="TimesNewRoman"/>
        </w:rPr>
        <w:t xml:space="preserve">The percentage of subjects in each treatment group who reported ≥1 TEAE was similar (77% of </w:t>
      </w:r>
      <w:proofErr w:type="spellStart"/>
      <w:r>
        <w:rPr>
          <w:rFonts w:asciiTheme="minorHAnsi" w:hAnsiTheme="minorHAnsi" w:cs="TimesNewRoman"/>
        </w:rPr>
        <w:t>ceftobiprole</w:t>
      </w:r>
      <w:proofErr w:type="spellEnd"/>
      <w:r>
        <w:rPr>
          <w:rFonts w:asciiTheme="minorHAnsi" w:hAnsiTheme="minorHAnsi" w:cs="TimesNewRoman"/>
        </w:rPr>
        <w:t xml:space="preserve"> treated and 78% of</w:t>
      </w:r>
      <w:r>
        <w:rPr>
          <w:rFonts w:asciiTheme="minorHAnsi" w:hAnsiTheme="minorHAnsi"/>
        </w:rPr>
        <w:t xml:space="preserve"> </w:t>
      </w:r>
      <w:r>
        <w:rPr>
          <w:rFonts w:asciiTheme="minorHAnsi" w:hAnsiTheme="minorHAnsi" w:cs="TimesNewRoman"/>
        </w:rPr>
        <w:t xml:space="preserve">linezolid/ceftazidime-treated subjects). </w:t>
      </w:r>
      <w:r w:rsidR="0098494E">
        <w:rPr>
          <w:rFonts w:asciiTheme="minorHAnsi" w:hAnsiTheme="minorHAnsi" w:cs="TimesNewRoman"/>
        </w:rPr>
        <w:t xml:space="preserve">Some </w:t>
      </w:r>
      <w:r>
        <w:rPr>
          <w:rFonts w:asciiTheme="minorHAnsi" w:hAnsiTheme="minorHAnsi" w:cs="TimesNewRoman"/>
        </w:rPr>
        <w:t>25% of subjects in both treatment groups had ≥</w:t>
      </w:r>
      <w:r w:rsidR="0098494E">
        <w:rPr>
          <w:rFonts w:asciiTheme="minorHAnsi" w:hAnsiTheme="minorHAnsi" w:cs="TimesNewRoman"/>
        </w:rPr>
        <w:t xml:space="preserve"> </w:t>
      </w:r>
      <w:r>
        <w:rPr>
          <w:rFonts w:asciiTheme="minorHAnsi" w:hAnsiTheme="minorHAnsi" w:cs="TimesNewRoman"/>
        </w:rPr>
        <w:t>1AE considered to be treatment-related</w:t>
      </w:r>
      <w:r w:rsidR="0098494E">
        <w:rPr>
          <w:rFonts w:asciiTheme="minorHAnsi" w:hAnsiTheme="minorHAnsi" w:cs="TimesNewRoman"/>
        </w:rPr>
        <w:t xml:space="preserve"> and</w:t>
      </w:r>
      <w:r>
        <w:rPr>
          <w:rFonts w:asciiTheme="minorHAnsi" w:hAnsiTheme="minorHAnsi" w:cs="TimesNewRoman"/>
        </w:rPr>
        <w:t xml:space="preserve"> 23% in the </w:t>
      </w:r>
      <w:proofErr w:type="spellStart"/>
      <w:r>
        <w:rPr>
          <w:rFonts w:asciiTheme="minorHAnsi" w:hAnsiTheme="minorHAnsi" w:cs="TimesNewRoman"/>
        </w:rPr>
        <w:t>ceftobiprole</w:t>
      </w:r>
      <w:proofErr w:type="spellEnd"/>
      <w:r>
        <w:rPr>
          <w:rFonts w:asciiTheme="minorHAnsi" w:hAnsiTheme="minorHAnsi" w:cs="TimesNewRoman"/>
        </w:rPr>
        <w:t xml:space="preserve"> group and 22% in the linezolid/ceftazidime group died during the course of the study</w:t>
      </w:r>
      <w:r w:rsidR="006A3326">
        <w:rPr>
          <w:rFonts w:asciiTheme="minorHAnsi" w:hAnsiTheme="minorHAnsi" w:cs="TimesNewRoman"/>
        </w:rPr>
        <w:t>.</w:t>
      </w:r>
    </w:p>
    <w:p w:rsidR="006A3326" w:rsidRDefault="003E6564" w:rsidP="00EA42DE">
      <w:r>
        <w:t xml:space="preserve">In Study </w:t>
      </w:r>
      <w:r>
        <w:rPr>
          <w:rFonts w:cs="TimesNewRoman,Bold"/>
          <w:bCs/>
        </w:rPr>
        <w:t>CAP-3001, there were no</w:t>
      </w:r>
      <w:r>
        <w:t xml:space="preserve"> significant differences observed between the treatment groups in the overall incidence of AEs, deaths, SAEs or discontinuations due to AEs. TRAEs were more in the </w:t>
      </w:r>
      <w:proofErr w:type="spellStart"/>
      <w:r>
        <w:t>ceftobiprole</w:t>
      </w:r>
      <w:proofErr w:type="spellEnd"/>
      <w:r>
        <w:t xml:space="preserve"> group largely due to higher rates of treatment-related nausea (7% </w:t>
      </w:r>
      <w:r w:rsidR="00B41453">
        <w:t>versus</w:t>
      </w:r>
      <w:r>
        <w:t xml:space="preserve"> 2%, respectively) and vomiting (5% </w:t>
      </w:r>
      <w:r w:rsidR="00B41453">
        <w:t>versus</w:t>
      </w:r>
      <w:r>
        <w:t xml:space="preserve"> 2%). TRAEs considered serious or leading to treatment discontinuation were not significantly different between groups</w:t>
      </w:r>
      <w:r w:rsidR="006A3326">
        <w:t>.</w:t>
      </w:r>
    </w:p>
    <w:p w:rsidR="006A3326" w:rsidRDefault="0098494E" w:rsidP="003E6564">
      <w:pPr>
        <w:autoSpaceDE w:val="0"/>
        <w:autoSpaceDN w:val="0"/>
        <w:spacing w:before="0" w:after="0" w:line="240" w:lineRule="auto"/>
        <w:rPr>
          <w:rFonts w:asciiTheme="minorHAnsi" w:hAnsiTheme="minorHAnsi"/>
        </w:rPr>
      </w:pPr>
      <w:r>
        <w:rPr>
          <w:rFonts w:asciiTheme="minorHAnsi" w:eastAsiaTheme="minorHAnsi" w:hAnsiTheme="minorHAnsi" w:cs="TimesNewRoman"/>
        </w:rPr>
        <w:t>In the pooled Phase III</w:t>
      </w:r>
      <w:r w:rsidR="003E6564">
        <w:rPr>
          <w:rFonts w:asciiTheme="minorHAnsi" w:eastAsiaTheme="minorHAnsi" w:hAnsiTheme="minorHAnsi" w:cs="TimesNewRoman"/>
        </w:rPr>
        <w:t xml:space="preserve"> pneumonia studies, 74.1% of all </w:t>
      </w:r>
      <w:proofErr w:type="spellStart"/>
      <w:r w:rsidR="003E6564">
        <w:rPr>
          <w:rFonts w:asciiTheme="minorHAnsi" w:eastAsiaTheme="minorHAnsi" w:hAnsiTheme="minorHAnsi" w:cs="TimesNewRoman"/>
        </w:rPr>
        <w:t>ceftobiprole</w:t>
      </w:r>
      <w:proofErr w:type="spellEnd"/>
      <w:r w:rsidR="003E6564">
        <w:rPr>
          <w:rFonts w:asciiTheme="minorHAnsi" w:eastAsiaTheme="minorHAnsi" w:hAnsiTheme="minorHAnsi" w:cs="TimesNewRoman"/>
        </w:rPr>
        <w:t>-treated subjects and 71.8% of all comparator-treated subjects experienced at least 1 AE</w:t>
      </w:r>
      <w:r w:rsidR="003E6564">
        <w:rPr>
          <w:rFonts w:asciiTheme="minorHAnsi" w:hAnsiTheme="minorHAnsi"/>
        </w:rPr>
        <w:t xml:space="preserve">. A total of 29.7% of all </w:t>
      </w:r>
      <w:proofErr w:type="spellStart"/>
      <w:r w:rsidR="003E6564">
        <w:rPr>
          <w:rFonts w:asciiTheme="minorHAnsi" w:hAnsiTheme="minorHAnsi"/>
        </w:rPr>
        <w:t>ceftobiprole</w:t>
      </w:r>
      <w:proofErr w:type="spellEnd"/>
      <w:r>
        <w:rPr>
          <w:rFonts w:asciiTheme="minorHAnsi" w:hAnsiTheme="minorHAnsi"/>
        </w:rPr>
        <w:t xml:space="preserve"> </w:t>
      </w:r>
      <w:r w:rsidR="003E6564">
        <w:rPr>
          <w:rFonts w:asciiTheme="minorHAnsi" w:hAnsiTheme="minorHAnsi"/>
        </w:rPr>
        <w:t>treated subjects and 25.6% of all comparator</w:t>
      </w:r>
      <w:r>
        <w:rPr>
          <w:rFonts w:asciiTheme="minorHAnsi" w:hAnsiTheme="minorHAnsi"/>
        </w:rPr>
        <w:t xml:space="preserve"> </w:t>
      </w:r>
      <w:r w:rsidR="003E6564">
        <w:rPr>
          <w:rFonts w:asciiTheme="minorHAnsi" w:hAnsiTheme="minorHAnsi"/>
        </w:rPr>
        <w:t>treated subjects experienced ≥</w:t>
      </w:r>
      <w:r>
        <w:rPr>
          <w:rFonts w:asciiTheme="minorHAnsi" w:hAnsiTheme="minorHAnsi"/>
        </w:rPr>
        <w:t> </w:t>
      </w:r>
      <w:r w:rsidR="003E6564">
        <w:rPr>
          <w:rFonts w:asciiTheme="minorHAnsi" w:hAnsiTheme="minorHAnsi"/>
        </w:rPr>
        <w:t>1</w:t>
      </w:r>
      <w:r>
        <w:rPr>
          <w:rFonts w:asciiTheme="minorHAnsi" w:hAnsiTheme="minorHAnsi"/>
        </w:rPr>
        <w:t> </w:t>
      </w:r>
      <w:r w:rsidR="003E6564">
        <w:rPr>
          <w:rFonts w:asciiTheme="minorHAnsi" w:hAnsiTheme="minorHAnsi"/>
        </w:rPr>
        <w:t>drug-related AE. Most commonly (in ≥</w:t>
      </w:r>
      <w:r>
        <w:rPr>
          <w:rFonts w:asciiTheme="minorHAnsi" w:hAnsiTheme="minorHAnsi"/>
        </w:rPr>
        <w:t xml:space="preserve"> </w:t>
      </w:r>
      <w:r w:rsidR="003E6564">
        <w:rPr>
          <w:rFonts w:asciiTheme="minorHAnsi" w:hAnsiTheme="minorHAnsi"/>
        </w:rPr>
        <w:t xml:space="preserve">1% of those treated with </w:t>
      </w:r>
      <w:proofErr w:type="spellStart"/>
      <w:r w:rsidR="003E6564">
        <w:rPr>
          <w:rFonts w:asciiTheme="minorHAnsi" w:hAnsiTheme="minorHAnsi"/>
        </w:rPr>
        <w:t>ceftobiprole</w:t>
      </w:r>
      <w:proofErr w:type="spellEnd"/>
      <w:r w:rsidR="003E6564">
        <w:rPr>
          <w:rFonts w:asciiTheme="minorHAnsi" w:hAnsiTheme="minorHAnsi"/>
        </w:rPr>
        <w:t xml:space="preserve">): nausea (4.3% of subjects), diarrhoea (4.2%), vomiting (3.3%), hyponatraemia (2.7%), phlebitis (2.3%), </w:t>
      </w:r>
      <w:proofErr w:type="spellStart"/>
      <w:r w:rsidR="003E6564">
        <w:rPr>
          <w:rFonts w:asciiTheme="minorHAnsi" w:hAnsiTheme="minorHAnsi"/>
        </w:rPr>
        <w:t>dysgeusia</w:t>
      </w:r>
      <w:proofErr w:type="spellEnd"/>
      <w:r w:rsidR="003E6564">
        <w:rPr>
          <w:rFonts w:asciiTheme="minorHAnsi" w:hAnsiTheme="minorHAnsi"/>
        </w:rPr>
        <w:t xml:space="preserve"> (1.6%), headache (1.4%), rash (1.1%), ALT increased (1.1%) and AST increased (1.0%)</w:t>
      </w:r>
      <w:r w:rsidR="006A3326">
        <w:rPr>
          <w:rFonts w:asciiTheme="minorHAnsi" w:hAnsiTheme="minorHAnsi"/>
        </w:rPr>
        <w:t>.</w:t>
      </w:r>
    </w:p>
    <w:p w:rsidR="003E6564" w:rsidRDefault="003E6564" w:rsidP="00EA42DE">
      <w:r>
        <w:t xml:space="preserve">Identified risks for </w:t>
      </w:r>
      <w:proofErr w:type="spellStart"/>
      <w:r>
        <w:t>ceftobiprole</w:t>
      </w:r>
      <w:proofErr w:type="spellEnd"/>
      <w:r>
        <w:t xml:space="preserve"> include the followings</w:t>
      </w:r>
    </w:p>
    <w:p w:rsidR="003E6564" w:rsidRDefault="003E6564" w:rsidP="00EA42DE">
      <w:pPr>
        <w:pStyle w:val="ListBullet"/>
      </w:pPr>
      <w:r w:rsidRPr="00EA42DE">
        <w:t>hypersensitivity</w:t>
      </w:r>
      <w:r>
        <w:t xml:space="preserve"> reactions</w:t>
      </w:r>
    </w:p>
    <w:p w:rsidR="003E6564" w:rsidRDefault="00EA42DE" w:rsidP="0098494E">
      <w:pPr>
        <w:pStyle w:val="ListBullet"/>
      </w:pPr>
      <w:r>
        <w:t>anaphylactic reactions</w:t>
      </w:r>
    </w:p>
    <w:p w:rsidR="003E6564" w:rsidRDefault="00EA42DE" w:rsidP="0098494E">
      <w:pPr>
        <w:pStyle w:val="ListBullet"/>
      </w:pPr>
      <w:r>
        <w:t>hepatic enzyme elevations</w:t>
      </w:r>
    </w:p>
    <w:p w:rsidR="003E6564" w:rsidRDefault="00EA42DE" w:rsidP="00EA42DE">
      <w:pPr>
        <w:pStyle w:val="ListBullet"/>
      </w:pPr>
      <w:r w:rsidRPr="00EA42DE">
        <w:t>hyponatraemia</w:t>
      </w:r>
    </w:p>
    <w:p w:rsidR="003E6564" w:rsidRDefault="003E6564" w:rsidP="00EA42DE">
      <w:pPr>
        <w:pStyle w:val="ListBullet"/>
      </w:pPr>
      <w:r w:rsidRPr="00EA42DE">
        <w:t>pseudomembranous</w:t>
      </w:r>
      <w:r>
        <w:t xml:space="preserve"> colitis/ </w:t>
      </w:r>
      <w:r>
        <w:rPr>
          <w:rFonts w:cs="TimesNewRoman,Italic"/>
          <w:i/>
          <w:iCs/>
        </w:rPr>
        <w:t xml:space="preserve">C. difficile </w:t>
      </w:r>
      <w:r w:rsidR="00EA42DE">
        <w:t>colitis</w:t>
      </w:r>
    </w:p>
    <w:p w:rsidR="003E6564" w:rsidRDefault="003E6564" w:rsidP="0098494E">
      <w:pPr>
        <w:pStyle w:val="ListBullet"/>
      </w:pPr>
      <w:r>
        <w:t>injection/infusion-site reactions</w:t>
      </w:r>
    </w:p>
    <w:p w:rsidR="003E6564" w:rsidRDefault="003E6564" w:rsidP="00EA42DE">
      <w:pPr>
        <w:pStyle w:val="ListBullet"/>
      </w:pPr>
      <w:proofErr w:type="gramStart"/>
      <w:r>
        <w:t>localised</w:t>
      </w:r>
      <w:proofErr w:type="gramEnd"/>
      <w:r>
        <w:t xml:space="preserve"> fungal </w:t>
      </w:r>
      <w:r w:rsidRPr="00EA42DE">
        <w:t>infections</w:t>
      </w:r>
      <w:r>
        <w:t>.</w:t>
      </w:r>
    </w:p>
    <w:p w:rsidR="003E6564" w:rsidRDefault="003E6564" w:rsidP="00EA42DE">
      <w:r>
        <w:t xml:space="preserve">The safety of </w:t>
      </w:r>
      <w:proofErr w:type="spellStart"/>
      <w:r>
        <w:t>ceftobiprole</w:t>
      </w:r>
      <w:proofErr w:type="spellEnd"/>
      <w:r>
        <w:t xml:space="preserve"> was also evaluated in special populations by age, gender, race, renal impairment and hepatic impairment. Analysis of these special populations revealed </w:t>
      </w:r>
      <w:r>
        <w:lastRenderedPageBreak/>
        <w:t>no particular safety signal of concern especially in the HAP study, where patients were generally muck sicker. Th</w:t>
      </w:r>
      <w:r>
        <w:rPr>
          <w:rFonts w:eastAsiaTheme="minorHAnsi" w:cs="TimesNewRoman"/>
          <w:color w:val="000000"/>
        </w:rPr>
        <w:t xml:space="preserve">e dose of </w:t>
      </w:r>
      <w:proofErr w:type="spellStart"/>
      <w:r>
        <w:rPr>
          <w:rFonts w:eastAsiaTheme="minorHAnsi" w:cs="TimesNewRoman"/>
          <w:color w:val="000000"/>
        </w:rPr>
        <w:t>ceftobiprole</w:t>
      </w:r>
      <w:proofErr w:type="spellEnd"/>
      <w:r>
        <w:rPr>
          <w:rFonts w:eastAsiaTheme="minorHAnsi" w:cs="TimesNewRoman"/>
          <w:color w:val="000000"/>
        </w:rPr>
        <w:t xml:space="preserve"> should be adjusted, as recommended, for patients with moderate to severe renal impairment.</w:t>
      </w:r>
      <w:r>
        <w:t xml:space="preserve"> The safety and efficacy of </w:t>
      </w:r>
      <w:proofErr w:type="spellStart"/>
      <w:r>
        <w:t>ceftobiprole</w:t>
      </w:r>
      <w:proofErr w:type="spellEnd"/>
      <w:r>
        <w:t xml:space="preserve"> in children aged birth to &lt;18 years have not yet been established. There is an ongoing Paediatric investigation programme.</w:t>
      </w:r>
    </w:p>
    <w:p w:rsidR="003E6564" w:rsidRDefault="003E6564" w:rsidP="00EA42DE">
      <w:r>
        <w:rPr>
          <w:rFonts w:cs="TimesNewRoman,Bold"/>
          <w:bCs/>
        </w:rPr>
        <w:t>T</w:t>
      </w:r>
      <w:r>
        <w:t xml:space="preserve">here have been a total of 199 deaths in the </w:t>
      </w:r>
      <w:proofErr w:type="spellStart"/>
      <w:r>
        <w:t>ceftobiprole</w:t>
      </w:r>
      <w:proofErr w:type="spellEnd"/>
      <w:r>
        <w:t xml:space="preserve"> development</w:t>
      </w:r>
      <w:r>
        <w:rPr>
          <w:rFonts w:cs="TimesNewRoman,Bold"/>
          <w:b/>
          <w:bCs/>
        </w:rPr>
        <w:t xml:space="preserve"> </w:t>
      </w:r>
      <w:r>
        <w:t>program</w:t>
      </w:r>
      <w:r w:rsidR="0098494E">
        <w:t xml:space="preserve"> (Table 14)</w:t>
      </w:r>
      <w:r>
        <w:t>.</w:t>
      </w:r>
    </w:p>
    <w:p w:rsidR="003E6564" w:rsidRDefault="0098494E" w:rsidP="00EA42DE">
      <w:pPr>
        <w:pStyle w:val="TableTitle"/>
      </w:pPr>
      <w:r>
        <w:t xml:space="preserve">Table 14: </w:t>
      </w:r>
      <w:r w:rsidR="003E6564">
        <w:t xml:space="preserve">Number of deaths in the </w:t>
      </w:r>
      <w:proofErr w:type="spellStart"/>
      <w:r w:rsidR="003E6564" w:rsidRPr="00EA42DE">
        <w:t>ceftobiprole</w:t>
      </w:r>
      <w:proofErr w:type="spellEnd"/>
      <w:r w:rsidR="003E6564">
        <w:t xml:space="preserve"> development program</w:t>
      </w:r>
    </w:p>
    <w:p w:rsidR="003E6564" w:rsidRDefault="003E6564" w:rsidP="00EA42DE">
      <w:pPr>
        <w:rPr>
          <w:bCs/>
        </w:rPr>
      </w:pPr>
      <w:r>
        <w:rPr>
          <w:noProof/>
          <w:lang w:eastAsia="en-AU"/>
        </w:rPr>
        <w:drawing>
          <wp:inline distT="0" distB="0" distL="0" distR="0" wp14:anchorId="2D53EAC8" wp14:editId="0762CA02">
            <wp:extent cx="5398936" cy="826936"/>
            <wp:effectExtent l="0" t="0" r="0" b="0"/>
            <wp:docPr id="5" name="Picture 5" descr="Table 14: Number of deaths in the ceftobiprole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401310" cy="827300"/>
                    </a:xfrm>
                    <a:prstGeom prst="rect">
                      <a:avLst/>
                    </a:prstGeom>
                    <a:noFill/>
                    <a:ln>
                      <a:noFill/>
                    </a:ln>
                  </pic:spPr>
                </pic:pic>
              </a:graphicData>
            </a:graphic>
          </wp:inline>
        </w:drawing>
      </w:r>
    </w:p>
    <w:p w:rsidR="003E6564" w:rsidRDefault="003E6564" w:rsidP="00EA42DE">
      <w:pPr>
        <w:pStyle w:val="Heading5"/>
        <w:rPr>
          <w:rFonts w:eastAsia="MS Mincho"/>
          <w:lang w:eastAsia="ja-JP"/>
        </w:rPr>
      </w:pPr>
      <w:bookmarkStart w:id="162" w:name="_Toc408385443"/>
      <w:bookmarkStart w:id="163" w:name="_Toc290846317"/>
      <w:bookmarkStart w:id="164" w:name="_Toc272414679"/>
      <w:bookmarkStart w:id="165" w:name="_Ref272333048"/>
      <w:bookmarkStart w:id="166" w:name="_Toc241374326"/>
      <w:bookmarkEnd w:id="157"/>
      <w:bookmarkEnd w:id="158"/>
      <w:bookmarkEnd w:id="159"/>
      <w:bookmarkEnd w:id="160"/>
      <w:bookmarkEnd w:id="161"/>
      <w:r>
        <w:t>Post</w:t>
      </w:r>
      <w:r w:rsidR="00E01646">
        <w:t xml:space="preserve"> </w:t>
      </w:r>
      <w:r>
        <w:t>marketing experience</w:t>
      </w:r>
      <w:bookmarkEnd w:id="162"/>
      <w:bookmarkEnd w:id="163"/>
      <w:bookmarkEnd w:id="164"/>
      <w:bookmarkEnd w:id="165"/>
      <w:bookmarkEnd w:id="166"/>
    </w:p>
    <w:p w:rsidR="006A3326" w:rsidRDefault="003E6564" w:rsidP="00EA42DE">
      <w:r>
        <w:t xml:space="preserve">Based on the 14,380 vials (500 mg) of </w:t>
      </w:r>
      <w:proofErr w:type="spellStart"/>
      <w:r>
        <w:t>ceftobiprole</w:t>
      </w:r>
      <w:proofErr w:type="spellEnd"/>
      <w:r>
        <w:t xml:space="preserve"> distributed worldwide since launch, estimated exposure is 5,036 person-days. Assuming average treatment duration was 7 days, &lt;1,000 subjects receiving </w:t>
      </w:r>
      <w:proofErr w:type="spellStart"/>
      <w:r>
        <w:t>ceftobiprole</w:t>
      </w:r>
      <w:proofErr w:type="spellEnd"/>
      <w:r>
        <w:t xml:space="preserve"> during the marketing period. During the period of </w:t>
      </w:r>
      <w:proofErr w:type="spellStart"/>
      <w:r>
        <w:t>ceftobiprole</w:t>
      </w:r>
      <w:proofErr w:type="spellEnd"/>
      <w:r>
        <w:t xml:space="preserve"> licensed use in </w:t>
      </w:r>
      <w:proofErr w:type="spellStart"/>
      <w:r>
        <w:t>cSSTIs</w:t>
      </w:r>
      <w:proofErr w:type="spellEnd"/>
      <w:r>
        <w:t xml:space="preserve">, &lt;1,000 subjects </w:t>
      </w:r>
      <w:r w:rsidR="0098494E">
        <w:t xml:space="preserve">were </w:t>
      </w:r>
      <w:r>
        <w:t xml:space="preserve">exposed to </w:t>
      </w:r>
      <w:proofErr w:type="spellStart"/>
      <w:r>
        <w:t>ceftobiprole</w:t>
      </w:r>
      <w:proofErr w:type="spellEnd"/>
      <w:r>
        <w:t xml:space="preserve">. There were 6 spontaneous cases reports from this period: 3 cases from Health Canada Pharmacovigilance of fits; 1 case of acute tubular necrosis; 1 case of </w:t>
      </w:r>
      <w:proofErr w:type="spellStart"/>
      <w:r>
        <w:t>pancytopaenia</w:t>
      </w:r>
      <w:proofErr w:type="spellEnd"/>
      <w:r>
        <w:t xml:space="preserve"> and diffuse maculopapular rash; 1 case of agranulocytosis recognised after 18 days therapy and resolving after </w:t>
      </w:r>
      <w:proofErr w:type="spellStart"/>
      <w:r>
        <w:t>ceftobiprole</w:t>
      </w:r>
      <w:proofErr w:type="spellEnd"/>
      <w:r>
        <w:t xml:space="preserve"> discontinuation</w:t>
      </w:r>
      <w:r w:rsidR="006A3326">
        <w:t>.</w:t>
      </w:r>
    </w:p>
    <w:p w:rsidR="003E6564" w:rsidRDefault="003E6564" w:rsidP="00EA42DE">
      <w:pPr>
        <w:pStyle w:val="Heading5"/>
      </w:pPr>
      <w:bookmarkStart w:id="167" w:name="_Toc408385453"/>
      <w:r>
        <w:t>Risk of the emergence of resistance</w:t>
      </w:r>
      <w:bookmarkEnd w:id="167"/>
    </w:p>
    <w:p w:rsidR="006A3326" w:rsidRDefault="003E6564" w:rsidP="00EA42DE">
      <w:r>
        <w:t xml:space="preserve">The clinical program did not reveal any worrisome signal in regards to the selection of resistance but relatively few patients have been exposed over only a short period of time. Broad spectrum </w:t>
      </w:r>
      <w:proofErr w:type="spellStart"/>
      <w:r>
        <w:t>cephaloporins</w:t>
      </w:r>
      <w:proofErr w:type="spellEnd"/>
      <w:r>
        <w:t xml:space="preserve"> are recognised to increase the risk of </w:t>
      </w:r>
      <w:r>
        <w:rPr>
          <w:i/>
        </w:rPr>
        <w:t>C. difficile</w:t>
      </w:r>
      <w:r>
        <w:t xml:space="preserve"> colonisation and colitis; it would be expected that </w:t>
      </w:r>
      <w:proofErr w:type="spellStart"/>
      <w:r>
        <w:t>Zevetra</w:t>
      </w:r>
      <w:proofErr w:type="spellEnd"/>
      <w:r>
        <w:t xml:space="preserve"> would be no different in this regard</w:t>
      </w:r>
      <w:r w:rsidR="006A3326">
        <w:t>.</w:t>
      </w:r>
    </w:p>
    <w:p w:rsidR="003E6564" w:rsidRDefault="003E6564" w:rsidP="00EA42DE">
      <w:pPr>
        <w:rPr>
          <w:rFonts w:eastAsia="MS Mincho"/>
          <w:lang w:eastAsia="ja-JP"/>
        </w:rPr>
      </w:pPr>
      <w:r>
        <w:t xml:space="preserve">The sponsor has provided the mandated Risk Assessment of Microbial Resistance. The comments from the clinical evaluator are detailed in CER </w:t>
      </w:r>
      <w:r w:rsidR="0098494E">
        <w:t>(Attachment 2)</w:t>
      </w:r>
      <w:r>
        <w:t xml:space="preserve">. Overall, the </w:t>
      </w:r>
      <w:r>
        <w:rPr>
          <w:color w:val="000000"/>
        </w:rPr>
        <w:t xml:space="preserve">clinical evaluator is of the view that the real risk of developing resistance to </w:t>
      </w:r>
      <w:proofErr w:type="spellStart"/>
      <w:r>
        <w:rPr>
          <w:color w:val="000000"/>
        </w:rPr>
        <w:t>cephalosporinis</w:t>
      </w:r>
      <w:proofErr w:type="spellEnd"/>
      <w:r>
        <w:rPr>
          <w:color w:val="000000"/>
        </w:rPr>
        <w:t xml:space="preserve"> is low and the reason is as follows:</w:t>
      </w:r>
    </w:p>
    <w:p w:rsidR="003E6564" w:rsidRDefault="003E6564" w:rsidP="00EA42DE">
      <w:pPr>
        <w:pStyle w:val="Numberbullet0"/>
        <w:numPr>
          <w:ilvl w:val="0"/>
          <w:numId w:val="13"/>
        </w:numPr>
      </w:pPr>
      <w:r>
        <w:t xml:space="preserve">It is </w:t>
      </w:r>
      <w:r w:rsidRPr="00EA42DE">
        <w:t>difficult</w:t>
      </w:r>
      <w:r>
        <w:t xml:space="preserve"> for </w:t>
      </w:r>
      <w:r w:rsidRPr="00EA42DE">
        <w:rPr>
          <w:i/>
        </w:rPr>
        <w:t>Staphylococcal</w:t>
      </w:r>
      <w:r>
        <w:t xml:space="preserve"> and </w:t>
      </w:r>
      <w:r w:rsidRPr="00EA42DE">
        <w:rPr>
          <w:i/>
        </w:rPr>
        <w:t>Streptococcal</w:t>
      </w:r>
      <w:r>
        <w:t xml:space="preserve"> species to develop resistance and even very resistant species remain susceptible to the drug;</w:t>
      </w:r>
    </w:p>
    <w:p w:rsidR="003E6564" w:rsidRDefault="003E6564" w:rsidP="004135BA">
      <w:pPr>
        <w:pStyle w:val="Numberbullet0"/>
        <w:numPr>
          <w:ilvl w:val="0"/>
          <w:numId w:val="13"/>
        </w:numPr>
      </w:pPr>
      <w:r>
        <w:t xml:space="preserve">Mechanisms of resistance to various gram negatives have been defined; some of these highly resistant strains are already resistant to the drug so </w:t>
      </w:r>
      <w:proofErr w:type="spellStart"/>
      <w:r>
        <w:t>ceftobiprole</w:t>
      </w:r>
      <w:proofErr w:type="spellEnd"/>
      <w:r>
        <w:t xml:space="preserve"> is unlikely to make the situation worse;</w:t>
      </w:r>
    </w:p>
    <w:p w:rsidR="003E6564" w:rsidRDefault="003E6564" w:rsidP="00EA42DE">
      <w:pPr>
        <w:pStyle w:val="Numberbullet0"/>
        <w:numPr>
          <w:ilvl w:val="0"/>
          <w:numId w:val="13"/>
        </w:numPr>
      </w:pPr>
      <w:r>
        <w:t xml:space="preserve">The sponsor has projected the expected use of </w:t>
      </w:r>
      <w:proofErr w:type="spellStart"/>
      <w:r>
        <w:t>ceftobiprole</w:t>
      </w:r>
      <w:proofErr w:type="spellEnd"/>
      <w:r>
        <w:t xml:space="preserve"> in Australia. Use in 2016 is expected to be in 50 patients rising to 2650 in 2020, average number of days of dosing will be 8. There will be </w:t>
      </w:r>
      <w:r w:rsidRPr="00EA42DE">
        <w:t>very</w:t>
      </w:r>
      <w:r>
        <w:t xml:space="preserve"> restricted use of the drug (small numbers and short exposure), and this means the risk of dissemination of </w:t>
      </w:r>
      <w:proofErr w:type="spellStart"/>
      <w:r>
        <w:t>ceftobiprole</w:t>
      </w:r>
      <w:proofErr w:type="spellEnd"/>
      <w:r>
        <w:t xml:space="preserve"> resistant strains is low;</w:t>
      </w:r>
    </w:p>
    <w:p w:rsidR="006A3326" w:rsidRDefault="003E6564" w:rsidP="00EA42DE">
      <w:pPr>
        <w:pStyle w:val="Numberbullet0"/>
        <w:numPr>
          <w:ilvl w:val="0"/>
          <w:numId w:val="13"/>
        </w:numPr>
      </w:pPr>
      <w:r>
        <w:t xml:space="preserve">The clinical development program confirms that using the recommended dose of 500 mg </w:t>
      </w:r>
      <w:proofErr w:type="spellStart"/>
      <w:r w:rsidR="0098494E">
        <w:t>tds</w:t>
      </w:r>
      <w:proofErr w:type="spellEnd"/>
      <w:r>
        <w:t xml:space="preserve"> as a 2</w:t>
      </w:r>
      <w:r w:rsidR="0098494E">
        <w:t xml:space="preserve"> </w:t>
      </w:r>
      <w:r>
        <w:t xml:space="preserve">h IV infusion has high coverage of the target pathogens </w:t>
      </w:r>
      <w:r w:rsidRPr="00EA42DE">
        <w:t>isolated</w:t>
      </w:r>
      <w:r>
        <w:t xml:space="preserve"> during the 2008 surveillance study</w:t>
      </w:r>
      <w:r w:rsidR="006A3326">
        <w:t>.</w:t>
      </w:r>
    </w:p>
    <w:p w:rsidR="007B6132" w:rsidRDefault="007B6132" w:rsidP="00EA42DE">
      <w:pPr>
        <w:pStyle w:val="Heading4"/>
      </w:pPr>
      <w:r w:rsidRPr="007B6132">
        <w:lastRenderedPageBreak/>
        <w:t xml:space="preserve">Clinical evaluator’s </w:t>
      </w:r>
      <w:r w:rsidRPr="00EA42DE">
        <w:t>recommendation</w:t>
      </w:r>
    </w:p>
    <w:p w:rsidR="00A11ADB" w:rsidRDefault="00A11ADB" w:rsidP="00EA42DE">
      <w:r>
        <w:t>The clinical evaluator recommended approval of the drug for nosocomial (hospital-acquired) bacterial pneumonia (excluding ventilator-associated pneumonia) and community acquired bacterial pneumonia requiring hospitalisation.</w:t>
      </w:r>
    </w:p>
    <w:bookmarkEnd w:id="142"/>
    <w:p w:rsidR="003E6564" w:rsidRDefault="003E6564" w:rsidP="00EA42DE">
      <w:pPr>
        <w:pStyle w:val="Heading4"/>
      </w:pPr>
      <w:r>
        <w:t xml:space="preserve">RMP evaluation and the ACSOM </w:t>
      </w:r>
      <w:r w:rsidRPr="00EA42DE">
        <w:t>recommendations</w:t>
      </w:r>
    </w:p>
    <w:p w:rsidR="003E6564" w:rsidRDefault="003E6564" w:rsidP="00EA42DE">
      <w:pPr>
        <w:rPr>
          <w:szCs w:val="23"/>
        </w:rPr>
      </w:pPr>
      <w:r>
        <w:t xml:space="preserve">In the </w:t>
      </w:r>
      <w:r w:rsidR="00A11ADB">
        <w:t>first r</w:t>
      </w:r>
      <w:r>
        <w:t xml:space="preserve">ound evaluation, the RMP evaluator has requested that the sponsor should include at least 6 Australian sites in the monitoring system to ensure the surveillance studies of clinical isolates adequately reflect the local situation. Representation should include isolates from different Australian institutions rather than many isolates from few sites. In the </w:t>
      </w:r>
      <w:r w:rsidR="00A11ADB">
        <w:t>their</w:t>
      </w:r>
      <w:r>
        <w:t xml:space="preserve"> response, the sponsor states that they intend to set up annual surveillance programmes on </w:t>
      </w:r>
      <w:r w:rsidRPr="00A11ADB">
        <w:rPr>
          <w:i/>
        </w:rPr>
        <w:t>S. aureus</w:t>
      </w:r>
      <w:r>
        <w:t xml:space="preserve"> and </w:t>
      </w:r>
      <w:proofErr w:type="spellStart"/>
      <w:r w:rsidRPr="00A11ADB">
        <w:rPr>
          <w:i/>
        </w:rPr>
        <w:t>Enterobacteriaceae</w:t>
      </w:r>
      <w:proofErr w:type="spellEnd"/>
      <w:r>
        <w:t xml:space="preserve"> for </w:t>
      </w:r>
      <w:proofErr w:type="spellStart"/>
      <w:r>
        <w:t>ceftobiprole</w:t>
      </w:r>
      <w:proofErr w:type="spellEnd"/>
      <w:r>
        <w:t xml:space="preserve"> in collaboration with the Australian Group on Antimicrobial Resistance, once the commercial sponsor for </w:t>
      </w:r>
      <w:proofErr w:type="spellStart"/>
      <w:r>
        <w:t>Zevtera</w:t>
      </w:r>
      <w:proofErr w:type="spellEnd"/>
      <w:r>
        <w:t xml:space="preserve"> in Australia has been defined and local pharmacovigilance activities have been established</w:t>
      </w:r>
      <w:r>
        <w:rPr>
          <w:szCs w:val="23"/>
        </w:rPr>
        <w:t>. The surveillance program will include at least six Australian sites in the monitoring system and will include isolates from different Australian institutions.</w:t>
      </w:r>
    </w:p>
    <w:p w:rsidR="003E6564" w:rsidRDefault="003E6564" w:rsidP="00EA42DE">
      <w:r>
        <w:t>This submission was discussed at the ACSOM meeting. Of note, the ACSOM considers that potential fluid overload is a safety concern and recommends that the PI should mention the size of this fluid load as it may have consequences for patients with heart failure and other conditions and the fluid load may also affect the important identified risk of hyponatraemia. The ACSOM considers that the safe and effective use of antibacterial agents depended on local conditions and testing for microbial susceptibility and recommends that the indications should include a statement such as, ‘</w:t>
      </w:r>
      <w:r w:rsidRPr="00A11ADB">
        <w:rPr>
          <w:i/>
        </w:rPr>
        <w:t>consideration should be given to published therapeutic guidelines on the appropriate use of antibacterial agents</w:t>
      </w:r>
      <w:r>
        <w:t>’. These recommendations have been accepted by the sponsor and the PI has been revised.</w:t>
      </w:r>
    </w:p>
    <w:p w:rsidR="003E6564" w:rsidRDefault="003E6564" w:rsidP="00EA42DE">
      <w:r>
        <w:t>The RMP evaluator suggested that any changes to the RMP which the sponsor agreed become part of the risk management system, whether they are included in the currently available version of the RMP document, or not included, inadvertently or otherwise. The following wording has been suggested as conditions of registration:</w:t>
      </w:r>
    </w:p>
    <w:p w:rsidR="003E6564" w:rsidRDefault="003E6564" w:rsidP="00EA42DE">
      <w:pPr>
        <w:pStyle w:val="ListBullet"/>
        <w:rPr>
          <w:szCs w:val="20"/>
        </w:rPr>
      </w:pPr>
      <w:r>
        <w:t xml:space="preserve">Implement EU-RMP version 4.0 dated 21 July 2015 (data lock point 31 March 2015) with Australian </w:t>
      </w:r>
      <w:r w:rsidRPr="00EA42DE">
        <w:t>Specific</w:t>
      </w:r>
      <w:r>
        <w:t xml:space="preserve"> Annex version 2.0 dated 21 August 2015 and any future updates as a condition of registration.</w:t>
      </w:r>
    </w:p>
    <w:p w:rsidR="008E7846" w:rsidRDefault="00AA0ED0" w:rsidP="00EA42DE">
      <w:pPr>
        <w:pStyle w:val="Heading3"/>
      </w:pPr>
      <w:bookmarkStart w:id="168" w:name="_Toc247691531"/>
      <w:bookmarkStart w:id="169" w:name="_Toc314842515"/>
      <w:bookmarkStart w:id="170" w:name="_Toc196046505"/>
      <w:bookmarkStart w:id="171" w:name="_Toc196046949"/>
      <w:bookmarkStart w:id="172" w:name="_Toc443060243"/>
      <w:r>
        <w:t xml:space="preserve">Risk-benefit </w:t>
      </w:r>
      <w:r w:rsidRPr="00EA42DE">
        <w:t>a</w:t>
      </w:r>
      <w:r w:rsidR="008E7846" w:rsidRPr="00EA42DE">
        <w:t>nalysis</w:t>
      </w:r>
      <w:bookmarkEnd w:id="168"/>
      <w:bookmarkEnd w:id="169"/>
      <w:bookmarkEnd w:id="172"/>
    </w:p>
    <w:p w:rsidR="00D23139" w:rsidRDefault="00D23139" w:rsidP="00EA42DE">
      <w:pPr>
        <w:pStyle w:val="Heading4"/>
      </w:pPr>
      <w:r w:rsidRPr="00D23139">
        <w:t xml:space="preserve">Delegate’s </w:t>
      </w:r>
      <w:r w:rsidRPr="00EA42DE">
        <w:t>considerations</w:t>
      </w:r>
    </w:p>
    <w:p w:rsidR="003E6564" w:rsidRDefault="003E6564" w:rsidP="00A11ADB">
      <w:pPr>
        <w:pStyle w:val="Heading5"/>
        <w:rPr>
          <w:rFonts w:cs="TimesNewRoman,Italic"/>
          <w:iCs/>
        </w:rPr>
      </w:pPr>
      <w:r>
        <w:t>PK and PD</w:t>
      </w:r>
    </w:p>
    <w:p w:rsidR="003E6564" w:rsidRDefault="003E6564" w:rsidP="00EA42DE">
      <w:pPr>
        <w:rPr>
          <w:rFonts w:cs="TimesNewRoman,Italic"/>
          <w:iCs/>
        </w:rPr>
      </w:pPr>
      <w:proofErr w:type="spellStart"/>
      <w:r>
        <w:t>Ceftobiprole</w:t>
      </w:r>
      <w:proofErr w:type="spellEnd"/>
      <w:r>
        <w:t xml:space="preserve"> has potent activity in </w:t>
      </w:r>
      <w:r w:rsidR="00A11ADB">
        <w:t>non</w:t>
      </w:r>
      <w:r>
        <w:t xml:space="preserve">clinical models against the most common pathogens causing CAP and many of those causing HAP. </w:t>
      </w:r>
      <w:proofErr w:type="spellStart"/>
      <w:r>
        <w:t>Ceftobiprole</w:t>
      </w:r>
      <w:proofErr w:type="spellEnd"/>
      <w:r>
        <w:t xml:space="preserve"> appears to be </w:t>
      </w:r>
      <w:r>
        <w:rPr>
          <w:rFonts w:cs="TimesNewRoman,Italic"/>
          <w:iCs/>
        </w:rPr>
        <w:t>bactericidal and with high penetration into tissues of relevance</w:t>
      </w:r>
      <w:r w:rsidR="00A11ADB">
        <w:rPr>
          <w:rFonts w:cs="TimesNewRoman,Italic"/>
          <w:iCs/>
        </w:rPr>
        <w:t>, that is</w:t>
      </w:r>
      <w:r>
        <w:rPr>
          <w:rFonts w:cs="TimesNewRoman,Italic"/>
          <w:iCs/>
        </w:rPr>
        <w:t xml:space="preserve"> the lung. </w:t>
      </w:r>
      <w:proofErr w:type="spellStart"/>
      <w:r>
        <w:t>Ceftobiprole</w:t>
      </w:r>
      <w:proofErr w:type="spellEnd"/>
      <w:r>
        <w:rPr>
          <w:rFonts w:cs="TimesNewRoman,Italic"/>
          <w:iCs/>
        </w:rPr>
        <w:t xml:space="preserve"> has a straightforward PK profile and aside from reduced dosing in renal impairment, there is low risk of drug-drug interactions.</w:t>
      </w:r>
    </w:p>
    <w:p w:rsidR="003E6564" w:rsidRDefault="003E6564" w:rsidP="00A11ADB">
      <w:pPr>
        <w:pStyle w:val="Heading5"/>
      </w:pPr>
      <w:r>
        <w:t>Treatment of HAP</w:t>
      </w:r>
    </w:p>
    <w:p w:rsidR="006A3326" w:rsidRDefault="003E6564" w:rsidP="00EA42DE">
      <w:r>
        <w:t xml:space="preserve">For the treatment of HAP, Study BAP248/307 met the primary objective of demonstrating the non-inferiority of </w:t>
      </w:r>
      <w:proofErr w:type="spellStart"/>
      <w:r>
        <w:t>ceftobiprole</w:t>
      </w:r>
      <w:proofErr w:type="spellEnd"/>
      <w:r>
        <w:t xml:space="preserve"> to a ‘standard-of-care’ active comparator.  However, the clinical evaluator pointed out that the choice of comparator in this study is probably still not standard-of-care in most centres. Assumptions had to be made about the expected clinical cure rates of  the comparator arm, as ceftazidime and linezolid had never been </w:t>
      </w:r>
      <w:r>
        <w:lastRenderedPageBreak/>
        <w:t xml:space="preserve">partnered together (at least not then) in a clinical trial. While there is robust evidence that </w:t>
      </w:r>
      <w:proofErr w:type="spellStart"/>
      <w:r>
        <w:t>ceftobiprole</w:t>
      </w:r>
      <w:proofErr w:type="spellEnd"/>
      <w:r>
        <w:t xml:space="preserve"> is as efficacious as </w:t>
      </w:r>
      <w:proofErr w:type="spellStart"/>
      <w:r>
        <w:t>cetazidime+linezolid</w:t>
      </w:r>
      <w:proofErr w:type="spellEnd"/>
      <w:r>
        <w:t xml:space="preserve"> as measured by clinical cure rates, pneumonia-specific mortality and all-cause mortality in HAP, this is only true if the VAP subjects are excluded. While BAP248/307 only enrolled a relatively small subset of VAP subjects, clinical cure and microbiological eradication rates in VAP subjects at the TOC visit were lower and all-cause mortality numerically higher, in the </w:t>
      </w:r>
      <w:proofErr w:type="spellStart"/>
      <w:r>
        <w:t>ceftobiprole</w:t>
      </w:r>
      <w:proofErr w:type="spellEnd"/>
      <w:r>
        <w:t xml:space="preserve"> group than in the linezolid/ceftazidime group, although none of these differences were statistically significant. The reasons that the VAP subjects in the comparator group performed better than the VAP subjects in the </w:t>
      </w:r>
      <w:proofErr w:type="spellStart"/>
      <w:r>
        <w:t>ceftobiprole</w:t>
      </w:r>
      <w:proofErr w:type="spellEnd"/>
      <w:r>
        <w:t xml:space="preserve"> group are yet to be determined. The US FDA has recently amended its regulatory guidelines for hospital-acquired pneumonia and VAP such that separate studies are required for VAP subjects. This amendment recognises the heterogeneity within the study population and the ways to try and overcome these through stratification by APACHE II score and time of onset of VAP after onset of mechanical ventilation</w:t>
      </w:r>
      <w:r w:rsidR="006A3326">
        <w:t>.</w:t>
      </w:r>
    </w:p>
    <w:p w:rsidR="006A3326" w:rsidRDefault="003E6564" w:rsidP="00EA42DE">
      <w:r>
        <w:t xml:space="preserve">There is a numerical imbalance in microbiological eradication rates (MER) in this study, with a lower percentage of subjects in the </w:t>
      </w:r>
      <w:proofErr w:type="spellStart"/>
      <w:r>
        <w:t>ceftobiprole</w:t>
      </w:r>
      <w:proofErr w:type="spellEnd"/>
      <w:r>
        <w:t xml:space="preserve"> group achieving eradication. It is noted that a limited number of microbiological samples were available at TOC visit; therefore microbiological outcome was presumed based on clinical outcome in most cases. When VAP is excluded, microbiological eradication rates were similar in the two treatment groups for gram positive bacteria and most of the gram negative pathogens. For the relatively small sample of </w:t>
      </w:r>
      <w:r>
        <w:rPr>
          <w:i/>
        </w:rPr>
        <w:t xml:space="preserve">Haemophilus and </w:t>
      </w:r>
      <w:r>
        <w:t>Acinetobacter species at baseline, numerically lower clinical cure and microbiological eradication rates were observed, in both the VAP and HAP (excluding VAP) subgroups</w:t>
      </w:r>
      <w:r w:rsidR="006A3326">
        <w:t>.</w:t>
      </w:r>
    </w:p>
    <w:p w:rsidR="003E6564" w:rsidRDefault="003E6564" w:rsidP="004135BA">
      <w:pPr>
        <w:pStyle w:val="Heading5"/>
      </w:pPr>
      <w:r>
        <w:t>Treatment of CAP</w:t>
      </w:r>
    </w:p>
    <w:p w:rsidR="006A3326" w:rsidRDefault="003E6564" w:rsidP="00EA42DE">
      <w:r>
        <w:t xml:space="preserve">For the treatment of subjects hospitalised with CAP, Study CAP-3001 demonstrate that </w:t>
      </w:r>
      <w:proofErr w:type="spellStart"/>
      <w:r>
        <w:t>ceftobiprole</w:t>
      </w:r>
      <w:proofErr w:type="spellEnd"/>
      <w:r>
        <w:t xml:space="preserve"> is as effective as a high dose of 2</w:t>
      </w:r>
      <w:r w:rsidR="004135BA">
        <w:t xml:space="preserve"> </w:t>
      </w:r>
      <w:r>
        <w:t xml:space="preserve">g ceftriaxone </w:t>
      </w:r>
      <w:r w:rsidR="004135BA">
        <w:t>once a day</w:t>
      </w:r>
      <w:r>
        <w:t xml:space="preserve"> </w:t>
      </w:r>
      <w:r w:rsidR="00AA2534">
        <w:t>±</w:t>
      </w:r>
      <w:r>
        <w:t xml:space="preserve"> linezolid. </w:t>
      </w:r>
      <w:r>
        <w:rPr>
          <w:rFonts w:cs="Arial"/>
        </w:rPr>
        <w:t xml:space="preserve">In patients with CAP, </w:t>
      </w:r>
      <w:proofErr w:type="spellStart"/>
      <w:r>
        <w:rPr>
          <w:rFonts w:cs="Arial"/>
        </w:rPr>
        <w:t>ceftobiprole</w:t>
      </w:r>
      <w:proofErr w:type="spellEnd"/>
      <w:r>
        <w:rPr>
          <w:rFonts w:cs="Arial"/>
        </w:rPr>
        <w:t xml:space="preserve"> </w:t>
      </w:r>
      <w:proofErr w:type="spellStart"/>
      <w:r>
        <w:rPr>
          <w:rFonts w:cs="Arial"/>
        </w:rPr>
        <w:t>medocaril</w:t>
      </w:r>
      <w:proofErr w:type="spellEnd"/>
      <w:r>
        <w:rPr>
          <w:rFonts w:cs="Arial"/>
        </w:rPr>
        <w:t xml:space="preserve"> was effective in those at risk for poor outcomes (pneumonia severity index ≥</w:t>
      </w:r>
      <w:r w:rsidR="004135BA">
        <w:rPr>
          <w:rFonts w:cs="Arial"/>
        </w:rPr>
        <w:t xml:space="preserve"> </w:t>
      </w:r>
      <w:r>
        <w:rPr>
          <w:rFonts w:cs="Arial"/>
        </w:rPr>
        <w:t xml:space="preserve">91, Pneumonia Patient Outcomes Research Team score IV-V or </w:t>
      </w:r>
      <w:proofErr w:type="spellStart"/>
      <w:r>
        <w:rPr>
          <w:rFonts w:cs="Arial"/>
        </w:rPr>
        <w:t>bacteraemic</w:t>
      </w:r>
      <w:proofErr w:type="spellEnd"/>
      <w:r>
        <w:rPr>
          <w:rFonts w:cs="Arial"/>
        </w:rPr>
        <w:t xml:space="preserve"> pneumonia). </w:t>
      </w:r>
      <w:r>
        <w:t xml:space="preserve">The most prevalent pathogen identified was </w:t>
      </w:r>
      <w:r>
        <w:rPr>
          <w:i/>
        </w:rPr>
        <w:t xml:space="preserve">S. pneumoniae </w:t>
      </w:r>
      <w:r>
        <w:t>but importantly it was only found in 28 subjects</w:t>
      </w:r>
      <w:r w:rsidR="004135BA">
        <w:t>, that is,</w:t>
      </w:r>
      <w:r>
        <w:t xml:space="preserve"> a very small number overall.  While cure rates were very high, the issue is that culture positive bacterial pneumonia occurs in the minority using traditional techniques, sequencing in blood may overcome some of these issues in future trials if such results can be provided real-time. Clinical cures for other important CAP pathogens in the </w:t>
      </w:r>
      <w:proofErr w:type="spellStart"/>
      <w:r>
        <w:t>ceftobiprole</w:t>
      </w:r>
      <w:proofErr w:type="spellEnd"/>
      <w:r>
        <w:t xml:space="preserve"> group included 7 (100%) </w:t>
      </w:r>
      <w:proofErr w:type="spellStart"/>
      <w:proofErr w:type="gramStart"/>
      <w:r>
        <w:rPr>
          <w:i/>
        </w:rPr>
        <w:t>Staph.aureus</w:t>
      </w:r>
      <w:proofErr w:type="spellEnd"/>
      <w:r>
        <w:t xml:space="preserve">; 6 (100%) with </w:t>
      </w:r>
      <w:r w:rsidRPr="004135BA">
        <w:rPr>
          <w:i/>
        </w:rPr>
        <w:t>E. coli</w:t>
      </w:r>
      <w:r>
        <w:t xml:space="preserve">, 4 (80%) with </w:t>
      </w:r>
      <w:r>
        <w:rPr>
          <w:i/>
        </w:rPr>
        <w:t>K. pneumoniae</w:t>
      </w:r>
      <w:r>
        <w:t xml:space="preserve">, 1 (100%) with </w:t>
      </w:r>
      <w:r>
        <w:rPr>
          <w:i/>
        </w:rPr>
        <w:t xml:space="preserve">K. </w:t>
      </w:r>
      <w:proofErr w:type="spellStart"/>
      <w:r>
        <w:rPr>
          <w:i/>
        </w:rPr>
        <w:t>oxytoca</w:t>
      </w:r>
      <w:proofErr w:type="spellEnd"/>
      <w:r>
        <w:rPr>
          <w:i/>
        </w:rPr>
        <w:t xml:space="preserve">, </w:t>
      </w:r>
      <w:r>
        <w:t xml:space="preserve">4 (100%) with </w:t>
      </w:r>
      <w:r>
        <w:rPr>
          <w:i/>
        </w:rPr>
        <w:t xml:space="preserve">M. </w:t>
      </w:r>
      <w:proofErr w:type="spellStart"/>
      <w:r>
        <w:rPr>
          <w:i/>
        </w:rPr>
        <w:t>catarrhalis</w:t>
      </w:r>
      <w:proofErr w:type="spellEnd"/>
      <w:r w:rsidR="006A3326">
        <w:t>.</w:t>
      </w:r>
      <w:proofErr w:type="gramEnd"/>
    </w:p>
    <w:p w:rsidR="003E6564" w:rsidRDefault="003E6564" w:rsidP="004135BA">
      <w:pPr>
        <w:pStyle w:val="Heading5"/>
      </w:pPr>
      <w:r>
        <w:t>Benefits risks balance</w:t>
      </w:r>
    </w:p>
    <w:p w:rsidR="006A3326" w:rsidRDefault="003E6564" w:rsidP="00EA42DE">
      <w:proofErr w:type="spellStart"/>
      <w:r>
        <w:t>Ceftobiprole</w:t>
      </w:r>
      <w:proofErr w:type="spellEnd"/>
      <w:r>
        <w:t xml:space="preserve"> </w:t>
      </w:r>
      <w:proofErr w:type="spellStart"/>
      <w:r>
        <w:t>medocaril</w:t>
      </w:r>
      <w:proofErr w:type="spellEnd"/>
      <w:r>
        <w:t xml:space="preserve"> can be given as monotherapy which avoids the use of two or more antibiotics.  </w:t>
      </w:r>
      <w:proofErr w:type="spellStart"/>
      <w:r>
        <w:t>Ceftobiprole</w:t>
      </w:r>
      <w:proofErr w:type="spellEnd"/>
      <w:r>
        <w:t xml:space="preserve"> monotherapy offers a simplified option for the initial empirical treatment of patients with HAP (excluding VAP) and in tho</w:t>
      </w:r>
      <w:r w:rsidR="004135BA">
        <w:t>se with CAP requiring hospitalis</w:t>
      </w:r>
      <w:r>
        <w:t xml:space="preserve">ation. </w:t>
      </w:r>
      <w:proofErr w:type="spellStart"/>
      <w:r>
        <w:t>Ceftobiprole</w:t>
      </w:r>
      <w:proofErr w:type="spellEnd"/>
      <w:r>
        <w:t xml:space="preserve"> has a favourable PK profile with rapid mode of action, linear PK and no accumulation seen; there is little potential for drug-drug interactions. </w:t>
      </w:r>
      <w:proofErr w:type="spellStart"/>
      <w:r>
        <w:t>Ceftobiprole</w:t>
      </w:r>
      <w:proofErr w:type="spellEnd"/>
      <w:r>
        <w:t xml:space="preserve"> is a broad-spectrum antibiotic with potent gram positive (including for MRSA) and gram negative activity against the common pneumonia-causing bacteria. Alternative agents such linezolid, while an excellent gram positive antibiotic, have idiosyncratic haematological and neurological AEs. To date no such idiosyncratic reactions have been seen with </w:t>
      </w:r>
      <w:proofErr w:type="spellStart"/>
      <w:r>
        <w:t>ceftobiprole</w:t>
      </w:r>
      <w:proofErr w:type="spellEnd"/>
      <w:r>
        <w:t>, but patient exposure is limited. Other broad-spectrum penicillins (</w:t>
      </w:r>
      <w:r w:rsidR="004135BA">
        <w:t>such as</w:t>
      </w:r>
      <w:r>
        <w:t xml:space="preserve"> </w:t>
      </w:r>
      <w:proofErr w:type="spellStart"/>
      <w:r>
        <w:t>Timentin</w:t>
      </w:r>
      <w:proofErr w:type="spellEnd"/>
      <w:r>
        <w:sym w:font="Symbol" w:char="F0D2"/>
      </w:r>
      <w:r>
        <w:t>) are well tolerated but do not have MRSA activity in which case they are often combined with glycopeptides or linezolid if MRSA is suspected</w:t>
      </w:r>
      <w:r w:rsidR="006A3326">
        <w:t>.</w:t>
      </w:r>
    </w:p>
    <w:p w:rsidR="006A3326" w:rsidRDefault="003E6564" w:rsidP="00EA42DE">
      <w:proofErr w:type="spellStart"/>
      <w:r>
        <w:t>Ceftobiprole</w:t>
      </w:r>
      <w:proofErr w:type="spellEnd"/>
      <w:r>
        <w:t xml:space="preserve"> is associated with a number of GI toxicities especially nausea and altered taste</w:t>
      </w:r>
      <w:r w:rsidR="004135BA">
        <w:t xml:space="preserve">. </w:t>
      </w:r>
      <w:proofErr w:type="spellStart"/>
      <w:r w:rsidR="004135BA">
        <w:t>C</w:t>
      </w:r>
      <w:r>
        <w:t>eftobiprole</w:t>
      </w:r>
      <w:proofErr w:type="spellEnd"/>
      <w:r>
        <w:t xml:space="preserve"> has to be given IV as a 2 h infusion 3 times per day, this is a major </w:t>
      </w:r>
      <w:r>
        <w:lastRenderedPageBreak/>
        <w:t>disadvantage. The potential for the drug to interfere with some forms of testing for creatinine may be an issue, especially in those with renal impairment for whom dose adjustment is required; in addition, there is no equivalent drug for oral administration as a step-down option. The step-down option in the CAP study was a first generation cephalosporin</w:t>
      </w:r>
      <w:r w:rsidR="006A3326">
        <w:t>.</w:t>
      </w:r>
    </w:p>
    <w:p w:rsidR="006A3326" w:rsidRDefault="003E6564" w:rsidP="00EA42DE">
      <w:proofErr w:type="spellStart"/>
      <w:r>
        <w:t>Ceftobiprole</w:t>
      </w:r>
      <w:proofErr w:type="spellEnd"/>
      <w:r>
        <w:t xml:space="preserve"> resistance may occur for reasons not directly related to the use of the drug in Australia</w:t>
      </w:r>
      <w:r w:rsidR="004135BA">
        <w:t>, for example</w:t>
      </w:r>
      <w:r>
        <w:t xml:space="preserve"> global movement of very resistant pathogens as people travel. In Australia, the incidence of resistance in CAP organisms is growing but it still remains relatively low. The concern is that when </w:t>
      </w:r>
      <w:proofErr w:type="spellStart"/>
      <w:r>
        <w:t>ceftobiprole</w:t>
      </w:r>
      <w:proofErr w:type="spellEnd"/>
      <w:r>
        <w:t xml:space="preserve"> is approved for use in CAP, the drug will be used empirically and not stopped even when the organism is revealed to be sensitive to narrower spectrum agents. If the drug is misused on a global scale, then there is a risk of the selection of increasingly resistant organisms</w:t>
      </w:r>
      <w:r w:rsidR="006A3326">
        <w:t>.</w:t>
      </w:r>
    </w:p>
    <w:p w:rsidR="003E6564" w:rsidRDefault="003E6564" w:rsidP="003E6564">
      <w:pPr>
        <w:autoSpaceDE w:val="0"/>
        <w:autoSpaceDN w:val="0"/>
        <w:rPr>
          <w:rFonts w:asciiTheme="minorHAnsi" w:hAnsiTheme="minorHAnsi"/>
        </w:rPr>
      </w:pPr>
      <w:r>
        <w:rPr>
          <w:rFonts w:asciiTheme="minorHAnsi" w:hAnsiTheme="minorHAnsi"/>
        </w:rPr>
        <w:t xml:space="preserve">The </w:t>
      </w:r>
      <w:r w:rsidR="004135BA">
        <w:rPr>
          <w:rFonts w:asciiTheme="minorHAnsi" w:hAnsiTheme="minorHAnsi"/>
        </w:rPr>
        <w:t>D</w:t>
      </w:r>
      <w:r>
        <w:rPr>
          <w:rFonts w:asciiTheme="minorHAnsi" w:hAnsiTheme="minorHAnsi"/>
        </w:rPr>
        <w:t>elegate considers the overall risk benefit balance is positive for the proposed use.</w:t>
      </w:r>
    </w:p>
    <w:p w:rsidR="004135BA" w:rsidRDefault="004135BA" w:rsidP="00EA42DE">
      <w:pPr>
        <w:pStyle w:val="Heading4"/>
      </w:pPr>
      <w:r>
        <w:t xml:space="preserve">Summary of </w:t>
      </w:r>
      <w:r w:rsidR="00EA42DE" w:rsidRPr="00EA42DE">
        <w:t>i</w:t>
      </w:r>
      <w:r w:rsidRPr="00EA42DE">
        <w:t>ssues</w:t>
      </w:r>
    </w:p>
    <w:p w:rsidR="004135BA" w:rsidRDefault="004135BA" w:rsidP="00EA42DE">
      <w:pPr>
        <w:rPr>
          <w:rFonts w:eastAsia="MS Mincho"/>
          <w:lang w:eastAsia="ja-JP"/>
        </w:rPr>
      </w:pPr>
      <w:r>
        <w:t xml:space="preserve">Study </w:t>
      </w:r>
      <w:r>
        <w:rPr>
          <w:rFonts w:cs="TimesNewRoman"/>
        </w:rPr>
        <w:t xml:space="preserve">BAP248/307 is the single pivotal study that assessed the efficacy and safety of </w:t>
      </w:r>
      <w:proofErr w:type="spellStart"/>
      <w:r>
        <w:t>Zevtera</w:t>
      </w:r>
      <w:proofErr w:type="spellEnd"/>
      <w:r>
        <w:rPr>
          <w:rFonts w:cs="TimesNewRoman"/>
        </w:rPr>
        <w:t xml:space="preserve"> for </w:t>
      </w:r>
      <w:r>
        <w:t xml:space="preserve">the treatment of hospital-acquired pneumonia (HAP). In the subset of subjects with ventilator-associated pneumonia (VAP), the clinical cure and microbiological eradication rates were lower and all-cause mortality numerically higher in the </w:t>
      </w:r>
      <w:proofErr w:type="spellStart"/>
      <w:r>
        <w:t>Zevtera</w:t>
      </w:r>
      <w:proofErr w:type="spellEnd"/>
      <w:r>
        <w:t xml:space="preserve"> group</w:t>
      </w:r>
      <w:r>
        <w:rPr>
          <w:rFonts w:cs="TimesNewRoman"/>
        </w:rPr>
        <w:t xml:space="preserve"> </w:t>
      </w:r>
      <w:r>
        <w:t>than in the comparator (linezolid/ceftazidime) group.</w:t>
      </w:r>
    </w:p>
    <w:p w:rsidR="004135BA" w:rsidRDefault="004135BA" w:rsidP="00EA42DE">
      <w:r>
        <w:rPr>
          <w:rFonts w:cs="Arial"/>
        </w:rPr>
        <w:t>Study CAP-3001</w:t>
      </w:r>
      <w:r>
        <w:t xml:space="preserve"> is the single pivotal study that assessed the efficacy and safety of </w:t>
      </w:r>
      <w:proofErr w:type="spellStart"/>
      <w:r>
        <w:t>Zevtera</w:t>
      </w:r>
      <w:proofErr w:type="spellEnd"/>
      <w:r>
        <w:t xml:space="preserve"> for the treatment of community-acquired pneumonia (CAP). Non-inferiority of </w:t>
      </w:r>
      <w:proofErr w:type="spellStart"/>
      <w:r>
        <w:t>Zevtera</w:t>
      </w:r>
      <w:proofErr w:type="spellEnd"/>
      <w:r>
        <w:t xml:space="preserve"> compared with ceftriaxone ± linezolid was demonstrated for the clinical cure rate, for both the clinically evaluable and ITT co-primary analysis sets.</w:t>
      </w:r>
    </w:p>
    <w:p w:rsidR="003E6564" w:rsidRPr="003E6564" w:rsidRDefault="003E6564" w:rsidP="00EA42DE">
      <w:pPr>
        <w:pStyle w:val="Heading4"/>
      </w:pPr>
      <w:r w:rsidRPr="003E6564">
        <w:t>Prel</w:t>
      </w:r>
      <w:r w:rsidR="004135BA">
        <w:t xml:space="preserve">iminary action </w:t>
      </w:r>
      <w:r w:rsidR="004135BA" w:rsidRPr="00EA42DE">
        <w:t>proposed</w:t>
      </w:r>
      <w:r w:rsidR="004135BA">
        <w:t xml:space="preserve"> by the D</w:t>
      </w:r>
      <w:r w:rsidRPr="003E6564">
        <w:t>elegate</w:t>
      </w:r>
    </w:p>
    <w:p w:rsidR="003E6564" w:rsidRDefault="004135BA" w:rsidP="004135BA">
      <w:r>
        <w:t>The Delegate had</w:t>
      </w:r>
      <w:r w:rsidR="003E6564">
        <w:t xml:space="preserve"> no reason to say, at this time, that the application for </w:t>
      </w:r>
      <w:proofErr w:type="spellStart"/>
      <w:r>
        <w:t>Zevtera</w:t>
      </w:r>
      <w:proofErr w:type="spellEnd"/>
      <w:r>
        <w:t xml:space="preserve"> </w:t>
      </w:r>
      <w:r w:rsidR="003E6564">
        <w:t>should not be approved for the revised indications.</w:t>
      </w:r>
    </w:p>
    <w:p w:rsidR="006A3326" w:rsidRDefault="003E6564" w:rsidP="00EA42DE">
      <w:r>
        <w:t>Any changes to the RMP which the sponsor agreed will become part of the risk management system, whether they are included in the currently available version of the RMP document, or not included, inadvertently or otherwise</w:t>
      </w:r>
      <w:r w:rsidR="006A3326">
        <w:t>.</w:t>
      </w:r>
    </w:p>
    <w:p w:rsidR="003E6564" w:rsidRDefault="003E6564" w:rsidP="00EA42DE">
      <w:r>
        <w:rPr>
          <w:kern w:val="2"/>
        </w:rPr>
        <w:t xml:space="preserve">The </w:t>
      </w:r>
      <w:r>
        <w:t>conditions of registration are as follows:</w:t>
      </w:r>
    </w:p>
    <w:p w:rsidR="003E6564" w:rsidRDefault="003E6564" w:rsidP="00EA42DE">
      <w:pPr>
        <w:pStyle w:val="ListBullet"/>
        <w:rPr>
          <w:rFonts w:asciiTheme="minorHAnsi" w:hAnsiTheme="minorHAnsi"/>
        </w:rPr>
      </w:pPr>
      <w:r>
        <w:t>Implement EU-RMP version 4.0 dated 21 July 2015 (data lock point 31 March 2015) with Australian Specific Annex version 2.0 dated 21 August 2015 and any future updates as a condition of registration.</w:t>
      </w:r>
    </w:p>
    <w:p w:rsidR="00D23139" w:rsidRDefault="00D23139" w:rsidP="00EA42DE">
      <w:pPr>
        <w:pStyle w:val="Heading4"/>
      </w:pPr>
      <w:r w:rsidRPr="00D23139">
        <w:t>Request for ACPM advice</w:t>
      </w:r>
    </w:p>
    <w:p w:rsidR="003E6564" w:rsidRDefault="003E6564" w:rsidP="00EA42DE">
      <w:r>
        <w:t>The committee is requested to provide advice on the following specific issues:</w:t>
      </w:r>
    </w:p>
    <w:p w:rsidR="003E6564" w:rsidRDefault="003E6564" w:rsidP="00EA42DE">
      <w:pPr>
        <w:pStyle w:val="Numberbullet0"/>
        <w:numPr>
          <w:ilvl w:val="0"/>
          <w:numId w:val="14"/>
        </w:numPr>
      </w:pPr>
      <w:r>
        <w:t>Does the ACPM consider that the data from S</w:t>
      </w:r>
      <w:r w:rsidRPr="00EA42DE">
        <w:rPr>
          <w:rFonts w:cs="TimesNewRoman"/>
        </w:rPr>
        <w:t xml:space="preserve">tudy BAP248/307 is sufficient to support the use of </w:t>
      </w:r>
      <w:proofErr w:type="spellStart"/>
      <w:r>
        <w:t>Zevtera</w:t>
      </w:r>
      <w:proofErr w:type="spellEnd"/>
      <w:r>
        <w:t xml:space="preserve"> for the treatment of HAP, excluding VAP (ventilator-associated pneumonia)? Does ACPM consider that the comparator (</w:t>
      </w:r>
      <w:proofErr w:type="spellStart"/>
      <w:r w:rsidRPr="00EA42DE">
        <w:rPr>
          <w:rFonts w:cs="TimesNewRoman"/>
        </w:rPr>
        <w:t>ceftazidime</w:t>
      </w:r>
      <w:r>
        <w:t>+linezolid</w:t>
      </w:r>
      <w:proofErr w:type="spellEnd"/>
      <w:r>
        <w:t>) used in this study is an appropriate comparator</w:t>
      </w:r>
      <w:r w:rsidRPr="00EA42DE">
        <w:rPr>
          <w:rFonts w:cs="TimesNewRoman"/>
        </w:rPr>
        <w:t>?</w:t>
      </w:r>
    </w:p>
    <w:p w:rsidR="003E6564" w:rsidRDefault="003E6564" w:rsidP="00EA42DE">
      <w:pPr>
        <w:pStyle w:val="Numberbullet0"/>
        <w:numPr>
          <w:ilvl w:val="0"/>
          <w:numId w:val="14"/>
        </w:numPr>
      </w:pPr>
      <w:r w:rsidRPr="00EA42DE">
        <w:t xml:space="preserve">Does ACPM have concerns about the numerical imbalance in microbiological eradication rates (MER) with a lower percentage of subjects in the </w:t>
      </w:r>
      <w:proofErr w:type="spellStart"/>
      <w:r>
        <w:t>Zevtera</w:t>
      </w:r>
      <w:proofErr w:type="spellEnd"/>
      <w:r>
        <w:t xml:space="preserve"> </w:t>
      </w:r>
      <w:r w:rsidRPr="00EA42DE">
        <w:t>group achieving microbiological eradication (Study BAP248/307)?</w:t>
      </w:r>
    </w:p>
    <w:p w:rsidR="003E6564" w:rsidRDefault="003E6564" w:rsidP="004135BA">
      <w:pPr>
        <w:pStyle w:val="Numberbullet0"/>
        <w:numPr>
          <w:ilvl w:val="0"/>
          <w:numId w:val="14"/>
        </w:numPr>
      </w:pPr>
      <w:r>
        <w:lastRenderedPageBreak/>
        <w:t xml:space="preserve">What is the view of the ACPM with regards to the potential risk of developing antibiotics resistance to </w:t>
      </w:r>
      <w:proofErr w:type="spellStart"/>
      <w:r>
        <w:t>Zevtera</w:t>
      </w:r>
      <w:proofErr w:type="spellEnd"/>
      <w:r>
        <w:t>? Does ACPM have any specific recommendation with regards to the antimicrobial resistance surveillance activities in Australia?</w:t>
      </w:r>
    </w:p>
    <w:p w:rsidR="003E6564" w:rsidRDefault="003E6564" w:rsidP="004135BA">
      <w:pPr>
        <w:pStyle w:val="Numberbullet0"/>
        <w:numPr>
          <w:ilvl w:val="0"/>
          <w:numId w:val="14"/>
        </w:numPr>
      </w:pPr>
      <w:r>
        <w:t>Does ACPM support the revised indications below:</w:t>
      </w:r>
    </w:p>
    <w:p w:rsidR="003E6564" w:rsidRPr="00274760" w:rsidRDefault="003E6564" w:rsidP="00274760">
      <w:pPr>
        <w:pStyle w:val="ListBullet"/>
        <w:numPr>
          <w:ilvl w:val="0"/>
          <w:numId w:val="0"/>
        </w:numPr>
        <w:ind w:left="360"/>
        <w:rPr>
          <w:i/>
        </w:rPr>
      </w:pPr>
      <w:proofErr w:type="spellStart"/>
      <w:r w:rsidRPr="00274760">
        <w:rPr>
          <w:i/>
        </w:rPr>
        <w:t>Zevtera</w:t>
      </w:r>
      <w:proofErr w:type="spellEnd"/>
      <w:r w:rsidRPr="00274760">
        <w:rPr>
          <w:i/>
        </w:rPr>
        <w:t xml:space="preserve"> is indicated for the treatment of the following infections in adults:</w:t>
      </w:r>
    </w:p>
    <w:p w:rsidR="003E6564" w:rsidRPr="00274760" w:rsidRDefault="003E6564" w:rsidP="00274760">
      <w:pPr>
        <w:pStyle w:val="ListBullet2"/>
        <w:rPr>
          <w:i/>
        </w:rPr>
      </w:pPr>
      <w:r w:rsidRPr="00274760">
        <w:rPr>
          <w:i/>
        </w:rPr>
        <w:t>Hospital-acquired pneumonia (HAP), excluding ventilator-associated pneumonia (VAP)</w:t>
      </w:r>
    </w:p>
    <w:p w:rsidR="003E6564" w:rsidRPr="00274760" w:rsidRDefault="003E6564" w:rsidP="00274760">
      <w:pPr>
        <w:pStyle w:val="ListBullet2"/>
        <w:rPr>
          <w:i/>
        </w:rPr>
      </w:pPr>
      <w:r w:rsidRPr="00274760">
        <w:rPr>
          <w:i/>
        </w:rPr>
        <w:t>Community-acquired pneumonia (CAP)</w:t>
      </w:r>
    </w:p>
    <w:p w:rsidR="003E6564" w:rsidRPr="00274760" w:rsidRDefault="003E6564" w:rsidP="00274760">
      <w:pPr>
        <w:pStyle w:val="ListBullet"/>
        <w:numPr>
          <w:ilvl w:val="0"/>
          <w:numId w:val="0"/>
        </w:numPr>
        <w:ind w:left="360"/>
        <w:rPr>
          <w:i/>
        </w:rPr>
      </w:pPr>
      <w:r w:rsidRPr="00274760">
        <w:rPr>
          <w:i/>
        </w:rPr>
        <w:t>Consideration should be given to published therapeutic guidelines on the appropriate use of antibacterial agents.</w:t>
      </w:r>
    </w:p>
    <w:p w:rsidR="003E6564" w:rsidRPr="003E6564" w:rsidRDefault="003E6564" w:rsidP="00274760">
      <w:r>
        <w:t xml:space="preserve">The committee </w:t>
      </w:r>
      <w:r w:rsidR="0052542E">
        <w:t xml:space="preserve">was </w:t>
      </w:r>
      <w:r>
        <w:t>also requested to provide advice on any other issues that it thinks may be relevant to a decision on whether or not to approve this application.</w:t>
      </w:r>
    </w:p>
    <w:p w:rsidR="00D23139" w:rsidRDefault="00D23139" w:rsidP="00274760">
      <w:pPr>
        <w:pStyle w:val="Heading4"/>
      </w:pPr>
      <w:r w:rsidRPr="00274760">
        <w:t>Response</w:t>
      </w:r>
      <w:r w:rsidRPr="00D23139">
        <w:t xml:space="preserve"> from </w:t>
      </w:r>
      <w:r w:rsidR="00463C3C">
        <w:t>s</w:t>
      </w:r>
      <w:r w:rsidR="00274760">
        <w:t>ponsor</w:t>
      </w:r>
    </w:p>
    <w:p w:rsidR="003E6564" w:rsidRDefault="003E6564" w:rsidP="00274760">
      <w:pPr>
        <w:pStyle w:val="Heading5"/>
        <w:rPr>
          <w:rFonts w:eastAsiaTheme="minorHAnsi"/>
        </w:rPr>
      </w:pPr>
      <w:r>
        <w:rPr>
          <w:rFonts w:eastAsiaTheme="minorHAnsi"/>
        </w:rPr>
        <w:t xml:space="preserve">Advice </w:t>
      </w:r>
      <w:r w:rsidRPr="00274760">
        <w:rPr>
          <w:rFonts w:eastAsiaTheme="minorHAnsi"/>
        </w:rPr>
        <w:t>sought</w:t>
      </w:r>
      <w:r>
        <w:rPr>
          <w:rFonts w:eastAsiaTheme="minorHAnsi"/>
        </w:rPr>
        <w:t xml:space="preserve"> from the ACPM</w:t>
      </w:r>
    </w:p>
    <w:p w:rsidR="003E6564" w:rsidRDefault="003E6564" w:rsidP="00274760">
      <w:r>
        <w:t xml:space="preserve">The ACPM has been requested to provide advice in regard to </w:t>
      </w:r>
      <w:proofErr w:type="spellStart"/>
      <w:r>
        <w:t>Zevtera</w:t>
      </w:r>
      <w:proofErr w:type="spellEnd"/>
      <w:r>
        <w:t xml:space="preserve"> on four specific</w:t>
      </w:r>
      <w:r w:rsidR="00F5115F">
        <w:t xml:space="preserve"> </w:t>
      </w:r>
      <w:r>
        <w:t>issues. The applicant provides additional information in response to Issues 1 and 2 below.</w:t>
      </w:r>
    </w:p>
    <w:p w:rsidR="003E6564" w:rsidRDefault="003E6564" w:rsidP="00F5115F">
      <w:r>
        <w:t>The applicant does not wish to provide further comment in regard to Issues 3 or 4.</w:t>
      </w:r>
    </w:p>
    <w:p w:rsidR="003E6564" w:rsidRDefault="003E6564" w:rsidP="00274760">
      <w:pPr>
        <w:pStyle w:val="Heading6"/>
        <w:rPr>
          <w:rFonts w:eastAsiaTheme="minorHAnsi"/>
        </w:rPr>
      </w:pPr>
      <w:r w:rsidRPr="00274760">
        <w:rPr>
          <w:rFonts w:eastAsiaTheme="minorHAnsi"/>
        </w:rPr>
        <w:t>Issue</w:t>
      </w:r>
      <w:r>
        <w:rPr>
          <w:rFonts w:eastAsiaTheme="minorHAnsi"/>
        </w:rPr>
        <w:t xml:space="preserve"> 1</w:t>
      </w:r>
    </w:p>
    <w:p w:rsidR="003E6564" w:rsidRDefault="003E6564" w:rsidP="00274760">
      <w:pPr>
        <w:pStyle w:val="Numberbullet0"/>
        <w:numPr>
          <w:ilvl w:val="0"/>
          <w:numId w:val="15"/>
        </w:numPr>
      </w:pPr>
      <w:r>
        <w:t xml:space="preserve">Does the </w:t>
      </w:r>
      <w:r w:rsidRPr="00274760">
        <w:t>ACPM</w:t>
      </w:r>
      <w:r>
        <w:t xml:space="preserve"> consider that the data from Study BAP248/307 is sufficient to</w:t>
      </w:r>
      <w:r w:rsidR="00F5115F">
        <w:t xml:space="preserve"> </w:t>
      </w:r>
      <w:r>
        <w:t xml:space="preserve">support the use of </w:t>
      </w:r>
      <w:proofErr w:type="spellStart"/>
      <w:r>
        <w:t>Zevtera</w:t>
      </w:r>
      <w:proofErr w:type="spellEnd"/>
      <w:r>
        <w:t xml:space="preserve"> for the treatment of HAP, excluding VAP</w:t>
      </w:r>
      <w:r w:rsidR="00F5115F">
        <w:t xml:space="preserve"> </w:t>
      </w:r>
      <w:r>
        <w:t>(ventilator</w:t>
      </w:r>
      <w:r w:rsidR="00E01646">
        <w:t xml:space="preserve"> </w:t>
      </w:r>
      <w:r>
        <w:t>associated</w:t>
      </w:r>
      <w:r w:rsidR="00F5115F">
        <w:t xml:space="preserve"> </w:t>
      </w:r>
      <w:r>
        <w:t>pneumonia)? Does ACPM consider that the comparator</w:t>
      </w:r>
      <w:r w:rsidR="00F5115F">
        <w:t xml:space="preserve"> </w:t>
      </w:r>
      <w:r>
        <w:t>(</w:t>
      </w:r>
      <w:proofErr w:type="spellStart"/>
      <w:r>
        <w:t>ceftazidime+linezolid</w:t>
      </w:r>
      <w:proofErr w:type="spellEnd"/>
      <w:r>
        <w:t>) used in this study is an appropriate comparator?</w:t>
      </w:r>
    </w:p>
    <w:p w:rsidR="003E6564" w:rsidRDefault="003E6564" w:rsidP="00274760">
      <w:pPr>
        <w:pStyle w:val="Heading6"/>
        <w:rPr>
          <w:rFonts w:eastAsiaTheme="minorHAnsi"/>
        </w:rPr>
      </w:pPr>
      <w:r>
        <w:rPr>
          <w:rFonts w:eastAsiaTheme="minorHAnsi"/>
        </w:rPr>
        <w:t xml:space="preserve">Applicant’s </w:t>
      </w:r>
      <w:r w:rsidRPr="00274760">
        <w:rPr>
          <w:rFonts w:eastAsiaTheme="minorHAnsi"/>
        </w:rPr>
        <w:t>response</w:t>
      </w:r>
    </w:p>
    <w:p w:rsidR="003E6564" w:rsidRDefault="003E6564" w:rsidP="00274760">
      <w:r>
        <w:t xml:space="preserve">Linezolid and ceftazidime were chosen as comparators for </w:t>
      </w:r>
      <w:r w:rsidR="00F5115F">
        <w:t>S</w:t>
      </w:r>
      <w:r>
        <w:t>tudy BAP248/307 because</w:t>
      </w:r>
      <w:r w:rsidR="00F5115F">
        <w:t xml:space="preserve"> </w:t>
      </w:r>
      <w:r>
        <w:t>they are standard first</w:t>
      </w:r>
      <w:r w:rsidR="00F5115F">
        <w:t xml:space="preserve"> </w:t>
      </w:r>
      <w:r>
        <w:t>line therapies for subjects with hospital-acquired pneumonia</w:t>
      </w:r>
      <w:r w:rsidR="00F5115F">
        <w:t xml:space="preserve"> </w:t>
      </w:r>
      <w:r>
        <w:t>(HAP). Ceftazidime 2 g every 8 h is the most active cephalosporin towards</w:t>
      </w:r>
      <w:r w:rsidR="00F5115F">
        <w:t xml:space="preserve"> </w:t>
      </w:r>
      <w:r>
        <w:t>susceptible non-fermenter Gram</w:t>
      </w:r>
      <w:r w:rsidR="00F5115F">
        <w:t xml:space="preserve"> </w:t>
      </w:r>
      <w:r>
        <w:t xml:space="preserve">negative bacilli (comparable to </w:t>
      </w:r>
      <w:proofErr w:type="spellStart"/>
      <w:r>
        <w:t>ceftobiprole</w:t>
      </w:r>
      <w:proofErr w:type="spellEnd"/>
      <w:r>
        <w:t xml:space="preserve"> 500 mg</w:t>
      </w:r>
      <w:r w:rsidR="00F5115F">
        <w:t xml:space="preserve"> </w:t>
      </w:r>
      <w:r>
        <w:t>every 8 h, compensating for a shorter t</w:t>
      </w:r>
      <w:r w:rsidRPr="00F5115F">
        <w:rPr>
          <w:vertAlign w:val="subscript"/>
        </w:rPr>
        <w:t>1/2</w:t>
      </w:r>
      <w:r>
        <w:rPr>
          <w:sz w:val="16"/>
          <w:szCs w:val="16"/>
        </w:rPr>
        <w:t xml:space="preserve"> </w:t>
      </w:r>
      <w:r>
        <w:t>with a higher dose and having similar</w:t>
      </w:r>
      <w:r w:rsidR="00F5115F">
        <w:t xml:space="preserve"> </w:t>
      </w:r>
      <w:r>
        <w:t>minimum inhibitory concentration [MIC] distribution). The use of linezolid and</w:t>
      </w:r>
      <w:r w:rsidR="00F5115F">
        <w:t xml:space="preserve"> </w:t>
      </w:r>
      <w:r>
        <w:t>ceftazidime as comparators at the planned study doses was consistent with the most</w:t>
      </w:r>
      <w:r w:rsidR="00F5115F">
        <w:t xml:space="preserve"> </w:t>
      </w:r>
      <w:r>
        <w:t>recent recommendations from the American Thoracic Society (ATS), although the 2</w:t>
      </w:r>
      <w:r w:rsidR="00F5115F">
        <w:t xml:space="preserve"> </w:t>
      </w:r>
      <w:r>
        <w:t>h</w:t>
      </w:r>
      <w:r w:rsidR="00F5115F">
        <w:t xml:space="preserve"> </w:t>
      </w:r>
      <w:r>
        <w:t>infusion time for ceftazidime was longer than is usual in clinical practice. This longer</w:t>
      </w:r>
      <w:r w:rsidR="00F5115F">
        <w:t xml:space="preserve"> </w:t>
      </w:r>
      <w:r>
        <w:t>infusion time increases %T&gt;MIC and thus potential antibacterial activity in the comparator arm.</w:t>
      </w:r>
    </w:p>
    <w:p w:rsidR="003E6564" w:rsidRDefault="003E6564" w:rsidP="00F5115F">
      <w:r>
        <w:t>Inclusion of linezolid in the comparator combination provided activity against MRSA</w:t>
      </w:r>
      <w:r w:rsidR="00F5115F">
        <w:t xml:space="preserve"> </w:t>
      </w:r>
      <w:r>
        <w:t>that is lacking in ceftazidime; linezolid was considered to be superior to glycopeptides for</w:t>
      </w:r>
      <w:r w:rsidR="00F5115F">
        <w:t xml:space="preserve"> </w:t>
      </w:r>
      <w:r>
        <w:t xml:space="preserve">the treatment of </w:t>
      </w:r>
      <w:r>
        <w:rPr>
          <w:i/>
          <w:iCs/>
        </w:rPr>
        <w:t xml:space="preserve">S. aureus </w:t>
      </w:r>
      <w:r>
        <w:t>pneumonia.</w:t>
      </w:r>
    </w:p>
    <w:p w:rsidR="003E6564" w:rsidRDefault="003E6564" w:rsidP="00274760">
      <w:pPr>
        <w:pStyle w:val="Heading6"/>
        <w:rPr>
          <w:rFonts w:eastAsiaTheme="minorHAnsi"/>
        </w:rPr>
      </w:pPr>
      <w:r w:rsidRPr="00274760">
        <w:rPr>
          <w:rFonts w:eastAsiaTheme="minorHAnsi"/>
        </w:rPr>
        <w:t>Issue</w:t>
      </w:r>
      <w:r>
        <w:rPr>
          <w:rFonts w:eastAsiaTheme="minorHAnsi"/>
        </w:rPr>
        <w:t xml:space="preserve"> 2</w:t>
      </w:r>
    </w:p>
    <w:p w:rsidR="003E6564" w:rsidRDefault="003E6564" w:rsidP="00274760">
      <w:pPr>
        <w:pStyle w:val="Numberbullet0"/>
      </w:pPr>
      <w:r>
        <w:t>Does ACPM have concerns about the numerical imbalance in microbiological</w:t>
      </w:r>
      <w:r w:rsidR="00F5115F">
        <w:t xml:space="preserve"> </w:t>
      </w:r>
      <w:r>
        <w:t xml:space="preserve">eradication rates (MER) with a lower percentage of subjects in the </w:t>
      </w:r>
      <w:proofErr w:type="spellStart"/>
      <w:r>
        <w:t>Zevtera</w:t>
      </w:r>
      <w:proofErr w:type="spellEnd"/>
      <w:r>
        <w:t xml:space="preserve"> group</w:t>
      </w:r>
      <w:r w:rsidR="00F5115F">
        <w:t xml:space="preserve"> </w:t>
      </w:r>
      <w:r>
        <w:t>achieving microbiological eradication (Study BAP248/307)?</w:t>
      </w:r>
    </w:p>
    <w:p w:rsidR="003E6564" w:rsidRDefault="003E6564" w:rsidP="00E01646">
      <w:pPr>
        <w:pStyle w:val="Heading6"/>
        <w:rPr>
          <w:rFonts w:eastAsiaTheme="minorHAnsi"/>
        </w:rPr>
      </w:pPr>
      <w:r>
        <w:rPr>
          <w:rFonts w:eastAsiaTheme="minorHAnsi"/>
        </w:rPr>
        <w:t>Applicant’s response</w:t>
      </w:r>
    </w:p>
    <w:p w:rsidR="003E6564" w:rsidRDefault="003E6564" w:rsidP="00274760">
      <w:pPr>
        <w:pStyle w:val="Heading7"/>
        <w:numPr>
          <w:ilvl w:val="0"/>
          <w:numId w:val="35"/>
        </w:numPr>
        <w:ind w:left="426"/>
        <w:rPr>
          <w:rFonts w:eastAsiaTheme="minorHAnsi"/>
        </w:rPr>
      </w:pPr>
      <w:r>
        <w:rPr>
          <w:rFonts w:eastAsiaTheme="minorHAnsi"/>
        </w:rPr>
        <w:t>Assessment of microbiological eradication</w:t>
      </w:r>
    </w:p>
    <w:p w:rsidR="003E6564" w:rsidRPr="00F5115F" w:rsidRDefault="003E6564" w:rsidP="00274760">
      <w:r w:rsidRPr="00F5115F">
        <w:t xml:space="preserve">The microbiological outcome at the TOC visit in </w:t>
      </w:r>
      <w:r w:rsidR="00F5115F" w:rsidRPr="00F5115F">
        <w:t>S</w:t>
      </w:r>
      <w:r w:rsidRPr="00F5115F">
        <w:t>tudy BAP248/307 was derived from a</w:t>
      </w:r>
      <w:r w:rsidR="00F5115F" w:rsidRPr="00F5115F">
        <w:t xml:space="preserve"> </w:t>
      </w:r>
      <w:r w:rsidRPr="00F5115F">
        <w:t>combination of clinical and microbiological assessment at baseline and at the TOC visit.</w:t>
      </w:r>
    </w:p>
    <w:p w:rsidR="003E6564" w:rsidRPr="00F5115F" w:rsidRDefault="003E6564" w:rsidP="00F5115F">
      <w:r w:rsidRPr="00F5115F">
        <w:lastRenderedPageBreak/>
        <w:t>Given its timing (7</w:t>
      </w:r>
      <w:r w:rsidR="00F5115F" w:rsidRPr="00F5115F">
        <w:t xml:space="preserve"> to </w:t>
      </w:r>
      <w:r w:rsidRPr="00F5115F">
        <w:t>14 days after EOT), a microbiological sample for culture was often</w:t>
      </w:r>
      <w:r w:rsidR="00F5115F" w:rsidRPr="00F5115F">
        <w:t xml:space="preserve"> </w:t>
      </w:r>
      <w:r w:rsidRPr="00F5115F">
        <w:t>not available at TOC, particularly if subjects were cured or substantially improved, as</w:t>
      </w:r>
      <w:r w:rsidR="00F5115F" w:rsidRPr="00F5115F">
        <w:t xml:space="preserve"> </w:t>
      </w:r>
      <w:r w:rsidRPr="00F5115F">
        <w:t>respiratory samples are generally not obtained from cured patients. In</w:t>
      </w:r>
      <w:r w:rsidR="00F5115F" w:rsidRPr="00F5115F">
        <w:t xml:space="preserve"> </w:t>
      </w:r>
      <w:r w:rsidRPr="00F5115F">
        <w:t>accordance with the protocol definition, in the absence of a valid microbiological sample,</w:t>
      </w:r>
      <w:r w:rsidR="00F5115F" w:rsidRPr="00F5115F">
        <w:t xml:space="preserve"> </w:t>
      </w:r>
      <w:r w:rsidRPr="00F5115F">
        <w:t>microbiological outcome was ‘presumed’ based solely on the clinical outcome at the</w:t>
      </w:r>
      <w:r w:rsidR="00F5115F" w:rsidRPr="00F5115F">
        <w:t xml:space="preserve"> </w:t>
      </w:r>
      <w:r w:rsidRPr="00F5115F">
        <w:t>TOC visit.</w:t>
      </w:r>
    </w:p>
    <w:p w:rsidR="003E6564" w:rsidRPr="00F5115F" w:rsidRDefault="003E6564" w:rsidP="00F5115F">
      <w:r w:rsidRPr="00F5115F">
        <w:t>For analyses of microbiological eradication rates, subjects were classified as having</w:t>
      </w:r>
      <w:r w:rsidR="00F5115F" w:rsidRPr="00F5115F">
        <w:t xml:space="preserve"> </w:t>
      </w:r>
      <w:r w:rsidRPr="00F5115F">
        <w:t>microbiological eradication irrespective of whether ‘eradication’ was ‘confirmed’ (no</w:t>
      </w:r>
      <w:r w:rsidR="00F5115F" w:rsidRPr="00F5115F">
        <w:t xml:space="preserve"> </w:t>
      </w:r>
      <w:r w:rsidRPr="00F5115F">
        <w:t>growth in a valid microbiological culture at TOC regardless of the clinical outcome) or</w:t>
      </w:r>
      <w:r w:rsidR="00F5115F" w:rsidRPr="00F5115F">
        <w:t xml:space="preserve"> </w:t>
      </w:r>
      <w:r w:rsidRPr="00F5115F">
        <w:t>‘presumed’ (for subjects with clinical cure who had no valid microbiological sample at</w:t>
      </w:r>
      <w:r w:rsidR="00F5115F" w:rsidRPr="00F5115F">
        <w:t xml:space="preserve"> </w:t>
      </w:r>
      <w:r w:rsidRPr="00F5115F">
        <w:t>the TOC visit). Subjects with clinical failure who had no valid microbiological sample at</w:t>
      </w:r>
      <w:r w:rsidR="00F5115F" w:rsidRPr="00F5115F">
        <w:t xml:space="preserve"> </w:t>
      </w:r>
      <w:r w:rsidRPr="00F5115F">
        <w:t>the TOC visit were classified as microbiological failures due to ‘presumed’ persistence.</w:t>
      </w:r>
    </w:p>
    <w:p w:rsidR="003E6564" w:rsidRPr="00F5115F" w:rsidRDefault="003E6564" w:rsidP="00F5115F">
      <w:r w:rsidRPr="00F5115F">
        <w:t>The majority (&gt; 95%) of subjects who were classified as microbiological</w:t>
      </w:r>
      <w:r w:rsidR="00F5115F" w:rsidRPr="00F5115F">
        <w:t xml:space="preserve"> </w:t>
      </w:r>
      <w:r w:rsidRPr="00F5115F">
        <w:t>eradications</w:t>
      </w:r>
      <w:r w:rsidR="0052542E" w:rsidRPr="0052542E">
        <w:t xml:space="preserve"> </w:t>
      </w:r>
      <w:r w:rsidR="0052542E" w:rsidRPr="00F5115F">
        <w:t>in both groups</w:t>
      </w:r>
      <w:r w:rsidRPr="00F5115F">
        <w:t xml:space="preserve"> were ‘presumed’ eradications. Effica</w:t>
      </w:r>
      <w:r w:rsidRPr="00274760">
        <w:t>c</w:t>
      </w:r>
      <w:r w:rsidRPr="00F5115F">
        <w:t>y by baseline pathogen may therefore</w:t>
      </w:r>
      <w:r w:rsidR="00F5115F" w:rsidRPr="00F5115F">
        <w:t xml:space="preserve"> </w:t>
      </w:r>
      <w:r w:rsidRPr="00F5115F">
        <w:t>be best described by clinical cure rates rather than microbiological eradication</w:t>
      </w:r>
      <w:r w:rsidR="00F5115F" w:rsidRPr="00F5115F">
        <w:t xml:space="preserve"> </w:t>
      </w:r>
      <w:r w:rsidRPr="00F5115F">
        <w:t>rates.</w:t>
      </w:r>
    </w:p>
    <w:p w:rsidR="003E6564" w:rsidRDefault="003E6564" w:rsidP="00274760">
      <w:pPr>
        <w:pStyle w:val="Heading7"/>
        <w:numPr>
          <w:ilvl w:val="0"/>
          <w:numId w:val="35"/>
        </w:numPr>
        <w:ind w:left="426"/>
        <w:rPr>
          <w:rFonts w:eastAsiaTheme="minorHAnsi"/>
        </w:rPr>
      </w:pPr>
      <w:r>
        <w:rPr>
          <w:rFonts w:eastAsiaTheme="minorHAnsi"/>
        </w:rPr>
        <w:t>Microbiological outcomes</w:t>
      </w:r>
    </w:p>
    <w:p w:rsidR="003E6564" w:rsidRDefault="003E6564" w:rsidP="00274760">
      <w:r>
        <w:t xml:space="preserve">The overall microbiological eradication rate in the </w:t>
      </w:r>
      <w:proofErr w:type="spellStart"/>
      <w:r>
        <w:t>ceftobiprole</w:t>
      </w:r>
      <w:proofErr w:type="spellEnd"/>
      <w:r>
        <w:t xml:space="preserve"> group was 62.9%</w:t>
      </w:r>
      <w:r w:rsidR="00F5115F">
        <w:t xml:space="preserve"> </w:t>
      </w:r>
      <w:r>
        <w:t>(73/116; 70 ‘presumed’ and 3 ‘confirmed’ eradications), compared to 67.5% (81/120;</w:t>
      </w:r>
      <w:r w:rsidR="00F5115F">
        <w:t xml:space="preserve"> </w:t>
      </w:r>
      <w:r>
        <w:t>78 ‘presumed’ and 3 ‘confirmed’ eradications) in the linezolid/ ceftazidime group.</w:t>
      </w:r>
    </w:p>
    <w:p w:rsidR="003E6564" w:rsidRDefault="003E6564" w:rsidP="00274760">
      <w:r>
        <w:t xml:space="preserve">However, in subjects with clinical cure, 73/86 (85%) in the </w:t>
      </w:r>
      <w:proofErr w:type="spellStart"/>
      <w:r>
        <w:t>ceftobiprole</w:t>
      </w:r>
      <w:proofErr w:type="spellEnd"/>
      <w:r>
        <w:t xml:space="preserve"> group and</w:t>
      </w:r>
      <w:r w:rsidR="00F5115F">
        <w:t xml:space="preserve"> </w:t>
      </w:r>
      <w:r>
        <w:t>81/94</w:t>
      </w:r>
      <w:r w:rsidR="00F5115F">
        <w:t xml:space="preserve"> </w:t>
      </w:r>
      <w:r>
        <w:t>(86%) in the linezolid/ceftazidime group, had an outcome of microbiological eradication</w:t>
      </w:r>
      <w:r w:rsidR="00F5115F">
        <w:t xml:space="preserve"> </w:t>
      </w:r>
      <w:r>
        <w:t>(presumed plus confirmed). Of these subjects, ‘confirmed’ microbiological eradications</w:t>
      </w:r>
      <w:r w:rsidR="00F5115F">
        <w:t xml:space="preserve"> </w:t>
      </w:r>
      <w:r>
        <w:t xml:space="preserve">were comparable between the treatment groups (3/73 in the </w:t>
      </w:r>
      <w:proofErr w:type="spellStart"/>
      <w:r>
        <w:t>ceftobiprole</w:t>
      </w:r>
      <w:proofErr w:type="spellEnd"/>
      <w:r>
        <w:t xml:space="preserve"> group and</w:t>
      </w:r>
      <w:r w:rsidR="00F5115F">
        <w:t xml:space="preserve"> </w:t>
      </w:r>
      <w:r>
        <w:t>3/81 in the linezolid/ceftazidime group).</w:t>
      </w:r>
    </w:p>
    <w:p w:rsidR="003E6564" w:rsidRDefault="003E6564" w:rsidP="00274760">
      <w:pPr>
        <w:rPr>
          <w:color w:val="000000"/>
        </w:rPr>
      </w:pPr>
      <w:r>
        <w:t xml:space="preserve">Differences in microbiological eradication rates between the </w:t>
      </w:r>
      <w:proofErr w:type="spellStart"/>
      <w:r>
        <w:t>ceftobiprole</w:t>
      </w:r>
      <w:proofErr w:type="spellEnd"/>
      <w:r>
        <w:t xml:space="preserve"> and</w:t>
      </w:r>
      <w:r w:rsidR="00F5115F">
        <w:t xml:space="preserve"> </w:t>
      </w:r>
      <w:r>
        <w:t>linezolid/ceftazidime treatment groups (60.3% v</w:t>
      </w:r>
      <w:r w:rsidR="00F5115F">
        <w:t>ersu</w:t>
      </w:r>
      <w:r>
        <w:t>s 65.0%, respectively) were only</w:t>
      </w:r>
      <w:r w:rsidR="00F5115F">
        <w:t xml:space="preserve"> </w:t>
      </w:r>
      <w:r>
        <w:t>observed in the subgroup of subjects with ‘presumed’ eradication. In contrast,</w:t>
      </w:r>
      <w:r w:rsidR="00F5115F">
        <w:t xml:space="preserve"> m</w:t>
      </w:r>
      <w:r>
        <w:rPr>
          <w:color w:val="000000"/>
        </w:rPr>
        <w:t>icrobiological outcome in subjects with a valid microbiological sample at the TOC visit</w:t>
      </w:r>
      <w:r w:rsidR="00F5115F">
        <w:rPr>
          <w:color w:val="000000"/>
        </w:rPr>
        <w:t xml:space="preserve"> </w:t>
      </w:r>
      <w:r>
        <w:rPr>
          <w:color w:val="000000"/>
        </w:rPr>
        <w:t xml:space="preserve">was comparable between the </w:t>
      </w:r>
      <w:proofErr w:type="spellStart"/>
      <w:r>
        <w:rPr>
          <w:color w:val="000000"/>
        </w:rPr>
        <w:t>ceftobiprole</w:t>
      </w:r>
      <w:proofErr w:type="spellEnd"/>
      <w:r>
        <w:rPr>
          <w:color w:val="000000"/>
        </w:rPr>
        <w:t xml:space="preserve"> and linezolid/ceftazidime groups.</w:t>
      </w:r>
    </w:p>
    <w:p w:rsidR="003E6564" w:rsidRDefault="003E6564" w:rsidP="00F5115F">
      <w:pPr>
        <w:rPr>
          <w:color w:val="000000"/>
        </w:rPr>
      </w:pPr>
      <w:r>
        <w:rPr>
          <w:color w:val="000000"/>
        </w:rPr>
        <w:t>Valid microbiological samples were available at TOC for subjects with a clinical</w:t>
      </w:r>
      <w:r w:rsidR="00F5115F">
        <w:rPr>
          <w:color w:val="000000"/>
        </w:rPr>
        <w:t xml:space="preserve"> </w:t>
      </w:r>
      <w:r>
        <w:rPr>
          <w:color w:val="000000"/>
        </w:rPr>
        <w:t xml:space="preserve">outcome of cure for 16/86 </w:t>
      </w:r>
      <w:proofErr w:type="spellStart"/>
      <w:r>
        <w:rPr>
          <w:color w:val="000000"/>
        </w:rPr>
        <w:t>ceftobiprole</w:t>
      </w:r>
      <w:proofErr w:type="spellEnd"/>
      <w:r>
        <w:rPr>
          <w:color w:val="000000"/>
        </w:rPr>
        <w:t xml:space="preserve"> subjects (18.6%) and 16/94 linezolid/ceftazidime</w:t>
      </w:r>
      <w:r w:rsidR="00F5115F">
        <w:rPr>
          <w:color w:val="000000"/>
        </w:rPr>
        <w:t xml:space="preserve"> </w:t>
      </w:r>
      <w:r>
        <w:rPr>
          <w:color w:val="000000"/>
        </w:rPr>
        <w:t>subjects (17.0%). For subjects with a clinical outcome of failure, valid microbiological</w:t>
      </w:r>
      <w:r w:rsidR="00F5115F">
        <w:rPr>
          <w:color w:val="000000"/>
        </w:rPr>
        <w:t xml:space="preserve"> </w:t>
      </w:r>
      <w:r>
        <w:rPr>
          <w:color w:val="000000"/>
        </w:rPr>
        <w:t xml:space="preserve">samples were available at TOC for 7/30 </w:t>
      </w:r>
      <w:proofErr w:type="spellStart"/>
      <w:r>
        <w:rPr>
          <w:color w:val="000000"/>
        </w:rPr>
        <w:t>ceftobiprole</w:t>
      </w:r>
      <w:proofErr w:type="spellEnd"/>
      <w:r>
        <w:rPr>
          <w:color w:val="000000"/>
        </w:rPr>
        <w:t xml:space="preserve"> subjects (23.3%) and</w:t>
      </w:r>
      <w:r w:rsidR="00F5115F">
        <w:rPr>
          <w:color w:val="000000"/>
        </w:rPr>
        <w:t xml:space="preserve"> </w:t>
      </w:r>
      <w:r>
        <w:rPr>
          <w:color w:val="000000"/>
        </w:rPr>
        <w:t>9/26 linezolid/ceftazidime subjects (34.6%).</w:t>
      </w:r>
    </w:p>
    <w:p w:rsidR="003E6564" w:rsidRDefault="003E6564" w:rsidP="00F5115F">
      <w:pPr>
        <w:rPr>
          <w:color w:val="000000"/>
        </w:rPr>
      </w:pPr>
      <w:r>
        <w:rPr>
          <w:color w:val="000000"/>
        </w:rPr>
        <w:t>The rate of ‘confirmed’ microbiological failure (persistence or colonization) in subjects</w:t>
      </w:r>
      <w:r w:rsidR="00F5115F">
        <w:rPr>
          <w:color w:val="000000"/>
        </w:rPr>
        <w:t xml:space="preserve"> </w:t>
      </w:r>
      <w:r>
        <w:rPr>
          <w:color w:val="000000"/>
        </w:rPr>
        <w:t>with clinical cure was also comparable between the treatment groups. Microbiological</w:t>
      </w:r>
      <w:r w:rsidR="00F5115F">
        <w:rPr>
          <w:color w:val="000000"/>
        </w:rPr>
        <w:t xml:space="preserve"> </w:t>
      </w:r>
      <w:r>
        <w:rPr>
          <w:color w:val="000000"/>
        </w:rPr>
        <w:t>failure in clinically cured subjects was observed in 13/86 subjects (15.1%) in the</w:t>
      </w:r>
      <w:r w:rsidR="00F5115F">
        <w:rPr>
          <w:color w:val="000000"/>
        </w:rPr>
        <w:t xml:space="preserve"> </w:t>
      </w:r>
      <w:proofErr w:type="spellStart"/>
      <w:r>
        <w:rPr>
          <w:color w:val="000000"/>
        </w:rPr>
        <w:t>ceftobiprole</w:t>
      </w:r>
      <w:proofErr w:type="spellEnd"/>
      <w:r>
        <w:rPr>
          <w:color w:val="000000"/>
        </w:rPr>
        <w:t xml:space="preserve"> group, and 13/94 subjects (13.8%) in the linezolid/ceftazidime group.</w:t>
      </w:r>
      <w:r w:rsidR="00F5115F">
        <w:rPr>
          <w:color w:val="000000"/>
        </w:rPr>
        <w:t xml:space="preserve"> </w:t>
      </w:r>
      <w:r>
        <w:rPr>
          <w:color w:val="000000"/>
        </w:rPr>
        <w:t>No subjects in either treatment group with clinical failure at the TOC visit had</w:t>
      </w:r>
      <w:r w:rsidR="00F5115F">
        <w:rPr>
          <w:color w:val="000000"/>
        </w:rPr>
        <w:t xml:space="preserve"> </w:t>
      </w:r>
      <w:r>
        <w:rPr>
          <w:color w:val="000000"/>
        </w:rPr>
        <w:t>‘confirmed’ microbiological eradication. The rate of ‘confirmed’ microbiological failure</w:t>
      </w:r>
      <w:r w:rsidR="00F5115F">
        <w:rPr>
          <w:color w:val="000000"/>
        </w:rPr>
        <w:t xml:space="preserve"> </w:t>
      </w:r>
      <w:r>
        <w:rPr>
          <w:color w:val="000000"/>
        </w:rPr>
        <w:t>(</w:t>
      </w:r>
      <w:r w:rsidR="00F5115F">
        <w:rPr>
          <w:color w:val="000000"/>
        </w:rPr>
        <w:t>that is,</w:t>
      </w:r>
      <w:r>
        <w:rPr>
          <w:color w:val="000000"/>
        </w:rPr>
        <w:t xml:space="preserve"> persistence or superinfection) in subjects with clinical failure at TOC was higher in</w:t>
      </w:r>
      <w:r w:rsidR="00F5115F">
        <w:rPr>
          <w:color w:val="000000"/>
        </w:rPr>
        <w:t xml:space="preserve"> </w:t>
      </w:r>
      <w:r>
        <w:rPr>
          <w:color w:val="000000"/>
        </w:rPr>
        <w:t xml:space="preserve">the linezolid/ceftazidime group: 7/30 subjects (23.3%) in the </w:t>
      </w:r>
      <w:proofErr w:type="spellStart"/>
      <w:r>
        <w:rPr>
          <w:color w:val="000000"/>
        </w:rPr>
        <w:t>ceftobiprole</w:t>
      </w:r>
      <w:proofErr w:type="spellEnd"/>
      <w:r>
        <w:rPr>
          <w:color w:val="000000"/>
        </w:rPr>
        <w:t xml:space="preserve"> group and 9/26</w:t>
      </w:r>
      <w:r w:rsidR="00F5115F">
        <w:rPr>
          <w:color w:val="000000"/>
        </w:rPr>
        <w:t xml:space="preserve"> </w:t>
      </w:r>
      <w:r>
        <w:rPr>
          <w:color w:val="000000"/>
        </w:rPr>
        <w:t>subjects (34.6%) in the linezolid/ceftazidime group.</w:t>
      </w:r>
    </w:p>
    <w:p w:rsidR="003E6564" w:rsidRDefault="003E6564" w:rsidP="00274760">
      <w:pPr>
        <w:pStyle w:val="Heading7"/>
        <w:numPr>
          <w:ilvl w:val="0"/>
          <w:numId w:val="35"/>
        </w:numPr>
        <w:ind w:left="426"/>
        <w:rPr>
          <w:rFonts w:eastAsiaTheme="minorHAnsi"/>
        </w:rPr>
      </w:pPr>
      <w:r>
        <w:rPr>
          <w:rFonts w:eastAsiaTheme="minorHAnsi"/>
        </w:rPr>
        <w:t>Microbiological eradication and clinical cure by pathogen</w:t>
      </w:r>
    </w:p>
    <w:p w:rsidR="003E6564" w:rsidRPr="00C75284" w:rsidRDefault="003E6564" w:rsidP="00274760">
      <w:r>
        <w:t>Differences in clinical cure and eradication rates by pathogen between treatment groups,</w:t>
      </w:r>
      <w:r w:rsidR="00C75284">
        <w:t xml:space="preserve"> </w:t>
      </w:r>
      <w:r>
        <w:t>with a tendency towards higher cure and eradication rates in the comparator group were</w:t>
      </w:r>
      <w:r w:rsidR="00C75284">
        <w:t xml:space="preserve"> </w:t>
      </w:r>
      <w:r>
        <w:t>observed in the analyses of ‘All subjects’ (</w:t>
      </w:r>
      <w:r w:rsidR="00C75284">
        <w:t>that is,</w:t>
      </w:r>
      <w:r>
        <w:t xml:space="preserve"> ‘VAP subjects’ and ‘HAP excluding VAP</w:t>
      </w:r>
      <w:r w:rsidR="00C75284">
        <w:t xml:space="preserve"> </w:t>
      </w:r>
      <w:r>
        <w:t>subjects’ combined). However, for Gram</w:t>
      </w:r>
      <w:r w:rsidR="00C75284">
        <w:t xml:space="preserve"> </w:t>
      </w:r>
      <w:r>
        <w:t>positive pathogens and most of the</w:t>
      </w:r>
      <w:r w:rsidR="00C75284">
        <w:t xml:space="preserve"> </w:t>
      </w:r>
      <w:r>
        <w:t>Gram</w:t>
      </w:r>
      <w:r w:rsidR="00C75284">
        <w:t xml:space="preserve"> </w:t>
      </w:r>
      <w:r>
        <w:t>negative pathogens, these differences were driven by the inferior outcome of</w:t>
      </w:r>
      <w:r w:rsidR="00C75284">
        <w:t xml:space="preserve"> </w:t>
      </w:r>
      <w:proofErr w:type="spellStart"/>
      <w:r>
        <w:t>ceftobiprole</w:t>
      </w:r>
      <w:proofErr w:type="spellEnd"/>
      <w:r>
        <w:t xml:space="preserve"> in VAP subjects (</w:t>
      </w:r>
      <w:r w:rsidRPr="00C75284">
        <w:t xml:space="preserve">see </w:t>
      </w:r>
      <w:r w:rsidR="00C75284" w:rsidRPr="00C75284">
        <w:t>Table 15</w:t>
      </w:r>
      <w:r w:rsidRPr="00C75284">
        <w:t>). For the larger group of HAP (excluding</w:t>
      </w:r>
      <w:r w:rsidR="00C75284" w:rsidRPr="00C75284">
        <w:t xml:space="preserve"> </w:t>
      </w:r>
      <w:r w:rsidRPr="00C75284">
        <w:t xml:space="preserve">VAP) subjects, clinical cure </w:t>
      </w:r>
      <w:r w:rsidRPr="00C75284">
        <w:lastRenderedPageBreak/>
        <w:t>and microbiological eradication rates were similar, in</w:t>
      </w:r>
      <w:r w:rsidR="00C75284" w:rsidRPr="00C75284">
        <w:t xml:space="preserve"> </w:t>
      </w:r>
      <w:r w:rsidRPr="00C75284">
        <w:t>particular for Gram</w:t>
      </w:r>
      <w:r w:rsidR="00C75284">
        <w:t xml:space="preserve"> </w:t>
      </w:r>
      <w:r w:rsidRPr="00C75284">
        <w:t>positive pathogens but also for most of the Gram</w:t>
      </w:r>
      <w:r w:rsidR="00C75284">
        <w:t xml:space="preserve"> </w:t>
      </w:r>
      <w:r w:rsidRPr="00C75284">
        <w:t>negative</w:t>
      </w:r>
      <w:r w:rsidR="00C75284" w:rsidRPr="00C75284">
        <w:t xml:space="preserve"> </w:t>
      </w:r>
      <w:r w:rsidRPr="00C75284">
        <w:t>pathogens.</w:t>
      </w:r>
    </w:p>
    <w:p w:rsidR="003E6564" w:rsidRDefault="003E6564" w:rsidP="00C75284">
      <w:r w:rsidRPr="00C75284">
        <w:t>Clinical cure and microbiological eradication for infections with Gram-negative</w:t>
      </w:r>
      <w:r w:rsidR="00C75284" w:rsidRPr="00C75284">
        <w:t xml:space="preserve"> </w:t>
      </w:r>
      <w:r w:rsidRPr="00C75284">
        <w:t>pathogens are summarised in Table 1</w:t>
      </w:r>
      <w:r w:rsidR="00C75284" w:rsidRPr="00C75284">
        <w:t>5</w:t>
      </w:r>
      <w:r w:rsidRPr="00C75284">
        <w:t xml:space="preserve"> and are discussed </w:t>
      </w:r>
      <w:r>
        <w:t>in more detail below:</w:t>
      </w:r>
    </w:p>
    <w:p w:rsidR="003E6564" w:rsidRPr="00C75284" w:rsidRDefault="003E6564" w:rsidP="00274760">
      <w:pPr>
        <w:pStyle w:val="ListBullet"/>
      </w:pPr>
      <w:r w:rsidRPr="00C75284">
        <w:t xml:space="preserve">For the relatively small </w:t>
      </w:r>
      <w:r w:rsidRPr="00274760">
        <w:t>sample</w:t>
      </w:r>
      <w:r w:rsidRPr="00C75284">
        <w:t xml:space="preserve"> of </w:t>
      </w:r>
      <w:r w:rsidRPr="00C75284">
        <w:rPr>
          <w:bCs/>
          <w:i/>
          <w:iCs/>
        </w:rPr>
        <w:t xml:space="preserve">Haemophilus </w:t>
      </w:r>
      <w:r w:rsidRPr="00C75284">
        <w:rPr>
          <w:bCs/>
        </w:rPr>
        <w:t xml:space="preserve">and </w:t>
      </w:r>
      <w:r w:rsidRPr="00C75284">
        <w:rPr>
          <w:bCs/>
          <w:i/>
          <w:iCs/>
        </w:rPr>
        <w:t xml:space="preserve">Acinetobacter </w:t>
      </w:r>
      <w:r w:rsidRPr="00C75284">
        <w:t>species at</w:t>
      </w:r>
      <w:r w:rsidR="00C75284" w:rsidRPr="00C75284">
        <w:t xml:space="preserve"> </w:t>
      </w:r>
      <w:r w:rsidRPr="00C75284">
        <w:t>baseline, numerically lower clinical cure and microbiological eradication rates were</w:t>
      </w:r>
      <w:r w:rsidR="00C75284" w:rsidRPr="00C75284">
        <w:t xml:space="preserve"> </w:t>
      </w:r>
      <w:r w:rsidRPr="00C75284">
        <w:t>observed, in both the VAP and HAP (excluding VAP) subgroups.</w:t>
      </w:r>
    </w:p>
    <w:p w:rsidR="003E6564" w:rsidRPr="00C75284" w:rsidRDefault="003E6564" w:rsidP="00C75284">
      <w:pPr>
        <w:pStyle w:val="ListBullet"/>
      </w:pPr>
      <w:r w:rsidRPr="00C75284">
        <w:t xml:space="preserve">For the most prevalent </w:t>
      </w:r>
      <w:proofErr w:type="spellStart"/>
      <w:r w:rsidRPr="00C75284">
        <w:rPr>
          <w:i/>
        </w:rPr>
        <w:t>Enterobacteriaceae</w:t>
      </w:r>
      <w:proofErr w:type="spellEnd"/>
      <w:r w:rsidRPr="00C75284">
        <w:t xml:space="preserve">, such as </w:t>
      </w:r>
      <w:r w:rsidRPr="00C75284">
        <w:rPr>
          <w:bCs/>
          <w:i/>
          <w:iCs/>
        </w:rPr>
        <w:t xml:space="preserve">Escherichia coli, </w:t>
      </w:r>
      <w:proofErr w:type="spellStart"/>
      <w:r w:rsidRPr="00C75284">
        <w:rPr>
          <w:bCs/>
          <w:i/>
          <w:iCs/>
        </w:rPr>
        <w:t>Klebsiella</w:t>
      </w:r>
      <w:proofErr w:type="spellEnd"/>
      <w:r w:rsidR="00C75284" w:rsidRPr="00C75284">
        <w:rPr>
          <w:bCs/>
          <w:i/>
          <w:iCs/>
        </w:rPr>
        <w:t xml:space="preserve"> </w:t>
      </w:r>
      <w:r w:rsidRPr="00C75284">
        <w:rPr>
          <w:bCs/>
          <w:i/>
          <w:iCs/>
        </w:rPr>
        <w:t xml:space="preserve">pneumoniae, Enterobacter spp. </w:t>
      </w:r>
      <w:r w:rsidRPr="00C75284">
        <w:t xml:space="preserve">and </w:t>
      </w:r>
      <w:r w:rsidRPr="00C75284">
        <w:rPr>
          <w:bCs/>
          <w:i/>
          <w:iCs/>
        </w:rPr>
        <w:t xml:space="preserve">Proteus mirabilis, </w:t>
      </w:r>
      <w:r w:rsidRPr="00C75284">
        <w:t xml:space="preserve">and for </w:t>
      </w:r>
      <w:r w:rsidRPr="00C75284">
        <w:rPr>
          <w:bCs/>
          <w:i/>
          <w:iCs/>
        </w:rPr>
        <w:t>Pseudomonas</w:t>
      </w:r>
      <w:r w:rsidR="00C75284" w:rsidRPr="00C75284">
        <w:rPr>
          <w:bCs/>
          <w:i/>
          <w:iCs/>
        </w:rPr>
        <w:t xml:space="preserve"> </w:t>
      </w:r>
      <w:r w:rsidRPr="00C75284">
        <w:rPr>
          <w:bCs/>
          <w:i/>
          <w:iCs/>
        </w:rPr>
        <w:t xml:space="preserve">aeruginosa, </w:t>
      </w:r>
      <w:r w:rsidRPr="00C75284">
        <w:t>clinical cure and microbiological eradication rates were similar between</w:t>
      </w:r>
      <w:r w:rsidR="00C75284" w:rsidRPr="00C75284">
        <w:t xml:space="preserve"> </w:t>
      </w:r>
      <w:r w:rsidRPr="00C75284">
        <w:t xml:space="preserve">treatment groups in HAP (excluding VAP) subjects. For </w:t>
      </w:r>
      <w:r w:rsidRPr="00C75284">
        <w:rPr>
          <w:bCs/>
          <w:i/>
          <w:iCs/>
        </w:rPr>
        <w:t>K. pneumoniae,</w:t>
      </w:r>
      <w:r w:rsidR="00C75284" w:rsidRPr="00C75284">
        <w:rPr>
          <w:bCs/>
          <w:i/>
          <w:iCs/>
        </w:rPr>
        <w:t xml:space="preserve"> </w:t>
      </w:r>
      <w:r w:rsidRPr="00C75284">
        <w:rPr>
          <w:bCs/>
          <w:i/>
          <w:iCs/>
        </w:rPr>
        <w:t xml:space="preserve">Enterobacter spp. P. mirabilis </w:t>
      </w:r>
      <w:r w:rsidRPr="00C75284">
        <w:t xml:space="preserve">and </w:t>
      </w:r>
      <w:r w:rsidRPr="00C75284">
        <w:rPr>
          <w:bCs/>
          <w:i/>
          <w:iCs/>
        </w:rPr>
        <w:t>P. aeruginosa</w:t>
      </w:r>
      <w:r w:rsidRPr="00C75284">
        <w:t>, there was a tendency towards</w:t>
      </w:r>
      <w:r w:rsidR="00C75284" w:rsidRPr="00C75284">
        <w:t xml:space="preserve"> </w:t>
      </w:r>
      <w:r w:rsidRPr="00C75284">
        <w:t xml:space="preserve">higher clinical cure and microbiological eradication rates in the </w:t>
      </w:r>
      <w:proofErr w:type="spellStart"/>
      <w:r w:rsidRPr="00C75284">
        <w:t>ceftobiprole</w:t>
      </w:r>
      <w:proofErr w:type="spellEnd"/>
      <w:r w:rsidRPr="00C75284">
        <w:t xml:space="preserve"> group.</w:t>
      </w:r>
    </w:p>
    <w:p w:rsidR="003E6564" w:rsidRDefault="00C75284" w:rsidP="00274760">
      <w:pPr>
        <w:pStyle w:val="ListBullet"/>
      </w:pPr>
      <w:r w:rsidRPr="00C75284">
        <w:t>W</w:t>
      </w:r>
      <w:r w:rsidR="003E6564" w:rsidRPr="00C75284">
        <w:t xml:space="preserve">hen members of the family of </w:t>
      </w:r>
      <w:proofErr w:type="spellStart"/>
      <w:r w:rsidR="003E6564" w:rsidRPr="00C75284">
        <w:rPr>
          <w:bCs/>
        </w:rPr>
        <w:t>Enterobacteriaceae</w:t>
      </w:r>
      <w:proofErr w:type="spellEnd"/>
      <w:r w:rsidR="003E6564" w:rsidRPr="00C75284">
        <w:rPr>
          <w:bCs/>
        </w:rPr>
        <w:t xml:space="preserve"> </w:t>
      </w:r>
      <w:r w:rsidR="003E6564" w:rsidRPr="00C75284">
        <w:t>were combined and analysed as</w:t>
      </w:r>
      <w:r w:rsidRPr="00C75284">
        <w:t xml:space="preserve"> </w:t>
      </w:r>
      <w:r w:rsidR="003E6564" w:rsidRPr="00C75284">
        <w:t>a group, a disparity between the clinical cure rate and the microbiological eradication</w:t>
      </w:r>
      <w:r w:rsidRPr="00C75284">
        <w:t xml:space="preserve"> </w:t>
      </w:r>
      <w:r w:rsidR="003E6564" w:rsidRPr="00C75284">
        <w:t xml:space="preserve">rate was observed in both the VAP and </w:t>
      </w:r>
      <w:r w:rsidR="003E6564" w:rsidRPr="00274760">
        <w:t>HAP</w:t>
      </w:r>
      <w:r w:rsidR="003E6564" w:rsidRPr="00C75284">
        <w:t xml:space="preserve"> (excluding VAP) </w:t>
      </w:r>
      <w:proofErr w:type="spellStart"/>
      <w:r w:rsidR="003E6564" w:rsidRPr="00C75284">
        <w:t>ceftobiprole</w:t>
      </w:r>
      <w:proofErr w:type="spellEnd"/>
      <w:r w:rsidR="003E6564" w:rsidRPr="00C75284">
        <w:t xml:space="preserve"> groups.</w:t>
      </w:r>
      <w:r w:rsidRPr="00C75284">
        <w:t xml:space="preserve"> </w:t>
      </w:r>
      <w:r w:rsidR="003E6564" w:rsidRPr="00C75284">
        <w:t xml:space="preserve">In HAP (excluding VAP) subjects, the clinical cure rates were similar for </w:t>
      </w:r>
      <w:proofErr w:type="spellStart"/>
      <w:r w:rsidR="003E6564" w:rsidRPr="00C75284">
        <w:t>ceftobiprole</w:t>
      </w:r>
      <w:proofErr w:type="spellEnd"/>
      <w:r w:rsidR="003E6564" w:rsidRPr="00C75284">
        <w:t xml:space="preserve"> </w:t>
      </w:r>
      <w:r w:rsidRPr="00C75284">
        <w:t xml:space="preserve">  7</w:t>
      </w:r>
      <w:r w:rsidR="003E6564" w:rsidRPr="00C75284">
        <w:t>2%) and comparator (71%), but microbiological eradication was lower for</w:t>
      </w:r>
      <w:r w:rsidRPr="00C75284">
        <w:t xml:space="preserve"> </w:t>
      </w:r>
      <w:proofErr w:type="spellStart"/>
      <w:r w:rsidR="003E6564" w:rsidRPr="00C75284">
        <w:t>ceftobiprole</w:t>
      </w:r>
      <w:proofErr w:type="spellEnd"/>
      <w:r w:rsidR="003E6564" w:rsidRPr="00C75284">
        <w:t>: (63%, [29/46] v</w:t>
      </w:r>
      <w:r>
        <w:t>ersu</w:t>
      </w:r>
      <w:r w:rsidR="003E6564" w:rsidRPr="00C75284">
        <w:t>s 71%, [32/45]). This difference is explained by 4 of the</w:t>
      </w:r>
      <w:r w:rsidRPr="00C75284">
        <w:t xml:space="preserve"> </w:t>
      </w:r>
      <w:r w:rsidR="003E6564" w:rsidRPr="00C75284">
        <w:t xml:space="preserve">33 clinically cured </w:t>
      </w:r>
      <w:proofErr w:type="spellStart"/>
      <w:r w:rsidR="003E6564" w:rsidRPr="00C75284">
        <w:t>ceftobiprole</w:t>
      </w:r>
      <w:proofErr w:type="spellEnd"/>
      <w:r w:rsidR="003E6564" w:rsidRPr="00C75284">
        <w:t xml:space="preserve"> subjects who had confirmed microbiological</w:t>
      </w:r>
      <w:r w:rsidRPr="00C75284">
        <w:t xml:space="preserve"> </w:t>
      </w:r>
      <w:r w:rsidR="003E6564" w:rsidRPr="00C75284">
        <w:t>persistence, which was not confined to any specific species but was observed for</w:t>
      </w:r>
      <w:r w:rsidRPr="00C75284">
        <w:t xml:space="preserve"> </w:t>
      </w:r>
      <w:r w:rsidR="003E6564" w:rsidRPr="00C75284">
        <w:t xml:space="preserve">single cases of </w:t>
      </w:r>
      <w:r w:rsidR="003E6564" w:rsidRPr="00C75284">
        <w:rPr>
          <w:i/>
          <w:iCs/>
        </w:rPr>
        <w:t xml:space="preserve">P. mirabilis, S. </w:t>
      </w:r>
      <w:proofErr w:type="spellStart"/>
      <w:r w:rsidR="003E6564" w:rsidRPr="00C75284">
        <w:rPr>
          <w:i/>
          <w:iCs/>
        </w:rPr>
        <w:t>marcescens</w:t>
      </w:r>
      <w:proofErr w:type="spellEnd"/>
      <w:r w:rsidR="003E6564" w:rsidRPr="00C75284">
        <w:rPr>
          <w:i/>
          <w:iCs/>
        </w:rPr>
        <w:t xml:space="preserve">, Enterobacter cloacae </w:t>
      </w:r>
      <w:r w:rsidR="003E6564" w:rsidRPr="00C75284">
        <w:t xml:space="preserve">and </w:t>
      </w:r>
      <w:r w:rsidR="003E6564" w:rsidRPr="00C75284">
        <w:rPr>
          <w:i/>
          <w:iCs/>
        </w:rPr>
        <w:t>K. pneumoniae</w:t>
      </w:r>
      <w:r w:rsidR="003E6564" w:rsidRPr="00C75284">
        <w:t>.</w:t>
      </w:r>
    </w:p>
    <w:p w:rsidR="00215AAA" w:rsidRDefault="00215AAA" w:rsidP="00274760">
      <w:pPr>
        <w:pStyle w:val="Heading5"/>
        <w:rPr>
          <w:rFonts w:eastAsiaTheme="minorHAnsi"/>
        </w:rPr>
      </w:pPr>
      <w:r w:rsidRPr="00274760">
        <w:rPr>
          <w:rFonts w:eastAsiaTheme="minorHAnsi"/>
        </w:rPr>
        <w:t>Conclusions</w:t>
      </w:r>
    </w:p>
    <w:p w:rsidR="00215AAA" w:rsidRDefault="00215AAA" w:rsidP="00274760">
      <w:r>
        <w:t xml:space="preserve">Clinical and microbiological outcomes were comparable and consistent between treatment groups for Gram positive pathogens, </w:t>
      </w:r>
      <w:r>
        <w:rPr>
          <w:i/>
          <w:iCs/>
        </w:rPr>
        <w:t xml:space="preserve">P. aeruginosa, </w:t>
      </w:r>
      <w:r>
        <w:t xml:space="preserve">and the most prevalent </w:t>
      </w:r>
      <w:proofErr w:type="spellStart"/>
      <w:r>
        <w:t>Enterobacteriaceae</w:t>
      </w:r>
      <w:proofErr w:type="spellEnd"/>
      <w:r>
        <w:t xml:space="preserve"> species (</w:t>
      </w:r>
      <w:r>
        <w:rPr>
          <w:i/>
          <w:iCs/>
        </w:rPr>
        <w:t xml:space="preserve">Escherichia coli, </w:t>
      </w:r>
      <w:proofErr w:type="spellStart"/>
      <w:r>
        <w:rPr>
          <w:i/>
          <w:iCs/>
        </w:rPr>
        <w:t>Klebsiella</w:t>
      </w:r>
      <w:proofErr w:type="spellEnd"/>
      <w:r>
        <w:rPr>
          <w:i/>
          <w:iCs/>
        </w:rPr>
        <w:t xml:space="preserve"> pneumoniae, Enterobacter spp. </w:t>
      </w:r>
      <w:r>
        <w:t xml:space="preserve">and </w:t>
      </w:r>
      <w:r>
        <w:rPr>
          <w:i/>
          <w:iCs/>
        </w:rPr>
        <w:t>Proteus mirabilis</w:t>
      </w:r>
      <w:r>
        <w:t>).</w:t>
      </w:r>
    </w:p>
    <w:p w:rsidR="00215AAA" w:rsidRDefault="00215AAA" w:rsidP="00274760">
      <w:r>
        <w:t xml:space="preserve">Only in the relatively small sample of </w:t>
      </w:r>
      <w:r>
        <w:rPr>
          <w:i/>
          <w:iCs/>
        </w:rPr>
        <w:t xml:space="preserve">Acinetobacter </w:t>
      </w:r>
      <w:proofErr w:type="spellStart"/>
      <w:r>
        <w:rPr>
          <w:i/>
          <w:iCs/>
        </w:rPr>
        <w:t>baumannii</w:t>
      </w:r>
      <w:proofErr w:type="spellEnd"/>
      <w:r>
        <w:rPr>
          <w:i/>
          <w:iCs/>
        </w:rPr>
        <w:t xml:space="preserve"> </w:t>
      </w:r>
      <w:r>
        <w:t xml:space="preserve">and </w:t>
      </w:r>
      <w:r>
        <w:rPr>
          <w:i/>
          <w:iCs/>
        </w:rPr>
        <w:t xml:space="preserve">Haemophilus </w:t>
      </w:r>
      <w:r>
        <w:t xml:space="preserve">species, numerically lower clinical cure and microbiological eradication rates were observed in the </w:t>
      </w:r>
      <w:proofErr w:type="spellStart"/>
      <w:r>
        <w:t>ceftobiprole</w:t>
      </w:r>
      <w:proofErr w:type="spellEnd"/>
      <w:r>
        <w:t xml:space="preserve"> group.</w:t>
      </w:r>
    </w:p>
    <w:p w:rsidR="00215AAA" w:rsidRDefault="00215AAA" w:rsidP="00274760">
      <w:r>
        <w:t xml:space="preserve">For the overall group of </w:t>
      </w:r>
      <w:proofErr w:type="spellStart"/>
      <w:r>
        <w:t>Enterobacteriacae</w:t>
      </w:r>
      <w:proofErr w:type="spellEnd"/>
      <w:r>
        <w:t xml:space="preserve">, the lower microbiological eradication rate  or </w:t>
      </w:r>
      <w:proofErr w:type="spellStart"/>
      <w:r>
        <w:t>ceftobiprole</w:t>
      </w:r>
      <w:proofErr w:type="spellEnd"/>
      <w:r>
        <w:t xml:space="preserve"> despite similar clinical cure rates was explained by single cases of 4 clinically cured subjects with microbiological persistence of </w:t>
      </w:r>
      <w:r>
        <w:rPr>
          <w:i/>
          <w:iCs/>
        </w:rPr>
        <w:t xml:space="preserve">P. mirabilis, S. </w:t>
      </w:r>
      <w:proofErr w:type="spellStart"/>
      <w:r>
        <w:rPr>
          <w:i/>
          <w:iCs/>
        </w:rPr>
        <w:t>marcescens</w:t>
      </w:r>
      <w:proofErr w:type="spellEnd"/>
      <w:r>
        <w:rPr>
          <w:i/>
          <w:iCs/>
        </w:rPr>
        <w:t xml:space="preserve">, Enterobacter cloacae </w:t>
      </w:r>
      <w:r>
        <w:t xml:space="preserve">and </w:t>
      </w:r>
      <w:r>
        <w:rPr>
          <w:i/>
          <w:iCs/>
        </w:rPr>
        <w:t>K. pneumoniae</w:t>
      </w:r>
      <w:r>
        <w:t xml:space="preserve">. Since persistent </w:t>
      </w:r>
      <w:proofErr w:type="spellStart"/>
      <w:r>
        <w:t>Enterobacteriaceae</w:t>
      </w:r>
      <w:proofErr w:type="spellEnd"/>
      <w:r>
        <w:t xml:space="preserve"> were not observed in subjects with clinical failure in the </w:t>
      </w:r>
      <w:proofErr w:type="spellStart"/>
      <w:r>
        <w:t>ceftobiprole</w:t>
      </w:r>
      <w:proofErr w:type="spellEnd"/>
      <w:r>
        <w:t xml:space="preserve"> group, the clinical relevance of this microbiological persistence in clinically cured subjects is open to question.</w:t>
      </w:r>
    </w:p>
    <w:p w:rsidR="00215AAA" w:rsidRPr="00C75284" w:rsidRDefault="00215AAA" w:rsidP="00274760">
      <w:r w:rsidRPr="00C75284">
        <w:t xml:space="preserve">Non-inferiority of </w:t>
      </w:r>
      <w:proofErr w:type="spellStart"/>
      <w:r w:rsidRPr="00C75284">
        <w:t>ceftobiprole</w:t>
      </w:r>
      <w:proofErr w:type="spellEnd"/>
      <w:r w:rsidRPr="00C75284">
        <w:t xml:space="preserve"> to linezolid/ceftazidime for clinical cure rates at the TOC visit was demonstrated in the overall study population and in the large group of HAP subjects (excluding VAP). The lower bounds of the 95% CIs of the between-group difference were −7.3% (ITT analysis set) and −6.9% (CE analysis set), and were therefore well within the pre-specified non-inferiority margin of 15%.</w:t>
      </w:r>
    </w:p>
    <w:p w:rsidR="003E6564" w:rsidRDefault="003E6564" w:rsidP="00274760">
      <w:pPr>
        <w:pStyle w:val="TableTitle"/>
      </w:pPr>
      <w:r w:rsidRPr="00C75284">
        <w:lastRenderedPageBreak/>
        <w:t xml:space="preserve">Table </w:t>
      </w:r>
      <w:r w:rsidR="00C75284" w:rsidRPr="00C75284">
        <w:t xml:space="preserve">15: </w:t>
      </w:r>
      <w:r w:rsidRPr="00C75284">
        <w:t>Study BAP248/307: Clinical cure and microbiological eradication by</w:t>
      </w:r>
      <w:r w:rsidR="00C75284" w:rsidRPr="00C75284">
        <w:t xml:space="preserve"> </w:t>
      </w:r>
      <w:r w:rsidRPr="00C75284">
        <w:t>pathogen (Microbiologically Evaluable analysis set)</w:t>
      </w:r>
    </w:p>
    <w:p w:rsidR="00C75284" w:rsidRPr="00C75284" w:rsidRDefault="00C75284" w:rsidP="00274760">
      <w:r>
        <w:rPr>
          <w:noProof/>
          <w:lang w:eastAsia="en-AU"/>
        </w:rPr>
        <w:drawing>
          <wp:inline distT="0" distB="0" distL="0" distR="0" wp14:anchorId="73EC6FE9" wp14:editId="508E3EE5">
            <wp:extent cx="4425950" cy="6019481"/>
            <wp:effectExtent l="0" t="0" r="0" b="635"/>
            <wp:docPr id="11" name="Picture 11" descr="Table 15: Study BAP248/307: Clinical cure and microbiological eradication by pathogen (Microbiologically Evaluabl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4426854" cy="6020710"/>
                    </a:xfrm>
                    <a:prstGeom prst="rect">
                      <a:avLst/>
                    </a:prstGeom>
                  </pic:spPr>
                </pic:pic>
              </a:graphicData>
            </a:graphic>
          </wp:inline>
        </w:drawing>
      </w:r>
    </w:p>
    <w:p w:rsidR="008E7846" w:rsidRDefault="008E7846" w:rsidP="00274760">
      <w:pPr>
        <w:pStyle w:val="Heading4"/>
      </w:pPr>
      <w:r>
        <w:t xml:space="preserve">Advisory </w:t>
      </w:r>
      <w:r w:rsidR="00274760">
        <w:t xml:space="preserve">committee </w:t>
      </w:r>
      <w:r w:rsidR="00274760" w:rsidRPr="00274760">
        <w:t>c</w:t>
      </w:r>
      <w:r w:rsidRPr="00274760">
        <w:t>onsiderations</w:t>
      </w:r>
    </w:p>
    <w:p w:rsidR="008E7846" w:rsidRDefault="00D23139" w:rsidP="00274760">
      <w:r w:rsidRPr="00D23139">
        <w:t>The Advisory Committee on Prescription Medicines (ACPM), having considered the evaluations and the Delegate’s overview, as well as the sponsor’s response to these documents, advised the following:</w:t>
      </w:r>
    </w:p>
    <w:p w:rsidR="00103109" w:rsidRPr="00004E0A" w:rsidRDefault="00103109" w:rsidP="00103109">
      <w:pPr>
        <w:spacing w:line="240" w:lineRule="auto"/>
        <w:rPr>
          <w:rFonts w:eastAsia="Times New Roman" w:cs="Arial"/>
          <w:lang w:eastAsia="en-AU"/>
        </w:rPr>
      </w:pPr>
      <w:r w:rsidRPr="00004E0A">
        <w:rPr>
          <w:rFonts w:eastAsia="Times New Roman" w:cs="Arial"/>
          <w:lang w:eastAsia="en-AU"/>
        </w:rPr>
        <w:t>The ACPM resolved to recommend to the TGA Delegate of t</w:t>
      </w:r>
      <w:r w:rsidR="00274760">
        <w:rPr>
          <w:rFonts w:eastAsia="Times New Roman" w:cs="Arial"/>
          <w:lang w:eastAsia="en-AU"/>
        </w:rPr>
        <w:t>he Minister and Secretary that:</w:t>
      </w:r>
    </w:p>
    <w:p w:rsidR="00103109" w:rsidRPr="00274760" w:rsidRDefault="00103109" w:rsidP="00274760">
      <w:r w:rsidRPr="0032233A">
        <w:t>The ACPM, taking into acc</w:t>
      </w:r>
      <w:r>
        <w:t>ou</w:t>
      </w:r>
      <w:r w:rsidRPr="0032233A">
        <w:t xml:space="preserve">nt the submitted evidence of efficacy, safety and quality, considered </w:t>
      </w:r>
      <w:proofErr w:type="spellStart"/>
      <w:r w:rsidR="00C75284" w:rsidRPr="0032233A">
        <w:rPr>
          <w:bCs/>
        </w:rPr>
        <w:t>Zevtera</w:t>
      </w:r>
      <w:proofErr w:type="spellEnd"/>
      <w:r w:rsidR="00C75284" w:rsidRPr="0032233A">
        <w:t xml:space="preserve"> </w:t>
      </w:r>
      <w:r w:rsidRPr="0032233A">
        <w:rPr>
          <w:bCs/>
        </w:rPr>
        <w:t xml:space="preserve">powder for </w:t>
      </w:r>
      <w:r>
        <w:rPr>
          <w:bCs/>
        </w:rPr>
        <w:t xml:space="preserve">injection containing 667 mg of </w:t>
      </w:r>
      <w:proofErr w:type="spellStart"/>
      <w:r>
        <w:rPr>
          <w:bCs/>
        </w:rPr>
        <w:t>c</w:t>
      </w:r>
      <w:r w:rsidRPr="0032233A">
        <w:rPr>
          <w:bCs/>
        </w:rPr>
        <w:t>eftobiprole</w:t>
      </w:r>
      <w:proofErr w:type="spellEnd"/>
      <w:r w:rsidRPr="0032233A">
        <w:rPr>
          <w:bCs/>
        </w:rPr>
        <w:t xml:space="preserve"> </w:t>
      </w:r>
      <w:proofErr w:type="spellStart"/>
      <w:r w:rsidRPr="0032233A">
        <w:rPr>
          <w:bCs/>
        </w:rPr>
        <w:t>medocaril</w:t>
      </w:r>
      <w:proofErr w:type="spellEnd"/>
      <w:r w:rsidRPr="0032233A">
        <w:rPr>
          <w:bCs/>
        </w:rPr>
        <w:t xml:space="preserve"> (as sodium) (500 mg </w:t>
      </w:r>
      <w:proofErr w:type="spellStart"/>
      <w:r w:rsidRPr="0032233A">
        <w:rPr>
          <w:bCs/>
        </w:rPr>
        <w:t>ceftobiprole</w:t>
      </w:r>
      <w:proofErr w:type="spellEnd"/>
      <w:r w:rsidRPr="0032233A">
        <w:rPr>
          <w:bCs/>
        </w:rPr>
        <w:t xml:space="preserve">) </w:t>
      </w:r>
      <w:r w:rsidRPr="0032233A">
        <w:t>to have an overall positive benefit–risk profile for the amended indication</w:t>
      </w:r>
      <w:r w:rsidR="00274760" w:rsidRPr="00274760">
        <w:t>;</w:t>
      </w:r>
    </w:p>
    <w:p w:rsidR="00103109" w:rsidRPr="00274760" w:rsidRDefault="00C75284" w:rsidP="00274760">
      <w:pPr>
        <w:pStyle w:val="ListBullet"/>
        <w:numPr>
          <w:ilvl w:val="0"/>
          <w:numId w:val="0"/>
        </w:numPr>
        <w:ind w:left="360"/>
        <w:rPr>
          <w:i/>
        </w:rPr>
      </w:pPr>
      <w:proofErr w:type="spellStart"/>
      <w:r w:rsidRPr="00274760">
        <w:rPr>
          <w:i/>
        </w:rPr>
        <w:t>Zevtera</w:t>
      </w:r>
      <w:proofErr w:type="spellEnd"/>
      <w:r w:rsidRPr="00274760">
        <w:rPr>
          <w:i/>
        </w:rPr>
        <w:t xml:space="preserve"> </w:t>
      </w:r>
      <w:r w:rsidR="00103109" w:rsidRPr="00274760">
        <w:rPr>
          <w:i/>
        </w:rPr>
        <w:t xml:space="preserve">is indicated for the treatment of the following infections in adults </w:t>
      </w:r>
      <w:r w:rsidR="00103109" w:rsidRPr="00274760">
        <w:rPr>
          <w:bCs/>
          <w:i/>
        </w:rPr>
        <w:t xml:space="preserve">suspected or proven </w:t>
      </w:r>
      <w:r w:rsidR="00103109" w:rsidRPr="00274760">
        <w:rPr>
          <w:i/>
          <w:sz w:val="23"/>
          <w:szCs w:val="23"/>
        </w:rPr>
        <w:t xml:space="preserve">to be caused by </w:t>
      </w:r>
      <w:r w:rsidR="00103109" w:rsidRPr="00274760">
        <w:rPr>
          <w:bCs/>
          <w:i/>
        </w:rPr>
        <w:t>designated susceptible microorganisms</w:t>
      </w:r>
      <w:r w:rsidR="00103109" w:rsidRPr="00274760">
        <w:rPr>
          <w:i/>
        </w:rPr>
        <w:t>:</w:t>
      </w:r>
    </w:p>
    <w:p w:rsidR="00C75284" w:rsidRPr="00274760" w:rsidRDefault="00103109" w:rsidP="00274760">
      <w:pPr>
        <w:pStyle w:val="ListBullet2"/>
        <w:rPr>
          <w:i/>
          <w:lang w:val="en-GB"/>
        </w:rPr>
      </w:pPr>
      <w:r w:rsidRPr="00274760">
        <w:rPr>
          <w:i/>
          <w:lang w:val="en-GB"/>
        </w:rPr>
        <w:lastRenderedPageBreak/>
        <w:t>Hospital-acquired pneumonia (HAP), excluding ventilator-associated pneumonia (VAP)</w:t>
      </w:r>
    </w:p>
    <w:p w:rsidR="00103109" w:rsidRPr="00274760" w:rsidRDefault="00103109" w:rsidP="00274760">
      <w:pPr>
        <w:pStyle w:val="ListBullet2"/>
        <w:rPr>
          <w:i/>
          <w:lang w:val="en-GB"/>
        </w:rPr>
      </w:pPr>
      <w:r w:rsidRPr="00274760">
        <w:rPr>
          <w:i/>
          <w:lang w:val="en-GB"/>
        </w:rPr>
        <w:t>Community-acquired pneumonia (CAP)</w:t>
      </w:r>
    </w:p>
    <w:p w:rsidR="00103109" w:rsidRPr="00274760" w:rsidRDefault="00103109" w:rsidP="00274760">
      <w:pPr>
        <w:pStyle w:val="ListBullet"/>
        <w:numPr>
          <w:ilvl w:val="0"/>
          <w:numId w:val="0"/>
        </w:numPr>
        <w:ind w:left="360"/>
        <w:rPr>
          <w:i/>
        </w:rPr>
      </w:pPr>
      <w:r w:rsidRPr="00274760">
        <w:rPr>
          <w:i/>
        </w:rPr>
        <w:t>Consideration should be given to published therapeutic guidelines on the appropriate use of antibacterial agents.</w:t>
      </w:r>
    </w:p>
    <w:p w:rsidR="00103109" w:rsidRPr="00004E0A" w:rsidRDefault="00103109" w:rsidP="00274760">
      <w:pPr>
        <w:pStyle w:val="Heading5"/>
      </w:pPr>
      <w:r w:rsidRPr="00004E0A">
        <w:t xml:space="preserve">Proposed </w:t>
      </w:r>
      <w:r w:rsidRPr="00274760">
        <w:t>conditions</w:t>
      </w:r>
      <w:r w:rsidRPr="00004E0A">
        <w:t xml:space="preserve"> of registration</w:t>
      </w:r>
    </w:p>
    <w:p w:rsidR="006A3326" w:rsidRDefault="00103109" w:rsidP="00274760">
      <w:r w:rsidRPr="00004E0A">
        <w:t>The ACPM agreed with the Delegate on the proposed conditions of registration</w:t>
      </w:r>
      <w:r w:rsidR="006A3326">
        <w:t>.</w:t>
      </w:r>
    </w:p>
    <w:p w:rsidR="00103109" w:rsidRPr="00004E0A" w:rsidRDefault="00103109" w:rsidP="00274760">
      <w:pPr>
        <w:pStyle w:val="Heading5"/>
        <w:rPr>
          <w:u w:val="single"/>
        </w:rPr>
      </w:pPr>
      <w:r w:rsidRPr="00004E0A">
        <w:t xml:space="preserve">Proposed Product </w:t>
      </w:r>
      <w:r w:rsidRPr="00274760">
        <w:t>Information</w:t>
      </w:r>
      <w:r w:rsidRPr="00004E0A">
        <w:t xml:space="preserve"> (PI)/Consumer Medicine Information (CMI) amendments</w:t>
      </w:r>
    </w:p>
    <w:p w:rsidR="00103109" w:rsidRPr="00004E0A" w:rsidRDefault="00103109" w:rsidP="00274760">
      <w:r w:rsidRPr="00004E0A">
        <w:t>The ACPM agreed with the Delegate to the proposed amendments to the Product Information (PI) and Consumer Medicine Information (CMI).</w:t>
      </w:r>
    </w:p>
    <w:p w:rsidR="00103109" w:rsidRPr="00004E0A" w:rsidRDefault="00103109" w:rsidP="00274760">
      <w:pPr>
        <w:pStyle w:val="Heading5"/>
        <w:rPr>
          <w:highlight w:val="yellow"/>
          <w:lang w:val="en-GB"/>
        </w:rPr>
      </w:pPr>
      <w:r w:rsidRPr="00004E0A">
        <w:rPr>
          <w:lang w:val="en-GB"/>
        </w:rPr>
        <w:t xml:space="preserve">Specific </w:t>
      </w:r>
      <w:r w:rsidR="00274760" w:rsidRPr="00274760">
        <w:t>a</w:t>
      </w:r>
      <w:r w:rsidRPr="00274760">
        <w:t>dvice</w:t>
      </w:r>
    </w:p>
    <w:p w:rsidR="00103109" w:rsidRPr="00004E0A" w:rsidRDefault="00103109" w:rsidP="00274760">
      <w:pPr>
        <w:rPr>
          <w:b/>
          <w:bCs/>
          <w:iCs/>
          <w:highlight w:val="yellow"/>
        </w:rPr>
      </w:pPr>
      <w:r w:rsidRPr="00004E0A">
        <w:t>The ACPM advised the following in response to the Delegate’s specific questions on this submission:</w:t>
      </w:r>
    </w:p>
    <w:p w:rsidR="00103109" w:rsidRPr="00274760" w:rsidRDefault="00103109" w:rsidP="00274760">
      <w:pPr>
        <w:pStyle w:val="Numberbullet0"/>
        <w:numPr>
          <w:ilvl w:val="0"/>
          <w:numId w:val="16"/>
        </w:numPr>
        <w:rPr>
          <w:i/>
          <w:lang w:val="en-GB"/>
        </w:rPr>
      </w:pPr>
      <w:r w:rsidRPr="00274760">
        <w:rPr>
          <w:i/>
          <w:lang w:val="en-GB"/>
        </w:rPr>
        <w:t xml:space="preserve">Does the ACPM </w:t>
      </w:r>
      <w:r w:rsidRPr="00274760">
        <w:rPr>
          <w:i/>
        </w:rPr>
        <w:t>consider</w:t>
      </w:r>
      <w:r w:rsidRPr="00274760">
        <w:rPr>
          <w:i/>
          <w:lang w:val="en-GB"/>
        </w:rPr>
        <w:t xml:space="preserve"> that the data from Study BAP248/307 is sufficient to support the use of </w:t>
      </w:r>
      <w:proofErr w:type="spellStart"/>
      <w:r w:rsidR="00C75284" w:rsidRPr="00274760">
        <w:rPr>
          <w:i/>
          <w:lang w:val="en-GB"/>
        </w:rPr>
        <w:t>Zevtera</w:t>
      </w:r>
      <w:proofErr w:type="spellEnd"/>
      <w:r w:rsidR="00C75284" w:rsidRPr="00274760">
        <w:rPr>
          <w:i/>
          <w:lang w:val="en-GB"/>
        </w:rPr>
        <w:t xml:space="preserve"> </w:t>
      </w:r>
      <w:r w:rsidRPr="00274760">
        <w:rPr>
          <w:i/>
          <w:lang w:val="en-GB"/>
        </w:rPr>
        <w:t>for the treatment of HAP, excluding VAP (ventilator-associated pneumonia)? Does ACPM consider that the comparator (</w:t>
      </w:r>
      <w:proofErr w:type="spellStart"/>
      <w:r w:rsidRPr="00274760">
        <w:rPr>
          <w:i/>
          <w:lang w:val="en-GB"/>
        </w:rPr>
        <w:t>ceftazidime+linezolid</w:t>
      </w:r>
      <w:proofErr w:type="spellEnd"/>
      <w:r w:rsidRPr="00274760">
        <w:rPr>
          <w:i/>
          <w:lang w:val="en-GB"/>
        </w:rPr>
        <w:t>) used in this study is an appropriate comparator?</w:t>
      </w:r>
    </w:p>
    <w:p w:rsidR="006A3326" w:rsidRDefault="00103109" w:rsidP="00274760">
      <w:r w:rsidRPr="00004E0A">
        <w:t>The ACPM considered the data submitted were not particularly robust and only provided limited support for efficacy in a subset of HAP/</w:t>
      </w:r>
      <w:r>
        <w:t xml:space="preserve">without </w:t>
      </w:r>
      <w:r w:rsidRPr="00004E0A">
        <w:t xml:space="preserve">VAP population. The ACPM </w:t>
      </w:r>
      <w:r>
        <w:t>observed that</w:t>
      </w:r>
      <w:r w:rsidRPr="00004E0A">
        <w:t xml:space="preserve"> the evidence came from a single study, and </w:t>
      </w:r>
      <w:r>
        <w:t xml:space="preserve">considered it </w:t>
      </w:r>
      <w:r w:rsidRPr="00004E0A">
        <w:t>demonstrated marked inferiority in a key subgroup (VAP) and key outcome (microbiological eradication)</w:t>
      </w:r>
      <w:r w:rsidR="006A3326">
        <w:t>.</w:t>
      </w:r>
    </w:p>
    <w:p w:rsidR="00103109" w:rsidRPr="00004E0A" w:rsidRDefault="00103109" w:rsidP="00103109">
      <w:pPr>
        <w:rPr>
          <w:bCs/>
          <w:iCs/>
        </w:rPr>
      </w:pPr>
      <w:r w:rsidRPr="00004E0A">
        <w:rPr>
          <w:bCs/>
          <w:iCs/>
        </w:rPr>
        <w:t xml:space="preserve">Although the comparator is not a </w:t>
      </w:r>
      <w:r>
        <w:rPr>
          <w:bCs/>
          <w:iCs/>
        </w:rPr>
        <w:t xml:space="preserve">recommended </w:t>
      </w:r>
      <w:r w:rsidRPr="00004E0A">
        <w:rPr>
          <w:bCs/>
          <w:iCs/>
        </w:rPr>
        <w:t>standard comparator recommended in Australia it was considered adequate for the purpose.</w:t>
      </w:r>
    </w:p>
    <w:p w:rsidR="00103109" w:rsidRPr="00274760" w:rsidRDefault="00103109" w:rsidP="00274760">
      <w:pPr>
        <w:pStyle w:val="Numberbullet0"/>
        <w:rPr>
          <w:i/>
          <w:lang w:val="en-GB"/>
        </w:rPr>
      </w:pPr>
      <w:r w:rsidRPr="00274760">
        <w:rPr>
          <w:i/>
          <w:lang w:val="en-GB"/>
        </w:rPr>
        <w:t xml:space="preserve">Does ACPM have concerns about the numerical imbalance in microbiological eradication rates (MER) with a lower percentage of subjects in the </w:t>
      </w:r>
      <w:proofErr w:type="spellStart"/>
      <w:r w:rsidR="00C75284" w:rsidRPr="00274760">
        <w:rPr>
          <w:i/>
          <w:lang w:val="en-GB"/>
        </w:rPr>
        <w:t>Zevtera</w:t>
      </w:r>
      <w:proofErr w:type="spellEnd"/>
      <w:r w:rsidR="00C75284" w:rsidRPr="00274760">
        <w:rPr>
          <w:i/>
          <w:lang w:val="en-GB"/>
        </w:rPr>
        <w:t xml:space="preserve"> </w:t>
      </w:r>
      <w:r w:rsidRPr="00274760">
        <w:rPr>
          <w:i/>
          <w:lang w:val="en-GB"/>
        </w:rPr>
        <w:t>group achieving microbiological eradication (Study BAP248/307)?</w:t>
      </w:r>
    </w:p>
    <w:p w:rsidR="00103109" w:rsidRPr="00004E0A" w:rsidRDefault="00103109" w:rsidP="00274760">
      <w:r w:rsidRPr="00004E0A">
        <w:t xml:space="preserve">The numerical imbalance in microbiological eradication rates (MER) were of concern to the ACPM; however this concern was mitigated if the VAP sub population exclusion is accepted. Eradication in the ME group was 53.7% (87/162) for </w:t>
      </w:r>
      <w:proofErr w:type="spellStart"/>
      <w:r w:rsidRPr="00004E0A">
        <w:t>ceftobiprole</w:t>
      </w:r>
      <w:proofErr w:type="spellEnd"/>
      <w:r w:rsidRPr="00004E0A">
        <w:t>, and 62.4% (106/170) for the comparator. Then again, these results are driven by the VAP subgroup where MER was reported as 30.4%</w:t>
      </w:r>
      <w:r>
        <w:t xml:space="preserve"> (14/46) for the </w:t>
      </w:r>
      <w:proofErr w:type="spellStart"/>
      <w:r>
        <w:t>ceftobiprole</w:t>
      </w:r>
      <w:proofErr w:type="spellEnd"/>
      <w:r>
        <w:t xml:space="preserve"> group</w:t>
      </w:r>
      <w:r w:rsidRPr="00004E0A">
        <w:t xml:space="preserve"> and 50.0% (25/50)</w:t>
      </w:r>
      <w:r>
        <w:t xml:space="preserve"> for the comparator</w:t>
      </w:r>
      <w:r w:rsidRPr="00004E0A">
        <w:t>. By excluding the VAP subgroup, eradication was 63% v</w:t>
      </w:r>
      <w:r w:rsidR="00411EBC">
        <w:t>ersu</w:t>
      </w:r>
      <w:r w:rsidRPr="00004E0A">
        <w:t>s 68%.</w:t>
      </w:r>
    </w:p>
    <w:p w:rsidR="00103109" w:rsidRPr="00274760" w:rsidRDefault="00103109" w:rsidP="00274760">
      <w:pPr>
        <w:pStyle w:val="Numberbullet0"/>
        <w:rPr>
          <w:i/>
        </w:rPr>
      </w:pPr>
      <w:r w:rsidRPr="00274760">
        <w:rPr>
          <w:i/>
        </w:rPr>
        <w:t xml:space="preserve">What is the view of the ACPM with regards to the potential risk of developing antibiotics resistance to </w:t>
      </w:r>
      <w:proofErr w:type="spellStart"/>
      <w:r w:rsidR="00411EBC" w:rsidRPr="00274760">
        <w:rPr>
          <w:i/>
        </w:rPr>
        <w:t>Zevtera</w:t>
      </w:r>
      <w:proofErr w:type="spellEnd"/>
      <w:r w:rsidRPr="00274760">
        <w:rPr>
          <w:i/>
        </w:rPr>
        <w:t>? Does ACPM have any specific recommendation with regards to the antimicrobial resistance surveillance activities in Australia?</w:t>
      </w:r>
    </w:p>
    <w:p w:rsidR="006A3326" w:rsidRDefault="00103109" w:rsidP="00103109">
      <w:r w:rsidRPr="00004E0A">
        <w:rPr>
          <w:bCs/>
          <w:iCs/>
        </w:rPr>
        <w:t>The ACPM advised that resistance is a real risk and it is a serious public health matter</w:t>
      </w:r>
      <w:r>
        <w:rPr>
          <w:bCs/>
          <w:iCs/>
        </w:rPr>
        <w:t>.</w:t>
      </w:r>
      <w:r w:rsidRPr="00004E0A">
        <w:rPr>
          <w:bCs/>
          <w:iCs/>
        </w:rPr>
        <w:t xml:space="preserve"> </w:t>
      </w:r>
      <w:r>
        <w:rPr>
          <w:bCs/>
          <w:iCs/>
        </w:rPr>
        <w:t>T</w:t>
      </w:r>
      <w:r w:rsidRPr="00004E0A">
        <w:rPr>
          <w:bCs/>
          <w:iCs/>
        </w:rPr>
        <w:t>his antibiotic</w:t>
      </w:r>
      <w:r w:rsidRPr="00004E0A">
        <w:t xml:space="preserve"> </w:t>
      </w:r>
      <w:r>
        <w:t xml:space="preserve">needs to </w:t>
      </w:r>
      <w:r w:rsidRPr="00004E0A">
        <w:t>be effective in the longer term. Use is likely to be low initially so there would be a low risk of resistance, but resistance risk will increase over time</w:t>
      </w:r>
      <w:r w:rsidR="006A3326">
        <w:t>.</w:t>
      </w:r>
    </w:p>
    <w:p w:rsidR="00103109" w:rsidRPr="00004E0A" w:rsidRDefault="00103109" w:rsidP="00274760">
      <w:pPr>
        <w:rPr>
          <w:bCs/>
          <w:iCs/>
        </w:rPr>
      </w:pPr>
      <w:r w:rsidRPr="00004E0A">
        <w:t xml:space="preserve">Stewardship is vital to maintain efficacy of antibacterial products and the ACPM advised surveillance should be integrated into national surveillance activities where possible – either through AGAR or </w:t>
      </w:r>
      <w:r w:rsidRPr="00FA5A91">
        <w:t xml:space="preserve">the developing national antimicrobial resistance surveillance programme being developed </w:t>
      </w:r>
      <w:r w:rsidRPr="00004E0A">
        <w:t>by the ACSQHC.</w:t>
      </w:r>
    </w:p>
    <w:p w:rsidR="00103109" w:rsidRPr="00274760" w:rsidRDefault="00103109" w:rsidP="00274760">
      <w:pPr>
        <w:pStyle w:val="Numberbullet0"/>
        <w:rPr>
          <w:i/>
        </w:rPr>
      </w:pPr>
      <w:r w:rsidRPr="00274760">
        <w:rPr>
          <w:i/>
        </w:rPr>
        <w:t>Does ACPM support the revised indications below:</w:t>
      </w:r>
    </w:p>
    <w:p w:rsidR="00103109" w:rsidRPr="00274760" w:rsidRDefault="00411EBC" w:rsidP="00274760">
      <w:pPr>
        <w:pStyle w:val="ListBullet"/>
        <w:numPr>
          <w:ilvl w:val="0"/>
          <w:numId w:val="0"/>
        </w:numPr>
        <w:ind w:left="360"/>
        <w:rPr>
          <w:i/>
          <w:lang w:val="en-GB"/>
        </w:rPr>
      </w:pPr>
      <w:proofErr w:type="spellStart"/>
      <w:r w:rsidRPr="00274760">
        <w:rPr>
          <w:i/>
          <w:lang w:val="en-GB"/>
        </w:rPr>
        <w:t>Zevtera</w:t>
      </w:r>
      <w:proofErr w:type="spellEnd"/>
      <w:r w:rsidRPr="00274760">
        <w:rPr>
          <w:i/>
          <w:lang w:val="en-GB"/>
        </w:rPr>
        <w:t xml:space="preserve"> </w:t>
      </w:r>
      <w:r w:rsidR="00103109" w:rsidRPr="00274760">
        <w:rPr>
          <w:i/>
          <w:lang w:val="en-GB"/>
        </w:rPr>
        <w:t>is indicated for the treatment of the following infections in adults:</w:t>
      </w:r>
    </w:p>
    <w:p w:rsidR="00103109" w:rsidRPr="00274760" w:rsidRDefault="00103109" w:rsidP="00274760">
      <w:pPr>
        <w:pStyle w:val="ListBullet2"/>
        <w:rPr>
          <w:i/>
          <w:lang w:val="en-GB"/>
        </w:rPr>
      </w:pPr>
      <w:r w:rsidRPr="00274760">
        <w:rPr>
          <w:i/>
          <w:lang w:val="en-GB"/>
        </w:rPr>
        <w:lastRenderedPageBreak/>
        <w:t>Hospital-acquired pneumonia (HAP), excluding ventilator-associated pneumonia (VAP)</w:t>
      </w:r>
    </w:p>
    <w:p w:rsidR="00103109" w:rsidRPr="00274760" w:rsidRDefault="00103109" w:rsidP="00274760">
      <w:pPr>
        <w:pStyle w:val="ListBullet2"/>
        <w:rPr>
          <w:i/>
          <w:lang w:val="en-GB"/>
        </w:rPr>
      </w:pPr>
      <w:r w:rsidRPr="00274760">
        <w:rPr>
          <w:i/>
          <w:lang w:val="en-GB"/>
        </w:rPr>
        <w:t>Community-acquired pneumonia (CAP)</w:t>
      </w:r>
    </w:p>
    <w:p w:rsidR="00103109" w:rsidRPr="00274760" w:rsidRDefault="00103109" w:rsidP="00274760">
      <w:pPr>
        <w:pStyle w:val="ListBullet"/>
        <w:numPr>
          <w:ilvl w:val="0"/>
          <w:numId w:val="0"/>
        </w:numPr>
        <w:ind w:left="360"/>
        <w:rPr>
          <w:i/>
          <w:lang w:val="en-GB"/>
        </w:rPr>
      </w:pPr>
      <w:r w:rsidRPr="00274760">
        <w:rPr>
          <w:i/>
          <w:lang w:val="en-GB"/>
        </w:rPr>
        <w:t>Consideration should be given to published therapeutic guidelines on the appropriate use of antibacterial agents.</w:t>
      </w:r>
    </w:p>
    <w:p w:rsidR="00103109" w:rsidRPr="00004E0A" w:rsidRDefault="00103109" w:rsidP="00274760">
      <w:pPr>
        <w:rPr>
          <w:lang w:val="en-GB"/>
        </w:rPr>
      </w:pPr>
      <w:r w:rsidRPr="00004E0A">
        <w:rPr>
          <w:lang w:val="en-GB"/>
        </w:rPr>
        <w:t xml:space="preserve">The ACPM advised that the indication should reinforce the need for restricted use of </w:t>
      </w:r>
      <w:r>
        <w:rPr>
          <w:lang w:val="en-GB"/>
        </w:rPr>
        <w:t xml:space="preserve">innovator reserve </w:t>
      </w:r>
      <w:r w:rsidRPr="00004E0A">
        <w:rPr>
          <w:lang w:val="en-GB"/>
        </w:rPr>
        <w:t xml:space="preserve">antibiotics to susceptible bacteria, keeping in mind the need for stewardship in the name of </w:t>
      </w:r>
      <w:r>
        <w:rPr>
          <w:lang w:val="en-GB"/>
        </w:rPr>
        <w:t xml:space="preserve">individual and </w:t>
      </w:r>
      <w:r w:rsidRPr="00004E0A">
        <w:rPr>
          <w:lang w:val="en-GB"/>
        </w:rPr>
        <w:t>public health.</w:t>
      </w:r>
      <w:r>
        <w:rPr>
          <w:lang w:val="en-GB"/>
        </w:rPr>
        <w:t xml:space="preserve"> The ACPM advised the use of the indication statement above.</w:t>
      </w:r>
    </w:p>
    <w:p w:rsidR="006A3326" w:rsidRDefault="00103109" w:rsidP="00274760">
      <w:r w:rsidRPr="00004E0A">
        <w:t>The ACPM advised that implementation by the sponsor of the recommendations outlined above to the satisfaction of the TGA, in addition to the evidence of efficacy and safety provided would support the safe and effective use of th</w:t>
      </w:r>
      <w:r>
        <w:t>is</w:t>
      </w:r>
      <w:r w:rsidRPr="00004E0A">
        <w:t xml:space="preserve"> product</w:t>
      </w:r>
      <w:r w:rsidR="006A3326">
        <w:t>.</w:t>
      </w:r>
    </w:p>
    <w:p w:rsidR="008E7846" w:rsidRPr="002E238E" w:rsidRDefault="008E7846" w:rsidP="00274760">
      <w:pPr>
        <w:pStyle w:val="Heading3"/>
      </w:pPr>
      <w:bookmarkStart w:id="173" w:name="_Toc247691532"/>
      <w:bookmarkStart w:id="174" w:name="_Toc314842516"/>
      <w:bookmarkStart w:id="175" w:name="_Toc443060244"/>
      <w:bookmarkEnd w:id="92"/>
      <w:bookmarkEnd w:id="170"/>
      <w:bookmarkEnd w:id="171"/>
      <w:r w:rsidRPr="00274760">
        <w:t>Outcome</w:t>
      </w:r>
      <w:bookmarkEnd w:id="173"/>
      <w:bookmarkEnd w:id="174"/>
      <w:bookmarkEnd w:id="175"/>
    </w:p>
    <w:p w:rsidR="00D23139" w:rsidRPr="00411EBC" w:rsidRDefault="00D23139" w:rsidP="00274760">
      <w:bookmarkStart w:id="176" w:name="_Toc247691533"/>
      <w:bookmarkStart w:id="177" w:name="_Toc314842517"/>
      <w:r w:rsidRPr="00D23139">
        <w:t xml:space="preserve">Based on a review of quality, safety and efficacy, TGA approved the registration of </w:t>
      </w:r>
      <w:proofErr w:type="spellStart"/>
      <w:r w:rsidR="00411EBC" w:rsidRPr="00411EBC">
        <w:t>Zevtera</w:t>
      </w:r>
      <w:proofErr w:type="spellEnd"/>
      <w:r w:rsidR="00411EBC" w:rsidRPr="00411EBC">
        <w:t xml:space="preserve"> </w:t>
      </w:r>
      <w:proofErr w:type="spellStart"/>
      <w:r w:rsidR="00103109" w:rsidRPr="00411EBC">
        <w:t>cef</w:t>
      </w:r>
      <w:r w:rsidR="00411EBC">
        <w:t>tobiprole</w:t>
      </w:r>
      <w:proofErr w:type="spellEnd"/>
      <w:r w:rsidR="00411EBC">
        <w:t xml:space="preserve"> </w:t>
      </w:r>
      <w:proofErr w:type="spellStart"/>
      <w:r w:rsidR="00411EBC">
        <w:t>medocaril</w:t>
      </w:r>
      <w:proofErr w:type="spellEnd"/>
      <w:r w:rsidR="00411EBC">
        <w:t xml:space="preserve"> sodium 667 m</w:t>
      </w:r>
      <w:r w:rsidR="00103109" w:rsidRPr="00411EBC">
        <w:t>g powder for injection in a 20</w:t>
      </w:r>
      <w:r w:rsidR="00411EBC">
        <w:t xml:space="preserve"> </w:t>
      </w:r>
      <w:r w:rsidR="00103109" w:rsidRPr="00411EBC">
        <w:t>mL vial</w:t>
      </w:r>
      <w:r w:rsidRPr="00411EBC">
        <w:t>, indicated for:</w:t>
      </w:r>
    </w:p>
    <w:p w:rsidR="00103109" w:rsidRPr="00274760" w:rsidRDefault="00103109" w:rsidP="00274760">
      <w:pPr>
        <w:pStyle w:val="ListBullet"/>
        <w:numPr>
          <w:ilvl w:val="0"/>
          <w:numId w:val="0"/>
        </w:numPr>
        <w:ind w:left="360"/>
        <w:rPr>
          <w:i/>
        </w:rPr>
      </w:pPr>
      <w:proofErr w:type="spellStart"/>
      <w:r w:rsidRPr="00274760">
        <w:rPr>
          <w:i/>
        </w:rPr>
        <w:t>Zevtera</w:t>
      </w:r>
      <w:proofErr w:type="spellEnd"/>
      <w:r w:rsidRPr="00274760">
        <w:rPr>
          <w:i/>
        </w:rPr>
        <w:t xml:space="preserve"> (</w:t>
      </w:r>
      <w:proofErr w:type="spellStart"/>
      <w:r w:rsidRPr="00274760">
        <w:rPr>
          <w:i/>
        </w:rPr>
        <w:t>ceftobiprole</w:t>
      </w:r>
      <w:proofErr w:type="spellEnd"/>
      <w:r w:rsidRPr="00274760">
        <w:rPr>
          <w:i/>
        </w:rPr>
        <w:t xml:space="preserve"> </w:t>
      </w:r>
      <w:proofErr w:type="spellStart"/>
      <w:r w:rsidRPr="00274760">
        <w:rPr>
          <w:i/>
        </w:rPr>
        <w:t>medocaril</w:t>
      </w:r>
      <w:proofErr w:type="spellEnd"/>
      <w:r w:rsidR="00E01646" w:rsidRPr="00274760">
        <w:rPr>
          <w:i/>
        </w:rPr>
        <w:t xml:space="preserve"> </w:t>
      </w:r>
      <w:r w:rsidRPr="00274760">
        <w:rPr>
          <w:i/>
        </w:rPr>
        <w:t>sodium) is indicated for the treatment of the following infections in adults suspected or proven to be caused by designated susceptible microorgani</w:t>
      </w:r>
      <w:r w:rsidR="00E01646" w:rsidRPr="00274760">
        <w:rPr>
          <w:i/>
        </w:rPr>
        <w:t>s</w:t>
      </w:r>
      <w:r w:rsidRPr="00274760">
        <w:rPr>
          <w:i/>
        </w:rPr>
        <w:t>ms:</w:t>
      </w:r>
    </w:p>
    <w:p w:rsidR="00103109" w:rsidRPr="00274760" w:rsidRDefault="00103109" w:rsidP="00274760">
      <w:pPr>
        <w:pStyle w:val="ListBullet2"/>
        <w:rPr>
          <w:i/>
        </w:rPr>
      </w:pPr>
      <w:r w:rsidRPr="00274760">
        <w:rPr>
          <w:i/>
        </w:rPr>
        <w:t>Hospital-acquired pneumonia (HAP), excluding ventilator-associated pneumonia (VAP)</w:t>
      </w:r>
    </w:p>
    <w:p w:rsidR="00D23139" w:rsidRPr="00274760" w:rsidRDefault="00103109" w:rsidP="00274760">
      <w:pPr>
        <w:pStyle w:val="ListBullet2"/>
        <w:rPr>
          <w:i/>
        </w:rPr>
      </w:pPr>
      <w:r w:rsidRPr="00274760">
        <w:rPr>
          <w:i/>
        </w:rPr>
        <w:t>Community-acquired pneumonia (CAP)</w:t>
      </w:r>
    </w:p>
    <w:p w:rsidR="00D23139" w:rsidRPr="00D23139" w:rsidRDefault="00D23139" w:rsidP="00274760">
      <w:pPr>
        <w:pStyle w:val="Heading4"/>
      </w:pPr>
      <w:r w:rsidRPr="00D23139">
        <w:t xml:space="preserve">Specific </w:t>
      </w:r>
      <w:r w:rsidRPr="00274760">
        <w:t>conditions</w:t>
      </w:r>
      <w:r w:rsidRPr="00D23139">
        <w:t xml:space="preserve"> of registration applying to these goods</w:t>
      </w:r>
    </w:p>
    <w:p w:rsidR="009752A5" w:rsidRPr="00411EBC" w:rsidRDefault="00103109" w:rsidP="00274760">
      <w:r w:rsidRPr="00411EBC">
        <w:t xml:space="preserve">The </w:t>
      </w:r>
      <w:proofErr w:type="spellStart"/>
      <w:r w:rsidR="00411EBC" w:rsidRPr="00411EBC">
        <w:t>Zevtera</w:t>
      </w:r>
      <w:proofErr w:type="spellEnd"/>
      <w:r w:rsidR="00411EBC" w:rsidRPr="00411EBC">
        <w:t xml:space="preserve"> </w:t>
      </w:r>
      <w:r w:rsidRPr="00411EBC">
        <w:t>(</w:t>
      </w:r>
      <w:proofErr w:type="spellStart"/>
      <w:r w:rsidRPr="00411EBC">
        <w:t>ceftobiprole</w:t>
      </w:r>
      <w:proofErr w:type="spellEnd"/>
      <w:r w:rsidRPr="00411EBC">
        <w:t xml:space="preserve"> </w:t>
      </w:r>
      <w:proofErr w:type="spellStart"/>
      <w:r w:rsidRPr="00411EBC">
        <w:t>medocaril</w:t>
      </w:r>
      <w:proofErr w:type="spellEnd"/>
      <w:r w:rsidRPr="00411EBC">
        <w:t xml:space="preserve"> sodium) Risk Management Plan (RMP),</w:t>
      </w:r>
      <w:r w:rsidR="00411EBC" w:rsidRPr="00411EBC">
        <w:t xml:space="preserve"> </w:t>
      </w:r>
      <w:r w:rsidRPr="00274760">
        <w:rPr>
          <w:i/>
        </w:rPr>
        <w:t>Implement EU-RMP version 4.0 dated 21 July 2015 (data lock point 31 March 2015)</w:t>
      </w:r>
      <w:r w:rsidR="00411EBC" w:rsidRPr="00274760">
        <w:rPr>
          <w:i/>
        </w:rPr>
        <w:t xml:space="preserve"> </w:t>
      </w:r>
      <w:r w:rsidRPr="00274760">
        <w:rPr>
          <w:i/>
        </w:rPr>
        <w:t>with Australian Specific Annex version 2.0 dated 21 August 2015</w:t>
      </w:r>
      <w:r w:rsidRPr="00411EBC">
        <w:t>, included with</w:t>
      </w:r>
      <w:r w:rsidR="00411EBC" w:rsidRPr="00411EBC">
        <w:t xml:space="preserve"> </w:t>
      </w:r>
      <w:r w:rsidRPr="00411EBC">
        <w:t>submission PM-2014-03155-1-2, and any subsequent revisions, as agreed with the</w:t>
      </w:r>
      <w:r w:rsidR="00411EBC" w:rsidRPr="00411EBC">
        <w:t xml:space="preserve"> </w:t>
      </w:r>
      <w:r w:rsidRPr="00411EBC">
        <w:t>TGA will be implemented in Australia.</w:t>
      </w:r>
    </w:p>
    <w:p w:rsidR="008E7846" w:rsidRDefault="00A80B5B" w:rsidP="00D23139">
      <w:pPr>
        <w:pStyle w:val="Heading2"/>
      </w:pPr>
      <w:bookmarkStart w:id="178" w:name="_Toc443060245"/>
      <w:proofErr w:type="gramStart"/>
      <w:r>
        <w:t>Attachment 1.</w:t>
      </w:r>
      <w:proofErr w:type="gramEnd"/>
      <w:r>
        <w:t xml:space="preserve"> </w:t>
      </w:r>
      <w:r w:rsidR="008E7846">
        <w:t xml:space="preserve">Product </w:t>
      </w:r>
      <w:r w:rsidR="00AA0ED0">
        <w:t>I</w:t>
      </w:r>
      <w:r w:rsidR="008E7846">
        <w:t>nformation</w:t>
      </w:r>
      <w:bookmarkEnd w:id="176"/>
      <w:bookmarkEnd w:id="177"/>
      <w:bookmarkEnd w:id="178"/>
    </w:p>
    <w:p w:rsidR="006A3326" w:rsidRDefault="002B3624" w:rsidP="00274760">
      <w:r w:rsidRPr="002B3624">
        <w:t xml:space="preserve">The </w:t>
      </w:r>
      <w:r w:rsidR="00133A1B">
        <w:t>PI</w:t>
      </w:r>
      <w:r w:rsidRPr="002B3624">
        <w:t xml:space="preserve"> approved for </w:t>
      </w:r>
      <w:proofErr w:type="spellStart"/>
      <w:r w:rsidR="00103109">
        <w:t>Zevtera</w:t>
      </w:r>
      <w:proofErr w:type="spellEnd"/>
      <w:r w:rsidRPr="002B3624">
        <w:t xml:space="preserve"> at the time this </w:t>
      </w:r>
      <w:proofErr w:type="spellStart"/>
      <w:r w:rsidRPr="002B3624">
        <w:t>AusPAR</w:t>
      </w:r>
      <w:proofErr w:type="spellEnd"/>
      <w:r w:rsidRPr="002B3624">
        <w:t xml:space="preserve"> was published is at Attachment 1. For the most recent </w:t>
      </w:r>
      <w:r w:rsidR="00133A1B">
        <w:t>PI,</w:t>
      </w:r>
      <w:r w:rsidRPr="002B3624">
        <w:t xml:space="preserve"> please refer to the </w:t>
      </w:r>
      <w:r w:rsidR="007C6B9B" w:rsidRPr="007C6B9B">
        <w:t>TGA website at &lt;</w:t>
      </w:r>
      <w:hyperlink r:id="rId30" w:history="1">
        <w:r w:rsidR="007C6B9B" w:rsidRPr="007C6B9B">
          <w:rPr>
            <w:rStyle w:val="Hyperlink"/>
          </w:rPr>
          <w:t>https://www.tga.gov.au/product-information-pi</w:t>
        </w:r>
      </w:hyperlink>
      <w:r w:rsidR="007C6B9B" w:rsidRPr="007C6B9B">
        <w:t>&gt;</w:t>
      </w:r>
      <w:r w:rsidR="006A3326">
        <w:t>.</w:t>
      </w:r>
    </w:p>
    <w:p w:rsidR="00F5115F" w:rsidRDefault="00C80137" w:rsidP="00274760">
      <w:pPr>
        <w:pStyle w:val="Heading2"/>
        <w:rPr>
          <w:lang w:eastAsia="ja-JP"/>
        </w:rPr>
      </w:pPr>
      <w:bookmarkStart w:id="179" w:name="_Toc443060246"/>
      <w:proofErr w:type="gramStart"/>
      <w:r w:rsidRPr="00274760">
        <w:t>Attachment</w:t>
      </w:r>
      <w:r>
        <w:rPr>
          <w:lang w:eastAsia="en-AU"/>
        </w:rPr>
        <w:t xml:space="preserve"> 2.</w:t>
      </w:r>
      <w:proofErr w:type="gramEnd"/>
      <w:r w:rsidR="00A80B5B">
        <w:rPr>
          <w:lang w:eastAsia="en-AU"/>
        </w:rPr>
        <w:t xml:space="preserve"> </w:t>
      </w:r>
      <w:r>
        <w:rPr>
          <w:lang w:eastAsia="en-AU"/>
        </w:rPr>
        <w:t>Extract from the Clinical Evaluation Report</w:t>
      </w:r>
      <w:bookmarkEnd w:id="179"/>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1"/>
          <w:headerReference w:type="default" r:id="rId32"/>
          <w:headerReference w:type="first" r:id="rId33"/>
          <w:footerReference w:type="first" r:id="rId3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5" w:history="1">
              <w:r w:rsidRPr="004C239D">
                <w:rPr>
                  <w:rStyle w:val="Hyperlink"/>
                </w:rPr>
                <w:t>info@tga.gov.au</w:t>
              </w:r>
            </w:hyperlink>
            <w:r w:rsidRPr="00487162">
              <w:t xml:space="preserve">  Phone: 1800 020 653  Fax: 02 6232 8605</w:t>
            </w:r>
          </w:p>
          <w:p w:rsidR="001C32CD" w:rsidRPr="004C239D" w:rsidRDefault="00A62F1E"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2DE" w:rsidRDefault="00EA42DE" w:rsidP="00C40A36">
      <w:pPr>
        <w:spacing w:after="0"/>
      </w:pPr>
      <w:r>
        <w:separator/>
      </w:r>
    </w:p>
  </w:endnote>
  <w:endnote w:type="continuationSeparator" w:id="0">
    <w:p w:rsidR="00EA42DE" w:rsidRDefault="00EA42D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Narrow">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00"/>
    <w:family w:val="auto"/>
    <w:notTrueType/>
    <w:pitch w:val="default"/>
    <w:sig w:usb0="00000083" w:usb1="08070000" w:usb2="00000010" w:usb3="00000000" w:csb0="00020009" w:csb1="00000000"/>
  </w:font>
  <w:font w:name="TimesNewRoman,Italic">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0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A42DE" w:rsidRPr="007E15DB" w:rsidTr="00DB750B">
      <w:trPr>
        <w:trHeight w:val="269"/>
      </w:trPr>
      <w:tc>
        <w:tcPr>
          <w:tcW w:w="7371" w:type="dxa"/>
          <w:tcMar>
            <w:top w:w="142" w:type="dxa"/>
            <w:bottom w:w="0" w:type="dxa"/>
          </w:tcMar>
        </w:tcPr>
        <w:p w:rsidR="00EA42DE" w:rsidRPr="007E15DB" w:rsidRDefault="00EA42DE" w:rsidP="00951E61">
          <w:pPr>
            <w:pStyle w:val="Footer"/>
            <w:rPr>
              <w:rFonts w:asciiTheme="minorHAnsi" w:hAnsiTheme="minorHAnsi"/>
              <w:szCs w:val="17"/>
            </w:rPr>
          </w:pPr>
          <w:proofErr w:type="spellStart"/>
          <w:r w:rsidRPr="007E15DB">
            <w:rPr>
              <w:rFonts w:asciiTheme="minorHAnsi" w:hAnsiTheme="minorHAnsi"/>
              <w:szCs w:val="17"/>
            </w:rPr>
            <w:t>AusPAR</w:t>
          </w:r>
          <w:proofErr w:type="spellEnd"/>
          <w:r w:rsidRPr="007E15DB">
            <w:rPr>
              <w:rFonts w:asciiTheme="minorHAnsi" w:hAnsiTheme="minorHAnsi"/>
              <w:szCs w:val="17"/>
            </w:rPr>
            <w:t xml:space="preserve"> </w:t>
          </w:r>
          <w:proofErr w:type="spellStart"/>
          <w:r w:rsidRPr="007E15DB">
            <w:rPr>
              <w:rFonts w:asciiTheme="minorHAnsi" w:hAnsiTheme="minorHAnsi"/>
              <w:szCs w:val="17"/>
            </w:rPr>
            <w:t>Zevtera</w:t>
          </w:r>
          <w:proofErr w:type="spellEnd"/>
          <w:r w:rsidRPr="007E15DB">
            <w:rPr>
              <w:rFonts w:asciiTheme="minorHAnsi" w:hAnsiTheme="minorHAnsi"/>
              <w:szCs w:val="17"/>
            </w:rPr>
            <w:t xml:space="preserve"> </w:t>
          </w:r>
          <w:proofErr w:type="spellStart"/>
          <w:r w:rsidRPr="007E15DB">
            <w:rPr>
              <w:rFonts w:asciiTheme="minorHAnsi" w:hAnsiTheme="minorHAnsi"/>
              <w:szCs w:val="17"/>
            </w:rPr>
            <w:t>Ceftobiprole</w:t>
          </w:r>
          <w:proofErr w:type="spellEnd"/>
          <w:r w:rsidRPr="007E15DB">
            <w:rPr>
              <w:rFonts w:asciiTheme="minorHAnsi" w:hAnsiTheme="minorHAnsi"/>
              <w:szCs w:val="17"/>
            </w:rPr>
            <w:t xml:space="preserve"> </w:t>
          </w:r>
          <w:proofErr w:type="spellStart"/>
          <w:r w:rsidRPr="007E15DB">
            <w:rPr>
              <w:rFonts w:asciiTheme="minorHAnsi" w:hAnsiTheme="minorHAnsi"/>
              <w:szCs w:val="17"/>
            </w:rPr>
            <w:t>medocaril</w:t>
          </w:r>
          <w:proofErr w:type="spellEnd"/>
          <w:r w:rsidRPr="007E15DB">
            <w:rPr>
              <w:rFonts w:asciiTheme="minorHAnsi" w:hAnsiTheme="minorHAnsi"/>
              <w:szCs w:val="17"/>
            </w:rPr>
            <w:t xml:space="preserve"> sodium</w:t>
          </w:r>
          <w:r>
            <w:rPr>
              <w:rFonts w:asciiTheme="minorHAnsi" w:hAnsiTheme="minorHAnsi"/>
              <w:szCs w:val="17"/>
            </w:rPr>
            <w:t xml:space="preserve"> </w:t>
          </w:r>
          <w:r w:rsidRPr="007E15DB">
            <w:rPr>
              <w:rFonts w:asciiTheme="minorHAnsi" w:hAnsiTheme="minorHAnsi"/>
              <w:szCs w:val="17"/>
            </w:rPr>
            <w:t>JACE Pharma Pty Ltd</w:t>
          </w:r>
          <w:r>
            <w:rPr>
              <w:rFonts w:asciiTheme="minorHAnsi" w:hAnsiTheme="minorHAnsi"/>
              <w:szCs w:val="17"/>
            </w:rPr>
            <w:t xml:space="preserve"> </w:t>
          </w:r>
          <w:r w:rsidRPr="007E15DB">
            <w:rPr>
              <w:rFonts w:asciiTheme="minorHAnsi" w:hAnsiTheme="minorHAnsi"/>
              <w:bCs/>
              <w:szCs w:val="17"/>
            </w:rPr>
            <w:t>PM-2014-03155-1-2</w:t>
          </w:r>
          <w:r w:rsidRPr="007E15DB">
            <w:rPr>
              <w:rFonts w:asciiTheme="minorHAnsi" w:hAnsiTheme="minorHAnsi"/>
              <w:szCs w:val="17"/>
            </w:rPr>
            <w:br/>
          </w:r>
          <w:r>
            <w:rPr>
              <w:rFonts w:asciiTheme="minorHAnsi" w:hAnsiTheme="minorHAnsi"/>
              <w:szCs w:val="17"/>
            </w:rPr>
            <w:t>Final 8 February 2016</w:t>
          </w:r>
        </w:p>
      </w:tc>
      <w:tc>
        <w:tcPr>
          <w:tcW w:w="1490" w:type="dxa"/>
          <w:tcMar>
            <w:top w:w="142" w:type="dxa"/>
            <w:bottom w:w="0" w:type="dxa"/>
          </w:tcMar>
        </w:tcPr>
        <w:p w:rsidR="00EA42DE" w:rsidRPr="007E15DB" w:rsidRDefault="00EA42DE" w:rsidP="00DB750B">
          <w:pPr>
            <w:pStyle w:val="Footer"/>
            <w:jc w:val="right"/>
            <w:rPr>
              <w:rFonts w:asciiTheme="minorHAnsi" w:hAnsiTheme="minorHAnsi"/>
              <w:szCs w:val="17"/>
            </w:rPr>
          </w:pPr>
          <w:r w:rsidRPr="007E15DB">
            <w:rPr>
              <w:rFonts w:asciiTheme="minorHAnsi" w:hAnsiTheme="minorHAnsi"/>
              <w:szCs w:val="17"/>
            </w:rPr>
            <w:t xml:space="preserve">Page </w:t>
          </w:r>
          <w:r w:rsidRPr="007E15DB">
            <w:rPr>
              <w:rFonts w:asciiTheme="minorHAnsi" w:hAnsiTheme="minorHAnsi"/>
              <w:szCs w:val="17"/>
            </w:rPr>
            <w:fldChar w:fldCharType="begin"/>
          </w:r>
          <w:r w:rsidRPr="007E15DB">
            <w:rPr>
              <w:rFonts w:asciiTheme="minorHAnsi" w:hAnsiTheme="minorHAnsi"/>
              <w:szCs w:val="17"/>
            </w:rPr>
            <w:instrText xml:space="preserve"> PAGE  \* Arabic </w:instrText>
          </w:r>
          <w:r w:rsidRPr="007E15DB">
            <w:rPr>
              <w:rFonts w:asciiTheme="minorHAnsi" w:hAnsiTheme="minorHAnsi"/>
              <w:szCs w:val="17"/>
            </w:rPr>
            <w:fldChar w:fldCharType="separate"/>
          </w:r>
          <w:r w:rsidR="00A62F1E">
            <w:rPr>
              <w:rFonts w:asciiTheme="minorHAnsi" w:hAnsiTheme="minorHAnsi"/>
              <w:noProof/>
              <w:szCs w:val="17"/>
            </w:rPr>
            <w:t>3</w:t>
          </w:r>
          <w:r w:rsidRPr="007E15DB">
            <w:rPr>
              <w:rFonts w:asciiTheme="minorHAnsi" w:hAnsiTheme="minorHAnsi"/>
              <w:szCs w:val="17"/>
            </w:rPr>
            <w:fldChar w:fldCharType="end"/>
          </w:r>
          <w:r w:rsidRPr="007E15DB">
            <w:rPr>
              <w:rFonts w:asciiTheme="minorHAnsi" w:hAnsiTheme="minorHAnsi"/>
              <w:szCs w:val="17"/>
            </w:rPr>
            <w:t xml:space="preserve"> of </w:t>
          </w:r>
          <w:r w:rsidRPr="007E15DB">
            <w:rPr>
              <w:rFonts w:asciiTheme="minorHAnsi" w:hAnsiTheme="minorHAnsi"/>
              <w:szCs w:val="17"/>
            </w:rPr>
            <w:fldChar w:fldCharType="begin"/>
          </w:r>
          <w:r w:rsidRPr="007E15DB">
            <w:rPr>
              <w:rFonts w:asciiTheme="minorHAnsi" w:hAnsiTheme="minorHAnsi"/>
              <w:szCs w:val="17"/>
            </w:rPr>
            <w:instrText xml:space="preserve"> NUMPAGES  \* Arabic </w:instrText>
          </w:r>
          <w:r w:rsidRPr="007E15DB">
            <w:rPr>
              <w:rFonts w:asciiTheme="minorHAnsi" w:hAnsiTheme="minorHAnsi"/>
              <w:szCs w:val="17"/>
            </w:rPr>
            <w:fldChar w:fldCharType="separate"/>
          </w:r>
          <w:r w:rsidR="00A62F1E">
            <w:rPr>
              <w:rFonts w:asciiTheme="minorHAnsi" w:hAnsiTheme="minorHAnsi"/>
              <w:noProof/>
              <w:szCs w:val="17"/>
            </w:rPr>
            <w:t>57</w:t>
          </w:r>
          <w:r w:rsidRPr="007E15DB">
            <w:rPr>
              <w:rFonts w:asciiTheme="minorHAnsi" w:hAnsiTheme="minorHAnsi"/>
              <w:noProof/>
              <w:szCs w:val="17"/>
            </w:rPr>
            <w:fldChar w:fldCharType="end"/>
          </w:r>
        </w:p>
      </w:tc>
    </w:tr>
  </w:tbl>
  <w:p w:rsidR="00EA42DE" w:rsidRPr="007E15DB" w:rsidRDefault="00EA42DE" w:rsidP="003D1E62">
    <w:pPr>
      <w:pStyle w:val="Footer"/>
      <w:rPr>
        <w:rFonts w:asciiTheme="minorHAnsi" w:hAnsiTheme="minorHAnsi"/>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A42DE" w:rsidRPr="00487162" w:rsidTr="00E45619">
      <w:trPr>
        <w:trHeight w:val="269"/>
      </w:trPr>
      <w:tc>
        <w:tcPr>
          <w:tcW w:w="4519" w:type="dxa"/>
          <w:tcBorders>
            <w:top w:val="single" w:sz="4" w:space="0" w:color="auto"/>
          </w:tcBorders>
          <w:tcMar>
            <w:top w:w="142" w:type="dxa"/>
            <w:bottom w:w="0" w:type="dxa"/>
          </w:tcMar>
        </w:tcPr>
        <w:p w:rsidR="00EA42DE" w:rsidRPr="00487162" w:rsidRDefault="00EA42DE" w:rsidP="00FE1DEE">
          <w:pPr>
            <w:pStyle w:val="Footer"/>
          </w:pPr>
          <w:r w:rsidRPr="00487162">
            <w:t>Document title, Part #, Section # - Section title</w:t>
          </w:r>
        </w:p>
        <w:p w:rsidR="00EA42DE" w:rsidRPr="00487162" w:rsidRDefault="00EA42DE" w:rsidP="00FE1DEE">
          <w:pPr>
            <w:pStyle w:val="Footer"/>
          </w:pPr>
          <w:r w:rsidRPr="00487162">
            <w:t>V1.0 October 2010</w:t>
          </w:r>
        </w:p>
      </w:tc>
      <w:tc>
        <w:tcPr>
          <w:tcW w:w="4342" w:type="dxa"/>
          <w:tcBorders>
            <w:top w:val="single" w:sz="4" w:space="0" w:color="auto"/>
          </w:tcBorders>
          <w:tcMar>
            <w:top w:w="142" w:type="dxa"/>
            <w:bottom w:w="0" w:type="dxa"/>
          </w:tcMar>
        </w:tcPr>
        <w:p w:rsidR="00EA42DE" w:rsidRPr="00487162" w:rsidRDefault="00EA42D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62F1E">
            <w:fldChar w:fldCharType="begin"/>
          </w:r>
          <w:r w:rsidR="00A62F1E">
            <w:instrText xml:space="preserve"> NUMPAGES  </w:instrText>
          </w:r>
          <w:r w:rsidR="00A62F1E">
            <w:fldChar w:fldCharType="separate"/>
          </w:r>
          <w:r>
            <w:rPr>
              <w:noProof/>
            </w:rPr>
            <w:t>58</w:t>
          </w:r>
          <w:r w:rsidR="00A62F1E">
            <w:rPr>
              <w:noProof/>
            </w:rPr>
            <w:fldChar w:fldCharType="end"/>
          </w:r>
        </w:p>
      </w:tc>
    </w:tr>
  </w:tbl>
  <w:p w:rsidR="00EA42DE" w:rsidRDefault="00EA42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2DE" w:rsidRPr="001C32CD" w:rsidRDefault="00EA42D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A42DE" w:rsidTr="0010601F">
      <w:trPr>
        <w:trHeight w:val="108"/>
      </w:trPr>
      <w:tc>
        <w:tcPr>
          <w:tcW w:w="8875" w:type="dxa"/>
          <w:gridSpan w:val="2"/>
          <w:tcBorders>
            <w:bottom w:val="single" w:sz="4" w:space="0" w:color="auto"/>
          </w:tcBorders>
          <w:tcMar>
            <w:right w:w="284" w:type="dxa"/>
          </w:tcMar>
        </w:tcPr>
        <w:p w:rsidR="00EA42DE" w:rsidRDefault="00EA42DE" w:rsidP="006E08B3">
          <w:pPr>
            <w:pStyle w:val="Heading3"/>
          </w:pPr>
          <w:r>
            <w:t>Copyright</w:t>
          </w:r>
        </w:p>
        <w:p w:rsidR="00EA42DE" w:rsidRDefault="00EA42DE" w:rsidP="006E08B3">
          <w:r>
            <w:rPr>
              <w:rFonts w:cs="Arial"/>
            </w:rPr>
            <w:t>©</w:t>
          </w:r>
          <w:r>
            <w:t xml:space="preserve"> Commonwealth of Australia [add year]</w:t>
          </w:r>
        </w:p>
        <w:p w:rsidR="00EA42DE" w:rsidRDefault="00EA42DE" w:rsidP="006E08B3"/>
        <w:p w:rsidR="00EA42DE" w:rsidRDefault="00EA42D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A42DE" w:rsidRDefault="00EA42DE" w:rsidP="006E08B3"/>
        <w:p w:rsidR="00EA42DE" w:rsidRDefault="00EA42DE" w:rsidP="006E08B3">
          <w:pPr>
            <w:pStyle w:val="Heading3"/>
          </w:pPr>
          <w:r>
            <w:t>Confidentiality</w:t>
          </w:r>
        </w:p>
        <w:p w:rsidR="00EA42DE" w:rsidRDefault="00EA42D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A42DE" w:rsidRDefault="00EA42DE" w:rsidP="006E08B3"/>
        <w:p w:rsidR="00EA42DE" w:rsidRDefault="00EA42DE" w:rsidP="006E08B3">
          <w:r>
            <w:t>For submission made by individuals, all personal details, other than your name, will be removed from your submission before it is published on the TGA’s Internet site.</w:t>
          </w:r>
        </w:p>
        <w:p w:rsidR="00EA42DE" w:rsidRDefault="00EA42DE" w:rsidP="006E08B3"/>
        <w:p w:rsidR="00EA42DE" w:rsidRDefault="00EA42D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A42DE" w:rsidTr="0010601F">
      <w:trPr>
        <w:trHeight w:val="417"/>
      </w:trPr>
      <w:tc>
        <w:tcPr>
          <w:tcW w:w="4519" w:type="dxa"/>
          <w:tcBorders>
            <w:top w:val="single" w:sz="4" w:space="0" w:color="auto"/>
          </w:tcBorders>
          <w:tcMar>
            <w:top w:w="142" w:type="dxa"/>
            <w:bottom w:w="0" w:type="dxa"/>
          </w:tcMar>
        </w:tcPr>
        <w:p w:rsidR="00EA42DE" w:rsidRDefault="00EA42DE" w:rsidP="006E08B3">
          <w:r>
            <w:t>Document title, Part #, Section # - Section title</w:t>
          </w:r>
        </w:p>
        <w:p w:rsidR="00EA42DE" w:rsidRDefault="00EA42DE" w:rsidP="006E08B3">
          <w:r>
            <w:t>V1.0 October 2010</w:t>
          </w:r>
        </w:p>
      </w:tc>
      <w:tc>
        <w:tcPr>
          <w:tcW w:w="4356" w:type="dxa"/>
          <w:tcBorders>
            <w:top w:val="single" w:sz="4" w:space="0" w:color="auto"/>
          </w:tcBorders>
          <w:tcMar>
            <w:top w:w="142" w:type="dxa"/>
            <w:bottom w:w="0" w:type="dxa"/>
          </w:tcMar>
        </w:tcPr>
        <w:p w:rsidR="00EA42DE" w:rsidRDefault="00EA42D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62F1E">
            <w:fldChar w:fldCharType="begin"/>
          </w:r>
          <w:r w:rsidR="00A62F1E">
            <w:instrText xml:space="preserve"> </w:instrText>
          </w:r>
          <w:r w:rsidR="00A62F1E">
            <w:instrText xml:space="preserve">NUMPAGES  \* Arabic </w:instrText>
          </w:r>
          <w:r w:rsidR="00A62F1E">
            <w:fldChar w:fldCharType="separate"/>
          </w:r>
          <w:r>
            <w:rPr>
              <w:noProof/>
            </w:rPr>
            <w:t>58</w:t>
          </w:r>
          <w:r w:rsidR="00A62F1E">
            <w:rPr>
              <w:noProof/>
            </w:rPr>
            <w:fldChar w:fldCharType="end"/>
          </w:r>
          <w:bookmarkStart w:id="180" w:name="_Toc196046425"/>
          <w:bookmarkStart w:id="181" w:name="_Toc247691501"/>
          <w:r>
            <w:t xml:space="preserve">  </w:t>
          </w:r>
        </w:p>
      </w:tc>
    </w:tr>
    <w:bookmarkEnd w:id="180"/>
    <w:bookmarkEnd w:id="181"/>
  </w:tbl>
  <w:p w:rsidR="00EA42DE" w:rsidRDefault="00EA42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2DE" w:rsidRDefault="00EA42DE" w:rsidP="00C40A36">
      <w:pPr>
        <w:spacing w:after="0"/>
      </w:pPr>
      <w:r>
        <w:separator/>
      </w:r>
    </w:p>
  </w:footnote>
  <w:footnote w:type="continuationSeparator" w:id="0">
    <w:p w:rsidR="00EA42DE" w:rsidRDefault="00EA42DE" w:rsidP="00C40A36">
      <w:pPr>
        <w:spacing w:after="0"/>
      </w:pPr>
      <w:r>
        <w:continuationSeparator/>
      </w:r>
    </w:p>
  </w:footnote>
  <w:footnote w:id="1">
    <w:p w:rsidR="00EA42DE" w:rsidRDefault="00EA42DE" w:rsidP="00F71129">
      <w:pPr>
        <w:pStyle w:val="FootnoteText"/>
      </w:pPr>
      <w:r w:rsidRPr="00F71129">
        <w:rPr>
          <w:rStyle w:val="FootnoteReference"/>
        </w:rPr>
        <w:footnoteRef/>
      </w:r>
      <w:r w:rsidRPr="00407844">
        <w:rPr>
          <w:noProof/>
        </w:rPr>
        <w:t>Schliamser S</w:t>
      </w:r>
      <w:r>
        <w:rPr>
          <w:noProof/>
        </w:rPr>
        <w:t>.</w:t>
      </w:r>
      <w:r w:rsidRPr="00407844">
        <w:rPr>
          <w:noProof/>
        </w:rPr>
        <w:t>E</w:t>
      </w:r>
      <w:r>
        <w:rPr>
          <w:noProof/>
        </w:rPr>
        <w:t>.</w:t>
      </w:r>
      <w:r w:rsidRPr="00407844">
        <w:rPr>
          <w:noProof/>
        </w:rPr>
        <w:t>, Cars O</w:t>
      </w:r>
      <w:r>
        <w:rPr>
          <w:noProof/>
        </w:rPr>
        <w:t>. and</w:t>
      </w:r>
      <w:r w:rsidRPr="00407844">
        <w:rPr>
          <w:noProof/>
        </w:rPr>
        <w:t xml:space="preserve"> </w:t>
      </w:r>
      <w:proofErr w:type="spellStart"/>
      <w:r w:rsidRPr="00F71129">
        <w:t>Norrby</w:t>
      </w:r>
      <w:proofErr w:type="spellEnd"/>
      <w:r w:rsidRPr="00407844">
        <w:rPr>
          <w:noProof/>
        </w:rPr>
        <w:t xml:space="preserve"> S</w:t>
      </w:r>
      <w:r>
        <w:rPr>
          <w:noProof/>
        </w:rPr>
        <w:t>.</w:t>
      </w:r>
      <w:r w:rsidRPr="00407844">
        <w:rPr>
          <w:noProof/>
        </w:rPr>
        <w:t>R.</w:t>
      </w:r>
      <w:r>
        <w:rPr>
          <w:noProof/>
        </w:rPr>
        <w:t xml:space="preserve"> (</w:t>
      </w:r>
      <w:r w:rsidRPr="00407844">
        <w:rPr>
          <w:noProof/>
        </w:rPr>
        <w:t>1991</w:t>
      </w:r>
      <w:r>
        <w:rPr>
          <w:noProof/>
        </w:rPr>
        <w:t xml:space="preserve">) </w:t>
      </w:r>
      <w:r w:rsidRPr="00407844">
        <w:rPr>
          <w:noProof/>
        </w:rPr>
        <w:t>Neurotoxicity of beta-lactam antibiotics: predisposing factors and pathogenesis.</w:t>
      </w:r>
      <w:r>
        <w:rPr>
          <w:noProof/>
        </w:rPr>
        <w:t xml:space="preserve"> </w:t>
      </w:r>
      <w:r w:rsidRPr="00407844">
        <w:rPr>
          <w:i/>
          <w:noProof/>
        </w:rPr>
        <w:t xml:space="preserve">Journal of Antimicrobial </w:t>
      </w:r>
      <w:r w:rsidRPr="00DD5297">
        <w:rPr>
          <w:i/>
          <w:noProof/>
        </w:rPr>
        <w:t>Chemotherapy</w:t>
      </w:r>
      <w:r w:rsidRPr="00DD5297">
        <w:rPr>
          <w:noProof/>
        </w:rPr>
        <w:t>, 27: 405</w:t>
      </w:r>
      <w:r>
        <w:rPr>
          <w:noProof/>
        </w:rPr>
        <w:t>‒4</w:t>
      </w:r>
      <w:r w:rsidRPr="00407844">
        <w:rPr>
          <w:noProof/>
        </w:rPr>
        <w:t>25.</w:t>
      </w:r>
    </w:p>
  </w:footnote>
  <w:footnote w:id="2">
    <w:p w:rsidR="00EA42DE" w:rsidRPr="00DD5297" w:rsidRDefault="00EA42DE" w:rsidP="00F71129">
      <w:pPr>
        <w:pStyle w:val="FootnoteText"/>
        <w:rPr>
          <w:noProof/>
        </w:rPr>
      </w:pPr>
      <w:r w:rsidRPr="00DD5297">
        <w:rPr>
          <w:rStyle w:val="FootnoteReference"/>
          <w:szCs w:val="18"/>
        </w:rPr>
        <w:footnoteRef/>
      </w:r>
      <w:r w:rsidRPr="00DD5297">
        <w:t xml:space="preserve"> </w:t>
      </w:r>
      <w:r w:rsidRPr="00DD5297">
        <w:rPr>
          <w:noProof/>
        </w:rPr>
        <w:t xml:space="preserve">Roth M., Obaidat A. and Hagenbuch B. (2012) OATPs, OATs and OCTs: the organic anion and cation transporters of the SLCO and SLC22A gene superfamilies. </w:t>
      </w:r>
      <w:r w:rsidRPr="00DD5297">
        <w:rPr>
          <w:i/>
          <w:noProof/>
        </w:rPr>
        <w:t>British Journal of Pharmacology</w:t>
      </w:r>
      <w:r w:rsidRPr="00DD5297">
        <w:rPr>
          <w:noProof/>
        </w:rPr>
        <w:t>, 165: 1260‒1287.</w:t>
      </w:r>
    </w:p>
  </w:footnote>
  <w:footnote w:id="3">
    <w:p w:rsidR="00EA42DE" w:rsidRPr="00DD5297" w:rsidRDefault="00EA42DE" w:rsidP="00F71129">
      <w:pPr>
        <w:pStyle w:val="FootnoteText"/>
        <w:rPr>
          <w:noProof/>
        </w:rPr>
      </w:pPr>
      <w:r w:rsidRPr="00DD5297">
        <w:rPr>
          <w:rStyle w:val="FootnoteReference"/>
          <w:szCs w:val="18"/>
        </w:rPr>
        <w:footnoteRef/>
      </w:r>
      <w:r w:rsidRPr="00DD5297">
        <w:t xml:space="preserve"> </w:t>
      </w:r>
      <w:r w:rsidRPr="00DD5297">
        <w:rPr>
          <w:noProof/>
        </w:rPr>
        <w:t xml:space="preserve">International Transporter Consortium (2010) Membrane transporters in drug development. </w:t>
      </w:r>
      <w:r w:rsidRPr="00DD5297">
        <w:rPr>
          <w:i/>
          <w:noProof/>
        </w:rPr>
        <w:t>Nature Reviews. Drug Discovery</w:t>
      </w:r>
      <w:r w:rsidRPr="00DD5297">
        <w:rPr>
          <w:noProof/>
        </w:rPr>
        <w:t>. 9: 215‒236.</w:t>
      </w:r>
    </w:p>
  </w:footnote>
  <w:footnote w:id="4">
    <w:p w:rsidR="00EA42DE" w:rsidRPr="00DD5297" w:rsidRDefault="00EA42DE" w:rsidP="00914222">
      <w:pPr>
        <w:pStyle w:val="FootnoteText"/>
      </w:pPr>
      <w:r w:rsidRPr="00914222">
        <w:rPr>
          <w:rStyle w:val="FootnoteReference"/>
          <w:szCs w:val="18"/>
        </w:rPr>
        <w:footnoteRef/>
      </w:r>
      <w:r>
        <w:t xml:space="preserve"> </w:t>
      </w:r>
      <w:r w:rsidRPr="00DD5297">
        <w:t xml:space="preserve">International conference on harmonisation of technical requirements for registration of pharmaceuticals for human use (ICH) Guideline S1a (1995): </w:t>
      </w:r>
      <w:r w:rsidRPr="00DD5297">
        <w:rPr>
          <w:bCs/>
        </w:rPr>
        <w:t>Guideline on the need for carcinogenicity studies of pharmaceuticals.</w:t>
      </w:r>
    </w:p>
  </w:footnote>
  <w:footnote w:id="5">
    <w:p w:rsidR="00EA42DE" w:rsidRPr="00BE1354" w:rsidRDefault="00EA42DE" w:rsidP="00914222">
      <w:pPr>
        <w:pStyle w:val="FootnoteText"/>
      </w:pPr>
      <w:r w:rsidRPr="00914222">
        <w:rPr>
          <w:rStyle w:val="FootnoteReference"/>
        </w:rPr>
        <w:footnoteRef/>
      </w:r>
      <w:r w:rsidRPr="00DD5297">
        <w:t xml:space="preserve"> Pregnancy Category B1: Studies in </w:t>
      </w:r>
      <w:r w:rsidRPr="00914222">
        <w:t>animals</w:t>
      </w:r>
      <w:r w:rsidRPr="00BE1354">
        <w:t xml:space="preserve"> have not shown evidence of an increased occurrence of </w:t>
      </w:r>
      <w:proofErr w:type="spellStart"/>
      <w:r w:rsidRPr="00BE1354">
        <w:t>fetal</w:t>
      </w:r>
      <w:proofErr w:type="spellEnd"/>
      <w:r w:rsidRPr="00BE1354">
        <w:t xml:space="preserve"> dam</w:t>
      </w:r>
      <w:r>
        <w:t>a</w:t>
      </w:r>
      <w:r w:rsidRPr="00BE1354">
        <w:t>ge.</w:t>
      </w:r>
    </w:p>
  </w:footnote>
  <w:footnote w:id="6">
    <w:p w:rsidR="00EA42DE" w:rsidRPr="0052542E" w:rsidRDefault="00EA42DE" w:rsidP="00914222">
      <w:pPr>
        <w:pStyle w:val="FootnoteText"/>
      </w:pPr>
      <w:r w:rsidRPr="00914222">
        <w:rPr>
          <w:rStyle w:val="FootnoteReference"/>
        </w:rPr>
        <w:footnoteRef/>
      </w:r>
      <w:r>
        <w:t xml:space="preserve"> </w:t>
      </w:r>
      <w:r w:rsidRPr="00951E61">
        <w:t xml:space="preserve">The sponsor’s estimates of qualified </w:t>
      </w:r>
      <w:r>
        <w:t xml:space="preserve">impurity </w:t>
      </w:r>
      <w:r w:rsidRPr="00951E61">
        <w:t>level</w:t>
      </w:r>
      <w:r>
        <w:t>s</w:t>
      </w:r>
      <w:r w:rsidRPr="00951E61">
        <w:t xml:space="preserve"> derived from NOAELs and drug product impurity levels, from rat and marmoset repeat-dose toxicity studies, were scaled to body weight. </w:t>
      </w:r>
      <w:r w:rsidRPr="00951E61">
        <w:rPr>
          <w:kern w:val="2"/>
        </w:rPr>
        <w:t xml:space="preserve">The use of </w:t>
      </w:r>
      <w:r w:rsidRPr="00951E61">
        <w:t>body weight rather than body surface area leads to improperly inflated estimates of qualified impurity levels. The TGA requested that the qualified impurity levels were calculated using body surface area and a more conservative value for human weight (that is, 50 kg rather than 70 kg). Such values are considerably lower than those presented by the sponsor</w:t>
      </w:r>
    </w:p>
  </w:footnote>
  <w:footnote w:id="7">
    <w:p w:rsidR="00EA42DE" w:rsidRPr="00712FCD" w:rsidRDefault="00EA42DE" w:rsidP="00914222">
      <w:pPr>
        <w:pStyle w:val="FootnoteText"/>
      </w:pPr>
      <w:r>
        <w:rPr>
          <w:rStyle w:val="FootnoteReference"/>
        </w:rPr>
        <w:footnoteRef/>
      </w:r>
      <w:r>
        <w:t xml:space="preserve"> </w:t>
      </w:r>
      <w:proofErr w:type="gramStart"/>
      <w:r w:rsidRPr="00FD3E5D">
        <w:t>ECDC/EMEA Joint Technical Report.</w:t>
      </w:r>
      <w:proofErr w:type="gramEnd"/>
      <w:r w:rsidRPr="00FD3E5D">
        <w:t xml:space="preserve"> The bacterial challenge: time t</w:t>
      </w:r>
      <w:r>
        <w:t xml:space="preserve">o react. </w:t>
      </w:r>
      <w:proofErr w:type="gramStart"/>
      <w:r>
        <w:t>2009 EMEA/576176/2009.</w:t>
      </w:r>
      <w:proofErr w:type="gramEnd"/>
    </w:p>
  </w:footnote>
  <w:footnote w:id="8">
    <w:p w:rsidR="00EA42DE" w:rsidRPr="005F67B4" w:rsidRDefault="00EA42DE" w:rsidP="00914222">
      <w:pPr>
        <w:pStyle w:val="FootnoteText"/>
      </w:pPr>
      <w:r w:rsidRPr="005F67B4">
        <w:rPr>
          <w:rStyle w:val="FootnoteReference"/>
          <w:szCs w:val="18"/>
        </w:rPr>
        <w:footnoteRef/>
      </w:r>
      <w:r w:rsidRPr="005F67B4">
        <w:t xml:space="preserve"> Napolitano LM. </w:t>
      </w:r>
      <w:proofErr w:type="gramStart"/>
      <w:r w:rsidRPr="005F67B4">
        <w:t>Use of severity scoring and stratification factors in clinical trials of hospital-acquired and ventilator-associated pneumonia.</w:t>
      </w:r>
      <w:proofErr w:type="gramEnd"/>
      <w:r w:rsidRPr="005F67B4">
        <w:t xml:space="preserve"> </w:t>
      </w:r>
      <w:proofErr w:type="spellStart"/>
      <w:r w:rsidRPr="005F67B4">
        <w:t>Clin</w:t>
      </w:r>
      <w:proofErr w:type="spellEnd"/>
      <w:r w:rsidRPr="005F67B4">
        <w:t xml:space="preserve"> Infect Dis. 2010</w:t>
      </w:r>
      <w:proofErr w:type="gramStart"/>
      <w:r w:rsidRPr="005F67B4">
        <w:t>;51</w:t>
      </w:r>
      <w:proofErr w:type="gramEnd"/>
      <w:r w:rsidRPr="005F67B4">
        <w:t xml:space="preserve"> </w:t>
      </w:r>
      <w:proofErr w:type="spellStart"/>
      <w:r w:rsidRPr="005F67B4">
        <w:t>Suppl</w:t>
      </w:r>
      <w:proofErr w:type="spellEnd"/>
      <w:r w:rsidRPr="005F67B4">
        <w:t xml:space="preserve"> 1:S67–80.</w:t>
      </w:r>
    </w:p>
  </w:footnote>
  <w:footnote w:id="9">
    <w:p w:rsidR="00EA42DE" w:rsidRPr="00AF56A4" w:rsidRDefault="00EA42DE" w:rsidP="00914222">
      <w:pPr>
        <w:pStyle w:val="FootnoteText"/>
      </w:pPr>
      <w:r w:rsidRPr="005F67B4">
        <w:rPr>
          <w:rStyle w:val="FootnoteReference"/>
          <w:szCs w:val="18"/>
        </w:rPr>
        <w:footnoteRef/>
      </w:r>
      <w:r w:rsidRPr="005F67B4">
        <w:t xml:space="preserve"> Masterton R. </w:t>
      </w:r>
      <w:proofErr w:type="gramStart"/>
      <w:r w:rsidRPr="005F67B4">
        <w:t>The place of guidelines in hospital-acquired pneumonia.</w:t>
      </w:r>
      <w:proofErr w:type="gramEnd"/>
      <w:r w:rsidRPr="005F67B4">
        <w:t xml:space="preserve"> </w:t>
      </w:r>
      <w:r w:rsidRPr="00AF56A4">
        <w:t xml:space="preserve">J </w:t>
      </w:r>
      <w:proofErr w:type="spellStart"/>
      <w:r w:rsidRPr="00AF56A4">
        <w:t>Hosp</w:t>
      </w:r>
      <w:proofErr w:type="spellEnd"/>
      <w:r w:rsidRPr="00AF56A4">
        <w:t xml:space="preserve"> Infect. 2007 Jun</w:t>
      </w:r>
      <w:proofErr w:type="gramStart"/>
      <w:r w:rsidRPr="00AF56A4">
        <w:t>;66</w:t>
      </w:r>
      <w:proofErr w:type="gramEnd"/>
      <w:r w:rsidRPr="00AF56A4">
        <w:t>(2):116–22.</w:t>
      </w:r>
    </w:p>
  </w:footnote>
  <w:footnote w:id="10">
    <w:p w:rsidR="00EA42DE" w:rsidRPr="005F67B4" w:rsidRDefault="00EA42DE" w:rsidP="00914222">
      <w:pPr>
        <w:pStyle w:val="FootnoteText"/>
      </w:pPr>
      <w:r w:rsidRPr="005F67B4">
        <w:rPr>
          <w:rStyle w:val="FootnoteReference"/>
          <w:szCs w:val="18"/>
        </w:rPr>
        <w:footnoteRef/>
      </w:r>
      <w:r w:rsidRPr="00AF56A4">
        <w:t xml:space="preserve"> </w:t>
      </w:r>
      <w:proofErr w:type="spellStart"/>
      <w:r w:rsidRPr="00AF56A4">
        <w:t>Lizioli</w:t>
      </w:r>
      <w:proofErr w:type="spellEnd"/>
      <w:r w:rsidRPr="00AF56A4">
        <w:t xml:space="preserve"> A, </w:t>
      </w:r>
      <w:proofErr w:type="spellStart"/>
      <w:r w:rsidRPr="00AF56A4">
        <w:t>Privitera</w:t>
      </w:r>
      <w:proofErr w:type="spellEnd"/>
      <w:r w:rsidRPr="00AF56A4">
        <w:t xml:space="preserve"> G, </w:t>
      </w:r>
      <w:proofErr w:type="spellStart"/>
      <w:proofErr w:type="gramStart"/>
      <w:r w:rsidRPr="00AF56A4">
        <w:t>Alliata</w:t>
      </w:r>
      <w:proofErr w:type="spellEnd"/>
      <w:proofErr w:type="gramEnd"/>
      <w:r w:rsidRPr="00AF56A4">
        <w:t xml:space="preserve"> E, et al. </w:t>
      </w:r>
      <w:r w:rsidRPr="005F67B4">
        <w:t xml:space="preserve">Prevalence of nosocomial infections in Italy: result from the Lombardy survey in 2000. J </w:t>
      </w:r>
      <w:proofErr w:type="spellStart"/>
      <w:r w:rsidRPr="005F67B4">
        <w:t>Hosp</w:t>
      </w:r>
      <w:proofErr w:type="spellEnd"/>
      <w:r w:rsidRPr="005F67B4">
        <w:t xml:space="preserve"> Infect. 2003 Jun</w:t>
      </w:r>
      <w:proofErr w:type="gramStart"/>
      <w:r w:rsidRPr="005F67B4">
        <w:t>;54</w:t>
      </w:r>
      <w:proofErr w:type="gramEnd"/>
      <w:r w:rsidRPr="005F67B4">
        <w:t>(2):141–8.</w:t>
      </w:r>
    </w:p>
  </w:footnote>
  <w:footnote w:id="11">
    <w:p w:rsidR="00EA42DE" w:rsidRPr="005F67B4" w:rsidRDefault="00EA42DE" w:rsidP="00914222">
      <w:pPr>
        <w:pStyle w:val="FootnoteText"/>
      </w:pPr>
      <w:r w:rsidRPr="005F67B4">
        <w:rPr>
          <w:rStyle w:val="FootnoteReference"/>
          <w:szCs w:val="18"/>
        </w:rPr>
        <w:footnoteRef/>
      </w:r>
      <w:r w:rsidRPr="005F67B4">
        <w:t xml:space="preserve"> Torres A, Ferrer M, </w:t>
      </w:r>
      <w:proofErr w:type="spellStart"/>
      <w:r w:rsidRPr="005F67B4">
        <w:t>Badia</w:t>
      </w:r>
      <w:proofErr w:type="spellEnd"/>
      <w:r w:rsidRPr="005F67B4">
        <w:t xml:space="preserve"> JR. Treatment guidelines and outcomes of hospital-acquired and ventilator-associated pneumonia. </w:t>
      </w:r>
      <w:proofErr w:type="spellStart"/>
      <w:r w:rsidRPr="005F67B4">
        <w:t>Clin</w:t>
      </w:r>
      <w:proofErr w:type="spellEnd"/>
      <w:r w:rsidRPr="005F67B4">
        <w:t xml:space="preserve"> Infect Dis. 2010 Aug 1</w:t>
      </w:r>
      <w:proofErr w:type="gramStart"/>
      <w:r w:rsidRPr="005F67B4">
        <w:t>;51</w:t>
      </w:r>
      <w:proofErr w:type="gramEnd"/>
      <w:r w:rsidRPr="005F67B4">
        <w:t xml:space="preserve"> </w:t>
      </w:r>
      <w:proofErr w:type="spellStart"/>
      <w:r w:rsidRPr="005F67B4">
        <w:t>Suppl</w:t>
      </w:r>
      <w:proofErr w:type="spellEnd"/>
      <w:r w:rsidRPr="005F67B4">
        <w:t xml:space="preserve"> 1:S48–53.</w:t>
      </w:r>
    </w:p>
  </w:footnote>
  <w:footnote w:id="12">
    <w:p w:rsidR="00EA42DE" w:rsidRPr="005F67B4" w:rsidRDefault="00EA42DE" w:rsidP="00914222">
      <w:pPr>
        <w:pStyle w:val="FootnoteText"/>
      </w:pPr>
      <w:r w:rsidRPr="005F67B4">
        <w:rPr>
          <w:rStyle w:val="FootnoteReference"/>
          <w:szCs w:val="18"/>
        </w:rPr>
        <w:footnoteRef/>
      </w:r>
      <w:r w:rsidRPr="005F67B4">
        <w:t xml:space="preserve"> </w:t>
      </w:r>
      <w:proofErr w:type="spellStart"/>
      <w:proofErr w:type="gramStart"/>
      <w:r w:rsidRPr="005F67B4">
        <w:t>Muscedere</w:t>
      </w:r>
      <w:proofErr w:type="spellEnd"/>
      <w:r w:rsidRPr="005F67B4">
        <w:t xml:space="preserve"> JG, Day A, </w:t>
      </w:r>
      <w:proofErr w:type="spellStart"/>
      <w:r w:rsidRPr="005F67B4">
        <w:t>Heyland</w:t>
      </w:r>
      <w:proofErr w:type="spellEnd"/>
      <w:r w:rsidRPr="005F67B4">
        <w:t xml:space="preserve"> DK. Mortality, attributable mortality, and clinical events as end points for clinical trials of ventilator-associated pneumonia and hospital-acquired pneumonia.</w:t>
      </w:r>
      <w:proofErr w:type="gramEnd"/>
      <w:r w:rsidRPr="005F67B4">
        <w:t xml:space="preserve"> </w:t>
      </w:r>
      <w:proofErr w:type="spellStart"/>
      <w:r w:rsidRPr="005F67B4">
        <w:t>Clin</w:t>
      </w:r>
      <w:proofErr w:type="spellEnd"/>
      <w:r w:rsidRPr="005F67B4">
        <w:t xml:space="preserve"> Infect Dis. 2010</w:t>
      </w:r>
      <w:proofErr w:type="gramStart"/>
      <w:r w:rsidRPr="005F67B4">
        <w:t>;51</w:t>
      </w:r>
      <w:proofErr w:type="gramEnd"/>
      <w:r w:rsidRPr="005F67B4">
        <w:t xml:space="preserve"> </w:t>
      </w:r>
      <w:proofErr w:type="spellStart"/>
      <w:r w:rsidRPr="005F67B4">
        <w:t>Suppl</w:t>
      </w:r>
      <w:proofErr w:type="spellEnd"/>
      <w:r w:rsidRPr="005F67B4">
        <w:t xml:space="preserve"> 1:S120–5.</w:t>
      </w:r>
    </w:p>
  </w:footnote>
  <w:footnote w:id="13">
    <w:p w:rsidR="00EA42DE" w:rsidRPr="005F67B4" w:rsidRDefault="00EA42DE" w:rsidP="0028122D">
      <w:pPr>
        <w:pStyle w:val="FootnoteText"/>
      </w:pPr>
      <w:r w:rsidRPr="005F67B4">
        <w:rPr>
          <w:rStyle w:val="FootnoteReference"/>
          <w:szCs w:val="18"/>
        </w:rPr>
        <w:footnoteRef/>
      </w:r>
      <w:r w:rsidRPr="005F67B4">
        <w:t xml:space="preserve"> Jones RN. </w:t>
      </w:r>
      <w:proofErr w:type="gramStart"/>
      <w:r w:rsidRPr="005F67B4">
        <w:t xml:space="preserve">Microbial </w:t>
      </w:r>
      <w:proofErr w:type="spellStart"/>
      <w:r w:rsidRPr="005F67B4">
        <w:t>etiologies</w:t>
      </w:r>
      <w:proofErr w:type="spellEnd"/>
      <w:r w:rsidRPr="005F67B4">
        <w:t xml:space="preserve"> of hospital-acquired bacterial pneumonia and ventilator-associated bacterial pneumonia.</w:t>
      </w:r>
      <w:proofErr w:type="gramEnd"/>
      <w:r w:rsidRPr="005F67B4">
        <w:t xml:space="preserve"> </w:t>
      </w:r>
      <w:proofErr w:type="spellStart"/>
      <w:r w:rsidRPr="005F67B4">
        <w:t>Clin</w:t>
      </w:r>
      <w:proofErr w:type="spellEnd"/>
      <w:r w:rsidRPr="005F67B4">
        <w:t xml:space="preserve"> Infect Dis. 2010 Aug 1</w:t>
      </w:r>
      <w:proofErr w:type="gramStart"/>
      <w:r w:rsidRPr="005F67B4">
        <w:t>;51</w:t>
      </w:r>
      <w:proofErr w:type="gramEnd"/>
      <w:r w:rsidRPr="005F67B4">
        <w:t xml:space="preserve"> </w:t>
      </w:r>
      <w:proofErr w:type="spellStart"/>
      <w:r w:rsidRPr="005F67B4">
        <w:t>Suppl</w:t>
      </w:r>
      <w:proofErr w:type="spellEnd"/>
      <w:r w:rsidRPr="005F67B4">
        <w:t xml:space="preserve"> 1:S81–7.</w:t>
      </w:r>
    </w:p>
  </w:footnote>
  <w:footnote w:id="14">
    <w:p w:rsidR="00EA42DE" w:rsidRPr="00614CF0" w:rsidRDefault="00EA42DE" w:rsidP="0028122D">
      <w:pPr>
        <w:pStyle w:val="FootnoteText"/>
        <w:rPr>
          <w:lang w:val="fr-FR"/>
        </w:rPr>
      </w:pPr>
      <w:r w:rsidRPr="005F67B4">
        <w:rPr>
          <w:rStyle w:val="FootnoteReference"/>
          <w:szCs w:val="18"/>
        </w:rPr>
        <w:footnoteRef/>
      </w:r>
      <w:r w:rsidRPr="005F67B4">
        <w:t xml:space="preserve"> </w:t>
      </w:r>
      <w:proofErr w:type="spellStart"/>
      <w:r w:rsidRPr="005F67B4">
        <w:t>Gagliotti</w:t>
      </w:r>
      <w:proofErr w:type="spellEnd"/>
      <w:r w:rsidRPr="005F67B4">
        <w:t xml:space="preserve"> C, </w:t>
      </w:r>
      <w:proofErr w:type="spellStart"/>
      <w:r w:rsidRPr="005F67B4">
        <w:t>Balode</w:t>
      </w:r>
      <w:proofErr w:type="spellEnd"/>
      <w:r w:rsidRPr="005F67B4">
        <w:t xml:space="preserve"> A, </w:t>
      </w:r>
      <w:proofErr w:type="spellStart"/>
      <w:r w:rsidRPr="005F67B4">
        <w:t>Baquero</w:t>
      </w:r>
      <w:proofErr w:type="spellEnd"/>
      <w:r w:rsidRPr="005F67B4">
        <w:t xml:space="preserve"> F, et al., the </w:t>
      </w:r>
      <w:proofErr w:type="spellStart"/>
      <w:r w:rsidRPr="005F67B4">
        <w:t>EARSNet</w:t>
      </w:r>
      <w:proofErr w:type="spellEnd"/>
      <w:r w:rsidRPr="005F67B4">
        <w:t xml:space="preserve"> Participants (Disease Specific Contact Points for AMR). Escherichia coli and Staphylococcus aureus: bad news and good news from the European Antimicrobial Resistance Surveillance Network (EARS-Net, formerly EARSS), 2002 to 2009. </w:t>
      </w:r>
      <w:r w:rsidRPr="00614CF0">
        <w:rPr>
          <w:lang w:val="fr-FR"/>
        </w:rPr>
        <w:t xml:space="preserve">Euro </w:t>
      </w:r>
      <w:proofErr w:type="spellStart"/>
      <w:r w:rsidRPr="00614CF0">
        <w:rPr>
          <w:lang w:val="fr-FR"/>
        </w:rPr>
        <w:t>Surveill</w:t>
      </w:r>
      <w:proofErr w:type="spellEnd"/>
      <w:r w:rsidRPr="00614CF0">
        <w:rPr>
          <w:lang w:val="fr-FR"/>
        </w:rPr>
        <w:t>. 2011;16(11).</w:t>
      </w:r>
    </w:p>
  </w:footnote>
  <w:footnote w:id="15">
    <w:p w:rsidR="00EA42DE" w:rsidRPr="005F67B4" w:rsidRDefault="00EA42DE" w:rsidP="0028122D">
      <w:pPr>
        <w:pStyle w:val="FootnoteText"/>
      </w:pPr>
      <w:r w:rsidRPr="005F67B4">
        <w:rPr>
          <w:rStyle w:val="FootnoteReference"/>
          <w:szCs w:val="18"/>
        </w:rPr>
        <w:footnoteRef/>
      </w:r>
      <w:r w:rsidRPr="00614CF0">
        <w:rPr>
          <w:lang w:val="fr-FR"/>
        </w:rPr>
        <w:t xml:space="preserve"> Lambert M, </w:t>
      </w:r>
      <w:proofErr w:type="spellStart"/>
      <w:r w:rsidRPr="00614CF0">
        <w:rPr>
          <w:lang w:val="fr-FR"/>
        </w:rPr>
        <w:t>Suetens</w:t>
      </w:r>
      <w:proofErr w:type="spellEnd"/>
      <w:r w:rsidRPr="00614CF0">
        <w:rPr>
          <w:lang w:val="fr-FR"/>
        </w:rPr>
        <w:t xml:space="preserve"> C, </w:t>
      </w:r>
      <w:proofErr w:type="spellStart"/>
      <w:r w:rsidRPr="00614CF0">
        <w:rPr>
          <w:lang w:val="fr-FR"/>
        </w:rPr>
        <w:t>Savey</w:t>
      </w:r>
      <w:proofErr w:type="spellEnd"/>
      <w:r w:rsidRPr="00614CF0">
        <w:rPr>
          <w:lang w:val="fr-FR"/>
        </w:rPr>
        <w:t xml:space="preserve"> A, et al. </w:t>
      </w:r>
      <w:r w:rsidRPr="005F67B4">
        <w:t>Clinical outcomes of health-</w:t>
      </w:r>
      <w:proofErr w:type="spellStart"/>
      <w:r w:rsidRPr="005F67B4">
        <w:t>careassociated</w:t>
      </w:r>
      <w:proofErr w:type="spellEnd"/>
      <w:r w:rsidRPr="005F67B4">
        <w:t xml:space="preserve"> infections and antimicrobial resistance in patients admitted to European intensive-care units: a cohort study. Lancet Infect Dis 2011; 11: 30–38.</w:t>
      </w:r>
    </w:p>
  </w:footnote>
  <w:footnote w:id="16">
    <w:p w:rsidR="00EA42DE" w:rsidRPr="005F67B4" w:rsidRDefault="00EA42DE" w:rsidP="0028122D">
      <w:pPr>
        <w:pStyle w:val="FootnoteText"/>
      </w:pPr>
      <w:r w:rsidRPr="005F67B4">
        <w:rPr>
          <w:rStyle w:val="FootnoteReference"/>
          <w:szCs w:val="18"/>
        </w:rPr>
        <w:footnoteRef/>
      </w:r>
      <w:r w:rsidRPr="005F67B4">
        <w:t xml:space="preserve"> Vincent J, </w:t>
      </w:r>
      <w:proofErr w:type="spellStart"/>
      <w:r w:rsidRPr="005F67B4">
        <w:t>Rello</w:t>
      </w:r>
      <w:proofErr w:type="spellEnd"/>
      <w:r w:rsidRPr="005F67B4">
        <w:t xml:space="preserve"> J, Marshall J, et al. for the EPIC II </w:t>
      </w:r>
      <w:proofErr w:type="spellStart"/>
      <w:r w:rsidRPr="005F67B4">
        <w:t>Gp</w:t>
      </w:r>
      <w:proofErr w:type="spellEnd"/>
      <w:r w:rsidRPr="005F67B4">
        <w:t xml:space="preserve"> of Investigators. </w:t>
      </w:r>
      <w:proofErr w:type="gramStart"/>
      <w:r w:rsidRPr="005F67B4">
        <w:t>International Study of the Prevalence and Outcomes of Infection in Intensive Care Units.</w:t>
      </w:r>
      <w:proofErr w:type="gramEnd"/>
      <w:r w:rsidRPr="005F67B4">
        <w:t xml:space="preserve"> </w:t>
      </w:r>
      <w:proofErr w:type="gramStart"/>
      <w:r w:rsidRPr="005F67B4">
        <w:t>JAMA.</w:t>
      </w:r>
      <w:proofErr w:type="gramEnd"/>
      <w:r w:rsidRPr="005F67B4">
        <w:t xml:space="preserve"> 2009</w:t>
      </w:r>
      <w:proofErr w:type="gramStart"/>
      <w:r w:rsidRPr="005F67B4">
        <w:t>;302</w:t>
      </w:r>
      <w:proofErr w:type="gramEnd"/>
      <w:r w:rsidRPr="005F67B4">
        <w:t>(21):2323–2329.</w:t>
      </w:r>
    </w:p>
  </w:footnote>
  <w:footnote w:id="17">
    <w:p w:rsidR="00EA42DE" w:rsidRPr="005F67B4" w:rsidRDefault="00EA42DE" w:rsidP="0028122D">
      <w:pPr>
        <w:pStyle w:val="FootnoteText"/>
      </w:pPr>
      <w:r w:rsidRPr="005F67B4">
        <w:rPr>
          <w:rStyle w:val="FootnoteReference"/>
          <w:szCs w:val="18"/>
        </w:rPr>
        <w:footnoteRef/>
      </w:r>
      <w:r w:rsidRPr="005F67B4">
        <w:t xml:space="preserve"> </w:t>
      </w:r>
      <w:proofErr w:type="spellStart"/>
      <w:r w:rsidRPr="005F67B4">
        <w:t>Sadfar</w:t>
      </w:r>
      <w:proofErr w:type="spellEnd"/>
      <w:r w:rsidRPr="005F67B4">
        <w:t xml:space="preserve"> N, </w:t>
      </w:r>
      <w:proofErr w:type="spellStart"/>
      <w:r w:rsidRPr="005F67B4">
        <w:t>Crnich</w:t>
      </w:r>
      <w:proofErr w:type="spellEnd"/>
      <w:r w:rsidRPr="005F67B4">
        <w:t xml:space="preserve"> CJ, Maki DG. The pathogenesis of ventilator-associated pneumonia: its relevance to developing effective strategies for prevention. </w:t>
      </w:r>
      <w:proofErr w:type="spellStart"/>
      <w:r w:rsidRPr="005F67B4">
        <w:t>Respir</w:t>
      </w:r>
      <w:proofErr w:type="spellEnd"/>
      <w:r w:rsidRPr="005F67B4">
        <w:t xml:space="preserve"> Care 2005; 50: 725–739.</w:t>
      </w:r>
    </w:p>
  </w:footnote>
  <w:footnote w:id="18">
    <w:p w:rsidR="00EA42DE" w:rsidRPr="005F67B4" w:rsidRDefault="00EA42DE" w:rsidP="0028122D">
      <w:pPr>
        <w:pStyle w:val="FootnoteText"/>
      </w:pPr>
      <w:r w:rsidRPr="005F67B4">
        <w:rPr>
          <w:rStyle w:val="FootnoteReference"/>
          <w:szCs w:val="18"/>
        </w:rPr>
        <w:footnoteRef/>
      </w:r>
      <w:r w:rsidRPr="005F67B4">
        <w:t xml:space="preserve"> Torres A, </w:t>
      </w:r>
      <w:proofErr w:type="spellStart"/>
      <w:r w:rsidRPr="005F67B4">
        <w:t>Rello</w:t>
      </w:r>
      <w:proofErr w:type="spellEnd"/>
      <w:r w:rsidRPr="005F67B4">
        <w:t xml:space="preserve"> J. Update in CAP and nosocomial pneumonia. </w:t>
      </w:r>
      <w:proofErr w:type="gramStart"/>
      <w:r w:rsidRPr="005F67B4">
        <w:t>Am</w:t>
      </w:r>
      <w:proofErr w:type="gramEnd"/>
      <w:r w:rsidRPr="005F67B4">
        <w:t xml:space="preserve"> J </w:t>
      </w:r>
      <w:proofErr w:type="spellStart"/>
      <w:r w:rsidRPr="005F67B4">
        <w:t>Respir</w:t>
      </w:r>
      <w:proofErr w:type="spellEnd"/>
      <w:r w:rsidRPr="005F67B4">
        <w:t xml:space="preserve"> </w:t>
      </w:r>
      <w:proofErr w:type="spellStart"/>
      <w:r w:rsidRPr="005F67B4">
        <w:t>Crit</w:t>
      </w:r>
      <w:proofErr w:type="spellEnd"/>
      <w:r w:rsidRPr="005F67B4">
        <w:t xml:space="preserve"> Care Med 2010, vol. 181 no. 8: 782–787.</w:t>
      </w:r>
    </w:p>
  </w:footnote>
  <w:footnote w:id="19">
    <w:p w:rsidR="00EA42DE" w:rsidRPr="005F67B4" w:rsidRDefault="00EA42DE" w:rsidP="0028122D">
      <w:pPr>
        <w:pStyle w:val="FootnoteText"/>
      </w:pPr>
      <w:r w:rsidRPr="005F67B4">
        <w:rPr>
          <w:rStyle w:val="FootnoteReference"/>
          <w:szCs w:val="18"/>
        </w:rPr>
        <w:footnoteRef/>
      </w:r>
      <w:r w:rsidRPr="005F67B4">
        <w:t xml:space="preserve"> Torres A, </w:t>
      </w:r>
      <w:proofErr w:type="spellStart"/>
      <w:r w:rsidRPr="005F67B4">
        <w:t>Ewig</w:t>
      </w:r>
      <w:proofErr w:type="spellEnd"/>
      <w:r w:rsidRPr="005F67B4">
        <w:t xml:space="preserve"> S, Lode H, </w:t>
      </w:r>
      <w:proofErr w:type="spellStart"/>
      <w:r w:rsidRPr="005F67B4">
        <w:t>Carlet</w:t>
      </w:r>
      <w:proofErr w:type="spellEnd"/>
      <w:r w:rsidRPr="005F67B4">
        <w:t xml:space="preserve"> J; European HAP working </w:t>
      </w:r>
      <w:proofErr w:type="spellStart"/>
      <w:r w:rsidRPr="005F67B4">
        <w:t>gp</w:t>
      </w:r>
      <w:proofErr w:type="spellEnd"/>
      <w:r w:rsidRPr="005F67B4">
        <w:t>. Defining, treating and preventing hospital acquired pneumonia: European perspective. Intensive Care Med. 2009</w:t>
      </w:r>
      <w:proofErr w:type="gramStart"/>
      <w:r w:rsidRPr="005F67B4">
        <w:t>;35</w:t>
      </w:r>
      <w:proofErr w:type="gramEnd"/>
      <w:r w:rsidRPr="005F67B4">
        <w:t>(1):9–29.</w:t>
      </w:r>
    </w:p>
  </w:footnote>
  <w:footnote w:id="20">
    <w:p w:rsidR="00EA42DE" w:rsidRPr="005F67B4" w:rsidRDefault="00EA42DE" w:rsidP="0028122D">
      <w:pPr>
        <w:pStyle w:val="FootnoteText"/>
      </w:pPr>
      <w:r w:rsidRPr="005F67B4">
        <w:rPr>
          <w:rStyle w:val="FootnoteReference"/>
          <w:szCs w:val="18"/>
        </w:rPr>
        <w:footnoteRef/>
      </w:r>
      <w:r w:rsidRPr="005F67B4">
        <w:t xml:space="preserve"> BTS: Pneumonia Guidelines Committee of the BTS Standards of Care Committee. BTS guidelines for the management of community acquired pneumonia in adults: update 2009. </w:t>
      </w:r>
      <w:proofErr w:type="gramStart"/>
      <w:r w:rsidRPr="005F67B4">
        <w:t>Thorax.</w:t>
      </w:r>
      <w:proofErr w:type="gramEnd"/>
      <w:r w:rsidRPr="005F67B4">
        <w:t xml:space="preserve"> 2009 Oct</w:t>
      </w:r>
      <w:proofErr w:type="gramStart"/>
      <w:r w:rsidRPr="005F67B4">
        <w:t>;64</w:t>
      </w:r>
      <w:proofErr w:type="gramEnd"/>
      <w:r w:rsidRPr="005F67B4">
        <w:t xml:space="preserve"> </w:t>
      </w:r>
      <w:proofErr w:type="spellStart"/>
      <w:r w:rsidRPr="005F67B4">
        <w:t>Suppl</w:t>
      </w:r>
      <w:proofErr w:type="spellEnd"/>
      <w:r w:rsidRPr="005F67B4">
        <w:t xml:space="preserve"> 3:iii1–55. PubMed PMID: 19783532.</w:t>
      </w:r>
    </w:p>
  </w:footnote>
  <w:footnote w:id="21">
    <w:p w:rsidR="00EA42DE" w:rsidRPr="005F67B4" w:rsidRDefault="00EA42DE" w:rsidP="0028122D">
      <w:pPr>
        <w:pStyle w:val="FootnoteText"/>
      </w:pPr>
      <w:r w:rsidRPr="005F67B4">
        <w:rPr>
          <w:rStyle w:val="FootnoteReference"/>
          <w:szCs w:val="18"/>
        </w:rPr>
        <w:footnoteRef/>
      </w:r>
      <w:r w:rsidRPr="005F67B4">
        <w:t xml:space="preserve"> </w:t>
      </w:r>
      <w:proofErr w:type="spellStart"/>
      <w:r w:rsidRPr="005F67B4">
        <w:t>Kollef</w:t>
      </w:r>
      <w:proofErr w:type="spellEnd"/>
      <w:r w:rsidRPr="005F67B4">
        <w:t xml:space="preserve"> MH, Sherman G, Ward </w:t>
      </w:r>
      <w:proofErr w:type="spellStart"/>
      <w:r w:rsidRPr="005F67B4">
        <w:t>S</w:t>
      </w:r>
      <w:proofErr w:type="gramStart"/>
      <w:r w:rsidRPr="005F67B4">
        <w:t>,Fraser</w:t>
      </w:r>
      <w:proofErr w:type="spellEnd"/>
      <w:proofErr w:type="gramEnd"/>
      <w:r w:rsidRPr="005F67B4">
        <w:t xml:space="preserve"> VJ (1999) Inadequate antimicrobial treatment of infections: a risk factor for hospital mortality among critically ill patients. Chest 115:462–474.</w:t>
      </w:r>
    </w:p>
  </w:footnote>
  <w:footnote w:id="22">
    <w:p w:rsidR="00EA42DE" w:rsidRPr="005F67B4" w:rsidRDefault="00EA42DE" w:rsidP="0028122D">
      <w:pPr>
        <w:pStyle w:val="FootnoteText"/>
      </w:pPr>
      <w:r w:rsidRPr="005F67B4">
        <w:rPr>
          <w:rStyle w:val="FootnoteReference"/>
          <w:szCs w:val="18"/>
        </w:rPr>
        <w:footnoteRef/>
      </w:r>
      <w:r w:rsidRPr="005F67B4">
        <w:t xml:space="preserve"> </w:t>
      </w:r>
      <w:proofErr w:type="gramStart"/>
      <w:r w:rsidRPr="005F67B4">
        <w:t xml:space="preserve">Rubinstein E, </w:t>
      </w:r>
      <w:proofErr w:type="spellStart"/>
      <w:r w:rsidRPr="005F67B4">
        <w:t>Kollef</w:t>
      </w:r>
      <w:proofErr w:type="spellEnd"/>
      <w:r w:rsidRPr="005F67B4">
        <w:t xml:space="preserve"> MH, </w:t>
      </w:r>
      <w:proofErr w:type="spellStart"/>
      <w:r w:rsidRPr="005F67B4">
        <w:t>Nathwani</w:t>
      </w:r>
      <w:proofErr w:type="spellEnd"/>
      <w:r w:rsidRPr="005F67B4">
        <w:t xml:space="preserve"> D. Pneumonia caused by methicillin-resistant Staphylococcus aureus.</w:t>
      </w:r>
      <w:proofErr w:type="gramEnd"/>
      <w:r w:rsidRPr="005F67B4">
        <w:t xml:space="preserve"> </w:t>
      </w:r>
      <w:proofErr w:type="spellStart"/>
      <w:r w:rsidRPr="005F67B4">
        <w:t>Clin</w:t>
      </w:r>
      <w:proofErr w:type="spellEnd"/>
      <w:r w:rsidRPr="005F67B4">
        <w:t xml:space="preserve"> Infect Dis. 2008 Jun 1</w:t>
      </w:r>
      <w:proofErr w:type="gramStart"/>
      <w:r w:rsidRPr="005F67B4">
        <w:t>;46</w:t>
      </w:r>
      <w:proofErr w:type="gramEnd"/>
      <w:r w:rsidRPr="005F67B4">
        <w:t xml:space="preserve"> </w:t>
      </w:r>
      <w:proofErr w:type="spellStart"/>
      <w:r w:rsidRPr="005F67B4">
        <w:t>Suppl</w:t>
      </w:r>
      <w:proofErr w:type="spellEnd"/>
      <w:r w:rsidRPr="005F67B4">
        <w:t xml:space="preserve"> 5:S378–85.</w:t>
      </w:r>
    </w:p>
  </w:footnote>
  <w:footnote w:id="23">
    <w:p w:rsidR="00EA42DE" w:rsidRPr="005F67B4" w:rsidRDefault="00EA42DE" w:rsidP="0028122D">
      <w:pPr>
        <w:pStyle w:val="FootnoteText"/>
      </w:pPr>
      <w:r w:rsidRPr="005F67B4">
        <w:rPr>
          <w:rStyle w:val="FootnoteReference"/>
          <w:szCs w:val="18"/>
        </w:rPr>
        <w:footnoteRef/>
      </w:r>
      <w:r w:rsidRPr="005F67B4">
        <w:t xml:space="preserve"> Randolph A, Vaughn F, Sullivan R, et al. Critically ill children during the 2009–2010 influenza pandemic in the United States. </w:t>
      </w:r>
      <w:proofErr w:type="spellStart"/>
      <w:r w:rsidRPr="005F67B4">
        <w:t>Pediatrics</w:t>
      </w:r>
      <w:proofErr w:type="spellEnd"/>
      <w:r w:rsidRPr="005F67B4">
        <w:t xml:space="preserve">, published online 7 November 2011, </w:t>
      </w:r>
      <w:proofErr w:type="spellStart"/>
      <w:r w:rsidRPr="005F67B4">
        <w:t>doi</w:t>
      </w:r>
      <w:proofErr w:type="spellEnd"/>
      <w:r w:rsidRPr="005F67B4">
        <w:t>: 10.1542/peds.2011–0774.</w:t>
      </w:r>
    </w:p>
  </w:footnote>
  <w:footnote w:id="24">
    <w:p w:rsidR="00EA42DE" w:rsidRPr="00614CF0" w:rsidRDefault="00EA42DE" w:rsidP="0028122D">
      <w:pPr>
        <w:pStyle w:val="FootnoteText"/>
        <w:rPr>
          <w:lang w:val="de-CH"/>
        </w:rPr>
      </w:pPr>
      <w:r w:rsidRPr="005F67B4">
        <w:rPr>
          <w:rStyle w:val="FootnoteReference"/>
          <w:szCs w:val="18"/>
        </w:rPr>
        <w:footnoteRef/>
      </w:r>
      <w:r w:rsidRPr="00B47BDE">
        <w:rPr>
          <w:lang w:val="da-DK"/>
        </w:rPr>
        <w:t xml:space="preserve"> </w:t>
      </w:r>
      <w:r w:rsidRPr="00521B88">
        <w:rPr>
          <w:lang w:val="da-DK"/>
        </w:rPr>
        <w:t xml:space="preserve">Höffken G, Lorenz J, Kern W, et al. </w:t>
      </w:r>
      <w:proofErr w:type="gramStart"/>
      <w:r w:rsidRPr="005F67B4">
        <w:t>Epidemiology, diagnosis, antimicrobial therapy and management of community-acquired pneumonia and lower respiratory tract infections in adults.</w:t>
      </w:r>
      <w:proofErr w:type="gramEnd"/>
      <w:r w:rsidRPr="005F67B4">
        <w:t xml:space="preserve"> </w:t>
      </w:r>
      <w:proofErr w:type="gramStart"/>
      <w:r w:rsidRPr="005F67B4">
        <w:t xml:space="preserve">Guidelines of the Paul-Ehrlich-Society for Chemotherapy, the German Respiratory Society, the German Society for </w:t>
      </w:r>
      <w:proofErr w:type="spellStart"/>
      <w:r w:rsidRPr="005F67B4">
        <w:t>Infectiology</w:t>
      </w:r>
      <w:proofErr w:type="spellEnd"/>
      <w:r w:rsidRPr="005F67B4">
        <w:t xml:space="preserve"> and the Competence Network CAPNETZ Germany.</w:t>
      </w:r>
      <w:proofErr w:type="gramEnd"/>
      <w:r w:rsidRPr="005F67B4">
        <w:t xml:space="preserve"> </w:t>
      </w:r>
      <w:r w:rsidRPr="00614CF0">
        <w:rPr>
          <w:lang w:val="de-CH"/>
        </w:rPr>
        <w:t>Pneumologie. 2009 Oct;63(10):E1–68.</w:t>
      </w:r>
    </w:p>
  </w:footnote>
  <w:footnote w:id="25">
    <w:p w:rsidR="00EA42DE" w:rsidRPr="00614CF0" w:rsidRDefault="00EA42DE" w:rsidP="0028122D">
      <w:pPr>
        <w:pStyle w:val="FootnoteText"/>
        <w:rPr>
          <w:lang w:val="fr-FR"/>
        </w:rPr>
      </w:pPr>
      <w:r w:rsidRPr="005F67B4">
        <w:rPr>
          <w:rStyle w:val="FootnoteReference"/>
          <w:szCs w:val="18"/>
        </w:rPr>
        <w:footnoteRef/>
      </w:r>
      <w:r w:rsidRPr="00614CF0">
        <w:rPr>
          <w:lang w:val="de-CH"/>
        </w:rPr>
        <w:t xml:space="preserve"> </w:t>
      </w:r>
      <w:r w:rsidRPr="00614CF0">
        <w:rPr>
          <w:lang w:val="de-CH"/>
        </w:rPr>
        <w:t xml:space="preserve">Richter </w:t>
      </w:r>
      <w:r w:rsidRPr="00614CF0">
        <w:rPr>
          <w:lang w:val="de-CH"/>
        </w:rPr>
        <w:t xml:space="preserve">SS, Heilmann KP, Dohrn CL, et al. </w:t>
      </w:r>
      <w:proofErr w:type="gramStart"/>
      <w:r w:rsidRPr="005F67B4">
        <w:t>Changing epidemiology of antimicrobial-resistant Streptococcus pneumoniae in the United States, 2004–2005.</w:t>
      </w:r>
      <w:proofErr w:type="gramEnd"/>
      <w:r w:rsidRPr="005F67B4">
        <w:t xml:space="preserve"> </w:t>
      </w:r>
      <w:r w:rsidRPr="00614CF0">
        <w:rPr>
          <w:lang w:val="fr-FR"/>
        </w:rPr>
        <w:t xml:space="preserve">Clin Infect Dis 2009 </w:t>
      </w:r>
      <w:proofErr w:type="spellStart"/>
      <w:r w:rsidRPr="00614CF0">
        <w:rPr>
          <w:lang w:val="fr-FR"/>
        </w:rPr>
        <w:t>Feb</w:t>
      </w:r>
      <w:proofErr w:type="spellEnd"/>
      <w:r w:rsidRPr="00614CF0">
        <w:rPr>
          <w:lang w:val="fr-FR"/>
        </w:rPr>
        <w:t xml:space="preserve"> 1;48(3):e23–33.</w:t>
      </w:r>
    </w:p>
  </w:footnote>
  <w:footnote w:id="26">
    <w:p w:rsidR="00EA42DE" w:rsidRPr="005F67B4" w:rsidRDefault="00EA42DE" w:rsidP="0028122D">
      <w:pPr>
        <w:pStyle w:val="FootnoteText"/>
      </w:pPr>
      <w:r w:rsidRPr="005F67B4">
        <w:rPr>
          <w:rStyle w:val="FootnoteReference"/>
          <w:szCs w:val="18"/>
        </w:rPr>
        <w:footnoteRef/>
      </w:r>
      <w:r w:rsidRPr="00AF56A4">
        <w:rPr>
          <w:lang w:val="es-ES_tradnl"/>
        </w:rPr>
        <w:t xml:space="preserve"> </w:t>
      </w:r>
      <w:proofErr w:type="spellStart"/>
      <w:r w:rsidRPr="00AF56A4">
        <w:rPr>
          <w:lang w:val="es-ES_tradnl"/>
        </w:rPr>
        <w:t>Tarragó</w:t>
      </w:r>
      <w:proofErr w:type="spellEnd"/>
      <w:r w:rsidRPr="00AF56A4">
        <w:rPr>
          <w:lang w:val="es-ES_tradnl"/>
        </w:rPr>
        <w:t xml:space="preserve"> D, Aguilar L, García R, et al. </w:t>
      </w:r>
      <w:proofErr w:type="gramStart"/>
      <w:r w:rsidRPr="005F67B4">
        <w:t>Evolution of clonal and susceptibility profiles of serotype 19A Streptococcus pneumoniae among invasive isolates from children in Spain, 1990 to 2008.</w:t>
      </w:r>
      <w:proofErr w:type="gramEnd"/>
      <w:r w:rsidRPr="005F67B4">
        <w:t xml:space="preserve"> </w:t>
      </w:r>
      <w:proofErr w:type="spellStart"/>
      <w:proofErr w:type="gramStart"/>
      <w:r w:rsidRPr="005F67B4">
        <w:t>Antimicrob</w:t>
      </w:r>
      <w:proofErr w:type="spellEnd"/>
      <w:r w:rsidRPr="005F67B4">
        <w:t xml:space="preserve"> Agents </w:t>
      </w:r>
      <w:proofErr w:type="spellStart"/>
      <w:r w:rsidRPr="005F67B4">
        <w:t>Chemother</w:t>
      </w:r>
      <w:proofErr w:type="spellEnd"/>
      <w:r w:rsidRPr="005F67B4">
        <w:t>.</w:t>
      </w:r>
      <w:proofErr w:type="gramEnd"/>
      <w:r w:rsidRPr="005F67B4">
        <w:t xml:space="preserve"> 2011 May</w:t>
      </w:r>
      <w:proofErr w:type="gramStart"/>
      <w:r w:rsidRPr="005F67B4">
        <w:t>;55</w:t>
      </w:r>
      <w:proofErr w:type="gramEnd"/>
      <w:r w:rsidRPr="005F67B4">
        <w:t>(5):2297–302.</w:t>
      </w:r>
    </w:p>
  </w:footnote>
  <w:footnote w:id="27">
    <w:p w:rsidR="00EA42DE" w:rsidRPr="005F67B4" w:rsidRDefault="00EA42DE" w:rsidP="0028122D">
      <w:pPr>
        <w:pStyle w:val="FootnoteText"/>
      </w:pPr>
      <w:r w:rsidRPr="005F67B4">
        <w:rPr>
          <w:rStyle w:val="FootnoteReference"/>
          <w:szCs w:val="18"/>
        </w:rPr>
        <w:footnoteRef/>
      </w:r>
      <w:r w:rsidRPr="005F67B4">
        <w:t xml:space="preserve"> </w:t>
      </w:r>
      <w:proofErr w:type="gramStart"/>
      <w:r w:rsidRPr="005F67B4">
        <w:t xml:space="preserve">Beall BW, </w:t>
      </w:r>
      <w:proofErr w:type="spellStart"/>
      <w:r w:rsidRPr="005F67B4">
        <w:t>Gertz</w:t>
      </w:r>
      <w:proofErr w:type="spellEnd"/>
      <w:r w:rsidRPr="005F67B4">
        <w:t xml:space="preserve"> RE, </w:t>
      </w:r>
      <w:proofErr w:type="spellStart"/>
      <w:r w:rsidRPr="005F67B4">
        <w:t>Hulkower</w:t>
      </w:r>
      <w:proofErr w:type="spellEnd"/>
      <w:r w:rsidRPr="005F67B4">
        <w:t xml:space="preserve"> RL, et al. Shifting genetic structure of invasive serotype 19A pneumococci in the United States.</w:t>
      </w:r>
      <w:proofErr w:type="gramEnd"/>
      <w:r w:rsidRPr="005F67B4">
        <w:t xml:space="preserve"> J Infect Dis. 2011 May 15</w:t>
      </w:r>
      <w:proofErr w:type="gramStart"/>
      <w:r w:rsidRPr="005F67B4">
        <w:t>;203</w:t>
      </w:r>
      <w:proofErr w:type="gramEnd"/>
      <w:r w:rsidRPr="005F67B4">
        <w:t>(10):1360–8.</w:t>
      </w:r>
    </w:p>
  </w:footnote>
  <w:footnote w:id="28">
    <w:p w:rsidR="00EA42DE" w:rsidRPr="005F67B4" w:rsidRDefault="00EA42DE" w:rsidP="0028122D">
      <w:pPr>
        <w:pStyle w:val="FootnoteText"/>
      </w:pPr>
      <w:r w:rsidRPr="005F67B4">
        <w:rPr>
          <w:rStyle w:val="FootnoteReference"/>
          <w:szCs w:val="18"/>
        </w:rPr>
        <w:footnoteRef/>
      </w:r>
      <w:r w:rsidRPr="005F67B4">
        <w:t xml:space="preserve"> </w:t>
      </w:r>
      <w:proofErr w:type="gramStart"/>
      <w:r w:rsidRPr="005F67B4">
        <w:t>European Antimicrobial Resistance Surveillance Network (EARS-Net) interactive database.</w:t>
      </w:r>
      <w:proofErr w:type="gramEnd"/>
      <w:r w:rsidRPr="005F67B4">
        <w:t xml:space="preserve"> </w:t>
      </w:r>
      <w:r>
        <w:t>&lt;</w:t>
      </w:r>
      <w:hyperlink r:id="rId1" w:history="1">
        <w:r w:rsidRPr="005F67B4">
          <w:rPr>
            <w:rStyle w:val="Hyperlink"/>
            <w:szCs w:val="18"/>
          </w:rPr>
          <w:t>http://ecdc.europa.eu/en/activities/</w:t>
        </w:r>
      </w:hyperlink>
      <w:r>
        <w:t xml:space="preserve">&gt; </w:t>
      </w:r>
      <w:r w:rsidRPr="005F67B4">
        <w:t xml:space="preserve">surveillance/EARS-Net/database/Pages/database.aspx. </w:t>
      </w:r>
      <w:proofErr w:type="gramStart"/>
      <w:r w:rsidRPr="005F67B4">
        <w:t>Accessed 8 March 2012.</w:t>
      </w:r>
      <w:proofErr w:type="gramEnd"/>
    </w:p>
  </w:footnote>
  <w:footnote w:id="29">
    <w:p w:rsidR="00EA42DE" w:rsidRPr="005F67B4" w:rsidRDefault="00EA42DE" w:rsidP="0028122D">
      <w:pPr>
        <w:pStyle w:val="FootnoteText"/>
      </w:pPr>
      <w:r w:rsidRPr="005F67B4">
        <w:rPr>
          <w:rStyle w:val="FootnoteReference"/>
          <w:szCs w:val="18"/>
        </w:rPr>
        <w:footnoteRef/>
      </w:r>
      <w:r w:rsidRPr="00614CF0">
        <w:rPr>
          <w:lang w:val="da-DK"/>
        </w:rPr>
        <w:t xml:space="preserve"> </w:t>
      </w:r>
      <w:r w:rsidRPr="00614CF0">
        <w:rPr>
          <w:lang w:val="da-DK"/>
        </w:rPr>
        <w:t xml:space="preserve">Gillet Y, Vanhems P, Lina,G, et al. </w:t>
      </w:r>
      <w:proofErr w:type="gramStart"/>
      <w:r w:rsidRPr="005F67B4">
        <w:t xml:space="preserve">Factors predicting mortality in necrotizing community-acquired pneumonia caused by Staphylococcus aureus containing Panton-Valentine </w:t>
      </w:r>
      <w:proofErr w:type="spellStart"/>
      <w:r w:rsidRPr="005F67B4">
        <w:t>leukocidin</w:t>
      </w:r>
      <w:proofErr w:type="spellEnd"/>
      <w:r w:rsidRPr="005F67B4">
        <w:t>.</w:t>
      </w:r>
      <w:proofErr w:type="gramEnd"/>
      <w:r w:rsidRPr="005F67B4">
        <w:t xml:space="preserve"> CID 2007</w:t>
      </w:r>
      <w:proofErr w:type="gramStart"/>
      <w:r w:rsidRPr="005F67B4">
        <w:t>;45:315</w:t>
      </w:r>
      <w:proofErr w:type="gramEnd"/>
      <w:r w:rsidRPr="005F67B4">
        <w:t>–321.</w:t>
      </w:r>
    </w:p>
  </w:footnote>
  <w:footnote w:id="30">
    <w:p w:rsidR="00EA42DE" w:rsidRPr="005F67B4" w:rsidRDefault="00EA42DE" w:rsidP="0028122D">
      <w:pPr>
        <w:pStyle w:val="FootnoteText"/>
      </w:pPr>
      <w:r w:rsidRPr="005F67B4">
        <w:rPr>
          <w:rStyle w:val="FootnoteReference"/>
          <w:szCs w:val="18"/>
        </w:rPr>
        <w:footnoteRef/>
      </w:r>
      <w:r w:rsidRPr="005F67B4">
        <w:t xml:space="preserve"> </w:t>
      </w:r>
      <w:proofErr w:type="spellStart"/>
      <w:proofErr w:type="gramStart"/>
      <w:r w:rsidRPr="0028122D">
        <w:t>Centers</w:t>
      </w:r>
      <w:proofErr w:type="spellEnd"/>
      <w:r w:rsidRPr="005F67B4">
        <w:t xml:space="preserve"> for Disease Control.</w:t>
      </w:r>
      <w:proofErr w:type="gramEnd"/>
      <w:r w:rsidRPr="005F67B4">
        <w:t xml:space="preserve"> </w:t>
      </w:r>
      <w:proofErr w:type="gramStart"/>
      <w:r w:rsidRPr="005F67B4">
        <w:t>Mortality and Morbidity Weekly Report.</w:t>
      </w:r>
      <w:proofErr w:type="gramEnd"/>
      <w:r w:rsidRPr="005F67B4">
        <w:t xml:space="preserve"> Severe methicillin-resistant Staphylococcus aureus community-acquired pneumonia associated with influenza – Louisiana and Georgia, December 2006–January 2007. 2007 Apr 13</w:t>
      </w:r>
      <w:proofErr w:type="gramStart"/>
      <w:r w:rsidRPr="005F67B4">
        <w:t>;56</w:t>
      </w:r>
      <w:proofErr w:type="gramEnd"/>
      <w:r w:rsidRPr="005F67B4">
        <w:t>(14):325–329.</w:t>
      </w:r>
    </w:p>
  </w:footnote>
  <w:footnote w:id="31">
    <w:p w:rsidR="00EA42DE" w:rsidRPr="005F67B4" w:rsidRDefault="00EA42DE" w:rsidP="0028122D">
      <w:pPr>
        <w:pStyle w:val="FootnoteText"/>
      </w:pPr>
      <w:r w:rsidRPr="005F67B4">
        <w:rPr>
          <w:rStyle w:val="FootnoteReference"/>
          <w:szCs w:val="18"/>
        </w:rPr>
        <w:footnoteRef/>
      </w:r>
      <w:r w:rsidRPr="005F67B4">
        <w:t xml:space="preserve"> </w:t>
      </w:r>
      <w:proofErr w:type="spellStart"/>
      <w:proofErr w:type="gramStart"/>
      <w:r w:rsidRPr="005F67B4">
        <w:t>Centers</w:t>
      </w:r>
      <w:proofErr w:type="spellEnd"/>
      <w:r w:rsidRPr="005F67B4">
        <w:t xml:space="preserve"> for Disease Control.</w:t>
      </w:r>
      <w:proofErr w:type="gramEnd"/>
      <w:r w:rsidRPr="005F67B4">
        <w:t xml:space="preserve"> </w:t>
      </w:r>
      <w:proofErr w:type="gramStart"/>
      <w:r w:rsidRPr="005F67B4">
        <w:t>Mortality and Morbidity Weekly Report.</w:t>
      </w:r>
      <w:proofErr w:type="gramEnd"/>
      <w:r w:rsidRPr="005F67B4">
        <w:t xml:space="preserve"> Bacterial Coinfections in Lung Tissue Specimens from Fatal Cases of 2009 Pandemic Influenza A (H1N1) – United States, May–August 2009. 2009</w:t>
      </w:r>
      <w:proofErr w:type="gramStart"/>
      <w:r w:rsidRPr="005F67B4">
        <w:t>;58</w:t>
      </w:r>
      <w:proofErr w:type="gramEnd"/>
      <w:r w:rsidRPr="005F67B4">
        <w:t>(38):1071–1074.</w:t>
      </w:r>
    </w:p>
  </w:footnote>
  <w:footnote w:id="32">
    <w:p w:rsidR="00EA42DE" w:rsidRPr="005F67B4" w:rsidRDefault="00EA42DE" w:rsidP="0028122D">
      <w:pPr>
        <w:pStyle w:val="FootnoteText"/>
      </w:pPr>
      <w:r w:rsidRPr="005F67B4">
        <w:rPr>
          <w:rStyle w:val="FootnoteReference"/>
          <w:szCs w:val="18"/>
        </w:rPr>
        <w:footnoteRef/>
      </w:r>
      <w:r w:rsidRPr="005F67B4">
        <w:t xml:space="preserve"> </w:t>
      </w:r>
      <w:proofErr w:type="spellStart"/>
      <w:r w:rsidRPr="005F67B4">
        <w:t>Dufour</w:t>
      </w:r>
      <w:proofErr w:type="spellEnd"/>
      <w:r w:rsidRPr="005F67B4">
        <w:t xml:space="preserve"> P, Gillet Y, Bes M, et al. Community-Acquired Methicillin-Resistant Staphylococcus aureus Infections in France: Emergence of a Single Clone That Produces Panton-Valentine </w:t>
      </w:r>
      <w:proofErr w:type="spellStart"/>
      <w:r w:rsidRPr="005F67B4">
        <w:t>Leukocidin</w:t>
      </w:r>
      <w:proofErr w:type="spellEnd"/>
      <w:r w:rsidRPr="005F67B4">
        <w:t>. Clinical Infectious Diseases 2002; 35:819–24.</w:t>
      </w:r>
    </w:p>
  </w:footnote>
  <w:footnote w:id="33">
    <w:p w:rsidR="00EA42DE" w:rsidRPr="005F67B4" w:rsidRDefault="00EA42DE" w:rsidP="0028122D">
      <w:pPr>
        <w:pStyle w:val="FootnoteText"/>
      </w:pPr>
      <w:r w:rsidRPr="005F67B4">
        <w:rPr>
          <w:rStyle w:val="FootnoteReference"/>
          <w:szCs w:val="18"/>
        </w:rPr>
        <w:footnoteRef/>
      </w:r>
      <w:r w:rsidRPr="005F67B4">
        <w:t xml:space="preserve"> </w:t>
      </w:r>
      <w:proofErr w:type="spellStart"/>
      <w:r w:rsidRPr="005F67B4">
        <w:t>Simonsen</w:t>
      </w:r>
      <w:proofErr w:type="spellEnd"/>
      <w:r w:rsidRPr="005F67B4">
        <w:t xml:space="preserve"> L. </w:t>
      </w:r>
      <w:proofErr w:type="gramStart"/>
      <w:r w:rsidRPr="005F67B4">
        <w:t xml:space="preserve">The global impact of influenza on morbidity and </w:t>
      </w:r>
      <w:proofErr w:type="spellStart"/>
      <w:r w:rsidRPr="005F67B4">
        <w:t>mortality.Vaccine</w:t>
      </w:r>
      <w:proofErr w:type="spellEnd"/>
      <w:r w:rsidRPr="005F67B4">
        <w:t>.</w:t>
      </w:r>
      <w:proofErr w:type="gramEnd"/>
      <w:r w:rsidRPr="005F67B4">
        <w:t xml:space="preserve"> 1999</w:t>
      </w:r>
      <w:proofErr w:type="gramStart"/>
      <w:r w:rsidRPr="005F67B4">
        <w:t>;17</w:t>
      </w:r>
      <w:proofErr w:type="gramEnd"/>
      <w:r w:rsidRPr="005F67B4">
        <w:t>(</w:t>
      </w:r>
      <w:proofErr w:type="spellStart"/>
      <w:r w:rsidRPr="005F67B4">
        <w:t>Suppl</w:t>
      </w:r>
      <w:proofErr w:type="spellEnd"/>
      <w:r w:rsidRPr="005F67B4">
        <w:t xml:space="preserve"> 1):S3–10.</w:t>
      </w:r>
    </w:p>
  </w:footnote>
  <w:footnote w:id="34">
    <w:p w:rsidR="00EA42DE" w:rsidRPr="005F67B4" w:rsidRDefault="00EA42DE" w:rsidP="0028122D">
      <w:pPr>
        <w:pStyle w:val="FootnoteText"/>
      </w:pPr>
      <w:r w:rsidRPr="005F67B4">
        <w:rPr>
          <w:rStyle w:val="FootnoteReference"/>
          <w:szCs w:val="18"/>
        </w:rPr>
        <w:footnoteRef/>
      </w:r>
      <w:r w:rsidRPr="00614CF0">
        <w:rPr>
          <w:lang w:val="da-DK"/>
        </w:rPr>
        <w:t xml:space="preserve"> </w:t>
      </w:r>
      <w:r w:rsidRPr="00614CF0">
        <w:rPr>
          <w:lang w:val="da-DK"/>
        </w:rPr>
        <w:t xml:space="preserve">Bhat N, Wright JG, Broder KR, et al. </w:t>
      </w:r>
      <w:r w:rsidRPr="005F67B4">
        <w:t xml:space="preserve">Influenza-associated deaths among children in the United States, 2003–2004.N </w:t>
      </w:r>
      <w:proofErr w:type="spellStart"/>
      <w:r w:rsidRPr="005F67B4">
        <w:t>Engl</w:t>
      </w:r>
      <w:proofErr w:type="spellEnd"/>
      <w:r w:rsidRPr="005F67B4">
        <w:t xml:space="preserve"> J Med. 2005</w:t>
      </w:r>
      <w:proofErr w:type="gramStart"/>
      <w:r w:rsidRPr="005F67B4">
        <w:t>;353:2559</w:t>
      </w:r>
      <w:proofErr w:type="gramEnd"/>
      <w:r w:rsidRPr="005F67B4">
        <w:t>–67.</w:t>
      </w:r>
    </w:p>
  </w:footnote>
  <w:footnote w:id="35">
    <w:p w:rsidR="00EA42DE" w:rsidRPr="00576905" w:rsidRDefault="00EA42DE" w:rsidP="0028122D">
      <w:pPr>
        <w:pStyle w:val="FootnoteText"/>
      </w:pPr>
      <w:r w:rsidRPr="00576905">
        <w:rPr>
          <w:rStyle w:val="FootnoteReference"/>
          <w:szCs w:val="18"/>
        </w:rPr>
        <w:footnoteRef/>
      </w:r>
      <w:r w:rsidRPr="00AF56A4">
        <w:t xml:space="preserve"> </w:t>
      </w:r>
      <w:proofErr w:type="gramStart"/>
      <w:r w:rsidRPr="00AF56A4">
        <w:t xml:space="preserve">Moran GJ, </w:t>
      </w:r>
      <w:proofErr w:type="spellStart"/>
      <w:r w:rsidRPr="00AF56A4">
        <w:t>Krishnadasan</w:t>
      </w:r>
      <w:proofErr w:type="spellEnd"/>
      <w:r w:rsidRPr="00AF56A4">
        <w:t xml:space="preserve"> A, </w:t>
      </w:r>
      <w:proofErr w:type="spellStart"/>
      <w:r w:rsidRPr="00AF56A4">
        <w:t>Gorwitz</w:t>
      </w:r>
      <w:proofErr w:type="spellEnd"/>
      <w:r w:rsidRPr="00AF56A4">
        <w:t xml:space="preserve"> RJ et al. </w:t>
      </w:r>
      <w:r w:rsidRPr="00576905">
        <w:t xml:space="preserve">Prevalence of Methicillin-Resistant Staphylococcus aureus as an </w:t>
      </w:r>
      <w:proofErr w:type="spellStart"/>
      <w:r w:rsidRPr="00576905">
        <w:t>Etiology</w:t>
      </w:r>
      <w:proofErr w:type="spellEnd"/>
      <w:r w:rsidRPr="00576905">
        <w:t xml:space="preserve"> of Community-Acquired Pneumonia.</w:t>
      </w:r>
      <w:proofErr w:type="gramEnd"/>
      <w:r w:rsidRPr="00576905">
        <w:t xml:space="preserve"> Clinical Infectious Diseases 2012</w:t>
      </w:r>
      <w:proofErr w:type="gramStart"/>
      <w:r w:rsidRPr="00576905">
        <w:t>;54</w:t>
      </w:r>
      <w:proofErr w:type="gramEnd"/>
      <w:r w:rsidRPr="00576905">
        <w:t>(8):1126–33.</w:t>
      </w:r>
    </w:p>
  </w:footnote>
  <w:footnote w:id="36">
    <w:p w:rsidR="00EA42DE" w:rsidRPr="00576905" w:rsidRDefault="00EA42DE" w:rsidP="0028122D">
      <w:pPr>
        <w:pStyle w:val="FootnoteText"/>
      </w:pPr>
      <w:r w:rsidRPr="00576905">
        <w:rPr>
          <w:rStyle w:val="FootnoteReference"/>
          <w:szCs w:val="18"/>
        </w:rPr>
        <w:footnoteRef/>
      </w:r>
      <w:r w:rsidRPr="00576905">
        <w:t xml:space="preserve"> The Australian Lung Foundation, ‘Respiratory Infectious Disease Burden in Australia’, Edition 1, March 2007</w:t>
      </w:r>
    </w:p>
  </w:footnote>
  <w:footnote w:id="37">
    <w:p w:rsidR="00EA42DE" w:rsidRPr="0028122D" w:rsidRDefault="00EA42DE" w:rsidP="0028122D">
      <w:pPr>
        <w:pStyle w:val="FootnoteText"/>
        <w:rPr>
          <w:szCs w:val="18"/>
        </w:rPr>
      </w:pPr>
      <w:r w:rsidRPr="00576905">
        <w:rPr>
          <w:szCs w:val="18"/>
          <w:vertAlign w:val="superscript"/>
        </w:rPr>
        <w:footnoteRef/>
      </w:r>
      <w:r w:rsidRPr="0028122D">
        <w:t xml:space="preserve"> Murdoch KM, </w:t>
      </w:r>
      <w:hyperlink r:id="rId2" w:history="1">
        <w:proofErr w:type="spellStart"/>
        <w:r w:rsidRPr="0028122D">
          <w:rPr>
            <w:rStyle w:val="Hyperlink"/>
            <w:color w:val="auto"/>
            <w:u w:val="none"/>
          </w:rPr>
          <w:t>Mitra</w:t>
        </w:r>
        <w:proofErr w:type="spellEnd"/>
        <w:r w:rsidRPr="0028122D">
          <w:t xml:space="preserve"> B</w:t>
        </w:r>
      </w:hyperlink>
      <w:r w:rsidRPr="00614CF0">
        <w:rPr>
          <w:szCs w:val="18"/>
          <w:lang w:val="de-CH"/>
        </w:rPr>
        <w:t xml:space="preserve">, </w:t>
      </w:r>
      <w:r w:rsidR="00A62F1E">
        <w:fldChar w:fldCharType="begin"/>
      </w:r>
      <w:r w:rsidR="00A62F1E">
        <w:instrText xml:space="preserve"> HYPERLINK "http://www.ncbi.nlm.nih.gov/pubmed/?term=Lambert%20S%5BAuthor%5D&amp;cauthor=true&amp;cauthor_uid=24507181" </w:instrText>
      </w:r>
      <w:r w:rsidR="00A62F1E">
        <w:fldChar w:fldCharType="separate"/>
      </w:r>
      <w:r w:rsidRPr="00614CF0">
        <w:rPr>
          <w:rStyle w:val="Hyperlink"/>
          <w:color w:val="auto"/>
          <w:szCs w:val="18"/>
          <w:u w:val="none"/>
          <w:lang w:val="de-CH"/>
        </w:rPr>
        <w:t>Lambert S</w:t>
      </w:r>
      <w:r w:rsidR="00A62F1E">
        <w:rPr>
          <w:rStyle w:val="Hyperlink"/>
          <w:color w:val="auto"/>
          <w:szCs w:val="18"/>
          <w:u w:val="none"/>
          <w:lang w:val="de-CH"/>
        </w:rPr>
        <w:fldChar w:fldCharType="end"/>
      </w:r>
      <w:r w:rsidRPr="00614CF0">
        <w:rPr>
          <w:szCs w:val="18"/>
          <w:lang w:val="de-CH"/>
        </w:rPr>
        <w:t xml:space="preserve">, </w:t>
      </w:r>
      <w:hyperlink r:id="rId3" w:history="1">
        <w:r w:rsidRPr="00614CF0">
          <w:rPr>
            <w:rStyle w:val="Hyperlink"/>
            <w:color w:val="auto"/>
            <w:szCs w:val="18"/>
            <w:u w:val="none"/>
            <w:lang w:val="de-CH"/>
          </w:rPr>
          <w:t>Erbas B</w:t>
        </w:r>
      </w:hyperlink>
      <w:r w:rsidRPr="00614CF0">
        <w:rPr>
          <w:szCs w:val="18"/>
          <w:lang w:val="de-CH"/>
        </w:rPr>
        <w:t xml:space="preserve">. </w:t>
      </w:r>
      <w:hyperlink r:id="rId4" w:tooltip="Australasian emergency nursing journal : AENJ." w:history="1">
        <w:proofErr w:type="spellStart"/>
        <w:r w:rsidRPr="00576905">
          <w:rPr>
            <w:rStyle w:val="Hyperlink"/>
            <w:color w:val="auto"/>
            <w:szCs w:val="18"/>
            <w:u w:val="none"/>
          </w:rPr>
          <w:t>Australas</w:t>
        </w:r>
        <w:proofErr w:type="spellEnd"/>
        <w:r w:rsidRPr="00576905">
          <w:rPr>
            <w:rStyle w:val="Hyperlink"/>
            <w:color w:val="auto"/>
            <w:szCs w:val="18"/>
            <w:u w:val="none"/>
          </w:rPr>
          <w:t xml:space="preserve"> </w:t>
        </w:r>
        <w:proofErr w:type="spellStart"/>
        <w:r w:rsidRPr="00576905">
          <w:rPr>
            <w:rStyle w:val="Hyperlink"/>
            <w:color w:val="auto"/>
            <w:szCs w:val="18"/>
            <w:u w:val="none"/>
          </w:rPr>
          <w:t>Emerg</w:t>
        </w:r>
        <w:proofErr w:type="spellEnd"/>
        <w:r w:rsidRPr="00576905">
          <w:rPr>
            <w:rStyle w:val="Hyperlink"/>
            <w:color w:val="auto"/>
            <w:szCs w:val="18"/>
            <w:u w:val="none"/>
          </w:rPr>
          <w:t xml:space="preserve"> </w:t>
        </w:r>
        <w:proofErr w:type="spellStart"/>
        <w:r w:rsidRPr="00576905">
          <w:rPr>
            <w:rStyle w:val="Hyperlink"/>
            <w:color w:val="auto"/>
            <w:szCs w:val="18"/>
            <w:u w:val="none"/>
          </w:rPr>
          <w:t>Nurs</w:t>
        </w:r>
        <w:proofErr w:type="spellEnd"/>
        <w:r w:rsidRPr="00576905">
          <w:rPr>
            <w:rStyle w:val="Hyperlink"/>
            <w:color w:val="auto"/>
            <w:szCs w:val="18"/>
            <w:u w:val="none"/>
          </w:rPr>
          <w:t xml:space="preserve"> J.</w:t>
        </w:r>
      </w:hyperlink>
      <w:r w:rsidRPr="00576905">
        <w:rPr>
          <w:szCs w:val="18"/>
        </w:rPr>
        <w:t xml:space="preserve"> 2014 </w:t>
      </w:r>
      <w:proofErr w:type="gramStart"/>
      <w:r w:rsidRPr="00576905">
        <w:rPr>
          <w:szCs w:val="18"/>
        </w:rPr>
        <w:t>What</w:t>
      </w:r>
      <w:proofErr w:type="gramEnd"/>
      <w:r w:rsidRPr="00576905">
        <w:rPr>
          <w:szCs w:val="18"/>
        </w:rPr>
        <w:t xml:space="preserve"> is the seasonal distribution of community acquired pneumonia over time? </w:t>
      </w:r>
      <w:proofErr w:type="gramStart"/>
      <w:r w:rsidRPr="00576905">
        <w:rPr>
          <w:szCs w:val="18"/>
        </w:rPr>
        <w:t>A systematic review.</w:t>
      </w:r>
      <w:proofErr w:type="gramEnd"/>
      <w:r w:rsidRPr="00576905">
        <w:rPr>
          <w:szCs w:val="18"/>
        </w:rPr>
        <w:t xml:space="preserve"> Feb</w:t>
      </w:r>
      <w:proofErr w:type="gramStart"/>
      <w:r w:rsidRPr="00576905">
        <w:rPr>
          <w:szCs w:val="18"/>
        </w:rPr>
        <w:t>;17</w:t>
      </w:r>
      <w:proofErr w:type="gramEnd"/>
      <w:r w:rsidRPr="00576905">
        <w:rPr>
          <w:szCs w:val="18"/>
        </w:rPr>
        <w:t xml:space="preserve">(1):30-42. </w:t>
      </w:r>
      <w:proofErr w:type="spellStart"/>
      <w:proofErr w:type="gramStart"/>
      <w:r w:rsidRPr="00576905">
        <w:rPr>
          <w:szCs w:val="18"/>
        </w:rPr>
        <w:t>doi</w:t>
      </w:r>
      <w:proofErr w:type="spellEnd"/>
      <w:proofErr w:type="gramEnd"/>
      <w:r w:rsidRPr="00576905">
        <w:rPr>
          <w:szCs w:val="18"/>
        </w:rPr>
        <w:t xml:space="preserve">: 10.1016/j.aenj.2013.12.002. </w:t>
      </w:r>
      <w:proofErr w:type="spellStart"/>
      <w:r w:rsidRPr="00576905">
        <w:rPr>
          <w:szCs w:val="18"/>
        </w:rPr>
        <w:t>Epub</w:t>
      </w:r>
      <w:proofErr w:type="spellEnd"/>
      <w:r w:rsidRPr="00576905">
        <w:rPr>
          <w:szCs w:val="18"/>
        </w:rPr>
        <w:t xml:space="preserve"> 2014 Jan 15.</w:t>
      </w:r>
    </w:p>
  </w:footnote>
  <w:footnote w:id="38">
    <w:p w:rsidR="00EA42DE" w:rsidRPr="00AA2534" w:rsidRDefault="00EA42DE" w:rsidP="00E91A6F">
      <w:pPr>
        <w:pStyle w:val="FootnoteText"/>
      </w:pPr>
      <w:r>
        <w:rPr>
          <w:rStyle w:val="FootnoteReference"/>
        </w:rPr>
        <w:footnoteRef/>
      </w:r>
      <w:r>
        <w:t xml:space="preserve"> </w:t>
      </w:r>
      <w:r w:rsidRPr="00AA2534">
        <w:t xml:space="preserve">The </w:t>
      </w:r>
      <w:hyperlink r:id="rId5" w:tgtFrame="_blank" w:history="1">
        <w:r w:rsidRPr="00AA2534">
          <w:t xml:space="preserve">Medical Dictionary for </w:t>
        </w:r>
        <w:r w:rsidRPr="00E91A6F">
          <w:t>Regulatory</w:t>
        </w:r>
        <w:r w:rsidRPr="00AA2534">
          <w:t xml:space="preserve"> Activities (</w:t>
        </w:r>
        <w:proofErr w:type="spellStart"/>
        <w:r w:rsidRPr="00AA2534">
          <w:t>MedDRA</w:t>
        </w:r>
        <w:proofErr w:type="spellEnd"/>
        <w:r w:rsidRPr="00AA2534">
          <w:t xml:space="preserve">) </w:t>
        </w:r>
      </w:hyperlink>
      <w:r w:rsidRPr="00AA2534">
        <w:t>is an internationally used set of terms relating to medical conditions, medicines and medical devices.</w:t>
      </w:r>
    </w:p>
  </w:footnote>
  <w:footnote w:id="39">
    <w:p w:rsidR="00EA42DE" w:rsidRPr="00B41453" w:rsidRDefault="00EA42DE" w:rsidP="00EA42DE">
      <w:pPr>
        <w:pStyle w:val="FootnoteText"/>
      </w:pPr>
      <w:r w:rsidRPr="00B41453">
        <w:rPr>
          <w:rStyle w:val="FootnoteReference"/>
        </w:rPr>
        <w:footnoteRef/>
      </w:r>
      <w:r w:rsidRPr="00B41453">
        <w:t xml:space="preserve"> </w:t>
      </w:r>
      <w:r w:rsidRPr="00B41453">
        <w:rPr>
          <w:lang w:val="en"/>
        </w:rPr>
        <w:t xml:space="preserve">In </w:t>
      </w:r>
      <w:hyperlink r:id="rId6" w:tooltip="Cardiology" w:history="1">
        <w:r w:rsidRPr="00B41453">
          <w:rPr>
            <w:rStyle w:val="Hyperlink"/>
            <w:color w:val="auto"/>
            <w:u w:val="none"/>
            <w:lang w:val="en"/>
          </w:rPr>
          <w:t>cardiology</w:t>
        </w:r>
      </w:hyperlink>
      <w:r w:rsidRPr="00B41453">
        <w:rPr>
          <w:lang w:val="en"/>
        </w:rPr>
        <w:t xml:space="preserve">, the </w:t>
      </w:r>
      <w:r w:rsidRPr="00B41453">
        <w:rPr>
          <w:bCs/>
          <w:lang w:val="en"/>
        </w:rPr>
        <w:t>QT interval</w:t>
      </w:r>
      <w:r w:rsidRPr="00B41453">
        <w:rPr>
          <w:lang w:val="en"/>
        </w:rPr>
        <w:t xml:space="preserve"> is a measure of the </w:t>
      </w:r>
      <w:r w:rsidRPr="00EA42DE">
        <w:t>time</w:t>
      </w:r>
      <w:r w:rsidRPr="00B41453">
        <w:rPr>
          <w:lang w:val="en"/>
        </w:rPr>
        <w:t xml:space="preserve"> between the start of the </w:t>
      </w:r>
      <w:r w:rsidRPr="00B41453">
        <w:rPr>
          <w:bCs/>
          <w:lang w:val="en"/>
        </w:rPr>
        <w:t>Q wave</w:t>
      </w:r>
      <w:r w:rsidRPr="00B41453">
        <w:rPr>
          <w:lang w:val="en"/>
        </w:rPr>
        <w:t xml:space="preserve"> and the end of the </w:t>
      </w:r>
      <w:r w:rsidRPr="00B41453">
        <w:rPr>
          <w:bCs/>
          <w:lang w:val="en"/>
        </w:rPr>
        <w:t>T wave</w:t>
      </w:r>
      <w:r w:rsidRPr="00B41453">
        <w:rPr>
          <w:lang w:val="en"/>
        </w:rPr>
        <w:t xml:space="preserve"> in the heart's </w:t>
      </w:r>
      <w:hyperlink r:id="rId7" w:tooltip="Electrical conduction system of the heart" w:history="1">
        <w:r w:rsidRPr="00B41453">
          <w:rPr>
            <w:rStyle w:val="Hyperlink"/>
            <w:color w:val="auto"/>
            <w:u w:val="none"/>
            <w:lang w:val="en"/>
          </w:rPr>
          <w:t>electrical cycle</w:t>
        </w:r>
      </w:hyperlink>
      <w:r w:rsidRPr="00B41453">
        <w:rPr>
          <w:lang w:val="en"/>
        </w:rPr>
        <w:t xml:space="preserve">. The QT interval represents electrical </w:t>
      </w:r>
      <w:hyperlink r:id="rId8" w:anchor="Conduction_pathway" w:history="1">
        <w:r w:rsidRPr="00EA42DE">
          <w:rPr>
            <w:rStyle w:val="Hyperlink"/>
            <w:lang w:val="en"/>
          </w:rPr>
          <w:t>depolarization and repolarization of the ventricles</w:t>
        </w:r>
      </w:hyperlink>
      <w:r w:rsidRPr="00B41453">
        <w:rPr>
          <w:lang w:val="en"/>
        </w:rPr>
        <w:t xml:space="preserve">. A lengthened QT interval is a marker for the potential of ventricular </w:t>
      </w:r>
      <w:proofErr w:type="spellStart"/>
      <w:r w:rsidRPr="00B41453">
        <w:rPr>
          <w:lang w:val="en"/>
        </w:rPr>
        <w:t>tachyarrhythmias</w:t>
      </w:r>
      <w:proofErr w:type="spellEnd"/>
      <w:r w:rsidRPr="00B41453">
        <w:rPr>
          <w:lang w:val="en"/>
        </w:rPr>
        <w:t xml:space="preserve"> like </w:t>
      </w:r>
      <w:hyperlink r:id="rId9" w:tooltip="Torsades de pointes" w:history="1">
        <w:proofErr w:type="spellStart"/>
        <w:r w:rsidRPr="00B41453">
          <w:rPr>
            <w:rStyle w:val="Hyperlink"/>
            <w:color w:val="auto"/>
            <w:u w:val="none"/>
            <w:lang w:val="en"/>
          </w:rPr>
          <w:t>torsades</w:t>
        </w:r>
        <w:proofErr w:type="spellEnd"/>
        <w:r w:rsidRPr="00B41453">
          <w:rPr>
            <w:rStyle w:val="Hyperlink"/>
            <w:color w:val="auto"/>
            <w:u w:val="none"/>
            <w:lang w:val="en"/>
          </w:rPr>
          <w:t xml:space="preserve"> de pointes</w:t>
        </w:r>
      </w:hyperlink>
      <w:r w:rsidRPr="00B41453">
        <w:rPr>
          <w:lang w:val="en"/>
        </w:rPr>
        <w:t xml:space="preserve"> and a risk factor for sudden death. The QT interval is dependent on the </w:t>
      </w:r>
      <w:hyperlink r:id="rId10" w:tooltip="Heart rate" w:history="1">
        <w:r w:rsidRPr="00B41453">
          <w:rPr>
            <w:rStyle w:val="Hyperlink"/>
            <w:color w:val="auto"/>
            <w:u w:val="none"/>
            <w:lang w:val="en"/>
          </w:rPr>
          <w:t>heart rate</w:t>
        </w:r>
      </w:hyperlink>
      <w:r w:rsidRPr="00B41453">
        <w:rPr>
          <w:lang w:val="en"/>
        </w:rPr>
        <w:t xml:space="preserve"> (the faster the heart rate the shorter the R-R </w:t>
      </w:r>
      <w:r w:rsidRPr="00EA42DE">
        <w:t>Interval</w:t>
      </w:r>
      <w:r w:rsidRPr="00B41453">
        <w:rPr>
          <w:lang w:val="en"/>
        </w:rPr>
        <w:t xml:space="preserve"> and QT interval) and may be adjusted (</w:t>
      </w:r>
      <w:proofErr w:type="spellStart"/>
      <w:r w:rsidRPr="00B41453">
        <w:rPr>
          <w:lang w:val="en"/>
        </w:rPr>
        <w:t>QTc</w:t>
      </w:r>
      <w:proofErr w:type="spellEnd"/>
      <w:r w:rsidRPr="00B41453">
        <w:rPr>
          <w:lang w:val="en"/>
        </w:rPr>
        <w:t>) to improve the detection of patients at increased risk of ventricular arrhythmia.</w:t>
      </w:r>
    </w:p>
  </w:footnote>
  <w:footnote w:id="40">
    <w:p w:rsidR="00EA42DE" w:rsidRPr="00B41453" w:rsidRDefault="00EA42DE" w:rsidP="00EA42DE">
      <w:pPr>
        <w:pStyle w:val="FootnoteText"/>
      </w:pPr>
      <w:r>
        <w:rPr>
          <w:rStyle w:val="FootnoteReference"/>
        </w:rPr>
        <w:footnoteRef/>
      </w:r>
      <w:r>
        <w:t xml:space="preserve"> </w:t>
      </w:r>
      <w:proofErr w:type="gramStart"/>
      <w:r w:rsidRPr="00B41453">
        <w:rPr>
          <w:rFonts w:cs="TimesNewRoman"/>
        </w:rPr>
        <w:t>EMEA/ CPMP/EWP/2158/99.</w:t>
      </w:r>
      <w:proofErr w:type="gramEnd"/>
      <w:r w:rsidRPr="00B41453">
        <w:rPr>
          <w:rFonts w:cs="TimesNewRoman"/>
        </w:rPr>
        <w:t xml:space="preserve"> </w:t>
      </w:r>
      <w:proofErr w:type="gramStart"/>
      <w:r w:rsidRPr="00B41453">
        <w:rPr>
          <w:rFonts w:cs="TimesNewRoman"/>
        </w:rPr>
        <w:t>G</w:t>
      </w:r>
      <w:r w:rsidRPr="00B41453">
        <w:t xml:space="preserve">uideline on the </w:t>
      </w:r>
      <w:r w:rsidRPr="00EA42DE">
        <w:t>choice</w:t>
      </w:r>
      <w:r w:rsidRPr="00B41453">
        <w:t xml:space="preserve"> of the non-inferiority margin.</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2DE" w:rsidRDefault="00EA42D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2DE" w:rsidRDefault="00EA42DE">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-1092835</wp:posOffset>
          </wp:positionH>
          <wp:positionV relativeFrom="paragraph">
            <wp:posOffset>-588645</wp:posOffset>
          </wp:positionV>
          <wp:extent cx="7575550" cy="10706100"/>
          <wp:effectExtent l="0" t="0" r="635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5550" cy="10706100"/>
                  </a:xfrm>
                  <a:prstGeom prst="rect">
                    <a:avLst/>
                  </a:prstGeom>
                </pic:spPr>
              </pic:pic>
            </a:graphicData>
          </a:graphic>
        </wp:anchor>
      </w:drawing>
    </w:r>
  </w:p>
  <w:p w:rsidR="00EA42DE" w:rsidRDefault="00EA42DE" w:rsidP="00593AD1">
    <w:pPr>
      <w:pStyle w:val="HeaderNoLine"/>
    </w:pPr>
    <w:r>
      <w:rPr>
        <w:noProof/>
        <w:lang w:eastAsia="en-AU"/>
      </w:rPr>
      <w:drawing>
        <wp:inline distT="0" distB="0" distL="0" distR="0" wp14:anchorId="53720951" wp14:editId="58DC4D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2DE" w:rsidRDefault="00EA42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2DE" w:rsidRDefault="00EA42D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2DE" w:rsidRDefault="00EA42D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2DE" w:rsidRDefault="00EA42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2DE" w:rsidRDefault="00EA42D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2DE" w:rsidRDefault="00EA42DE" w:rsidP="006E08B3">
    <w:r>
      <w:t>Therapeutic Goods Administration</w:t>
    </w:r>
  </w:p>
  <w:p w:rsidR="00EA42DE" w:rsidRDefault="00EA42D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46DFFC"/>
    <w:lvl w:ilvl="0">
      <w:start w:val="1"/>
      <w:numFmt w:val="decimal"/>
      <w:lvlText w:val="%1."/>
      <w:lvlJc w:val="left"/>
      <w:pPr>
        <w:tabs>
          <w:tab w:val="num" w:pos="1492"/>
        </w:tabs>
        <w:ind w:left="1492" w:hanging="360"/>
      </w:pPr>
    </w:lvl>
  </w:abstractNum>
  <w:abstractNum w:abstractNumId="1">
    <w:nsid w:val="FFFFFF7D"/>
    <w:multiLevelType w:val="singleLevel"/>
    <w:tmpl w:val="EE84014C"/>
    <w:lvl w:ilvl="0">
      <w:start w:val="1"/>
      <w:numFmt w:val="decimal"/>
      <w:lvlText w:val="%1."/>
      <w:lvlJc w:val="left"/>
      <w:pPr>
        <w:tabs>
          <w:tab w:val="num" w:pos="1209"/>
        </w:tabs>
        <w:ind w:left="1209" w:hanging="360"/>
      </w:pPr>
    </w:lvl>
  </w:abstractNum>
  <w:abstractNum w:abstractNumId="2">
    <w:nsid w:val="FFFFFF7E"/>
    <w:multiLevelType w:val="singleLevel"/>
    <w:tmpl w:val="0DA250CA"/>
    <w:lvl w:ilvl="0">
      <w:start w:val="1"/>
      <w:numFmt w:val="decimal"/>
      <w:lvlText w:val="%1."/>
      <w:lvlJc w:val="left"/>
      <w:pPr>
        <w:tabs>
          <w:tab w:val="num" w:pos="926"/>
        </w:tabs>
        <w:ind w:left="926" w:hanging="360"/>
      </w:pPr>
    </w:lvl>
  </w:abstractNum>
  <w:abstractNum w:abstractNumId="3">
    <w:nsid w:val="FFFFFF7F"/>
    <w:multiLevelType w:val="singleLevel"/>
    <w:tmpl w:val="414A194E"/>
    <w:lvl w:ilvl="0">
      <w:start w:val="1"/>
      <w:numFmt w:val="decimal"/>
      <w:lvlText w:val="%1."/>
      <w:lvlJc w:val="left"/>
      <w:pPr>
        <w:tabs>
          <w:tab w:val="num" w:pos="643"/>
        </w:tabs>
        <w:ind w:left="643" w:hanging="360"/>
      </w:pPr>
    </w:lvl>
  </w:abstractNum>
  <w:abstractNum w:abstractNumId="4">
    <w:nsid w:val="FFFFFF80"/>
    <w:multiLevelType w:val="singleLevel"/>
    <w:tmpl w:val="EF7604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59C24B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B832FD3A"/>
    <w:lvl w:ilvl="0">
      <w:start w:val="1"/>
      <w:numFmt w:val="decimal"/>
      <w:lvlText w:val="%1."/>
      <w:lvlJc w:val="left"/>
      <w:pPr>
        <w:tabs>
          <w:tab w:val="num" w:pos="360"/>
        </w:tabs>
        <w:ind w:left="360" w:hanging="360"/>
      </w:pPr>
    </w:lvl>
  </w:abstractNum>
  <w:abstractNum w:abstractNumId="7">
    <w:nsid w:val="FFFFFF89"/>
    <w:multiLevelType w:val="singleLevel"/>
    <w:tmpl w:val="F4D8B1CA"/>
    <w:lvl w:ilvl="0">
      <w:start w:val="1"/>
      <w:numFmt w:val="bullet"/>
      <w:lvlText w:val=""/>
      <w:lvlJc w:val="left"/>
      <w:pPr>
        <w:tabs>
          <w:tab w:val="num" w:pos="360"/>
        </w:tabs>
        <w:ind w:left="360" w:hanging="360"/>
      </w:pPr>
      <w:rPr>
        <w:rFonts w:ascii="Symbol" w:hAnsi="Symbol"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32C2AE7"/>
    <w:multiLevelType w:val="hybridMultilevel"/>
    <w:tmpl w:val="484609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4385E80"/>
    <w:multiLevelType w:val="hybridMultilevel"/>
    <w:tmpl w:val="0B703C2E"/>
    <w:lvl w:ilvl="0" w:tplc="865026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68108A0"/>
    <w:multiLevelType w:val="hybridMultilevel"/>
    <w:tmpl w:val="0D8407D0"/>
    <w:lvl w:ilvl="0" w:tplc="1C2E6654">
      <w:start w:val="102"/>
      <w:numFmt w:val="bullet"/>
      <w:lvlText w:val="-"/>
      <w:lvlJc w:val="left"/>
      <w:pPr>
        <w:ind w:left="2388" w:hanging="360"/>
      </w:pPr>
      <w:rPr>
        <w:rFonts w:ascii="Cambria" w:eastAsia="Cambria" w:hAnsi="Cambria" w:cs="Times New Roman" w:hint="default"/>
      </w:rPr>
    </w:lvl>
    <w:lvl w:ilvl="1" w:tplc="0C090003" w:tentative="1">
      <w:start w:val="1"/>
      <w:numFmt w:val="bullet"/>
      <w:lvlText w:val="o"/>
      <w:lvlJc w:val="left"/>
      <w:pPr>
        <w:ind w:left="3108" w:hanging="360"/>
      </w:pPr>
      <w:rPr>
        <w:rFonts w:ascii="Courier New" w:hAnsi="Courier New" w:cs="Courier New" w:hint="default"/>
      </w:rPr>
    </w:lvl>
    <w:lvl w:ilvl="2" w:tplc="0C090005" w:tentative="1">
      <w:start w:val="1"/>
      <w:numFmt w:val="bullet"/>
      <w:lvlText w:val=""/>
      <w:lvlJc w:val="left"/>
      <w:pPr>
        <w:ind w:left="3828" w:hanging="360"/>
      </w:pPr>
      <w:rPr>
        <w:rFonts w:ascii="Wingdings" w:hAnsi="Wingdings" w:hint="default"/>
      </w:rPr>
    </w:lvl>
    <w:lvl w:ilvl="3" w:tplc="0C090001" w:tentative="1">
      <w:start w:val="1"/>
      <w:numFmt w:val="bullet"/>
      <w:lvlText w:val=""/>
      <w:lvlJc w:val="left"/>
      <w:pPr>
        <w:ind w:left="4548" w:hanging="360"/>
      </w:pPr>
      <w:rPr>
        <w:rFonts w:ascii="Symbol" w:hAnsi="Symbol" w:hint="default"/>
      </w:rPr>
    </w:lvl>
    <w:lvl w:ilvl="4" w:tplc="0C090003" w:tentative="1">
      <w:start w:val="1"/>
      <w:numFmt w:val="bullet"/>
      <w:lvlText w:val="o"/>
      <w:lvlJc w:val="left"/>
      <w:pPr>
        <w:ind w:left="5268" w:hanging="360"/>
      </w:pPr>
      <w:rPr>
        <w:rFonts w:ascii="Courier New" w:hAnsi="Courier New" w:cs="Courier New" w:hint="default"/>
      </w:rPr>
    </w:lvl>
    <w:lvl w:ilvl="5" w:tplc="0C090005" w:tentative="1">
      <w:start w:val="1"/>
      <w:numFmt w:val="bullet"/>
      <w:lvlText w:val=""/>
      <w:lvlJc w:val="left"/>
      <w:pPr>
        <w:ind w:left="5988" w:hanging="360"/>
      </w:pPr>
      <w:rPr>
        <w:rFonts w:ascii="Wingdings" w:hAnsi="Wingdings" w:hint="default"/>
      </w:rPr>
    </w:lvl>
    <w:lvl w:ilvl="6" w:tplc="0C090001" w:tentative="1">
      <w:start w:val="1"/>
      <w:numFmt w:val="bullet"/>
      <w:lvlText w:val=""/>
      <w:lvlJc w:val="left"/>
      <w:pPr>
        <w:ind w:left="6708" w:hanging="360"/>
      </w:pPr>
      <w:rPr>
        <w:rFonts w:ascii="Symbol" w:hAnsi="Symbol" w:hint="default"/>
      </w:rPr>
    </w:lvl>
    <w:lvl w:ilvl="7" w:tplc="0C090003" w:tentative="1">
      <w:start w:val="1"/>
      <w:numFmt w:val="bullet"/>
      <w:lvlText w:val="o"/>
      <w:lvlJc w:val="left"/>
      <w:pPr>
        <w:ind w:left="7428" w:hanging="360"/>
      </w:pPr>
      <w:rPr>
        <w:rFonts w:ascii="Courier New" w:hAnsi="Courier New" w:cs="Courier New" w:hint="default"/>
      </w:rPr>
    </w:lvl>
    <w:lvl w:ilvl="8" w:tplc="0C090005" w:tentative="1">
      <w:start w:val="1"/>
      <w:numFmt w:val="bullet"/>
      <w:lvlText w:val=""/>
      <w:lvlJc w:val="left"/>
      <w:pPr>
        <w:ind w:left="8148" w:hanging="360"/>
      </w:pPr>
      <w:rPr>
        <w:rFonts w:ascii="Wingdings" w:hAnsi="Wingding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4830057"/>
    <w:multiLevelType w:val="hybridMultilevel"/>
    <w:tmpl w:val="0AE8CEE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1">
      <w:start w:val="1"/>
      <w:numFmt w:val="bullet"/>
      <w:lvlText w:val=""/>
      <w:lvlJc w:val="left"/>
      <w:pPr>
        <w:ind w:left="1724" w:hanging="360"/>
      </w:pPr>
      <w:rPr>
        <w:rFonts w:ascii="Symbol" w:hAnsi="Symbol"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4">
    <w:nsid w:val="387E07D8"/>
    <w:multiLevelType w:val="hybridMultilevel"/>
    <w:tmpl w:val="125A76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AC02909"/>
    <w:multiLevelType w:val="hybridMultilevel"/>
    <w:tmpl w:val="2B2EC7E4"/>
    <w:lvl w:ilvl="0" w:tplc="3B76980A">
      <w:start w:val="1"/>
      <w:numFmt w:val="bullet"/>
      <w:pStyle w:val="Bullet2"/>
      <w:lvlText w:val="-"/>
      <w:lvlJc w:val="left"/>
      <w:pPr>
        <w:tabs>
          <w:tab w:val="num" w:pos="567"/>
        </w:tabs>
        <w:ind w:left="567" w:hanging="283"/>
      </w:pPr>
      <w:rPr>
        <w:rFonts w:ascii="Arial" w:hAnsi="Arial" w:cs="Times New Roman" w:hint="default"/>
      </w:rPr>
    </w:lvl>
    <w:lvl w:ilvl="1" w:tplc="2130B96C">
      <w:numFmt w:val="bullet"/>
      <w:lvlText w:val=""/>
      <w:lvlJc w:val="left"/>
      <w:pPr>
        <w:ind w:left="1724" w:hanging="360"/>
      </w:pPr>
      <w:rPr>
        <w:rFonts w:ascii="Cambria" w:eastAsia="Times New Roman" w:hAnsi="Cambria" w:cs="Symbol"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6">
    <w:nsid w:val="3E172FAD"/>
    <w:multiLevelType w:val="hybridMultilevel"/>
    <w:tmpl w:val="701C5EA2"/>
    <w:lvl w:ilvl="0" w:tplc="E2DE18E6">
      <w:start w:val="1"/>
      <w:numFmt w:val="decimal"/>
      <w:lvlText w:val="%1."/>
      <w:lvlJc w:val="left"/>
      <w:pPr>
        <w:ind w:left="530" w:hanging="360"/>
      </w:pPr>
      <w:rPr>
        <w:rFonts w:eastAsia="Cambria"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7">
    <w:nsid w:val="3F346995"/>
    <w:multiLevelType w:val="hybridMultilevel"/>
    <w:tmpl w:val="CE0AD3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057594E"/>
    <w:multiLevelType w:val="hybridMultilevel"/>
    <w:tmpl w:val="F98AF0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2094736"/>
    <w:multiLevelType w:val="hybridMultilevel"/>
    <w:tmpl w:val="9DC64A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46B7E28"/>
    <w:multiLevelType w:val="hybridMultilevel"/>
    <w:tmpl w:val="7480DB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F123768"/>
    <w:multiLevelType w:val="hybridMultilevel"/>
    <w:tmpl w:val="60588314"/>
    <w:lvl w:ilvl="0" w:tplc="7CAE9B68">
      <w:start w:val="3"/>
      <w:numFmt w:val="bullet"/>
      <w:lvlText w:val="•"/>
      <w:lvlJc w:val="left"/>
      <w:pPr>
        <w:ind w:left="927" w:hanging="360"/>
      </w:pPr>
      <w:rPr>
        <w:rFonts w:ascii="Cambria" w:eastAsia="Cambria" w:hAnsi="Cambria"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12"/>
  </w:num>
  <w:num w:numId="2">
    <w:abstractNumId w:val="8"/>
  </w:num>
  <w:num w:numId="3">
    <w:abstractNumId w:val="12"/>
  </w:num>
  <w:num w:numId="4">
    <w:abstractNumId w:val="8"/>
  </w:num>
  <w:num w:numId="5">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3"/>
  </w:num>
  <w:num w:numId="7">
    <w:abstractNumId w:val="15"/>
  </w:num>
  <w:num w:numId="8">
    <w:abstractNumId w:val="21"/>
  </w:num>
  <w:num w:numId="9">
    <w:abstractNumId w:val="1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8"/>
  </w:num>
  <w:num w:numId="21">
    <w:abstractNumId w:val="9"/>
  </w:num>
  <w:num w:numId="22">
    <w:abstractNumId w:val="5"/>
  </w:num>
  <w:num w:numId="23">
    <w:abstractNumId w:val="4"/>
  </w:num>
  <w:num w:numId="24">
    <w:abstractNumId w:val="6"/>
  </w:num>
  <w:num w:numId="25">
    <w:abstractNumId w:val="3"/>
  </w:num>
  <w:num w:numId="26">
    <w:abstractNumId w:val="2"/>
  </w:num>
  <w:num w:numId="27">
    <w:abstractNumId w:val="1"/>
  </w:num>
  <w:num w:numId="28">
    <w:abstractNumId w:val="0"/>
  </w:num>
  <w:num w:numId="29">
    <w:abstractNumId w:val="11"/>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4"/>
  </w:num>
  <w:num w:numId="3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5DB"/>
    <w:rsid w:val="00002031"/>
    <w:rsid w:val="00004734"/>
    <w:rsid w:val="00006B22"/>
    <w:rsid w:val="0001276A"/>
    <w:rsid w:val="000246AE"/>
    <w:rsid w:val="00025C67"/>
    <w:rsid w:val="00040E20"/>
    <w:rsid w:val="00043552"/>
    <w:rsid w:val="00044772"/>
    <w:rsid w:val="0005559E"/>
    <w:rsid w:val="000604D6"/>
    <w:rsid w:val="000675D9"/>
    <w:rsid w:val="00071FFF"/>
    <w:rsid w:val="000723E6"/>
    <w:rsid w:val="000734D8"/>
    <w:rsid w:val="000771DB"/>
    <w:rsid w:val="00077775"/>
    <w:rsid w:val="00090471"/>
    <w:rsid w:val="00096AA7"/>
    <w:rsid w:val="000A3AED"/>
    <w:rsid w:val="000B3532"/>
    <w:rsid w:val="000B3A75"/>
    <w:rsid w:val="000C00C2"/>
    <w:rsid w:val="000C690F"/>
    <w:rsid w:val="000D1295"/>
    <w:rsid w:val="000D391B"/>
    <w:rsid w:val="000D3D6D"/>
    <w:rsid w:val="000D4FC7"/>
    <w:rsid w:val="000E1AD3"/>
    <w:rsid w:val="000E6196"/>
    <w:rsid w:val="000F4869"/>
    <w:rsid w:val="000F5B42"/>
    <w:rsid w:val="000F6E6F"/>
    <w:rsid w:val="00103109"/>
    <w:rsid w:val="00105A25"/>
    <w:rsid w:val="0010601F"/>
    <w:rsid w:val="0010788A"/>
    <w:rsid w:val="00107A31"/>
    <w:rsid w:val="00110EA5"/>
    <w:rsid w:val="00112F56"/>
    <w:rsid w:val="00125318"/>
    <w:rsid w:val="001305A2"/>
    <w:rsid w:val="00133238"/>
    <w:rsid w:val="00133A1B"/>
    <w:rsid w:val="0014197B"/>
    <w:rsid w:val="001447CD"/>
    <w:rsid w:val="001516B1"/>
    <w:rsid w:val="00154EBB"/>
    <w:rsid w:val="00156316"/>
    <w:rsid w:val="00161181"/>
    <w:rsid w:val="00162D14"/>
    <w:rsid w:val="00165389"/>
    <w:rsid w:val="0017693F"/>
    <w:rsid w:val="0018110E"/>
    <w:rsid w:val="00181684"/>
    <w:rsid w:val="001843C6"/>
    <w:rsid w:val="001850E0"/>
    <w:rsid w:val="001A2158"/>
    <w:rsid w:val="001A29F1"/>
    <w:rsid w:val="001A525F"/>
    <w:rsid w:val="001B09F9"/>
    <w:rsid w:val="001B5C90"/>
    <w:rsid w:val="001B6448"/>
    <w:rsid w:val="001C32CD"/>
    <w:rsid w:val="001D2984"/>
    <w:rsid w:val="001E07CF"/>
    <w:rsid w:val="001E2E83"/>
    <w:rsid w:val="001E59F1"/>
    <w:rsid w:val="001F2CEE"/>
    <w:rsid w:val="001F49EB"/>
    <w:rsid w:val="001F6CBA"/>
    <w:rsid w:val="00201D4E"/>
    <w:rsid w:val="002076C9"/>
    <w:rsid w:val="00215AAA"/>
    <w:rsid w:val="00220B8A"/>
    <w:rsid w:val="002257F3"/>
    <w:rsid w:val="00233456"/>
    <w:rsid w:val="002339A5"/>
    <w:rsid w:val="00257848"/>
    <w:rsid w:val="0027084A"/>
    <w:rsid w:val="00274760"/>
    <w:rsid w:val="0028122D"/>
    <w:rsid w:val="00286434"/>
    <w:rsid w:val="00286C59"/>
    <w:rsid w:val="00291957"/>
    <w:rsid w:val="002942D1"/>
    <w:rsid w:val="0029501A"/>
    <w:rsid w:val="002A3721"/>
    <w:rsid w:val="002B1638"/>
    <w:rsid w:val="002B3624"/>
    <w:rsid w:val="002D0952"/>
    <w:rsid w:val="002E40B3"/>
    <w:rsid w:val="002E4C9A"/>
    <w:rsid w:val="002F11F8"/>
    <w:rsid w:val="002F3F56"/>
    <w:rsid w:val="002F44B5"/>
    <w:rsid w:val="00311AC0"/>
    <w:rsid w:val="003166CF"/>
    <w:rsid w:val="0032583B"/>
    <w:rsid w:val="00327883"/>
    <w:rsid w:val="00335504"/>
    <w:rsid w:val="00340C18"/>
    <w:rsid w:val="003427D7"/>
    <w:rsid w:val="003442FD"/>
    <w:rsid w:val="00347824"/>
    <w:rsid w:val="00350567"/>
    <w:rsid w:val="003521E8"/>
    <w:rsid w:val="00370CE3"/>
    <w:rsid w:val="003728F3"/>
    <w:rsid w:val="0037496E"/>
    <w:rsid w:val="00383221"/>
    <w:rsid w:val="00386150"/>
    <w:rsid w:val="003874CE"/>
    <w:rsid w:val="00390900"/>
    <w:rsid w:val="003A7F6C"/>
    <w:rsid w:val="003B4D60"/>
    <w:rsid w:val="003B7E39"/>
    <w:rsid w:val="003C0A28"/>
    <w:rsid w:val="003C58DC"/>
    <w:rsid w:val="003D1E62"/>
    <w:rsid w:val="003E0B99"/>
    <w:rsid w:val="003E2486"/>
    <w:rsid w:val="003E3208"/>
    <w:rsid w:val="003E6564"/>
    <w:rsid w:val="003F0B04"/>
    <w:rsid w:val="0040134E"/>
    <w:rsid w:val="00411EBC"/>
    <w:rsid w:val="004135BA"/>
    <w:rsid w:val="004334C7"/>
    <w:rsid w:val="00440A2D"/>
    <w:rsid w:val="00441C3F"/>
    <w:rsid w:val="004564A7"/>
    <w:rsid w:val="004617BF"/>
    <w:rsid w:val="00463658"/>
    <w:rsid w:val="004637A0"/>
    <w:rsid w:val="00463C3C"/>
    <w:rsid w:val="004722CC"/>
    <w:rsid w:val="004936E4"/>
    <w:rsid w:val="00494E60"/>
    <w:rsid w:val="00497487"/>
    <w:rsid w:val="004A6189"/>
    <w:rsid w:val="004A7390"/>
    <w:rsid w:val="004B7B76"/>
    <w:rsid w:val="004C2228"/>
    <w:rsid w:val="004C239D"/>
    <w:rsid w:val="004C2DCA"/>
    <w:rsid w:val="004C61D2"/>
    <w:rsid w:val="004F0C4A"/>
    <w:rsid w:val="004F0F38"/>
    <w:rsid w:val="004F47D6"/>
    <w:rsid w:val="00501921"/>
    <w:rsid w:val="00521B88"/>
    <w:rsid w:val="0052542E"/>
    <w:rsid w:val="00530354"/>
    <w:rsid w:val="0053625B"/>
    <w:rsid w:val="0053664C"/>
    <w:rsid w:val="005434C6"/>
    <w:rsid w:val="00543B39"/>
    <w:rsid w:val="005440D0"/>
    <w:rsid w:val="00546154"/>
    <w:rsid w:val="00550096"/>
    <w:rsid w:val="005547C7"/>
    <w:rsid w:val="00555280"/>
    <w:rsid w:val="00557FF9"/>
    <w:rsid w:val="00562327"/>
    <w:rsid w:val="005626CB"/>
    <w:rsid w:val="0057000A"/>
    <w:rsid w:val="005711D5"/>
    <w:rsid w:val="00576378"/>
    <w:rsid w:val="00576905"/>
    <w:rsid w:val="00577130"/>
    <w:rsid w:val="00577945"/>
    <w:rsid w:val="00577E38"/>
    <w:rsid w:val="00585322"/>
    <w:rsid w:val="005857C6"/>
    <w:rsid w:val="00592F6E"/>
    <w:rsid w:val="00593AD1"/>
    <w:rsid w:val="005A68B6"/>
    <w:rsid w:val="005C5442"/>
    <w:rsid w:val="005C5570"/>
    <w:rsid w:val="005C79A4"/>
    <w:rsid w:val="005D45D1"/>
    <w:rsid w:val="005D5442"/>
    <w:rsid w:val="005D6EFA"/>
    <w:rsid w:val="005F67B4"/>
    <w:rsid w:val="00603F32"/>
    <w:rsid w:val="00605AD4"/>
    <w:rsid w:val="006142EE"/>
    <w:rsid w:val="00614CF0"/>
    <w:rsid w:val="00625A6E"/>
    <w:rsid w:val="00631076"/>
    <w:rsid w:val="00632398"/>
    <w:rsid w:val="00640FC3"/>
    <w:rsid w:val="0064118B"/>
    <w:rsid w:val="00642020"/>
    <w:rsid w:val="0065337B"/>
    <w:rsid w:val="0065419D"/>
    <w:rsid w:val="006604D8"/>
    <w:rsid w:val="00664A5B"/>
    <w:rsid w:val="0066735C"/>
    <w:rsid w:val="006763D2"/>
    <w:rsid w:val="00680C08"/>
    <w:rsid w:val="006916A0"/>
    <w:rsid w:val="006931B1"/>
    <w:rsid w:val="006A15C0"/>
    <w:rsid w:val="006A19F1"/>
    <w:rsid w:val="006A28B8"/>
    <w:rsid w:val="006A3326"/>
    <w:rsid w:val="006C3E2A"/>
    <w:rsid w:val="006C5DA4"/>
    <w:rsid w:val="006C642F"/>
    <w:rsid w:val="006D03E5"/>
    <w:rsid w:val="006D5D3E"/>
    <w:rsid w:val="006E08B3"/>
    <w:rsid w:val="006F17AC"/>
    <w:rsid w:val="006F25B8"/>
    <w:rsid w:val="006F572E"/>
    <w:rsid w:val="007046D6"/>
    <w:rsid w:val="00705DB0"/>
    <w:rsid w:val="00710299"/>
    <w:rsid w:val="00712FCD"/>
    <w:rsid w:val="00721A5A"/>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B6132"/>
    <w:rsid w:val="007B6E9F"/>
    <w:rsid w:val="007C1216"/>
    <w:rsid w:val="007C1AF7"/>
    <w:rsid w:val="007C6B9B"/>
    <w:rsid w:val="007D1897"/>
    <w:rsid w:val="007D2624"/>
    <w:rsid w:val="007E15DB"/>
    <w:rsid w:val="007E19E1"/>
    <w:rsid w:val="00805D27"/>
    <w:rsid w:val="00806DCB"/>
    <w:rsid w:val="00821776"/>
    <w:rsid w:val="008254F8"/>
    <w:rsid w:val="00826430"/>
    <w:rsid w:val="008321F5"/>
    <w:rsid w:val="00832369"/>
    <w:rsid w:val="00834660"/>
    <w:rsid w:val="00836BC2"/>
    <w:rsid w:val="0085156D"/>
    <w:rsid w:val="0085641B"/>
    <w:rsid w:val="00857136"/>
    <w:rsid w:val="008626C4"/>
    <w:rsid w:val="00872301"/>
    <w:rsid w:val="00884AA0"/>
    <w:rsid w:val="00885B11"/>
    <w:rsid w:val="00886D15"/>
    <w:rsid w:val="00887DD8"/>
    <w:rsid w:val="00891BA9"/>
    <w:rsid w:val="00896018"/>
    <w:rsid w:val="008960DD"/>
    <w:rsid w:val="0089635C"/>
    <w:rsid w:val="008A2B9D"/>
    <w:rsid w:val="008A3D9F"/>
    <w:rsid w:val="008A5022"/>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14222"/>
    <w:rsid w:val="00920330"/>
    <w:rsid w:val="009219D7"/>
    <w:rsid w:val="00922D53"/>
    <w:rsid w:val="00923B70"/>
    <w:rsid w:val="00924482"/>
    <w:rsid w:val="00930237"/>
    <w:rsid w:val="00937C17"/>
    <w:rsid w:val="00940A89"/>
    <w:rsid w:val="00946EA5"/>
    <w:rsid w:val="00951E61"/>
    <w:rsid w:val="00955D4E"/>
    <w:rsid w:val="00963C08"/>
    <w:rsid w:val="00973097"/>
    <w:rsid w:val="009752A5"/>
    <w:rsid w:val="0098494E"/>
    <w:rsid w:val="0098585A"/>
    <w:rsid w:val="009A392C"/>
    <w:rsid w:val="009A4CED"/>
    <w:rsid w:val="009A690D"/>
    <w:rsid w:val="009B1D12"/>
    <w:rsid w:val="009B416B"/>
    <w:rsid w:val="009B5C5C"/>
    <w:rsid w:val="009C4BD5"/>
    <w:rsid w:val="009D7B77"/>
    <w:rsid w:val="009E0BB0"/>
    <w:rsid w:val="009E26F9"/>
    <w:rsid w:val="009E3FBB"/>
    <w:rsid w:val="009F47BD"/>
    <w:rsid w:val="009F7353"/>
    <w:rsid w:val="00A00BB8"/>
    <w:rsid w:val="00A04F85"/>
    <w:rsid w:val="00A05FA4"/>
    <w:rsid w:val="00A102E4"/>
    <w:rsid w:val="00A11ADB"/>
    <w:rsid w:val="00A12C42"/>
    <w:rsid w:val="00A14DF7"/>
    <w:rsid w:val="00A21FF3"/>
    <w:rsid w:val="00A3028F"/>
    <w:rsid w:val="00A3246D"/>
    <w:rsid w:val="00A36FA7"/>
    <w:rsid w:val="00A44DDB"/>
    <w:rsid w:val="00A475B7"/>
    <w:rsid w:val="00A47AF7"/>
    <w:rsid w:val="00A47C3E"/>
    <w:rsid w:val="00A50226"/>
    <w:rsid w:val="00A60BAD"/>
    <w:rsid w:val="00A62F1E"/>
    <w:rsid w:val="00A70130"/>
    <w:rsid w:val="00A7675A"/>
    <w:rsid w:val="00A80B5B"/>
    <w:rsid w:val="00A84E36"/>
    <w:rsid w:val="00A95440"/>
    <w:rsid w:val="00A964D1"/>
    <w:rsid w:val="00AA0ED0"/>
    <w:rsid w:val="00AA2534"/>
    <w:rsid w:val="00AC1807"/>
    <w:rsid w:val="00AC2B40"/>
    <w:rsid w:val="00AC2BB2"/>
    <w:rsid w:val="00AC2C3C"/>
    <w:rsid w:val="00AC512D"/>
    <w:rsid w:val="00AD0083"/>
    <w:rsid w:val="00AD3935"/>
    <w:rsid w:val="00AE65EB"/>
    <w:rsid w:val="00AE67A7"/>
    <w:rsid w:val="00AF1D94"/>
    <w:rsid w:val="00AF56A4"/>
    <w:rsid w:val="00AF60C5"/>
    <w:rsid w:val="00B009C6"/>
    <w:rsid w:val="00B01548"/>
    <w:rsid w:val="00B13EBD"/>
    <w:rsid w:val="00B21D29"/>
    <w:rsid w:val="00B25034"/>
    <w:rsid w:val="00B27833"/>
    <w:rsid w:val="00B33588"/>
    <w:rsid w:val="00B33863"/>
    <w:rsid w:val="00B33FA7"/>
    <w:rsid w:val="00B37D17"/>
    <w:rsid w:val="00B41453"/>
    <w:rsid w:val="00B4175E"/>
    <w:rsid w:val="00B452CE"/>
    <w:rsid w:val="00B47BDE"/>
    <w:rsid w:val="00B54C25"/>
    <w:rsid w:val="00B76B91"/>
    <w:rsid w:val="00B77EB1"/>
    <w:rsid w:val="00B811C6"/>
    <w:rsid w:val="00B855B0"/>
    <w:rsid w:val="00B87B2B"/>
    <w:rsid w:val="00B92E08"/>
    <w:rsid w:val="00BC622A"/>
    <w:rsid w:val="00BE0A78"/>
    <w:rsid w:val="00BE1354"/>
    <w:rsid w:val="00BE79F0"/>
    <w:rsid w:val="00BE7D4D"/>
    <w:rsid w:val="00BF046D"/>
    <w:rsid w:val="00BF1190"/>
    <w:rsid w:val="00BF5D04"/>
    <w:rsid w:val="00C009AA"/>
    <w:rsid w:val="00C1164D"/>
    <w:rsid w:val="00C16861"/>
    <w:rsid w:val="00C346AB"/>
    <w:rsid w:val="00C404A6"/>
    <w:rsid w:val="00C40A36"/>
    <w:rsid w:val="00C44419"/>
    <w:rsid w:val="00C45E7B"/>
    <w:rsid w:val="00C471B1"/>
    <w:rsid w:val="00C6316B"/>
    <w:rsid w:val="00C634A9"/>
    <w:rsid w:val="00C64586"/>
    <w:rsid w:val="00C64683"/>
    <w:rsid w:val="00C70D53"/>
    <w:rsid w:val="00C73D0B"/>
    <w:rsid w:val="00C75284"/>
    <w:rsid w:val="00C772FF"/>
    <w:rsid w:val="00C80137"/>
    <w:rsid w:val="00C801AF"/>
    <w:rsid w:val="00C80256"/>
    <w:rsid w:val="00C83CF8"/>
    <w:rsid w:val="00C8633E"/>
    <w:rsid w:val="00C93F25"/>
    <w:rsid w:val="00C94CD4"/>
    <w:rsid w:val="00C9747E"/>
    <w:rsid w:val="00C97E6F"/>
    <w:rsid w:val="00CB6BC0"/>
    <w:rsid w:val="00CC1B7C"/>
    <w:rsid w:val="00CC585E"/>
    <w:rsid w:val="00CC727F"/>
    <w:rsid w:val="00CE6F39"/>
    <w:rsid w:val="00CF15C3"/>
    <w:rsid w:val="00CF2B6F"/>
    <w:rsid w:val="00CF2F3E"/>
    <w:rsid w:val="00CF58B6"/>
    <w:rsid w:val="00D0062D"/>
    <w:rsid w:val="00D017ED"/>
    <w:rsid w:val="00D040D3"/>
    <w:rsid w:val="00D04C65"/>
    <w:rsid w:val="00D201D2"/>
    <w:rsid w:val="00D224FE"/>
    <w:rsid w:val="00D23139"/>
    <w:rsid w:val="00D36C49"/>
    <w:rsid w:val="00D425BB"/>
    <w:rsid w:val="00D579A2"/>
    <w:rsid w:val="00D64522"/>
    <w:rsid w:val="00D6493E"/>
    <w:rsid w:val="00D7195D"/>
    <w:rsid w:val="00D72C99"/>
    <w:rsid w:val="00D7301E"/>
    <w:rsid w:val="00D83AE1"/>
    <w:rsid w:val="00D855D4"/>
    <w:rsid w:val="00D902C9"/>
    <w:rsid w:val="00D93466"/>
    <w:rsid w:val="00D974E5"/>
    <w:rsid w:val="00DA1124"/>
    <w:rsid w:val="00DB37ED"/>
    <w:rsid w:val="00DB6124"/>
    <w:rsid w:val="00DB750B"/>
    <w:rsid w:val="00DB75B7"/>
    <w:rsid w:val="00DC6E02"/>
    <w:rsid w:val="00DD28CD"/>
    <w:rsid w:val="00DD5297"/>
    <w:rsid w:val="00DE02AE"/>
    <w:rsid w:val="00DF1D7F"/>
    <w:rsid w:val="00DF4BE4"/>
    <w:rsid w:val="00DF4FC0"/>
    <w:rsid w:val="00E01646"/>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82665"/>
    <w:rsid w:val="00E82EE9"/>
    <w:rsid w:val="00E91A6F"/>
    <w:rsid w:val="00E948E4"/>
    <w:rsid w:val="00EA42DE"/>
    <w:rsid w:val="00EB0798"/>
    <w:rsid w:val="00EB40AD"/>
    <w:rsid w:val="00EB586E"/>
    <w:rsid w:val="00EB5FC8"/>
    <w:rsid w:val="00EC1969"/>
    <w:rsid w:val="00EC2FFF"/>
    <w:rsid w:val="00EC463D"/>
    <w:rsid w:val="00EC7A85"/>
    <w:rsid w:val="00ED2922"/>
    <w:rsid w:val="00ED3CAD"/>
    <w:rsid w:val="00ED5A41"/>
    <w:rsid w:val="00EE1DE8"/>
    <w:rsid w:val="00EE27C2"/>
    <w:rsid w:val="00EF4BAD"/>
    <w:rsid w:val="00F033EC"/>
    <w:rsid w:val="00F04F68"/>
    <w:rsid w:val="00F12670"/>
    <w:rsid w:val="00F14B27"/>
    <w:rsid w:val="00F212B4"/>
    <w:rsid w:val="00F25104"/>
    <w:rsid w:val="00F3148D"/>
    <w:rsid w:val="00F325C5"/>
    <w:rsid w:val="00F32FE0"/>
    <w:rsid w:val="00F35298"/>
    <w:rsid w:val="00F35C64"/>
    <w:rsid w:val="00F46F0C"/>
    <w:rsid w:val="00F47333"/>
    <w:rsid w:val="00F47E37"/>
    <w:rsid w:val="00F5115F"/>
    <w:rsid w:val="00F53C07"/>
    <w:rsid w:val="00F54B65"/>
    <w:rsid w:val="00F640B6"/>
    <w:rsid w:val="00F66DF2"/>
    <w:rsid w:val="00F71129"/>
    <w:rsid w:val="00F80E40"/>
    <w:rsid w:val="00F848D9"/>
    <w:rsid w:val="00FA5B82"/>
    <w:rsid w:val="00FA639E"/>
    <w:rsid w:val="00FB0CE1"/>
    <w:rsid w:val="00FC1FCA"/>
    <w:rsid w:val="00FC25E4"/>
    <w:rsid w:val="00FC4EF7"/>
    <w:rsid w:val="00FD0824"/>
    <w:rsid w:val="00FD119B"/>
    <w:rsid w:val="00FD1EDC"/>
    <w:rsid w:val="00FE1DEE"/>
    <w:rsid w:val="00FE6C3A"/>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2643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57000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914222"/>
    <w:rPr>
      <w:sz w:val="18"/>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E15DB"/>
    <w:pPr>
      <w:spacing w:before="60" w:after="60" w:line="240" w:lineRule="auto"/>
      <w:ind w:left="720"/>
      <w:jc w:val="both"/>
    </w:pPr>
    <w:rPr>
      <w:rFonts w:ascii="Times New Roman" w:eastAsia="Times New Roman" w:hAnsi="Times New Roman"/>
      <w:sz w:val="24"/>
      <w:lang w:eastAsia="en-AU"/>
    </w:rPr>
  </w:style>
  <w:style w:type="paragraph" w:styleId="NormalWeb">
    <w:name w:val="Normal (Web)"/>
    <w:basedOn w:val="Normal"/>
    <w:semiHidden/>
    <w:unhideWhenUsed/>
    <w:rsid w:val="007E15D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ullet1">
    <w:name w:val="Bullet 1"/>
    <w:basedOn w:val="Normal"/>
    <w:rsid w:val="0057000A"/>
    <w:pPr>
      <w:numPr>
        <w:numId w:val="6"/>
      </w:numPr>
      <w:spacing w:after="0" w:line="240" w:lineRule="auto"/>
    </w:pPr>
    <w:rPr>
      <w:rFonts w:eastAsia="Times New Roman"/>
      <w:kern w:val="24"/>
      <w:szCs w:val="24"/>
      <w:lang w:eastAsia="en-AU"/>
    </w:rPr>
  </w:style>
  <w:style w:type="paragraph" w:customStyle="1" w:styleId="Default">
    <w:name w:val="Default"/>
    <w:rsid w:val="0057000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ullet2">
    <w:name w:val="Bullet 2"/>
    <w:basedOn w:val="Bullet1"/>
    <w:rsid w:val="0057000A"/>
    <w:pPr>
      <w:numPr>
        <w:numId w:val="7"/>
      </w:numPr>
    </w:pPr>
  </w:style>
  <w:style w:type="character" w:customStyle="1" w:styleId="searchurl">
    <w:name w:val="searchurl"/>
    <w:basedOn w:val="DefaultParagraphFont"/>
    <w:rsid w:val="0057000A"/>
  </w:style>
  <w:style w:type="character" w:customStyle="1" w:styleId="Heading8Char">
    <w:name w:val="Heading 8 Char"/>
    <w:basedOn w:val="DefaultParagraphFont"/>
    <w:link w:val="Heading8"/>
    <w:uiPriority w:val="9"/>
    <w:semiHidden/>
    <w:rsid w:val="0057000A"/>
    <w:rPr>
      <w:rFonts w:asciiTheme="majorHAnsi" w:eastAsiaTheme="majorEastAsia" w:hAnsiTheme="majorHAnsi" w:cstheme="majorBidi"/>
      <w:color w:val="404040" w:themeColor="text1" w:themeTint="BF"/>
      <w:sz w:val="20"/>
      <w:szCs w:val="20"/>
    </w:rPr>
  </w:style>
  <w:style w:type="character" w:customStyle="1" w:styleId="mw-headline">
    <w:name w:val="mw-headline"/>
    <w:basedOn w:val="DefaultParagraphFont"/>
    <w:rsid w:val="0057000A"/>
  </w:style>
  <w:style w:type="character" w:customStyle="1" w:styleId="st1">
    <w:name w:val="st1"/>
    <w:basedOn w:val="DefaultParagraphFont"/>
    <w:rsid w:val="0057000A"/>
  </w:style>
  <w:style w:type="character" w:styleId="Emphasis">
    <w:name w:val="Emphasis"/>
    <w:basedOn w:val="DefaultParagraphFont"/>
    <w:uiPriority w:val="20"/>
    <w:qFormat/>
    <w:rsid w:val="000771DB"/>
    <w:rPr>
      <w:b/>
      <w:bCs/>
      <w:i w:val="0"/>
      <w:iCs w:val="0"/>
    </w:rPr>
  </w:style>
  <w:style w:type="character" w:customStyle="1" w:styleId="tgc">
    <w:name w:val="_tgc"/>
    <w:basedOn w:val="DefaultParagraphFont"/>
    <w:rsid w:val="009E26F9"/>
  </w:style>
  <w:style w:type="paragraph" w:customStyle="1" w:styleId="Standard">
    <w:name w:val="Standard"/>
    <w:basedOn w:val="Normal"/>
    <w:link w:val="StandardChar"/>
    <w:rsid w:val="00DD5297"/>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DD5297"/>
    <w:rPr>
      <w:rFonts w:ascii="Cambria" w:eastAsia="Times New Roman" w:hAnsi="Cambria" w:cs="Times New Roman"/>
      <w:snapToGrid w:val="0"/>
      <w:kern w:val="16"/>
      <w:szCs w:val="24"/>
    </w:rPr>
  </w:style>
  <w:style w:type="character" w:customStyle="1" w:styleId="element-invisible1">
    <w:name w:val="element-invisible1"/>
    <w:basedOn w:val="DefaultParagraphFont"/>
    <w:rsid w:val="00AA2534"/>
  </w:style>
  <w:style w:type="paragraph" w:customStyle="1" w:styleId="Text12Times">
    <w:name w:val="Text 12 Times"/>
    <w:link w:val="Text12TimesChar"/>
    <w:qFormat/>
    <w:rsid w:val="006A19F1"/>
    <w:pPr>
      <w:spacing w:after="120" w:line="260" w:lineRule="atLeast"/>
      <w:jc w:val="both"/>
    </w:pPr>
    <w:rPr>
      <w:rFonts w:ascii="Times New Roman" w:eastAsia="Times New Roman" w:hAnsi="Times New Roman" w:cs="Times New Roman"/>
      <w:color w:val="000000" w:themeColor="text1"/>
      <w:sz w:val="24"/>
      <w:szCs w:val="20"/>
      <w:lang w:val="en-US"/>
    </w:rPr>
  </w:style>
  <w:style w:type="character" w:customStyle="1" w:styleId="Text12TimesChar">
    <w:name w:val="Text 12 Times Char"/>
    <w:basedOn w:val="DefaultParagraphFont"/>
    <w:link w:val="Text12Times"/>
    <w:rsid w:val="006A19F1"/>
    <w:rPr>
      <w:rFonts w:ascii="Times New Roman" w:eastAsia="Times New Roman" w:hAnsi="Times New Roman" w:cs="Times New Roman"/>
      <w:color w:val="000000" w:themeColor="text1"/>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2643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57000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914222"/>
    <w:rPr>
      <w:sz w:val="18"/>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E15DB"/>
    <w:pPr>
      <w:spacing w:before="60" w:after="60" w:line="240" w:lineRule="auto"/>
      <w:ind w:left="720"/>
      <w:jc w:val="both"/>
    </w:pPr>
    <w:rPr>
      <w:rFonts w:ascii="Times New Roman" w:eastAsia="Times New Roman" w:hAnsi="Times New Roman"/>
      <w:sz w:val="24"/>
      <w:lang w:eastAsia="en-AU"/>
    </w:rPr>
  </w:style>
  <w:style w:type="paragraph" w:styleId="NormalWeb">
    <w:name w:val="Normal (Web)"/>
    <w:basedOn w:val="Normal"/>
    <w:semiHidden/>
    <w:unhideWhenUsed/>
    <w:rsid w:val="007E15D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ullet1">
    <w:name w:val="Bullet 1"/>
    <w:basedOn w:val="Normal"/>
    <w:rsid w:val="0057000A"/>
    <w:pPr>
      <w:numPr>
        <w:numId w:val="6"/>
      </w:numPr>
      <w:spacing w:after="0" w:line="240" w:lineRule="auto"/>
    </w:pPr>
    <w:rPr>
      <w:rFonts w:eastAsia="Times New Roman"/>
      <w:kern w:val="24"/>
      <w:szCs w:val="24"/>
      <w:lang w:eastAsia="en-AU"/>
    </w:rPr>
  </w:style>
  <w:style w:type="paragraph" w:customStyle="1" w:styleId="Default">
    <w:name w:val="Default"/>
    <w:rsid w:val="0057000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ullet2">
    <w:name w:val="Bullet 2"/>
    <w:basedOn w:val="Bullet1"/>
    <w:rsid w:val="0057000A"/>
    <w:pPr>
      <w:numPr>
        <w:numId w:val="7"/>
      </w:numPr>
    </w:pPr>
  </w:style>
  <w:style w:type="character" w:customStyle="1" w:styleId="searchurl">
    <w:name w:val="searchurl"/>
    <w:basedOn w:val="DefaultParagraphFont"/>
    <w:rsid w:val="0057000A"/>
  </w:style>
  <w:style w:type="character" w:customStyle="1" w:styleId="Heading8Char">
    <w:name w:val="Heading 8 Char"/>
    <w:basedOn w:val="DefaultParagraphFont"/>
    <w:link w:val="Heading8"/>
    <w:uiPriority w:val="9"/>
    <w:semiHidden/>
    <w:rsid w:val="0057000A"/>
    <w:rPr>
      <w:rFonts w:asciiTheme="majorHAnsi" w:eastAsiaTheme="majorEastAsia" w:hAnsiTheme="majorHAnsi" w:cstheme="majorBidi"/>
      <w:color w:val="404040" w:themeColor="text1" w:themeTint="BF"/>
      <w:sz w:val="20"/>
      <w:szCs w:val="20"/>
    </w:rPr>
  </w:style>
  <w:style w:type="character" w:customStyle="1" w:styleId="mw-headline">
    <w:name w:val="mw-headline"/>
    <w:basedOn w:val="DefaultParagraphFont"/>
    <w:rsid w:val="0057000A"/>
  </w:style>
  <w:style w:type="character" w:customStyle="1" w:styleId="st1">
    <w:name w:val="st1"/>
    <w:basedOn w:val="DefaultParagraphFont"/>
    <w:rsid w:val="0057000A"/>
  </w:style>
  <w:style w:type="character" w:styleId="Emphasis">
    <w:name w:val="Emphasis"/>
    <w:basedOn w:val="DefaultParagraphFont"/>
    <w:uiPriority w:val="20"/>
    <w:qFormat/>
    <w:rsid w:val="000771DB"/>
    <w:rPr>
      <w:b/>
      <w:bCs/>
      <w:i w:val="0"/>
      <w:iCs w:val="0"/>
    </w:rPr>
  </w:style>
  <w:style w:type="character" w:customStyle="1" w:styleId="tgc">
    <w:name w:val="_tgc"/>
    <w:basedOn w:val="DefaultParagraphFont"/>
    <w:rsid w:val="009E26F9"/>
  </w:style>
  <w:style w:type="paragraph" w:customStyle="1" w:styleId="Standard">
    <w:name w:val="Standard"/>
    <w:basedOn w:val="Normal"/>
    <w:link w:val="StandardChar"/>
    <w:rsid w:val="00DD5297"/>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DD5297"/>
    <w:rPr>
      <w:rFonts w:ascii="Cambria" w:eastAsia="Times New Roman" w:hAnsi="Cambria" w:cs="Times New Roman"/>
      <w:snapToGrid w:val="0"/>
      <w:kern w:val="16"/>
      <w:szCs w:val="24"/>
    </w:rPr>
  </w:style>
  <w:style w:type="character" w:customStyle="1" w:styleId="element-invisible1">
    <w:name w:val="element-invisible1"/>
    <w:basedOn w:val="DefaultParagraphFont"/>
    <w:rsid w:val="00AA2534"/>
  </w:style>
  <w:style w:type="paragraph" w:customStyle="1" w:styleId="Text12Times">
    <w:name w:val="Text 12 Times"/>
    <w:link w:val="Text12TimesChar"/>
    <w:qFormat/>
    <w:rsid w:val="006A19F1"/>
    <w:pPr>
      <w:spacing w:after="120" w:line="260" w:lineRule="atLeast"/>
      <w:jc w:val="both"/>
    </w:pPr>
    <w:rPr>
      <w:rFonts w:ascii="Times New Roman" w:eastAsia="Times New Roman" w:hAnsi="Times New Roman" w:cs="Times New Roman"/>
      <w:color w:val="000000" w:themeColor="text1"/>
      <w:sz w:val="24"/>
      <w:szCs w:val="20"/>
      <w:lang w:val="en-US"/>
    </w:rPr>
  </w:style>
  <w:style w:type="character" w:customStyle="1" w:styleId="Text12TimesChar">
    <w:name w:val="Text 12 Times Char"/>
    <w:basedOn w:val="DefaultParagraphFont"/>
    <w:link w:val="Text12Times"/>
    <w:rsid w:val="006A19F1"/>
    <w:rPr>
      <w:rFonts w:ascii="Times New Roman" w:eastAsia="Times New Roman" w:hAnsi="Times New Roman" w:cs="Times New Roman"/>
      <w:color w:val="000000" w:themeColor="text1"/>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3859">
      <w:bodyDiv w:val="1"/>
      <w:marLeft w:val="0"/>
      <w:marRight w:val="0"/>
      <w:marTop w:val="0"/>
      <w:marBottom w:val="0"/>
      <w:divBdr>
        <w:top w:val="none" w:sz="0" w:space="0" w:color="auto"/>
        <w:left w:val="none" w:sz="0" w:space="0" w:color="auto"/>
        <w:bottom w:val="none" w:sz="0" w:space="0" w:color="auto"/>
        <w:right w:val="none" w:sz="0" w:space="0" w:color="auto"/>
      </w:divBdr>
    </w:div>
    <w:div w:id="69011822">
      <w:bodyDiv w:val="1"/>
      <w:marLeft w:val="0"/>
      <w:marRight w:val="0"/>
      <w:marTop w:val="0"/>
      <w:marBottom w:val="0"/>
      <w:divBdr>
        <w:top w:val="none" w:sz="0" w:space="0" w:color="auto"/>
        <w:left w:val="none" w:sz="0" w:space="0" w:color="auto"/>
        <w:bottom w:val="none" w:sz="0" w:space="0" w:color="auto"/>
        <w:right w:val="none" w:sz="0" w:space="0" w:color="auto"/>
      </w:divBdr>
    </w:div>
    <w:div w:id="126944349">
      <w:bodyDiv w:val="1"/>
      <w:marLeft w:val="0"/>
      <w:marRight w:val="0"/>
      <w:marTop w:val="0"/>
      <w:marBottom w:val="0"/>
      <w:divBdr>
        <w:top w:val="none" w:sz="0" w:space="0" w:color="auto"/>
        <w:left w:val="none" w:sz="0" w:space="0" w:color="auto"/>
        <w:bottom w:val="none" w:sz="0" w:space="0" w:color="auto"/>
        <w:right w:val="none" w:sz="0" w:space="0" w:color="auto"/>
      </w:divBdr>
      <w:divsChild>
        <w:div w:id="480778542">
          <w:marLeft w:val="0"/>
          <w:marRight w:val="1"/>
          <w:marTop w:val="0"/>
          <w:marBottom w:val="0"/>
          <w:divBdr>
            <w:top w:val="none" w:sz="0" w:space="0" w:color="auto"/>
            <w:left w:val="none" w:sz="0" w:space="0" w:color="auto"/>
            <w:bottom w:val="none" w:sz="0" w:space="0" w:color="auto"/>
            <w:right w:val="none" w:sz="0" w:space="0" w:color="auto"/>
          </w:divBdr>
          <w:divsChild>
            <w:div w:id="1612083689">
              <w:marLeft w:val="0"/>
              <w:marRight w:val="0"/>
              <w:marTop w:val="0"/>
              <w:marBottom w:val="0"/>
              <w:divBdr>
                <w:top w:val="none" w:sz="0" w:space="0" w:color="auto"/>
                <w:left w:val="none" w:sz="0" w:space="0" w:color="auto"/>
                <w:bottom w:val="none" w:sz="0" w:space="0" w:color="auto"/>
                <w:right w:val="none" w:sz="0" w:space="0" w:color="auto"/>
              </w:divBdr>
              <w:divsChild>
                <w:div w:id="942422976">
                  <w:marLeft w:val="0"/>
                  <w:marRight w:val="1"/>
                  <w:marTop w:val="0"/>
                  <w:marBottom w:val="0"/>
                  <w:divBdr>
                    <w:top w:val="none" w:sz="0" w:space="0" w:color="auto"/>
                    <w:left w:val="none" w:sz="0" w:space="0" w:color="auto"/>
                    <w:bottom w:val="none" w:sz="0" w:space="0" w:color="auto"/>
                    <w:right w:val="none" w:sz="0" w:space="0" w:color="auto"/>
                  </w:divBdr>
                  <w:divsChild>
                    <w:div w:id="958220194">
                      <w:marLeft w:val="0"/>
                      <w:marRight w:val="0"/>
                      <w:marTop w:val="0"/>
                      <w:marBottom w:val="0"/>
                      <w:divBdr>
                        <w:top w:val="none" w:sz="0" w:space="0" w:color="auto"/>
                        <w:left w:val="none" w:sz="0" w:space="0" w:color="auto"/>
                        <w:bottom w:val="none" w:sz="0" w:space="0" w:color="auto"/>
                        <w:right w:val="none" w:sz="0" w:space="0" w:color="auto"/>
                      </w:divBdr>
                      <w:divsChild>
                        <w:div w:id="2135172213">
                          <w:marLeft w:val="0"/>
                          <w:marRight w:val="0"/>
                          <w:marTop w:val="0"/>
                          <w:marBottom w:val="0"/>
                          <w:divBdr>
                            <w:top w:val="none" w:sz="0" w:space="0" w:color="auto"/>
                            <w:left w:val="none" w:sz="0" w:space="0" w:color="auto"/>
                            <w:bottom w:val="none" w:sz="0" w:space="0" w:color="auto"/>
                            <w:right w:val="none" w:sz="0" w:space="0" w:color="auto"/>
                          </w:divBdr>
                          <w:divsChild>
                            <w:div w:id="1014384932">
                              <w:marLeft w:val="0"/>
                              <w:marRight w:val="0"/>
                              <w:marTop w:val="120"/>
                              <w:marBottom w:val="360"/>
                              <w:divBdr>
                                <w:top w:val="none" w:sz="0" w:space="0" w:color="auto"/>
                                <w:left w:val="none" w:sz="0" w:space="0" w:color="auto"/>
                                <w:bottom w:val="none" w:sz="0" w:space="0" w:color="auto"/>
                                <w:right w:val="none" w:sz="0" w:space="0" w:color="auto"/>
                              </w:divBdr>
                              <w:divsChild>
                                <w:div w:id="1221403792">
                                  <w:marLeft w:val="0"/>
                                  <w:marRight w:val="0"/>
                                  <w:marTop w:val="0"/>
                                  <w:marBottom w:val="0"/>
                                  <w:divBdr>
                                    <w:top w:val="none" w:sz="0" w:space="0" w:color="auto"/>
                                    <w:left w:val="none" w:sz="0" w:space="0" w:color="auto"/>
                                    <w:bottom w:val="none" w:sz="0" w:space="0" w:color="auto"/>
                                    <w:right w:val="none" w:sz="0" w:space="0" w:color="auto"/>
                                  </w:divBdr>
                                </w:div>
                                <w:div w:id="7186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43210">
      <w:bodyDiv w:val="1"/>
      <w:marLeft w:val="0"/>
      <w:marRight w:val="0"/>
      <w:marTop w:val="0"/>
      <w:marBottom w:val="0"/>
      <w:divBdr>
        <w:top w:val="none" w:sz="0" w:space="0" w:color="auto"/>
        <w:left w:val="none" w:sz="0" w:space="0" w:color="auto"/>
        <w:bottom w:val="none" w:sz="0" w:space="0" w:color="auto"/>
        <w:right w:val="none" w:sz="0" w:space="0" w:color="auto"/>
      </w:divBdr>
    </w:div>
    <w:div w:id="165100252">
      <w:bodyDiv w:val="1"/>
      <w:marLeft w:val="0"/>
      <w:marRight w:val="0"/>
      <w:marTop w:val="0"/>
      <w:marBottom w:val="0"/>
      <w:divBdr>
        <w:top w:val="none" w:sz="0" w:space="0" w:color="auto"/>
        <w:left w:val="none" w:sz="0" w:space="0" w:color="auto"/>
        <w:bottom w:val="none" w:sz="0" w:space="0" w:color="auto"/>
        <w:right w:val="none" w:sz="0" w:space="0" w:color="auto"/>
      </w:divBdr>
    </w:div>
    <w:div w:id="174467580">
      <w:bodyDiv w:val="1"/>
      <w:marLeft w:val="0"/>
      <w:marRight w:val="0"/>
      <w:marTop w:val="0"/>
      <w:marBottom w:val="0"/>
      <w:divBdr>
        <w:top w:val="none" w:sz="0" w:space="0" w:color="auto"/>
        <w:left w:val="none" w:sz="0" w:space="0" w:color="auto"/>
        <w:bottom w:val="none" w:sz="0" w:space="0" w:color="auto"/>
        <w:right w:val="none" w:sz="0" w:space="0" w:color="auto"/>
      </w:divBdr>
    </w:div>
    <w:div w:id="179508880">
      <w:bodyDiv w:val="1"/>
      <w:marLeft w:val="0"/>
      <w:marRight w:val="0"/>
      <w:marTop w:val="0"/>
      <w:marBottom w:val="0"/>
      <w:divBdr>
        <w:top w:val="none" w:sz="0" w:space="0" w:color="auto"/>
        <w:left w:val="none" w:sz="0" w:space="0" w:color="auto"/>
        <w:bottom w:val="none" w:sz="0" w:space="0" w:color="auto"/>
        <w:right w:val="none" w:sz="0" w:space="0" w:color="auto"/>
      </w:divBdr>
    </w:div>
    <w:div w:id="211696610">
      <w:bodyDiv w:val="1"/>
      <w:marLeft w:val="0"/>
      <w:marRight w:val="0"/>
      <w:marTop w:val="0"/>
      <w:marBottom w:val="0"/>
      <w:divBdr>
        <w:top w:val="none" w:sz="0" w:space="0" w:color="auto"/>
        <w:left w:val="none" w:sz="0" w:space="0" w:color="auto"/>
        <w:bottom w:val="none" w:sz="0" w:space="0" w:color="auto"/>
        <w:right w:val="none" w:sz="0" w:space="0" w:color="auto"/>
      </w:divBdr>
    </w:div>
    <w:div w:id="218714615">
      <w:bodyDiv w:val="1"/>
      <w:marLeft w:val="0"/>
      <w:marRight w:val="0"/>
      <w:marTop w:val="0"/>
      <w:marBottom w:val="0"/>
      <w:divBdr>
        <w:top w:val="none" w:sz="0" w:space="0" w:color="auto"/>
        <w:left w:val="none" w:sz="0" w:space="0" w:color="auto"/>
        <w:bottom w:val="none" w:sz="0" w:space="0" w:color="auto"/>
        <w:right w:val="none" w:sz="0" w:space="0" w:color="auto"/>
      </w:divBdr>
    </w:div>
    <w:div w:id="256598047">
      <w:bodyDiv w:val="1"/>
      <w:marLeft w:val="0"/>
      <w:marRight w:val="0"/>
      <w:marTop w:val="0"/>
      <w:marBottom w:val="0"/>
      <w:divBdr>
        <w:top w:val="none" w:sz="0" w:space="0" w:color="auto"/>
        <w:left w:val="none" w:sz="0" w:space="0" w:color="auto"/>
        <w:bottom w:val="none" w:sz="0" w:space="0" w:color="auto"/>
        <w:right w:val="none" w:sz="0" w:space="0" w:color="auto"/>
      </w:divBdr>
    </w:div>
    <w:div w:id="260921536">
      <w:bodyDiv w:val="1"/>
      <w:marLeft w:val="0"/>
      <w:marRight w:val="0"/>
      <w:marTop w:val="0"/>
      <w:marBottom w:val="0"/>
      <w:divBdr>
        <w:top w:val="none" w:sz="0" w:space="0" w:color="auto"/>
        <w:left w:val="none" w:sz="0" w:space="0" w:color="auto"/>
        <w:bottom w:val="none" w:sz="0" w:space="0" w:color="auto"/>
        <w:right w:val="none" w:sz="0" w:space="0" w:color="auto"/>
      </w:divBdr>
    </w:div>
    <w:div w:id="271321203">
      <w:bodyDiv w:val="1"/>
      <w:marLeft w:val="0"/>
      <w:marRight w:val="0"/>
      <w:marTop w:val="0"/>
      <w:marBottom w:val="0"/>
      <w:divBdr>
        <w:top w:val="none" w:sz="0" w:space="0" w:color="auto"/>
        <w:left w:val="none" w:sz="0" w:space="0" w:color="auto"/>
        <w:bottom w:val="none" w:sz="0" w:space="0" w:color="auto"/>
        <w:right w:val="none" w:sz="0" w:space="0" w:color="auto"/>
      </w:divBdr>
    </w:div>
    <w:div w:id="277300767">
      <w:bodyDiv w:val="1"/>
      <w:marLeft w:val="0"/>
      <w:marRight w:val="0"/>
      <w:marTop w:val="0"/>
      <w:marBottom w:val="0"/>
      <w:divBdr>
        <w:top w:val="none" w:sz="0" w:space="0" w:color="auto"/>
        <w:left w:val="none" w:sz="0" w:space="0" w:color="auto"/>
        <w:bottom w:val="none" w:sz="0" w:space="0" w:color="auto"/>
        <w:right w:val="none" w:sz="0" w:space="0" w:color="auto"/>
      </w:divBdr>
    </w:div>
    <w:div w:id="318582753">
      <w:bodyDiv w:val="1"/>
      <w:marLeft w:val="0"/>
      <w:marRight w:val="0"/>
      <w:marTop w:val="0"/>
      <w:marBottom w:val="0"/>
      <w:divBdr>
        <w:top w:val="none" w:sz="0" w:space="0" w:color="auto"/>
        <w:left w:val="none" w:sz="0" w:space="0" w:color="auto"/>
        <w:bottom w:val="none" w:sz="0" w:space="0" w:color="auto"/>
        <w:right w:val="none" w:sz="0" w:space="0" w:color="auto"/>
      </w:divBdr>
    </w:div>
    <w:div w:id="338700188">
      <w:bodyDiv w:val="1"/>
      <w:marLeft w:val="0"/>
      <w:marRight w:val="0"/>
      <w:marTop w:val="0"/>
      <w:marBottom w:val="0"/>
      <w:divBdr>
        <w:top w:val="none" w:sz="0" w:space="0" w:color="auto"/>
        <w:left w:val="none" w:sz="0" w:space="0" w:color="auto"/>
        <w:bottom w:val="none" w:sz="0" w:space="0" w:color="auto"/>
        <w:right w:val="none" w:sz="0" w:space="0" w:color="auto"/>
      </w:divBdr>
    </w:div>
    <w:div w:id="361825299">
      <w:bodyDiv w:val="1"/>
      <w:marLeft w:val="0"/>
      <w:marRight w:val="0"/>
      <w:marTop w:val="0"/>
      <w:marBottom w:val="0"/>
      <w:divBdr>
        <w:top w:val="none" w:sz="0" w:space="0" w:color="auto"/>
        <w:left w:val="none" w:sz="0" w:space="0" w:color="auto"/>
        <w:bottom w:val="none" w:sz="0" w:space="0" w:color="auto"/>
        <w:right w:val="none" w:sz="0" w:space="0" w:color="auto"/>
      </w:divBdr>
    </w:div>
    <w:div w:id="390422118">
      <w:bodyDiv w:val="1"/>
      <w:marLeft w:val="0"/>
      <w:marRight w:val="0"/>
      <w:marTop w:val="0"/>
      <w:marBottom w:val="0"/>
      <w:divBdr>
        <w:top w:val="none" w:sz="0" w:space="0" w:color="auto"/>
        <w:left w:val="none" w:sz="0" w:space="0" w:color="auto"/>
        <w:bottom w:val="none" w:sz="0" w:space="0" w:color="auto"/>
        <w:right w:val="none" w:sz="0" w:space="0" w:color="auto"/>
      </w:divBdr>
    </w:div>
    <w:div w:id="391927389">
      <w:bodyDiv w:val="1"/>
      <w:marLeft w:val="0"/>
      <w:marRight w:val="0"/>
      <w:marTop w:val="0"/>
      <w:marBottom w:val="0"/>
      <w:divBdr>
        <w:top w:val="none" w:sz="0" w:space="0" w:color="auto"/>
        <w:left w:val="none" w:sz="0" w:space="0" w:color="auto"/>
        <w:bottom w:val="none" w:sz="0" w:space="0" w:color="auto"/>
        <w:right w:val="none" w:sz="0" w:space="0" w:color="auto"/>
      </w:divBdr>
    </w:div>
    <w:div w:id="399865113">
      <w:bodyDiv w:val="1"/>
      <w:marLeft w:val="0"/>
      <w:marRight w:val="0"/>
      <w:marTop w:val="0"/>
      <w:marBottom w:val="0"/>
      <w:divBdr>
        <w:top w:val="none" w:sz="0" w:space="0" w:color="auto"/>
        <w:left w:val="none" w:sz="0" w:space="0" w:color="auto"/>
        <w:bottom w:val="none" w:sz="0" w:space="0" w:color="auto"/>
        <w:right w:val="none" w:sz="0" w:space="0" w:color="auto"/>
      </w:divBdr>
    </w:div>
    <w:div w:id="438333104">
      <w:bodyDiv w:val="1"/>
      <w:marLeft w:val="0"/>
      <w:marRight w:val="0"/>
      <w:marTop w:val="0"/>
      <w:marBottom w:val="0"/>
      <w:divBdr>
        <w:top w:val="none" w:sz="0" w:space="0" w:color="auto"/>
        <w:left w:val="none" w:sz="0" w:space="0" w:color="auto"/>
        <w:bottom w:val="none" w:sz="0" w:space="0" w:color="auto"/>
        <w:right w:val="none" w:sz="0" w:space="0" w:color="auto"/>
      </w:divBdr>
    </w:div>
    <w:div w:id="439570354">
      <w:bodyDiv w:val="1"/>
      <w:marLeft w:val="0"/>
      <w:marRight w:val="0"/>
      <w:marTop w:val="0"/>
      <w:marBottom w:val="0"/>
      <w:divBdr>
        <w:top w:val="none" w:sz="0" w:space="0" w:color="auto"/>
        <w:left w:val="none" w:sz="0" w:space="0" w:color="auto"/>
        <w:bottom w:val="none" w:sz="0" w:space="0" w:color="auto"/>
        <w:right w:val="none" w:sz="0" w:space="0" w:color="auto"/>
      </w:divBdr>
    </w:div>
    <w:div w:id="472602139">
      <w:bodyDiv w:val="1"/>
      <w:marLeft w:val="0"/>
      <w:marRight w:val="0"/>
      <w:marTop w:val="0"/>
      <w:marBottom w:val="0"/>
      <w:divBdr>
        <w:top w:val="none" w:sz="0" w:space="0" w:color="auto"/>
        <w:left w:val="none" w:sz="0" w:space="0" w:color="auto"/>
        <w:bottom w:val="none" w:sz="0" w:space="0" w:color="auto"/>
        <w:right w:val="none" w:sz="0" w:space="0" w:color="auto"/>
      </w:divBdr>
    </w:div>
    <w:div w:id="495809022">
      <w:bodyDiv w:val="1"/>
      <w:marLeft w:val="0"/>
      <w:marRight w:val="0"/>
      <w:marTop w:val="0"/>
      <w:marBottom w:val="0"/>
      <w:divBdr>
        <w:top w:val="none" w:sz="0" w:space="0" w:color="auto"/>
        <w:left w:val="none" w:sz="0" w:space="0" w:color="auto"/>
        <w:bottom w:val="none" w:sz="0" w:space="0" w:color="auto"/>
        <w:right w:val="none" w:sz="0" w:space="0" w:color="auto"/>
      </w:divBdr>
    </w:div>
    <w:div w:id="505557114">
      <w:bodyDiv w:val="1"/>
      <w:marLeft w:val="0"/>
      <w:marRight w:val="0"/>
      <w:marTop w:val="0"/>
      <w:marBottom w:val="0"/>
      <w:divBdr>
        <w:top w:val="none" w:sz="0" w:space="0" w:color="auto"/>
        <w:left w:val="none" w:sz="0" w:space="0" w:color="auto"/>
        <w:bottom w:val="none" w:sz="0" w:space="0" w:color="auto"/>
        <w:right w:val="none" w:sz="0" w:space="0" w:color="auto"/>
      </w:divBdr>
    </w:div>
    <w:div w:id="620723226">
      <w:bodyDiv w:val="1"/>
      <w:marLeft w:val="0"/>
      <w:marRight w:val="0"/>
      <w:marTop w:val="0"/>
      <w:marBottom w:val="0"/>
      <w:divBdr>
        <w:top w:val="none" w:sz="0" w:space="0" w:color="auto"/>
        <w:left w:val="none" w:sz="0" w:space="0" w:color="auto"/>
        <w:bottom w:val="none" w:sz="0" w:space="0" w:color="auto"/>
        <w:right w:val="none" w:sz="0" w:space="0" w:color="auto"/>
      </w:divBdr>
    </w:div>
    <w:div w:id="630016918">
      <w:bodyDiv w:val="1"/>
      <w:marLeft w:val="0"/>
      <w:marRight w:val="0"/>
      <w:marTop w:val="0"/>
      <w:marBottom w:val="0"/>
      <w:divBdr>
        <w:top w:val="none" w:sz="0" w:space="0" w:color="auto"/>
        <w:left w:val="none" w:sz="0" w:space="0" w:color="auto"/>
        <w:bottom w:val="none" w:sz="0" w:space="0" w:color="auto"/>
        <w:right w:val="none" w:sz="0" w:space="0" w:color="auto"/>
      </w:divBdr>
    </w:div>
    <w:div w:id="638650019">
      <w:bodyDiv w:val="1"/>
      <w:marLeft w:val="0"/>
      <w:marRight w:val="0"/>
      <w:marTop w:val="0"/>
      <w:marBottom w:val="0"/>
      <w:divBdr>
        <w:top w:val="none" w:sz="0" w:space="0" w:color="auto"/>
        <w:left w:val="none" w:sz="0" w:space="0" w:color="auto"/>
        <w:bottom w:val="none" w:sz="0" w:space="0" w:color="auto"/>
        <w:right w:val="none" w:sz="0" w:space="0" w:color="auto"/>
      </w:divBdr>
    </w:div>
    <w:div w:id="655189384">
      <w:bodyDiv w:val="1"/>
      <w:marLeft w:val="0"/>
      <w:marRight w:val="0"/>
      <w:marTop w:val="0"/>
      <w:marBottom w:val="0"/>
      <w:divBdr>
        <w:top w:val="none" w:sz="0" w:space="0" w:color="auto"/>
        <w:left w:val="none" w:sz="0" w:space="0" w:color="auto"/>
        <w:bottom w:val="none" w:sz="0" w:space="0" w:color="auto"/>
        <w:right w:val="none" w:sz="0" w:space="0" w:color="auto"/>
      </w:divBdr>
    </w:div>
    <w:div w:id="658384503">
      <w:bodyDiv w:val="1"/>
      <w:marLeft w:val="0"/>
      <w:marRight w:val="0"/>
      <w:marTop w:val="0"/>
      <w:marBottom w:val="0"/>
      <w:divBdr>
        <w:top w:val="none" w:sz="0" w:space="0" w:color="auto"/>
        <w:left w:val="none" w:sz="0" w:space="0" w:color="auto"/>
        <w:bottom w:val="none" w:sz="0" w:space="0" w:color="auto"/>
        <w:right w:val="none" w:sz="0" w:space="0" w:color="auto"/>
      </w:divBdr>
    </w:div>
    <w:div w:id="670524266">
      <w:bodyDiv w:val="1"/>
      <w:marLeft w:val="0"/>
      <w:marRight w:val="0"/>
      <w:marTop w:val="0"/>
      <w:marBottom w:val="0"/>
      <w:divBdr>
        <w:top w:val="none" w:sz="0" w:space="0" w:color="auto"/>
        <w:left w:val="none" w:sz="0" w:space="0" w:color="auto"/>
        <w:bottom w:val="none" w:sz="0" w:space="0" w:color="auto"/>
        <w:right w:val="none" w:sz="0" w:space="0" w:color="auto"/>
      </w:divBdr>
    </w:div>
    <w:div w:id="685132338">
      <w:bodyDiv w:val="1"/>
      <w:marLeft w:val="0"/>
      <w:marRight w:val="0"/>
      <w:marTop w:val="0"/>
      <w:marBottom w:val="0"/>
      <w:divBdr>
        <w:top w:val="none" w:sz="0" w:space="0" w:color="auto"/>
        <w:left w:val="none" w:sz="0" w:space="0" w:color="auto"/>
        <w:bottom w:val="none" w:sz="0" w:space="0" w:color="auto"/>
        <w:right w:val="none" w:sz="0" w:space="0" w:color="auto"/>
      </w:divBdr>
    </w:div>
    <w:div w:id="711152113">
      <w:bodyDiv w:val="1"/>
      <w:marLeft w:val="0"/>
      <w:marRight w:val="0"/>
      <w:marTop w:val="0"/>
      <w:marBottom w:val="0"/>
      <w:divBdr>
        <w:top w:val="none" w:sz="0" w:space="0" w:color="auto"/>
        <w:left w:val="none" w:sz="0" w:space="0" w:color="auto"/>
        <w:bottom w:val="none" w:sz="0" w:space="0" w:color="auto"/>
        <w:right w:val="none" w:sz="0" w:space="0" w:color="auto"/>
      </w:divBdr>
    </w:div>
    <w:div w:id="717361984">
      <w:bodyDiv w:val="1"/>
      <w:marLeft w:val="0"/>
      <w:marRight w:val="0"/>
      <w:marTop w:val="0"/>
      <w:marBottom w:val="0"/>
      <w:divBdr>
        <w:top w:val="none" w:sz="0" w:space="0" w:color="auto"/>
        <w:left w:val="none" w:sz="0" w:space="0" w:color="auto"/>
        <w:bottom w:val="none" w:sz="0" w:space="0" w:color="auto"/>
        <w:right w:val="none" w:sz="0" w:space="0" w:color="auto"/>
      </w:divBdr>
    </w:div>
    <w:div w:id="738095521">
      <w:bodyDiv w:val="1"/>
      <w:marLeft w:val="0"/>
      <w:marRight w:val="0"/>
      <w:marTop w:val="0"/>
      <w:marBottom w:val="0"/>
      <w:divBdr>
        <w:top w:val="none" w:sz="0" w:space="0" w:color="auto"/>
        <w:left w:val="none" w:sz="0" w:space="0" w:color="auto"/>
        <w:bottom w:val="none" w:sz="0" w:space="0" w:color="auto"/>
        <w:right w:val="none" w:sz="0" w:space="0" w:color="auto"/>
      </w:divBdr>
    </w:div>
    <w:div w:id="778993646">
      <w:bodyDiv w:val="1"/>
      <w:marLeft w:val="0"/>
      <w:marRight w:val="0"/>
      <w:marTop w:val="0"/>
      <w:marBottom w:val="0"/>
      <w:divBdr>
        <w:top w:val="none" w:sz="0" w:space="0" w:color="auto"/>
        <w:left w:val="none" w:sz="0" w:space="0" w:color="auto"/>
        <w:bottom w:val="none" w:sz="0" w:space="0" w:color="auto"/>
        <w:right w:val="none" w:sz="0" w:space="0" w:color="auto"/>
      </w:divBdr>
    </w:div>
    <w:div w:id="780298001">
      <w:bodyDiv w:val="1"/>
      <w:marLeft w:val="0"/>
      <w:marRight w:val="0"/>
      <w:marTop w:val="0"/>
      <w:marBottom w:val="0"/>
      <w:divBdr>
        <w:top w:val="none" w:sz="0" w:space="0" w:color="auto"/>
        <w:left w:val="none" w:sz="0" w:space="0" w:color="auto"/>
        <w:bottom w:val="none" w:sz="0" w:space="0" w:color="auto"/>
        <w:right w:val="none" w:sz="0" w:space="0" w:color="auto"/>
      </w:divBdr>
    </w:div>
    <w:div w:id="799227113">
      <w:bodyDiv w:val="1"/>
      <w:marLeft w:val="0"/>
      <w:marRight w:val="0"/>
      <w:marTop w:val="0"/>
      <w:marBottom w:val="0"/>
      <w:divBdr>
        <w:top w:val="none" w:sz="0" w:space="0" w:color="auto"/>
        <w:left w:val="none" w:sz="0" w:space="0" w:color="auto"/>
        <w:bottom w:val="none" w:sz="0" w:space="0" w:color="auto"/>
        <w:right w:val="none" w:sz="0" w:space="0" w:color="auto"/>
      </w:divBdr>
    </w:div>
    <w:div w:id="861086302">
      <w:bodyDiv w:val="1"/>
      <w:marLeft w:val="0"/>
      <w:marRight w:val="0"/>
      <w:marTop w:val="0"/>
      <w:marBottom w:val="0"/>
      <w:divBdr>
        <w:top w:val="none" w:sz="0" w:space="0" w:color="auto"/>
        <w:left w:val="none" w:sz="0" w:space="0" w:color="auto"/>
        <w:bottom w:val="none" w:sz="0" w:space="0" w:color="auto"/>
        <w:right w:val="none" w:sz="0" w:space="0" w:color="auto"/>
      </w:divBdr>
    </w:div>
    <w:div w:id="870075520">
      <w:bodyDiv w:val="1"/>
      <w:marLeft w:val="0"/>
      <w:marRight w:val="0"/>
      <w:marTop w:val="0"/>
      <w:marBottom w:val="0"/>
      <w:divBdr>
        <w:top w:val="none" w:sz="0" w:space="0" w:color="auto"/>
        <w:left w:val="none" w:sz="0" w:space="0" w:color="auto"/>
        <w:bottom w:val="none" w:sz="0" w:space="0" w:color="auto"/>
        <w:right w:val="none" w:sz="0" w:space="0" w:color="auto"/>
      </w:divBdr>
    </w:div>
    <w:div w:id="918100850">
      <w:bodyDiv w:val="1"/>
      <w:marLeft w:val="0"/>
      <w:marRight w:val="0"/>
      <w:marTop w:val="0"/>
      <w:marBottom w:val="0"/>
      <w:divBdr>
        <w:top w:val="none" w:sz="0" w:space="0" w:color="auto"/>
        <w:left w:val="none" w:sz="0" w:space="0" w:color="auto"/>
        <w:bottom w:val="none" w:sz="0" w:space="0" w:color="auto"/>
        <w:right w:val="none" w:sz="0" w:space="0" w:color="auto"/>
      </w:divBdr>
    </w:div>
    <w:div w:id="928271527">
      <w:bodyDiv w:val="1"/>
      <w:marLeft w:val="0"/>
      <w:marRight w:val="0"/>
      <w:marTop w:val="0"/>
      <w:marBottom w:val="0"/>
      <w:divBdr>
        <w:top w:val="none" w:sz="0" w:space="0" w:color="auto"/>
        <w:left w:val="none" w:sz="0" w:space="0" w:color="auto"/>
        <w:bottom w:val="none" w:sz="0" w:space="0" w:color="auto"/>
        <w:right w:val="none" w:sz="0" w:space="0" w:color="auto"/>
      </w:divBdr>
    </w:div>
    <w:div w:id="951133638">
      <w:bodyDiv w:val="1"/>
      <w:marLeft w:val="0"/>
      <w:marRight w:val="0"/>
      <w:marTop w:val="0"/>
      <w:marBottom w:val="0"/>
      <w:divBdr>
        <w:top w:val="none" w:sz="0" w:space="0" w:color="auto"/>
        <w:left w:val="none" w:sz="0" w:space="0" w:color="auto"/>
        <w:bottom w:val="none" w:sz="0" w:space="0" w:color="auto"/>
        <w:right w:val="none" w:sz="0" w:space="0" w:color="auto"/>
      </w:divBdr>
    </w:div>
    <w:div w:id="963653582">
      <w:bodyDiv w:val="1"/>
      <w:marLeft w:val="0"/>
      <w:marRight w:val="0"/>
      <w:marTop w:val="0"/>
      <w:marBottom w:val="0"/>
      <w:divBdr>
        <w:top w:val="none" w:sz="0" w:space="0" w:color="auto"/>
        <w:left w:val="none" w:sz="0" w:space="0" w:color="auto"/>
        <w:bottom w:val="none" w:sz="0" w:space="0" w:color="auto"/>
        <w:right w:val="none" w:sz="0" w:space="0" w:color="auto"/>
      </w:divBdr>
    </w:div>
    <w:div w:id="971132204">
      <w:bodyDiv w:val="1"/>
      <w:marLeft w:val="0"/>
      <w:marRight w:val="0"/>
      <w:marTop w:val="0"/>
      <w:marBottom w:val="0"/>
      <w:divBdr>
        <w:top w:val="none" w:sz="0" w:space="0" w:color="auto"/>
        <w:left w:val="none" w:sz="0" w:space="0" w:color="auto"/>
        <w:bottom w:val="none" w:sz="0" w:space="0" w:color="auto"/>
        <w:right w:val="none" w:sz="0" w:space="0" w:color="auto"/>
      </w:divBdr>
    </w:div>
    <w:div w:id="1049693525">
      <w:bodyDiv w:val="1"/>
      <w:marLeft w:val="0"/>
      <w:marRight w:val="0"/>
      <w:marTop w:val="0"/>
      <w:marBottom w:val="0"/>
      <w:divBdr>
        <w:top w:val="none" w:sz="0" w:space="0" w:color="auto"/>
        <w:left w:val="none" w:sz="0" w:space="0" w:color="auto"/>
        <w:bottom w:val="none" w:sz="0" w:space="0" w:color="auto"/>
        <w:right w:val="none" w:sz="0" w:space="0" w:color="auto"/>
      </w:divBdr>
    </w:div>
    <w:div w:id="1053626972">
      <w:bodyDiv w:val="1"/>
      <w:marLeft w:val="0"/>
      <w:marRight w:val="0"/>
      <w:marTop w:val="0"/>
      <w:marBottom w:val="0"/>
      <w:divBdr>
        <w:top w:val="none" w:sz="0" w:space="0" w:color="auto"/>
        <w:left w:val="none" w:sz="0" w:space="0" w:color="auto"/>
        <w:bottom w:val="none" w:sz="0" w:space="0" w:color="auto"/>
        <w:right w:val="none" w:sz="0" w:space="0" w:color="auto"/>
      </w:divBdr>
    </w:div>
    <w:div w:id="1096705975">
      <w:bodyDiv w:val="1"/>
      <w:marLeft w:val="0"/>
      <w:marRight w:val="0"/>
      <w:marTop w:val="0"/>
      <w:marBottom w:val="0"/>
      <w:divBdr>
        <w:top w:val="none" w:sz="0" w:space="0" w:color="auto"/>
        <w:left w:val="none" w:sz="0" w:space="0" w:color="auto"/>
        <w:bottom w:val="none" w:sz="0" w:space="0" w:color="auto"/>
        <w:right w:val="none" w:sz="0" w:space="0" w:color="auto"/>
      </w:divBdr>
    </w:div>
    <w:div w:id="1170946800">
      <w:bodyDiv w:val="1"/>
      <w:marLeft w:val="0"/>
      <w:marRight w:val="0"/>
      <w:marTop w:val="0"/>
      <w:marBottom w:val="0"/>
      <w:divBdr>
        <w:top w:val="none" w:sz="0" w:space="0" w:color="auto"/>
        <w:left w:val="none" w:sz="0" w:space="0" w:color="auto"/>
        <w:bottom w:val="none" w:sz="0" w:space="0" w:color="auto"/>
        <w:right w:val="none" w:sz="0" w:space="0" w:color="auto"/>
      </w:divBdr>
    </w:div>
    <w:div w:id="1180045446">
      <w:bodyDiv w:val="1"/>
      <w:marLeft w:val="0"/>
      <w:marRight w:val="0"/>
      <w:marTop w:val="0"/>
      <w:marBottom w:val="0"/>
      <w:divBdr>
        <w:top w:val="none" w:sz="0" w:space="0" w:color="auto"/>
        <w:left w:val="none" w:sz="0" w:space="0" w:color="auto"/>
        <w:bottom w:val="none" w:sz="0" w:space="0" w:color="auto"/>
        <w:right w:val="none" w:sz="0" w:space="0" w:color="auto"/>
      </w:divBdr>
    </w:div>
    <w:div w:id="1191534526">
      <w:bodyDiv w:val="1"/>
      <w:marLeft w:val="0"/>
      <w:marRight w:val="0"/>
      <w:marTop w:val="0"/>
      <w:marBottom w:val="0"/>
      <w:divBdr>
        <w:top w:val="none" w:sz="0" w:space="0" w:color="auto"/>
        <w:left w:val="none" w:sz="0" w:space="0" w:color="auto"/>
        <w:bottom w:val="none" w:sz="0" w:space="0" w:color="auto"/>
        <w:right w:val="none" w:sz="0" w:space="0" w:color="auto"/>
      </w:divBdr>
    </w:div>
    <w:div w:id="1197816863">
      <w:bodyDiv w:val="1"/>
      <w:marLeft w:val="0"/>
      <w:marRight w:val="0"/>
      <w:marTop w:val="0"/>
      <w:marBottom w:val="0"/>
      <w:divBdr>
        <w:top w:val="none" w:sz="0" w:space="0" w:color="auto"/>
        <w:left w:val="none" w:sz="0" w:space="0" w:color="auto"/>
        <w:bottom w:val="none" w:sz="0" w:space="0" w:color="auto"/>
        <w:right w:val="none" w:sz="0" w:space="0" w:color="auto"/>
      </w:divBdr>
    </w:div>
    <w:div w:id="1229534275">
      <w:bodyDiv w:val="1"/>
      <w:marLeft w:val="0"/>
      <w:marRight w:val="0"/>
      <w:marTop w:val="0"/>
      <w:marBottom w:val="0"/>
      <w:divBdr>
        <w:top w:val="none" w:sz="0" w:space="0" w:color="auto"/>
        <w:left w:val="none" w:sz="0" w:space="0" w:color="auto"/>
        <w:bottom w:val="none" w:sz="0" w:space="0" w:color="auto"/>
        <w:right w:val="none" w:sz="0" w:space="0" w:color="auto"/>
      </w:divBdr>
    </w:div>
    <w:div w:id="1334987065">
      <w:bodyDiv w:val="1"/>
      <w:marLeft w:val="0"/>
      <w:marRight w:val="0"/>
      <w:marTop w:val="0"/>
      <w:marBottom w:val="0"/>
      <w:divBdr>
        <w:top w:val="none" w:sz="0" w:space="0" w:color="auto"/>
        <w:left w:val="none" w:sz="0" w:space="0" w:color="auto"/>
        <w:bottom w:val="none" w:sz="0" w:space="0" w:color="auto"/>
        <w:right w:val="none" w:sz="0" w:space="0" w:color="auto"/>
      </w:divBdr>
    </w:div>
    <w:div w:id="1339042832">
      <w:bodyDiv w:val="1"/>
      <w:marLeft w:val="0"/>
      <w:marRight w:val="0"/>
      <w:marTop w:val="0"/>
      <w:marBottom w:val="0"/>
      <w:divBdr>
        <w:top w:val="none" w:sz="0" w:space="0" w:color="auto"/>
        <w:left w:val="none" w:sz="0" w:space="0" w:color="auto"/>
        <w:bottom w:val="none" w:sz="0" w:space="0" w:color="auto"/>
        <w:right w:val="none" w:sz="0" w:space="0" w:color="auto"/>
      </w:divBdr>
    </w:div>
    <w:div w:id="1378243045">
      <w:bodyDiv w:val="1"/>
      <w:marLeft w:val="0"/>
      <w:marRight w:val="0"/>
      <w:marTop w:val="0"/>
      <w:marBottom w:val="0"/>
      <w:divBdr>
        <w:top w:val="none" w:sz="0" w:space="0" w:color="auto"/>
        <w:left w:val="none" w:sz="0" w:space="0" w:color="auto"/>
        <w:bottom w:val="none" w:sz="0" w:space="0" w:color="auto"/>
        <w:right w:val="none" w:sz="0" w:space="0" w:color="auto"/>
      </w:divBdr>
      <w:divsChild>
        <w:div w:id="523250690">
          <w:marLeft w:val="0"/>
          <w:marRight w:val="0"/>
          <w:marTop w:val="0"/>
          <w:marBottom w:val="0"/>
          <w:divBdr>
            <w:top w:val="none" w:sz="0" w:space="0" w:color="auto"/>
            <w:left w:val="none" w:sz="0" w:space="0" w:color="auto"/>
            <w:bottom w:val="none" w:sz="0" w:space="0" w:color="auto"/>
            <w:right w:val="none" w:sz="0" w:space="0" w:color="auto"/>
          </w:divBdr>
          <w:divsChild>
            <w:div w:id="2088384874">
              <w:marLeft w:val="0"/>
              <w:marRight w:val="0"/>
              <w:marTop w:val="0"/>
              <w:marBottom w:val="0"/>
              <w:divBdr>
                <w:top w:val="none" w:sz="0" w:space="0" w:color="auto"/>
                <w:left w:val="none" w:sz="0" w:space="0" w:color="auto"/>
                <w:bottom w:val="none" w:sz="0" w:space="0" w:color="auto"/>
                <w:right w:val="none" w:sz="0" w:space="0" w:color="auto"/>
              </w:divBdr>
              <w:divsChild>
                <w:div w:id="966396275">
                  <w:marLeft w:val="0"/>
                  <w:marRight w:val="0"/>
                  <w:marTop w:val="0"/>
                  <w:marBottom w:val="0"/>
                  <w:divBdr>
                    <w:top w:val="none" w:sz="0" w:space="0" w:color="auto"/>
                    <w:left w:val="none" w:sz="0" w:space="0" w:color="auto"/>
                    <w:bottom w:val="none" w:sz="0" w:space="0" w:color="auto"/>
                    <w:right w:val="none" w:sz="0" w:space="0" w:color="auto"/>
                  </w:divBdr>
                  <w:divsChild>
                    <w:div w:id="1682271518">
                      <w:marLeft w:val="0"/>
                      <w:marRight w:val="0"/>
                      <w:marTop w:val="0"/>
                      <w:marBottom w:val="0"/>
                      <w:divBdr>
                        <w:top w:val="none" w:sz="0" w:space="0" w:color="auto"/>
                        <w:left w:val="none" w:sz="0" w:space="0" w:color="auto"/>
                        <w:bottom w:val="none" w:sz="0" w:space="0" w:color="auto"/>
                        <w:right w:val="none" w:sz="0" w:space="0" w:color="auto"/>
                      </w:divBdr>
                      <w:divsChild>
                        <w:div w:id="602569582">
                          <w:marLeft w:val="0"/>
                          <w:marRight w:val="0"/>
                          <w:marTop w:val="45"/>
                          <w:marBottom w:val="0"/>
                          <w:divBdr>
                            <w:top w:val="none" w:sz="0" w:space="0" w:color="auto"/>
                            <w:left w:val="none" w:sz="0" w:space="0" w:color="auto"/>
                            <w:bottom w:val="none" w:sz="0" w:space="0" w:color="auto"/>
                            <w:right w:val="none" w:sz="0" w:space="0" w:color="auto"/>
                          </w:divBdr>
                          <w:divsChild>
                            <w:div w:id="270280200">
                              <w:marLeft w:val="0"/>
                              <w:marRight w:val="0"/>
                              <w:marTop w:val="0"/>
                              <w:marBottom w:val="0"/>
                              <w:divBdr>
                                <w:top w:val="none" w:sz="0" w:space="0" w:color="auto"/>
                                <w:left w:val="none" w:sz="0" w:space="0" w:color="auto"/>
                                <w:bottom w:val="none" w:sz="0" w:space="0" w:color="auto"/>
                                <w:right w:val="none" w:sz="0" w:space="0" w:color="auto"/>
                              </w:divBdr>
                              <w:divsChild>
                                <w:div w:id="1752656477">
                                  <w:marLeft w:val="2070"/>
                                  <w:marRight w:val="3810"/>
                                  <w:marTop w:val="0"/>
                                  <w:marBottom w:val="0"/>
                                  <w:divBdr>
                                    <w:top w:val="none" w:sz="0" w:space="0" w:color="auto"/>
                                    <w:left w:val="none" w:sz="0" w:space="0" w:color="auto"/>
                                    <w:bottom w:val="none" w:sz="0" w:space="0" w:color="auto"/>
                                    <w:right w:val="none" w:sz="0" w:space="0" w:color="auto"/>
                                  </w:divBdr>
                                  <w:divsChild>
                                    <w:div w:id="33775739">
                                      <w:marLeft w:val="0"/>
                                      <w:marRight w:val="0"/>
                                      <w:marTop w:val="0"/>
                                      <w:marBottom w:val="0"/>
                                      <w:divBdr>
                                        <w:top w:val="none" w:sz="0" w:space="0" w:color="auto"/>
                                        <w:left w:val="none" w:sz="0" w:space="0" w:color="auto"/>
                                        <w:bottom w:val="none" w:sz="0" w:space="0" w:color="auto"/>
                                        <w:right w:val="none" w:sz="0" w:space="0" w:color="auto"/>
                                      </w:divBdr>
                                      <w:divsChild>
                                        <w:div w:id="21439440">
                                          <w:marLeft w:val="0"/>
                                          <w:marRight w:val="0"/>
                                          <w:marTop w:val="0"/>
                                          <w:marBottom w:val="0"/>
                                          <w:divBdr>
                                            <w:top w:val="none" w:sz="0" w:space="0" w:color="auto"/>
                                            <w:left w:val="none" w:sz="0" w:space="0" w:color="auto"/>
                                            <w:bottom w:val="none" w:sz="0" w:space="0" w:color="auto"/>
                                            <w:right w:val="none" w:sz="0" w:space="0" w:color="auto"/>
                                          </w:divBdr>
                                          <w:divsChild>
                                            <w:div w:id="626087739">
                                              <w:marLeft w:val="0"/>
                                              <w:marRight w:val="0"/>
                                              <w:marTop w:val="0"/>
                                              <w:marBottom w:val="0"/>
                                              <w:divBdr>
                                                <w:top w:val="none" w:sz="0" w:space="0" w:color="auto"/>
                                                <w:left w:val="none" w:sz="0" w:space="0" w:color="auto"/>
                                                <w:bottom w:val="none" w:sz="0" w:space="0" w:color="auto"/>
                                                <w:right w:val="none" w:sz="0" w:space="0" w:color="auto"/>
                                              </w:divBdr>
                                              <w:divsChild>
                                                <w:div w:id="813840526">
                                                  <w:marLeft w:val="0"/>
                                                  <w:marRight w:val="0"/>
                                                  <w:marTop w:val="0"/>
                                                  <w:marBottom w:val="0"/>
                                                  <w:divBdr>
                                                    <w:top w:val="none" w:sz="0" w:space="0" w:color="auto"/>
                                                    <w:left w:val="none" w:sz="0" w:space="0" w:color="auto"/>
                                                    <w:bottom w:val="none" w:sz="0" w:space="0" w:color="auto"/>
                                                    <w:right w:val="none" w:sz="0" w:space="0" w:color="auto"/>
                                                  </w:divBdr>
                                                  <w:divsChild>
                                                    <w:div w:id="977761610">
                                                      <w:marLeft w:val="0"/>
                                                      <w:marRight w:val="0"/>
                                                      <w:marTop w:val="0"/>
                                                      <w:marBottom w:val="345"/>
                                                      <w:divBdr>
                                                        <w:top w:val="none" w:sz="0" w:space="0" w:color="auto"/>
                                                        <w:left w:val="none" w:sz="0" w:space="0" w:color="auto"/>
                                                        <w:bottom w:val="none" w:sz="0" w:space="0" w:color="auto"/>
                                                        <w:right w:val="none" w:sz="0" w:space="0" w:color="auto"/>
                                                      </w:divBdr>
                                                      <w:divsChild>
                                                        <w:div w:id="252862736">
                                                          <w:marLeft w:val="0"/>
                                                          <w:marRight w:val="0"/>
                                                          <w:marTop w:val="0"/>
                                                          <w:marBottom w:val="0"/>
                                                          <w:divBdr>
                                                            <w:top w:val="none" w:sz="0" w:space="0" w:color="auto"/>
                                                            <w:left w:val="none" w:sz="0" w:space="0" w:color="auto"/>
                                                            <w:bottom w:val="none" w:sz="0" w:space="0" w:color="auto"/>
                                                            <w:right w:val="none" w:sz="0" w:space="0" w:color="auto"/>
                                                          </w:divBdr>
                                                          <w:divsChild>
                                                            <w:div w:id="900406554">
                                                              <w:marLeft w:val="0"/>
                                                              <w:marRight w:val="0"/>
                                                              <w:marTop w:val="0"/>
                                                              <w:marBottom w:val="0"/>
                                                              <w:divBdr>
                                                                <w:top w:val="none" w:sz="0" w:space="0" w:color="auto"/>
                                                                <w:left w:val="none" w:sz="0" w:space="0" w:color="auto"/>
                                                                <w:bottom w:val="none" w:sz="0" w:space="0" w:color="auto"/>
                                                                <w:right w:val="none" w:sz="0" w:space="0" w:color="auto"/>
                                                              </w:divBdr>
                                                              <w:divsChild>
                                                                <w:div w:id="1206142205">
                                                                  <w:marLeft w:val="0"/>
                                                                  <w:marRight w:val="0"/>
                                                                  <w:marTop w:val="0"/>
                                                                  <w:marBottom w:val="0"/>
                                                                  <w:divBdr>
                                                                    <w:top w:val="none" w:sz="0" w:space="0" w:color="auto"/>
                                                                    <w:left w:val="none" w:sz="0" w:space="0" w:color="auto"/>
                                                                    <w:bottom w:val="none" w:sz="0" w:space="0" w:color="auto"/>
                                                                    <w:right w:val="none" w:sz="0" w:space="0" w:color="auto"/>
                                                                  </w:divBdr>
                                                                  <w:divsChild>
                                                                    <w:div w:id="1806121539">
                                                                      <w:marLeft w:val="0"/>
                                                                      <w:marRight w:val="0"/>
                                                                      <w:marTop w:val="0"/>
                                                                      <w:marBottom w:val="0"/>
                                                                      <w:divBdr>
                                                                        <w:top w:val="none" w:sz="0" w:space="0" w:color="auto"/>
                                                                        <w:left w:val="none" w:sz="0" w:space="0" w:color="auto"/>
                                                                        <w:bottom w:val="none" w:sz="0" w:space="0" w:color="auto"/>
                                                                        <w:right w:val="none" w:sz="0" w:space="0" w:color="auto"/>
                                                                      </w:divBdr>
                                                                      <w:divsChild>
                                                                        <w:div w:id="1547176626">
                                                                          <w:marLeft w:val="0"/>
                                                                          <w:marRight w:val="0"/>
                                                                          <w:marTop w:val="0"/>
                                                                          <w:marBottom w:val="0"/>
                                                                          <w:divBdr>
                                                                            <w:top w:val="none" w:sz="0" w:space="0" w:color="auto"/>
                                                                            <w:left w:val="none" w:sz="0" w:space="0" w:color="auto"/>
                                                                            <w:bottom w:val="none" w:sz="0" w:space="0" w:color="auto"/>
                                                                            <w:right w:val="none" w:sz="0" w:space="0" w:color="auto"/>
                                                                          </w:divBdr>
                                                                          <w:divsChild>
                                                                            <w:div w:id="881091567">
                                                                              <w:marLeft w:val="0"/>
                                                                              <w:marRight w:val="0"/>
                                                                              <w:marTop w:val="0"/>
                                                                              <w:marBottom w:val="0"/>
                                                                              <w:divBdr>
                                                                                <w:top w:val="none" w:sz="0" w:space="0" w:color="auto"/>
                                                                                <w:left w:val="none" w:sz="0" w:space="0" w:color="auto"/>
                                                                                <w:bottom w:val="none" w:sz="0" w:space="0" w:color="auto"/>
                                                                                <w:right w:val="none" w:sz="0" w:space="0" w:color="auto"/>
                                                                              </w:divBdr>
                                                                              <w:divsChild>
                                                                                <w:div w:id="1397314731">
                                                                                  <w:marLeft w:val="0"/>
                                                                                  <w:marRight w:val="0"/>
                                                                                  <w:marTop w:val="0"/>
                                                                                  <w:marBottom w:val="0"/>
                                                                                  <w:divBdr>
                                                                                    <w:top w:val="none" w:sz="0" w:space="0" w:color="auto"/>
                                                                                    <w:left w:val="none" w:sz="0" w:space="0" w:color="auto"/>
                                                                                    <w:bottom w:val="none" w:sz="0" w:space="0" w:color="auto"/>
                                                                                    <w:right w:val="none" w:sz="0" w:space="0" w:color="auto"/>
                                                                                  </w:divBdr>
                                                                                  <w:divsChild>
                                                                                    <w:div w:id="2032147914">
                                                                                      <w:marLeft w:val="0"/>
                                                                                      <w:marRight w:val="0"/>
                                                                                      <w:marTop w:val="0"/>
                                                                                      <w:marBottom w:val="0"/>
                                                                                      <w:divBdr>
                                                                                        <w:top w:val="none" w:sz="0" w:space="0" w:color="auto"/>
                                                                                        <w:left w:val="none" w:sz="0" w:space="0" w:color="auto"/>
                                                                                        <w:bottom w:val="none" w:sz="0" w:space="0" w:color="auto"/>
                                                                                        <w:right w:val="none" w:sz="0" w:space="0" w:color="auto"/>
                                                                                      </w:divBdr>
                                                                                      <w:divsChild>
                                                                                        <w:div w:id="741635640">
                                                                                          <w:marLeft w:val="0"/>
                                                                                          <w:marRight w:val="0"/>
                                                                                          <w:marTop w:val="0"/>
                                                                                          <w:marBottom w:val="0"/>
                                                                                          <w:divBdr>
                                                                                            <w:top w:val="none" w:sz="0" w:space="0" w:color="auto"/>
                                                                                            <w:left w:val="none" w:sz="0" w:space="0" w:color="auto"/>
                                                                                            <w:bottom w:val="none" w:sz="0" w:space="0" w:color="auto"/>
                                                                                            <w:right w:val="none" w:sz="0" w:space="0" w:color="auto"/>
                                                                                          </w:divBdr>
                                                                                          <w:divsChild>
                                                                                            <w:div w:id="784160118">
                                                                                              <w:marLeft w:val="0"/>
                                                                                              <w:marRight w:val="0"/>
                                                                                              <w:marTop w:val="0"/>
                                                                                              <w:marBottom w:val="0"/>
                                                                                              <w:divBdr>
                                                                                                <w:top w:val="none" w:sz="0" w:space="0" w:color="auto"/>
                                                                                                <w:left w:val="none" w:sz="0" w:space="0" w:color="auto"/>
                                                                                                <w:bottom w:val="none" w:sz="0" w:space="0" w:color="auto"/>
                                                                                                <w:right w:val="none" w:sz="0" w:space="0" w:color="auto"/>
                                                                                              </w:divBdr>
                                                                                              <w:divsChild>
                                                                                                <w:div w:id="691494246">
                                                                                                  <w:marLeft w:val="300"/>
                                                                                                  <w:marRight w:val="0"/>
                                                                                                  <w:marTop w:val="0"/>
                                                                                                  <w:marBottom w:val="0"/>
                                                                                                  <w:divBdr>
                                                                                                    <w:top w:val="none" w:sz="0" w:space="0" w:color="auto"/>
                                                                                                    <w:left w:val="none" w:sz="0" w:space="0" w:color="auto"/>
                                                                                                    <w:bottom w:val="none" w:sz="0" w:space="0" w:color="auto"/>
                                                                                                    <w:right w:val="none" w:sz="0" w:space="0" w:color="auto"/>
                                                                                                  </w:divBdr>
                                                                                                  <w:divsChild>
                                                                                                    <w:div w:id="1827434525">
                                                                                                      <w:marLeft w:val="-300"/>
                                                                                                      <w:marRight w:val="0"/>
                                                                                                      <w:marTop w:val="0"/>
                                                                                                      <w:marBottom w:val="0"/>
                                                                                                      <w:divBdr>
                                                                                                        <w:top w:val="none" w:sz="0" w:space="0" w:color="auto"/>
                                                                                                        <w:left w:val="none" w:sz="0" w:space="0" w:color="auto"/>
                                                                                                        <w:bottom w:val="none" w:sz="0" w:space="0" w:color="auto"/>
                                                                                                        <w:right w:val="none" w:sz="0" w:space="0" w:color="auto"/>
                                                                                                      </w:divBdr>
                                                                                                      <w:divsChild>
                                                                                                        <w:div w:id="204323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206691">
      <w:bodyDiv w:val="1"/>
      <w:marLeft w:val="0"/>
      <w:marRight w:val="0"/>
      <w:marTop w:val="0"/>
      <w:marBottom w:val="0"/>
      <w:divBdr>
        <w:top w:val="none" w:sz="0" w:space="0" w:color="auto"/>
        <w:left w:val="none" w:sz="0" w:space="0" w:color="auto"/>
        <w:bottom w:val="none" w:sz="0" w:space="0" w:color="auto"/>
        <w:right w:val="none" w:sz="0" w:space="0" w:color="auto"/>
      </w:divBdr>
    </w:div>
    <w:div w:id="1450464577">
      <w:bodyDiv w:val="1"/>
      <w:marLeft w:val="0"/>
      <w:marRight w:val="0"/>
      <w:marTop w:val="0"/>
      <w:marBottom w:val="0"/>
      <w:divBdr>
        <w:top w:val="none" w:sz="0" w:space="0" w:color="auto"/>
        <w:left w:val="none" w:sz="0" w:space="0" w:color="auto"/>
        <w:bottom w:val="none" w:sz="0" w:space="0" w:color="auto"/>
        <w:right w:val="none" w:sz="0" w:space="0" w:color="auto"/>
      </w:divBdr>
    </w:div>
    <w:div w:id="1452244024">
      <w:bodyDiv w:val="1"/>
      <w:marLeft w:val="0"/>
      <w:marRight w:val="0"/>
      <w:marTop w:val="0"/>
      <w:marBottom w:val="0"/>
      <w:divBdr>
        <w:top w:val="none" w:sz="0" w:space="0" w:color="auto"/>
        <w:left w:val="none" w:sz="0" w:space="0" w:color="auto"/>
        <w:bottom w:val="none" w:sz="0" w:space="0" w:color="auto"/>
        <w:right w:val="none" w:sz="0" w:space="0" w:color="auto"/>
      </w:divBdr>
    </w:div>
    <w:div w:id="1466848781">
      <w:bodyDiv w:val="1"/>
      <w:marLeft w:val="0"/>
      <w:marRight w:val="0"/>
      <w:marTop w:val="0"/>
      <w:marBottom w:val="0"/>
      <w:divBdr>
        <w:top w:val="none" w:sz="0" w:space="0" w:color="auto"/>
        <w:left w:val="none" w:sz="0" w:space="0" w:color="auto"/>
        <w:bottom w:val="none" w:sz="0" w:space="0" w:color="auto"/>
        <w:right w:val="none" w:sz="0" w:space="0" w:color="auto"/>
      </w:divBdr>
    </w:div>
    <w:div w:id="1478954810">
      <w:bodyDiv w:val="1"/>
      <w:marLeft w:val="0"/>
      <w:marRight w:val="0"/>
      <w:marTop w:val="0"/>
      <w:marBottom w:val="0"/>
      <w:divBdr>
        <w:top w:val="none" w:sz="0" w:space="0" w:color="auto"/>
        <w:left w:val="none" w:sz="0" w:space="0" w:color="auto"/>
        <w:bottom w:val="none" w:sz="0" w:space="0" w:color="auto"/>
        <w:right w:val="none" w:sz="0" w:space="0" w:color="auto"/>
      </w:divBdr>
    </w:div>
    <w:div w:id="1491797319">
      <w:bodyDiv w:val="1"/>
      <w:marLeft w:val="0"/>
      <w:marRight w:val="0"/>
      <w:marTop w:val="0"/>
      <w:marBottom w:val="0"/>
      <w:divBdr>
        <w:top w:val="none" w:sz="0" w:space="0" w:color="auto"/>
        <w:left w:val="none" w:sz="0" w:space="0" w:color="auto"/>
        <w:bottom w:val="none" w:sz="0" w:space="0" w:color="auto"/>
        <w:right w:val="none" w:sz="0" w:space="0" w:color="auto"/>
      </w:divBdr>
    </w:div>
    <w:div w:id="1524709432">
      <w:bodyDiv w:val="1"/>
      <w:marLeft w:val="0"/>
      <w:marRight w:val="0"/>
      <w:marTop w:val="0"/>
      <w:marBottom w:val="0"/>
      <w:divBdr>
        <w:top w:val="none" w:sz="0" w:space="0" w:color="auto"/>
        <w:left w:val="none" w:sz="0" w:space="0" w:color="auto"/>
        <w:bottom w:val="none" w:sz="0" w:space="0" w:color="auto"/>
        <w:right w:val="none" w:sz="0" w:space="0" w:color="auto"/>
      </w:divBdr>
    </w:div>
    <w:div w:id="1545018748">
      <w:bodyDiv w:val="1"/>
      <w:marLeft w:val="0"/>
      <w:marRight w:val="0"/>
      <w:marTop w:val="0"/>
      <w:marBottom w:val="0"/>
      <w:divBdr>
        <w:top w:val="none" w:sz="0" w:space="0" w:color="auto"/>
        <w:left w:val="none" w:sz="0" w:space="0" w:color="auto"/>
        <w:bottom w:val="none" w:sz="0" w:space="0" w:color="auto"/>
        <w:right w:val="none" w:sz="0" w:space="0" w:color="auto"/>
      </w:divBdr>
    </w:div>
    <w:div w:id="1606884687">
      <w:bodyDiv w:val="1"/>
      <w:marLeft w:val="0"/>
      <w:marRight w:val="0"/>
      <w:marTop w:val="0"/>
      <w:marBottom w:val="0"/>
      <w:divBdr>
        <w:top w:val="none" w:sz="0" w:space="0" w:color="auto"/>
        <w:left w:val="none" w:sz="0" w:space="0" w:color="auto"/>
        <w:bottom w:val="none" w:sz="0" w:space="0" w:color="auto"/>
        <w:right w:val="none" w:sz="0" w:space="0" w:color="auto"/>
      </w:divBdr>
    </w:div>
    <w:div w:id="1643386809">
      <w:bodyDiv w:val="1"/>
      <w:marLeft w:val="0"/>
      <w:marRight w:val="0"/>
      <w:marTop w:val="0"/>
      <w:marBottom w:val="0"/>
      <w:divBdr>
        <w:top w:val="none" w:sz="0" w:space="0" w:color="auto"/>
        <w:left w:val="none" w:sz="0" w:space="0" w:color="auto"/>
        <w:bottom w:val="none" w:sz="0" w:space="0" w:color="auto"/>
        <w:right w:val="none" w:sz="0" w:space="0" w:color="auto"/>
      </w:divBdr>
    </w:div>
    <w:div w:id="1667512131">
      <w:bodyDiv w:val="1"/>
      <w:marLeft w:val="0"/>
      <w:marRight w:val="0"/>
      <w:marTop w:val="0"/>
      <w:marBottom w:val="0"/>
      <w:divBdr>
        <w:top w:val="none" w:sz="0" w:space="0" w:color="auto"/>
        <w:left w:val="none" w:sz="0" w:space="0" w:color="auto"/>
        <w:bottom w:val="none" w:sz="0" w:space="0" w:color="auto"/>
        <w:right w:val="none" w:sz="0" w:space="0" w:color="auto"/>
      </w:divBdr>
    </w:div>
    <w:div w:id="1709184037">
      <w:bodyDiv w:val="1"/>
      <w:marLeft w:val="0"/>
      <w:marRight w:val="0"/>
      <w:marTop w:val="0"/>
      <w:marBottom w:val="0"/>
      <w:divBdr>
        <w:top w:val="none" w:sz="0" w:space="0" w:color="auto"/>
        <w:left w:val="none" w:sz="0" w:space="0" w:color="auto"/>
        <w:bottom w:val="none" w:sz="0" w:space="0" w:color="auto"/>
        <w:right w:val="none" w:sz="0" w:space="0" w:color="auto"/>
      </w:divBdr>
    </w:div>
    <w:div w:id="1724451964">
      <w:bodyDiv w:val="1"/>
      <w:marLeft w:val="0"/>
      <w:marRight w:val="0"/>
      <w:marTop w:val="0"/>
      <w:marBottom w:val="0"/>
      <w:divBdr>
        <w:top w:val="none" w:sz="0" w:space="0" w:color="auto"/>
        <w:left w:val="none" w:sz="0" w:space="0" w:color="auto"/>
        <w:bottom w:val="none" w:sz="0" w:space="0" w:color="auto"/>
        <w:right w:val="none" w:sz="0" w:space="0" w:color="auto"/>
      </w:divBdr>
    </w:div>
    <w:div w:id="1771125316">
      <w:bodyDiv w:val="1"/>
      <w:marLeft w:val="0"/>
      <w:marRight w:val="0"/>
      <w:marTop w:val="0"/>
      <w:marBottom w:val="0"/>
      <w:divBdr>
        <w:top w:val="none" w:sz="0" w:space="0" w:color="auto"/>
        <w:left w:val="none" w:sz="0" w:space="0" w:color="auto"/>
        <w:bottom w:val="none" w:sz="0" w:space="0" w:color="auto"/>
        <w:right w:val="none" w:sz="0" w:space="0" w:color="auto"/>
      </w:divBdr>
    </w:div>
    <w:div w:id="1771730457">
      <w:bodyDiv w:val="1"/>
      <w:marLeft w:val="0"/>
      <w:marRight w:val="0"/>
      <w:marTop w:val="0"/>
      <w:marBottom w:val="0"/>
      <w:divBdr>
        <w:top w:val="none" w:sz="0" w:space="0" w:color="auto"/>
        <w:left w:val="none" w:sz="0" w:space="0" w:color="auto"/>
        <w:bottom w:val="none" w:sz="0" w:space="0" w:color="auto"/>
        <w:right w:val="none" w:sz="0" w:space="0" w:color="auto"/>
      </w:divBdr>
    </w:div>
    <w:div w:id="1778328014">
      <w:bodyDiv w:val="1"/>
      <w:marLeft w:val="0"/>
      <w:marRight w:val="0"/>
      <w:marTop w:val="0"/>
      <w:marBottom w:val="0"/>
      <w:divBdr>
        <w:top w:val="none" w:sz="0" w:space="0" w:color="auto"/>
        <w:left w:val="none" w:sz="0" w:space="0" w:color="auto"/>
        <w:bottom w:val="none" w:sz="0" w:space="0" w:color="auto"/>
        <w:right w:val="none" w:sz="0" w:space="0" w:color="auto"/>
      </w:divBdr>
    </w:div>
    <w:div w:id="1790472649">
      <w:bodyDiv w:val="1"/>
      <w:marLeft w:val="0"/>
      <w:marRight w:val="0"/>
      <w:marTop w:val="0"/>
      <w:marBottom w:val="0"/>
      <w:divBdr>
        <w:top w:val="none" w:sz="0" w:space="0" w:color="auto"/>
        <w:left w:val="none" w:sz="0" w:space="0" w:color="auto"/>
        <w:bottom w:val="none" w:sz="0" w:space="0" w:color="auto"/>
        <w:right w:val="none" w:sz="0" w:space="0" w:color="auto"/>
      </w:divBdr>
    </w:div>
    <w:div w:id="1921794709">
      <w:bodyDiv w:val="1"/>
      <w:marLeft w:val="0"/>
      <w:marRight w:val="0"/>
      <w:marTop w:val="0"/>
      <w:marBottom w:val="0"/>
      <w:divBdr>
        <w:top w:val="none" w:sz="0" w:space="0" w:color="auto"/>
        <w:left w:val="none" w:sz="0" w:space="0" w:color="auto"/>
        <w:bottom w:val="none" w:sz="0" w:space="0" w:color="auto"/>
        <w:right w:val="none" w:sz="0" w:space="0" w:color="auto"/>
      </w:divBdr>
    </w:div>
    <w:div w:id="2005425674">
      <w:bodyDiv w:val="1"/>
      <w:marLeft w:val="0"/>
      <w:marRight w:val="0"/>
      <w:marTop w:val="0"/>
      <w:marBottom w:val="0"/>
      <w:divBdr>
        <w:top w:val="none" w:sz="0" w:space="0" w:color="auto"/>
        <w:left w:val="none" w:sz="0" w:space="0" w:color="auto"/>
        <w:bottom w:val="none" w:sz="0" w:space="0" w:color="auto"/>
        <w:right w:val="none" w:sz="0" w:space="0" w:color="auto"/>
      </w:divBdr>
    </w:div>
    <w:div w:id="2035886492">
      <w:bodyDiv w:val="1"/>
      <w:marLeft w:val="0"/>
      <w:marRight w:val="0"/>
      <w:marTop w:val="0"/>
      <w:marBottom w:val="0"/>
      <w:divBdr>
        <w:top w:val="none" w:sz="0" w:space="0" w:color="auto"/>
        <w:left w:val="none" w:sz="0" w:space="0" w:color="auto"/>
        <w:bottom w:val="none" w:sz="0" w:space="0" w:color="auto"/>
        <w:right w:val="none" w:sz="0" w:space="0" w:color="auto"/>
      </w:divBdr>
    </w:div>
    <w:div w:id="2058124531">
      <w:bodyDiv w:val="1"/>
      <w:marLeft w:val="0"/>
      <w:marRight w:val="0"/>
      <w:marTop w:val="0"/>
      <w:marBottom w:val="0"/>
      <w:divBdr>
        <w:top w:val="none" w:sz="0" w:space="0" w:color="auto"/>
        <w:left w:val="none" w:sz="0" w:space="0" w:color="auto"/>
        <w:bottom w:val="none" w:sz="0" w:space="0" w:color="auto"/>
        <w:right w:val="none" w:sz="0" w:space="0" w:color="auto"/>
      </w:divBdr>
    </w:div>
    <w:div w:id="2066946748">
      <w:bodyDiv w:val="1"/>
      <w:marLeft w:val="0"/>
      <w:marRight w:val="0"/>
      <w:marTop w:val="0"/>
      <w:marBottom w:val="0"/>
      <w:divBdr>
        <w:top w:val="none" w:sz="0" w:space="0" w:color="auto"/>
        <w:left w:val="none" w:sz="0" w:space="0" w:color="auto"/>
        <w:bottom w:val="none" w:sz="0" w:space="0" w:color="auto"/>
        <w:right w:val="none" w:sz="0" w:space="0" w:color="auto"/>
      </w:divBdr>
    </w:div>
    <w:div w:id="2091852982">
      <w:bodyDiv w:val="1"/>
      <w:marLeft w:val="0"/>
      <w:marRight w:val="0"/>
      <w:marTop w:val="0"/>
      <w:marBottom w:val="0"/>
      <w:divBdr>
        <w:top w:val="none" w:sz="0" w:space="0" w:color="auto"/>
        <w:left w:val="none" w:sz="0" w:space="0" w:color="auto"/>
        <w:bottom w:val="none" w:sz="0" w:space="0" w:color="auto"/>
        <w:right w:val="none" w:sz="0" w:space="0" w:color="auto"/>
      </w:divBdr>
    </w:div>
    <w:div w:id="2102951570">
      <w:bodyDiv w:val="1"/>
      <w:marLeft w:val="0"/>
      <w:marRight w:val="0"/>
      <w:marTop w:val="0"/>
      <w:marBottom w:val="0"/>
      <w:divBdr>
        <w:top w:val="none" w:sz="0" w:space="0" w:color="auto"/>
        <w:left w:val="none" w:sz="0" w:space="0" w:color="auto"/>
        <w:bottom w:val="none" w:sz="0" w:space="0" w:color="auto"/>
        <w:right w:val="none" w:sz="0" w:space="0" w:color="auto"/>
      </w:divBdr>
    </w:div>
    <w:div w:id="2112047164">
      <w:bodyDiv w:val="1"/>
      <w:marLeft w:val="0"/>
      <w:marRight w:val="0"/>
      <w:marTop w:val="0"/>
      <w:marBottom w:val="0"/>
      <w:divBdr>
        <w:top w:val="none" w:sz="0" w:space="0" w:color="auto"/>
        <w:left w:val="none" w:sz="0" w:space="0" w:color="auto"/>
        <w:bottom w:val="none" w:sz="0" w:space="0" w:color="auto"/>
        <w:right w:val="none" w:sz="0" w:space="0" w:color="auto"/>
      </w:divBdr>
    </w:div>
    <w:div w:id="21328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2.emf"/><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microsoft.com/office/2007/relationships/hdphoto" Target="media/hdphoto2.wdp"/><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6.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hyperlink" Target="https://www.tga.gov.au/product-information-pi" TargetMode="Externa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Electrical_conduction_system_of_the_heart" TargetMode="External"/><Relationship Id="rId3" Type="http://schemas.openxmlformats.org/officeDocument/2006/relationships/hyperlink" Target="http://www.ncbi.nlm.nih.gov/pubmed/?term=Erbas%20B%5BAuthor%5D&amp;cauthor=true&amp;cauthor_uid=24507181" TargetMode="External"/><Relationship Id="rId7" Type="http://schemas.openxmlformats.org/officeDocument/2006/relationships/hyperlink" Target="https://en.wikipedia.org/wiki/Electrical_conduction_system_of_the_heart" TargetMode="External"/><Relationship Id="rId2" Type="http://schemas.openxmlformats.org/officeDocument/2006/relationships/hyperlink" Target="http://www.ncbi.nlm.nih.gov/pubmed/?term=Mitra%20B%5BAuthor%5D&amp;cauthor=true&amp;cauthor_uid=24507181" TargetMode="External"/><Relationship Id="rId1" Type="http://schemas.openxmlformats.org/officeDocument/2006/relationships/hyperlink" Target="http://ecdc.europa.eu/en/activities/" TargetMode="External"/><Relationship Id="rId6" Type="http://schemas.openxmlformats.org/officeDocument/2006/relationships/hyperlink" Target="https://en.wikipedia.org/wiki/Cardiology" TargetMode="External"/><Relationship Id="rId5" Type="http://schemas.openxmlformats.org/officeDocument/2006/relationships/hyperlink" Target="http://www.meddra.org/about-meddra/organisation" TargetMode="External"/><Relationship Id="rId10" Type="http://schemas.openxmlformats.org/officeDocument/2006/relationships/hyperlink" Target="https://en.wikipedia.org/wiki/Heart_rate" TargetMode="External"/><Relationship Id="rId4" Type="http://schemas.openxmlformats.org/officeDocument/2006/relationships/hyperlink" Target="http://www.ncbi.nlm.nih.gov/pubmed/24507181" TargetMode="External"/><Relationship Id="rId9" Type="http://schemas.openxmlformats.org/officeDocument/2006/relationships/hyperlink" Target="https://en.wikipedia.org/wiki/Torsades_de_poin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31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88F29-1E1D-46B1-B84D-A9CDE874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137</TotalTime>
  <Pages>57</Pages>
  <Words>20933</Words>
  <Characters>119324</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Australian Public Assessment Report for Ceftobiprole medocaril sodium</vt:lpstr>
    </vt:vector>
  </TitlesOfParts>
  <Company>Therapeutic Goods Administration</Company>
  <LinksUpToDate>false</LinksUpToDate>
  <CharactersWithSpaces>139978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Ceftobiprole medocaril sodium</dc:title>
  <dc:subject>Prescription medicines</dc:subject>
  <dc:creator>Therapeutic Goods Administration</dc:creator>
  <cp:keywords>AusPARs</cp:keywords>
  <cp:lastModifiedBy>Searson, Lisa</cp:lastModifiedBy>
  <cp:revision>9</cp:revision>
  <cp:lastPrinted>2016-02-02T01:47:00Z</cp:lastPrinted>
  <dcterms:created xsi:type="dcterms:W3CDTF">2016-02-12T03:11:00Z</dcterms:created>
  <dcterms:modified xsi:type="dcterms:W3CDTF">2016-02-12T06:10:00Z</dcterms:modified>
</cp:coreProperties>
</file>