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7"/>
      </w:tblGrid>
      <w:tr w:rsidR="001C1840" w:rsidRPr="0052262B" w:rsidTr="00D97490">
        <w:trPr>
          <w:trHeight w:val="18"/>
        </w:trPr>
        <w:tc>
          <w:tcPr>
            <w:tcW w:w="9127" w:type="dxa"/>
            <w:tcBorders>
              <w:top w:val="single" w:sz="4" w:space="0" w:color="auto"/>
              <w:left w:val="single" w:sz="4" w:space="0" w:color="auto"/>
              <w:bottom w:val="nil"/>
              <w:right w:val="single" w:sz="4" w:space="0" w:color="auto"/>
            </w:tcBorders>
          </w:tcPr>
          <w:p w:rsidR="001C1840" w:rsidRPr="0052262B" w:rsidRDefault="001C1840" w:rsidP="00017A0A">
            <w:pPr>
              <w:pStyle w:val="Heading2"/>
              <w:numPr>
                <w:ilvl w:val="0"/>
                <w:numId w:val="0"/>
              </w:numPr>
              <w:rPr>
                <w:rFonts w:cs="Times New Roman"/>
                <w:sz w:val="24"/>
                <w:szCs w:val="24"/>
                <w:lang w:val="en-GB" w:eastAsia="en-AU"/>
              </w:rPr>
            </w:pPr>
            <w:r w:rsidRPr="0052262B">
              <w:rPr>
                <w:rFonts w:cs="Times New Roman"/>
                <w:sz w:val="24"/>
                <w:szCs w:val="24"/>
                <w:lang w:val="en-GB" w:eastAsia="en-AU"/>
              </w:rPr>
              <w:t>NAME OF THE MEDICINE</w:t>
            </w:r>
          </w:p>
        </w:tc>
      </w:tr>
      <w:tr w:rsidR="001C1840" w:rsidRPr="0052262B" w:rsidTr="00D97490">
        <w:trPr>
          <w:trHeight w:val="18"/>
        </w:trPr>
        <w:tc>
          <w:tcPr>
            <w:tcW w:w="9127" w:type="dxa"/>
            <w:tcBorders>
              <w:top w:val="nil"/>
              <w:left w:val="single" w:sz="4" w:space="0" w:color="auto"/>
              <w:bottom w:val="nil"/>
              <w:right w:val="single" w:sz="4" w:space="0" w:color="auto"/>
            </w:tcBorders>
          </w:tcPr>
          <w:p w:rsidR="001C1840" w:rsidRPr="0052262B" w:rsidRDefault="001C1840" w:rsidP="007A41A8">
            <w:pPr>
              <w:pStyle w:val="Paragraph"/>
              <w:rPr>
                <w:lang w:val="en-GB"/>
              </w:rPr>
            </w:pPr>
            <w:proofErr w:type="spellStart"/>
            <w:r w:rsidRPr="0052262B">
              <w:rPr>
                <w:lang w:val="en-GB"/>
              </w:rPr>
              <w:t>Cimzia</w:t>
            </w:r>
            <w:proofErr w:type="spellEnd"/>
            <w:r w:rsidRPr="0052262B">
              <w:rPr>
                <w:vertAlign w:val="superscript"/>
                <w:lang w:val="en-GB"/>
              </w:rPr>
              <w:t>®</w:t>
            </w:r>
            <w:r w:rsidRPr="0052262B">
              <w:rPr>
                <w:lang w:val="en-GB"/>
              </w:rPr>
              <w:t xml:space="preserve">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w:t>
            </w:r>
          </w:p>
          <w:p w:rsidR="001C1840" w:rsidRPr="0052262B" w:rsidRDefault="001C1840" w:rsidP="007A41A8">
            <w:pPr>
              <w:pStyle w:val="Paragraph"/>
              <w:rPr>
                <w:sz w:val="22"/>
                <w:szCs w:val="22"/>
                <w:lang w:val="en-GB"/>
              </w:rPr>
            </w:pPr>
            <w:r w:rsidRPr="0052262B">
              <w:rPr>
                <w:lang w:val="en-GB"/>
              </w:rPr>
              <w:t>CIMZIA 200 mg/mL Injection.</w:t>
            </w:r>
          </w:p>
        </w:tc>
      </w:tr>
      <w:tr w:rsidR="001C1840" w:rsidRPr="0052262B" w:rsidTr="00D97490">
        <w:trPr>
          <w:trHeight w:val="18"/>
        </w:trPr>
        <w:tc>
          <w:tcPr>
            <w:tcW w:w="9127" w:type="dxa"/>
            <w:tcBorders>
              <w:top w:val="nil"/>
              <w:left w:val="single" w:sz="4" w:space="0" w:color="auto"/>
              <w:bottom w:val="nil"/>
              <w:right w:val="single" w:sz="4" w:space="0" w:color="auto"/>
            </w:tcBorders>
          </w:tcPr>
          <w:p w:rsidR="001C1840" w:rsidRPr="0052262B" w:rsidRDefault="001C1840" w:rsidP="007A41A8">
            <w:pPr>
              <w:pStyle w:val="Paragraph"/>
              <w:rPr>
                <w:lang w:val="en-GB"/>
              </w:rPr>
            </w:pPr>
            <w:r w:rsidRPr="0052262B">
              <w:rPr>
                <w:lang w:val="en-GB"/>
              </w:rPr>
              <w:t xml:space="preserve">Chemical structure: </w:t>
            </w:r>
          </w:p>
          <w:p w:rsidR="001C1840" w:rsidRPr="0052262B" w:rsidRDefault="00BB0E98" w:rsidP="00144E0D">
            <w:pPr>
              <w:rPr>
                <w:rStyle w:val="KendleHiddenChar"/>
                <w:vanish w:val="0"/>
                <w:color w:val="auto"/>
                <w:lang w:val="en-GB"/>
              </w:rPr>
            </w:pPr>
            <w:r>
              <w:rPr>
                <w:rStyle w:val="KendleHiddenChar"/>
                <w:vanish w:val="0"/>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98.25pt;height:197.25pt">
                  <v:imagedata r:id="rId9" o:title=""/>
                </v:shape>
              </w:pict>
            </w:r>
          </w:p>
          <w:p w:rsidR="001C1840" w:rsidRPr="0052262B" w:rsidRDefault="001C1840" w:rsidP="00144E0D">
            <w:pPr>
              <w:rPr>
                <w:rStyle w:val="KendleHiddenChar"/>
                <w:vanish w:val="0"/>
                <w:color w:val="auto"/>
                <w:lang w:val="en-GB"/>
              </w:rPr>
            </w:pPr>
          </w:p>
        </w:tc>
      </w:tr>
      <w:tr w:rsidR="001C1840" w:rsidRPr="0052262B" w:rsidTr="00D97490">
        <w:trPr>
          <w:trHeight w:val="18"/>
        </w:trPr>
        <w:tc>
          <w:tcPr>
            <w:tcW w:w="9127" w:type="dxa"/>
            <w:tcBorders>
              <w:top w:val="nil"/>
              <w:left w:val="single" w:sz="4" w:space="0" w:color="auto"/>
              <w:bottom w:val="nil"/>
              <w:right w:val="single" w:sz="4" w:space="0" w:color="auto"/>
            </w:tcBorders>
          </w:tcPr>
          <w:p w:rsidR="001C1840" w:rsidRPr="0052262B" w:rsidRDefault="001C1840" w:rsidP="007A41A8">
            <w:pPr>
              <w:pStyle w:val="Paragraph"/>
              <w:rPr>
                <w:lang w:val="en-GB"/>
              </w:rPr>
            </w:pPr>
            <w:r w:rsidRPr="0052262B">
              <w:rPr>
                <w:lang w:val="en-GB"/>
              </w:rPr>
              <w:t xml:space="preserve">Chemical Name: gHTNF40 Fab'40 </w:t>
            </w:r>
            <w:proofErr w:type="spellStart"/>
            <w:r w:rsidRPr="0052262B">
              <w:rPr>
                <w:lang w:val="en-GB"/>
              </w:rPr>
              <w:t>kDa</w:t>
            </w:r>
            <w:proofErr w:type="spellEnd"/>
            <w:r w:rsidRPr="0052262B">
              <w:rPr>
                <w:lang w:val="en-GB"/>
              </w:rPr>
              <w:t xml:space="preserve"> PEG</w:t>
            </w:r>
            <w:r w:rsidRPr="0052262B">
              <w:rPr>
                <w:lang w:val="en-GB"/>
              </w:rPr>
              <w:br/>
              <w:t>MW: approximately 90,000 Da</w:t>
            </w:r>
          </w:p>
        </w:tc>
      </w:tr>
      <w:tr w:rsidR="001C1840" w:rsidRPr="0052262B" w:rsidTr="00D97490">
        <w:trPr>
          <w:trHeight w:val="18"/>
        </w:trPr>
        <w:tc>
          <w:tcPr>
            <w:tcW w:w="9127" w:type="dxa"/>
            <w:tcBorders>
              <w:top w:val="nil"/>
              <w:left w:val="single" w:sz="4" w:space="0" w:color="auto"/>
              <w:bottom w:val="nil"/>
              <w:right w:val="single" w:sz="4" w:space="0" w:color="auto"/>
            </w:tcBorders>
          </w:tcPr>
          <w:p w:rsidR="001C1840" w:rsidRPr="0052262B" w:rsidRDefault="001C1840" w:rsidP="007A41A8">
            <w:pPr>
              <w:pStyle w:val="Paragraph"/>
              <w:rPr>
                <w:lang w:val="en-GB"/>
              </w:rPr>
            </w:pPr>
            <w:r w:rsidRPr="0052262B">
              <w:rPr>
                <w:lang w:val="en-GB"/>
              </w:rPr>
              <w:t>CAS number: [428863-50-7]</w:t>
            </w:r>
          </w:p>
        </w:tc>
      </w:tr>
      <w:tr w:rsidR="001C1840" w:rsidRPr="0052262B" w:rsidTr="00D97490">
        <w:trPr>
          <w:trHeight w:val="18"/>
        </w:trPr>
        <w:tc>
          <w:tcPr>
            <w:tcW w:w="9127" w:type="dxa"/>
            <w:tcBorders>
              <w:top w:val="nil"/>
              <w:left w:val="single" w:sz="4" w:space="0" w:color="auto"/>
              <w:bottom w:val="nil"/>
              <w:right w:val="single" w:sz="4" w:space="0" w:color="auto"/>
            </w:tcBorders>
          </w:tcPr>
          <w:p w:rsidR="001C1840" w:rsidRPr="0052262B" w:rsidRDefault="001C1840" w:rsidP="00017A0A">
            <w:pPr>
              <w:pStyle w:val="Heading2"/>
              <w:numPr>
                <w:ilvl w:val="0"/>
                <w:numId w:val="0"/>
              </w:numPr>
              <w:rPr>
                <w:rFonts w:cs="Times New Roman"/>
                <w:lang w:val="en-GB" w:eastAsia="en-AU"/>
              </w:rPr>
            </w:pPr>
            <w:r w:rsidRPr="0052262B">
              <w:rPr>
                <w:rFonts w:cs="Times New Roman"/>
                <w:lang w:val="en-GB" w:eastAsia="en-AU"/>
              </w:rPr>
              <w:t>DESCRIPTION</w:t>
            </w:r>
          </w:p>
        </w:tc>
      </w:tr>
      <w:tr w:rsidR="001C1840" w:rsidRPr="0052262B" w:rsidTr="00D97490">
        <w:trPr>
          <w:trHeight w:val="18"/>
        </w:trPr>
        <w:tc>
          <w:tcPr>
            <w:tcW w:w="9127" w:type="dxa"/>
            <w:tcBorders>
              <w:top w:val="nil"/>
              <w:left w:val="single" w:sz="4" w:space="0" w:color="auto"/>
              <w:bottom w:val="nil"/>
              <w:right w:val="single" w:sz="4" w:space="0" w:color="auto"/>
            </w:tcBorders>
          </w:tcPr>
          <w:p w:rsidR="001C1840" w:rsidRPr="0052262B" w:rsidRDefault="001C1840" w:rsidP="007A41A8">
            <w:pPr>
              <w:pStyle w:val="Paragraph"/>
              <w:rPr>
                <w:lang w:val="en-GB"/>
              </w:rPr>
            </w:pP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is a recombinant, humani</w:t>
            </w:r>
            <w:r w:rsidR="00B96DD3" w:rsidRPr="0052262B">
              <w:rPr>
                <w:lang w:val="en-GB"/>
              </w:rPr>
              <w:t>s</w:t>
            </w:r>
            <w:r w:rsidRPr="0052262B">
              <w:rPr>
                <w:lang w:val="en-GB"/>
              </w:rPr>
              <w:t xml:space="preserve">ed antibody Fab' fragment that is expressed in an </w:t>
            </w:r>
            <w:r w:rsidRPr="0052262B">
              <w:rPr>
                <w:i/>
                <w:lang w:val="en-GB"/>
              </w:rPr>
              <w:t>Escherichia coli</w:t>
            </w:r>
            <w:r w:rsidRPr="0052262B">
              <w:rPr>
                <w:lang w:val="en-GB"/>
              </w:rPr>
              <w:t xml:space="preserve"> bacterial expression system, subsequently purified and conjugated to polyethylene glycol (PEG).</w:t>
            </w:r>
          </w:p>
          <w:p w:rsidR="001C1840" w:rsidRPr="0052262B" w:rsidRDefault="001C1840" w:rsidP="00144E0D">
            <w:pPr>
              <w:rPr>
                <w:b/>
                <w:bCs/>
                <w:i/>
                <w:iCs/>
                <w:lang w:val="en-GB"/>
              </w:rPr>
            </w:pPr>
            <w:r w:rsidRPr="0052262B">
              <w:rPr>
                <w:b/>
                <w:bCs/>
                <w:i/>
                <w:iCs/>
                <w:lang w:val="en-GB"/>
              </w:rPr>
              <w:t>200 mg/mL Injection in a single-use pre-filled syringe</w:t>
            </w:r>
          </w:p>
          <w:p w:rsidR="001C1840" w:rsidRPr="0052262B" w:rsidRDefault="001C1840" w:rsidP="00E5348E">
            <w:pPr>
              <w:pStyle w:val="Paragraph"/>
              <w:rPr>
                <w:lang w:val="en-GB"/>
              </w:rPr>
            </w:pPr>
            <w:r w:rsidRPr="0052262B">
              <w:rPr>
                <w:lang w:val="en-GB"/>
              </w:rPr>
              <w:t>C</w:t>
            </w:r>
            <w:r w:rsidR="00E5348E">
              <w:rPr>
                <w:noProof/>
              </w:rPr>
              <w:t>IMZIA</w:t>
            </w:r>
            <w:r w:rsidRPr="0052262B">
              <w:rPr>
                <w:vertAlign w:val="superscript"/>
                <w:lang w:val="en-GB"/>
              </w:rPr>
              <w:t>®</w:t>
            </w:r>
            <w:r w:rsidRPr="0052262B">
              <w:rPr>
                <w:lang w:val="en-GB"/>
              </w:rPr>
              <w:t xml:space="preserve"> injection is a</w:t>
            </w:r>
            <w:r w:rsidR="008D7DCD">
              <w:rPr>
                <w:lang w:val="en-GB"/>
              </w:rPr>
              <w:t xml:space="preserve"> sterile</w:t>
            </w:r>
            <w:r w:rsidRPr="0052262B">
              <w:rPr>
                <w:lang w:val="en-GB"/>
              </w:rPr>
              <w:t xml:space="preserve"> clear</w:t>
            </w:r>
            <w:r w:rsidR="00A128AB">
              <w:rPr>
                <w:lang w:val="en-GB"/>
              </w:rPr>
              <w:t xml:space="preserve"> to opalescent solution that is</w:t>
            </w:r>
            <w:r w:rsidRPr="0052262B">
              <w:rPr>
                <w:lang w:val="en-GB"/>
              </w:rPr>
              <w:t xml:space="preserve"> colourless</w:t>
            </w:r>
            <w:r w:rsidR="00A128AB">
              <w:rPr>
                <w:lang w:val="en-GB"/>
              </w:rPr>
              <w:t xml:space="preserve"> to yellow</w:t>
            </w:r>
            <w:r w:rsidRPr="0052262B">
              <w:rPr>
                <w:lang w:val="en-GB"/>
              </w:rPr>
              <w:t>,</w:t>
            </w:r>
            <w:r w:rsidR="00A128AB">
              <w:rPr>
                <w:lang w:val="en-GB"/>
              </w:rPr>
              <w:t xml:space="preserve"> essentially free of vis</w:t>
            </w:r>
            <w:r w:rsidR="001B073A">
              <w:rPr>
                <w:lang w:val="en-GB"/>
              </w:rPr>
              <w:t>i</w:t>
            </w:r>
            <w:r w:rsidR="00A128AB">
              <w:rPr>
                <w:lang w:val="en-GB"/>
              </w:rPr>
              <w:t>ble pa</w:t>
            </w:r>
            <w:r w:rsidR="001B073A">
              <w:rPr>
                <w:lang w:val="en-GB"/>
              </w:rPr>
              <w:t>r</w:t>
            </w:r>
            <w:r w:rsidR="00A128AB">
              <w:rPr>
                <w:lang w:val="en-GB"/>
              </w:rPr>
              <w:t>ticles,</w:t>
            </w:r>
            <w:r w:rsidRPr="0052262B">
              <w:rPr>
                <w:lang w:val="en-GB"/>
              </w:rPr>
              <w:t xml:space="preserve"> containing 200 mg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per </w:t>
            </w:r>
            <w:proofErr w:type="spellStart"/>
            <w:r w:rsidRPr="0052262B">
              <w:rPr>
                <w:lang w:val="en-GB"/>
              </w:rPr>
              <w:t>mL.</w:t>
            </w:r>
            <w:proofErr w:type="spellEnd"/>
            <w:r w:rsidRPr="0052262B">
              <w:rPr>
                <w:lang w:val="en-GB"/>
              </w:rPr>
              <w:t xml:space="preserve"> The inactive ingredients are sodium chloride, sodium acetate and water for injections. The pH of the solution is approximately 4.7.</w:t>
            </w:r>
          </w:p>
        </w:tc>
      </w:tr>
      <w:tr w:rsidR="001C1840" w:rsidRPr="0052262B" w:rsidTr="00D97490">
        <w:trPr>
          <w:trHeight w:val="18"/>
        </w:trPr>
        <w:tc>
          <w:tcPr>
            <w:tcW w:w="9127" w:type="dxa"/>
            <w:tcBorders>
              <w:top w:val="nil"/>
              <w:left w:val="single" w:sz="4" w:space="0" w:color="auto"/>
              <w:bottom w:val="nil"/>
              <w:right w:val="single" w:sz="4" w:space="0" w:color="auto"/>
            </w:tcBorders>
          </w:tcPr>
          <w:p w:rsidR="001C1840" w:rsidRPr="0052262B" w:rsidRDefault="001C1840" w:rsidP="00017A0A">
            <w:pPr>
              <w:pStyle w:val="Heading2"/>
              <w:numPr>
                <w:ilvl w:val="0"/>
                <w:numId w:val="0"/>
              </w:numPr>
              <w:rPr>
                <w:rFonts w:cs="Times New Roman"/>
                <w:lang w:val="en-GB" w:eastAsia="en-AU"/>
              </w:rPr>
            </w:pPr>
            <w:r w:rsidRPr="0052262B">
              <w:rPr>
                <w:rFonts w:cs="Times New Roman"/>
                <w:lang w:val="en-GB" w:eastAsia="en-AU"/>
              </w:rPr>
              <w:t>PHARMACOLOGY</w:t>
            </w:r>
          </w:p>
        </w:tc>
      </w:tr>
      <w:tr w:rsidR="001C1840" w:rsidRPr="0052262B" w:rsidTr="00D97490">
        <w:trPr>
          <w:trHeight w:val="18"/>
        </w:trPr>
        <w:tc>
          <w:tcPr>
            <w:tcW w:w="9127" w:type="dxa"/>
            <w:tcBorders>
              <w:top w:val="nil"/>
              <w:left w:val="single" w:sz="4" w:space="0" w:color="auto"/>
              <w:bottom w:val="single" w:sz="4" w:space="0" w:color="auto"/>
              <w:right w:val="single" w:sz="4" w:space="0" w:color="auto"/>
            </w:tcBorders>
          </w:tcPr>
          <w:p w:rsidR="001C1840" w:rsidRPr="00441234" w:rsidRDefault="001C1840" w:rsidP="00441234">
            <w:pPr>
              <w:pStyle w:val="Paragraph"/>
              <w:rPr>
                <w:b/>
              </w:rPr>
            </w:pPr>
            <w:r w:rsidRPr="00441234">
              <w:rPr>
                <w:b/>
                <w:lang w:val="en-GB"/>
              </w:rPr>
              <w:t>Mechanism of action</w:t>
            </w:r>
          </w:p>
          <w:p w:rsidR="001C1840" w:rsidRPr="0052262B" w:rsidRDefault="001C1840" w:rsidP="00441234">
            <w:pPr>
              <w:pStyle w:val="Paragraph"/>
              <w:rPr>
                <w:b/>
                <w:bCs/>
                <w:lang w:val="en-GB"/>
              </w:rPr>
            </w:pP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has a high affinity for human TNF</w:t>
            </w:r>
            <w:r w:rsidR="005F6AD0" w:rsidRPr="0052262B">
              <w:rPr>
                <w:lang w:val="en-GB"/>
              </w:rPr>
              <w:t>α</w:t>
            </w:r>
            <w:r w:rsidRPr="0052262B">
              <w:rPr>
                <w:lang w:val="en-GB"/>
              </w:rPr>
              <w:t xml:space="preserve"> and binds with a dissociation factor (K</w:t>
            </w:r>
            <w:r w:rsidRPr="0052262B">
              <w:rPr>
                <w:vertAlign w:val="subscript"/>
                <w:lang w:val="en-GB"/>
              </w:rPr>
              <w:t>D</w:t>
            </w:r>
            <w:r w:rsidRPr="00B0148A">
              <w:rPr>
                <w:lang w:val="en-GB"/>
              </w:rPr>
              <w:t>)</w:t>
            </w:r>
            <w:r w:rsidRPr="0052262B">
              <w:rPr>
                <w:lang w:val="en-GB"/>
              </w:rPr>
              <w:t xml:space="preserve"> of 90pM. TNF</w:t>
            </w:r>
            <w:r w:rsidR="005F6AD0" w:rsidRPr="0052262B">
              <w:rPr>
                <w:lang w:val="en-GB"/>
              </w:rPr>
              <w:t>α</w:t>
            </w:r>
            <w:r w:rsidRPr="0052262B">
              <w:rPr>
                <w:lang w:val="en-GB"/>
              </w:rPr>
              <w:t xml:space="preserve"> is a key pro-inflammatory cytokine with a central role in inflammatory processes.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selectively neutrali</w:t>
            </w:r>
            <w:r w:rsidR="003D526F">
              <w:rPr>
                <w:lang w:val="en-GB"/>
              </w:rPr>
              <w:t>s</w:t>
            </w:r>
            <w:r w:rsidRPr="0052262B">
              <w:rPr>
                <w:lang w:val="en-GB"/>
              </w:rPr>
              <w:t>es TNF</w:t>
            </w:r>
            <w:r w:rsidR="005F6AD0" w:rsidRPr="0052262B">
              <w:rPr>
                <w:lang w:val="en-GB"/>
              </w:rPr>
              <w:t>α</w:t>
            </w:r>
            <w:r w:rsidRPr="0052262B">
              <w:rPr>
                <w:lang w:val="en-GB"/>
              </w:rPr>
              <w:t xml:space="preserve"> (90% inhibitory concentration [IC</w:t>
            </w:r>
            <w:r w:rsidRPr="0052262B">
              <w:rPr>
                <w:vertAlign w:val="subscript"/>
                <w:lang w:val="en-GB"/>
              </w:rPr>
              <w:t>90</w:t>
            </w:r>
            <w:r w:rsidRPr="0052262B">
              <w:rPr>
                <w:lang w:val="en-GB"/>
              </w:rPr>
              <w:t>]) of 4 ng/mL for inhibition of human TNF</w:t>
            </w:r>
            <w:r w:rsidR="005F6AD0" w:rsidRPr="0052262B">
              <w:rPr>
                <w:lang w:val="en-GB"/>
              </w:rPr>
              <w:t>α</w:t>
            </w:r>
            <w:r w:rsidRPr="0052262B">
              <w:rPr>
                <w:lang w:val="en-GB"/>
              </w:rPr>
              <w:t xml:space="preserve"> in the </w:t>
            </w:r>
            <w:r w:rsidRPr="0052262B">
              <w:rPr>
                <w:i/>
                <w:lang w:val="en-GB"/>
              </w:rPr>
              <w:t>in vitro</w:t>
            </w:r>
            <w:r w:rsidRPr="0052262B">
              <w:rPr>
                <w:lang w:val="en-GB"/>
              </w:rPr>
              <w:t xml:space="preserve"> L929 murine </w:t>
            </w:r>
            <w:proofErr w:type="spellStart"/>
            <w:r w:rsidRPr="0052262B">
              <w:rPr>
                <w:lang w:val="en-GB"/>
              </w:rPr>
              <w:t>fibrosarcoma</w:t>
            </w:r>
            <w:proofErr w:type="spellEnd"/>
            <w:r w:rsidRPr="0052262B">
              <w:rPr>
                <w:lang w:val="en-GB"/>
              </w:rPr>
              <w:t xml:space="preserve"> cytotoxicity assay) but does not neutrali</w:t>
            </w:r>
            <w:r w:rsidR="003D526F">
              <w:rPr>
                <w:lang w:val="en-GB"/>
              </w:rPr>
              <w:t>s</w:t>
            </w:r>
            <w:r w:rsidRPr="0052262B">
              <w:rPr>
                <w:lang w:val="en-GB"/>
              </w:rPr>
              <w:t xml:space="preserve">e </w:t>
            </w:r>
            <w:proofErr w:type="spellStart"/>
            <w:r w:rsidRPr="0052262B">
              <w:rPr>
                <w:lang w:val="en-GB"/>
              </w:rPr>
              <w:t>lymphotoxin</w:t>
            </w:r>
            <w:proofErr w:type="spellEnd"/>
            <w:r w:rsidRPr="0052262B">
              <w:rPr>
                <w:lang w:val="en-GB"/>
              </w:rPr>
              <w:t xml:space="preserve"> </w:t>
            </w:r>
            <w:r w:rsidR="005F6AD0" w:rsidRPr="0052262B">
              <w:rPr>
                <w:lang w:val="en-GB"/>
              </w:rPr>
              <w:t>α</w:t>
            </w:r>
            <w:r w:rsidRPr="0052262B">
              <w:rPr>
                <w:lang w:val="en-GB"/>
              </w:rPr>
              <w:t xml:space="preserve"> (TNF</w:t>
            </w:r>
            <w:r w:rsidR="005F6AD0" w:rsidRPr="0052262B">
              <w:rPr>
                <w:lang w:val="en-GB"/>
              </w:rPr>
              <w:t>β</w:t>
            </w:r>
            <w:r w:rsidRPr="0052262B">
              <w:rPr>
                <w:lang w:val="en-GB"/>
              </w:rPr>
              <w:t xml:space="preserve">).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cross-reacts poorly with TNF from rodents and rabbits, therefore </w:t>
            </w:r>
            <w:r w:rsidRPr="0052262B">
              <w:rPr>
                <w:i/>
                <w:lang w:val="en-GB"/>
              </w:rPr>
              <w:t>in vivo</w:t>
            </w:r>
            <w:r w:rsidRPr="0052262B">
              <w:rPr>
                <w:lang w:val="en-GB"/>
              </w:rPr>
              <w:t xml:space="preserve">  efficacy was evaluated using animal models in which human TNFα was the physiologically active molecule. </w:t>
            </w:r>
          </w:p>
          <w:p w:rsidR="001C1840" w:rsidRPr="0052262B" w:rsidRDefault="001C1840" w:rsidP="00441234">
            <w:pPr>
              <w:pStyle w:val="Paragraph"/>
              <w:rPr>
                <w:lang w:val="en-GB"/>
              </w:rPr>
            </w:pPr>
            <w:proofErr w:type="spellStart"/>
            <w:r w:rsidRPr="0052262B">
              <w:rPr>
                <w:lang w:val="en-GB"/>
              </w:rPr>
              <w:lastRenderedPageBreak/>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was shown to neutrali</w:t>
            </w:r>
            <w:r w:rsidR="00A068D0">
              <w:rPr>
                <w:lang w:val="en-GB"/>
              </w:rPr>
              <w:t>s</w:t>
            </w:r>
            <w:r w:rsidRPr="0052262B">
              <w:rPr>
                <w:lang w:val="en-GB"/>
              </w:rPr>
              <w:t>e membrane associated and soluble human TNFα in a dose</w:t>
            </w:r>
            <w:r w:rsidR="005F6AD0" w:rsidRPr="0052262B">
              <w:rPr>
                <w:lang w:val="en-GB"/>
              </w:rPr>
              <w:t>-</w:t>
            </w:r>
            <w:r w:rsidRPr="0052262B">
              <w:rPr>
                <w:lang w:val="en-GB"/>
              </w:rPr>
              <w:t xml:space="preserve">dependent manner. Incubation of monocytes with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resulted in a dose</w:t>
            </w:r>
            <w:r w:rsidR="005F6AD0" w:rsidRPr="0052262B">
              <w:rPr>
                <w:lang w:val="en-GB"/>
              </w:rPr>
              <w:t>-</w:t>
            </w:r>
            <w:r w:rsidRPr="0052262B">
              <w:rPr>
                <w:lang w:val="en-GB"/>
              </w:rPr>
              <w:t>dependent inhibition of lipopolysaccharide-induced TNF</w:t>
            </w:r>
            <w:r w:rsidR="005F6AD0" w:rsidRPr="0052262B">
              <w:rPr>
                <w:lang w:val="en-GB"/>
              </w:rPr>
              <w:t>α</w:t>
            </w:r>
            <w:r w:rsidRPr="0052262B">
              <w:rPr>
                <w:lang w:val="en-GB"/>
              </w:rPr>
              <w:t xml:space="preserve"> and interleukin-1β production in human monocytes.</w:t>
            </w:r>
          </w:p>
          <w:p w:rsidR="001C1840" w:rsidRPr="0052262B" w:rsidRDefault="001C1840" w:rsidP="00441234">
            <w:pPr>
              <w:pStyle w:val="Paragraph"/>
              <w:rPr>
                <w:lang w:val="en-GB"/>
              </w:rPr>
            </w:pPr>
            <w:r w:rsidRPr="0052262B">
              <w:rPr>
                <w:noProof/>
                <w:lang w:val="en-GB"/>
              </w:rPr>
              <w:t>Certolizumab pegol</w:t>
            </w:r>
            <w:r w:rsidRPr="0052262B">
              <w:rPr>
                <w:lang w:val="en-GB"/>
              </w:rPr>
              <w:t xml:space="preserve"> does not contain a fragment </w:t>
            </w:r>
            <w:proofErr w:type="spellStart"/>
            <w:r w:rsidRPr="0052262B">
              <w:rPr>
                <w:lang w:val="en-GB"/>
              </w:rPr>
              <w:t>crystallizable</w:t>
            </w:r>
            <w:proofErr w:type="spellEnd"/>
            <w:r w:rsidRPr="0052262B">
              <w:rPr>
                <w:lang w:val="en-GB"/>
              </w:rPr>
              <w:t xml:space="preserve"> (Fc) region, which is normally present in a complete antibody, and therefore does not fix complement or cause antibody-dependent cell-mediated cytotoxicity </w:t>
            </w:r>
            <w:r w:rsidRPr="0052262B">
              <w:rPr>
                <w:i/>
                <w:lang w:val="en-GB"/>
              </w:rPr>
              <w:t>in vitro</w:t>
            </w:r>
            <w:r w:rsidRPr="0052262B">
              <w:rPr>
                <w:lang w:val="en-GB"/>
              </w:rPr>
              <w:t xml:space="preserve">. It does not induce apoptosis </w:t>
            </w:r>
            <w:r w:rsidRPr="0052262B">
              <w:rPr>
                <w:i/>
                <w:lang w:val="en-GB"/>
              </w:rPr>
              <w:t>in vitro</w:t>
            </w:r>
            <w:r w:rsidRPr="0052262B">
              <w:rPr>
                <w:lang w:val="en-GB"/>
              </w:rPr>
              <w:t xml:space="preserve"> in human peripheral blood-derived monocytes or lymphocytes or neutrophil degranulation.</w:t>
            </w:r>
          </w:p>
          <w:p w:rsidR="001C1840" w:rsidRDefault="001C1840" w:rsidP="00441234">
            <w:pPr>
              <w:pStyle w:val="Paragraph"/>
              <w:rPr>
                <w:lang w:val="en-GB"/>
              </w:rPr>
            </w:pPr>
            <w:r w:rsidRPr="0052262B">
              <w:rPr>
                <w:lang w:val="en-GB"/>
              </w:rPr>
              <w:t>A tissue reactivity study was carried out e</w:t>
            </w:r>
            <w:r w:rsidRPr="0052262B">
              <w:rPr>
                <w:i/>
                <w:lang w:val="en-GB"/>
              </w:rPr>
              <w:t xml:space="preserve">x vivo </w:t>
            </w:r>
            <w:r w:rsidRPr="0052262B">
              <w:rPr>
                <w:lang w:val="en-GB"/>
              </w:rPr>
              <w:t xml:space="preserve">to evaluate potential cross-reactivity of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with </w:t>
            </w:r>
            <w:proofErr w:type="spellStart"/>
            <w:r w:rsidRPr="0052262B">
              <w:rPr>
                <w:lang w:val="en-GB"/>
              </w:rPr>
              <w:t>cryosections</w:t>
            </w:r>
            <w:proofErr w:type="spellEnd"/>
            <w:r w:rsidRPr="0052262B">
              <w:rPr>
                <w:lang w:val="en-GB"/>
              </w:rPr>
              <w:t xml:space="preserve"> of normal human tissues.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showed no reactivity with a designated standard panel of normal human tissues.</w:t>
            </w:r>
          </w:p>
          <w:p w:rsidR="001C1840" w:rsidRPr="00441234" w:rsidRDefault="001C1840" w:rsidP="00441234">
            <w:pPr>
              <w:pStyle w:val="Paragraph"/>
              <w:rPr>
                <w:b/>
                <w:lang w:val="en-GB" w:eastAsia="de-DE"/>
              </w:rPr>
            </w:pPr>
            <w:proofErr w:type="spellStart"/>
            <w:r w:rsidRPr="00441234">
              <w:rPr>
                <w:b/>
                <w:lang w:val="en-GB" w:eastAsia="de-DE"/>
              </w:rPr>
              <w:t>Pharmacodynamic</w:t>
            </w:r>
            <w:proofErr w:type="spellEnd"/>
            <w:r w:rsidRPr="00441234">
              <w:rPr>
                <w:b/>
                <w:lang w:val="en-GB" w:eastAsia="de-DE"/>
              </w:rPr>
              <w:t xml:space="preserve"> effects</w:t>
            </w:r>
          </w:p>
          <w:p w:rsidR="001C1840" w:rsidRPr="0052262B" w:rsidRDefault="001C1840" w:rsidP="00441234">
            <w:pPr>
              <w:pStyle w:val="Paragraph"/>
              <w:rPr>
                <w:rFonts w:cs="Arial"/>
                <w:strike/>
                <w:lang w:val="en-GB" w:bidi="bn-IN"/>
              </w:rPr>
            </w:pPr>
            <w:r w:rsidRPr="0052262B">
              <w:rPr>
                <w:lang w:val="en-GB" w:bidi="bn-IN"/>
              </w:rPr>
              <w:t>Biological activities ascribed to TNF</w:t>
            </w:r>
            <w:r w:rsidR="00C21091" w:rsidRPr="00C21091">
              <w:rPr>
                <w:lang w:val="en-GB" w:bidi="bn-IN"/>
              </w:rPr>
              <w:t>α</w:t>
            </w:r>
            <w:r w:rsidRPr="0052262B">
              <w:rPr>
                <w:rFonts w:ascii="SymbolMT" w:hAnsi="SymbolMT" w:cs="SymbolMT"/>
                <w:lang w:val="en-GB" w:bidi="bn-IN"/>
              </w:rPr>
              <w:t xml:space="preserve"> </w:t>
            </w:r>
            <w:r w:rsidRPr="0052262B">
              <w:rPr>
                <w:lang w:val="en-GB" w:bidi="bn-IN"/>
              </w:rPr>
              <w:t xml:space="preserve">include the </w:t>
            </w:r>
            <w:proofErr w:type="spellStart"/>
            <w:r w:rsidRPr="0052262B">
              <w:rPr>
                <w:lang w:val="en-GB" w:bidi="bn-IN"/>
              </w:rPr>
              <w:t>upregulation</w:t>
            </w:r>
            <w:proofErr w:type="spellEnd"/>
            <w:r w:rsidRPr="0052262B">
              <w:rPr>
                <w:lang w:val="en-GB" w:bidi="bn-IN"/>
              </w:rPr>
              <w:t xml:space="preserve"> of cellular adhesion molecules and chemokines, </w:t>
            </w:r>
            <w:proofErr w:type="spellStart"/>
            <w:r w:rsidRPr="0052262B">
              <w:rPr>
                <w:lang w:val="en-GB" w:bidi="bn-IN"/>
              </w:rPr>
              <w:t>upregulation</w:t>
            </w:r>
            <w:proofErr w:type="spellEnd"/>
            <w:r w:rsidRPr="0052262B">
              <w:rPr>
                <w:lang w:val="en-GB" w:bidi="bn-IN"/>
              </w:rPr>
              <w:t xml:space="preserve"> of major histocompatibility complex (MHC) class I and class II molecules, and direct leukocyte activation. TNF</w:t>
            </w:r>
            <w:r w:rsidR="005F6AD0" w:rsidRPr="0052262B">
              <w:rPr>
                <w:lang w:val="en-GB" w:bidi="bn-IN"/>
              </w:rPr>
              <w:t>α</w:t>
            </w:r>
            <w:r w:rsidRPr="0052262B">
              <w:rPr>
                <w:rFonts w:ascii="SymbolMT" w:hAnsi="SymbolMT" w:cs="SymbolMT"/>
                <w:lang w:val="en-GB" w:bidi="bn-IN"/>
              </w:rPr>
              <w:t xml:space="preserve"> </w:t>
            </w:r>
            <w:r w:rsidRPr="0052262B">
              <w:rPr>
                <w:lang w:val="en-GB" w:bidi="bn-IN"/>
              </w:rPr>
              <w:t xml:space="preserve">stimulates the production of downstream inflammatory mediators, including interleukin-1, prostaglandins, platelet activating factor, and nitric oxide. </w:t>
            </w:r>
            <w:r w:rsidRPr="0052262B">
              <w:rPr>
                <w:lang w:val="en-GB"/>
              </w:rPr>
              <w:t>Elevated levels of TNF</w:t>
            </w:r>
            <w:r w:rsidR="005F6AD0" w:rsidRPr="0052262B">
              <w:rPr>
                <w:lang w:val="en-GB"/>
              </w:rPr>
              <w:t>α</w:t>
            </w:r>
            <w:r w:rsidRPr="0052262B">
              <w:rPr>
                <w:lang w:val="en-GB"/>
              </w:rPr>
              <w:t xml:space="preserve"> have been implicated in the pathology of rheumatoid arthritis. Increased TNF</w:t>
            </w:r>
            <w:r w:rsidR="005F6AD0" w:rsidRPr="0052262B">
              <w:rPr>
                <w:lang w:val="en-GB"/>
              </w:rPr>
              <w:t>α</w:t>
            </w:r>
            <w:r w:rsidRPr="0052262B">
              <w:rPr>
                <w:lang w:val="en-GB"/>
              </w:rPr>
              <w:t xml:space="preserve"> levels are found in the synovial fluid of rheumatoid arthritis patients and play an important role in the joint destruction that is a hallmark of this disease.</w:t>
            </w:r>
          </w:p>
          <w:p w:rsidR="00814E54" w:rsidRDefault="001C1840" w:rsidP="00441234">
            <w:pPr>
              <w:pStyle w:val="Paragraph"/>
              <w:rPr>
                <w:b/>
                <w:noProof/>
                <w:lang w:val="en-GB"/>
              </w:rPr>
            </w:pPr>
            <w:r w:rsidRPr="00441234">
              <w:rPr>
                <w:b/>
                <w:noProof/>
                <w:lang w:val="en-GB"/>
              </w:rPr>
              <w:t>Pharmacokinetic properties</w:t>
            </w:r>
          </w:p>
          <w:p w:rsidR="00814E54" w:rsidRPr="006C76FA" w:rsidRDefault="00814E54" w:rsidP="00441234">
            <w:pPr>
              <w:pStyle w:val="Paragraph"/>
              <w:rPr>
                <w:noProof/>
                <w:lang w:val="en-GB"/>
              </w:rPr>
            </w:pPr>
            <w:r w:rsidRPr="006C76FA">
              <w:rPr>
                <w:noProof/>
                <w:lang w:val="en-GB"/>
              </w:rPr>
              <w:t xml:space="preserve">The pharmacokinetics of </w:t>
            </w:r>
            <w:r w:rsidR="00844A32">
              <w:rPr>
                <w:noProof/>
                <w:lang w:val="en-GB"/>
              </w:rPr>
              <w:t>CIMZIA</w:t>
            </w:r>
            <w:r w:rsidR="00844A32" w:rsidRPr="006C76FA">
              <w:rPr>
                <w:noProof/>
                <w:lang w:val="en-GB"/>
              </w:rPr>
              <w:t xml:space="preserve"> </w:t>
            </w:r>
            <w:r w:rsidRPr="006C76FA">
              <w:rPr>
                <w:noProof/>
                <w:lang w:val="en-GB"/>
              </w:rPr>
              <w:t>in rheumatoid arthritis psoriatic arthritis and ankylosing spondylitis patients are similar.</w:t>
            </w:r>
          </w:p>
          <w:p w:rsidR="001C1840" w:rsidRPr="00441234" w:rsidRDefault="001C1840" w:rsidP="00441234">
            <w:pPr>
              <w:pStyle w:val="Paragraph"/>
              <w:rPr>
                <w:u w:val="single"/>
                <w:lang w:val="en-GB"/>
              </w:rPr>
            </w:pPr>
            <w:r w:rsidRPr="00441234">
              <w:rPr>
                <w:u w:val="single"/>
                <w:lang w:val="en-GB"/>
              </w:rPr>
              <w:t>Absorption:</w:t>
            </w:r>
          </w:p>
          <w:p w:rsidR="001C1840" w:rsidRPr="0052262B" w:rsidRDefault="001C1840" w:rsidP="00441234">
            <w:pPr>
              <w:pStyle w:val="Paragraph"/>
              <w:rPr>
                <w:lang w:val="en-GB"/>
              </w:rPr>
            </w:pPr>
            <w:r w:rsidRPr="0052262B">
              <w:rPr>
                <w:lang w:val="en-GB"/>
              </w:rPr>
              <w:t>Following subcutaneous administration, peak plasma concentrations of CIMZIA were attained between 54 and 171 hours post-injection. CIMZIA has a bioavailability (F) of approximately 80% (range 76% to 88%) following subcutaneous administration compared to intravenous administration. C</w:t>
            </w:r>
            <w:r w:rsidR="00E5348E">
              <w:rPr>
                <w:noProof/>
              </w:rPr>
              <w:t>IMZIA</w:t>
            </w:r>
            <w:r w:rsidRPr="0052262B">
              <w:rPr>
                <w:lang w:val="en-GB"/>
              </w:rPr>
              <w:t xml:space="preserve"> has predictable dose-related exposure with an approximately linear relationship between the dose administered and the maximum plasma concentration (</w:t>
            </w:r>
            <w:proofErr w:type="spellStart"/>
            <w:r w:rsidRPr="0052262B">
              <w:rPr>
                <w:lang w:val="en-GB"/>
              </w:rPr>
              <w:t>C</w:t>
            </w:r>
            <w:r w:rsidRPr="0052262B">
              <w:rPr>
                <w:vertAlign w:val="subscript"/>
                <w:lang w:val="en-GB"/>
              </w:rPr>
              <w:t>max</w:t>
            </w:r>
            <w:proofErr w:type="spellEnd"/>
            <w:r w:rsidRPr="0052262B">
              <w:rPr>
                <w:lang w:val="en-GB"/>
              </w:rPr>
              <w:t xml:space="preserve">) or the area under the plasma concentration versus time curve (AUC). Pharmacokinetics observed in patients with rheumatoid arthritis </w:t>
            </w:r>
            <w:proofErr w:type="gramStart"/>
            <w:r w:rsidRPr="0052262B">
              <w:rPr>
                <w:lang w:val="en-GB"/>
              </w:rPr>
              <w:t>were</w:t>
            </w:r>
            <w:proofErr w:type="gramEnd"/>
            <w:r w:rsidRPr="0052262B">
              <w:rPr>
                <w:lang w:val="en-GB"/>
              </w:rPr>
              <w:t xml:space="preserve"> consistent with </w:t>
            </w:r>
            <w:r w:rsidR="003D6876" w:rsidRPr="0052262B">
              <w:rPr>
                <w:lang w:val="en-GB"/>
              </w:rPr>
              <w:t>those seen in healthy subjects.</w:t>
            </w:r>
          </w:p>
          <w:p w:rsidR="001C1840" w:rsidRPr="00441234" w:rsidRDefault="001C1840" w:rsidP="00441234">
            <w:pPr>
              <w:pStyle w:val="Paragraph"/>
              <w:rPr>
                <w:u w:val="single"/>
                <w:lang w:val="en-GB"/>
              </w:rPr>
            </w:pPr>
            <w:r w:rsidRPr="00441234">
              <w:rPr>
                <w:u w:val="single"/>
                <w:lang w:val="en-GB"/>
              </w:rPr>
              <w:t>Distribution:</w:t>
            </w:r>
          </w:p>
          <w:p w:rsidR="001C1840" w:rsidRPr="0052262B" w:rsidRDefault="001C1840" w:rsidP="00441234">
            <w:pPr>
              <w:pStyle w:val="Paragraph"/>
              <w:rPr>
                <w:lang w:val="en-GB"/>
              </w:rPr>
            </w:pPr>
            <w:r w:rsidRPr="0052262B">
              <w:rPr>
                <w:lang w:val="en-GB"/>
              </w:rPr>
              <w:t>The apparent volume of distribution (V/F) was estimated at 8.01 L in a population pharmacokinetic analysis of patients with rheumatoid arthritis.</w:t>
            </w:r>
          </w:p>
          <w:p w:rsidR="00023BB2" w:rsidRDefault="00BB4CD5" w:rsidP="00441234">
            <w:pPr>
              <w:pStyle w:val="Paragraph"/>
              <w:rPr>
                <w:u w:val="single"/>
                <w:lang w:val="en-GB"/>
              </w:rPr>
            </w:pPr>
            <w:r w:rsidRPr="00BB4CD5">
              <w:rPr>
                <w:u w:val="single"/>
                <w:lang w:val="en-GB"/>
              </w:rPr>
              <w:t>Metabolism:</w:t>
            </w:r>
          </w:p>
          <w:p w:rsidR="0068348E" w:rsidRPr="0082091A" w:rsidRDefault="001C1840" w:rsidP="00441234">
            <w:pPr>
              <w:pStyle w:val="Paragraph"/>
              <w:rPr>
                <w:rFonts w:cs="Arial"/>
                <w:lang w:val="en-GB" w:eastAsia="ja-JP" w:bidi="bn-IN"/>
              </w:rPr>
            </w:pPr>
            <w:proofErr w:type="spellStart"/>
            <w:r w:rsidRPr="0052262B">
              <w:rPr>
                <w:lang w:val="en-GB"/>
              </w:rPr>
              <w:t>PEGylation</w:t>
            </w:r>
            <w:proofErr w:type="spellEnd"/>
            <w:r w:rsidRPr="0052262B">
              <w:rPr>
                <w:lang w:val="en-GB"/>
              </w:rPr>
              <w:t xml:space="preserve">, the covalent attachment of PEG polymers to peptides, delays the elimination of these entities from the circulation by a variety of mechanisms, including decreased renal clearance, decreased proteolysis, and decreased immunogenicity. Accordingly, CIMZIA is an </w:t>
            </w:r>
            <w:r w:rsidRPr="008B4EEF">
              <w:rPr>
                <w:lang w:val="en-GB"/>
              </w:rPr>
              <w:t>antibody</w:t>
            </w:r>
            <w:r w:rsidR="0024262A" w:rsidRPr="008B4EEF">
              <w:rPr>
                <w:lang w:val="en-GB"/>
              </w:rPr>
              <w:t xml:space="preserve"> binding</w:t>
            </w:r>
            <w:r w:rsidRPr="008B4EEF">
              <w:rPr>
                <w:lang w:val="en-GB"/>
              </w:rPr>
              <w:t xml:space="preserve"> fragment</w:t>
            </w:r>
            <w:r w:rsidR="0024262A" w:rsidRPr="008B4EEF">
              <w:rPr>
                <w:lang w:val="en-GB"/>
              </w:rPr>
              <w:t xml:space="preserve"> (Fab</w:t>
            </w:r>
            <w:r w:rsidR="006773D0" w:rsidRPr="008B4EEF">
              <w:rPr>
                <w:lang w:val="en-GB"/>
              </w:rPr>
              <w:t>'</w:t>
            </w:r>
            <w:r w:rsidR="0024262A" w:rsidRPr="008B4EEF">
              <w:rPr>
                <w:lang w:val="en-GB"/>
              </w:rPr>
              <w:t>)</w:t>
            </w:r>
            <w:r w:rsidRPr="008B4EEF">
              <w:rPr>
                <w:lang w:val="en-GB"/>
              </w:rPr>
              <w:t xml:space="preserve"> conjugated with</w:t>
            </w:r>
            <w:r w:rsidRPr="0052262B">
              <w:rPr>
                <w:lang w:val="en-GB"/>
              </w:rPr>
              <w:t xml:space="preserve"> PEG in order to extend the terminal plasma elimination half-life of the Fab' to a value comparable with a whole antibody product. The terminal elimination phase half-life (t</w:t>
            </w:r>
            <w:r w:rsidRPr="0052262B">
              <w:rPr>
                <w:vertAlign w:val="subscript"/>
                <w:lang w:val="en-GB"/>
              </w:rPr>
              <w:t>1/2</w:t>
            </w:r>
            <w:r w:rsidRPr="0052262B">
              <w:rPr>
                <w:lang w:val="en-GB"/>
              </w:rPr>
              <w:t xml:space="preserve">) was approximately 14 days for all doses tested. Clearance following subcutaneous dosing was estimated to be 21.0 mL/h in a </w:t>
            </w:r>
            <w:r w:rsidRPr="0052262B">
              <w:rPr>
                <w:lang w:val="en-GB"/>
              </w:rPr>
              <w:lastRenderedPageBreak/>
              <w:t>rheumatoid arthritis population pharmacokinetic analysis, with an inter-subject variability of 30.8% (CV) and an inter-occasion variability of 22.0%. The presence of antibodies to CIMZIA results in approximately a three-fold increase in clearance.</w:t>
            </w:r>
            <w:r w:rsidRPr="0052262B">
              <w:rPr>
                <w:rFonts w:ascii="Arial" w:hAnsi="Arial" w:cs="Arial"/>
                <w:lang w:val="en-GB" w:eastAsia="ja-JP" w:bidi="bn-IN"/>
              </w:rPr>
              <w:t xml:space="preserve"> </w:t>
            </w:r>
            <w:r w:rsidRPr="0052262B">
              <w:rPr>
                <w:rFonts w:cs="Arial"/>
                <w:lang w:val="en-GB" w:eastAsia="ja-JP" w:bidi="bn-IN"/>
              </w:rPr>
              <w:t xml:space="preserve">Compared with a 70 kg person, predicted clearance is 29% lower and 38% higher, respectively, for </w:t>
            </w:r>
            <w:r w:rsidR="005F6AD0" w:rsidRPr="0052262B">
              <w:rPr>
                <w:rFonts w:cs="Arial"/>
                <w:lang w:val="en-GB" w:eastAsia="ja-JP" w:bidi="bn-IN"/>
              </w:rPr>
              <w:t>rheumatoid arthritis</w:t>
            </w:r>
            <w:r w:rsidRPr="0052262B">
              <w:rPr>
                <w:rFonts w:cs="Arial"/>
                <w:lang w:val="en-GB" w:eastAsia="ja-JP" w:bidi="bn-IN"/>
              </w:rPr>
              <w:t xml:space="preserve"> patients with extreme body weights of 40 kg and 120 kg, but </w:t>
            </w:r>
            <w:proofErr w:type="spellStart"/>
            <w:r w:rsidRPr="0052262B">
              <w:rPr>
                <w:rFonts w:cs="Arial"/>
                <w:lang w:val="en-GB" w:eastAsia="ja-JP" w:bidi="bn-IN"/>
              </w:rPr>
              <w:t>pharmacodynamic</w:t>
            </w:r>
            <w:proofErr w:type="spellEnd"/>
            <w:r w:rsidRPr="0052262B">
              <w:rPr>
                <w:rFonts w:cs="Arial"/>
                <w:lang w:val="en-GB" w:eastAsia="ja-JP" w:bidi="bn-IN"/>
              </w:rPr>
              <w:t xml:space="preserve"> exposure-response analysis showed that no additional therapeutic benefit would be expected from a weight-adjusted dose regimen.</w:t>
            </w:r>
            <w:r w:rsidR="00DB54EE">
              <w:rPr>
                <w:rFonts w:cs="Arial"/>
                <w:lang w:val="en-GB" w:eastAsia="ja-JP" w:bidi="bn-IN"/>
              </w:rPr>
              <w:t xml:space="preserve"> </w:t>
            </w:r>
            <w:r w:rsidR="0068348E" w:rsidRPr="0082091A">
              <w:rPr>
                <w:rFonts w:cs="Arial"/>
                <w:lang w:val="en-GB" w:eastAsia="ja-JP" w:bidi="bn-IN"/>
              </w:rPr>
              <w:t xml:space="preserve">The metabolism of </w:t>
            </w:r>
            <w:proofErr w:type="spellStart"/>
            <w:r w:rsidR="0068348E" w:rsidRPr="0082091A">
              <w:rPr>
                <w:rFonts w:cs="Arial"/>
                <w:lang w:val="en-GB" w:eastAsia="ja-JP" w:bidi="bn-IN"/>
              </w:rPr>
              <w:t>certolizumab</w:t>
            </w:r>
            <w:proofErr w:type="spellEnd"/>
            <w:r w:rsidR="0068348E" w:rsidRPr="0082091A">
              <w:rPr>
                <w:rFonts w:cs="Arial"/>
                <w:lang w:val="en-GB" w:eastAsia="ja-JP" w:bidi="bn-IN"/>
              </w:rPr>
              <w:t xml:space="preserve"> </w:t>
            </w:r>
            <w:proofErr w:type="spellStart"/>
            <w:r w:rsidR="0068348E" w:rsidRPr="0082091A">
              <w:rPr>
                <w:rFonts w:cs="Arial"/>
                <w:lang w:val="en-GB" w:eastAsia="ja-JP" w:bidi="bn-IN"/>
              </w:rPr>
              <w:t>pegol</w:t>
            </w:r>
            <w:proofErr w:type="spellEnd"/>
            <w:r w:rsidR="0068348E" w:rsidRPr="0082091A">
              <w:rPr>
                <w:rFonts w:cs="Arial"/>
                <w:lang w:val="en-GB" w:eastAsia="ja-JP" w:bidi="bn-IN"/>
              </w:rPr>
              <w:t xml:space="preserve"> has not been studied in human subjects.</w:t>
            </w:r>
          </w:p>
          <w:p w:rsidR="00BB4CD5" w:rsidRPr="00782AF5" w:rsidRDefault="00BB4CD5" w:rsidP="00441234">
            <w:pPr>
              <w:pStyle w:val="Paragraph"/>
              <w:rPr>
                <w:u w:val="single"/>
                <w:lang w:val="en-GB"/>
              </w:rPr>
            </w:pPr>
            <w:r w:rsidRPr="00782AF5">
              <w:rPr>
                <w:u w:val="single"/>
                <w:lang w:val="en-GB"/>
              </w:rPr>
              <w:t>Excretion:</w:t>
            </w:r>
          </w:p>
          <w:p w:rsidR="001C1840" w:rsidRPr="0052262B" w:rsidRDefault="001C1840" w:rsidP="00441234">
            <w:pPr>
              <w:pStyle w:val="Paragraph"/>
              <w:rPr>
                <w:strike/>
                <w:lang w:val="en-GB"/>
              </w:rPr>
            </w:pPr>
            <w:r w:rsidRPr="0052262B">
              <w:rPr>
                <w:lang w:val="en-GB"/>
              </w:rPr>
              <w:t>The route of elimination of CIMZIA has not been studied in human subjects but studies in rats have shown that renal excretion is the major route of elimination of the de-conjugated PEG component of CIMZIA.</w:t>
            </w:r>
          </w:p>
          <w:p w:rsidR="001C1840" w:rsidRPr="00441234" w:rsidRDefault="001C1840" w:rsidP="00441234">
            <w:pPr>
              <w:pStyle w:val="Paragraph"/>
              <w:rPr>
                <w:u w:val="single"/>
                <w:lang w:val="en-GB"/>
              </w:rPr>
            </w:pPr>
            <w:r w:rsidRPr="00441234">
              <w:rPr>
                <w:u w:val="single"/>
                <w:lang w:val="en-GB"/>
              </w:rPr>
              <w:t>Renal impairment:</w:t>
            </w:r>
          </w:p>
          <w:p w:rsidR="001C1840" w:rsidRPr="0052262B" w:rsidRDefault="001C1840" w:rsidP="00441234">
            <w:pPr>
              <w:pStyle w:val="Paragraph"/>
              <w:rPr>
                <w:lang w:val="en-GB"/>
              </w:rPr>
            </w:pPr>
            <w:r w:rsidRPr="0052262B">
              <w:rPr>
                <w:lang w:val="en-GB"/>
              </w:rPr>
              <w:t xml:space="preserve">Specific clinical studies have not been performed to assess the effect of renal impairment on the pharmacokinetics of CIMZIA or its PEG fraction. However, population pharmacokinetic analysis based on subjects with mild renal impairment showed no effect of creatinine clearance. There are insufficient data to provide a dosing recommendation in moderate and severe renal impairment. The pharmacokinetics of the PEG (polyethylene glycol) fraction of CIMZIA </w:t>
            </w:r>
            <w:proofErr w:type="gramStart"/>
            <w:r w:rsidRPr="0052262B">
              <w:rPr>
                <w:lang w:val="en-GB"/>
              </w:rPr>
              <w:t>are</w:t>
            </w:r>
            <w:proofErr w:type="gramEnd"/>
            <w:r w:rsidRPr="0052262B">
              <w:rPr>
                <w:lang w:val="en-GB"/>
              </w:rPr>
              <w:t xml:space="preserve"> expected to be dependent on renal function but have not been assessed in renal impairment.</w:t>
            </w:r>
          </w:p>
          <w:p w:rsidR="001C1840" w:rsidRPr="00441234" w:rsidRDefault="001C1840" w:rsidP="00441234">
            <w:pPr>
              <w:pStyle w:val="Paragraph"/>
              <w:rPr>
                <w:u w:val="single"/>
                <w:lang w:val="en-GB"/>
              </w:rPr>
            </w:pPr>
            <w:r w:rsidRPr="00441234">
              <w:rPr>
                <w:u w:val="single"/>
                <w:lang w:val="en-GB"/>
              </w:rPr>
              <w:t>Hepatic impairment:</w:t>
            </w:r>
          </w:p>
          <w:p w:rsidR="001C1840" w:rsidRPr="0052262B" w:rsidRDefault="001C1840" w:rsidP="00441234">
            <w:pPr>
              <w:pStyle w:val="Paragraph"/>
              <w:rPr>
                <w:lang w:val="en-GB"/>
              </w:rPr>
            </w:pPr>
            <w:r w:rsidRPr="0052262B">
              <w:rPr>
                <w:lang w:val="en-GB"/>
              </w:rPr>
              <w:t>Specific clinical studies have not been performed to assess the effect of hepatic impairment on the pharmacokinetics of CIMZIA.</w:t>
            </w:r>
          </w:p>
          <w:p w:rsidR="001C1840" w:rsidRPr="00441234" w:rsidRDefault="001C1840" w:rsidP="00441234">
            <w:pPr>
              <w:pStyle w:val="Paragraph"/>
              <w:rPr>
                <w:u w:val="single"/>
                <w:lang w:val="en-GB"/>
              </w:rPr>
            </w:pPr>
            <w:r w:rsidRPr="00441234">
              <w:rPr>
                <w:u w:val="single"/>
                <w:lang w:val="en-GB"/>
              </w:rPr>
              <w:t>Elderly:</w:t>
            </w:r>
          </w:p>
          <w:p w:rsidR="001C1840" w:rsidRPr="0052262B" w:rsidRDefault="001C1840" w:rsidP="00441234">
            <w:pPr>
              <w:pStyle w:val="Paragraph"/>
              <w:rPr>
                <w:lang w:val="en-GB"/>
              </w:rPr>
            </w:pPr>
            <w:r w:rsidRPr="0052262B">
              <w:rPr>
                <w:lang w:val="en-GB"/>
              </w:rPr>
              <w:t xml:space="preserve">Specific clinical studies have not been performed in elderly subjects. However, no effect of age was observed in a population pharmacokinetic analysis in patients with rheumatoid arthritis in which 78 subjects (13.2% of the population) were aged 65 or greater and the oldest subject was aged 83 years. </w:t>
            </w:r>
          </w:p>
          <w:p w:rsidR="001C1840" w:rsidRPr="00441234" w:rsidRDefault="001C1840" w:rsidP="00441234">
            <w:pPr>
              <w:pStyle w:val="Paragraph"/>
              <w:rPr>
                <w:u w:val="single"/>
                <w:lang w:val="en-GB"/>
              </w:rPr>
            </w:pPr>
            <w:r w:rsidRPr="00441234">
              <w:rPr>
                <w:u w:val="single"/>
                <w:lang w:val="en-GB"/>
              </w:rPr>
              <w:t>Paediatric:</w:t>
            </w:r>
          </w:p>
          <w:p w:rsidR="001C1840" w:rsidRPr="0052262B" w:rsidRDefault="001C1840" w:rsidP="00441234">
            <w:pPr>
              <w:pStyle w:val="Paragraph"/>
              <w:rPr>
                <w:lang w:val="en-GB"/>
              </w:rPr>
            </w:pPr>
            <w:r w:rsidRPr="0052262B">
              <w:rPr>
                <w:lang w:val="en-GB"/>
              </w:rPr>
              <w:t>CIMZIA has not been studied in children.</w:t>
            </w:r>
          </w:p>
          <w:p w:rsidR="001C1840" w:rsidRPr="00441234" w:rsidRDefault="001C1840" w:rsidP="00441234">
            <w:pPr>
              <w:pStyle w:val="Paragraph"/>
              <w:rPr>
                <w:u w:val="single"/>
                <w:lang w:val="en-GB"/>
              </w:rPr>
            </w:pPr>
            <w:r w:rsidRPr="00441234">
              <w:rPr>
                <w:u w:val="single"/>
                <w:lang w:val="en-GB"/>
              </w:rPr>
              <w:t>Gender</w:t>
            </w:r>
            <w:r w:rsidR="00441234">
              <w:rPr>
                <w:u w:val="single"/>
                <w:lang w:val="en-GB"/>
              </w:rPr>
              <w:t>:</w:t>
            </w:r>
          </w:p>
          <w:p w:rsidR="001C1840" w:rsidRPr="0052262B" w:rsidRDefault="001C1840" w:rsidP="00441234">
            <w:pPr>
              <w:pStyle w:val="Paragraph"/>
              <w:rPr>
                <w:lang w:val="en-GB"/>
              </w:rPr>
            </w:pPr>
            <w:r w:rsidRPr="0052262B">
              <w:rPr>
                <w:lang w:val="en-GB"/>
              </w:rPr>
              <w:t>There was no effect of gender on the pharmacokinetics of CIMZIA.</w:t>
            </w:r>
          </w:p>
          <w:p w:rsidR="001C1840" w:rsidRPr="00441234" w:rsidRDefault="001C1840" w:rsidP="00441234">
            <w:pPr>
              <w:pStyle w:val="Paragraph"/>
              <w:rPr>
                <w:u w:val="single"/>
                <w:lang w:val="en-GB"/>
              </w:rPr>
            </w:pPr>
            <w:r w:rsidRPr="00441234">
              <w:rPr>
                <w:u w:val="single"/>
                <w:lang w:val="en-GB"/>
              </w:rPr>
              <w:t>Pharmacokinetic/</w:t>
            </w:r>
            <w:proofErr w:type="spellStart"/>
            <w:r w:rsidRPr="00441234">
              <w:rPr>
                <w:u w:val="single"/>
                <w:lang w:val="en-GB"/>
              </w:rPr>
              <w:t>Pharmacodynamic</w:t>
            </w:r>
            <w:proofErr w:type="spellEnd"/>
            <w:r w:rsidRPr="00441234">
              <w:rPr>
                <w:u w:val="single"/>
                <w:lang w:val="en-GB"/>
              </w:rPr>
              <w:t xml:space="preserve"> relationship</w:t>
            </w:r>
            <w:r w:rsidR="00441234">
              <w:rPr>
                <w:u w:val="single"/>
                <w:lang w:val="en-GB"/>
              </w:rPr>
              <w:t>:</w:t>
            </w:r>
          </w:p>
          <w:p w:rsidR="001C1840" w:rsidRPr="00441234" w:rsidRDefault="001C1840" w:rsidP="00441234">
            <w:pPr>
              <w:pStyle w:val="Paragraph"/>
              <w:rPr>
                <w:iCs/>
                <w:lang w:val="en-GB"/>
              </w:rPr>
            </w:pPr>
            <w:r w:rsidRPr="0052262B">
              <w:t>A population pharmacokinetic/</w:t>
            </w:r>
            <w:proofErr w:type="spellStart"/>
            <w:r w:rsidRPr="0052262B">
              <w:t>pharmacodynamic</w:t>
            </w:r>
            <w:proofErr w:type="spellEnd"/>
            <w:r w:rsidRPr="0052262B">
              <w:t xml:space="preserve"> analysis of Phase II and Phase III clinical study data showed an exposure-response relationship between plasma concentration of CIMZIA and efficacy using a maximum effect (</w:t>
            </w:r>
            <w:proofErr w:type="spellStart"/>
            <w:r w:rsidRPr="0052262B">
              <w:t>E</w:t>
            </w:r>
            <w:r w:rsidRPr="0052262B">
              <w:rPr>
                <w:vertAlign w:val="subscript"/>
              </w:rPr>
              <w:t>max</w:t>
            </w:r>
            <w:proofErr w:type="spellEnd"/>
            <w:r w:rsidRPr="0052262B">
              <w:t>) model for ACR20 response. The typical average plasma concentration during the dose interval (</w:t>
            </w:r>
            <w:proofErr w:type="spellStart"/>
            <w:r w:rsidRPr="0052262B">
              <w:t>C</w:t>
            </w:r>
            <w:r w:rsidRPr="0052262B">
              <w:rPr>
                <w:vertAlign w:val="subscript"/>
              </w:rPr>
              <w:t>avg</w:t>
            </w:r>
            <w:proofErr w:type="spellEnd"/>
            <w:r w:rsidRPr="0052262B">
              <w:t>) that produces half the maximum probability of ACR20 response (EC</w:t>
            </w:r>
            <w:r w:rsidRPr="0052262B">
              <w:rPr>
                <w:vertAlign w:val="subscript"/>
              </w:rPr>
              <w:t>50</w:t>
            </w:r>
            <w:r w:rsidRPr="0052262B">
              <w:t xml:space="preserve">) was </w:t>
            </w:r>
            <w:proofErr w:type="gramStart"/>
            <w:r w:rsidRPr="0052262B">
              <w:t>17</w:t>
            </w:r>
            <w:r w:rsidR="00E63EDF">
              <w:t> </w:t>
            </w:r>
            <w:r w:rsidRPr="0052262B">
              <w:t>µg/mL</w:t>
            </w:r>
            <w:proofErr w:type="gramEnd"/>
            <w:r w:rsidRPr="0052262B">
              <w:t xml:space="preserve"> (95% CI: 10-23</w:t>
            </w:r>
            <w:r w:rsidR="00E63EDF">
              <w:t> </w:t>
            </w:r>
            <w:r w:rsidR="00441234">
              <w:t>µg/mL).</w:t>
            </w:r>
          </w:p>
        </w:tc>
      </w:tr>
      <w:tr w:rsidR="00D97490" w:rsidRPr="0052262B" w:rsidTr="00D97490">
        <w:trPr>
          <w:trHeight w:val="416"/>
        </w:trPr>
        <w:tc>
          <w:tcPr>
            <w:tcW w:w="9127" w:type="dxa"/>
            <w:tcBorders>
              <w:top w:val="single" w:sz="4" w:space="0" w:color="auto"/>
              <w:left w:val="single" w:sz="4" w:space="0" w:color="auto"/>
              <w:bottom w:val="nil"/>
              <w:right w:val="single" w:sz="4" w:space="0" w:color="auto"/>
            </w:tcBorders>
          </w:tcPr>
          <w:p w:rsidR="00D97490" w:rsidRPr="00D97490" w:rsidRDefault="00D97490" w:rsidP="00183159">
            <w:pPr>
              <w:pStyle w:val="Paragraph"/>
              <w:keepNext/>
              <w:rPr>
                <w:rFonts w:ascii="Arial" w:hAnsi="Arial" w:cs="Arial"/>
                <w:b/>
                <w:i/>
                <w:sz w:val="26"/>
                <w:szCs w:val="26"/>
                <w:lang w:val="en-GB"/>
              </w:rPr>
            </w:pPr>
            <w:r w:rsidRPr="00D97490">
              <w:rPr>
                <w:rFonts w:ascii="Arial" w:hAnsi="Arial" w:cs="Arial"/>
                <w:b/>
                <w:sz w:val="26"/>
                <w:szCs w:val="26"/>
                <w:lang w:val="en-GB" w:eastAsia="en-AU"/>
              </w:rPr>
              <w:lastRenderedPageBreak/>
              <w:t>CLINICAL TRIALS</w:t>
            </w:r>
          </w:p>
        </w:tc>
      </w:tr>
      <w:tr w:rsidR="001C1840" w:rsidRPr="0052262B" w:rsidTr="00D97490">
        <w:trPr>
          <w:trHeight w:val="1873"/>
        </w:trPr>
        <w:tc>
          <w:tcPr>
            <w:tcW w:w="9127" w:type="dxa"/>
            <w:tcBorders>
              <w:top w:val="single" w:sz="4" w:space="0" w:color="auto"/>
              <w:left w:val="single" w:sz="4" w:space="0" w:color="auto"/>
              <w:bottom w:val="nil"/>
              <w:right w:val="single" w:sz="4" w:space="0" w:color="auto"/>
            </w:tcBorders>
          </w:tcPr>
          <w:p w:rsidR="005E7DC3" w:rsidRPr="00495FE7" w:rsidRDefault="005E7DC3" w:rsidP="00183159">
            <w:pPr>
              <w:pStyle w:val="Paragraph"/>
              <w:keepNext/>
              <w:rPr>
                <w:i/>
                <w:u w:val="single"/>
                <w:lang w:val="en-GB"/>
              </w:rPr>
            </w:pPr>
            <w:r w:rsidRPr="00495FE7">
              <w:rPr>
                <w:i/>
                <w:u w:val="single"/>
                <w:lang w:val="en-GB"/>
              </w:rPr>
              <w:t>Rheumatoid arthritis</w:t>
            </w:r>
          </w:p>
          <w:p w:rsidR="001C1840" w:rsidRPr="008B4EEF" w:rsidRDefault="001C1840" w:rsidP="00183159">
            <w:pPr>
              <w:pStyle w:val="Paragraph"/>
              <w:keepNext/>
              <w:rPr>
                <w:lang w:val="en-GB"/>
              </w:rPr>
            </w:pPr>
            <w:r w:rsidRPr="0052262B">
              <w:rPr>
                <w:lang w:val="en-GB"/>
              </w:rPr>
              <w:t>The efficacy and safety of CIMZIA were assessed in four randomi</w:t>
            </w:r>
            <w:r w:rsidR="00E63EDF">
              <w:rPr>
                <w:lang w:val="en-GB"/>
              </w:rPr>
              <w:t>s</w:t>
            </w:r>
            <w:r w:rsidRPr="0052262B">
              <w:rPr>
                <w:lang w:val="en-GB"/>
              </w:rPr>
              <w:t xml:space="preserve">ed, placebo-controlled, double-blind studies (RA-I, RA-II, RA-III, and RA-IV) in patients ≥ 18 years of age with moderately to severely active rheumatoid arthritis diagnosed according to the American College of Rheumatology (ACR) criteria.  Patients had ≥ 9 swollen and tender joints and had active </w:t>
            </w:r>
            <w:r w:rsidR="005F6AD0" w:rsidRPr="0052262B">
              <w:rPr>
                <w:lang w:val="en-GB"/>
              </w:rPr>
              <w:t>disease</w:t>
            </w:r>
            <w:r w:rsidRPr="0052262B">
              <w:rPr>
                <w:lang w:val="en-GB"/>
              </w:rPr>
              <w:t xml:space="preserve"> for at least 6 months prior to baseline.</w:t>
            </w:r>
            <w:r w:rsidR="000477D9" w:rsidRPr="0052262B">
              <w:rPr>
                <w:lang w:val="en-GB"/>
              </w:rPr>
              <w:t xml:space="preserve"> Further inclusion criteria for these trials comprised women</w:t>
            </w:r>
            <w:r w:rsidR="003C6559" w:rsidRPr="0052262B">
              <w:rPr>
                <w:lang w:val="en-GB"/>
              </w:rPr>
              <w:t xml:space="preserve"> being postmenopausal, surgically incapable of child bearing or effectively practicing birth control.</w:t>
            </w:r>
            <w:r w:rsidR="000477D9" w:rsidRPr="0052262B">
              <w:rPr>
                <w:lang w:val="en-GB"/>
              </w:rPr>
              <w:t xml:space="preserve"> </w:t>
            </w:r>
            <w:r w:rsidR="002133DA" w:rsidRPr="0052262B">
              <w:rPr>
                <w:lang w:val="en-GB"/>
              </w:rPr>
              <w:t>Exclusion criteria for these studies were</w:t>
            </w:r>
            <w:r w:rsidR="000477D9" w:rsidRPr="0052262B">
              <w:rPr>
                <w:lang w:val="en-GB"/>
              </w:rPr>
              <w:t xml:space="preserve"> based on medical assessment of conditions</w:t>
            </w:r>
            <w:r w:rsidR="003C6559" w:rsidRPr="0052262B">
              <w:rPr>
                <w:lang w:val="en-GB"/>
              </w:rPr>
              <w:t xml:space="preserve"> covered in the PRECAUTIONS and ADVERSE EFFECTS sections.</w:t>
            </w:r>
            <w:r w:rsidRPr="0052262B">
              <w:rPr>
                <w:lang w:val="en-GB"/>
              </w:rPr>
              <w:t xml:space="preserve"> CIMZIA was administered subcutaneously in combination with MTX at stable doses of at least 10 mg weekly in Studies </w:t>
            </w:r>
            <w:r w:rsidRPr="008B4EEF">
              <w:rPr>
                <w:lang w:val="en-GB"/>
              </w:rPr>
              <w:t>RA-I</w:t>
            </w:r>
            <w:r w:rsidR="00331AC5" w:rsidRPr="008B4EEF">
              <w:rPr>
                <w:lang w:val="en-GB"/>
              </w:rPr>
              <w:t xml:space="preserve"> and</w:t>
            </w:r>
            <w:r w:rsidRPr="008B4EEF">
              <w:rPr>
                <w:lang w:val="en-GB"/>
              </w:rPr>
              <w:t xml:space="preserve"> RA-II and</w:t>
            </w:r>
            <w:r w:rsidR="00331AC5" w:rsidRPr="008B4EEF">
              <w:rPr>
                <w:lang w:val="en-GB"/>
              </w:rPr>
              <w:t xml:space="preserve"> stable doses of at least 15 mg weekly in study</w:t>
            </w:r>
            <w:r w:rsidRPr="008B4EEF">
              <w:rPr>
                <w:lang w:val="en-GB"/>
              </w:rPr>
              <w:t xml:space="preserve"> RA-IV.  CIMZIA was administered as monotherapy in Study RA-III.</w:t>
            </w:r>
            <w:r w:rsidR="00750D28" w:rsidRPr="008B4EEF">
              <w:rPr>
                <w:lang w:val="en-GB"/>
              </w:rPr>
              <w:t xml:space="preserve"> There is no experience with C</w:t>
            </w:r>
            <w:r w:rsidR="00DD24E8">
              <w:rPr>
                <w:lang w:val="en-GB"/>
              </w:rPr>
              <w:t>IMZIA</w:t>
            </w:r>
            <w:r w:rsidR="00750D28" w:rsidRPr="008B4EEF">
              <w:rPr>
                <w:lang w:val="en-GB"/>
              </w:rPr>
              <w:t xml:space="preserve"> in combination with DMARDs other than MTX.</w:t>
            </w:r>
          </w:p>
          <w:p w:rsidR="001C1840" w:rsidRPr="008B4EEF" w:rsidRDefault="001C1840" w:rsidP="00183159">
            <w:pPr>
              <w:pStyle w:val="Paragraph"/>
              <w:keepNext/>
              <w:rPr>
                <w:lang w:val="en-GB"/>
              </w:rPr>
            </w:pPr>
            <w:r w:rsidRPr="0052262B">
              <w:rPr>
                <w:lang w:val="en-GB"/>
              </w:rPr>
              <w:t>Study RA-I and Study RA</w:t>
            </w:r>
            <w:r w:rsidRPr="008B4EEF">
              <w:rPr>
                <w:lang w:val="en-GB"/>
              </w:rPr>
              <w:t>-II</w:t>
            </w:r>
            <w:r w:rsidR="00285621" w:rsidRPr="008B4EEF">
              <w:rPr>
                <w:lang w:val="en-GB"/>
              </w:rPr>
              <w:t xml:space="preserve">, the pivotal efficacy and safety trials, </w:t>
            </w:r>
            <w:r w:rsidRPr="008B4EEF">
              <w:rPr>
                <w:lang w:val="en-GB"/>
              </w:rPr>
              <w:t>evaluated patients</w:t>
            </w:r>
            <w:r w:rsidRPr="0052262B">
              <w:rPr>
                <w:lang w:val="en-GB"/>
              </w:rPr>
              <w:t xml:space="preserve"> who had received MTX for at least 6 months prior to study medication, but had an incomplete response to MTX alone. Patients were treated with a loading dose of 400 mg at Weeks 0, 2 and 4 (for both treatment arms) or placebo followed by either 200 mg or 400 mg of CIMZIA or placebo every other week, in combination with MTX for 52 weeks in Study RA-I and for 24 weeks in Study RA-II.  Patients were evaluated for signs and symptoms and structural damage using the ACR20 response at Week 24 (RA-I and RA-II) and modified Total Sharp Score (</w:t>
            </w:r>
            <w:proofErr w:type="spellStart"/>
            <w:r w:rsidRPr="0052262B">
              <w:rPr>
                <w:lang w:val="en-GB"/>
              </w:rPr>
              <w:t>mTSS</w:t>
            </w:r>
            <w:proofErr w:type="spellEnd"/>
            <w:r w:rsidRPr="0052262B">
              <w:rPr>
                <w:lang w:val="en-GB"/>
              </w:rPr>
              <w:t xml:space="preserve">) at </w:t>
            </w:r>
            <w:r w:rsidRPr="008B4EEF">
              <w:rPr>
                <w:lang w:val="en-GB"/>
              </w:rPr>
              <w:t xml:space="preserve">Week 52 (RA-I).  The open-label extension follow-up studies to RA-I and RA-II </w:t>
            </w:r>
            <w:r w:rsidR="002F0BF9" w:rsidRPr="008B4EEF">
              <w:rPr>
                <w:lang w:val="en-GB"/>
              </w:rPr>
              <w:t>enrolled</w:t>
            </w:r>
            <w:r w:rsidRPr="008B4EEF">
              <w:rPr>
                <w:lang w:val="en-GB"/>
              </w:rPr>
              <w:t xml:space="preserve"> 847 and 567 patients respectively, all of whom received </w:t>
            </w:r>
            <w:r w:rsidR="005D650B" w:rsidRPr="008B4EEF">
              <w:rPr>
                <w:lang w:val="en-GB"/>
              </w:rPr>
              <w:t>400 mg</w:t>
            </w:r>
            <w:r w:rsidR="00E758F2" w:rsidRPr="008B4EEF">
              <w:rPr>
                <w:lang w:val="en-GB"/>
              </w:rPr>
              <w:t xml:space="preserve"> of CIMZIA+MTX</w:t>
            </w:r>
            <w:r w:rsidR="005D650B" w:rsidRPr="008B4EEF">
              <w:rPr>
                <w:lang w:val="en-GB"/>
              </w:rPr>
              <w:t xml:space="preserve"> every other week for at least 6 months and then </w:t>
            </w:r>
            <w:r w:rsidR="001B03D9" w:rsidRPr="008B4EEF">
              <w:rPr>
                <w:lang w:val="en-GB"/>
              </w:rPr>
              <w:t>2</w:t>
            </w:r>
            <w:r w:rsidRPr="008B4EEF">
              <w:rPr>
                <w:lang w:val="en-GB"/>
              </w:rPr>
              <w:t>00 mg of CIMZIA+MTX every other week</w:t>
            </w:r>
            <w:r w:rsidRPr="0017640C">
              <w:rPr>
                <w:lang w:val="en-GB"/>
              </w:rPr>
              <w:t>.</w:t>
            </w:r>
            <w:r w:rsidR="005C5AE7" w:rsidRPr="0017640C">
              <w:t xml:space="preserve"> Over the time period of 6.5-years from first subject enrolled to final subject completed in the two pivotal extension studies to RA-I and RA-II, the overall withdrawal rate from the two open-label extension studies was approximately 40%.  Approximately 16% of the</w:t>
            </w:r>
            <w:r w:rsidR="00630B49" w:rsidRPr="0017640C">
              <w:t xml:space="preserve"> total</w:t>
            </w:r>
            <w:r w:rsidR="005C5AE7" w:rsidRPr="0017640C">
              <w:t xml:space="preserve"> subjects from each study had subject decision as the reason for withdrawal and for approximately 17%</w:t>
            </w:r>
            <w:proofErr w:type="gramStart"/>
            <w:r w:rsidR="005C5AE7" w:rsidRPr="0017640C">
              <w:t>,</w:t>
            </w:r>
            <w:proofErr w:type="gramEnd"/>
            <w:r w:rsidR="005C5AE7" w:rsidRPr="0017640C">
              <w:t xml:space="preserve"> the reason was an adverse event.  For both studies, less than 5% had reasons of lack of efficacy, protocol noncompliance, lost to follow-up or other.</w:t>
            </w:r>
          </w:p>
          <w:p w:rsidR="001C1840" w:rsidRPr="008B4EEF" w:rsidRDefault="001C1840" w:rsidP="00183159">
            <w:pPr>
              <w:pStyle w:val="Paragraph"/>
              <w:keepNext/>
              <w:rPr>
                <w:lang w:val="en-GB"/>
              </w:rPr>
            </w:pPr>
            <w:r w:rsidRPr="008B4EEF">
              <w:rPr>
                <w:lang w:val="en-GB"/>
              </w:rPr>
              <w:t>Study RA-III (monotherapy)</w:t>
            </w:r>
            <w:r w:rsidR="000B51D1" w:rsidRPr="008B4EEF">
              <w:rPr>
                <w:lang w:val="en-GB"/>
              </w:rPr>
              <w:t xml:space="preserve">, a supportive efficacy and safety trial, </w:t>
            </w:r>
            <w:r w:rsidRPr="008B4EEF">
              <w:rPr>
                <w:lang w:val="en-GB"/>
              </w:rPr>
              <w:t>evaluated 220 patients who had failed at least one DMARD</w:t>
            </w:r>
            <w:r w:rsidR="005F6AD0" w:rsidRPr="008B4EEF">
              <w:rPr>
                <w:lang w:val="en-GB"/>
              </w:rPr>
              <w:t xml:space="preserve"> </w:t>
            </w:r>
            <w:r w:rsidRPr="008B4EEF">
              <w:rPr>
                <w:lang w:val="en-GB"/>
              </w:rPr>
              <w:t>prior to receiving CIMZIA. Patients were treated with CIMZIA 400 mg or placebo every 4 weeks for 24 weeks</w:t>
            </w:r>
            <w:r w:rsidR="00ED5B37" w:rsidRPr="008B4EEF">
              <w:rPr>
                <w:lang w:val="en-GB"/>
              </w:rPr>
              <w:t xml:space="preserve"> (the monotherapy maintenance dose of 200 mg every 2 weeks has not been formally evaluated in a clinical trial)</w:t>
            </w:r>
            <w:r w:rsidRPr="008B4EEF">
              <w:rPr>
                <w:lang w:val="en-GB"/>
              </w:rPr>
              <w:t>.  Patients were evaluated for signs and symptoms using the ACR20 at Week 24.</w:t>
            </w:r>
          </w:p>
          <w:p w:rsidR="00E80896" w:rsidRDefault="001C1840" w:rsidP="00183159">
            <w:pPr>
              <w:pStyle w:val="Paragraph"/>
              <w:keepNext/>
              <w:rPr>
                <w:rFonts w:eastAsia="MS PMincho"/>
                <w:lang w:val="en-GB"/>
              </w:rPr>
            </w:pPr>
            <w:r w:rsidRPr="008B4EEF">
              <w:rPr>
                <w:rFonts w:eastAsia="MS PMincho"/>
                <w:lang w:val="en-GB"/>
              </w:rPr>
              <w:t>Study RA-IV</w:t>
            </w:r>
            <w:r w:rsidR="000A5BF2" w:rsidRPr="008B4EEF">
              <w:rPr>
                <w:rFonts w:eastAsia="MS PMincho"/>
                <w:lang w:val="en-GB"/>
              </w:rPr>
              <w:t>, another supportive efficacy and safety trial,</w:t>
            </w:r>
            <w:r w:rsidRPr="008B4EEF">
              <w:rPr>
                <w:rFonts w:eastAsia="MS PMincho"/>
                <w:lang w:val="en-GB"/>
              </w:rPr>
              <w:t xml:space="preserve"> evaluated 247 patients who had active disease despite receiving MTX for at least 6 months prior to</w:t>
            </w:r>
            <w:r w:rsidRPr="0052262B">
              <w:rPr>
                <w:rFonts w:eastAsia="MS PMincho"/>
                <w:lang w:val="en-GB"/>
              </w:rPr>
              <w:t xml:space="preserve"> study </w:t>
            </w:r>
            <w:r w:rsidR="00A906D6" w:rsidRPr="0052262B">
              <w:rPr>
                <w:rFonts w:eastAsia="MS PMincho"/>
                <w:lang w:val="en-GB"/>
              </w:rPr>
              <w:t>enrolment</w:t>
            </w:r>
            <w:r w:rsidRPr="0052262B">
              <w:rPr>
                <w:rFonts w:eastAsia="MS PMincho"/>
                <w:lang w:val="en-GB"/>
              </w:rPr>
              <w:t>. Patients received 400 mg of CIMZIA every 4 weeks for 24 weeks without a prior loading dose, in combination with MTX. Patients were evaluated for signs and symptoms using the ACR20 at Week 24.</w:t>
            </w:r>
          </w:p>
          <w:p w:rsidR="00E14F72" w:rsidRDefault="00E80896" w:rsidP="00A031D1">
            <w:pPr>
              <w:pStyle w:val="Paragraph"/>
              <w:keepNext/>
              <w:rPr>
                <w:rFonts w:eastAsia="MS PMincho"/>
                <w:lang w:val="en-GB"/>
              </w:rPr>
            </w:pPr>
            <w:r w:rsidRPr="00E80896">
              <w:rPr>
                <w:rFonts w:eastAsia="MS PMincho"/>
                <w:lang w:val="en-GB"/>
              </w:rPr>
              <w:t xml:space="preserve">The efficacy and safety of </w:t>
            </w:r>
            <w:r w:rsidR="00844A32">
              <w:rPr>
                <w:rFonts w:eastAsia="MS PMincho"/>
                <w:lang w:val="en-GB"/>
              </w:rPr>
              <w:t>CIMZIA</w:t>
            </w:r>
            <w:r w:rsidRPr="00E80896">
              <w:rPr>
                <w:rFonts w:eastAsia="MS PMincho"/>
                <w:lang w:val="en-GB"/>
              </w:rPr>
              <w:t xml:space="preserve"> was assessed in DMARD-naïve adu</w:t>
            </w:r>
            <w:r>
              <w:rPr>
                <w:rFonts w:eastAsia="MS PMincho"/>
                <w:lang w:val="en-GB"/>
              </w:rPr>
              <w:t xml:space="preserve">lt patients with active RA in a </w:t>
            </w:r>
            <w:r w:rsidRPr="00E80896">
              <w:rPr>
                <w:rFonts w:eastAsia="MS PMincho"/>
                <w:lang w:val="en-GB"/>
              </w:rPr>
              <w:t xml:space="preserve">randomized, placebo-controlled, double-blind clinical trial </w:t>
            </w:r>
            <w:r>
              <w:rPr>
                <w:rFonts w:eastAsia="MS PMincho"/>
                <w:lang w:val="en-GB"/>
              </w:rPr>
              <w:t xml:space="preserve">(C-EARLY). In the C-EARLY trial </w:t>
            </w:r>
            <w:r w:rsidRPr="00E80896">
              <w:rPr>
                <w:rFonts w:eastAsia="MS PMincho"/>
                <w:lang w:val="en-GB"/>
              </w:rPr>
              <w:t xml:space="preserve">patients were ≥ 18 years of age </w:t>
            </w:r>
            <w:r>
              <w:rPr>
                <w:rFonts w:eastAsia="MS PMincho"/>
                <w:lang w:val="en-GB"/>
              </w:rPr>
              <w:t xml:space="preserve">and must have been </w:t>
            </w:r>
            <w:r w:rsidRPr="00E80896">
              <w:rPr>
                <w:rFonts w:eastAsia="MS PMincho"/>
                <w:lang w:val="en-GB"/>
              </w:rPr>
              <w:t>diagnosed with moderate to severe active and progressive RA within 1 year (as defined by the 2010</w:t>
            </w:r>
            <w:r>
              <w:rPr>
                <w:rFonts w:eastAsia="MS PMincho"/>
                <w:lang w:val="en-GB"/>
              </w:rPr>
              <w:t xml:space="preserve"> </w:t>
            </w:r>
            <w:r w:rsidRPr="00E80896">
              <w:rPr>
                <w:rFonts w:eastAsia="MS PMincho"/>
                <w:lang w:val="en-GB"/>
              </w:rPr>
              <w:lastRenderedPageBreak/>
              <w:t>ACR/European League Against Rheumat</w:t>
            </w:r>
            <w:r w:rsidR="00A91944">
              <w:rPr>
                <w:rFonts w:eastAsia="MS PMincho"/>
                <w:lang w:val="en-GB"/>
              </w:rPr>
              <w:t>ism</w:t>
            </w:r>
            <w:r w:rsidRPr="00E80896">
              <w:rPr>
                <w:rFonts w:eastAsia="MS PMincho"/>
                <w:lang w:val="en-GB"/>
              </w:rPr>
              <w:t xml:space="preserve"> (EULAR) classification criteria). </w:t>
            </w:r>
            <w:r w:rsidR="00E42397" w:rsidRPr="00E42397">
              <w:rPr>
                <w:rFonts w:eastAsia="MS PMincho"/>
                <w:lang w:val="en-GB"/>
              </w:rPr>
              <w:t>At baseline, 96.9% of subjects in</w:t>
            </w:r>
            <w:r w:rsidR="00E42397">
              <w:rPr>
                <w:rFonts w:eastAsia="MS PMincho"/>
                <w:lang w:val="en-GB"/>
              </w:rPr>
              <w:t xml:space="preserve"> the</w:t>
            </w:r>
            <w:r w:rsidR="00E42397" w:rsidRPr="00E42397">
              <w:rPr>
                <w:rFonts w:eastAsia="MS PMincho"/>
                <w:lang w:val="en-GB"/>
              </w:rPr>
              <w:t xml:space="preserve"> </w:t>
            </w:r>
            <w:r w:rsidR="00844A32">
              <w:rPr>
                <w:rFonts w:eastAsia="MS PMincho"/>
                <w:lang w:val="en-GB"/>
              </w:rPr>
              <w:t>CIMZIA</w:t>
            </w:r>
            <w:r w:rsidR="00E42397" w:rsidRPr="00E42397">
              <w:rPr>
                <w:rFonts w:eastAsia="MS PMincho"/>
                <w:lang w:val="en-GB"/>
              </w:rPr>
              <w:t>+MTX arm and 95.3% subjects</w:t>
            </w:r>
            <w:r w:rsidR="00E42397">
              <w:rPr>
                <w:rFonts w:eastAsia="MS PMincho"/>
                <w:lang w:val="en-GB"/>
              </w:rPr>
              <w:t xml:space="preserve"> in the</w:t>
            </w:r>
            <w:r w:rsidR="00E42397" w:rsidRPr="00E42397">
              <w:rPr>
                <w:rFonts w:eastAsia="MS PMincho"/>
                <w:lang w:val="en-GB"/>
              </w:rPr>
              <w:t xml:space="preserve"> PBO+MTX arm had severe RA defined</w:t>
            </w:r>
            <w:r w:rsidR="00A31EFC">
              <w:rPr>
                <w:rFonts w:eastAsia="MS PMincho"/>
                <w:lang w:val="en-GB"/>
              </w:rPr>
              <w:t xml:space="preserve"> as high disease activity &gt; 5.1.</w:t>
            </w:r>
            <w:r w:rsidR="00A75FB2">
              <w:rPr>
                <w:rFonts w:eastAsia="MS PMincho"/>
                <w:lang w:val="en-GB"/>
              </w:rPr>
              <w:t xml:space="preserve"> </w:t>
            </w:r>
            <w:r w:rsidR="00A31EFC">
              <w:rPr>
                <w:rFonts w:eastAsia="MS PMincho"/>
                <w:lang w:val="en-GB"/>
              </w:rPr>
              <w:t>S</w:t>
            </w:r>
            <w:r w:rsidR="00E42397" w:rsidRPr="00E42397">
              <w:rPr>
                <w:rFonts w:eastAsia="MS PMincho"/>
                <w:lang w:val="en-GB"/>
              </w:rPr>
              <w:t>ubjects</w:t>
            </w:r>
            <w:r w:rsidR="00A31EFC">
              <w:rPr>
                <w:rFonts w:eastAsia="MS PMincho"/>
                <w:lang w:val="en-GB"/>
              </w:rPr>
              <w:t xml:space="preserve"> that</w:t>
            </w:r>
            <w:r w:rsidR="00E42397" w:rsidRPr="00E42397">
              <w:rPr>
                <w:rFonts w:eastAsia="MS PMincho"/>
                <w:lang w:val="en-GB"/>
              </w:rPr>
              <w:t xml:space="preserve"> had active disease</w:t>
            </w:r>
            <w:r w:rsidR="00A31EFC">
              <w:rPr>
                <w:rFonts w:eastAsia="MS PMincho"/>
                <w:lang w:val="en-GB"/>
              </w:rPr>
              <w:t xml:space="preserve"> were</w:t>
            </w:r>
            <w:r w:rsidR="00E42397" w:rsidRPr="00E42397">
              <w:rPr>
                <w:rFonts w:eastAsia="MS PMincho"/>
                <w:lang w:val="en-GB"/>
              </w:rPr>
              <w:t xml:space="preserve"> defined</w:t>
            </w:r>
            <w:r w:rsidR="00A31EFC">
              <w:rPr>
                <w:rFonts w:eastAsia="MS PMincho"/>
                <w:lang w:val="en-GB"/>
              </w:rPr>
              <w:t xml:space="preserve"> by</w:t>
            </w:r>
            <w:r w:rsidR="00E14F72">
              <w:rPr>
                <w:rFonts w:eastAsia="MS PMincho"/>
                <w:lang w:val="en-GB"/>
              </w:rPr>
              <w:t>:</w:t>
            </w:r>
          </w:p>
          <w:p w:rsidR="00E14F72" w:rsidRPr="00E14F72" w:rsidRDefault="00E42397" w:rsidP="00267168">
            <w:pPr>
              <w:pStyle w:val="Paragraph"/>
              <w:keepNext/>
              <w:numPr>
                <w:ilvl w:val="0"/>
                <w:numId w:val="23"/>
              </w:numPr>
              <w:rPr>
                <w:rFonts w:eastAsia="MS PMincho"/>
              </w:rPr>
            </w:pPr>
            <w:r w:rsidRPr="00E42397">
              <w:rPr>
                <w:rFonts w:eastAsia="MS PMincho"/>
                <w:lang w:val="en-GB"/>
              </w:rPr>
              <w:t>≥4 swollen and tender joints</w:t>
            </w:r>
            <w:r w:rsidR="00FB47AA">
              <w:rPr>
                <w:rFonts w:eastAsia="MS PMincho"/>
                <w:lang w:val="en-GB"/>
              </w:rPr>
              <w:t xml:space="preserve"> </w:t>
            </w:r>
            <w:r w:rsidR="00A75FB2">
              <w:rPr>
                <w:rFonts w:eastAsia="MS PMincho"/>
                <w:lang w:val="en-GB"/>
              </w:rPr>
              <w:t>each</w:t>
            </w:r>
            <w:r w:rsidR="00A75FB2" w:rsidRPr="00E42397">
              <w:rPr>
                <w:rFonts w:eastAsia="MS PMincho"/>
                <w:lang w:val="en-GB"/>
              </w:rPr>
              <w:t xml:space="preserve"> </w:t>
            </w:r>
            <w:r w:rsidRPr="00E42397">
              <w:rPr>
                <w:rFonts w:eastAsia="MS PMincho"/>
                <w:lang w:val="en-GB"/>
              </w:rPr>
              <w:t>(DA</w:t>
            </w:r>
            <w:r w:rsidR="00A31EFC">
              <w:rPr>
                <w:rFonts w:eastAsia="MS PMincho"/>
                <w:lang w:val="en-GB"/>
              </w:rPr>
              <w:t xml:space="preserve">S28) at </w:t>
            </w:r>
            <w:r w:rsidR="00B05A05">
              <w:rPr>
                <w:rFonts w:eastAsia="MS PMincho"/>
                <w:lang w:val="en-GB"/>
              </w:rPr>
              <w:t>S</w:t>
            </w:r>
            <w:r w:rsidR="00A31EFC">
              <w:rPr>
                <w:rFonts w:eastAsia="MS PMincho"/>
                <w:lang w:val="en-GB"/>
              </w:rPr>
              <w:t>creening and Baseline,</w:t>
            </w:r>
            <w:r w:rsidRPr="00E42397">
              <w:rPr>
                <w:rFonts w:eastAsia="MS PMincho"/>
                <w:lang w:val="en-GB"/>
              </w:rPr>
              <w:t xml:space="preserve"> </w:t>
            </w:r>
          </w:p>
          <w:p w:rsidR="00E14F72" w:rsidRPr="00267168" w:rsidRDefault="00E42397" w:rsidP="00E14F72">
            <w:pPr>
              <w:pStyle w:val="Paragraph"/>
              <w:keepNext/>
              <w:numPr>
                <w:ilvl w:val="0"/>
                <w:numId w:val="23"/>
              </w:numPr>
              <w:rPr>
                <w:rFonts w:eastAsia="MS PMincho"/>
              </w:rPr>
            </w:pPr>
            <w:r w:rsidRPr="00E42397">
              <w:rPr>
                <w:rFonts w:eastAsia="MS PMincho"/>
                <w:lang w:val="en-GB"/>
              </w:rPr>
              <w:t>DAS28</w:t>
            </w:r>
            <w:r w:rsidR="00A31EFC">
              <w:rPr>
                <w:rFonts w:eastAsia="MS PMincho"/>
                <w:lang w:val="en-GB"/>
              </w:rPr>
              <w:t xml:space="preserve"> </w:t>
            </w:r>
            <w:r w:rsidRPr="00E42397">
              <w:rPr>
                <w:rFonts w:eastAsia="MS PMincho"/>
                <w:lang w:val="en-GB"/>
              </w:rPr>
              <w:t>(ESR) &gt;3.2</w:t>
            </w:r>
            <w:r w:rsidR="00E14F72">
              <w:t xml:space="preserve"> </w:t>
            </w:r>
            <w:r w:rsidR="00E14F72" w:rsidRPr="00E14F72">
              <w:rPr>
                <w:rFonts w:eastAsia="MS PMincho"/>
                <w:lang w:val="en-GB"/>
              </w:rPr>
              <w:t xml:space="preserve">at </w:t>
            </w:r>
            <w:r w:rsidR="00B05A05">
              <w:rPr>
                <w:rFonts w:eastAsia="MS PMincho"/>
                <w:lang w:val="en-GB"/>
              </w:rPr>
              <w:t>S</w:t>
            </w:r>
            <w:r w:rsidR="00E14F72" w:rsidRPr="00E14F72">
              <w:rPr>
                <w:rFonts w:eastAsia="MS PMincho"/>
                <w:lang w:val="en-GB"/>
              </w:rPr>
              <w:t>creening and Baseline</w:t>
            </w:r>
            <w:r w:rsidRPr="00E42397">
              <w:rPr>
                <w:rFonts w:eastAsia="MS PMincho"/>
                <w:lang w:val="en-GB"/>
              </w:rPr>
              <w:t xml:space="preserve">, </w:t>
            </w:r>
          </w:p>
          <w:p w:rsidR="00E14F72" w:rsidRPr="00267168" w:rsidRDefault="00E42397" w:rsidP="00267168">
            <w:pPr>
              <w:pStyle w:val="Paragraph"/>
              <w:keepNext/>
              <w:numPr>
                <w:ilvl w:val="0"/>
                <w:numId w:val="23"/>
              </w:numPr>
              <w:rPr>
                <w:rFonts w:eastAsia="MS PMincho"/>
              </w:rPr>
            </w:pPr>
            <w:r w:rsidRPr="00E42397">
              <w:rPr>
                <w:rFonts w:eastAsia="MS PMincho"/>
                <w:lang w:val="en-GB"/>
              </w:rPr>
              <w:t xml:space="preserve">CRP ≥10mg/L at </w:t>
            </w:r>
            <w:r w:rsidR="00B05A05">
              <w:rPr>
                <w:rFonts w:eastAsia="MS PMincho"/>
                <w:lang w:val="en-GB"/>
              </w:rPr>
              <w:t>S</w:t>
            </w:r>
            <w:r w:rsidRPr="00E42397">
              <w:rPr>
                <w:rFonts w:eastAsia="MS PMincho"/>
                <w:lang w:val="en-GB"/>
              </w:rPr>
              <w:t xml:space="preserve">creening and/or ESR ≥28mm/h at Screening and Baseline. </w:t>
            </w:r>
          </w:p>
          <w:p w:rsidR="00E80896" w:rsidRPr="0052262B" w:rsidRDefault="00E42397" w:rsidP="009D429C">
            <w:pPr>
              <w:pStyle w:val="Paragraph"/>
              <w:keepNext/>
              <w:ind w:left="60"/>
              <w:rPr>
                <w:rFonts w:eastAsia="MS PMincho"/>
                <w:lang w:val="en-GB"/>
              </w:rPr>
            </w:pPr>
            <w:r w:rsidRPr="00E42397">
              <w:rPr>
                <w:rFonts w:eastAsia="MS PMincho"/>
                <w:lang w:val="en-GB"/>
              </w:rPr>
              <w:t xml:space="preserve">The progressive nature of disease in the study population is indicated by the high disease activity, high swollen joint count (SJC), elevated CRP and ESR, presence of ACPA and/or RA factor. At baseline 77.8% of subjects had erosion, indicating that many subjects already had radiographic progression. </w:t>
            </w:r>
            <w:r w:rsidR="00E80896" w:rsidRPr="00E80896">
              <w:rPr>
                <w:rFonts w:eastAsia="MS PMincho"/>
                <w:lang w:val="en-GB"/>
              </w:rPr>
              <w:t>Patients had a mean</w:t>
            </w:r>
            <w:r w:rsidR="00E80896">
              <w:rPr>
                <w:rFonts w:eastAsia="MS PMincho"/>
                <w:lang w:val="en-GB"/>
              </w:rPr>
              <w:t xml:space="preserve"> </w:t>
            </w:r>
            <w:r w:rsidR="00E80896" w:rsidRPr="00E80896">
              <w:rPr>
                <w:rFonts w:eastAsia="MS PMincho"/>
                <w:lang w:val="en-GB"/>
              </w:rPr>
              <w:t xml:space="preserve">time since diagnosis at baseline of 2.9 months and were DMARD </w:t>
            </w:r>
            <w:r w:rsidR="00E80896">
              <w:rPr>
                <w:rFonts w:eastAsia="MS PMincho"/>
                <w:lang w:val="en-GB"/>
              </w:rPr>
              <w:t xml:space="preserve">naïve (including MTX). </w:t>
            </w:r>
            <w:r w:rsidR="00A031D1" w:rsidRPr="00A031D1">
              <w:rPr>
                <w:rFonts w:eastAsia="MS PMincho"/>
              </w:rPr>
              <w:t>CIMZIA was administered subcutaneously in combination with</w:t>
            </w:r>
            <w:r w:rsidR="00A31EFC">
              <w:rPr>
                <w:rFonts w:eastAsia="MS PMincho"/>
              </w:rPr>
              <w:t xml:space="preserve"> orally administered</w:t>
            </w:r>
            <w:r w:rsidR="00A031D1" w:rsidRPr="00A031D1">
              <w:rPr>
                <w:rFonts w:eastAsia="MS PMincho"/>
              </w:rPr>
              <w:t xml:space="preserve"> MTX</w:t>
            </w:r>
            <w:r w:rsidR="00196A71">
              <w:rPr>
                <w:rFonts w:eastAsia="MS PMincho"/>
              </w:rPr>
              <w:t xml:space="preserve"> </w:t>
            </w:r>
            <w:r w:rsidR="00196A71" w:rsidRPr="00891E12">
              <w:rPr>
                <w:rFonts w:eastAsia="MS PMincho"/>
              </w:rPr>
              <w:t>(no CIMZIA monotherapy arm)</w:t>
            </w:r>
            <w:r w:rsidR="00A031D1" w:rsidRPr="009D429C">
              <w:rPr>
                <w:rFonts w:eastAsia="MS PMincho"/>
              </w:rPr>
              <w:t>.</w:t>
            </w:r>
            <w:r w:rsidR="00A031D1" w:rsidRPr="00A031D1">
              <w:rPr>
                <w:rFonts w:eastAsia="MS PMincho"/>
              </w:rPr>
              <w:t xml:space="preserve"> Patients were treated with a loading dose of 400 </w:t>
            </w:r>
            <w:proofErr w:type="gramStart"/>
            <w:r w:rsidR="00A031D1" w:rsidRPr="00A031D1">
              <w:rPr>
                <w:rFonts w:eastAsia="MS PMincho"/>
              </w:rPr>
              <w:t>mg  at</w:t>
            </w:r>
            <w:proofErr w:type="gramEnd"/>
            <w:r w:rsidR="00A031D1" w:rsidRPr="00A031D1">
              <w:rPr>
                <w:rFonts w:eastAsia="MS PMincho"/>
              </w:rPr>
              <w:t xml:space="preserve"> Week 0, 2 and 4 or placebo followed by 200 mg  of CIMZIA or placebo every 2 weeks during 52 weeks. </w:t>
            </w:r>
            <w:r w:rsidR="00E80896">
              <w:rPr>
                <w:rFonts w:eastAsia="MS PMincho"/>
                <w:lang w:val="en-GB"/>
              </w:rPr>
              <w:t xml:space="preserve">For both </w:t>
            </w:r>
            <w:r w:rsidR="00E80896" w:rsidRPr="00E80896">
              <w:rPr>
                <w:rFonts w:eastAsia="MS PMincho"/>
                <w:lang w:val="en-GB"/>
              </w:rPr>
              <w:t xml:space="preserve">the </w:t>
            </w:r>
            <w:r w:rsidR="00844A32">
              <w:rPr>
                <w:rFonts w:eastAsia="MS PMincho"/>
                <w:lang w:val="en-GB"/>
              </w:rPr>
              <w:t>CIMZIA</w:t>
            </w:r>
            <w:r w:rsidR="00E80896" w:rsidRPr="00E80896">
              <w:rPr>
                <w:rFonts w:eastAsia="MS PMincho"/>
                <w:lang w:val="en-GB"/>
              </w:rPr>
              <w:t xml:space="preserve"> and placebo arms, MTX was initiated as of Week 0 (10 m</w:t>
            </w:r>
            <w:r w:rsidR="00E80896">
              <w:rPr>
                <w:rFonts w:eastAsia="MS PMincho"/>
                <w:lang w:val="en-GB"/>
              </w:rPr>
              <w:t xml:space="preserve">g/week), titrated up to maximum </w:t>
            </w:r>
            <w:r w:rsidR="00E80896" w:rsidRPr="00E80896">
              <w:rPr>
                <w:rFonts w:eastAsia="MS PMincho"/>
                <w:lang w:val="en-GB"/>
              </w:rPr>
              <w:t>tolerated dose by Week 8 (min 15 mg/week, max 25 mg/week allo</w:t>
            </w:r>
            <w:r w:rsidR="00E80896">
              <w:rPr>
                <w:rFonts w:eastAsia="MS PMincho"/>
                <w:lang w:val="en-GB"/>
              </w:rPr>
              <w:t xml:space="preserve">wed), and maintained throughout </w:t>
            </w:r>
            <w:r w:rsidR="00E80896" w:rsidRPr="00E80896">
              <w:rPr>
                <w:rFonts w:eastAsia="MS PMincho"/>
                <w:lang w:val="en-GB"/>
              </w:rPr>
              <w:t xml:space="preserve">the study (average dose of MTX after Week 8 for placebo </w:t>
            </w:r>
            <w:r w:rsidR="00E80896">
              <w:rPr>
                <w:rFonts w:eastAsia="MS PMincho"/>
                <w:lang w:val="en-GB"/>
              </w:rPr>
              <w:t xml:space="preserve">and </w:t>
            </w:r>
            <w:r w:rsidR="00844A32">
              <w:rPr>
                <w:rFonts w:eastAsia="MS PMincho"/>
                <w:lang w:val="en-GB"/>
              </w:rPr>
              <w:t>CIMZIA</w:t>
            </w:r>
            <w:r w:rsidR="00E80896">
              <w:rPr>
                <w:rFonts w:eastAsia="MS PMincho"/>
                <w:lang w:val="en-GB"/>
              </w:rPr>
              <w:t xml:space="preserve"> was 22.3 mg/week and </w:t>
            </w:r>
            <w:r w:rsidR="00E80896" w:rsidRPr="00E80896">
              <w:rPr>
                <w:rFonts w:eastAsia="MS PMincho"/>
                <w:lang w:val="en-GB"/>
              </w:rPr>
              <w:t>21.1 mg/week respectively).</w:t>
            </w:r>
            <w:r w:rsidR="00A031D1">
              <w:rPr>
                <w:rFonts w:eastAsia="MS PMincho"/>
                <w:lang w:val="en-GB"/>
              </w:rPr>
              <w:t xml:space="preserve"> </w:t>
            </w:r>
            <w:r w:rsidR="00A031D1" w:rsidRPr="00A031D1">
              <w:rPr>
                <w:rFonts w:eastAsia="MS PMincho"/>
                <w:lang w:val="en-GB"/>
              </w:rPr>
              <w:t xml:space="preserve">Patients were evaluated for signs and symptoms using the proportion of subjects in sustained remission at Week 52. Sustained remission is defined as </w:t>
            </w:r>
            <w:proofErr w:type="gramStart"/>
            <w:r w:rsidR="00A031D1" w:rsidRPr="00A031D1">
              <w:rPr>
                <w:rFonts w:eastAsia="MS PMincho"/>
                <w:lang w:val="en-GB"/>
              </w:rPr>
              <w:t>DAS28[</w:t>
            </w:r>
            <w:proofErr w:type="gramEnd"/>
            <w:r w:rsidR="00A031D1" w:rsidRPr="00A031D1">
              <w:rPr>
                <w:rFonts w:eastAsia="MS PMincho"/>
                <w:lang w:val="en-GB"/>
              </w:rPr>
              <w:t>ESR] &lt;2.6 at both Week 40 and Week 52). Structural damage was also assessed.</w:t>
            </w:r>
            <w:r w:rsidR="00215676">
              <w:rPr>
                <w:rFonts w:eastAsia="MS PMincho"/>
                <w:lang w:val="en-GB"/>
              </w:rPr>
              <w:t xml:space="preserve"> </w:t>
            </w:r>
            <w:r w:rsidR="00E53B79" w:rsidRPr="00196A71">
              <w:rPr>
                <w:rFonts w:eastAsia="MS PMincho"/>
                <w:lang w:val="en-GB"/>
              </w:rPr>
              <w:t>Subjects were withdrawn at Week 20 if no improvement in disease activity (change in DAS 28(ESR) ≤0) was observed.  Subjects were withdrawn at Week 24 if insufficient improvement at Week 20 was confirmed at Week 24 (sufficient improvement in disease activity is defined as: Low Disease Activity (</w:t>
            </w:r>
            <w:proofErr w:type="spellStart"/>
            <w:r w:rsidR="00E53B79" w:rsidRPr="00196A71">
              <w:rPr>
                <w:rFonts w:eastAsia="MS PMincho"/>
                <w:lang w:val="en-GB"/>
              </w:rPr>
              <w:t>ie</w:t>
            </w:r>
            <w:proofErr w:type="spellEnd"/>
            <w:r w:rsidR="00E53B79" w:rsidRPr="00196A71">
              <w:rPr>
                <w:rFonts w:eastAsia="MS PMincho"/>
                <w:lang w:val="en-GB"/>
              </w:rPr>
              <w:t>, DAS28 [ESR] ≤3.2) and/or, improvement in DAS 28(ESR) of ≥1.2 points since Baseline).</w:t>
            </w:r>
          </w:p>
          <w:p w:rsidR="001C1840" w:rsidRPr="00441234" w:rsidRDefault="001C1840" w:rsidP="00183159">
            <w:pPr>
              <w:pStyle w:val="Paragraph"/>
              <w:keepNext/>
              <w:rPr>
                <w:i/>
                <w:u w:val="single"/>
                <w:lang w:val="en-GB"/>
              </w:rPr>
            </w:pPr>
            <w:r w:rsidRPr="00441234">
              <w:rPr>
                <w:i/>
                <w:u w:val="single"/>
                <w:lang w:val="en-GB"/>
              </w:rPr>
              <w:t>Clinical Response</w:t>
            </w:r>
          </w:p>
          <w:p w:rsidR="001C1840" w:rsidRPr="00441234" w:rsidRDefault="001C1840" w:rsidP="00183159">
            <w:pPr>
              <w:pStyle w:val="Paragraph"/>
              <w:keepNext/>
              <w:rPr>
                <w:lang w:val="en-GB"/>
              </w:rPr>
            </w:pPr>
            <w:bookmarkStart w:id="0" w:name="NewBlok"/>
            <w:r w:rsidRPr="0052262B">
              <w:rPr>
                <w:lang w:val="en-GB"/>
              </w:rPr>
              <w:t>The percent</w:t>
            </w:r>
            <w:r w:rsidR="00B83E04">
              <w:rPr>
                <w:lang w:val="en-GB"/>
              </w:rPr>
              <w:t>age</w:t>
            </w:r>
            <w:r w:rsidRPr="0052262B">
              <w:rPr>
                <w:lang w:val="en-GB"/>
              </w:rPr>
              <w:t xml:space="preserve"> of CIMZIA-treated patients achieving ACR20, 50, and 70 responses in Studies RA-I</w:t>
            </w:r>
            <w:r w:rsidR="005B0121" w:rsidRPr="0052262B">
              <w:rPr>
                <w:lang w:val="en-GB"/>
              </w:rPr>
              <w:t>,</w:t>
            </w:r>
            <w:r w:rsidRPr="0052262B">
              <w:rPr>
                <w:lang w:val="en-GB"/>
              </w:rPr>
              <w:t xml:space="preserve"> </w:t>
            </w:r>
            <w:r w:rsidR="005B0121" w:rsidRPr="0052262B">
              <w:rPr>
                <w:lang w:val="en-GB"/>
              </w:rPr>
              <w:t xml:space="preserve">RA-II, </w:t>
            </w:r>
            <w:r w:rsidRPr="0052262B">
              <w:rPr>
                <w:lang w:val="en-GB"/>
              </w:rPr>
              <w:t>RA-III</w:t>
            </w:r>
            <w:r w:rsidR="005B0121" w:rsidRPr="0052262B">
              <w:rPr>
                <w:lang w:val="en-GB"/>
              </w:rPr>
              <w:t xml:space="preserve"> and RA-IV</w:t>
            </w:r>
            <w:r w:rsidRPr="0052262B">
              <w:rPr>
                <w:lang w:val="en-GB"/>
              </w:rPr>
              <w:t xml:space="preserve"> are shown in Table</w:t>
            </w:r>
            <w:r w:rsidR="005B0121" w:rsidRPr="0052262B">
              <w:rPr>
                <w:lang w:val="en-GB"/>
              </w:rPr>
              <w:t>s</w:t>
            </w:r>
            <w:r w:rsidRPr="0052262B">
              <w:rPr>
                <w:lang w:val="en-GB"/>
              </w:rPr>
              <w:t xml:space="preserve"> </w:t>
            </w:r>
            <w:r w:rsidR="008A44D9" w:rsidRPr="0052262B">
              <w:rPr>
                <w:lang w:val="en-GB"/>
              </w:rPr>
              <w:t>1</w:t>
            </w:r>
            <w:r w:rsidR="005B0121" w:rsidRPr="0052262B">
              <w:rPr>
                <w:lang w:val="en-GB"/>
              </w:rPr>
              <w:t xml:space="preserve"> and 2</w:t>
            </w:r>
            <w:r w:rsidRPr="0052262B">
              <w:rPr>
                <w:lang w:val="en-GB"/>
              </w:rPr>
              <w:t xml:space="preserve">. </w:t>
            </w:r>
            <w:r w:rsidR="0035589E" w:rsidRPr="0052262B">
              <w:rPr>
                <w:lang w:val="en-GB"/>
              </w:rPr>
              <w:t>In studies RA-I</w:t>
            </w:r>
            <w:r w:rsidR="005F6AD0" w:rsidRPr="0052262B">
              <w:rPr>
                <w:lang w:val="en-GB"/>
              </w:rPr>
              <w:t xml:space="preserve"> and</w:t>
            </w:r>
            <w:r w:rsidR="0035589E" w:rsidRPr="0052262B">
              <w:rPr>
                <w:lang w:val="en-GB"/>
              </w:rPr>
              <w:t xml:space="preserve"> II </w:t>
            </w:r>
            <w:r w:rsidRPr="0052262B">
              <w:rPr>
                <w:lang w:val="en-GB"/>
              </w:rPr>
              <w:t>CIMZIA-treated patients had statistically significant higher ACR20, 50 and 70 response rates at 6 months compared to placebo-treated patients.</w:t>
            </w:r>
            <w:r w:rsidR="00576337">
              <w:rPr>
                <w:lang w:val="en-GB"/>
              </w:rPr>
              <w:t xml:space="preserve"> </w:t>
            </w:r>
            <w:r w:rsidR="00576337" w:rsidRPr="00000E31">
              <w:rPr>
                <w:lang w:val="en-GB"/>
              </w:rPr>
              <w:t>There was no extra treatment benefit conferred by a dosage regimen of 400 mg every other week compared with 200 mg every other week</w:t>
            </w:r>
            <w:r w:rsidR="00576337">
              <w:rPr>
                <w:color w:val="FF0000"/>
                <w:lang w:val="en-GB"/>
              </w:rPr>
              <w:t>.</w:t>
            </w:r>
            <w:r w:rsidRPr="0052262B">
              <w:rPr>
                <w:lang w:val="en-GB"/>
              </w:rPr>
              <w:t xml:space="preserve"> The results in study RA-II (619 patients) were similar to the results in RA-I at Week 24. The results in study RA-IV (247 patients) were similar to those seen in study RA-III. Over the one-year study RA-I, 13% of CIMZIA+MTX-treated patients achieved a major clinical response, defined as achieving an ACR70 response over a continuous 6-month period, compared to 1% of </w:t>
            </w:r>
            <w:proofErr w:type="spellStart"/>
            <w:r w:rsidRPr="0052262B">
              <w:rPr>
                <w:lang w:val="en-GB"/>
              </w:rPr>
              <w:t>placebo+MTX-treated</w:t>
            </w:r>
            <w:proofErr w:type="spellEnd"/>
            <w:r w:rsidRPr="0052262B">
              <w:rPr>
                <w:lang w:val="en-GB"/>
              </w:rPr>
              <w:t xml:space="preserve"> patients.</w:t>
            </w:r>
          </w:p>
          <w:bookmarkEnd w:id="0"/>
          <w:p w:rsidR="00CC5B28" w:rsidRDefault="001C1840" w:rsidP="00183159">
            <w:pPr>
              <w:pStyle w:val="Paragraph"/>
              <w:keepNext/>
              <w:rPr>
                <w:lang w:val="en-GB"/>
              </w:rPr>
            </w:pPr>
            <w:r w:rsidRPr="0052262B">
              <w:rPr>
                <w:lang w:val="en-GB"/>
              </w:rPr>
              <w:br w:type="page"/>
            </w:r>
          </w:p>
          <w:p w:rsidR="00413B6B" w:rsidRDefault="00413B6B" w:rsidP="00183159">
            <w:pPr>
              <w:pStyle w:val="Paragraph"/>
              <w:keepNext/>
              <w:rPr>
                <w:lang w:val="en-GB"/>
              </w:rPr>
            </w:pPr>
          </w:p>
          <w:p w:rsidR="001C1840" w:rsidRPr="0052262B" w:rsidRDefault="001C1840" w:rsidP="00980027">
            <w:pPr>
              <w:keepNext/>
              <w:spacing w:after="60"/>
              <w:rPr>
                <w:b/>
                <w:bCs/>
                <w:lang w:val="en-GB"/>
              </w:rPr>
            </w:pPr>
            <w:r w:rsidRPr="0052262B">
              <w:rPr>
                <w:b/>
                <w:bCs/>
                <w:lang w:val="en-GB"/>
              </w:rPr>
              <w:t xml:space="preserve">Table </w:t>
            </w:r>
            <w:r w:rsidR="00A9045A" w:rsidRPr="0052262B">
              <w:rPr>
                <w:b/>
                <w:bCs/>
                <w:lang w:val="en-GB"/>
              </w:rPr>
              <w:t>1</w:t>
            </w:r>
            <w:r w:rsidRPr="0052262B">
              <w:rPr>
                <w:b/>
                <w:bCs/>
                <w:lang w:val="en-GB"/>
              </w:rPr>
              <w:t xml:space="preserve">: </w:t>
            </w:r>
            <w:r w:rsidRPr="0052262B">
              <w:rPr>
                <w:b/>
                <w:bCs/>
                <w:lang w:val="en-GB"/>
              </w:rPr>
              <w:tab/>
              <w:t>ACR Responses in Studies RA-I and RA-II (Percent of Patients)</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7"/>
              <w:gridCol w:w="1278"/>
              <w:gridCol w:w="1278"/>
              <w:gridCol w:w="1278"/>
              <w:gridCol w:w="1278"/>
              <w:gridCol w:w="1278"/>
              <w:gridCol w:w="1278"/>
            </w:tblGrid>
            <w:tr w:rsidR="001C1840" w:rsidRPr="00613DB7" w:rsidTr="00D97490">
              <w:trPr>
                <w:trHeight w:val="56"/>
              </w:trPr>
              <w:tc>
                <w:tcPr>
                  <w:tcW w:w="1227" w:type="dxa"/>
                  <w:tcBorders>
                    <w:top w:val="single" w:sz="4" w:space="0" w:color="auto"/>
                    <w:left w:val="single" w:sz="4" w:space="0" w:color="auto"/>
                    <w:bottom w:val="nil"/>
                    <w:right w:val="single" w:sz="4" w:space="0" w:color="auto"/>
                  </w:tcBorders>
                </w:tcPr>
                <w:p w:rsidR="001C1840" w:rsidRPr="00613DB7" w:rsidRDefault="001C1840" w:rsidP="00613DB7">
                  <w:pPr>
                    <w:keepNext/>
                    <w:rPr>
                      <w:sz w:val="20"/>
                      <w:szCs w:val="20"/>
                      <w:lang w:val="en-GB"/>
                    </w:rPr>
                  </w:pPr>
                </w:p>
              </w:tc>
              <w:tc>
                <w:tcPr>
                  <w:tcW w:w="3834" w:type="dxa"/>
                  <w:gridSpan w:val="3"/>
                  <w:tcBorders>
                    <w:top w:val="single" w:sz="4" w:space="0" w:color="auto"/>
                    <w:left w:val="single" w:sz="4" w:space="0" w:color="auto"/>
                    <w:bottom w:val="single" w:sz="4" w:space="0" w:color="auto"/>
                    <w:right w:val="single" w:sz="4" w:space="0" w:color="auto"/>
                  </w:tcBorders>
                </w:tcPr>
                <w:p w:rsidR="001C1840" w:rsidRPr="00613DB7" w:rsidRDefault="001C1840" w:rsidP="00613DB7">
                  <w:pPr>
                    <w:keepNext/>
                    <w:jc w:val="center"/>
                    <w:rPr>
                      <w:b/>
                      <w:bCs/>
                      <w:sz w:val="20"/>
                      <w:szCs w:val="20"/>
                      <w:lang w:val="en-GB"/>
                    </w:rPr>
                  </w:pPr>
                  <w:r w:rsidRPr="00613DB7">
                    <w:rPr>
                      <w:b/>
                      <w:bCs/>
                      <w:sz w:val="20"/>
                      <w:szCs w:val="20"/>
                      <w:lang w:val="en-GB"/>
                    </w:rPr>
                    <w:t>Study RA-I</w:t>
                  </w:r>
                </w:p>
                <w:p w:rsidR="001C1840" w:rsidRPr="00613DB7" w:rsidRDefault="001C1840" w:rsidP="00613DB7">
                  <w:pPr>
                    <w:keepNext/>
                    <w:jc w:val="center"/>
                    <w:rPr>
                      <w:b/>
                      <w:bCs/>
                      <w:sz w:val="20"/>
                      <w:szCs w:val="20"/>
                      <w:lang w:val="en-GB"/>
                    </w:rPr>
                  </w:pPr>
                  <w:r w:rsidRPr="00613DB7">
                    <w:rPr>
                      <w:b/>
                      <w:bCs/>
                      <w:sz w:val="20"/>
                      <w:szCs w:val="20"/>
                      <w:lang w:val="en-GB"/>
                    </w:rPr>
                    <w:t>Methotrexate Combination</w:t>
                  </w:r>
                </w:p>
                <w:p w:rsidR="001C1840" w:rsidRPr="00613DB7" w:rsidRDefault="001C1840" w:rsidP="00613DB7">
                  <w:pPr>
                    <w:keepNext/>
                    <w:jc w:val="center"/>
                    <w:rPr>
                      <w:b/>
                      <w:bCs/>
                      <w:sz w:val="20"/>
                      <w:szCs w:val="20"/>
                      <w:lang w:val="en-GB"/>
                    </w:rPr>
                  </w:pPr>
                  <w:r w:rsidRPr="00613DB7">
                    <w:rPr>
                      <w:b/>
                      <w:bCs/>
                      <w:sz w:val="20"/>
                      <w:szCs w:val="20"/>
                      <w:lang w:val="en-GB"/>
                    </w:rPr>
                    <w:t>(24 and 52 weeks)</w:t>
                  </w:r>
                </w:p>
              </w:tc>
              <w:tc>
                <w:tcPr>
                  <w:tcW w:w="3834" w:type="dxa"/>
                  <w:gridSpan w:val="3"/>
                  <w:tcBorders>
                    <w:top w:val="single" w:sz="4" w:space="0" w:color="auto"/>
                    <w:left w:val="single" w:sz="4" w:space="0" w:color="auto"/>
                    <w:bottom w:val="single" w:sz="4" w:space="0" w:color="auto"/>
                    <w:right w:val="single" w:sz="4" w:space="0" w:color="auto"/>
                  </w:tcBorders>
                </w:tcPr>
                <w:p w:rsidR="001C1840" w:rsidRPr="00613DB7" w:rsidRDefault="001977F2" w:rsidP="00613DB7">
                  <w:pPr>
                    <w:keepNext/>
                    <w:jc w:val="center"/>
                    <w:rPr>
                      <w:b/>
                      <w:bCs/>
                      <w:sz w:val="20"/>
                      <w:szCs w:val="20"/>
                      <w:lang w:val="en-GB"/>
                    </w:rPr>
                  </w:pPr>
                  <w:r w:rsidRPr="00613DB7">
                    <w:rPr>
                      <w:b/>
                      <w:bCs/>
                      <w:sz w:val="20"/>
                      <w:szCs w:val="20"/>
                      <w:lang w:val="en-GB"/>
                    </w:rPr>
                    <w:t>Study RA-II</w:t>
                  </w:r>
                </w:p>
                <w:p w:rsidR="001C1840" w:rsidRPr="00613DB7" w:rsidRDefault="001977F2" w:rsidP="00613DB7">
                  <w:pPr>
                    <w:keepNext/>
                    <w:jc w:val="center"/>
                    <w:rPr>
                      <w:b/>
                      <w:bCs/>
                      <w:sz w:val="20"/>
                      <w:szCs w:val="20"/>
                      <w:lang w:val="en-GB"/>
                    </w:rPr>
                  </w:pPr>
                  <w:r w:rsidRPr="00613DB7">
                    <w:rPr>
                      <w:b/>
                      <w:bCs/>
                      <w:sz w:val="20"/>
                      <w:szCs w:val="20"/>
                      <w:lang w:val="en-GB"/>
                    </w:rPr>
                    <w:t>Methotrexate Combination</w:t>
                  </w:r>
                </w:p>
                <w:p w:rsidR="001C1840" w:rsidRPr="00613DB7" w:rsidRDefault="001C1840" w:rsidP="00613DB7">
                  <w:pPr>
                    <w:keepNext/>
                    <w:jc w:val="center"/>
                    <w:rPr>
                      <w:b/>
                      <w:bCs/>
                      <w:sz w:val="20"/>
                      <w:szCs w:val="20"/>
                      <w:lang w:val="en-GB"/>
                    </w:rPr>
                  </w:pPr>
                  <w:r w:rsidRPr="00613DB7">
                    <w:rPr>
                      <w:b/>
                      <w:bCs/>
                      <w:sz w:val="20"/>
                      <w:szCs w:val="20"/>
                      <w:lang w:val="en-GB"/>
                    </w:rPr>
                    <w:t>(24 weeks)</w:t>
                  </w:r>
                </w:p>
              </w:tc>
            </w:tr>
            <w:tr w:rsidR="001C1840" w:rsidRPr="004A44D9" w:rsidTr="00D97490">
              <w:trPr>
                <w:trHeight w:val="84"/>
              </w:trPr>
              <w:tc>
                <w:tcPr>
                  <w:tcW w:w="1227" w:type="dxa"/>
                  <w:tcBorders>
                    <w:top w:val="nil"/>
                    <w:left w:val="single" w:sz="4" w:space="0" w:color="auto"/>
                    <w:bottom w:val="single" w:sz="4" w:space="0" w:color="auto"/>
                    <w:right w:val="single" w:sz="4" w:space="0" w:color="auto"/>
                  </w:tcBorders>
                </w:tcPr>
                <w:p w:rsidR="001C1840" w:rsidRPr="00613DB7" w:rsidRDefault="001C1840" w:rsidP="00613DB7">
                  <w:pPr>
                    <w:keepNext/>
                    <w:rPr>
                      <w:b/>
                      <w:bCs/>
                      <w:sz w:val="20"/>
                      <w:szCs w:val="20"/>
                      <w:lang w:val="en-GB"/>
                    </w:rPr>
                  </w:pPr>
                  <w:r w:rsidRPr="00613DB7">
                    <w:rPr>
                      <w:b/>
                      <w:bCs/>
                      <w:sz w:val="20"/>
                      <w:szCs w:val="20"/>
                      <w:lang w:val="en-GB"/>
                    </w:rPr>
                    <w:t>Response</w:t>
                  </w:r>
                </w:p>
              </w:tc>
              <w:tc>
                <w:tcPr>
                  <w:tcW w:w="1278" w:type="dxa"/>
                  <w:tcBorders>
                    <w:top w:val="single" w:sz="4" w:space="0" w:color="auto"/>
                    <w:left w:val="single" w:sz="4" w:space="0" w:color="auto"/>
                    <w:bottom w:val="single" w:sz="4" w:space="0" w:color="auto"/>
                    <w:right w:val="nil"/>
                  </w:tcBorders>
                </w:tcPr>
                <w:p w:rsidR="001C1840" w:rsidRPr="00613DB7" w:rsidRDefault="001C1840" w:rsidP="00613DB7">
                  <w:pPr>
                    <w:keepNext/>
                    <w:jc w:val="center"/>
                    <w:rPr>
                      <w:b/>
                      <w:bCs/>
                      <w:sz w:val="20"/>
                      <w:szCs w:val="20"/>
                      <w:u w:val="single"/>
                      <w:lang w:val="en-GB"/>
                    </w:rPr>
                  </w:pPr>
                  <w:r w:rsidRPr="00613DB7">
                    <w:rPr>
                      <w:b/>
                      <w:bCs/>
                      <w:sz w:val="20"/>
                      <w:szCs w:val="20"/>
                      <w:u w:val="single"/>
                      <w:lang w:val="en-GB"/>
                    </w:rPr>
                    <w:t xml:space="preserve">Placebo + </w:t>
                  </w:r>
                  <w:r w:rsidRPr="00613DB7">
                    <w:rPr>
                      <w:b/>
                      <w:bCs/>
                      <w:sz w:val="20"/>
                      <w:szCs w:val="20"/>
                      <w:u w:val="single"/>
                      <w:lang w:val="en-GB"/>
                    </w:rPr>
                    <w:lastRenderedPageBreak/>
                    <w:t>MTX</w:t>
                  </w:r>
                </w:p>
                <w:p w:rsidR="001C1840" w:rsidRPr="00613DB7" w:rsidRDefault="001C1840" w:rsidP="00613DB7">
                  <w:pPr>
                    <w:keepNext/>
                    <w:rPr>
                      <w:b/>
                      <w:bCs/>
                      <w:sz w:val="20"/>
                      <w:szCs w:val="20"/>
                      <w:u w:val="single"/>
                      <w:lang w:val="en-GB"/>
                    </w:rPr>
                  </w:pPr>
                </w:p>
                <w:p w:rsidR="001C1840" w:rsidRPr="00613DB7" w:rsidRDefault="001C1840" w:rsidP="00613DB7">
                  <w:pPr>
                    <w:keepNext/>
                    <w:jc w:val="center"/>
                    <w:rPr>
                      <w:b/>
                      <w:bCs/>
                      <w:sz w:val="20"/>
                      <w:szCs w:val="20"/>
                      <w:lang w:val="en-GB"/>
                    </w:rPr>
                  </w:pPr>
                  <w:r w:rsidRPr="00613DB7">
                    <w:rPr>
                      <w:b/>
                      <w:bCs/>
                      <w:sz w:val="20"/>
                      <w:szCs w:val="20"/>
                      <w:u w:val="single"/>
                      <w:lang w:val="en-GB"/>
                    </w:rPr>
                    <w:t>N=199</w:t>
                  </w:r>
                </w:p>
              </w:tc>
              <w:tc>
                <w:tcPr>
                  <w:tcW w:w="1278" w:type="dxa"/>
                  <w:tcBorders>
                    <w:top w:val="single" w:sz="4" w:space="0" w:color="auto"/>
                    <w:left w:val="nil"/>
                    <w:bottom w:val="single" w:sz="4" w:space="0" w:color="auto"/>
                    <w:right w:val="nil"/>
                  </w:tcBorders>
                </w:tcPr>
                <w:p w:rsidR="001C1840" w:rsidRPr="004A44D9" w:rsidRDefault="001C1840" w:rsidP="00613DB7">
                  <w:pPr>
                    <w:keepNext/>
                    <w:jc w:val="center"/>
                    <w:rPr>
                      <w:b/>
                      <w:bCs/>
                      <w:sz w:val="20"/>
                      <w:szCs w:val="20"/>
                      <w:u w:val="single"/>
                      <w:lang w:val="pt-PT"/>
                    </w:rPr>
                  </w:pPr>
                  <w:r w:rsidRPr="004A44D9">
                    <w:rPr>
                      <w:b/>
                      <w:bCs/>
                      <w:sz w:val="20"/>
                      <w:szCs w:val="20"/>
                      <w:u w:val="single"/>
                      <w:lang w:val="pt-PT"/>
                    </w:rPr>
                    <w:lastRenderedPageBreak/>
                    <w:t>CIMZIA</w:t>
                  </w:r>
                  <w:r w:rsidRPr="004A44D9">
                    <w:rPr>
                      <w:b/>
                      <w:bCs/>
                      <w:sz w:val="20"/>
                      <w:szCs w:val="20"/>
                      <w:u w:val="single"/>
                      <w:vertAlign w:val="superscript"/>
                      <w:lang w:val="pt-PT"/>
                    </w:rPr>
                    <w:t>(a)</w:t>
                  </w:r>
                  <w:r w:rsidRPr="004A44D9">
                    <w:rPr>
                      <w:b/>
                      <w:bCs/>
                      <w:sz w:val="20"/>
                      <w:szCs w:val="20"/>
                      <w:u w:val="single"/>
                      <w:lang w:val="pt-PT"/>
                    </w:rPr>
                    <w:t xml:space="preserve"> </w:t>
                  </w:r>
                  <w:r w:rsidRPr="004A44D9">
                    <w:rPr>
                      <w:b/>
                      <w:bCs/>
                      <w:sz w:val="20"/>
                      <w:szCs w:val="20"/>
                      <w:u w:val="single"/>
                      <w:lang w:val="pt-PT"/>
                    </w:rPr>
                    <w:lastRenderedPageBreak/>
                    <w:t xml:space="preserve">200 mg </w:t>
                  </w:r>
                  <w:r w:rsidR="007B7773" w:rsidRPr="004A44D9">
                    <w:rPr>
                      <w:b/>
                      <w:bCs/>
                      <w:sz w:val="20"/>
                      <w:szCs w:val="20"/>
                      <w:u w:val="single"/>
                      <w:lang w:val="pt-PT"/>
                    </w:rPr>
                    <w:br/>
                  </w:r>
                  <w:r w:rsidRPr="004A44D9">
                    <w:rPr>
                      <w:b/>
                      <w:bCs/>
                      <w:sz w:val="20"/>
                      <w:szCs w:val="20"/>
                      <w:u w:val="single"/>
                      <w:lang w:val="pt-PT"/>
                    </w:rPr>
                    <w:t>q2 weeks</w:t>
                  </w:r>
                  <w:r w:rsidR="00B976CA" w:rsidRPr="004A44D9">
                    <w:rPr>
                      <w:b/>
                      <w:bCs/>
                      <w:sz w:val="20"/>
                      <w:szCs w:val="20"/>
                      <w:u w:val="single"/>
                      <w:lang w:val="pt-PT"/>
                    </w:rPr>
                    <w:t xml:space="preserve"> </w:t>
                  </w:r>
                  <w:r w:rsidR="00B976CA" w:rsidRPr="004A44D9">
                    <w:rPr>
                      <w:b/>
                      <w:bCs/>
                      <w:sz w:val="20"/>
                      <w:szCs w:val="20"/>
                      <w:u w:val="single"/>
                      <w:lang w:val="pt-PT"/>
                    </w:rPr>
                    <w:br/>
                    <w:t>+ MTX</w:t>
                  </w:r>
                </w:p>
                <w:p w:rsidR="001C1840" w:rsidRPr="004A44D9" w:rsidRDefault="001C1840" w:rsidP="00613DB7">
                  <w:pPr>
                    <w:keepNext/>
                    <w:jc w:val="center"/>
                    <w:rPr>
                      <w:b/>
                      <w:bCs/>
                      <w:sz w:val="20"/>
                      <w:szCs w:val="20"/>
                      <w:lang w:val="pt-PT"/>
                    </w:rPr>
                  </w:pPr>
                  <w:r w:rsidRPr="004A44D9">
                    <w:rPr>
                      <w:b/>
                      <w:bCs/>
                      <w:sz w:val="20"/>
                      <w:szCs w:val="20"/>
                      <w:u w:val="single"/>
                      <w:lang w:val="pt-PT"/>
                    </w:rPr>
                    <w:t>N=393</w:t>
                  </w:r>
                </w:p>
              </w:tc>
              <w:tc>
                <w:tcPr>
                  <w:tcW w:w="1278" w:type="dxa"/>
                  <w:tcBorders>
                    <w:top w:val="single" w:sz="4" w:space="0" w:color="auto"/>
                    <w:left w:val="nil"/>
                    <w:bottom w:val="single" w:sz="4" w:space="0" w:color="auto"/>
                    <w:right w:val="single" w:sz="4" w:space="0" w:color="auto"/>
                  </w:tcBorders>
                </w:tcPr>
                <w:p w:rsidR="001C1840" w:rsidRPr="004A44D9" w:rsidRDefault="001C1840" w:rsidP="00613DB7">
                  <w:pPr>
                    <w:keepNext/>
                    <w:jc w:val="center"/>
                    <w:rPr>
                      <w:b/>
                      <w:bCs/>
                      <w:sz w:val="20"/>
                      <w:szCs w:val="20"/>
                      <w:u w:val="single"/>
                      <w:lang w:val="it-IT"/>
                    </w:rPr>
                  </w:pPr>
                  <w:r w:rsidRPr="004A44D9">
                    <w:rPr>
                      <w:b/>
                      <w:bCs/>
                      <w:sz w:val="20"/>
                      <w:szCs w:val="20"/>
                      <w:u w:val="single"/>
                      <w:lang w:val="it-IT"/>
                    </w:rPr>
                    <w:lastRenderedPageBreak/>
                    <w:t>CIMZIA</w:t>
                  </w:r>
                  <w:r w:rsidRPr="004A44D9">
                    <w:rPr>
                      <w:b/>
                      <w:bCs/>
                      <w:sz w:val="20"/>
                      <w:szCs w:val="20"/>
                      <w:u w:val="single"/>
                      <w:vertAlign w:val="superscript"/>
                      <w:lang w:val="it-IT"/>
                    </w:rPr>
                    <w:t>(a)</w:t>
                  </w:r>
                  <w:r w:rsidRPr="004A44D9">
                    <w:rPr>
                      <w:b/>
                      <w:bCs/>
                      <w:sz w:val="20"/>
                      <w:szCs w:val="20"/>
                      <w:u w:val="single"/>
                      <w:lang w:val="it-IT"/>
                    </w:rPr>
                    <w:t xml:space="preserve"> </w:t>
                  </w:r>
                  <w:r w:rsidRPr="004A44D9">
                    <w:rPr>
                      <w:b/>
                      <w:bCs/>
                      <w:sz w:val="20"/>
                      <w:szCs w:val="20"/>
                      <w:u w:val="single"/>
                      <w:lang w:val="it-IT"/>
                    </w:rPr>
                    <w:lastRenderedPageBreak/>
                    <w:t>200 mg + MTX - Placebo + MTX</w:t>
                  </w:r>
                </w:p>
                <w:p w:rsidR="001C1840" w:rsidRPr="004A44D9" w:rsidRDefault="001C1840" w:rsidP="00613DB7">
                  <w:pPr>
                    <w:keepNext/>
                    <w:jc w:val="center"/>
                    <w:rPr>
                      <w:b/>
                      <w:bCs/>
                      <w:sz w:val="20"/>
                      <w:szCs w:val="20"/>
                      <w:lang w:val="it-IT"/>
                    </w:rPr>
                  </w:pPr>
                  <w:r w:rsidRPr="004A44D9">
                    <w:rPr>
                      <w:b/>
                      <w:bCs/>
                      <w:sz w:val="20"/>
                      <w:szCs w:val="20"/>
                      <w:u w:val="single"/>
                      <w:lang w:val="it-IT"/>
                    </w:rPr>
                    <w:t>(95% CI)</w:t>
                  </w:r>
                  <w:r w:rsidRPr="004A44D9">
                    <w:rPr>
                      <w:b/>
                      <w:bCs/>
                      <w:sz w:val="20"/>
                      <w:szCs w:val="20"/>
                      <w:u w:val="single"/>
                      <w:vertAlign w:val="superscript"/>
                      <w:lang w:val="it-IT"/>
                    </w:rPr>
                    <w:t>(</w:t>
                  </w:r>
                  <w:r w:rsidR="00C55D11" w:rsidRPr="004A44D9">
                    <w:rPr>
                      <w:b/>
                      <w:bCs/>
                      <w:sz w:val="20"/>
                      <w:szCs w:val="20"/>
                      <w:vertAlign w:val="superscript"/>
                      <w:lang w:val="it-IT"/>
                    </w:rPr>
                    <w:t>c</w:t>
                  </w:r>
                  <w:r w:rsidRPr="004A44D9">
                    <w:rPr>
                      <w:b/>
                      <w:bCs/>
                      <w:sz w:val="20"/>
                      <w:szCs w:val="20"/>
                      <w:vertAlign w:val="superscript"/>
                      <w:lang w:val="it-IT"/>
                    </w:rPr>
                    <w:t>)</w:t>
                  </w:r>
                </w:p>
                <w:p w:rsidR="001C1840" w:rsidRPr="004A44D9" w:rsidRDefault="001C1840" w:rsidP="00613DB7">
                  <w:pPr>
                    <w:keepNext/>
                    <w:jc w:val="center"/>
                    <w:rPr>
                      <w:b/>
                      <w:bCs/>
                      <w:sz w:val="20"/>
                      <w:szCs w:val="20"/>
                      <w:lang w:val="it-IT"/>
                    </w:rPr>
                  </w:pPr>
                </w:p>
              </w:tc>
              <w:tc>
                <w:tcPr>
                  <w:tcW w:w="1278" w:type="dxa"/>
                  <w:tcBorders>
                    <w:top w:val="single" w:sz="4" w:space="0" w:color="auto"/>
                    <w:left w:val="single" w:sz="4" w:space="0" w:color="auto"/>
                    <w:bottom w:val="single" w:sz="4" w:space="0" w:color="auto"/>
                    <w:right w:val="nil"/>
                  </w:tcBorders>
                </w:tcPr>
                <w:p w:rsidR="001C1840" w:rsidRPr="00613DB7" w:rsidRDefault="001C1840" w:rsidP="00613DB7">
                  <w:pPr>
                    <w:keepNext/>
                    <w:jc w:val="center"/>
                    <w:rPr>
                      <w:b/>
                      <w:bCs/>
                      <w:sz w:val="20"/>
                      <w:szCs w:val="20"/>
                      <w:u w:val="single"/>
                      <w:lang w:val="en-GB"/>
                    </w:rPr>
                  </w:pPr>
                  <w:r w:rsidRPr="00613DB7">
                    <w:rPr>
                      <w:b/>
                      <w:bCs/>
                      <w:sz w:val="20"/>
                      <w:szCs w:val="20"/>
                      <w:u w:val="single"/>
                      <w:lang w:val="en-GB"/>
                    </w:rPr>
                    <w:lastRenderedPageBreak/>
                    <w:t>Placebo</w:t>
                  </w:r>
                  <w:r w:rsidR="00B52DE0" w:rsidRPr="00613DB7">
                    <w:rPr>
                      <w:b/>
                      <w:bCs/>
                      <w:sz w:val="20"/>
                      <w:szCs w:val="20"/>
                      <w:u w:val="single"/>
                      <w:lang w:val="en-GB"/>
                    </w:rPr>
                    <w:t xml:space="preserve"> +</w:t>
                  </w:r>
                </w:p>
                <w:p w:rsidR="001C1840" w:rsidRPr="00613DB7" w:rsidRDefault="00B52DE0" w:rsidP="00613DB7">
                  <w:pPr>
                    <w:keepNext/>
                    <w:jc w:val="center"/>
                    <w:rPr>
                      <w:b/>
                      <w:bCs/>
                      <w:sz w:val="20"/>
                      <w:szCs w:val="20"/>
                      <w:u w:val="single"/>
                      <w:lang w:val="en-GB"/>
                    </w:rPr>
                  </w:pPr>
                  <w:r w:rsidRPr="00613DB7">
                    <w:rPr>
                      <w:b/>
                      <w:bCs/>
                      <w:sz w:val="20"/>
                      <w:szCs w:val="20"/>
                      <w:u w:val="single"/>
                      <w:lang w:val="en-GB"/>
                    </w:rPr>
                    <w:lastRenderedPageBreak/>
                    <w:t>MTX</w:t>
                  </w:r>
                </w:p>
                <w:p w:rsidR="001C1840" w:rsidRPr="00613DB7" w:rsidRDefault="001C1840" w:rsidP="00613DB7">
                  <w:pPr>
                    <w:keepNext/>
                    <w:jc w:val="center"/>
                    <w:rPr>
                      <w:b/>
                      <w:bCs/>
                      <w:sz w:val="20"/>
                      <w:szCs w:val="20"/>
                      <w:u w:val="single"/>
                      <w:lang w:val="en-GB"/>
                    </w:rPr>
                  </w:pPr>
                </w:p>
                <w:p w:rsidR="001C1840" w:rsidRPr="00613DB7" w:rsidRDefault="001977F2" w:rsidP="00613DB7">
                  <w:pPr>
                    <w:keepNext/>
                    <w:jc w:val="center"/>
                    <w:rPr>
                      <w:b/>
                      <w:bCs/>
                      <w:sz w:val="20"/>
                      <w:szCs w:val="20"/>
                      <w:lang w:val="en-GB"/>
                    </w:rPr>
                  </w:pPr>
                  <w:r w:rsidRPr="00613DB7">
                    <w:rPr>
                      <w:b/>
                      <w:bCs/>
                      <w:sz w:val="20"/>
                      <w:szCs w:val="20"/>
                      <w:u w:val="single"/>
                      <w:lang w:val="en-GB"/>
                    </w:rPr>
                    <w:t>N=127</w:t>
                  </w:r>
                </w:p>
              </w:tc>
              <w:tc>
                <w:tcPr>
                  <w:tcW w:w="1278" w:type="dxa"/>
                  <w:tcBorders>
                    <w:top w:val="single" w:sz="4" w:space="0" w:color="auto"/>
                    <w:left w:val="nil"/>
                    <w:bottom w:val="single" w:sz="4" w:space="0" w:color="auto"/>
                    <w:right w:val="nil"/>
                  </w:tcBorders>
                </w:tcPr>
                <w:p w:rsidR="001C1840" w:rsidRPr="004A44D9" w:rsidRDefault="001C1840" w:rsidP="00613DB7">
                  <w:pPr>
                    <w:keepNext/>
                    <w:jc w:val="center"/>
                    <w:rPr>
                      <w:b/>
                      <w:bCs/>
                      <w:sz w:val="20"/>
                      <w:szCs w:val="20"/>
                      <w:u w:val="single"/>
                      <w:lang w:val="pt-PT"/>
                    </w:rPr>
                  </w:pPr>
                  <w:r w:rsidRPr="004A44D9">
                    <w:rPr>
                      <w:b/>
                      <w:bCs/>
                      <w:sz w:val="20"/>
                      <w:szCs w:val="20"/>
                      <w:u w:val="single"/>
                      <w:lang w:val="pt-PT"/>
                    </w:rPr>
                    <w:lastRenderedPageBreak/>
                    <w:t>CIMZIA</w:t>
                  </w:r>
                  <w:r w:rsidR="00DF0589" w:rsidRPr="004A44D9">
                    <w:rPr>
                      <w:b/>
                      <w:bCs/>
                      <w:sz w:val="20"/>
                      <w:szCs w:val="20"/>
                      <w:u w:val="single"/>
                      <w:vertAlign w:val="superscript"/>
                      <w:lang w:val="pt-PT"/>
                    </w:rPr>
                    <w:t>(a</w:t>
                  </w:r>
                  <w:r w:rsidRPr="004A44D9">
                    <w:rPr>
                      <w:b/>
                      <w:bCs/>
                      <w:sz w:val="20"/>
                      <w:szCs w:val="20"/>
                      <w:u w:val="single"/>
                      <w:vertAlign w:val="superscript"/>
                      <w:lang w:val="pt-PT"/>
                    </w:rPr>
                    <w:t>)</w:t>
                  </w:r>
                  <w:r w:rsidRPr="004A44D9">
                    <w:rPr>
                      <w:b/>
                      <w:bCs/>
                      <w:sz w:val="20"/>
                      <w:szCs w:val="20"/>
                      <w:u w:val="single"/>
                      <w:lang w:val="pt-PT"/>
                    </w:rPr>
                    <w:t xml:space="preserve"> </w:t>
                  </w:r>
                  <w:r w:rsidR="000D78AF" w:rsidRPr="004A44D9">
                    <w:rPr>
                      <w:b/>
                      <w:bCs/>
                      <w:sz w:val="20"/>
                      <w:szCs w:val="20"/>
                      <w:u w:val="single"/>
                      <w:lang w:val="pt-PT"/>
                    </w:rPr>
                    <w:lastRenderedPageBreak/>
                    <w:t>2</w:t>
                  </w:r>
                  <w:r w:rsidRPr="004A44D9">
                    <w:rPr>
                      <w:b/>
                      <w:bCs/>
                      <w:sz w:val="20"/>
                      <w:szCs w:val="20"/>
                      <w:u w:val="single"/>
                      <w:lang w:val="pt-PT"/>
                    </w:rPr>
                    <w:t>00 mg</w:t>
                  </w:r>
                  <w:r w:rsidR="00BD22D6" w:rsidRPr="004A44D9">
                    <w:rPr>
                      <w:b/>
                      <w:bCs/>
                      <w:sz w:val="20"/>
                      <w:szCs w:val="20"/>
                      <w:u w:val="single"/>
                      <w:lang w:val="pt-PT"/>
                    </w:rPr>
                    <w:t xml:space="preserve"> </w:t>
                  </w:r>
                </w:p>
                <w:p w:rsidR="001C1840" w:rsidRPr="004A44D9" w:rsidRDefault="000D78AF" w:rsidP="00613DB7">
                  <w:pPr>
                    <w:keepNext/>
                    <w:jc w:val="center"/>
                    <w:rPr>
                      <w:b/>
                      <w:bCs/>
                      <w:sz w:val="20"/>
                      <w:szCs w:val="20"/>
                      <w:u w:val="single"/>
                      <w:lang w:val="pt-PT"/>
                    </w:rPr>
                  </w:pPr>
                  <w:r w:rsidRPr="004A44D9">
                    <w:rPr>
                      <w:b/>
                      <w:bCs/>
                      <w:sz w:val="20"/>
                      <w:szCs w:val="20"/>
                      <w:u w:val="single"/>
                      <w:lang w:val="pt-PT"/>
                    </w:rPr>
                    <w:t>q2</w:t>
                  </w:r>
                  <w:r w:rsidR="001C1840" w:rsidRPr="004A44D9">
                    <w:rPr>
                      <w:b/>
                      <w:bCs/>
                      <w:sz w:val="20"/>
                      <w:szCs w:val="20"/>
                      <w:u w:val="single"/>
                      <w:lang w:val="pt-PT"/>
                    </w:rPr>
                    <w:t xml:space="preserve"> weeks</w:t>
                  </w:r>
                  <w:r w:rsidR="00B976CA" w:rsidRPr="004A44D9">
                    <w:rPr>
                      <w:b/>
                      <w:bCs/>
                      <w:sz w:val="20"/>
                      <w:szCs w:val="20"/>
                      <w:u w:val="single"/>
                      <w:lang w:val="pt-PT"/>
                    </w:rPr>
                    <w:t xml:space="preserve"> </w:t>
                  </w:r>
                  <w:r w:rsidR="00B976CA" w:rsidRPr="004A44D9">
                    <w:rPr>
                      <w:b/>
                      <w:bCs/>
                      <w:sz w:val="20"/>
                      <w:szCs w:val="20"/>
                      <w:u w:val="single"/>
                      <w:lang w:val="pt-PT"/>
                    </w:rPr>
                    <w:br/>
                    <w:t>+ MTX</w:t>
                  </w:r>
                </w:p>
                <w:p w:rsidR="001C1840" w:rsidRPr="004A44D9" w:rsidRDefault="001C1840" w:rsidP="00613DB7">
                  <w:pPr>
                    <w:keepNext/>
                    <w:jc w:val="center"/>
                    <w:rPr>
                      <w:b/>
                      <w:bCs/>
                      <w:sz w:val="20"/>
                      <w:szCs w:val="20"/>
                      <w:lang w:val="pt-PT"/>
                    </w:rPr>
                  </w:pPr>
                  <w:r w:rsidRPr="004A44D9">
                    <w:rPr>
                      <w:b/>
                      <w:bCs/>
                      <w:sz w:val="20"/>
                      <w:szCs w:val="20"/>
                      <w:u w:val="single"/>
                      <w:lang w:val="pt-PT"/>
                    </w:rPr>
                    <w:t>N=111</w:t>
                  </w:r>
                </w:p>
              </w:tc>
              <w:tc>
                <w:tcPr>
                  <w:tcW w:w="1278" w:type="dxa"/>
                  <w:tcBorders>
                    <w:top w:val="single" w:sz="4" w:space="0" w:color="auto"/>
                    <w:left w:val="nil"/>
                    <w:bottom w:val="single" w:sz="4" w:space="0" w:color="auto"/>
                    <w:right w:val="single" w:sz="4" w:space="0" w:color="auto"/>
                  </w:tcBorders>
                </w:tcPr>
                <w:p w:rsidR="001C1840" w:rsidRPr="004A44D9" w:rsidRDefault="001C1840" w:rsidP="00613DB7">
                  <w:pPr>
                    <w:keepNext/>
                    <w:jc w:val="center"/>
                    <w:rPr>
                      <w:b/>
                      <w:bCs/>
                      <w:sz w:val="20"/>
                      <w:szCs w:val="20"/>
                      <w:u w:val="single"/>
                      <w:lang w:val="it-IT"/>
                    </w:rPr>
                  </w:pPr>
                  <w:r w:rsidRPr="004A44D9">
                    <w:rPr>
                      <w:b/>
                      <w:bCs/>
                      <w:sz w:val="20"/>
                      <w:szCs w:val="20"/>
                      <w:u w:val="single"/>
                      <w:lang w:val="it-IT"/>
                    </w:rPr>
                    <w:lastRenderedPageBreak/>
                    <w:t>CIMZIA</w:t>
                  </w:r>
                  <w:r w:rsidR="00DF0589" w:rsidRPr="004A44D9">
                    <w:rPr>
                      <w:b/>
                      <w:bCs/>
                      <w:sz w:val="20"/>
                      <w:szCs w:val="20"/>
                      <w:u w:val="single"/>
                      <w:vertAlign w:val="superscript"/>
                      <w:lang w:val="it-IT"/>
                    </w:rPr>
                    <w:t>(a</w:t>
                  </w:r>
                  <w:r w:rsidRPr="004A44D9">
                    <w:rPr>
                      <w:b/>
                      <w:bCs/>
                      <w:sz w:val="20"/>
                      <w:szCs w:val="20"/>
                      <w:u w:val="single"/>
                      <w:vertAlign w:val="superscript"/>
                      <w:lang w:val="it-IT"/>
                    </w:rPr>
                    <w:t>)</w:t>
                  </w:r>
                  <w:r w:rsidRPr="004A44D9">
                    <w:rPr>
                      <w:b/>
                      <w:bCs/>
                      <w:sz w:val="20"/>
                      <w:szCs w:val="20"/>
                      <w:u w:val="single"/>
                      <w:lang w:val="it-IT"/>
                    </w:rPr>
                    <w:t xml:space="preserve"> </w:t>
                  </w:r>
                  <w:r w:rsidR="005F31D4" w:rsidRPr="004A44D9">
                    <w:rPr>
                      <w:b/>
                      <w:bCs/>
                      <w:sz w:val="20"/>
                      <w:szCs w:val="20"/>
                      <w:u w:val="single"/>
                      <w:lang w:val="it-IT"/>
                    </w:rPr>
                    <w:lastRenderedPageBreak/>
                    <w:t>2</w:t>
                  </w:r>
                  <w:r w:rsidRPr="004A44D9">
                    <w:rPr>
                      <w:b/>
                      <w:bCs/>
                      <w:sz w:val="20"/>
                      <w:szCs w:val="20"/>
                      <w:u w:val="single"/>
                      <w:lang w:val="it-IT"/>
                    </w:rPr>
                    <w:t xml:space="preserve">00 mg </w:t>
                  </w:r>
                  <w:r w:rsidR="00BD22D6" w:rsidRPr="004A44D9">
                    <w:rPr>
                      <w:b/>
                      <w:bCs/>
                      <w:sz w:val="20"/>
                      <w:szCs w:val="20"/>
                      <w:u w:val="single"/>
                      <w:lang w:val="it-IT"/>
                    </w:rPr>
                    <w:t xml:space="preserve">+ MTX </w:t>
                  </w:r>
                  <w:r w:rsidR="005F31D4" w:rsidRPr="004A44D9">
                    <w:rPr>
                      <w:b/>
                      <w:bCs/>
                      <w:sz w:val="20"/>
                      <w:szCs w:val="20"/>
                      <w:u w:val="single"/>
                      <w:lang w:val="it-IT"/>
                    </w:rPr>
                    <w:t>–</w:t>
                  </w:r>
                  <w:r w:rsidRPr="004A44D9">
                    <w:rPr>
                      <w:b/>
                      <w:bCs/>
                      <w:sz w:val="20"/>
                      <w:szCs w:val="20"/>
                      <w:u w:val="single"/>
                      <w:lang w:val="it-IT"/>
                    </w:rPr>
                    <w:t xml:space="preserve"> Placebo</w:t>
                  </w:r>
                  <w:r w:rsidR="005F31D4" w:rsidRPr="004A44D9">
                    <w:rPr>
                      <w:b/>
                      <w:bCs/>
                      <w:sz w:val="20"/>
                      <w:szCs w:val="20"/>
                      <w:u w:val="single"/>
                      <w:lang w:val="it-IT"/>
                    </w:rPr>
                    <w:t xml:space="preserve"> + MTX</w:t>
                  </w:r>
                </w:p>
                <w:p w:rsidR="001C1840" w:rsidRPr="004A44D9" w:rsidRDefault="001C1840" w:rsidP="00613DB7">
                  <w:pPr>
                    <w:keepNext/>
                    <w:jc w:val="center"/>
                    <w:rPr>
                      <w:b/>
                      <w:bCs/>
                      <w:sz w:val="20"/>
                      <w:szCs w:val="20"/>
                      <w:u w:val="single"/>
                      <w:lang w:val="it-IT"/>
                    </w:rPr>
                  </w:pPr>
                  <w:r w:rsidRPr="004A44D9">
                    <w:rPr>
                      <w:b/>
                      <w:bCs/>
                      <w:sz w:val="20"/>
                      <w:szCs w:val="20"/>
                      <w:u w:val="single"/>
                      <w:lang w:val="it-IT"/>
                    </w:rPr>
                    <w:t>(95% CI)</w:t>
                  </w:r>
                  <w:r w:rsidR="00C55D11" w:rsidRPr="004A44D9">
                    <w:rPr>
                      <w:b/>
                      <w:bCs/>
                      <w:sz w:val="20"/>
                      <w:szCs w:val="20"/>
                      <w:u w:val="single"/>
                      <w:vertAlign w:val="superscript"/>
                      <w:lang w:val="it-IT"/>
                    </w:rPr>
                    <w:t>(c</w:t>
                  </w:r>
                  <w:r w:rsidRPr="004A44D9">
                    <w:rPr>
                      <w:b/>
                      <w:bCs/>
                      <w:sz w:val="20"/>
                      <w:szCs w:val="20"/>
                      <w:u w:val="single"/>
                      <w:vertAlign w:val="superscript"/>
                      <w:lang w:val="it-IT"/>
                    </w:rPr>
                    <w:t>)</w:t>
                  </w:r>
                </w:p>
                <w:p w:rsidR="001C1840" w:rsidRPr="004A44D9" w:rsidRDefault="001C1840" w:rsidP="00613DB7">
                  <w:pPr>
                    <w:keepNext/>
                    <w:jc w:val="center"/>
                    <w:rPr>
                      <w:b/>
                      <w:bCs/>
                      <w:sz w:val="20"/>
                      <w:szCs w:val="20"/>
                      <w:lang w:val="it-IT"/>
                    </w:rPr>
                  </w:pPr>
                </w:p>
              </w:tc>
            </w:tr>
            <w:tr w:rsidR="001C1840" w:rsidRPr="00613DB7" w:rsidTr="00D97490">
              <w:trPr>
                <w:trHeight w:val="18"/>
              </w:trPr>
              <w:tc>
                <w:tcPr>
                  <w:tcW w:w="1227" w:type="dxa"/>
                  <w:tcBorders>
                    <w:top w:val="single" w:sz="4" w:space="0" w:color="auto"/>
                    <w:left w:val="single" w:sz="4" w:space="0" w:color="auto"/>
                    <w:bottom w:val="nil"/>
                    <w:right w:val="single" w:sz="4" w:space="0" w:color="auto"/>
                  </w:tcBorders>
                </w:tcPr>
                <w:p w:rsidR="001C1840" w:rsidRPr="00613DB7" w:rsidRDefault="001C1840" w:rsidP="00613DB7">
                  <w:pPr>
                    <w:keepNext/>
                    <w:rPr>
                      <w:b/>
                      <w:bCs/>
                      <w:sz w:val="20"/>
                      <w:szCs w:val="20"/>
                      <w:lang w:val="en-GB"/>
                    </w:rPr>
                  </w:pPr>
                  <w:r w:rsidRPr="00613DB7">
                    <w:rPr>
                      <w:b/>
                      <w:bCs/>
                      <w:sz w:val="20"/>
                      <w:szCs w:val="20"/>
                      <w:lang w:val="en-GB"/>
                    </w:rPr>
                    <w:lastRenderedPageBreak/>
                    <w:t>ACR20</w:t>
                  </w:r>
                </w:p>
              </w:tc>
              <w:tc>
                <w:tcPr>
                  <w:tcW w:w="1278"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78"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78" w:type="dxa"/>
                  <w:tcBorders>
                    <w:top w:val="single" w:sz="4" w:space="0" w:color="auto"/>
                    <w:left w:val="nil"/>
                    <w:bottom w:val="nil"/>
                    <w:right w:val="single" w:sz="4" w:space="0" w:color="auto"/>
                  </w:tcBorders>
                </w:tcPr>
                <w:p w:rsidR="001C1840" w:rsidRPr="00613DB7" w:rsidRDefault="001C1840" w:rsidP="00613DB7">
                  <w:pPr>
                    <w:keepNext/>
                    <w:jc w:val="center"/>
                    <w:rPr>
                      <w:sz w:val="20"/>
                      <w:szCs w:val="20"/>
                      <w:lang w:val="en-GB"/>
                    </w:rPr>
                  </w:pPr>
                </w:p>
              </w:tc>
              <w:tc>
                <w:tcPr>
                  <w:tcW w:w="1278"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78"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78" w:type="dxa"/>
                  <w:tcBorders>
                    <w:top w:val="single" w:sz="4" w:space="0" w:color="auto"/>
                    <w:left w:val="nil"/>
                    <w:bottom w:val="nil"/>
                    <w:right w:val="single" w:sz="4" w:space="0" w:color="auto"/>
                  </w:tcBorders>
                </w:tcPr>
                <w:p w:rsidR="001C1840" w:rsidRPr="00613DB7" w:rsidRDefault="001C1840" w:rsidP="00613DB7">
                  <w:pPr>
                    <w:keepNext/>
                    <w:jc w:val="center"/>
                    <w:rPr>
                      <w:sz w:val="20"/>
                      <w:szCs w:val="20"/>
                      <w:lang w:val="en-GB"/>
                    </w:rPr>
                  </w:pPr>
                </w:p>
              </w:tc>
            </w:tr>
            <w:tr w:rsidR="001C1840" w:rsidRPr="00613DB7" w:rsidTr="00D97490">
              <w:trPr>
                <w:trHeight w:val="18"/>
              </w:trPr>
              <w:tc>
                <w:tcPr>
                  <w:tcW w:w="1227" w:type="dxa"/>
                  <w:tcBorders>
                    <w:top w:val="nil"/>
                    <w:left w:val="single" w:sz="4" w:space="0" w:color="auto"/>
                    <w:bottom w:val="nil"/>
                    <w:right w:val="single" w:sz="4" w:space="0" w:color="auto"/>
                  </w:tcBorders>
                </w:tcPr>
                <w:p w:rsidR="001C1840" w:rsidRPr="00613DB7" w:rsidRDefault="001C1840" w:rsidP="00613DB7">
                  <w:pPr>
                    <w:keepNext/>
                    <w:rPr>
                      <w:sz w:val="20"/>
                      <w:szCs w:val="20"/>
                      <w:lang w:val="en-GB"/>
                    </w:rPr>
                  </w:pPr>
                  <w:r w:rsidRPr="00613DB7">
                    <w:rPr>
                      <w:sz w:val="20"/>
                      <w:szCs w:val="20"/>
                      <w:lang w:val="en-GB"/>
                    </w:rPr>
                    <w:t>Week 24</w:t>
                  </w:r>
                </w:p>
              </w:tc>
              <w:tc>
                <w:tcPr>
                  <w:tcW w:w="1278" w:type="dxa"/>
                  <w:tcBorders>
                    <w:top w:val="nil"/>
                    <w:left w:val="single" w:sz="4" w:space="0" w:color="auto"/>
                    <w:bottom w:val="nil"/>
                    <w:right w:val="nil"/>
                  </w:tcBorders>
                </w:tcPr>
                <w:p w:rsidR="001C1840" w:rsidRPr="00613DB7" w:rsidRDefault="001C1840" w:rsidP="00613DB7">
                  <w:pPr>
                    <w:keepNext/>
                    <w:jc w:val="center"/>
                    <w:rPr>
                      <w:sz w:val="20"/>
                      <w:szCs w:val="20"/>
                      <w:lang w:val="en-GB"/>
                    </w:rPr>
                  </w:pPr>
                  <w:r w:rsidRPr="00613DB7">
                    <w:rPr>
                      <w:sz w:val="20"/>
                      <w:szCs w:val="20"/>
                      <w:lang w:val="en-GB"/>
                    </w:rPr>
                    <w:t>14%</w:t>
                  </w:r>
                </w:p>
              </w:tc>
              <w:tc>
                <w:tcPr>
                  <w:tcW w:w="1278" w:type="dxa"/>
                  <w:tcBorders>
                    <w:top w:val="nil"/>
                    <w:left w:val="nil"/>
                    <w:bottom w:val="nil"/>
                    <w:right w:val="nil"/>
                  </w:tcBorders>
                </w:tcPr>
                <w:p w:rsidR="001C1840" w:rsidRPr="00613DB7" w:rsidRDefault="00CD3FAC" w:rsidP="00613DB7">
                  <w:pPr>
                    <w:keepNext/>
                    <w:jc w:val="center"/>
                    <w:rPr>
                      <w:sz w:val="20"/>
                      <w:szCs w:val="20"/>
                      <w:lang w:val="en-GB"/>
                    </w:rPr>
                  </w:pPr>
                  <w:r w:rsidRPr="00613DB7">
                    <w:rPr>
                      <w:sz w:val="20"/>
                      <w:szCs w:val="20"/>
                      <w:lang w:val="en-GB"/>
                    </w:rPr>
                    <w:t>59%*</w:t>
                  </w:r>
                </w:p>
              </w:tc>
              <w:tc>
                <w:tcPr>
                  <w:tcW w:w="1278" w:type="dxa"/>
                  <w:tcBorders>
                    <w:top w:val="nil"/>
                    <w:left w:val="nil"/>
                    <w:bottom w:val="nil"/>
                    <w:right w:val="single" w:sz="4" w:space="0" w:color="auto"/>
                  </w:tcBorders>
                  <w:vAlign w:val="bottom"/>
                </w:tcPr>
                <w:p w:rsidR="001C1840" w:rsidRPr="00613DB7" w:rsidRDefault="001C1840" w:rsidP="00613DB7">
                  <w:pPr>
                    <w:keepNext/>
                    <w:jc w:val="center"/>
                    <w:rPr>
                      <w:sz w:val="20"/>
                      <w:szCs w:val="20"/>
                      <w:lang w:val="en-GB"/>
                    </w:rPr>
                  </w:pPr>
                  <w:r w:rsidRPr="00613DB7">
                    <w:rPr>
                      <w:sz w:val="20"/>
                      <w:szCs w:val="20"/>
                      <w:lang w:val="en-GB"/>
                    </w:rPr>
                    <w:t>45%</w:t>
                  </w:r>
                </w:p>
                <w:p w:rsidR="001C1840" w:rsidRPr="00613DB7" w:rsidRDefault="001C1840" w:rsidP="00613DB7">
                  <w:pPr>
                    <w:keepNext/>
                    <w:jc w:val="center"/>
                    <w:rPr>
                      <w:sz w:val="20"/>
                      <w:szCs w:val="20"/>
                      <w:lang w:val="en-GB"/>
                    </w:rPr>
                  </w:pPr>
                  <w:r w:rsidRPr="00613DB7">
                    <w:rPr>
                      <w:sz w:val="20"/>
                      <w:szCs w:val="20"/>
                      <w:lang w:val="en-GB"/>
                    </w:rPr>
                    <w:t>(38%, 52%)</w:t>
                  </w:r>
                </w:p>
              </w:tc>
              <w:tc>
                <w:tcPr>
                  <w:tcW w:w="1278" w:type="dxa"/>
                  <w:tcBorders>
                    <w:top w:val="nil"/>
                    <w:left w:val="single" w:sz="4" w:space="0" w:color="auto"/>
                    <w:bottom w:val="nil"/>
                    <w:right w:val="nil"/>
                  </w:tcBorders>
                </w:tcPr>
                <w:p w:rsidR="001C1840" w:rsidRPr="00613DB7" w:rsidRDefault="004B30DD" w:rsidP="00613DB7">
                  <w:pPr>
                    <w:keepNext/>
                    <w:jc w:val="center"/>
                    <w:rPr>
                      <w:sz w:val="20"/>
                      <w:szCs w:val="20"/>
                      <w:lang w:val="en-GB"/>
                    </w:rPr>
                  </w:pPr>
                  <w:r w:rsidRPr="00613DB7">
                    <w:rPr>
                      <w:sz w:val="20"/>
                      <w:szCs w:val="20"/>
                      <w:lang w:val="en-GB"/>
                    </w:rPr>
                    <w:t>9</w:t>
                  </w:r>
                  <w:r w:rsidR="00B52DE0" w:rsidRPr="00613DB7">
                    <w:rPr>
                      <w:sz w:val="20"/>
                      <w:szCs w:val="20"/>
                      <w:lang w:val="en-GB"/>
                    </w:rPr>
                    <w:t>%</w:t>
                  </w:r>
                </w:p>
              </w:tc>
              <w:tc>
                <w:tcPr>
                  <w:tcW w:w="1278" w:type="dxa"/>
                  <w:tcBorders>
                    <w:top w:val="nil"/>
                    <w:left w:val="nil"/>
                    <w:bottom w:val="nil"/>
                    <w:right w:val="nil"/>
                  </w:tcBorders>
                </w:tcPr>
                <w:p w:rsidR="001C1840" w:rsidRPr="00613DB7" w:rsidRDefault="00CD3FAC" w:rsidP="00613DB7">
                  <w:pPr>
                    <w:keepNext/>
                    <w:jc w:val="center"/>
                    <w:rPr>
                      <w:sz w:val="20"/>
                      <w:szCs w:val="20"/>
                      <w:lang w:val="en-GB"/>
                    </w:rPr>
                  </w:pPr>
                  <w:r w:rsidRPr="00613DB7">
                    <w:rPr>
                      <w:sz w:val="20"/>
                      <w:szCs w:val="20"/>
                      <w:lang w:val="en-GB"/>
                    </w:rPr>
                    <w:t>57%*</w:t>
                  </w:r>
                </w:p>
              </w:tc>
              <w:tc>
                <w:tcPr>
                  <w:tcW w:w="1278" w:type="dxa"/>
                  <w:tcBorders>
                    <w:top w:val="nil"/>
                    <w:left w:val="nil"/>
                    <w:bottom w:val="nil"/>
                    <w:right w:val="single" w:sz="4" w:space="0" w:color="auto"/>
                  </w:tcBorders>
                </w:tcPr>
                <w:p w:rsidR="00F02FAF" w:rsidRPr="00613DB7" w:rsidRDefault="00845468" w:rsidP="00613DB7">
                  <w:pPr>
                    <w:keepNext/>
                    <w:jc w:val="center"/>
                    <w:rPr>
                      <w:sz w:val="20"/>
                      <w:szCs w:val="20"/>
                      <w:lang w:val="en-GB"/>
                    </w:rPr>
                  </w:pPr>
                  <w:r w:rsidRPr="00613DB7">
                    <w:rPr>
                      <w:sz w:val="20"/>
                      <w:szCs w:val="20"/>
                      <w:lang w:val="en-GB"/>
                    </w:rPr>
                    <w:t>49%</w:t>
                  </w:r>
                </w:p>
                <w:p w:rsidR="00845468" w:rsidRPr="00613DB7" w:rsidRDefault="00845468" w:rsidP="00613DB7">
                  <w:pPr>
                    <w:keepNext/>
                    <w:jc w:val="center"/>
                    <w:rPr>
                      <w:sz w:val="20"/>
                      <w:szCs w:val="20"/>
                      <w:lang w:val="en-GB"/>
                    </w:rPr>
                  </w:pPr>
                  <w:r w:rsidRPr="00613DB7">
                    <w:rPr>
                      <w:sz w:val="20"/>
                      <w:szCs w:val="20"/>
                      <w:lang w:val="en-GB"/>
                    </w:rPr>
                    <w:t>(41%, 57%)</w:t>
                  </w:r>
                </w:p>
              </w:tc>
            </w:tr>
            <w:tr w:rsidR="001C1840" w:rsidRPr="00613DB7" w:rsidTr="00D97490">
              <w:trPr>
                <w:trHeight w:val="18"/>
              </w:trPr>
              <w:tc>
                <w:tcPr>
                  <w:tcW w:w="1227" w:type="dxa"/>
                  <w:tcBorders>
                    <w:top w:val="nil"/>
                    <w:left w:val="single" w:sz="4" w:space="0" w:color="auto"/>
                    <w:bottom w:val="single" w:sz="4" w:space="0" w:color="auto"/>
                    <w:right w:val="single" w:sz="4" w:space="0" w:color="auto"/>
                  </w:tcBorders>
                </w:tcPr>
                <w:p w:rsidR="001C1840" w:rsidRPr="00613DB7" w:rsidRDefault="001C1840" w:rsidP="00613DB7">
                  <w:pPr>
                    <w:keepNext/>
                    <w:rPr>
                      <w:sz w:val="20"/>
                      <w:szCs w:val="20"/>
                      <w:lang w:val="en-GB"/>
                    </w:rPr>
                  </w:pPr>
                  <w:r w:rsidRPr="00613DB7">
                    <w:rPr>
                      <w:sz w:val="20"/>
                      <w:szCs w:val="20"/>
                      <w:lang w:val="en-GB"/>
                    </w:rPr>
                    <w:t>Week 52</w:t>
                  </w:r>
                </w:p>
              </w:tc>
              <w:tc>
                <w:tcPr>
                  <w:tcW w:w="1278" w:type="dxa"/>
                  <w:tcBorders>
                    <w:top w:val="nil"/>
                    <w:left w:val="single" w:sz="4" w:space="0" w:color="auto"/>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13%</w:t>
                  </w:r>
                </w:p>
              </w:tc>
              <w:tc>
                <w:tcPr>
                  <w:tcW w:w="1278" w:type="dxa"/>
                  <w:tcBorders>
                    <w:top w:val="nil"/>
                    <w:left w:val="nil"/>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53%*</w:t>
                  </w:r>
                </w:p>
              </w:tc>
              <w:tc>
                <w:tcPr>
                  <w:tcW w:w="1278" w:type="dxa"/>
                  <w:tcBorders>
                    <w:top w:val="nil"/>
                    <w:left w:val="nil"/>
                    <w:bottom w:val="single" w:sz="4" w:space="0" w:color="auto"/>
                    <w:right w:val="single" w:sz="4" w:space="0" w:color="auto"/>
                  </w:tcBorders>
                  <w:vAlign w:val="bottom"/>
                </w:tcPr>
                <w:p w:rsidR="001C1840" w:rsidRPr="00613DB7" w:rsidRDefault="001C1840" w:rsidP="00613DB7">
                  <w:pPr>
                    <w:keepNext/>
                    <w:jc w:val="center"/>
                    <w:rPr>
                      <w:sz w:val="20"/>
                      <w:szCs w:val="20"/>
                      <w:lang w:val="en-GB"/>
                    </w:rPr>
                  </w:pPr>
                  <w:r w:rsidRPr="00613DB7">
                    <w:rPr>
                      <w:sz w:val="20"/>
                      <w:szCs w:val="20"/>
                      <w:lang w:val="en-GB"/>
                    </w:rPr>
                    <w:t>40%</w:t>
                  </w:r>
                </w:p>
                <w:p w:rsidR="001C1840" w:rsidRPr="00613DB7" w:rsidRDefault="001C1840" w:rsidP="00613DB7">
                  <w:pPr>
                    <w:keepNext/>
                    <w:jc w:val="center"/>
                    <w:rPr>
                      <w:sz w:val="20"/>
                      <w:szCs w:val="20"/>
                      <w:lang w:val="en-GB"/>
                    </w:rPr>
                  </w:pPr>
                  <w:r w:rsidRPr="00613DB7">
                    <w:rPr>
                      <w:sz w:val="20"/>
                      <w:szCs w:val="20"/>
                      <w:lang w:val="en-GB"/>
                    </w:rPr>
                    <w:t>(33%, 47%)</w:t>
                  </w:r>
                </w:p>
              </w:tc>
              <w:tc>
                <w:tcPr>
                  <w:tcW w:w="1278" w:type="dxa"/>
                  <w:tcBorders>
                    <w:top w:val="nil"/>
                    <w:left w:val="single" w:sz="4" w:space="0" w:color="auto"/>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78" w:type="dxa"/>
                  <w:tcBorders>
                    <w:top w:val="nil"/>
                    <w:left w:val="nil"/>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78" w:type="dxa"/>
                  <w:tcBorders>
                    <w:top w:val="nil"/>
                    <w:left w:val="nil"/>
                    <w:bottom w:val="single" w:sz="4" w:space="0" w:color="auto"/>
                    <w:right w:val="single" w:sz="4" w:space="0" w:color="auto"/>
                  </w:tcBorders>
                </w:tcPr>
                <w:p w:rsidR="001C1840" w:rsidRPr="00613DB7" w:rsidRDefault="008A7236" w:rsidP="00613DB7">
                  <w:pPr>
                    <w:keepNext/>
                    <w:jc w:val="center"/>
                    <w:rPr>
                      <w:sz w:val="20"/>
                      <w:szCs w:val="20"/>
                      <w:lang w:val="en-GB"/>
                    </w:rPr>
                  </w:pPr>
                  <w:r w:rsidRPr="00613DB7">
                    <w:rPr>
                      <w:sz w:val="20"/>
                      <w:szCs w:val="20"/>
                      <w:lang w:val="en-GB"/>
                    </w:rPr>
                    <w:t>NA</w:t>
                  </w:r>
                </w:p>
              </w:tc>
            </w:tr>
            <w:tr w:rsidR="001C1840" w:rsidRPr="00613DB7" w:rsidTr="00D97490">
              <w:trPr>
                <w:trHeight w:val="18"/>
              </w:trPr>
              <w:tc>
                <w:tcPr>
                  <w:tcW w:w="1227" w:type="dxa"/>
                  <w:tcBorders>
                    <w:top w:val="single" w:sz="4" w:space="0" w:color="auto"/>
                    <w:left w:val="single" w:sz="4" w:space="0" w:color="auto"/>
                    <w:bottom w:val="nil"/>
                    <w:right w:val="single" w:sz="4" w:space="0" w:color="auto"/>
                  </w:tcBorders>
                </w:tcPr>
                <w:p w:rsidR="001C1840" w:rsidRPr="00613DB7" w:rsidRDefault="001C1840" w:rsidP="00613DB7">
                  <w:pPr>
                    <w:keepNext/>
                    <w:rPr>
                      <w:b/>
                      <w:bCs/>
                      <w:sz w:val="20"/>
                      <w:szCs w:val="20"/>
                      <w:lang w:val="en-GB"/>
                    </w:rPr>
                  </w:pPr>
                  <w:r w:rsidRPr="00613DB7">
                    <w:rPr>
                      <w:b/>
                      <w:bCs/>
                      <w:sz w:val="20"/>
                      <w:szCs w:val="20"/>
                      <w:lang w:val="en-GB"/>
                    </w:rPr>
                    <w:t>ACR50</w:t>
                  </w:r>
                </w:p>
              </w:tc>
              <w:tc>
                <w:tcPr>
                  <w:tcW w:w="1278"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78"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78" w:type="dxa"/>
                  <w:tcBorders>
                    <w:top w:val="single" w:sz="4" w:space="0" w:color="auto"/>
                    <w:left w:val="nil"/>
                    <w:bottom w:val="nil"/>
                    <w:right w:val="single" w:sz="4" w:space="0" w:color="auto"/>
                  </w:tcBorders>
                </w:tcPr>
                <w:p w:rsidR="001C1840" w:rsidRPr="00613DB7" w:rsidRDefault="001C1840" w:rsidP="00613DB7">
                  <w:pPr>
                    <w:keepNext/>
                    <w:jc w:val="center"/>
                    <w:rPr>
                      <w:sz w:val="20"/>
                      <w:szCs w:val="20"/>
                      <w:lang w:val="en-GB"/>
                    </w:rPr>
                  </w:pPr>
                </w:p>
              </w:tc>
              <w:tc>
                <w:tcPr>
                  <w:tcW w:w="1278"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78"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78" w:type="dxa"/>
                  <w:tcBorders>
                    <w:top w:val="single" w:sz="4" w:space="0" w:color="auto"/>
                    <w:left w:val="nil"/>
                    <w:bottom w:val="nil"/>
                    <w:right w:val="single" w:sz="4" w:space="0" w:color="auto"/>
                  </w:tcBorders>
                  <w:vAlign w:val="bottom"/>
                </w:tcPr>
                <w:p w:rsidR="001C1840" w:rsidRPr="00613DB7" w:rsidRDefault="001C1840" w:rsidP="00613DB7">
                  <w:pPr>
                    <w:keepNext/>
                    <w:jc w:val="center"/>
                    <w:rPr>
                      <w:sz w:val="20"/>
                      <w:szCs w:val="20"/>
                      <w:lang w:val="en-GB"/>
                    </w:rPr>
                  </w:pPr>
                </w:p>
              </w:tc>
            </w:tr>
            <w:tr w:rsidR="001C1840" w:rsidRPr="00613DB7" w:rsidTr="00D97490">
              <w:trPr>
                <w:trHeight w:val="18"/>
              </w:trPr>
              <w:tc>
                <w:tcPr>
                  <w:tcW w:w="1227" w:type="dxa"/>
                  <w:tcBorders>
                    <w:top w:val="nil"/>
                    <w:left w:val="single" w:sz="4" w:space="0" w:color="auto"/>
                    <w:bottom w:val="nil"/>
                    <w:right w:val="single" w:sz="4" w:space="0" w:color="auto"/>
                  </w:tcBorders>
                </w:tcPr>
                <w:p w:rsidR="001C1840" w:rsidRPr="00613DB7" w:rsidRDefault="001C1840" w:rsidP="00613DB7">
                  <w:pPr>
                    <w:keepNext/>
                    <w:rPr>
                      <w:sz w:val="20"/>
                      <w:szCs w:val="20"/>
                      <w:lang w:val="en-GB"/>
                    </w:rPr>
                  </w:pPr>
                  <w:r w:rsidRPr="00613DB7">
                    <w:rPr>
                      <w:sz w:val="20"/>
                      <w:szCs w:val="20"/>
                      <w:lang w:val="en-GB"/>
                    </w:rPr>
                    <w:t>Week 24</w:t>
                  </w:r>
                </w:p>
              </w:tc>
              <w:tc>
                <w:tcPr>
                  <w:tcW w:w="1278" w:type="dxa"/>
                  <w:tcBorders>
                    <w:top w:val="nil"/>
                    <w:left w:val="single" w:sz="4" w:space="0" w:color="auto"/>
                    <w:bottom w:val="nil"/>
                    <w:right w:val="nil"/>
                  </w:tcBorders>
                </w:tcPr>
                <w:p w:rsidR="001C1840" w:rsidRPr="00613DB7" w:rsidRDefault="001C1840" w:rsidP="00613DB7">
                  <w:pPr>
                    <w:keepNext/>
                    <w:jc w:val="center"/>
                    <w:rPr>
                      <w:sz w:val="20"/>
                      <w:szCs w:val="20"/>
                      <w:lang w:val="en-GB"/>
                    </w:rPr>
                  </w:pPr>
                  <w:r w:rsidRPr="00613DB7">
                    <w:rPr>
                      <w:sz w:val="20"/>
                      <w:szCs w:val="20"/>
                      <w:lang w:val="en-GB"/>
                    </w:rPr>
                    <w:t>8%</w:t>
                  </w:r>
                </w:p>
              </w:tc>
              <w:tc>
                <w:tcPr>
                  <w:tcW w:w="1278" w:type="dxa"/>
                  <w:tcBorders>
                    <w:top w:val="nil"/>
                    <w:left w:val="nil"/>
                    <w:bottom w:val="nil"/>
                    <w:right w:val="nil"/>
                  </w:tcBorders>
                </w:tcPr>
                <w:p w:rsidR="001C1840" w:rsidRPr="00613DB7" w:rsidRDefault="001C1840" w:rsidP="00613DB7">
                  <w:pPr>
                    <w:keepNext/>
                    <w:jc w:val="center"/>
                    <w:rPr>
                      <w:sz w:val="20"/>
                      <w:szCs w:val="20"/>
                      <w:lang w:val="en-GB"/>
                    </w:rPr>
                  </w:pPr>
                  <w:r w:rsidRPr="00613DB7">
                    <w:rPr>
                      <w:sz w:val="20"/>
                      <w:szCs w:val="20"/>
                      <w:lang w:val="en-GB"/>
                    </w:rPr>
                    <w:t>37%*</w:t>
                  </w:r>
                </w:p>
              </w:tc>
              <w:tc>
                <w:tcPr>
                  <w:tcW w:w="1278" w:type="dxa"/>
                  <w:tcBorders>
                    <w:top w:val="nil"/>
                    <w:left w:val="nil"/>
                    <w:bottom w:val="nil"/>
                    <w:right w:val="single" w:sz="4" w:space="0" w:color="auto"/>
                  </w:tcBorders>
                </w:tcPr>
                <w:p w:rsidR="001C1840" w:rsidRPr="00613DB7" w:rsidRDefault="001C1840" w:rsidP="00613DB7">
                  <w:pPr>
                    <w:keepNext/>
                    <w:jc w:val="center"/>
                    <w:rPr>
                      <w:sz w:val="20"/>
                      <w:szCs w:val="20"/>
                      <w:lang w:val="en-GB"/>
                    </w:rPr>
                  </w:pPr>
                  <w:r w:rsidRPr="00613DB7">
                    <w:rPr>
                      <w:sz w:val="20"/>
                      <w:szCs w:val="20"/>
                      <w:lang w:val="en-GB"/>
                    </w:rPr>
                    <w:t>30%</w:t>
                  </w:r>
                </w:p>
                <w:p w:rsidR="001C1840" w:rsidRPr="00613DB7" w:rsidRDefault="001C1840" w:rsidP="00613DB7">
                  <w:pPr>
                    <w:keepNext/>
                    <w:jc w:val="center"/>
                    <w:rPr>
                      <w:sz w:val="20"/>
                      <w:szCs w:val="20"/>
                      <w:lang w:val="en-GB"/>
                    </w:rPr>
                  </w:pPr>
                  <w:r w:rsidRPr="00613DB7">
                    <w:rPr>
                      <w:sz w:val="20"/>
                      <w:szCs w:val="20"/>
                      <w:lang w:val="en-GB"/>
                    </w:rPr>
                    <w:t xml:space="preserve"> (24%, 36%)</w:t>
                  </w:r>
                </w:p>
              </w:tc>
              <w:tc>
                <w:tcPr>
                  <w:tcW w:w="1278" w:type="dxa"/>
                  <w:tcBorders>
                    <w:top w:val="nil"/>
                    <w:left w:val="single" w:sz="4" w:space="0" w:color="auto"/>
                    <w:bottom w:val="nil"/>
                    <w:right w:val="nil"/>
                  </w:tcBorders>
                </w:tcPr>
                <w:p w:rsidR="001C1840" w:rsidRPr="00613DB7" w:rsidRDefault="004B30DD" w:rsidP="00613DB7">
                  <w:pPr>
                    <w:keepNext/>
                    <w:jc w:val="center"/>
                    <w:rPr>
                      <w:sz w:val="20"/>
                      <w:szCs w:val="20"/>
                      <w:lang w:val="en-GB"/>
                    </w:rPr>
                  </w:pPr>
                  <w:r w:rsidRPr="00613DB7">
                    <w:rPr>
                      <w:sz w:val="20"/>
                      <w:szCs w:val="20"/>
                      <w:lang w:val="en-GB"/>
                    </w:rPr>
                    <w:t>3</w:t>
                  </w:r>
                  <w:r w:rsidR="00B52DE0" w:rsidRPr="00613DB7">
                    <w:rPr>
                      <w:sz w:val="20"/>
                      <w:szCs w:val="20"/>
                      <w:lang w:val="en-GB"/>
                    </w:rPr>
                    <w:t>%</w:t>
                  </w:r>
                </w:p>
              </w:tc>
              <w:tc>
                <w:tcPr>
                  <w:tcW w:w="1278" w:type="dxa"/>
                  <w:tcBorders>
                    <w:top w:val="nil"/>
                    <w:left w:val="nil"/>
                    <w:bottom w:val="nil"/>
                    <w:right w:val="nil"/>
                  </w:tcBorders>
                </w:tcPr>
                <w:p w:rsidR="001C1840" w:rsidRPr="00613DB7" w:rsidRDefault="00CD3FAC" w:rsidP="00613DB7">
                  <w:pPr>
                    <w:keepNext/>
                    <w:jc w:val="center"/>
                    <w:rPr>
                      <w:sz w:val="20"/>
                      <w:szCs w:val="20"/>
                      <w:lang w:val="en-GB"/>
                    </w:rPr>
                  </w:pPr>
                  <w:r w:rsidRPr="00613DB7">
                    <w:rPr>
                      <w:sz w:val="20"/>
                      <w:szCs w:val="20"/>
                      <w:lang w:val="en-GB"/>
                    </w:rPr>
                    <w:t>3</w:t>
                  </w:r>
                  <w:r w:rsidR="0071543D" w:rsidRPr="00613DB7">
                    <w:rPr>
                      <w:sz w:val="20"/>
                      <w:szCs w:val="20"/>
                      <w:lang w:val="en-GB"/>
                    </w:rPr>
                    <w:t>3</w:t>
                  </w:r>
                  <w:r w:rsidRPr="00613DB7">
                    <w:rPr>
                      <w:sz w:val="20"/>
                      <w:szCs w:val="20"/>
                      <w:lang w:val="en-GB"/>
                    </w:rPr>
                    <w:t>%*</w:t>
                  </w:r>
                </w:p>
              </w:tc>
              <w:tc>
                <w:tcPr>
                  <w:tcW w:w="1278" w:type="dxa"/>
                  <w:tcBorders>
                    <w:top w:val="nil"/>
                    <w:left w:val="nil"/>
                    <w:bottom w:val="nil"/>
                    <w:right w:val="single" w:sz="4" w:space="0" w:color="auto"/>
                  </w:tcBorders>
                </w:tcPr>
                <w:p w:rsidR="001C1840" w:rsidRPr="00613DB7" w:rsidRDefault="00845468" w:rsidP="00613DB7">
                  <w:pPr>
                    <w:keepNext/>
                    <w:jc w:val="center"/>
                    <w:rPr>
                      <w:sz w:val="20"/>
                      <w:szCs w:val="20"/>
                      <w:lang w:val="en-GB"/>
                    </w:rPr>
                  </w:pPr>
                  <w:r w:rsidRPr="00613DB7">
                    <w:rPr>
                      <w:sz w:val="20"/>
                      <w:szCs w:val="20"/>
                      <w:lang w:val="en-GB"/>
                    </w:rPr>
                    <w:t>29%</w:t>
                  </w:r>
                </w:p>
                <w:p w:rsidR="00845468" w:rsidRPr="00613DB7" w:rsidRDefault="00845468" w:rsidP="00613DB7">
                  <w:pPr>
                    <w:keepNext/>
                    <w:jc w:val="center"/>
                    <w:rPr>
                      <w:sz w:val="20"/>
                      <w:szCs w:val="20"/>
                      <w:lang w:val="en-GB"/>
                    </w:rPr>
                  </w:pPr>
                  <w:r w:rsidRPr="00613DB7">
                    <w:rPr>
                      <w:sz w:val="20"/>
                      <w:szCs w:val="20"/>
                      <w:lang w:val="en-GB"/>
                    </w:rPr>
                    <w:t>(23%, 36%)</w:t>
                  </w:r>
                </w:p>
              </w:tc>
            </w:tr>
            <w:tr w:rsidR="001C1840" w:rsidRPr="00613DB7" w:rsidTr="00D97490">
              <w:trPr>
                <w:trHeight w:val="18"/>
              </w:trPr>
              <w:tc>
                <w:tcPr>
                  <w:tcW w:w="1227" w:type="dxa"/>
                  <w:tcBorders>
                    <w:top w:val="nil"/>
                    <w:left w:val="single" w:sz="4" w:space="0" w:color="auto"/>
                    <w:bottom w:val="single" w:sz="4" w:space="0" w:color="auto"/>
                    <w:right w:val="single" w:sz="4" w:space="0" w:color="auto"/>
                  </w:tcBorders>
                </w:tcPr>
                <w:p w:rsidR="001C1840" w:rsidRPr="00613DB7" w:rsidRDefault="001C1840" w:rsidP="00613DB7">
                  <w:pPr>
                    <w:keepNext/>
                    <w:rPr>
                      <w:sz w:val="20"/>
                      <w:szCs w:val="20"/>
                      <w:lang w:val="en-GB"/>
                    </w:rPr>
                  </w:pPr>
                  <w:r w:rsidRPr="00613DB7">
                    <w:rPr>
                      <w:sz w:val="20"/>
                      <w:szCs w:val="20"/>
                      <w:lang w:val="en-GB"/>
                    </w:rPr>
                    <w:t>Week 52</w:t>
                  </w:r>
                </w:p>
              </w:tc>
              <w:tc>
                <w:tcPr>
                  <w:tcW w:w="1278" w:type="dxa"/>
                  <w:tcBorders>
                    <w:top w:val="nil"/>
                    <w:left w:val="single" w:sz="4" w:space="0" w:color="auto"/>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8%</w:t>
                  </w:r>
                </w:p>
              </w:tc>
              <w:tc>
                <w:tcPr>
                  <w:tcW w:w="1278" w:type="dxa"/>
                  <w:tcBorders>
                    <w:top w:val="nil"/>
                    <w:left w:val="nil"/>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38%*</w:t>
                  </w:r>
                </w:p>
              </w:tc>
              <w:tc>
                <w:tcPr>
                  <w:tcW w:w="1278" w:type="dxa"/>
                  <w:tcBorders>
                    <w:top w:val="nil"/>
                    <w:left w:val="nil"/>
                    <w:bottom w:val="single" w:sz="4" w:space="0" w:color="auto"/>
                    <w:right w:val="single" w:sz="4" w:space="0" w:color="auto"/>
                  </w:tcBorders>
                </w:tcPr>
                <w:p w:rsidR="001C1840" w:rsidRPr="00613DB7" w:rsidRDefault="001C1840" w:rsidP="00613DB7">
                  <w:pPr>
                    <w:keepNext/>
                    <w:jc w:val="center"/>
                    <w:rPr>
                      <w:sz w:val="20"/>
                      <w:szCs w:val="20"/>
                      <w:lang w:val="en-GB"/>
                    </w:rPr>
                  </w:pPr>
                  <w:r w:rsidRPr="00613DB7">
                    <w:rPr>
                      <w:sz w:val="20"/>
                      <w:szCs w:val="20"/>
                      <w:lang w:val="en-GB"/>
                    </w:rPr>
                    <w:t xml:space="preserve">30% </w:t>
                  </w:r>
                </w:p>
                <w:p w:rsidR="001C1840" w:rsidRPr="00613DB7" w:rsidRDefault="001C1840" w:rsidP="00613DB7">
                  <w:pPr>
                    <w:keepNext/>
                    <w:jc w:val="center"/>
                    <w:rPr>
                      <w:sz w:val="20"/>
                      <w:szCs w:val="20"/>
                      <w:lang w:val="en-GB"/>
                    </w:rPr>
                  </w:pPr>
                  <w:r w:rsidRPr="00613DB7">
                    <w:rPr>
                      <w:sz w:val="20"/>
                      <w:szCs w:val="20"/>
                      <w:lang w:val="en-GB"/>
                    </w:rPr>
                    <w:t>(24%, 37%)</w:t>
                  </w:r>
                </w:p>
              </w:tc>
              <w:tc>
                <w:tcPr>
                  <w:tcW w:w="1278" w:type="dxa"/>
                  <w:tcBorders>
                    <w:top w:val="nil"/>
                    <w:left w:val="single" w:sz="4" w:space="0" w:color="auto"/>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78" w:type="dxa"/>
                  <w:tcBorders>
                    <w:top w:val="nil"/>
                    <w:left w:val="nil"/>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78" w:type="dxa"/>
                  <w:tcBorders>
                    <w:top w:val="nil"/>
                    <w:left w:val="nil"/>
                    <w:bottom w:val="single" w:sz="4" w:space="0" w:color="auto"/>
                    <w:right w:val="single" w:sz="4" w:space="0" w:color="auto"/>
                  </w:tcBorders>
                </w:tcPr>
                <w:p w:rsidR="001C1840" w:rsidRPr="00613DB7" w:rsidRDefault="008A7236" w:rsidP="00613DB7">
                  <w:pPr>
                    <w:keepNext/>
                    <w:jc w:val="center"/>
                    <w:rPr>
                      <w:sz w:val="20"/>
                      <w:szCs w:val="20"/>
                      <w:lang w:val="en-GB"/>
                    </w:rPr>
                  </w:pPr>
                  <w:r w:rsidRPr="00613DB7">
                    <w:rPr>
                      <w:sz w:val="20"/>
                      <w:szCs w:val="20"/>
                      <w:lang w:val="en-GB"/>
                    </w:rPr>
                    <w:t>NA</w:t>
                  </w:r>
                </w:p>
              </w:tc>
            </w:tr>
            <w:tr w:rsidR="001C1840" w:rsidRPr="00613DB7" w:rsidTr="00D97490">
              <w:trPr>
                <w:trHeight w:val="18"/>
              </w:trPr>
              <w:tc>
                <w:tcPr>
                  <w:tcW w:w="1227" w:type="dxa"/>
                  <w:tcBorders>
                    <w:top w:val="single" w:sz="4" w:space="0" w:color="auto"/>
                    <w:left w:val="single" w:sz="4" w:space="0" w:color="auto"/>
                    <w:bottom w:val="nil"/>
                    <w:right w:val="single" w:sz="4" w:space="0" w:color="auto"/>
                  </w:tcBorders>
                </w:tcPr>
                <w:p w:rsidR="001C1840" w:rsidRPr="00613DB7" w:rsidRDefault="001C1840" w:rsidP="00613DB7">
                  <w:pPr>
                    <w:keepNext/>
                    <w:rPr>
                      <w:b/>
                      <w:bCs/>
                      <w:sz w:val="20"/>
                      <w:szCs w:val="20"/>
                      <w:lang w:val="en-GB"/>
                    </w:rPr>
                  </w:pPr>
                  <w:r w:rsidRPr="00613DB7">
                    <w:rPr>
                      <w:b/>
                      <w:bCs/>
                      <w:sz w:val="20"/>
                      <w:szCs w:val="20"/>
                      <w:lang w:val="en-GB"/>
                    </w:rPr>
                    <w:t>ACR70</w:t>
                  </w:r>
                </w:p>
              </w:tc>
              <w:tc>
                <w:tcPr>
                  <w:tcW w:w="1278"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78"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78" w:type="dxa"/>
                  <w:tcBorders>
                    <w:top w:val="single" w:sz="4" w:space="0" w:color="auto"/>
                    <w:left w:val="nil"/>
                    <w:bottom w:val="nil"/>
                    <w:right w:val="single" w:sz="4" w:space="0" w:color="auto"/>
                  </w:tcBorders>
                </w:tcPr>
                <w:p w:rsidR="001C1840" w:rsidRPr="00613DB7" w:rsidRDefault="001C1840" w:rsidP="00613DB7">
                  <w:pPr>
                    <w:keepNext/>
                    <w:jc w:val="center"/>
                    <w:rPr>
                      <w:sz w:val="20"/>
                      <w:szCs w:val="20"/>
                      <w:lang w:val="en-GB"/>
                    </w:rPr>
                  </w:pPr>
                </w:p>
              </w:tc>
              <w:tc>
                <w:tcPr>
                  <w:tcW w:w="1278" w:type="dxa"/>
                  <w:tcBorders>
                    <w:top w:val="single" w:sz="4" w:space="0" w:color="auto"/>
                    <w:left w:val="single" w:sz="4" w:space="0" w:color="auto"/>
                    <w:bottom w:val="nil"/>
                    <w:right w:val="nil"/>
                  </w:tcBorders>
                </w:tcPr>
                <w:p w:rsidR="001C1840" w:rsidRPr="00613DB7" w:rsidRDefault="001C1840" w:rsidP="00613DB7">
                  <w:pPr>
                    <w:keepNext/>
                    <w:jc w:val="center"/>
                    <w:rPr>
                      <w:sz w:val="20"/>
                      <w:szCs w:val="20"/>
                      <w:lang w:val="en-GB"/>
                    </w:rPr>
                  </w:pPr>
                </w:p>
              </w:tc>
              <w:tc>
                <w:tcPr>
                  <w:tcW w:w="1278" w:type="dxa"/>
                  <w:tcBorders>
                    <w:top w:val="single" w:sz="4" w:space="0" w:color="auto"/>
                    <w:left w:val="nil"/>
                    <w:bottom w:val="nil"/>
                    <w:right w:val="nil"/>
                  </w:tcBorders>
                </w:tcPr>
                <w:p w:rsidR="001C1840" w:rsidRPr="00613DB7" w:rsidRDefault="001C1840" w:rsidP="00613DB7">
                  <w:pPr>
                    <w:keepNext/>
                    <w:jc w:val="center"/>
                    <w:rPr>
                      <w:sz w:val="20"/>
                      <w:szCs w:val="20"/>
                      <w:lang w:val="en-GB"/>
                    </w:rPr>
                  </w:pPr>
                </w:p>
              </w:tc>
              <w:tc>
                <w:tcPr>
                  <w:tcW w:w="1278" w:type="dxa"/>
                  <w:tcBorders>
                    <w:top w:val="single" w:sz="4" w:space="0" w:color="auto"/>
                    <w:left w:val="nil"/>
                    <w:bottom w:val="nil"/>
                    <w:right w:val="single" w:sz="4" w:space="0" w:color="auto"/>
                  </w:tcBorders>
                </w:tcPr>
                <w:p w:rsidR="001C1840" w:rsidRPr="00613DB7" w:rsidRDefault="001C1840" w:rsidP="00613DB7">
                  <w:pPr>
                    <w:keepNext/>
                    <w:jc w:val="center"/>
                    <w:rPr>
                      <w:sz w:val="20"/>
                      <w:szCs w:val="20"/>
                      <w:lang w:val="en-GB"/>
                    </w:rPr>
                  </w:pPr>
                </w:p>
              </w:tc>
            </w:tr>
            <w:tr w:rsidR="001C1840" w:rsidRPr="00613DB7" w:rsidTr="00D97490">
              <w:trPr>
                <w:trHeight w:val="18"/>
              </w:trPr>
              <w:tc>
                <w:tcPr>
                  <w:tcW w:w="1227" w:type="dxa"/>
                  <w:tcBorders>
                    <w:top w:val="nil"/>
                    <w:left w:val="single" w:sz="4" w:space="0" w:color="auto"/>
                    <w:bottom w:val="nil"/>
                    <w:right w:val="single" w:sz="4" w:space="0" w:color="auto"/>
                  </w:tcBorders>
                </w:tcPr>
                <w:p w:rsidR="001C1840" w:rsidRPr="00613DB7" w:rsidRDefault="001C1840" w:rsidP="00613DB7">
                  <w:pPr>
                    <w:keepNext/>
                    <w:rPr>
                      <w:sz w:val="20"/>
                      <w:szCs w:val="20"/>
                      <w:lang w:val="en-GB"/>
                    </w:rPr>
                  </w:pPr>
                  <w:r w:rsidRPr="00613DB7">
                    <w:rPr>
                      <w:sz w:val="20"/>
                      <w:szCs w:val="20"/>
                      <w:lang w:val="en-GB"/>
                    </w:rPr>
                    <w:t>Week 24</w:t>
                  </w:r>
                </w:p>
              </w:tc>
              <w:tc>
                <w:tcPr>
                  <w:tcW w:w="1278" w:type="dxa"/>
                  <w:tcBorders>
                    <w:top w:val="nil"/>
                    <w:left w:val="single" w:sz="4" w:space="0" w:color="auto"/>
                    <w:bottom w:val="nil"/>
                    <w:right w:val="nil"/>
                  </w:tcBorders>
                </w:tcPr>
                <w:p w:rsidR="001C1840" w:rsidRPr="00613DB7" w:rsidRDefault="001C1840" w:rsidP="00613DB7">
                  <w:pPr>
                    <w:keepNext/>
                    <w:jc w:val="center"/>
                    <w:rPr>
                      <w:sz w:val="20"/>
                      <w:szCs w:val="20"/>
                      <w:lang w:val="en-GB"/>
                    </w:rPr>
                  </w:pPr>
                  <w:r w:rsidRPr="00613DB7">
                    <w:rPr>
                      <w:sz w:val="20"/>
                      <w:szCs w:val="20"/>
                      <w:lang w:val="en-GB"/>
                    </w:rPr>
                    <w:t>3%</w:t>
                  </w:r>
                </w:p>
              </w:tc>
              <w:tc>
                <w:tcPr>
                  <w:tcW w:w="1278" w:type="dxa"/>
                  <w:tcBorders>
                    <w:top w:val="nil"/>
                    <w:left w:val="nil"/>
                    <w:bottom w:val="nil"/>
                    <w:right w:val="nil"/>
                  </w:tcBorders>
                </w:tcPr>
                <w:p w:rsidR="001C1840" w:rsidRPr="00613DB7" w:rsidRDefault="001C1840" w:rsidP="00613DB7">
                  <w:pPr>
                    <w:keepNext/>
                    <w:jc w:val="center"/>
                    <w:rPr>
                      <w:sz w:val="20"/>
                      <w:szCs w:val="20"/>
                      <w:lang w:val="en-GB"/>
                    </w:rPr>
                  </w:pPr>
                  <w:r w:rsidRPr="00613DB7">
                    <w:rPr>
                      <w:sz w:val="20"/>
                      <w:szCs w:val="20"/>
                      <w:lang w:val="en-GB"/>
                    </w:rPr>
                    <w:t>21%*</w:t>
                  </w:r>
                </w:p>
              </w:tc>
              <w:tc>
                <w:tcPr>
                  <w:tcW w:w="1278" w:type="dxa"/>
                  <w:tcBorders>
                    <w:top w:val="nil"/>
                    <w:left w:val="nil"/>
                    <w:bottom w:val="nil"/>
                    <w:right w:val="single" w:sz="4" w:space="0" w:color="auto"/>
                  </w:tcBorders>
                </w:tcPr>
                <w:p w:rsidR="001C1840" w:rsidRPr="00613DB7" w:rsidRDefault="001C1840" w:rsidP="00613DB7">
                  <w:pPr>
                    <w:keepNext/>
                    <w:jc w:val="center"/>
                    <w:rPr>
                      <w:sz w:val="20"/>
                      <w:szCs w:val="20"/>
                      <w:lang w:val="en-GB"/>
                    </w:rPr>
                  </w:pPr>
                  <w:r w:rsidRPr="00613DB7">
                    <w:rPr>
                      <w:sz w:val="20"/>
                      <w:szCs w:val="20"/>
                      <w:lang w:val="en-GB"/>
                    </w:rPr>
                    <w:t xml:space="preserve">18% </w:t>
                  </w:r>
                </w:p>
                <w:p w:rsidR="001C1840" w:rsidRPr="00613DB7" w:rsidRDefault="001C1840" w:rsidP="00613DB7">
                  <w:pPr>
                    <w:keepNext/>
                    <w:jc w:val="center"/>
                    <w:rPr>
                      <w:sz w:val="20"/>
                      <w:szCs w:val="20"/>
                      <w:lang w:val="en-GB"/>
                    </w:rPr>
                  </w:pPr>
                  <w:r w:rsidRPr="00613DB7">
                    <w:rPr>
                      <w:sz w:val="20"/>
                      <w:szCs w:val="20"/>
                      <w:lang w:val="en-GB"/>
                    </w:rPr>
                    <w:t>(14%, 23%)</w:t>
                  </w:r>
                </w:p>
              </w:tc>
              <w:tc>
                <w:tcPr>
                  <w:tcW w:w="1278" w:type="dxa"/>
                  <w:tcBorders>
                    <w:top w:val="nil"/>
                    <w:left w:val="single" w:sz="4" w:space="0" w:color="auto"/>
                    <w:bottom w:val="nil"/>
                    <w:right w:val="nil"/>
                  </w:tcBorders>
                </w:tcPr>
                <w:p w:rsidR="001C1840" w:rsidRPr="00613DB7" w:rsidRDefault="004B30DD" w:rsidP="00613DB7">
                  <w:pPr>
                    <w:keepNext/>
                    <w:jc w:val="center"/>
                    <w:rPr>
                      <w:sz w:val="20"/>
                      <w:szCs w:val="20"/>
                      <w:lang w:val="en-GB"/>
                    </w:rPr>
                  </w:pPr>
                  <w:r w:rsidRPr="00613DB7">
                    <w:rPr>
                      <w:sz w:val="20"/>
                      <w:szCs w:val="20"/>
                      <w:lang w:val="en-GB"/>
                    </w:rPr>
                    <w:t>1</w:t>
                  </w:r>
                  <w:r w:rsidR="00CD3FAC" w:rsidRPr="00613DB7">
                    <w:rPr>
                      <w:sz w:val="20"/>
                      <w:szCs w:val="20"/>
                      <w:lang w:val="en-GB"/>
                    </w:rPr>
                    <w:t>%</w:t>
                  </w:r>
                </w:p>
              </w:tc>
              <w:tc>
                <w:tcPr>
                  <w:tcW w:w="1278" w:type="dxa"/>
                  <w:tcBorders>
                    <w:top w:val="nil"/>
                    <w:left w:val="nil"/>
                    <w:bottom w:val="nil"/>
                    <w:right w:val="nil"/>
                  </w:tcBorders>
                </w:tcPr>
                <w:p w:rsidR="001C1840" w:rsidRPr="00613DB7" w:rsidRDefault="00CD3FAC" w:rsidP="00613DB7">
                  <w:pPr>
                    <w:keepNext/>
                    <w:jc w:val="center"/>
                    <w:rPr>
                      <w:sz w:val="20"/>
                      <w:szCs w:val="20"/>
                      <w:lang w:val="en-GB"/>
                    </w:rPr>
                  </w:pPr>
                  <w:r w:rsidRPr="00613DB7">
                    <w:rPr>
                      <w:sz w:val="20"/>
                      <w:szCs w:val="20"/>
                      <w:lang w:val="en-GB"/>
                    </w:rPr>
                    <w:t>1</w:t>
                  </w:r>
                  <w:r w:rsidR="0071543D" w:rsidRPr="00613DB7">
                    <w:rPr>
                      <w:sz w:val="20"/>
                      <w:szCs w:val="20"/>
                      <w:lang w:val="en-GB"/>
                    </w:rPr>
                    <w:t>6</w:t>
                  </w:r>
                  <w:r w:rsidRPr="00613DB7">
                    <w:rPr>
                      <w:sz w:val="20"/>
                      <w:szCs w:val="20"/>
                      <w:lang w:val="en-GB"/>
                    </w:rPr>
                    <w:t>%**</w:t>
                  </w:r>
                </w:p>
              </w:tc>
              <w:tc>
                <w:tcPr>
                  <w:tcW w:w="1278" w:type="dxa"/>
                  <w:tcBorders>
                    <w:top w:val="nil"/>
                    <w:left w:val="nil"/>
                    <w:bottom w:val="nil"/>
                    <w:right w:val="single" w:sz="4" w:space="0" w:color="auto"/>
                  </w:tcBorders>
                </w:tcPr>
                <w:p w:rsidR="001C1840" w:rsidRPr="00613DB7" w:rsidRDefault="00845468" w:rsidP="00613DB7">
                  <w:pPr>
                    <w:keepNext/>
                    <w:jc w:val="center"/>
                    <w:rPr>
                      <w:sz w:val="20"/>
                      <w:szCs w:val="20"/>
                      <w:lang w:val="en-GB"/>
                    </w:rPr>
                  </w:pPr>
                  <w:r w:rsidRPr="00613DB7">
                    <w:rPr>
                      <w:sz w:val="20"/>
                      <w:szCs w:val="20"/>
                      <w:lang w:val="en-GB"/>
                    </w:rPr>
                    <w:t>15%</w:t>
                  </w:r>
                </w:p>
                <w:p w:rsidR="00845468" w:rsidRPr="00613DB7" w:rsidRDefault="00845468" w:rsidP="00613DB7">
                  <w:pPr>
                    <w:keepNext/>
                    <w:jc w:val="center"/>
                    <w:rPr>
                      <w:sz w:val="20"/>
                      <w:szCs w:val="20"/>
                      <w:lang w:val="en-GB"/>
                    </w:rPr>
                  </w:pPr>
                  <w:r w:rsidRPr="00613DB7">
                    <w:rPr>
                      <w:sz w:val="20"/>
                      <w:szCs w:val="20"/>
                      <w:lang w:val="en-GB"/>
                    </w:rPr>
                    <w:t>(10%, 20%)</w:t>
                  </w:r>
                </w:p>
              </w:tc>
            </w:tr>
            <w:tr w:rsidR="001C1840" w:rsidRPr="00613DB7" w:rsidTr="00D97490">
              <w:trPr>
                <w:trHeight w:val="18"/>
              </w:trPr>
              <w:tc>
                <w:tcPr>
                  <w:tcW w:w="1227" w:type="dxa"/>
                  <w:tcBorders>
                    <w:top w:val="nil"/>
                    <w:left w:val="single" w:sz="4" w:space="0" w:color="auto"/>
                    <w:bottom w:val="single" w:sz="4" w:space="0" w:color="auto"/>
                    <w:right w:val="single" w:sz="4" w:space="0" w:color="auto"/>
                  </w:tcBorders>
                </w:tcPr>
                <w:p w:rsidR="001C1840" w:rsidRPr="00613DB7" w:rsidRDefault="001C1840" w:rsidP="00613DB7">
                  <w:pPr>
                    <w:keepNext/>
                    <w:rPr>
                      <w:sz w:val="20"/>
                      <w:szCs w:val="20"/>
                      <w:lang w:val="en-GB"/>
                    </w:rPr>
                  </w:pPr>
                  <w:r w:rsidRPr="00613DB7">
                    <w:rPr>
                      <w:sz w:val="20"/>
                      <w:szCs w:val="20"/>
                      <w:lang w:val="en-GB"/>
                    </w:rPr>
                    <w:t>Week 52</w:t>
                  </w:r>
                </w:p>
              </w:tc>
              <w:tc>
                <w:tcPr>
                  <w:tcW w:w="1278" w:type="dxa"/>
                  <w:tcBorders>
                    <w:top w:val="nil"/>
                    <w:left w:val="single" w:sz="4" w:space="0" w:color="auto"/>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4%</w:t>
                  </w:r>
                </w:p>
              </w:tc>
              <w:tc>
                <w:tcPr>
                  <w:tcW w:w="1278" w:type="dxa"/>
                  <w:tcBorders>
                    <w:top w:val="nil"/>
                    <w:left w:val="nil"/>
                    <w:bottom w:val="single" w:sz="4" w:space="0" w:color="auto"/>
                    <w:right w:val="nil"/>
                  </w:tcBorders>
                </w:tcPr>
                <w:p w:rsidR="001C1840" w:rsidRPr="00613DB7" w:rsidRDefault="001C1840" w:rsidP="00613DB7">
                  <w:pPr>
                    <w:keepNext/>
                    <w:jc w:val="center"/>
                    <w:rPr>
                      <w:sz w:val="20"/>
                      <w:szCs w:val="20"/>
                      <w:lang w:val="en-GB"/>
                    </w:rPr>
                  </w:pPr>
                  <w:r w:rsidRPr="00613DB7">
                    <w:rPr>
                      <w:sz w:val="20"/>
                      <w:szCs w:val="20"/>
                      <w:lang w:val="en-GB"/>
                    </w:rPr>
                    <w:t>21%*</w:t>
                  </w:r>
                </w:p>
              </w:tc>
              <w:tc>
                <w:tcPr>
                  <w:tcW w:w="1278" w:type="dxa"/>
                  <w:tcBorders>
                    <w:top w:val="nil"/>
                    <w:left w:val="nil"/>
                    <w:bottom w:val="single" w:sz="4" w:space="0" w:color="auto"/>
                    <w:right w:val="single" w:sz="4" w:space="0" w:color="auto"/>
                  </w:tcBorders>
                </w:tcPr>
                <w:p w:rsidR="001C1840" w:rsidRPr="00613DB7" w:rsidRDefault="001C1840" w:rsidP="00613DB7">
                  <w:pPr>
                    <w:keepNext/>
                    <w:jc w:val="center"/>
                    <w:rPr>
                      <w:sz w:val="20"/>
                      <w:szCs w:val="20"/>
                      <w:lang w:val="en-GB"/>
                    </w:rPr>
                  </w:pPr>
                  <w:r w:rsidRPr="00613DB7">
                    <w:rPr>
                      <w:sz w:val="20"/>
                      <w:szCs w:val="20"/>
                      <w:lang w:val="en-GB"/>
                    </w:rPr>
                    <w:t xml:space="preserve">18% </w:t>
                  </w:r>
                </w:p>
                <w:p w:rsidR="001C1840" w:rsidRPr="00613DB7" w:rsidRDefault="001C1840" w:rsidP="00613DB7">
                  <w:pPr>
                    <w:keepNext/>
                    <w:jc w:val="center"/>
                    <w:rPr>
                      <w:sz w:val="20"/>
                      <w:szCs w:val="20"/>
                      <w:lang w:val="en-GB"/>
                    </w:rPr>
                  </w:pPr>
                  <w:r w:rsidRPr="00613DB7">
                    <w:rPr>
                      <w:sz w:val="20"/>
                      <w:szCs w:val="20"/>
                      <w:lang w:val="en-GB"/>
                    </w:rPr>
                    <w:t>(13%, 22%)</w:t>
                  </w:r>
                </w:p>
              </w:tc>
              <w:tc>
                <w:tcPr>
                  <w:tcW w:w="1278" w:type="dxa"/>
                  <w:tcBorders>
                    <w:top w:val="nil"/>
                    <w:left w:val="single" w:sz="4" w:space="0" w:color="auto"/>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78" w:type="dxa"/>
                  <w:tcBorders>
                    <w:top w:val="nil"/>
                    <w:left w:val="nil"/>
                    <w:bottom w:val="single" w:sz="4" w:space="0" w:color="auto"/>
                    <w:right w:val="nil"/>
                  </w:tcBorders>
                </w:tcPr>
                <w:p w:rsidR="001C1840" w:rsidRPr="00613DB7" w:rsidRDefault="00B52DE0" w:rsidP="00613DB7">
                  <w:pPr>
                    <w:keepNext/>
                    <w:jc w:val="center"/>
                    <w:rPr>
                      <w:sz w:val="20"/>
                      <w:szCs w:val="20"/>
                      <w:lang w:val="en-GB"/>
                    </w:rPr>
                  </w:pPr>
                  <w:r w:rsidRPr="00613DB7">
                    <w:rPr>
                      <w:sz w:val="20"/>
                      <w:szCs w:val="20"/>
                      <w:lang w:val="en-GB"/>
                    </w:rPr>
                    <w:t>NA</w:t>
                  </w:r>
                </w:p>
              </w:tc>
              <w:tc>
                <w:tcPr>
                  <w:tcW w:w="1278" w:type="dxa"/>
                  <w:tcBorders>
                    <w:top w:val="nil"/>
                    <w:left w:val="nil"/>
                    <w:bottom w:val="single" w:sz="4" w:space="0" w:color="auto"/>
                    <w:right w:val="single" w:sz="4" w:space="0" w:color="auto"/>
                  </w:tcBorders>
                </w:tcPr>
                <w:p w:rsidR="001C1840" w:rsidRPr="00613DB7" w:rsidRDefault="008A7236" w:rsidP="00613DB7">
                  <w:pPr>
                    <w:keepNext/>
                    <w:jc w:val="center"/>
                    <w:rPr>
                      <w:sz w:val="20"/>
                      <w:szCs w:val="20"/>
                      <w:lang w:val="en-GB"/>
                    </w:rPr>
                  </w:pPr>
                  <w:r w:rsidRPr="00613DB7">
                    <w:rPr>
                      <w:sz w:val="20"/>
                      <w:szCs w:val="20"/>
                      <w:lang w:val="en-GB"/>
                    </w:rPr>
                    <w:t>NA</w:t>
                  </w:r>
                </w:p>
              </w:tc>
            </w:tr>
            <w:tr w:rsidR="001C1840" w:rsidRPr="00613DB7" w:rsidTr="00D97490">
              <w:trPr>
                <w:trHeight w:val="97"/>
              </w:trPr>
              <w:tc>
                <w:tcPr>
                  <w:tcW w:w="1227" w:type="dxa"/>
                  <w:tcBorders>
                    <w:top w:val="single" w:sz="4" w:space="0" w:color="auto"/>
                    <w:left w:val="single" w:sz="4" w:space="0" w:color="auto"/>
                    <w:bottom w:val="single" w:sz="4" w:space="0" w:color="auto"/>
                    <w:right w:val="single" w:sz="4" w:space="0" w:color="auto"/>
                  </w:tcBorders>
                </w:tcPr>
                <w:p w:rsidR="001C1840" w:rsidRPr="00613DB7" w:rsidRDefault="001C1840" w:rsidP="00613DB7">
                  <w:pPr>
                    <w:keepNext/>
                    <w:rPr>
                      <w:sz w:val="20"/>
                      <w:szCs w:val="20"/>
                      <w:vertAlign w:val="superscript"/>
                      <w:lang w:val="en-GB"/>
                    </w:rPr>
                  </w:pPr>
                  <w:r w:rsidRPr="00613DB7">
                    <w:rPr>
                      <w:sz w:val="20"/>
                      <w:szCs w:val="20"/>
                      <w:lang w:val="en-GB"/>
                    </w:rPr>
                    <w:t>Major Clinical Response</w:t>
                  </w:r>
                  <w:r w:rsidR="00C55D11" w:rsidRPr="00613DB7">
                    <w:rPr>
                      <w:sz w:val="20"/>
                      <w:szCs w:val="20"/>
                      <w:vertAlign w:val="superscript"/>
                      <w:lang w:val="en-GB"/>
                    </w:rPr>
                    <w:t>(b</w:t>
                  </w:r>
                  <w:r w:rsidRPr="00613DB7">
                    <w:rPr>
                      <w:sz w:val="20"/>
                      <w:szCs w:val="20"/>
                      <w:vertAlign w:val="superscript"/>
                      <w:lang w:val="en-GB"/>
                    </w:rPr>
                    <w:t>)</w:t>
                  </w:r>
                </w:p>
              </w:tc>
              <w:tc>
                <w:tcPr>
                  <w:tcW w:w="1278" w:type="dxa"/>
                  <w:tcBorders>
                    <w:top w:val="single" w:sz="4" w:space="0" w:color="auto"/>
                    <w:left w:val="single" w:sz="4" w:space="0" w:color="auto"/>
                    <w:bottom w:val="single" w:sz="4" w:space="0" w:color="auto"/>
                    <w:right w:val="nil"/>
                  </w:tcBorders>
                </w:tcPr>
                <w:p w:rsidR="001C1840" w:rsidRPr="00613DB7" w:rsidRDefault="001C1840" w:rsidP="00613DB7">
                  <w:pPr>
                    <w:keepNext/>
                    <w:jc w:val="center"/>
                    <w:rPr>
                      <w:sz w:val="20"/>
                      <w:szCs w:val="20"/>
                      <w:lang w:val="en-GB"/>
                    </w:rPr>
                  </w:pPr>
                </w:p>
                <w:p w:rsidR="001C1840" w:rsidRPr="00613DB7" w:rsidRDefault="001C1840" w:rsidP="00613DB7">
                  <w:pPr>
                    <w:keepNext/>
                    <w:jc w:val="center"/>
                    <w:rPr>
                      <w:sz w:val="20"/>
                      <w:szCs w:val="20"/>
                      <w:lang w:val="en-GB"/>
                    </w:rPr>
                  </w:pPr>
                  <w:r w:rsidRPr="00613DB7">
                    <w:rPr>
                      <w:sz w:val="20"/>
                      <w:szCs w:val="20"/>
                      <w:lang w:val="en-GB"/>
                    </w:rPr>
                    <w:t>1%</w:t>
                  </w:r>
                </w:p>
              </w:tc>
              <w:tc>
                <w:tcPr>
                  <w:tcW w:w="1278" w:type="dxa"/>
                  <w:tcBorders>
                    <w:top w:val="single" w:sz="4" w:space="0" w:color="auto"/>
                    <w:left w:val="nil"/>
                    <w:bottom w:val="single" w:sz="4" w:space="0" w:color="auto"/>
                    <w:right w:val="nil"/>
                  </w:tcBorders>
                </w:tcPr>
                <w:p w:rsidR="001C1840" w:rsidRPr="00613DB7" w:rsidRDefault="001C1840" w:rsidP="00613DB7">
                  <w:pPr>
                    <w:keepNext/>
                    <w:jc w:val="center"/>
                    <w:rPr>
                      <w:sz w:val="20"/>
                      <w:szCs w:val="20"/>
                      <w:lang w:val="en-GB"/>
                    </w:rPr>
                  </w:pPr>
                </w:p>
                <w:p w:rsidR="001C1840" w:rsidRPr="00613DB7" w:rsidRDefault="001C1840" w:rsidP="00613DB7">
                  <w:pPr>
                    <w:keepNext/>
                    <w:jc w:val="center"/>
                    <w:rPr>
                      <w:sz w:val="20"/>
                      <w:szCs w:val="20"/>
                      <w:lang w:val="en-GB"/>
                    </w:rPr>
                  </w:pPr>
                  <w:r w:rsidRPr="00613DB7">
                    <w:rPr>
                      <w:sz w:val="20"/>
                      <w:szCs w:val="20"/>
                      <w:lang w:val="en-GB"/>
                    </w:rPr>
                    <w:t>13%*</w:t>
                  </w:r>
                </w:p>
              </w:tc>
              <w:tc>
                <w:tcPr>
                  <w:tcW w:w="1278" w:type="dxa"/>
                  <w:tcBorders>
                    <w:top w:val="single" w:sz="4" w:space="0" w:color="auto"/>
                    <w:left w:val="nil"/>
                    <w:bottom w:val="single" w:sz="4" w:space="0" w:color="auto"/>
                    <w:right w:val="single" w:sz="4" w:space="0" w:color="auto"/>
                  </w:tcBorders>
                </w:tcPr>
                <w:p w:rsidR="001C1840" w:rsidRPr="00613DB7" w:rsidRDefault="001C1840" w:rsidP="00613DB7">
                  <w:pPr>
                    <w:keepNext/>
                    <w:jc w:val="center"/>
                    <w:rPr>
                      <w:sz w:val="20"/>
                      <w:szCs w:val="20"/>
                      <w:lang w:val="en-GB"/>
                    </w:rPr>
                  </w:pPr>
                </w:p>
                <w:p w:rsidR="001C1840" w:rsidRPr="00613DB7" w:rsidRDefault="001C1840" w:rsidP="00613DB7">
                  <w:pPr>
                    <w:keepNext/>
                    <w:jc w:val="center"/>
                    <w:rPr>
                      <w:sz w:val="20"/>
                      <w:szCs w:val="20"/>
                      <w:lang w:val="en-GB"/>
                    </w:rPr>
                  </w:pPr>
                  <w:r w:rsidRPr="00613DB7">
                    <w:rPr>
                      <w:sz w:val="20"/>
                      <w:szCs w:val="20"/>
                      <w:lang w:val="en-GB"/>
                    </w:rPr>
                    <w:t>12%</w:t>
                  </w:r>
                </w:p>
                <w:p w:rsidR="001C1840" w:rsidRPr="00613DB7" w:rsidRDefault="001C1840" w:rsidP="00613DB7">
                  <w:pPr>
                    <w:keepNext/>
                    <w:jc w:val="center"/>
                    <w:rPr>
                      <w:sz w:val="20"/>
                      <w:szCs w:val="20"/>
                      <w:lang w:val="en-GB"/>
                    </w:rPr>
                  </w:pPr>
                  <w:r w:rsidRPr="00613DB7">
                    <w:rPr>
                      <w:sz w:val="20"/>
                      <w:szCs w:val="20"/>
                      <w:lang w:val="en-GB"/>
                    </w:rPr>
                    <w:t xml:space="preserve"> (8%, 15%)</w:t>
                  </w:r>
                </w:p>
              </w:tc>
              <w:tc>
                <w:tcPr>
                  <w:tcW w:w="1278" w:type="dxa"/>
                  <w:tcBorders>
                    <w:top w:val="single" w:sz="4" w:space="0" w:color="auto"/>
                    <w:left w:val="single" w:sz="4" w:space="0" w:color="auto"/>
                    <w:bottom w:val="single" w:sz="4" w:space="0" w:color="auto"/>
                    <w:right w:val="nil"/>
                  </w:tcBorders>
                  <w:shd w:val="thinDiagStripe" w:color="auto" w:fill="C0C0C0"/>
                </w:tcPr>
                <w:p w:rsidR="001C1840" w:rsidRPr="00613DB7" w:rsidRDefault="001C1840" w:rsidP="00613DB7">
                  <w:pPr>
                    <w:keepNext/>
                    <w:jc w:val="center"/>
                    <w:rPr>
                      <w:sz w:val="20"/>
                      <w:szCs w:val="20"/>
                      <w:lang w:val="en-GB"/>
                    </w:rPr>
                  </w:pPr>
                </w:p>
              </w:tc>
              <w:tc>
                <w:tcPr>
                  <w:tcW w:w="1278" w:type="dxa"/>
                  <w:tcBorders>
                    <w:top w:val="single" w:sz="4" w:space="0" w:color="auto"/>
                    <w:left w:val="nil"/>
                    <w:bottom w:val="single" w:sz="4" w:space="0" w:color="auto"/>
                    <w:right w:val="nil"/>
                  </w:tcBorders>
                  <w:shd w:val="thinDiagStripe" w:color="auto" w:fill="C0C0C0"/>
                </w:tcPr>
                <w:p w:rsidR="001C1840" w:rsidRPr="00613DB7" w:rsidRDefault="001C1840" w:rsidP="00613DB7">
                  <w:pPr>
                    <w:keepNext/>
                    <w:jc w:val="center"/>
                    <w:rPr>
                      <w:sz w:val="20"/>
                      <w:szCs w:val="20"/>
                      <w:lang w:val="en-GB"/>
                    </w:rPr>
                  </w:pPr>
                </w:p>
              </w:tc>
              <w:tc>
                <w:tcPr>
                  <w:tcW w:w="1278" w:type="dxa"/>
                  <w:tcBorders>
                    <w:top w:val="single" w:sz="4" w:space="0" w:color="auto"/>
                    <w:left w:val="nil"/>
                    <w:bottom w:val="single" w:sz="4" w:space="0" w:color="auto"/>
                    <w:right w:val="single" w:sz="4" w:space="0" w:color="auto"/>
                  </w:tcBorders>
                  <w:shd w:val="thinDiagStripe" w:color="auto" w:fill="C0C0C0"/>
                </w:tcPr>
                <w:p w:rsidR="001C1840" w:rsidRPr="00613DB7" w:rsidRDefault="001C1840" w:rsidP="00613DB7">
                  <w:pPr>
                    <w:keepNext/>
                    <w:jc w:val="center"/>
                    <w:rPr>
                      <w:sz w:val="20"/>
                      <w:szCs w:val="20"/>
                      <w:lang w:val="en-GB"/>
                    </w:rPr>
                  </w:pPr>
                </w:p>
              </w:tc>
            </w:tr>
          </w:tbl>
          <w:p w:rsidR="001C1840" w:rsidRPr="0052262B" w:rsidRDefault="001C1840" w:rsidP="00980027">
            <w:pPr>
              <w:keepNext/>
              <w:keepLines/>
              <w:autoSpaceDE w:val="0"/>
              <w:autoSpaceDN w:val="0"/>
              <w:adjustRightInd w:val="0"/>
              <w:spacing w:before="120"/>
              <w:rPr>
                <w:sz w:val="20"/>
                <w:szCs w:val="20"/>
                <w:lang w:val="en-GB"/>
              </w:rPr>
            </w:pPr>
            <w:r w:rsidRPr="0052262B">
              <w:rPr>
                <w:sz w:val="20"/>
                <w:szCs w:val="20"/>
                <w:vertAlign w:val="superscript"/>
                <w:lang w:val="en-GB"/>
              </w:rPr>
              <w:t xml:space="preserve"> (a) </w:t>
            </w:r>
            <w:r w:rsidRPr="0052262B">
              <w:rPr>
                <w:sz w:val="20"/>
                <w:szCs w:val="20"/>
                <w:lang w:val="en-GB"/>
              </w:rPr>
              <w:t>CIMZIA administered every 2 weeks preceded by a loading dose of 400mg at Weeks 0, 2 and 4.</w:t>
            </w:r>
          </w:p>
          <w:p w:rsidR="001C1840" w:rsidRPr="0052262B" w:rsidRDefault="00DF0589" w:rsidP="00980027">
            <w:pPr>
              <w:keepNext/>
              <w:keepLines/>
              <w:rPr>
                <w:sz w:val="20"/>
                <w:szCs w:val="20"/>
                <w:lang w:val="en-GB"/>
              </w:rPr>
            </w:pPr>
            <w:r w:rsidRPr="0052262B">
              <w:rPr>
                <w:sz w:val="20"/>
                <w:szCs w:val="20"/>
                <w:vertAlign w:val="superscript"/>
                <w:lang w:val="en-GB"/>
              </w:rPr>
              <w:t xml:space="preserve"> </w:t>
            </w:r>
            <w:r w:rsidR="001C1840" w:rsidRPr="0052262B">
              <w:rPr>
                <w:sz w:val="20"/>
                <w:szCs w:val="20"/>
                <w:vertAlign w:val="superscript"/>
                <w:lang w:val="en-GB"/>
              </w:rPr>
              <w:t>(</w:t>
            </w:r>
            <w:r w:rsidR="00C55D11" w:rsidRPr="0052262B">
              <w:rPr>
                <w:sz w:val="20"/>
                <w:szCs w:val="20"/>
                <w:vertAlign w:val="superscript"/>
                <w:lang w:val="en-GB"/>
              </w:rPr>
              <w:t>b</w:t>
            </w:r>
            <w:r w:rsidR="001C1840" w:rsidRPr="0052262B">
              <w:rPr>
                <w:sz w:val="20"/>
                <w:szCs w:val="20"/>
                <w:vertAlign w:val="superscript"/>
                <w:lang w:val="en-GB"/>
              </w:rPr>
              <w:t xml:space="preserve">) </w:t>
            </w:r>
            <w:r w:rsidR="001C1840" w:rsidRPr="0052262B">
              <w:rPr>
                <w:sz w:val="20"/>
                <w:szCs w:val="20"/>
                <w:lang w:val="en-GB"/>
              </w:rPr>
              <w:t>Major clinical response is defined as achieving ACR70 response over a continuous 6-month period.</w:t>
            </w:r>
          </w:p>
          <w:p w:rsidR="001C1840" w:rsidRPr="0052262B" w:rsidRDefault="001C1840" w:rsidP="00980027">
            <w:pPr>
              <w:keepNext/>
              <w:keepLines/>
              <w:rPr>
                <w:b/>
                <w:bCs/>
                <w:sz w:val="20"/>
                <w:szCs w:val="20"/>
                <w:lang w:val="en-GB"/>
              </w:rPr>
            </w:pPr>
            <w:r w:rsidRPr="0052262B">
              <w:rPr>
                <w:sz w:val="20"/>
                <w:szCs w:val="20"/>
                <w:vertAlign w:val="superscript"/>
                <w:lang w:val="en-GB"/>
              </w:rPr>
              <w:t>(</w:t>
            </w:r>
            <w:r w:rsidR="00C55D11" w:rsidRPr="0052262B">
              <w:rPr>
                <w:sz w:val="20"/>
                <w:szCs w:val="20"/>
                <w:vertAlign w:val="superscript"/>
                <w:lang w:val="en-GB"/>
              </w:rPr>
              <w:t>c</w:t>
            </w:r>
            <w:r w:rsidRPr="0052262B">
              <w:rPr>
                <w:sz w:val="20"/>
                <w:szCs w:val="20"/>
                <w:vertAlign w:val="superscript"/>
                <w:lang w:val="en-GB"/>
              </w:rPr>
              <w:t xml:space="preserve">) </w:t>
            </w:r>
            <w:r w:rsidRPr="0052262B">
              <w:rPr>
                <w:sz w:val="20"/>
                <w:szCs w:val="20"/>
                <w:lang w:val="en-GB"/>
              </w:rPr>
              <w:t>95% Confidence Intervals constructed using the large sample approximation to the Normal Distribution.</w:t>
            </w:r>
          </w:p>
          <w:p w:rsidR="001C1840" w:rsidRPr="0052262B" w:rsidRDefault="003158FC" w:rsidP="00980027">
            <w:pPr>
              <w:keepNext/>
              <w:keepLines/>
              <w:rPr>
                <w:sz w:val="20"/>
                <w:szCs w:val="20"/>
                <w:lang w:val="en-GB"/>
              </w:rPr>
            </w:pPr>
            <w:r w:rsidRPr="0052262B">
              <w:rPr>
                <w:sz w:val="20"/>
                <w:szCs w:val="20"/>
                <w:lang w:val="en-GB"/>
              </w:rPr>
              <w:t xml:space="preserve">Wald p-values are quoted for the comparison of treatments using logistic regression with factors for treatment and region.  </w:t>
            </w:r>
            <w:r w:rsidR="001C1840" w:rsidRPr="0052262B">
              <w:rPr>
                <w:sz w:val="20"/>
                <w:szCs w:val="20"/>
                <w:lang w:val="en-GB"/>
              </w:rPr>
              <w:t>CIMZIA vs. placebo: *p&lt;0.001</w:t>
            </w:r>
            <w:r w:rsidR="00CD3FAC" w:rsidRPr="0052262B">
              <w:rPr>
                <w:sz w:val="20"/>
                <w:szCs w:val="20"/>
                <w:lang w:val="en-GB"/>
              </w:rPr>
              <w:t>, **p</w:t>
            </w:r>
            <w:r w:rsidR="00DE1DA9" w:rsidRPr="0052262B">
              <w:rPr>
                <w:sz w:val="20"/>
                <w:szCs w:val="20"/>
                <w:lang w:val="en-GB"/>
              </w:rPr>
              <w:t>≤</w:t>
            </w:r>
            <w:r w:rsidR="00CD3FAC" w:rsidRPr="0052262B">
              <w:rPr>
                <w:sz w:val="20"/>
                <w:szCs w:val="20"/>
                <w:lang w:val="en-GB"/>
              </w:rPr>
              <w:t>0.01</w:t>
            </w:r>
          </w:p>
          <w:p w:rsidR="00195E8C" w:rsidRDefault="00195E8C" w:rsidP="00183159">
            <w:pPr>
              <w:pStyle w:val="Paragraph"/>
              <w:keepNext/>
              <w:rPr>
                <w:lang w:val="en-GB"/>
              </w:rPr>
            </w:pPr>
          </w:p>
          <w:p w:rsidR="00A9045A" w:rsidRPr="0052262B" w:rsidRDefault="0002663F" w:rsidP="00183159">
            <w:pPr>
              <w:keepNext/>
              <w:rPr>
                <w:b/>
                <w:lang w:val="en-GB"/>
              </w:rPr>
            </w:pPr>
            <w:r w:rsidRPr="0052262B">
              <w:rPr>
                <w:b/>
                <w:lang w:val="en-GB"/>
              </w:rPr>
              <w:t>T</w:t>
            </w:r>
            <w:r w:rsidR="00B93421" w:rsidRPr="0052262B">
              <w:rPr>
                <w:b/>
                <w:lang w:val="en-GB"/>
              </w:rPr>
              <w:t>able 2</w:t>
            </w:r>
            <w:r w:rsidR="001977F2" w:rsidRPr="0052262B">
              <w:rPr>
                <w:b/>
                <w:lang w:val="en-GB"/>
              </w:rPr>
              <w:t>:</w:t>
            </w:r>
            <w:r w:rsidR="001977F2" w:rsidRPr="0052262B">
              <w:rPr>
                <w:b/>
                <w:lang w:val="en-GB"/>
              </w:rPr>
              <w:tab/>
              <w:t>ACR Responses in Studies RA-III and RA-IV</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7"/>
              <w:gridCol w:w="1278"/>
              <w:gridCol w:w="1278"/>
              <w:gridCol w:w="1278"/>
              <w:gridCol w:w="1278"/>
              <w:gridCol w:w="1278"/>
              <w:gridCol w:w="1278"/>
            </w:tblGrid>
            <w:tr w:rsidR="001977F2" w:rsidRPr="00613DB7" w:rsidTr="00D97490">
              <w:trPr>
                <w:trHeight w:val="56"/>
              </w:trPr>
              <w:tc>
                <w:tcPr>
                  <w:tcW w:w="1227" w:type="dxa"/>
                  <w:tcBorders>
                    <w:top w:val="single" w:sz="4" w:space="0" w:color="auto"/>
                    <w:left w:val="single" w:sz="4" w:space="0" w:color="auto"/>
                    <w:bottom w:val="nil"/>
                    <w:right w:val="single" w:sz="4" w:space="0" w:color="auto"/>
                  </w:tcBorders>
                </w:tcPr>
                <w:p w:rsidR="001977F2" w:rsidRPr="00613DB7" w:rsidRDefault="001977F2" w:rsidP="00613DB7">
                  <w:pPr>
                    <w:keepNext/>
                    <w:rPr>
                      <w:sz w:val="20"/>
                      <w:szCs w:val="20"/>
                      <w:lang w:val="en-GB"/>
                    </w:rPr>
                  </w:pPr>
                </w:p>
              </w:tc>
              <w:tc>
                <w:tcPr>
                  <w:tcW w:w="3834" w:type="dxa"/>
                  <w:gridSpan w:val="3"/>
                  <w:tcBorders>
                    <w:top w:val="single" w:sz="4" w:space="0" w:color="auto"/>
                    <w:left w:val="single" w:sz="4" w:space="0" w:color="auto"/>
                    <w:bottom w:val="single" w:sz="4" w:space="0" w:color="auto"/>
                    <w:right w:val="single" w:sz="4" w:space="0" w:color="auto"/>
                  </w:tcBorders>
                </w:tcPr>
                <w:p w:rsidR="001977F2" w:rsidRPr="00613DB7" w:rsidRDefault="001977F2" w:rsidP="00613DB7">
                  <w:pPr>
                    <w:keepNext/>
                    <w:jc w:val="center"/>
                    <w:rPr>
                      <w:b/>
                      <w:bCs/>
                      <w:sz w:val="20"/>
                      <w:szCs w:val="20"/>
                      <w:lang w:val="en-GB"/>
                    </w:rPr>
                  </w:pPr>
                  <w:r w:rsidRPr="00613DB7">
                    <w:rPr>
                      <w:b/>
                      <w:bCs/>
                      <w:sz w:val="20"/>
                      <w:szCs w:val="20"/>
                      <w:lang w:val="en-GB"/>
                    </w:rPr>
                    <w:t>Study RA-III</w:t>
                  </w:r>
                </w:p>
                <w:p w:rsidR="001977F2" w:rsidRPr="00613DB7" w:rsidRDefault="001977F2" w:rsidP="00613DB7">
                  <w:pPr>
                    <w:keepNext/>
                    <w:jc w:val="center"/>
                    <w:rPr>
                      <w:b/>
                      <w:bCs/>
                      <w:sz w:val="20"/>
                      <w:szCs w:val="20"/>
                      <w:lang w:val="en-GB"/>
                    </w:rPr>
                  </w:pPr>
                  <w:r w:rsidRPr="00613DB7">
                    <w:rPr>
                      <w:b/>
                      <w:bCs/>
                      <w:sz w:val="20"/>
                      <w:szCs w:val="20"/>
                      <w:lang w:val="en-GB"/>
                    </w:rPr>
                    <w:t>Monotherapy</w:t>
                  </w:r>
                </w:p>
                <w:p w:rsidR="001977F2" w:rsidRPr="00613DB7" w:rsidRDefault="001977F2" w:rsidP="00613DB7">
                  <w:pPr>
                    <w:keepNext/>
                    <w:jc w:val="center"/>
                    <w:rPr>
                      <w:b/>
                      <w:bCs/>
                      <w:sz w:val="20"/>
                      <w:szCs w:val="20"/>
                      <w:lang w:val="en-GB"/>
                    </w:rPr>
                  </w:pPr>
                  <w:r w:rsidRPr="00613DB7">
                    <w:rPr>
                      <w:b/>
                      <w:bCs/>
                      <w:sz w:val="20"/>
                      <w:szCs w:val="20"/>
                      <w:lang w:val="en-GB"/>
                    </w:rPr>
                    <w:t>(24 weeks)</w:t>
                  </w:r>
                </w:p>
              </w:tc>
              <w:tc>
                <w:tcPr>
                  <w:tcW w:w="3834" w:type="dxa"/>
                  <w:gridSpan w:val="3"/>
                  <w:tcBorders>
                    <w:top w:val="single" w:sz="4" w:space="0" w:color="auto"/>
                    <w:left w:val="single" w:sz="4" w:space="0" w:color="auto"/>
                    <w:bottom w:val="single" w:sz="4" w:space="0" w:color="auto"/>
                    <w:right w:val="single" w:sz="4" w:space="0" w:color="auto"/>
                  </w:tcBorders>
                </w:tcPr>
                <w:p w:rsidR="001977F2" w:rsidRPr="00613DB7" w:rsidRDefault="001977F2" w:rsidP="00613DB7">
                  <w:pPr>
                    <w:keepNext/>
                    <w:jc w:val="center"/>
                    <w:rPr>
                      <w:b/>
                      <w:bCs/>
                      <w:sz w:val="20"/>
                      <w:szCs w:val="20"/>
                      <w:lang w:val="en-GB"/>
                    </w:rPr>
                  </w:pPr>
                  <w:r w:rsidRPr="00613DB7">
                    <w:rPr>
                      <w:b/>
                      <w:bCs/>
                      <w:sz w:val="20"/>
                      <w:szCs w:val="20"/>
                      <w:lang w:val="en-GB"/>
                    </w:rPr>
                    <w:t>Study RA-IV</w:t>
                  </w:r>
                </w:p>
                <w:p w:rsidR="001977F2" w:rsidRPr="00613DB7" w:rsidRDefault="001977F2" w:rsidP="00613DB7">
                  <w:pPr>
                    <w:keepNext/>
                    <w:jc w:val="center"/>
                    <w:rPr>
                      <w:b/>
                      <w:bCs/>
                      <w:sz w:val="20"/>
                      <w:szCs w:val="20"/>
                      <w:lang w:val="en-GB"/>
                    </w:rPr>
                  </w:pPr>
                  <w:r w:rsidRPr="00613DB7">
                    <w:rPr>
                      <w:b/>
                      <w:bCs/>
                      <w:sz w:val="20"/>
                      <w:szCs w:val="20"/>
                      <w:lang w:val="en-GB"/>
                    </w:rPr>
                    <w:t xml:space="preserve"> </w:t>
                  </w:r>
                  <w:r w:rsidR="00BB2B92" w:rsidRPr="00613DB7">
                    <w:rPr>
                      <w:b/>
                      <w:bCs/>
                      <w:sz w:val="20"/>
                      <w:szCs w:val="20"/>
                      <w:lang w:val="en-GB"/>
                    </w:rPr>
                    <w:t>Methotrexate Combination</w:t>
                  </w:r>
                  <w:r w:rsidR="00BB2B92" w:rsidRPr="00613DB7">
                    <w:rPr>
                      <w:b/>
                      <w:bCs/>
                      <w:sz w:val="20"/>
                      <w:szCs w:val="20"/>
                      <w:lang w:val="en-GB"/>
                    </w:rPr>
                    <w:br/>
                  </w:r>
                  <w:r w:rsidRPr="00613DB7">
                    <w:rPr>
                      <w:b/>
                      <w:bCs/>
                      <w:sz w:val="20"/>
                      <w:szCs w:val="20"/>
                      <w:lang w:val="en-GB"/>
                    </w:rPr>
                    <w:t>(24 weeks)</w:t>
                  </w:r>
                </w:p>
              </w:tc>
            </w:tr>
            <w:tr w:rsidR="001977F2" w:rsidRPr="004A44D9" w:rsidTr="00D97490">
              <w:trPr>
                <w:trHeight w:val="18"/>
              </w:trPr>
              <w:tc>
                <w:tcPr>
                  <w:tcW w:w="1227" w:type="dxa"/>
                  <w:tcBorders>
                    <w:top w:val="nil"/>
                    <w:left w:val="single" w:sz="4" w:space="0" w:color="auto"/>
                    <w:bottom w:val="single" w:sz="4" w:space="0" w:color="auto"/>
                    <w:right w:val="single" w:sz="4" w:space="0" w:color="auto"/>
                  </w:tcBorders>
                </w:tcPr>
                <w:p w:rsidR="001977F2" w:rsidRPr="00613DB7" w:rsidRDefault="001977F2" w:rsidP="00613DB7">
                  <w:pPr>
                    <w:keepNext/>
                    <w:rPr>
                      <w:b/>
                      <w:bCs/>
                      <w:sz w:val="20"/>
                      <w:szCs w:val="20"/>
                      <w:lang w:val="en-GB"/>
                    </w:rPr>
                  </w:pPr>
                  <w:r w:rsidRPr="00613DB7">
                    <w:rPr>
                      <w:b/>
                      <w:bCs/>
                      <w:sz w:val="20"/>
                      <w:szCs w:val="20"/>
                      <w:lang w:val="en-GB"/>
                    </w:rPr>
                    <w:t>Response</w:t>
                  </w:r>
                </w:p>
              </w:tc>
              <w:tc>
                <w:tcPr>
                  <w:tcW w:w="1278" w:type="dxa"/>
                  <w:tcBorders>
                    <w:top w:val="single" w:sz="4" w:space="0" w:color="auto"/>
                    <w:left w:val="single" w:sz="4" w:space="0" w:color="auto"/>
                    <w:bottom w:val="single" w:sz="4" w:space="0" w:color="auto"/>
                    <w:right w:val="nil"/>
                  </w:tcBorders>
                </w:tcPr>
                <w:p w:rsidR="001977F2" w:rsidRPr="00613DB7" w:rsidRDefault="001977F2" w:rsidP="00613DB7">
                  <w:pPr>
                    <w:keepNext/>
                    <w:jc w:val="center"/>
                    <w:rPr>
                      <w:b/>
                      <w:bCs/>
                      <w:sz w:val="20"/>
                      <w:szCs w:val="20"/>
                      <w:u w:val="single"/>
                      <w:lang w:val="en-GB"/>
                    </w:rPr>
                  </w:pPr>
                  <w:r w:rsidRPr="00613DB7">
                    <w:rPr>
                      <w:b/>
                      <w:bCs/>
                      <w:sz w:val="20"/>
                      <w:szCs w:val="20"/>
                      <w:u w:val="single"/>
                      <w:lang w:val="en-GB"/>
                    </w:rPr>
                    <w:t>Placebo</w:t>
                  </w:r>
                </w:p>
                <w:p w:rsidR="001977F2" w:rsidRPr="00613DB7" w:rsidRDefault="001977F2" w:rsidP="00613DB7">
                  <w:pPr>
                    <w:keepNext/>
                    <w:jc w:val="center"/>
                    <w:rPr>
                      <w:b/>
                      <w:bCs/>
                      <w:sz w:val="20"/>
                      <w:szCs w:val="20"/>
                      <w:u w:val="single"/>
                      <w:lang w:val="en-GB"/>
                    </w:rPr>
                  </w:pPr>
                </w:p>
                <w:p w:rsidR="001977F2" w:rsidRPr="00613DB7" w:rsidRDefault="001977F2" w:rsidP="00613DB7">
                  <w:pPr>
                    <w:keepNext/>
                    <w:jc w:val="center"/>
                    <w:rPr>
                      <w:b/>
                      <w:bCs/>
                      <w:sz w:val="20"/>
                      <w:szCs w:val="20"/>
                      <w:u w:val="single"/>
                      <w:lang w:val="en-GB"/>
                    </w:rPr>
                  </w:pPr>
                </w:p>
                <w:p w:rsidR="001977F2" w:rsidRPr="00613DB7" w:rsidRDefault="001977F2" w:rsidP="00613DB7">
                  <w:pPr>
                    <w:keepNext/>
                    <w:jc w:val="center"/>
                    <w:rPr>
                      <w:b/>
                      <w:bCs/>
                      <w:sz w:val="20"/>
                      <w:szCs w:val="20"/>
                      <w:lang w:val="en-GB"/>
                    </w:rPr>
                  </w:pPr>
                  <w:r w:rsidRPr="00613DB7">
                    <w:rPr>
                      <w:b/>
                      <w:bCs/>
                      <w:sz w:val="20"/>
                      <w:szCs w:val="20"/>
                      <w:u w:val="single"/>
                      <w:lang w:val="en-GB"/>
                    </w:rPr>
                    <w:t>N=109</w:t>
                  </w:r>
                </w:p>
              </w:tc>
              <w:tc>
                <w:tcPr>
                  <w:tcW w:w="1278" w:type="dxa"/>
                  <w:tcBorders>
                    <w:top w:val="single" w:sz="4" w:space="0" w:color="auto"/>
                    <w:left w:val="nil"/>
                    <w:bottom w:val="single" w:sz="4" w:space="0" w:color="auto"/>
                    <w:right w:val="nil"/>
                  </w:tcBorders>
                </w:tcPr>
                <w:p w:rsidR="001977F2" w:rsidRPr="004A44D9" w:rsidRDefault="001977F2" w:rsidP="00613DB7">
                  <w:pPr>
                    <w:keepNext/>
                    <w:jc w:val="center"/>
                    <w:rPr>
                      <w:b/>
                      <w:bCs/>
                      <w:sz w:val="20"/>
                      <w:szCs w:val="20"/>
                      <w:u w:val="single"/>
                      <w:lang w:val="pt-PT"/>
                    </w:rPr>
                  </w:pPr>
                  <w:r w:rsidRPr="004A44D9">
                    <w:rPr>
                      <w:b/>
                      <w:bCs/>
                      <w:sz w:val="20"/>
                      <w:szCs w:val="20"/>
                      <w:u w:val="single"/>
                      <w:lang w:val="pt-PT"/>
                    </w:rPr>
                    <w:t>CIMZIA</w:t>
                  </w:r>
                  <w:r w:rsidRPr="004A44D9">
                    <w:rPr>
                      <w:b/>
                      <w:bCs/>
                      <w:sz w:val="20"/>
                      <w:szCs w:val="20"/>
                      <w:u w:val="single"/>
                      <w:vertAlign w:val="superscript"/>
                      <w:lang w:val="pt-PT"/>
                    </w:rPr>
                    <w:t>(</w:t>
                  </w:r>
                  <w:r w:rsidR="000D78AF" w:rsidRPr="004A44D9">
                    <w:rPr>
                      <w:b/>
                      <w:bCs/>
                      <w:sz w:val="20"/>
                      <w:szCs w:val="20"/>
                      <w:u w:val="single"/>
                      <w:vertAlign w:val="superscript"/>
                      <w:lang w:val="pt-PT"/>
                    </w:rPr>
                    <w:t>a</w:t>
                  </w:r>
                  <w:r w:rsidRPr="004A44D9">
                    <w:rPr>
                      <w:b/>
                      <w:bCs/>
                      <w:sz w:val="20"/>
                      <w:szCs w:val="20"/>
                      <w:u w:val="single"/>
                      <w:vertAlign w:val="superscript"/>
                      <w:lang w:val="pt-PT"/>
                    </w:rPr>
                    <w:t>)</w:t>
                  </w:r>
                  <w:r w:rsidRPr="004A44D9">
                    <w:rPr>
                      <w:b/>
                      <w:bCs/>
                      <w:sz w:val="20"/>
                      <w:szCs w:val="20"/>
                      <w:u w:val="single"/>
                      <w:lang w:val="pt-PT"/>
                    </w:rPr>
                    <w:t xml:space="preserve"> 400 mg </w:t>
                  </w:r>
                </w:p>
                <w:p w:rsidR="001977F2" w:rsidRPr="004A44D9" w:rsidRDefault="001977F2" w:rsidP="00613DB7">
                  <w:pPr>
                    <w:keepNext/>
                    <w:jc w:val="center"/>
                    <w:rPr>
                      <w:b/>
                      <w:bCs/>
                      <w:sz w:val="20"/>
                      <w:szCs w:val="20"/>
                      <w:u w:val="single"/>
                      <w:lang w:val="pt-PT"/>
                    </w:rPr>
                  </w:pPr>
                  <w:r w:rsidRPr="004A44D9">
                    <w:rPr>
                      <w:b/>
                      <w:bCs/>
                      <w:sz w:val="20"/>
                      <w:szCs w:val="20"/>
                      <w:u w:val="single"/>
                      <w:lang w:val="pt-PT"/>
                    </w:rPr>
                    <w:t>q4 weeks</w:t>
                  </w:r>
                </w:p>
                <w:p w:rsidR="001977F2" w:rsidRPr="004A44D9" w:rsidRDefault="001977F2" w:rsidP="00613DB7">
                  <w:pPr>
                    <w:keepNext/>
                    <w:jc w:val="center"/>
                    <w:rPr>
                      <w:b/>
                      <w:bCs/>
                      <w:sz w:val="20"/>
                      <w:szCs w:val="20"/>
                      <w:lang w:val="pt-PT"/>
                    </w:rPr>
                  </w:pPr>
                  <w:r w:rsidRPr="004A44D9">
                    <w:rPr>
                      <w:b/>
                      <w:bCs/>
                      <w:sz w:val="20"/>
                      <w:szCs w:val="20"/>
                      <w:u w:val="single"/>
                      <w:lang w:val="pt-PT"/>
                    </w:rPr>
                    <w:t>N=111</w:t>
                  </w:r>
                </w:p>
              </w:tc>
              <w:tc>
                <w:tcPr>
                  <w:tcW w:w="1278" w:type="dxa"/>
                  <w:tcBorders>
                    <w:top w:val="single" w:sz="4" w:space="0" w:color="auto"/>
                    <w:left w:val="nil"/>
                    <w:bottom w:val="single" w:sz="4" w:space="0" w:color="auto"/>
                    <w:right w:val="single" w:sz="4" w:space="0" w:color="auto"/>
                  </w:tcBorders>
                </w:tcPr>
                <w:p w:rsidR="001977F2" w:rsidRPr="004A44D9" w:rsidRDefault="001977F2" w:rsidP="00613DB7">
                  <w:pPr>
                    <w:keepNext/>
                    <w:jc w:val="center"/>
                    <w:rPr>
                      <w:b/>
                      <w:bCs/>
                      <w:sz w:val="20"/>
                      <w:szCs w:val="20"/>
                      <w:u w:val="single"/>
                      <w:lang w:val="it-IT"/>
                    </w:rPr>
                  </w:pPr>
                  <w:r w:rsidRPr="004A44D9">
                    <w:rPr>
                      <w:b/>
                      <w:bCs/>
                      <w:sz w:val="20"/>
                      <w:szCs w:val="20"/>
                      <w:u w:val="single"/>
                      <w:lang w:val="it-IT"/>
                    </w:rPr>
                    <w:t>CIMZIA</w:t>
                  </w:r>
                  <w:r w:rsidRPr="004A44D9">
                    <w:rPr>
                      <w:b/>
                      <w:bCs/>
                      <w:sz w:val="20"/>
                      <w:szCs w:val="20"/>
                      <w:u w:val="single"/>
                      <w:vertAlign w:val="superscript"/>
                      <w:lang w:val="it-IT"/>
                    </w:rPr>
                    <w:t>(</w:t>
                  </w:r>
                  <w:r w:rsidR="00370250" w:rsidRPr="004A44D9">
                    <w:rPr>
                      <w:b/>
                      <w:bCs/>
                      <w:sz w:val="20"/>
                      <w:szCs w:val="20"/>
                      <w:u w:val="single"/>
                      <w:vertAlign w:val="superscript"/>
                      <w:lang w:val="it-IT"/>
                    </w:rPr>
                    <w:t>a</w:t>
                  </w:r>
                  <w:r w:rsidRPr="004A44D9">
                    <w:rPr>
                      <w:b/>
                      <w:bCs/>
                      <w:sz w:val="20"/>
                      <w:szCs w:val="20"/>
                      <w:u w:val="single"/>
                      <w:vertAlign w:val="superscript"/>
                      <w:lang w:val="it-IT"/>
                    </w:rPr>
                    <w:t>)</w:t>
                  </w:r>
                  <w:r w:rsidRPr="004A44D9">
                    <w:rPr>
                      <w:b/>
                      <w:bCs/>
                      <w:sz w:val="20"/>
                      <w:szCs w:val="20"/>
                      <w:u w:val="single"/>
                      <w:lang w:val="it-IT"/>
                    </w:rPr>
                    <w:t xml:space="preserve"> 400 mg - Placebo</w:t>
                  </w:r>
                </w:p>
                <w:p w:rsidR="001977F2" w:rsidRPr="004A44D9" w:rsidRDefault="001977F2" w:rsidP="00613DB7">
                  <w:pPr>
                    <w:keepNext/>
                    <w:jc w:val="center"/>
                    <w:rPr>
                      <w:b/>
                      <w:bCs/>
                      <w:sz w:val="20"/>
                      <w:szCs w:val="20"/>
                      <w:u w:val="single"/>
                      <w:lang w:val="it-IT"/>
                    </w:rPr>
                  </w:pPr>
                  <w:r w:rsidRPr="004A44D9">
                    <w:rPr>
                      <w:b/>
                      <w:bCs/>
                      <w:sz w:val="20"/>
                      <w:szCs w:val="20"/>
                      <w:u w:val="single"/>
                      <w:lang w:val="it-IT"/>
                    </w:rPr>
                    <w:t>(95% CI)</w:t>
                  </w:r>
                  <w:r w:rsidRPr="004A44D9">
                    <w:rPr>
                      <w:b/>
                      <w:bCs/>
                      <w:sz w:val="20"/>
                      <w:szCs w:val="20"/>
                      <w:u w:val="single"/>
                      <w:vertAlign w:val="superscript"/>
                      <w:lang w:val="it-IT"/>
                    </w:rPr>
                    <w:t>(</w:t>
                  </w:r>
                  <w:r w:rsidR="003158FC" w:rsidRPr="004A44D9">
                    <w:rPr>
                      <w:b/>
                      <w:bCs/>
                      <w:sz w:val="20"/>
                      <w:szCs w:val="20"/>
                      <w:u w:val="single"/>
                      <w:vertAlign w:val="superscript"/>
                      <w:lang w:val="it-IT"/>
                    </w:rPr>
                    <w:t>b</w:t>
                  </w:r>
                  <w:r w:rsidRPr="004A44D9">
                    <w:rPr>
                      <w:b/>
                      <w:bCs/>
                      <w:sz w:val="20"/>
                      <w:szCs w:val="20"/>
                      <w:u w:val="single"/>
                      <w:vertAlign w:val="superscript"/>
                      <w:lang w:val="it-IT"/>
                    </w:rPr>
                    <w:t>)</w:t>
                  </w:r>
                </w:p>
                <w:p w:rsidR="001977F2" w:rsidRPr="004A44D9" w:rsidRDefault="001977F2" w:rsidP="00613DB7">
                  <w:pPr>
                    <w:keepNext/>
                    <w:jc w:val="center"/>
                    <w:rPr>
                      <w:b/>
                      <w:bCs/>
                      <w:sz w:val="20"/>
                      <w:szCs w:val="20"/>
                      <w:lang w:val="it-IT"/>
                    </w:rPr>
                  </w:pPr>
                </w:p>
              </w:tc>
              <w:tc>
                <w:tcPr>
                  <w:tcW w:w="1278" w:type="dxa"/>
                  <w:tcBorders>
                    <w:top w:val="single" w:sz="4" w:space="0" w:color="auto"/>
                    <w:left w:val="single" w:sz="4" w:space="0" w:color="auto"/>
                    <w:bottom w:val="single" w:sz="4" w:space="0" w:color="auto"/>
                    <w:right w:val="nil"/>
                  </w:tcBorders>
                </w:tcPr>
                <w:p w:rsidR="001977F2" w:rsidRPr="00613DB7" w:rsidRDefault="00AE2DC0" w:rsidP="00613DB7">
                  <w:pPr>
                    <w:keepNext/>
                    <w:jc w:val="center"/>
                    <w:rPr>
                      <w:b/>
                      <w:bCs/>
                      <w:sz w:val="20"/>
                      <w:szCs w:val="20"/>
                      <w:lang w:val="en-GB"/>
                    </w:rPr>
                  </w:pPr>
                  <w:r w:rsidRPr="00613DB7">
                    <w:rPr>
                      <w:b/>
                      <w:bCs/>
                      <w:sz w:val="20"/>
                      <w:szCs w:val="20"/>
                      <w:lang w:val="en-GB"/>
                    </w:rPr>
                    <w:t>Placebo + MTX</w:t>
                  </w:r>
                </w:p>
                <w:p w:rsidR="00AE2DC0" w:rsidRPr="00613DB7" w:rsidRDefault="00AE2DC0" w:rsidP="00613DB7">
                  <w:pPr>
                    <w:keepNext/>
                    <w:jc w:val="center"/>
                    <w:rPr>
                      <w:b/>
                      <w:bCs/>
                      <w:sz w:val="20"/>
                      <w:szCs w:val="20"/>
                      <w:lang w:val="en-GB"/>
                    </w:rPr>
                  </w:pPr>
                </w:p>
                <w:p w:rsidR="00AE2DC0" w:rsidRPr="00613DB7" w:rsidRDefault="00AE2DC0" w:rsidP="00613DB7">
                  <w:pPr>
                    <w:keepNext/>
                    <w:jc w:val="center"/>
                    <w:rPr>
                      <w:b/>
                      <w:bCs/>
                      <w:sz w:val="20"/>
                      <w:szCs w:val="20"/>
                      <w:lang w:val="en-GB"/>
                    </w:rPr>
                  </w:pPr>
                  <w:r w:rsidRPr="00613DB7">
                    <w:rPr>
                      <w:b/>
                      <w:bCs/>
                      <w:sz w:val="20"/>
                      <w:szCs w:val="20"/>
                      <w:lang w:val="en-GB"/>
                    </w:rPr>
                    <w:t>N=119</w:t>
                  </w:r>
                </w:p>
              </w:tc>
              <w:tc>
                <w:tcPr>
                  <w:tcW w:w="1278" w:type="dxa"/>
                  <w:tcBorders>
                    <w:top w:val="single" w:sz="4" w:space="0" w:color="auto"/>
                    <w:left w:val="nil"/>
                    <w:bottom w:val="single" w:sz="4" w:space="0" w:color="auto"/>
                    <w:right w:val="nil"/>
                  </w:tcBorders>
                </w:tcPr>
                <w:p w:rsidR="001977F2" w:rsidRPr="004A44D9" w:rsidRDefault="00AE2DC0" w:rsidP="00613DB7">
                  <w:pPr>
                    <w:keepNext/>
                    <w:jc w:val="center"/>
                    <w:rPr>
                      <w:b/>
                      <w:bCs/>
                      <w:sz w:val="20"/>
                      <w:szCs w:val="20"/>
                      <w:lang w:val="pt-PT"/>
                    </w:rPr>
                  </w:pPr>
                  <w:r w:rsidRPr="004A44D9">
                    <w:rPr>
                      <w:b/>
                      <w:bCs/>
                      <w:sz w:val="20"/>
                      <w:szCs w:val="20"/>
                      <w:lang w:val="pt-PT"/>
                    </w:rPr>
                    <w:t>CIMZIA</w:t>
                  </w:r>
                  <w:r w:rsidRPr="004A44D9">
                    <w:rPr>
                      <w:b/>
                      <w:bCs/>
                      <w:sz w:val="20"/>
                      <w:szCs w:val="20"/>
                      <w:vertAlign w:val="superscript"/>
                      <w:lang w:val="pt-PT"/>
                    </w:rPr>
                    <w:t>(</w:t>
                  </w:r>
                  <w:r w:rsidR="003158FC" w:rsidRPr="004A44D9">
                    <w:rPr>
                      <w:b/>
                      <w:bCs/>
                      <w:sz w:val="20"/>
                      <w:szCs w:val="20"/>
                      <w:vertAlign w:val="superscript"/>
                      <w:lang w:val="pt-PT"/>
                    </w:rPr>
                    <w:t>a</w:t>
                  </w:r>
                  <w:r w:rsidRPr="004A44D9">
                    <w:rPr>
                      <w:b/>
                      <w:bCs/>
                      <w:sz w:val="20"/>
                      <w:szCs w:val="20"/>
                      <w:vertAlign w:val="superscript"/>
                      <w:lang w:val="pt-PT"/>
                    </w:rPr>
                    <w:t>)</w:t>
                  </w:r>
                  <w:r w:rsidRPr="004A44D9">
                    <w:rPr>
                      <w:b/>
                      <w:bCs/>
                      <w:sz w:val="20"/>
                      <w:szCs w:val="20"/>
                      <w:lang w:val="pt-PT"/>
                    </w:rPr>
                    <w:t xml:space="preserve"> 400mg</w:t>
                  </w:r>
                  <w:r w:rsidR="00525760" w:rsidRPr="004A44D9">
                    <w:rPr>
                      <w:b/>
                      <w:bCs/>
                      <w:sz w:val="20"/>
                      <w:szCs w:val="20"/>
                      <w:lang w:val="pt-PT"/>
                    </w:rPr>
                    <w:t xml:space="preserve"> q4 weeks</w:t>
                  </w:r>
                  <w:r w:rsidRPr="004A44D9">
                    <w:rPr>
                      <w:b/>
                      <w:bCs/>
                      <w:sz w:val="20"/>
                      <w:szCs w:val="20"/>
                      <w:lang w:val="pt-PT"/>
                    </w:rPr>
                    <w:t xml:space="preserve"> + MTX </w:t>
                  </w:r>
                </w:p>
                <w:p w:rsidR="00AE2DC0" w:rsidRPr="004A44D9" w:rsidRDefault="00AE2DC0" w:rsidP="00613DB7">
                  <w:pPr>
                    <w:keepNext/>
                    <w:jc w:val="center"/>
                    <w:rPr>
                      <w:b/>
                      <w:bCs/>
                      <w:sz w:val="20"/>
                      <w:szCs w:val="20"/>
                      <w:lang w:val="pt-PT"/>
                    </w:rPr>
                  </w:pPr>
                  <w:r w:rsidRPr="004A44D9">
                    <w:rPr>
                      <w:b/>
                      <w:bCs/>
                      <w:sz w:val="20"/>
                      <w:szCs w:val="20"/>
                      <w:lang w:val="pt-PT"/>
                    </w:rPr>
                    <w:t>N=119</w:t>
                  </w:r>
                </w:p>
              </w:tc>
              <w:tc>
                <w:tcPr>
                  <w:tcW w:w="1278" w:type="dxa"/>
                  <w:tcBorders>
                    <w:top w:val="single" w:sz="4" w:space="0" w:color="auto"/>
                    <w:left w:val="nil"/>
                    <w:bottom w:val="single" w:sz="4" w:space="0" w:color="auto"/>
                    <w:right w:val="single" w:sz="4" w:space="0" w:color="auto"/>
                  </w:tcBorders>
                </w:tcPr>
                <w:p w:rsidR="0056049A" w:rsidRPr="004A44D9" w:rsidRDefault="0056049A" w:rsidP="00613DB7">
                  <w:pPr>
                    <w:keepNext/>
                    <w:jc w:val="center"/>
                    <w:rPr>
                      <w:b/>
                      <w:bCs/>
                      <w:sz w:val="20"/>
                      <w:szCs w:val="20"/>
                      <w:u w:val="single"/>
                      <w:lang w:val="it-IT"/>
                    </w:rPr>
                  </w:pPr>
                  <w:r w:rsidRPr="004A44D9">
                    <w:rPr>
                      <w:b/>
                      <w:bCs/>
                      <w:sz w:val="20"/>
                      <w:szCs w:val="20"/>
                      <w:u w:val="single"/>
                      <w:lang w:val="it-IT"/>
                    </w:rPr>
                    <w:t>CIMZIA</w:t>
                  </w:r>
                  <w:r w:rsidRPr="004A44D9">
                    <w:rPr>
                      <w:b/>
                      <w:bCs/>
                      <w:sz w:val="20"/>
                      <w:szCs w:val="20"/>
                      <w:u w:val="single"/>
                      <w:vertAlign w:val="superscript"/>
                      <w:lang w:val="it-IT"/>
                    </w:rPr>
                    <w:t>(</w:t>
                  </w:r>
                  <w:r w:rsidR="003158FC" w:rsidRPr="004A44D9">
                    <w:rPr>
                      <w:b/>
                      <w:bCs/>
                      <w:sz w:val="20"/>
                      <w:szCs w:val="20"/>
                      <w:u w:val="single"/>
                      <w:vertAlign w:val="superscript"/>
                      <w:lang w:val="it-IT"/>
                    </w:rPr>
                    <w:t>a</w:t>
                  </w:r>
                  <w:r w:rsidRPr="004A44D9">
                    <w:rPr>
                      <w:b/>
                      <w:bCs/>
                      <w:sz w:val="20"/>
                      <w:szCs w:val="20"/>
                      <w:u w:val="single"/>
                      <w:vertAlign w:val="superscript"/>
                      <w:lang w:val="it-IT"/>
                    </w:rPr>
                    <w:t>)</w:t>
                  </w:r>
                  <w:r w:rsidRPr="004A44D9">
                    <w:rPr>
                      <w:b/>
                      <w:bCs/>
                      <w:sz w:val="20"/>
                      <w:szCs w:val="20"/>
                      <w:u w:val="single"/>
                      <w:lang w:val="it-IT"/>
                    </w:rPr>
                    <w:t xml:space="preserve"> 400 mg + MTX – Placebo + MTX</w:t>
                  </w:r>
                </w:p>
                <w:p w:rsidR="0056049A" w:rsidRPr="004A44D9" w:rsidRDefault="0056049A" w:rsidP="00613DB7">
                  <w:pPr>
                    <w:keepNext/>
                    <w:jc w:val="center"/>
                    <w:rPr>
                      <w:b/>
                      <w:bCs/>
                      <w:sz w:val="20"/>
                      <w:szCs w:val="20"/>
                      <w:u w:val="single"/>
                      <w:lang w:val="it-IT"/>
                    </w:rPr>
                  </w:pPr>
                  <w:r w:rsidRPr="004A44D9">
                    <w:rPr>
                      <w:b/>
                      <w:bCs/>
                      <w:sz w:val="20"/>
                      <w:szCs w:val="20"/>
                      <w:u w:val="single"/>
                      <w:lang w:val="it-IT"/>
                    </w:rPr>
                    <w:t>(95% CI)</w:t>
                  </w:r>
                  <w:r w:rsidRPr="004A44D9">
                    <w:rPr>
                      <w:b/>
                      <w:bCs/>
                      <w:sz w:val="20"/>
                      <w:szCs w:val="20"/>
                      <w:u w:val="single"/>
                      <w:vertAlign w:val="superscript"/>
                      <w:lang w:val="it-IT"/>
                    </w:rPr>
                    <w:t>(</w:t>
                  </w:r>
                  <w:r w:rsidR="003158FC" w:rsidRPr="004A44D9">
                    <w:rPr>
                      <w:b/>
                      <w:bCs/>
                      <w:sz w:val="20"/>
                      <w:szCs w:val="20"/>
                      <w:u w:val="single"/>
                      <w:vertAlign w:val="superscript"/>
                      <w:lang w:val="it-IT"/>
                    </w:rPr>
                    <w:t>b</w:t>
                  </w:r>
                  <w:r w:rsidRPr="004A44D9">
                    <w:rPr>
                      <w:b/>
                      <w:bCs/>
                      <w:sz w:val="20"/>
                      <w:szCs w:val="20"/>
                      <w:u w:val="single"/>
                      <w:vertAlign w:val="superscript"/>
                      <w:lang w:val="it-IT"/>
                    </w:rPr>
                    <w:t>)</w:t>
                  </w:r>
                </w:p>
                <w:p w:rsidR="001977F2" w:rsidRPr="004A44D9" w:rsidRDefault="001977F2" w:rsidP="00613DB7">
                  <w:pPr>
                    <w:keepNext/>
                    <w:jc w:val="center"/>
                    <w:rPr>
                      <w:b/>
                      <w:bCs/>
                      <w:sz w:val="20"/>
                      <w:szCs w:val="20"/>
                      <w:lang w:val="it-IT"/>
                    </w:rPr>
                  </w:pPr>
                </w:p>
              </w:tc>
            </w:tr>
            <w:tr w:rsidR="001977F2" w:rsidRPr="00613DB7" w:rsidTr="00D97490">
              <w:trPr>
                <w:trHeight w:val="18"/>
              </w:trPr>
              <w:tc>
                <w:tcPr>
                  <w:tcW w:w="1227" w:type="dxa"/>
                  <w:tcBorders>
                    <w:top w:val="single" w:sz="4" w:space="0" w:color="auto"/>
                    <w:left w:val="single" w:sz="4" w:space="0" w:color="auto"/>
                    <w:bottom w:val="nil"/>
                    <w:right w:val="single" w:sz="4" w:space="0" w:color="auto"/>
                  </w:tcBorders>
                </w:tcPr>
                <w:p w:rsidR="001977F2" w:rsidRPr="00613DB7" w:rsidRDefault="001977F2" w:rsidP="00613DB7">
                  <w:pPr>
                    <w:keepNext/>
                    <w:rPr>
                      <w:b/>
                      <w:bCs/>
                      <w:sz w:val="20"/>
                      <w:szCs w:val="20"/>
                      <w:lang w:val="en-GB"/>
                    </w:rPr>
                  </w:pPr>
                  <w:r w:rsidRPr="00613DB7">
                    <w:rPr>
                      <w:b/>
                      <w:bCs/>
                      <w:sz w:val="20"/>
                      <w:szCs w:val="20"/>
                      <w:lang w:val="en-GB"/>
                    </w:rPr>
                    <w:t>ACR20</w:t>
                  </w:r>
                </w:p>
              </w:tc>
              <w:tc>
                <w:tcPr>
                  <w:tcW w:w="1278"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78"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78" w:type="dxa"/>
                  <w:tcBorders>
                    <w:top w:val="single" w:sz="4" w:space="0" w:color="auto"/>
                    <w:left w:val="nil"/>
                    <w:bottom w:val="nil"/>
                    <w:right w:val="single" w:sz="4" w:space="0" w:color="auto"/>
                  </w:tcBorders>
                </w:tcPr>
                <w:p w:rsidR="001977F2" w:rsidRPr="00613DB7" w:rsidRDefault="001977F2" w:rsidP="00613DB7">
                  <w:pPr>
                    <w:keepNext/>
                    <w:jc w:val="center"/>
                    <w:rPr>
                      <w:sz w:val="20"/>
                      <w:szCs w:val="20"/>
                      <w:lang w:val="en-GB"/>
                    </w:rPr>
                  </w:pPr>
                </w:p>
              </w:tc>
              <w:tc>
                <w:tcPr>
                  <w:tcW w:w="1278"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78"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78" w:type="dxa"/>
                  <w:tcBorders>
                    <w:top w:val="single" w:sz="4" w:space="0" w:color="auto"/>
                    <w:left w:val="nil"/>
                    <w:bottom w:val="nil"/>
                    <w:right w:val="single" w:sz="4" w:space="0" w:color="auto"/>
                  </w:tcBorders>
                </w:tcPr>
                <w:p w:rsidR="001977F2" w:rsidRPr="00613DB7" w:rsidRDefault="001977F2" w:rsidP="00613DB7">
                  <w:pPr>
                    <w:keepNext/>
                    <w:jc w:val="center"/>
                    <w:rPr>
                      <w:sz w:val="20"/>
                      <w:szCs w:val="20"/>
                      <w:lang w:val="en-GB"/>
                    </w:rPr>
                  </w:pPr>
                </w:p>
              </w:tc>
            </w:tr>
            <w:tr w:rsidR="001977F2" w:rsidRPr="00613DB7" w:rsidTr="00D97490">
              <w:trPr>
                <w:trHeight w:val="18"/>
              </w:trPr>
              <w:tc>
                <w:tcPr>
                  <w:tcW w:w="1227" w:type="dxa"/>
                  <w:tcBorders>
                    <w:top w:val="nil"/>
                    <w:left w:val="single" w:sz="4" w:space="0" w:color="auto"/>
                    <w:bottom w:val="nil"/>
                    <w:right w:val="single" w:sz="4" w:space="0" w:color="auto"/>
                  </w:tcBorders>
                </w:tcPr>
                <w:p w:rsidR="001977F2" w:rsidRPr="00613DB7" w:rsidRDefault="001977F2" w:rsidP="00613DB7">
                  <w:pPr>
                    <w:keepNext/>
                    <w:rPr>
                      <w:sz w:val="20"/>
                      <w:szCs w:val="20"/>
                      <w:lang w:val="en-GB"/>
                    </w:rPr>
                  </w:pPr>
                  <w:r w:rsidRPr="00613DB7">
                    <w:rPr>
                      <w:sz w:val="20"/>
                      <w:szCs w:val="20"/>
                      <w:lang w:val="en-GB"/>
                    </w:rPr>
                    <w:t>Week 24</w:t>
                  </w:r>
                </w:p>
              </w:tc>
              <w:tc>
                <w:tcPr>
                  <w:tcW w:w="1278" w:type="dxa"/>
                  <w:tcBorders>
                    <w:top w:val="nil"/>
                    <w:left w:val="single" w:sz="4" w:space="0" w:color="auto"/>
                    <w:bottom w:val="nil"/>
                    <w:right w:val="nil"/>
                  </w:tcBorders>
                </w:tcPr>
                <w:p w:rsidR="001977F2" w:rsidRPr="00613DB7" w:rsidRDefault="001977F2" w:rsidP="00613DB7">
                  <w:pPr>
                    <w:keepNext/>
                    <w:jc w:val="center"/>
                    <w:rPr>
                      <w:sz w:val="20"/>
                      <w:szCs w:val="20"/>
                      <w:lang w:val="en-GB"/>
                    </w:rPr>
                  </w:pPr>
                  <w:r w:rsidRPr="00613DB7">
                    <w:rPr>
                      <w:sz w:val="20"/>
                      <w:szCs w:val="20"/>
                      <w:lang w:val="en-GB"/>
                    </w:rPr>
                    <w:t>9%</w:t>
                  </w:r>
                </w:p>
              </w:tc>
              <w:tc>
                <w:tcPr>
                  <w:tcW w:w="1278" w:type="dxa"/>
                  <w:tcBorders>
                    <w:top w:val="nil"/>
                    <w:left w:val="nil"/>
                    <w:bottom w:val="nil"/>
                    <w:right w:val="nil"/>
                  </w:tcBorders>
                </w:tcPr>
                <w:p w:rsidR="001977F2" w:rsidRPr="00613DB7" w:rsidRDefault="001977F2" w:rsidP="00613DB7">
                  <w:pPr>
                    <w:keepNext/>
                    <w:jc w:val="center"/>
                    <w:rPr>
                      <w:sz w:val="20"/>
                      <w:szCs w:val="20"/>
                      <w:lang w:val="en-GB"/>
                    </w:rPr>
                  </w:pPr>
                  <w:r w:rsidRPr="00613DB7">
                    <w:rPr>
                      <w:sz w:val="20"/>
                      <w:szCs w:val="20"/>
                      <w:lang w:val="en-GB"/>
                    </w:rPr>
                    <w:t>46%*</w:t>
                  </w:r>
                </w:p>
              </w:tc>
              <w:tc>
                <w:tcPr>
                  <w:tcW w:w="1278" w:type="dxa"/>
                  <w:tcBorders>
                    <w:top w:val="nil"/>
                    <w:left w:val="nil"/>
                    <w:bottom w:val="nil"/>
                    <w:right w:val="single" w:sz="4" w:space="0" w:color="auto"/>
                  </w:tcBorders>
                  <w:vAlign w:val="bottom"/>
                </w:tcPr>
                <w:p w:rsidR="001977F2" w:rsidRPr="00613DB7" w:rsidRDefault="001977F2" w:rsidP="00613DB7">
                  <w:pPr>
                    <w:keepNext/>
                    <w:jc w:val="center"/>
                    <w:rPr>
                      <w:sz w:val="20"/>
                      <w:szCs w:val="20"/>
                      <w:lang w:val="en-GB"/>
                    </w:rPr>
                  </w:pPr>
                  <w:r w:rsidRPr="00613DB7">
                    <w:rPr>
                      <w:sz w:val="20"/>
                      <w:szCs w:val="20"/>
                      <w:lang w:val="en-GB"/>
                    </w:rPr>
                    <w:t xml:space="preserve">36% </w:t>
                  </w:r>
                </w:p>
                <w:p w:rsidR="001977F2" w:rsidRPr="00613DB7" w:rsidRDefault="001977F2" w:rsidP="00613DB7">
                  <w:pPr>
                    <w:keepNext/>
                    <w:jc w:val="center"/>
                    <w:rPr>
                      <w:sz w:val="20"/>
                      <w:szCs w:val="20"/>
                      <w:lang w:val="en-GB"/>
                    </w:rPr>
                  </w:pPr>
                  <w:r w:rsidRPr="00613DB7">
                    <w:rPr>
                      <w:sz w:val="20"/>
                      <w:szCs w:val="20"/>
                      <w:lang w:val="en-GB"/>
                    </w:rPr>
                    <w:t>(25%, 47%)</w:t>
                  </w:r>
                </w:p>
              </w:tc>
              <w:tc>
                <w:tcPr>
                  <w:tcW w:w="1278" w:type="dxa"/>
                  <w:tcBorders>
                    <w:top w:val="nil"/>
                    <w:left w:val="single" w:sz="4" w:space="0" w:color="auto"/>
                    <w:bottom w:val="nil"/>
                    <w:right w:val="nil"/>
                  </w:tcBorders>
                </w:tcPr>
                <w:p w:rsidR="001977F2" w:rsidRPr="00613DB7" w:rsidRDefault="00DE1DA9" w:rsidP="00613DB7">
                  <w:pPr>
                    <w:keepNext/>
                    <w:jc w:val="center"/>
                    <w:rPr>
                      <w:sz w:val="20"/>
                      <w:szCs w:val="20"/>
                      <w:lang w:val="en-GB"/>
                    </w:rPr>
                  </w:pPr>
                  <w:r w:rsidRPr="00613DB7">
                    <w:rPr>
                      <w:sz w:val="20"/>
                      <w:szCs w:val="20"/>
                      <w:lang w:val="en-GB"/>
                    </w:rPr>
                    <w:t>23%</w:t>
                  </w:r>
                </w:p>
              </w:tc>
              <w:tc>
                <w:tcPr>
                  <w:tcW w:w="1278" w:type="dxa"/>
                  <w:tcBorders>
                    <w:top w:val="nil"/>
                    <w:left w:val="nil"/>
                    <w:bottom w:val="nil"/>
                    <w:right w:val="nil"/>
                  </w:tcBorders>
                </w:tcPr>
                <w:p w:rsidR="001977F2" w:rsidRPr="00613DB7" w:rsidRDefault="00DE1DA9" w:rsidP="00613DB7">
                  <w:pPr>
                    <w:keepNext/>
                    <w:jc w:val="center"/>
                    <w:rPr>
                      <w:sz w:val="20"/>
                      <w:szCs w:val="20"/>
                      <w:lang w:val="en-GB"/>
                    </w:rPr>
                  </w:pPr>
                  <w:r w:rsidRPr="00613DB7">
                    <w:rPr>
                      <w:sz w:val="20"/>
                      <w:szCs w:val="20"/>
                      <w:lang w:val="en-GB"/>
                    </w:rPr>
                    <w:t>46%*</w:t>
                  </w:r>
                </w:p>
              </w:tc>
              <w:tc>
                <w:tcPr>
                  <w:tcW w:w="1278" w:type="dxa"/>
                  <w:tcBorders>
                    <w:top w:val="nil"/>
                    <w:left w:val="nil"/>
                    <w:bottom w:val="nil"/>
                    <w:right w:val="single" w:sz="4" w:space="0" w:color="auto"/>
                  </w:tcBorders>
                </w:tcPr>
                <w:p w:rsidR="00F02FAF" w:rsidRPr="00613DB7" w:rsidRDefault="00F02FAF" w:rsidP="00613DB7">
                  <w:pPr>
                    <w:keepNext/>
                    <w:jc w:val="center"/>
                    <w:rPr>
                      <w:sz w:val="20"/>
                      <w:szCs w:val="20"/>
                      <w:lang w:val="en-GB"/>
                    </w:rPr>
                  </w:pPr>
                  <w:r w:rsidRPr="00613DB7">
                    <w:rPr>
                      <w:sz w:val="20"/>
                      <w:szCs w:val="20"/>
                      <w:lang w:val="en-GB"/>
                    </w:rPr>
                    <w:t>23%</w:t>
                  </w:r>
                </w:p>
                <w:p w:rsidR="001977F2" w:rsidRPr="00613DB7" w:rsidRDefault="00F02FAF" w:rsidP="00613DB7">
                  <w:pPr>
                    <w:keepNext/>
                    <w:jc w:val="center"/>
                    <w:rPr>
                      <w:sz w:val="20"/>
                      <w:szCs w:val="20"/>
                      <w:lang w:val="en-GB"/>
                    </w:rPr>
                  </w:pPr>
                  <w:r w:rsidRPr="00613DB7">
                    <w:rPr>
                      <w:sz w:val="20"/>
                      <w:szCs w:val="20"/>
                      <w:lang w:val="en-GB"/>
                    </w:rPr>
                    <w:t>(11%, 35%)</w:t>
                  </w:r>
                </w:p>
              </w:tc>
            </w:tr>
            <w:tr w:rsidR="001977F2" w:rsidRPr="00613DB7" w:rsidTr="00D97490">
              <w:trPr>
                <w:trHeight w:val="18"/>
              </w:trPr>
              <w:tc>
                <w:tcPr>
                  <w:tcW w:w="1227" w:type="dxa"/>
                  <w:tcBorders>
                    <w:top w:val="single" w:sz="4" w:space="0" w:color="auto"/>
                    <w:left w:val="single" w:sz="4" w:space="0" w:color="auto"/>
                    <w:bottom w:val="nil"/>
                    <w:right w:val="single" w:sz="4" w:space="0" w:color="auto"/>
                  </w:tcBorders>
                </w:tcPr>
                <w:p w:rsidR="001977F2" w:rsidRPr="00613DB7" w:rsidRDefault="001977F2" w:rsidP="00613DB7">
                  <w:pPr>
                    <w:keepNext/>
                    <w:rPr>
                      <w:b/>
                      <w:bCs/>
                      <w:sz w:val="20"/>
                      <w:szCs w:val="20"/>
                      <w:lang w:val="en-GB"/>
                    </w:rPr>
                  </w:pPr>
                  <w:r w:rsidRPr="00613DB7">
                    <w:rPr>
                      <w:b/>
                      <w:bCs/>
                      <w:sz w:val="20"/>
                      <w:szCs w:val="20"/>
                      <w:lang w:val="en-GB"/>
                    </w:rPr>
                    <w:t>ACR50</w:t>
                  </w:r>
                </w:p>
              </w:tc>
              <w:tc>
                <w:tcPr>
                  <w:tcW w:w="1278"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78"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78" w:type="dxa"/>
                  <w:tcBorders>
                    <w:top w:val="single" w:sz="4" w:space="0" w:color="auto"/>
                    <w:left w:val="nil"/>
                    <w:bottom w:val="nil"/>
                    <w:right w:val="single" w:sz="4" w:space="0" w:color="auto"/>
                  </w:tcBorders>
                  <w:vAlign w:val="bottom"/>
                </w:tcPr>
                <w:p w:rsidR="001977F2" w:rsidRPr="00613DB7" w:rsidRDefault="001977F2" w:rsidP="00613DB7">
                  <w:pPr>
                    <w:keepNext/>
                    <w:jc w:val="center"/>
                    <w:rPr>
                      <w:sz w:val="20"/>
                      <w:szCs w:val="20"/>
                      <w:lang w:val="en-GB"/>
                    </w:rPr>
                  </w:pPr>
                </w:p>
              </w:tc>
              <w:tc>
                <w:tcPr>
                  <w:tcW w:w="1278"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78"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78" w:type="dxa"/>
                  <w:tcBorders>
                    <w:top w:val="single" w:sz="4" w:space="0" w:color="auto"/>
                    <w:left w:val="nil"/>
                    <w:bottom w:val="nil"/>
                    <w:right w:val="single" w:sz="4" w:space="0" w:color="auto"/>
                  </w:tcBorders>
                  <w:vAlign w:val="bottom"/>
                </w:tcPr>
                <w:p w:rsidR="001977F2" w:rsidRPr="00613DB7" w:rsidRDefault="001977F2" w:rsidP="00613DB7">
                  <w:pPr>
                    <w:keepNext/>
                    <w:jc w:val="center"/>
                    <w:rPr>
                      <w:sz w:val="20"/>
                      <w:szCs w:val="20"/>
                      <w:lang w:val="en-GB"/>
                    </w:rPr>
                  </w:pPr>
                </w:p>
              </w:tc>
            </w:tr>
            <w:tr w:rsidR="001977F2" w:rsidRPr="00613DB7" w:rsidTr="00D97490">
              <w:trPr>
                <w:trHeight w:val="18"/>
              </w:trPr>
              <w:tc>
                <w:tcPr>
                  <w:tcW w:w="1227" w:type="dxa"/>
                  <w:tcBorders>
                    <w:top w:val="nil"/>
                    <w:left w:val="single" w:sz="4" w:space="0" w:color="auto"/>
                    <w:bottom w:val="nil"/>
                    <w:right w:val="single" w:sz="4" w:space="0" w:color="auto"/>
                  </w:tcBorders>
                </w:tcPr>
                <w:p w:rsidR="001977F2" w:rsidRPr="00613DB7" w:rsidRDefault="001977F2" w:rsidP="00613DB7">
                  <w:pPr>
                    <w:keepNext/>
                    <w:rPr>
                      <w:sz w:val="20"/>
                      <w:szCs w:val="20"/>
                      <w:lang w:val="en-GB"/>
                    </w:rPr>
                  </w:pPr>
                  <w:r w:rsidRPr="00613DB7">
                    <w:rPr>
                      <w:sz w:val="20"/>
                      <w:szCs w:val="20"/>
                      <w:lang w:val="en-GB"/>
                    </w:rPr>
                    <w:t>Week 24</w:t>
                  </w:r>
                </w:p>
              </w:tc>
              <w:tc>
                <w:tcPr>
                  <w:tcW w:w="1278" w:type="dxa"/>
                  <w:tcBorders>
                    <w:top w:val="nil"/>
                    <w:left w:val="single" w:sz="4" w:space="0" w:color="auto"/>
                    <w:bottom w:val="nil"/>
                    <w:right w:val="nil"/>
                  </w:tcBorders>
                </w:tcPr>
                <w:p w:rsidR="001977F2" w:rsidRPr="00613DB7" w:rsidRDefault="001977F2" w:rsidP="00613DB7">
                  <w:pPr>
                    <w:keepNext/>
                    <w:jc w:val="center"/>
                    <w:rPr>
                      <w:sz w:val="20"/>
                      <w:szCs w:val="20"/>
                      <w:lang w:val="en-GB"/>
                    </w:rPr>
                  </w:pPr>
                  <w:r w:rsidRPr="00613DB7">
                    <w:rPr>
                      <w:sz w:val="20"/>
                      <w:szCs w:val="20"/>
                      <w:lang w:val="en-GB"/>
                    </w:rPr>
                    <w:t>4%</w:t>
                  </w:r>
                </w:p>
              </w:tc>
              <w:tc>
                <w:tcPr>
                  <w:tcW w:w="1278" w:type="dxa"/>
                  <w:tcBorders>
                    <w:top w:val="nil"/>
                    <w:left w:val="nil"/>
                    <w:bottom w:val="nil"/>
                    <w:right w:val="nil"/>
                  </w:tcBorders>
                </w:tcPr>
                <w:p w:rsidR="001977F2" w:rsidRPr="00613DB7" w:rsidRDefault="00C53592" w:rsidP="00613DB7">
                  <w:pPr>
                    <w:keepNext/>
                    <w:jc w:val="center"/>
                    <w:rPr>
                      <w:sz w:val="20"/>
                      <w:szCs w:val="20"/>
                      <w:lang w:val="en-GB"/>
                    </w:rPr>
                  </w:pPr>
                  <w:r w:rsidRPr="00613DB7">
                    <w:rPr>
                      <w:sz w:val="20"/>
                      <w:szCs w:val="20"/>
                      <w:lang w:val="en-GB"/>
                    </w:rPr>
                    <w:t>23%*</w:t>
                  </w:r>
                </w:p>
              </w:tc>
              <w:tc>
                <w:tcPr>
                  <w:tcW w:w="1278" w:type="dxa"/>
                  <w:tcBorders>
                    <w:top w:val="nil"/>
                    <w:left w:val="nil"/>
                    <w:bottom w:val="nil"/>
                    <w:right w:val="single" w:sz="4" w:space="0" w:color="auto"/>
                  </w:tcBorders>
                </w:tcPr>
                <w:p w:rsidR="001977F2" w:rsidRPr="00613DB7" w:rsidRDefault="001977F2" w:rsidP="00613DB7">
                  <w:pPr>
                    <w:keepNext/>
                    <w:jc w:val="center"/>
                    <w:rPr>
                      <w:sz w:val="20"/>
                      <w:szCs w:val="20"/>
                      <w:lang w:val="en-GB"/>
                    </w:rPr>
                  </w:pPr>
                  <w:r w:rsidRPr="00613DB7">
                    <w:rPr>
                      <w:sz w:val="20"/>
                      <w:szCs w:val="20"/>
                      <w:lang w:val="en-GB"/>
                    </w:rPr>
                    <w:t>19%</w:t>
                  </w:r>
                </w:p>
                <w:p w:rsidR="001977F2" w:rsidRPr="00613DB7" w:rsidRDefault="001977F2" w:rsidP="00613DB7">
                  <w:pPr>
                    <w:keepNext/>
                    <w:jc w:val="center"/>
                    <w:rPr>
                      <w:sz w:val="20"/>
                      <w:szCs w:val="20"/>
                      <w:lang w:val="en-GB"/>
                    </w:rPr>
                  </w:pPr>
                  <w:r w:rsidRPr="00613DB7">
                    <w:rPr>
                      <w:sz w:val="20"/>
                      <w:szCs w:val="20"/>
                      <w:lang w:val="en-GB"/>
                    </w:rPr>
                    <w:t xml:space="preserve"> (10%, 28%)</w:t>
                  </w:r>
                </w:p>
              </w:tc>
              <w:tc>
                <w:tcPr>
                  <w:tcW w:w="1278" w:type="dxa"/>
                  <w:tcBorders>
                    <w:top w:val="nil"/>
                    <w:left w:val="single" w:sz="4" w:space="0" w:color="auto"/>
                    <w:bottom w:val="nil"/>
                    <w:right w:val="nil"/>
                  </w:tcBorders>
                </w:tcPr>
                <w:p w:rsidR="001977F2" w:rsidRPr="00613DB7" w:rsidRDefault="00DE1DA9" w:rsidP="00613DB7">
                  <w:pPr>
                    <w:keepNext/>
                    <w:jc w:val="center"/>
                    <w:rPr>
                      <w:sz w:val="20"/>
                      <w:szCs w:val="20"/>
                      <w:lang w:val="en-GB"/>
                    </w:rPr>
                  </w:pPr>
                  <w:r w:rsidRPr="00613DB7">
                    <w:rPr>
                      <w:sz w:val="20"/>
                      <w:szCs w:val="20"/>
                      <w:lang w:val="en-GB"/>
                    </w:rPr>
                    <w:t>6%</w:t>
                  </w:r>
                </w:p>
              </w:tc>
              <w:tc>
                <w:tcPr>
                  <w:tcW w:w="1278" w:type="dxa"/>
                  <w:tcBorders>
                    <w:top w:val="nil"/>
                    <w:left w:val="nil"/>
                    <w:bottom w:val="nil"/>
                    <w:right w:val="nil"/>
                  </w:tcBorders>
                </w:tcPr>
                <w:p w:rsidR="001977F2" w:rsidRPr="00613DB7" w:rsidRDefault="00DE1DA9" w:rsidP="00613DB7">
                  <w:pPr>
                    <w:keepNext/>
                    <w:jc w:val="center"/>
                    <w:rPr>
                      <w:sz w:val="20"/>
                      <w:szCs w:val="20"/>
                      <w:lang w:val="en-GB"/>
                    </w:rPr>
                  </w:pPr>
                  <w:r w:rsidRPr="00613DB7">
                    <w:rPr>
                      <w:sz w:val="20"/>
                      <w:szCs w:val="20"/>
                      <w:lang w:val="en-GB"/>
                    </w:rPr>
                    <w:t>18%**</w:t>
                  </w:r>
                </w:p>
              </w:tc>
              <w:tc>
                <w:tcPr>
                  <w:tcW w:w="1278" w:type="dxa"/>
                  <w:tcBorders>
                    <w:top w:val="nil"/>
                    <w:left w:val="nil"/>
                    <w:bottom w:val="nil"/>
                    <w:right w:val="single" w:sz="4" w:space="0" w:color="auto"/>
                  </w:tcBorders>
                </w:tcPr>
                <w:p w:rsidR="001977F2" w:rsidRPr="00613DB7" w:rsidRDefault="00AD08DC" w:rsidP="00613DB7">
                  <w:pPr>
                    <w:keepNext/>
                    <w:jc w:val="center"/>
                    <w:rPr>
                      <w:sz w:val="20"/>
                      <w:szCs w:val="20"/>
                      <w:lang w:val="en-GB"/>
                    </w:rPr>
                  </w:pPr>
                  <w:r w:rsidRPr="00613DB7">
                    <w:rPr>
                      <w:sz w:val="20"/>
                      <w:szCs w:val="20"/>
                      <w:lang w:val="en-GB"/>
                    </w:rPr>
                    <w:t>12%</w:t>
                  </w:r>
                </w:p>
                <w:p w:rsidR="00AD08DC" w:rsidRPr="00613DB7" w:rsidRDefault="00AD08DC" w:rsidP="00613DB7">
                  <w:pPr>
                    <w:keepNext/>
                    <w:jc w:val="center"/>
                    <w:rPr>
                      <w:sz w:val="20"/>
                      <w:szCs w:val="20"/>
                      <w:lang w:val="en-GB"/>
                    </w:rPr>
                  </w:pPr>
                  <w:r w:rsidRPr="00613DB7">
                    <w:rPr>
                      <w:sz w:val="20"/>
                      <w:szCs w:val="20"/>
                      <w:lang w:val="en-GB"/>
                    </w:rPr>
                    <w:t>(4%, 20%)</w:t>
                  </w:r>
                </w:p>
              </w:tc>
            </w:tr>
            <w:tr w:rsidR="001977F2" w:rsidRPr="00613DB7" w:rsidTr="00D97490">
              <w:trPr>
                <w:trHeight w:val="18"/>
              </w:trPr>
              <w:tc>
                <w:tcPr>
                  <w:tcW w:w="1227" w:type="dxa"/>
                  <w:tcBorders>
                    <w:top w:val="single" w:sz="4" w:space="0" w:color="auto"/>
                    <w:left w:val="single" w:sz="4" w:space="0" w:color="auto"/>
                    <w:bottom w:val="nil"/>
                    <w:right w:val="single" w:sz="4" w:space="0" w:color="auto"/>
                  </w:tcBorders>
                </w:tcPr>
                <w:p w:rsidR="001977F2" w:rsidRPr="00613DB7" w:rsidRDefault="001977F2" w:rsidP="00613DB7">
                  <w:pPr>
                    <w:keepNext/>
                    <w:rPr>
                      <w:b/>
                      <w:bCs/>
                      <w:sz w:val="20"/>
                      <w:szCs w:val="20"/>
                      <w:lang w:val="en-GB"/>
                    </w:rPr>
                  </w:pPr>
                  <w:r w:rsidRPr="00613DB7">
                    <w:rPr>
                      <w:b/>
                      <w:bCs/>
                      <w:sz w:val="20"/>
                      <w:szCs w:val="20"/>
                      <w:lang w:val="en-GB"/>
                    </w:rPr>
                    <w:t>ACR70</w:t>
                  </w:r>
                </w:p>
              </w:tc>
              <w:tc>
                <w:tcPr>
                  <w:tcW w:w="1278"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78"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78" w:type="dxa"/>
                  <w:tcBorders>
                    <w:top w:val="single" w:sz="4" w:space="0" w:color="auto"/>
                    <w:left w:val="nil"/>
                    <w:bottom w:val="nil"/>
                    <w:right w:val="single" w:sz="4" w:space="0" w:color="auto"/>
                  </w:tcBorders>
                </w:tcPr>
                <w:p w:rsidR="001977F2" w:rsidRPr="00613DB7" w:rsidRDefault="001977F2" w:rsidP="00613DB7">
                  <w:pPr>
                    <w:keepNext/>
                    <w:jc w:val="center"/>
                    <w:rPr>
                      <w:sz w:val="20"/>
                      <w:szCs w:val="20"/>
                      <w:lang w:val="en-GB"/>
                    </w:rPr>
                  </w:pPr>
                </w:p>
              </w:tc>
              <w:tc>
                <w:tcPr>
                  <w:tcW w:w="1278" w:type="dxa"/>
                  <w:tcBorders>
                    <w:top w:val="single" w:sz="4" w:space="0" w:color="auto"/>
                    <w:left w:val="single" w:sz="4" w:space="0" w:color="auto"/>
                    <w:bottom w:val="nil"/>
                    <w:right w:val="nil"/>
                  </w:tcBorders>
                </w:tcPr>
                <w:p w:rsidR="001977F2" w:rsidRPr="00613DB7" w:rsidRDefault="001977F2" w:rsidP="00613DB7">
                  <w:pPr>
                    <w:keepNext/>
                    <w:jc w:val="center"/>
                    <w:rPr>
                      <w:sz w:val="20"/>
                      <w:szCs w:val="20"/>
                      <w:lang w:val="en-GB"/>
                    </w:rPr>
                  </w:pPr>
                </w:p>
              </w:tc>
              <w:tc>
                <w:tcPr>
                  <w:tcW w:w="1278" w:type="dxa"/>
                  <w:tcBorders>
                    <w:top w:val="single" w:sz="4" w:space="0" w:color="auto"/>
                    <w:left w:val="nil"/>
                    <w:bottom w:val="nil"/>
                    <w:right w:val="nil"/>
                  </w:tcBorders>
                </w:tcPr>
                <w:p w:rsidR="001977F2" w:rsidRPr="00613DB7" w:rsidRDefault="001977F2" w:rsidP="00613DB7">
                  <w:pPr>
                    <w:keepNext/>
                    <w:jc w:val="center"/>
                    <w:rPr>
                      <w:sz w:val="20"/>
                      <w:szCs w:val="20"/>
                      <w:lang w:val="en-GB"/>
                    </w:rPr>
                  </w:pPr>
                </w:p>
              </w:tc>
              <w:tc>
                <w:tcPr>
                  <w:tcW w:w="1278" w:type="dxa"/>
                  <w:tcBorders>
                    <w:top w:val="single" w:sz="4" w:space="0" w:color="auto"/>
                    <w:left w:val="nil"/>
                    <w:bottom w:val="nil"/>
                    <w:right w:val="single" w:sz="4" w:space="0" w:color="auto"/>
                  </w:tcBorders>
                </w:tcPr>
                <w:p w:rsidR="001977F2" w:rsidRPr="00613DB7" w:rsidRDefault="001977F2" w:rsidP="00613DB7">
                  <w:pPr>
                    <w:keepNext/>
                    <w:jc w:val="center"/>
                    <w:rPr>
                      <w:sz w:val="20"/>
                      <w:szCs w:val="20"/>
                      <w:lang w:val="en-GB"/>
                    </w:rPr>
                  </w:pPr>
                </w:p>
              </w:tc>
            </w:tr>
            <w:tr w:rsidR="001977F2" w:rsidRPr="00613DB7" w:rsidTr="00D97490">
              <w:trPr>
                <w:trHeight w:val="18"/>
              </w:trPr>
              <w:tc>
                <w:tcPr>
                  <w:tcW w:w="1227" w:type="dxa"/>
                  <w:tcBorders>
                    <w:top w:val="nil"/>
                    <w:left w:val="single" w:sz="4" w:space="0" w:color="auto"/>
                    <w:bottom w:val="single" w:sz="4" w:space="0" w:color="auto"/>
                    <w:right w:val="single" w:sz="4" w:space="0" w:color="auto"/>
                  </w:tcBorders>
                </w:tcPr>
                <w:p w:rsidR="001977F2" w:rsidRPr="00613DB7" w:rsidRDefault="001977F2" w:rsidP="00613DB7">
                  <w:pPr>
                    <w:keepNext/>
                    <w:rPr>
                      <w:sz w:val="20"/>
                      <w:szCs w:val="20"/>
                      <w:lang w:val="en-GB"/>
                    </w:rPr>
                  </w:pPr>
                  <w:r w:rsidRPr="00613DB7">
                    <w:rPr>
                      <w:sz w:val="20"/>
                      <w:szCs w:val="20"/>
                      <w:lang w:val="en-GB"/>
                    </w:rPr>
                    <w:t>Week 24</w:t>
                  </w:r>
                </w:p>
              </w:tc>
              <w:tc>
                <w:tcPr>
                  <w:tcW w:w="1278" w:type="dxa"/>
                  <w:tcBorders>
                    <w:top w:val="nil"/>
                    <w:left w:val="single" w:sz="4" w:space="0" w:color="auto"/>
                    <w:bottom w:val="single" w:sz="4" w:space="0" w:color="auto"/>
                    <w:right w:val="nil"/>
                  </w:tcBorders>
                </w:tcPr>
                <w:p w:rsidR="001977F2" w:rsidRPr="00613DB7" w:rsidRDefault="001977F2" w:rsidP="00613DB7">
                  <w:pPr>
                    <w:keepNext/>
                    <w:jc w:val="center"/>
                    <w:rPr>
                      <w:sz w:val="20"/>
                      <w:szCs w:val="20"/>
                      <w:lang w:val="en-GB"/>
                    </w:rPr>
                  </w:pPr>
                  <w:r w:rsidRPr="00613DB7">
                    <w:rPr>
                      <w:sz w:val="20"/>
                      <w:szCs w:val="20"/>
                      <w:lang w:val="en-GB"/>
                    </w:rPr>
                    <w:t>0%</w:t>
                  </w:r>
                </w:p>
              </w:tc>
              <w:tc>
                <w:tcPr>
                  <w:tcW w:w="1278" w:type="dxa"/>
                  <w:tcBorders>
                    <w:top w:val="nil"/>
                    <w:left w:val="nil"/>
                    <w:bottom w:val="single" w:sz="4" w:space="0" w:color="auto"/>
                    <w:right w:val="nil"/>
                  </w:tcBorders>
                </w:tcPr>
                <w:p w:rsidR="001977F2" w:rsidRPr="00613DB7" w:rsidRDefault="001977F2" w:rsidP="00613DB7">
                  <w:pPr>
                    <w:keepNext/>
                    <w:jc w:val="center"/>
                    <w:rPr>
                      <w:sz w:val="20"/>
                      <w:szCs w:val="20"/>
                      <w:lang w:val="en-GB"/>
                    </w:rPr>
                  </w:pPr>
                  <w:r w:rsidRPr="00613DB7">
                    <w:rPr>
                      <w:sz w:val="20"/>
                      <w:szCs w:val="20"/>
                      <w:lang w:val="en-GB"/>
                    </w:rPr>
                    <w:t>6%*</w:t>
                  </w:r>
                  <w:r w:rsidR="00C53592" w:rsidRPr="00613DB7">
                    <w:rPr>
                      <w:sz w:val="20"/>
                      <w:szCs w:val="20"/>
                      <w:lang w:val="en-GB"/>
                    </w:rPr>
                    <w:t>**</w:t>
                  </w:r>
                </w:p>
              </w:tc>
              <w:tc>
                <w:tcPr>
                  <w:tcW w:w="1278" w:type="dxa"/>
                  <w:tcBorders>
                    <w:top w:val="nil"/>
                    <w:left w:val="nil"/>
                    <w:bottom w:val="single" w:sz="4" w:space="0" w:color="auto"/>
                    <w:right w:val="single" w:sz="4" w:space="0" w:color="auto"/>
                  </w:tcBorders>
                </w:tcPr>
                <w:p w:rsidR="001977F2" w:rsidRPr="00613DB7" w:rsidRDefault="001977F2" w:rsidP="00613DB7">
                  <w:pPr>
                    <w:keepNext/>
                    <w:jc w:val="center"/>
                    <w:rPr>
                      <w:sz w:val="20"/>
                      <w:szCs w:val="20"/>
                      <w:lang w:val="en-GB"/>
                    </w:rPr>
                  </w:pPr>
                  <w:r w:rsidRPr="00613DB7">
                    <w:rPr>
                      <w:sz w:val="20"/>
                      <w:szCs w:val="20"/>
                      <w:lang w:val="en-GB"/>
                    </w:rPr>
                    <w:t>6%</w:t>
                  </w:r>
                </w:p>
                <w:p w:rsidR="001977F2" w:rsidRPr="00613DB7" w:rsidRDefault="001977F2" w:rsidP="00613DB7">
                  <w:pPr>
                    <w:keepNext/>
                    <w:jc w:val="center"/>
                    <w:rPr>
                      <w:sz w:val="20"/>
                      <w:szCs w:val="20"/>
                      <w:lang w:val="en-GB"/>
                    </w:rPr>
                  </w:pPr>
                  <w:r w:rsidRPr="00613DB7">
                    <w:rPr>
                      <w:sz w:val="20"/>
                      <w:szCs w:val="20"/>
                      <w:lang w:val="en-GB"/>
                    </w:rPr>
                    <w:t xml:space="preserve"> (1%, 10%)</w:t>
                  </w:r>
                </w:p>
              </w:tc>
              <w:tc>
                <w:tcPr>
                  <w:tcW w:w="1278" w:type="dxa"/>
                  <w:tcBorders>
                    <w:top w:val="nil"/>
                    <w:left w:val="single" w:sz="4" w:space="0" w:color="auto"/>
                    <w:bottom w:val="single" w:sz="4" w:space="0" w:color="auto"/>
                    <w:right w:val="nil"/>
                  </w:tcBorders>
                </w:tcPr>
                <w:p w:rsidR="001977F2" w:rsidRPr="00613DB7" w:rsidRDefault="00DE1DA9" w:rsidP="00613DB7">
                  <w:pPr>
                    <w:keepNext/>
                    <w:jc w:val="center"/>
                    <w:rPr>
                      <w:sz w:val="20"/>
                      <w:szCs w:val="20"/>
                      <w:lang w:val="en-GB"/>
                    </w:rPr>
                  </w:pPr>
                  <w:r w:rsidRPr="00613DB7">
                    <w:rPr>
                      <w:sz w:val="20"/>
                      <w:szCs w:val="20"/>
                      <w:lang w:val="en-GB"/>
                    </w:rPr>
                    <w:t>2%</w:t>
                  </w:r>
                </w:p>
              </w:tc>
              <w:tc>
                <w:tcPr>
                  <w:tcW w:w="1278" w:type="dxa"/>
                  <w:tcBorders>
                    <w:top w:val="nil"/>
                    <w:left w:val="nil"/>
                    <w:bottom w:val="single" w:sz="4" w:space="0" w:color="auto"/>
                    <w:right w:val="nil"/>
                  </w:tcBorders>
                </w:tcPr>
                <w:p w:rsidR="001977F2" w:rsidRPr="00613DB7" w:rsidRDefault="00DE1DA9" w:rsidP="00613DB7">
                  <w:pPr>
                    <w:keepNext/>
                    <w:jc w:val="center"/>
                    <w:rPr>
                      <w:sz w:val="20"/>
                      <w:szCs w:val="20"/>
                      <w:lang w:val="en-GB"/>
                    </w:rPr>
                  </w:pPr>
                  <w:r w:rsidRPr="00613DB7">
                    <w:rPr>
                      <w:sz w:val="20"/>
                      <w:szCs w:val="20"/>
                      <w:lang w:val="en-GB"/>
                    </w:rPr>
                    <w:t>0%</w:t>
                  </w:r>
                </w:p>
              </w:tc>
              <w:tc>
                <w:tcPr>
                  <w:tcW w:w="1278" w:type="dxa"/>
                  <w:tcBorders>
                    <w:top w:val="nil"/>
                    <w:left w:val="nil"/>
                    <w:bottom w:val="single" w:sz="4" w:space="0" w:color="auto"/>
                    <w:right w:val="single" w:sz="4" w:space="0" w:color="auto"/>
                  </w:tcBorders>
                </w:tcPr>
                <w:p w:rsidR="001977F2" w:rsidRPr="00613DB7" w:rsidRDefault="00AD08DC" w:rsidP="00613DB7">
                  <w:pPr>
                    <w:keepNext/>
                    <w:jc w:val="center"/>
                    <w:rPr>
                      <w:sz w:val="20"/>
                      <w:szCs w:val="20"/>
                      <w:lang w:val="en-GB"/>
                    </w:rPr>
                  </w:pPr>
                  <w:r w:rsidRPr="00613DB7">
                    <w:rPr>
                      <w:sz w:val="20"/>
                      <w:szCs w:val="20"/>
                      <w:lang w:val="en-GB"/>
                    </w:rPr>
                    <w:t>-2%</w:t>
                  </w:r>
                </w:p>
                <w:p w:rsidR="00AD08DC" w:rsidRPr="00613DB7" w:rsidRDefault="00AD08DC" w:rsidP="00613DB7">
                  <w:pPr>
                    <w:keepNext/>
                    <w:jc w:val="center"/>
                    <w:rPr>
                      <w:sz w:val="20"/>
                      <w:szCs w:val="20"/>
                      <w:lang w:val="en-GB"/>
                    </w:rPr>
                  </w:pPr>
                  <w:r w:rsidRPr="00613DB7">
                    <w:rPr>
                      <w:sz w:val="20"/>
                      <w:szCs w:val="20"/>
                      <w:lang w:val="en-GB"/>
                    </w:rPr>
                    <w:t>(-4%, 1%)</w:t>
                  </w:r>
                </w:p>
              </w:tc>
            </w:tr>
          </w:tbl>
          <w:p w:rsidR="00370250" w:rsidRPr="0052262B" w:rsidRDefault="00370250" w:rsidP="00980027">
            <w:pPr>
              <w:keepNext/>
              <w:autoSpaceDE w:val="0"/>
              <w:autoSpaceDN w:val="0"/>
              <w:adjustRightInd w:val="0"/>
              <w:spacing w:before="120"/>
              <w:rPr>
                <w:sz w:val="20"/>
                <w:szCs w:val="20"/>
                <w:lang w:val="en-GB"/>
              </w:rPr>
            </w:pPr>
            <w:r w:rsidRPr="0052262B">
              <w:rPr>
                <w:sz w:val="20"/>
                <w:szCs w:val="20"/>
                <w:vertAlign w:val="superscript"/>
                <w:lang w:val="en-GB"/>
              </w:rPr>
              <w:t xml:space="preserve">(a) </w:t>
            </w:r>
            <w:r w:rsidRPr="0052262B">
              <w:rPr>
                <w:sz w:val="20"/>
                <w:szCs w:val="20"/>
                <w:lang w:val="en-GB"/>
              </w:rPr>
              <w:t>CIMZIA administered every 4 weeks not preceded by a loading dose regimen</w:t>
            </w:r>
            <w:r w:rsidR="009C4302">
              <w:rPr>
                <w:sz w:val="20"/>
                <w:szCs w:val="20"/>
                <w:lang w:val="en-GB"/>
              </w:rPr>
              <w:t>.</w:t>
            </w:r>
          </w:p>
          <w:p w:rsidR="0056049A" w:rsidRPr="0052262B" w:rsidRDefault="00AE2DC0" w:rsidP="00183159">
            <w:pPr>
              <w:keepNext/>
              <w:autoSpaceDE w:val="0"/>
              <w:autoSpaceDN w:val="0"/>
              <w:adjustRightInd w:val="0"/>
              <w:rPr>
                <w:sz w:val="20"/>
                <w:szCs w:val="20"/>
                <w:lang w:val="en-GB"/>
              </w:rPr>
            </w:pPr>
            <w:r w:rsidRPr="0052262B">
              <w:rPr>
                <w:sz w:val="20"/>
                <w:szCs w:val="20"/>
                <w:vertAlign w:val="superscript"/>
                <w:lang w:val="en-GB"/>
              </w:rPr>
              <w:t>(b)</w:t>
            </w:r>
            <w:r w:rsidR="0056049A" w:rsidRPr="0052262B">
              <w:rPr>
                <w:sz w:val="20"/>
                <w:szCs w:val="20"/>
                <w:vertAlign w:val="superscript"/>
                <w:lang w:val="en-GB"/>
              </w:rPr>
              <w:t xml:space="preserve"> </w:t>
            </w:r>
            <w:r w:rsidR="0056049A" w:rsidRPr="0052262B">
              <w:rPr>
                <w:sz w:val="20"/>
                <w:szCs w:val="20"/>
                <w:lang w:val="en-GB"/>
              </w:rPr>
              <w:t>95% Confidence Intervals constructed using the large sample approximation to the Normal Distribution.</w:t>
            </w:r>
          </w:p>
          <w:p w:rsidR="00620F05" w:rsidRPr="0052262B" w:rsidRDefault="00620F05" w:rsidP="00183159">
            <w:pPr>
              <w:keepNext/>
              <w:autoSpaceDE w:val="0"/>
              <w:autoSpaceDN w:val="0"/>
              <w:adjustRightInd w:val="0"/>
              <w:rPr>
                <w:bCs/>
                <w:sz w:val="20"/>
                <w:szCs w:val="20"/>
                <w:lang w:val="en-GB"/>
              </w:rPr>
            </w:pPr>
            <w:proofErr w:type="gramStart"/>
            <w:r w:rsidRPr="0052262B">
              <w:rPr>
                <w:bCs/>
                <w:sz w:val="20"/>
                <w:szCs w:val="20"/>
                <w:lang w:val="en-GB"/>
              </w:rPr>
              <w:t>p-values</w:t>
            </w:r>
            <w:proofErr w:type="gramEnd"/>
            <w:r w:rsidRPr="0052262B">
              <w:rPr>
                <w:bCs/>
                <w:sz w:val="20"/>
                <w:szCs w:val="20"/>
                <w:lang w:val="en-GB"/>
              </w:rPr>
              <w:t xml:space="preserve"> are derived from the Cochran-Mantel-</w:t>
            </w:r>
            <w:proofErr w:type="spellStart"/>
            <w:r w:rsidRPr="0052262B">
              <w:rPr>
                <w:bCs/>
                <w:sz w:val="20"/>
                <w:szCs w:val="20"/>
                <w:lang w:val="en-GB"/>
              </w:rPr>
              <w:t>Haenszel</w:t>
            </w:r>
            <w:proofErr w:type="spellEnd"/>
            <w:r w:rsidRPr="0052262B">
              <w:rPr>
                <w:bCs/>
                <w:sz w:val="20"/>
                <w:szCs w:val="20"/>
                <w:lang w:val="en-GB"/>
              </w:rPr>
              <w:t xml:space="preserve"> test of treatment comparison stratified by country.  </w:t>
            </w:r>
          </w:p>
          <w:p w:rsidR="00370250" w:rsidRPr="0052262B" w:rsidRDefault="00370250" w:rsidP="00183159">
            <w:pPr>
              <w:keepNext/>
              <w:autoSpaceDE w:val="0"/>
              <w:autoSpaceDN w:val="0"/>
              <w:adjustRightInd w:val="0"/>
              <w:rPr>
                <w:sz w:val="20"/>
                <w:szCs w:val="20"/>
                <w:lang w:val="en-GB"/>
              </w:rPr>
            </w:pPr>
            <w:r w:rsidRPr="0052262B">
              <w:rPr>
                <w:sz w:val="20"/>
                <w:szCs w:val="20"/>
                <w:lang w:val="en-GB"/>
              </w:rPr>
              <w:t>CIMZIA vs. placebo:</w:t>
            </w:r>
            <w:r w:rsidR="00C53592" w:rsidRPr="0052262B">
              <w:rPr>
                <w:sz w:val="20"/>
                <w:szCs w:val="20"/>
                <w:lang w:val="en-GB"/>
              </w:rPr>
              <w:t xml:space="preserve"> *</w:t>
            </w:r>
            <w:r w:rsidRPr="0052262B">
              <w:rPr>
                <w:sz w:val="20"/>
                <w:szCs w:val="20"/>
                <w:lang w:val="en-GB"/>
              </w:rPr>
              <w:t>p&lt;0.001</w:t>
            </w:r>
            <w:r w:rsidR="00C53592" w:rsidRPr="0052262B">
              <w:rPr>
                <w:sz w:val="20"/>
                <w:szCs w:val="20"/>
                <w:lang w:val="en-GB"/>
              </w:rPr>
              <w:t>,</w:t>
            </w:r>
            <w:r w:rsidR="00DE1DA9" w:rsidRPr="0052262B">
              <w:rPr>
                <w:sz w:val="20"/>
                <w:szCs w:val="20"/>
                <w:lang w:val="en-GB"/>
              </w:rPr>
              <w:t xml:space="preserve"> **p≤0.01,</w:t>
            </w:r>
            <w:r w:rsidR="00C53592" w:rsidRPr="0052262B">
              <w:rPr>
                <w:sz w:val="20"/>
                <w:szCs w:val="20"/>
                <w:lang w:val="en-GB"/>
              </w:rPr>
              <w:t xml:space="preserve"> ***p≤0.05</w:t>
            </w:r>
          </w:p>
          <w:p w:rsidR="00A9045A" w:rsidRPr="0052262B" w:rsidRDefault="00A9045A" w:rsidP="00183159">
            <w:pPr>
              <w:pStyle w:val="Paragraph"/>
              <w:keepNext/>
              <w:rPr>
                <w:lang w:val="en-GB"/>
              </w:rPr>
            </w:pPr>
          </w:p>
          <w:p w:rsidR="00413B6B" w:rsidRDefault="001C1840" w:rsidP="00183159">
            <w:pPr>
              <w:pStyle w:val="Paragraph"/>
              <w:keepNext/>
              <w:rPr>
                <w:color w:val="FF0000"/>
                <w:lang w:val="en-GB"/>
              </w:rPr>
            </w:pPr>
            <w:r w:rsidRPr="0052262B">
              <w:rPr>
                <w:color w:val="FF0000"/>
                <w:lang w:val="en-GB"/>
              </w:rPr>
              <w:lastRenderedPageBreak/>
              <w:br w:type="page"/>
            </w:r>
          </w:p>
          <w:p w:rsidR="00413B6B" w:rsidRDefault="00413B6B" w:rsidP="00183159">
            <w:pPr>
              <w:pStyle w:val="Paragraph"/>
              <w:keepNext/>
              <w:rPr>
                <w:color w:val="FF0000"/>
                <w:lang w:val="en-GB"/>
              </w:rPr>
            </w:pPr>
          </w:p>
          <w:p w:rsidR="00413B6B" w:rsidRDefault="00413B6B" w:rsidP="00183159">
            <w:pPr>
              <w:pStyle w:val="Paragraph"/>
              <w:keepNext/>
              <w:rPr>
                <w:color w:val="FF0000"/>
                <w:lang w:val="en-GB"/>
              </w:rPr>
            </w:pPr>
          </w:p>
          <w:p w:rsidR="00413B6B" w:rsidRDefault="00413B6B" w:rsidP="00183159">
            <w:pPr>
              <w:pStyle w:val="Paragraph"/>
              <w:keepNext/>
              <w:rPr>
                <w:color w:val="FF0000"/>
                <w:lang w:val="en-GB"/>
              </w:rPr>
            </w:pPr>
          </w:p>
          <w:p w:rsidR="001C1840" w:rsidRPr="0052262B" w:rsidRDefault="001C1840" w:rsidP="00183159">
            <w:pPr>
              <w:pStyle w:val="Paragraph"/>
              <w:keepNext/>
              <w:rPr>
                <w:b/>
                <w:bCs/>
                <w:lang w:val="en-GB"/>
              </w:rPr>
            </w:pPr>
            <w:r w:rsidRPr="0052262B">
              <w:rPr>
                <w:b/>
                <w:bCs/>
                <w:lang w:val="en-GB"/>
              </w:rPr>
              <w:t xml:space="preserve">Table </w:t>
            </w:r>
            <w:r w:rsidR="00B93421" w:rsidRPr="0052262B">
              <w:rPr>
                <w:b/>
                <w:bCs/>
                <w:lang w:val="en-GB"/>
              </w:rPr>
              <w:t>3</w:t>
            </w:r>
            <w:r w:rsidRPr="0052262B">
              <w:rPr>
                <w:b/>
                <w:bCs/>
                <w:lang w:val="en-GB"/>
              </w:rPr>
              <w:t>:  Components of ACR Response in Studies RA-I and RA-III</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928"/>
              <w:gridCol w:w="929"/>
              <w:gridCol w:w="928"/>
              <w:gridCol w:w="929"/>
              <w:gridCol w:w="928"/>
              <w:gridCol w:w="929"/>
              <w:gridCol w:w="928"/>
              <w:gridCol w:w="929"/>
            </w:tblGrid>
            <w:tr w:rsidR="001C1840" w:rsidRPr="00613DB7" w:rsidTr="00D97490">
              <w:trPr>
                <w:trHeight w:val="34"/>
              </w:trPr>
              <w:tc>
                <w:tcPr>
                  <w:tcW w:w="1467" w:type="dxa"/>
                  <w:tcBorders>
                    <w:top w:val="single" w:sz="4" w:space="0" w:color="auto"/>
                    <w:left w:val="single" w:sz="4" w:space="0" w:color="auto"/>
                    <w:bottom w:val="nil"/>
                    <w:right w:val="single" w:sz="4" w:space="0" w:color="auto"/>
                  </w:tcBorders>
                </w:tcPr>
                <w:p w:rsidR="001C1840" w:rsidRPr="00613DB7" w:rsidRDefault="001C1840" w:rsidP="00613DB7">
                  <w:pPr>
                    <w:keepNext/>
                    <w:rPr>
                      <w:sz w:val="20"/>
                      <w:szCs w:val="20"/>
                      <w:lang w:val="en-GB"/>
                    </w:rPr>
                  </w:pPr>
                </w:p>
              </w:tc>
              <w:tc>
                <w:tcPr>
                  <w:tcW w:w="3714" w:type="dxa"/>
                  <w:gridSpan w:val="4"/>
                  <w:tcBorders>
                    <w:top w:val="single" w:sz="4" w:space="0" w:color="auto"/>
                    <w:left w:val="single" w:sz="4" w:space="0" w:color="auto"/>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 xml:space="preserve">Study RA-I </w:t>
                  </w:r>
                </w:p>
              </w:tc>
              <w:tc>
                <w:tcPr>
                  <w:tcW w:w="3714" w:type="dxa"/>
                  <w:gridSpan w:val="4"/>
                  <w:tcBorders>
                    <w:top w:val="single" w:sz="4" w:space="0" w:color="auto"/>
                    <w:left w:val="single" w:sz="4" w:space="0" w:color="auto"/>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Study RA-III</w:t>
                  </w:r>
                </w:p>
              </w:tc>
            </w:tr>
            <w:tr w:rsidR="001C1840" w:rsidRPr="00613DB7" w:rsidTr="00D97490">
              <w:trPr>
                <w:trHeight w:val="18"/>
              </w:trPr>
              <w:tc>
                <w:tcPr>
                  <w:tcW w:w="1467" w:type="dxa"/>
                  <w:tcBorders>
                    <w:top w:val="nil"/>
                    <w:left w:val="single" w:sz="4" w:space="0" w:color="auto"/>
                    <w:bottom w:val="single" w:sz="4" w:space="0" w:color="auto"/>
                    <w:right w:val="single" w:sz="4" w:space="0" w:color="auto"/>
                  </w:tcBorders>
                </w:tcPr>
                <w:p w:rsidR="001C1840" w:rsidRPr="00613DB7" w:rsidRDefault="001C1840" w:rsidP="00613DB7">
                  <w:pPr>
                    <w:pStyle w:val="BodyText"/>
                    <w:keepNext/>
                    <w:rPr>
                      <w:sz w:val="20"/>
                      <w:szCs w:val="20"/>
                      <w:lang w:val="en-GB"/>
                    </w:rPr>
                  </w:pPr>
                  <w:r w:rsidRPr="00613DB7">
                    <w:rPr>
                      <w:sz w:val="20"/>
                      <w:szCs w:val="20"/>
                      <w:lang w:val="en-GB"/>
                    </w:rPr>
                    <w:t>Parameter</w:t>
                  </w:r>
                  <w:r w:rsidRPr="00613DB7">
                    <w:rPr>
                      <w:sz w:val="20"/>
                      <w:szCs w:val="20"/>
                      <w:vertAlign w:val="superscript"/>
                      <w:lang w:val="en-GB"/>
                    </w:rPr>
                    <w:t>†</w:t>
                  </w:r>
                </w:p>
              </w:tc>
              <w:tc>
                <w:tcPr>
                  <w:tcW w:w="1857" w:type="dxa"/>
                  <w:gridSpan w:val="2"/>
                  <w:tcBorders>
                    <w:top w:val="single" w:sz="4" w:space="0" w:color="auto"/>
                    <w:left w:val="single" w:sz="4" w:space="0" w:color="auto"/>
                    <w:bottom w:val="single" w:sz="4" w:space="0" w:color="auto"/>
                    <w:right w:val="single" w:sz="4" w:space="0" w:color="auto"/>
                  </w:tcBorders>
                </w:tcPr>
                <w:p w:rsidR="001C1840" w:rsidRPr="00613DB7" w:rsidRDefault="001C1840" w:rsidP="00613DB7">
                  <w:pPr>
                    <w:pStyle w:val="BodyText"/>
                    <w:keepNext/>
                    <w:jc w:val="center"/>
                    <w:rPr>
                      <w:sz w:val="20"/>
                      <w:szCs w:val="20"/>
                      <w:lang w:val="en-GB"/>
                    </w:rPr>
                  </w:pPr>
                  <w:r w:rsidRPr="00613DB7">
                    <w:rPr>
                      <w:sz w:val="20"/>
                      <w:szCs w:val="20"/>
                      <w:lang w:val="en-GB"/>
                    </w:rPr>
                    <w:t>Placebo +</w:t>
                  </w:r>
                </w:p>
                <w:p w:rsidR="001C1840" w:rsidRPr="00613DB7" w:rsidRDefault="001C1840" w:rsidP="00613DB7">
                  <w:pPr>
                    <w:pStyle w:val="BodyText"/>
                    <w:keepNext/>
                    <w:jc w:val="center"/>
                    <w:rPr>
                      <w:sz w:val="20"/>
                      <w:szCs w:val="20"/>
                      <w:lang w:val="en-GB"/>
                    </w:rPr>
                  </w:pPr>
                  <w:r w:rsidRPr="00613DB7">
                    <w:rPr>
                      <w:sz w:val="20"/>
                      <w:szCs w:val="20"/>
                      <w:lang w:val="en-GB"/>
                    </w:rPr>
                    <w:t>MTX</w:t>
                  </w:r>
                </w:p>
                <w:p w:rsidR="001C1840" w:rsidRPr="00613DB7" w:rsidRDefault="001C1840" w:rsidP="00613DB7">
                  <w:pPr>
                    <w:pStyle w:val="BodyText"/>
                    <w:keepNext/>
                    <w:jc w:val="center"/>
                    <w:rPr>
                      <w:sz w:val="20"/>
                      <w:szCs w:val="20"/>
                      <w:lang w:val="en-GB"/>
                    </w:rPr>
                  </w:pPr>
                  <w:r w:rsidRPr="00613DB7">
                    <w:rPr>
                      <w:sz w:val="20"/>
                      <w:szCs w:val="20"/>
                      <w:lang w:val="en-GB"/>
                    </w:rPr>
                    <w:t>N=199</w:t>
                  </w:r>
                </w:p>
              </w:tc>
              <w:tc>
                <w:tcPr>
                  <w:tcW w:w="1857" w:type="dxa"/>
                  <w:gridSpan w:val="2"/>
                  <w:tcBorders>
                    <w:top w:val="single" w:sz="4" w:space="0" w:color="auto"/>
                    <w:left w:val="single" w:sz="4" w:space="0" w:color="auto"/>
                    <w:bottom w:val="single" w:sz="4" w:space="0" w:color="auto"/>
                    <w:right w:val="single" w:sz="4" w:space="0" w:color="auto"/>
                  </w:tcBorders>
                </w:tcPr>
                <w:p w:rsidR="001C1840" w:rsidRPr="004A44D9" w:rsidRDefault="001C1840" w:rsidP="00613DB7">
                  <w:pPr>
                    <w:pStyle w:val="BodyText"/>
                    <w:keepNext/>
                    <w:jc w:val="center"/>
                    <w:rPr>
                      <w:sz w:val="20"/>
                      <w:szCs w:val="20"/>
                      <w:lang w:val="pt-PT"/>
                    </w:rPr>
                  </w:pPr>
                  <w:r w:rsidRPr="004A44D9">
                    <w:rPr>
                      <w:sz w:val="20"/>
                      <w:szCs w:val="20"/>
                      <w:lang w:val="pt-PT"/>
                    </w:rPr>
                    <w:t>CIMZIA</w:t>
                  </w:r>
                  <w:r w:rsidRPr="004A44D9">
                    <w:rPr>
                      <w:sz w:val="20"/>
                      <w:szCs w:val="20"/>
                      <w:vertAlign w:val="superscript"/>
                      <w:lang w:val="pt-PT"/>
                    </w:rPr>
                    <w:t xml:space="preserve">(a) </w:t>
                  </w:r>
                  <w:r w:rsidRPr="004A44D9">
                    <w:rPr>
                      <w:sz w:val="20"/>
                      <w:szCs w:val="20"/>
                      <w:lang w:val="pt-PT"/>
                    </w:rPr>
                    <w:t>200 mg q2 weeks</w:t>
                  </w:r>
                  <w:r w:rsidR="005271EB" w:rsidRPr="004A44D9">
                    <w:rPr>
                      <w:sz w:val="20"/>
                      <w:szCs w:val="20"/>
                      <w:lang w:val="pt-PT"/>
                    </w:rPr>
                    <w:t xml:space="preserve"> </w:t>
                  </w:r>
                  <w:r w:rsidR="005271EB" w:rsidRPr="004A44D9">
                    <w:rPr>
                      <w:sz w:val="20"/>
                      <w:szCs w:val="20"/>
                      <w:lang w:val="pt-PT"/>
                    </w:rPr>
                    <w:br/>
                    <w:t>+ MTX</w:t>
                  </w:r>
                </w:p>
                <w:p w:rsidR="001C1840" w:rsidRPr="004A44D9" w:rsidRDefault="001C1840" w:rsidP="00613DB7">
                  <w:pPr>
                    <w:pStyle w:val="BodyText"/>
                    <w:keepNext/>
                    <w:jc w:val="center"/>
                    <w:rPr>
                      <w:sz w:val="20"/>
                      <w:szCs w:val="20"/>
                      <w:lang w:val="pt-PT"/>
                    </w:rPr>
                  </w:pPr>
                  <w:r w:rsidRPr="004A44D9">
                    <w:rPr>
                      <w:sz w:val="20"/>
                      <w:szCs w:val="20"/>
                      <w:lang w:val="pt-PT"/>
                    </w:rPr>
                    <w:t>N=393</w:t>
                  </w:r>
                </w:p>
              </w:tc>
              <w:tc>
                <w:tcPr>
                  <w:tcW w:w="1857" w:type="dxa"/>
                  <w:gridSpan w:val="2"/>
                  <w:tcBorders>
                    <w:top w:val="single" w:sz="4" w:space="0" w:color="auto"/>
                    <w:left w:val="single" w:sz="4" w:space="0" w:color="auto"/>
                    <w:bottom w:val="single" w:sz="4" w:space="0" w:color="auto"/>
                    <w:right w:val="single" w:sz="4" w:space="0" w:color="auto"/>
                  </w:tcBorders>
                </w:tcPr>
                <w:p w:rsidR="001C1840" w:rsidRPr="00613DB7" w:rsidRDefault="001C1840" w:rsidP="00613DB7">
                  <w:pPr>
                    <w:pStyle w:val="BodyText"/>
                    <w:keepNext/>
                    <w:jc w:val="center"/>
                    <w:rPr>
                      <w:sz w:val="20"/>
                      <w:szCs w:val="20"/>
                      <w:lang w:val="en-GB"/>
                    </w:rPr>
                  </w:pPr>
                  <w:r w:rsidRPr="00613DB7">
                    <w:rPr>
                      <w:sz w:val="20"/>
                      <w:szCs w:val="20"/>
                      <w:lang w:val="en-GB"/>
                    </w:rPr>
                    <w:t>Placebo</w:t>
                  </w:r>
                </w:p>
                <w:p w:rsidR="001C1840" w:rsidRPr="00613DB7" w:rsidRDefault="001C1840" w:rsidP="00613DB7">
                  <w:pPr>
                    <w:pStyle w:val="BodyText"/>
                    <w:keepNext/>
                    <w:jc w:val="center"/>
                    <w:rPr>
                      <w:sz w:val="20"/>
                      <w:szCs w:val="20"/>
                      <w:lang w:val="en-GB"/>
                    </w:rPr>
                  </w:pPr>
                  <w:r w:rsidRPr="00613DB7">
                    <w:rPr>
                      <w:sz w:val="20"/>
                      <w:szCs w:val="20"/>
                      <w:lang w:val="en-GB"/>
                    </w:rPr>
                    <w:t>N=109</w:t>
                  </w:r>
                </w:p>
              </w:tc>
              <w:tc>
                <w:tcPr>
                  <w:tcW w:w="1857" w:type="dxa"/>
                  <w:gridSpan w:val="2"/>
                  <w:tcBorders>
                    <w:top w:val="single" w:sz="4" w:space="0" w:color="auto"/>
                    <w:left w:val="single" w:sz="4" w:space="0" w:color="auto"/>
                    <w:bottom w:val="single" w:sz="4" w:space="0" w:color="auto"/>
                    <w:right w:val="single" w:sz="4" w:space="0" w:color="auto"/>
                  </w:tcBorders>
                </w:tcPr>
                <w:p w:rsidR="001C1840" w:rsidRPr="00613DB7" w:rsidRDefault="001C1840" w:rsidP="00613DB7">
                  <w:pPr>
                    <w:pStyle w:val="BodyText"/>
                    <w:keepNext/>
                    <w:jc w:val="center"/>
                    <w:rPr>
                      <w:sz w:val="20"/>
                      <w:szCs w:val="20"/>
                      <w:lang w:val="en-GB"/>
                    </w:rPr>
                  </w:pPr>
                  <w:r w:rsidRPr="00613DB7">
                    <w:rPr>
                      <w:sz w:val="20"/>
                      <w:szCs w:val="20"/>
                      <w:lang w:val="en-GB"/>
                    </w:rPr>
                    <w:t>CIMZIA</w:t>
                  </w:r>
                  <w:r w:rsidRPr="00613DB7">
                    <w:rPr>
                      <w:sz w:val="20"/>
                      <w:szCs w:val="20"/>
                      <w:vertAlign w:val="superscript"/>
                      <w:lang w:val="en-GB"/>
                    </w:rPr>
                    <w:t xml:space="preserve">(b) </w:t>
                  </w:r>
                  <w:r w:rsidRPr="00613DB7">
                    <w:rPr>
                      <w:sz w:val="20"/>
                      <w:szCs w:val="20"/>
                      <w:lang w:val="en-GB"/>
                    </w:rPr>
                    <w:t>400 mg  q4 weeks</w:t>
                  </w:r>
                </w:p>
                <w:p w:rsidR="001C1840" w:rsidRPr="00613DB7" w:rsidRDefault="001C1840" w:rsidP="00613DB7">
                  <w:pPr>
                    <w:pStyle w:val="BodyText"/>
                    <w:keepNext/>
                    <w:jc w:val="center"/>
                    <w:rPr>
                      <w:sz w:val="20"/>
                      <w:szCs w:val="20"/>
                      <w:lang w:val="en-GB"/>
                    </w:rPr>
                  </w:pPr>
                  <w:r w:rsidRPr="00613DB7">
                    <w:rPr>
                      <w:sz w:val="20"/>
                      <w:szCs w:val="20"/>
                      <w:lang w:val="en-GB"/>
                    </w:rPr>
                    <w:t>Monotherapy</w:t>
                  </w:r>
                </w:p>
                <w:p w:rsidR="001C1840" w:rsidRPr="00613DB7" w:rsidRDefault="001C1840" w:rsidP="00613DB7">
                  <w:pPr>
                    <w:pStyle w:val="BodyText"/>
                    <w:keepNext/>
                    <w:jc w:val="center"/>
                    <w:rPr>
                      <w:sz w:val="20"/>
                      <w:szCs w:val="20"/>
                      <w:lang w:val="en-GB"/>
                    </w:rPr>
                  </w:pPr>
                  <w:r w:rsidRPr="00613DB7">
                    <w:rPr>
                      <w:sz w:val="20"/>
                      <w:szCs w:val="20"/>
                      <w:lang w:val="en-GB"/>
                    </w:rPr>
                    <w:t>N=111</w:t>
                  </w:r>
                </w:p>
              </w:tc>
            </w:tr>
            <w:tr w:rsidR="001C1840" w:rsidRPr="00613DB7" w:rsidTr="00D97490">
              <w:trPr>
                <w:trHeight w:val="18"/>
              </w:trPr>
              <w:tc>
                <w:tcPr>
                  <w:tcW w:w="1467" w:type="dxa"/>
                  <w:tcBorders>
                    <w:top w:val="single" w:sz="4" w:space="0" w:color="auto"/>
                    <w:left w:val="single" w:sz="4" w:space="0" w:color="auto"/>
                    <w:bottom w:val="single" w:sz="4" w:space="0" w:color="auto"/>
                    <w:right w:val="single" w:sz="4" w:space="0" w:color="auto"/>
                  </w:tcBorders>
                </w:tcPr>
                <w:p w:rsidR="001C1840" w:rsidRPr="00613DB7" w:rsidRDefault="001C1840" w:rsidP="00613DB7">
                  <w:pPr>
                    <w:keepNext/>
                    <w:rPr>
                      <w:sz w:val="20"/>
                      <w:szCs w:val="20"/>
                      <w:lang w:val="en-GB"/>
                    </w:rPr>
                  </w:pPr>
                </w:p>
              </w:tc>
              <w:tc>
                <w:tcPr>
                  <w:tcW w:w="928" w:type="dxa"/>
                  <w:tcBorders>
                    <w:top w:val="single" w:sz="4" w:space="0" w:color="auto"/>
                    <w:left w:val="single" w:sz="4" w:space="0" w:color="auto"/>
                    <w:bottom w:val="single" w:sz="4" w:space="0" w:color="auto"/>
                    <w:right w:val="nil"/>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Baseline</w:t>
                  </w:r>
                </w:p>
              </w:tc>
              <w:tc>
                <w:tcPr>
                  <w:tcW w:w="928" w:type="dxa"/>
                  <w:tcBorders>
                    <w:top w:val="single" w:sz="4" w:space="0" w:color="auto"/>
                    <w:left w:val="nil"/>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Week 24</w:t>
                  </w:r>
                </w:p>
              </w:tc>
              <w:tc>
                <w:tcPr>
                  <w:tcW w:w="928" w:type="dxa"/>
                  <w:tcBorders>
                    <w:top w:val="single" w:sz="4" w:space="0" w:color="auto"/>
                    <w:left w:val="single" w:sz="4" w:space="0" w:color="auto"/>
                    <w:bottom w:val="single" w:sz="4" w:space="0" w:color="auto"/>
                    <w:right w:val="nil"/>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Baseline</w:t>
                  </w:r>
                </w:p>
              </w:tc>
              <w:tc>
                <w:tcPr>
                  <w:tcW w:w="928" w:type="dxa"/>
                  <w:tcBorders>
                    <w:top w:val="single" w:sz="4" w:space="0" w:color="auto"/>
                    <w:left w:val="nil"/>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Week 24</w:t>
                  </w:r>
                </w:p>
              </w:tc>
              <w:tc>
                <w:tcPr>
                  <w:tcW w:w="928" w:type="dxa"/>
                  <w:tcBorders>
                    <w:top w:val="single" w:sz="4" w:space="0" w:color="auto"/>
                    <w:left w:val="single" w:sz="4" w:space="0" w:color="auto"/>
                    <w:bottom w:val="single" w:sz="4" w:space="0" w:color="auto"/>
                    <w:right w:val="nil"/>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Baseline</w:t>
                  </w:r>
                </w:p>
              </w:tc>
              <w:tc>
                <w:tcPr>
                  <w:tcW w:w="928" w:type="dxa"/>
                  <w:tcBorders>
                    <w:top w:val="single" w:sz="4" w:space="0" w:color="auto"/>
                    <w:left w:val="nil"/>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Week 24</w:t>
                  </w:r>
                </w:p>
              </w:tc>
              <w:tc>
                <w:tcPr>
                  <w:tcW w:w="928" w:type="dxa"/>
                  <w:tcBorders>
                    <w:top w:val="single" w:sz="4" w:space="0" w:color="auto"/>
                    <w:left w:val="single" w:sz="4" w:space="0" w:color="auto"/>
                    <w:bottom w:val="single" w:sz="4" w:space="0" w:color="auto"/>
                    <w:right w:val="nil"/>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Baseline</w:t>
                  </w:r>
                </w:p>
              </w:tc>
              <w:tc>
                <w:tcPr>
                  <w:tcW w:w="928" w:type="dxa"/>
                  <w:tcBorders>
                    <w:top w:val="single" w:sz="4" w:space="0" w:color="auto"/>
                    <w:left w:val="nil"/>
                    <w:bottom w:val="single" w:sz="4" w:space="0" w:color="auto"/>
                    <w:right w:val="single" w:sz="4" w:space="0" w:color="auto"/>
                  </w:tcBorders>
                </w:tcPr>
                <w:p w:rsidR="001C1840" w:rsidRPr="00613DB7" w:rsidRDefault="001C1840" w:rsidP="00613DB7">
                  <w:pPr>
                    <w:pStyle w:val="BodyText"/>
                    <w:keepNext/>
                    <w:jc w:val="center"/>
                    <w:rPr>
                      <w:b/>
                      <w:bCs/>
                      <w:sz w:val="20"/>
                      <w:szCs w:val="20"/>
                      <w:lang w:val="en-GB"/>
                    </w:rPr>
                  </w:pPr>
                  <w:r w:rsidRPr="00613DB7">
                    <w:rPr>
                      <w:b/>
                      <w:bCs/>
                      <w:sz w:val="20"/>
                      <w:szCs w:val="20"/>
                      <w:lang w:val="en-GB"/>
                    </w:rPr>
                    <w:t>Week 24</w:t>
                  </w:r>
                </w:p>
              </w:tc>
            </w:tr>
            <w:tr w:rsidR="001C1840" w:rsidRPr="00613DB7" w:rsidTr="00D97490">
              <w:trPr>
                <w:trHeight w:val="89"/>
              </w:trPr>
              <w:tc>
                <w:tcPr>
                  <w:tcW w:w="1467" w:type="dxa"/>
                  <w:tcBorders>
                    <w:top w:val="single" w:sz="4" w:space="0" w:color="auto"/>
                    <w:left w:val="single" w:sz="4" w:space="0" w:color="auto"/>
                    <w:bottom w:val="nil"/>
                    <w:right w:val="single" w:sz="4" w:space="0" w:color="auto"/>
                  </w:tcBorders>
                </w:tcPr>
                <w:p w:rsidR="001C1840" w:rsidRPr="00613DB7" w:rsidRDefault="001C1840" w:rsidP="00613DB7">
                  <w:pPr>
                    <w:pStyle w:val="BodyText"/>
                    <w:keepNext/>
                    <w:rPr>
                      <w:b/>
                      <w:bCs/>
                      <w:sz w:val="20"/>
                      <w:szCs w:val="20"/>
                      <w:lang w:val="en-GB"/>
                    </w:rPr>
                  </w:pPr>
                  <w:r w:rsidRPr="00613DB7">
                    <w:rPr>
                      <w:b/>
                      <w:bCs/>
                      <w:sz w:val="20"/>
                      <w:szCs w:val="20"/>
                      <w:lang w:val="en-GB"/>
                    </w:rPr>
                    <w:t>Number of tender joints</w:t>
                  </w:r>
                  <w:r w:rsidRPr="00613DB7">
                    <w:rPr>
                      <w:b/>
                      <w:bCs/>
                      <w:sz w:val="20"/>
                      <w:szCs w:val="20"/>
                      <w:lang w:val="en-GB"/>
                    </w:rPr>
                    <w:br/>
                    <w:t>(0-68)</w:t>
                  </w:r>
                </w:p>
              </w:tc>
              <w:tc>
                <w:tcPr>
                  <w:tcW w:w="928" w:type="dxa"/>
                  <w:tcBorders>
                    <w:top w:val="single" w:sz="4" w:space="0" w:color="auto"/>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28</w:t>
                  </w:r>
                </w:p>
              </w:tc>
              <w:tc>
                <w:tcPr>
                  <w:tcW w:w="928" w:type="dxa"/>
                  <w:tcBorders>
                    <w:top w:val="single" w:sz="4" w:space="0" w:color="auto"/>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27</w:t>
                  </w:r>
                </w:p>
              </w:tc>
              <w:tc>
                <w:tcPr>
                  <w:tcW w:w="928" w:type="dxa"/>
                  <w:tcBorders>
                    <w:top w:val="single" w:sz="4" w:space="0" w:color="auto"/>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29</w:t>
                  </w:r>
                </w:p>
              </w:tc>
              <w:tc>
                <w:tcPr>
                  <w:tcW w:w="928" w:type="dxa"/>
                  <w:tcBorders>
                    <w:top w:val="single" w:sz="4" w:space="0" w:color="auto"/>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9*</w:t>
                  </w:r>
                </w:p>
              </w:tc>
              <w:tc>
                <w:tcPr>
                  <w:tcW w:w="928" w:type="dxa"/>
                  <w:tcBorders>
                    <w:top w:val="single" w:sz="4" w:space="0" w:color="auto"/>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28 </w:t>
                  </w:r>
                </w:p>
                <w:p w:rsidR="001C1840" w:rsidRPr="00613DB7" w:rsidRDefault="001C1840" w:rsidP="00613DB7">
                  <w:pPr>
                    <w:pStyle w:val="TN10"/>
                    <w:keepNext/>
                    <w:jc w:val="center"/>
                    <w:rPr>
                      <w:lang w:val="en-GB"/>
                    </w:rPr>
                  </w:pPr>
                  <w:r w:rsidRPr="00613DB7">
                    <w:rPr>
                      <w:lang w:val="en-GB"/>
                    </w:rPr>
                    <w:t>(12.5)</w:t>
                  </w:r>
                </w:p>
              </w:tc>
              <w:tc>
                <w:tcPr>
                  <w:tcW w:w="928" w:type="dxa"/>
                  <w:tcBorders>
                    <w:top w:val="single" w:sz="4" w:space="0" w:color="auto"/>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24 (15.4)</w:t>
                  </w:r>
                </w:p>
              </w:tc>
              <w:tc>
                <w:tcPr>
                  <w:tcW w:w="928" w:type="dxa"/>
                  <w:tcBorders>
                    <w:top w:val="single" w:sz="4" w:space="0" w:color="auto"/>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30 </w:t>
                  </w:r>
                </w:p>
                <w:p w:rsidR="001C1840" w:rsidRPr="00613DB7" w:rsidRDefault="001C1840" w:rsidP="00613DB7">
                  <w:pPr>
                    <w:pStyle w:val="TN10"/>
                    <w:keepNext/>
                    <w:jc w:val="center"/>
                    <w:rPr>
                      <w:lang w:val="en-GB"/>
                    </w:rPr>
                  </w:pPr>
                  <w:r w:rsidRPr="00613DB7">
                    <w:rPr>
                      <w:lang w:val="en-GB"/>
                    </w:rPr>
                    <w:t>(13.7)</w:t>
                  </w:r>
                </w:p>
              </w:tc>
              <w:tc>
                <w:tcPr>
                  <w:tcW w:w="928" w:type="dxa"/>
                  <w:tcBorders>
                    <w:top w:val="single" w:sz="4" w:space="0" w:color="auto"/>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16* (15.8)</w:t>
                  </w:r>
                </w:p>
              </w:tc>
            </w:tr>
            <w:tr w:rsidR="001C1840" w:rsidRPr="00613DB7" w:rsidTr="00D97490">
              <w:trPr>
                <w:trHeight w:val="77"/>
              </w:trPr>
              <w:tc>
                <w:tcPr>
                  <w:tcW w:w="1467" w:type="dxa"/>
                  <w:tcBorders>
                    <w:top w:val="nil"/>
                    <w:left w:val="single" w:sz="4" w:space="0" w:color="auto"/>
                    <w:bottom w:val="nil"/>
                    <w:right w:val="single" w:sz="4" w:space="0" w:color="auto"/>
                  </w:tcBorders>
                </w:tcPr>
                <w:p w:rsidR="001C1840" w:rsidRPr="00613DB7" w:rsidRDefault="001C1840" w:rsidP="00613DB7">
                  <w:pPr>
                    <w:pStyle w:val="BodyText"/>
                    <w:keepNext/>
                    <w:rPr>
                      <w:b/>
                      <w:bCs/>
                      <w:sz w:val="20"/>
                      <w:szCs w:val="20"/>
                      <w:lang w:val="en-GB"/>
                    </w:rPr>
                  </w:pPr>
                  <w:r w:rsidRPr="00613DB7">
                    <w:rPr>
                      <w:b/>
                      <w:bCs/>
                      <w:sz w:val="20"/>
                      <w:szCs w:val="20"/>
                      <w:lang w:val="en-GB"/>
                    </w:rPr>
                    <w:t xml:space="preserve">Number of swollen joints </w:t>
                  </w:r>
                  <w:r w:rsidRPr="00613DB7">
                    <w:rPr>
                      <w:b/>
                      <w:bCs/>
                      <w:sz w:val="20"/>
                      <w:szCs w:val="20"/>
                      <w:lang w:val="en-GB"/>
                    </w:rPr>
                    <w:br/>
                    <w:t>(0-66)</w:t>
                  </w:r>
                </w:p>
              </w:tc>
              <w:tc>
                <w:tcPr>
                  <w:tcW w:w="928"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20</w:t>
                  </w:r>
                </w:p>
              </w:tc>
              <w:tc>
                <w:tcPr>
                  <w:tcW w:w="928"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19</w:t>
                  </w:r>
                </w:p>
              </w:tc>
              <w:tc>
                <w:tcPr>
                  <w:tcW w:w="928"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20</w:t>
                  </w:r>
                </w:p>
              </w:tc>
              <w:tc>
                <w:tcPr>
                  <w:tcW w:w="928"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4*</w:t>
                  </w:r>
                </w:p>
              </w:tc>
              <w:tc>
                <w:tcPr>
                  <w:tcW w:w="928"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20 </w:t>
                  </w:r>
                </w:p>
                <w:p w:rsidR="001C1840" w:rsidRPr="00613DB7" w:rsidRDefault="001C1840" w:rsidP="00613DB7">
                  <w:pPr>
                    <w:pStyle w:val="TN10"/>
                    <w:keepNext/>
                    <w:jc w:val="center"/>
                    <w:rPr>
                      <w:lang w:val="en-GB"/>
                    </w:rPr>
                  </w:pPr>
                  <w:r w:rsidRPr="00613DB7">
                    <w:rPr>
                      <w:lang w:val="en-GB"/>
                    </w:rPr>
                    <w:t>(9.3)</w:t>
                  </w:r>
                </w:p>
              </w:tc>
              <w:tc>
                <w:tcPr>
                  <w:tcW w:w="928"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16 (12.5)</w:t>
                  </w:r>
                </w:p>
              </w:tc>
              <w:tc>
                <w:tcPr>
                  <w:tcW w:w="928"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21 </w:t>
                  </w:r>
                </w:p>
                <w:p w:rsidR="001C1840" w:rsidRPr="00613DB7" w:rsidRDefault="001C1840" w:rsidP="00613DB7">
                  <w:pPr>
                    <w:pStyle w:val="TN10"/>
                    <w:keepNext/>
                    <w:jc w:val="center"/>
                    <w:rPr>
                      <w:lang w:val="en-GB"/>
                    </w:rPr>
                  </w:pPr>
                  <w:r w:rsidRPr="00613DB7">
                    <w:rPr>
                      <w:lang w:val="en-GB"/>
                    </w:rPr>
                    <w:t>(10.1)</w:t>
                  </w:r>
                </w:p>
              </w:tc>
              <w:tc>
                <w:tcPr>
                  <w:tcW w:w="928"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12* (11.2)</w:t>
                  </w:r>
                </w:p>
              </w:tc>
            </w:tr>
            <w:tr w:rsidR="001C1840" w:rsidRPr="00613DB7" w:rsidTr="00D97490">
              <w:trPr>
                <w:trHeight w:val="55"/>
              </w:trPr>
              <w:tc>
                <w:tcPr>
                  <w:tcW w:w="1467" w:type="dxa"/>
                  <w:tcBorders>
                    <w:top w:val="nil"/>
                    <w:left w:val="single" w:sz="4" w:space="0" w:color="auto"/>
                    <w:bottom w:val="nil"/>
                    <w:right w:val="single" w:sz="4" w:space="0" w:color="auto"/>
                  </w:tcBorders>
                </w:tcPr>
                <w:p w:rsidR="001C1840" w:rsidRPr="00613DB7" w:rsidRDefault="001C1840" w:rsidP="00613DB7">
                  <w:pPr>
                    <w:pStyle w:val="TableNote"/>
                    <w:keepNext/>
                    <w:rPr>
                      <w:b/>
                      <w:sz w:val="20"/>
                      <w:lang w:val="en-GB"/>
                    </w:rPr>
                  </w:pPr>
                  <w:r w:rsidRPr="00613DB7">
                    <w:rPr>
                      <w:b/>
                      <w:sz w:val="20"/>
                      <w:lang w:val="en-GB"/>
                    </w:rPr>
                    <w:t>Physician global assessment</w:t>
                  </w:r>
                  <w:r w:rsidRPr="00613DB7">
                    <w:rPr>
                      <w:b/>
                      <w:sz w:val="20"/>
                      <w:lang w:val="en-GB"/>
                    </w:rPr>
                    <w:br/>
                  </w:r>
                  <w:r w:rsidRPr="00613DB7">
                    <w:rPr>
                      <w:b/>
                      <w:sz w:val="20"/>
                      <w:vertAlign w:val="superscript"/>
                      <w:lang w:val="en-GB"/>
                    </w:rPr>
                    <w:t xml:space="preserve">(c) </w:t>
                  </w:r>
                  <w:r w:rsidRPr="00613DB7">
                    <w:rPr>
                      <w:b/>
                      <w:sz w:val="20"/>
                      <w:lang w:val="en-GB"/>
                    </w:rPr>
                    <w:t xml:space="preserve"> </w:t>
                  </w:r>
                </w:p>
              </w:tc>
              <w:tc>
                <w:tcPr>
                  <w:tcW w:w="928"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66</w:t>
                  </w:r>
                </w:p>
              </w:tc>
              <w:tc>
                <w:tcPr>
                  <w:tcW w:w="928"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56</w:t>
                  </w:r>
                </w:p>
              </w:tc>
              <w:tc>
                <w:tcPr>
                  <w:tcW w:w="928"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65</w:t>
                  </w:r>
                </w:p>
              </w:tc>
              <w:tc>
                <w:tcPr>
                  <w:tcW w:w="928"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25*</w:t>
                  </w:r>
                </w:p>
              </w:tc>
              <w:tc>
                <w:tcPr>
                  <w:tcW w:w="928"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4 </w:t>
                  </w:r>
                </w:p>
                <w:p w:rsidR="001C1840" w:rsidRPr="00613DB7" w:rsidRDefault="001C1840" w:rsidP="00613DB7">
                  <w:pPr>
                    <w:pStyle w:val="TN10"/>
                    <w:keepNext/>
                    <w:jc w:val="center"/>
                    <w:rPr>
                      <w:lang w:val="en-GB"/>
                    </w:rPr>
                  </w:pPr>
                  <w:r w:rsidRPr="00613DB7">
                    <w:rPr>
                      <w:lang w:val="en-GB"/>
                    </w:rPr>
                    <w:t>(0.6)</w:t>
                  </w:r>
                </w:p>
              </w:tc>
              <w:tc>
                <w:tcPr>
                  <w:tcW w:w="928" w:type="dxa"/>
                  <w:tcBorders>
                    <w:top w:val="nil"/>
                    <w:left w:val="nil"/>
                    <w:bottom w:val="nil"/>
                    <w:right w:val="single" w:sz="4" w:space="0" w:color="auto"/>
                  </w:tcBorders>
                </w:tcPr>
                <w:p w:rsidR="00A9045A" w:rsidRPr="00613DB7" w:rsidRDefault="001C1840" w:rsidP="00613DB7">
                  <w:pPr>
                    <w:pStyle w:val="TN10"/>
                    <w:keepNext/>
                    <w:jc w:val="center"/>
                    <w:rPr>
                      <w:lang w:val="en-GB"/>
                    </w:rPr>
                  </w:pPr>
                  <w:r w:rsidRPr="00613DB7">
                    <w:rPr>
                      <w:lang w:val="en-GB"/>
                    </w:rPr>
                    <w:t xml:space="preserve">3 </w:t>
                  </w:r>
                </w:p>
                <w:p w:rsidR="001C1840" w:rsidRPr="00613DB7" w:rsidRDefault="001C1840" w:rsidP="00613DB7">
                  <w:pPr>
                    <w:pStyle w:val="TN10"/>
                    <w:keepNext/>
                    <w:jc w:val="center"/>
                    <w:rPr>
                      <w:lang w:val="en-GB"/>
                    </w:rPr>
                  </w:pPr>
                  <w:r w:rsidRPr="00613DB7">
                    <w:rPr>
                      <w:lang w:val="en-GB"/>
                    </w:rPr>
                    <w:t>(1.0)</w:t>
                  </w:r>
                </w:p>
              </w:tc>
              <w:tc>
                <w:tcPr>
                  <w:tcW w:w="928"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4 </w:t>
                  </w:r>
                </w:p>
                <w:p w:rsidR="001C1840" w:rsidRPr="00613DB7" w:rsidRDefault="001C1840" w:rsidP="00613DB7">
                  <w:pPr>
                    <w:pStyle w:val="TN10"/>
                    <w:keepNext/>
                    <w:jc w:val="center"/>
                    <w:rPr>
                      <w:lang w:val="en-GB"/>
                    </w:rPr>
                  </w:pPr>
                  <w:r w:rsidRPr="00613DB7">
                    <w:rPr>
                      <w:lang w:val="en-GB"/>
                    </w:rPr>
                    <w:t>(0.7)</w:t>
                  </w:r>
                </w:p>
              </w:tc>
              <w:tc>
                <w:tcPr>
                  <w:tcW w:w="928" w:type="dxa"/>
                  <w:tcBorders>
                    <w:top w:val="nil"/>
                    <w:left w:val="nil"/>
                    <w:bottom w:val="nil"/>
                    <w:right w:val="single" w:sz="4" w:space="0" w:color="auto"/>
                  </w:tcBorders>
                </w:tcPr>
                <w:p w:rsidR="00A9045A" w:rsidRPr="00613DB7" w:rsidRDefault="001C1840" w:rsidP="00613DB7">
                  <w:pPr>
                    <w:pStyle w:val="TN10"/>
                    <w:keepNext/>
                    <w:jc w:val="center"/>
                    <w:rPr>
                      <w:lang w:val="en-GB"/>
                    </w:rPr>
                  </w:pPr>
                  <w:r w:rsidRPr="00613DB7">
                    <w:rPr>
                      <w:lang w:val="en-GB"/>
                    </w:rPr>
                    <w:t xml:space="preserve">3* </w:t>
                  </w:r>
                </w:p>
                <w:p w:rsidR="001C1840" w:rsidRPr="00613DB7" w:rsidRDefault="001C1840" w:rsidP="00613DB7">
                  <w:pPr>
                    <w:pStyle w:val="TN10"/>
                    <w:keepNext/>
                    <w:jc w:val="center"/>
                    <w:rPr>
                      <w:lang w:val="en-GB"/>
                    </w:rPr>
                  </w:pPr>
                  <w:r w:rsidRPr="00613DB7">
                    <w:rPr>
                      <w:lang w:val="en-GB"/>
                    </w:rPr>
                    <w:t>(1.1)</w:t>
                  </w:r>
                </w:p>
              </w:tc>
            </w:tr>
            <w:tr w:rsidR="001C1840" w:rsidRPr="00613DB7" w:rsidTr="00D97490">
              <w:trPr>
                <w:trHeight w:val="63"/>
              </w:trPr>
              <w:tc>
                <w:tcPr>
                  <w:tcW w:w="1467" w:type="dxa"/>
                  <w:tcBorders>
                    <w:top w:val="nil"/>
                    <w:left w:val="single" w:sz="4" w:space="0" w:color="auto"/>
                    <w:bottom w:val="nil"/>
                    <w:right w:val="single" w:sz="4" w:space="0" w:color="auto"/>
                  </w:tcBorders>
                </w:tcPr>
                <w:p w:rsidR="001C1840" w:rsidRPr="00613DB7" w:rsidRDefault="001C1840" w:rsidP="00613DB7">
                  <w:pPr>
                    <w:pStyle w:val="BodyText"/>
                    <w:keepNext/>
                    <w:rPr>
                      <w:b/>
                      <w:bCs/>
                      <w:sz w:val="20"/>
                      <w:szCs w:val="20"/>
                      <w:lang w:val="en-GB"/>
                    </w:rPr>
                  </w:pPr>
                  <w:r w:rsidRPr="00613DB7">
                    <w:rPr>
                      <w:b/>
                      <w:bCs/>
                      <w:sz w:val="20"/>
                      <w:szCs w:val="20"/>
                      <w:lang w:val="en-GB"/>
                    </w:rPr>
                    <w:t>Patient global assessment</w:t>
                  </w:r>
                  <w:r w:rsidRPr="00613DB7">
                    <w:rPr>
                      <w:b/>
                      <w:bCs/>
                      <w:sz w:val="20"/>
                      <w:szCs w:val="20"/>
                      <w:lang w:val="en-GB"/>
                    </w:rPr>
                    <w:br/>
                  </w:r>
                  <w:r w:rsidRPr="00613DB7">
                    <w:rPr>
                      <w:b/>
                      <w:bCs/>
                      <w:sz w:val="20"/>
                      <w:szCs w:val="20"/>
                      <w:vertAlign w:val="superscript"/>
                      <w:lang w:val="en-GB"/>
                    </w:rPr>
                    <w:t xml:space="preserve">(c) </w:t>
                  </w:r>
                  <w:r w:rsidRPr="00613DB7">
                    <w:rPr>
                      <w:b/>
                      <w:bCs/>
                      <w:sz w:val="20"/>
                      <w:szCs w:val="20"/>
                      <w:lang w:val="en-GB"/>
                    </w:rPr>
                    <w:t xml:space="preserve"> </w:t>
                  </w:r>
                </w:p>
              </w:tc>
              <w:tc>
                <w:tcPr>
                  <w:tcW w:w="928"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67</w:t>
                  </w:r>
                </w:p>
              </w:tc>
              <w:tc>
                <w:tcPr>
                  <w:tcW w:w="928"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60</w:t>
                  </w:r>
                </w:p>
              </w:tc>
              <w:tc>
                <w:tcPr>
                  <w:tcW w:w="928" w:type="dxa"/>
                  <w:tcBorders>
                    <w:top w:val="nil"/>
                    <w:left w:val="single" w:sz="4" w:space="0" w:color="auto"/>
                    <w:bottom w:val="nil"/>
                    <w:right w:val="nil"/>
                  </w:tcBorders>
                </w:tcPr>
                <w:p w:rsidR="001C1840" w:rsidRPr="00613DB7" w:rsidRDefault="001C1840" w:rsidP="00613DB7">
                  <w:pPr>
                    <w:pStyle w:val="BodyText"/>
                    <w:keepNext/>
                    <w:jc w:val="center"/>
                    <w:rPr>
                      <w:bCs/>
                      <w:sz w:val="20"/>
                      <w:szCs w:val="20"/>
                      <w:lang w:val="en-GB"/>
                    </w:rPr>
                  </w:pPr>
                  <w:r w:rsidRPr="00613DB7">
                    <w:rPr>
                      <w:bCs/>
                      <w:sz w:val="20"/>
                      <w:szCs w:val="20"/>
                      <w:lang w:val="en-GB"/>
                    </w:rPr>
                    <w:t>64</w:t>
                  </w:r>
                </w:p>
              </w:tc>
              <w:tc>
                <w:tcPr>
                  <w:tcW w:w="928" w:type="dxa"/>
                  <w:tcBorders>
                    <w:top w:val="nil"/>
                    <w:left w:val="nil"/>
                    <w:bottom w:val="nil"/>
                    <w:right w:val="single" w:sz="4" w:space="0" w:color="auto"/>
                  </w:tcBorders>
                </w:tcPr>
                <w:p w:rsidR="001C1840" w:rsidRPr="00613DB7" w:rsidRDefault="001C1840" w:rsidP="00613DB7">
                  <w:pPr>
                    <w:pStyle w:val="BodyText"/>
                    <w:keepNext/>
                    <w:jc w:val="center"/>
                    <w:rPr>
                      <w:bCs/>
                      <w:sz w:val="20"/>
                      <w:szCs w:val="20"/>
                      <w:lang w:val="en-GB"/>
                    </w:rPr>
                  </w:pPr>
                  <w:r w:rsidRPr="00613DB7">
                    <w:rPr>
                      <w:bCs/>
                      <w:sz w:val="20"/>
                      <w:szCs w:val="20"/>
                      <w:lang w:val="en-GB"/>
                    </w:rPr>
                    <w:t>32*</w:t>
                  </w:r>
                </w:p>
              </w:tc>
              <w:tc>
                <w:tcPr>
                  <w:tcW w:w="928"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3 </w:t>
                  </w:r>
                </w:p>
                <w:p w:rsidR="001C1840" w:rsidRPr="00613DB7" w:rsidRDefault="001C1840" w:rsidP="00613DB7">
                  <w:pPr>
                    <w:pStyle w:val="TN10"/>
                    <w:keepNext/>
                    <w:jc w:val="center"/>
                    <w:rPr>
                      <w:lang w:val="en-GB"/>
                    </w:rPr>
                  </w:pPr>
                  <w:r w:rsidRPr="00613DB7">
                    <w:rPr>
                      <w:lang w:val="en-GB"/>
                    </w:rPr>
                    <w:t>(0.8)</w:t>
                  </w:r>
                </w:p>
              </w:tc>
              <w:tc>
                <w:tcPr>
                  <w:tcW w:w="928" w:type="dxa"/>
                  <w:tcBorders>
                    <w:top w:val="nil"/>
                    <w:left w:val="nil"/>
                    <w:bottom w:val="nil"/>
                    <w:right w:val="single" w:sz="4" w:space="0" w:color="auto"/>
                  </w:tcBorders>
                </w:tcPr>
                <w:p w:rsidR="00A9045A" w:rsidRPr="00613DB7" w:rsidRDefault="001C1840" w:rsidP="00613DB7">
                  <w:pPr>
                    <w:pStyle w:val="TN10"/>
                    <w:keepNext/>
                    <w:jc w:val="center"/>
                    <w:rPr>
                      <w:lang w:val="en-GB"/>
                    </w:rPr>
                  </w:pPr>
                  <w:r w:rsidRPr="00613DB7">
                    <w:rPr>
                      <w:lang w:val="en-GB"/>
                    </w:rPr>
                    <w:t>3</w:t>
                  </w:r>
                </w:p>
                <w:p w:rsidR="001C1840" w:rsidRPr="00613DB7" w:rsidRDefault="001C1840" w:rsidP="00613DB7">
                  <w:pPr>
                    <w:pStyle w:val="TN10"/>
                    <w:keepNext/>
                    <w:jc w:val="center"/>
                    <w:rPr>
                      <w:lang w:val="en-GB"/>
                    </w:rPr>
                  </w:pPr>
                  <w:r w:rsidRPr="00613DB7">
                    <w:rPr>
                      <w:lang w:val="en-GB"/>
                    </w:rPr>
                    <w:t>(1.0)</w:t>
                  </w:r>
                </w:p>
              </w:tc>
              <w:tc>
                <w:tcPr>
                  <w:tcW w:w="928"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3</w:t>
                  </w:r>
                </w:p>
                <w:p w:rsidR="001C1840" w:rsidRPr="00613DB7" w:rsidRDefault="001C1840" w:rsidP="00613DB7">
                  <w:pPr>
                    <w:pStyle w:val="TN10"/>
                    <w:keepNext/>
                    <w:jc w:val="center"/>
                    <w:rPr>
                      <w:lang w:val="en-GB"/>
                    </w:rPr>
                  </w:pPr>
                  <w:r w:rsidRPr="00613DB7">
                    <w:rPr>
                      <w:lang w:val="en-GB"/>
                    </w:rPr>
                    <w:t xml:space="preserve"> (0.8)</w:t>
                  </w:r>
                </w:p>
              </w:tc>
              <w:tc>
                <w:tcPr>
                  <w:tcW w:w="928" w:type="dxa"/>
                  <w:tcBorders>
                    <w:top w:val="nil"/>
                    <w:left w:val="nil"/>
                    <w:bottom w:val="nil"/>
                    <w:right w:val="single" w:sz="4" w:space="0" w:color="auto"/>
                  </w:tcBorders>
                </w:tcPr>
                <w:p w:rsidR="00A9045A" w:rsidRPr="00613DB7" w:rsidRDefault="001C1840" w:rsidP="00613DB7">
                  <w:pPr>
                    <w:pStyle w:val="TN10"/>
                    <w:keepNext/>
                    <w:jc w:val="center"/>
                    <w:rPr>
                      <w:lang w:val="en-GB"/>
                    </w:rPr>
                  </w:pPr>
                  <w:r w:rsidRPr="00613DB7">
                    <w:rPr>
                      <w:lang w:val="en-GB"/>
                    </w:rPr>
                    <w:t xml:space="preserve">3* </w:t>
                  </w:r>
                </w:p>
                <w:p w:rsidR="001C1840" w:rsidRPr="00613DB7" w:rsidRDefault="001C1840" w:rsidP="00613DB7">
                  <w:pPr>
                    <w:pStyle w:val="TN10"/>
                    <w:keepNext/>
                    <w:jc w:val="center"/>
                    <w:rPr>
                      <w:lang w:val="en-GB"/>
                    </w:rPr>
                  </w:pPr>
                  <w:r w:rsidRPr="00613DB7">
                    <w:rPr>
                      <w:lang w:val="en-GB"/>
                    </w:rPr>
                    <w:t>(1.0)</w:t>
                  </w:r>
                </w:p>
              </w:tc>
            </w:tr>
            <w:tr w:rsidR="001C1840" w:rsidRPr="00613DB7" w:rsidTr="00D97490">
              <w:trPr>
                <w:trHeight w:val="44"/>
              </w:trPr>
              <w:tc>
                <w:tcPr>
                  <w:tcW w:w="1467" w:type="dxa"/>
                  <w:tcBorders>
                    <w:top w:val="nil"/>
                    <w:left w:val="single" w:sz="4" w:space="0" w:color="auto"/>
                    <w:bottom w:val="nil"/>
                    <w:right w:val="single" w:sz="4" w:space="0" w:color="auto"/>
                  </w:tcBorders>
                </w:tcPr>
                <w:p w:rsidR="001C1840" w:rsidRPr="00613DB7" w:rsidRDefault="001C1840" w:rsidP="00613DB7">
                  <w:pPr>
                    <w:pStyle w:val="BodyText"/>
                    <w:keepNext/>
                    <w:rPr>
                      <w:b/>
                      <w:bCs/>
                      <w:sz w:val="20"/>
                      <w:szCs w:val="20"/>
                      <w:lang w:val="en-GB"/>
                    </w:rPr>
                  </w:pPr>
                  <w:r w:rsidRPr="00613DB7">
                    <w:rPr>
                      <w:b/>
                      <w:bCs/>
                      <w:sz w:val="20"/>
                      <w:szCs w:val="20"/>
                      <w:lang w:val="en-GB"/>
                    </w:rPr>
                    <w:t>Pain</w:t>
                  </w:r>
                  <w:r w:rsidRPr="00613DB7">
                    <w:rPr>
                      <w:b/>
                      <w:bCs/>
                      <w:sz w:val="20"/>
                      <w:szCs w:val="20"/>
                      <w:vertAlign w:val="superscript"/>
                      <w:lang w:val="en-GB"/>
                    </w:rPr>
                    <w:t xml:space="preserve">(c)(d) </w:t>
                  </w:r>
                  <w:r w:rsidRPr="00613DB7">
                    <w:rPr>
                      <w:b/>
                      <w:bCs/>
                      <w:sz w:val="20"/>
                      <w:szCs w:val="20"/>
                      <w:lang w:val="en-GB"/>
                    </w:rPr>
                    <w:t xml:space="preserve"> </w:t>
                  </w:r>
                </w:p>
              </w:tc>
              <w:tc>
                <w:tcPr>
                  <w:tcW w:w="928" w:type="dxa"/>
                  <w:tcBorders>
                    <w:top w:val="nil"/>
                    <w:left w:val="single" w:sz="4" w:space="0" w:color="auto"/>
                    <w:bottom w:val="nil"/>
                    <w:right w:val="nil"/>
                  </w:tcBorders>
                </w:tcPr>
                <w:p w:rsidR="001C1840" w:rsidRPr="00613DB7" w:rsidRDefault="001C1840" w:rsidP="00613DB7">
                  <w:pPr>
                    <w:pStyle w:val="Header"/>
                    <w:keepNext/>
                    <w:jc w:val="center"/>
                    <w:rPr>
                      <w:lang w:val="en-GB"/>
                    </w:rPr>
                  </w:pPr>
                  <w:r w:rsidRPr="00613DB7">
                    <w:rPr>
                      <w:lang w:val="en-GB"/>
                    </w:rPr>
                    <w:t>65</w:t>
                  </w:r>
                </w:p>
              </w:tc>
              <w:tc>
                <w:tcPr>
                  <w:tcW w:w="928" w:type="dxa"/>
                  <w:tcBorders>
                    <w:top w:val="nil"/>
                    <w:left w:val="nil"/>
                    <w:bottom w:val="nil"/>
                    <w:right w:val="single" w:sz="4" w:space="0" w:color="auto"/>
                  </w:tcBorders>
                </w:tcPr>
                <w:p w:rsidR="001C1840" w:rsidRPr="00613DB7" w:rsidRDefault="001C1840" w:rsidP="00613DB7">
                  <w:pPr>
                    <w:pStyle w:val="Header"/>
                    <w:keepNext/>
                    <w:jc w:val="center"/>
                    <w:rPr>
                      <w:lang w:val="en-GB"/>
                    </w:rPr>
                  </w:pPr>
                  <w:r w:rsidRPr="00613DB7">
                    <w:rPr>
                      <w:lang w:val="en-GB"/>
                    </w:rPr>
                    <w:t>60</w:t>
                  </w:r>
                </w:p>
              </w:tc>
              <w:tc>
                <w:tcPr>
                  <w:tcW w:w="928" w:type="dxa"/>
                  <w:tcBorders>
                    <w:top w:val="nil"/>
                    <w:left w:val="single" w:sz="4" w:space="0" w:color="auto"/>
                    <w:bottom w:val="nil"/>
                    <w:right w:val="nil"/>
                  </w:tcBorders>
                </w:tcPr>
                <w:p w:rsidR="001C1840" w:rsidRPr="00613DB7" w:rsidRDefault="001C1840" w:rsidP="00613DB7">
                  <w:pPr>
                    <w:pStyle w:val="Header"/>
                    <w:keepNext/>
                    <w:jc w:val="center"/>
                    <w:rPr>
                      <w:lang w:val="en-GB"/>
                    </w:rPr>
                  </w:pPr>
                  <w:r w:rsidRPr="00613DB7">
                    <w:rPr>
                      <w:lang w:val="en-GB"/>
                    </w:rPr>
                    <w:t>65</w:t>
                  </w:r>
                </w:p>
              </w:tc>
              <w:tc>
                <w:tcPr>
                  <w:tcW w:w="928" w:type="dxa"/>
                  <w:tcBorders>
                    <w:top w:val="nil"/>
                    <w:left w:val="nil"/>
                    <w:bottom w:val="nil"/>
                    <w:right w:val="single" w:sz="4" w:space="0" w:color="auto"/>
                  </w:tcBorders>
                </w:tcPr>
                <w:p w:rsidR="001C1840" w:rsidRPr="00613DB7" w:rsidRDefault="001C1840" w:rsidP="00613DB7">
                  <w:pPr>
                    <w:pStyle w:val="Header"/>
                    <w:keepNext/>
                    <w:jc w:val="center"/>
                    <w:rPr>
                      <w:lang w:val="en-GB"/>
                    </w:rPr>
                  </w:pPr>
                  <w:r w:rsidRPr="00613DB7">
                    <w:rPr>
                      <w:lang w:val="en-GB"/>
                    </w:rPr>
                    <w:t>32*</w:t>
                  </w:r>
                </w:p>
              </w:tc>
              <w:tc>
                <w:tcPr>
                  <w:tcW w:w="928"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55</w:t>
                  </w:r>
                </w:p>
                <w:p w:rsidR="001C1840" w:rsidRPr="00613DB7" w:rsidRDefault="001C1840" w:rsidP="00613DB7">
                  <w:pPr>
                    <w:pStyle w:val="TN10"/>
                    <w:keepNext/>
                    <w:jc w:val="center"/>
                    <w:rPr>
                      <w:lang w:val="en-GB"/>
                    </w:rPr>
                  </w:pPr>
                  <w:r w:rsidRPr="00613DB7">
                    <w:rPr>
                      <w:lang w:val="en-GB"/>
                    </w:rPr>
                    <w:t xml:space="preserve"> (20.8)</w:t>
                  </w:r>
                </w:p>
              </w:tc>
              <w:tc>
                <w:tcPr>
                  <w:tcW w:w="928"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60 (26.7)</w:t>
                  </w:r>
                </w:p>
              </w:tc>
              <w:tc>
                <w:tcPr>
                  <w:tcW w:w="928"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 xml:space="preserve">58 </w:t>
                  </w:r>
                </w:p>
                <w:p w:rsidR="001C1840" w:rsidRPr="00613DB7" w:rsidRDefault="001C1840" w:rsidP="00613DB7">
                  <w:pPr>
                    <w:pStyle w:val="TN10"/>
                    <w:keepNext/>
                    <w:jc w:val="center"/>
                    <w:rPr>
                      <w:lang w:val="en-GB"/>
                    </w:rPr>
                  </w:pPr>
                  <w:r w:rsidRPr="00613DB7">
                    <w:rPr>
                      <w:lang w:val="en-GB"/>
                    </w:rPr>
                    <w:t>(21.9)</w:t>
                  </w:r>
                </w:p>
              </w:tc>
              <w:tc>
                <w:tcPr>
                  <w:tcW w:w="928"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39* (29.6)</w:t>
                  </w:r>
                </w:p>
              </w:tc>
            </w:tr>
            <w:tr w:rsidR="001C1840" w:rsidRPr="00613DB7" w:rsidTr="00D97490">
              <w:trPr>
                <w:trHeight w:val="74"/>
              </w:trPr>
              <w:tc>
                <w:tcPr>
                  <w:tcW w:w="1467" w:type="dxa"/>
                  <w:tcBorders>
                    <w:top w:val="nil"/>
                    <w:left w:val="single" w:sz="4" w:space="0" w:color="auto"/>
                    <w:bottom w:val="nil"/>
                    <w:right w:val="single" w:sz="4" w:space="0" w:color="auto"/>
                  </w:tcBorders>
                </w:tcPr>
                <w:p w:rsidR="001C1840" w:rsidRPr="00613DB7" w:rsidRDefault="001C1840" w:rsidP="00613DB7">
                  <w:pPr>
                    <w:pStyle w:val="TableNote"/>
                    <w:keepNext/>
                    <w:rPr>
                      <w:b/>
                      <w:sz w:val="20"/>
                      <w:lang w:val="en-GB"/>
                    </w:rPr>
                  </w:pPr>
                  <w:r w:rsidRPr="00613DB7">
                    <w:rPr>
                      <w:b/>
                      <w:sz w:val="20"/>
                      <w:lang w:val="en-GB"/>
                    </w:rPr>
                    <w:t>Disability index (HAQ)</w:t>
                  </w:r>
                  <w:r w:rsidRPr="00613DB7">
                    <w:rPr>
                      <w:b/>
                      <w:sz w:val="20"/>
                      <w:vertAlign w:val="superscript"/>
                      <w:lang w:val="en-GB"/>
                    </w:rPr>
                    <w:t xml:space="preserve">(e) </w:t>
                  </w:r>
                  <w:r w:rsidRPr="00613DB7">
                    <w:rPr>
                      <w:b/>
                      <w:sz w:val="20"/>
                      <w:lang w:val="en-GB"/>
                    </w:rPr>
                    <w:t xml:space="preserve">  </w:t>
                  </w:r>
                </w:p>
              </w:tc>
              <w:tc>
                <w:tcPr>
                  <w:tcW w:w="928" w:type="dxa"/>
                  <w:tcBorders>
                    <w:top w:val="nil"/>
                    <w:left w:val="single" w:sz="4" w:space="0" w:color="auto"/>
                    <w:bottom w:val="nil"/>
                    <w:right w:val="nil"/>
                  </w:tcBorders>
                </w:tcPr>
                <w:p w:rsidR="001C1840" w:rsidRPr="00613DB7" w:rsidRDefault="001C1840" w:rsidP="00613DB7">
                  <w:pPr>
                    <w:pStyle w:val="Header"/>
                    <w:keepNext/>
                    <w:jc w:val="center"/>
                    <w:rPr>
                      <w:lang w:val="en-GB"/>
                    </w:rPr>
                  </w:pPr>
                  <w:r w:rsidRPr="00613DB7">
                    <w:rPr>
                      <w:lang w:val="en-GB"/>
                    </w:rPr>
                    <w:t>1.75</w:t>
                  </w:r>
                </w:p>
              </w:tc>
              <w:tc>
                <w:tcPr>
                  <w:tcW w:w="928" w:type="dxa"/>
                  <w:tcBorders>
                    <w:top w:val="nil"/>
                    <w:left w:val="nil"/>
                    <w:bottom w:val="nil"/>
                    <w:right w:val="single" w:sz="4" w:space="0" w:color="auto"/>
                  </w:tcBorders>
                </w:tcPr>
                <w:p w:rsidR="001C1840" w:rsidRPr="00613DB7" w:rsidRDefault="001C1840" w:rsidP="00613DB7">
                  <w:pPr>
                    <w:pStyle w:val="Header"/>
                    <w:keepNext/>
                    <w:jc w:val="center"/>
                    <w:rPr>
                      <w:lang w:val="en-GB"/>
                    </w:rPr>
                  </w:pPr>
                  <w:r w:rsidRPr="00613DB7">
                    <w:rPr>
                      <w:lang w:val="en-GB"/>
                    </w:rPr>
                    <w:t>1.63</w:t>
                  </w:r>
                </w:p>
              </w:tc>
              <w:tc>
                <w:tcPr>
                  <w:tcW w:w="928" w:type="dxa"/>
                  <w:tcBorders>
                    <w:top w:val="nil"/>
                    <w:left w:val="single" w:sz="4" w:space="0" w:color="auto"/>
                    <w:bottom w:val="nil"/>
                    <w:right w:val="nil"/>
                  </w:tcBorders>
                </w:tcPr>
                <w:p w:rsidR="001C1840" w:rsidRPr="00613DB7" w:rsidRDefault="001C1840" w:rsidP="00613DB7">
                  <w:pPr>
                    <w:pStyle w:val="Header"/>
                    <w:keepNext/>
                    <w:jc w:val="center"/>
                    <w:rPr>
                      <w:lang w:val="en-GB"/>
                    </w:rPr>
                  </w:pPr>
                  <w:r w:rsidRPr="00613DB7">
                    <w:rPr>
                      <w:lang w:val="en-GB"/>
                    </w:rPr>
                    <w:t>1.75</w:t>
                  </w:r>
                </w:p>
              </w:tc>
              <w:tc>
                <w:tcPr>
                  <w:tcW w:w="928" w:type="dxa"/>
                  <w:tcBorders>
                    <w:top w:val="nil"/>
                    <w:left w:val="nil"/>
                    <w:bottom w:val="nil"/>
                    <w:right w:val="single" w:sz="4" w:space="0" w:color="auto"/>
                  </w:tcBorders>
                </w:tcPr>
                <w:p w:rsidR="001C1840" w:rsidRPr="00613DB7" w:rsidRDefault="001C1840" w:rsidP="00613DB7">
                  <w:pPr>
                    <w:pStyle w:val="Header"/>
                    <w:keepNext/>
                    <w:jc w:val="center"/>
                    <w:rPr>
                      <w:lang w:val="en-GB"/>
                    </w:rPr>
                  </w:pPr>
                  <w:r w:rsidRPr="00613DB7">
                    <w:rPr>
                      <w:lang w:val="en-GB"/>
                    </w:rPr>
                    <w:t>1.00*</w:t>
                  </w:r>
                </w:p>
              </w:tc>
              <w:tc>
                <w:tcPr>
                  <w:tcW w:w="928"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1.55 (0.65)</w:t>
                  </w:r>
                </w:p>
              </w:tc>
              <w:tc>
                <w:tcPr>
                  <w:tcW w:w="928"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1.62 (0.68)</w:t>
                  </w:r>
                </w:p>
              </w:tc>
              <w:tc>
                <w:tcPr>
                  <w:tcW w:w="928" w:type="dxa"/>
                  <w:tcBorders>
                    <w:top w:val="nil"/>
                    <w:left w:val="single" w:sz="4" w:space="0" w:color="auto"/>
                    <w:bottom w:val="nil"/>
                    <w:right w:val="nil"/>
                  </w:tcBorders>
                </w:tcPr>
                <w:p w:rsidR="001C1840" w:rsidRPr="00613DB7" w:rsidRDefault="001C1840" w:rsidP="00613DB7">
                  <w:pPr>
                    <w:pStyle w:val="TN10"/>
                    <w:keepNext/>
                    <w:jc w:val="center"/>
                    <w:rPr>
                      <w:lang w:val="en-GB"/>
                    </w:rPr>
                  </w:pPr>
                  <w:r w:rsidRPr="00613DB7">
                    <w:rPr>
                      <w:lang w:val="en-GB"/>
                    </w:rPr>
                    <w:t>1.43 (0.63)</w:t>
                  </w:r>
                </w:p>
              </w:tc>
              <w:tc>
                <w:tcPr>
                  <w:tcW w:w="928" w:type="dxa"/>
                  <w:tcBorders>
                    <w:top w:val="nil"/>
                    <w:left w:val="nil"/>
                    <w:bottom w:val="nil"/>
                    <w:right w:val="single" w:sz="4" w:space="0" w:color="auto"/>
                  </w:tcBorders>
                </w:tcPr>
                <w:p w:rsidR="001C1840" w:rsidRPr="00613DB7" w:rsidRDefault="001C1840" w:rsidP="00613DB7">
                  <w:pPr>
                    <w:pStyle w:val="TN10"/>
                    <w:keepNext/>
                    <w:jc w:val="center"/>
                    <w:rPr>
                      <w:lang w:val="en-GB"/>
                    </w:rPr>
                  </w:pPr>
                  <w:r w:rsidRPr="00613DB7">
                    <w:rPr>
                      <w:lang w:val="en-GB"/>
                    </w:rPr>
                    <w:t>1.04* (0.74)</w:t>
                  </w:r>
                </w:p>
              </w:tc>
            </w:tr>
            <w:tr w:rsidR="001C1840" w:rsidRPr="00613DB7" w:rsidTr="00D97490">
              <w:trPr>
                <w:trHeight w:val="18"/>
              </w:trPr>
              <w:tc>
                <w:tcPr>
                  <w:tcW w:w="1467" w:type="dxa"/>
                  <w:tcBorders>
                    <w:top w:val="nil"/>
                    <w:left w:val="single" w:sz="4" w:space="0" w:color="auto"/>
                    <w:bottom w:val="single" w:sz="4" w:space="0" w:color="auto"/>
                    <w:right w:val="single" w:sz="4" w:space="0" w:color="auto"/>
                  </w:tcBorders>
                </w:tcPr>
                <w:p w:rsidR="001C1840" w:rsidRPr="00613DB7" w:rsidRDefault="001C1840" w:rsidP="00613DB7">
                  <w:pPr>
                    <w:pStyle w:val="BodyText"/>
                    <w:keepNext/>
                    <w:rPr>
                      <w:b/>
                      <w:bCs/>
                      <w:sz w:val="20"/>
                      <w:szCs w:val="20"/>
                      <w:lang w:val="en-GB"/>
                    </w:rPr>
                  </w:pPr>
                  <w:r w:rsidRPr="00613DB7">
                    <w:rPr>
                      <w:b/>
                      <w:bCs/>
                      <w:sz w:val="20"/>
                      <w:szCs w:val="20"/>
                      <w:lang w:val="en-GB"/>
                    </w:rPr>
                    <w:t>CRP (mg/L)</w:t>
                  </w:r>
                </w:p>
              </w:tc>
              <w:tc>
                <w:tcPr>
                  <w:tcW w:w="928" w:type="dxa"/>
                  <w:tcBorders>
                    <w:top w:val="nil"/>
                    <w:left w:val="single" w:sz="4" w:space="0" w:color="auto"/>
                    <w:bottom w:val="single" w:sz="4" w:space="0" w:color="auto"/>
                    <w:right w:val="nil"/>
                  </w:tcBorders>
                </w:tcPr>
                <w:p w:rsidR="001C1840" w:rsidRPr="00613DB7" w:rsidRDefault="001C1840" w:rsidP="00613DB7">
                  <w:pPr>
                    <w:pStyle w:val="Header"/>
                    <w:keepNext/>
                    <w:jc w:val="center"/>
                    <w:rPr>
                      <w:lang w:val="en-GB"/>
                    </w:rPr>
                  </w:pPr>
                  <w:r w:rsidRPr="00613DB7">
                    <w:rPr>
                      <w:lang w:val="en-GB"/>
                    </w:rPr>
                    <w:t>16.0</w:t>
                  </w:r>
                </w:p>
              </w:tc>
              <w:tc>
                <w:tcPr>
                  <w:tcW w:w="928" w:type="dxa"/>
                  <w:tcBorders>
                    <w:top w:val="nil"/>
                    <w:left w:val="nil"/>
                    <w:bottom w:val="single" w:sz="4" w:space="0" w:color="auto"/>
                    <w:right w:val="single" w:sz="4" w:space="0" w:color="auto"/>
                  </w:tcBorders>
                </w:tcPr>
                <w:p w:rsidR="001C1840" w:rsidRPr="00613DB7" w:rsidRDefault="001C1840" w:rsidP="00613DB7">
                  <w:pPr>
                    <w:pStyle w:val="Header"/>
                    <w:keepNext/>
                    <w:jc w:val="center"/>
                    <w:rPr>
                      <w:lang w:val="en-GB"/>
                    </w:rPr>
                  </w:pPr>
                  <w:r w:rsidRPr="00613DB7">
                    <w:rPr>
                      <w:lang w:val="en-GB"/>
                    </w:rPr>
                    <w:t>14.0</w:t>
                  </w:r>
                </w:p>
              </w:tc>
              <w:tc>
                <w:tcPr>
                  <w:tcW w:w="928" w:type="dxa"/>
                  <w:tcBorders>
                    <w:top w:val="nil"/>
                    <w:left w:val="single" w:sz="4" w:space="0" w:color="auto"/>
                    <w:bottom w:val="single" w:sz="4" w:space="0" w:color="auto"/>
                    <w:right w:val="nil"/>
                  </w:tcBorders>
                </w:tcPr>
                <w:p w:rsidR="001C1840" w:rsidRPr="00613DB7" w:rsidRDefault="001C1840" w:rsidP="00613DB7">
                  <w:pPr>
                    <w:pStyle w:val="Header"/>
                    <w:keepNext/>
                    <w:jc w:val="center"/>
                    <w:rPr>
                      <w:lang w:val="en-GB"/>
                    </w:rPr>
                  </w:pPr>
                  <w:r w:rsidRPr="00613DB7">
                    <w:rPr>
                      <w:lang w:val="en-GB"/>
                    </w:rPr>
                    <w:t>16.0</w:t>
                  </w:r>
                </w:p>
              </w:tc>
              <w:tc>
                <w:tcPr>
                  <w:tcW w:w="928" w:type="dxa"/>
                  <w:tcBorders>
                    <w:top w:val="nil"/>
                    <w:left w:val="nil"/>
                    <w:bottom w:val="single" w:sz="4" w:space="0" w:color="auto"/>
                    <w:right w:val="single" w:sz="4" w:space="0" w:color="auto"/>
                  </w:tcBorders>
                </w:tcPr>
                <w:p w:rsidR="001C1840" w:rsidRPr="00613DB7" w:rsidRDefault="001C1840" w:rsidP="00613DB7">
                  <w:pPr>
                    <w:pStyle w:val="Header"/>
                    <w:keepNext/>
                    <w:jc w:val="center"/>
                    <w:rPr>
                      <w:lang w:val="en-GB"/>
                    </w:rPr>
                  </w:pPr>
                  <w:r w:rsidRPr="00613DB7">
                    <w:rPr>
                      <w:lang w:val="en-GB"/>
                    </w:rPr>
                    <w:t>4.0*</w:t>
                  </w:r>
                </w:p>
              </w:tc>
              <w:tc>
                <w:tcPr>
                  <w:tcW w:w="928" w:type="dxa"/>
                  <w:tcBorders>
                    <w:top w:val="nil"/>
                    <w:left w:val="single" w:sz="4" w:space="0" w:color="auto"/>
                    <w:bottom w:val="single" w:sz="4" w:space="0" w:color="auto"/>
                    <w:right w:val="nil"/>
                  </w:tcBorders>
                </w:tcPr>
                <w:p w:rsidR="001C1840" w:rsidRPr="00613DB7" w:rsidRDefault="001C1840" w:rsidP="00613DB7">
                  <w:pPr>
                    <w:pStyle w:val="TN10"/>
                    <w:keepNext/>
                    <w:jc w:val="center"/>
                    <w:rPr>
                      <w:lang w:val="en-GB"/>
                    </w:rPr>
                  </w:pPr>
                  <w:r w:rsidRPr="00613DB7">
                    <w:rPr>
                      <w:lang w:val="en-GB"/>
                    </w:rPr>
                    <w:t>11.3</w:t>
                  </w:r>
                </w:p>
              </w:tc>
              <w:tc>
                <w:tcPr>
                  <w:tcW w:w="928" w:type="dxa"/>
                  <w:tcBorders>
                    <w:top w:val="nil"/>
                    <w:left w:val="nil"/>
                    <w:bottom w:val="single" w:sz="4" w:space="0" w:color="auto"/>
                    <w:right w:val="single" w:sz="4" w:space="0" w:color="auto"/>
                  </w:tcBorders>
                </w:tcPr>
                <w:p w:rsidR="001C1840" w:rsidRPr="00613DB7" w:rsidRDefault="001C1840" w:rsidP="00613DB7">
                  <w:pPr>
                    <w:pStyle w:val="TN10"/>
                    <w:keepNext/>
                    <w:jc w:val="center"/>
                    <w:rPr>
                      <w:lang w:val="en-GB"/>
                    </w:rPr>
                  </w:pPr>
                  <w:r w:rsidRPr="00613DB7">
                    <w:rPr>
                      <w:lang w:val="en-GB"/>
                    </w:rPr>
                    <w:t>13.5</w:t>
                  </w:r>
                </w:p>
              </w:tc>
              <w:tc>
                <w:tcPr>
                  <w:tcW w:w="928" w:type="dxa"/>
                  <w:tcBorders>
                    <w:top w:val="nil"/>
                    <w:left w:val="single" w:sz="4" w:space="0" w:color="auto"/>
                    <w:bottom w:val="single" w:sz="4" w:space="0" w:color="auto"/>
                    <w:right w:val="nil"/>
                  </w:tcBorders>
                </w:tcPr>
                <w:p w:rsidR="001C1840" w:rsidRPr="00613DB7" w:rsidRDefault="001C1840" w:rsidP="00613DB7">
                  <w:pPr>
                    <w:pStyle w:val="TN10"/>
                    <w:keepNext/>
                    <w:jc w:val="center"/>
                    <w:rPr>
                      <w:lang w:val="en-GB"/>
                    </w:rPr>
                  </w:pPr>
                  <w:r w:rsidRPr="00613DB7">
                    <w:rPr>
                      <w:lang w:val="en-GB"/>
                    </w:rPr>
                    <w:t>11.6</w:t>
                  </w:r>
                </w:p>
              </w:tc>
              <w:tc>
                <w:tcPr>
                  <w:tcW w:w="928" w:type="dxa"/>
                  <w:tcBorders>
                    <w:top w:val="nil"/>
                    <w:left w:val="nil"/>
                    <w:bottom w:val="single" w:sz="4" w:space="0" w:color="auto"/>
                    <w:right w:val="single" w:sz="4" w:space="0" w:color="auto"/>
                  </w:tcBorders>
                </w:tcPr>
                <w:p w:rsidR="001C1840" w:rsidRPr="00613DB7" w:rsidRDefault="001C1840" w:rsidP="00613DB7">
                  <w:pPr>
                    <w:pStyle w:val="TN10"/>
                    <w:keepNext/>
                    <w:jc w:val="center"/>
                    <w:rPr>
                      <w:lang w:val="en-GB"/>
                    </w:rPr>
                  </w:pPr>
                  <w:r w:rsidRPr="00613DB7">
                    <w:rPr>
                      <w:lang w:val="en-GB"/>
                    </w:rPr>
                    <w:t>6.4*</w:t>
                  </w:r>
                </w:p>
              </w:tc>
            </w:tr>
          </w:tbl>
          <w:p w:rsidR="001C1840" w:rsidRPr="0052262B" w:rsidRDefault="001C1840" w:rsidP="00980027">
            <w:pPr>
              <w:keepNext/>
              <w:autoSpaceDE w:val="0"/>
              <w:autoSpaceDN w:val="0"/>
              <w:adjustRightInd w:val="0"/>
              <w:spacing w:before="120"/>
              <w:rPr>
                <w:sz w:val="20"/>
                <w:szCs w:val="20"/>
                <w:lang w:val="en-GB"/>
              </w:rPr>
            </w:pPr>
            <w:r w:rsidRPr="0052262B">
              <w:rPr>
                <w:sz w:val="20"/>
                <w:szCs w:val="20"/>
                <w:vertAlign w:val="superscript"/>
                <w:lang w:val="en-GB"/>
              </w:rPr>
              <w:t xml:space="preserve">(a)  </w:t>
            </w:r>
            <w:r w:rsidRPr="0052262B">
              <w:rPr>
                <w:sz w:val="20"/>
                <w:szCs w:val="20"/>
                <w:lang w:val="en-GB"/>
              </w:rPr>
              <w:t>CIMZIA administered every 2 weeks preceded by a loading dose of 400mg at Weeks 0, 2 and 4</w:t>
            </w:r>
            <w:r w:rsidR="009C4302">
              <w:rPr>
                <w:sz w:val="20"/>
                <w:szCs w:val="20"/>
                <w:lang w:val="en-GB"/>
              </w:rPr>
              <w:t>.</w:t>
            </w:r>
          </w:p>
          <w:p w:rsidR="001C1840" w:rsidRPr="0052262B" w:rsidRDefault="001C1840" w:rsidP="00980027">
            <w:pPr>
              <w:keepNext/>
              <w:autoSpaceDE w:val="0"/>
              <w:autoSpaceDN w:val="0"/>
              <w:adjustRightInd w:val="0"/>
              <w:rPr>
                <w:sz w:val="20"/>
                <w:szCs w:val="20"/>
                <w:lang w:val="en-GB"/>
              </w:rPr>
            </w:pPr>
            <w:r w:rsidRPr="0052262B">
              <w:rPr>
                <w:sz w:val="20"/>
                <w:szCs w:val="20"/>
                <w:vertAlign w:val="superscript"/>
                <w:lang w:val="en-GB"/>
              </w:rPr>
              <w:t xml:space="preserve">(b) </w:t>
            </w:r>
            <w:r w:rsidRPr="0052262B">
              <w:rPr>
                <w:sz w:val="20"/>
                <w:szCs w:val="20"/>
                <w:lang w:val="en-GB"/>
              </w:rPr>
              <w:t>CIMZIA administered every 4 weeks not preceded by a loading dose regimen</w:t>
            </w:r>
            <w:r w:rsidR="009C4302">
              <w:rPr>
                <w:sz w:val="20"/>
                <w:szCs w:val="20"/>
                <w:lang w:val="en-GB"/>
              </w:rPr>
              <w:t>.</w:t>
            </w:r>
          </w:p>
          <w:p w:rsidR="001C1840" w:rsidRPr="0052262B" w:rsidRDefault="001C1840" w:rsidP="00980027">
            <w:pPr>
              <w:keepNext/>
              <w:autoSpaceDE w:val="0"/>
              <w:autoSpaceDN w:val="0"/>
              <w:adjustRightInd w:val="0"/>
              <w:rPr>
                <w:b/>
                <w:bCs/>
                <w:sz w:val="20"/>
                <w:szCs w:val="20"/>
                <w:lang w:val="en-GB"/>
              </w:rPr>
            </w:pPr>
            <w:r w:rsidRPr="0052262B">
              <w:rPr>
                <w:sz w:val="20"/>
                <w:szCs w:val="20"/>
                <w:vertAlign w:val="superscript"/>
                <w:lang w:val="en-GB"/>
              </w:rPr>
              <w:t xml:space="preserve"> (c)  </w:t>
            </w:r>
            <w:r w:rsidRPr="0052262B">
              <w:rPr>
                <w:sz w:val="20"/>
                <w:szCs w:val="20"/>
                <w:lang w:val="en-GB"/>
              </w:rPr>
              <w:t xml:space="preserve">Study RA-I - Visual </w:t>
            </w:r>
            <w:proofErr w:type="spellStart"/>
            <w:r w:rsidRPr="0052262B">
              <w:rPr>
                <w:sz w:val="20"/>
                <w:szCs w:val="20"/>
                <w:lang w:val="en-GB"/>
              </w:rPr>
              <w:t>Analog</w:t>
            </w:r>
            <w:proofErr w:type="spellEnd"/>
            <w:r w:rsidRPr="0052262B">
              <w:rPr>
                <w:sz w:val="20"/>
                <w:szCs w:val="20"/>
                <w:lang w:val="en-GB"/>
              </w:rPr>
              <w:t xml:space="preserve"> Scale: 0 = best, 100 = worst.  Study RA-III</w:t>
            </w:r>
            <w:r w:rsidR="00980027">
              <w:rPr>
                <w:sz w:val="20"/>
                <w:szCs w:val="20"/>
                <w:lang w:val="en-GB"/>
              </w:rPr>
              <w:t>:</w:t>
            </w:r>
            <w:r w:rsidRPr="0052262B">
              <w:rPr>
                <w:sz w:val="20"/>
                <w:szCs w:val="20"/>
                <w:lang w:val="en-GB"/>
              </w:rPr>
              <w:t xml:space="preserve"> Five</w:t>
            </w:r>
            <w:r w:rsidR="00AE0B18">
              <w:rPr>
                <w:sz w:val="20"/>
                <w:szCs w:val="20"/>
                <w:lang w:val="en-GB"/>
              </w:rPr>
              <w:t>-</w:t>
            </w:r>
            <w:r w:rsidRPr="0052262B">
              <w:rPr>
                <w:sz w:val="20"/>
                <w:szCs w:val="20"/>
                <w:lang w:val="en-GB"/>
              </w:rPr>
              <w:t>Point Scale: 1= best, 5= worst</w:t>
            </w:r>
          </w:p>
          <w:p w:rsidR="001C1840" w:rsidRPr="0052262B" w:rsidRDefault="001C1840" w:rsidP="00980027">
            <w:pPr>
              <w:pStyle w:val="BodyText"/>
              <w:keepNext/>
              <w:spacing w:before="0" w:after="0"/>
              <w:rPr>
                <w:sz w:val="20"/>
                <w:szCs w:val="20"/>
                <w:lang w:val="en-GB"/>
              </w:rPr>
            </w:pPr>
            <w:r w:rsidRPr="0052262B">
              <w:rPr>
                <w:sz w:val="20"/>
                <w:szCs w:val="20"/>
                <w:vertAlign w:val="superscript"/>
                <w:lang w:val="en-GB"/>
              </w:rPr>
              <w:t xml:space="preserve">(d) </w:t>
            </w:r>
            <w:r w:rsidRPr="0052262B">
              <w:rPr>
                <w:sz w:val="20"/>
                <w:szCs w:val="20"/>
                <w:lang w:val="en-GB"/>
              </w:rPr>
              <w:t xml:space="preserve"> Patient’s Assessment of Arthritis Pain. Visual </w:t>
            </w:r>
            <w:proofErr w:type="spellStart"/>
            <w:r w:rsidRPr="0052262B">
              <w:rPr>
                <w:sz w:val="20"/>
                <w:szCs w:val="20"/>
                <w:lang w:val="en-GB"/>
              </w:rPr>
              <w:t>Analog</w:t>
            </w:r>
            <w:proofErr w:type="spellEnd"/>
            <w:r w:rsidRPr="0052262B">
              <w:rPr>
                <w:sz w:val="20"/>
                <w:szCs w:val="20"/>
                <w:lang w:val="en-GB"/>
              </w:rPr>
              <w:t xml:space="preserve"> Scale: 0</w:t>
            </w:r>
            <w:r w:rsidR="00AE0B18">
              <w:rPr>
                <w:sz w:val="20"/>
                <w:szCs w:val="20"/>
                <w:lang w:val="en-GB"/>
              </w:rPr>
              <w:t xml:space="preserve"> </w:t>
            </w:r>
            <w:r w:rsidRPr="0052262B">
              <w:rPr>
                <w:sz w:val="20"/>
                <w:szCs w:val="20"/>
                <w:lang w:val="en-GB"/>
              </w:rPr>
              <w:t>=</w:t>
            </w:r>
            <w:r w:rsidR="00AE0B18">
              <w:rPr>
                <w:sz w:val="20"/>
                <w:szCs w:val="20"/>
                <w:lang w:val="en-GB"/>
              </w:rPr>
              <w:t xml:space="preserve"> </w:t>
            </w:r>
            <w:r w:rsidRPr="0052262B">
              <w:rPr>
                <w:sz w:val="20"/>
                <w:szCs w:val="20"/>
                <w:lang w:val="en-GB"/>
              </w:rPr>
              <w:t>best, 100</w:t>
            </w:r>
            <w:r w:rsidR="00AE0B18">
              <w:rPr>
                <w:sz w:val="20"/>
                <w:szCs w:val="20"/>
                <w:lang w:val="en-GB"/>
              </w:rPr>
              <w:t xml:space="preserve"> </w:t>
            </w:r>
            <w:r w:rsidRPr="0052262B">
              <w:rPr>
                <w:sz w:val="20"/>
                <w:szCs w:val="20"/>
                <w:lang w:val="en-GB"/>
              </w:rPr>
              <w:t>=</w:t>
            </w:r>
            <w:r w:rsidR="00AE0B18">
              <w:rPr>
                <w:sz w:val="20"/>
                <w:szCs w:val="20"/>
                <w:lang w:val="en-GB"/>
              </w:rPr>
              <w:t xml:space="preserve"> </w:t>
            </w:r>
            <w:r w:rsidRPr="0052262B">
              <w:rPr>
                <w:sz w:val="20"/>
                <w:szCs w:val="20"/>
                <w:lang w:val="en-GB"/>
              </w:rPr>
              <w:t>worst</w:t>
            </w:r>
          </w:p>
          <w:p w:rsidR="001C1840" w:rsidRPr="0052262B" w:rsidRDefault="001C1840" w:rsidP="00980027">
            <w:pPr>
              <w:pStyle w:val="BodyText"/>
              <w:keepNext/>
              <w:spacing w:before="0" w:after="0"/>
              <w:rPr>
                <w:sz w:val="20"/>
                <w:szCs w:val="20"/>
                <w:lang w:val="en-GB"/>
              </w:rPr>
            </w:pPr>
            <w:r w:rsidRPr="0052262B">
              <w:rPr>
                <w:sz w:val="20"/>
                <w:szCs w:val="20"/>
                <w:vertAlign w:val="superscript"/>
                <w:lang w:val="en-GB"/>
              </w:rPr>
              <w:t xml:space="preserve">(e) </w:t>
            </w:r>
            <w:r w:rsidRPr="0052262B">
              <w:rPr>
                <w:sz w:val="20"/>
                <w:szCs w:val="20"/>
                <w:lang w:val="en-GB"/>
              </w:rPr>
              <w:t>Health Assessment Questionnaire-Disability Index; 0 = best, 3 = worst, measures the patient’s ability to perform the following: dress/groom, arise, eat, walk, reach, grip, maintain hygiene, and maintain daily activity</w:t>
            </w:r>
            <w:r w:rsidR="009C4302">
              <w:rPr>
                <w:sz w:val="20"/>
                <w:szCs w:val="20"/>
                <w:lang w:val="en-GB"/>
              </w:rPr>
              <w:t>.</w:t>
            </w:r>
          </w:p>
          <w:p w:rsidR="001C1840" w:rsidRPr="0052262B" w:rsidRDefault="001C1840" w:rsidP="00980027">
            <w:pPr>
              <w:pStyle w:val="BodyText"/>
              <w:keepNext/>
              <w:spacing w:before="0" w:after="0"/>
              <w:rPr>
                <w:b/>
                <w:bCs/>
                <w:sz w:val="20"/>
                <w:szCs w:val="20"/>
                <w:lang w:val="en-GB"/>
              </w:rPr>
            </w:pPr>
            <w:r w:rsidRPr="0052262B">
              <w:rPr>
                <w:sz w:val="20"/>
                <w:szCs w:val="20"/>
                <w:lang w:val="en-GB"/>
              </w:rPr>
              <w:t>All values are last observation carried forward</w:t>
            </w:r>
            <w:r w:rsidRPr="0052262B">
              <w:rPr>
                <w:b/>
                <w:bCs/>
                <w:sz w:val="20"/>
                <w:szCs w:val="20"/>
                <w:lang w:val="en-GB"/>
              </w:rPr>
              <w:t xml:space="preserve">.  </w:t>
            </w:r>
            <w:r w:rsidRPr="0052262B">
              <w:rPr>
                <w:sz w:val="20"/>
                <w:szCs w:val="20"/>
                <w:lang w:val="en-GB"/>
              </w:rPr>
              <w:t>*p&lt;0.001, CIMZIA vs. placebo, based on ANCOVA model with region or country and treatment as factors and baseline as covariate</w:t>
            </w:r>
            <w:r w:rsidR="009C4302">
              <w:rPr>
                <w:sz w:val="20"/>
                <w:szCs w:val="20"/>
                <w:lang w:val="en-GB"/>
              </w:rPr>
              <w:t>.</w:t>
            </w:r>
          </w:p>
          <w:p w:rsidR="001C1840" w:rsidRPr="0052262B" w:rsidRDefault="001C1840" w:rsidP="00980027">
            <w:pPr>
              <w:pStyle w:val="BodyText"/>
              <w:keepNext/>
              <w:spacing w:before="0" w:after="0"/>
              <w:rPr>
                <w:sz w:val="20"/>
                <w:szCs w:val="20"/>
                <w:lang w:val="en-GB"/>
              </w:rPr>
            </w:pPr>
            <w:r w:rsidRPr="0052262B">
              <w:rPr>
                <w:sz w:val="20"/>
                <w:szCs w:val="20"/>
                <w:vertAlign w:val="superscript"/>
                <w:lang w:val="en-GB"/>
              </w:rPr>
              <w:t>†</w:t>
            </w:r>
            <w:r w:rsidRPr="0052262B">
              <w:rPr>
                <w:sz w:val="20"/>
                <w:szCs w:val="20"/>
                <w:lang w:val="en-GB"/>
              </w:rPr>
              <w:t>For Study RA-I, the median is presented.  For Study RA-III, the mean (SD) is presented except for CRP which is presented as geometric mean.</w:t>
            </w:r>
          </w:p>
          <w:p w:rsidR="006B768A" w:rsidRPr="0052262B" w:rsidRDefault="006B768A" w:rsidP="002043BB">
            <w:pPr>
              <w:pStyle w:val="Paragraph"/>
              <w:keepNext/>
              <w:spacing w:after="0"/>
              <w:rPr>
                <w:lang w:val="en-GB"/>
              </w:rPr>
            </w:pPr>
          </w:p>
          <w:p w:rsidR="00413B6B" w:rsidRDefault="001C1840" w:rsidP="00183159">
            <w:pPr>
              <w:pStyle w:val="Paragraph"/>
              <w:keepNext/>
              <w:rPr>
                <w:lang w:val="en-GB"/>
              </w:rPr>
            </w:pPr>
            <w:r w:rsidRPr="0052262B">
              <w:rPr>
                <w:lang w:val="en-GB"/>
              </w:rPr>
              <w:t xml:space="preserve">The percentage of patients achieving ACR20 response by visit for Study RA-I is shown in </w:t>
            </w:r>
            <w:r w:rsidRPr="0052262B">
              <w:rPr>
                <w:lang w:val="en-GB"/>
              </w:rPr>
              <w:lastRenderedPageBreak/>
              <w:t>Figure 1. Among patients receiving CIMZIA 200</w:t>
            </w:r>
            <w:r w:rsidR="00525760" w:rsidRPr="0052262B">
              <w:rPr>
                <w:lang w:val="en-GB"/>
              </w:rPr>
              <w:t xml:space="preserve"> </w:t>
            </w:r>
            <w:r w:rsidRPr="0052262B">
              <w:rPr>
                <w:lang w:val="en-GB"/>
              </w:rPr>
              <w:t>mg every 2 weeks</w:t>
            </w:r>
            <w:r w:rsidR="00EF4048" w:rsidRPr="0052262B">
              <w:rPr>
                <w:lang w:val="en-GB"/>
              </w:rPr>
              <w:t xml:space="preserve"> + MTX</w:t>
            </w:r>
            <w:r w:rsidRPr="0052262B">
              <w:rPr>
                <w:lang w:val="en-GB"/>
              </w:rPr>
              <w:t>, clinical responses were seen in some patients within one (22.9%) to two (33.5%) wee</w:t>
            </w:r>
            <w:r w:rsidR="00413B6B">
              <w:rPr>
                <w:lang w:val="en-GB"/>
              </w:rPr>
              <w:t>ks after initiation of therapy.</w:t>
            </w:r>
          </w:p>
          <w:p w:rsidR="00413B6B" w:rsidRDefault="00413B6B" w:rsidP="00183159">
            <w:pPr>
              <w:pStyle w:val="Paragraph"/>
              <w:keepNext/>
              <w:rPr>
                <w:lang w:val="en-GB"/>
              </w:rPr>
            </w:pPr>
          </w:p>
          <w:p w:rsidR="00413B6B" w:rsidRDefault="00413B6B" w:rsidP="00183159">
            <w:pPr>
              <w:pStyle w:val="Paragraph"/>
              <w:keepNext/>
              <w:rPr>
                <w:lang w:val="en-GB"/>
              </w:rPr>
            </w:pPr>
          </w:p>
          <w:p w:rsidR="00413B6B" w:rsidRPr="00413B6B" w:rsidRDefault="00413B6B" w:rsidP="00183159">
            <w:pPr>
              <w:pStyle w:val="Paragraph"/>
              <w:keepNext/>
              <w:rPr>
                <w:lang w:val="en-GB"/>
              </w:rPr>
            </w:pPr>
          </w:p>
          <w:p w:rsidR="001C1840" w:rsidRPr="0052262B" w:rsidRDefault="001C1840" w:rsidP="00183159">
            <w:pPr>
              <w:keepNext/>
              <w:rPr>
                <w:lang w:val="en-GB"/>
              </w:rPr>
            </w:pPr>
            <w:r w:rsidRPr="0052262B">
              <w:rPr>
                <w:b/>
                <w:bCs/>
                <w:lang w:val="en-GB"/>
              </w:rPr>
              <w:t>Figure 1 Study RA-I ACR20 Response Over 52 Weeks</w:t>
            </w:r>
          </w:p>
          <w:p w:rsidR="001C1840" w:rsidRPr="0052262B" w:rsidRDefault="00BB0E98" w:rsidP="00183159">
            <w:pPr>
              <w:keepNext/>
              <w:rPr>
                <w:i/>
                <w:iCs/>
                <w:lang w:val="en-GB"/>
              </w:rPr>
            </w:pPr>
            <w:r>
              <w:rPr>
                <w:noProof/>
                <w:lang w:val="en-GB" w:eastAsia="zh-CN"/>
              </w:rPr>
              <w:pict>
                <v:rect id="_x0000_s1841" style="position:absolute;margin-left:259.6pt;margin-top:40.3pt;width:142.3pt;height:17.2pt;z-index:251656192;mso-wrap-style:none" filled="f" stroked="f">
                  <o:lock v:ext="edit" aspectratio="t"/>
                  <v:textbox style="mso-next-textbox:#_x0000_s1841" inset="0,0,0,0">
                    <w:txbxContent>
                      <w:p w:rsidR="00BB0E98" w:rsidRPr="008503FE" w:rsidRDefault="00BB0E98" w:rsidP="008F3396">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CIMZIA</w:t>
                        </w:r>
                        <w:r w:rsidRPr="008503FE">
                          <w:rPr>
                            <w:rFonts w:ascii="Arial" w:hAnsi="Arial" w:cs="Arial"/>
                            <w:b/>
                            <w:bCs/>
                            <w:color w:val="000000"/>
                            <w:sz w:val="20"/>
                            <w:szCs w:val="20"/>
                          </w:rPr>
                          <w:t xml:space="preserve"> 200 mg + MTX (n=393)</w:t>
                        </w:r>
                      </w:p>
                    </w:txbxContent>
                  </v:textbox>
                </v:rect>
              </w:pict>
            </w:r>
            <w:r>
              <w:rPr>
                <w:noProof/>
                <w:lang w:val="en-GB" w:eastAsia="zh-CN"/>
              </w:rPr>
              <w:pict>
                <v:rect id="_x0000_s1840" style="position:absolute;margin-left:259.6pt;margin-top:22.3pt;width:126.95pt;height:11.95pt;z-index:251655168" filled="f" stroked="f" strokecolor="white">
                  <o:lock v:ext="edit" aspectratio="t"/>
                  <v:textbox style="mso-next-textbox:#_x0000_s1840" inset="0,0,0,0">
                    <w:txbxContent>
                      <w:p w:rsidR="00BB0E98" w:rsidRPr="009B00E1" w:rsidRDefault="00BB0E98" w:rsidP="008F3396">
                        <w:pPr>
                          <w:autoSpaceDE w:val="0"/>
                          <w:autoSpaceDN w:val="0"/>
                          <w:adjustRightInd w:val="0"/>
                          <w:rPr>
                            <w:rFonts w:ascii="Arial" w:hAnsi="Arial" w:cs="Arial"/>
                            <w:color w:val="000000"/>
                            <w:sz w:val="20"/>
                            <w:szCs w:val="20"/>
                          </w:rPr>
                        </w:pPr>
                        <w:r w:rsidRPr="009B00E1">
                          <w:rPr>
                            <w:rFonts w:ascii="Arial" w:hAnsi="Arial" w:cs="Arial"/>
                            <w:b/>
                            <w:bCs/>
                            <w:color w:val="000000"/>
                            <w:sz w:val="20"/>
                            <w:szCs w:val="20"/>
                          </w:rPr>
                          <w:t>Placebo + MTX (n=199)</w:t>
                        </w:r>
                      </w:p>
                    </w:txbxContent>
                  </v:textbox>
                </v:rect>
              </w:pict>
            </w:r>
            <w:r>
              <w:rPr>
                <w:noProof/>
                <w:lang w:val="en-GB" w:eastAsia="zh-CN"/>
              </w:rPr>
              <w:pict>
                <v:group id="_x0000_s1847" style="position:absolute;margin-left:235.6pt;margin-top:40.3pt;width:18pt;height:9pt;z-index:251660288" coordorigin="3442,8115" coordsize="672,192">
                  <v:line id="_x0000_s1848" style="position:absolute" from="3442,8211" to="4114,8211" strokeweight="2.25pt"/>
                  <v:rect id="_x0000_s1849" style="position:absolute;left:3634;top:8115;width:288;height:192" fillcolor="black"/>
                </v:group>
              </w:pict>
            </w:r>
            <w:r>
              <w:rPr>
                <w:noProof/>
                <w:lang w:val="en-GB" w:eastAsia="zh-CN"/>
              </w:rPr>
              <w:pict>
                <v:group id="_x0000_s1842" style="position:absolute;margin-left:235.6pt;margin-top:22.3pt;width:18pt;height:9pt;z-index:251657216" coordorigin="3442,7875" coordsize="384,192">
                  <v:line id="_x0000_s1843" style="position:absolute" from="3442,7971" to="3826,7971" strokeweight="2.25pt"/>
                  <v:shape id="_x0000_s1844" style="position:absolute;left:3538;top:7875;width:192;height:192" coordsize="72,72" path="m36,l72,36,36,72,,36,36,xe" fillcolor="black">
                    <v:path arrowok="t"/>
                  </v:shape>
                </v:group>
              </w:pict>
            </w:r>
            <w:r w:rsidR="0011167D" w:rsidRPr="0052262B">
              <w:rPr>
                <w:lang w:val="en-GB"/>
              </w:rPr>
              <w:object w:dxaOrig="7920" w:dyaOrig="3106">
                <v:shape id="_x0000_i1034" type="#_x0000_t75" style="width:396pt;height:155.25pt" o:ole="" filled="t">
                  <v:imagedata r:id="rId10" o:title=""/>
                </v:shape>
                <o:OLEObject Type="Embed" ProgID="MSGraph.Chart.8" ShapeID="_x0000_i1034" DrawAspect="Content" ObjectID="_1561465252" r:id="rId11">
                  <o:FieldCodes>\s</o:FieldCodes>
                </o:OLEObject>
              </w:object>
            </w:r>
            <w:r>
              <w:rPr>
                <w:noProof/>
                <w:lang w:val="en-GB" w:eastAsia="zh-CN"/>
              </w:rPr>
              <w:pict>
                <v:line id="_x0000_s1846" style="position:absolute;z-index:251659264;mso-position-horizontal-relative:text;mso-position-vertical-relative:text" from="-84pt,-528.25pt" to="-54pt,-528.25pt" strokeweight="2.25pt"/>
              </w:pict>
            </w:r>
            <w:r>
              <w:rPr>
                <w:noProof/>
                <w:lang w:val="en-GB" w:eastAsia="zh-CN"/>
              </w:rPr>
              <w:pict>
                <v:line id="_x0000_s1845" style="position:absolute;z-index:251658240;mso-position-horizontal-relative:text;mso-position-vertical-relative:text" from="-84pt,-528.25pt" to="-54pt,-528.25pt" strokeweight="2.25pt"/>
              </w:pict>
            </w:r>
          </w:p>
          <w:p w:rsidR="001C1840" w:rsidRDefault="001C1840" w:rsidP="00183159">
            <w:pPr>
              <w:pStyle w:val="Paragraph"/>
              <w:keepNext/>
              <w:rPr>
                <w:lang w:val="en-GB"/>
              </w:rPr>
            </w:pPr>
            <w:r w:rsidRPr="0052262B">
              <w:rPr>
                <w:lang w:val="en-GB"/>
              </w:rPr>
              <w:t>The safety and efficacy of 400 mg CIMZIA administered every 4 weeks in combination with MTX were evaluated Study RA-IV. The primary endpoint of this study was achieved; the proportion of subjects who achieved an ACR 20 response at Week 24 was significantly greater in the CIMZIA 400 mg + MTX group compared to the placebo + MTX group (45.9% compared to 22.9%, p&lt;0.001).</w:t>
            </w:r>
          </w:p>
          <w:p w:rsidR="00EF6124" w:rsidRDefault="00EF6124" w:rsidP="00183159">
            <w:pPr>
              <w:pStyle w:val="Paragraph"/>
              <w:keepNext/>
              <w:rPr>
                <w:lang w:val="en-GB"/>
              </w:rPr>
            </w:pPr>
          </w:p>
          <w:p w:rsidR="00B17E41" w:rsidRDefault="00B17E41" w:rsidP="00B17E41">
            <w:pPr>
              <w:pStyle w:val="Paragraph"/>
              <w:keepNext/>
              <w:rPr>
                <w:lang w:val="en-GB"/>
              </w:rPr>
            </w:pPr>
            <w:r w:rsidRPr="00B17E41">
              <w:rPr>
                <w:lang w:val="en-GB"/>
              </w:rPr>
              <w:t>The C-EARLY trial met its primary and key secondary endpoint. The</w:t>
            </w:r>
            <w:r>
              <w:rPr>
                <w:lang w:val="en-GB"/>
              </w:rPr>
              <w:t xml:space="preserve"> key results from the study are </w:t>
            </w:r>
            <w:r w:rsidRPr="00B17E41">
              <w:rPr>
                <w:lang w:val="en-GB"/>
              </w:rPr>
              <w:t>presented in table 4.</w:t>
            </w:r>
          </w:p>
          <w:p w:rsidR="00B17E41" w:rsidRDefault="00B17E41" w:rsidP="00B17E41">
            <w:pPr>
              <w:pStyle w:val="Paragraph"/>
              <w:keepNext/>
              <w:rPr>
                <w:lang w:val="en-GB"/>
              </w:rPr>
            </w:pPr>
          </w:p>
          <w:p w:rsidR="00B17E41" w:rsidRDefault="00136C91" w:rsidP="00D84593">
            <w:pPr>
              <w:keepNext/>
              <w:ind w:hanging="120"/>
              <w:rPr>
                <w:b/>
                <w:bCs/>
                <w:lang w:val="en-GB"/>
              </w:rPr>
            </w:pPr>
            <w:r>
              <w:rPr>
                <w:b/>
                <w:bCs/>
                <w:lang w:val="en-GB"/>
              </w:rPr>
              <w:t xml:space="preserve">Table 4:   </w:t>
            </w:r>
            <w:r w:rsidR="00B17E41" w:rsidRPr="00D84593">
              <w:rPr>
                <w:b/>
                <w:bCs/>
                <w:lang w:val="en-GB"/>
              </w:rPr>
              <w:t>C-EARLY trial: percent of patients in sustained remission</w:t>
            </w:r>
            <w:r w:rsidR="00EE0E19">
              <w:rPr>
                <w:b/>
                <w:bCs/>
                <w:lang w:val="en-GB"/>
              </w:rPr>
              <w:t>,</w:t>
            </w:r>
            <w:r w:rsidR="00B17E41" w:rsidRPr="00D84593">
              <w:rPr>
                <w:b/>
                <w:bCs/>
                <w:lang w:val="en-GB"/>
              </w:rPr>
              <w:t xml:space="preserve"> sustained low disease activity</w:t>
            </w:r>
            <w:r w:rsidR="00EE0E19">
              <w:rPr>
                <w:b/>
                <w:bCs/>
                <w:lang w:val="en-GB"/>
              </w:rPr>
              <w:t xml:space="preserve"> and with ACR50</w:t>
            </w:r>
            <w:r w:rsidR="00B17E41" w:rsidRPr="00D84593">
              <w:rPr>
                <w:b/>
                <w:bCs/>
                <w:lang w:val="en-GB"/>
              </w:rPr>
              <w:t xml:space="preserve"> at Week 52</w:t>
            </w:r>
          </w:p>
          <w:p w:rsidR="00EF6124" w:rsidRDefault="00EF6124" w:rsidP="00D84593">
            <w:pPr>
              <w:keepNext/>
              <w:ind w:hanging="120"/>
              <w:rPr>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2965"/>
              <w:gridCol w:w="2966"/>
            </w:tblGrid>
            <w:tr w:rsidR="00EF6124" w:rsidRPr="00005AD2" w:rsidTr="00D97490">
              <w:trPr>
                <w:trHeight w:val="18"/>
              </w:trPr>
              <w:tc>
                <w:tcPr>
                  <w:tcW w:w="2965" w:type="dxa"/>
                  <w:shd w:val="clear" w:color="auto" w:fill="auto"/>
                </w:tcPr>
                <w:p w:rsidR="00EF6124" w:rsidRPr="00005AD2" w:rsidRDefault="00EF6124" w:rsidP="00005AD2">
                  <w:pPr>
                    <w:keepNext/>
                    <w:rPr>
                      <w:b/>
                      <w:bCs/>
                      <w:sz w:val="20"/>
                      <w:szCs w:val="20"/>
                      <w:lang w:val="en-GB"/>
                    </w:rPr>
                  </w:pPr>
                  <w:r w:rsidRPr="00005AD2">
                    <w:rPr>
                      <w:b/>
                      <w:bCs/>
                      <w:sz w:val="20"/>
                      <w:szCs w:val="20"/>
                      <w:lang w:val="en-GB"/>
                    </w:rPr>
                    <w:t>Response</w:t>
                  </w:r>
                </w:p>
              </w:tc>
              <w:tc>
                <w:tcPr>
                  <w:tcW w:w="2965" w:type="dxa"/>
                  <w:shd w:val="clear" w:color="auto" w:fill="auto"/>
                </w:tcPr>
                <w:p w:rsidR="00EF6124" w:rsidRPr="00005AD2" w:rsidRDefault="00EF6124" w:rsidP="00005AD2">
                  <w:pPr>
                    <w:keepNext/>
                    <w:jc w:val="center"/>
                    <w:rPr>
                      <w:b/>
                      <w:bCs/>
                      <w:sz w:val="20"/>
                      <w:szCs w:val="20"/>
                      <w:lang w:val="en-GB"/>
                    </w:rPr>
                  </w:pPr>
                  <w:r w:rsidRPr="00005AD2">
                    <w:rPr>
                      <w:b/>
                      <w:bCs/>
                      <w:sz w:val="20"/>
                      <w:szCs w:val="20"/>
                      <w:lang w:val="en-GB"/>
                    </w:rPr>
                    <w:t>Placebo + MTX</w:t>
                  </w:r>
                </w:p>
                <w:p w:rsidR="00EF6124" w:rsidRPr="00005AD2" w:rsidRDefault="00EF6124" w:rsidP="00005AD2">
                  <w:pPr>
                    <w:keepNext/>
                    <w:jc w:val="center"/>
                    <w:rPr>
                      <w:b/>
                      <w:bCs/>
                      <w:sz w:val="20"/>
                      <w:szCs w:val="20"/>
                      <w:lang w:val="en-GB"/>
                    </w:rPr>
                  </w:pPr>
                  <w:r w:rsidRPr="00005AD2">
                    <w:rPr>
                      <w:b/>
                      <w:bCs/>
                      <w:sz w:val="20"/>
                      <w:szCs w:val="20"/>
                      <w:lang w:val="en-GB"/>
                    </w:rPr>
                    <w:t>N=213</w:t>
                  </w:r>
                </w:p>
              </w:tc>
              <w:tc>
                <w:tcPr>
                  <w:tcW w:w="2966" w:type="dxa"/>
                  <w:shd w:val="clear" w:color="auto" w:fill="auto"/>
                </w:tcPr>
                <w:p w:rsidR="00EF6124" w:rsidRPr="00005AD2" w:rsidRDefault="00844A32" w:rsidP="00005AD2">
                  <w:pPr>
                    <w:keepNext/>
                    <w:jc w:val="center"/>
                    <w:rPr>
                      <w:b/>
                      <w:bCs/>
                      <w:sz w:val="20"/>
                      <w:szCs w:val="20"/>
                      <w:lang w:val="en-GB"/>
                    </w:rPr>
                  </w:pPr>
                  <w:r>
                    <w:rPr>
                      <w:b/>
                      <w:bCs/>
                      <w:sz w:val="20"/>
                      <w:szCs w:val="20"/>
                      <w:lang w:val="en-GB"/>
                    </w:rPr>
                    <w:t>CIMZIA</w:t>
                  </w:r>
                  <w:r w:rsidR="00EF6124" w:rsidRPr="00005AD2">
                    <w:rPr>
                      <w:b/>
                      <w:bCs/>
                      <w:sz w:val="20"/>
                      <w:szCs w:val="20"/>
                      <w:lang w:val="en-GB"/>
                    </w:rPr>
                    <w:t xml:space="preserve"> 200mg + MTX</w:t>
                  </w:r>
                </w:p>
                <w:p w:rsidR="00EF6124" w:rsidRPr="00005AD2" w:rsidRDefault="00EF6124" w:rsidP="00005AD2">
                  <w:pPr>
                    <w:keepNext/>
                    <w:jc w:val="center"/>
                    <w:rPr>
                      <w:b/>
                      <w:bCs/>
                      <w:sz w:val="20"/>
                      <w:szCs w:val="20"/>
                      <w:lang w:val="en-GB"/>
                    </w:rPr>
                  </w:pPr>
                  <w:r w:rsidRPr="00005AD2">
                    <w:rPr>
                      <w:b/>
                      <w:bCs/>
                      <w:sz w:val="20"/>
                      <w:szCs w:val="20"/>
                      <w:lang w:val="en-GB"/>
                    </w:rPr>
                    <w:t>N = 655</w:t>
                  </w:r>
                </w:p>
              </w:tc>
            </w:tr>
            <w:tr w:rsidR="00EF6124" w:rsidRPr="00005AD2" w:rsidTr="00D97490">
              <w:trPr>
                <w:trHeight w:val="18"/>
              </w:trPr>
              <w:tc>
                <w:tcPr>
                  <w:tcW w:w="2965" w:type="dxa"/>
                  <w:shd w:val="clear" w:color="auto" w:fill="auto"/>
                </w:tcPr>
                <w:p w:rsidR="00EF6124" w:rsidRPr="00005AD2" w:rsidRDefault="00EF6124" w:rsidP="00005AD2">
                  <w:pPr>
                    <w:keepNext/>
                    <w:rPr>
                      <w:b/>
                      <w:bCs/>
                      <w:sz w:val="20"/>
                      <w:lang w:val="en-GB"/>
                    </w:rPr>
                  </w:pPr>
                  <w:r w:rsidRPr="00005AD2">
                    <w:rPr>
                      <w:b/>
                      <w:bCs/>
                      <w:sz w:val="20"/>
                      <w:lang w:val="en-GB"/>
                    </w:rPr>
                    <w:t>Sustained remission</w:t>
                  </w:r>
                  <w:r w:rsidRPr="00005AD2">
                    <w:rPr>
                      <w:b/>
                      <w:bCs/>
                      <w:sz w:val="20"/>
                      <w:vertAlign w:val="superscript"/>
                      <w:lang w:val="en-GB"/>
                    </w:rPr>
                    <w:t>(a)</w:t>
                  </w:r>
                </w:p>
                <w:p w:rsidR="00EF6124" w:rsidRPr="00005AD2" w:rsidRDefault="00EF6124" w:rsidP="00005AD2">
                  <w:pPr>
                    <w:keepNext/>
                    <w:rPr>
                      <w:bCs/>
                      <w:sz w:val="20"/>
                      <w:lang w:val="en-GB"/>
                    </w:rPr>
                  </w:pPr>
                  <w:r w:rsidRPr="00005AD2">
                    <w:rPr>
                      <w:bCs/>
                      <w:sz w:val="20"/>
                      <w:lang w:val="en-GB"/>
                    </w:rPr>
                    <w:t>(DAS28(ESR) &lt;2.6 at both Week 40 and Week 52)</w:t>
                  </w:r>
                </w:p>
              </w:tc>
              <w:tc>
                <w:tcPr>
                  <w:tcW w:w="2965" w:type="dxa"/>
                  <w:shd w:val="clear" w:color="auto" w:fill="auto"/>
                </w:tcPr>
                <w:p w:rsidR="00EF6124" w:rsidRPr="00005AD2" w:rsidRDefault="00EF6124" w:rsidP="00005AD2">
                  <w:pPr>
                    <w:keepNext/>
                    <w:jc w:val="center"/>
                    <w:rPr>
                      <w:bCs/>
                      <w:sz w:val="20"/>
                      <w:lang w:val="en-GB"/>
                    </w:rPr>
                  </w:pPr>
                  <w:r w:rsidRPr="00005AD2">
                    <w:rPr>
                      <w:bCs/>
                      <w:sz w:val="20"/>
                      <w:lang w:val="en-GB"/>
                    </w:rPr>
                    <w:t>15.0%</w:t>
                  </w:r>
                </w:p>
              </w:tc>
              <w:tc>
                <w:tcPr>
                  <w:tcW w:w="2966" w:type="dxa"/>
                  <w:shd w:val="clear" w:color="auto" w:fill="auto"/>
                </w:tcPr>
                <w:p w:rsidR="00EF6124" w:rsidRPr="00005AD2" w:rsidRDefault="00EF6124" w:rsidP="00005AD2">
                  <w:pPr>
                    <w:keepNext/>
                    <w:jc w:val="center"/>
                    <w:rPr>
                      <w:bCs/>
                      <w:sz w:val="20"/>
                      <w:lang w:val="en-GB"/>
                    </w:rPr>
                  </w:pPr>
                  <w:r w:rsidRPr="00005AD2">
                    <w:rPr>
                      <w:bCs/>
                      <w:sz w:val="20"/>
                      <w:lang w:val="en-GB"/>
                    </w:rPr>
                    <w:t>28.9%</w:t>
                  </w:r>
                  <w:r w:rsidRPr="00005AD2">
                    <w:rPr>
                      <w:bCs/>
                      <w:sz w:val="20"/>
                      <w:vertAlign w:val="superscript"/>
                      <w:lang w:val="en-GB"/>
                    </w:rPr>
                    <w:t>(b)</w:t>
                  </w:r>
                </w:p>
              </w:tc>
            </w:tr>
            <w:tr w:rsidR="00EF6124" w:rsidRPr="00005AD2" w:rsidTr="00D97490">
              <w:trPr>
                <w:trHeight w:val="18"/>
              </w:trPr>
              <w:tc>
                <w:tcPr>
                  <w:tcW w:w="2965" w:type="dxa"/>
                  <w:shd w:val="clear" w:color="auto" w:fill="auto"/>
                </w:tcPr>
                <w:p w:rsidR="00EF6124" w:rsidRPr="00005AD2" w:rsidRDefault="00EF6124" w:rsidP="00005AD2">
                  <w:pPr>
                    <w:keepNext/>
                    <w:rPr>
                      <w:b/>
                      <w:bCs/>
                      <w:sz w:val="20"/>
                      <w:lang w:val="en-GB"/>
                    </w:rPr>
                  </w:pPr>
                  <w:r w:rsidRPr="00005AD2">
                    <w:rPr>
                      <w:b/>
                      <w:bCs/>
                      <w:sz w:val="20"/>
                      <w:lang w:val="en-GB"/>
                    </w:rPr>
                    <w:t>Sustained low disease activity</w:t>
                  </w:r>
                </w:p>
                <w:p w:rsidR="00EF6124" w:rsidRPr="00005AD2" w:rsidRDefault="00EF6124" w:rsidP="00005AD2">
                  <w:pPr>
                    <w:keepNext/>
                    <w:rPr>
                      <w:bCs/>
                      <w:sz w:val="20"/>
                      <w:lang w:val="en-GB"/>
                    </w:rPr>
                  </w:pPr>
                  <w:r w:rsidRPr="00005AD2">
                    <w:rPr>
                      <w:bCs/>
                      <w:sz w:val="20"/>
                      <w:lang w:val="en-GB"/>
                    </w:rPr>
                    <w:t>(DAS28(ESR) ≤3.2 at both Week 40 and Week 52)</w:t>
                  </w:r>
                </w:p>
              </w:tc>
              <w:tc>
                <w:tcPr>
                  <w:tcW w:w="2965" w:type="dxa"/>
                  <w:shd w:val="clear" w:color="auto" w:fill="auto"/>
                </w:tcPr>
                <w:p w:rsidR="00EF6124" w:rsidRPr="00005AD2" w:rsidRDefault="00EF6124" w:rsidP="00005AD2">
                  <w:pPr>
                    <w:keepNext/>
                    <w:jc w:val="center"/>
                    <w:rPr>
                      <w:bCs/>
                      <w:sz w:val="20"/>
                      <w:lang w:val="en-GB"/>
                    </w:rPr>
                  </w:pPr>
                  <w:r w:rsidRPr="00005AD2">
                    <w:rPr>
                      <w:bCs/>
                      <w:sz w:val="20"/>
                      <w:lang w:val="en-GB"/>
                    </w:rPr>
                    <w:t>28.6%</w:t>
                  </w:r>
                </w:p>
              </w:tc>
              <w:tc>
                <w:tcPr>
                  <w:tcW w:w="2966" w:type="dxa"/>
                  <w:shd w:val="clear" w:color="auto" w:fill="auto"/>
                </w:tcPr>
                <w:p w:rsidR="00EF6124" w:rsidRPr="00005AD2" w:rsidRDefault="00EF6124" w:rsidP="00005AD2">
                  <w:pPr>
                    <w:keepNext/>
                    <w:jc w:val="center"/>
                    <w:rPr>
                      <w:bCs/>
                      <w:sz w:val="20"/>
                      <w:vertAlign w:val="superscript"/>
                      <w:lang w:val="en-GB"/>
                    </w:rPr>
                  </w:pPr>
                  <w:r w:rsidRPr="00005AD2">
                    <w:rPr>
                      <w:bCs/>
                      <w:sz w:val="20"/>
                      <w:lang w:val="en-GB"/>
                    </w:rPr>
                    <w:t>43.8%</w:t>
                  </w:r>
                  <w:r w:rsidRPr="00005AD2">
                    <w:rPr>
                      <w:bCs/>
                      <w:sz w:val="20"/>
                      <w:vertAlign w:val="superscript"/>
                      <w:lang w:val="en-GB"/>
                    </w:rPr>
                    <w:t>(b)</w:t>
                  </w:r>
                </w:p>
              </w:tc>
            </w:tr>
            <w:tr w:rsidR="00EE0E19" w:rsidRPr="00005AD2" w:rsidTr="00D97490">
              <w:trPr>
                <w:trHeight w:val="18"/>
              </w:trPr>
              <w:tc>
                <w:tcPr>
                  <w:tcW w:w="2965" w:type="dxa"/>
                  <w:shd w:val="clear" w:color="auto" w:fill="auto"/>
                </w:tcPr>
                <w:p w:rsidR="00EE0E19" w:rsidRPr="00005AD2" w:rsidRDefault="00EE0E19" w:rsidP="00005AD2">
                  <w:pPr>
                    <w:keepNext/>
                    <w:rPr>
                      <w:b/>
                      <w:bCs/>
                      <w:sz w:val="20"/>
                      <w:lang w:val="en-GB"/>
                    </w:rPr>
                  </w:pPr>
                  <w:r>
                    <w:rPr>
                      <w:b/>
                      <w:bCs/>
                      <w:sz w:val="20"/>
                      <w:lang w:val="en-GB"/>
                    </w:rPr>
                    <w:t>ACR 50</w:t>
                  </w:r>
                </w:p>
              </w:tc>
              <w:tc>
                <w:tcPr>
                  <w:tcW w:w="2965" w:type="dxa"/>
                  <w:shd w:val="clear" w:color="auto" w:fill="auto"/>
                </w:tcPr>
                <w:p w:rsidR="00EE0E19" w:rsidRPr="00005AD2" w:rsidRDefault="00FA4387" w:rsidP="00005AD2">
                  <w:pPr>
                    <w:keepNext/>
                    <w:jc w:val="center"/>
                    <w:rPr>
                      <w:bCs/>
                      <w:sz w:val="20"/>
                      <w:lang w:val="en-GB"/>
                    </w:rPr>
                  </w:pPr>
                  <w:r>
                    <w:rPr>
                      <w:bCs/>
                      <w:sz w:val="20"/>
                      <w:lang w:val="en-GB"/>
                    </w:rPr>
                    <w:t>52.6%</w:t>
                  </w:r>
                </w:p>
              </w:tc>
              <w:tc>
                <w:tcPr>
                  <w:tcW w:w="2966" w:type="dxa"/>
                  <w:shd w:val="clear" w:color="auto" w:fill="auto"/>
                </w:tcPr>
                <w:p w:rsidR="00EE0E19" w:rsidRPr="00005AD2" w:rsidRDefault="00FA4387" w:rsidP="00005AD2">
                  <w:pPr>
                    <w:keepNext/>
                    <w:jc w:val="center"/>
                    <w:rPr>
                      <w:bCs/>
                      <w:sz w:val="20"/>
                      <w:lang w:val="en-GB"/>
                    </w:rPr>
                  </w:pPr>
                  <w:r>
                    <w:rPr>
                      <w:bCs/>
                      <w:sz w:val="20"/>
                      <w:lang w:val="en-GB"/>
                    </w:rPr>
                    <w:t>61.8%</w:t>
                  </w:r>
                  <w:r w:rsidRPr="00267168">
                    <w:rPr>
                      <w:bCs/>
                      <w:sz w:val="20"/>
                      <w:vertAlign w:val="superscript"/>
                      <w:lang w:val="en-GB"/>
                    </w:rPr>
                    <w:t>(c)</w:t>
                  </w:r>
                </w:p>
              </w:tc>
            </w:tr>
          </w:tbl>
          <w:p w:rsidR="003F06D8" w:rsidRDefault="00EF6124" w:rsidP="00D84593">
            <w:pPr>
              <w:keepNext/>
              <w:rPr>
                <w:bCs/>
                <w:sz w:val="20"/>
                <w:szCs w:val="20"/>
                <w:lang w:val="en-GB"/>
              </w:rPr>
            </w:pPr>
            <w:r w:rsidRPr="00D84593">
              <w:rPr>
                <w:bCs/>
                <w:sz w:val="20"/>
                <w:szCs w:val="20"/>
                <w:vertAlign w:val="superscript"/>
                <w:lang w:val="en-GB"/>
              </w:rPr>
              <w:t>(a)</w:t>
            </w:r>
            <w:r>
              <w:rPr>
                <w:bCs/>
                <w:sz w:val="20"/>
                <w:szCs w:val="20"/>
                <w:vertAlign w:val="superscript"/>
                <w:lang w:val="en-GB"/>
              </w:rPr>
              <w:t xml:space="preserve"> </w:t>
            </w:r>
            <w:r>
              <w:rPr>
                <w:bCs/>
                <w:sz w:val="20"/>
                <w:szCs w:val="20"/>
                <w:lang w:val="en-GB"/>
              </w:rPr>
              <w:t xml:space="preserve">Primary endpoint of C-EARLY trial (to Week 52). </w:t>
            </w:r>
          </w:p>
          <w:p w:rsidR="00EF6124" w:rsidRDefault="00EF6124" w:rsidP="00D84593">
            <w:pPr>
              <w:keepNext/>
              <w:rPr>
                <w:bCs/>
                <w:sz w:val="20"/>
                <w:szCs w:val="20"/>
                <w:lang w:val="en-GB"/>
              </w:rPr>
            </w:pPr>
            <w:r>
              <w:rPr>
                <w:bCs/>
                <w:sz w:val="20"/>
                <w:szCs w:val="20"/>
                <w:lang w:val="en-GB"/>
              </w:rPr>
              <w:t>Full analysis set, non-responder imputation for missing values.</w:t>
            </w:r>
          </w:p>
          <w:p w:rsidR="00FA4387" w:rsidRDefault="00EF6124" w:rsidP="00D84593">
            <w:pPr>
              <w:keepNext/>
              <w:rPr>
                <w:bCs/>
                <w:sz w:val="20"/>
                <w:szCs w:val="20"/>
                <w:lang w:val="en-GB"/>
              </w:rPr>
            </w:pPr>
            <w:r>
              <w:rPr>
                <w:bCs/>
                <w:sz w:val="20"/>
                <w:szCs w:val="20"/>
                <w:vertAlign w:val="superscript"/>
                <w:lang w:val="en-GB"/>
              </w:rPr>
              <w:t xml:space="preserve">(b) </w:t>
            </w:r>
            <w:r>
              <w:rPr>
                <w:bCs/>
                <w:sz w:val="20"/>
                <w:szCs w:val="20"/>
                <w:lang w:val="en-GB"/>
              </w:rPr>
              <w:t>p&lt;0.001</w:t>
            </w:r>
          </w:p>
          <w:p w:rsidR="00FA4387" w:rsidRDefault="00FA4387" w:rsidP="00D84593">
            <w:pPr>
              <w:keepNext/>
              <w:rPr>
                <w:bCs/>
                <w:sz w:val="20"/>
                <w:szCs w:val="20"/>
                <w:lang w:val="en-GB"/>
              </w:rPr>
            </w:pPr>
            <w:r w:rsidRPr="00267168">
              <w:rPr>
                <w:bCs/>
                <w:sz w:val="20"/>
                <w:szCs w:val="20"/>
                <w:vertAlign w:val="superscript"/>
                <w:lang w:val="en-GB"/>
              </w:rPr>
              <w:t>(c)</w:t>
            </w:r>
            <w:r>
              <w:rPr>
                <w:bCs/>
                <w:sz w:val="20"/>
                <w:szCs w:val="20"/>
                <w:lang w:val="en-GB"/>
              </w:rPr>
              <w:t xml:space="preserve"> </w:t>
            </w:r>
            <w:r w:rsidRPr="00FA4387">
              <w:rPr>
                <w:bCs/>
                <w:sz w:val="20"/>
                <w:szCs w:val="20"/>
                <w:lang w:val="en-GB"/>
              </w:rPr>
              <w:t>p&lt;0.0</w:t>
            </w:r>
            <w:r>
              <w:rPr>
                <w:bCs/>
                <w:sz w:val="20"/>
                <w:szCs w:val="20"/>
                <w:lang w:val="en-GB"/>
              </w:rPr>
              <w:t>5</w:t>
            </w:r>
          </w:p>
          <w:p w:rsidR="00FA4387" w:rsidRDefault="00EF6124" w:rsidP="00D84593">
            <w:pPr>
              <w:keepNext/>
              <w:rPr>
                <w:bCs/>
                <w:sz w:val="20"/>
                <w:szCs w:val="20"/>
                <w:lang w:val="en-GB"/>
              </w:rPr>
            </w:pPr>
            <w:r>
              <w:rPr>
                <w:bCs/>
                <w:sz w:val="20"/>
                <w:szCs w:val="20"/>
                <w:lang w:val="en-GB"/>
              </w:rPr>
              <w:t xml:space="preserve"> </w:t>
            </w:r>
            <w:r w:rsidR="00FA4387">
              <w:rPr>
                <w:bCs/>
                <w:sz w:val="20"/>
                <w:szCs w:val="20"/>
                <w:lang w:val="en-GB"/>
              </w:rPr>
              <w:t xml:space="preserve">CIMZIA+MTX vs </w:t>
            </w:r>
            <w:proofErr w:type="spellStart"/>
            <w:r w:rsidR="00FA4387">
              <w:rPr>
                <w:bCs/>
                <w:sz w:val="20"/>
                <w:szCs w:val="20"/>
                <w:lang w:val="en-GB"/>
              </w:rPr>
              <w:t>placebo+MTX</w:t>
            </w:r>
            <w:proofErr w:type="spellEnd"/>
            <w:r w:rsidR="00FA4387">
              <w:rPr>
                <w:bCs/>
                <w:sz w:val="20"/>
                <w:szCs w:val="20"/>
                <w:lang w:val="en-GB"/>
              </w:rPr>
              <w:t xml:space="preserve">: </w:t>
            </w:r>
            <w:r>
              <w:rPr>
                <w:bCs/>
                <w:sz w:val="20"/>
                <w:szCs w:val="20"/>
                <w:lang w:val="en-GB"/>
              </w:rPr>
              <w:t xml:space="preserve">p value was estimated from a logistic regression model with factors for treatment, region, and time since </w:t>
            </w:r>
            <w:r w:rsidR="00D84593">
              <w:rPr>
                <w:bCs/>
                <w:sz w:val="20"/>
                <w:szCs w:val="20"/>
                <w:lang w:val="en-GB"/>
              </w:rPr>
              <w:t>rheumatoid arthritis</w:t>
            </w:r>
            <w:r>
              <w:rPr>
                <w:bCs/>
                <w:sz w:val="20"/>
                <w:szCs w:val="20"/>
                <w:lang w:val="en-GB"/>
              </w:rPr>
              <w:t xml:space="preserve"> diagnosis at Baseline (≤4 months vs &gt;4 months)</w:t>
            </w:r>
          </w:p>
          <w:p w:rsidR="008B732A" w:rsidRDefault="008B732A" w:rsidP="00FA4387">
            <w:pPr>
              <w:keepNext/>
              <w:rPr>
                <w:bCs/>
                <w:lang w:val="en-GB"/>
              </w:rPr>
            </w:pPr>
          </w:p>
          <w:p w:rsidR="00EF6124" w:rsidRPr="00D84593" w:rsidRDefault="00EF6124" w:rsidP="00D84593">
            <w:pPr>
              <w:keepNext/>
              <w:rPr>
                <w:bCs/>
                <w:lang w:val="en-GB"/>
              </w:rPr>
            </w:pPr>
          </w:p>
          <w:p w:rsidR="001C1840" w:rsidRPr="005F599E" w:rsidRDefault="001C1840" w:rsidP="00183159">
            <w:pPr>
              <w:pStyle w:val="Paragraph"/>
              <w:keepNext/>
              <w:rPr>
                <w:i/>
                <w:u w:val="single"/>
                <w:lang w:val="en-GB"/>
              </w:rPr>
            </w:pPr>
            <w:r w:rsidRPr="005F599E">
              <w:rPr>
                <w:i/>
                <w:u w:val="single"/>
                <w:lang w:val="en-GB"/>
              </w:rPr>
              <w:lastRenderedPageBreak/>
              <w:t>Radiographic Response</w:t>
            </w:r>
          </w:p>
          <w:p w:rsidR="001C1840" w:rsidRPr="0052262B" w:rsidRDefault="001C1840" w:rsidP="00183159">
            <w:pPr>
              <w:pStyle w:val="Paragraph"/>
              <w:keepNext/>
              <w:rPr>
                <w:lang w:val="en-GB"/>
              </w:rPr>
            </w:pPr>
            <w:r w:rsidRPr="0052262B">
              <w:rPr>
                <w:lang w:val="en-GB"/>
              </w:rPr>
              <w:t xml:space="preserve">In Study RA-I, inhibition of progression of structural damage was assessed </w:t>
            </w:r>
            <w:proofErr w:type="spellStart"/>
            <w:r w:rsidRPr="0052262B">
              <w:rPr>
                <w:lang w:val="en-GB"/>
              </w:rPr>
              <w:t>radiographically</w:t>
            </w:r>
            <w:proofErr w:type="spellEnd"/>
            <w:r w:rsidRPr="0052262B">
              <w:rPr>
                <w:lang w:val="en-GB"/>
              </w:rPr>
              <w:t xml:space="preserve"> and expressed as the change in modified total Sharp score (</w:t>
            </w:r>
            <w:proofErr w:type="spellStart"/>
            <w:r w:rsidRPr="0052262B">
              <w:rPr>
                <w:lang w:val="en-GB"/>
              </w:rPr>
              <w:t>mTSS</w:t>
            </w:r>
            <w:proofErr w:type="spellEnd"/>
            <w:r w:rsidRPr="0052262B">
              <w:rPr>
                <w:lang w:val="en-GB"/>
              </w:rPr>
              <w:t xml:space="preserve">) and its components, the erosion score (ES) and joint space narrowing (JSN) score, at Week 52, compared to baseline.  </w:t>
            </w:r>
            <w:r w:rsidRPr="0052262B">
              <w:rPr>
                <w:rFonts w:eastAsia="SimHei"/>
                <w:lang w:val="en-GB"/>
              </w:rPr>
              <w:t>CIMZIA</w:t>
            </w:r>
            <w:r w:rsidR="00DF1F1E" w:rsidRPr="0052262B">
              <w:rPr>
                <w:rFonts w:eastAsia="SimHei"/>
                <w:lang w:val="en-GB"/>
              </w:rPr>
              <w:t xml:space="preserve"> </w:t>
            </w:r>
            <w:r w:rsidRPr="0052262B">
              <w:rPr>
                <w:rFonts w:eastAsia="SimHei"/>
                <w:lang w:val="en-GB"/>
              </w:rPr>
              <w:t>+</w:t>
            </w:r>
            <w:r w:rsidR="00DF1F1E" w:rsidRPr="0052262B">
              <w:rPr>
                <w:rFonts w:eastAsia="SimHei"/>
                <w:lang w:val="en-GB"/>
              </w:rPr>
              <w:t xml:space="preserve"> </w:t>
            </w:r>
            <w:r w:rsidRPr="0052262B">
              <w:rPr>
                <w:rFonts w:eastAsia="SimHei"/>
                <w:lang w:val="en-GB"/>
              </w:rPr>
              <w:t xml:space="preserve">MTX inhibited the progression of structural damage compared to placebo plus MTX after 12 months of treatment as shown in Table </w:t>
            </w:r>
            <w:r w:rsidR="000A17A0">
              <w:rPr>
                <w:rFonts w:eastAsia="SimHei"/>
                <w:lang w:val="en-GB"/>
              </w:rPr>
              <w:t>5</w:t>
            </w:r>
            <w:r w:rsidRPr="0052262B">
              <w:rPr>
                <w:rFonts w:eastAsia="SimHei"/>
                <w:lang w:val="en-GB"/>
              </w:rPr>
              <w:t>.</w:t>
            </w:r>
            <w:r w:rsidRPr="0052262B">
              <w:rPr>
                <w:lang w:val="en-GB"/>
              </w:rPr>
              <w:t xml:space="preserve"> In the CIMZIA 200 mg every other week + MTX treatment group</w:t>
            </w:r>
            <w:r w:rsidR="00EE6906" w:rsidRPr="0052262B">
              <w:rPr>
                <w:lang w:val="en-GB"/>
              </w:rPr>
              <w:t>, 69% of patients experienced no radiographic progression (</w:t>
            </w:r>
            <w:proofErr w:type="spellStart"/>
            <w:r w:rsidR="00EE6906" w:rsidRPr="0052262B">
              <w:rPr>
                <w:lang w:val="en-GB"/>
              </w:rPr>
              <w:t>mTSS</w:t>
            </w:r>
            <w:proofErr w:type="spellEnd"/>
            <w:r w:rsidR="00EE6906" w:rsidRPr="0052262B">
              <w:rPr>
                <w:lang w:val="en-GB"/>
              </w:rPr>
              <w:t xml:space="preserve"> ≤0.0), compared to 52% of patients in the placebo group</w:t>
            </w:r>
            <w:r w:rsidRPr="0052262B">
              <w:rPr>
                <w:lang w:val="en-GB"/>
              </w:rPr>
              <w:t>.  Study RA-II showed similar results to RA-I at Week 24.</w:t>
            </w:r>
          </w:p>
          <w:p w:rsidR="000E0C7B" w:rsidRPr="007C2937" w:rsidRDefault="001C1840" w:rsidP="00413B6B">
            <w:pPr>
              <w:pStyle w:val="Paragraph"/>
              <w:keepNext/>
              <w:rPr>
                <w:b/>
                <w:bCs/>
                <w:lang w:val="en-GB"/>
              </w:rPr>
            </w:pPr>
            <w:r w:rsidRPr="0052262B">
              <w:rPr>
                <w:lang w:val="en-GB"/>
              </w:rPr>
              <w:br w:type="page"/>
            </w:r>
            <w:r w:rsidR="000E0C7B" w:rsidRPr="0052262B">
              <w:rPr>
                <w:b/>
                <w:bCs/>
                <w:lang w:val="en-GB"/>
              </w:rPr>
              <w:t xml:space="preserve">Table </w:t>
            </w:r>
            <w:r w:rsidR="00CC3C79">
              <w:rPr>
                <w:b/>
                <w:bCs/>
                <w:lang w:val="en-GB"/>
              </w:rPr>
              <w:t>5</w:t>
            </w:r>
            <w:r w:rsidR="000E0C7B" w:rsidRPr="0052262B">
              <w:rPr>
                <w:b/>
                <w:bCs/>
                <w:lang w:val="en-GB"/>
              </w:rPr>
              <w:t xml:space="preserve">: </w:t>
            </w:r>
            <w:r w:rsidR="000E0C7B" w:rsidRPr="0052262B">
              <w:rPr>
                <w:b/>
                <w:bCs/>
                <w:lang w:val="en-GB"/>
              </w:rPr>
              <w:tab/>
            </w:r>
            <w:r w:rsidR="000E0C7B" w:rsidRPr="007C2937">
              <w:rPr>
                <w:b/>
                <w:bCs/>
                <w:lang w:val="en-GB"/>
              </w:rPr>
              <w:t xml:space="preserve">Radiographic Changes at 6 and 12 Months in Study RA-I and </w:t>
            </w:r>
            <w:r w:rsidR="009156EC" w:rsidRPr="007C2937">
              <w:rPr>
                <w:b/>
                <w:bCs/>
                <w:lang w:val="en-GB"/>
              </w:rPr>
              <w:t>at 6 M</w:t>
            </w:r>
            <w:r w:rsidR="00AD338E" w:rsidRPr="007C2937">
              <w:rPr>
                <w:b/>
                <w:bCs/>
                <w:lang w:val="en-GB"/>
              </w:rPr>
              <w:t xml:space="preserve">onths in Study </w:t>
            </w:r>
            <w:r w:rsidR="000E0C7B" w:rsidRPr="007C2937">
              <w:rPr>
                <w:b/>
                <w:bCs/>
                <w:lang w:val="en-GB"/>
              </w:rPr>
              <w:t>RA-II</w:t>
            </w:r>
          </w:p>
          <w:p w:rsidR="000E0C7B" w:rsidRPr="007C2937" w:rsidRDefault="000E0C7B" w:rsidP="000E0C7B">
            <w:pPr>
              <w:keepNext/>
              <w:ind w:hanging="120"/>
              <w:rPr>
                <w:b/>
                <w:bCs/>
                <w:lang w:val="en-GB"/>
              </w:rPr>
            </w:pPr>
          </w:p>
          <w:tbl>
            <w:tblPr>
              <w:tblW w:w="88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5"/>
              <w:gridCol w:w="1274"/>
              <w:gridCol w:w="1273"/>
              <w:gridCol w:w="1274"/>
              <w:gridCol w:w="1274"/>
              <w:gridCol w:w="1132"/>
              <w:gridCol w:w="1132"/>
            </w:tblGrid>
            <w:tr w:rsidR="002B4D77" w:rsidRPr="007C2937" w:rsidTr="00D97490">
              <w:trPr>
                <w:trHeight w:val="18"/>
              </w:trPr>
              <w:tc>
                <w:tcPr>
                  <w:tcW w:w="1445"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rPr>
                      <w:b/>
                      <w:bCs/>
                      <w:sz w:val="22"/>
                      <w:szCs w:val="22"/>
                      <w:lang w:val="en-GB"/>
                    </w:rPr>
                  </w:pPr>
                </w:p>
              </w:tc>
              <w:tc>
                <w:tcPr>
                  <w:tcW w:w="2547" w:type="dxa"/>
                  <w:gridSpan w:val="2"/>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b/>
                      <w:bCs/>
                      <w:sz w:val="22"/>
                      <w:szCs w:val="22"/>
                      <w:lang w:val="en-GB"/>
                    </w:rPr>
                  </w:pPr>
                  <w:r w:rsidRPr="007C2937">
                    <w:rPr>
                      <w:b/>
                      <w:bCs/>
                      <w:sz w:val="22"/>
                      <w:szCs w:val="22"/>
                      <w:lang w:val="en-GB"/>
                    </w:rPr>
                    <w:t>Placebo + MTX</w:t>
                  </w:r>
                </w:p>
                <w:p w:rsidR="002B4D77" w:rsidRPr="007C2937" w:rsidRDefault="002B4D77" w:rsidP="00D04B31">
                  <w:pPr>
                    <w:keepNext/>
                    <w:autoSpaceDE w:val="0"/>
                    <w:autoSpaceDN w:val="0"/>
                    <w:adjustRightInd w:val="0"/>
                    <w:jc w:val="center"/>
                    <w:rPr>
                      <w:b/>
                      <w:bCs/>
                      <w:sz w:val="22"/>
                      <w:szCs w:val="22"/>
                      <w:lang w:val="pt-PT"/>
                    </w:rPr>
                  </w:pPr>
                  <w:r w:rsidRPr="007C2937">
                    <w:rPr>
                      <w:b/>
                      <w:bCs/>
                      <w:sz w:val="22"/>
                      <w:szCs w:val="22"/>
                      <w:lang w:val="en-GB"/>
                    </w:rPr>
                    <w:t>Mean (SD)</w:t>
                  </w:r>
                </w:p>
              </w:tc>
              <w:tc>
                <w:tcPr>
                  <w:tcW w:w="2548" w:type="dxa"/>
                  <w:gridSpan w:val="2"/>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b/>
                      <w:bCs/>
                      <w:sz w:val="22"/>
                      <w:szCs w:val="22"/>
                      <w:lang w:val="pt-PT"/>
                    </w:rPr>
                  </w:pPr>
                  <w:r w:rsidRPr="007C2937">
                    <w:rPr>
                      <w:b/>
                      <w:bCs/>
                      <w:sz w:val="22"/>
                      <w:szCs w:val="22"/>
                      <w:lang w:val="pt-PT"/>
                    </w:rPr>
                    <w:t>CIMZIA</w:t>
                  </w:r>
                  <w:r w:rsidRPr="007C2937">
                    <w:rPr>
                      <w:b/>
                      <w:bCs/>
                      <w:sz w:val="22"/>
                      <w:szCs w:val="22"/>
                      <w:vertAlign w:val="superscript"/>
                      <w:lang w:val="pt-PT"/>
                    </w:rPr>
                    <w:t>(a)</w:t>
                  </w:r>
                  <w:r w:rsidRPr="007C2937">
                    <w:rPr>
                      <w:b/>
                      <w:bCs/>
                      <w:sz w:val="22"/>
                      <w:szCs w:val="22"/>
                      <w:lang w:val="pt-PT"/>
                    </w:rPr>
                    <w:t xml:space="preserve"> 200 mg </w:t>
                  </w:r>
                  <w:r w:rsidRPr="007C2937">
                    <w:rPr>
                      <w:b/>
                      <w:bCs/>
                      <w:sz w:val="22"/>
                      <w:szCs w:val="22"/>
                      <w:lang w:val="pt-PT"/>
                    </w:rPr>
                    <w:br/>
                    <w:t>q2 weeks + MTX</w:t>
                  </w:r>
                </w:p>
                <w:p w:rsidR="002B4D77" w:rsidRPr="007C2937" w:rsidRDefault="002B4D77" w:rsidP="00D04B31">
                  <w:pPr>
                    <w:keepNext/>
                    <w:autoSpaceDE w:val="0"/>
                    <w:autoSpaceDN w:val="0"/>
                    <w:adjustRightInd w:val="0"/>
                    <w:jc w:val="center"/>
                    <w:rPr>
                      <w:b/>
                      <w:bCs/>
                      <w:sz w:val="22"/>
                      <w:szCs w:val="22"/>
                      <w:lang w:val="en-GB"/>
                    </w:rPr>
                  </w:pPr>
                  <w:r w:rsidRPr="007C2937">
                    <w:rPr>
                      <w:b/>
                      <w:bCs/>
                      <w:sz w:val="22"/>
                      <w:szCs w:val="22"/>
                      <w:lang w:val="en-GB"/>
                    </w:rPr>
                    <w:t>Mean (SD)</w:t>
                  </w:r>
                </w:p>
              </w:tc>
              <w:tc>
                <w:tcPr>
                  <w:tcW w:w="2264" w:type="dxa"/>
                  <w:gridSpan w:val="2"/>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b/>
                      <w:bCs/>
                      <w:sz w:val="22"/>
                      <w:szCs w:val="22"/>
                      <w:lang w:val="en-GB"/>
                    </w:rPr>
                  </w:pPr>
                  <w:r w:rsidRPr="007C2937">
                    <w:rPr>
                      <w:b/>
                      <w:bCs/>
                      <w:sz w:val="22"/>
                      <w:szCs w:val="22"/>
                      <w:lang w:val="en-GB"/>
                    </w:rPr>
                    <w:t>CIMZIA</w:t>
                  </w:r>
                  <w:r w:rsidRPr="007C2937">
                    <w:rPr>
                      <w:b/>
                      <w:bCs/>
                      <w:sz w:val="22"/>
                      <w:szCs w:val="22"/>
                      <w:vertAlign w:val="superscript"/>
                      <w:lang w:val="en-GB"/>
                    </w:rPr>
                    <w:t>(a)</w:t>
                  </w:r>
                  <w:r w:rsidRPr="007C2937">
                    <w:rPr>
                      <w:b/>
                      <w:bCs/>
                      <w:sz w:val="22"/>
                      <w:szCs w:val="22"/>
                      <w:lang w:val="en-GB"/>
                    </w:rPr>
                    <w:t xml:space="preserve"> 200 mg + MTX – </w:t>
                  </w:r>
                </w:p>
                <w:p w:rsidR="002B4D77" w:rsidRPr="007C2937" w:rsidRDefault="002B4D77" w:rsidP="00D04B31">
                  <w:pPr>
                    <w:keepNext/>
                    <w:autoSpaceDE w:val="0"/>
                    <w:autoSpaceDN w:val="0"/>
                    <w:adjustRightInd w:val="0"/>
                    <w:jc w:val="center"/>
                    <w:rPr>
                      <w:b/>
                      <w:bCs/>
                      <w:sz w:val="22"/>
                      <w:szCs w:val="22"/>
                      <w:lang w:val="en-GB"/>
                    </w:rPr>
                  </w:pPr>
                  <w:r w:rsidRPr="007C2937">
                    <w:rPr>
                      <w:b/>
                      <w:bCs/>
                      <w:sz w:val="22"/>
                      <w:szCs w:val="22"/>
                      <w:lang w:val="en-GB"/>
                    </w:rPr>
                    <w:t>Placebo + MTX</w:t>
                  </w:r>
                </w:p>
                <w:p w:rsidR="002B4D77" w:rsidRPr="007C2937" w:rsidRDefault="002B4D77" w:rsidP="00D04B31">
                  <w:pPr>
                    <w:keepNext/>
                    <w:autoSpaceDE w:val="0"/>
                    <w:autoSpaceDN w:val="0"/>
                    <w:adjustRightInd w:val="0"/>
                    <w:jc w:val="center"/>
                    <w:rPr>
                      <w:b/>
                      <w:bCs/>
                      <w:sz w:val="22"/>
                      <w:szCs w:val="22"/>
                      <w:lang w:val="en-GB"/>
                    </w:rPr>
                  </w:pPr>
                  <w:r w:rsidRPr="007C2937">
                    <w:rPr>
                      <w:b/>
                      <w:bCs/>
                      <w:sz w:val="22"/>
                      <w:szCs w:val="22"/>
                      <w:lang w:val="en-GB"/>
                    </w:rPr>
                    <w:t xml:space="preserve">Mean Difference </w:t>
                  </w:r>
                </w:p>
              </w:tc>
            </w:tr>
            <w:tr w:rsidR="002B4D77" w:rsidRPr="007C2937" w:rsidTr="00D97490">
              <w:trPr>
                <w:cantSplit/>
                <w:trHeight w:val="18"/>
              </w:trPr>
              <w:tc>
                <w:tcPr>
                  <w:tcW w:w="1445"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rPr>
                      <w:b/>
                      <w:bCs/>
                      <w:sz w:val="22"/>
                      <w:szCs w:val="22"/>
                      <w:lang w:val="en-GB"/>
                    </w:rPr>
                  </w:pPr>
                </w:p>
              </w:tc>
              <w:tc>
                <w:tcPr>
                  <w:tcW w:w="1274" w:type="dxa"/>
                  <w:tcBorders>
                    <w:top w:val="single" w:sz="4" w:space="0" w:color="auto"/>
                    <w:left w:val="single" w:sz="4" w:space="0" w:color="auto"/>
                    <w:right w:val="single" w:sz="4" w:space="0" w:color="auto"/>
                  </w:tcBorders>
                </w:tcPr>
                <w:p w:rsidR="002B4D77" w:rsidRPr="007C2937" w:rsidRDefault="002B4D77" w:rsidP="00D04B31">
                  <w:pPr>
                    <w:keepNext/>
                    <w:autoSpaceDE w:val="0"/>
                    <w:autoSpaceDN w:val="0"/>
                    <w:adjustRightInd w:val="0"/>
                    <w:jc w:val="center"/>
                    <w:rPr>
                      <w:b/>
                      <w:bCs/>
                      <w:sz w:val="22"/>
                      <w:szCs w:val="22"/>
                      <w:lang w:val="en-GB"/>
                    </w:rPr>
                  </w:pPr>
                  <w:r w:rsidRPr="007C2937">
                    <w:rPr>
                      <w:b/>
                      <w:bCs/>
                      <w:sz w:val="22"/>
                      <w:szCs w:val="22"/>
                      <w:lang w:val="en-GB"/>
                    </w:rPr>
                    <w:t>RA-I</w:t>
                  </w:r>
                </w:p>
                <w:p w:rsidR="002B4D77" w:rsidRPr="007C2937" w:rsidRDefault="002B4D77" w:rsidP="00D04B31">
                  <w:pPr>
                    <w:keepNext/>
                    <w:autoSpaceDE w:val="0"/>
                    <w:autoSpaceDN w:val="0"/>
                    <w:adjustRightInd w:val="0"/>
                    <w:jc w:val="center"/>
                    <w:rPr>
                      <w:sz w:val="22"/>
                      <w:szCs w:val="22"/>
                      <w:lang w:val="en-GB"/>
                    </w:rPr>
                  </w:pPr>
                  <w:r w:rsidRPr="007C2937">
                    <w:rPr>
                      <w:b/>
                      <w:bCs/>
                      <w:sz w:val="22"/>
                      <w:szCs w:val="22"/>
                      <w:lang w:val="en-GB"/>
                    </w:rPr>
                    <w:t>N=199</w:t>
                  </w:r>
                </w:p>
              </w:tc>
              <w:tc>
                <w:tcPr>
                  <w:tcW w:w="1273" w:type="dxa"/>
                  <w:tcBorders>
                    <w:top w:val="single" w:sz="4" w:space="0" w:color="auto"/>
                    <w:left w:val="single" w:sz="4" w:space="0" w:color="auto"/>
                    <w:right w:val="single" w:sz="4" w:space="0" w:color="auto"/>
                  </w:tcBorders>
                </w:tcPr>
                <w:p w:rsidR="002B4D77" w:rsidRPr="007C2937" w:rsidRDefault="002B4D77" w:rsidP="00D04B31">
                  <w:pPr>
                    <w:keepNext/>
                    <w:autoSpaceDE w:val="0"/>
                    <w:autoSpaceDN w:val="0"/>
                    <w:adjustRightInd w:val="0"/>
                    <w:jc w:val="center"/>
                    <w:rPr>
                      <w:b/>
                      <w:sz w:val="22"/>
                      <w:szCs w:val="22"/>
                      <w:lang w:val="en-GB"/>
                    </w:rPr>
                  </w:pPr>
                  <w:r w:rsidRPr="007C2937">
                    <w:rPr>
                      <w:b/>
                      <w:sz w:val="22"/>
                      <w:szCs w:val="22"/>
                      <w:lang w:val="en-GB"/>
                    </w:rPr>
                    <w:t>RA-II</w:t>
                  </w:r>
                </w:p>
                <w:p w:rsidR="002B4D77" w:rsidRPr="007C2937" w:rsidRDefault="002B4D77" w:rsidP="00D04B31">
                  <w:pPr>
                    <w:keepNext/>
                    <w:autoSpaceDE w:val="0"/>
                    <w:autoSpaceDN w:val="0"/>
                    <w:adjustRightInd w:val="0"/>
                    <w:jc w:val="center"/>
                    <w:rPr>
                      <w:b/>
                      <w:sz w:val="22"/>
                      <w:szCs w:val="22"/>
                      <w:lang w:val="en-GB"/>
                    </w:rPr>
                  </w:pPr>
                  <w:r w:rsidRPr="007C2937">
                    <w:rPr>
                      <w:b/>
                      <w:sz w:val="22"/>
                      <w:szCs w:val="22"/>
                      <w:lang w:val="en-GB"/>
                    </w:rPr>
                    <w:t>N=127</w:t>
                  </w:r>
                </w:p>
              </w:tc>
              <w:tc>
                <w:tcPr>
                  <w:tcW w:w="1274"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b/>
                      <w:sz w:val="22"/>
                      <w:szCs w:val="22"/>
                      <w:lang w:val="en-GB"/>
                    </w:rPr>
                  </w:pPr>
                  <w:r w:rsidRPr="007C2937">
                    <w:rPr>
                      <w:b/>
                      <w:sz w:val="22"/>
                      <w:szCs w:val="22"/>
                      <w:lang w:val="en-GB"/>
                    </w:rPr>
                    <w:t>RA-I</w:t>
                  </w:r>
                </w:p>
                <w:p w:rsidR="002B4D77" w:rsidRPr="007C2937" w:rsidRDefault="002B4D77" w:rsidP="00D04B31">
                  <w:pPr>
                    <w:keepNext/>
                    <w:autoSpaceDE w:val="0"/>
                    <w:autoSpaceDN w:val="0"/>
                    <w:adjustRightInd w:val="0"/>
                    <w:jc w:val="center"/>
                    <w:rPr>
                      <w:b/>
                      <w:sz w:val="22"/>
                      <w:szCs w:val="22"/>
                      <w:lang w:val="en-GB"/>
                    </w:rPr>
                  </w:pPr>
                  <w:r w:rsidRPr="007C2937">
                    <w:rPr>
                      <w:b/>
                      <w:sz w:val="22"/>
                      <w:szCs w:val="22"/>
                      <w:lang w:val="en-GB"/>
                    </w:rPr>
                    <w:t>N=393</w:t>
                  </w:r>
                </w:p>
              </w:tc>
              <w:tc>
                <w:tcPr>
                  <w:tcW w:w="1274"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b/>
                      <w:sz w:val="22"/>
                      <w:szCs w:val="22"/>
                      <w:lang w:val="en-GB"/>
                    </w:rPr>
                  </w:pPr>
                  <w:r w:rsidRPr="007C2937">
                    <w:rPr>
                      <w:b/>
                      <w:sz w:val="22"/>
                      <w:szCs w:val="22"/>
                      <w:lang w:val="en-GB"/>
                    </w:rPr>
                    <w:t>RA-II</w:t>
                  </w:r>
                </w:p>
                <w:p w:rsidR="002B4D77" w:rsidRPr="007C2937" w:rsidRDefault="002B4D77" w:rsidP="00D04B31">
                  <w:pPr>
                    <w:keepNext/>
                    <w:autoSpaceDE w:val="0"/>
                    <w:autoSpaceDN w:val="0"/>
                    <w:adjustRightInd w:val="0"/>
                    <w:jc w:val="center"/>
                    <w:rPr>
                      <w:b/>
                      <w:sz w:val="22"/>
                      <w:szCs w:val="22"/>
                      <w:lang w:val="en-GB"/>
                    </w:rPr>
                  </w:pPr>
                  <w:r w:rsidRPr="007C2937">
                    <w:rPr>
                      <w:b/>
                      <w:sz w:val="22"/>
                      <w:szCs w:val="22"/>
                      <w:lang w:val="en-GB"/>
                    </w:rPr>
                    <w:t>N= 246</w:t>
                  </w:r>
                </w:p>
              </w:tc>
              <w:tc>
                <w:tcPr>
                  <w:tcW w:w="1132" w:type="dxa"/>
                  <w:tcBorders>
                    <w:top w:val="single" w:sz="4" w:space="0" w:color="auto"/>
                    <w:left w:val="single" w:sz="4" w:space="0" w:color="auto"/>
                    <w:bottom w:val="nil"/>
                    <w:right w:val="single" w:sz="4" w:space="0" w:color="auto"/>
                  </w:tcBorders>
                </w:tcPr>
                <w:p w:rsidR="002B4D77" w:rsidRPr="007C2937" w:rsidRDefault="002B4D77" w:rsidP="00E33117">
                  <w:pPr>
                    <w:keepNext/>
                    <w:autoSpaceDE w:val="0"/>
                    <w:autoSpaceDN w:val="0"/>
                    <w:adjustRightInd w:val="0"/>
                    <w:jc w:val="center"/>
                    <w:rPr>
                      <w:b/>
                      <w:sz w:val="22"/>
                      <w:szCs w:val="22"/>
                      <w:lang w:val="en-GB"/>
                    </w:rPr>
                  </w:pPr>
                  <w:r w:rsidRPr="007C2937">
                    <w:rPr>
                      <w:b/>
                      <w:sz w:val="22"/>
                      <w:szCs w:val="22"/>
                      <w:lang w:val="en-GB"/>
                    </w:rPr>
                    <w:t>RA-I</w:t>
                  </w:r>
                </w:p>
              </w:tc>
              <w:tc>
                <w:tcPr>
                  <w:tcW w:w="1132" w:type="dxa"/>
                  <w:tcBorders>
                    <w:top w:val="single" w:sz="4" w:space="0" w:color="auto"/>
                    <w:left w:val="single" w:sz="4" w:space="0" w:color="auto"/>
                    <w:bottom w:val="nil"/>
                    <w:right w:val="single" w:sz="4" w:space="0" w:color="auto"/>
                  </w:tcBorders>
                </w:tcPr>
                <w:p w:rsidR="002B4D77" w:rsidRPr="007C2937" w:rsidRDefault="002B4D77" w:rsidP="00CC223C">
                  <w:pPr>
                    <w:keepNext/>
                    <w:autoSpaceDE w:val="0"/>
                    <w:autoSpaceDN w:val="0"/>
                    <w:adjustRightInd w:val="0"/>
                    <w:jc w:val="center"/>
                    <w:rPr>
                      <w:b/>
                      <w:sz w:val="22"/>
                      <w:szCs w:val="22"/>
                      <w:lang w:val="en-GB"/>
                    </w:rPr>
                  </w:pPr>
                  <w:r w:rsidRPr="007C2937">
                    <w:rPr>
                      <w:b/>
                      <w:sz w:val="22"/>
                      <w:szCs w:val="22"/>
                      <w:lang w:val="en-GB"/>
                    </w:rPr>
                    <w:t>RA-II</w:t>
                  </w:r>
                </w:p>
              </w:tc>
            </w:tr>
            <w:tr w:rsidR="002B4D77" w:rsidRPr="007C2937" w:rsidTr="00D97490">
              <w:trPr>
                <w:cantSplit/>
                <w:trHeight w:val="18"/>
              </w:trPr>
              <w:tc>
                <w:tcPr>
                  <w:tcW w:w="1445"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rPr>
                      <w:b/>
                      <w:bCs/>
                      <w:sz w:val="22"/>
                      <w:szCs w:val="22"/>
                      <w:lang w:val="en-GB"/>
                    </w:rPr>
                  </w:pPr>
                  <w:proofErr w:type="spellStart"/>
                  <w:r w:rsidRPr="007C2937">
                    <w:rPr>
                      <w:b/>
                      <w:bCs/>
                      <w:sz w:val="22"/>
                      <w:szCs w:val="22"/>
                      <w:lang w:val="en-GB"/>
                    </w:rPr>
                    <w:t>mTSS</w:t>
                  </w:r>
                  <w:proofErr w:type="spellEnd"/>
                </w:p>
              </w:tc>
              <w:tc>
                <w:tcPr>
                  <w:tcW w:w="1274" w:type="dxa"/>
                  <w:tcBorders>
                    <w:top w:val="single" w:sz="4" w:space="0" w:color="auto"/>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3" w:type="dxa"/>
                  <w:tcBorders>
                    <w:top w:val="single" w:sz="4" w:space="0" w:color="auto"/>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4"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4"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132"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132"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r>
            <w:tr w:rsidR="009156EC" w:rsidRPr="007C2937" w:rsidTr="00D97490">
              <w:trPr>
                <w:cantSplit/>
                <w:trHeight w:val="18"/>
              </w:trPr>
              <w:tc>
                <w:tcPr>
                  <w:tcW w:w="1445" w:type="dxa"/>
                  <w:tcBorders>
                    <w:top w:val="nil"/>
                    <w:left w:val="single" w:sz="4" w:space="0" w:color="auto"/>
                    <w:bottom w:val="nil"/>
                    <w:right w:val="single" w:sz="4" w:space="0" w:color="auto"/>
                  </w:tcBorders>
                </w:tcPr>
                <w:p w:rsidR="009156EC" w:rsidRPr="007C2937" w:rsidRDefault="005A37DC" w:rsidP="00D04B31">
                  <w:pPr>
                    <w:keepNext/>
                    <w:autoSpaceDE w:val="0"/>
                    <w:autoSpaceDN w:val="0"/>
                    <w:adjustRightInd w:val="0"/>
                    <w:rPr>
                      <w:sz w:val="22"/>
                      <w:szCs w:val="22"/>
                      <w:lang w:val="en-GB"/>
                    </w:rPr>
                  </w:pPr>
                  <w:r w:rsidRPr="007C2937">
                    <w:rPr>
                      <w:sz w:val="22"/>
                      <w:szCs w:val="22"/>
                      <w:lang w:val="en-GB"/>
                    </w:rPr>
                    <w:t>N</w:t>
                  </w:r>
                </w:p>
              </w:tc>
              <w:tc>
                <w:tcPr>
                  <w:tcW w:w="1274" w:type="dxa"/>
                  <w:tcBorders>
                    <w:left w:val="single" w:sz="4" w:space="0" w:color="auto"/>
                    <w:right w:val="single" w:sz="4" w:space="0" w:color="auto"/>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199</w:t>
                  </w:r>
                </w:p>
              </w:tc>
              <w:tc>
                <w:tcPr>
                  <w:tcW w:w="1273" w:type="dxa"/>
                  <w:tcBorders>
                    <w:left w:val="single" w:sz="4" w:space="0" w:color="auto"/>
                    <w:right w:val="single" w:sz="4" w:space="0" w:color="auto"/>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125</w:t>
                  </w:r>
                </w:p>
              </w:tc>
              <w:tc>
                <w:tcPr>
                  <w:tcW w:w="1274" w:type="dxa"/>
                  <w:tcBorders>
                    <w:top w:val="nil"/>
                    <w:left w:val="single" w:sz="4" w:space="0" w:color="auto"/>
                    <w:bottom w:val="nil"/>
                    <w:right w:val="single" w:sz="4" w:space="0" w:color="auto"/>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391</w:t>
                  </w:r>
                </w:p>
              </w:tc>
              <w:tc>
                <w:tcPr>
                  <w:tcW w:w="1274" w:type="dxa"/>
                  <w:tcBorders>
                    <w:top w:val="nil"/>
                    <w:left w:val="single" w:sz="4" w:space="0" w:color="auto"/>
                    <w:bottom w:val="nil"/>
                    <w:right w:val="single" w:sz="4" w:space="0" w:color="auto"/>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241</w:t>
                  </w:r>
                </w:p>
              </w:tc>
              <w:tc>
                <w:tcPr>
                  <w:tcW w:w="1132" w:type="dxa"/>
                  <w:tcBorders>
                    <w:top w:val="nil"/>
                    <w:left w:val="single" w:sz="4" w:space="0" w:color="auto"/>
                    <w:bottom w:val="nil"/>
                    <w:right w:val="single" w:sz="4" w:space="0" w:color="auto"/>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w:t>
                  </w:r>
                </w:p>
              </w:tc>
              <w:tc>
                <w:tcPr>
                  <w:tcW w:w="1132" w:type="dxa"/>
                  <w:tcBorders>
                    <w:top w:val="nil"/>
                    <w:left w:val="single" w:sz="4" w:space="0" w:color="auto"/>
                    <w:bottom w:val="nil"/>
                    <w:right w:val="single" w:sz="4" w:space="0" w:color="auto"/>
                  </w:tcBorders>
                </w:tcPr>
                <w:p w:rsidR="009156EC" w:rsidRPr="007C2937" w:rsidRDefault="00630B49" w:rsidP="00D04B31">
                  <w:pPr>
                    <w:keepNext/>
                    <w:autoSpaceDE w:val="0"/>
                    <w:autoSpaceDN w:val="0"/>
                    <w:adjustRightInd w:val="0"/>
                    <w:jc w:val="center"/>
                    <w:rPr>
                      <w:sz w:val="22"/>
                      <w:szCs w:val="22"/>
                      <w:lang w:val="en-GB"/>
                    </w:rPr>
                  </w:pPr>
                  <w:r w:rsidRPr="007C2937">
                    <w:rPr>
                      <w:sz w:val="22"/>
                      <w:szCs w:val="22"/>
                      <w:lang w:val="en-GB"/>
                    </w:rPr>
                    <w:t>--</w:t>
                  </w:r>
                </w:p>
              </w:tc>
            </w:tr>
            <w:tr w:rsidR="002B4D77" w:rsidRPr="007C2937" w:rsidTr="00D97490">
              <w:trPr>
                <w:cantSplit/>
                <w:trHeight w:val="18"/>
              </w:trPr>
              <w:tc>
                <w:tcPr>
                  <w:tcW w:w="1445"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Baseline</w:t>
                  </w:r>
                </w:p>
              </w:tc>
              <w:tc>
                <w:tcPr>
                  <w:tcW w:w="1274" w:type="dxa"/>
                  <w:tcBorders>
                    <w:left w:val="single" w:sz="4" w:space="0" w:color="auto"/>
                    <w:right w:val="single" w:sz="4" w:space="0" w:color="auto"/>
                  </w:tcBorders>
                </w:tcPr>
                <w:p w:rsidR="002B4D77" w:rsidRPr="007C2937" w:rsidRDefault="00522A2A" w:rsidP="00522A2A">
                  <w:pPr>
                    <w:keepNext/>
                    <w:autoSpaceDE w:val="0"/>
                    <w:autoSpaceDN w:val="0"/>
                    <w:adjustRightInd w:val="0"/>
                    <w:jc w:val="center"/>
                    <w:rPr>
                      <w:sz w:val="22"/>
                      <w:szCs w:val="22"/>
                      <w:lang w:val="en-GB"/>
                    </w:rPr>
                  </w:pPr>
                  <w:r w:rsidRPr="007C2937">
                    <w:rPr>
                      <w:sz w:val="22"/>
                      <w:szCs w:val="22"/>
                      <w:lang w:val="en-GB"/>
                    </w:rPr>
                    <w:t>39</w:t>
                  </w:r>
                  <w:r w:rsidR="002B4D77" w:rsidRPr="007C2937">
                    <w:rPr>
                      <w:sz w:val="22"/>
                      <w:szCs w:val="22"/>
                      <w:lang w:val="en-GB"/>
                    </w:rPr>
                    <w:t xml:space="preserve"> (45)</w:t>
                  </w:r>
                </w:p>
              </w:tc>
              <w:tc>
                <w:tcPr>
                  <w:tcW w:w="1273"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47 (59)</w:t>
                  </w:r>
                </w:p>
              </w:tc>
              <w:tc>
                <w:tcPr>
                  <w:tcW w:w="127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38 (49)</w:t>
                  </w:r>
                </w:p>
              </w:tc>
              <w:tc>
                <w:tcPr>
                  <w:tcW w:w="127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40 (50)</w:t>
                  </w:r>
                </w:p>
              </w:tc>
              <w:tc>
                <w:tcPr>
                  <w:tcW w:w="1132"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w:t>
                  </w:r>
                </w:p>
              </w:tc>
              <w:tc>
                <w:tcPr>
                  <w:tcW w:w="1132"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w:t>
                  </w:r>
                </w:p>
              </w:tc>
            </w:tr>
            <w:tr w:rsidR="009156EC" w:rsidRPr="007C2937" w:rsidTr="00D97490">
              <w:trPr>
                <w:cantSplit/>
                <w:trHeight w:val="18"/>
              </w:trPr>
              <w:tc>
                <w:tcPr>
                  <w:tcW w:w="1445" w:type="dxa"/>
                  <w:tcBorders>
                    <w:top w:val="nil"/>
                    <w:left w:val="single" w:sz="4" w:space="0" w:color="auto"/>
                    <w:bottom w:val="nil"/>
                    <w:right w:val="single" w:sz="4" w:space="0" w:color="auto"/>
                  </w:tcBorders>
                </w:tcPr>
                <w:p w:rsidR="009156EC" w:rsidRPr="007C2937" w:rsidRDefault="005A37DC" w:rsidP="00D04B31">
                  <w:pPr>
                    <w:keepNext/>
                    <w:autoSpaceDE w:val="0"/>
                    <w:autoSpaceDN w:val="0"/>
                    <w:adjustRightInd w:val="0"/>
                    <w:rPr>
                      <w:sz w:val="22"/>
                      <w:szCs w:val="22"/>
                      <w:lang w:val="en-GB"/>
                    </w:rPr>
                  </w:pPr>
                  <w:r w:rsidRPr="007C2937">
                    <w:rPr>
                      <w:sz w:val="22"/>
                      <w:szCs w:val="22"/>
                      <w:lang w:val="en-GB"/>
                    </w:rPr>
                    <w:t>N</w:t>
                  </w:r>
                </w:p>
              </w:tc>
              <w:tc>
                <w:tcPr>
                  <w:tcW w:w="1274" w:type="dxa"/>
                  <w:tcBorders>
                    <w:left w:val="single" w:sz="4" w:space="0" w:color="auto"/>
                    <w:right w:val="single" w:sz="4" w:space="0" w:color="auto"/>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180</w:t>
                  </w:r>
                </w:p>
              </w:tc>
              <w:tc>
                <w:tcPr>
                  <w:tcW w:w="1273" w:type="dxa"/>
                  <w:tcBorders>
                    <w:left w:val="single" w:sz="4" w:space="0" w:color="auto"/>
                    <w:right w:val="single" w:sz="4" w:space="0" w:color="auto"/>
                  </w:tcBorders>
                </w:tcPr>
                <w:p w:rsidR="009156EC" w:rsidRPr="007C2937" w:rsidRDefault="009156EC" w:rsidP="002B4D77">
                  <w:pPr>
                    <w:keepNext/>
                    <w:autoSpaceDE w:val="0"/>
                    <w:autoSpaceDN w:val="0"/>
                    <w:adjustRightInd w:val="0"/>
                    <w:jc w:val="center"/>
                    <w:rPr>
                      <w:sz w:val="22"/>
                      <w:szCs w:val="22"/>
                      <w:lang w:val="en-GB"/>
                    </w:rPr>
                  </w:pPr>
                  <w:r w:rsidRPr="007C2937">
                    <w:rPr>
                      <w:sz w:val="22"/>
                      <w:szCs w:val="22"/>
                      <w:lang w:val="en-GB"/>
                    </w:rPr>
                    <w:t>112</w:t>
                  </w:r>
                </w:p>
              </w:tc>
              <w:tc>
                <w:tcPr>
                  <w:tcW w:w="1274" w:type="dxa"/>
                  <w:tcBorders>
                    <w:top w:val="nil"/>
                    <w:left w:val="single" w:sz="4" w:space="0" w:color="auto"/>
                    <w:bottom w:val="nil"/>
                    <w:right w:val="single" w:sz="4" w:space="0" w:color="auto"/>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353</w:t>
                  </w:r>
                </w:p>
              </w:tc>
              <w:tc>
                <w:tcPr>
                  <w:tcW w:w="1274" w:type="dxa"/>
                  <w:tcBorders>
                    <w:top w:val="nil"/>
                    <w:left w:val="single" w:sz="4" w:space="0" w:color="auto"/>
                    <w:bottom w:val="nil"/>
                    <w:right w:val="single" w:sz="4" w:space="0" w:color="auto"/>
                  </w:tcBorders>
                </w:tcPr>
                <w:p w:rsidR="009156EC" w:rsidRPr="007C2937" w:rsidRDefault="00A662D2" w:rsidP="00D04B31">
                  <w:pPr>
                    <w:keepNext/>
                    <w:autoSpaceDE w:val="0"/>
                    <w:autoSpaceDN w:val="0"/>
                    <w:adjustRightInd w:val="0"/>
                    <w:jc w:val="center"/>
                    <w:rPr>
                      <w:sz w:val="22"/>
                      <w:szCs w:val="22"/>
                      <w:lang w:val="en-GB"/>
                    </w:rPr>
                  </w:pPr>
                  <w:r w:rsidRPr="007C2937">
                    <w:rPr>
                      <w:sz w:val="22"/>
                      <w:szCs w:val="22"/>
                      <w:lang w:val="en-GB"/>
                    </w:rPr>
                    <w:t>2</w:t>
                  </w:r>
                  <w:r w:rsidR="009156EC" w:rsidRPr="007C2937">
                    <w:rPr>
                      <w:sz w:val="22"/>
                      <w:szCs w:val="22"/>
                      <w:lang w:val="en-GB"/>
                    </w:rPr>
                    <w:t>1</w:t>
                  </w:r>
                  <w:r w:rsidRPr="007C2937">
                    <w:rPr>
                      <w:sz w:val="22"/>
                      <w:szCs w:val="22"/>
                      <w:lang w:val="en-GB"/>
                    </w:rPr>
                    <w:t>4</w:t>
                  </w:r>
                </w:p>
              </w:tc>
              <w:tc>
                <w:tcPr>
                  <w:tcW w:w="1132" w:type="dxa"/>
                  <w:tcBorders>
                    <w:top w:val="nil"/>
                    <w:left w:val="single" w:sz="4" w:space="0" w:color="auto"/>
                    <w:bottom w:val="nil"/>
                    <w:right w:val="single" w:sz="4" w:space="0" w:color="auto"/>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w:t>
                  </w:r>
                </w:p>
              </w:tc>
              <w:tc>
                <w:tcPr>
                  <w:tcW w:w="1132" w:type="dxa"/>
                  <w:tcBorders>
                    <w:top w:val="nil"/>
                    <w:left w:val="single" w:sz="4" w:space="0" w:color="auto"/>
                    <w:bottom w:val="nil"/>
                    <w:right w:val="single" w:sz="4" w:space="0" w:color="auto"/>
                  </w:tcBorders>
                </w:tcPr>
                <w:p w:rsidR="009156EC" w:rsidRPr="007C2937" w:rsidRDefault="00630B49" w:rsidP="00D04B31">
                  <w:pPr>
                    <w:keepNext/>
                    <w:autoSpaceDE w:val="0"/>
                    <w:autoSpaceDN w:val="0"/>
                    <w:adjustRightInd w:val="0"/>
                    <w:jc w:val="center"/>
                    <w:rPr>
                      <w:sz w:val="22"/>
                      <w:szCs w:val="22"/>
                      <w:lang w:val="en-GB"/>
                    </w:rPr>
                  </w:pPr>
                  <w:r w:rsidRPr="007C2937">
                    <w:rPr>
                      <w:sz w:val="22"/>
                      <w:szCs w:val="22"/>
                      <w:lang w:val="en-GB"/>
                    </w:rPr>
                    <w:t>--</w:t>
                  </w:r>
                </w:p>
              </w:tc>
            </w:tr>
            <w:tr w:rsidR="002B4D77" w:rsidRPr="007C2937" w:rsidTr="00D97490">
              <w:trPr>
                <w:cantSplit/>
                <w:trHeight w:val="18"/>
              </w:trPr>
              <w:tc>
                <w:tcPr>
                  <w:tcW w:w="1445"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Week 24</w:t>
                  </w:r>
                </w:p>
              </w:tc>
              <w:tc>
                <w:tcPr>
                  <w:tcW w:w="1274" w:type="dxa"/>
                  <w:tcBorders>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1.3 (3.8)</w:t>
                  </w:r>
                </w:p>
              </w:tc>
              <w:tc>
                <w:tcPr>
                  <w:tcW w:w="1273" w:type="dxa"/>
                  <w:tcBorders>
                    <w:left w:val="single" w:sz="4" w:space="0" w:color="auto"/>
                    <w:bottom w:val="nil"/>
                    <w:right w:val="single" w:sz="4" w:space="0" w:color="auto"/>
                  </w:tcBorders>
                </w:tcPr>
                <w:p w:rsidR="002B4D77" w:rsidRPr="007C2937" w:rsidRDefault="002B4D77" w:rsidP="002B4D77">
                  <w:pPr>
                    <w:keepNext/>
                    <w:autoSpaceDE w:val="0"/>
                    <w:autoSpaceDN w:val="0"/>
                    <w:adjustRightInd w:val="0"/>
                    <w:jc w:val="center"/>
                    <w:rPr>
                      <w:sz w:val="22"/>
                      <w:szCs w:val="22"/>
                      <w:lang w:val="en-GB"/>
                    </w:rPr>
                  </w:pPr>
                  <w:r w:rsidRPr="007C2937">
                    <w:rPr>
                      <w:sz w:val="22"/>
                      <w:szCs w:val="22"/>
                      <w:lang w:val="en-GB"/>
                    </w:rPr>
                    <w:t>1.2 (4.1)</w:t>
                  </w:r>
                </w:p>
              </w:tc>
              <w:tc>
                <w:tcPr>
                  <w:tcW w:w="127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0.2 (3.2)</w:t>
                  </w:r>
                </w:p>
              </w:tc>
              <w:tc>
                <w:tcPr>
                  <w:tcW w:w="127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0.2 (2.7)</w:t>
                  </w:r>
                </w:p>
              </w:tc>
              <w:tc>
                <w:tcPr>
                  <w:tcW w:w="1132"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-1.1</w:t>
                  </w:r>
                </w:p>
              </w:tc>
              <w:tc>
                <w:tcPr>
                  <w:tcW w:w="1132"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-1.0</w:t>
                  </w:r>
                </w:p>
              </w:tc>
            </w:tr>
            <w:tr w:rsidR="009156EC" w:rsidRPr="007C2937" w:rsidTr="00D97490">
              <w:trPr>
                <w:cantSplit/>
                <w:trHeight w:val="18"/>
              </w:trPr>
              <w:tc>
                <w:tcPr>
                  <w:tcW w:w="1445" w:type="dxa"/>
                  <w:tcBorders>
                    <w:top w:val="nil"/>
                    <w:left w:val="single" w:sz="4" w:space="0" w:color="auto"/>
                    <w:bottom w:val="nil"/>
                    <w:right w:val="nil"/>
                  </w:tcBorders>
                </w:tcPr>
                <w:p w:rsidR="009156EC" w:rsidRPr="007C2937" w:rsidRDefault="005A37DC" w:rsidP="00D04B31">
                  <w:pPr>
                    <w:keepNext/>
                    <w:autoSpaceDE w:val="0"/>
                    <w:autoSpaceDN w:val="0"/>
                    <w:adjustRightInd w:val="0"/>
                    <w:rPr>
                      <w:sz w:val="22"/>
                      <w:szCs w:val="22"/>
                      <w:lang w:val="en-GB"/>
                    </w:rPr>
                  </w:pPr>
                  <w:r w:rsidRPr="007C2937">
                    <w:rPr>
                      <w:sz w:val="22"/>
                      <w:szCs w:val="22"/>
                      <w:lang w:val="en-GB"/>
                    </w:rPr>
                    <w:t>N</w:t>
                  </w:r>
                </w:p>
              </w:tc>
              <w:tc>
                <w:tcPr>
                  <w:tcW w:w="1274" w:type="dxa"/>
                  <w:tcBorders>
                    <w:top w:val="nil"/>
                    <w:left w:val="nil"/>
                    <w:bottom w:val="nil"/>
                    <w:right w:val="nil"/>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181</w:t>
                  </w:r>
                </w:p>
              </w:tc>
              <w:tc>
                <w:tcPr>
                  <w:tcW w:w="1273" w:type="dxa"/>
                  <w:tcBorders>
                    <w:top w:val="nil"/>
                    <w:left w:val="nil"/>
                    <w:bottom w:val="nil"/>
                    <w:right w:val="nil"/>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N/A</w:t>
                  </w:r>
                </w:p>
              </w:tc>
              <w:tc>
                <w:tcPr>
                  <w:tcW w:w="1274" w:type="dxa"/>
                  <w:tcBorders>
                    <w:top w:val="nil"/>
                    <w:left w:val="nil"/>
                    <w:bottom w:val="nil"/>
                    <w:right w:val="nil"/>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36</w:t>
                  </w:r>
                  <w:r w:rsidR="00E33117" w:rsidRPr="007C2937">
                    <w:rPr>
                      <w:sz w:val="22"/>
                      <w:szCs w:val="22"/>
                      <w:lang w:val="en-GB"/>
                    </w:rPr>
                    <w:t>4</w:t>
                  </w:r>
                </w:p>
              </w:tc>
              <w:tc>
                <w:tcPr>
                  <w:tcW w:w="1274" w:type="dxa"/>
                  <w:tcBorders>
                    <w:top w:val="nil"/>
                    <w:left w:val="nil"/>
                    <w:bottom w:val="nil"/>
                    <w:right w:val="nil"/>
                  </w:tcBorders>
                </w:tcPr>
                <w:p w:rsidR="009156EC" w:rsidRPr="007C2937" w:rsidRDefault="009156EC" w:rsidP="00D04B31">
                  <w:pPr>
                    <w:keepNext/>
                    <w:autoSpaceDE w:val="0"/>
                    <w:autoSpaceDN w:val="0"/>
                    <w:adjustRightInd w:val="0"/>
                    <w:jc w:val="center"/>
                    <w:rPr>
                      <w:sz w:val="22"/>
                      <w:szCs w:val="22"/>
                      <w:lang w:val="en-GB"/>
                    </w:rPr>
                  </w:pPr>
                  <w:r w:rsidRPr="007C2937">
                    <w:rPr>
                      <w:sz w:val="22"/>
                      <w:szCs w:val="22"/>
                      <w:lang w:val="en-GB"/>
                    </w:rPr>
                    <w:t>N/A</w:t>
                  </w:r>
                </w:p>
              </w:tc>
              <w:tc>
                <w:tcPr>
                  <w:tcW w:w="1132" w:type="dxa"/>
                  <w:tcBorders>
                    <w:top w:val="nil"/>
                    <w:left w:val="nil"/>
                    <w:bottom w:val="nil"/>
                    <w:right w:val="nil"/>
                  </w:tcBorders>
                </w:tcPr>
                <w:p w:rsidR="009156EC" w:rsidRPr="007C2937" w:rsidRDefault="009156EC" w:rsidP="00D04B31">
                  <w:pPr>
                    <w:keepNext/>
                    <w:autoSpaceDE w:val="0"/>
                    <w:autoSpaceDN w:val="0"/>
                    <w:adjustRightInd w:val="0"/>
                    <w:jc w:val="center"/>
                    <w:rPr>
                      <w:sz w:val="22"/>
                      <w:szCs w:val="22"/>
                      <w:lang w:val="en-GB"/>
                    </w:rPr>
                  </w:pPr>
                </w:p>
              </w:tc>
              <w:tc>
                <w:tcPr>
                  <w:tcW w:w="1132" w:type="dxa"/>
                  <w:tcBorders>
                    <w:top w:val="nil"/>
                    <w:left w:val="nil"/>
                    <w:bottom w:val="nil"/>
                    <w:right w:val="single" w:sz="4" w:space="0" w:color="auto"/>
                  </w:tcBorders>
                </w:tcPr>
                <w:p w:rsidR="009156EC" w:rsidRPr="007C2937" w:rsidRDefault="009156EC" w:rsidP="00D04B31">
                  <w:pPr>
                    <w:keepNext/>
                    <w:autoSpaceDE w:val="0"/>
                    <w:autoSpaceDN w:val="0"/>
                    <w:adjustRightInd w:val="0"/>
                    <w:jc w:val="center"/>
                    <w:rPr>
                      <w:sz w:val="22"/>
                      <w:szCs w:val="22"/>
                      <w:lang w:val="en-GB"/>
                    </w:rPr>
                  </w:pPr>
                </w:p>
              </w:tc>
            </w:tr>
            <w:tr w:rsidR="002B4D77" w:rsidRPr="007C2937" w:rsidTr="00D97490">
              <w:trPr>
                <w:cantSplit/>
                <w:trHeight w:val="18"/>
              </w:trPr>
              <w:tc>
                <w:tcPr>
                  <w:tcW w:w="1445"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Week 52</w:t>
                  </w:r>
                </w:p>
              </w:tc>
              <w:tc>
                <w:tcPr>
                  <w:tcW w:w="1274"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2.8 (7.8)</w:t>
                  </w:r>
                </w:p>
              </w:tc>
              <w:tc>
                <w:tcPr>
                  <w:tcW w:w="1273"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c>
                <w:tcPr>
                  <w:tcW w:w="1274"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0.4 (5.7)</w:t>
                  </w:r>
                </w:p>
              </w:tc>
              <w:tc>
                <w:tcPr>
                  <w:tcW w:w="1274"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c>
                <w:tcPr>
                  <w:tcW w:w="1132"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-2.4</w:t>
                  </w:r>
                </w:p>
              </w:tc>
              <w:tc>
                <w:tcPr>
                  <w:tcW w:w="1132"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r>
            <w:tr w:rsidR="002B4D77" w:rsidRPr="007C2937" w:rsidTr="00D97490">
              <w:trPr>
                <w:cantSplit/>
                <w:trHeight w:val="18"/>
              </w:trPr>
              <w:tc>
                <w:tcPr>
                  <w:tcW w:w="1445"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rPr>
                      <w:b/>
                      <w:bCs/>
                      <w:sz w:val="22"/>
                      <w:szCs w:val="22"/>
                      <w:lang w:val="en-GB"/>
                    </w:rPr>
                  </w:pPr>
                  <w:r w:rsidRPr="007C2937">
                    <w:rPr>
                      <w:b/>
                      <w:bCs/>
                      <w:sz w:val="22"/>
                      <w:szCs w:val="22"/>
                      <w:lang w:val="en-GB"/>
                    </w:rPr>
                    <w:t>Erosion Score</w:t>
                  </w:r>
                  <w:r w:rsidR="009156EC" w:rsidRPr="007C2937">
                    <w:rPr>
                      <w:b/>
                      <w:bCs/>
                      <w:sz w:val="22"/>
                      <w:szCs w:val="22"/>
                      <w:vertAlign w:val="superscript"/>
                      <w:lang w:val="en-GB"/>
                    </w:rPr>
                    <w:t>(b)</w:t>
                  </w:r>
                </w:p>
              </w:tc>
              <w:tc>
                <w:tcPr>
                  <w:tcW w:w="1274" w:type="dxa"/>
                  <w:tcBorders>
                    <w:top w:val="single" w:sz="4" w:space="0" w:color="auto"/>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3" w:type="dxa"/>
                  <w:tcBorders>
                    <w:top w:val="single" w:sz="4" w:space="0" w:color="auto"/>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4"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4"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132"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132"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r>
            <w:tr w:rsidR="002B4D77" w:rsidRPr="007C2937" w:rsidTr="00D97490">
              <w:trPr>
                <w:cantSplit/>
                <w:trHeight w:val="18"/>
              </w:trPr>
              <w:tc>
                <w:tcPr>
                  <w:tcW w:w="1445"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Baseline</w:t>
                  </w:r>
                </w:p>
              </w:tc>
              <w:tc>
                <w:tcPr>
                  <w:tcW w:w="1274"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14 (21)</w:t>
                  </w:r>
                </w:p>
              </w:tc>
              <w:tc>
                <w:tcPr>
                  <w:tcW w:w="1273"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23 (32)</w:t>
                  </w:r>
                </w:p>
              </w:tc>
              <w:tc>
                <w:tcPr>
                  <w:tcW w:w="127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15 (24)</w:t>
                  </w:r>
                </w:p>
              </w:tc>
              <w:tc>
                <w:tcPr>
                  <w:tcW w:w="127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19 (27)</w:t>
                  </w:r>
                </w:p>
              </w:tc>
              <w:tc>
                <w:tcPr>
                  <w:tcW w:w="1132"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w:t>
                  </w:r>
                </w:p>
              </w:tc>
              <w:tc>
                <w:tcPr>
                  <w:tcW w:w="1132"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w:t>
                  </w:r>
                </w:p>
              </w:tc>
            </w:tr>
            <w:tr w:rsidR="002B4D77" w:rsidRPr="007C2937" w:rsidTr="00D97490">
              <w:trPr>
                <w:cantSplit/>
                <w:trHeight w:val="18"/>
              </w:trPr>
              <w:tc>
                <w:tcPr>
                  <w:tcW w:w="1445"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Week 24</w:t>
                  </w:r>
                </w:p>
              </w:tc>
              <w:tc>
                <w:tcPr>
                  <w:tcW w:w="1274"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0.7 (2.1)</w:t>
                  </w:r>
                </w:p>
              </w:tc>
              <w:tc>
                <w:tcPr>
                  <w:tcW w:w="1273"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0.7 (2.6)</w:t>
                  </w:r>
                </w:p>
              </w:tc>
              <w:tc>
                <w:tcPr>
                  <w:tcW w:w="127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0.0 (1.5)</w:t>
                  </w:r>
                </w:p>
              </w:tc>
              <w:tc>
                <w:tcPr>
                  <w:tcW w:w="127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0.1 (2.0)</w:t>
                  </w:r>
                </w:p>
              </w:tc>
              <w:tc>
                <w:tcPr>
                  <w:tcW w:w="1132"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-0.7</w:t>
                  </w:r>
                </w:p>
              </w:tc>
              <w:tc>
                <w:tcPr>
                  <w:tcW w:w="1132"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-0.6</w:t>
                  </w:r>
                </w:p>
              </w:tc>
            </w:tr>
            <w:tr w:rsidR="002B4D77" w:rsidRPr="007C2937" w:rsidTr="00D97490">
              <w:trPr>
                <w:cantSplit/>
                <w:trHeight w:val="18"/>
              </w:trPr>
              <w:tc>
                <w:tcPr>
                  <w:tcW w:w="1445"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Week 52</w:t>
                  </w:r>
                </w:p>
              </w:tc>
              <w:tc>
                <w:tcPr>
                  <w:tcW w:w="1274" w:type="dxa"/>
                  <w:tcBorders>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1.5 (4.3)</w:t>
                  </w:r>
                </w:p>
              </w:tc>
              <w:tc>
                <w:tcPr>
                  <w:tcW w:w="1273" w:type="dxa"/>
                  <w:tcBorders>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c>
                <w:tcPr>
                  <w:tcW w:w="1274"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0.1 (2.5)</w:t>
                  </w:r>
                </w:p>
              </w:tc>
              <w:tc>
                <w:tcPr>
                  <w:tcW w:w="1274"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c>
                <w:tcPr>
                  <w:tcW w:w="1132"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-1.4</w:t>
                  </w:r>
                </w:p>
              </w:tc>
              <w:tc>
                <w:tcPr>
                  <w:tcW w:w="1132"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r>
            <w:tr w:rsidR="002B4D77" w:rsidRPr="007C2937" w:rsidTr="00D97490">
              <w:trPr>
                <w:cantSplit/>
                <w:trHeight w:val="18"/>
              </w:trPr>
              <w:tc>
                <w:tcPr>
                  <w:tcW w:w="1445"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rPr>
                      <w:b/>
                      <w:bCs/>
                      <w:sz w:val="22"/>
                      <w:szCs w:val="22"/>
                      <w:lang w:val="en-GB"/>
                    </w:rPr>
                  </w:pPr>
                  <w:r w:rsidRPr="007C2937">
                    <w:rPr>
                      <w:b/>
                      <w:bCs/>
                      <w:sz w:val="22"/>
                      <w:szCs w:val="22"/>
                      <w:lang w:val="en-GB"/>
                    </w:rPr>
                    <w:t>JSN Score</w:t>
                  </w:r>
                  <w:r w:rsidR="009156EC" w:rsidRPr="007C2937">
                    <w:rPr>
                      <w:b/>
                      <w:bCs/>
                      <w:sz w:val="22"/>
                      <w:szCs w:val="22"/>
                      <w:vertAlign w:val="superscript"/>
                      <w:lang w:val="en-GB"/>
                    </w:rPr>
                    <w:t>(b)</w:t>
                  </w:r>
                </w:p>
              </w:tc>
              <w:tc>
                <w:tcPr>
                  <w:tcW w:w="1274" w:type="dxa"/>
                  <w:tcBorders>
                    <w:top w:val="single" w:sz="4" w:space="0" w:color="auto"/>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3" w:type="dxa"/>
                  <w:tcBorders>
                    <w:top w:val="single" w:sz="4" w:space="0" w:color="auto"/>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4"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274"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132"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c>
                <w:tcPr>
                  <w:tcW w:w="1132" w:type="dxa"/>
                  <w:tcBorders>
                    <w:top w:val="single" w:sz="4" w:space="0" w:color="auto"/>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p>
              </w:tc>
            </w:tr>
            <w:tr w:rsidR="002B4D77" w:rsidRPr="007C2937" w:rsidTr="00D97490">
              <w:trPr>
                <w:cantSplit/>
                <w:trHeight w:val="18"/>
              </w:trPr>
              <w:tc>
                <w:tcPr>
                  <w:tcW w:w="1445"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Baseline</w:t>
                  </w:r>
                </w:p>
              </w:tc>
              <w:tc>
                <w:tcPr>
                  <w:tcW w:w="1274"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25 (27)</w:t>
                  </w:r>
                </w:p>
              </w:tc>
              <w:tc>
                <w:tcPr>
                  <w:tcW w:w="1273"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23 (28)</w:t>
                  </w:r>
                </w:p>
              </w:tc>
              <w:tc>
                <w:tcPr>
                  <w:tcW w:w="127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24 (28)</w:t>
                  </w:r>
                </w:p>
              </w:tc>
              <w:tc>
                <w:tcPr>
                  <w:tcW w:w="1274" w:type="dxa"/>
                  <w:tcBorders>
                    <w:top w:val="nil"/>
                    <w:left w:val="single" w:sz="4" w:space="0" w:color="auto"/>
                    <w:bottom w:val="nil"/>
                    <w:right w:val="single" w:sz="4" w:space="0" w:color="auto"/>
                  </w:tcBorders>
                </w:tcPr>
                <w:p w:rsidR="002B4D77" w:rsidRPr="007C2937" w:rsidRDefault="002B4D77" w:rsidP="000C756F">
                  <w:pPr>
                    <w:keepNext/>
                    <w:autoSpaceDE w:val="0"/>
                    <w:autoSpaceDN w:val="0"/>
                    <w:adjustRightInd w:val="0"/>
                    <w:jc w:val="center"/>
                    <w:rPr>
                      <w:sz w:val="22"/>
                      <w:szCs w:val="22"/>
                      <w:lang w:val="en-GB"/>
                    </w:rPr>
                  </w:pPr>
                  <w:r w:rsidRPr="007C2937">
                    <w:rPr>
                      <w:sz w:val="22"/>
                      <w:szCs w:val="22"/>
                      <w:lang w:val="en-GB"/>
                    </w:rPr>
                    <w:t>2</w:t>
                  </w:r>
                  <w:r w:rsidR="00A662D2" w:rsidRPr="007C2937">
                    <w:rPr>
                      <w:sz w:val="22"/>
                      <w:szCs w:val="22"/>
                      <w:lang w:val="en-GB"/>
                    </w:rPr>
                    <w:t>1</w:t>
                  </w:r>
                  <w:r w:rsidRPr="007C2937">
                    <w:rPr>
                      <w:sz w:val="22"/>
                      <w:szCs w:val="22"/>
                      <w:lang w:val="en-GB"/>
                    </w:rPr>
                    <w:t xml:space="preserve"> (</w:t>
                  </w:r>
                  <w:r w:rsidR="00A662D2" w:rsidRPr="007C2937">
                    <w:rPr>
                      <w:sz w:val="22"/>
                      <w:szCs w:val="22"/>
                      <w:lang w:val="en-GB"/>
                    </w:rPr>
                    <w:t>24</w:t>
                  </w:r>
                  <w:r w:rsidRPr="007C2937">
                    <w:rPr>
                      <w:sz w:val="22"/>
                      <w:szCs w:val="22"/>
                      <w:lang w:val="en-GB"/>
                    </w:rPr>
                    <w:t>)</w:t>
                  </w:r>
                </w:p>
              </w:tc>
              <w:tc>
                <w:tcPr>
                  <w:tcW w:w="1132"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w:t>
                  </w:r>
                </w:p>
              </w:tc>
              <w:tc>
                <w:tcPr>
                  <w:tcW w:w="1132"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w:t>
                  </w:r>
                </w:p>
              </w:tc>
            </w:tr>
            <w:tr w:rsidR="002B4D77" w:rsidRPr="007C2937" w:rsidTr="00D97490">
              <w:trPr>
                <w:cantSplit/>
                <w:trHeight w:val="18"/>
              </w:trPr>
              <w:tc>
                <w:tcPr>
                  <w:tcW w:w="1445"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Week 24</w:t>
                  </w:r>
                </w:p>
              </w:tc>
              <w:tc>
                <w:tcPr>
                  <w:tcW w:w="1274"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0.7 (2.4)</w:t>
                  </w:r>
                </w:p>
              </w:tc>
              <w:tc>
                <w:tcPr>
                  <w:tcW w:w="1273" w:type="dxa"/>
                  <w:tcBorders>
                    <w:left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0.5 (2.3)</w:t>
                  </w:r>
                </w:p>
              </w:tc>
              <w:tc>
                <w:tcPr>
                  <w:tcW w:w="127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0.2 (2.5)</w:t>
                  </w:r>
                </w:p>
              </w:tc>
              <w:tc>
                <w:tcPr>
                  <w:tcW w:w="1274"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0.1 (1.4)</w:t>
                  </w:r>
                </w:p>
              </w:tc>
              <w:tc>
                <w:tcPr>
                  <w:tcW w:w="1132"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-0.5</w:t>
                  </w:r>
                </w:p>
              </w:tc>
              <w:tc>
                <w:tcPr>
                  <w:tcW w:w="1132" w:type="dxa"/>
                  <w:tcBorders>
                    <w:top w:val="nil"/>
                    <w:left w:val="single" w:sz="4" w:space="0" w:color="auto"/>
                    <w:bottom w:val="nil"/>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-0.4</w:t>
                  </w:r>
                </w:p>
              </w:tc>
            </w:tr>
            <w:tr w:rsidR="002B4D77" w:rsidRPr="007C2937" w:rsidTr="00D97490">
              <w:trPr>
                <w:cantSplit/>
                <w:trHeight w:val="18"/>
              </w:trPr>
              <w:tc>
                <w:tcPr>
                  <w:tcW w:w="1445"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rPr>
                      <w:sz w:val="22"/>
                      <w:szCs w:val="22"/>
                      <w:lang w:val="en-GB"/>
                    </w:rPr>
                  </w:pPr>
                  <w:r w:rsidRPr="007C2937">
                    <w:rPr>
                      <w:sz w:val="22"/>
                      <w:szCs w:val="22"/>
                      <w:lang w:val="en-GB"/>
                    </w:rPr>
                    <w:t>Week 52</w:t>
                  </w:r>
                </w:p>
              </w:tc>
              <w:tc>
                <w:tcPr>
                  <w:tcW w:w="1274" w:type="dxa"/>
                  <w:tcBorders>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1.4 (5.0)</w:t>
                  </w:r>
                </w:p>
              </w:tc>
              <w:tc>
                <w:tcPr>
                  <w:tcW w:w="1273" w:type="dxa"/>
                  <w:tcBorders>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c>
                <w:tcPr>
                  <w:tcW w:w="1274"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0.4 (4.2)</w:t>
                  </w:r>
                </w:p>
              </w:tc>
              <w:tc>
                <w:tcPr>
                  <w:tcW w:w="1274"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c>
                <w:tcPr>
                  <w:tcW w:w="1132"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-1.0</w:t>
                  </w:r>
                </w:p>
              </w:tc>
              <w:tc>
                <w:tcPr>
                  <w:tcW w:w="1132" w:type="dxa"/>
                  <w:tcBorders>
                    <w:top w:val="nil"/>
                    <w:left w:val="single" w:sz="4" w:space="0" w:color="auto"/>
                    <w:bottom w:val="single" w:sz="4" w:space="0" w:color="auto"/>
                    <w:right w:val="single" w:sz="4" w:space="0" w:color="auto"/>
                  </w:tcBorders>
                </w:tcPr>
                <w:p w:rsidR="002B4D77" w:rsidRPr="007C2937" w:rsidRDefault="002B4D77" w:rsidP="00D04B31">
                  <w:pPr>
                    <w:keepNext/>
                    <w:autoSpaceDE w:val="0"/>
                    <w:autoSpaceDN w:val="0"/>
                    <w:adjustRightInd w:val="0"/>
                    <w:jc w:val="center"/>
                    <w:rPr>
                      <w:sz w:val="22"/>
                      <w:szCs w:val="22"/>
                      <w:lang w:val="en-GB"/>
                    </w:rPr>
                  </w:pPr>
                  <w:r w:rsidRPr="007C2937">
                    <w:rPr>
                      <w:sz w:val="22"/>
                      <w:szCs w:val="22"/>
                      <w:lang w:val="en-GB"/>
                    </w:rPr>
                    <w:t>N/A</w:t>
                  </w:r>
                </w:p>
              </w:tc>
            </w:tr>
          </w:tbl>
          <w:p w:rsidR="000E0C7B" w:rsidRPr="007C2937" w:rsidRDefault="000E0C7B" w:rsidP="000E0C7B">
            <w:pPr>
              <w:keepNext/>
              <w:autoSpaceDE w:val="0"/>
              <w:autoSpaceDN w:val="0"/>
              <w:adjustRightInd w:val="0"/>
              <w:spacing w:before="120"/>
              <w:rPr>
                <w:sz w:val="20"/>
                <w:szCs w:val="20"/>
                <w:lang w:val="en-GB"/>
              </w:rPr>
            </w:pPr>
            <w:r w:rsidRPr="007C2937">
              <w:rPr>
                <w:sz w:val="20"/>
                <w:szCs w:val="20"/>
                <w:vertAlign w:val="superscript"/>
                <w:lang w:val="en-GB"/>
              </w:rPr>
              <w:t xml:space="preserve">(a) </w:t>
            </w:r>
            <w:r w:rsidRPr="007C2937">
              <w:rPr>
                <w:sz w:val="20"/>
                <w:szCs w:val="20"/>
                <w:lang w:val="en-GB"/>
              </w:rPr>
              <w:t>CIMZIA administered every 2 weeks preceded by a loading dose of 400mg at Weeks 0, 2 and 4.</w:t>
            </w:r>
          </w:p>
          <w:p w:rsidR="000E0C7B" w:rsidRPr="007C2937" w:rsidRDefault="009156EC" w:rsidP="0017640C">
            <w:pPr>
              <w:pStyle w:val="Paragraph"/>
              <w:keepNext/>
              <w:spacing w:after="0"/>
              <w:rPr>
                <w:sz w:val="20"/>
                <w:szCs w:val="20"/>
                <w:lang w:val="en-GB"/>
              </w:rPr>
            </w:pPr>
            <w:r w:rsidRPr="007C2937">
              <w:rPr>
                <w:sz w:val="20"/>
                <w:szCs w:val="20"/>
                <w:lang w:val="en-GB"/>
              </w:rPr>
              <w:t xml:space="preserve">For RA-I, </w:t>
            </w:r>
            <w:r w:rsidR="000E0C7B" w:rsidRPr="007C2937">
              <w:rPr>
                <w:sz w:val="20"/>
                <w:szCs w:val="20"/>
                <w:lang w:val="en-GB"/>
              </w:rPr>
              <w:t xml:space="preserve">p-values were &lt; 0.001 at Week 24 and 52 for both </w:t>
            </w:r>
            <w:proofErr w:type="spellStart"/>
            <w:r w:rsidR="000E0C7B" w:rsidRPr="007C2937">
              <w:rPr>
                <w:sz w:val="20"/>
                <w:szCs w:val="20"/>
                <w:lang w:val="en-GB"/>
              </w:rPr>
              <w:t>mTSS</w:t>
            </w:r>
            <w:proofErr w:type="spellEnd"/>
            <w:r w:rsidR="000E0C7B" w:rsidRPr="007C2937">
              <w:rPr>
                <w:sz w:val="20"/>
                <w:szCs w:val="20"/>
                <w:lang w:val="en-GB"/>
              </w:rPr>
              <w:t xml:space="preserve"> and erosion score and </w:t>
            </w:r>
            <w:r w:rsidR="000E0C7B" w:rsidRPr="007C2937">
              <w:rPr>
                <w:sz w:val="20"/>
                <w:szCs w:val="20"/>
                <w:lang w:val="en-GB"/>
              </w:rPr>
              <w:sym w:font="Symbol" w:char="F0A3"/>
            </w:r>
            <w:r w:rsidR="000E0C7B" w:rsidRPr="007C2937">
              <w:rPr>
                <w:sz w:val="20"/>
                <w:szCs w:val="20"/>
                <w:lang w:val="en-GB"/>
              </w:rPr>
              <w:t xml:space="preserve"> 0.01 at both time points for JSN.</w:t>
            </w:r>
            <w:r w:rsidRPr="007C2937">
              <w:rPr>
                <w:sz w:val="20"/>
                <w:szCs w:val="20"/>
                <w:lang w:val="en-GB"/>
              </w:rPr>
              <w:t xml:space="preserve"> For RA-II, p-values were ≤0.01at Week 24 for </w:t>
            </w:r>
            <w:proofErr w:type="spellStart"/>
            <w:r w:rsidRPr="007C2937">
              <w:rPr>
                <w:sz w:val="20"/>
                <w:szCs w:val="20"/>
                <w:lang w:val="en-GB"/>
              </w:rPr>
              <w:t>mTSS</w:t>
            </w:r>
            <w:proofErr w:type="spellEnd"/>
            <w:r w:rsidR="007D55B6" w:rsidRPr="007C2937">
              <w:rPr>
                <w:sz w:val="20"/>
                <w:szCs w:val="20"/>
                <w:lang w:val="en-GB"/>
              </w:rPr>
              <w:t>,</w:t>
            </w:r>
            <w:r w:rsidRPr="007C2937">
              <w:rPr>
                <w:sz w:val="20"/>
                <w:szCs w:val="20"/>
                <w:lang w:val="en-GB"/>
              </w:rPr>
              <w:t xml:space="preserve"> erosion score and JSN</w:t>
            </w:r>
            <w:r w:rsidR="0079520C" w:rsidRPr="007C2937">
              <w:rPr>
                <w:sz w:val="20"/>
                <w:szCs w:val="20"/>
                <w:lang w:val="en-GB"/>
              </w:rPr>
              <w:t xml:space="preserve"> score</w:t>
            </w:r>
            <w:r w:rsidRPr="007C2937">
              <w:rPr>
                <w:sz w:val="20"/>
                <w:szCs w:val="20"/>
                <w:lang w:val="en-GB"/>
              </w:rPr>
              <w:t>.</w:t>
            </w:r>
            <w:r w:rsidR="000E0C7B" w:rsidRPr="007C2937">
              <w:rPr>
                <w:sz w:val="20"/>
                <w:szCs w:val="20"/>
                <w:lang w:val="en-GB"/>
              </w:rPr>
              <w:br/>
              <w:t>An ANCOVA was fitted to the ranked change from baseline for each measure with region and treatment as factors and rank baseline as a covariate.</w:t>
            </w:r>
          </w:p>
          <w:p w:rsidR="00516A5B" w:rsidRPr="007C2937" w:rsidRDefault="009156EC" w:rsidP="000E0C7B">
            <w:pPr>
              <w:pStyle w:val="Paragraph"/>
              <w:keepNext/>
              <w:rPr>
                <w:sz w:val="20"/>
                <w:szCs w:val="20"/>
                <w:lang w:val="en-GB"/>
              </w:rPr>
            </w:pPr>
            <w:r w:rsidRPr="007C2937">
              <w:rPr>
                <w:sz w:val="20"/>
                <w:szCs w:val="20"/>
                <w:vertAlign w:val="superscript"/>
                <w:lang w:val="en-GB"/>
              </w:rPr>
              <w:t>(b)</w:t>
            </w:r>
            <w:r w:rsidRPr="007C2937">
              <w:rPr>
                <w:sz w:val="20"/>
                <w:szCs w:val="20"/>
                <w:lang w:val="en-GB"/>
              </w:rPr>
              <w:t xml:space="preserve"> </w:t>
            </w:r>
            <w:proofErr w:type="gramStart"/>
            <w:r w:rsidRPr="007C2937">
              <w:rPr>
                <w:sz w:val="20"/>
                <w:szCs w:val="20"/>
                <w:lang w:val="en-GB"/>
              </w:rPr>
              <w:t>n</w:t>
            </w:r>
            <w:proofErr w:type="gramEnd"/>
            <w:r w:rsidRPr="007C2937">
              <w:rPr>
                <w:sz w:val="20"/>
                <w:szCs w:val="20"/>
                <w:lang w:val="en-GB"/>
              </w:rPr>
              <w:t xml:space="preserve"> values for erosion score and JSN </w:t>
            </w:r>
            <w:r w:rsidR="00D9311F" w:rsidRPr="007C2937">
              <w:rPr>
                <w:sz w:val="20"/>
                <w:szCs w:val="20"/>
                <w:lang w:val="en-GB"/>
              </w:rPr>
              <w:t xml:space="preserve">score </w:t>
            </w:r>
            <w:r w:rsidRPr="007C2937">
              <w:rPr>
                <w:sz w:val="20"/>
                <w:szCs w:val="20"/>
                <w:lang w:val="en-GB"/>
              </w:rPr>
              <w:t xml:space="preserve">are the same as for </w:t>
            </w:r>
            <w:proofErr w:type="spellStart"/>
            <w:r w:rsidRPr="007C2937">
              <w:rPr>
                <w:sz w:val="20"/>
                <w:szCs w:val="20"/>
                <w:lang w:val="en-GB"/>
              </w:rPr>
              <w:t>mTSS</w:t>
            </w:r>
            <w:proofErr w:type="spellEnd"/>
            <w:r w:rsidRPr="007C2937">
              <w:rPr>
                <w:sz w:val="20"/>
                <w:szCs w:val="20"/>
                <w:lang w:val="en-GB"/>
              </w:rPr>
              <w:t>.</w:t>
            </w:r>
          </w:p>
          <w:p w:rsidR="001C1840" w:rsidRDefault="00D85EB7" w:rsidP="00183159">
            <w:pPr>
              <w:pStyle w:val="Paragraph"/>
              <w:keepNext/>
            </w:pPr>
            <w:r w:rsidRPr="007C2937">
              <w:t xml:space="preserve">Of the 783 patients initially randomized to active treatment in RA-I, 508 completed 52 weeks of placebo-controlled treatment and entered the open-label extension study.  Sustained inhibition of progression of structural damage was demonstrated in a subset of 449 of these patients who completed at least 2 years of treatment with </w:t>
            </w:r>
            <w:r w:rsidR="00844A32" w:rsidRPr="00844A32">
              <w:t>CIMZIA</w:t>
            </w:r>
            <w:r w:rsidRPr="007C2937">
              <w:t xml:space="preserve"> (RA-I and open-label extension study) and had evaluable data at the 2-year </w:t>
            </w:r>
            <w:proofErr w:type="spellStart"/>
            <w:r w:rsidRPr="007C2937">
              <w:t>timepoint</w:t>
            </w:r>
            <w:proofErr w:type="spellEnd"/>
            <w:r w:rsidR="005930AE" w:rsidRPr="007C2937">
              <w:t>.</w:t>
            </w:r>
            <w:r w:rsidRPr="007C2937">
              <w:t xml:space="preserve"> This was not a pre-planned analysis.  Linear imputation was used for missing data.  There were 177 patients in the control group, including 136 Withdrawers (subjects who received placebo + MTX for 12 weeks and failed to achieve an ACR20 response at Week 12, confirmed at </w:t>
            </w:r>
            <w:r w:rsidRPr="007C2937">
              <w:lastRenderedPageBreak/>
              <w:t>Week 14 who then participated in the open-label extension study from Week 16) and 41 Completers (subjects who received placebo + MTX for 52 weeks before participating in the open-label extension study).</w:t>
            </w:r>
            <w:r w:rsidR="008D35BA" w:rsidRPr="007C2937">
              <w:t xml:space="preserve">  The efficacy of </w:t>
            </w:r>
            <w:r w:rsidR="00844A32" w:rsidRPr="00844A32">
              <w:t>CIMZIA</w:t>
            </w:r>
            <w:r w:rsidR="008D35BA" w:rsidRPr="007C2937">
              <w:t xml:space="preserve"> on radiographic endpoints has not</w:t>
            </w:r>
            <w:r w:rsidR="006C5BC6" w:rsidRPr="007C2937">
              <w:t xml:space="preserve"> </w:t>
            </w:r>
            <w:proofErr w:type="gramStart"/>
            <w:r w:rsidR="006C5BC6" w:rsidRPr="007C2937">
              <w:t xml:space="preserve">been </w:t>
            </w:r>
            <w:r w:rsidR="008D35BA" w:rsidRPr="007C2937">
              <w:t xml:space="preserve"> established</w:t>
            </w:r>
            <w:proofErr w:type="gramEnd"/>
            <w:r w:rsidR="008D35BA" w:rsidRPr="007C2937">
              <w:t xml:space="preserve"> in patients who are unable to tolerate MTX therapy.</w:t>
            </w:r>
          </w:p>
          <w:p w:rsidR="00D54965" w:rsidRDefault="00727E7C" w:rsidP="00C95B39">
            <w:pPr>
              <w:pStyle w:val="Paragraph"/>
              <w:keepNext/>
            </w:pPr>
            <w:r>
              <w:t xml:space="preserve">In C-EARLY, </w:t>
            </w:r>
            <w:r w:rsidR="00D54965">
              <w:t xml:space="preserve"> at Week 52,</w:t>
            </w:r>
            <w:r w:rsidR="00C95B39">
              <w:t xml:space="preserve"> </w:t>
            </w:r>
            <w:r w:rsidR="00D54965">
              <w:t>the mean change</w:t>
            </w:r>
            <w:r w:rsidR="00E57130">
              <w:t>s</w:t>
            </w:r>
            <w:r w:rsidR="00D54965">
              <w:t xml:space="preserve"> (SD) from Baseline in</w:t>
            </w:r>
            <w:r w:rsidR="00C95B39">
              <w:t xml:space="preserve"> </w:t>
            </w:r>
            <w:proofErr w:type="spellStart"/>
            <w:r w:rsidR="00C95B39">
              <w:t>mTSS</w:t>
            </w:r>
            <w:proofErr w:type="spellEnd"/>
            <w:r w:rsidR="00D54965">
              <w:t xml:space="preserve"> </w:t>
            </w:r>
            <w:r w:rsidR="00C95B39">
              <w:t>were</w:t>
            </w:r>
            <w:r w:rsidR="00D54965">
              <w:t>:</w:t>
            </w:r>
          </w:p>
          <w:p w:rsidR="00D54965" w:rsidRDefault="00C95B39" w:rsidP="00267168">
            <w:pPr>
              <w:pStyle w:val="Paragraph"/>
              <w:keepNext/>
              <w:numPr>
                <w:ilvl w:val="0"/>
                <w:numId w:val="24"/>
              </w:numPr>
              <w:ind w:left="664" w:hanging="244"/>
            </w:pPr>
            <w:r>
              <w:t xml:space="preserve">0.2 (3.2) in the CIMZIA+MTX group and </w:t>
            </w:r>
          </w:p>
          <w:p w:rsidR="009D429C" w:rsidRDefault="00C95B39" w:rsidP="00B8063B">
            <w:pPr>
              <w:pStyle w:val="Paragraph"/>
              <w:keepNext/>
              <w:numPr>
                <w:ilvl w:val="0"/>
                <w:numId w:val="24"/>
              </w:numPr>
            </w:pPr>
            <w:r>
              <w:t>1.8 (4.3) in the PBO+MTX group</w:t>
            </w:r>
            <w:r w:rsidR="00B8063B">
              <w:t xml:space="preserve"> </w:t>
            </w:r>
          </w:p>
          <w:p w:rsidR="00727E7C" w:rsidRDefault="009D429C" w:rsidP="00E53B79">
            <w:pPr>
              <w:pStyle w:val="Paragraph"/>
              <w:keepNext/>
            </w:pPr>
            <w:r w:rsidRPr="007B388F">
              <w:t xml:space="preserve">The </w:t>
            </w:r>
            <w:r w:rsidR="00C95B39" w:rsidRPr="007B388F">
              <w:t xml:space="preserve">CIMZIA+MTX – PBO+MTX </w:t>
            </w:r>
            <w:r w:rsidRPr="007B388F">
              <w:t xml:space="preserve">treatment </w:t>
            </w:r>
            <w:r w:rsidR="00C95B39" w:rsidRPr="007B388F">
              <w:t xml:space="preserve">difference was </w:t>
            </w:r>
            <w:r w:rsidR="00261925" w:rsidRPr="007B388F">
              <w:t>-0.978 (</w:t>
            </w:r>
            <w:r w:rsidR="00B8063B" w:rsidRPr="007B388F">
              <w:t>-</w:t>
            </w:r>
            <w:r w:rsidR="00261925" w:rsidRPr="007B388F">
              <w:t xml:space="preserve">1.005, </w:t>
            </w:r>
            <w:r w:rsidR="00B8063B" w:rsidRPr="007B388F">
              <w:t>-</w:t>
            </w:r>
            <w:r w:rsidR="00261925" w:rsidRPr="007B388F">
              <w:t>0.500)</w:t>
            </w:r>
            <w:r w:rsidR="00261925">
              <w:t xml:space="preserve"> (</w:t>
            </w:r>
            <w:r w:rsidR="00261925" w:rsidRPr="00261925">
              <w:t>Hodges-Lehmann point estimate of shift and 95% asymptotic (Moses) confidence interval</w:t>
            </w:r>
            <w:r w:rsidR="00261925">
              <w:t>)</w:t>
            </w:r>
            <w:r w:rsidR="00261925" w:rsidRPr="00261925">
              <w:t>.</w:t>
            </w:r>
            <w:r w:rsidR="00E57130">
              <w:t xml:space="preserve"> A </w:t>
            </w:r>
            <w:r w:rsidR="00E57130" w:rsidRPr="00E57130">
              <w:t xml:space="preserve">p-value </w:t>
            </w:r>
            <w:r w:rsidR="00E57130">
              <w:t xml:space="preserve">of </w:t>
            </w:r>
            <w:r w:rsidR="00E57130" w:rsidRPr="00E57130">
              <w:t xml:space="preserve">&lt;0.001 </w:t>
            </w:r>
            <w:r w:rsidR="00711E36">
              <w:t xml:space="preserve">for the treatment difference </w:t>
            </w:r>
            <w:r w:rsidR="00E57130" w:rsidRPr="00E57130">
              <w:t>was estimated from an ANCOVA model on the ranks with treatment, region, time since RA diagnosis at Baseline (≤4 months vs &gt;4 months) as factors and Baseline rank as covariate</w:t>
            </w:r>
            <w:r w:rsidR="00E57130">
              <w:t>.</w:t>
            </w:r>
          </w:p>
          <w:p w:rsidR="00727E7C" w:rsidRPr="00484DDE" w:rsidRDefault="00727E7C" w:rsidP="00183159">
            <w:pPr>
              <w:pStyle w:val="Paragraph"/>
              <w:keepNext/>
            </w:pPr>
          </w:p>
          <w:p w:rsidR="001C1840" w:rsidRPr="00484DDE" w:rsidRDefault="001C1840" w:rsidP="00183159">
            <w:pPr>
              <w:pStyle w:val="Paragraph"/>
              <w:keepNext/>
              <w:rPr>
                <w:i/>
                <w:u w:val="single"/>
                <w:lang w:val="en-GB"/>
              </w:rPr>
            </w:pPr>
            <w:r w:rsidRPr="00484DDE">
              <w:rPr>
                <w:i/>
                <w:u w:val="single"/>
                <w:lang w:val="en-GB"/>
              </w:rPr>
              <w:t>Physical Function Response</w:t>
            </w:r>
            <w:r w:rsidR="0027500B" w:rsidRPr="00484DDE">
              <w:rPr>
                <w:i/>
                <w:u w:val="single"/>
                <w:lang w:val="en-GB"/>
              </w:rPr>
              <w:t xml:space="preserve"> and health-related outcomes</w:t>
            </w:r>
          </w:p>
          <w:p w:rsidR="001C1840" w:rsidRDefault="0027500B" w:rsidP="00183159">
            <w:pPr>
              <w:pStyle w:val="Paragraph"/>
              <w:keepNext/>
              <w:rPr>
                <w:lang w:val="en-GB"/>
              </w:rPr>
            </w:pPr>
            <w:r w:rsidRPr="0052262B">
              <w:rPr>
                <w:lang w:val="en-GB"/>
              </w:rPr>
              <w:t xml:space="preserve">In studies RA-I, RA-II, RA-III and RA-IV, </w:t>
            </w:r>
            <w:r w:rsidR="00365E45">
              <w:rPr>
                <w:lang w:val="en-GB"/>
              </w:rPr>
              <w:t>CIMZIA</w:t>
            </w:r>
            <w:r w:rsidRPr="0052262B">
              <w:rPr>
                <w:lang w:val="en-GB"/>
              </w:rPr>
              <w:t xml:space="preserve">-treated patients reported significant improvements in physical function as assessed by the Health Assessment Questionnaire – Disability Index (HAQ-DI) and in tiredness (fatigue) as reported by the Fatigue Assessment Scale (FAS) from Week 1 through to the end of the studies compared to placebo. In all clinical trials, </w:t>
            </w:r>
            <w:r w:rsidR="00365E45">
              <w:rPr>
                <w:lang w:val="en-GB"/>
              </w:rPr>
              <w:t>CIMZIA-</w:t>
            </w:r>
            <w:r w:rsidRPr="0052262B">
              <w:rPr>
                <w:lang w:val="en-GB"/>
              </w:rPr>
              <w:t xml:space="preserve">treated patients reported significantly greater improvements in the </w:t>
            </w:r>
            <w:r w:rsidR="00410EF3" w:rsidRPr="0052262B">
              <w:rPr>
                <w:lang w:val="en-GB"/>
              </w:rPr>
              <w:br/>
            </w:r>
            <w:r w:rsidRPr="0052262B">
              <w:rPr>
                <w:lang w:val="en-GB"/>
              </w:rPr>
              <w:t xml:space="preserve">SF-36 Physical and Mental Component Summaries and all domain scores. Improvements in physical function and </w:t>
            </w:r>
            <w:proofErr w:type="spellStart"/>
            <w:r w:rsidRPr="0052262B">
              <w:rPr>
                <w:lang w:val="en-GB"/>
              </w:rPr>
              <w:t>HRQoL</w:t>
            </w:r>
            <w:proofErr w:type="spellEnd"/>
            <w:r w:rsidRPr="0052262B">
              <w:rPr>
                <w:lang w:val="en-GB"/>
              </w:rPr>
              <w:t xml:space="preserve"> were maintained through 2 years in the open-label extension to RA-I. </w:t>
            </w:r>
            <w:r w:rsidR="00B65CF5" w:rsidRPr="0052262B">
              <w:rPr>
                <w:lang w:val="en-GB"/>
              </w:rPr>
              <w:t xml:space="preserve">In studies RA-I and RA-II, </w:t>
            </w:r>
            <w:r w:rsidR="00365E45">
              <w:rPr>
                <w:lang w:val="en-GB"/>
              </w:rPr>
              <w:t>CIMZIA</w:t>
            </w:r>
            <w:r w:rsidRPr="0052262B">
              <w:rPr>
                <w:lang w:val="en-GB"/>
              </w:rPr>
              <w:t>-treated patients reported statistically significant improvements in the Work Productivity Survey compared to placebo.</w:t>
            </w:r>
          </w:p>
          <w:p w:rsidR="000814EC" w:rsidRDefault="000814EC" w:rsidP="00215676">
            <w:pPr>
              <w:pStyle w:val="Paragraph"/>
              <w:keepNext/>
              <w:rPr>
                <w:lang w:val="en-GB"/>
              </w:rPr>
            </w:pPr>
            <w:r>
              <w:rPr>
                <w:lang w:val="en-GB"/>
              </w:rPr>
              <w:t xml:space="preserve">In C-EARLY, </w:t>
            </w:r>
            <w:r w:rsidR="00215676" w:rsidRPr="00504A6C">
              <w:rPr>
                <w:lang w:val="en-GB"/>
              </w:rPr>
              <w:t xml:space="preserve">at Week 52, subjects in the CZP+MTX group had a statistically significant improvement in physical functioning over the PBO+MTX group (-1.0 vs -0.82 points; p&lt;0.001), as assessed in the </w:t>
            </w:r>
            <w:r w:rsidR="009D429C" w:rsidRPr="00504A6C">
              <w:rPr>
                <w:lang w:val="en-GB"/>
              </w:rPr>
              <w:t xml:space="preserve">change from baseline in </w:t>
            </w:r>
            <w:r w:rsidR="00215676" w:rsidRPr="00504A6C">
              <w:rPr>
                <w:lang w:val="en-GB"/>
              </w:rPr>
              <w:t>HAQ-DI.</w:t>
            </w:r>
            <w:r>
              <w:rPr>
                <w:lang w:val="en-GB"/>
              </w:rPr>
              <w:t xml:space="preserve"> </w:t>
            </w:r>
          </w:p>
          <w:p w:rsidR="00C80FA2" w:rsidRPr="0052262B" w:rsidRDefault="00C80FA2" w:rsidP="00183159">
            <w:pPr>
              <w:pStyle w:val="Paragraph"/>
              <w:keepNext/>
              <w:rPr>
                <w:color w:val="000000"/>
                <w:lang w:val="en-GB" w:bidi="bn-IN"/>
              </w:rPr>
            </w:pPr>
          </w:p>
        </w:tc>
      </w:tr>
      <w:tr w:rsidR="00495FE7" w:rsidRPr="0052262B" w:rsidTr="00D97490">
        <w:trPr>
          <w:trHeight w:val="18"/>
        </w:trPr>
        <w:tc>
          <w:tcPr>
            <w:tcW w:w="9127" w:type="dxa"/>
            <w:tcBorders>
              <w:top w:val="nil"/>
              <w:left w:val="single" w:sz="4" w:space="0" w:color="auto"/>
              <w:bottom w:val="single" w:sz="4" w:space="0" w:color="auto"/>
              <w:right w:val="single" w:sz="4" w:space="0" w:color="auto"/>
            </w:tcBorders>
          </w:tcPr>
          <w:p w:rsidR="00495FE7" w:rsidRPr="00DD24E8" w:rsidRDefault="00495FE7" w:rsidP="00495FE7">
            <w:pPr>
              <w:autoSpaceDE w:val="0"/>
              <w:autoSpaceDN w:val="0"/>
              <w:adjustRightInd w:val="0"/>
              <w:rPr>
                <w:b/>
                <w:i/>
                <w:szCs w:val="22"/>
                <w:u w:val="single"/>
              </w:rPr>
            </w:pPr>
            <w:r w:rsidRPr="00DD24E8">
              <w:rPr>
                <w:b/>
                <w:i/>
                <w:szCs w:val="22"/>
                <w:u w:val="single"/>
              </w:rPr>
              <w:lastRenderedPageBreak/>
              <w:t>Psoriatic arthritis</w:t>
            </w:r>
          </w:p>
          <w:p w:rsidR="00495FE7" w:rsidRDefault="00495FE7" w:rsidP="00495FE7">
            <w:pPr>
              <w:rPr>
                <w:i/>
                <w:noProof/>
                <w:szCs w:val="22"/>
              </w:rPr>
            </w:pPr>
            <w:r>
              <w:t>The efficacy and safety of C</w:t>
            </w:r>
            <w:r w:rsidR="00DD24E8">
              <w:t>IMZIA</w:t>
            </w:r>
            <w:r>
              <w:t xml:space="preserve"> were assessed in a multicenter, randomized, double-blind, placebo controlled clinical trial (PsA001) in 409 patients ≥18 years of age with adult-onset active psoriatic arthritis for at least 6 months as defined by the Classification Criteria for Psoriatic Arthritis (CASPAR) criteria. Patients had ≥ 3 swollen and tender joints and increased acute phase reactants. Patients also had active psoriatic skin lesions or a documented history of psoriasis and had failed 1 or more DMARDs. Previous treatment with one TNF-antagonist was allowed and 20% of patients had prior TNF-antagonist exposure. Patients received  a loading dose of C</w:t>
            </w:r>
            <w:r w:rsidR="00DD24E8">
              <w:t>IMZIA</w:t>
            </w:r>
            <w:r>
              <w:t xml:space="preserve"> 400 mg at Weeks 0, 2 and 4 (for both treatment arms) or placebo followed by either C</w:t>
            </w:r>
            <w:r w:rsidR="00DD24E8">
              <w:t>IMZIA</w:t>
            </w:r>
            <w:r>
              <w:t xml:space="preserve"> 200 mg every 2 weeks or 400 mg every 4 weeks or placebo every 2 weeks. Patients receiving concomitant NSAIDs and conventional DMARDs were 72.6% and </w:t>
            </w:r>
            <w:r w:rsidR="00A448EB">
              <w:t>70.2</w:t>
            </w:r>
            <w:r>
              <w:t xml:space="preserve"> % respectively. The two primary endpoints were the percentage of patients achieving ACR20 response at Week 12 and change from baseline in modified Total Sharp Score (</w:t>
            </w:r>
            <w:proofErr w:type="spellStart"/>
            <w:r>
              <w:t>mTSS</w:t>
            </w:r>
            <w:proofErr w:type="spellEnd"/>
            <w:r>
              <w:t>) at Week 24.</w:t>
            </w:r>
          </w:p>
          <w:p w:rsidR="00495FE7" w:rsidRDefault="00495FE7" w:rsidP="00495FE7">
            <w:pPr>
              <w:rPr>
                <w:i/>
                <w:noProof/>
                <w:szCs w:val="22"/>
              </w:rPr>
            </w:pPr>
          </w:p>
          <w:p w:rsidR="00495FE7" w:rsidRPr="00227ED2" w:rsidRDefault="00495FE7" w:rsidP="00495FE7">
            <w:pPr>
              <w:rPr>
                <w:i/>
                <w:noProof/>
                <w:szCs w:val="22"/>
              </w:rPr>
            </w:pPr>
            <w:r w:rsidRPr="00227ED2">
              <w:rPr>
                <w:i/>
                <w:noProof/>
                <w:szCs w:val="22"/>
              </w:rPr>
              <w:t>ACR</w:t>
            </w:r>
            <w:r>
              <w:rPr>
                <w:i/>
                <w:noProof/>
                <w:szCs w:val="22"/>
              </w:rPr>
              <w:t xml:space="preserve"> </w:t>
            </w:r>
            <w:r w:rsidRPr="00227ED2">
              <w:rPr>
                <w:i/>
                <w:noProof/>
                <w:szCs w:val="22"/>
              </w:rPr>
              <w:t>response</w:t>
            </w:r>
          </w:p>
          <w:p w:rsidR="00495FE7" w:rsidRPr="009C4DD2" w:rsidRDefault="00495FE7" w:rsidP="00495FE7">
            <w:r w:rsidRPr="009C4DD2">
              <w:t>The percentage of C</w:t>
            </w:r>
            <w:r w:rsidR="00DD24E8">
              <w:t>IMZIA</w:t>
            </w:r>
            <w:r w:rsidRPr="009C4DD2">
              <w:t xml:space="preserve">-treated patients achieving ACR20, 50 and 70 responses in the </w:t>
            </w:r>
            <w:r w:rsidRPr="009C4DD2">
              <w:lastRenderedPageBreak/>
              <w:t>PsA001</w:t>
            </w:r>
            <w:r>
              <w:t xml:space="preserve"> </w:t>
            </w:r>
            <w:r w:rsidRPr="009C4DD2">
              <w:t>clinical trial are shown in Table</w:t>
            </w:r>
            <w:r>
              <w:t> </w:t>
            </w:r>
            <w:r w:rsidR="000A17A0">
              <w:t>6</w:t>
            </w:r>
            <w:r w:rsidRPr="009C4DD2">
              <w:t>. C</w:t>
            </w:r>
            <w:r w:rsidR="00DD24E8">
              <w:t>IMZIA</w:t>
            </w:r>
            <w:r w:rsidRPr="009C4DD2">
              <w:t>-treated patients had a stati</w:t>
            </w:r>
            <w:r>
              <w:t>stically significant higher ACR</w:t>
            </w:r>
            <w:r w:rsidRPr="009C4DD2">
              <w:t>20 response rate at Week</w:t>
            </w:r>
            <w:r>
              <w:t> </w:t>
            </w:r>
            <w:r w:rsidRPr="009C4DD2">
              <w:t>12 and Week</w:t>
            </w:r>
            <w:r>
              <w:t> </w:t>
            </w:r>
            <w:r w:rsidRPr="009C4DD2">
              <w:t>24 compared with placebo-tre</w:t>
            </w:r>
            <w:r>
              <w:t>ated patients (p&lt;0.001). C</w:t>
            </w:r>
            <w:r w:rsidR="00DD24E8">
              <w:t>IMZIA</w:t>
            </w:r>
            <w:r>
              <w:t xml:space="preserve"> </w:t>
            </w:r>
            <w:r w:rsidRPr="009C4DD2">
              <w:t xml:space="preserve">treated patients also had significant improvements in ACR50 and 70 </w:t>
            </w:r>
            <w:r>
              <w:t xml:space="preserve">response rates and for each ACR </w:t>
            </w:r>
            <w:r w:rsidRPr="009C4DD2">
              <w:t>component at Week 12 and 24 compared to placebo (see Table</w:t>
            </w:r>
            <w:r>
              <w:t> </w:t>
            </w:r>
            <w:r w:rsidR="000A17A0">
              <w:t>7</w:t>
            </w:r>
            <w:r w:rsidRPr="009C4DD2">
              <w:t>). Res</w:t>
            </w:r>
            <w:r>
              <w:t>ponses were similar in patients receiving C</w:t>
            </w:r>
            <w:r w:rsidR="00DD24E8">
              <w:t>IMZIA</w:t>
            </w:r>
            <w:r>
              <w:t xml:space="preserve"> 200 </w:t>
            </w:r>
            <w:r w:rsidRPr="009C4DD2">
              <w:t>mg every 2</w:t>
            </w:r>
            <w:r>
              <w:t> </w:t>
            </w:r>
            <w:r w:rsidRPr="009C4DD2">
              <w:t>weeks or C</w:t>
            </w:r>
            <w:r w:rsidR="00DD24E8">
              <w:t>IMZIA</w:t>
            </w:r>
            <w:r w:rsidRPr="009C4DD2">
              <w:t xml:space="preserve"> 400</w:t>
            </w:r>
            <w:r>
              <w:t> </w:t>
            </w:r>
            <w:r w:rsidRPr="009C4DD2">
              <w:t>mg every 4</w:t>
            </w:r>
            <w:r>
              <w:t> </w:t>
            </w:r>
            <w:r w:rsidRPr="009C4DD2">
              <w:t xml:space="preserve">weeks. </w:t>
            </w:r>
          </w:p>
          <w:p w:rsidR="00495FE7" w:rsidRDefault="00495FE7" w:rsidP="00495FE7">
            <w:pPr>
              <w:ind w:hanging="90"/>
              <w:rPr>
                <w:b/>
                <w:noProof/>
                <w:szCs w:val="22"/>
              </w:rPr>
            </w:pPr>
          </w:p>
          <w:p w:rsidR="00413B6B" w:rsidRDefault="00413B6B" w:rsidP="00495FE7">
            <w:pPr>
              <w:ind w:hanging="90"/>
              <w:rPr>
                <w:b/>
                <w:noProof/>
                <w:szCs w:val="22"/>
              </w:rPr>
            </w:pPr>
          </w:p>
          <w:p w:rsidR="00413B6B" w:rsidRDefault="00413B6B" w:rsidP="00495FE7">
            <w:pPr>
              <w:ind w:hanging="90"/>
              <w:rPr>
                <w:b/>
                <w:noProof/>
                <w:szCs w:val="22"/>
              </w:rPr>
            </w:pPr>
          </w:p>
          <w:p w:rsidR="00413B6B" w:rsidRDefault="00413B6B" w:rsidP="00495FE7">
            <w:pPr>
              <w:ind w:hanging="90"/>
              <w:rPr>
                <w:b/>
                <w:noProof/>
                <w:szCs w:val="22"/>
              </w:rPr>
            </w:pPr>
          </w:p>
          <w:p w:rsidR="00413B6B" w:rsidRDefault="00413B6B" w:rsidP="00495FE7">
            <w:pPr>
              <w:ind w:hanging="90"/>
              <w:rPr>
                <w:b/>
                <w:noProof/>
                <w:szCs w:val="22"/>
              </w:rPr>
            </w:pPr>
          </w:p>
          <w:p w:rsidR="00413B6B" w:rsidRDefault="00413B6B" w:rsidP="00495FE7">
            <w:pPr>
              <w:ind w:hanging="90"/>
              <w:rPr>
                <w:b/>
                <w:noProof/>
                <w:szCs w:val="22"/>
              </w:rPr>
            </w:pPr>
          </w:p>
          <w:p w:rsidR="00413B6B" w:rsidRPr="00543BBB" w:rsidRDefault="00413B6B" w:rsidP="00495FE7">
            <w:pPr>
              <w:ind w:hanging="90"/>
              <w:rPr>
                <w:b/>
                <w:noProof/>
                <w:szCs w:val="22"/>
              </w:rPr>
            </w:pPr>
          </w:p>
          <w:p w:rsidR="00495FE7" w:rsidRPr="00543BBB" w:rsidRDefault="00495FE7" w:rsidP="00365E45">
            <w:pPr>
              <w:keepNext/>
              <w:ind w:hanging="90"/>
              <w:rPr>
                <w:b/>
                <w:noProof/>
                <w:szCs w:val="22"/>
              </w:rPr>
            </w:pPr>
            <w:r>
              <w:rPr>
                <w:b/>
                <w:noProof/>
                <w:szCs w:val="22"/>
              </w:rPr>
              <w:tab/>
              <w:t>Table </w:t>
            </w:r>
            <w:r w:rsidR="00CC3C79">
              <w:rPr>
                <w:b/>
                <w:noProof/>
                <w:szCs w:val="22"/>
              </w:rPr>
              <w:t>6</w:t>
            </w:r>
            <w:r w:rsidRPr="00543BBB">
              <w:rPr>
                <w:b/>
                <w:noProof/>
                <w:szCs w:val="22"/>
              </w:rPr>
              <w:t xml:space="preserve">: </w:t>
            </w:r>
            <w:r w:rsidR="000F3EB1">
              <w:rPr>
                <w:b/>
                <w:noProof/>
                <w:szCs w:val="22"/>
              </w:rPr>
              <w:t>Key efficacy outcomes in</w:t>
            </w:r>
            <w:r w:rsidR="009C4302">
              <w:rPr>
                <w:b/>
                <w:noProof/>
                <w:szCs w:val="22"/>
              </w:rPr>
              <w:t xml:space="preserve"> </w:t>
            </w:r>
            <w:r w:rsidR="000F3EB1">
              <w:rPr>
                <w:b/>
                <w:noProof/>
                <w:szCs w:val="22"/>
              </w:rPr>
              <w:t>PsA001 clinical trial (percent of</w:t>
            </w:r>
            <w:r w:rsidR="009C4302">
              <w:rPr>
                <w:b/>
                <w:noProof/>
                <w:szCs w:val="22"/>
              </w:rPr>
              <w:t xml:space="preserve"> </w:t>
            </w:r>
            <w:r w:rsidR="000F3EB1">
              <w:rPr>
                <w:b/>
                <w:noProof/>
                <w:szCs w:val="22"/>
              </w:rPr>
              <w:t>patients)</w:t>
            </w:r>
          </w:p>
          <w:tbl>
            <w:tblPr>
              <w:tblW w:w="7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3"/>
              <w:gridCol w:w="1346"/>
              <w:gridCol w:w="1988"/>
              <w:gridCol w:w="2090"/>
            </w:tblGrid>
            <w:tr w:rsidR="00495FE7" w:rsidRPr="00797D0B" w:rsidTr="00D97490">
              <w:trPr>
                <w:trHeight w:val="18"/>
              </w:trPr>
              <w:tc>
                <w:tcPr>
                  <w:tcW w:w="1713" w:type="dxa"/>
                  <w:shd w:val="clear" w:color="auto" w:fill="auto"/>
                </w:tcPr>
                <w:p w:rsidR="00495FE7" w:rsidRPr="00365E45" w:rsidRDefault="00495FE7" w:rsidP="00495FE7">
                  <w:pPr>
                    <w:ind w:hanging="90"/>
                    <w:rPr>
                      <w:b/>
                      <w:bCs/>
                      <w:iCs/>
                      <w:noProof/>
                      <w:sz w:val="22"/>
                      <w:szCs w:val="22"/>
                    </w:rPr>
                  </w:pPr>
                  <w:r w:rsidRPr="00365E45">
                    <w:rPr>
                      <w:b/>
                      <w:bCs/>
                      <w:iCs/>
                      <w:noProof/>
                      <w:sz w:val="22"/>
                      <w:szCs w:val="22"/>
                    </w:rPr>
                    <w:t>Response</w:t>
                  </w:r>
                </w:p>
              </w:tc>
              <w:tc>
                <w:tcPr>
                  <w:tcW w:w="1346" w:type="dxa"/>
                  <w:shd w:val="clear" w:color="auto" w:fill="auto"/>
                </w:tcPr>
                <w:p w:rsidR="00495FE7" w:rsidRPr="00365E45" w:rsidRDefault="00495FE7" w:rsidP="00495FE7">
                  <w:pPr>
                    <w:ind w:hanging="90"/>
                    <w:jc w:val="center"/>
                    <w:rPr>
                      <w:b/>
                      <w:bCs/>
                      <w:iCs/>
                      <w:noProof/>
                      <w:sz w:val="22"/>
                      <w:szCs w:val="22"/>
                    </w:rPr>
                  </w:pPr>
                  <w:r w:rsidRPr="00365E45">
                    <w:rPr>
                      <w:b/>
                      <w:bCs/>
                      <w:iCs/>
                      <w:noProof/>
                      <w:sz w:val="22"/>
                      <w:szCs w:val="22"/>
                    </w:rPr>
                    <w:t>Placebo</w:t>
                  </w:r>
                </w:p>
                <w:p w:rsidR="00495FE7" w:rsidRPr="00365E45" w:rsidRDefault="00495FE7" w:rsidP="00495FE7">
                  <w:pPr>
                    <w:ind w:hanging="90"/>
                    <w:jc w:val="center"/>
                    <w:rPr>
                      <w:b/>
                      <w:bCs/>
                      <w:iCs/>
                      <w:noProof/>
                      <w:sz w:val="22"/>
                      <w:szCs w:val="22"/>
                    </w:rPr>
                  </w:pPr>
                </w:p>
                <w:p w:rsidR="00495FE7" w:rsidRPr="00365E45" w:rsidRDefault="00495FE7" w:rsidP="00747DB8">
                  <w:pPr>
                    <w:ind w:hanging="90"/>
                    <w:jc w:val="center"/>
                    <w:rPr>
                      <w:b/>
                      <w:bCs/>
                      <w:iCs/>
                      <w:noProof/>
                      <w:sz w:val="22"/>
                      <w:szCs w:val="22"/>
                    </w:rPr>
                  </w:pPr>
                  <w:r w:rsidRPr="00365E45">
                    <w:rPr>
                      <w:b/>
                      <w:bCs/>
                      <w:iCs/>
                      <w:noProof/>
                      <w:sz w:val="22"/>
                      <w:szCs w:val="22"/>
                    </w:rPr>
                    <w:t>N=136</w:t>
                  </w:r>
                </w:p>
              </w:tc>
              <w:tc>
                <w:tcPr>
                  <w:tcW w:w="1988" w:type="dxa"/>
                  <w:shd w:val="clear" w:color="auto" w:fill="auto"/>
                </w:tcPr>
                <w:p w:rsidR="00495FE7" w:rsidRPr="00365E45" w:rsidRDefault="00495FE7" w:rsidP="00495FE7">
                  <w:pPr>
                    <w:ind w:hanging="90"/>
                    <w:jc w:val="center"/>
                    <w:rPr>
                      <w:b/>
                      <w:bCs/>
                      <w:iCs/>
                      <w:noProof/>
                      <w:sz w:val="22"/>
                      <w:szCs w:val="22"/>
                      <w:vertAlign w:val="superscript"/>
                    </w:rPr>
                  </w:pPr>
                  <w:r w:rsidRPr="00365E45">
                    <w:rPr>
                      <w:b/>
                      <w:bCs/>
                      <w:iCs/>
                      <w:noProof/>
                      <w:sz w:val="22"/>
                      <w:szCs w:val="22"/>
                    </w:rPr>
                    <w:t>CIMZIA</w:t>
                  </w:r>
                  <w:r w:rsidRPr="00365E45">
                    <w:rPr>
                      <w:b/>
                      <w:bCs/>
                      <w:iCs/>
                      <w:noProof/>
                      <w:sz w:val="22"/>
                      <w:szCs w:val="22"/>
                      <w:vertAlign w:val="superscript"/>
                    </w:rPr>
                    <w:t>(a)</w:t>
                  </w:r>
                  <w:r w:rsidRPr="00365E45">
                    <w:rPr>
                      <w:b/>
                      <w:bCs/>
                      <w:iCs/>
                      <w:noProof/>
                      <w:sz w:val="22"/>
                      <w:szCs w:val="22"/>
                    </w:rPr>
                    <w:t>200 mg</w:t>
                  </w:r>
                </w:p>
                <w:p w:rsidR="00495FE7" w:rsidRPr="00365E45" w:rsidRDefault="00495FE7" w:rsidP="00495FE7">
                  <w:pPr>
                    <w:ind w:hanging="90"/>
                    <w:jc w:val="center"/>
                    <w:rPr>
                      <w:b/>
                      <w:bCs/>
                      <w:iCs/>
                      <w:noProof/>
                      <w:sz w:val="22"/>
                      <w:szCs w:val="22"/>
                    </w:rPr>
                  </w:pPr>
                  <w:r w:rsidRPr="00365E45">
                    <w:rPr>
                      <w:b/>
                      <w:bCs/>
                      <w:iCs/>
                      <w:noProof/>
                      <w:sz w:val="22"/>
                      <w:szCs w:val="22"/>
                    </w:rPr>
                    <w:t>Q2W</w:t>
                  </w:r>
                </w:p>
                <w:p w:rsidR="00495FE7" w:rsidRPr="00365E45" w:rsidRDefault="00495FE7" w:rsidP="00747DB8">
                  <w:pPr>
                    <w:ind w:hanging="90"/>
                    <w:jc w:val="center"/>
                    <w:rPr>
                      <w:b/>
                      <w:bCs/>
                      <w:iCs/>
                      <w:noProof/>
                      <w:sz w:val="22"/>
                      <w:szCs w:val="22"/>
                    </w:rPr>
                  </w:pPr>
                  <w:r w:rsidRPr="00365E45">
                    <w:rPr>
                      <w:b/>
                      <w:bCs/>
                      <w:iCs/>
                      <w:noProof/>
                      <w:sz w:val="22"/>
                      <w:szCs w:val="22"/>
                    </w:rPr>
                    <w:t>N=138</w:t>
                  </w:r>
                </w:p>
              </w:tc>
              <w:tc>
                <w:tcPr>
                  <w:tcW w:w="2090" w:type="dxa"/>
                  <w:shd w:val="clear" w:color="auto" w:fill="auto"/>
                </w:tcPr>
                <w:p w:rsidR="00495FE7" w:rsidRPr="00365E45" w:rsidRDefault="00495FE7" w:rsidP="00495FE7">
                  <w:pPr>
                    <w:ind w:hanging="90"/>
                    <w:jc w:val="center"/>
                    <w:rPr>
                      <w:b/>
                      <w:bCs/>
                      <w:iCs/>
                      <w:noProof/>
                      <w:sz w:val="22"/>
                      <w:szCs w:val="22"/>
                      <w:lang w:val="pt-PT"/>
                    </w:rPr>
                  </w:pPr>
                  <w:r w:rsidRPr="00365E45">
                    <w:rPr>
                      <w:b/>
                      <w:bCs/>
                      <w:iCs/>
                      <w:noProof/>
                      <w:sz w:val="22"/>
                      <w:szCs w:val="22"/>
                      <w:lang w:val="pt-PT"/>
                    </w:rPr>
                    <w:t>CIMZIA</w:t>
                  </w:r>
                  <w:r w:rsidRPr="00365E45">
                    <w:rPr>
                      <w:b/>
                      <w:bCs/>
                      <w:iCs/>
                      <w:noProof/>
                      <w:sz w:val="22"/>
                      <w:szCs w:val="22"/>
                      <w:vertAlign w:val="superscript"/>
                      <w:lang w:val="pt-PT"/>
                    </w:rPr>
                    <w:t>(b)</w:t>
                  </w:r>
                  <w:r w:rsidRPr="00365E45">
                    <w:rPr>
                      <w:b/>
                      <w:bCs/>
                      <w:iCs/>
                      <w:noProof/>
                      <w:sz w:val="22"/>
                      <w:szCs w:val="22"/>
                      <w:lang w:val="pt-PT"/>
                    </w:rPr>
                    <w:t xml:space="preserve"> 400 mg</w:t>
                  </w:r>
                </w:p>
                <w:p w:rsidR="00495FE7" w:rsidRPr="00365E45" w:rsidRDefault="00495FE7" w:rsidP="00495FE7">
                  <w:pPr>
                    <w:ind w:hanging="90"/>
                    <w:jc w:val="center"/>
                    <w:rPr>
                      <w:b/>
                      <w:bCs/>
                      <w:iCs/>
                      <w:noProof/>
                      <w:sz w:val="22"/>
                      <w:szCs w:val="22"/>
                      <w:lang w:val="pt-PT"/>
                    </w:rPr>
                  </w:pPr>
                  <w:r w:rsidRPr="00365E45">
                    <w:rPr>
                      <w:b/>
                      <w:bCs/>
                      <w:iCs/>
                      <w:noProof/>
                      <w:sz w:val="22"/>
                      <w:szCs w:val="22"/>
                      <w:lang w:val="pt-PT"/>
                    </w:rPr>
                    <w:t>Q4W</w:t>
                  </w:r>
                </w:p>
                <w:p w:rsidR="00495FE7" w:rsidRPr="00365E45" w:rsidRDefault="00495FE7" w:rsidP="00495FE7">
                  <w:pPr>
                    <w:ind w:hanging="90"/>
                    <w:jc w:val="center"/>
                    <w:rPr>
                      <w:b/>
                      <w:bCs/>
                      <w:iCs/>
                      <w:noProof/>
                      <w:sz w:val="22"/>
                      <w:szCs w:val="22"/>
                      <w:lang w:val="pt-PT"/>
                    </w:rPr>
                  </w:pPr>
                  <w:r w:rsidRPr="00365E45">
                    <w:rPr>
                      <w:b/>
                      <w:bCs/>
                      <w:iCs/>
                      <w:noProof/>
                      <w:sz w:val="22"/>
                      <w:szCs w:val="22"/>
                      <w:lang w:val="pt-PT"/>
                    </w:rPr>
                    <w:t>N=135</w:t>
                  </w:r>
                </w:p>
              </w:tc>
            </w:tr>
            <w:tr w:rsidR="00495FE7" w:rsidRPr="00797D0B" w:rsidTr="00D97490">
              <w:trPr>
                <w:trHeight w:val="18"/>
              </w:trPr>
              <w:tc>
                <w:tcPr>
                  <w:tcW w:w="1713" w:type="dxa"/>
                  <w:shd w:val="clear" w:color="auto" w:fill="auto"/>
                </w:tcPr>
                <w:p w:rsidR="00495FE7" w:rsidRPr="00365E45" w:rsidRDefault="00495FE7" w:rsidP="00495FE7">
                  <w:pPr>
                    <w:ind w:hanging="90"/>
                    <w:rPr>
                      <w:b/>
                      <w:bCs/>
                      <w:iCs/>
                      <w:noProof/>
                      <w:sz w:val="22"/>
                      <w:szCs w:val="22"/>
                    </w:rPr>
                  </w:pPr>
                  <w:r w:rsidRPr="00365E45">
                    <w:rPr>
                      <w:b/>
                      <w:bCs/>
                      <w:iCs/>
                      <w:noProof/>
                      <w:sz w:val="22"/>
                      <w:szCs w:val="22"/>
                    </w:rPr>
                    <w:t>ACR20</w:t>
                  </w:r>
                </w:p>
                <w:p w:rsidR="00495FE7" w:rsidRPr="00365E45" w:rsidRDefault="00495FE7" w:rsidP="00495FE7">
                  <w:pPr>
                    <w:ind w:hanging="90"/>
                    <w:rPr>
                      <w:iCs/>
                      <w:noProof/>
                      <w:sz w:val="22"/>
                      <w:szCs w:val="22"/>
                    </w:rPr>
                  </w:pPr>
                  <w:r w:rsidRPr="00365E45">
                    <w:rPr>
                      <w:iCs/>
                      <w:noProof/>
                      <w:sz w:val="22"/>
                      <w:szCs w:val="22"/>
                    </w:rPr>
                    <w:t>Week 12</w:t>
                  </w:r>
                </w:p>
                <w:p w:rsidR="00495FE7" w:rsidRPr="00365E45" w:rsidRDefault="00495FE7" w:rsidP="00495FE7">
                  <w:pPr>
                    <w:ind w:hanging="90"/>
                    <w:rPr>
                      <w:b/>
                      <w:bCs/>
                      <w:iCs/>
                      <w:noProof/>
                      <w:sz w:val="22"/>
                      <w:szCs w:val="22"/>
                    </w:rPr>
                  </w:pPr>
                  <w:r w:rsidRPr="00365E45">
                    <w:rPr>
                      <w:iCs/>
                      <w:noProof/>
                      <w:sz w:val="22"/>
                      <w:szCs w:val="22"/>
                    </w:rPr>
                    <w:t>Week 24</w:t>
                  </w:r>
                </w:p>
              </w:tc>
              <w:tc>
                <w:tcPr>
                  <w:tcW w:w="1346"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24%</w:t>
                  </w:r>
                </w:p>
                <w:p w:rsidR="00495FE7" w:rsidRPr="00365E45" w:rsidRDefault="00495FE7" w:rsidP="00747DB8">
                  <w:pPr>
                    <w:ind w:hanging="90"/>
                    <w:jc w:val="center"/>
                    <w:rPr>
                      <w:b/>
                      <w:iCs/>
                      <w:noProof/>
                      <w:sz w:val="22"/>
                      <w:szCs w:val="22"/>
                    </w:rPr>
                  </w:pPr>
                  <w:r w:rsidRPr="00365E45">
                    <w:rPr>
                      <w:iCs/>
                      <w:noProof/>
                      <w:sz w:val="22"/>
                      <w:szCs w:val="22"/>
                    </w:rPr>
                    <w:t>24%</w:t>
                  </w:r>
                </w:p>
              </w:tc>
              <w:tc>
                <w:tcPr>
                  <w:tcW w:w="1988"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58%**</w:t>
                  </w:r>
                </w:p>
                <w:p w:rsidR="00495FE7" w:rsidRPr="00365E45" w:rsidRDefault="00495FE7" w:rsidP="00495FE7">
                  <w:pPr>
                    <w:ind w:hanging="90"/>
                    <w:jc w:val="center"/>
                    <w:rPr>
                      <w:b/>
                      <w:iCs/>
                      <w:noProof/>
                      <w:sz w:val="22"/>
                      <w:szCs w:val="22"/>
                    </w:rPr>
                  </w:pPr>
                  <w:r w:rsidRPr="00365E45">
                    <w:rPr>
                      <w:iCs/>
                      <w:noProof/>
                      <w:sz w:val="22"/>
                      <w:szCs w:val="22"/>
                    </w:rPr>
                    <w:t>64%**</w:t>
                  </w:r>
                </w:p>
              </w:tc>
              <w:tc>
                <w:tcPr>
                  <w:tcW w:w="2090"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52%**</w:t>
                  </w:r>
                </w:p>
                <w:p w:rsidR="00495FE7" w:rsidRPr="00365E45" w:rsidRDefault="00495FE7" w:rsidP="00747DB8">
                  <w:pPr>
                    <w:ind w:hanging="90"/>
                    <w:jc w:val="center"/>
                    <w:rPr>
                      <w:b/>
                      <w:iCs/>
                      <w:noProof/>
                      <w:sz w:val="22"/>
                      <w:szCs w:val="22"/>
                    </w:rPr>
                  </w:pPr>
                  <w:r w:rsidRPr="00365E45">
                    <w:rPr>
                      <w:iCs/>
                      <w:noProof/>
                      <w:sz w:val="22"/>
                      <w:szCs w:val="22"/>
                    </w:rPr>
                    <w:t>56%**</w:t>
                  </w:r>
                </w:p>
              </w:tc>
            </w:tr>
            <w:tr w:rsidR="00495FE7" w:rsidRPr="00797D0B" w:rsidTr="00D97490">
              <w:trPr>
                <w:trHeight w:val="37"/>
              </w:trPr>
              <w:tc>
                <w:tcPr>
                  <w:tcW w:w="1713" w:type="dxa"/>
                  <w:shd w:val="clear" w:color="auto" w:fill="auto"/>
                </w:tcPr>
                <w:p w:rsidR="00495FE7" w:rsidRPr="00365E45" w:rsidRDefault="00495FE7" w:rsidP="00495FE7">
                  <w:pPr>
                    <w:ind w:hanging="90"/>
                    <w:rPr>
                      <w:b/>
                      <w:bCs/>
                      <w:iCs/>
                      <w:noProof/>
                      <w:sz w:val="22"/>
                      <w:szCs w:val="22"/>
                    </w:rPr>
                  </w:pPr>
                  <w:r w:rsidRPr="00365E45">
                    <w:rPr>
                      <w:b/>
                      <w:bCs/>
                      <w:iCs/>
                      <w:noProof/>
                      <w:sz w:val="22"/>
                      <w:szCs w:val="22"/>
                    </w:rPr>
                    <w:t>ACR50</w:t>
                  </w:r>
                </w:p>
                <w:p w:rsidR="00495FE7" w:rsidRPr="00365E45" w:rsidRDefault="00495FE7" w:rsidP="00495FE7">
                  <w:pPr>
                    <w:ind w:hanging="90"/>
                    <w:rPr>
                      <w:iCs/>
                      <w:noProof/>
                      <w:sz w:val="22"/>
                      <w:szCs w:val="22"/>
                    </w:rPr>
                  </w:pPr>
                  <w:r w:rsidRPr="00365E45">
                    <w:rPr>
                      <w:iCs/>
                      <w:noProof/>
                      <w:sz w:val="22"/>
                      <w:szCs w:val="22"/>
                    </w:rPr>
                    <w:t>Week 12</w:t>
                  </w:r>
                </w:p>
                <w:p w:rsidR="00495FE7" w:rsidRPr="00365E45" w:rsidRDefault="00495FE7" w:rsidP="00495FE7">
                  <w:pPr>
                    <w:ind w:hanging="90"/>
                    <w:rPr>
                      <w:b/>
                      <w:bCs/>
                      <w:iCs/>
                      <w:noProof/>
                      <w:sz w:val="22"/>
                      <w:szCs w:val="22"/>
                    </w:rPr>
                  </w:pPr>
                  <w:r w:rsidRPr="00365E45">
                    <w:rPr>
                      <w:iCs/>
                      <w:noProof/>
                      <w:sz w:val="22"/>
                      <w:szCs w:val="22"/>
                    </w:rPr>
                    <w:t>Week 24</w:t>
                  </w:r>
                </w:p>
              </w:tc>
              <w:tc>
                <w:tcPr>
                  <w:tcW w:w="1346"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11%</w:t>
                  </w:r>
                </w:p>
                <w:p w:rsidR="00495FE7" w:rsidRPr="00365E45" w:rsidRDefault="00495FE7" w:rsidP="00747DB8">
                  <w:pPr>
                    <w:ind w:hanging="90"/>
                    <w:jc w:val="center"/>
                    <w:rPr>
                      <w:iCs/>
                      <w:noProof/>
                      <w:sz w:val="22"/>
                      <w:szCs w:val="22"/>
                    </w:rPr>
                  </w:pPr>
                  <w:r w:rsidRPr="00365E45">
                    <w:rPr>
                      <w:iCs/>
                      <w:noProof/>
                      <w:sz w:val="22"/>
                      <w:szCs w:val="22"/>
                    </w:rPr>
                    <w:t>13%</w:t>
                  </w:r>
                </w:p>
              </w:tc>
              <w:tc>
                <w:tcPr>
                  <w:tcW w:w="1988"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36%**</w:t>
                  </w:r>
                </w:p>
                <w:p w:rsidR="00495FE7" w:rsidRPr="00365E45" w:rsidRDefault="00495FE7" w:rsidP="00747DB8">
                  <w:pPr>
                    <w:ind w:hanging="90"/>
                    <w:jc w:val="center"/>
                    <w:rPr>
                      <w:iCs/>
                      <w:noProof/>
                      <w:sz w:val="22"/>
                      <w:szCs w:val="22"/>
                    </w:rPr>
                  </w:pPr>
                  <w:r w:rsidRPr="00365E45">
                    <w:rPr>
                      <w:iCs/>
                      <w:noProof/>
                      <w:sz w:val="22"/>
                      <w:szCs w:val="22"/>
                    </w:rPr>
                    <w:t>44%**</w:t>
                  </w:r>
                </w:p>
              </w:tc>
              <w:tc>
                <w:tcPr>
                  <w:tcW w:w="2090"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33%**</w:t>
                  </w:r>
                </w:p>
                <w:p w:rsidR="00495FE7" w:rsidRPr="00365E45" w:rsidRDefault="00495FE7" w:rsidP="00747DB8">
                  <w:pPr>
                    <w:ind w:hanging="90"/>
                    <w:jc w:val="center"/>
                    <w:rPr>
                      <w:iCs/>
                      <w:noProof/>
                      <w:sz w:val="22"/>
                      <w:szCs w:val="22"/>
                    </w:rPr>
                  </w:pPr>
                  <w:r w:rsidRPr="00365E45">
                    <w:rPr>
                      <w:iCs/>
                      <w:noProof/>
                      <w:sz w:val="22"/>
                      <w:szCs w:val="22"/>
                    </w:rPr>
                    <w:t>40%**</w:t>
                  </w:r>
                </w:p>
              </w:tc>
            </w:tr>
            <w:tr w:rsidR="00495FE7" w:rsidRPr="00797D0B" w:rsidTr="00D97490">
              <w:trPr>
                <w:trHeight w:val="18"/>
              </w:trPr>
              <w:tc>
                <w:tcPr>
                  <w:tcW w:w="1713" w:type="dxa"/>
                  <w:shd w:val="clear" w:color="auto" w:fill="auto"/>
                </w:tcPr>
                <w:p w:rsidR="00495FE7" w:rsidRPr="00365E45" w:rsidRDefault="00495FE7" w:rsidP="00495FE7">
                  <w:pPr>
                    <w:ind w:hanging="90"/>
                    <w:rPr>
                      <w:b/>
                      <w:bCs/>
                      <w:iCs/>
                      <w:noProof/>
                      <w:sz w:val="22"/>
                      <w:szCs w:val="22"/>
                    </w:rPr>
                  </w:pPr>
                  <w:r w:rsidRPr="00365E45">
                    <w:rPr>
                      <w:b/>
                      <w:bCs/>
                      <w:iCs/>
                      <w:noProof/>
                      <w:sz w:val="22"/>
                      <w:szCs w:val="22"/>
                    </w:rPr>
                    <w:t>ACR70</w:t>
                  </w:r>
                </w:p>
                <w:p w:rsidR="00495FE7" w:rsidRPr="00365E45" w:rsidRDefault="00495FE7" w:rsidP="00495FE7">
                  <w:pPr>
                    <w:ind w:hanging="90"/>
                    <w:rPr>
                      <w:iCs/>
                      <w:noProof/>
                      <w:sz w:val="22"/>
                      <w:szCs w:val="22"/>
                    </w:rPr>
                  </w:pPr>
                  <w:r w:rsidRPr="00365E45">
                    <w:rPr>
                      <w:iCs/>
                      <w:noProof/>
                      <w:sz w:val="22"/>
                      <w:szCs w:val="22"/>
                    </w:rPr>
                    <w:t>Week 12</w:t>
                  </w:r>
                </w:p>
                <w:p w:rsidR="00495FE7" w:rsidRPr="00365E45" w:rsidRDefault="00495FE7" w:rsidP="00495FE7">
                  <w:pPr>
                    <w:ind w:hanging="90"/>
                    <w:rPr>
                      <w:b/>
                      <w:bCs/>
                      <w:iCs/>
                      <w:noProof/>
                      <w:sz w:val="22"/>
                      <w:szCs w:val="22"/>
                    </w:rPr>
                  </w:pPr>
                  <w:r w:rsidRPr="00365E45">
                    <w:rPr>
                      <w:iCs/>
                      <w:noProof/>
                      <w:sz w:val="22"/>
                      <w:szCs w:val="22"/>
                    </w:rPr>
                    <w:t>Week 24</w:t>
                  </w:r>
                </w:p>
              </w:tc>
              <w:tc>
                <w:tcPr>
                  <w:tcW w:w="1346"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3%</w:t>
                  </w:r>
                </w:p>
                <w:p w:rsidR="00495FE7" w:rsidRPr="00365E45" w:rsidRDefault="00495FE7" w:rsidP="00747DB8">
                  <w:pPr>
                    <w:ind w:hanging="90"/>
                    <w:jc w:val="center"/>
                    <w:rPr>
                      <w:iCs/>
                      <w:noProof/>
                      <w:sz w:val="22"/>
                      <w:szCs w:val="22"/>
                    </w:rPr>
                  </w:pPr>
                  <w:r w:rsidRPr="00365E45">
                    <w:rPr>
                      <w:iCs/>
                      <w:noProof/>
                      <w:sz w:val="22"/>
                      <w:szCs w:val="22"/>
                    </w:rPr>
                    <w:t>4</w:t>
                  </w:r>
                  <w:r w:rsidR="00220239">
                    <w:rPr>
                      <w:iCs/>
                      <w:noProof/>
                      <w:sz w:val="22"/>
                      <w:szCs w:val="22"/>
                    </w:rPr>
                    <w:t>%</w:t>
                  </w:r>
                </w:p>
              </w:tc>
              <w:tc>
                <w:tcPr>
                  <w:tcW w:w="1988"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25%*</w:t>
                  </w:r>
                  <w:r w:rsidR="00D90F56">
                    <w:rPr>
                      <w:iCs/>
                      <w:noProof/>
                      <w:sz w:val="22"/>
                      <w:szCs w:val="22"/>
                    </w:rPr>
                    <w:t>*</w:t>
                  </w:r>
                </w:p>
                <w:p w:rsidR="00495FE7" w:rsidRPr="00365E45" w:rsidRDefault="00495FE7" w:rsidP="00747DB8">
                  <w:pPr>
                    <w:ind w:hanging="90"/>
                    <w:jc w:val="center"/>
                    <w:rPr>
                      <w:iCs/>
                      <w:noProof/>
                      <w:sz w:val="22"/>
                      <w:szCs w:val="22"/>
                    </w:rPr>
                  </w:pPr>
                  <w:r w:rsidRPr="00365E45">
                    <w:rPr>
                      <w:iCs/>
                      <w:noProof/>
                      <w:sz w:val="22"/>
                      <w:szCs w:val="22"/>
                    </w:rPr>
                    <w:t>28%**</w:t>
                  </w:r>
                </w:p>
              </w:tc>
              <w:tc>
                <w:tcPr>
                  <w:tcW w:w="2090" w:type="dxa"/>
                  <w:shd w:val="clear" w:color="auto" w:fill="auto"/>
                </w:tcPr>
                <w:p w:rsidR="00495FE7" w:rsidRPr="00365E45" w:rsidRDefault="00495FE7" w:rsidP="00495FE7">
                  <w:pPr>
                    <w:ind w:hanging="90"/>
                    <w:jc w:val="center"/>
                    <w:rPr>
                      <w:iCs/>
                      <w:noProof/>
                      <w:sz w:val="22"/>
                      <w:szCs w:val="22"/>
                    </w:rPr>
                  </w:pPr>
                </w:p>
                <w:p w:rsidR="00495FE7" w:rsidRPr="00365E45" w:rsidRDefault="00495FE7" w:rsidP="00495FE7">
                  <w:pPr>
                    <w:ind w:hanging="90"/>
                    <w:jc w:val="center"/>
                    <w:rPr>
                      <w:iCs/>
                      <w:noProof/>
                      <w:sz w:val="22"/>
                      <w:szCs w:val="22"/>
                    </w:rPr>
                  </w:pPr>
                  <w:r w:rsidRPr="00365E45">
                    <w:rPr>
                      <w:iCs/>
                      <w:noProof/>
                      <w:sz w:val="22"/>
                      <w:szCs w:val="22"/>
                    </w:rPr>
                    <w:t>13%*</w:t>
                  </w:r>
                </w:p>
                <w:p w:rsidR="00495FE7" w:rsidRPr="00365E45" w:rsidRDefault="00495FE7" w:rsidP="00747DB8">
                  <w:pPr>
                    <w:ind w:hanging="90"/>
                    <w:jc w:val="center"/>
                    <w:rPr>
                      <w:iCs/>
                      <w:noProof/>
                      <w:sz w:val="22"/>
                      <w:szCs w:val="22"/>
                    </w:rPr>
                  </w:pPr>
                  <w:r w:rsidRPr="00365E45">
                    <w:rPr>
                      <w:iCs/>
                      <w:noProof/>
                      <w:sz w:val="22"/>
                      <w:szCs w:val="22"/>
                    </w:rPr>
                    <w:t>24%**</w:t>
                  </w:r>
                </w:p>
              </w:tc>
            </w:tr>
            <w:tr w:rsidR="000F3EB1" w:rsidRPr="00797D0B" w:rsidTr="00D97490">
              <w:trPr>
                <w:trHeight w:val="18"/>
              </w:trPr>
              <w:tc>
                <w:tcPr>
                  <w:tcW w:w="1713" w:type="dxa"/>
                  <w:shd w:val="clear" w:color="auto" w:fill="auto"/>
                </w:tcPr>
                <w:p w:rsidR="000F3EB1" w:rsidRPr="00365E45" w:rsidRDefault="000F3EB1" w:rsidP="00495FE7">
                  <w:pPr>
                    <w:ind w:hanging="90"/>
                    <w:rPr>
                      <w:b/>
                      <w:bCs/>
                      <w:iCs/>
                      <w:noProof/>
                      <w:sz w:val="22"/>
                      <w:szCs w:val="22"/>
                    </w:rPr>
                  </w:pPr>
                  <w:r w:rsidRPr="00365E45">
                    <w:rPr>
                      <w:b/>
                      <w:bCs/>
                      <w:iCs/>
                      <w:noProof/>
                      <w:sz w:val="22"/>
                      <w:szCs w:val="22"/>
                    </w:rPr>
                    <w:t>Response</w:t>
                  </w:r>
                </w:p>
              </w:tc>
              <w:tc>
                <w:tcPr>
                  <w:tcW w:w="1346" w:type="dxa"/>
                  <w:shd w:val="clear" w:color="auto" w:fill="auto"/>
                </w:tcPr>
                <w:p w:rsidR="000F3EB1" w:rsidRPr="00365E45" w:rsidRDefault="000F3EB1" w:rsidP="00155B1F">
                  <w:pPr>
                    <w:ind w:hanging="90"/>
                    <w:jc w:val="center"/>
                    <w:rPr>
                      <w:b/>
                      <w:bCs/>
                      <w:iCs/>
                      <w:noProof/>
                      <w:sz w:val="22"/>
                      <w:szCs w:val="22"/>
                    </w:rPr>
                  </w:pPr>
                  <w:r w:rsidRPr="00365E45">
                    <w:rPr>
                      <w:b/>
                      <w:bCs/>
                      <w:iCs/>
                      <w:noProof/>
                      <w:sz w:val="22"/>
                      <w:szCs w:val="22"/>
                    </w:rPr>
                    <w:t>Placebo</w:t>
                  </w:r>
                </w:p>
                <w:p w:rsidR="000F3EB1" w:rsidRPr="00365E45" w:rsidRDefault="000F3EB1" w:rsidP="00495FE7">
                  <w:pPr>
                    <w:ind w:hanging="90"/>
                    <w:jc w:val="center"/>
                    <w:rPr>
                      <w:iCs/>
                      <w:noProof/>
                      <w:sz w:val="22"/>
                      <w:szCs w:val="22"/>
                    </w:rPr>
                  </w:pPr>
                  <w:r>
                    <w:rPr>
                      <w:b/>
                      <w:bCs/>
                      <w:iCs/>
                      <w:noProof/>
                      <w:sz w:val="22"/>
                      <w:szCs w:val="22"/>
                    </w:rPr>
                    <w:t>N=86</w:t>
                  </w:r>
                </w:p>
              </w:tc>
              <w:tc>
                <w:tcPr>
                  <w:tcW w:w="1988" w:type="dxa"/>
                  <w:shd w:val="clear" w:color="auto" w:fill="auto"/>
                </w:tcPr>
                <w:p w:rsidR="000F3EB1" w:rsidRPr="00365E45" w:rsidRDefault="000F3EB1" w:rsidP="00155B1F">
                  <w:pPr>
                    <w:ind w:hanging="90"/>
                    <w:jc w:val="center"/>
                    <w:rPr>
                      <w:b/>
                      <w:bCs/>
                      <w:iCs/>
                      <w:noProof/>
                      <w:sz w:val="22"/>
                      <w:szCs w:val="22"/>
                      <w:vertAlign w:val="superscript"/>
                    </w:rPr>
                  </w:pPr>
                  <w:r w:rsidRPr="00365E45">
                    <w:rPr>
                      <w:b/>
                      <w:bCs/>
                      <w:iCs/>
                      <w:noProof/>
                      <w:sz w:val="22"/>
                      <w:szCs w:val="22"/>
                    </w:rPr>
                    <w:t>CIMZIA</w:t>
                  </w:r>
                  <w:r w:rsidRPr="00365E45">
                    <w:rPr>
                      <w:b/>
                      <w:bCs/>
                      <w:iCs/>
                      <w:noProof/>
                      <w:sz w:val="22"/>
                      <w:szCs w:val="22"/>
                      <w:vertAlign w:val="superscript"/>
                    </w:rPr>
                    <w:t>(a)</w:t>
                  </w:r>
                  <w:r w:rsidRPr="00365E45">
                    <w:rPr>
                      <w:b/>
                      <w:bCs/>
                      <w:iCs/>
                      <w:noProof/>
                      <w:sz w:val="22"/>
                      <w:szCs w:val="22"/>
                    </w:rPr>
                    <w:t>200 mg</w:t>
                  </w:r>
                </w:p>
                <w:p w:rsidR="000F3EB1" w:rsidRPr="00365E45" w:rsidRDefault="000F3EB1" w:rsidP="00155B1F">
                  <w:pPr>
                    <w:ind w:hanging="90"/>
                    <w:jc w:val="center"/>
                    <w:rPr>
                      <w:b/>
                      <w:bCs/>
                      <w:iCs/>
                      <w:noProof/>
                      <w:sz w:val="22"/>
                      <w:szCs w:val="22"/>
                    </w:rPr>
                  </w:pPr>
                  <w:r w:rsidRPr="00365E45">
                    <w:rPr>
                      <w:b/>
                      <w:bCs/>
                      <w:iCs/>
                      <w:noProof/>
                      <w:sz w:val="22"/>
                      <w:szCs w:val="22"/>
                    </w:rPr>
                    <w:t>Q2W</w:t>
                  </w:r>
                </w:p>
                <w:p w:rsidR="000F3EB1" w:rsidRPr="00365E45" w:rsidRDefault="000F3EB1" w:rsidP="00495FE7">
                  <w:pPr>
                    <w:ind w:hanging="90"/>
                    <w:jc w:val="center"/>
                    <w:rPr>
                      <w:iCs/>
                      <w:noProof/>
                      <w:sz w:val="22"/>
                      <w:szCs w:val="22"/>
                    </w:rPr>
                  </w:pPr>
                  <w:r>
                    <w:rPr>
                      <w:b/>
                      <w:bCs/>
                      <w:iCs/>
                      <w:noProof/>
                      <w:sz w:val="22"/>
                      <w:szCs w:val="22"/>
                    </w:rPr>
                    <w:t>N=90</w:t>
                  </w:r>
                </w:p>
              </w:tc>
              <w:tc>
                <w:tcPr>
                  <w:tcW w:w="2090" w:type="dxa"/>
                  <w:shd w:val="clear" w:color="auto" w:fill="auto"/>
                </w:tcPr>
                <w:p w:rsidR="000F3EB1" w:rsidRPr="00365E45" w:rsidRDefault="000F3EB1" w:rsidP="00155B1F">
                  <w:pPr>
                    <w:ind w:hanging="90"/>
                    <w:jc w:val="center"/>
                    <w:rPr>
                      <w:b/>
                      <w:bCs/>
                      <w:iCs/>
                      <w:noProof/>
                      <w:sz w:val="22"/>
                      <w:szCs w:val="22"/>
                      <w:lang w:val="pt-PT"/>
                    </w:rPr>
                  </w:pPr>
                  <w:r w:rsidRPr="00365E45">
                    <w:rPr>
                      <w:b/>
                      <w:bCs/>
                      <w:iCs/>
                      <w:noProof/>
                      <w:sz w:val="22"/>
                      <w:szCs w:val="22"/>
                      <w:lang w:val="pt-PT"/>
                    </w:rPr>
                    <w:t>CIMZIA</w:t>
                  </w:r>
                  <w:r w:rsidRPr="00365E45">
                    <w:rPr>
                      <w:b/>
                      <w:bCs/>
                      <w:iCs/>
                      <w:noProof/>
                      <w:sz w:val="22"/>
                      <w:szCs w:val="22"/>
                      <w:vertAlign w:val="superscript"/>
                      <w:lang w:val="pt-PT"/>
                    </w:rPr>
                    <w:t>(b)</w:t>
                  </w:r>
                  <w:r w:rsidRPr="00365E45">
                    <w:rPr>
                      <w:b/>
                      <w:bCs/>
                      <w:iCs/>
                      <w:noProof/>
                      <w:sz w:val="22"/>
                      <w:szCs w:val="22"/>
                      <w:lang w:val="pt-PT"/>
                    </w:rPr>
                    <w:t xml:space="preserve"> 400 mg</w:t>
                  </w:r>
                </w:p>
                <w:p w:rsidR="000F3EB1" w:rsidRPr="00365E45" w:rsidRDefault="000F3EB1" w:rsidP="00155B1F">
                  <w:pPr>
                    <w:ind w:hanging="90"/>
                    <w:jc w:val="center"/>
                    <w:rPr>
                      <w:b/>
                      <w:bCs/>
                      <w:iCs/>
                      <w:noProof/>
                      <w:sz w:val="22"/>
                      <w:szCs w:val="22"/>
                      <w:lang w:val="pt-PT"/>
                    </w:rPr>
                  </w:pPr>
                  <w:r w:rsidRPr="00365E45">
                    <w:rPr>
                      <w:b/>
                      <w:bCs/>
                      <w:iCs/>
                      <w:noProof/>
                      <w:sz w:val="22"/>
                      <w:szCs w:val="22"/>
                      <w:lang w:val="pt-PT"/>
                    </w:rPr>
                    <w:t>Q4W</w:t>
                  </w:r>
                </w:p>
                <w:p w:rsidR="000F3EB1" w:rsidRPr="00365E45" w:rsidRDefault="000F3EB1" w:rsidP="00495FE7">
                  <w:pPr>
                    <w:ind w:hanging="90"/>
                    <w:jc w:val="center"/>
                    <w:rPr>
                      <w:iCs/>
                      <w:noProof/>
                      <w:sz w:val="22"/>
                      <w:szCs w:val="22"/>
                    </w:rPr>
                  </w:pPr>
                  <w:r>
                    <w:rPr>
                      <w:b/>
                      <w:bCs/>
                      <w:iCs/>
                      <w:noProof/>
                      <w:sz w:val="22"/>
                      <w:szCs w:val="22"/>
                      <w:lang w:val="pt-PT"/>
                    </w:rPr>
                    <w:t>N=76</w:t>
                  </w:r>
                </w:p>
              </w:tc>
            </w:tr>
            <w:tr w:rsidR="00747DB8" w:rsidRPr="00797D0B" w:rsidTr="00D97490">
              <w:trPr>
                <w:trHeight w:val="18"/>
              </w:trPr>
              <w:tc>
                <w:tcPr>
                  <w:tcW w:w="1713" w:type="dxa"/>
                  <w:shd w:val="clear" w:color="auto" w:fill="auto"/>
                </w:tcPr>
                <w:p w:rsidR="00747DB8" w:rsidRDefault="00747DB8" w:rsidP="00495FE7">
                  <w:pPr>
                    <w:ind w:hanging="90"/>
                    <w:rPr>
                      <w:b/>
                      <w:bCs/>
                      <w:iCs/>
                      <w:noProof/>
                      <w:sz w:val="22"/>
                      <w:szCs w:val="22"/>
                    </w:rPr>
                  </w:pPr>
                  <w:r>
                    <w:rPr>
                      <w:b/>
                      <w:bCs/>
                      <w:iCs/>
                      <w:noProof/>
                      <w:sz w:val="22"/>
                      <w:szCs w:val="22"/>
                    </w:rPr>
                    <w:t>PASI 75</w:t>
                  </w:r>
                </w:p>
                <w:p w:rsidR="00747DB8" w:rsidRPr="00365E45" w:rsidRDefault="00747DB8" w:rsidP="00747DB8">
                  <w:pPr>
                    <w:ind w:hanging="90"/>
                    <w:rPr>
                      <w:iCs/>
                      <w:noProof/>
                      <w:sz w:val="22"/>
                      <w:szCs w:val="22"/>
                    </w:rPr>
                  </w:pPr>
                  <w:r w:rsidRPr="00365E45">
                    <w:rPr>
                      <w:iCs/>
                      <w:noProof/>
                      <w:sz w:val="22"/>
                      <w:szCs w:val="22"/>
                    </w:rPr>
                    <w:t>Week 12</w:t>
                  </w:r>
                </w:p>
                <w:p w:rsidR="00747DB8" w:rsidRPr="00747DB8" w:rsidRDefault="00747DB8" w:rsidP="00747DB8">
                  <w:pPr>
                    <w:ind w:hanging="90"/>
                    <w:rPr>
                      <w:bCs/>
                      <w:iCs/>
                      <w:noProof/>
                      <w:sz w:val="22"/>
                      <w:szCs w:val="22"/>
                    </w:rPr>
                  </w:pPr>
                  <w:r w:rsidRPr="00365E45">
                    <w:rPr>
                      <w:iCs/>
                      <w:noProof/>
                      <w:sz w:val="22"/>
                      <w:szCs w:val="22"/>
                    </w:rPr>
                    <w:t>Week 24</w:t>
                  </w:r>
                </w:p>
              </w:tc>
              <w:tc>
                <w:tcPr>
                  <w:tcW w:w="1346"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14</w:t>
                  </w:r>
                  <w:r w:rsidR="000F3EB1">
                    <w:rPr>
                      <w:iCs/>
                      <w:noProof/>
                      <w:sz w:val="22"/>
                      <w:szCs w:val="22"/>
                    </w:rPr>
                    <w:t>%</w:t>
                  </w:r>
                </w:p>
                <w:p w:rsidR="00747DB8" w:rsidRPr="00365E45" w:rsidRDefault="00747DB8" w:rsidP="00495FE7">
                  <w:pPr>
                    <w:ind w:hanging="90"/>
                    <w:jc w:val="center"/>
                    <w:rPr>
                      <w:iCs/>
                      <w:noProof/>
                      <w:sz w:val="22"/>
                      <w:szCs w:val="22"/>
                    </w:rPr>
                  </w:pPr>
                  <w:r>
                    <w:rPr>
                      <w:iCs/>
                      <w:noProof/>
                      <w:sz w:val="22"/>
                      <w:szCs w:val="22"/>
                    </w:rPr>
                    <w:t>15</w:t>
                  </w:r>
                  <w:r w:rsidR="000F3EB1">
                    <w:rPr>
                      <w:iCs/>
                      <w:noProof/>
                      <w:sz w:val="22"/>
                      <w:szCs w:val="22"/>
                    </w:rPr>
                    <w:t>%</w:t>
                  </w:r>
                </w:p>
              </w:tc>
              <w:tc>
                <w:tcPr>
                  <w:tcW w:w="1988"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47</w:t>
                  </w:r>
                  <w:r w:rsidR="000F3EB1">
                    <w:rPr>
                      <w:iCs/>
                      <w:noProof/>
                      <w:sz w:val="22"/>
                      <w:szCs w:val="22"/>
                    </w:rPr>
                    <w:t>%</w:t>
                  </w:r>
                  <w:r>
                    <w:rPr>
                      <w:iCs/>
                      <w:noProof/>
                      <w:sz w:val="22"/>
                      <w:szCs w:val="22"/>
                    </w:rPr>
                    <w:t>**</w:t>
                  </w:r>
                </w:p>
                <w:p w:rsidR="00747DB8" w:rsidRPr="00365E45" w:rsidRDefault="00747DB8" w:rsidP="00495FE7">
                  <w:pPr>
                    <w:ind w:hanging="90"/>
                    <w:jc w:val="center"/>
                    <w:rPr>
                      <w:iCs/>
                      <w:noProof/>
                      <w:sz w:val="22"/>
                      <w:szCs w:val="22"/>
                    </w:rPr>
                  </w:pPr>
                  <w:r>
                    <w:rPr>
                      <w:iCs/>
                      <w:noProof/>
                      <w:sz w:val="22"/>
                      <w:szCs w:val="22"/>
                    </w:rPr>
                    <w:t>62</w:t>
                  </w:r>
                  <w:r w:rsidR="000F3EB1">
                    <w:rPr>
                      <w:iCs/>
                      <w:noProof/>
                      <w:sz w:val="22"/>
                      <w:szCs w:val="22"/>
                    </w:rPr>
                    <w:t>%</w:t>
                  </w:r>
                  <w:r>
                    <w:rPr>
                      <w:iCs/>
                      <w:noProof/>
                      <w:sz w:val="22"/>
                      <w:szCs w:val="22"/>
                    </w:rPr>
                    <w:t>**</w:t>
                  </w:r>
                </w:p>
              </w:tc>
              <w:tc>
                <w:tcPr>
                  <w:tcW w:w="2090"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47</w:t>
                  </w:r>
                  <w:r w:rsidR="000F3EB1">
                    <w:rPr>
                      <w:iCs/>
                      <w:noProof/>
                      <w:sz w:val="22"/>
                      <w:szCs w:val="22"/>
                    </w:rPr>
                    <w:t>%</w:t>
                  </w:r>
                  <w:r>
                    <w:rPr>
                      <w:iCs/>
                      <w:noProof/>
                      <w:sz w:val="22"/>
                      <w:szCs w:val="22"/>
                    </w:rPr>
                    <w:t>**</w:t>
                  </w:r>
                </w:p>
                <w:p w:rsidR="00747DB8" w:rsidRPr="00365E45" w:rsidRDefault="00747DB8" w:rsidP="00495FE7">
                  <w:pPr>
                    <w:ind w:hanging="90"/>
                    <w:jc w:val="center"/>
                    <w:rPr>
                      <w:iCs/>
                      <w:noProof/>
                      <w:sz w:val="22"/>
                      <w:szCs w:val="22"/>
                    </w:rPr>
                  </w:pPr>
                  <w:r>
                    <w:rPr>
                      <w:iCs/>
                      <w:noProof/>
                      <w:sz w:val="22"/>
                      <w:szCs w:val="22"/>
                    </w:rPr>
                    <w:t>61</w:t>
                  </w:r>
                  <w:r w:rsidR="000F3EB1">
                    <w:rPr>
                      <w:iCs/>
                      <w:noProof/>
                      <w:sz w:val="22"/>
                      <w:szCs w:val="22"/>
                    </w:rPr>
                    <w:t>%</w:t>
                  </w:r>
                  <w:r>
                    <w:rPr>
                      <w:iCs/>
                      <w:noProof/>
                      <w:sz w:val="22"/>
                      <w:szCs w:val="22"/>
                    </w:rPr>
                    <w:t>**</w:t>
                  </w:r>
                </w:p>
              </w:tc>
            </w:tr>
            <w:tr w:rsidR="00747DB8" w:rsidRPr="00797D0B" w:rsidTr="00D97490">
              <w:trPr>
                <w:trHeight w:val="18"/>
              </w:trPr>
              <w:tc>
                <w:tcPr>
                  <w:tcW w:w="1713" w:type="dxa"/>
                  <w:shd w:val="clear" w:color="auto" w:fill="auto"/>
                </w:tcPr>
                <w:p w:rsidR="00747DB8" w:rsidRDefault="00747DB8" w:rsidP="00495FE7">
                  <w:pPr>
                    <w:ind w:hanging="90"/>
                    <w:rPr>
                      <w:b/>
                      <w:bCs/>
                      <w:iCs/>
                      <w:noProof/>
                      <w:sz w:val="22"/>
                      <w:szCs w:val="22"/>
                    </w:rPr>
                  </w:pPr>
                  <w:r>
                    <w:rPr>
                      <w:b/>
                      <w:bCs/>
                      <w:iCs/>
                      <w:noProof/>
                      <w:sz w:val="22"/>
                      <w:szCs w:val="22"/>
                    </w:rPr>
                    <w:t>PASI 90</w:t>
                  </w:r>
                </w:p>
                <w:p w:rsidR="00747DB8" w:rsidRPr="00365E45" w:rsidRDefault="00747DB8" w:rsidP="00747DB8">
                  <w:pPr>
                    <w:ind w:hanging="90"/>
                    <w:rPr>
                      <w:iCs/>
                      <w:noProof/>
                      <w:sz w:val="22"/>
                      <w:szCs w:val="22"/>
                    </w:rPr>
                  </w:pPr>
                  <w:r w:rsidRPr="00365E45">
                    <w:rPr>
                      <w:iCs/>
                      <w:noProof/>
                      <w:sz w:val="22"/>
                      <w:szCs w:val="22"/>
                    </w:rPr>
                    <w:t>Week 12</w:t>
                  </w:r>
                </w:p>
                <w:p w:rsidR="00747DB8" w:rsidRPr="00747DB8" w:rsidRDefault="00747DB8" w:rsidP="00747DB8">
                  <w:pPr>
                    <w:ind w:hanging="90"/>
                    <w:rPr>
                      <w:bCs/>
                      <w:iCs/>
                      <w:noProof/>
                      <w:sz w:val="22"/>
                      <w:szCs w:val="22"/>
                    </w:rPr>
                  </w:pPr>
                  <w:r w:rsidRPr="00365E45">
                    <w:rPr>
                      <w:iCs/>
                      <w:noProof/>
                      <w:sz w:val="22"/>
                      <w:szCs w:val="22"/>
                    </w:rPr>
                    <w:t>Week 24</w:t>
                  </w:r>
                </w:p>
              </w:tc>
              <w:tc>
                <w:tcPr>
                  <w:tcW w:w="1346"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5</w:t>
                  </w:r>
                  <w:r w:rsidR="000F3EB1">
                    <w:rPr>
                      <w:iCs/>
                      <w:noProof/>
                      <w:sz w:val="22"/>
                      <w:szCs w:val="22"/>
                    </w:rPr>
                    <w:t>%</w:t>
                  </w:r>
                </w:p>
                <w:p w:rsidR="00747DB8" w:rsidRPr="00365E45" w:rsidRDefault="00747DB8" w:rsidP="00495FE7">
                  <w:pPr>
                    <w:ind w:hanging="90"/>
                    <w:jc w:val="center"/>
                    <w:rPr>
                      <w:iCs/>
                      <w:noProof/>
                      <w:sz w:val="22"/>
                      <w:szCs w:val="22"/>
                    </w:rPr>
                  </w:pPr>
                  <w:r>
                    <w:rPr>
                      <w:iCs/>
                      <w:noProof/>
                      <w:sz w:val="22"/>
                      <w:szCs w:val="22"/>
                    </w:rPr>
                    <w:t>6</w:t>
                  </w:r>
                  <w:r w:rsidR="000F3EB1">
                    <w:rPr>
                      <w:iCs/>
                      <w:noProof/>
                      <w:sz w:val="22"/>
                      <w:szCs w:val="22"/>
                    </w:rPr>
                    <w:t>%</w:t>
                  </w:r>
                </w:p>
              </w:tc>
              <w:tc>
                <w:tcPr>
                  <w:tcW w:w="1988"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22</w:t>
                  </w:r>
                  <w:r w:rsidR="000F3EB1">
                    <w:rPr>
                      <w:iCs/>
                      <w:noProof/>
                      <w:sz w:val="22"/>
                      <w:szCs w:val="22"/>
                    </w:rPr>
                    <w:t>%</w:t>
                  </w:r>
                  <w:r>
                    <w:rPr>
                      <w:iCs/>
                      <w:noProof/>
                      <w:sz w:val="22"/>
                      <w:szCs w:val="22"/>
                    </w:rPr>
                    <w:t>**</w:t>
                  </w:r>
                </w:p>
                <w:p w:rsidR="00747DB8" w:rsidRPr="00365E45" w:rsidRDefault="00747DB8" w:rsidP="00495FE7">
                  <w:pPr>
                    <w:ind w:hanging="90"/>
                    <w:jc w:val="center"/>
                    <w:rPr>
                      <w:iCs/>
                      <w:noProof/>
                      <w:sz w:val="22"/>
                      <w:szCs w:val="22"/>
                    </w:rPr>
                  </w:pPr>
                  <w:r>
                    <w:rPr>
                      <w:iCs/>
                      <w:noProof/>
                      <w:sz w:val="22"/>
                      <w:szCs w:val="22"/>
                    </w:rPr>
                    <w:t>47</w:t>
                  </w:r>
                  <w:r w:rsidR="000F3EB1">
                    <w:rPr>
                      <w:iCs/>
                      <w:noProof/>
                      <w:sz w:val="22"/>
                      <w:szCs w:val="22"/>
                    </w:rPr>
                    <w:t>%</w:t>
                  </w:r>
                  <w:r>
                    <w:rPr>
                      <w:iCs/>
                      <w:noProof/>
                      <w:sz w:val="22"/>
                      <w:szCs w:val="22"/>
                    </w:rPr>
                    <w:t>**</w:t>
                  </w:r>
                </w:p>
              </w:tc>
              <w:tc>
                <w:tcPr>
                  <w:tcW w:w="2090" w:type="dxa"/>
                  <w:shd w:val="clear" w:color="auto" w:fill="auto"/>
                </w:tcPr>
                <w:p w:rsidR="00747DB8" w:rsidRDefault="00747DB8" w:rsidP="00495FE7">
                  <w:pPr>
                    <w:ind w:hanging="90"/>
                    <w:jc w:val="center"/>
                    <w:rPr>
                      <w:iCs/>
                      <w:noProof/>
                      <w:sz w:val="22"/>
                      <w:szCs w:val="22"/>
                    </w:rPr>
                  </w:pPr>
                </w:p>
                <w:p w:rsidR="00747DB8" w:rsidRDefault="00747DB8" w:rsidP="00495FE7">
                  <w:pPr>
                    <w:ind w:hanging="90"/>
                    <w:jc w:val="center"/>
                    <w:rPr>
                      <w:iCs/>
                      <w:noProof/>
                      <w:sz w:val="22"/>
                      <w:szCs w:val="22"/>
                    </w:rPr>
                  </w:pPr>
                  <w:r>
                    <w:rPr>
                      <w:iCs/>
                      <w:noProof/>
                      <w:sz w:val="22"/>
                      <w:szCs w:val="22"/>
                    </w:rPr>
                    <w:t>20</w:t>
                  </w:r>
                  <w:r w:rsidR="000F3EB1">
                    <w:rPr>
                      <w:iCs/>
                      <w:noProof/>
                      <w:sz w:val="22"/>
                      <w:szCs w:val="22"/>
                    </w:rPr>
                    <w:t>%</w:t>
                  </w:r>
                  <w:r>
                    <w:rPr>
                      <w:iCs/>
                      <w:noProof/>
                      <w:sz w:val="22"/>
                      <w:szCs w:val="22"/>
                    </w:rPr>
                    <w:t>*</w:t>
                  </w:r>
                </w:p>
                <w:p w:rsidR="00747DB8" w:rsidRPr="00365E45" w:rsidRDefault="00747DB8" w:rsidP="00495FE7">
                  <w:pPr>
                    <w:ind w:hanging="90"/>
                    <w:jc w:val="center"/>
                    <w:rPr>
                      <w:iCs/>
                      <w:noProof/>
                      <w:sz w:val="22"/>
                      <w:szCs w:val="22"/>
                    </w:rPr>
                  </w:pPr>
                  <w:r>
                    <w:rPr>
                      <w:iCs/>
                      <w:noProof/>
                      <w:sz w:val="22"/>
                      <w:szCs w:val="22"/>
                    </w:rPr>
                    <w:t>36</w:t>
                  </w:r>
                  <w:r w:rsidR="000F3EB1">
                    <w:rPr>
                      <w:iCs/>
                      <w:noProof/>
                      <w:sz w:val="22"/>
                      <w:szCs w:val="22"/>
                    </w:rPr>
                    <w:t>%</w:t>
                  </w:r>
                  <w:r>
                    <w:rPr>
                      <w:iCs/>
                      <w:noProof/>
                      <w:sz w:val="22"/>
                      <w:szCs w:val="22"/>
                    </w:rPr>
                    <w:t>**</w:t>
                  </w:r>
                </w:p>
              </w:tc>
            </w:tr>
          </w:tbl>
          <w:p w:rsidR="0017051A" w:rsidRPr="0017051A" w:rsidRDefault="0017051A" w:rsidP="00365E45">
            <w:pPr>
              <w:spacing w:before="120"/>
              <w:ind w:hanging="91"/>
              <w:rPr>
                <w:iCs/>
                <w:noProof/>
                <w:sz w:val="20"/>
                <w:szCs w:val="22"/>
              </w:rPr>
            </w:pPr>
            <w:r w:rsidRPr="0017051A">
              <w:rPr>
                <w:iCs/>
                <w:noProof/>
                <w:sz w:val="20"/>
                <w:szCs w:val="22"/>
              </w:rPr>
              <w:t>N</w:t>
            </w:r>
            <w:r>
              <w:rPr>
                <w:iCs/>
                <w:noProof/>
                <w:sz w:val="20"/>
                <w:szCs w:val="22"/>
              </w:rPr>
              <w:t xml:space="preserve"> reflects number of randomised patients; number for PASI is based on the subset of patients with ≥ 3% body surface area (BSA) involvement at baseline.</w:t>
            </w:r>
          </w:p>
          <w:p w:rsidR="00495FE7" w:rsidRPr="0036703F" w:rsidRDefault="00495FE7" w:rsidP="00365E45">
            <w:pPr>
              <w:spacing w:before="120"/>
              <w:ind w:hanging="91"/>
              <w:rPr>
                <w:iCs/>
                <w:noProof/>
                <w:sz w:val="20"/>
                <w:szCs w:val="22"/>
              </w:rPr>
            </w:pPr>
            <w:r w:rsidRPr="0036703F">
              <w:rPr>
                <w:b/>
                <w:iCs/>
                <w:noProof/>
                <w:sz w:val="20"/>
                <w:szCs w:val="22"/>
                <w:vertAlign w:val="superscript"/>
              </w:rPr>
              <w:t>(</w:t>
            </w:r>
            <w:r w:rsidRPr="0036703F">
              <w:rPr>
                <w:iCs/>
                <w:noProof/>
                <w:sz w:val="20"/>
                <w:szCs w:val="22"/>
                <w:vertAlign w:val="superscript"/>
              </w:rPr>
              <w:t xml:space="preserve">a) </w:t>
            </w:r>
            <w:r w:rsidRPr="0036703F">
              <w:rPr>
                <w:iCs/>
                <w:noProof/>
                <w:sz w:val="20"/>
                <w:szCs w:val="22"/>
              </w:rPr>
              <w:t>CIMZIA administered every 2 weeks preceded by a loading dose of 400</w:t>
            </w:r>
            <w:r>
              <w:rPr>
                <w:iCs/>
                <w:noProof/>
                <w:sz w:val="20"/>
                <w:szCs w:val="22"/>
              </w:rPr>
              <w:t> </w:t>
            </w:r>
            <w:r w:rsidRPr="0036703F">
              <w:rPr>
                <w:iCs/>
                <w:noProof/>
                <w:sz w:val="20"/>
                <w:szCs w:val="22"/>
              </w:rPr>
              <w:t>mg at Weeks 0, 2 and 4</w:t>
            </w:r>
            <w:r w:rsidR="009C4302">
              <w:rPr>
                <w:iCs/>
                <w:noProof/>
                <w:sz w:val="20"/>
                <w:szCs w:val="22"/>
              </w:rPr>
              <w:t>.</w:t>
            </w:r>
          </w:p>
          <w:p w:rsidR="00495FE7" w:rsidRPr="0036703F" w:rsidRDefault="00495FE7" w:rsidP="00495FE7">
            <w:pPr>
              <w:ind w:hanging="90"/>
              <w:rPr>
                <w:iCs/>
                <w:noProof/>
                <w:sz w:val="20"/>
                <w:szCs w:val="22"/>
              </w:rPr>
            </w:pPr>
            <w:r w:rsidRPr="0036703F">
              <w:rPr>
                <w:iCs/>
                <w:noProof/>
                <w:sz w:val="20"/>
                <w:szCs w:val="22"/>
                <w:vertAlign w:val="superscript"/>
              </w:rPr>
              <w:t>(b)</w:t>
            </w:r>
            <w:r w:rsidRPr="0036703F">
              <w:rPr>
                <w:iCs/>
                <w:noProof/>
                <w:sz w:val="20"/>
                <w:szCs w:val="22"/>
              </w:rPr>
              <w:t xml:space="preserve"> CIMZIA administered every 4 weeks preceded by a loading dose of 400</w:t>
            </w:r>
            <w:r>
              <w:rPr>
                <w:iCs/>
                <w:noProof/>
                <w:sz w:val="20"/>
                <w:szCs w:val="22"/>
              </w:rPr>
              <w:t> </w:t>
            </w:r>
            <w:r w:rsidRPr="0036703F">
              <w:rPr>
                <w:iCs/>
                <w:noProof/>
                <w:sz w:val="20"/>
                <w:szCs w:val="22"/>
              </w:rPr>
              <w:t>mg at Weeks 0, 2 and 4</w:t>
            </w:r>
            <w:r w:rsidR="009C4302">
              <w:rPr>
                <w:iCs/>
                <w:noProof/>
                <w:sz w:val="20"/>
                <w:szCs w:val="22"/>
              </w:rPr>
              <w:t>.</w:t>
            </w:r>
          </w:p>
          <w:p w:rsidR="00495FE7" w:rsidRPr="0036703F" w:rsidRDefault="00495FE7" w:rsidP="00495FE7">
            <w:pPr>
              <w:ind w:hanging="90"/>
              <w:rPr>
                <w:iCs/>
                <w:noProof/>
                <w:sz w:val="20"/>
                <w:szCs w:val="22"/>
              </w:rPr>
            </w:pPr>
            <w:r w:rsidRPr="0036703F">
              <w:rPr>
                <w:iCs/>
                <w:noProof/>
                <w:sz w:val="20"/>
                <w:szCs w:val="22"/>
              </w:rPr>
              <w:t xml:space="preserve"> **p&lt;0.001, C</w:t>
            </w:r>
            <w:r w:rsidR="00DD24E8">
              <w:rPr>
                <w:iCs/>
                <w:noProof/>
                <w:sz w:val="20"/>
                <w:szCs w:val="22"/>
              </w:rPr>
              <w:t>IMZIA</w:t>
            </w:r>
            <w:r w:rsidRPr="0036703F">
              <w:rPr>
                <w:iCs/>
                <w:noProof/>
                <w:sz w:val="20"/>
                <w:szCs w:val="22"/>
              </w:rPr>
              <w:t xml:space="preserve"> vs placebo</w:t>
            </w:r>
          </w:p>
          <w:p w:rsidR="00495FE7" w:rsidRPr="0036703F" w:rsidRDefault="00DD24E8" w:rsidP="00495FE7">
            <w:pPr>
              <w:ind w:hanging="90"/>
              <w:rPr>
                <w:iCs/>
                <w:noProof/>
                <w:sz w:val="20"/>
                <w:szCs w:val="22"/>
              </w:rPr>
            </w:pPr>
            <w:r>
              <w:rPr>
                <w:iCs/>
                <w:noProof/>
                <w:sz w:val="20"/>
                <w:szCs w:val="22"/>
              </w:rPr>
              <w:t xml:space="preserve"> *p&lt;0.01, CIMZIA</w:t>
            </w:r>
            <w:r w:rsidR="00495FE7" w:rsidRPr="0036703F">
              <w:rPr>
                <w:iCs/>
                <w:noProof/>
                <w:sz w:val="20"/>
                <w:szCs w:val="22"/>
              </w:rPr>
              <w:t xml:space="preserve"> vs pl</w:t>
            </w:r>
            <w:r w:rsidR="00365E45">
              <w:rPr>
                <w:iCs/>
                <w:noProof/>
                <w:sz w:val="20"/>
                <w:szCs w:val="22"/>
              </w:rPr>
              <w:t>a</w:t>
            </w:r>
            <w:r w:rsidR="00495FE7" w:rsidRPr="0036703F">
              <w:rPr>
                <w:iCs/>
                <w:noProof/>
                <w:sz w:val="20"/>
                <w:szCs w:val="22"/>
              </w:rPr>
              <w:t>cebo</w:t>
            </w:r>
          </w:p>
          <w:p w:rsidR="00195E8C" w:rsidRDefault="00495FE7" w:rsidP="00F521F8">
            <w:pPr>
              <w:spacing w:after="120"/>
              <w:ind w:hanging="91"/>
              <w:rPr>
                <w:iCs/>
                <w:noProof/>
                <w:sz w:val="20"/>
                <w:szCs w:val="22"/>
              </w:rPr>
            </w:pPr>
            <w:r w:rsidRPr="0036703F">
              <w:rPr>
                <w:iCs/>
                <w:noProof/>
                <w:sz w:val="20"/>
                <w:szCs w:val="22"/>
              </w:rPr>
              <w:t xml:space="preserve"> Results are from the randomized set. Treatment Difference: CIMZIA 200 mg-placebo, CIMZIA 400</w:t>
            </w:r>
            <w:r>
              <w:rPr>
                <w:iCs/>
                <w:noProof/>
                <w:sz w:val="20"/>
                <w:szCs w:val="22"/>
              </w:rPr>
              <w:t> </w:t>
            </w:r>
            <w:r w:rsidRPr="0036703F">
              <w:rPr>
                <w:iCs/>
                <w:noProof/>
                <w:sz w:val="20"/>
                <w:szCs w:val="22"/>
              </w:rPr>
              <w:t>mg –placebo (and corresponding 95% CI and p-value) are estimated using a standard two-sided Wald asymptotic standard errors</w:t>
            </w:r>
            <w:r w:rsidR="009C4302">
              <w:rPr>
                <w:iCs/>
                <w:noProof/>
                <w:sz w:val="20"/>
                <w:szCs w:val="22"/>
              </w:rPr>
              <w:t>.</w:t>
            </w:r>
            <w:r w:rsidRPr="0036703F">
              <w:rPr>
                <w:iCs/>
                <w:noProof/>
                <w:sz w:val="20"/>
                <w:szCs w:val="22"/>
              </w:rPr>
              <w:t xml:space="preserve"> Non-responder Imputation (NRI) is used</w:t>
            </w:r>
            <w:r w:rsidR="009C4302">
              <w:rPr>
                <w:iCs/>
                <w:noProof/>
                <w:sz w:val="20"/>
                <w:szCs w:val="22"/>
              </w:rPr>
              <w:t>.</w:t>
            </w:r>
          </w:p>
          <w:p w:rsidR="005930AE" w:rsidRDefault="005930AE" w:rsidP="00F521F8">
            <w:pPr>
              <w:spacing w:after="120"/>
              <w:ind w:hanging="91"/>
              <w:rPr>
                <w:b/>
                <w:noProof/>
                <w:szCs w:val="22"/>
              </w:rPr>
            </w:pPr>
          </w:p>
          <w:p w:rsidR="00495FE7" w:rsidRPr="00543BBB" w:rsidRDefault="00495FE7" w:rsidP="00365E45">
            <w:pPr>
              <w:keepNext/>
              <w:ind w:hanging="90"/>
              <w:rPr>
                <w:b/>
                <w:noProof/>
                <w:szCs w:val="22"/>
              </w:rPr>
            </w:pPr>
            <w:r>
              <w:rPr>
                <w:b/>
                <w:noProof/>
                <w:szCs w:val="22"/>
              </w:rPr>
              <w:t>Table </w:t>
            </w:r>
            <w:r w:rsidR="00CC3C79">
              <w:rPr>
                <w:b/>
                <w:noProof/>
                <w:szCs w:val="22"/>
              </w:rPr>
              <w:t>7</w:t>
            </w:r>
            <w:r w:rsidRPr="00543BBB">
              <w:rPr>
                <w:b/>
                <w:noProof/>
                <w:szCs w:val="22"/>
              </w:rPr>
              <w:t>: Components of ACR response in PsA001</w:t>
            </w:r>
            <w:r>
              <w:rPr>
                <w:b/>
                <w:noProof/>
                <w:szCs w:val="22"/>
              </w:rPr>
              <w:t xml:space="preserve"> clinical trial</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28" w:type="dxa"/>
              </w:tblCellMar>
              <w:tblLook w:val="01E0" w:firstRow="1" w:lastRow="1" w:firstColumn="1" w:lastColumn="1" w:noHBand="0" w:noVBand="0"/>
            </w:tblPr>
            <w:tblGrid>
              <w:gridCol w:w="1557"/>
              <w:gridCol w:w="990"/>
              <w:gridCol w:w="708"/>
              <w:gridCol w:w="708"/>
              <w:gridCol w:w="990"/>
              <w:gridCol w:w="708"/>
              <w:gridCol w:w="849"/>
              <w:gridCol w:w="990"/>
              <w:gridCol w:w="850"/>
              <w:gridCol w:w="849"/>
            </w:tblGrid>
            <w:tr w:rsidR="00495FE7" w:rsidRPr="00797D0B" w:rsidTr="00D97490">
              <w:trPr>
                <w:trHeight w:val="61"/>
              </w:trPr>
              <w:tc>
                <w:tcPr>
                  <w:tcW w:w="1557" w:type="dxa"/>
                  <w:tcBorders>
                    <w:top w:val="single" w:sz="4" w:space="0" w:color="auto"/>
                    <w:left w:val="single" w:sz="4" w:space="0" w:color="auto"/>
                    <w:bottom w:val="single" w:sz="4" w:space="0" w:color="auto"/>
                  </w:tcBorders>
                  <w:shd w:val="clear" w:color="auto" w:fill="auto"/>
                </w:tcPr>
                <w:p w:rsidR="00495FE7" w:rsidRPr="00365E45" w:rsidRDefault="00495FE7" w:rsidP="00495FE7">
                  <w:pPr>
                    <w:ind w:hanging="90"/>
                    <w:rPr>
                      <w:b/>
                      <w:bCs/>
                      <w:noProof/>
                      <w:sz w:val="22"/>
                      <w:szCs w:val="22"/>
                    </w:rPr>
                  </w:pPr>
                  <w:r w:rsidRPr="00365E45">
                    <w:rPr>
                      <w:b/>
                      <w:bCs/>
                      <w:noProof/>
                      <w:sz w:val="22"/>
                      <w:szCs w:val="22"/>
                    </w:rPr>
                    <w:t>Parameter</w:t>
                  </w:r>
                </w:p>
              </w:tc>
              <w:tc>
                <w:tcPr>
                  <w:tcW w:w="2406" w:type="dxa"/>
                  <w:gridSpan w:val="3"/>
                  <w:tcBorders>
                    <w:bottom w:val="single" w:sz="4" w:space="0" w:color="auto"/>
                  </w:tcBorders>
                  <w:shd w:val="clear" w:color="auto" w:fill="auto"/>
                </w:tcPr>
                <w:p w:rsidR="00495FE7" w:rsidRPr="00365E45" w:rsidRDefault="00495FE7" w:rsidP="00495FE7">
                  <w:pPr>
                    <w:ind w:hanging="90"/>
                    <w:jc w:val="center"/>
                    <w:rPr>
                      <w:b/>
                      <w:bCs/>
                      <w:noProof/>
                      <w:sz w:val="22"/>
                      <w:szCs w:val="22"/>
                    </w:rPr>
                  </w:pPr>
                  <w:r w:rsidRPr="00365E45">
                    <w:rPr>
                      <w:b/>
                      <w:bCs/>
                      <w:noProof/>
                      <w:sz w:val="22"/>
                      <w:szCs w:val="22"/>
                    </w:rPr>
                    <w:t>Placebo</w:t>
                  </w:r>
                </w:p>
                <w:p w:rsidR="00495FE7" w:rsidRPr="00365E45" w:rsidRDefault="00495FE7" w:rsidP="00495FE7">
                  <w:pPr>
                    <w:ind w:hanging="90"/>
                    <w:jc w:val="center"/>
                    <w:rPr>
                      <w:b/>
                      <w:bCs/>
                      <w:noProof/>
                      <w:sz w:val="22"/>
                      <w:szCs w:val="22"/>
                    </w:rPr>
                  </w:pPr>
                  <w:r w:rsidRPr="00365E45">
                    <w:rPr>
                      <w:b/>
                      <w:bCs/>
                      <w:noProof/>
                      <w:sz w:val="22"/>
                      <w:szCs w:val="22"/>
                    </w:rPr>
                    <w:t>N=136</w:t>
                  </w:r>
                </w:p>
              </w:tc>
              <w:tc>
                <w:tcPr>
                  <w:tcW w:w="2547" w:type="dxa"/>
                  <w:gridSpan w:val="3"/>
                  <w:tcBorders>
                    <w:bottom w:val="single" w:sz="4" w:space="0" w:color="auto"/>
                  </w:tcBorders>
                  <w:shd w:val="clear" w:color="auto" w:fill="auto"/>
                </w:tcPr>
                <w:p w:rsidR="00495FE7" w:rsidRPr="00365E45" w:rsidRDefault="00495FE7" w:rsidP="00495FE7">
                  <w:pPr>
                    <w:ind w:hanging="90"/>
                    <w:jc w:val="center"/>
                    <w:rPr>
                      <w:b/>
                      <w:bCs/>
                      <w:noProof/>
                      <w:sz w:val="22"/>
                      <w:szCs w:val="22"/>
                    </w:rPr>
                  </w:pPr>
                  <w:r w:rsidRPr="00365E45">
                    <w:rPr>
                      <w:b/>
                      <w:bCs/>
                      <w:noProof/>
                      <w:sz w:val="22"/>
                      <w:szCs w:val="22"/>
                    </w:rPr>
                    <w:t>CIMZIA</w:t>
                  </w:r>
                  <w:r w:rsidRPr="00365E45">
                    <w:rPr>
                      <w:b/>
                      <w:bCs/>
                      <w:noProof/>
                      <w:sz w:val="22"/>
                      <w:szCs w:val="22"/>
                      <w:vertAlign w:val="superscript"/>
                    </w:rPr>
                    <w:t xml:space="preserve">(a) </w:t>
                  </w:r>
                  <w:r w:rsidRPr="00365E45">
                    <w:rPr>
                      <w:b/>
                      <w:bCs/>
                      <w:noProof/>
                      <w:sz w:val="22"/>
                      <w:szCs w:val="22"/>
                    </w:rPr>
                    <w:t>200 mg Q2W</w:t>
                  </w:r>
                </w:p>
                <w:p w:rsidR="00495FE7" w:rsidRPr="00365E45" w:rsidRDefault="00495FE7" w:rsidP="00495FE7">
                  <w:pPr>
                    <w:ind w:hanging="90"/>
                    <w:jc w:val="center"/>
                    <w:rPr>
                      <w:b/>
                      <w:bCs/>
                      <w:noProof/>
                      <w:sz w:val="22"/>
                      <w:szCs w:val="22"/>
                      <w:lang w:val="pt-PT"/>
                    </w:rPr>
                  </w:pPr>
                  <w:r w:rsidRPr="00365E45">
                    <w:rPr>
                      <w:b/>
                      <w:bCs/>
                      <w:noProof/>
                      <w:sz w:val="22"/>
                      <w:szCs w:val="22"/>
                      <w:lang w:val="pt-PT"/>
                    </w:rPr>
                    <w:t>N=138</w:t>
                  </w:r>
                </w:p>
              </w:tc>
              <w:tc>
                <w:tcPr>
                  <w:tcW w:w="2689" w:type="dxa"/>
                  <w:gridSpan w:val="3"/>
                  <w:tcBorders>
                    <w:bottom w:val="single" w:sz="4" w:space="0" w:color="auto"/>
                  </w:tcBorders>
                  <w:shd w:val="clear" w:color="auto" w:fill="auto"/>
                </w:tcPr>
                <w:p w:rsidR="00495FE7" w:rsidRPr="00365E45" w:rsidRDefault="00495FE7" w:rsidP="00495FE7">
                  <w:pPr>
                    <w:ind w:hanging="90"/>
                    <w:jc w:val="center"/>
                    <w:rPr>
                      <w:b/>
                      <w:bCs/>
                      <w:noProof/>
                      <w:sz w:val="22"/>
                      <w:szCs w:val="22"/>
                      <w:lang w:val="pt-PT"/>
                    </w:rPr>
                  </w:pPr>
                  <w:r w:rsidRPr="00365E45">
                    <w:rPr>
                      <w:b/>
                      <w:bCs/>
                      <w:noProof/>
                      <w:sz w:val="22"/>
                      <w:szCs w:val="22"/>
                      <w:lang w:val="pt-PT"/>
                    </w:rPr>
                    <w:t>CIMZIA</w:t>
                  </w:r>
                  <w:r w:rsidRPr="00365E45">
                    <w:rPr>
                      <w:b/>
                      <w:bCs/>
                      <w:noProof/>
                      <w:sz w:val="22"/>
                      <w:szCs w:val="22"/>
                      <w:vertAlign w:val="superscript"/>
                      <w:lang w:val="pt-PT"/>
                    </w:rPr>
                    <w:t>(b)</w:t>
                  </w:r>
                  <w:r w:rsidRPr="00365E45">
                    <w:rPr>
                      <w:b/>
                      <w:bCs/>
                      <w:noProof/>
                      <w:sz w:val="22"/>
                      <w:szCs w:val="22"/>
                      <w:lang w:val="pt-PT"/>
                    </w:rPr>
                    <w:t xml:space="preserve"> 400 mg Q4W</w:t>
                  </w:r>
                </w:p>
                <w:p w:rsidR="00495FE7" w:rsidRPr="00365E45" w:rsidRDefault="00495FE7" w:rsidP="00495FE7">
                  <w:pPr>
                    <w:ind w:hanging="90"/>
                    <w:jc w:val="center"/>
                    <w:rPr>
                      <w:b/>
                      <w:bCs/>
                      <w:noProof/>
                      <w:sz w:val="22"/>
                      <w:szCs w:val="22"/>
                      <w:lang w:val="pt-PT"/>
                    </w:rPr>
                  </w:pPr>
                  <w:r w:rsidRPr="00365E45">
                    <w:rPr>
                      <w:b/>
                      <w:bCs/>
                      <w:noProof/>
                      <w:sz w:val="22"/>
                      <w:szCs w:val="22"/>
                      <w:lang w:val="pt-PT"/>
                    </w:rPr>
                    <w:t>N=135</w:t>
                  </w:r>
                </w:p>
              </w:tc>
            </w:tr>
            <w:tr w:rsidR="00495FE7" w:rsidRPr="00797D0B" w:rsidTr="00D97490">
              <w:trPr>
                <w:trHeight w:val="61"/>
              </w:trPr>
              <w:tc>
                <w:tcPr>
                  <w:tcW w:w="1557" w:type="dxa"/>
                  <w:tcBorders>
                    <w:left w:val="single" w:sz="4" w:space="0" w:color="auto"/>
                    <w:bottom w:val="single" w:sz="4" w:space="0" w:color="auto"/>
                  </w:tcBorders>
                  <w:shd w:val="clear" w:color="auto" w:fill="auto"/>
                </w:tcPr>
                <w:p w:rsidR="00495FE7" w:rsidRPr="00365E45" w:rsidRDefault="00495FE7" w:rsidP="00495FE7">
                  <w:pPr>
                    <w:ind w:hanging="90"/>
                    <w:rPr>
                      <w:b/>
                      <w:noProof/>
                      <w:sz w:val="22"/>
                      <w:szCs w:val="22"/>
                      <w:lang w:val="pt-PT"/>
                    </w:rPr>
                  </w:pPr>
                </w:p>
              </w:tc>
              <w:tc>
                <w:tcPr>
                  <w:tcW w:w="990" w:type="dxa"/>
                  <w:tcBorders>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t>Baseline</w:t>
                  </w:r>
                </w:p>
              </w:tc>
              <w:tc>
                <w:tcPr>
                  <w:tcW w:w="708" w:type="dxa"/>
                  <w:tcBorders>
                    <w:left w:val="nil"/>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t xml:space="preserve">Week </w:t>
                  </w:r>
                  <w:r w:rsidRPr="00365E45">
                    <w:rPr>
                      <w:b/>
                      <w:noProof/>
                      <w:sz w:val="22"/>
                      <w:szCs w:val="22"/>
                    </w:rPr>
                    <w:lastRenderedPageBreak/>
                    <w:t>12</w:t>
                  </w:r>
                </w:p>
              </w:tc>
              <w:tc>
                <w:tcPr>
                  <w:tcW w:w="708" w:type="dxa"/>
                  <w:tcBorders>
                    <w:left w:val="nil"/>
                    <w:bottom w:val="single" w:sz="4" w:space="0" w:color="auto"/>
                  </w:tcBorders>
                </w:tcPr>
                <w:p w:rsidR="00495FE7" w:rsidRPr="00365E45" w:rsidRDefault="00495FE7" w:rsidP="00495FE7">
                  <w:pPr>
                    <w:ind w:hanging="90"/>
                    <w:jc w:val="center"/>
                    <w:rPr>
                      <w:b/>
                      <w:noProof/>
                      <w:sz w:val="22"/>
                      <w:szCs w:val="22"/>
                    </w:rPr>
                  </w:pPr>
                  <w:r w:rsidRPr="00365E45">
                    <w:rPr>
                      <w:b/>
                      <w:noProof/>
                      <w:sz w:val="22"/>
                      <w:szCs w:val="22"/>
                    </w:rPr>
                    <w:lastRenderedPageBreak/>
                    <w:t xml:space="preserve">Week </w:t>
                  </w:r>
                  <w:r w:rsidRPr="00365E45">
                    <w:rPr>
                      <w:b/>
                      <w:noProof/>
                      <w:sz w:val="22"/>
                      <w:szCs w:val="22"/>
                    </w:rPr>
                    <w:lastRenderedPageBreak/>
                    <w:t>24</w:t>
                  </w:r>
                </w:p>
              </w:tc>
              <w:tc>
                <w:tcPr>
                  <w:tcW w:w="990" w:type="dxa"/>
                  <w:tcBorders>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lastRenderedPageBreak/>
                    <w:t>Baseline</w:t>
                  </w:r>
                </w:p>
              </w:tc>
              <w:tc>
                <w:tcPr>
                  <w:tcW w:w="708" w:type="dxa"/>
                  <w:tcBorders>
                    <w:left w:val="nil"/>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t xml:space="preserve">Week </w:t>
                  </w:r>
                  <w:r w:rsidRPr="00365E45">
                    <w:rPr>
                      <w:b/>
                      <w:noProof/>
                      <w:sz w:val="22"/>
                      <w:szCs w:val="22"/>
                    </w:rPr>
                    <w:lastRenderedPageBreak/>
                    <w:t>12</w:t>
                  </w:r>
                </w:p>
              </w:tc>
              <w:tc>
                <w:tcPr>
                  <w:tcW w:w="849" w:type="dxa"/>
                  <w:tcBorders>
                    <w:left w:val="nil"/>
                    <w:bottom w:val="single" w:sz="4" w:space="0" w:color="auto"/>
                  </w:tcBorders>
                </w:tcPr>
                <w:p w:rsidR="00495FE7" w:rsidRPr="00365E45" w:rsidRDefault="00495FE7" w:rsidP="00495FE7">
                  <w:pPr>
                    <w:ind w:hanging="90"/>
                    <w:jc w:val="center"/>
                    <w:rPr>
                      <w:b/>
                      <w:noProof/>
                      <w:sz w:val="22"/>
                      <w:szCs w:val="22"/>
                    </w:rPr>
                  </w:pPr>
                  <w:r w:rsidRPr="00365E45">
                    <w:rPr>
                      <w:b/>
                      <w:noProof/>
                      <w:sz w:val="22"/>
                      <w:szCs w:val="22"/>
                    </w:rPr>
                    <w:lastRenderedPageBreak/>
                    <w:t xml:space="preserve">Week </w:t>
                  </w:r>
                  <w:r w:rsidRPr="00365E45">
                    <w:rPr>
                      <w:b/>
                      <w:noProof/>
                      <w:sz w:val="22"/>
                      <w:szCs w:val="22"/>
                    </w:rPr>
                    <w:lastRenderedPageBreak/>
                    <w:t>24</w:t>
                  </w:r>
                </w:p>
              </w:tc>
              <w:tc>
                <w:tcPr>
                  <w:tcW w:w="990" w:type="dxa"/>
                  <w:tcBorders>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lastRenderedPageBreak/>
                    <w:t>Baseline</w:t>
                  </w:r>
                </w:p>
              </w:tc>
              <w:tc>
                <w:tcPr>
                  <w:tcW w:w="850" w:type="dxa"/>
                  <w:tcBorders>
                    <w:left w:val="nil"/>
                    <w:bottom w:val="single" w:sz="4" w:space="0" w:color="auto"/>
                    <w:right w:val="nil"/>
                  </w:tcBorders>
                  <w:shd w:val="clear" w:color="auto" w:fill="auto"/>
                </w:tcPr>
                <w:p w:rsidR="00495FE7" w:rsidRPr="00365E45" w:rsidRDefault="00495FE7" w:rsidP="00495FE7">
                  <w:pPr>
                    <w:ind w:hanging="90"/>
                    <w:jc w:val="center"/>
                    <w:rPr>
                      <w:b/>
                      <w:noProof/>
                      <w:sz w:val="22"/>
                      <w:szCs w:val="22"/>
                    </w:rPr>
                  </w:pPr>
                  <w:r w:rsidRPr="00365E45">
                    <w:rPr>
                      <w:b/>
                      <w:noProof/>
                      <w:sz w:val="22"/>
                      <w:szCs w:val="22"/>
                    </w:rPr>
                    <w:t xml:space="preserve">Week </w:t>
                  </w:r>
                  <w:r w:rsidRPr="00365E45">
                    <w:rPr>
                      <w:b/>
                      <w:noProof/>
                      <w:sz w:val="22"/>
                      <w:szCs w:val="22"/>
                    </w:rPr>
                    <w:lastRenderedPageBreak/>
                    <w:t>12</w:t>
                  </w:r>
                </w:p>
              </w:tc>
              <w:tc>
                <w:tcPr>
                  <w:tcW w:w="849" w:type="dxa"/>
                  <w:tcBorders>
                    <w:left w:val="nil"/>
                    <w:bottom w:val="single" w:sz="4" w:space="0" w:color="auto"/>
                  </w:tcBorders>
                </w:tcPr>
                <w:p w:rsidR="00495FE7" w:rsidRPr="00365E45" w:rsidRDefault="00495FE7" w:rsidP="00495FE7">
                  <w:pPr>
                    <w:ind w:hanging="90"/>
                    <w:jc w:val="center"/>
                    <w:rPr>
                      <w:b/>
                      <w:noProof/>
                      <w:sz w:val="22"/>
                      <w:szCs w:val="22"/>
                    </w:rPr>
                  </w:pPr>
                  <w:r w:rsidRPr="00365E45">
                    <w:rPr>
                      <w:b/>
                      <w:noProof/>
                      <w:sz w:val="22"/>
                      <w:szCs w:val="22"/>
                    </w:rPr>
                    <w:lastRenderedPageBreak/>
                    <w:t xml:space="preserve">Week </w:t>
                  </w:r>
                  <w:r w:rsidRPr="00365E45">
                    <w:rPr>
                      <w:b/>
                      <w:noProof/>
                      <w:sz w:val="22"/>
                      <w:szCs w:val="22"/>
                    </w:rPr>
                    <w:lastRenderedPageBreak/>
                    <w:t>24</w:t>
                  </w:r>
                </w:p>
              </w:tc>
            </w:tr>
            <w:tr w:rsidR="00495FE7" w:rsidRPr="00797D0B" w:rsidTr="00D97490">
              <w:trPr>
                <w:trHeight w:val="88"/>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r w:rsidRPr="00365E45">
                    <w:rPr>
                      <w:b/>
                      <w:bCs/>
                      <w:noProof/>
                      <w:sz w:val="22"/>
                      <w:szCs w:val="22"/>
                    </w:rPr>
                    <w:lastRenderedPageBreak/>
                    <w:t>Number of</w:t>
                  </w:r>
                </w:p>
                <w:p w:rsidR="00495FE7" w:rsidRPr="00365E45" w:rsidRDefault="00495FE7" w:rsidP="00495FE7">
                  <w:pPr>
                    <w:ind w:hanging="90"/>
                    <w:rPr>
                      <w:b/>
                      <w:bCs/>
                      <w:noProof/>
                      <w:sz w:val="22"/>
                      <w:szCs w:val="22"/>
                    </w:rPr>
                  </w:pPr>
                  <w:r w:rsidRPr="00365E45">
                    <w:rPr>
                      <w:b/>
                      <w:bCs/>
                      <w:noProof/>
                      <w:sz w:val="22"/>
                      <w:szCs w:val="22"/>
                    </w:rPr>
                    <w:t>tender joints</w:t>
                  </w:r>
                </w:p>
                <w:p w:rsidR="00495FE7" w:rsidRPr="00365E45" w:rsidRDefault="00495FE7" w:rsidP="00495FE7">
                  <w:pPr>
                    <w:ind w:hanging="90"/>
                    <w:rPr>
                      <w:b/>
                      <w:bCs/>
                      <w:noProof/>
                      <w:sz w:val="22"/>
                      <w:szCs w:val="22"/>
                    </w:rPr>
                  </w:pPr>
                  <w:r w:rsidRPr="00365E45">
                    <w:rPr>
                      <w:b/>
                      <w:bCs/>
                      <w:noProof/>
                      <w:sz w:val="22"/>
                      <w:szCs w:val="22"/>
                    </w:rPr>
                    <w:t>(0-68)</w:t>
                  </w:r>
                  <w:r w:rsidRPr="00365E45">
                    <w:rPr>
                      <w:b/>
                      <w:bCs/>
                      <w:noProof/>
                      <w:sz w:val="22"/>
                      <w:szCs w:val="22"/>
                      <w:vertAlign w:val="superscript"/>
                    </w:rPr>
                    <w:t>(c)</w:t>
                  </w:r>
                </w:p>
              </w:tc>
              <w:tc>
                <w:tcPr>
                  <w:tcW w:w="990"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19.9</w:t>
                  </w:r>
                </w:p>
              </w:tc>
              <w:tc>
                <w:tcPr>
                  <w:tcW w:w="708"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16.5</w:t>
                  </w:r>
                </w:p>
              </w:tc>
              <w:tc>
                <w:tcPr>
                  <w:tcW w:w="708"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17.0</w:t>
                  </w:r>
                </w:p>
              </w:tc>
              <w:tc>
                <w:tcPr>
                  <w:tcW w:w="990"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21.5</w:t>
                  </w:r>
                </w:p>
              </w:tc>
              <w:tc>
                <w:tcPr>
                  <w:tcW w:w="708"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11.2</w:t>
                  </w:r>
                  <w:r w:rsidRPr="00365E45">
                    <w:rPr>
                      <w:bCs/>
                      <w:noProof/>
                      <w:sz w:val="22"/>
                      <w:szCs w:val="22"/>
                    </w:rPr>
                    <w:t>*</w:t>
                  </w:r>
                </w:p>
              </w:tc>
              <w:tc>
                <w:tcPr>
                  <w:tcW w:w="84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8.5*</w:t>
                  </w:r>
                </w:p>
              </w:tc>
              <w:tc>
                <w:tcPr>
                  <w:tcW w:w="990"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19.6</w:t>
                  </w:r>
                </w:p>
              </w:tc>
              <w:tc>
                <w:tcPr>
                  <w:tcW w:w="850"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11.2</w:t>
                  </w:r>
                  <w:r w:rsidRPr="00365E45">
                    <w:rPr>
                      <w:bCs/>
                      <w:noProof/>
                      <w:sz w:val="22"/>
                      <w:szCs w:val="22"/>
                    </w:rPr>
                    <w:t>*</w:t>
                  </w:r>
                </w:p>
              </w:tc>
              <w:tc>
                <w:tcPr>
                  <w:tcW w:w="84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9.4*</w:t>
                  </w:r>
                </w:p>
              </w:tc>
            </w:tr>
            <w:tr w:rsidR="00495FE7" w:rsidRPr="00797D0B" w:rsidTr="00D97490">
              <w:trPr>
                <w:trHeight w:val="76"/>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r w:rsidRPr="00365E45">
                    <w:rPr>
                      <w:b/>
                      <w:bCs/>
                      <w:noProof/>
                      <w:sz w:val="22"/>
                      <w:szCs w:val="22"/>
                    </w:rPr>
                    <w:t>Number of</w:t>
                  </w:r>
                </w:p>
                <w:p w:rsidR="00495FE7" w:rsidRPr="00365E45" w:rsidRDefault="00495FE7" w:rsidP="00495FE7">
                  <w:pPr>
                    <w:ind w:hanging="90"/>
                    <w:rPr>
                      <w:b/>
                      <w:bCs/>
                      <w:noProof/>
                      <w:sz w:val="22"/>
                      <w:szCs w:val="22"/>
                    </w:rPr>
                  </w:pPr>
                  <w:r w:rsidRPr="00365E45">
                    <w:rPr>
                      <w:b/>
                      <w:bCs/>
                      <w:noProof/>
                      <w:sz w:val="22"/>
                      <w:szCs w:val="22"/>
                    </w:rPr>
                    <w:t>swollen joints</w:t>
                  </w:r>
                </w:p>
                <w:p w:rsidR="00495FE7" w:rsidRPr="00365E45" w:rsidRDefault="00495FE7" w:rsidP="00495FE7">
                  <w:pPr>
                    <w:ind w:hanging="90"/>
                    <w:rPr>
                      <w:b/>
                      <w:bCs/>
                      <w:noProof/>
                      <w:sz w:val="22"/>
                      <w:szCs w:val="22"/>
                    </w:rPr>
                  </w:pPr>
                  <w:r w:rsidRPr="00365E45">
                    <w:rPr>
                      <w:b/>
                      <w:bCs/>
                      <w:noProof/>
                      <w:sz w:val="22"/>
                      <w:szCs w:val="22"/>
                    </w:rPr>
                    <w:t>(0-66)</w:t>
                  </w:r>
                  <w:r w:rsidRPr="00365E45">
                    <w:rPr>
                      <w:b/>
                      <w:bCs/>
                      <w:noProof/>
                      <w:sz w:val="22"/>
                      <w:szCs w:val="22"/>
                      <w:vertAlign w:val="superscript"/>
                    </w:rPr>
                    <w:t>(c)</w:t>
                  </w:r>
                </w:p>
              </w:tc>
              <w:tc>
                <w:tcPr>
                  <w:tcW w:w="990"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10.4</w:t>
                  </w:r>
                </w:p>
              </w:tc>
              <w:tc>
                <w:tcPr>
                  <w:tcW w:w="708"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8.7</w:t>
                  </w:r>
                </w:p>
              </w:tc>
              <w:tc>
                <w:tcPr>
                  <w:tcW w:w="708"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9.9</w:t>
                  </w:r>
                </w:p>
              </w:tc>
              <w:tc>
                <w:tcPr>
                  <w:tcW w:w="990"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11.0</w:t>
                  </w:r>
                </w:p>
              </w:tc>
              <w:tc>
                <w:tcPr>
                  <w:tcW w:w="708"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4.0</w:t>
                  </w:r>
                  <w:r w:rsidRPr="00365E45">
                    <w:rPr>
                      <w:bCs/>
                      <w:noProof/>
                      <w:sz w:val="22"/>
                      <w:szCs w:val="22"/>
                    </w:rPr>
                    <w:t>*</w:t>
                  </w:r>
                </w:p>
              </w:tc>
              <w:tc>
                <w:tcPr>
                  <w:tcW w:w="84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3.1*</w:t>
                  </w:r>
                </w:p>
              </w:tc>
              <w:tc>
                <w:tcPr>
                  <w:tcW w:w="990"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10.5</w:t>
                  </w:r>
                </w:p>
              </w:tc>
              <w:tc>
                <w:tcPr>
                  <w:tcW w:w="850"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4.7</w:t>
                  </w:r>
                  <w:r w:rsidRPr="00365E45">
                    <w:rPr>
                      <w:bCs/>
                      <w:noProof/>
                      <w:sz w:val="22"/>
                      <w:szCs w:val="22"/>
                    </w:rPr>
                    <w:t>*</w:t>
                  </w:r>
                </w:p>
              </w:tc>
              <w:tc>
                <w:tcPr>
                  <w:tcW w:w="84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3.0*</w:t>
                  </w:r>
                </w:p>
              </w:tc>
            </w:tr>
            <w:tr w:rsidR="00495FE7" w:rsidRPr="00797D0B" w:rsidTr="00D97490">
              <w:trPr>
                <w:trHeight w:val="54"/>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r w:rsidRPr="00365E45">
                    <w:rPr>
                      <w:b/>
                      <w:bCs/>
                      <w:noProof/>
                      <w:sz w:val="22"/>
                      <w:szCs w:val="22"/>
                    </w:rPr>
                    <w:t>Physician</w:t>
                  </w:r>
                </w:p>
                <w:p w:rsidR="00495FE7" w:rsidRPr="00365E45" w:rsidRDefault="00495FE7" w:rsidP="00495FE7">
                  <w:pPr>
                    <w:ind w:hanging="90"/>
                    <w:rPr>
                      <w:b/>
                      <w:bCs/>
                      <w:noProof/>
                      <w:sz w:val="22"/>
                      <w:szCs w:val="22"/>
                    </w:rPr>
                  </w:pPr>
                  <w:r w:rsidRPr="00365E45">
                    <w:rPr>
                      <w:b/>
                      <w:bCs/>
                      <w:noProof/>
                      <w:sz w:val="22"/>
                      <w:szCs w:val="22"/>
                    </w:rPr>
                    <w:t>Global</w:t>
                  </w:r>
                </w:p>
                <w:p w:rsidR="00495FE7" w:rsidRPr="00365E45" w:rsidRDefault="00495FE7" w:rsidP="00495FE7">
                  <w:pPr>
                    <w:ind w:hanging="90"/>
                    <w:rPr>
                      <w:b/>
                      <w:bCs/>
                      <w:noProof/>
                      <w:sz w:val="22"/>
                      <w:szCs w:val="22"/>
                    </w:rPr>
                  </w:pPr>
                  <w:r w:rsidRPr="00365E45">
                    <w:rPr>
                      <w:b/>
                      <w:bCs/>
                      <w:noProof/>
                      <w:sz w:val="22"/>
                      <w:szCs w:val="22"/>
                    </w:rPr>
                    <w:t>assessment</w:t>
                  </w:r>
                  <w:r w:rsidRPr="00365E45">
                    <w:rPr>
                      <w:b/>
                      <w:bCs/>
                      <w:noProof/>
                      <w:sz w:val="22"/>
                      <w:szCs w:val="22"/>
                      <w:vertAlign w:val="superscript"/>
                    </w:rPr>
                    <w:t>(c, d)</w:t>
                  </w:r>
                </w:p>
              </w:tc>
              <w:tc>
                <w:tcPr>
                  <w:tcW w:w="990"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58.7</w:t>
                  </w:r>
                </w:p>
              </w:tc>
              <w:tc>
                <w:tcPr>
                  <w:tcW w:w="708"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44.1</w:t>
                  </w:r>
                </w:p>
              </w:tc>
              <w:tc>
                <w:tcPr>
                  <w:tcW w:w="708"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42.2</w:t>
                  </w:r>
                </w:p>
              </w:tc>
              <w:tc>
                <w:tcPr>
                  <w:tcW w:w="990"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56.8</w:t>
                  </w:r>
                </w:p>
              </w:tc>
              <w:tc>
                <w:tcPr>
                  <w:tcW w:w="708"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24.8</w:t>
                  </w:r>
                  <w:r w:rsidRPr="00365E45">
                    <w:rPr>
                      <w:bCs/>
                      <w:noProof/>
                      <w:sz w:val="22"/>
                      <w:szCs w:val="22"/>
                    </w:rPr>
                    <w:t>*</w:t>
                  </w:r>
                </w:p>
              </w:tc>
              <w:tc>
                <w:tcPr>
                  <w:tcW w:w="84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19.6*</w:t>
                  </w:r>
                </w:p>
              </w:tc>
              <w:tc>
                <w:tcPr>
                  <w:tcW w:w="990"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58.2</w:t>
                  </w:r>
                </w:p>
              </w:tc>
              <w:tc>
                <w:tcPr>
                  <w:tcW w:w="850"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28.7*</w:t>
                  </w:r>
                </w:p>
              </w:tc>
              <w:tc>
                <w:tcPr>
                  <w:tcW w:w="84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21.1*</w:t>
                  </w:r>
                </w:p>
              </w:tc>
            </w:tr>
            <w:tr w:rsidR="00495FE7" w:rsidRPr="00797D0B" w:rsidTr="00D97490">
              <w:trPr>
                <w:trHeight w:val="62"/>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p>
                <w:p w:rsidR="00495FE7" w:rsidRPr="00365E45" w:rsidRDefault="00495FE7" w:rsidP="00495FE7">
                  <w:pPr>
                    <w:ind w:hanging="90"/>
                    <w:rPr>
                      <w:b/>
                      <w:bCs/>
                      <w:noProof/>
                      <w:sz w:val="22"/>
                      <w:szCs w:val="22"/>
                    </w:rPr>
                  </w:pPr>
                  <w:r w:rsidRPr="00365E45">
                    <w:rPr>
                      <w:b/>
                      <w:bCs/>
                      <w:noProof/>
                      <w:sz w:val="22"/>
                      <w:szCs w:val="22"/>
                    </w:rPr>
                    <w:t>Patient global</w:t>
                  </w:r>
                </w:p>
                <w:p w:rsidR="00495FE7" w:rsidRPr="00365E45" w:rsidRDefault="00495FE7" w:rsidP="00495FE7">
                  <w:pPr>
                    <w:ind w:hanging="90"/>
                    <w:rPr>
                      <w:b/>
                      <w:bCs/>
                      <w:noProof/>
                      <w:sz w:val="22"/>
                      <w:szCs w:val="22"/>
                      <w:vertAlign w:val="superscript"/>
                    </w:rPr>
                  </w:pPr>
                  <w:r w:rsidRPr="00365E45">
                    <w:rPr>
                      <w:b/>
                      <w:bCs/>
                      <w:noProof/>
                      <w:sz w:val="22"/>
                      <w:szCs w:val="22"/>
                    </w:rPr>
                    <w:t>assessment</w:t>
                  </w:r>
                  <w:r w:rsidRPr="00365E45">
                    <w:rPr>
                      <w:b/>
                      <w:bCs/>
                      <w:noProof/>
                      <w:sz w:val="22"/>
                      <w:szCs w:val="22"/>
                      <w:vertAlign w:val="superscript"/>
                    </w:rPr>
                    <w:t>(c, d)</w:t>
                  </w:r>
                </w:p>
              </w:tc>
              <w:tc>
                <w:tcPr>
                  <w:tcW w:w="990"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57.0</w:t>
                  </w:r>
                </w:p>
              </w:tc>
              <w:tc>
                <w:tcPr>
                  <w:tcW w:w="708"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50.2</w:t>
                  </w:r>
                </w:p>
              </w:tc>
              <w:tc>
                <w:tcPr>
                  <w:tcW w:w="708"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49.0</w:t>
                  </w:r>
                </w:p>
              </w:tc>
              <w:tc>
                <w:tcPr>
                  <w:tcW w:w="990"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60.2</w:t>
                  </w:r>
                </w:p>
              </w:tc>
              <w:tc>
                <w:tcPr>
                  <w:tcW w:w="708"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32.6</w:t>
                  </w:r>
                  <w:r w:rsidRPr="00365E45">
                    <w:rPr>
                      <w:bCs/>
                      <w:noProof/>
                      <w:sz w:val="22"/>
                      <w:szCs w:val="22"/>
                    </w:rPr>
                    <w:t>*</w:t>
                  </w:r>
                </w:p>
              </w:tc>
              <w:tc>
                <w:tcPr>
                  <w:tcW w:w="84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31.1*</w:t>
                  </w:r>
                </w:p>
              </w:tc>
              <w:tc>
                <w:tcPr>
                  <w:tcW w:w="990"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60.2</w:t>
                  </w:r>
                </w:p>
              </w:tc>
              <w:tc>
                <w:tcPr>
                  <w:tcW w:w="850"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39.6*</w:t>
                  </w:r>
                </w:p>
              </w:tc>
              <w:tc>
                <w:tcPr>
                  <w:tcW w:w="84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32.5*</w:t>
                  </w:r>
                </w:p>
              </w:tc>
            </w:tr>
            <w:tr w:rsidR="00495FE7" w:rsidRPr="00797D0B" w:rsidTr="00D97490">
              <w:trPr>
                <w:trHeight w:val="43"/>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p>
                <w:p w:rsidR="00495FE7" w:rsidRPr="00365E45" w:rsidRDefault="00495FE7" w:rsidP="00413B6B">
                  <w:pPr>
                    <w:ind w:hanging="90"/>
                    <w:rPr>
                      <w:b/>
                      <w:bCs/>
                      <w:noProof/>
                      <w:sz w:val="22"/>
                      <w:szCs w:val="22"/>
                    </w:rPr>
                  </w:pPr>
                  <w:r w:rsidRPr="00365E45">
                    <w:rPr>
                      <w:b/>
                      <w:bCs/>
                      <w:noProof/>
                      <w:sz w:val="22"/>
                      <w:szCs w:val="22"/>
                    </w:rPr>
                    <w:t>Pain</w:t>
                  </w:r>
                  <w:r w:rsidRPr="00365E45">
                    <w:rPr>
                      <w:b/>
                      <w:bCs/>
                      <w:noProof/>
                      <w:sz w:val="22"/>
                      <w:szCs w:val="22"/>
                      <w:vertAlign w:val="superscript"/>
                    </w:rPr>
                    <w:t>(c, e)</w:t>
                  </w:r>
                </w:p>
              </w:tc>
              <w:tc>
                <w:tcPr>
                  <w:tcW w:w="990"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60.0</w:t>
                  </w:r>
                </w:p>
              </w:tc>
              <w:tc>
                <w:tcPr>
                  <w:tcW w:w="708"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50.2</w:t>
                  </w:r>
                </w:p>
              </w:tc>
              <w:tc>
                <w:tcPr>
                  <w:tcW w:w="708"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48.8</w:t>
                  </w:r>
                </w:p>
              </w:tc>
              <w:tc>
                <w:tcPr>
                  <w:tcW w:w="990"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59.7</w:t>
                  </w:r>
                </w:p>
              </w:tc>
              <w:tc>
                <w:tcPr>
                  <w:tcW w:w="708"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32.8</w:t>
                  </w:r>
                  <w:r w:rsidRPr="00365E45">
                    <w:rPr>
                      <w:bCs/>
                      <w:noProof/>
                      <w:sz w:val="22"/>
                      <w:szCs w:val="22"/>
                    </w:rPr>
                    <w:t>*</w:t>
                  </w:r>
                </w:p>
              </w:tc>
              <w:tc>
                <w:tcPr>
                  <w:tcW w:w="84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31.1*</w:t>
                  </w:r>
                </w:p>
              </w:tc>
              <w:tc>
                <w:tcPr>
                  <w:tcW w:w="990"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61.1</w:t>
                  </w:r>
                </w:p>
              </w:tc>
              <w:tc>
                <w:tcPr>
                  <w:tcW w:w="850"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38.6*</w:t>
                  </w:r>
                </w:p>
              </w:tc>
              <w:tc>
                <w:tcPr>
                  <w:tcW w:w="84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32.7*</w:t>
                  </w:r>
                </w:p>
              </w:tc>
            </w:tr>
            <w:tr w:rsidR="00495FE7" w:rsidRPr="00797D0B" w:rsidTr="00D97490">
              <w:trPr>
                <w:trHeight w:val="73"/>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495FE7" w:rsidRPr="00365E45" w:rsidRDefault="00495FE7" w:rsidP="00495FE7">
                  <w:pPr>
                    <w:ind w:hanging="90"/>
                    <w:rPr>
                      <w:b/>
                      <w:bCs/>
                      <w:noProof/>
                      <w:sz w:val="22"/>
                      <w:szCs w:val="22"/>
                    </w:rPr>
                  </w:pPr>
                </w:p>
                <w:p w:rsidR="00495FE7" w:rsidRPr="00365E45" w:rsidRDefault="00495FE7" w:rsidP="00495FE7">
                  <w:pPr>
                    <w:ind w:hanging="90"/>
                    <w:rPr>
                      <w:b/>
                      <w:bCs/>
                      <w:noProof/>
                      <w:sz w:val="22"/>
                      <w:szCs w:val="22"/>
                    </w:rPr>
                  </w:pPr>
                  <w:r w:rsidRPr="00365E45">
                    <w:rPr>
                      <w:b/>
                      <w:bCs/>
                      <w:noProof/>
                      <w:sz w:val="22"/>
                      <w:szCs w:val="22"/>
                    </w:rPr>
                    <w:t>Disability index</w:t>
                  </w:r>
                </w:p>
                <w:p w:rsidR="00495FE7" w:rsidRPr="00365E45" w:rsidRDefault="00495FE7" w:rsidP="00495FE7">
                  <w:pPr>
                    <w:ind w:hanging="90"/>
                    <w:rPr>
                      <w:b/>
                      <w:bCs/>
                      <w:noProof/>
                      <w:sz w:val="22"/>
                      <w:szCs w:val="22"/>
                    </w:rPr>
                  </w:pPr>
                  <w:r w:rsidRPr="00365E45">
                    <w:rPr>
                      <w:b/>
                      <w:bCs/>
                      <w:noProof/>
                      <w:sz w:val="22"/>
                      <w:szCs w:val="22"/>
                    </w:rPr>
                    <w:t>(HAQ)</w:t>
                  </w:r>
                  <w:r w:rsidRPr="00365E45">
                    <w:rPr>
                      <w:b/>
                      <w:bCs/>
                      <w:noProof/>
                      <w:sz w:val="22"/>
                      <w:szCs w:val="22"/>
                      <w:vertAlign w:val="superscript"/>
                    </w:rPr>
                    <w:t>(c, f)</w:t>
                  </w:r>
                </w:p>
              </w:tc>
              <w:tc>
                <w:tcPr>
                  <w:tcW w:w="990"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1.30</w:t>
                  </w:r>
                </w:p>
              </w:tc>
              <w:tc>
                <w:tcPr>
                  <w:tcW w:w="708"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1.15</w:t>
                  </w:r>
                </w:p>
              </w:tc>
              <w:tc>
                <w:tcPr>
                  <w:tcW w:w="708"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1.13</w:t>
                  </w:r>
                </w:p>
              </w:tc>
              <w:tc>
                <w:tcPr>
                  <w:tcW w:w="990"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1.33</w:t>
                  </w:r>
                </w:p>
              </w:tc>
              <w:tc>
                <w:tcPr>
                  <w:tcW w:w="708"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0.87</w:t>
                  </w:r>
                  <w:r w:rsidRPr="00365E45">
                    <w:rPr>
                      <w:bCs/>
                      <w:noProof/>
                      <w:sz w:val="22"/>
                      <w:szCs w:val="22"/>
                    </w:rPr>
                    <w:t>*</w:t>
                  </w:r>
                </w:p>
              </w:tc>
              <w:tc>
                <w:tcPr>
                  <w:tcW w:w="84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0.81*</w:t>
                  </w:r>
                </w:p>
              </w:tc>
              <w:tc>
                <w:tcPr>
                  <w:tcW w:w="990"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1.29</w:t>
                  </w:r>
                </w:p>
              </w:tc>
              <w:tc>
                <w:tcPr>
                  <w:tcW w:w="850"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0.90*</w:t>
                  </w:r>
                </w:p>
              </w:tc>
              <w:tc>
                <w:tcPr>
                  <w:tcW w:w="84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0.86*</w:t>
                  </w:r>
                </w:p>
              </w:tc>
            </w:tr>
            <w:tr w:rsidR="00495FE7" w:rsidRPr="00797D0B" w:rsidTr="00D97490">
              <w:trPr>
                <w:trHeight w:val="17"/>
              </w:trPr>
              <w:tc>
                <w:tcPr>
                  <w:tcW w:w="1557" w:type="dxa"/>
                  <w:tcBorders>
                    <w:top w:val="single" w:sz="4" w:space="0" w:color="auto"/>
                    <w:left w:val="single" w:sz="4" w:space="0" w:color="auto"/>
                    <w:bottom w:val="single" w:sz="4" w:space="0" w:color="auto"/>
                    <w:right w:val="single" w:sz="4" w:space="0" w:color="auto"/>
                  </w:tcBorders>
                  <w:shd w:val="clear" w:color="auto" w:fill="auto"/>
                </w:tcPr>
                <w:p w:rsidR="00495FE7" w:rsidRPr="00365E45" w:rsidRDefault="00495FE7" w:rsidP="00495FE7">
                  <w:pPr>
                    <w:ind w:hanging="90"/>
                    <w:rPr>
                      <w:b/>
                      <w:bCs/>
                      <w:noProof/>
                      <w:sz w:val="22"/>
                      <w:szCs w:val="22"/>
                    </w:rPr>
                  </w:pPr>
                </w:p>
                <w:p w:rsidR="00495FE7" w:rsidRPr="00365E45" w:rsidRDefault="00495FE7" w:rsidP="00495FE7">
                  <w:pPr>
                    <w:ind w:hanging="90"/>
                    <w:rPr>
                      <w:b/>
                      <w:bCs/>
                      <w:noProof/>
                      <w:sz w:val="22"/>
                      <w:szCs w:val="22"/>
                    </w:rPr>
                  </w:pPr>
                  <w:r w:rsidRPr="00365E45">
                    <w:rPr>
                      <w:b/>
                      <w:bCs/>
                      <w:noProof/>
                      <w:sz w:val="22"/>
                      <w:szCs w:val="22"/>
                    </w:rPr>
                    <w:t>CRP (mg/L)</w:t>
                  </w:r>
                </w:p>
                <w:p w:rsidR="00495FE7" w:rsidRPr="00365E45" w:rsidRDefault="00495FE7" w:rsidP="00495FE7">
                  <w:pPr>
                    <w:ind w:hanging="90"/>
                    <w:rPr>
                      <w:b/>
                      <w:bCs/>
                      <w:noProof/>
                      <w:sz w:val="22"/>
                      <w:szCs w:val="22"/>
                    </w:rPr>
                  </w:pPr>
                </w:p>
              </w:tc>
              <w:tc>
                <w:tcPr>
                  <w:tcW w:w="990" w:type="dxa"/>
                  <w:tcBorders>
                    <w:top w:val="single" w:sz="4" w:space="0" w:color="auto"/>
                    <w:left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18.56</w:t>
                  </w:r>
                </w:p>
              </w:tc>
              <w:tc>
                <w:tcPr>
                  <w:tcW w:w="708"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14.75</w:t>
                  </w:r>
                </w:p>
              </w:tc>
              <w:tc>
                <w:tcPr>
                  <w:tcW w:w="708"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14.66</w:t>
                  </w:r>
                </w:p>
              </w:tc>
              <w:tc>
                <w:tcPr>
                  <w:tcW w:w="990"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15.36</w:t>
                  </w:r>
                </w:p>
              </w:tc>
              <w:tc>
                <w:tcPr>
                  <w:tcW w:w="708"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5.67*</w:t>
                  </w:r>
                </w:p>
              </w:tc>
              <w:tc>
                <w:tcPr>
                  <w:tcW w:w="84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4.58*</w:t>
                  </w:r>
                </w:p>
              </w:tc>
              <w:tc>
                <w:tcPr>
                  <w:tcW w:w="990" w:type="dxa"/>
                  <w:tcBorders>
                    <w:top w:val="single" w:sz="4" w:space="0" w:color="auto"/>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13.71</w:t>
                  </w:r>
                </w:p>
              </w:tc>
              <w:tc>
                <w:tcPr>
                  <w:tcW w:w="850" w:type="dxa"/>
                  <w:tcBorders>
                    <w:top w:val="single" w:sz="4" w:space="0" w:color="auto"/>
                    <w:left w:val="nil"/>
                    <w:bottom w:val="single" w:sz="4" w:space="0" w:color="auto"/>
                    <w:right w:val="nil"/>
                  </w:tcBorders>
                  <w:shd w:val="clear" w:color="auto" w:fill="auto"/>
                  <w:vAlign w:val="center"/>
                </w:tcPr>
                <w:p w:rsidR="00495FE7" w:rsidRPr="00365E45" w:rsidRDefault="00495FE7" w:rsidP="00495FE7">
                  <w:pPr>
                    <w:ind w:hanging="90"/>
                    <w:jc w:val="center"/>
                    <w:rPr>
                      <w:noProof/>
                      <w:sz w:val="22"/>
                      <w:szCs w:val="22"/>
                    </w:rPr>
                  </w:pPr>
                  <w:r w:rsidRPr="00365E45">
                    <w:rPr>
                      <w:noProof/>
                      <w:sz w:val="22"/>
                      <w:szCs w:val="22"/>
                    </w:rPr>
                    <w:t>6.34*</w:t>
                  </w:r>
                </w:p>
              </w:tc>
              <w:tc>
                <w:tcPr>
                  <w:tcW w:w="849" w:type="dxa"/>
                  <w:tcBorders>
                    <w:top w:val="single" w:sz="4" w:space="0" w:color="auto"/>
                    <w:left w:val="nil"/>
                    <w:bottom w:val="single" w:sz="4" w:space="0" w:color="auto"/>
                  </w:tcBorders>
                  <w:vAlign w:val="center"/>
                </w:tcPr>
                <w:p w:rsidR="00495FE7" w:rsidRPr="00365E45" w:rsidRDefault="00495FE7" w:rsidP="00495FE7">
                  <w:pPr>
                    <w:ind w:hanging="90"/>
                    <w:jc w:val="center"/>
                    <w:rPr>
                      <w:noProof/>
                      <w:sz w:val="22"/>
                      <w:szCs w:val="22"/>
                    </w:rPr>
                  </w:pPr>
                  <w:r w:rsidRPr="00365E45">
                    <w:rPr>
                      <w:noProof/>
                      <w:sz w:val="22"/>
                      <w:szCs w:val="22"/>
                    </w:rPr>
                    <w:t>7.37*</w:t>
                  </w:r>
                </w:p>
              </w:tc>
            </w:tr>
          </w:tbl>
          <w:p w:rsidR="00495FE7" w:rsidRPr="009C4DD2" w:rsidRDefault="00495FE7" w:rsidP="00365E45">
            <w:pPr>
              <w:spacing w:before="120"/>
              <w:ind w:hanging="91"/>
              <w:rPr>
                <w:iCs/>
                <w:noProof/>
                <w:sz w:val="20"/>
                <w:szCs w:val="22"/>
              </w:rPr>
            </w:pPr>
            <w:r w:rsidRPr="009C4DD2">
              <w:rPr>
                <w:iCs/>
                <w:noProof/>
                <w:sz w:val="20"/>
                <w:szCs w:val="22"/>
                <w:vertAlign w:val="superscript"/>
              </w:rPr>
              <w:t xml:space="preserve">(a) </w:t>
            </w:r>
            <w:r w:rsidRPr="009C4DD2">
              <w:rPr>
                <w:iCs/>
                <w:noProof/>
                <w:sz w:val="20"/>
                <w:szCs w:val="22"/>
              </w:rPr>
              <w:t>CIMZIA administered every 2 weeks preceded by a loading dose of 400</w:t>
            </w:r>
            <w:r>
              <w:rPr>
                <w:iCs/>
                <w:noProof/>
                <w:sz w:val="20"/>
                <w:szCs w:val="22"/>
              </w:rPr>
              <w:t> </w:t>
            </w:r>
            <w:r w:rsidRPr="009C4DD2">
              <w:rPr>
                <w:iCs/>
                <w:noProof/>
                <w:sz w:val="20"/>
                <w:szCs w:val="22"/>
              </w:rPr>
              <w:t>mg at Weeks 0, 2 and 4</w:t>
            </w:r>
            <w:r w:rsidR="009C4302">
              <w:rPr>
                <w:iCs/>
                <w:noProof/>
                <w:sz w:val="20"/>
                <w:szCs w:val="22"/>
              </w:rPr>
              <w:t>.</w:t>
            </w:r>
          </w:p>
          <w:p w:rsidR="00495FE7" w:rsidRPr="009C4DD2" w:rsidRDefault="00495FE7" w:rsidP="00495FE7">
            <w:pPr>
              <w:ind w:hanging="90"/>
              <w:rPr>
                <w:iCs/>
                <w:noProof/>
                <w:sz w:val="20"/>
                <w:szCs w:val="22"/>
              </w:rPr>
            </w:pPr>
            <w:r w:rsidRPr="009C4DD2">
              <w:rPr>
                <w:iCs/>
                <w:noProof/>
                <w:sz w:val="20"/>
                <w:szCs w:val="22"/>
                <w:vertAlign w:val="superscript"/>
              </w:rPr>
              <w:t>(b)</w:t>
            </w:r>
            <w:r w:rsidRPr="009C4DD2">
              <w:rPr>
                <w:iCs/>
                <w:noProof/>
                <w:sz w:val="20"/>
                <w:szCs w:val="22"/>
              </w:rPr>
              <w:t xml:space="preserve"> CIMZIA administered every 4 weeks preceded by a loading dose of 400</w:t>
            </w:r>
            <w:r>
              <w:rPr>
                <w:iCs/>
                <w:noProof/>
                <w:sz w:val="20"/>
                <w:szCs w:val="22"/>
              </w:rPr>
              <w:t> </w:t>
            </w:r>
            <w:r w:rsidRPr="009C4DD2">
              <w:rPr>
                <w:iCs/>
                <w:noProof/>
                <w:sz w:val="20"/>
                <w:szCs w:val="22"/>
              </w:rPr>
              <w:t>mg at Weeks 0, 2 and 4</w:t>
            </w:r>
            <w:r w:rsidR="009C4302">
              <w:rPr>
                <w:iCs/>
                <w:noProof/>
                <w:sz w:val="20"/>
                <w:szCs w:val="22"/>
              </w:rPr>
              <w:t>.</w:t>
            </w:r>
          </w:p>
          <w:p w:rsidR="00495FE7" w:rsidRPr="009C4DD2" w:rsidRDefault="00495FE7" w:rsidP="00495FE7">
            <w:pPr>
              <w:ind w:hanging="90"/>
              <w:rPr>
                <w:iCs/>
                <w:noProof/>
                <w:sz w:val="20"/>
                <w:szCs w:val="22"/>
              </w:rPr>
            </w:pPr>
            <w:r w:rsidRPr="009C4DD2">
              <w:rPr>
                <w:iCs/>
                <w:noProof/>
                <w:sz w:val="20"/>
                <w:szCs w:val="22"/>
                <w:vertAlign w:val="superscript"/>
              </w:rPr>
              <w:t>(c)</w:t>
            </w:r>
            <w:r w:rsidRPr="009C4DD2">
              <w:rPr>
                <w:iCs/>
                <w:noProof/>
                <w:sz w:val="20"/>
                <w:szCs w:val="22"/>
              </w:rPr>
              <w:t xml:space="preserve"> Last Observation Carried Forward is used for missing data, early withdrawals or placebo escape</w:t>
            </w:r>
            <w:r w:rsidR="009C4302">
              <w:rPr>
                <w:iCs/>
                <w:noProof/>
                <w:sz w:val="20"/>
                <w:szCs w:val="22"/>
              </w:rPr>
              <w:t>.</w:t>
            </w:r>
          </w:p>
          <w:p w:rsidR="00495FE7" w:rsidRPr="009C4DD2" w:rsidRDefault="00495FE7" w:rsidP="00495FE7">
            <w:pPr>
              <w:ind w:hanging="90"/>
              <w:rPr>
                <w:iCs/>
                <w:noProof/>
                <w:sz w:val="20"/>
                <w:szCs w:val="22"/>
              </w:rPr>
            </w:pPr>
            <w:r w:rsidRPr="009C4DD2">
              <w:rPr>
                <w:iCs/>
                <w:noProof/>
                <w:sz w:val="20"/>
                <w:szCs w:val="22"/>
                <w:vertAlign w:val="superscript"/>
              </w:rPr>
              <w:t>(d)</w:t>
            </w:r>
            <w:r w:rsidRPr="009C4DD2">
              <w:rPr>
                <w:iCs/>
                <w:noProof/>
                <w:sz w:val="20"/>
                <w:szCs w:val="22"/>
              </w:rPr>
              <w:t xml:space="preserve"> Patient and Physician Global Assessment of Disease Activity, VAS 0=</w:t>
            </w:r>
            <w:r w:rsidR="00365E45">
              <w:rPr>
                <w:iCs/>
                <w:noProof/>
                <w:sz w:val="20"/>
                <w:szCs w:val="22"/>
              </w:rPr>
              <w:t xml:space="preserve"> </w:t>
            </w:r>
            <w:r w:rsidRPr="009C4DD2">
              <w:rPr>
                <w:iCs/>
                <w:noProof/>
                <w:sz w:val="20"/>
                <w:szCs w:val="22"/>
              </w:rPr>
              <w:t>best 100= worst</w:t>
            </w:r>
          </w:p>
          <w:p w:rsidR="00495FE7" w:rsidRPr="009C4DD2" w:rsidRDefault="00495FE7" w:rsidP="00495FE7">
            <w:pPr>
              <w:ind w:hanging="90"/>
              <w:rPr>
                <w:iCs/>
                <w:noProof/>
                <w:sz w:val="20"/>
                <w:szCs w:val="22"/>
              </w:rPr>
            </w:pPr>
            <w:r w:rsidRPr="009C4DD2">
              <w:rPr>
                <w:iCs/>
                <w:noProof/>
                <w:sz w:val="20"/>
                <w:szCs w:val="22"/>
                <w:vertAlign w:val="superscript"/>
              </w:rPr>
              <w:t>( e)</w:t>
            </w:r>
            <w:r w:rsidRPr="009C4DD2">
              <w:rPr>
                <w:iCs/>
                <w:noProof/>
                <w:sz w:val="20"/>
                <w:szCs w:val="22"/>
              </w:rPr>
              <w:t xml:space="preserve"> The Patient Assessment of Arthritis Pain, VAS 0=</w:t>
            </w:r>
            <w:r w:rsidR="00365E45">
              <w:rPr>
                <w:iCs/>
                <w:noProof/>
                <w:sz w:val="20"/>
                <w:szCs w:val="22"/>
              </w:rPr>
              <w:t xml:space="preserve"> </w:t>
            </w:r>
            <w:r w:rsidRPr="009C4DD2">
              <w:rPr>
                <w:iCs/>
                <w:noProof/>
                <w:sz w:val="20"/>
                <w:szCs w:val="22"/>
              </w:rPr>
              <w:t xml:space="preserve">no pain and 100= </w:t>
            </w:r>
            <w:r w:rsidR="00365E45">
              <w:rPr>
                <w:iCs/>
                <w:noProof/>
                <w:sz w:val="20"/>
                <w:szCs w:val="22"/>
              </w:rPr>
              <w:t xml:space="preserve"> </w:t>
            </w:r>
            <w:r w:rsidRPr="009C4DD2">
              <w:rPr>
                <w:iCs/>
                <w:noProof/>
                <w:sz w:val="20"/>
                <w:szCs w:val="22"/>
              </w:rPr>
              <w:t>most severe pain</w:t>
            </w:r>
          </w:p>
          <w:p w:rsidR="00495FE7" w:rsidRPr="009C4DD2" w:rsidRDefault="00495FE7" w:rsidP="00495FE7">
            <w:pPr>
              <w:ind w:hanging="90"/>
              <w:rPr>
                <w:iCs/>
                <w:noProof/>
                <w:sz w:val="20"/>
                <w:szCs w:val="22"/>
              </w:rPr>
            </w:pPr>
            <w:r w:rsidRPr="009C4DD2">
              <w:rPr>
                <w:iCs/>
                <w:noProof/>
                <w:sz w:val="20"/>
                <w:szCs w:val="22"/>
                <w:vertAlign w:val="superscript"/>
              </w:rPr>
              <w:t>(f)</w:t>
            </w:r>
            <w:r w:rsidRPr="009C4DD2">
              <w:rPr>
                <w:iCs/>
                <w:noProof/>
                <w:sz w:val="20"/>
                <w:szCs w:val="22"/>
              </w:rPr>
              <w:t xml:space="preserve"> The HAQ-DI, 4 point scale 0=</w:t>
            </w:r>
            <w:r w:rsidR="00365E45">
              <w:rPr>
                <w:iCs/>
                <w:noProof/>
                <w:sz w:val="20"/>
                <w:szCs w:val="22"/>
              </w:rPr>
              <w:t xml:space="preserve"> </w:t>
            </w:r>
            <w:r w:rsidRPr="009C4DD2">
              <w:rPr>
                <w:iCs/>
                <w:noProof/>
                <w:sz w:val="20"/>
                <w:szCs w:val="22"/>
              </w:rPr>
              <w:t>without difficulty and 3=</w:t>
            </w:r>
            <w:r w:rsidR="00365E45">
              <w:rPr>
                <w:iCs/>
                <w:noProof/>
                <w:sz w:val="20"/>
                <w:szCs w:val="22"/>
              </w:rPr>
              <w:t xml:space="preserve"> </w:t>
            </w:r>
            <w:r w:rsidRPr="009C4DD2">
              <w:rPr>
                <w:iCs/>
                <w:noProof/>
                <w:sz w:val="20"/>
                <w:szCs w:val="22"/>
              </w:rPr>
              <w:t>unable to do</w:t>
            </w:r>
          </w:p>
          <w:p w:rsidR="00365E45" w:rsidRDefault="00495FE7" w:rsidP="00495FE7">
            <w:pPr>
              <w:ind w:hanging="90"/>
              <w:rPr>
                <w:iCs/>
                <w:noProof/>
                <w:sz w:val="20"/>
                <w:szCs w:val="22"/>
              </w:rPr>
            </w:pPr>
            <w:r w:rsidRPr="009C4DD2">
              <w:rPr>
                <w:iCs/>
                <w:noProof/>
                <w:sz w:val="20"/>
                <w:szCs w:val="22"/>
              </w:rPr>
              <w:t>All values presented represent the mean</w:t>
            </w:r>
            <w:r w:rsidR="009C4302">
              <w:rPr>
                <w:iCs/>
                <w:noProof/>
                <w:sz w:val="20"/>
                <w:szCs w:val="22"/>
              </w:rPr>
              <w:t>.</w:t>
            </w:r>
          </w:p>
          <w:p w:rsidR="00495FE7" w:rsidRPr="009C4DD2" w:rsidRDefault="00495FE7" w:rsidP="00495FE7">
            <w:pPr>
              <w:ind w:hanging="90"/>
              <w:rPr>
                <w:iCs/>
                <w:noProof/>
                <w:sz w:val="20"/>
                <w:szCs w:val="22"/>
              </w:rPr>
            </w:pPr>
            <w:r w:rsidRPr="009C4DD2">
              <w:rPr>
                <w:iCs/>
                <w:noProof/>
                <w:sz w:val="20"/>
                <w:szCs w:val="22"/>
              </w:rPr>
              <w:t>Results are from the randomized set (either with imputation or observed case)</w:t>
            </w:r>
            <w:r w:rsidR="009C4302">
              <w:rPr>
                <w:iCs/>
                <w:noProof/>
                <w:sz w:val="20"/>
                <w:szCs w:val="22"/>
              </w:rPr>
              <w:t>.</w:t>
            </w:r>
            <w:r w:rsidR="00DD24E8">
              <w:rPr>
                <w:iCs/>
                <w:noProof/>
                <w:sz w:val="20"/>
                <w:szCs w:val="22"/>
              </w:rPr>
              <w:t xml:space="preserve"> </w:t>
            </w:r>
            <w:r w:rsidRPr="009C4DD2">
              <w:rPr>
                <w:iCs/>
                <w:noProof/>
                <w:sz w:val="20"/>
                <w:szCs w:val="22"/>
              </w:rPr>
              <w:t>*p&lt;0.001, C</w:t>
            </w:r>
            <w:r w:rsidR="00DD24E8">
              <w:rPr>
                <w:iCs/>
                <w:noProof/>
                <w:sz w:val="20"/>
                <w:szCs w:val="22"/>
              </w:rPr>
              <w:t>IMZIA</w:t>
            </w:r>
            <w:r w:rsidRPr="009C4DD2">
              <w:rPr>
                <w:iCs/>
                <w:noProof/>
                <w:sz w:val="20"/>
                <w:szCs w:val="22"/>
              </w:rPr>
              <w:t xml:space="preserve"> vs placebo</w:t>
            </w:r>
          </w:p>
          <w:p w:rsidR="00495FE7" w:rsidRDefault="00495FE7" w:rsidP="00495FE7">
            <w:pPr>
              <w:autoSpaceDE w:val="0"/>
              <w:autoSpaceDN w:val="0"/>
              <w:adjustRightInd w:val="0"/>
              <w:rPr>
                <w:szCs w:val="22"/>
              </w:rPr>
            </w:pPr>
          </w:p>
          <w:p w:rsidR="00495FE7" w:rsidRDefault="00495FE7" w:rsidP="00495FE7">
            <w:pPr>
              <w:autoSpaceDE w:val="0"/>
              <w:autoSpaceDN w:val="0"/>
              <w:adjustRightInd w:val="0"/>
              <w:rPr>
                <w:szCs w:val="22"/>
              </w:rPr>
            </w:pPr>
            <w:r w:rsidRPr="00696BF4">
              <w:t xml:space="preserve">The percentage of ACR20 responders was clinically relevant and significantly higher for the </w:t>
            </w:r>
            <w:r>
              <w:t>C</w:t>
            </w:r>
            <w:r w:rsidR="00DD24E8">
              <w:t>IMZIA</w:t>
            </w:r>
            <w:r w:rsidRPr="00696BF4">
              <w:t xml:space="preserve"> 200</w:t>
            </w:r>
            <w:r>
              <w:t> </w:t>
            </w:r>
            <w:r w:rsidRPr="00696BF4">
              <w:t>mg every 2</w:t>
            </w:r>
            <w:r>
              <w:t> </w:t>
            </w:r>
            <w:r w:rsidRPr="00696BF4">
              <w:t>weeks and CIMZIA 400</w:t>
            </w:r>
            <w:r>
              <w:t> </w:t>
            </w:r>
            <w:r w:rsidRPr="00696BF4">
              <w:t>mg every 4</w:t>
            </w:r>
            <w:r>
              <w:t> </w:t>
            </w:r>
            <w:r w:rsidRPr="00696BF4">
              <w:t>weeks treatment groups compared to placebo group at every visit after baseline through Week</w:t>
            </w:r>
            <w:r>
              <w:t> </w:t>
            </w:r>
            <w:r w:rsidRPr="00696BF4">
              <w:t>24 (p≤0.001 at each visit).</w:t>
            </w:r>
          </w:p>
          <w:p w:rsidR="00495FE7" w:rsidRDefault="00495FE7" w:rsidP="006B768A">
            <w:pPr>
              <w:rPr>
                <w:noProof/>
                <w:szCs w:val="22"/>
              </w:rPr>
            </w:pPr>
          </w:p>
          <w:p w:rsidR="00495FE7" w:rsidRDefault="00495FE7" w:rsidP="009C4302">
            <w:pPr>
              <w:ind w:left="90"/>
              <w:rPr>
                <w:noProof/>
                <w:szCs w:val="22"/>
              </w:rPr>
            </w:pPr>
            <w:r w:rsidRPr="000F7C43">
              <w:rPr>
                <w:noProof/>
                <w:szCs w:val="22"/>
              </w:rPr>
              <w:t xml:space="preserve">Patients with enthesitis </w:t>
            </w:r>
            <w:r w:rsidR="005A03E0">
              <w:rPr>
                <w:noProof/>
                <w:szCs w:val="22"/>
              </w:rPr>
              <w:t xml:space="preserve">and dactylitis </w:t>
            </w:r>
            <w:r w:rsidRPr="000F7C43">
              <w:rPr>
                <w:noProof/>
                <w:szCs w:val="22"/>
              </w:rPr>
              <w:t>at baseline were evaluated for mean improv</w:t>
            </w:r>
            <w:r>
              <w:rPr>
                <w:noProof/>
                <w:szCs w:val="22"/>
              </w:rPr>
              <w:t xml:space="preserve">ement in Leeds Enthesitis Index </w:t>
            </w:r>
            <w:r w:rsidRPr="000F7C43">
              <w:rPr>
                <w:noProof/>
                <w:szCs w:val="22"/>
              </w:rPr>
              <w:t>(LEI)</w:t>
            </w:r>
            <w:r w:rsidR="005A03E0">
              <w:rPr>
                <w:noProof/>
                <w:szCs w:val="22"/>
              </w:rPr>
              <w:t xml:space="preserve"> and Leeds Dactylitis Index (LDI)</w:t>
            </w:r>
            <w:r w:rsidRPr="000F7C43">
              <w:rPr>
                <w:noProof/>
                <w:szCs w:val="22"/>
              </w:rPr>
              <w:t xml:space="preserve">. </w:t>
            </w:r>
            <w:r>
              <w:rPr>
                <w:noProof/>
                <w:szCs w:val="22"/>
              </w:rPr>
              <w:t>C</w:t>
            </w:r>
            <w:r w:rsidR="00DD24E8">
              <w:t>IMZIA</w:t>
            </w:r>
            <w:r w:rsidRPr="000F7C43">
              <w:rPr>
                <w:noProof/>
                <w:szCs w:val="22"/>
              </w:rPr>
              <w:t>-treated patients either 200 mg every 2 weeks or 400 mg every 4 weeks sh</w:t>
            </w:r>
            <w:r>
              <w:rPr>
                <w:noProof/>
                <w:szCs w:val="22"/>
              </w:rPr>
              <w:t xml:space="preserve">owed greater </w:t>
            </w:r>
            <w:r w:rsidRPr="000F7C43">
              <w:rPr>
                <w:noProof/>
                <w:szCs w:val="22"/>
              </w:rPr>
              <w:t>reduction in enthesitis (-1.8; -1.7) as compared with placebo-tre</w:t>
            </w:r>
            <w:r>
              <w:rPr>
                <w:noProof/>
                <w:szCs w:val="22"/>
              </w:rPr>
              <w:t xml:space="preserve">ated patients (-0.9) at week 12 </w:t>
            </w:r>
            <w:r w:rsidRPr="000F7C43">
              <w:rPr>
                <w:noProof/>
                <w:szCs w:val="22"/>
              </w:rPr>
              <w:t>(p&lt;0.001 and p&lt;0.01, respectively) and week 24 (200 mg every 2 wee</w:t>
            </w:r>
            <w:r>
              <w:rPr>
                <w:noProof/>
                <w:szCs w:val="22"/>
              </w:rPr>
              <w:t>ks: -2.0; 400 mg every 4</w:t>
            </w:r>
            <w:r w:rsidR="009C4302">
              <w:rPr>
                <w:noProof/>
                <w:szCs w:val="22"/>
              </w:rPr>
              <w:t xml:space="preserve"> </w:t>
            </w:r>
            <w:r>
              <w:rPr>
                <w:noProof/>
                <w:szCs w:val="22"/>
              </w:rPr>
              <w:t xml:space="preserve">weeks: </w:t>
            </w:r>
            <w:r w:rsidRPr="000F7C43">
              <w:rPr>
                <w:noProof/>
                <w:szCs w:val="22"/>
              </w:rPr>
              <w:t xml:space="preserve">1.8; placebo: -1.1) (p&lt;0.001; p&lt;0.01, respectively). </w:t>
            </w:r>
            <w:r w:rsidR="005A03E0">
              <w:rPr>
                <w:noProof/>
                <w:szCs w:val="22"/>
              </w:rPr>
              <w:t xml:space="preserve"> Also, the same dose regimens showed greater reduction in dactylitis (mean change from baseline </w:t>
            </w:r>
            <w:r w:rsidR="004F1EE6" w:rsidRPr="004F1EE6">
              <w:rPr>
                <w:noProof/>
                <w:szCs w:val="22"/>
              </w:rPr>
              <w:t>-30.40; -45.46</w:t>
            </w:r>
            <w:r w:rsidR="005A03E0">
              <w:rPr>
                <w:noProof/>
                <w:szCs w:val="22"/>
              </w:rPr>
              <w:t xml:space="preserve">) as compared with placebo-treated patients </w:t>
            </w:r>
            <w:r w:rsidR="004F1EE6" w:rsidRPr="004F1EE6">
              <w:rPr>
                <w:noProof/>
                <w:szCs w:val="22"/>
              </w:rPr>
              <w:t>(-16.79</w:t>
            </w:r>
            <w:r w:rsidR="005A03E0">
              <w:rPr>
                <w:noProof/>
                <w:szCs w:val="22"/>
              </w:rPr>
              <w:t>) at week 12 (</w:t>
            </w:r>
            <w:r w:rsidR="004F1EE6" w:rsidRPr="004F1EE6">
              <w:rPr>
                <w:noProof/>
                <w:szCs w:val="22"/>
              </w:rPr>
              <w:t>p&lt;0.05 and p&lt;0.001, respectively</w:t>
            </w:r>
            <w:r w:rsidR="005A03E0">
              <w:rPr>
                <w:noProof/>
                <w:szCs w:val="22"/>
              </w:rPr>
              <w:t xml:space="preserve">) and week 24 (200 mg every 2 weeks: </w:t>
            </w:r>
            <w:r w:rsidR="004F1EE6" w:rsidRPr="004F1EE6">
              <w:rPr>
                <w:noProof/>
                <w:szCs w:val="22"/>
              </w:rPr>
              <w:t>-40.69</w:t>
            </w:r>
            <w:r w:rsidR="005A03E0">
              <w:rPr>
                <w:noProof/>
                <w:szCs w:val="22"/>
              </w:rPr>
              <w:t xml:space="preserve">; 400 mg every 4 weeks: </w:t>
            </w:r>
            <w:r w:rsidR="004F1EE6" w:rsidRPr="004F1EE6">
              <w:rPr>
                <w:noProof/>
                <w:szCs w:val="22"/>
              </w:rPr>
              <w:t>-53.47</w:t>
            </w:r>
            <w:r w:rsidR="005A03E0">
              <w:rPr>
                <w:noProof/>
                <w:szCs w:val="22"/>
              </w:rPr>
              <w:t xml:space="preserve">, placebo: </w:t>
            </w:r>
            <w:r w:rsidR="004F1EE6" w:rsidRPr="004F1EE6">
              <w:rPr>
                <w:noProof/>
                <w:szCs w:val="22"/>
              </w:rPr>
              <w:t>-22.04</w:t>
            </w:r>
            <w:r w:rsidR="005A03E0">
              <w:rPr>
                <w:noProof/>
                <w:szCs w:val="22"/>
              </w:rPr>
              <w:t>)</w:t>
            </w:r>
            <w:r w:rsidR="009C4302">
              <w:rPr>
                <w:noProof/>
                <w:szCs w:val="22"/>
              </w:rPr>
              <w:t xml:space="preserve"> </w:t>
            </w:r>
            <w:r w:rsidR="00A906D6">
              <w:rPr>
                <w:noProof/>
                <w:szCs w:val="22"/>
              </w:rPr>
              <w:t>(</w:t>
            </w:r>
            <w:r w:rsidR="00A906D6" w:rsidRPr="004F1EE6">
              <w:t>p</w:t>
            </w:r>
            <w:r w:rsidR="004F1EE6" w:rsidRPr="004F1EE6">
              <w:rPr>
                <w:noProof/>
                <w:szCs w:val="22"/>
              </w:rPr>
              <w:t>&lt;0.01; p&lt;0.001</w:t>
            </w:r>
            <w:r w:rsidR="005A03E0">
              <w:rPr>
                <w:noProof/>
                <w:szCs w:val="22"/>
              </w:rPr>
              <w:t>, respectively</w:t>
            </w:r>
            <w:r w:rsidR="009C4302">
              <w:rPr>
                <w:noProof/>
                <w:szCs w:val="22"/>
              </w:rPr>
              <w:t>)</w:t>
            </w:r>
            <w:r w:rsidR="00EC626B">
              <w:rPr>
                <w:noProof/>
                <w:szCs w:val="22"/>
              </w:rPr>
              <w:t>.</w:t>
            </w:r>
          </w:p>
          <w:p w:rsidR="00EC626B" w:rsidRDefault="00EC626B" w:rsidP="00495FE7">
            <w:pPr>
              <w:rPr>
                <w:noProof/>
                <w:szCs w:val="22"/>
              </w:rPr>
            </w:pPr>
          </w:p>
          <w:p w:rsidR="00495FE7" w:rsidRPr="00227ED2" w:rsidRDefault="00495FE7" w:rsidP="00495FE7">
            <w:pPr>
              <w:ind w:left="90"/>
              <w:rPr>
                <w:noProof/>
                <w:szCs w:val="22"/>
              </w:rPr>
            </w:pPr>
            <w:r w:rsidRPr="00227ED2">
              <w:rPr>
                <w:i/>
                <w:szCs w:val="22"/>
              </w:rPr>
              <w:t>Radiographic response</w:t>
            </w:r>
          </w:p>
          <w:p w:rsidR="00495FE7" w:rsidRDefault="00495FE7" w:rsidP="006C76FA">
            <w:pPr>
              <w:tabs>
                <w:tab w:val="left" w:pos="567"/>
              </w:tabs>
              <w:spacing w:line="260" w:lineRule="exact"/>
              <w:ind w:left="90"/>
              <w:rPr>
                <w:szCs w:val="22"/>
              </w:rPr>
            </w:pPr>
            <w:r w:rsidRPr="001F713F">
              <w:rPr>
                <w:szCs w:val="22"/>
              </w:rPr>
              <w:t>In PsA001</w:t>
            </w:r>
            <w:r>
              <w:rPr>
                <w:szCs w:val="22"/>
              </w:rPr>
              <w:t xml:space="preserve"> clinical trial</w:t>
            </w:r>
            <w:r w:rsidRPr="001F713F">
              <w:rPr>
                <w:szCs w:val="22"/>
              </w:rPr>
              <w:t>, inhibition of progression of structural damag</w:t>
            </w:r>
            <w:r>
              <w:rPr>
                <w:szCs w:val="22"/>
              </w:rPr>
              <w:t xml:space="preserve">e was assessed </w:t>
            </w:r>
            <w:proofErr w:type="spellStart"/>
            <w:r>
              <w:rPr>
                <w:szCs w:val="22"/>
              </w:rPr>
              <w:t>radiographically</w:t>
            </w:r>
            <w:proofErr w:type="spellEnd"/>
            <w:r>
              <w:rPr>
                <w:szCs w:val="22"/>
              </w:rPr>
              <w:t xml:space="preserve"> </w:t>
            </w:r>
            <w:r w:rsidRPr="001F713F">
              <w:rPr>
                <w:szCs w:val="22"/>
              </w:rPr>
              <w:t>and expressed as the change in modified total Sharp score (</w:t>
            </w:r>
            <w:proofErr w:type="spellStart"/>
            <w:r w:rsidRPr="001F713F">
              <w:rPr>
                <w:szCs w:val="22"/>
              </w:rPr>
              <w:t>mTSS</w:t>
            </w:r>
            <w:proofErr w:type="spellEnd"/>
            <w:r w:rsidRPr="001F713F">
              <w:rPr>
                <w:szCs w:val="22"/>
              </w:rPr>
              <w:t xml:space="preserve">) </w:t>
            </w:r>
            <w:r>
              <w:rPr>
                <w:szCs w:val="22"/>
              </w:rPr>
              <w:t xml:space="preserve">and its </w:t>
            </w:r>
            <w:r>
              <w:rPr>
                <w:szCs w:val="22"/>
              </w:rPr>
              <w:lastRenderedPageBreak/>
              <w:t xml:space="preserve">components, the Erosion </w:t>
            </w:r>
            <w:r w:rsidRPr="001F713F">
              <w:rPr>
                <w:szCs w:val="22"/>
              </w:rPr>
              <w:t>Score (ES) and Joint Space Narrowing score (JSN) at Week</w:t>
            </w:r>
            <w:r>
              <w:rPr>
                <w:szCs w:val="22"/>
              </w:rPr>
              <w:t> </w:t>
            </w:r>
            <w:r w:rsidRPr="001F713F">
              <w:rPr>
                <w:szCs w:val="22"/>
              </w:rPr>
              <w:t>24, compa</w:t>
            </w:r>
            <w:r>
              <w:rPr>
                <w:szCs w:val="22"/>
              </w:rPr>
              <w:t xml:space="preserve">red to baseline. The </w:t>
            </w:r>
            <w:proofErr w:type="spellStart"/>
            <w:r>
              <w:rPr>
                <w:szCs w:val="22"/>
              </w:rPr>
              <w:t>mTSS</w:t>
            </w:r>
            <w:proofErr w:type="spellEnd"/>
            <w:r>
              <w:rPr>
                <w:szCs w:val="22"/>
              </w:rPr>
              <w:t xml:space="preserve"> Score </w:t>
            </w:r>
            <w:r w:rsidRPr="001F713F">
              <w:rPr>
                <w:szCs w:val="22"/>
              </w:rPr>
              <w:t>was modified for psoriatic arthritis by addition of hand distal interphalangeal joints.</w:t>
            </w:r>
            <w:r>
              <w:rPr>
                <w:szCs w:val="22"/>
              </w:rPr>
              <w:t xml:space="preserve"> </w:t>
            </w:r>
            <w:r w:rsidR="00035A09" w:rsidRPr="00035A09">
              <w:rPr>
                <w:szCs w:val="22"/>
              </w:rPr>
              <w:t>Radiographic data for baseline or Week 24 were missing for 12%</w:t>
            </w:r>
            <w:r w:rsidR="00EC626B">
              <w:rPr>
                <w:szCs w:val="22"/>
              </w:rPr>
              <w:t xml:space="preserve"> of randomized subjects; analysis was conducted using post-hoc imputation rules with a minimum of an 8-week time window between X-rays applied.  </w:t>
            </w:r>
            <w:r>
              <w:rPr>
                <w:szCs w:val="22"/>
              </w:rPr>
              <w:t>C</w:t>
            </w:r>
            <w:r w:rsidR="00311E26">
              <w:t>IMZIA</w:t>
            </w:r>
            <w:r>
              <w:rPr>
                <w:szCs w:val="22"/>
              </w:rPr>
              <w:t xml:space="preserve"> treatment </w:t>
            </w:r>
            <w:r w:rsidR="009645D5">
              <w:rPr>
                <w:szCs w:val="22"/>
              </w:rPr>
              <w:t xml:space="preserve">reduced </w:t>
            </w:r>
            <w:r w:rsidRPr="001F713F">
              <w:rPr>
                <w:szCs w:val="22"/>
              </w:rPr>
              <w:t>the radiographic progression compared with placebo treatment at Week</w:t>
            </w:r>
            <w:r>
              <w:rPr>
                <w:szCs w:val="22"/>
              </w:rPr>
              <w:t> </w:t>
            </w:r>
            <w:r w:rsidRPr="001F713F">
              <w:rPr>
                <w:szCs w:val="22"/>
              </w:rPr>
              <w:t>2</w:t>
            </w:r>
            <w:r>
              <w:rPr>
                <w:szCs w:val="22"/>
              </w:rPr>
              <w:t xml:space="preserve">4 as measured by </w:t>
            </w:r>
            <w:r w:rsidRPr="001F713F">
              <w:rPr>
                <w:szCs w:val="22"/>
              </w:rPr>
              <w:t xml:space="preserve">change from baseline in total </w:t>
            </w:r>
            <w:proofErr w:type="spellStart"/>
            <w:r w:rsidRPr="001F713F">
              <w:rPr>
                <w:szCs w:val="22"/>
              </w:rPr>
              <w:t>mTSS</w:t>
            </w:r>
            <w:proofErr w:type="spellEnd"/>
            <w:r w:rsidRPr="001F713F">
              <w:rPr>
                <w:szCs w:val="22"/>
              </w:rPr>
              <w:t xml:space="preserve"> Score (LS mean [±SE] score </w:t>
            </w:r>
            <w:r>
              <w:rPr>
                <w:szCs w:val="22"/>
              </w:rPr>
              <w:t xml:space="preserve">was 0.28 [±0.07] in the placebo </w:t>
            </w:r>
            <w:r w:rsidRPr="001F713F">
              <w:rPr>
                <w:szCs w:val="22"/>
              </w:rPr>
              <w:t xml:space="preserve">group compared with 0.06 [± 0.06] in the </w:t>
            </w:r>
            <w:r>
              <w:rPr>
                <w:szCs w:val="22"/>
              </w:rPr>
              <w:t>C</w:t>
            </w:r>
            <w:r w:rsidR="00311E26">
              <w:t>IMZIA</w:t>
            </w:r>
            <w:r w:rsidRPr="001F713F">
              <w:rPr>
                <w:szCs w:val="22"/>
              </w:rPr>
              <w:t xml:space="preserve"> all doses group; p=0.007).</w:t>
            </w:r>
          </w:p>
          <w:p w:rsidR="00536BDD" w:rsidRDefault="00536BDD" w:rsidP="00495FE7">
            <w:pPr>
              <w:tabs>
                <w:tab w:val="left" w:pos="567"/>
              </w:tabs>
              <w:spacing w:line="260" w:lineRule="exact"/>
              <w:ind w:left="90"/>
              <w:rPr>
                <w:szCs w:val="22"/>
              </w:rPr>
            </w:pPr>
          </w:p>
          <w:p w:rsidR="00495FE7" w:rsidRPr="00227ED2" w:rsidRDefault="00495FE7" w:rsidP="00495FE7">
            <w:pPr>
              <w:ind w:left="90"/>
              <w:rPr>
                <w:i/>
                <w:iCs/>
                <w:noProof/>
                <w:szCs w:val="22"/>
              </w:rPr>
            </w:pPr>
            <w:r w:rsidRPr="00227ED2">
              <w:rPr>
                <w:i/>
                <w:iCs/>
                <w:noProof/>
                <w:szCs w:val="22"/>
              </w:rPr>
              <w:t>Physical function response and health-related outcomes</w:t>
            </w:r>
          </w:p>
          <w:p w:rsidR="00495FE7" w:rsidRDefault="00495FE7" w:rsidP="00495FE7">
            <w:pPr>
              <w:ind w:left="90"/>
              <w:rPr>
                <w:szCs w:val="22"/>
              </w:rPr>
            </w:pPr>
            <w:r w:rsidRPr="000F7C43">
              <w:rPr>
                <w:noProof/>
                <w:szCs w:val="22"/>
              </w:rPr>
              <w:t>In PsA001</w:t>
            </w:r>
            <w:r>
              <w:rPr>
                <w:noProof/>
                <w:szCs w:val="22"/>
              </w:rPr>
              <w:t xml:space="preserve"> cli</w:t>
            </w:r>
            <w:r w:rsidR="00DA694F">
              <w:rPr>
                <w:noProof/>
                <w:szCs w:val="22"/>
              </w:rPr>
              <w:t>ni</w:t>
            </w:r>
            <w:r>
              <w:rPr>
                <w:noProof/>
                <w:szCs w:val="22"/>
              </w:rPr>
              <w:t>cal trial</w:t>
            </w:r>
            <w:r w:rsidRPr="000F7C43">
              <w:rPr>
                <w:noProof/>
                <w:szCs w:val="22"/>
              </w:rPr>
              <w:t xml:space="preserve">, </w:t>
            </w:r>
            <w:r>
              <w:rPr>
                <w:noProof/>
                <w:szCs w:val="22"/>
              </w:rPr>
              <w:t>C</w:t>
            </w:r>
            <w:r w:rsidR="00311E26">
              <w:t>IMZIA</w:t>
            </w:r>
            <w:r w:rsidRPr="000F7C43">
              <w:rPr>
                <w:noProof/>
                <w:szCs w:val="22"/>
              </w:rPr>
              <w:t>-treated patients reported significant im</w:t>
            </w:r>
            <w:r>
              <w:rPr>
                <w:noProof/>
                <w:szCs w:val="22"/>
              </w:rPr>
              <w:t xml:space="preserve">provements in physical function </w:t>
            </w:r>
            <w:r w:rsidRPr="000F7C43">
              <w:rPr>
                <w:noProof/>
                <w:szCs w:val="22"/>
              </w:rPr>
              <w:t>as assessed by the Health Assessment Questionnaire – Disabilit</w:t>
            </w:r>
            <w:r>
              <w:rPr>
                <w:noProof/>
                <w:szCs w:val="22"/>
              </w:rPr>
              <w:t xml:space="preserve">y Index (HAQ-DI) and in pain as </w:t>
            </w:r>
            <w:r w:rsidRPr="000F7C43">
              <w:rPr>
                <w:noProof/>
                <w:szCs w:val="22"/>
              </w:rPr>
              <w:t>assessed by the Patient Assessment of Arthritis Pain (PAAP) from Week</w:t>
            </w:r>
            <w:r>
              <w:rPr>
                <w:noProof/>
                <w:szCs w:val="22"/>
              </w:rPr>
              <w:t xml:space="preserve"> 1 through Week 24 as compared to placebo (see Table </w:t>
            </w:r>
            <w:r w:rsidR="000A17A0">
              <w:rPr>
                <w:noProof/>
                <w:szCs w:val="22"/>
              </w:rPr>
              <w:t>7</w:t>
            </w:r>
            <w:r w:rsidRPr="000F7C43">
              <w:rPr>
                <w:noProof/>
                <w:szCs w:val="22"/>
              </w:rPr>
              <w:t xml:space="preserve">). </w:t>
            </w:r>
            <w:r>
              <w:rPr>
                <w:noProof/>
                <w:szCs w:val="22"/>
              </w:rPr>
              <w:t>C</w:t>
            </w:r>
            <w:r w:rsidR="00311E26">
              <w:t>IMZIA</w:t>
            </w:r>
            <w:r w:rsidRPr="000F7C43">
              <w:rPr>
                <w:noProof/>
                <w:szCs w:val="22"/>
              </w:rPr>
              <w:t>-treated patients repor</w:t>
            </w:r>
            <w:r>
              <w:rPr>
                <w:noProof/>
                <w:szCs w:val="22"/>
              </w:rPr>
              <w:t xml:space="preserve">ted significant improvements in </w:t>
            </w:r>
            <w:r w:rsidRPr="000F7C43">
              <w:rPr>
                <w:noProof/>
                <w:szCs w:val="22"/>
              </w:rPr>
              <w:t>tiredness (fatigue) as reported by the Fatigue Assessment Scale (FAS)</w:t>
            </w:r>
            <w:r>
              <w:rPr>
                <w:noProof/>
                <w:szCs w:val="22"/>
              </w:rPr>
              <w:t xml:space="preserve"> from Week 2 through Week 24 </w:t>
            </w:r>
            <w:r>
              <w:rPr>
                <w:szCs w:val="22"/>
              </w:rPr>
              <w:t>a</w:t>
            </w:r>
            <w:r w:rsidRPr="000F7C43">
              <w:rPr>
                <w:szCs w:val="22"/>
              </w:rPr>
              <w:t xml:space="preserve">s compared to placebo. </w:t>
            </w:r>
            <w:r>
              <w:rPr>
                <w:szCs w:val="22"/>
              </w:rPr>
              <w:t>C</w:t>
            </w:r>
            <w:r w:rsidR="00455B23">
              <w:rPr>
                <w:szCs w:val="22"/>
              </w:rPr>
              <w:t>IMZIA</w:t>
            </w:r>
            <w:r w:rsidRPr="000F7C43">
              <w:rPr>
                <w:szCs w:val="22"/>
              </w:rPr>
              <w:t>-treated patients repor</w:t>
            </w:r>
            <w:r>
              <w:rPr>
                <w:szCs w:val="22"/>
              </w:rPr>
              <w:t xml:space="preserve">ted significant improvements in </w:t>
            </w:r>
            <w:r w:rsidRPr="000F7C43">
              <w:rPr>
                <w:szCs w:val="22"/>
              </w:rPr>
              <w:t>health-related quality of life as measured by the psoriatic arthri</w:t>
            </w:r>
            <w:r w:rsidR="00365E45">
              <w:rPr>
                <w:szCs w:val="22"/>
              </w:rPr>
              <w:t xml:space="preserve">tis </w:t>
            </w:r>
            <w:proofErr w:type="spellStart"/>
            <w:r w:rsidR="00365E45">
              <w:rPr>
                <w:szCs w:val="22"/>
              </w:rPr>
              <w:t>QoL</w:t>
            </w:r>
            <w:proofErr w:type="spellEnd"/>
            <w:r w:rsidR="00365E45">
              <w:rPr>
                <w:szCs w:val="22"/>
              </w:rPr>
              <w:t xml:space="preserve"> </w:t>
            </w:r>
            <w:r>
              <w:rPr>
                <w:szCs w:val="22"/>
              </w:rPr>
              <w:t>(</w:t>
            </w:r>
            <w:proofErr w:type="spellStart"/>
            <w:r>
              <w:rPr>
                <w:szCs w:val="22"/>
              </w:rPr>
              <w:t>PsAQoL</w:t>
            </w:r>
            <w:proofErr w:type="spellEnd"/>
            <w:r>
              <w:rPr>
                <w:szCs w:val="22"/>
              </w:rPr>
              <w:t xml:space="preserve">) and the SF-36 </w:t>
            </w:r>
            <w:r w:rsidRPr="000F7C43">
              <w:rPr>
                <w:szCs w:val="22"/>
              </w:rPr>
              <w:t>Physical and Mental Component Summaries in all domain scor</w:t>
            </w:r>
            <w:r>
              <w:rPr>
                <w:szCs w:val="22"/>
              </w:rPr>
              <w:t>es from Week 4 through Week 24.</w:t>
            </w:r>
          </w:p>
          <w:p w:rsidR="00495FE7" w:rsidRPr="00495FE7" w:rsidRDefault="00495FE7" w:rsidP="00183159">
            <w:pPr>
              <w:pStyle w:val="Paragraph"/>
              <w:keepNext/>
              <w:rPr>
                <w:i/>
                <w:u w:val="single"/>
                <w:lang w:val="en-GB"/>
              </w:rPr>
            </w:pPr>
            <w:r>
              <w:rPr>
                <w:szCs w:val="22"/>
              </w:rPr>
              <w:t>C</w:t>
            </w:r>
            <w:r w:rsidR="00311E26">
              <w:t>IMZIA</w:t>
            </w:r>
            <w:r w:rsidRPr="000F7C43">
              <w:rPr>
                <w:szCs w:val="22"/>
              </w:rPr>
              <w:t>-treated patients reported improvements in psoriatic arthritis-r</w:t>
            </w:r>
            <w:r>
              <w:rPr>
                <w:szCs w:val="22"/>
              </w:rPr>
              <w:t xml:space="preserve">elated productivity at work and </w:t>
            </w:r>
            <w:r w:rsidRPr="000F7C43">
              <w:rPr>
                <w:szCs w:val="22"/>
              </w:rPr>
              <w:t>within household</w:t>
            </w:r>
            <w:r w:rsidRPr="000F7C43">
              <w:rPr>
                <w:noProof/>
                <w:szCs w:val="22"/>
              </w:rPr>
              <w:t>, as reported by the Work Productivity Survey fro</w:t>
            </w:r>
            <w:r>
              <w:rPr>
                <w:noProof/>
                <w:szCs w:val="22"/>
              </w:rPr>
              <w:t xml:space="preserve">m Week 4 through Week 24 </w:t>
            </w:r>
            <w:r w:rsidRPr="000F7C43">
              <w:rPr>
                <w:noProof/>
                <w:szCs w:val="22"/>
              </w:rPr>
              <w:t>compared to placebo.</w:t>
            </w:r>
          </w:p>
        </w:tc>
      </w:tr>
      <w:tr w:rsidR="00A420A9" w:rsidRPr="0052262B" w:rsidTr="00D97490">
        <w:trPr>
          <w:trHeight w:val="18"/>
        </w:trPr>
        <w:tc>
          <w:tcPr>
            <w:tcW w:w="9127" w:type="dxa"/>
            <w:tcBorders>
              <w:top w:val="single" w:sz="4" w:space="0" w:color="auto"/>
              <w:left w:val="single" w:sz="4" w:space="0" w:color="auto"/>
              <w:bottom w:val="single" w:sz="4" w:space="0" w:color="auto"/>
              <w:right w:val="single" w:sz="4" w:space="0" w:color="auto"/>
            </w:tcBorders>
          </w:tcPr>
          <w:p w:rsidR="006B768A" w:rsidRDefault="009D2838" w:rsidP="00A420A9">
            <w:pPr>
              <w:rPr>
                <w:i/>
                <w:noProof/>
                <w:szCs w:val="22"/>
                <w:u w:val="single"/>
              </w:rPr>
            </w:pPr>
            <w:r>
              <w:rPr>
                <w:i/>
                <w:noProof/>
                <w:szCs w:val="22"/>
                <w:u w:val="single"/>
              </w:rPr>
              <w:lastRenderedPageBreak/>
              <w:t xml:space="preserve"> </w:t>
            </w:r>
          </w:p>
          <w:p w:rsidR="006B768A" w:rsidRDefault="009D2838" w:rsidP="00A420A9">
            <w:pPr>
              <w:rPr>
                <w:i/>
                <w:noProof/>
                <w:szCs w:val="22"/>
                <w:u w:val="single"/>
              </w:rPr>
            </w:pPr>
            <w:r>
              <w:rPr>
                <w:i/>
                <w:noProof/>
                <w:szCs w:val="22"/>
                <w:u w:val="single"/>
              </w:rPr>
              <w:t>Ankylosing Spondylitis</w:t>
            </w:r>
          </w:p>
          <w:p w:rsidR="00A420A9" w:rsidRPr="007E009F" w:rsidRDefault="00A420A9" w:rsidP="00A420A9">
            <w:pPr>
              <w:rPr>
                <w:noProof/>
              </w:rPr>
            </w:pPr>
            <w:r w:rsidRPr="007E009F">
              <w:rPr>
                <w:noProof/>
              </w:rPr>
              <w:t>The efficacy and safety of C</w:t>
            </w:r>
            <w:r w:rsidR="00E5348E">
              <w:rPr>
                <w:noProof/>
              </w:rPr>
              <w:t>IMZIA</w:t>
            </w:r>
            <w:r w:rsidRPr="007E009F">
              <w:rPr>
                <w:noProof/>
              </w:rPr>
              <w:t xml:space="preserve"> were assessed in one multicenter, randomized, double-blind, placebo-controlled trial (AS001) in 325 patients ≥18 years of age with adult-onset active axial spondyloarthritis for at least 3 months as defined by the Assessment of Spondyloarthritis International Society (ASAS) Classification Criteria for axial spondyloarthritis. Axial spondyloarthritis refers to spondyloarthritis with predominantly axial involvement and includes the disease subgroup </w:t>
            </w:r>
            <w:r w:rsidR="00311719">
              <w:rPr>
                <w:noProof/>
              </w:rPr>
              <w:t>of patients with definitive signs of damage suggestive as consequence of sacroiliitis on x-ray (</w:t>
            </w:r>
            <w:r w:rsidRPr="007E009F">
              <w:rPr>
                <w:noProof/>
              </w:rPr>
              <w:t>ankylosing spondylitis</w:t>
            </w:r>
            <w:r w:rsidR="00311719">
              <w:rPr>
                <w:noProof/>
              </w:rPr>
              <w:t>)</w:t>
            </w:r>
            <w:r w:rsidRPr="007E009F">
              <w:rPr>
                <w:noProof/>
              </w:rPr>
              <w:t>, as well as a disease subgroup with no definitive evidence of sacroili</w:t>
            </w:r>
            <w:r w:rsidR="00220239">
              <w:rPr>
                <w:noProof/>
              </w:rPr>
              <w:t>i</w:t>
            </w:r>
            <w:r w:rsidRPr="007E009F">
              <w:rPr>
                <w:noProof/>
              </w:rPr>
              <w:t>tis on plain radiographs</w:t>
            </w:r>
            <w:r w:rsidR="00F875D2">
              <w:rPr>
                <w:noProof/>
              </w:rPr>
              <w:t xml:space="preserve"> (non-radiographic axial spondyloarthritis). </w:t>
            </w:r>
            <w:r w:rsidRPr="007E009F">
              <w:rPr>
                <w:noProof/>
              </w:rPr>
              <w:t xml:space="preserve"> Patients had active disease as defined by the Bath Ankylosing Spondylitis Disease Activity Index (BASDAI) ≥ 4, spinal pain ≥ 4 on a 0 to 10 Numerical Rating Scale (NRS) and increased CRP or current evidence of sacroiliitis on Magnetic Resonance Imaging (MRI). Patients must have been intolerant to or had an inadequate response to at least one NSAID.</w:t>
            </w:r>
          </w:p>
          <w:p w:rsidR="00A420A9" w:rsidRPr="007E009F" w:rsidRDefault="00A420A9" w:rsidP="00A420A9">
            <w:pPr>
              <w:rPr>
                <w:noProof/>
              </w:rPr>
            </w:pPr>
            <w:r w:rsidRPr="007E009F">
              <w:rPr>
                <w:noProof/>
              </w:rPr>
              <w:t xml:space="preserve">Overall </w:t>
            </w:r>
            <w:r w:rsidR="00C968DA">
              <w:rPr>
                <w:noProof/>
              </w:rPr>
              <w:t>20.</w:t>
            </w:r>
            <w:r w:rsidR="00BE27FD">
              <w:rPr>
                <w:noProof/>
              </w:rPr>
              <w:t>2%</w:t>
            </w:r>
            <w:r w:rsidR="00FA4C34">
              <w:rPr>
                <w:noProof/>
              </w:rPr>
              <w:t xml:space="preserve"> </w:t>
            </w:r>
            <w:r w:rsidRPr="007E009F">
              <w:rPr>
                <w:noProof/>
              </w:rPr>
              <w:t xml:space="preserve"> of </w:t>
            </w:r>
            <w:r w:rsidR="00FA4C34">
              <w:rPr>
                <w:noProof/>
              </w:rPr>
              <w:t xml:space="preserve"> AS </w:t>
            </w:r>
            <w:r w:rsidRPr="007E009F">
              <w:rPr>
                <w:noProof/>
              </w:rPr>
              <w:t>patients had prior TNF-antagonist exposure. Patients were treated with a loading dose of C</w:t>
            </w:r>
            <w:r w:rsidR="00E5348E">
              <w:rPr>
                <w:noProof/>
              </w:rPr>
              <w:t>IMZIA</w:t>
            </w:r>
            <w:r w:rsidRPr="007E009F">
              <w:rPr>
                <w:noProof/>
              </w:rPr>
              <w:t xml:space="preserve"> 400 mg at Weeks 0, 2 and 4 (for both treatment arms) or placebo followed by either 200 mg of C</w:t>
            </w:r>
            <w:r w:rsidR="00E5348E">
              <w:rPr>
                <w:noProof/>
              </w:rPr>
              <w:t>IMZIA</w:t>
            </w:r>
            <w:r w:rsidRPr="007E009F">
              <w:rPr>
                <w:noProof/>
              </w:rPr>
              <w:t xml:space="preserve"> every 2 weeks or 400 mg of C</w:t>
            </w:r>
            <w:r w:rsidR="00E5348E">
              <w:rPr>
                <w:noProof/>
              </w:rPr>
              <w:t>IMZIA</w:t>
            </w:r>
            <w:r w:rsidRPr="007E009F">
              <w:rPr>
                <w:noProof/>
              </w:rPr>
              <w:t xml:space="preserve"> every 4  weeks or placebo. </w:t>
            </w:r>
            <w:r w:rsidR="00F875D2">
              <w:rPr>
                <w:noProof/>
              </w:rPr>
              <w:t>91</w:t>
            </w:r>
            <w:r w:rsidR="00BB1E34">
              <w:rPr>
                <w:noProof/>
              </w:rPr>
              <w:t>% of AS</w:t>
            </w:r>
            <w:r w:rsidRPr="007E009F">
              <w:rPr>
                <w:noProof/>
              </w:rPr>
              <w:t xml:space="preserve"> patients received concomitant NSAIDs.The primary efficacy endpoint was the ASAS20 response rate at Week 12. </w:t>
            </w:r>
            <w:r w:rsidR="009C4302">
              <w:rPr>
                <w:noProof/>
              </w:rPr>
              <w:t xml:space="preserve">One hundred and seventy </w:t>
            </w:r>
            <w:r w:rsidR="00F875D2">
              <w:rPr>
                <w:noProof/>
              </w:rPr>
              <w:t>eight patients (54.8%) patients in the study had active AS, and only these results are presented.</w:t>
            </w:r>
          </w:p>
          <w:p w:rsidR="00A420A9" w:rsidRDefault="00A420A9" w:rsidP="00A420A9">
            <w:pPr>
              <w:rPr>
                <w:i/>
                <w:noProof/>
                <w:szCs w:val="22"/>
              </w:rPr>
            </w:pPr>
          </w:p>
          <w:p w:rsidR="008456C8" w:rsidRPr="00A420A9" w:rsidRDefault="008456C8" w:rsidP="00A420A9">
            <w:pPr>
              <w:rPr>
                <w:i/>
                <w:noProof/>
                <w:szCs w:val="22"/>
              </w:rPr>
            </w:pPr>
          </w:p>
          <w:p w:rsidR="00A420A9" w:rsidRDefault="00A420A9" w:rsidP="00AB5AD5">
            <w:pPr>
              <w:pageBreakBefore/>
              <w:rPr>
                <w:i/>
                <w:noProof/>
                <w:szCs w:val="22"/>
              </w:rPr>
            </w:pPr>
            <w:r w:rsidRPr="00A420A9">
              <w:rPr>
                <w:i/>
                <w:noProof/>
                <w:szCs w:val="22"/>
              </w:rPr>
              <w:t>ASAS response</w:t>
            </w:r>
          </w:p>
          <w:p w:rsidR="00A420A9" w:rsidRDefault="00A420A9" w:rsidP="00A420A9">
            <w:pPr>
              <w:rPr>
                <w:noProof/>
              </w:rPr>
            </w:pPr>
            <w:r w:rsidRPr="00DF2267">
              <w:rPr>
                <w:noProof/>
              </w:rPr>
              <w:lastRenderedPageBreak/>
              <w:t>In AS001</w:t>
            </w:r>
            <w:r>
              <w:rPr>
                <w:noProof/>
              </w:rPr>
              <w:t xml:space="preserve"> clinical trial, at Week 12</w:t>
            </w:r>
            <w:r w:rsidRPr="00DF2267">
              <w:rPr>
                <w:noProof/>
              </w:rPr>
              <w:t xml:space="preserve"> ASAS20 responses were achieved by </w:t>
            </w:r>
            <w:r w:rsidR="00BE27FD">
              <w:rPr>
                <w:noProof/>
              </w:rPr>
              <w:t>57</w:t>
            </w:r>
            <w:r>
              <w:rPr>
                <w:noProof/>
              </w:rPr>
              <w:t>% of patients receiving C</w:t>
            </w:r>
            <w:r w:rsidR="00E5348E">
              <w:rPr>
                <w:noProof/>
              </w:rPr>
              <w:t>IMZIA</w:t>
            </w:r>
            <w:r w:rsidRPr="00DF2267">
              <w:rPr>
                <w:noProof/>
              </w:rPr>
              <w:t xml:space="preserve"> 200</w:t>
            </w:r>
            <w:r>
              <w:rPr>
                <w:noProof/>
              </w:rPr>
              <w:t> </w:t>
            </w:r>
            <w:r w:rsidRPr="00DF2267">
              <w:rPr>
                <w:noProof/>
              </w:rPr>
              <w:t>mg every 2</w:t>
            </w:r>
            <w:r>
              <w:rPr>
                <w:noProof/>
              </w:rPr>
              <w:t> </w:t>
            </w:r>
            <w:r w:rsidRPr="00DF2267">
              <w:rPr>
                <w:noProof/>
              </w:rPr>
              <w:t xml:space="preserve">weeks and 64% of patients receiving </w:t>
            </w:r>
            <w:r w:rsidR="00E5348E">
              <w:rPr>
                <w:noProof/>
              </w:rPr>
              <w:t>CIMZIA</w:t>
            </w:r>
            <w:r w:rsidRPr="00DF2267">
              <w:rPr>
                <w:noProof/>
              </w:rPr>
              <w:t xml:space="preserve"> 400</w:t>
            </w:r>
            <w:r>
              <w:rPr>
                <w:noProof/>
              </w:rPr>
              <w:t> </w:t>
            </w:r>
            <w:r w:rsidRPr="00DF2267">
              <w:rPr>
                <w:noProof/>
              </w:rPr>
              <w:t>mg every 4</w:t>
            </w:r>
            <w:r>
              <w:rPr>
                <w:noProof/>
              </w:rPr>
              <w:t> </w:t>
            </w:r>
            <w:r w:rsidRPr="00DF2267">
              <w:rPr>
                <w:noProof/>
              </w:rPr>
              <w:t xml:space="preserve">weeks as compared to </w:t>
            </w:r>
            <w:r w:rsidR="00BE27FD">
              <w:rPr>
                <w:noProof/>
              </w:rPr>
              <w:t>37</w:t>
            </w:r>
            <w:r w:rsidRPr="00DF2267">
              <w:rPr>
                <w:noProof/>
              </w:rPr>
              <w:t>% of patients receiving placebo (p &lt; 0.01). At Weeks</w:t>
            </w:r>
            <w:r>
              <w:rPr>
                <w:noProof/>
              </w:rPr>
              <w:t> </w:t>
            </w:r>
            <w:r w:rsidRPr="00DF2267">
              <w:rPr>
                <w:noProof/>
              </w:rPr>
              <w:t xml:space="preserve">12 and 24, the percentage of subjects with an ASAS40 response was greater in the </w:t>
            </w:r>
            <w:r>
              <w:rPr>
                <w:noProof/>
              </w:rPr>
              <w:t>C</w:t>
            </w:r>
            <w:r w:rsidR="00E5348E">
              <w:rPr>
                <w:noProof/>
              </w:rPr>
              <w:t>IMZIA</w:t>
            </w:r>
            <w:r w:rsidRPr="00DF2267">
              <w:rPr>
                <w:noProof/>
              </w:rPr>
              <w:t xml:space="preserve">-treated groups compared to placebo. Responses were similar in </w:t>
            </w:r>
            <w:r w:rsidR="00FA4C34">
              <w:rPr>
                <w:noProof/>
              </w:rPr>
              <w:t xml:space="preserve">AS </w:t>
            </w:r>
            <w:r w:rsidRPr="00DF2267">
              <w:rPr>
                <w:noProof/>
              </w:rPr>
              <w:t xml:space="preserve">patients receiving </w:t>
            </w:r>
            <w:r w:rsidR="00E5348E">
              <w:rPr>
                <w:noProof/>
              </w:rPr>
              <w:t>CIMZIA</w:t>
            </w:r>
            <w:r w:rsidRPr="00DF2267">
              <w:rPr>
                <w:noProof/>
              </w:rPr>
              <w:t xml:space="preserve"> 200</w:t>
            </w:r>
            <w:r>
              <w:rPr>
                <w:noProof/>
              </w:rPr>
              <w:t> </w:t>
            </w:r>
            <w:r w:rsidRPr="00DF2267">
              <w:rPr>
                <w:noProof/>
              </w:rPr>
              <w:t>mg every 2</w:t>
            </w:r>
            <w:r>
              <w:rPr>
                <w:noProof/>
              </w:rPr>
              <w:t> </w:t>
            </w:r>
            <w:r w:rsidRPr="00DF2267">
              <w:rPr>
                <w:noProof/>
              </w:rPr>
              <w:t xml:space="preserve">weeks or </w:t>
            </w:r>
            <w:r>
              <w:rPr>
                <w:noProof/>
              </w:rPr>
              <w:t>C</w:t>
            </w:r>
            <w:r w:rsidR="00E5348E">
              <w:rPr>
                <w:noProof/>
              </w:rPr>
              <w:t>IMZIA</w:t>
            </w:r>
            <w:r w:rsidRPr="00DF2267">
              <w:rPr>
                <w:noProof/>
              </w:rPr>
              <w:t xml:space="preserve"> 400</w:t>
            </w:r>
            <w:r>
              <w:rPr>
                <w:noProof/>
              </w:rPr>
              <w:t> </w:t>
            </w:r>
            <w:r w:rsidRPr="00DF2267">
              <w:rPr>
                <w:noProof/>
              </w:rPr>
              <w:t>mg every 4</w:t>
            </w:r>
            <w:r>
              <w:rPr>
                <w:noProof/>
              </w:rPr>
              <w:t> </w:t>
            </w:r>
            <w:r w:rsidRPr="00DF2267">
              <w:rPr>
                <w:noProof/>
              </w:rPr>
              <w:t>weeks</w:t>
            </w:r>
            <w:r>
              <w:rPr>
                <w:noProof/>
              </w:rPr>
              <w:t xml:space="preserve"> (see Table</w:t>
            </w:r>
            <w:r w:rsidR="009C4302">
              <w:rPr>
                <w:noProof/>
              </w:rPr>
              <w:t xml:space="preserve"> </w:t>
            </w:r>
            <w:r w:rsidR="000A17A0">
              <w:rPr>
                <w:noProof/>
              </w:rPr>
              <w:t>8</w:t>
            </w:r>
            <w:r w:rsidRPr="00DF2267">
              <w:rPr>
                <w:noProof/>
              </w:rPr>
              <w:t xml:space="preserve">). </w:t>
            </w:r>
          </w:p>
          <w:p w:rsidR="00FA4C34" w:rsidRPr="00A420A9" w:rsidRDefault="00FA4C34" w:rsidP="00A420A9">
            <w:pPr>
              <w:rPr>
                <w:noProof/>
                <w:u w:val="single"/>
              </w:rPr>
            </w:pPr>
          </w:p>
          <w:p w:rsidR="00CC3B39" w:rsidRDefault="00A420A9" w:rsidP="00A420A9">
            <w:pPr>
              <w:rPr>
                <w:noProof/>
              </w:rPr>
            </w:pPr>
            <w:r w:rsidRPr="00DF2267">
              <w:rPr>
                <w:noProof/>
              </w:rPr>
              <w:t>C</w:t>
            </w:r>
            <w:r w:rsidR="00E5348E">
              <w:rPr>
                <w:noProof/>
              </w:rPr>
              <w:t>IMZIA</w:t>
            </w:r>
            <w:r w:rsidRPr="00DF2267">
              <w:rPr>
                <w:noProof/>
              </w:rPr>
              <w:t xml:space="preserve">-treated patients also had significant improvement compared to placebo in </w:t>
            </w:r>
            <w:r>
              <w:rPr>
                <w:noProof/>
              </w:rPr>
              <w:t xml:space="preserve">multiple components of </w:t>
            </w:r>
            <w:r w:rsidR="008A4D37">
              <w:rPr>
                <w:noProof/>
              </w:rPr>
              <w:t>ankylosing spondylitis</w:t>
            </w:r>
            <w:r w:rsidR="006B768A">
              <w:rPr>
                <w:noProof/>
              </w:rPr>
              <w:t xml:space="preserve"> </w:t>
            </w:r>
            <w:r>
              <w:rPr>
                <w:noProof/>
              </w:rPr>
              <w:t xml:space="preserve">disease activity (see Table </w:t>
            </w:r>
            <w:r w:rsidR="000A17A0">
              <w:rPr>
                <w:noProof/>
              </w:rPr>
              <w:t>9</w:t>
            </w:r>
            <w:r w:rsidRPr="00DF2267">
              <w:rPr>
                <w:noProof/>
              </w:rPr>
              <w:t>).</w:t>
            </w:r>
          </w:p>
          <w:p w:rsidR="001E74AF" w:rsidRPr="006B768A" w:rsidRDefault="001E74AF" w:rsidP="006B768A">
            <w:pPr>
              <w:keepNext/>
              <w:rPr>
                <w:iCs/>
                <w:noProof/>
                <w:sz w:val="20"/>
                <w:szCs w:val="20"/>
              </w:rPr>
            </w:pPr>
          </w:p>
          <w:p w:rsidR="00A420A9" w:rsidRPr="00DF2267" w:rsidRDefault="00A420A9" w:rsidP="00A420A9">
            <w:pPr>
              <w:keepNext/>
              <w:ind w:hanging="90"/>
              <w:rPr>
                <w:b/>
                <w:noProof/>
              </w:rPr>
            </w:pPr>
            <w:r>
              <w:rPr>
                <w:b/>
                <w:noProof/>
              </w:rPr>
              <w:t xml:space="preserve">Table </w:t>
            </w:r>
            <w:r w:rsidR="00CC3C79">
              <w:rPr>
                <w:b/>
                <w:noProof/>
              </w:rPr>
              <w:t>8</w:t>
            </w:r>
            <w:r w:rsidR="001042E1">
              <w:rPr>
                <w:b/>
                <w:noProof/>
              </w:rPr>
              <w:t>:</w:t>
            </w:r>
            <w:r>
              <w:rPr>
                <w:b/>
                <w:noProof/>
              </w:rPr>
              <w:tab/>
            </w:r>
            <w:r w:rsidRPr="00DF2267">
              <w:rPr>
                <w:b/>
                <w:noProof/>
              </w:rPr>
              <w:t xml:space="preserve"> Efficacy response in AS001</w:t>
            </w:r>
            <w:r>
              <w:rPr>
                <w:b/>
                <w:noProof/>
              </w:rPr>
              <w:t xml:space="preserve"> clinical trial</w:t>
            </w:r>
            <w:r w:rsidRPr="00DF2267">
              <w:rPr>
                <w:b/>
                <w:noProof/>
              </w:rPr>
              <w:t>: reduction of signs and symptoms in ankylosing spondylitis sub-populations (percent of patients)</w:t>
            </w:r>
          </w:p>
          <w:tbl>
            <w:tblPr>
              <w:tblW w:w="8882" w:type="dxa"/>
              <w:tblLayout w:type="fixed"/>
              <w:tblLook w:val="04A0" w:firstRow="1" w:lastRow="0" w:firstColumn="1" w:lastColumn="0" w:noHBand="0" w:noVBand="1"/>
            </w:tblPr>
            <w:tblGrid>
              <w:gridCol w:w="2264"/>
              <w:gridCol w:w="1523"/>
              <w:gridCol w:w="1840"/>
              <w:gridCol w:w="1758"/>
              <w:gridCol w:w="1497"/>
            </w:tblGrid>
            <w:tr w:rsidR="00A420A9" w:rsidRPr="00DF2267" w:rsidTr="00D97490">
              <w:trPr>
                <w:trHeight w:val="18"/>
              </w:trPr>
              <w:tc>
                <w:tcPr>
                  <w:tcW w:w="2264" w:type="dxa"/>
                  <w:tcBorders>
                    <w:top w:val="single" w:sz="4" w:space="0" w:color="auto"/>
                    <w:left w:val="single" w:sz="4" w:space="0" w:color="auto"/>
                    <w:right w:val="single" w:sz="4" w:space="0" w:color="auto"/>
                  </w:tcBorders>
                </w:tcPr>
                <w:p w:rsidR="00A420A9" w:rsidRPr="00311E26" w:rsidRDefault="00A420A9" w:rsidP="00A420A9">
                  <w:pPr>
                    <w:keepNext/>
                    <w:ind w:hanging="90"/>
                    <w:jc w:val="center"/>
                    <w:rPr>
                      <w:b/>
                      <w:noProof/>
                      <w:sz w:val="22"/>
                      <w:szCs w:val="22"/>
                    </w:rPr>
                  </w:pPr>
                  <w:r w:rsidRPr="00311E26">
                    <w:rPr>
                      <w:b/>
                      <w:noProof/>
                      <w:sz w:val="22"/>
                      <w:szCs w:val="22"/>
                    </w:rPr>
                    <w:t>Parameters</w:t>
                  </w:r>
                </w:p>
              </w:tc>
              <w:tc>
                <w:tcPr>
                  <w:tcW w:w="3363" w:type="dxa"/>
                  <w:gridSpan w:val="2"/>
                  <w:tcBorders>
                    <w:top w:val="single" w:sz="4" w:space="0" w:color="auto"/>
                    <w:left w:val="single" w:sz="4" w:space="0" w:color="auto"/>
                    <w:bottom w:val="single" w:sz="4" w:space="0" w:color="auto"/>
                    <w:right w:val="single" w:sz="4" w:space="0" w:color="auto"/>
                  </w:tcBorders>
                </w:tcPr>
                <w:p w:rsidR="00A420A9" w:rsidRPr="00311E26" w:rsidRDefault="00A420A9" w:rsidP="00A420A9">
                  <w:pPr>
                    <w:keepNext/>
                    <w:jc w:val="center"/>
                    <w:rPr>
                      <w:b/>
                      <w:noProof/>
                      <w:sz w:val="22"/>
                      <w:szCs w:val="22"/>
                    </w:rPr>
                  </w:pPr>
                  <w:r w:rsidRPr="00311E26">
                    <w:rPr>
                      <w:b/>
                      <w:noProof/>
                      <w:sz w:val="22"/>
                      <w:szCs w:val="22"/>
                    </w:rPr>
                    <w:t>Ankylosing spondylitis</w:t>
                  </w:r>
                </w:p>
              </w:tc>
              <w:tc>
                <w:tcPr>
                  <w:tcW w:w="3255" w:type="dxa"/>
                  <w:gridSpan w:val="2"/>
                  <w:tcBorders>
                    <w:top w:val="single" w:sz="4" w:space="0" w:color="auto"/>
                    <w:left w:val="single" w:sz="4" w:space="0" w:color="auto"/>
                    <w:bottom w:val="single" w:sz="4" w:space="0" w:color="auto"/>
                    <w:right w:val="single" w:sz="4" w:space="0" w:color="auto"/>
                  </w:tcBorders>
                </w:tcPr>
                <w:p w:rsidR="00A420A9" w:rsidRPr="00311E26" w:rsidRDefault="00A420A9" w:rsidP="00A420A9">
                  <w:pPr>
                    <w:keepNext/>
                    <w:jc w:val="center"/>
                    <w:rPr>
                      <w:b/>
                      <w:noProof/>
                      <w:sz w:val="22"/>
                      <w:szCs w:val="22"/>
                    </w:rPr>
                  </w:pPr>
                </w:p>
              </w:tc>
            </w:tr>
            <w:tr w:rsidR="00FA4C34" w:rsidRPr="00DF2267" w:rsidTr="00D97490">
              <w:trPr>
                <w:trHeight w:val="18"/>
              </w:trPr>
              <w:tc>
                <w:tcPr>
                  <w:tcW w:w="2264" w:type="dxa"/>
                  <w:tcBorders>
                    <w:left w:val="single" w:sz="4" w:space="0" w:color="auto"/>
                    <w:bottom w:val="single" w:sz="4" w:space="0" w:color="auto"/>
                    <w:right w:val="single" w:sz="4" w:space="0" w:color="auto"/>
                  </w:tcBorders>
                </w:tcPr>
                <w:p w:rsidR="00FA4C34" w:rsidRPr="00311E26" w:rsidRDefault="00FA4C34" w:rsidP="00A420A9">
                  <w:pPr>
                    <w:keepNext/>
                    <w:ind w:hanging="90"/>
                    <w:jc w:val="center"/>
                    <w:rPr>
                      <w:b/>
                      <w:noProof/>
                      <w:sz w:val="22"/>
                      <w:szCs w:val="22"/>
                    </w:rPr>
                  </w:pPr>
                </w:p>
              </w:tc>
              <w:tc>
                <w:tcPr>
                  <w:tcW w:w="1523" w:type="dxa"/>
                  <w:tcBorders>
                    <w:top w:val="single" w:sz="4" w:space="0" w:color="auto"/>
                    <w:left w:val="single" w:sz="4" w:space="0" w:color="auto"/>
                    <w:bottom w:val="single" w:sz="4" w:space="0" w:color="auto"/>
                    <w:right w:val="single" w:sz="4" w:space="0" w:color="auto"/>
                  </w:tcBorders>
                </w:tcPr>
                <w:p w:rsidR="00FA4C34" w:rsidRPr="00311E26" w:rsidRDefault="00FA4C34" w:rsidP="00A420A9">
                  <w:pPr>
                    <w:keepNext/>
                    <w:jc w:val="center"/>
                    <w:rPr>
                      <w:b/>
                      <w:noProof/>
                      <w:sz w:val="22"/>
                      <w:szCs w:val="22"/>
                    </w:rPr>
                  </w:pPr>
                  <w:r w:rsidRPr="00311E26">
                    <w:rPr>
                      <w:b/>
                      <w:noProof/>
                      <w:sz w:val="22"/>
                      <w:szCs w:val="22"/>
                    </w:rPr>
                    <w:t>Placebo</w:t>
                  </w:r>
                </w:p>
                <w:p w:rsidR="00FA4C34" w:rsidRPr="00311E26" w:rsidRDefault="00FA4C34" w:rsidP="00A420A9">
                  <w:pPr>
                    <w:keepNext/>
                    <w:jc w:val="center"/>
                    <w:rPr>
                      <w:b/>
                      <w:noProof/>
                      <w:sz w:val="22"/>
                      <w:szCs w:val="22"/>
                    </w:rPr>
                  </w:pPr>
                  <w:r w:rsidRPr="00311E26">
                    <w:rPr>
                      <w:b/>
                      <w:noProof/>
                      <w:sz w:val="22"/>
                      <w:szCs w:val="22"/>
                    </w:rPr>
                    <w:t>N=57</w:t>
                  </w:r>
                </w:p>
              </w:tc>
              <w:tc>
                <w:tcPr>
                  <w:tcW w:w="1840" w:type="dxa"/>
                  <w:tcBorders>
                    <w:top w:val="single" w:sz="4" w:space="0" w:color="auto"/>
                    <w:left w:val="single" w:sz="4" w:space="0" w:color="auto"/>
                    <w:bottom w:val="single" w:sz="4" w:space="0" w:color="auto"/>
                    <w:right w:val="single" w:sz="4" w:space="0" w:color="auto"/>
                  </w:tcBorders>
                </w:tcPr>
                <w:p w:rsidR="00FA4C34" w:rsidRPr="00311E26" w:rsidRDefault="00FA4C34" w:rsidP="00A420A9">
                  <w:pPr>
                    <w:keepNext/>
                    <w:jc w:val="center"/>
                    <w:rPr>
                      <w:b/>
                      <w:noProof/>
                      <w:sz w:val="22"/>
                      <w:szCs w:val="22"/>
                    </w:rPr>
                  </w:pPr>
                  <w:r w:rsidRPr="00311E26">
                    <w:rPr>
                      <w:b/>
                      <w:noProof/>
                      <w:sz w:val="22"/>
                      <w:szCs w:val="22"/>
                    </w:rPr>
                    <w:t>C</w:t>
                  </w:r>
                  <w:r>
                    <w:rPr>
                      <w:b/>
                      <w:noProof/>
                      <w:sz w:val="22"/>
                      <w:szCs w:val="22"/>
                    </w:rPr>
                    <w:t>IMZIA</w:t>
                  </w:r>
                </w:p>
                <w:p w:rsidR="00646C2D" w:rsidRDefault="00FA4C34" w:rsidP="00A420A9">
                  <w:pPr>
                    <w:keepNext/>
                    <w:jc w:val="center"/>
                    <w:rPr>
                      <w:b/>
                      <w:noProof/>
                      <w:sz w:val="22"/>
                      <w:szCs w:val="22"/>
                    </w:rPr>
                  </w:pPr>
                  <w:r>
                    <w:rPr>
                      <w:b/>
                      <w:noProof/>
                      <w:sz w:val="22"/>
                      <w:szCs w:val="22"/>
                    </w:rPr>
                    <w:t>200 mg every 2 weeks</w:t>
                  </w:r>
                </w:p>
                <w:p w:rsidR="00FA4C34" w:rsidRPr="00311E26" w:rsidRDefault="00FA4C34" w:rsidP="00A420A9">
                  <w:pPr>
                    <w:keepNext/>
                    <w:jc w:val="center"/>
                    <w:rPr>
                      <w:b/>
                      <w:noProof/>
                      <w:sz w:val="22"/>
                      <w:szCs w:val="22"/>
                    </w:rPr>
                  </w:pPr>
                  <w:r>
                    <w:rPr>
                      <w:b/>
                      <w:noProof/>
                      <w:sz w:val="22"/>
                      <w:szCs w:val="22"/>
                      <w:lang w:val="pt-PT"/>
                    </w:rPr>
                    <w:t>N=65</w:t>
                  </w:r>
                </w:p>
              </w:tc>
              <w:tc>
                <w:tcPr>
                  <w:tcW w:w="1758" w:type="dxa"/>
                  <w:tcBorders>
                    <w:top w:val="single" w:sz="4" w:space="0" w:color="auto"/>
                    <w:left w:val="single" w:sz="4" w:space="0" w:color="auto"/>
                    <w:bottom w:val="single" w:sz="4" w:space="0" w:color="auto"/>
                    <w:right w:val="single" w:sz="4" w:space="0" w:color="auto"/>
                  </w:tcBorders>
                </w:tcPr>
                <w:p w:rsidR="00FA4C34" w:rsidRDefault="00FA4C34" w:rsidP="00A420A9">
                  <w:pPr>
                    <w:keepNext/>
                    <w:jc w:val="center"/>
                    <w:rPr>
                      <w:b/>
                      <w:noProof/>
                      <w:sz w:val="22"/>
                      <w:szCs w:val="22"/>
                    </w:rPr>
                  </w:pPr>
                  <w:r>
                    <w:rPr>
                      <w:b/>
                      <w:noProof/>
                      <w:sz w:val="22"/>
                      <w:szCs w:val="22"/>
                    </w:rPr>
                    <w:t>CIMZIA</w:t>
                  </w:r>
                </w:p>
                <w:p w:rsidR="00FA4C34" w:rsidRDefault="00FA4C34" w:rsidP="00A420A9">
                  <w:pPr>
                    <w:keepNext/>
                    <w:jc w:val="center"/>
                    <w:rPr>
                      <w:b/>
                      <w:noProof/>
                      <w:sz w:val="22"/>
                      <w:szCs w:val="22"/>
                    </w:rPr>
                  </w:pPr>
                  <w:r>
                    <w:rPr>
                      <w:b/>
                      <w:noProof/>
                      <w:sz w:val="22"/>
                      <w:szCs w:val="22"/>
                    </w:rPr>
                    <w:t>400 mg every 4 weeks</w:t>
                  </w:r>
                </w:p>
                <w:p w:rsidR="00FA4C34" w:rsidRPr="00311E26" w:rsidRDefault="00FA4C34" w:rsidP="00A420A9">
                  <w:pPr>
                    <w:keepNext/>
                    <w:jc w:val="center"/>
                    <w:rPr>
                      <w:b/>
                      <w:noProof/>
                      <w:sz w:val="22"/>
                      <w:szCs w:val="22"/>
                    </w:rPr>
                  </w:pPr>
                  <w:r>
                    <w:rPr>
                      <w:b/>
                      <w:noProof/>
                      <w:sz w:val="22"/>
                      <w:szCs w:val="22"/>
                    </w:rPr>
                    <w:t>N=56</w:t>
                  </w:r>
                </w:p>
              </w:tc>
              <w:tc>
                <w:tcPr>
                  <w:tcW w:w="1497" w:type="dxa"/>
                  <w:tcBorders>
                    <w:top w:val="single" w:sz="4" w:space="0" w:color="auto"/>
                    <w:left w:val="single" w:sz="4" w:space="0" w:color="auto"/>
                    <w:bottom w:val="single" w:sz="4" w:space="0" w:color="auto"/>
                    <w:right w:val="single" w:sz="4" w:space="0" w:color="auto"/>
                  </w:tcBorders>
                </w:tcPr>
                <w:p w:rsidR="00FA4C34" w:rsidRPr="00311E26" w:rsidRDefault="00FA4C34" w:rsidP="0025635B">
                  <w:pPr>
                    <w:keepNext/>
                    <w:jc w:val="center"/>
                    <w:rPr>
                      <w:b/>
                      <w:noProof/>
                      <w:sz w:val="22"/>
                      <w:szCs w:val="22"/>
                    </w:rPr>
                  </w:pPr>
                  <w:r w:rsidRPr="00311E26">
                    <w:rPr>
                      <w:b/>
                      <w:noProof/>
                      <w:sz w:val="22"/>
                      <w:szCs w:val="22"/>
                    </w:rPr>
                    <w:t>C</w:t>
                  </w:r>
                  <w:r>
                    <w:rPr>
                      <w:b/>
                      <w:noProof/>
                      <w:sz w:val="22"/>
                      <w:szCs w:val="22"/>
                    </w:rPr>
                    <w:t>IMZIA</w:t>
                  </w:r>
                </w:p>
                <w:p w:rsidR="00FA4C34" w:rsidRPr="00311E26" w:rsidRDefault="00FA4C34" w:rsidP="0025635B">
                  <w:pPr>
                    <w:keepNext/>
                    <w:jc w:val="center"/>
                    <w:rPr>
                      <w:b/>
                      <w:noProof/>
                      <w:sz w:val="22"/>
                      <w:szCs w:val="22"/>
                      <w:lang w:val="pt-PT"/>
                    </w:rPr>
                  </w:pPr>
                  <w:r w:rsidRPr="00311E26">
                    <w:rPr>
                      <w:b/>
                      <w:noProof/>
                      <w:sz w:val="22"/>
                      <w:szCs w:val="22"/>
                    </w:rPr>
                    <w:t>all dosing regimens</w:t>
                  </w:r>
                  <w:r w:rsidRPr="00311E26">
                    <w:rPr>
                      <w:b/>
                      <w:noProof/>
                      <w:sz w:val="22"/>
                      <w:szCs w:val="22"/>
                      <w:vertAlign w:val="superscript"/>
                    </w:rPr>
                    <w:t>(a)</w:t>
                  </w:r>
                </w:p>
                <w:p w:rsidR="00FA4C34" w:rsidRPr="00311E26" w:rsidRDefault="00FA4C34" w:rsidP="00A420A9">
                  <w:pPr>
                    <w:keepNext/>
                    <w:ind w:left="-86"/>
                    <w:jc w:val="center"/>
                    <w:rPr>
                      <w:b/>
                      <w:noProof/>
                      <w:sz w:val="22"/>
                      <w:szCs w:val="22"/>
                    </w:rPr>
                  </w:pPr>
                  <w:r w:rsidRPr="00311E26">
                    <w:rPr>
                      <w:b/>
                      <w:noProof/>
                      <w:sz w:val="22"/>
                      <w:szCs w:val="22"/>
                      <w:lang w:val="pt-PT"/>
                    </w:rPr>
                    <w:t>N=121</w:t>
                  </w:r>
                </w:p>
              </w:tc>
            </w:tr>
            <w:tr w:rsidR="00FA4C34" w:rsidRPr="00DF2267" w:rsidTr="00D974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
              </w:trPr>
              <w:tc>
                <w:tcPr>
                  <w:tcW w:w="2264" w:type="dxa"/>
                  <w:tcBorders>
                    <w:top w:val="single" w:sz="4" w:space="0" w:color="auto"/>
                  </w:tcBorders>
                  <w:shd w:val="clear" w:color="auto" w:fill="auto"/>
                </w:tcPr>
                <w:p w:rsidR="00FA4C34" w:rsidRPr="00311E26" w:rsidRDefault="00FA4C34" w:rsidP="00A420A9">
                  <w:pPr>
                    <w:keepNext/>
                    <w:ind w:hanging="90"/>
                    <w:rPr>
                      <w:b/>
                      <w:noProof/>
                      <w:sz w:val="22"/>
                      <w:szCs w:val="22"/>
                      <w:vertAlign w:val="superscript"/>
                    </w:rPr>
                  </w:pPr>
                  <w:r w:rsidRPr="00311E26">
                    <w:rPr>
                      <w:b/>
                      <w:noProof/>
                      <w:sz w:val="22"/>
                      <w:szCs w:val="22"/>
                    </w:rPr>
                    <w:t>ASAS20</w:t>
                  </w:r>
                  <w:r w:rsidRPr="00311E26">
                    <w:rPr>
                      <w:b/>
                      <w:noProof/>
                      <w:sz w:val="22"/>
                      <w:szCs w:val="22"/>
                      <w:vertAlign w:val="superscript"/>
                    </w:rPr>
                    <w:t>(b,c)</w:t>
                  </w:r>
                </w:p>
                <w:p w:rsidR="00FA4C34" w:rsidRPr="00311E26" w:rsidRDefault="00FA4C34" w:rsidP="00A420A9">
                  <w:pPr>
                    <w:keepNext/>
                    <w:ind w:hanging="90"/>
                    <w:rPr>
                      <w:bCs/>
                      <w:noProof/>
                      <w:sz w:val="22"/>
                      <w:szCs w:val="22"/>
                    </w:rPr>
                  </w:pPr>
                  <w:r w:rsidRPr="00311E26">
                    <w:rPr>
                      <w:bCs/>
                      <w:noProof/>
                      <w:sz w:val="22"/>
                      <w:szCs w:val="22"/>
                    </w:rPr>
                    <w:t>Week 12</w:t>
                  </w:r>
                </w:p>
                <w:p w:rsidR="00FA4C34" w:rsidRPr="00311E26" w:rsidRDefault="00FA4C34" w:rsidP="00A420A9">
                  <w:pPr>
                    <w:keepNext/>
                    <w:ind w:hanging="90"/>
                    <w:rPr>
                      <w:b/>
                      <w:noProof/>
                      <w:sz w:val="22"/>
                      <w:szCs w:val="22"/>
                    </w:rPr>
                  </w:pPr>
                  <w:r w:rsidRPr="00311E26">
                    <w:rPr>
                      <w:bCs/>
                      <w:noProof/>
                      <w:sz w:val="22"/>
                      <w:szCs w:val="22"/>
                    </w:rPr>
                    <w:t>Week 24</w:t>
                  </w:r>
                </w:p>
              </w:tc>
              <w:tc>
                <w:tcPr>
                  <w:tcW w:w="1523" w:type="dxa"/>
                  <w:tcBorders>
                    <w:top w:val="single" w:sz="4" w:space="0" w:color="auto"/>
                  </w:tcBorders>
                  <w:shd w:val="clear" w:color="auto" w:fill="auto"/>
                </w:tcPr>
                <w:p w:rsidR="00FA4C34" w:rsidRPr="00311E26" w:rsidRDefault="00FA4C34" w:rsidP="00A420A9">
                  <w:pPr>
                    <w:keepNext/>
                    <w:ind w:hanging="90"/>
                    <w:jc w:val="center"/>
                    <w:rPr>
                      <w:noProof/>
                      <w:sz w:val="22"/>
                      <w:szCs w:val="22"/>
                    </w:rPr>
                  </w:pPr>
                </w:p>
                <w:p w:rsidR="00FA4C34" w:rsidRPr="00311E26" w:rsidRDefault="00FA4C34" w:rsidP="00A420A9">
                  <w:pPr>
                    <w:keepNext/>
                    <w:ind w:hanging="90"/>
                    <w:jc w:val="center"/>
                    <w:rPr>
                      <w:noProof/>
                      <w:sz w:val="22"/>
                      <w:szCs w:val="22"/>
                    </w:rPr>
                  </w:pPr>
                  <w:r w:rsidRPr="00311E26">
                    <w:rPr>
                      <w:noProof/>
                      <w:sz w:val="22"/>
                      <w:szCs w:val="22"/>
                    </w:rPr>
                    <w:t>37%</w:t>
                  </w:r>
                </w:p>
                <w:p w:rsidR="00FA4C34" w:rsidRPr="00311E26" w:rsidRDefault="00FA4C34" w:rsidP="00A420A9">
                  <w:pPr>
                    <w:keepNext/>
                    <w:ind w:hanging="90"/>
                    <w:jc w:val="center"/>
                    <w:rPr>
                      <w:b/>
                      <w:noProof/>
                      <w:sz w:val="22"/>
                      <w:szCs w:val="22"/>
                    </w:rPr>
                  </w:pPr>
                  <w:r w:rsidRPr="00311E26">
                    <w:rPr>
                      <w:noProof/>
                      <w:sz w:val="22"/>
                      <w:szCs w:val="22"/>
                    </w:rPr>
                    <w:t>33%</w:t>
                  </w:r>
                </w:p>
              </w:tc>
              <w:tc>
                <w:tcPr>
                  <w:tcW w:w="1840" w:type="dxa"/>
                  <w:tcBorders>
                    <w:top w:val="single" w:sz="4" w:space="0" w:color="auto"/>
                  </w:tcBorders>
                  <w:shd w:val="clear" w:color="auto" w:fill="auto"/>
                </w:tcPr>
                <w:p w:rsidR="00FA4C34" w:rsidRPr="00311E26" w:rsidRDefault="00FA4C34" w:rsidP="00A420A9">
                  <w:pPr>
                    <w:keepNext/>
                    <w:ind w:hanging="90"/>
                    <w:jc w:val="center"/>
                    <w:rPr>
                      <w:noProof/>
                      <w:sz w:val="22"/>
                      <w:szCs w:val="22"/>
                    </w:rPr>
                  </w:pPr>
                </w:p>
                <w:p w:rsidR="00646C2D" w:rsidRDefault="00FA4C34" w:rsidP="00A420A9">
                  <w:pPr>
                    <w:keepNext/>
                    <w:ind w:hanging="90"/>
                    <w:jc w:val="center"/>
                    <w:rPr>
                      <w:noProof/>
                      <w:sz w:val="22"/>
                      <w:szCs w:val="22"/>
                    </w:rPr>
                  </w:pPr>
                  <w:r>
                    <w:rPr>
                      <w:noProof/>
                      <w:sz w:val="22"/>
                      <w:szCs w:val="22"/>
                    </w:rPr>
                    <w:t>57%</w:t>
                  </w:r>
                  <w:r w:rsidR="00646C2D">
                    <w:rPr>
                      <w:noProof/>
                      <w:sz w:val="22"/>
                      <w:szCs w:val="22"/>
                    </w:rPr>
                    <w:t>*</w:t>
                  </w:r>
                </w:p>
                <w:p w:rsidR="00FA4C34" w:rsidRPr="00311E26" w:rsidRDefault="00FA4C34" w:rsidP="00A420A9">
                  <w:pPr>
                    <w:keepNext/>
                    <w:ind w:hanging="90"/>
                    <w:jc w:val="center"/>
                    <w:rPr>
                      <w:b/>
                      <w:noProof/>
                      <w:sz w:val="22"/>
                      <w:szCs w:val="22"/>
                    </w:rPr>
                  </w:pPr>
                  <w:r>
                    <w:rPr>
                      <w:noProof/>
                      <w:sz w:val="22"/>
                      <w:szCs w:val="22"/>
                    </w:rPr>
                    <w:t>68%</w:t>
                  </w:r>
                  <w:r w:rsidR="00646C2D">
                    <w:rPr>
                      <w:noProof/>
                      <w:sz w:val="22"/>
                      <w:szCs w:val="22"/>
                    </w:rPr>
                    <w:t>**</w:t>
                  </w:r>
                </w:p>
              </w:tc>
              <w:tc>
                <w:tcPr>
                  <w:tcW w:w="1758" w:type="dxa"/>
                  <w:tcBorders>
                    <w:top w:val="single" w:sz="4" w:space="0" w:color="auto"/>
                  </w:tcBorders>
                  <w:shd w:val="clear" w:color="auto" w:fill="auto"/>
                </w:tcPr>
                <w:p w:rsidR="00FA4C34" w:rsidRDefault="00FA4C34" w:rsidP="00A420A9">
                  <w:pPr>
                    <w:keepNext/>
                    <w:ind w:hanging="90"/>
                    <w:jc w:val="center"/>
                    <w:rPr>
                      <w:b/>
                      <w:noProof/>
                      <w:sz w:val="22"/>
                      <w:szCs w:val="22"/>
                    </w:rPr>
                  </w:pPr>
                </w:p>
                <w:p w:rsidR="00FA4C34" w:rsidRPr="00646C2D" w:rsidRDefault="00FA4C34" w:rsidP="00A420A9">
                  <w:pPr>
                    <w:keepNext/>
                    <w:ind w:hanging="90"/>
                    <w:jc w:val="center"/>
                    <w:rPr>
                      <w:noProof/>
                      <w:sz w:val="22"/>
                      <w:szCs w:val="22"/>
                    </w:rPr>
                  </w:pPr>
                  <w:r w:rsidRPr="00646C2D">
                    <w:rPr>
                      <w:noProof/>
                      <w:sz w:val="22"/>
                      <w:szCs w:val="22"/>
                    </w:rPr>
                    <w:t>64%</w:t>
                  </w:r>
                  <w:r w:rsidR="00646C2D">
                    <w:rPr>
                      <w:noProof/>
                      <w:sz w:val="22"/>
                      <w:szCs w:val="22"/>
                    </w:rPr>
                    <w:t>*</w:t>
                  </w:r>
                </w:p>
                <w:p w:rsidR="00FA4C34" w:rsidRPr="00311E26" w:rsidRDefault="00FA4C34" w:rsidP="00A420A9">
                  <w:pPr>
                    <w:keepNext/>
                    <w:ind w:hanging="90"/>
                    <w:jc w:val="center"/>
                    <w:rPr>
                      <w:b/>
                      <w:noProof/>
                      <w:sz w:val="22"/>
                      <w:szCs w:val="22"/>
                    </w:rPr>
                  </w:pPr>
                  <w:r w:rsidRPr="00646C2D">
                    <w:rPr>
                      <w:noProof/>
                      <w:sz w:val="22"/>
                      <w:szCs w:val="22"/>
                    </w:rPr>
                    <w:t>70%</w:t>
                  </w:r>
                  <w:r w:rsidR="00646C2D">
                    <w:rPr>
                      <w:noProof/>
                      <w:sz w:val="22"/>
                      <w:szCs w:val="22"/>
                    </w:rPr>
                    <w:t>**</w:t>
                  </w:r>
                </w:p>
              </w:tc>
              <w:tc>
                <w:tcPr>
                  <w:tcW w:w="1497" w:type="dxa"/>
                  <w:tcBorders>
                    <w:top w:val="single" w:sz="4" w:space="0" w:color="auto"/>
                  </w:tcBorders>
                  <w:shd w:val="clear" w:color="auto" w:fill="auto"/>
                </w:tcPr>
                <w:p w:rsidR="00FA4C34" w:rsidRPr="00311E26" w:rsidRDefault="00FA4C34" w:rsidP="0025635B">
                  <w:pPr>
                    <w:keepNext/>
                    <w:ind w:hanging="90"/>
                    <w:jc w:val="center"/>
                    <w:rPr>
                      <w:noProof/>
                      <w:sz w:val="22"/>
                      <w:szCs w:val="22"/>
                    </w:rPr>
                  </w:pPr>
                </w:p>
                <w:p w:rsidR="00FA4C34" w:rsidRPr="00311E26" w:rsidRDefault="00FA4C34" w:rsidP="0025635B">
                  <w:pPr>
                    <w:keepNext/>
                    <w:ind w:hanging="90"/>
                    <w:jc w:val="center"/>
                    <w:rPr>
                      <w:noProof/>
                      <w:sz w:val="22"/>
                      <w:szCs w:val="22"/>
                    </w:rPr>
                  </w:pPr>
                  <w:r w:rsidRPr="00311E26">
                    <w:rPr>
                      <w:noProof/>
                      <w:sz w:val="22"/>
                      <w:szCs w:val="22"/>
                    </w:rPr>
                    <w:t>60%*</w:t>
                  </w:r>
                </w:p>
                <w:p w:rsidR="00FA4C34" w:rsidRPr="00311E26" w:rsidRDefault="00FA4C34" w:rsidP="00A420A9">
                  <w:pPr>
                    <w:keepNext/>
                    <w:ind w:hanging="90"/>
                    <w:jc w:val="center"/>
                    <w:rPr>
                      <w:b/>
                      <w:noProof/>
                      <w:sz w:val="22"/>
                      <w:szCs w:val="22"/>
                    </w:rPr>
                  </w:pPr>
                  <w:r w:rsidRPr="00311E26">
                    <w:rPr>
                      <w:noProof/>
                      <w:sz w:val="22"/>
                      <w:szCs w:val="22"/>
                    </w:rPr>
                    <w:t>69%**</w:t>
                  </w:r>
                </w:p>
              </w:tc>
            </w:tr>
            <w:tr w:rsidR="00FA4C34" w:rsidRPr="00DF2267" w:rsidTr="00D974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
              </w:trPr>
              <w:tc>
                <w:tcPr>
                  <w:tcW w:w="2264" w:type="dxa"/>
                  <w:shd w:val="clear" w:color="auto" w:fill="auto"/>
                </w:tcPr>
                <w:p w:rsidR="00FA4C34" w:rsidRPr="00311E26" w:rsidRDefault="00FA4C34" w:rsidP="00A420A9">
                  <w:pPr>
                    <w:keepNext/>
                    <w:ind w:hanging="90"/>
                    <w:rPr>
                      <w:b/>
                      <w:noProof/>
                      <w:sz w:val="22"/>
                      <w:szCs w:val="22"/>
                      <w:vertAlign w:val="superscript"/>
                    </w:rPr>
                  </w:pPr>
                  <w:r w:rsidRPr="00311E26">
                    <w:rPr>
                      <w:b/>
                      <w:noProof/>
                      <w:sz w:val="22"/>
                      <w:szCs w:val="22"/>
                    </w:rPr>
                    <w:t>ASAS40</w:t>
                  </w:r>
                  <w:r w:rsidRPr="00311E26">
                    <w:rPr>
                      <w:b/>
                      <w:noProof/>
                      <w:sz w:val="22"/>
                      <w:szCs w:val="22"/>
                      <w:vertAlign w:val="superscript"/>
                    </w:rPr>
                    <w:t>(c,d)</w:t>
                  </w:r>
                </w:p>
                <w:p w:rsidR="00FA4C34" w:rsidRPr="00311E26" w:rsidRDefault="00FA4C34" w:rsidP="00A420A9">
                  <w:pPr>
                    <w:keepNext/>
                    <w:ind w:hanging="90"/>
                    <w:rPr>
                      <w:bCs/>
                      <w:noProof/>
                      <w:sz w:val="22"/>
                      <w:szCs w:val="22"/>
                    </w:rPr>
                  </w:pPr>
                  <w:r w:rsidRPr="00311E26">
                    <w:rPr>
                      <w:bCs/>
                      <w:noProof/>
                      <w:sz w:val="22"/>
                      <w:szCs w:val="22"/>
                    </w:rPr>
                    <w:t>Week 12</w:t>
                  </w:r>
                </w:p>
                <w:p w:rsidR="00FA4C34" w:rsidRPr="00311E26" w:rsidRDefault="00FA4C34" w:rsidP="00A420A9">
                  <w:pPr>
                    <w:keepNext/>
                    <w:ind w:hanging="90"/>
                    <w:rPr>
                      <w:b/>
                      <w:noProof/>
                      <w:sz w:val="22"/>
                      <w:szCs w:val="22"/>
                    </w:rPr>
                  </w:pPr>
                  <w:r w:rsidRPr="00311E26">
                    <w:rPr>
                      <w:bCs/>
                      <w:noProof/>
                      <w:sz w:val="22"/>
                      <w:szCs w:val="22"/>
                    </w:rPr>
                    <w:t>Week 24</w:t>
                  </w:r>
                </w:p>
              </w:tc>
              <w:tc>
                <w:tcPr>
                  <w:tcW w:w="1523" w:type="dxa"/>
                  <w:shd w:val="clear" w:color="auto" w:fill="auto"/>
                </w:tcPr>
                <w:p w:rsidR="00FA4C34" w:rsidRPr="00311E26" w:rsidRDefault="00FA4C34" w:rsidP="00A420A9">
                  <w:pPr>
                    <w:keepNext/>
                    <w:ind w:hanging="90"/>
                    <w:jc w:val="center"/>
                    <w:rPr>
                      <w:noProof/>
                      <w:sz w:val="22"/>
                      <w:szCs w:val="22"/>
                    </w:rPr>
                  </w:pPr>
                </w:p>
                <w:p w:rsidR="00FA4C34" w:rsidRPr="00311E26" w:rsidRDefault="00FA4C34" w:rsidP="00A420A9">
                  <w:pPr>
                    <w:keepNext/>
                    <w:ind w:hanging="90"/>
                    <w:jc w:val="center"/>
                    <w:rPr>
                      <w:noProof/>
                      <w:sz w:val="22"/>
                      <w:szCs w:val="22"/>
                    </w:rPr>
                  </w:pPr>
                  <w:r w:rsidRPr="00311E26">
                    <w:rPr>
                      <w:noProof/>
                      <w:sz w:val="22"/>
                      <w:szCs w:val="22"/>
                    </w:rPr>
                    <w:t>19%</w:t>
                  </w:r>
                </w:p>
                <w:p w:rsidR="00FA4C34" w:rsidRPr="00311E26" w:rsidRDefault="00FA4C34" w:rsidP="00A420A9">
                  <w:pPr>
                    <w:keepNext/>
                    <w:ind w:hanging="90"/>
                    <w:jc w:val="center"/>
                    <w:rPr>
                      <w:noProof/>
                      <w:sz w:val="22"/>
                      <w:szCs w:val="22"/>
                    </w:rPr>
                  </w:pPr>
                  <w:r w:rsidRPr="00311E26">
                    <w:rPr>
                      <w:noProof/>
                      <w:sz w:val="22"/>
                      <w:szCs w:val="22"/>
                    </w:rPr>
                    <w:t>16%</w:t>
                  </w:r>
                </w:p>
              </w:tc>
              <w:tc>
                <w:tcPr>
                  <w:tcW w:w="1840" w:type="dxa"/>
                  <w:shd w:val="clear" w:color="auto" w:fill="auto"/>
                </w:tcPr>
                <w:p w:rsidR="00FA4C34" w:rsidRPr="00311E26" w:rsidRDefault="00FA4C34" w:rsidP="00A420A9">
                  <w:pPr>
                    <w:keepNext/>
                    <w:ind w:hanging="90"/>
                    <w:jc w:val="center"/>
                    <w:rPr>
                      <w:noProof/>
                      <w:sz w:val="22"/>
                      <w:szCs w:val="22"/>
                    </w:rPr>
                  </w:pPr>
                </w:p>
                <w:p w:rsidR="00FA4C34" w:rsidRPr="00311E26" w:rsidRDefault="00FA4C34" w:rsidP="00A420A9">
                  <w:pPr>
                    <w:keepNext/>
                    <w:ind w:hanging="90"/>
                    <w:jc w:val="center"/>
                    <w:rPr>
                      <w:noProof/>
                      <w:sz w:val="22"/>
                      <w:szCs w:val="22"/>
                    </w:rPr>
                  </w:pPr>
                  <w:r>
                    <w:rPr>
                      <w:noProof/>
                      <w:sz w:val="22"/>
                      <w:szCs w:val="22"/>
                    </w:rPr>
                    <w:t>40%</w:t>
                  </w:r>
                  <w:r w:rsidR="00646C2D">
                    <w:rPr>
                      <w:noProof/>
                      <w:sz w:val="22"/>
                      <w:szCs w:val="22"/>
                    </w:rPr>
                    <w:t>*</w:t>
                  </w:r>
                </w:p>
                <w:p w:rsidR="00FA4C34" w:rsidRPr="00311E26" w:rsidRDefault="00FA4C34" w:rsidP="00FA4C34">
                  <w:pPr>
                    <w:keepNext/>
                    <w:ind w:hanging="90"/>
                    <w:jc w:val="center"/>
                    <w:rPr>
                      <w:noProof/>
                      <w:sz w:val="22"/>
                      <w:szCs w:val="22"/>
                    </w:rPr>
                  </w:pPr>
                  <w:r>
                    <w:rPr>
                      <w:noProof/>
                      <w:sz w:val="22"/>
                      <w:szCs w:val="22"/>
                    </w:rPr>
                    <w:t>48%</w:t>
                  </w:r>
                  <w:r w:rsidR="00646C2D">
                    <w:rPr>
                      <w:noProof/>
                      <w:sz w:val="22"/>
                      <w:szCs w:val="22"/>
                    </w:rPr>
                    <w:t>**</w:t>
                  </w:r>
                </w:p>
              </w:tc>
              <w:tc>
                <w:tcPr>
                  <w:tcW w:w="1758" w:type="dxa"/>
                  <w:shd w:val="clear" w:color="auto" w:fill="auto"/>
                </w:tcPr>
                <w:p w:rsidR="00FA4C34" w:rsidRDefault="00FA4C34" w:rsidP="00A420A9">
                  <w:pPr>
                    <w:keepNext/>
                    <w:ind w:hanging="90"/>
                    <w:jc w:val="center"/>
                    <w:rPr>
                      <w:noProof/>
                      <w:sz w:val="22"/>
                      <w:szCs w:val="22"/>
                    </w:rPr>
                  </w:pPr>
                </w:p>
                <w:p w:rsidR="00FA4C34" w:rsidRDefault="00FA4C34" w:rsidP="00A420A9">
                  <w:pPr>
                    <w:keepNext/>
                    <w:ind w:hanging="90"/>
                    <w:jc w:val="center"/>
                    <w:rPr>
                      <w:noProof/>
                      <w:sz w:val="22"/>
                      <w:szCs w:val="22"/>
                    </w:rPr>
                  </w:pPr>
                  <w:r>
                    <w:rPr>
                      <w:noProof/>
                      <w:sz w:val="22"/>
                      <w:szCs w:val="22"/>
                    </w:rPr>
                    <w:t>50%</w:t>
                  </w:r>
                  <w:r w:rsidR="00646C2D">
                    <w:rPr>
                      <w:noProof/>
                      <w:sz w:val="22"/>
                      <w:szCs w:val="22"/>
                    </w:rPr>
                    <w:t>**</w:t>
                  </w:r>
                </w:p>
                <w:p w:rsidR="00FA4C34" w:rsidRPr="00311E26" w:rsidRDefault="00FA4C34" w:rsidP="00A420A9">
                  <w:pPr>
                    <w:keepNext/>
                    <w:ind w:hanging="90"/>
                    <w:jc w:val="center"/>
                    <w:rPr>
                      <w:noProof/>
                      <w:sz w:val="22"/>
                      <w:szCs w:val="22"/>
                    </w:rPr>
                  </w:pPr>
                  <w:r>
                    <w:rPr>
                      <w:noProof/>
                      <w:sz w:val="22"/>
                      <w:szCs w:val="22"/>
                    </w:rPr>
                    <w:t>59%</w:t>
                  </w:r>
                  <w:r w:rsidR="00646C2D">
                    <w:rPr>
                      <w:noProof/>
                      <w:sz w:val="22"/>
                      <w:szCs w:val="22"/>
                    </w:rPr>
                    <w:t>**</w:t>
                  </w:r>
                </w:p>
              </w:tc>
              <w:tc>
                <w:tcPr>
                  <w:tcW w:w="1497" w:type="dxa"/>
                  <w:shd w:val="clear" w:color="auto" w:fill="auto"/>
                </w:tcPr>
                <w:p w:rsidR="00FA4C34" w:rsidRPr="00311E26" w:rsidRDefault="00FA4C34" w:rsidP="0025635B">
                  <w:pPr>
                    <w:keepNext/>
                    <w:ind w:hanging="90"/>
                    <w:jc w:val="center"/>
                    <w:rPr>
                      <w:noProof/>
                      <w:sz w:val="22"/>
                      <w:szCs w:val="22"/>
                    </w:rPr>
                  </w:pPr>
                </w:p>
                <w:p w:rsidR="00FA4C34" w:rsidRPr="00311E26" w:rsidRDefault="00FA4C34" w:rsidP="0025635B">
                  <w:pPr>
                    <w:keepNext/>
                    <w:ind w:hanging="90"/>
                    <w:jc w:val="center"/>
                    <w:rPr>
                      <w:noProof/>
                      <w:sz w:val="22"/>
                      <w:szCs w:val="22"/>
                    </w:rPr>
                  </w:pPr>
                  <w:r w:rsidRPr="00311E26">
                    <w:rPr>
                      <w:noProof/>
                      <w:sz w:val="22"/>
                      <w:szCs w:val="22"/>
                    </w:rPr>
                    <w:t>45%**</w:t>
                  </w:r>
                </w:p>
                <w:p w:rsidR="00FA4C34" w:rsidRPr="00311E26" w:rsidRDefault="00FA4C34" w:rsidP="00A420A9">
                  <w:pPr>
                    <w:keepNext/>
                    <w:ind w:hanging="90"/>
                    <w:jc w:val="center"/>
                    <w:rPr>
                      <w:noProof/>
                      <w:sz w:val="22"/>
                      <w:szCs w:val="22"/>
                    </w:rPr>
                  </w:pPr>
                  <w:r w:rsidRPr="00311E26">
                    <w:rPr>
                      <w:noProof/>
                      <w:sz w:val="22"/>
                      <w:szCs w:val="22"/>
                    </w:rPr>
                    <w:t>53%**</w:t>
                  </w:r>
                </w:p>
              </w:tc>
            </w:tr>
            <w:tr w:rsidR="00FA4C34" w:rsidRPr="00DF2267" w:rsidTr="00D974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2264" w:type="dxa"/>
                  <w:shd w:val="clear" w:color="auto" w:fill="auto"/>
                </w:tcPr>
                <w:p w:rsidR="00FA4C34" w:rsidRPr="00311E26" w:rsidRDefault="00FA4C34" w:rsidP="00A420A9">
                  <w:pPr>
                    <w:keepNext/>
                    <w:ind w:hanging="90"/>
                    <w:rPr>
                      <w:b/>
                      <w:bCs/>
                      <w:noProof/>
                      <w:sz w:val="22"/>
                      <w:szCs w:val="22"/>
                      <w:vertAlign w:val="superscript"/>
                    </w:rPr>
                  </w:pPr>
                  <w:r w:rsidRPr="00311E26">
                    <w:rPr>
                      <w:b/>
                      <w:bCs/>
                      <w:noProof/>
                      <w:sz w:val="22"/>
                      <w:szCs w:val="22"/>
                    </w:rPr>
                    <w:t>ASAS 5/6</w:t>
                  </w:r>
                  <w:r w:rsidRPr="00311E26">
                    <w:rPr>
                      <w:b/>
                      <w:bCs/>
                      <w:noProof/>
                      <w:sz w:val="22"/>
                      <w:szCs w:val="22"/>
                      <w:vertAlign w:val="superscript"/>
                    </w:rPr>
                    <w:t>(c,d)</w:t>
                  </w:r>
                </w:p>
                <w:p w:rsidR="00FA4C34" w:rsidRPr="00311E26" w:rsidRDefault="00FA4C34" w:rsidP="00A420A9">
                  <w:pPr>
                    <w:keepNext/>
                    <w:ind w:hanging="90"/>
                    <w:rPr>
                      <w:bCs/>
                      <w:noProof/>
                      <w:sz w:val="22"/>
                      <w:szCs w:val="22"/>
                    </w:rPr>
                  </w:pPr>
                  <w:r w:rsidRPr="00311E26">
                    <w:rPr>
                      <w:bCs/>
                      <w:noProof/>
                      <w:sz w:val="22"/>
                      <w:szCs w:val="22"/>
                    </w:rPr>
                    <w:t>Week 12</w:t>
                  </w:r>
                </w:p>
                <w:p w:rsidR="00FA4C34" w:rsidRPr="00311E26" w:rsidRDefault="00FA4C34" w:rsidP="00A420A9">
                  <w:pPr>
                    <w:keepNext/>
                    <w:ind w:hanging="90"/>
                    <w:rPr>
                      <w:b/>
                      <w:bCs/>
                      <w:noProof/>
                      <w:sz w:val="22"/>
                      <w:szCs w:val="22"/>
                    </w:rPr>
                  </w:pPr>
                  <w:r w:rsidRPr="00311E26">
                    <w:rPr>
                      <w:bCs/>
                      <w:noProof/>
                      <w:sz w:val="22"/>
                      <w:szCs w:val="22"/>
                    </w:rPr>
                    <w:t>Week 24</w:t>
                  </w:r>
                </w:p>
              </w:tc>
              <w:tc>
                <w:tcPr>
                  <w:tcW w:w="1523" w:type="dxa"/>
                  <w:shd w:val="clear" w:color="auto" w:fill="auto"/>
                </w:tcPr>
                <w:p w:rsidR="00FA4C34" w:rsidRPr="00311E26" w:rsidRDefault="00FA4C34" w:rsidP="00A420A9">
                  <w:pPr>
                    <w:keepNext/>
                    <w:ind w:hanging="90"/>
                    <w:jc w:val="center"/>
                    <w:rPr>
                      <w:noProof/>
                      <w:sz w:val="22"/>
                      <w:szCs w:val="22"/>
                    </w:rPr>
                  </w:pPr>
                </w:p>
                <w:p w:rsidR="00FA4C34" w:rsidRPr="00311E26" w:rsidRDefault="00FA4C34" w:rsidP="00A420A9">
                  <w:pPr>
                    <w:keepNext/>
                    <w:ind w:hanging="90"/>
                    <w:jc w:val="center"/>
                    <w:rPr>
                      <w:noProof/>
                      <w:sz w:val="22"/>
                      <w:szCs w:val="22"/>
                    </w:rPr>
                  </w:pPr>
                  <w:r w:rsidRPr="00311E26">
                    <w:rPr>
                      <w:noProof/>
                      <w:sz w:val="22"/>
                      <w:szCs w:val="22"/>
                    </w:rPr>
                    <w:t>9%</w:t>
                  </w:r>
                </w:p>
                <w:p w:rsidR="00FA4C34" w:rsidRPr="00311E26" w:rsidRDefault="00FA4C34" w:rsidP="00A420A9">
                  <w:pPr>
                    <w:keepNext/>
                    <w:ind w:hanging="90"/>
                    <w:jc w:val="center"/>
                    <w:rPr>
                      <w:noProof/>
                      <w:sz w:val="22"/>
                      <w:szCs w:val="22"/>
                    </w:rPr>
                  </w:pPr>
                  <w:r w:rsidRPr="00311E26">
                    <w:rPr>
                      <w:noProof/>
                      <w:sz w:val="22"/>
                      <w:szCs w:val="22"/>
                    </w:rPr>
                    <w:t>5%</w:t>
                  </w:r>
                </w:p>
              </w:tc>
              <w:tc>
                <w:tcPr>
                  <w:tcW w:w="1840" w:type="dxa"/>
                  <w:shd w:val="clear" w:color="auto" w:fill="auto"/>
                </w:tcPr>
                <w:p w:rsidR="00FA4C34" w:rsidRDefault="00FA4C34" w:rsidP="00A420A9">
                  <w:pPr>
                    <w:keepNext/>
                    <w:ind w:hanging="90"/>
                    <w:jc w:val="center"/>
                    <w:rPr>
                      <w:noProof/>
                      <w:sz w:val="22"/>
                      <w:szCs w:val="22"/>
                    </w:rPr>
                  </w:pPr>
                </w:p>
                <w:p w:rsidR="00646C2D" w:rsidRDefault="00646C2D" w:rsidP="00A420A9">
                  <w:pPr>
                    <w:keepNext/>
                    <w:ind w:hanging="90"/>
                    <w:jc w:val="center"/>
                    <w:rPr>
                      <w:noProof/>
                      <w:sz w:val="22"/>
                      <w:szCs w:val="22"/>
                    </w:rPr>
                  </w:pPr>
                  <w:r>
                    <w:rPr>
                      <w:noProof/>
                      <w:sz w:val="22"/>
                      <w:szCs w:val="22"/>
                    </w:rPr>
                    <w:t>48%**</w:t>
                  </w:r>
                </w:p>
                <w:p w:rsidR="00646C2D" w:rsidRPr="00311E26" w:rsidRDefault="00165AC3" w:rsidP="00A420A9">
                  <w:pPr>
                    <w:keepNext/>
                    <w:ind w:hanging="90"/>
                    <w:jc w:val="center"/>
                    <w:rPr>
                      <w:noProof/>
                      <w:sz w:val="22"/>
                      <w:szCs w:val="22"/>
                    </w:rPr>
                  </w:pPr>
                  <w:r>
                    <w:rPr>
                      <w:noProof/>
                      <w:sz w:val="22"/>
                      <w:szCs w:val="22"/>
                    </w:rPr>
                    <w:t>34</w:t>
                  </w:r>
                  <w:r w:rsidR="00646C2D">
                    <w:rPr>
                      <w:noProof/>
                      <w:sz w:val="22"/>
                      <w:szCs w:val="22"/>
                    </w:rPr>
                    <w:t>%**</w:t>
                  </w:r>
                </w:p>
              </w:tc>
              <w:tc>
                <w:tcPr>
                  <w:tcW w:w="1758" w:type="dxa"/>
                  <w:shd w:val="clear" w:color="auto" w:fill="auto"/>
                </w:tcPr>
                <w:p w:rsidR="00FA4C34" w:rsidRDefault="00FA4C34" w:rsidP="00A420A9">
                  <w:pPr>
                    <w:keepNext/>
                    <w:ind w:hanging="90"/>
                    <w:jc w:val="center"/>
                    <w:rPr>
                      <w:noProof/>
                      <w:sz w:val="22"/>
                      <w:szCs w:val="22"/>
                    </w:rPr>
                  </w:pPr>
                </w:p>
                <w:p w:rsidR="00646C2D" w:rsidRDefault="00165AC3" w:rsidP="00A420A9">
                  <w:pPr>
                    <w:keepNext/>
                    <w:ind w:hanging="90"/>
                    <w:jc w:val="center"/>
                    <w:rPr>
                      <w:noProof/>
                      <w:sz w:val="22"/>
                      <w:szCs w:val="22"/>
                    </w:rPr>
                  </w:pPr>
                  <w:r>
                    <w:rPr>
                      <w:noProof/>
                      <w:sz w:val="22"/>
                      <w:szCs w:val="22"/>
                    </w:rPr>
                    <w:t>36</w:t>
                  </w:r>
                  <w:r w:rsidR="00646C2D">
                    <w:rPr>
                      <w:noProof/>
                      <w:sz w:val="22"/>
                      <w:szCs w:val="22"/>
                    </w:rPr>
                    <w:t>%**</w:t>
                  </w:r>
                </w:p>
                <w:p w:rsidR="00646C2D" w:rsidRPr="00311E26" w:rsidRDefault="00646C2D" w:rsidP="00A420A9">
                  <w:pPr>
                    <w:keepNext/>
                    <w:ind w:hanging="90"/>
                    <w:jc w:val="center"/>
                    <w:rPr>
                      <w:noProof/>
                      <w:sz w:val="22"/>
                      <w:szCs w:val="22"/>
                    </w:rPr>
                  </w:pPr>
                  <w:r>
                    <w:rPr>
                      <w:noProof/>
                      <w:sz w:val="22"/>
                      <w:szCs w:val="22"/>
                    </w:rPr>
                    <w:t>46%**</w:t>
                  </w:r>
                </w:p>
              </w:tc>
              <w:tc>
                <w:tcPr>
                  <w:tcW w:w="1497" w:type="dxa"/>
                  <w:shd w:val="clear" w:color="auto" w:fill="auto"/>
                </w:tcPr>
                <w:p w:rsidR="00FA4C34" w:rsidRPr="00311E26" w:rsidRDefault="00FA4C34" w:rsidP="0025635B">
                  <w:pPr>
                    <w:keepNext/>
                    <w:ind w:hanging="90"/>
                    <w:jc w:val="center"/>
                    <w:rPr>
                      <w:noProof/>
                      <w:sz w:val="22"/>
                      <w:szCs w:val="22"/>
                    </w:rPr>
                  </w:pPr>
                </w:p>
                <w:p w:rsidR="00FA4C34" w:rsidRPr="00311E26" w:rsidRDefault="00FA4C34" w:rsidP="0025635B">
                  <w:pPr>
                    <w:keepNext/>
                    <w:ind w:hanging="90"/>
                    <w:jc w:val="center"/>
                    <w:rPr>
                      <w:noProof/>
                      <w:sz w:val="22"/>
                      <w:szCs w:val="22"/>
                    </w:rPr>
                  </w:pPr>
                  <w:r w:rsidRPr="00311E26">
                    <w:rPr>
                      <w:noProof/>
                      <w:sz w:val="22"/>
                      <w:szCs w:val="22"/>
                    </w:rPr>
                    <w:t>42%**</w:t>
                  </w:r>
                </w:p>
                <w:p w:rsidR="00FA4C34" w:rsidRPr="00311E26" w:rsidRDefault="00FA4C34" w:rsidP="00A420A9">
                  <w:pPr>
                    <w:keepNext/>
                    <w:ind w:hanging="90"/>
                    <w:jc w:val="center"/>
                    <w:rPr>
                      <w:noProof/>
                      <w:sz w:val="22"/>
                      <w:szCs w:val="22"/>
                    </w:rPr>
                  </w:pPr>
                  <w:r w:rsidRPr="00311E26">
                    <w:rPr>
                      <w:noProof/>
                      <w:sz w:val="22"/>
                      <w:szCs w:val="22"/>
                    </w:rPr>
                    <w:t>40%**</w:t>
                  </w:r>
                </w:p>
              </w:tc>
            </w:tr>
            <w:tr w:rsidR="00FA4C34" w:rsidRPr="00DF2267" w:rsidTr="00D974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
              </w:trPr>
              <w:tc>
                <w:tcPr>
                  <w:tcW w:w="2264" w:type="dxa"/>
                  <w:shd w:val="clear" w:color="auto" w:fill="auto"/>
                </w:tcPr>
                <w:p w:rsidR="00FA4C34" w:rsidRPr="00311E26" w:rsidRDefault="00FA4C34" w:rsidP="00A420A9">
                  <w:pPr>
                    <w:keepNext/>
                    <w:ind w:hanging="90"/>
                    <w:rPr>
                      <w:b/>
                      <w:bCs/>
                      <w:noProof/>
                      <w:sz w:val="22"/>
                      <w:szCs w:val="22"/>
                      <w:vertAlign w:val="superscript"/>
                    </w:rPr>
                  </w:pPr>
                  <w:r w:rsidRPr="00311E26">
                    <w:rPr>
                      <w:b/>
                      <w:bCs/>
                      <w:noProof/>
                      <w:sz w:val="22"/>
                      <w:szCs w:val="22"/>
                    </w:rPr>
                    <w:t>Partial remission</w:t>
                  </w:r>
                  <w:r w:rsidRPr="00311E26">
                    <w:rPr>
                      <w:b/>
                      <w:bCs/>
                      <w:noProof/>
                      <w:sz w:val="22"/>
                      <w:szCs w:val="22"/>
                      <w:vertAlign w:val="superscript"/>
                    </w:rPr>
                    <w:t>(c,d)</w:t>
                  </w:r>
                </w:p>
                <w:p w:rsidR="00FA4C34" w:rsidRPr="00311E26" w:rsidRDefault="00FA4C34" w:rsidP="00A420A9">
                  <w:pPr>
                    <w:keepNext/>
                    <w:ind w:hanging="90"/>
                    <w:rPr>
                      <w:bCs/>
                      <w:noProof/>
                      <w:sz w:val="22"/>
                      <w:szCs w:val="22"/>
                    </w:rPr>
                  </w:pPr>
                  <w:r w:rsidRPr="00311E26">
                    <w:rPr>
                      <w:bCs/>
                      <w:noProof/>
                      <w:sz w:val="22"/>
                      <w:szCs w:val="22"/>
                    </w:rPr>
                    <w:t>Week 12</w:t>
                  </w:r>
                </w:p>
                <w:p w:rsidR="00FA4C34" w:rsidRPr="00311E26" w:rsidRDefault="00FA4C34" w:rsidP="00A420A9">
                  <w:pPr>
                    <w:keepNext/>
                    <w:ind w:hanging="90"/>
                    <w:rPr>
                      <w:b/>
                      <w:bCs/>
                      <w:noProof/>
                      <w:sz w:val="22"/>
                      <w:szCs w:val="22"/>
                    </w:rPr>
                  </w:pPr>
                  <w:r w:rsidRPr="00311E26">
                    <w:rPr>
                      <w:bCs/>
                      <w:noProof/>
                      <w:sz w:val="22"/>
                      <w:szCs w:val="22"/>
                    </w:rPr>
                    <w:t>Week 24</w:t>
                  </w:r>
                </w:p>
              </w:tc>
              <w:tc>
                <w:tcPr>
                  <w:tcW w:w="1523" w:type="dxa"/>
                  <w:shd w:val="clear" w:color="auto" w:fill="auto"/>
                </w:tcPr>
                <w:p w:rsidR="00FA4C34" w:rsidRPr="00311E26" w:rsidRDefault="00FA4C34" w:rsidP="00A420A9">
                  <w:pPr>
                    <w:keepNext/>
                    <w:ind w:hanging="90"/>
                    <w:jc w:val="center"/>
                    <w:rPr>
                      <w:noProof/>
                      <w:sz w:val="22"/>
                      <w:szCs w:val="22"/>
                    </w:rPr>
                  </w:pPr>
                </w:p>
                <w:p w:rsidR="00FA4C34" w:rsidRPr="00311E26" w:rsidRDefault="00FA4C34" w:rsidP="00A420A9">
                  <w:pPr>
                    <w:keepNext/>
                    <w:ind w:hanging="90"/>
                    <w:jc w:val="center"/>
                    <w:rPr>
                      <w:noProof/>
                      <w:sz w:val="22"/>
                      <w:szCs w:val="22"/>
                    </w:rPr>
                  </w:pPr>
                  <w:r w:rsidRPr="00311E26">
                    <w:rPr>
                      <w:noProof/>
                      <w:sz w:val="22"/>
                      <w:szCs w:val="22"/>
                    </w:rPr>
                    <w:t>2%</w:t>
                  </w:r>
                </w:p>
                <w:p w:rsidR="00FA4C34" w:rsidRPr="00311E26" w:rsidRDefault="00FA4C34" w:rsidP="00A420A9">
                  <w:pPr>
                    <w:keepNext/>
                    <w:ind w:hanging="90"/>
                    <w:jc w:val="center"/>
                    <w:rPr>
                      <w:noProof/>
                      <w:sz w:val="22"/>
                      <w:szCs w:val="22"/>
                    </w:rPr>
                  </w:pPr>
                  <w:r w:rsidRPr="00311E26">
                    <w:rPr>
                      <w:noProof/>
                      <w:sz w:val="22"/>
                      <w:szCs w:val="22"/>
                    </w:rPr>
                    <w:t>7%</w:t>
                  </w:r>
                </w:p>
              </w:tc>
              <w:tc>
                <w:tcPr>
                  <w:tcW w:w="1840" w:type="dxa"/>
                  <w:shd w:val="clear" w:color="auto" w:fill="auto"/>
                </w:tcPr>
                <w:p w:rsidR="00FA4C34" w:rsidRDefault="00FA4C34" w:rsidP="00A420A9">
                  <w:pPr>
                    <w:keepNext/>
                    <w:ind w:hanging="90"/>
                    <w:jc w:val="center"/>
                    <w:rPr>
                      <w:noProof/>
                      <w:sz w:val="22"/>
                      <w:szCs w:val="22"/>
                    </w:rPr>
                  </w:pPr>
                </w:p>
                <w:p w:rsidR="00646C2D" w:rsidRDefault="00646C2D" w:rsidP="00A420A9">
                  <w:pPr>
                    <w:keepNext/>
                    <w:ind w:hanging="90"/>
                    <w:jc w:val="center"/>
                    <w:rPr>
                      <w:noProof/>
                      <w:sz w:val="22"/>
                      <w:szCs w:val="22"/>
                    </w:rPr>
                  </w:pPr>
                  <w:r>
                    <w:rPr>
                      <w:noProof/>
                      <w:sz w:val="22"/>
                      <w:szCs w:val="22"/>
                    </w:rPr>
                    <w:t>20%*</w:t>
                  </w:r>
                  <w:r w:rsidR="001C5FE1">
                    <w:rPr>
                      <w:noProof/>
                      <w:sz w:val="22"/>
                      <w:szCs w:val="22"/>
                    </w:rPr>
                    <w:t>*</w:t>
                  </w:r>
                </w:p>
                <w:p w:rsidR="00646C2D" w:rsidRPr="00311E26" w:rsidRDefault="00165AC3" w:rsidP="00A420A9">
                  <w:pPr>
                    <w:keepNext/>
                    <w:ind w:hanging="90"/>
                    <w:jc w:val="center"/>
                    <w:rPr>
                      <w:noProof/>
                      <w:sz w:val="22"/>
                      <w:szCs w:val="22"/>
                    </w:rPr>
                  </w:pPr>
                  <w:r>
                    <w:rPr>
                      <w:noProof/>
                      <w:sz w:val="22"/>
                      <w:szCs w:val="22"/>
                    </w:rPr>
                    <w:t>31</w:t>
                  </w:r>
                  <w:r w:rsidR="00646C2D">
                    <w:rPr>
                      <w:noProof/>
                      <w:sz w:val="22"/>
                      <w:szCs w:val="22"/>
                    </w:rPr>
                    <w:t>%**</w:t>
                  </w:r>
                </w:p>
              </w:tc>
              <w:tc>
                <w:tcPr>
                  <w:tcW w:w="1758" w:type="dxa"/>
                  <w:shd w:val="clear" w:color="auto" w:fill="auto"/>
                </w:tcPr>
                <w:p w:rsidR="00FA4C34" w:rsidRDefault="00FA4C34" w:rsidP="00A420A9">
                  <w:pPr>
                    <w:keepNext/>
                    <w:ind w:hanging="90"/>
                    <w:jc w:val="center"/>
                    <w:rPr>
                      <w:noProof/>
                      <w:sz w:val="22"/>
                      <w:szCs w:val="22"/>
                    </w:rPr>
                  </w:pPr>
                </w:p>
                <w:p w:rsidR="00646C2D" w:rsidRDefault="00165AC3" w:rsidP="00A420A9">
                  <w:pPr>
                    <w:keepNext/>
                    <w:ind w:hanging="90"/>
                    <w:jc w:val="center"/>
                    <w:rPr>
                      <w:noProof/>
                      <w:sz w:val="22"/>
                      <w:szCs w:val="22"/>
                    </w:rPr>
                  </w:pPr>
                  <w:r>
                    <w:rPr>
                      <w:noProof/>
                      <w:sz w:val="22"/>
                      <w:szCs w:val="22"/>
                    </w:rPr>
                    <w:t>20</w:t>
                  </w:r>
                  <w:r w:rsidR="00646C2D">
                    <w:rPr>
                      <w:noProof/>
                      <w:sz w:val="22"/>
                      <w:szCs w:val="22"/>
                    </w:rPr>
                    <w:t>%*</w:t>
                  </w:r>
                </w:p>
                <w:p w:rsidR="00646C2D" w:rsidRPr="00311E26" w:rsidRDefault="00646C2D" w:rsidP="00A420A9">
                  <w:pPr>
                    <w:keepNext/>
                    <w:ind w:hanging="90"/>
                    <w:jc w:val="center"/>
                    <w:rPr>
                      <w:noProof/>
                      <w:sz w:val="22"/>
                      <w:szCs w:val="22"/>
                    </w:rPr>
                  </w:pPr>
                  <w:r>
                    <w:rPr>
                      <w:noProof/>
                      <w:sz w:val="22"/>
                      <w:szCs w:val="22"/>
                    </w:rPr>
                    <w:t>25%*</w:t>
                  </w:r>
                </w:p>
              </w:tc>
              <w:tc>
                <w:tcPr>
                  <w:tcW w:w="1497" w:type="dxa"/>
                  <w:shd w:val="clear" w:color="auto" w:fill="auto"/>
                </w:tcPr>
                <w:p w:rsidR="00FA4C34" w:rsidRPr="00311E26" w:rsidRDefault="00FA4C34" w:rsidP="0025635B">
                  <w:pPr>
                    <w:keepNext/>
                    <w:ind w:hanging="90"/>
                    <w:jc w:val="center"/>
                    <w:rPr>
                      <w:noProof/>
                      <w:sz w:val="22"/>
                      <w:szCs w:val="22"/>
                    </w:rPr>
                  </w:pPr>
                </w:p>
                <w:p w:rsidR="00FA4C34" w:rsidRPr="00311E26" w:rsidRDefault="00FA4C34" w:rsidP="0025635B">
                  <w:pPr>
                    <w:keepNext/>
                    <w:ind w:hanging="90"/>
                    <w:jc w:val="center"/>
                    <w:rPr>
                      <w:noProof/>
                      <w:sz w:val="22"/>
                      <w:szCs w:val="22"/>
                    </w:rPr>
                  </w:pPr>
                  <w:r w:rsidRPr="00311E26">
                    <w:rPr>
                      <w:noProof/>
                      <w:sz w:val="22"/>
                      <w:szCs w:val="22"/>
                    </w:rPr>
                    <w:t>20%**</w:t>
                  </w:r>
                </w:p>
                <w:p w:rsidR="00FA4C34" w:rsidRPr="00311E26" w:rsidRDefault="00FA4C34" w:rsidP="00A420A9">
                  <w:pPr>
                    <w:keepNext/>
                    <w:ind w:hanging="90"/>
                    <w:jc w:val="center"/>
                    <w:rPr>
                      <w:noProof/>
                      <w:sz w:val="22"/>
                      <w:szCs w:val="22"/>
                    </w:rPr>
                  </w:pPr>
                  <w:r w:rsidRPr="00311E26">
                    <w:rPr>
                      <w:noProof/>
                      <w:sz w:val="22"/>
                      <w:szCs w:val="22"/>
                    </w:rPr>
                    <w:t>28%**</w:t>
                  </w:r>
                </w:p>
              </w:tc>
            </w:tr>
            <w:tr w:rsidR="00FA4C34" w:rsidRPr="00DF2267" w:rsidTr="00D974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
              </w:trPr>
              <w:tc>
                <w:tcPr>
                  <w:tcW w:w="2264" w:type="dxa"/>
                  <w:shd w:val="clear" w:color="auto" w:fill="auto"/>
                </w:tcPr>
                <w:p w:rsidR="00FA4C34" w:rsidRPr="00B83E04" w:rsidRDefault="00FA4C34" w:rsidP="00A420A9">
                  <w:pPr>
                    <w:keepNext/>
                    <w:ind w:hanging="90"/>
                    <w:rPr>
                      <w:b/>
                      <w:bCs/>
                      <w:noProof/>
                      <w:sz w:val="22"/>
                      <w:szCs w:val="22"/>
                      <w:vertAlign w:val="superscript"/>
                      <w:lang w:val="nl-NL"/>
                    </w:rPr>
                  </w:pPr>
                  <w:r w:rsidRPr="00B83E04">
                    <w:rPr>
                      <w:b/>
                      <w:bCs/>
                      <w:noProof/>
                      <w:sz w:val="22"/>
                      <w:szCs w:val="22"/>
                      <w:lang w:val="nl-NL"/>
                    </w:rPr>
                    <w:t xml:space="preserve">BASDAI 50 </w:t>
                  </w:r>
                  <w:r w:rsidRPr="00B83E04">
                    <w:rPr>
                      <w:b/>
                      <w:bCs/>
                      <w:noProof/>
                      <w:sz w:val="22"/>
                      <w:szCs w:val="22"/>
                      <w:vertAlign w:val="superscript"/>
                      <w:lang w:val="nl-NL"/>
                    </w:rPr>
                    <w:t>(c,d)</w:t>
                  </w:r>
                </w:p>
                <w:p w:rsidR="00FA4C34" w:rsidRPr="00B83E04" w:rsidRDefault="00FA4C34" w:rsidP="00A420A9">
                  <w:pPr>
                    <w:keepNext/>
                    <w:ind w:hanging="90"/>
                    <w:rPr>
                      <w:bCs/>
                      <w:noProof/>
                      <w:sz w:val="22"/>
                      <w:szCs w:val="22"/>
                      <w:lang w:val="nl-NL"/>
                    </w:rPr>
                  </w:pPr>
                  <w:r w:rsidRPr="00B83E04">
                    <w:rPr>
                      <w:bCs/>
                      <w:noProof/>
                      <w:sz w:val="22"/>
                      <w:szCs w:val="22"/>
                      <w:lang w:val="nl-NL"/>
                    </w:rPr>
                    <w:t>Week 12</w:t>
                  </w:r>
                </w:p>
                <w:p w:rsidR="00FA4C34" w:rsidRPr="00B83E04" w:rsidRDefault="00FA4C34" w:rsidP="00A420A9">
                  <w:pPr>
                    <w:keepNext/>
                    <w:ind w:hanging="90"/>
                    <w:rPr>
                      <w:b/>
                      <w:bCs/>
                      <w:noProof/>
                      <w:sz w:val="22"/>
                      <w:szCs w:val="22"/>
                      <w:lang w:val="nl-NL"/>
                    </w:rPr>
                  </w:pPr>
                  <w:r w:rsidRPr="00B83E04">
                    <w:rPr>
                      <w:bCs/>
                      <w:noProof/>
                      <w:sz w:val="22"/>
                      <w:szCs w:val="22"/>
                      <w:lang w:val="nl-NL"/>
                    </w:rPr>
                    <w:t>Week 24</w:t>
                  </w:r>
                </w:p>
              </w:tc>
              <w:tc>
                <w:tcPr>
                  <w:tcW w:w="1523" w:type="dxa"/>
                  <w:shd w:val="clear" w:color="auto" w:fill="auto"/>
                </w:tcPr>
                <w:p w:rsidR="00FA4C34" w:rsidRPr="00B83E04" w:rsidRDefault="00FA4C34" w:rsidP="00A420A9">
                  <w:pPr>
                    <w:keepNext/>
                    <w:ind w:hanging="90"/>
                    <w:jc w:val="center"/>
                    <w:rPr>
                      <w:noProof/>
                      <w:sz w:val="22"/>
                      <w:szCs w:val="22"/>
                      <w:lang w:val="nl-NL"/>
                    </w:rPr>
                  </w:pPr>
                </w:p>
                <w:p w:rsidR="00FA4C34" w:rsidRPr="00311E26" w:rsidRDefault="00FA4C34" w:rsidP="00A420A9">
                  <w:pPr>
                    <w:keepNext/>
                    <w:ind w:hanging="90"/>
                    <w:jc w:val="center"/>
                    <w:rPr>
                      <w:noProof/>
                      <w:sz w:val="22"/>
                      <w:szCs w:val="22"/>
                    </w:rPr>
                  </w:pPr>
                  <w:r w:rsidRPr="00311E26">
                    <w:rPr>
                      <w:noProof/>
                      <w:sz w:val="22"/>
                      <w:szCs w:val="22"/>
                    </w:rPr>
                    <w:t>11%</w:t>
                  </w:r>
                </w:p>
                <w:p w:rsidR="00FA4C34" w:rsidRPr="00311E26" w:rsidRDefault="00FA4C34" w:rsidP="00A420A9">
                  <w:pPr>
                    <w:keepNext/>
                    <w:ind w:hanging="90"/>
                    <w:jc w:val="center"/>
                    <w:rPr>
                      <w:noProof/>
                      <w:sz w:val="22"/>
                      <w:szCs w:val="22"/>
                    </w:rPr>
                  </w:pPr>
                  <w:r w:rsidRPr="00311E26">
                    <w:rPr>
                      <w:noProof/>
                      <w:sz w:val="22"/>
                      <w:szCs w:val="22"/>
                    </w:rPr>
                    <w:t>16%</w:t>
                  </w:r>
                </w:p>
              </w:tc>
              <w:tc>
                <w:tcPr>
                  <w:tcW w:w="1840" w:type="dxa"/>
                  <w:shd w:val="clear" w:color="auto" w:fill="auto"/>
                </w:tcPr>
                <w:p w:rsidR="00FA4C34" w:rsidRDefault="00FA4C34" w:rsidP="00A420A9">
                  <w:pPr>
                    <w:keepNext/>
                    <w:ind w:hanging="90"/>
                    <w:jc w:val="center"/>
                    <w:rPr>
                      <w:noProof/>
                      <w:sz w:val="22"/>
                      <w:szCs w:val="22"/>
                    </w:rPr>
                  </w:pPr>
                </w:p>
                <w:p w:rsidR="00646C2D" w:rsidRDefault="00646C2D" w:rsidP="00A420A9">
                  <w:pPr>
                    <w:keepNext/>
                    <w:ind w:hanging="90"/>
                    <w:jc w:val="center"/>
                    <w:rPr>
                      <w:noProof/>
                      <w:sz w:val="22"/>
                      <w:szCs w:val="22"/>
                    </w:rPr>
                  </w:pPr>
                  <w:r>
                    <w:rPr>
                      <w:noProof/>
                      <w:sz w:val="22"/>
                      <w:szCs w:val="22"/>
                    </w:rPr>
                    <w:t>42%**</w:t>
                  </w:r>
                </w:p>
                <w:p w:rsidR="00646C2D" w:rsidRPr="00311E26" w:rsidRDefault="00165AC3" w:rsidP="00A420A9">
                  <w:pPr>
                    <w:keepNext/>
                    <w:ind w:hanging="90"/>
                    <w:jc w:val="center"/>
                    <w:rPr>
                      <w:noProof/>
                      <w:sz w:val="22"/>
                      <w:szCs w:val="22"/>
                    </w:rPr>
                  </w:pPr>
                  <w:r>
                    <w:rPr>
                      <w:noProof/>
                      <w:sz w:val="22"/>
                      <w:szCs w:val="22"/>
                    </w:rPr>
                    <w:t>43</w:t>
                  </w:r>
                  <w:r w:rsidR="00646C2D">
                    <w:rPr>
                      <w:noProof/>
                      <w:sz w:val="22"/>
                      <w:szCs w:val="22"/>
                    </w:rPr>
                    <w:t>%**</w:t>
                  </w:r>
                </w:p>
              </w:tc>
              <w:tc>
                <w:tcPr>
                  <w:tcW w:w="1758" w:type="dxa"/>
                  <w:shd w:val="clear" w:color="auto" w:fill="auto"/>
                </w:tcPr>
                <w:p w:rsidR="00FA4C34" w:rsidRDefault="00FA4C34" w:rsidP="00A420A9">
                  <w:pPr>
                    <w:keepNext/>
                    <w:ind w:hanging="90"/>
                    <w:jc w:val="center"/>
                    <w:rPr>
                      <w:noProof/>
                      <w:sz w:val="22"/>
                      <w:szCs w:val="22"/>
                    </w:rPr>
                  </w:pPr>
                </w:p>
                <w:p w:rsidR="00646C2D" w:rsidRDefault="00165AC3" w:rsidP="00A420A9">
                  <w:pPr>
                    <w:keepNext/>
                    <w:ind w:hanging="90"/>
                    <w:jc w:val="center"/>
                    <w:rPr>
                      <w:noProof/>
                      <w:sz w:val="22"/>
                      <w:szCs w:val="22"/>
                    </w:rPr>
                  </w:pPr>
                  <w:r>
                    <w:rPr>
                      <w:noProof/>
                      <w:sz w:val="22"/>
                      <w:szCs w:val="22"/>
                    </w:rPr>
                    <w:t>41</w:t>
                  </w:r>
                  <w:r w:rsidR="00646C2D">
                    <w:rPr>
                      <w:noProof/>
                      <w:sz w:val="22"/>
                      <w:szCs w:val="22"/>
                    </w:rPr>
                    <w:t>%**</w:t>
                  </w:r>
                </w:p>
                <w:p w:rsidR="00646C2D" w:rsidRPr="00311E26" w:rsidRDefault="00646C2D" w:rsidP="00A420A9">
                  <w:pPr>
                    <w:keepNext/>
                    <w:ind w:hanging="90"/>
                    <w:jc w:val="center"/>
                    <w:rPr>
                      <w:noProof/>
                      <w:sz w:val="22"/>
                      <w:szCs w:val="22"/>
                    </w:rPr>
                  </w:pPr>
                  <w:r>
                    <w:rPr>
                      <w:noProof/>
                      <w:sz w:val="22"/>
                      <w:szCs w:val="22"/>
                    </w:rPr>
                    <w:t>55%**</w:t>
                  </w:r>
                </w:p>
              </w:tc>
              <w:tc>
                <w:tcPr>
                  <w:tcW w:w="1497" w:type="dxa"/>
                  <w:shd w:val="clear" w:color="auto" w:fill="auto"/>
                </w:tcPr>
                <w:p w:rsidR="00FA4C34" w:rsidRPr="00311E26" w:rsidRDefault="00FA4C34" w:rsidP="0025635B">
                  <w:pPr>
                    <w:keepNext/>
                    <w:ind w:hanging="90"/>
                    <w:jc w:val="center"/>
                    <w:rPr>
                      <w:noProof/>
                      <w:sz w:val="22"/>
                      <w:szCs w:val="22"/>
                    </w:rPr>
                  </w:pPr>
                </w:p>
                <w:p w:rsidR="00FA4C34" w:rsidRPr="00311E26" w:rsidRDefault="00FA4C34" w:rsidP="0025635B">
                  <w:pPr>
                    <w:keepNext/>
                    <w:ind w:hanging="90"/>
                    <w:jc w:val="center"/>
                    <w:rPr>
                      <w:noProof/>
                      <w:sz w:val="22"/>
                      <w:szCs w:val="22"/>
                    </w:rPr>
                  </w:pPr>
                  <w:r w:rsidRPr="00311E26">
                    <w:rPr>
                      <w:noProof/>
                      <w:sz w:val="22"/>
                      <w:szCs w:val="22"/>
                    </w:rPr>
                    <w:t>41%**</w:t>
                  </w:r>
                </w:p>
                <w:p w:rsidR="00FA4C34" w:rsidRPr="00311E26" w:rsidRDefault="00FA4C34" w:rsidP="00A420A9">
                  <w:pPr>
                    <w:keepNext/>
                    <w:ind w:hanging="90"/>
                    <w:jc w:val="center"/>
                    <w:rPr>
                      <w:noProof/>
                      <w:sz w:val="22"/>
                      <w:szCs w:val="22"/>
                    </w:rPr>
                  </w:pPr>
                  <w:r w:rsidRPr="00311E26">
                    <w:rPr>
                      <w:noProof/>
                      <w:sz w:val="22"/>
                      <w:szCs w:val="22"/>
                    </w:rPr>
                    <w:t>49%**</w:t>
                  </w:r>
                </w:p>
              </w:tc>
            </w:tr>
          </w:tbl>
          <w:p w:rsidR="00A420A9" w:rsidRPr="005E7DC3" w:rsidRDefault="00A420A9" w:rsidP="00F93989">
            <w:pPr>
              <w:keepNext/>
              <w:spacing w:before="120"/>
              <w:ind w:hanging="91"/>
              <w:rPr>
                <w:noProof/>
                <w:sz w:val="20"/>
                <w:szCs w:val="20"/>
              </w:rPr>
            </w:pPr>
            <w:r w:rsidRPr="005E7DC3">
              <w:rPr>
                <w:noProof/>
                <w:sz w:val="20"/>
                <w:szCs w:val="20"/>
                <w:vertAlign w:val="superscript"/>
              </w:rPr>
              <w:t xml:space="preserve">(a) </w:t>
            </w:r>
            <w:r w:rsidRPr="005E7DC3">
              <w:rPr>
                <w:noProof/>
                <w:sz w:val="20"/>
                <w:szCs w:val="20"/>
              </w:rPr>
              <w:t>C</w:t>
            </w:r>
            <w:r w:rsidR="00311E26">
              <w:rPr>
                <w:iCs/>
                <w:noProof/>
                <w:sz w:val="20"/>
                <w:szCs w:val="20"/>
              </w:rPr>
              <w:t>IMZIA</w:t>
            </w:r>
            <w:r w:rsidRPr="005E7DC3">
              <w:rPr>
                <w:noProof/>
                <w:sz w:val="20"/>
                <w:szCs w:val="20"/>
              </w:rPr>
              <w:t xml:space="preserve"> all dosing regimen = data from C</w:t>
            </w:r>
            <w:r w:rsidR="00311E26">
              <w:rPr>
                <w:iCs/>
                <w:noProof/>
                <w:sz w:val="20"/>
                <w:szCs w:val="20"/>
              </w:rPr>
              <w:t>IMZIA</w:t>
            </w:r>
            <w:r w:rsidRPr="005E7DC3">
              <w:rPr>
                <w:noProof/>
                <w:sz w:val="20"/>
                <w:szCs w:val="20"/>
              </w:rPr>
              <w:t xml:space="preserve"> 200 mg administered every 2 weeks preceded by a loading dose of 400 mg at Weeks 0, 2 and 4 plus C</w:t>
            </w:r>
            <w:r w:rsidR="00311E26">
              <w:rPr>
                <w:iCs/>
                <w:noProof/>
                <w:sz w:val="20"/>
                <w:szCs w:val="20"/>
              </w:rPr>
              <w:t>IMZIA</w:t>
            </w:r>
            <w:r w:rsidRPr="005E7DC3">
              <w:rPr>
                <w:noProof/>
                <w:sz w:val="20"/>
                <w:szCs w:val="20"/>
              </w:rPr>
              <w:t xml:space="preserve"> 400 mg administered every 4 weeks preceded by a loading dose of 400 mg at Weeks 0, 2 and 4</w:t>
            </w:r>
            <w:r w:rsidR="009C4302">
              <w:rPr>
                <w:noProof/>
                <w:sz w:val="20"/>
                <w:szCs w:val="20"/>
              </w:rPr>
              <w:t>.</w:t>
            </w:r>
          </w:p>
          <w:p w:rsidR="00A420A9" w:rsidRPr="005E7DC3" w:rsidRDefault="00A420A9" w:rsidP="00A420A9">
            <w:pPr>
              <w:keepNext/>
              <w:ind w:hanging="90"/>
              <w:rPr>
                <w:noProof/>
                <w:sz w:val="20"/>
                <w:szCs w:val="20"/>
              </w:rPr>
            </w:pPr>
            <w:r w:rsidRPr="005E7DC3">
              <w:rPr>
                <w:iCs/>
                <w:noProof/>
                <w:sz w:val="20"/>
                <w:szCs w:val="20"/>
                <w:vertAlign w:val="superscript"/>
              </w:rPr>
              <w:t>(b)</w:t>
            </w:r>
            <w:r w:rsidRPr="005E7DC3">
              <w:rPr>
                <w:iCs/>
                <w:noProof/>
                <w:sz w:val="20"/>
                <w:szCs w:val="20"/>
              </w:rPr>
              <w:t xml:space="preserve"> Results are from the randomized set</w:t>
            </w:r>
            <w:r w:rsidR="009B51F2">
              <w:rPr>
                <w:iCs/>
                <w:noProof/>
                <w:sz w:val="20"/>
                <w:szCs w:val="20"/>
              </w:rPr>
              <w:t>.</w:t>
            </w:r>
          </w:p>
          <w:p w:rsidR="00A420A9" w:rsidRPr="005E7DC3" w:rsidRDefault="00A420A9" w:rsidP="00A420A9">
            <w:pPr>
              <w:keepNext/>
              <w:ind w:hanging="90"/>
              <w:rPr>
                <w:iCs/>
                <w:noProof/>
                <w:sz w:val="20"/>
                <w:szCs w:val="20"/>
              </w:rPr>
            </w:pPr>
            <w:r w:rsidRPr="005E7DC3">
              <w:rPr>
                <w:iCs/>
                <w:noProof/>
                <w:sz w:val="20"/>
                <w:szCs w:val="20"/>
                <w:vertAlign w:val="superscript"/>
              </w:rPr>
              <w:t>(c)</w:t>
            </w:r>
            <w:r w:rsidRPr="005E7DC3">
              <w:rPr>
                <w:iCs/>
                <w:noProof/>
                <w:sz w:val="20"/>
                <w:szCs w:val="20"/>
              </w:rPr>
              <w:t xml:space="preserve"> Treatment difference: C</w:t>
            </w:r>
            <w:r w:rsidR="00311E26">
              <w:rPr>
                <w:iCs/>
                <w:noProof/>
                <w:sz w:val="20"/>
                <w:szCs w:val="20"/>
              </w:rPr>
              <w:t>IMZIA</w:t>
            </w:r>
            <w:r w:rsidRPr="005E7DC3">
              <w:rPr>
                <w:iCs/>
                <w:noProof/>
                <w:sz w:val="20"/>
                <w:szCs w:val="20"/>
              </w:rPr>
              <w:t xml:space="preserve"> 200-placebo, C</w:t>
            </w:r>
            <w:r w:rsidR="00311E26">
              <w:rPr>
                <w:iCs/>
                <w:noProof/>
                <w:sz w:val="20"/>
                <w:szCs w:val="20"/>
              </w:rPr>
              <w:t>IMZIA</w:t>
            </w:r>
            <w:r w:rsidR="00220239">
              <w:rPr>
                <w:iCs/>
                <w:noProof/>
                <w:sz w:val="20"/>
                <w:szCs w:val="20"/>
              </w:rPr>
              <w:t xml:space="preserve"> 400-</w:t>
            </w:r>
            <w:r w:rsidRPr="005E7DC3">
              <w:rPr>
                <w:iCs/>
                <w:noProof/>
                <w:sz w:val="20"/>
                <w:szCs w:val="20"/>
              </w:rPr>
              <w:t xml:space="preserve">placebo (and corresponding 95% CI and p-value) are estimated using a standard two-sided Wald asymptotic test. Non-responder imputation (NRI) is used. </w:t>
            </w:r>
          </w:p>
          <w:p w:rsidR="00A420A9" w:rsidRPr="005E7DC3" w:rsidRDefault="00A420A9" w:rsidP="00A420A9">
            <w:pPr>
              <w:keepNext/>
              <w:ind w:hanging="90"/>
              <w:rPr>
                <w:iCs/>
                <w:noProof/>
                <w:sz w:val="20"/>
                <w:szCs w:val="20"/>
              </w:rPr>
            </w:pPr>
            <w:r w:rsidRPr="005E7DC3">
              <w:rPr>
                <w:iCs/>
                <w:noProof/>
                <w:sz w:val="20"/>
                <w:szCs w:val="20"/>
                <w:vertAlign w:val="superscript"/>
              </w:rPr>
              <w:t>(d)</w:t>
            </w:r>
            <w:r w:rsidRPr="005E7DC3">
              <w:rPr>
                <w:iCs/>
                <w:noProof/>
                <w:sz w:val="20"/>
                <w:szCs w:val="20"/>
              </w:rPr>
              <w:t xml:space="preserve"> Full Analysis Set</w:t>
            </w:r>
            <w:r w:rsidR="009B51F2">
              <w:rPr>
                <w:iCs/>
                <w:noProof/>
                <w:sz w:val="20"/>
                <w:szCs w:val="20"/>
              </w:rPr>
              <w:t>.</w:t>
            </w:r>
            <w:r w:rsidRPr="005E7DC3">
              <w:rPr>
                <w:iCs/>
                <w:noProof/>
                <w:sz w:val="20"/>
                <w:szCs w:val="20"/>
              </w:rPr>
              <w:t xml:space="preserve"> </w:t>
            </w:r>
          </w:p>
          <w:p w:rsidR="00A420A9" w:rsidRPr="005E7DC3" w:rsidRDefault="00A420A9" w:rsidP="00A420A9">
            <w:pPr>
              <w:keepNext/>
              <w:ind w:hanging="90"/>
              <w:rPr>
                <w:iCs/>
                <w:noProof/>
                <w:sz w:val="20"/>
                <w:szCs w:val="20"/>
              </w:rPr>
            </w:pPr>
            <w:r w:rsidRPr="005E7DC3">
              <w:rPr>
                <w:iCs/>
                <w:noProof/>
                <w:sz w:val="20"/>
                <w:szCs w:val="20"/>
              </w:rPr>
              <w:t>NA = not available</w:t>
            </w:r>
          </w:p>
          <w:p w:rsidR="00A420A9" w:rsidRPr="005E7DC3" w:rsidRDefault="00A420A9" w:rsidP="00A420A9">
            <w:pPr>
              <w:keepNext/>
              <w:ind w:hanging="90"/>
              <w:rPr>
                <w:iCs/>
                <w:noProof/>
                <w:sz w:val="20"/>
                <w:szCs w:val="20"/>
              </w:rPr>
            </w:pPr>
            <w:r w:rsidRPr="005E7DC3">
              <w:rPr>
                <w:iCs/>
                <w:noProof/>
                <w:sz w:val="20"/>
                <w:szCs w:val="20"/>
              </w:rPr>
              <w:t>*p≤ 0.05, C</w:t>
            </w:r>
            <w:r w:rsidR="00311E26">
              <w:rPr>
                <w:iCs/>
                <w:noProof/>
                <w:sz w:val="20"/>
                <w:szCs w:val="20"/>
              </w:rPr>
              <w:t>IMZIA</w:t>
            </w:r>
            <w:r w:rsidRPr="005E7DC3">
              <w:rPr>
                <w:iCs/>
                <w:noProof/>
                <w:sz w:val="20"/>
                <w:szCs w:val="20"/>
              </w:rPr>
              <w:t xml:space="preserve"> vs placebo</w:t>
            </w:r>
          </w:p>
          <w:p w:rsidR="00A420A9" w:rsidRPr="005E7DC3" w:rsidRDefault="00A420A9" w:rsidP="00A420A9">
            <w:pPr>
              <w:keepNext/>
              <w:ind w:hanging="90"/>
              <w:rPr>
                <w:iCs/>
                <w:noProof/>
                <w:sz w:val="20"/>
                <w:szCs w:val="20"/>
              </w:rPr>
            </w:pPr>
            <w:r w:rsidRPr="005E7DC3">
              <w:rPr>
                <w:iCs/>
                <w:noProof/>
                <w:sz w:val="20"/>
                <w:szCs w:val="20"/>
              </w:rPr>
              <w:t>**p&lt;0.001, C</w:t>
            </w:r>
            <w:r w:rsidR="00311E26">
              <w:rPr>
                <w:iCs/>
                <w:noProof/>
                <w:sz w:val="20"/>
                <w:szCs w:val="20"/>
              </w:rPr>
              <w:t>IMZIA</w:t>
            </w:r>
            <w:r w:rsidRPr="005E7DC3">
              <w:rPr>
                <w:iCs/>
                <w:noProof/>
                <w:sz w:val="20"/>
                <w:szCs w:val="20"/>
              </w:rPr>
              <w:t xml:space="preserve"> vs p</w:t>
            </w:r>
            <w:r w:rsidR="00F93989">
              <w:rPr>
                <w:iCs/>
                <w:noProof/>
                <w:sz w:val="20"/>
                <w:szCs w:val="20"/>
              </w:rPr>
              <w:t>l</w:t>
            </w:r>
            <w:r w:rsidRPr="005E7DC3">
              <w:rPr>
                <w:iCs/>
                <w:noProof/>
                <w:sz w:val="20"/>
                <w:szCs w:val="20"/>
              </w:rPr>
              <w:t>acebo</w:t>
            </w:r>
          </w:p>
          <w:p w:rsidR="008456C8" w:rsidRDefault="008456C8" w:rsidP="00A420A9">
            <w:pPr>
              <w:rPr>
                <w:b/>
                <w:noProof/>
                <w:szCs w:val="22"/>
              </w:rPr>
            </w:pPr>
          </w:p>
          <w:p w:rsidR="00584C24" w:rsidRPr="005E7DC3" w:rsidRDefault="00584C24" w:rsidP="00BE4091">
            <w:pPr>
              <w:keepNext/>
              <w:ind w:hanging="90"/>
              <w:rPr>
                <w:iCs/>
                <w:noProof/>
                <w:sz w:val="20"/>
                <w:szCs w:val="20"/>
              </w:rPr>
            </w:pPr>
          </w:p>
          <w:p w:rsidR="00A420A9" w:rsidRPr="006B768A" w:rsidRDefault="00DA2546" w:rsidP="00F521F8">
            <w:pPr>
              <w:spacing w:after="120"/>
              <w:ind w:hanging="90"/>
              <w:rPr>
                <w:b/>
                <w:iCs/>
                <w:noProof/>
              </w:rPr>
            </w:pPr>
            <w:r w:rsidRPr="006B768A">
              <w:rPr>
                <w:b/>
                <w:iCs/>
                <w:noProof/>
              </w:rPr>
              <w:t xml:space="preserve">Table </w:t>
            </w:r>
            <w:r w:rsidR="00CC3C79">
              <w:rPr>
                <w:b/>
                <w:iCs/>
                <w:noProof/>
              </w:rPr>
              <w:t>9</w:t>
            </w:r>
            <w:r w:rsidR="00584C24" w:rsidRPr="006B768A">
              <w:rPr>
                <w:b/>
                <w:iCs/>
                <w:noProof/>
              </w:rPr>
              <w:t>: Components of the ASAS response criteria and other measures of disease activity in AS patients at baseline and Week 12 in study AS001</w:t>
            </w: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990"/>
              <w:gridCol w:w="992"/>
              <w:gridCol w:w="990"/>
              <w:gridCol w:w="991"/>
              <w:gridCol w:w="990"/>
              <w:gridCol w:w="991"/>
            </w:tblGrid>
            <w:tr w:rsidR="002878C5" w:rsidRPr="000A24D5" w:rsidTr="00D97490">
              <w:trPr>
                <w:trHeight w:val="18"/>
              </w:trPr>
              <w:tc>
                <w:tcPr>
                  <w:tcW w:w="3001" w:type="dxa"/>
                  <w:shd w:val="clear" w:color="auto" w:fill="auto"/>
                </w:tcPr>
                <w:p w:rsidR="002878C5" w:rsidRPr="000A24D5" w:rsidRDefault="002878C5" w:rsidP="000A24D5">
                  <w:pPr>
                    <w:spacing w:after="120"/>
                    <w:rPr>
                      <w:iCs/>
                      <w:noProof/>
                      <w:sz w:val="20"/>
                      <w:szCs w:val="20"/>
                    </w:rPr>
                  </w:pPr>
                </w:p>
              </w:tc>
              <w:tc>
                <w:tcPr>
                  <w:tcW w:w="1982" w:type="dxa"/>
                  <w:gridSpan w:val="2"/>
                  <w:shd w:val="clear" w:color="auto" w:fill="auto"/>
                </w:tcPr>
                <w:p w:rsidR="002878C5" w:rsidRPr="000A24D5" w:rsidRDefault="002878C5" w:rsidP="000A24D5">
                  <w:pPr>
                    <w:spacing w:after="120"/>
                    <w:rPr>
                      <w:b/>
                      <w:iCs/>
                      <w:noProof/>
                      <w:sz w:val="20"/>
                      <w:szCs w:val="20"/>
                    </w:rPr>
                  </w:pPr>
                  <w:r w:rsidRPr="000A24D5">
                    <w:rPr>
                      <w:b/>
                      <w:iCs/>
                      <w:noProof/>
                      <w:sz w:val="20"/>
                      <w:szCs w:val="20"/>
                    </w:rPr>
                    <w:t>Placebo</w:t>
                  </w:r>
                </w:p>
                <w:p w:rsidR="002878C5" w:rsidRPr="000A24D5" w:rsidRDefault="002878C5" w:rsidP="000A24D5">
                  <w:pPr>
                    <w:spacing w:after="120"/>
                    <w:rPr>
                      <w:b/>
                      <w:iCs/>
                      <w:noProof/>
                      <w:sz w:val="20"/>
                      <w:szCs w:val="20"/>
                    </w:rPr>
                  </w:pPr>
                  <w:r w:rsidRPr="000A24D5">
                    <w:rPr>
                      <w:b/>
                      <w:iCs/>
                      <w:noProof/>
                      <w:sz w:val="20"/>
                      <w:szCs w:val="20"/>
                    </w:rPr>
                    <w:t>N=57</w:t>
                  </w:r>
                </w:p>
              </w:tc>
              <w:tc>
                <w:tcPr>
                  <w:tcW w:w="1981" w:type="dxa"/>
                  <w:gridSpan w:val="2"/>
                  <w:shd w:val="clear" w:color="auto" w:fill="auto"/>
                </w:tcPr>
                <w:p w:rsidR="002878C5" w:rsidRPr="000A24D5" w:rsidRDefault="002878C5" w:rsidP="002878C5">
                  <w:pPr>
                    <w:rPr>
                      <w:b/>
                      <w:iCs/>
                      <w:noProof/>
                      <w:sz w:val="20"/>
                      <w:szCs w:val="20"/>
                    </w:rPr>
                  </w:pPr>
                  <w:r w:rsidRPr="000A24D5">
                    <w:rPr>
                      <w:b/>
                      <w:iCs/>
                      <w:noProof/>
                      <w:sz w:val="20"/>
                      <w:szCs w:val="20"/>
                    </w:rPr>
                    <w:t>CIMZIA</w:t>
                  </w:r>
                  <w:r w:rsidRPr="000A24D5">
                    <w:rPr>
                      <w:b/>
                      <w:iCs/>
                      <w:noProof/>
                      <w:sz w:val="20"/>
                      <w:szCs w:val="20"/>
                      <w:vertAlign w:val="superscript"/>
                    </w:rPr>
                    <w:t xml:space="preserve">(a)  </w:t>
                  </w:r>
                  <w:r w:rsidRPr="000A24D5">
                    <w:rPr>
                      <w:b/>
                      <w:iCs/>
                      <w:noProof/>
                      <w:sz w:val="20"/>
                      <w:szCs w:val="20"/>
                    </w:rPr>
                    <w:t>200mg</w:t>
                  </w:r>
                </w:p>
                <w:p w:rsidR="002878C5" w:rsidRPr="000A24D5" w:rsidRDefault="002878C5" w:rsidP="002878C5">
                  <w:pPr>
                    <w:rPr>
                      <w:b/>
                      <w:iCs/>
                      <w:noProof/>
                      <w:sz w:val="20"/>
                      <w:szCs w:val="20"/>
                    </w:rPr>
                  </w:pPr>
                  <w:r w:rsidRPr="000A24D5">
                    <w:rPr>
                      <w:b/>
                      <w:iCs/>
                      <w:noProof/>
                      <w:sz w:val="20"/>
                      <w:szCs w:val="20"/>
                    </w:rPr>
                    <w:t>Every 2 weeks</w:t>
                  </w:r>
                </w:p>
                <w:p w:rsidR="002878C5" w:rsidRPr="000A24D5" w:rsidRDefault="002878C5" w:rsidP="002878C5">
                  <w:pPr>
                    <w:rPr>
                      <w:b/>
                      <w:iCs/>
                      <w:noProof/>
                      <w:sz w:val="20"/>
                      <w:szCs w:val="20"/>
                      <w:vertAlign w:val="superscript"/>
                    </w:rPr>
                  </w:pPr>
                  <w:r w:rsidRPr="000A24D5">
                    <w:rPr>
                      <w:b/>
                      <w:iCs/>
                      <w:noProof/>
                      <w:sz w:val="20"/>
                      <w:szCs w:val="20"/>
                    </w:rPr>
                    <w:t>N=65</w:t>
                  </w:r>
                </w:p>
              </w:tc>
              <w:tc>
                <w:tcPr>
                  <w:tcW w:w="1981" w:type="dxa"/>
                  <w:gridSpan w:val="2"/>
                  <w:shd w:val="clear" w:color="auto" w:fill="auto"/>
                </w:tcPr>
                <w:p w:rsidR="002878C5" w:rsidRPr="000A24D5" w:rsidRDefault="002878C5" w:rsidP="002878C5">
                  <w:pPr>
                    <w:rPr>
                      <w:b/>
                      <w:iCs/>
                      <w:noProof/>
                      <w:sz w:val="20"/>
                      <w:szCs w:val="20"/>
                      <w:vertAlign w:val="superscript"/>
                    </w:rPr>
                  </w:pPr>
                  <w:r w:rsidRPr="000A24D5">
                    <w:rPr>
                      <w:b/>
                      <w:iCs/>
                      <w:noProof/>
                      <w:sz w:val="20"/>
                      <w:szCs w:val="20"/>
                    </w:rPr>
                    <w:t>CIMZIA</w:t>
                  </w:r>
                  <w:r w:rsidRPr="000A24D5">
                    <w:rPr>
                      <w:b/>
                      <w:iCs/>
                      <w:noProof/>
                      <w:sz w:val="20"/>
                      <w:szCs w:val="20"/>
                      <w:vertAlign w:val="superscript"/>
                    </w:rPr>
                    <w:t>(b)</w:t>
                  </w:r>
                </w:p>
                <w:p w:rsidR="002878C5" w:rsidRPr="000A24D5" w:rsidRDefault="002878C5" w:rsidP="002878C5">
                  <w:pPr>
                    <w:rPr>
                      <w:b/>
                      <w:iCs/>
                      <w:noProof/>
                      <w:sz w:val="20"/>
                      <w:szCs w:val="20"/>
                    </w:rPr>
                  </w:pPr>
                  <w:r w:rsidRPr="000A24D5">
                    <w:rPr>
                      <w:b/>
                      <w:iCs/>
                      <w:noProof/>
                      <w:sz w:val="20"/>
                      <w:szCs w:val="20"/>
                    </w:rPr>
                    <w:t>400mg every 4</w:t>
                  </w:r>
                </w:p>
                <w:p w:rsidR="002878C5" w:rsidRPr="000A24D5" w:rsidRDefault="002878C5" w:rsidP="002878C5">
                  <w:pPr>
                    <w:rPr>
                      <w:b/>
                      <w:iCs/>
                      <w:noProof/>
                      <w:sz w:val="20"/>
                      <w:szCs w:val="20"/>
                    </w:rPr>
                  </w:pPr>
                  <w:r w:rsidRPr="000A24D5">
                    <w:rPr>
                      <w:b/>
                      <w:iCs/>
                      <w:noProof/>
                      <w:sz w:val="20"/>
                      <w:szCs w:val="20"/>
                    </w:rPr>
                    <w:t>weeks</w:t>
                  </w:r>
                </w:p>
                <w:p w:rsidR="002878C5" w:rsidRPr="000A24D5" w:rsidRDefault="002878C5" w:rsidP="002878C5">
                  <w:pPr>
                    <w:rPr>
                      <w:b/>
                      <w:iCs/>
                      <w:noProof/>
                      <w:sz w:val="20"/>
                      <w:szCs w:val="20"/>
                    </w:rPr>
                  </w:pPr>
                  <w:r w:rsidRPr="000A24D5">
                    <w:rPr>
                      <w:b/>
                      <w:iCs/>
                      <w:noProof/>
                      <w:sz w:val="20"/>
                      <w:szCs w:val="20"/>
                    </w:rPr>
                    <w:t>N=56</w:t>
                  </w:r>
                </w:p>
              </w:tc>
            </w:tr>
            <w:tr w:rsidR="002878C5" w:rsidRPr="000A24D5" w:rsidTr="00D97490">
              <w:trPr>
                <w:trHeight w:val="18"/>
              </w:trPr>
              <w:tc>
                <w:tcPr>
                  <w:tcW w:w="3001" w:type="dxa"/>
                  <w:shd w:val="clear" w:color="auto" w:fill="auto"/>
                </w:tcPr>
                <w:p w:rsidR="002878C5" w:rsidRPr="000A24D5" w:rsidRDefault="002878C5" w:rsidP="000A24D5">
                  <w:pPr>
                    <w:spacing w:after="120"/>
                    <w:rPr>
                      <w:iCs/>
                      <w:noProof/>
                      <w:sz w:val="20"/>
                      <w:szCs w:val="20"/>
                    </w:rPr>
                  </w:pPr>
                  <w:r w:rsidRPr="000A24D5">
                    <w:rPr>
                      <w:iCs/>
                      <w:noProof/>
                      <w:sz w:val="20"/>
                      <w:szCs w:val="20"/>
                    </w:rPr>
                    <w:t>ASAS response criteria</w:t>
                  </w:r>
                </w:p>
              </w:tc>
              <w:tc>
                <w:tcPr>
                  <w:tcW w:w="990" w:type="dxa"/>
                  <w:shd w:val="clear" w:color="auto" w:fill="auto"/>
                </w:tcPr>
                <w:p w:rsidR="002878C5" w:rsidRPr="000A24D5" w:rsidRDefault="002878C5" w:rsidP="000A24D5">
                  <w:pPr>
                    <w:spacing w:after="120"/>
                    <w:rPr>
                      <w:iCs/>
                      <w:noProof/>
                      <w:sz w:val="20"/>
                      <w:szCs w:val="20"/>
                    </w:rPr>
                  </w:pPr>
                  <w:r w:rsidRPr="000A24D5">
                    <w:rPr>
                      <w:iCs/>
                      <w:noProof/>
                      <w:sz w:val="20"/>
                      <w:szCs w:val="20"/>
                    </w:rPr>
                    <w:t>Baseline</w:t>
                  </w:r>
                </w:p>
              </w:tc>
              <w:tc>
                <w:tcPr>
                  <w:tcW w:w="991" w:type="dxa"/>
                  <w:shd w:val="clear" w:color="auto" w:fill="auto"/>
                </w:tcPr>
                <w:p w:rsidR="002878C5" w:rsidRPr="000A24D5" w:rsidRDefault="002878C5" w:rsidP="000A24D5">
                  <w:pPr>
                    <w:spacing w:after="120"/>
                    <w:rPr>
                      <w:iCs/>
                      <w:noProof/>
                      <w:sz w:val="20"/>
                      <w:szCs w:val="20"/>
                    </w:rPr>
                  </w:pPr>
                  <w:r w:rsidRPr="000A24D5">
                    <w:rPr>
                      <w:iCs/>
                      <w:noProof/>
                      <w:sz w:val="20"/>
                      <w:szCs w:val="20"/>
                    </w:rPr>
                    <w:t>Week12</w:t>
                  </w:r>
                </w:p>
              </w:tc>
              <w:tc>
                <w:tcPr>
                  <w:tcW w:w="990" w:type="dxa"/>
                  <w:shd w:val="clear" w:color="auto" w:fill="auto"/>
                </w:tcPr>
                <w:p w:rsidR="002878C5" w:rsidRPr="000A24D5" w:rsidRDefault="002878C5" w:rsidP="000A24D5">
                  <w:pPr>
                    <w:spacing w:after="120"/>
                    <w:rPr>
                      <w:iCs/>
                      <w:noProof/>
                      <w:sz w:val="20"/>
                      <w:szCs w:val="20"/>
                    </w:rPr>
                  </w:pPr>
                  <w:r w:rsidRPr="000A24D5">
                    <w:rPr>
                      <w:iCs/>
                      <w:noProof/>
                      <w:sz w:val="20"/>
                      <w:szCs w:val="20"/>
                    </w:rPr>
                    <w:t>Baseline</w:t>
                  </w:r>
                </w:p>
              </w:tc>
              <w:tc>
                <w:tcPr>
                  <w:tcW w:w="990" w:type="dxa"/>
                  <w:shd w:val="clear" w:color="auto" w:fill="auto"/>
                </w:tcPr>
                <w:p w:rsidR="002878C5" w:rsidRPr="000A24D5" w:rsidRDefault="002878C5" w:rsidP="000A24D5">
                  <w:pPr>
                    <w:spacing w:after="120"/>
                    <w:rPr>
                      <w:iCs/>
                      <w:noProof/>
                      <w:sz w:val="20"/>
                      <w:szCs w:val="20"/>
                    </w:rPr>
                  </w:pPr>
                  <w:r w:rsidRPr="000A24D5">
                    <w:rPr>
                      <w:iCs/>
                      <w:noProof/>
                      <w:sz w:val="20"/>
                      <w:szCs w:val="20"/>
                    </w:rPr>
                    <w:t>Week 12</w:t>
                  </w:r>
                </w:p>
              </w:tc>
              <w:tc>
                <w:tcPr>
                  <w:tcW w:w="990" w:type="dxa"/>
                  <w:shd w:val="clear" w:color="auto" w:fill="auto"/>
                </w:tcPr>
                <w:p w:rsidR="002878C5" w:rsidRPr="000A24D5" w:rsidRDefault="002878C5" w:rsidP="000A24D5">
                  <w:pPr>
                    <w:spacing w:after="120"/>
                    <w:rPr>
                      <w:iCs/>
                      <w:noProof/>
                      <w:sz w:val="20"/>
                      <w:szCs w:val="20"/>
                    </w:rPr>
                  </w:pPr>
                  <w:r w:rsidRPr="000A24D5">
                    <w:rPr>
                      <w:iCs/>
                      <w:noProof/>
                      <w:sz w:val="20"/>
                      <w:szCs w:val="20"/>
                    </w:rPr>
                    <w:t>Baseline</w:t>
                  </w:r>
                </w:p>
              </w:tc>
              <w:tc>
                <w:tcPr>
                  <w:tcW w:w="990" w:type="dxa"/>
                  <w:shd w:val="clear" w:color="auto" w:fill="auto"/>
                </w:tcPr>
                <w:p w:rsidR="002878C5" w:rsidRPr="000A24D5" w:rsidRDefault="002878C5" w:rsidP="000A24D5">
                  <w:pPr>
                    <w:spacing w:after="120"/>
                    <w:rPr>
                      <w:iCs/>
                      <w:noProof/>
                      <w:sz w:val="20"/>
                      <w:szCs w:val="20"/>
                    </w:rPr>
                  </w:pPr>
                  <w:r w:rsidRPr="000A24D5">
                    <w:rPr>
                      <w:iCs/>
                      <w:noProof/>
                      <w:sz w:val="20"/>
                      <w:szCs w:val="20"/>
                    </w:rPr>
                    <w:t>Week 12</w:t>
                  </w:r>
                </w:p>
              </w:tc>
            </w:tr>
            <w:tr w:rsidR="002878C5" w:rsidRPr="000A24D5" w:rsidTr="00D97490">
              <w:trPr>
                <w:trHeight w:val="18"/>
              </w:trPr>
              <w:tc>
                <w:tcPr>
                  <w:tcW w:w="3001" w:type="dxa"/>
                  <w:shd w:val="clear" w:color="auto" w:fill="auto"/>
                </w:tcPr>
                <w:p w:rsidR="002878C5" w:rsidRPr="000A24D5" w:rsidRDefault="002878C5" w:rsidP="000A24D5">
                  <w:pPr>
                    <w:spacing w:after="120"/>
                    <w:rPr>
                      <w:iCs/>
                      <w:noProof/>
                      <w:sz w:val="20"/>
                      <w:szCs w:val="20"/>
                    </w:rPr>
                  </w:pPr>
                  <w:r w:rsidRPr="000A24D5">
                    <w:rPr>
                      <w:iCs/>
                      <w:noProof/>
                      <w:sz w:val="20"/>
                      <w:szCs w:val="20"/>
                    </w:rPr>
                    <w:lastRenderedPageBreak/>
                    <w:t>-Patient Global Assessment (0-10)</w:t>
                  </w:r>
                </w:p>
              </w:tc>
              <w:tc>
                <w:tcPr>
                  <w:tcW w:w="990" w:type="dxa"/>
                  <w:shd w:val="clear" w:color="auto" w:fill="auto"/>
                </w:tcPr>
                <w:p w:rsidR="002878C5" w:rsidRPr="000A24D5" w:rsidRDefault="002878C5" w:rsidP="000A24D5">
                  <w:pPr>
                    <w:spacing w:after="120"/>
                    <w:rPr>
                      <w:iCs/>
                      <w:noProof/>
                      <w:sz w:val="20"/>
                      <w:szCs w:val="20"/>
                    </w:rPr>
                  </w:pPr>
                  <w:r w:rsidRPr="000A24D5">
                    <w:rPr>
                      <w:iCs/>
                      <w:noProof/>
                      <w:sz w:val="20"/>
                      <w:szCs w:val="20"/>
                    </w:rPr>
                    <w:t>6.9</w:t>
                  </w:r>
                </w:p>
              </w:tc>
              <w:tc>
                <w:tcPr>
                  <w:tcW w:w="991" w:type="dxa"/>
                  <w:shd w:val="clear" w:color="auto" w:fill="auto"/>
                </w:tcPr>
                <w:p w:rsidR="002878C5" w:rsidRPr="000A24D5" w:rsidRDefault="002878C5" w:rsidP="000A24D5">
                  <w:pPr>
                    <w:spacing w:after="120"/>
                    <w:rPr>
                      <w:iCs/>
                      <w:noProof/>
                      <w:sz w:val="20"/>
                      <w:szCs w:val="20"/>
                    </w:rPr>
                  </w:pPr>
                  <w:r w:rsidRPr="000A24D5">
                    <w:rPr>
                      <w:iCs/>
                      <w:noProof/>
                      <w:sz w:val="20"/>
                      <w:szCs w:val="20"/>
                    </w:rPr>
                    <w:t>5.6</w:t>
                  </w:r>
                </w:p>
              </w:tc>
              <w:tc>
                <w:tcPr>
                  <w:tcW w:w="990" w:type="dxa"/>
                  <w:shd w:val="clear" w:color="auto" w:fill="auto"/>
                </w:tcPr>
                <w:p w:rsidR="002878C5" w:rsidRPr="000A24D5" w:rsidRDefault="00D6374B" w:rsidP="000A24D5">
                  <w:pPr>
                    <w:spacing w:after="120"/>
                    <w:rPr>
                      <w:iCs/>
                      <w:noProof/>
                      <w:sz w:val="20"/>
                      <w:szCs w:val="20"/>
                    </w:rPr>
                  </w:pPr>
                  <w:r w:rsidRPr="000A24D5">
                    <w:rPr>
                      <w:iCs/>
                      <w:noProof/>
                      <w:sz w:val="20"/>
                      <w:szCs w:val="20"/>
                    </w:rPr>
                    <w:t>7.3</w:t>
                  </w:r>
                </w:p>
              </w:tc>
              <w:tc>
                <w:tcPr>
                  <w:tcW w:w="990" w:type="dxa"/>
                  <w:shd w:val="clear" w:color="auto" w:fill="auto"/>
                </w:tcPr>
                <w:p w:rsidR="002878C5" w:rsidRPr="000A24D5" w:rsidRDefault="00D6374B" w:rsidP="000A24D5">
                  <w:pPr>
                    <w:spacing w:after="120"/>
                    <w:rPr>
                      <w:iCs/>
                      <w:noProof/>
                      <w:sz w:val="20"/>
                      <w:szCs w:val="20"/>
                    </w:rPr>
                  </w:pPr>
                  <w:r w:rsidRPr="000A24D5">
                    <w:rPr>
                      <w:iCs/>
                      <w:noProof/>
                      <w:sz w:val="20"/>
                      <w:szCs w:val="20"/>
                    </w:rPr>
                    <w:t>4.2</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6.8</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3.8</w:t>
                  </w:r>
                </w:p>
              </w:tc>
            </w:tr>
            <w:tr w:rsidR="002878C5" w:rsidRPr="000A24D5" w:rsidTr="00D97490">
              <w:trPr>
                <w:trHeight w:val="18"/>
              </w:trPr>
              <w:tc>
                <w:tcPr>
                  <w:tcW w:w="3001" w:type="dxa"/>
                  <w:shd w:val="clear" w:color="auto" w:fill="auto"/>
                </w:tcPr>
                <w:p w:rsidR="002878C5" w:rsidRPr="000A24D5" w:rsidRDefault="002878C5" w:rsidP="000A24D5">
                  <w:pPr>
                    <w:spacing w:after="120"/>
                    <w:rPr>
                      <w:iCs/>
                      <w:noProof/>
                      <w:sz w:val="20"/>
                      <w:szCs w:val="20"/>
                    </w:rPr>
                  </w:pPr>
                  <w:r w:rsidRPr="000A24D5">
                    <w:rPr>
                      <w:iCs/>
                      <w:noProof/>
                      <w:sz w:val="20"/>
                      <w:szCs w:val="20"/>
                    </w:rPr>
                    <w:t>-Total spinal pain (0-10)</w:t>
                  </w:r>
                </w:p>
              </w:tc>
              <w:tc>
                <w:tcPr>
                  <w:tcW w:w="990" w:type="dxa"/>
                  <w:shd w:val="clear" w:color="auto" w:fill="auto"/>
                </w:tcPr>
                <w:p w:rsidR="002878C5" w:rsidRPr="000A24D5" w:rsidRDefault="002878C5" w:rsidP="000A24D5">
                  <w:pPr>
                    <w:spacing w:after="120"/>
                    <w:rPr>
                      <w:iCs/>
                      <w:noProof/>
                      <w:sz w:val="20"/>
                      <w:szCs w:val="20"/>
                    </w:rPr>
                  </w:pPr>
                  <w:r w:rsidRPr="000A24D5">
                    <w:rPr>
                      <w:iCs/>
                      <w:noProof/>
                      <w:sz w:val="20"/>
                      <w:szCs w:val="20"/>
                    </w:rPr>
                    <w:t>7.3</w:t>
                  </w:r>
                </w:p>
              </w:tc>
              <w:tc>
                <w:tcPr>
                  <w:tcW w:w="991" w:type="dxa"/>
                  <w:shd w:val="clear" w:color="auto" w:fill="auto"/>
                </w:tcPr>
                <w:p w:rsidR="002878C5" w:rsidRPr="000A24D5" w:rsidRDefault="002878C5" w:rsidP="000A24D5">
                  <w:pPr>
                    <w:spacing w:after="120"/>
                    <w:rPr>
                      <w:iCs/>
                      <w:noProof/>
                      <w:sz w:val="20"/>
                      <w:szCs w:val="20"/>
                    </w:rPr>
                  </w:pPr>
                  <w:r w:rsidRPr="000A24D5">
                    <w:rPr>
                      <w:iCs/>
                      <w:noProof/>
                      <w:sz w:val="20"/>
                      <w:szCs w:val="20"/>
                    </w:rPr>
                    <w:t>5.8</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7.0</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4.3</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6.9</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4.0</w:t>
                  </w:r>
                </w:p>
              </w:tc>
            </w:tr>
            <w:tr w:rsidR="002878C5" w:rsidRPr="000A24D5" w:rsidTr="00D97490">
              <w:trPr>
                <w:trHeight w:val="18"/>
              </w:trPr>
              <w:tc>
                <w:tcPr>
                  <w:tcW w:w="3001" w:type="dxa"/>
                  <w:shd w:val="clear" w:color="auto" w:fill="auto"/>
                </w:tcPr>
                <w:p w:rsidR="002878C5" w:rsidRPr="000A24D5" w:rsidRDefault="002878C5" w:rsidP="000A24D5">
                  <w:pPr>
                    <w:spacing w:after="120"/>
                    <w:rPr>
                      <w:iCs/>
                      <w:noProof/>
                      <w:sz w:val="20"/>
                      <w:szCs w:val="20"/>
                      <w:vertAlign w:val="superscript"/>
                    </w:rPr>
                  </w:pPr>
                  <w:r w:rsidRPr="000A24D5">
                    <w:rPr>
                      <w:iCs/>
                      <w:noProof/>
                      <w:sz w:val="20"/>
                      <w:szCs w:val="20"/>
                    </w:rPr>
                    <w:t>-BASFI (0-10)</w:t>
                  </w:r>
                  <w:r w:rsidRPr="000A24D5">
                    <w:rPr>
                      <w:iCs/>
                      <w:noProof/>
                      <w:sz w:val="20"/>
                      <w:szCs w:val="20"/>
                      <w:vertAlign w:val="superscript"/>
                    </w:rPr>
                    <w:t>(c)</w:t>
                  </w:r>
                </w:p>
              </w:tc>
              <w:tc>
                <w:tcPr>
                  <w:tcW w:w="990" w:type="dxa"/>
                  <w:shd w:val="clear" w:color="auto" w:fill="auto"/>
                </w:tcPr>
                <w:p w:rsidR="002878C5" w:rsidRPr="000A24D5" w:rsidRDefault="002878C5" w:rsidP="000A24D5">
                  <w:pPr>
                    <w:spacing w:after="120"/>
                    <w:rPr>
                      <w:iCs/>
                      <w:noProof/>
                      <w:sz w:val="20"/>
                      <w:szCs w:val="20"/>
                    </w:rPr>
                  </w:pPr>
                  <w:r w:rsidRPr="000A24D5">
                    <w:rPr>
                      <w:iCs/>
                      <w:noProof/>
                      <w:sz w:val="20"/>
                      <w:szCs w:val="20"/>
                    </w:rPr>
                    <w:t>6.0</w:t>
                  </w:r>
                </w:p>
              </w:tc>
              <w:tc>
                <w:tcPr>
                  <w:tcW w:w="991" w:type="dxa"/>
                  <w:shd w:val="clear" w:color="auto" w:fill="auto"/>
                </w:tcPr>
                <w:p w:rsidR="002878C5" w:rsidRPr="000A24D5" w:rsidRDefault="002878C5" w:rsidP="000A24D5">
                  <w:pPr>
                    <w:spacing w:after="120"/>
                    <w:rPr>
                      <w:iCs/>
                      <w:noProof/>
                      <w:sz w:val="20"/>
                      <w:szCs w:val="20"/>
                    </w:rPr>
                  </w:pPr>
                  <w:r w:rsidRPr="000A24D5">
                    <w:rPr>
                      <w:iCs/>
                      <w:noProof/>
                      <w:sz w:val="20"/>
                      <w:szCs w:val="20"/>
                    </w:rPr>
                    <w:t>5.2</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5.6</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3.8</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5.7</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3.8</w:t>
                  </w:r>
                </w:p>
              </w:tc>
            </w:tr>
            <w:tr w:rsidR="002878C5" w:rsidRPr="000A24D5" w:rsidTr="00D97490">
              <w:trPr>
                <w:trHeight w:val="18"/>
              </w:trPr>
              <w:tc>
                <w:tcPr>
                  <w:tcW w:w="3001" w:type="dxa"/>
                  <w:shd w:val="clear" w:color="auto" w:fill="auto"/>
                </w:tcPr>
                <w:p w:rsidR="002878C5" w:rsidRPr="000A24D5" w:rsidRDefault="002878C5" w:rsidP="000A24D5">
                  <w:pPr>
                    <w:spacing w:after="120"/>
                    <w:rPr>
                      <w:iCs/>
                      <w:noProof/>
                      <w:sz w:val="20"/>
                      <w:szCs w:val="20"/>
                      <w:vertAlign w:val="superscript"/>
                    </w:rPr>
                  </w:pPr>
                  <w:r w:rsidRPr="000A24D5">
                    <w:rPr>
                      <w:iCs/>
                      <w:noProof/>
                      <w:sz w:val="20"/>
                      <w:szCs w:val="20"/>
                    </w:rPr>
                    <w:t>-Inflammation  (0-10)</w:t>
                  </w:r>
                </w:p>
              </w:tc>
              <w:tc>
                <w:tcPr>
                  <w:tcW w:w="990" w:type="dxa"/>
                  <w:shd w:val="clear" w:color="auto" w:fill="auto"/>
                </w:tcPr>
                <w:p w:rsidR="002878C5" w:rsidRPr="000A24D5" w:rsidRDefault="002878C5" w:rsidP="000A24D5">
                  <w:pPr>
                    <w:spacing w:after="120"/>
                    <w:rPr>
                      <w:iCs/>
                      <w:noProof/>
                      <w:sz w:val="20"/>
                      <w:szCs w:val="20"/>
                    </w:rPr>
                  </w:pPr>
                  <w:r w:rsidRPr="000A24D5">
                    <w:rPr>
                      <w:iCs/>
                      <w:noProof/>
                      <w:sz w:val="20"/>
                      <w:szCs w:val="20"/>
                    </w:rPr>
                    <w:t>6.7</w:t>
                  </w:r>
                </w:p>
              </w:tc>
              <w:tc>
                <w:tcPr>
                  <w:tcW w:w="991" w:type="dxa"/>
                  <w:shd w:val="clear" w:color="auto" w:fill="auto"/>
                </w:tcPr>
                <w:p w:rsidR="002878C5" w:rsidRPr="000A24D5" w:rsidRDefault="002878C5" w:rsidP="000A24D5">
                  <w:pPr>
                    <w:spacing w:after="120"/>
                    <w:rPr>
                      <w:iCs/>
                      <w:noProof/>
                      <w:sz w:val="20"/>
                      <w:szCs w:val="20"/>
                    </w:rPr>
                  </w:pPr>
                  <w:r w:rsidRPr="000A24D5">
                    <w:rPr>
                      <w:iCs/>
                      <w:noProof/>
                      <w:sz w:val="20"/>
                      <w:szCs w:val="20"/>
                    </w:rPr>
                    <w:t>5.5</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6.7</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3.8</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6.4</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3.4</w:t>
                  </w:r>
                </w:p>
              </w:tc>
            </w:tr>
            <w:tr w:rsidR="002878C5" w:rsidRPr="000A24D5" w:rsidTr="00D97490">
              <w:trPr>
                <w:trHeight w:val="18"/>
              </w:trPr>
              <w:tc>
                <w:tcPr>
                  <w:tcW w:w="3001" w:type="dxa"/>
                  <w:shd w:val="clear" w:color="auto" w:fill="auto"/>
                </w:tcPr>
                <w:p w:rsidR="002878C5" w:rsidRPr="000A24D5" w:rsidRDefault="002878C5" w:rsidP="000A24D5">
                  <w:pPr>
                    <w:spacing w:after="120"/>
                    <w:rPr>
                      <w:iCs/>
                      <w:noProof/>
                      <w:sz w:val="20"/>
                      <w:szCs w:val="20"/>
                      <w:vertAlign w:val="superscript"/>
                    </w:rPr>
                  </w:pPr>
                  <w:r w:rsidRPr="000A24D5">
                    <w:rPr>
                      <w:iCs/>
                      <w:noProof/>
                      <w:sz w:val="20"/>
                      <w:szCs w:val="20"/>
                    </w:rPr>
                    <w:t>BASDAI (0-10)</w:t>
                  </w:r>
                  <w:r w:rsidRPr="000A24D5">
                    <w:rPr>
                      <w:iCs/>
                      <w:noProof/>
                      <w:sz w:val="20"/>
                      <w:szCs w:val="20"/>
                      <w:vertAlign w:val="superscript"/>
                    </w:rPr>
                    <w:t>(d)</w:t>
                  </w:r>
                </w:p>
              </w:tc>
              <w:tc>
                <w:tcPr>
                  <w:tcW w:w="990" w:type="dxa"/>
                  <w:shd w:val="clear" w:color="auto" w:fill="auto"/>
                </w:tcPr>
                <w:p w:rsidR="002878C5" w:rsidRPr="000A24D5" w:rsidRDefault="002878C5" w:rsidP="000A24D5">
                  <w:pPr>
                    <w:spacing w:after="120"/>
                    <w:rPr>
                      <w:iCs/>
                      <w:noProof/>
                      <w:sz w:val="20"/>
                      <w:szCs w:val="20"/>
                    </w:rPr>
                  </w:pPr>
                  <w:r w:rsidRPr="000A24D5">
                    <w:rPr>
                      <w:iCs/>
                      <w:noProof/>
                      <w:sz w:val="20"/>
                      <w:szCs w:val="20"/>
                    </w:rPr>
                    <w:t>6.4</w:t>
                  </w:r>
                </w:p>
              </w:tc>
              <w:tc>
                <w:tcPr>
                  <w:tcW w:w="991" w:type="dxa"/>
                  <w:shd w:val="clear" w:color="auto" w:fill="auto"/>
                </w:tcPr>
                <w:p w:rsidR="002878C5" w:rsidRPr="000A24D5" w:rsidRDefault="002878C5" w:rsidP="000A24D5">
                  <w:pPr>
                    <w:spacing w:after="120"/>
                    <w:rPr>
                      <w:iCs/>
                      <w:noProof/>
                      <w:sz w:val="20"/>
                      <w:szCs w:val="20"/>
                    </w:rPr>
                  </w:pPr>
                  <w:r w:rsidRPr="000A24D5">
                    <w:rPr>
                      <w:iCs/>
                      <w:noProof/>
                      <w:sz w:val="20"/>
                      <w:szCs w:val="20"/>
                    </w:rPr>
                    <w:t>5.4</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6.5</w:t>
                  </w:r>
                </w:p>
              </w:tc>
              <w:tc>
                <w:tcPr>
                  <w:tcW w:w="990" w:type="dxa"/>
                  <w:shd w:val="clear" w:color="auto" w:fill="auto"/>
                </w:tcPr>
                <w:p w:rsidR="002878C5" w:rsidRPr="000A24D5" w:rsidRDefault="00711C5D" w:rsidP="000A24D5">
                  <w:pPr>
                    <w:spacing w:after="120"/>
                    <w:rPr>
                      <w:iCs/>
                      <w:noProof/>
                      <w:sz w:val="20"/>
                      <w:szCs w:val="20"/>
                    </w:rPr>
                  </w:pPr>
                  <w:r w:rsidRPr="000A24D5">
                    <w:rPr>
                      <w:iCs/>
                      <w:noProof/>
                      <w:sz w:val="20"/>
                      <w:szCs w:val="20"/>
                    </w:rPr>
                    <w:t>3.9</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6.2</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3.7</w:t>
                  </w:r>
                </w:p>
              </w:tc>
            </w:tr>
            <w:tr w:rsidR="002878C5" w:rsidRPr="000A24D5" w:rsidTr="00D97490">
              <w:trPr>
                <w:trHeight w:val="18"/>
              </w:trPr>
              <w:tc>
                <w:tcPr>
                  <w:tcW w:w="3001" w:type="dxa"/>
                  <w:shd w:val="clear" w:color="auto" w:fill="auto"/>
                </w:tcPr>
                <w:p w:rsidR="002878C5" w:rsidRPr="000A24D5" w:rsidRDefault="002878C5" w:rsidP="000A24D5">
                  <w:pPr>
                    <w:spacing w:after="120"/>
                    <w:rPr>
                      <w:iCs/>
                      <w:noProof/>
                      <w:sz w:val="20"/>
                      <w:szCs w:val="20"/>
                      <w:vertAlign w:val="superscript"/>
                    </w:rPr>
                  </w:pPr>
                  <w:r w:rsidRPr="000A24D5">
                    <w:rPr>
                      <w:iCs/>
                      <w:noProof/>
                      <w:sz w:val="20"/>
                      <w:szCs w:val="20"/>
                    </w:rPr>
                    <w:t xml:space="preserve">BASMI </w:t>
                  </w:r>
                  <w:r w:rsidRPr="000A24D5">
                    <w:rPr>
                      <w:iCs/>
                      <w:noProof/>
                      <w:sz w:val="20"/>
                      <w:szCs w:val="20"/>
                      <w:vertAlign w:val="superscript"/>
                    </w:rPr>
                    <w:t>(e)</w:t>
                  </w:r>
                </w:p>
              </w:tc>
              <w:tc>
                <w:tcPr>
                  <w:tcW w:w="990" w:type="dxa"/>
                  <w:shd w:val="clear" w:color="auto" w:fill="auto"/>
                </w:tcPr>
                <w:p w:rsidR="002878C5" w:rsidRPr="000A24D5" w:rsidRDefault="00711C5D" w:rsidP="000A24D5">
                  <w:pPr>
                    <w:spacing w:after="120"/>
                    <w:rPr>
                      <w:iCs/>
                      <w:noProof/>
                      <w:sz w:val="20"/>
                      <w:szCs w:val="20"/>
                    </w:rPr>
                  </w:pPr>
                  <w:r w:rsidRPr="000A24D5">
                    <w:rPr>
                      <w:iCs/>
                      <w:noProof/>
                      <w:sz w:val="20"/>
                      <w:szCs w:val="20"/>
                    </w:rPr>
                    <w:t>4.7</w:t>
                  </w:r>
                </w:p>
              </w:tc>
              <w:tc>
                <w:tcPr>
                  <w:tcW w:w="991" w:type="dxa"/>
                  <w:shd w:val="clear" w:color="auto" w:fill="auto"/>
                </w:tcPr>
                <w:p w:rsidR="002878C5" w:rsidRPr="000A24D5" w:rsidRDefault="002878C5" w:rsidP="000A24D5">
                  <w:pPr>
                    <w:spacing w:after="120"/>
                    <w:rPr>
                      <w:iCs/>
                      <w:noProof/>
                      <w:sz w:val="20"/>
                      <w:szCs w:val="20"/>
                    </w:rPr>
                  </w:pPr>
                  <w:r w:rsidRPr="000A24D5">
                    <w:rPr>
                      <w:iCs/>
                      <w:noProof/>
                      <w:sz w:val="20"/>
                      <w:szCs w:val="20"/>
                    </w:rPr>
                    <w:t>4.4</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4.2</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3.6</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4.3</w:t>
                  </w:r>
                </w:p>
              </w:tc>
              <w:tc>
                <w:tcPr>
                  <w:tcW w:w="990" w:type="dxa"/>
                  <w:shd w:val="clear" w:color="auto" w:fill="auto"/>
                </w:tcPr>
                <w:p w:rsidR="002878C5" w:rsidRPr="000A24D5" w:rsidRDefault="009F07A9" w:rsidP="000A24D5">
                  <w:pPr>
                    <w:spacing w:after="120"/>
                    <w:rPr>
                      <w:iCs/>
                      <w:noProof/>
                      <w:sz w:val="20"/>
                      <w:szCs w:val="20"/>
                    </w:rPr>
                  </w:pPr>
                  <w:r w:rsidRPr="000A24D5">
                    <w:rPr>
                      <w:iCs/>
                      <w:noProof/>
                      <w:sz w:val="20"/>
                      <w:szCs w:val="20"/>
                    </w:rPr>
                    <w:t>3.9</w:t>
                  </w:r>
                </w:p>
              </w:tc>
            </w:tr>
          </w:tbl>
          <w:p w:rsidR="006D739D" w:rsidRDefault="006D739D" w:rsidP="006D739D">
            <w:pPr>
              <w:autoSpaceDE w:val="0"/>
              <w:autoSpaceDN w:val="0"/>
              <w:adjustRightInd w:val="0"/>
              <w:rPr>
                <w:sz w:val="18"/>
                <w:szCs w:val="18"/>
                <w:lang w:val="en-AU" w:eastAsia="en-AU"/>
              </w:rPr>
            </w:pPr>
            <w:r>
              <w:rPr>
                <w:sz w:val="12"/>
                <w:szCs w:val="12"/>
                <w:lang w:val="en-AU" w:eastAsia="en-AU"/>
              </w:rPr>
              <w:t>(a)</w:t>
            </w:r>
            <w:r>
              <w:rPr>
                <w:sz w:val="18"/>
                <w:szCs w:val="18"/>
                <w:lang w:val="en-AU" w:eastAsia="en-AU"/>
              </w:rPr>
              <w:t>CIMZIA administered every 2 weeks preceded by a loading dose of 400 mg at Weeks 0, 2 and 4</w:t>
            </w:r>
            <w:r w:rsidR="009B51F2">
              <w:rPr>
                <w:sz w:val="18"/>
                <w:szCs w:val="18"/>
                <w:lang w:val="en-AU" w:eastAsia="en-AU"/>
              </w:rPr>
              <w:t>.</w:t>
            </w:r>
          </w:p>
          <w:p w:rsidR="006D739D" w:rsidRDefault="006D739D" w:rsidP="006D739D">
            <w:pPr>
              <w:autoSpaceDE w:val="0"/>
              <w:autoSpaceDN w:val="0"/>
              <w:adjustRightInd w:val="0"/>
              <w:rPr>
                <w:sz w:val="18"/>
                <w:szCs w:val="18"/>
                <w:lang w:val="en-AU" w:eastAsia="en-AU"/>
              </w:rPr>
            </w:pPr>
            <w:r>
              <w:rPr>
                <w:sz w:val="12"/>
                <w:szCs w:val="12"/>
                <w:lang w:val="en-AU" w:eastAsia="en-AU"/>
              </w:rPr>
              <w:t>(b)</w:t>
            </w:r>
            <w:r>
              <w:rPr>
                <w:sz w:val="18"/>
                <w:szCs w:val="18"/>
                <w:lang w:val="en-AU" w:eastAsia="en-AU"/>
              </w:rPr>
              <w:t>CIMZIA administered every 4 weeks preceded by a loading dose of 400 mg at Weeks 0, 2 and 4</w:t>
            </w:r>
            <w:r w:rsidR="009B51F2">
              <w:rPr>
                <w:sz w:val="18"/>
                <w:szCs w:val="18"/>
                <w:lang w:val="en-AU" w:eastAsia="en-AU"/>
              </w:rPr>
              <w:t>.</w:t>
            </w:r>
          </w:p>
          <w:p w:rsidR="006D739D" w:rsidRDefault="006D739D" w:rsidP="006D739D">
            <w:pPr>
              <w:autoSpaceDE w:val="0"/>
              <w:autoSpaceDN w:val="0"/>
              <w:adjustRightInd w:val="0"/>
              <w:rPr>
                <w:sz w:val="18"/>
                <w:szCs w:val="18"/>
                <w:lang w:val="en-AU" w:eastAsia="en-AU"/>
              </w:rPr>
            </w:pPr>
            <w:r>
              <w:rPr>
                <w:sz w:val="12"/>
                <w:szCs w:val="12"/>
                <w:lang w:val="en-AU" w:eastAsia="en-AU"/>
              </w:rPr>
              <w:t>(c)</w:t>
            </w:r>
            <w:r>
              <w:rPr>
                <w:sz w:val="18"/>
                <w:szCs w:val="18"/>
                <w:lang w:val="en-AU" w:eastAsia="en-AU"/>
              </w:rPr>
              <w:t>BASFI is Bath Ankylosing Spondylitis Functional Index</w:t>
            </w:r>
          </w:p>
          <w:p w:rsidR="006D739D" w:rsidRDefault="006D739D" w:rsidP="006D739D">
            <w:pPr>
              <w:autoSpaceDE w:val="0"/>
              <w:autoSpaceDN w:val="0"/>
              <w:adjustRightInd w:val="0"/>
              <w:rPr>
                <w:sz w:val="18"/>
                <w:szCs w:val="18"/>
                <w:lang w:val="en-AU" w:eastAsia="en-AU"/>
              </w:rPr>
            </w:pPr>
            <w:r>
              <w:rPr>
                <w:sz w:val="12"/>
                <w:szCs w:val="12"/>
                <w:lang w:val="en-AU" w:eastAsia="en-AU"/>
              </w:rPr>
              <w:t>(d)</w:t>
            </w:r>
            <w:r>
              <w:rPr>
                <w:sz w:val="18"/>
                <w:szCs w:val="18"/>
                <w:lang w:val="en-AU" w:eastAsia="en-AU"/>
              </w:rPr>
              <w:t>BASDAI is Bath Ankylosing Spondylitis Disease Activity Index</w:t>
            </w:r>
          </w:p>
          <w:p w:rsidR="006D739D" w:rsidRDefault="006D739D" w:rsidP="006D739D">
            <w:pPr>
              <w:autoSpaceDE w:val="0"/>
              <w:autoSpaceDN w:val="0"/>
              <w:adjustRightInd w:val="0"/>
              <w:rPr>
                <w:sz w:val="18"/>
                <w:szCs w:val="18"/>
                <w:lang w:val="en-AU" w:eastAsia="en-AU"/>
              </w:rPr>
            </w:pPr>
            <w:r>
              <w:rPr>
                <w:sz w:val="12"/>
                <w:szCs w:val="12"/>
                <w:lang w:val="en-AU" w:eastAsia="en-AU"/>
              </w:rPr>
              <w:t>(e)</w:t>
            </w:r>
            <w:r>
              <w:rPr>
                <w:sz w:val="18"/>
                <w:szCs w:val="18"/>
                <w:lang w:val="en-AU" w:eastAsia="en-AU"/>
              </w:rPr>
              <w:t>BASMI is Bath Ankylosing Spondylitis Metrology Index</w:t>
            </w:r>
          </w:p>
          <w:p w:rsidR="006D739D" w:rsidRDefault="006D739D" w:rsidP="008456C8">
            <w:pPr>
              <w:spacing w:after="120"/>
              <w:ind w:hanging="90"/>
              <w:rPr>
                <w:iCs/>
                <w:noProof/>
              </w:rPr>
            </w:pPr>
            <w:r>
              <w:rPr>
                <w:sz w:val="18"/>
                <w:szCs w:val="18"/>
                <w:lang w:val="en-AU" w:eastAsia="en-AU"/>
              </w:rPr>
              <w:t>All values presented represent the mean in the full analysis set</w:t>
            </w:r>
            <w:r w:rsidR="009B51F2">
              <w:rPr>
                <w:sz w:val="18"/>
                <w:szCs w:val="18"/>
                <w:lang w:val="en-AU" w:eastAsia="en-AU"/>
              </w:rPr>
              <w:t>.</w:t>
            </w:r>
          </w:p>
          <w:p w:rsidR="00A420A9" w:rsidRPr="00DF2267" w:rsidRDefault="00453804" w:rsidP="00F521F8">
            <w:pPr>
              <w:spacing w:after="120"/>
              <w:rPr>
                <w:noProof/>
              </w:rPr>
            </w:pPr>
            <w:r>
              <w:rPr>
                <w:noProof/>
              </w:rPr>
              <w:t xml:space="preserve">In the AS </w:t>
            </w:r>
            <w:r w:rsidR="007D50F1">
              <w:rPr>
                <w:noProof/>
              </w:rPr>
              <w:t>sub</w:t>
            </w:r>
            <w:r>
              <w:rPr>
                <w:noProof/>
              </w:rPr>
              <w:t xml:space="preserve">population, </w:t>
            </w:r>
            <w:r w:rsidR="00A420A9">
              <w:rPr>
                <w:noProof/>
              </w:rPr>
              <w:t>t</w:t>
            </w:r>
            <w:r w:rsidR="00A420A9" w:rsidRPr="00DF2267">
              <w:rPr>
                <w:noProof/>
              </w:rPr>
              <w:t>he percentage of ASAS20 responders was clinically relevant and sig</w:t>
            </w:r>
            <w:r w:rsidR="00A420A9">
              <w:rPr>
                <w:noProof/>
              </w:rPr>
              <w:t>nificantly higher for the C</w:t>
            </w:r>
            <w:r w:rsidR="00E5348E">
              <w:rPr>
                <w:noProof/>
              </w:rPr>
              <w:t>IMZIA</w:t>
            </w:r>
            <w:r w:rsidR="00A420A9">
              <w:rPr>
                <w:noProof/>
              </w:rPr>
              <w:t xml:space="preserve"> 200 mg every 2 weeks and C</w:t>
            </w:r>
            <w:r w:rsidR="00E5348E">
              <w:rPr>
                <w:noProof/>
              </w:rPr>
              <w:t>IMZIA</w:t>
            </w:r>
            <w:r w:rsidR="00A420A9" w:rsidRPr="00DF2267">
              <w:rPr>
                <w:noProof/>
              </w:rPr>
              <w:t xml:space="preserve"> 400</w:t>
            </w:r>
            <w:r w:rsidR="00A420A9">
              <w:rPr>
                <w:noProof/>
              </w:rPr>
              <w:t> </w:t>
            </w:r>
            <w:r w:rsidR="00A420A9" w:rsidRPr="00DF2267">
              <w:rPr>
                <w:noProof/>
              </w:rPr>
              <w:t>mg every 4</w:t>
            </w:r>
            <w:r w:rsidR="00A420A9">
              <w:rPr>
                <w:noProof/>
              </w:rPr>
              <w:t> </w:t>
            </w:r>
            <w:r w:rsidR="00A420A9" w:rsidRPr="00DF2267">
              <w:rPr>
                <w:noProof/>
              </w:rPr>
              <w:t>weeks treatment groups compared to placebo group at every visit after baseline through Week</w:t>
            </w:r>
            <w:r w:rsidR="00A420A9">
              <w:rPr>
                <w:noProof/>
              </w:rPr>
              <w:t> </w:t>
            </w:r>
            <w:r w:rsidR="00A420A9" w:rsidRPr="00DF2267">
              <w:rPr>
                <w:noProof/>
              </w:rPr>
              <w:t>24 (p</w:t>
            </w:r>
            <w:r>
              <w:rPr>
                <w:noProof/>
              </w:rPr>
              <w:t>&lt;</w:t>
            </w:r>
            <w:r w:rsidR="00A420A9" w:rsidRPr="00DF2267">
              <w:rPr>
                <w:noProof/>
              </w:rPr>
              <w:t>0.</w:t>
            </w:r>
            <w:r w:rsidRPr="00DF2267">
              <w:rPr>
                <w:noProof/>
              </w:rPr>
              <w:t>0</w:t>
            </w:r>
            <w:r>
              <w:rPr>
                <w:noProof/>
              </w:rPr>
              <w:t>5</w:t>
            </w:r>
            <w:r w:rsidRPr="00DF2267">
              <w:rPr>
                <w:noProof/>
              </w:rPr>
              <w:t xml:space="preserve"> </w:t>
            </w:r>
            <w:r w:rsidR="00A420A9" w:rsidRPr="00DF2267">
              <w:rPr>
                <w:noProof/>
              </w:rPr>
              <w:t>at each visit).</w:t>
            </w:r>
          </w:p>
          <w:p w:rsidR="00A420A9" w:rsidRDefault="00A420A9" w:rsidP="00A420A9">
            <w:pPr>
              <w:rPr>
                <w:noProof/>
                <w:szCs w:val="22"/>
              </w:rPr>
            </w:pPr>
          </w:p>
          <w:p w:rsidR="00A420A9" w:rsidRPr="00AE242A" w:rsidRDefault="00A420A9" w:rsidP="00A420A9">
            <w:pPr>
              <w:keepNext/>
              <w:rPr>
                <w:i/>
                <w:szCs w:val="22"/>
              </w:rPr>
            </w:pPr>
            <w:r w:rsidRPr="00AE242A">
              <w:rPr>
                <w:i/>
                <w:szCs w:val="22"/>
              </w:rPr>
              <w:t>Spinal Mobility</w:t>
            </w:r>
          </w:p>
          <w:p w:rsidR="00A420A9" w:rsidRPr="00AE242A" w:rsidRDefault="00A420A9" w:rsidP="00A420A9">
            <w:pPr>
              <w:keepNext/>
              <w:rPr>
                <w:szCs w:val="22"/>
              </w:rPr>
            </w:pPr>
            <w:r w:rsidRPr="00AE242A">
              <w:rPr>
                <w:szCs w:val="22"/>
              </w:rPr>
              <w:t>Spinal mobility was assessed by BASMI.  The difference to placebo in mean change from baseline in BASMI linear at Week</w:t>
            </w:r>
            <w:r>
              <w:rPr>
                <w:szCs w:val="22"/>
              </w:rPr>
              <w:t> </w:t>
            </w:r>
            <w:r w:rsidR="00602613">
              <w:rPr>
                <w:szCs w:val="22"/>
              </w:rPr>
              <w:t xml:space="preserve">24 </w:t>
            </w:r>
            <w:r>
              <w:rPr>
                <w:szCs w:val="22"/>
              </w:rPr>
              <w:t>was</w:t>
            </w:r>
            <w:r w:rsidR="0016788D">
              <w:rPr>
                <w:szCs w:val="22"/>
              </w:rPr>
              <w:t xml:space="preserve"> </w:t>
            </w:r>
            <w:r w:rsidRPr="00AE242A">
              <w:rPr>
                <w:szCs w:val="22"/>
              </w:rPr>
              <w:t>-0.</w:t>
            </w:r>
            <w:r w:rsidR="00602613">
              <w:rPr>
                <w:szCs w:val="22"/>
              </w:rPr>
              <w:t>32</w:t>
            </w:r>
            <w:r w:rsidR="00602613" w:rsidRPr="00AE242A">
              <w:rPr>
                <w:szCs w:val="22"/>
              </w:rPr>
              <w:t xml:space="preserve"> </w:t>
            </w:r>
            <w:r w:rsidRPr="00AE242A">
              <w:rPr>
                <w:szCs w:val="22"/>
              </w:rPr>
              <w:t>points (p&lt;0.</w:t>
            </w:r>
            <w:r w:rsidR="00602613" w:rsidRPr="00AE242A">
              <w:rPr>
                <w:szCs w:val="22"/>
              </w:rPr>
              <w:t>0</w:t>
            </w:r>
            <w:r w:rsidR="00602613">
              <w:rPr>
                <w:szCs w:val="22"/>
              </w:rPr>
              <w:t>5</w:t>
            </w:r>
            <w:r w:rsidRPr="00AE242A">
              <w:rPr>
                <w:szCs w:val="22"/>
              </w:rPr>
              <w:t xml:space="preserve">) </w:t>
            </w:r>
            <w:r w:rsidR="00602613">
              <w:rPr>
                <w:szCs w:val="22"/>
              </w:rPr>
              <w:t>in C</w:t>
            </w:r>
            <w:r w:rsidR="00602613">
              <w:rPr>
                <w:noProof/>
              </w:rPr>
              <w:t>IMZIA</w:t>
            </w:r>
            <w:r w:rsidR="00602613" w:rsidRPr="00AE242A">
              <w:rPr>
                <w:szCs w:val="22"/>
              </w:rPr>
              <w:t>-treated</w:t>
            </w:r>
            <w:r w:rsidR="00602613">
              <w:rPr>
                <w:szCs w:val="22"/>
              </w:rPr>
              <w:t xml:space="preserve"> patients</w:t>
            </w:r>
            <w:r w:rsidRPr="00AE242A">
              <w:rPr>
                <w:szCs w:val="22"/>
              </w:rPr>
              <w:t xml:space="preserve">. </w:t>
            </w:r>
          </w:p>
          <w:p w:rsidR="00A420A9" w:rsidRDefault="00A420A9" w:rsidP="00A420A9">
            <w:pPr>
              <w:rPr>
                <w:i/>
                <w:szCs w:val="22"/>
              </w:rPr>
            </w:pPr>
          </w:p>
          <w:p w:rsidR="00A420A9" w:rsidRPr="00AE242A" w:rsidRDefault="00A420A9" w:rsidP="00A420A9">
            <w:pPr>
              <w:rPr>
                <w:i/>
                <w:szCs w:val="22"/>
              </w:rPr>
            </w:pPr>
            <w:r w:rsidRPr="00AE242A">
              <w:rPr>
                <w:i/>
                <w:szCs w:val="22"/>
              </w:rPr>
              <w:t xml:space="preserve">Maastricht </w:t>
            </w:r>
            <w:proofErr w:type="spellStart"/>
            <w:r w:rsidRPr="00AE242A">
              <w:rPr>
                <w:i/>
                <w:szCs w:val="22"/>
              </w:rPr>
              <w:t>Ankylosis</w:t>
            </w:r>
            <w:proofErr w:type="spellEnd"/>
            <w:r w:rsidRPr="00AE242A">
              <w:rPr>
                <w:i/>
                <w:szCs w:val="22"/>
              </w:rPr>
              <w:t xml:space="preserve"> Spondylitis </w:t>
            </w:r>
            <w:proofErr w:type="spellStart"/>
            <w:r w:rsidRPr="00AE242A">
              <w:rPr>
                <w:i/>
                <w:szCs w:val="22"/>
              </w:rPr>
              <w:t>Enthesitis</w:t>
            </w:r>
            <w:proofErr w:type="spellEnd"/>
            <w:r w:rsidRPr="00AE242A">
              <w:rPr>
                <w:i/>
                <w:szCs w:val="22"/>
              </w:rPr>
              <w:t xml:space="preserve"> Score (MASES)</w:t>
            </w:r>
          </w:p>
          <w:p w:rsidR="00A420A9" w:rsidRPr="00AE242A" w:rsidRDefault="00A420A9" w:rsidP="00A420A9">
            <w:pPr>
              <w:rPr>
                <w:szCs w:val="22"/>
              </w:rPr>
            </w:pPr>
            <w:r w:rsidRPr="00AE242A">
              <w:rPr>
                <w:szCs w:val="22"/>
              </w:rPr>
              <w:t xml:space="preserve">The assessment of </w:t>
            </w:r>
            <w:proofErr w:type="spellStart"/>
            <w:r w:rsidRPr="00AE242A">
              <w:rPr>
                <w:szCs w:val="22"/>
              </w:rPr>
              <w:t>enthesitis</w:t>
            </w:r>
            <w:proofErr w:type="spellEnd"/>
            <w:r w:rsidRPr="00AE242A">
              <w:rPr>
                <w:szCs w:val="22"/>
              </w:rPr>
              <w:t xml:space="preserve"> showed a clinical</w:t>
            </w:r>
            <w:r w:rsidR="003E646D">
              <w:rPr>
                <w:szCs w:val="22"/>
              </w:rPr>
              <w:t>ly</w:t>
            </w:r>
            <w:r w:rsidRPr="00AE242A">
              <w:rPr>
                <w:szCs w:val="22"/>
              </w:rPr>
              <w:t xml:space="preserve"> meaningful improvement (p&lt;0.001) in </w:t>
            </w:r>
            <w:r>
              <w:rPr>
                <w:szCs w:val="22"/>
              </w:rPr>
              <w:t>C</w:t>
            </w:r>
            <w:r w:rsidR="00E5348E">
              <w:rPr>
                <w:noProof/>
              </w:rPr>
              <w:t>IMZIA</w:t>
            </w:r>
            <w:r>
              <w:rPr>
                <w:szCs w:val="22"/>
              </w:rPr>
              <w:t>-</w:t>
            </w:r>
            <w:r w:rsidRPr="00AE242A">
              <w:rPr>
                <w:szCs w:val="22"/>
              </w:rPr>
              <w:t xml:space="preserve">treated patients compared with placebo treated </w:t>
            </w:r>
            <w:proofErr w:type="gramStart"/>
            <w:r w:rsidRPr="00AE242A">
              <w:rPr>
                <w:szCs w:val="22"/>
              </w:rPr>
              <w:t>patients</w:t>
            </w:r>
            <w:r w:rsidR="003E646D">
              <w:rPr>
                <w:szCs w:val="22"/>
              </w:rPr>
              <w:t xml:space="preserve">  at</w:t>
            </w:r>
            <w:proofErr w:type="gramEnd"/>
            <w:r w:rsidR="003E646D">
              <w:rPr>
                <w:szCs w:val="22"/>
              </w:rPr>
              <w:t xml:space="preserve"> Week </w:t>
            </w:r>
            <w:r w:rsidR="00453804">
              <w:rPr>
                <w:szCs w:val="22"/>
              </w:rPr>
              <w:t>24</w:t>
            </w:r>
            <w:r w:rsidR="009B51F2">
              <w:rPr>
                <w:szCs w:val="22"/>
              </w:rPr>
              <w:t>.</w:t>
            </w:r>
            <w:r w:rsidRPr="00AE242A">
              <w:rPr>
                <w:szCs w:val="22"/>
              </w:rPr>
              <w:t xml:space="preserve"> </w:t>
            </w:r>
          </w:p>
          <w:p w:rsidR="00A420A9" w:rsidRDefault="00A420A9" w:rsidP="00A420A9">
            <w:pPr>
              <w:tabs>
                <w:tab w:val="left" w:pos="567"/>
              </w:tabs>
              <w:rPr>
                <w:szCs w:val="22"/>
              </w:rPr>
            </w:pPr>
          </w:p>
          <w:p w:rsidR="00A420A9" w:rsidRPr="009E32B4" w:rsidRDefault="00A420A9" w:rsidP="00A420A9">
            <w:pPr>
              <w:rPr>
                <w:i/>
                <w:iCs/>
                <w:noProof/>
                <w:szCs w:val="22"/>
              </w:rPr>
            </w:pPr>
            <w:r w:rsidRPr="009E32B4">
              <w:rPr>
                <w:i/>
                <w:iCs/>
                <w:noProof/>
                <w:szCs w:val="22"/>
              </w:rPr>
              <w:t>Inhibition of inflammation in Magnetic Resonance imaging (MRI)</w:t>
            </w:r>
          </w:p>
          <w:p w:rsidR="006B768A" w:rsidRPr="008456C8" w:rsidRDefault="00A420A9" w:rsidP="00A420A9">
            <w:pPr>
              <w:rPr>
                <w:iCs/>
                <w:noProof/>
                <w:szCs w:val="22"/>
              </w:rPr>
            </w:pPr>
            <w:r w:rsidRPr="009E32B4">
              <w:rPr>
                <w:iCs/>
                <w:noProof/>
                <w:szCs w:val="22"/>
              </w:rPr>
              <w:t>In an imaging sub-study signs of inflammation were assessed by MRI at week</w:t>
            </w:r>
            <w:r>
              <w:rPr>
                <w:iCs/>
                <w:noProof/>
                <w:szCs w:val="22"/>
              </w:rPr>
              <w:t> </w:t>
            </w:r>
            <w:r w:rsidRPr="009E32B4">
              <w:rPr>
                <w:iCs/>
                <w:noProof/>
                <w:szCs w:val="22"/>
              </w:rPr>
              <w:t xml:space="preserve">12 and expressed as change from baseline in SPARCC (Spondyloarthritis Research Consortium of Canada) score for sacroiliac joints and ASspiMRI-a score in the Berlin modifications for the spine. Significant inhibition of inflammatory signs in both sacroiliac joints and the spine was observed in the </w:t>
            </w:r>
            <w:r w:rsidR="00E5348E">
              <w:rPr>
                <w:iCs/>
                <w:noProof/>
                <w:szCs w:val="22"/>
              </w:rPr>
              <w:t>C</w:t>
            </w:r>
            <w:r w:rsidR="00E5348E">
              <w:rPr>
                <w:noProof/>
              </w:rPr>
              <w:t>IMZIA</w:t>
            </w:r>
            <w:r w:rsidRPr="009E32B4">
              <w:rPr>
                <w:iCs/>
                <w:noProof/>
                <w:szCs w:val="22"/>
              </w:rPr>
              <w:t>-treated patient (all doses group), in the sub-population</w:t>
            </w:r>
            <w:r w:rsidR="001C5FE1">
              <w:rPr>
                <w:iCs/>
                <w:noProof/>
                <w:szCs w:val="22"/>
              </w:rPr>
              <w:t xml:space="preserve"> </w:t>
            </w:r>
            <w:r w:rsidRPr="009E32B4">
              <w:rPr>
                <w:iCs/>
                <w:noProof/>
                <w:szCs w:val="22"/>
              </w:rPr>
              <w:t>of ankylosing spondylitis patients, but not in placebo-treated patients.</w:t>
            </w:r>
          </w:p>
          <w:p w:rsidR="002961FC" w:rsidRDefault="002961FC" w:rsidP="00A420A9">
            <w:pPr>
              <w:rPr>
                <w:i/>
                <w:iCs/>
                <w:noProof/>
                <w:szCs w:val="22"/>
              </w:rPr>
            </w:pPr>
          </w:p>
          <w:p w:rsidR="00A420A9" w:rsidRPr="009E32B4" w:rsidRDefault="00A420A9" w:rsidP="00A420A9">
            <w:pPr>
              <w:rPr>
                <w:i/>
                <w:iCs/>
                <w:noProof/>
                <w:szCs w:val="22"/>
              </w:rPr>
            </w:pPr>
            <w:r w:rsidRPr="009E32B4">
              <w:rPr>
                <w:i/>
                <w:iCs/>
                <w:noProof/>
                <w:szCs w:val="22"/>
              </w:rPr>
              <w:t>Physical function respo</w:t>
            </w:r>
            <w:r>
              <w:rPr>
                <w:i/>
                <w:iCs/>
                <w:noProof/>
                <w:szCs w:val="22"/>
              </w:rPr>
              <w:t>nse and health-related outcomes</w:t>
            </w:r>
            <w:r w:rsidRPr="009E32B4">
              <w:rPr>
                <w:i/>
                <w:iCs/>
                <w:noProof/>
                <w:szCs w:val="22"/>
              </w:rPr>
              <w:t xml:space="preserve"> </w:t>
            </w:r>
          </w:p>
          <w:p w:rsidR="005E7DC3" w:rsidRPr="00C80FA2" w:rsidRDefault="00A420A9" w:rsidP="000A17A0">
            <w:pPr>
              <w:pStyle w:val="Paragraph"/>
              <w:keepNext/>
              <w:rPr>
                <w:iCs/>
                <w:noProof/>
                <w:szCs w:val="22"/>
              </w:rPr>
            </w:pPr>
            <w:r w:rsidRPr="009E32B4">
              <w:rPr>
                <w:iCs/>
                <w:noProof/>
                <w:szCs w:val="22"/>
              </w:rPr>
              <w:t>In AS001</w:t>
            </w:r>
            <w:r>
              <w:rPr>
                <w:iCs/>
                <w:noProof/>
                <w:szCs w:val="22"/>
              </w:rPr>
              <w:t xml:space="preserve"> clinical trial, C</w:t>
            </w:r>
            <w:r w:rsidR="00E5348E">
              <w:rPr>
                <w:noProof/>
              </w:rPr>
              <w:t>IMZIA</w:t>
            </w:r>
            <w:r w:rsidRPr="009E32B4">
              <w:rPr>
                <w:iCs/>
                <w:noProof/>
                <w:szCs w:val="22"/>
              </w:rPr>
              <w:t xml:space="preserve">-treated </w:t>
            </w:r>
            <w:r w:rsidR="001C5FE1">
              <w:rPr>
                <w:iCs/>
                <w:noProof/>
                <w:szCs w:val="22"/>
              </w:rPr>
              <w:t xml:space="preserve">AS </w:t>
            </w:r>
            <w:r w:rsidRPr="009E32B4">
              <w:rPr>
                <w:iCs/>
                <w:noProof/>
                <w:szCs w:val="22"/>
              </w:rPr>
              <w:t>patients reported significant improvements in physical function as assessed by the BASFI and in pain as assessed by the  Nocturnal Back Pain NRS scales from Week 1 through Week</w:t>
            </w:r>
            <w:r>
              <w:rPr>
                <w:iCs/>
                <w:noProof/>
                <w:szCs w:val="22"/>
              </w:rPr>
              <w:t> </w:t>
            </w:r>
            <w:r w:rsidRPr="009E32B4">
              <w:rPr>
                <w:iCs/>
                <w:noProof/>
                <w:szCs w:val="22"/>
              </w:rPr>
              <w:t>2</w:t>
            </w:r>
            <w:r w:rsidR="00E5348E">
              <w:rPr>
                <w:iCs/>
                <w:noProof/>
                <w:szCs w:val="22"/>
              </w:rPr>
              <w:t>4</w:t>
            </w:r>
            <w:r w:rsidR="00EE26ED">
              <w:rPr>
                <w:iCs/>
                <w:noProof/>
                <w:szCs w:val="22"/>
              </w:rPr>
              <w:t xml:space="preserve"> </w:t>
            </w:r>
            <w:r w:rsidR="00E5348E">
              <w:rPr>
                <w:iCs/>
                <w:noProof/>
                <w:szCs w:val="22"/>
              </w:rPr>
              <w:t>as compared to placebo. C</w:t>
            </w:r>
            <w:r w:rsidR="00E5348E">
              <w:rPr>
                <w:noProof/>
              </w:rPr>
              <w:t>IMZIA</w:t>
            </w:r>
            <w:r w:rsidRPr="009E32B4">
              <w:rPr>
                <w:iCs/>
                <w:noProof/>
                <w:szCs w:val="22"/>
              </w:rPr>
              <w:t>-treated</w:t>
            </w:r>
            <w:r w:rsidR="001C5FE1">
              <w:rPr>
                <w:iCs/>
                <w:noProof/>
                <w:szCs w:val="22"/>
              </w:rPr>
              <w:t xml:space="preserve"> AS </w:t>
            </w:r>
            <w:r w:rsidRPr="009E32B4">
              <w:rPr>
                <w:iCs/>
                <w:noProof/>
                <w:szCs w:val="22"/>
              </w:rPr>
              <w:t xml:space="preserve"> patients reported significant improvements in tiredness (fatigue) as reported by the BASDAI-fatigue item from Week</w:t>
            </w:r>
            <w:r>
              <w:rPr>
                <w:iCs/>
                <w:noProof/>
                <w:szCs w:val="22"/>
              </w:rPr>
              <w:t> </w:t>
            </w:r>
            <w:r w:rsidRPr="009E32B4">
              <w:rPr>
                <w:iCs/>
                <w:noProof/>
                <w:szCs w:val="22"/>
              </w:rPr>
              <w:t>1 through Week</w:t>
            </w:r>
            <w:r>
              <w:rPr>
                <w:iCs/>
                <w:noProof/>
                <w:szCs w:val="22"/>
              </w:rPr>
              <w:t> </w:t>
            </w:r>
            <w:r w:rsidRPr="009E32B4">
              <w:rPr>
                <w:iCs/>
                <w:noProof/>
                <w:szCs w:val="22"/>
              </w:rPr>
              <w:t>24 as c</w:t>
            </w:r>
            <w:r>
              <w:rPr>
                <w:iCs/>
                <w:noProof/>
                <w:szCs w:val="22"/>
              </w:rPr>
              <w:t xml:space="preserve">ompared </w:t>
            </w:r>
            <w:r w:rsidR="00E5348E">
              <w:rPr>
                <w:iCs/>
                <w:noProof/>
                <w:szCs w:val="22"/>
              </w:rPr>
              <w:t xml:space="preserve">to placebo (see table </w:t>
            </w:r>
            <w:r w:rsidR="000A17A0">
              <w:rPr>
                <w:iCs/>
                <w:noProof/>
                <w:szCs w:val="22"/>
              </w:rPr>
              <w:t>9</w:t>
            </w:r>
            <w:r w:rsidR="00E5348E">
              <w:rPr>
                <w:iCs/>
                <w:noProof/>
                <w:szCs w:val="22"/>
              </w:rPr>
              <w:t>). C</w:t>
            </w:r>
            <w:r w:rsidR="00E5348E">
              <w:rPr>
                <w:noProof/>
              </w:rPr>
              <w:t>IMZIA</w:t>
            </w:r>
            <w:r w:rsidRPr="009E32B4">
              <w:rPr>
                <w:iCs/>
                <w:noProof/>
                <w:szCs w:val="22"/>
              </w:rPr>
              <w:t xml:space="preserve">-treated patients reported significant improvements in health-related quality of life as measured by the ankylosing spondylitis QOL (ASQoL) </w:t>
            </w:r>
            <w:r>
              <w:rPr>
                <w:iCs/>
                <w:noProof/>
                <w:szCs w:val="22"/>
              </w:rPr>
              <w:t xml:space="preserve">at Week 24. </w:t>
            </w:r>
          </w:p>
        </w:tc>
      </w:tr>
    </w:tbl>
    <w:p w:rsidR="00F521F8" w:rsidRDefault="00F521F8"/>
    <w:tbl>
      <w:tblPr>
        <w:tblW w:w="9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1C1840" w:rsidRPr="0052262B">
        <w:tc>
          <w:tcPr>
            <w:tcW w:w="9142" w:type="dxa"/>
            <w:tcBorders>
              <w:top w:val="single" w:sz="4" w:space="0" w:color="auto"/>
              <w:left w:val="single" w:sz="4" w:space="0" w:color="auto"/>
              <w:bottom w:val="single" w:sz="4" w:space="0" w:color="auto"/>
              <w:right w:val="single" w:sz="4" w:space="0" w:color="auto"/>
            </w:tcBorders>
          </w:tcPr>
          <w:p w:rsidR="001C1840" w:rsidRPr="0052262B" w:rsidRDefault="001C1840" w:rsidP="00017A0A">
            <w:pPr>
              <w:pStyle w:val="Heading2"/>
              <w:numPr>
                <w:ilvl w:val="0"/>
                <w:numId w:val="0"/>
              </w:numPr>
              <w:rPr>
                <w:rFonts w:cs="Times New Roman"/>
                <w:lang w:val="en-GB" w:eastAsia="en-AU"/>
              </w:rPr>
            </w:pPr>
            <w:r w:rsidRPr="0052262B">
              <w:rPr>
                <w:rFonts w:cs="Times New Roman"/>
                <w:lang w:val="en-GB" w:eastAsia="en-AU"/>
              </w:rPr>
              <w:t>INDICATIONS</w:t>
            </w:r>
          </w:p>
        </w:tc>
      </w:tr>
      <w:tr w:rsidR="001C1840" w:rsidRPr="0052262B">
        <w:tc>
          <w:tcPr>
            <w:tcW w:w="9142" w:type="dxa"/>
            <w:tcBorders>
              <w:top w:val="single" w:sz="4" w:space="0" w:color="auto"/>
              <w:left w:val="single" w:sz="4" w:space="0" w:color="auto"/>
              <w:bottom w:val="single" w:sz="4" w:space="0" w:color="auto"/>
              <w:right w:val="single" w:sz="4" w:space="0" w:color="auto"/>
            </w:tcBorders>
          </w:tcPr>
          <w:p w:rsidR="00A420A9" w:rsidRPr="00A420A9" w:rsidRDefault="00A420A9" w:rsidP="00AF6BFA">
            <w:pPr>
              <w:pStyle w:val="Paragraph"/>
              <w:rPr>
                <w:i/>
                <w:lang w:val="en-GB" w:eastAsia="de-DE"/>
              </w:rPr>
            </w:pPr>
            <w:r>
              <w:rPr>
                <w:i/>
                <w:lang w:val="en-GB" w:eastAsia="de-DE"/>
              </w:rPr>
              <w:t>Rheumatoid arthritis</w:t>
            </w:r>
          </w:p>
          <w:p w:rsidR="001C1840" w:rsidRPr="0052262B" w:rsidRDefault="001C1840" w:rsidP="00AF6BFA">
            <w:pPr>
              <w:pStyle w:val="Paragraph"/>
              <w:rPr>
                <w:lang w:val="en-GB" w:eastAsia="de-DE"/>
              </w:rPr>
            </w:pPr>
            <w:r w:rsidRPr="0052262B">
              <w:rPr>
                <w:lang w:val="en-GB" w:eastAsia="de-DE"/>
              </w:rPr>
              <w:t xml:space="preserve">CIMZIA is indicated for the treatment of moderate to severe active rheumatoid arthritis </w:t>
            </w:r>
            <w:r w:rsidRPr="0052262B">
              <w:rPr>
                <w:lang w:val="en-GB" w:eastAsia="de-DE"/>
              </w:rPr>
              <w:lastRenderedPageBreak/>
              <w:t>(RA) in adult patients.</w:t>
            </w:r>
          </w:p>
          <w:p w:rsidR="001C1840" w:rsidRPr="0052262B" w:rsidRDefault="001C1840" w:rsidP="00AF6BFA">
            <w:pPr>
              <w:pStyle w:val="ListBullet"/>
              <w:rPr>
                <w:lang w:val="en-GB" w:eastAsia="de-DE"/>
              </w:rPr>
            </w:pPr>
            <w:r w:rsidRPr="0052262B">
              <w:rPr>
                <w:lang w:val="en-GB" w:eastAsia="de-DE"/>
              </w:rPr>
              <w:t xml:space="preserve">combined with MTX in case of either an inadequate response or intolerance to previous therapy with one or more disease-modifying </w:t>
            </w:r>
            <w:proofErr w:type="spellStart"/>
            <w:r w:rsidRPr="0052262B">
              <w:rPr>
                <w:lang w:val="en-GB" w:eastAsia="de-DE"/>
              </w:rPr>
              <w:t>antirheumatic</w:t>
            </w:r>
            <w:proofErr w:type="spellEnd"/>
            <w:r w:rsidRPr="0052262B">
              <w:rPr>
                <w:lang w:val="en-GB" w:eastAsia="de-DE"/>
              </w:rPr>
              <w:t xml:space="preserve"> drugs (DMARDs) or</w:t>
            </w:r>
          </w:p>
          <w:p w:rsidR="00867E56" w:rsidRDefault="001C1840" w:rsidP="00CC7784">
            <w:pPr>
              <w:pStyle w:val="ListBullet"/>
              <w:spacing w:after="0"/>
              <w:rPr>
                <w:lang w:val="en-GB" w:eastAsia="de-DE"/>
              </w:rPr>
            </w:pPr>
            <w:proofErr w:type="gramStart"/>
            <w:r w:rsidRPr="0052262B">
              <w:rPr>
                <w:lang w:val="en-GB" w:eastAsia="de-DE"/>
              </w:rPr>
              <w:t>as</w:t>
            </w:r>
            <w:proofErr w:type="gramEnd"/>
            <w:r w:rsidRPr="0052262B">
              <w:rPr>
                <w:lang w:val="en-GB" w:eastAsia="de-DE"/>
              </w:rPr>
              <w:t xml:space="preserve"> monotherapy in case of</w:t>
            </w:r>
            <w:r w:rsidR="008A19C7" w:rsidRPr="0052262B">
              <w:rPr>
                <w:lang w:val="en-GB" w:eastAsia="de-DE"/>
              </w:rPr>
              <w:t xml:space="preserve"> a contraindication or</w:t>
            </w:r>
            <w:r w:rsidRPr="0052262B">
              <w:rPr>
                <w:lang w:val="en-GB" w:eastAsia="de-DE"/>
              </w:rPr>
              <w:t xml:space="preserve"> intolerance to MTX </w:t>
            </w:r>
            <w:r w:rsidR="000B7D9C" w:rsidRPr="0052262B">
              <w:rPr>
                <w:lang w:val="en-GB" w:eastAsia="de-DE"/>
              </w:rPr>
              <w:t>(see DOSAGE AND ADMINISTRATION)</w:t>
            </w:r>
            <w:r w:rsidRPr="0052262B">
              <w:rPr>
                <w:lang w:val="en-GB" w:eastAsia="de-DE"/>
              </w:rPr>
              <w:t>.</w:t>
            </w:r>
          </w:p>
          <w:p w:rsidR="00867E56" w:rsidRDefault="00867E56" w:rsidP="00D85EB7">
            <w:pPr>
              <w:rPr>
                <w:bCs/>
                <w:iCs/>
                <w:szCs w:val="22"/>
                <w:lang w:val="en-GB" w:eastAsia="de-DE"/>
              </w:rPr>
            </w:pPr>
          </w:p>
          <w:p w:rsidR="00D85EB7" w:rsidRDefault="00844A32" w:rsidP="00D85EB7">
            <w:pPr>
              <w:rPr>
                <w:bCs/>
                <w:iCs/>
                <w:szCs w:val="22"/>
                <w:lang w:val="en-GB" w:eastAsia="de-DE"/>
              </w:rPr>
            </w:pPr>
            <w:r>
              <w:rPr>
                <w:bCs/>
                <w:iCs/>
                <w:szCs w:val="22"/>
                <w:lang w:val="en-GB" w:eastAsia="de-DE"/>
              </w:rPr>
              <w:t>CIMZIA</w:t>
            </w:r>
            <w:r w:rsidRPr="007C2937">
              <w:rPr>
                <w:bCs/>
                <w:iCs/>
                <w:szCs w:val="22"/>
                <w:lang w:val="en-GB" w:eastAsia="de-DE"/>
              </w:rPr>
              <w:t xml:space="preserve"> </w:t>
            </w:r>
            <w:r w:rsidR="00D85EB7" w:rsidRPr="007C2937">
              <w:rPr>
                <w:bCs/>
                <w:iCs/>
                <w:szCs w:val="22"/>
                <w:lang w:val="en-GB" w:eastAsia="de-DE"/>
              </w:rPr>
              <w:t>has been shown to reduce the rate of progression of joint damage as measured by X-ray, when given in combination with MTX.</w:t>
            </w:r>
          </w:p>
          <w:p w:rsidR="0064341A" w:rsidRDefault="0064341A" w:rsidP="00D85EB7">
            <w:pPr>
              <w:rPr>
                <w:bCs/>
                <w:iCs/>
                <w:szCs w:val="22"/>
                <w:lang w:val="en-GB" w:eastAsia="de-DE"/>
              </w:rPr>
            </w:pPr>
          </w:p>
          <w:p w:rsidR="0064341A" w:rsidRDefault="0064341A" w:rsidP="00D85EB7">
            <w:pPr>
              <w:rPr>
                <w:bCs/>
                <w:iCs/>
                <w:szCs w:val="22"/>
                <w:lang w:val="en-GB" w:eastAsia="de-DE"/>
              </w:rPr>
            </w:pPr>
            <w:r w:rsidRPr="0064341A">
              <w:rPr>
                <w:bCs/>
                <w:iCs/>
                <w:szCs w:val="22"/>
                <w:lang w:val="en-GB" w:eastAsia="de-DE"/>
              </w:rPr>
              <w:t>CIMZIA in combination with MTX is indicated for the treatment of severe, active and progressive rheumatoid arthritis in adults not previously treated with MTX or other DMARDs.</w:t>
            </w:r>
          </w:p>
          <w:p w:rsidR="00A420A9" w:rsidRDefault="00A420A9" w:rsidP="00A420A9">
            <w:pPr>
              <w:rPr>
                <w:i/>
                <w:noProof/>
                <w:szCs w:val="22"/>
                <w:u w:val="single"/>
              </w:rPr>
            </w:pPr>
          </w:p>
          <w:p w:rsidR="00E5348E" w:rsidRDefault="00023BB2" w:rsidP="00A420A9">
            <w:pPr>
              <w:rPr>
                <w:i/>
                <w:noProof/>
                <w:szCs w:val="22"/>
                <w:u w:val="single"/>
              </w:rPr>
            </w:pPr>
            <w:r>
              <w:rPr>
                <w:i/>
                <w:noProof/>
                <w:szCs w:val="22"/>
                <w:u w:val="single"/>
              </w:rPr>
              <w:t>Psoriatic</w:t>
            </w:r>
            <w:r w:rsidR="00E5348E">
              <w:rPr>
                <w:i/>
                <w:noProof/>
                <w:szCs w:val="22"/>
                <w:u w:val="single"/>
              </w:rPr>
              <w:t xml:space="preserve"> arthritis</w:t>
            </w:r>
          </w:p>
          <w:p w:rsidR="00E5348E" w:rsidRDefault="00814050" w:rsidP="00A420A9">
            <w:pPr>
              <w:rPr>
                <w:noProof/>
                <w:szCs w:val="22"/>
              </w:rPr>
            </w:pPr>
            <w:r>
              <w:rPr>
                <w:noProof/>
                <w:szCs w:val="22"/>
              </w:rPr>
              <w:t xml:space="preserve">CIMZIA </w:t>
            </w:r>
            <w:r w:rsidR="00874F93">
              <w:rPr>
                <w:noProof/>
                <w:szCs w:val="22"/>
              </w:rPr>
              <w:t>is indicated for the treatment of adult patients with active psoriatic arthritis</w:t>
            </w:r>
            <w:r w:rsidR="00481941">
              <w:rPr>
                <w:noProof/>
                <w:szCs w:val="22"/>
              </w:rPr>
              <w:t xml:space="preserve"> where response  to previous  disease-modifying anti-rheumatic drug therapy (DMARDs) has been inadequate.</w:t>
            </w:r>
            <w:r w:rsidR="002D2360">
              <w:rPr>
                <w:noProof/>
                <w:szCs w:val="22"/>
              </w:rPr>
              <w:t xml:space="preserve"> CIMZIA has been shown to improve physical function.</w:t>
            </w:r>
          </w:p>
          <w:p w:rsidR="00E5348E" w:rsidRPr="00E5348E" w:rsidRDefault="00E5348E" w:rsidP="00A420A9">
            <w:pPr>
              <w:rPr>
                <w:noProof/>
                <w:szCs w:val="22"/>
              </w:rPr>
            </w:pPr>
          </w:p>
          <w:p w:rsidR="00A420A9" w:rsidRDefault="00A420A9" w:rsidP="00A420A9">
            <w:pPr>
              <w:rPr>
                <w:i/>
                <w:noProof/>
                <w:szCs w:val="22"/>
                <w:u w:val="single"/>
              </w:rPr>
            </w:pPr>
            <w:r>
              <w:rPr>
                <w:i/>
                <w:noProof/>
                <w:szCs w:val="22"/>
                <w:u w:val="single"/>
              </w:rPr>
              <w:t>A</w:t>
            </w:r>
            <w:r w:rsidR="00EC626B">
              <w:rPr>
                <w:i/>
                <w:noProof/>
                <w:szCs w:val="22"/>
                <w:u w:val="single"/>
              </w:rPr>
              <w:t>nkylosing Spondylitis</w:t>
            </w:r>
          </w:p>
          <w:p w:rsidR="00A420A9" w:rsidRDefault="00A420A9" w:rsidP="00814E54">
            <w:pPr>
              <w:rPr>
                <w:noProof/>
              </w:rPr>
            </w:pPr>
            <w:r>
              <w:rPr>
                <w:noProof/>
              </w:rPr>
              <w:t>C</w:t>
            </w:r>
            <w:r w:rsidR="00E5348E">
              <w:rPr>
                <w:noProof/>
              </w:rPr>
              <w:t>IMZIA</w:t>
            </w:r>
            <w:r w:rsidRPr="00AD768B">
              <w:rPr>
                <w:noProof/>
              </w:rPr>
              <w:t xml:space="preserve"> is indicated for the treatment of adult patients with active,  ankylosing spondylitis </w:t>
            </w:r>
            <w:r w:rsidR="00814E54">
              <w:rPr>
                <w:noProof/>
              </w:rPr>
              <w:t xml:space="preserve"> who have been intolerant to or have had inadequate response to at least one nonsteroidal anti-inflammatory drug (NSAID)</w:t>
            </w:r>
            <w:r w:rsidR="009B51F2">
              <w:rPr>
                <w:noProof/>
              </w:rPr>
              <w:t>.</w:t>
            </w:r>
          </w:p>
          <w:p w:rsidR="003D6845" w:rsidRPr="0052262B" w:rsidRDefault="003D6845" w:rsidP="00814E54">
            <w:pPr>
              <w:rPr>
                <w:bCs/>
                <w:iCs/>
                <w:szCs w:val="22"/>
                <w:lang w:val="en-GB" w:eastAsia="de-DE"/>
              </w:rPr>
            </w:pPr>
          </w:p>
        </w:tc>
      </w:tr>
      <w:tr w:rsidR="001C1840" w:rsidRPr="0052262B">
        <w:tc>
          <w:tcPr>
            <w:tcW w:w="9142" w:type="dxa"/>
            <w:tcBorders>
              <w:top w:val="single" w:sz="4" w:space="0" w:color="auto"/>
              <w:left w:val="single" w:sz="4" w:space="0" w:color="auto"/>
              <w:bottom w:val="single" w:sz="4" w:space="0" w:color="auto"/>
              <w:right w:val="single" w:sz="4" w:space="0" w:color="auto"/>
            </w:tcBorders>
          </w:tcPr>
          <w:p w:rsidR="001C1840" w:rsidRPr="0052262B" w:rsidRDefault="001C1840" w:rsidP="00017A0A">
            <w:pPr>
              <w:pStyle w:val="Heading2"/>
              <w:numPr>
                <w:ilvl w:val="0"/>
                <w:numId w:val="0"/>
              </w:numPr>
              <w:rPr>
                <w:rFonts w:cs="Times New Roman"/>
                <w:lang w:val="en-GB" w:eastAsia="en-AU"/>
              </w:rPr>
            </w:pPr>
            <w:r w:rsidRPr="0052262B">
              <w:rPr>
                <w:rFonts w:cs="Times New Roman"/>
                <w:lang w:val="en-GB" w:eastAsia="en-AU"/>
              </w:rPr>
              <w:lastRenderedPageBreak/>
              <w:t>CONTRAINDICATIONS</w:t>
            </w:r>
          </w:p>
        </w:tc>
      </w:tr>
      <w:tr w:rsidR="001C1840" w:rsidRPr="0052262B">
        <w:tc>
          <w:tcPr>
            <w:tcW w:w="9142" w:type="dxa"/>
            <w:tcBorders>
              <w:top w:val="single" w:sz="4" w:space="0" w:color="auto"/>
              <w:left w:val="single" w:sz="4" w:space="0" w:color="auto"/>
              <w:bottom w:val="single" w:sz="4" w:space="0" w:color="auto"/>
              <w:right w:val="single" w:sz="4" w:space="0" w:color="auto"/>
            </w:tcBorders>
          </w:tcPr>
          <w:p w:rsidR="001C1840" w:rsidRPr="0072033B" w:rsidRDefault="001C1840" w:rsidP="00AF6BFA">
            <w:pPr>
              <w:pStyle w:val="Paragraph"/>
              <w:rPr>
                <w:lang w:val="en-GB"/>
              </w:rPr>
            </w:pPr>
            <w:r w:rsidRPr="0052262B">
              <w:rPr>
                <w:lang w:val="en-GB"/>
              </w:rPr>
              <w:t xml:space="preserve">Hypersensitivity to the active substance or to any of the </w:t>
            </w:r>
            <w:r w:rsidRPr="0072033B">
              <w:rPr>
                <w:lang w:val="en-GB"/>
              </w:rPr>
              <w:t>excipients</w:t>
            </w:r>
            <w:r w:rsidR="00B24D3F" w:rsidRPr="0072033B">
              <w:rPr>
                <w:lang w:val="en-GB"/>
              </w:rPr>
              <w:t xml:space="preserve"> (See PRECAUTIONS)</w:t>
            </w:r>
            <w:r w:rsidRPr="0072033B">
              <w:rPr>
                <w:lang w:val="en-GB"/>
              </w:rPr>
              <w:t>.</w:t>
            </w:r>
          </w:p>
          <w:p w:rsidR="001C1840" w:rsidRPr="0072033B" w:rsidRDefault="001C1840" w:rsidP="00AF6BFA">
            <w:pPr>
              <w:pStyle w:val="Paragraph"/>
              <w:rPr>
                <w:lang w:val="en-GB"/>
              </w:rPr>
            </w:pPr>
            <w:r w:rsidRPr="0072033B">
              <w:rPr>
                <w:lang w:val="en-GB"/>
              </w:rPr>
              <w:t>Active tuberculosis or other severe infections such as sepsis or</w:t>
            </w:r>
            <w:r w:rsidR="009B51F2">
              <w:rPr>
                <w:lang w:val="en-GB"/>
              </w:rPr>
              <w:t xml:space="preserve"> opportunistic infections</w:t>
            </w:r>
            <w:r w:rsidRPr="0072033B">
              <w:rPr>
                <w:lang w:val="en-GB"/>
              </w:rPr>
              <w:t xml:space="preserve"> (See PRECAUTIONS).</w:t>
            </w:r>
          </w:p>
          <w:p w:rsidR="001C1840" w:rsidRPr="0072033B" w:rsidRDefault="001C1840" w:rsidP="00AF6BFA">
            <w:pPr>
              <w:pStyle w:val="Paragraph"/>
              <w:rPr>
                <w:lang w:val="en-GB"/>
              </w:rPr>
            </w:pPr>
            <w:r w:rsidRPr="0072033B">
              <w:rPr>
                <w:lang w:val="en-GB"/>
              </w:rPr>
              <w:t>Concurrent administration of C</w:t>
            </w:r>
            <w:r w:rsidR="00E5348E">
              <w:rPr>
                <w:lang w:val="en-GB"/>
              </w:rPr>
              <w:t>IMZIA</w:t>
            </w:r>
            <w:r w:rsidRPr="0072033B">
              <w:rPr>
                <w:lang w:val="en-GB"/>
              </w:rPr>
              <w:t xml:space="preserve"> and </w:t>
            </w:r>
            <w:proofErr w:type="spellStart"/>
            <w:r w:rsidRPr="0072033B">
              <w:rPr>
                <w:lang w:val="en-GB"/>
              </w:rPr>
              <w:t>anakinra</w:t>
            </w:r>
            <w:proofErr w:type="spellEnd"/>
            <w:r w:rsidRPr="0072033B">
              <w:rPr>
                <w:lang w:val="en-GB"/>
              </w:rPr>
              <w:t xml:space="preserve"> (an interleukin-1-receptor antagonist) is contraindicated. </w:t>
            </w:r>
          </w:p>
          <w:p w:rsidR="001C1840" w:rsidRDefault="001C1840" w:rsidP="00AF6BFA">
            <w:pPr>
              <w:pStyle w:val="Paragraph"/>
              <w:rPr>
                <w:lang w:val="en-GB"/>
              </w:rPr>
            </w:pPr>
            <w:r w:rsidRPr="0072033B">
              <w:rPr>
                <w:lang w:val="en-GB"/>
              </w:rPr>
              <w:t>Moderate to severe heart failure (NYHA classes III/IV)</w:t>
            </w:r>
            <w:r w:rsidR="00B24D3F" w:rsidRPr="0072033B">
              <w:rPr>
                <w:lang w:val="en-GB"/>
              </w:rPr>
              <w:t xml:space="preserve"> (See PRECAUTIONS).</w:t>
            </w:r>
          </w:p>
          <w:p w:rsidR="003D6845" w:rsidRPr="0052262B" w:rsidRDefault="003D6845" w:rsidP="00AF6BFA">
            <w:pPr>
              <w:pStyle w:val="Paragraph"/>
              <w:rPr>
                <w:lang w:val="en-GB"/>
              </w:rPr>
            </w:pPr>
          </w:p>
        </w:tc>
      </w:tr>
      <w:tr w:rsidR="001C1840" w:rsidRPr="0052262B">
        <w:tc>
          <w:tcPr>
            <w:tcW w:w="9142" w:type="dxa"/>
            <w:tcBorders>
              <w:top w:val="single" w:sz="4" w:space="0" w:color="auto"/>
              <w:left w:val="single" w:sz="4" w:space="0" w:color="auto"/>
              <w:bottom w:val="single" w:sz="4" w:space="0" w:color="auto"/>
              <w:right w:val="single" w:sz="4" w:space="0" w:color="auto"/>
            </w:tcBorders>
          </w:tcPr>
          <w:p w:rsidR="001C1840" w:rsidRPr="0052262B" w:rsidRDefault="001C1840" w:rsidP="00017A0A">
            <w:pPr>
              <w:pStyle w:val="Heading2"/>
              <w:numPr>
                <w:ilvl w:val="0"/>
                <w:numId w:val="0"/>
              </w:numPr>
              <w:rPr>
                <w:rFonts w:cs="Times New Roman"/>
                <w:lang w:val="en-GB" w:eastAsia="en-AU"/>
              </w:rPr>
            </w:pPr>
            <w:r w:rsidRPr="0052262B">
              <w:rPr>
                <w:rFonts w:cs="Times New Roman"/>
                <w:lang w:val="en-GB" w:eastAsia="en-AU"/>
              </w:rPr>
              <w:t>PRECAUTIONS</w:t>
            </w:r>
          </w:p>
        </w:tc>
      </w:tr>
      <w:tr w:rsidR="001C1840" w:rsidRPr="0052262B">
        <w:tc>
          <w:tcPr>
            <w:tcW w:w="9142" w:type="dxa"/>
            <w:tcBorders>
              <w:top w:val="single" w:sz="4" w:space="0" w:color="auto"/>
              <w:left w:val="single" w:sz="4" w:space="0" w:color="auto"/>
              <w:bottom w:val="nil"/>
              <w:right w:val="single" w:sz="4" w:space="0" w:color="auto"/>
            </w:tcBorders>
          </w:tcPr>
          <w:p w:rsidR="001C1840" w:rsidRPr="00E76E36" w:rsidRDefault="001C1840" w:rsidP="00E76E36">
            <w:pPr>
              <w:pStyle w:val="Paragraph"/>
              <w:rPr>
                <w:b/>
                <w:lang w:val="en-GB"/>
              </w:rPr>
            </w:pPr>
            <w:r w:rsidRPr="00E76E36">
              <w:rPr>
                <w:b/>
                <w:lang w:val="en-GB"/>
              </w:rPr>
              <w:t>Immunosuppression:</w:t>
            </w:r>
          </w:p>
          <w:p w:rsidR="001C1840" w:rsidRDefault="001C1840" w:rsidP="00E76E36">
            <w:pPr>
              <w:pStyle w:val="Paragraph"/>
              <w:rPr>
                <w:lang w:val="en-GB"/>
              </w:rPr>
            </w:pPr>
            <w:r w:rsidRPr="0052262B">
              <w:rPr>
                <w:lang w:val="en-GB"/>
              </w:rPr>
              <w:t xml:space="preserve">Since Tumour Necrosis Factor (TNF) mediates inflammation and modulates cellular immune responses, the possibility exists for TNF blocking agents, including CIMZIA, to affect host defences against infections and malignancies.  </w:t>
            </w:r>
            <w:bookmarkStart w:id="1" w:name="OLE_LINK26"/>
            <w:bookmarkStart w:id="2" w:name="OLE_LINK27"/>
            <w:r w:rsidRPr="0052262B">
              <w:rPr>
                <w:lang w:val="en-GB"/>
              </w:rPr>
              <w:t>Patients with rheumatoid arthritis</w:t>
            </w:r>
            <w:r w:rsidR="00171833">
              <w:rPr>
                <w:lang w:val="en-GB"/>
              </w:rPr>
              <w:t xml:space="preserve">, psoriatic arthritis or </w:t>
            </w:r>
            <w:r w:rsidR="00507072">
              <w:rPr>
                <w:lang w:val="en-GB"/>
              </w:rPr>
              <w:t>ankylosing spondylitis</w:t>
            </w:r>
            <w:r w:rsidR="009B51F2">
              <w:rPr>
                <w:lang w:val="en-GB"/>
              </w:rPr>
              <w:t xml:space="preserve"> </w:t>
            </w:r>
            <w:r w:rsidRPr="0052262B">
              <w:rPr>
                <w:lang w:val="en-GB"/>
              </w:rPr>
              <w:t>may not manifest typical symptoms of infection, including fever, due to their disease and concomitant medications.</w:t>
            </w:r>
            <w:bookmarkEnd w:id="1"/>
            <w:bookmarkEnd w:id="2"/>
            <w:r w:rsidRPr="0052262B">
              <w:rPr>
                <w:lang w:val="en-GB"/>
              </w:rPr>
              <w:t xml:space="preserve">  Therefore, early detection of any infection is critical to minimi</w:t>
            </w:r>
            <w:r w:rsidR="00B24D3F">
              <w:rPr>
                <w:lang w:val="en-GB"/>
              </w:rPr>
              <w:t>s</w:t>
            </w:r>
            <w:r w:rsidRPr="0052262B">
              <w:rPr>
                <w:lang w:val="en-GB"/>
              </w:rPr>
              <w:t>e delays in diagnosis and initiation of treatment.</w:t>
            </w:r>
          </w:p>
          <w:p w:rsidR="001C1840" w:rsidRPr="00E76E36" w:rsidRDefault="001C1840" w:rsidP="00AB5AD5">
            <w:pPr>
              <w:pStyle w:val="Paragraph"/>
              <w:keepNext/>
              <w:rPr>
                <w:b/>
                <w:lang w:val="en-GB"/>
              </w:rPr>
            </w:pPr>
            <w:bookmarkStart w:id="3" w:name="_GoBack"/>
            <w:bookmarkEnd w:id="3"/>
            <w:r w:rsidRPr="00E76E36">
              <w:rPr>
                <w:b/>
                <w:lang w:val="en-GB"/>
              </w:rPr>
              <w:t>Infections:</w:t>
            </w:r>
          </w:p>
          <w:p w:rsidR="001C1840" w:rsidRPr="0052262B" w:rsidRDefault="001C1840" w:rsidP="004C50B4">
            <w:pPr>
              <w:pStyle w:val="Paragraph"/>
              <w:rPr>
                <w:lang w:val="en-GB"/>
              </w:rPr>
            </w:pPr>
            <w:r w:rsidRPr="0052262B">
              <w:rPr>
                <w:lang w:val="en-GB"/>
              </w:rPr>
              <w:lastRenderedPageBreak/>
              <w:t>Patients must be monitored closely for signs and symptoms of infections including tuberculosis before, during and after treatment with CIMZIA, taking into account the 14</w:t>
            </w:r>
            <w:r w:rsidR="006E09D5" w:rsidRPr="0052262B">
              <w:rPr>
                <w:lang w:val="en-GB"/>
              </w:rPr>
              <w:t>-</w:t>
            </w:r>
            <w:r w:rsidRPr="0052262B">
              <w:rPr>
                <w:lang w:val="en-GB"/>
              </w:rPr>
              <w:t xml:space="preserve">day half-life of the product. </w:t>
            </w:r>
            <w:r w:rsidR="00526803" w:rsidRPr="00504A6C">
              <w:rPr>
                <w:lang w:eastAsia="en-GB"/>
              </w:rPr>
              <w:t xml:space="preserve">Because the elimination of </w:t>
            </w:r>
            <w:proofErr w:type="spellStart"/>
            <w:r w:rsidR="00526803" w:rsidRPr="00504A6C">
              <w:rPr>
                <w:lang w:eastAsia="en-GB"/>
              </w:rPr>
              <w:t>certolizumab</w:t>
            </w:r>
            <w:proofErr w:type="spellEnd"/>
            <w:r w:rsidR="00526803" w:rsidRPr="00504A6C">
              <w:rPr>
                <w:lang w:eastAsia="en-GB"/>
              </w:rPr>
              <w:t xml:space="preserve"> </w:t>
            </w:r>
            <w:proofErr w:type="spellStart"/>
            <w:r w:rsidR="00526803" w:rsidRPr="00504A6C">
              <w:rPr>
                <w:lang w:eastAsia="en-GB"/>
              </w:rPr>
              <w:t>pegol</w:t>
            </w:r>
            <w:proofErr w:type="spellEnd"/>
            <w:r w:rsidR="00526803" w:rsidRPr="00504A6C">
              <w:rPr>
                <w:lang w:eastAsia="en-GB"/>
              </w:rPr>
              <w:t xml:space="preserve"> may take up to </w:t>
            </w:r>
            <w:r w:rsidR="009D429C" w:rsidRPr="00504A6C">
              <w:rPr>
                <w:lang w:eastAsia="en-GB"/>
              </w:rPr>
              <w:t>5 months</w:t>
            </w:r>
            <w:r w:rsidR="00526803" w:rsidRPr="00504A6C">
              <w:rPr>
                <w:lang w:eastAsia="en-GB"/>
              </w:rPr>
              <w:t>, monitoring should be considered throughout this period.</w:t>
            </w:r>
            <w:r w:rsidR="00526803">
              <w:rPr>
                <w:lang w:eastAsia="en-GB"/>
              </w:rPr>
              <w:t xml:space="preserve"> </w:t>
            </w:r>
            <w:r w:rsidRPr="0052262B">
              <w:rPr>
                <w:lang w:val="en-GB"/>
              </w:rPr>
              <w:t>Treatment with CIMZIA should not be initiated in patients with a clinically important active infection, including chronic or locali</w:t>
            </w:r>
            <w:r w:rsidR="00B24D3F">
              <w:rPr>
                <w:lang w:val="en-GB"/>
              </w:rPr>
              <w:t>s</w:t>
            </w:r>
            <w:r w:rsidRPr="0052262B">
              <w:rPr>
                <w:lang w:val="en-GB"/>
              </w:rPr>
              <w:t>ed infections, until the infection is controlled (See CONTRAINDICATIONS)</w:t>
            </w:r>
            <w:r w:rsidR="009B51F2">
              <w:rPr>
                <w:lang w:val="en-GB"/>
              </w:rPr>
              <w:t>.</w:t>
            </w:r>
          </w:p>
          <w:p w:rsidR="001C1840" w:rsidRPr="0052262B" w:rsidRDefault="001C1840" w:rsidP="004C50B4">
            <w:pPr>
              <w:pStyle w:val="Paragraph"/>
              <w:rPr>
                <w:lang w:val="en-GB"/>
              </w:rPr>
            </w:pPr>
            <w:r w:rsidRPr="0052262B">
              <w:rPr>
                <w:lang w:val="en-GB"/>
              </w:rPr>
              <w:t>Patients who develop a new infection while undergoing treatment with CIMZIA should be monitored closely. Administration of CIMZIA should be discontinued if a patient develops a new serious infection until the infection is controlled. Physicians should exercise caution when considering the use of CIMZIA in patients with a history of recurring</w:t>
            </w:r>
            <w:r w:rsidR="007F66E1">
              <w:rPr>
                <w:lang w:val="en-GB"/>
              </w:rPr>
              <w:t>, opportunistic infection,</w:t>
            </w:r>
            <w:r w:rsidRPr="0052262B">
              <w:rPr>
                <w:lang w:val="en-GB"/>
              </w:rPr>
              <w:t xml:space="preserve"> chronic infections or with underlying conditions which may predispose patients to infections.</w:t>
            </w:r>
          </w:p>
          <w:p w:rsidR="001C1840" w:rsidRPr="0052262B" w:rsidRDefault="001C1840" w:rsidP="004C50B4">
            <w:pPr>
              <w:pStyle w:val="Paragraph"/>
              <w:rPr>
                <w:b/>
                <w:bCs/>
                <w:lang w:val="en-GB"/>
              </w:rPr>
            </w:pPr>
            <w:r w:rsidRPr="0052262B">
              <w:rPr>
                <w:lang w:val="en-GB"/>
              </w:rPr>
              <w:t>Serious infections</w:t>
            </w:r>
            <w:r w:rsidR="00024B02">
              <w:rPr>
                <w:lang w:val="en-GB"/>
              </w:rPr>
              <w:t xml:space="preserve"> due to bacterial, mycobacterial, invasive fungal, viral and / or parasitic pathogens</w:t>
            </w:r>
            <w:r w:rsidRPr="0052262B">
              <w:rPr>
                <w:lang w:val="en-GB"/>
              </w:rPr>
              <w:t xml:space="preserve">, sepsis, tuberculosis (including </w:t>
            </w:r>
            <w:proofErr w:type="spellStart"/>
            <w:r w:rsidRPr="0052262B">
              <w:rPr>
                <w:lang w:val="en-GB"/>
              </w:rPr>
              <w:t>miliary</w:t>
            </w:r>
            <w:proofErr w:type="spellEnd"/>
            <w:r w:rsidRPr="0052262B">
              <w:rPr>
                <w:lang w:val="en-GB"/>
              </w:rPr>
              <w:t xml:space="preserve">, disseminated and </w:t>
            </w:r>
            <w:proofErr w:type="spellStart"/>
            <w:r w:rsidRPr="0052262B">
              <w:rPr>
                <w:lang w:val="en-GB"/>
              </w:rPr>
              <w:t>extrapulmonary</w:t>
            </w:r>
            <w:proofErr w:type="spellEnd"/>
            <w:r w:rsidRPr="0052262B">
              <w:rPr>
                <w:lang w:val="en-GB"/>
              </w:rPr>
              <w:t xml:space="preserve"> disease) and opportunistic infections have been reported in patients receiving TNF blocking agents including CIMZIA. Some of these events</w:t>
            </w:r>
            <w:r w:rsidR="004A44D9">
              <w:rPr>
                <w:lang w:val="en-GB"/>
              </w:rPr>
              <w:t xml:space="preserve"> </w:t>
            </w:r>
            <w:r w:rsidRPr="0052262B">
              <w:rPr>
                <w:lang w:val="en-GB"/>
              </w:rPr>
              <w:t>have been fatal.</w:t>
            </w:r>
            <w:r w:rsidR="006F1B3F">
              <w:rPr>
                <w:lang w:val="en-GB"/>
              </w:rPr>
              <w:t xml:space="preserve"> Among opportunistic infections, histoplasmosis, </w:t>
            </w:r>
            <w:proofErr w:type="spellStart"/>
            <w:r w:rsidR="006F1B3F">
              <w:rPr>
                <w:lang w:val="en-GB"/>
              </w:rPr>
              <w:t>aspergillosis</w:t>
            </w:r>
            <w:proofErr w:type="spellEnd"/>
            <w:r w:rsidR="006F1B3F">
              <w:rPr>
                <w:lang w:val="en-GB"/>
              </w:rPr>
              <w:t xml:space="preserve">, candidiasis, </w:t>
            </w:r>
            <w:proofErr w:type="spellStart"/>
            <w:r w:rsidR="006F1B3F">
              <w:rPr>
                <w:lang w:val="en-GB"/>
              </w:rPr>
              <w:t>coccidioidomycosis</w:t>
            </w:r>
            <w:proofErr w:type="spellEnd"/>
            <w:r w:rsidR="006F1B3F">
              <w:rPr>
                <w:lang w:val="en-GB"/>
              </w:rPr>
              <w:t xml:space="preserve">, </w:t>
            </w:r>
            <w:proofErr w:type="spellStart"/>
            <w:r w:rsidR="006F1B3F">
              <w:rPr>
                <w:lang w:val="en-GB"/>
              </w:rPr>
              <w:t>nocardiosis</w:t>
            </w:r>
            <w:proofErr w:type="spellEnd"/>
            <w:r w:rsidR="006F1B3F">
              <w:rPr>
                <w:lang w:val="en-GB"/>
              </w:rPr>
              <w:t xml:space="preserve">, </w:t>
            </w:r>
            <w:proofErr w:type="spellStart"/>
            <w:r w:rsidR="006F1B3F">
              <w:rPr>
                <w:lang w:val="en-GB"/>
              </w:rPr>
              <w:t>listeriosis</w:t>
            </w:r>
            <w:proofErr w:type="spellEnd"/>
            <w:r w:rsidR="006F1B3F">
              <w:rPr>
                <w:lang w:val="en-GB"/>
              </w:rPr>
              <w:t xml:space="preserve">, and </w:t>
            </w:r>
            <w:proofErr w:type="spellStart"/>
            <w:r w:rsidR="006F1B3F">
              <w:rPr>
                <w:lang w:val="en-GB"/>
              </w:rPr>
              <w:t>pneumocystosis</w:t>
            </w:r>
            <w:proofErr w:type="spellEnd"/>
            <w:r w:rsidR="006F1B3F">
              <w:rPr>
                <w:lang w:val="en-GB"/>
              </w:rPr>
              <w:t xml:space="preserve"> were the most frequently </w:t>
            </w:r>
            <w:proofErr w:type="gramStart"/>
            <w:r w:rsidR="006F1B3F">
              <w:rPr>
                <w:lang w:val="en-GB"/>
              </w:rPr>
              <w:t>reported.</w:t>
            </w:r>
            <w:proofErr w:type="gramEnd"/>
            <w:r w:rsidRPr="0052262B">
              <w:rPr>
                <w:lang w:val="en-GB"/>
              </w:rPr>
              <w:t xml:space="preserve"> Many of the serious infections reported have occurred in patients on concomitant immunosuppressive therapy that, in addition to their rheumatoid arthritis, could predispose them to infections</w:t>
            </w:r>
            <w:r w:rsidR="00664771" w:rsidRPr="0052262B">
              <w:rPr>
                <w:lang w:val="en-GB"/>
              </w:rPr>
              <w:t xml:space="preserve"> (See ADVERSE EFFECTS)</w:t>
            </w:r>
            <w:r w:rsidRPr="0052262B">
              <w:rPr>
                <w:lang w:val="en-GB"/>
              </w:rPr>
              <w:t>.</w:t>
            </w:r>
          </w:p>
          <w:p w:rsidR="008456C8" w:rsidRDefault="001C1840" w:rsidP="004C50B4">
            <w:pPr>
              <w:pStyle w:val="Paragraph"/>
              <w:rPr>
                <w:lang w:val="en-GB"/>
              </w:rPr>
            </w:pPr>
            <w:r w:rsidRPr="0052262B">
              <w:rPr>
                <w:lang w:val="en-GB"/>
              </w:rPr>
              <w:t>For patients who reside or travel in regions where mycoses are endemic, invasive fungal infection should be suspected if they develop a serious systemic illness.  Appropriate empiric antifungal therapy should be considered while a diagnostic workup is being performed.  Antigen and antibody testing for histoplasmosis may be negative in some patients with active infection. When feasible, the decision to administer empiric antifungal therapy in these patients should be made in consultation with a physician with expertise in the diagnosis and treatment of invasive fungal infections and should take into account both the risk for severe fungal infection and risks of antifungal therapy.</w:t>
            </w:r>
          </w:p>
          <w:p w:rsidR="00AF6BFA" w:rsidRDefault="001C1840" w:rsidP="004C50B4">
            <w:pPr>
              <w:pStyle w:val="Paragraph"/>
              <w:rPr>
                <w:b/>
                <w:lang w:val="en-GB"/>
              </w:rPr>
            </w:pPr>
            <w:r w:rsidRPr="0052262B">
              <w:rPr>
                <w:b/>
                <w:lang w:val="en-GB"/>
              </w:rPr>
              <w:t>Tuberculosis:</w:t>
            </w:r>
          </w:p>
          <w:p w:rsidR="001C1840" w:rsidRPr="0052262B" w:rsidRDefault="001C1840" w:rsidP="004C50B4">
            <w:pPr>
              <w:pStyle w:val="Paragraph"/>
              <w:rPr>
                <w:lang w:val="en-GB"/>
              </w:rPr>
            </w:pPr>
            <w:r w:rsidRPr="0052262B">
              <w:rPr>
                <w:lang w:val="en-GB"/>
              </w:rPr>
              <w:t>Cases of reactivation of tuberculosis or new tuberculosis infections have been observed in patients receiving CIMZIA, including patients who have previously received treatment for latent or active tuberculosis.  Patients should be evaluated for tuberculosis risk factors and tested for latent infection prior to initiating CIMZIA and periodically during therapy.</w:t>
            </w:r>
          </w:p>
          <w:p w:rsidR="001C1840" w:rsidRPr="0052262B" w:rsidRDefault="001C1840" w:rsidP="004C50B4">
            <w:pPr>
              <w:pStyle w:val="Paragraph"/>
              <w:rPr>
                <w:u w:val="single"/>
                <w:lang w:val="en-GB"/>
              </w:rPr>
            </w:pPr>
            <w:r w:rsidRPr="0052262B">
              <w:rPr>
                <w:lang w:val="en-GB"/>
              </w:rPr>
              <w:t>Before initiation of therapy with CIMZIA, all patients must be evaluated for both active and inactive (latent) tuberculosis infection. This evaluation should include a detailed medical history for patients with a personal history of tuberculosis, with possible previous exposure to others with active tuberculosis, and with previous and/or current use of immunosuppressive therapy.  Appropriate screening tests, e.g. t</w:t>
            </w:r>
            <w:r w:rsidR="009B51F2">
              <w:rPr>
                <w:lang w:val="en-GB"/>
              </w:rPr>
              <w:t>uberculin skin test and chest X</w:t>
            </w:r>
            <w:r w:rsidRPr="0052262B">
              <w:rPr>
                <w:lang w:val="en-GB"/>
              </w:rPr>
              <w:t xml:space="preserve">-ray, should be performed in all patients (local recommendations may apply). It is recommended that the conduct of these tests should be recorded in the patient's alert card.  Prescribers are reminded of the risk of false negative tuberculin skin test results, especially in patients who are severely ill or immunocompromised. Biological tests for tuberculosis screening should be considered before starting CIMZIA treatment if there is any potential </w:t>
            </w:r>
            <w:r w:rsidRPr="0052262B">
              <w:rPr>
                <w:lang w:val="en-GB"/>
              </w:rPr>
              <w:lastRenderedPageBreak/>
              <w:t xml:space="preserve">latent tuberculosis infection, regardless of BCG vaccination. </w:t>
            </w:r>
          </w:p>
          <w:p w:rsidR="001C1840" w:rsidRPr="0052262B" w:rsidRDefault="001C1840" w:rsidP="004C50B4">
            <w:pPr>
              <w:pStyle w:val="Paragraph"/>
              <w:rPr>
                <w:lang w:val="en-GB"/>
              </w:rPr>
            </w:pPr>
            <w:r w:rsidRPr="0052262B">
              <w:rPr>
                <w:lang w:val="en-GB"/>
              </w:rPr>
              <w:t>If active tuberculosis is diagnosed, CIMZIA therapy must not be initiate</w:t>
            </w:r>
            <w:r w:rsidRPr="00504A6C">
              <w:rPr>
                <w:lang w:val="en-GB"/>
              </w:rPr>
              <w:t>d</w:t>
            </w:r>
            <w:r w:rsidR="00DD7D9F" w:rsidRPr="00504A6C">
              <w:rPr>
                <w:lang w:val="en-GB"/>
              </w:rPr>
              <w:t xml:space="preserve"> and must be discontinued (see CONT</w:t>
            </w:r>
            <w:r w:rsidR="007A008E" w:rsidRPr="00504A6C">
              <w:rPr>
                <w:lang w:val="en-GB"/>
              </w:rPr>
              <w:t>R</w:t>
            </w:r>
            <w:r w:rsidR="00DD7D9F" w:rsidRPr="00504A6C">
              <w:rPr>
                <w:lang w:val="en-GB"/>
              </w:rPr>
              <w:t>AINDICATIONS)</w:t>
            </w:r>
            <w:r w:rsidRPr="00504A6C">
              <w:rPr>
                <w:lang w:val="en-GB"/>
              </w:rPr>
              <w:t>. If l</w:t>
            </w:r>
            <w:r w:rsidRPr="0052262B">
              <w:rPr>
                <w:lang w:val="en-GB"/>
              </w:rPr>
              <w:t>atent tuberculosis is diagnosed, appropriate anti-tuberculosis prophylaxis must be started before initiating treatment with CIMZIA and in accordance with local recommendations. In this situation, the benefit/risk balance of therapy with CIMZIA should be very carefully considered. Patients should be instructed to seek medical advice if signs/symptoms (e.g., persistent cough, wasting/weight loss, low grade fever) suggestive of a tuberculosis infection occur during or after therapy with CIMZIA</w:t>
            </w:r>
            <w:r w:rsidR="000D58D8" w:rsidRPr="0052262B">
              <w:rPr>
                <w:lang w:val="en-GB"/>
              </w:rPr>
              <w:t xml:space="preserve"> (See ADVERSE EFFECTS)</w:t>
            </w:r>
            <w:r w:rsidRPr="0052262B">
              <w:rPr>
                <w:lang w:val="en-GB"/>
              </w:rPr>
              <w:t>.</w:t>
            </w:r>
            <w:r w:rsidR="00E42397" w:rsidRPr="00E42397">
              <w:rPr>
                <w:lang w:val="en-GB"/>
              </w:rPr>
              <w:t xml:space="preserve"> Despite previous or concomitant prophylactic treatment for tuberculosis, cases of active tuberculosis have occurred in patients treated with TNF-antagonists including CIMZIA.</w:t>
            </w:r>
          </w:p>
          <w:p w:rsidR="001C1840" w:rsidRPr="004C50B4" w:rsidRDefault="001C1840" w:rsidP="004C50B4">
            <w:pPr>
              <w:pStyle w:val="Paragraph"/>
              <w:rPr>
                <w:b/>
                <w:lang w:val="en-GB"/>
              </w:rPr>
            </w:pPr>
            <w:r w:rsidRPr="004C50B4">
              <w:rPr>
                <w:b/>
                <w:lang w:val="en-GB"/>
              </w:rPr>
              <w:t xml:space="preserve">Hepatitis B Virus (HBV) </w:t>
            </w:r>
            <w:r w:rsidRPr="004C50B4">
              <w:rPr>
                <w:b/>
                <w:bCs/>
                <w:lang w:val="en-GB"/>
              </w:rPr>
              <w:t>Reactivation</w:t>
            </w:r>
            <w:r w:rsidRPr="004C50B4">
              <w:rPr>
                <w:b/>
                <w:lang w:val="en-GB"/>
              </w:rPr>
              <w:t>:</w:t>
            </w:r>
          </w:p>
          <w:p w:rsidR="001C1840" w:rsidRPr="0052262B" w:rsidRDefault="006F1B3F" w:rsidP="004C50B4">
            <w:pPr>
              <w:pStyle w:val="Paragraph"/>
              <w:rPr>
                <w:lang w:val="en-GB"/>
              </w:rPr>
            </w:pPr>
            <w:r>
              <w:rPr>
                <w:lang w:val="en-GB"/>
              </w:rPr>
              <w:t>Reactivation of hepatitis B occurred in patients receiving a TNF-antagonist including C</w:t>
            </w:r>
            <w:r w:rsidR="00C80FA2">
              <w:rPr>
                <w:noProof/>
              </w:rPr>
              <w:t>IMZIA</w:t>
            </w:r>
            <w:r>
              <w:rPr>
                <w:lang w:val="en-GB"/>
              </w:rPr>
              <w:t>, who are chronic carriers of this virus (i.e. surface antigen positive).</w:t>
            </w:r>
            <w:r w:rsidR="009B51F2">
              <w:rPr>
                <w:lang w:val="en-GB"/>
              </w:rPr>
              <w:t xml:space="preserve"> </w:t>
            </w:r>
            <w:r w:rsidR="001C1840" w:rsidRPr="0052262B">
              <w:rPr>
                <w:lang w:val="en-GB"/>
              </w:rPr>
              <w:t>In some instances, HBV reactivation occurring in conjunction with TNF</w:t>
            </w:r>
            <w:r w:rsidR="005D6A02">
              <w:rPr>
                <w:lang w:val="en-GB"/>
              </w:rPr>
              <w:t>-antagonist</w:t>
            </w:r>
            <w:r w:rsidR="001C1840" w:rsidRPr="0052262B">
              <w:rPr>
                <w:lang w:val="en-GB"/>
              </w:rPr>
              <w:t xml:space="preserve"> therapy has been fatal. The majority of these reports have occurred in patients concomitantly receiving other medications that suppress the immune system, which may also contribute to HBV reactivation.</w:t>
            </w:r>
          </w:p>
          <w:p w:rsidR="001C1840" w:rsidRPr="0052262B" w:rsidRDefault="006F1B3F" w:rsidP="004C50B4">
            <w:pPr>
              <w:pStyle w:val="Paragraph"/>
              <w:rPr>
                <w:lang w:val="en-GB"/>
              </w:rPr>
            </w:pPr>
            <w:r>
              <w:rPr>
                <w:lang w:val="en-GB"/>
              </w:rPr>
              <w:t>Patients should be tested for HBV infection before initiating treatment with C</w:t>
            </w:r>
            <w:r w:rsidR="0026215D">
              <w:rPr>
                <w:lang w:val="en-GB"/>
              </w:rPr>
              <w:t>IMZIA</w:t>
            </w:r>
            <w:r>
              <w:rPr>
                <w:lang w:val="en-GB"/>
              </w:rPr>
              <w:t>.  For patients who test positive for HBV infection, consultation with a physician with expertise in the treatment of hepatitis B is recommended</w:t>
            </w:r>
            <w:r w:rsidR="006F699A">
              <w:rPr>
                <w:lang w:val="en-GB"/>
              </w:rPr>
              <w:t>.</w:t>
            </w:r>
            <w:r w:rsidR="001C1840" w:rsidRPr="0052262B">
              <w:rPr>
                <w:lang w:val="en-GB"/>
              </w:rPr>
              <w:t xml:space="preserve"> Adequate data are not available on the safety or efficacy of treating patients who are carriers of HBV with TNF</w:t>
            </w:r>
            <w:r w:rsidR="00913621">
              <w:rPr>
                <w:lang w:val="en-GB"/>
              </w:rPr>
              <w:t xml:space="preserve">-antagonist </w:t>
            </w:r>
            <w:r w:rsidR="001C1840" w:rsidRPr="0052262B">
              <w:rPr>
                <w:lang w:val="en-GB"/>
              </w:rPr>
              <w:t>therapy, in conjunction with anti-viral therapy, to prevent HBV reactivation. Patients who are carriers of HBV and require treatment with TNF</w:t>
            </w:r>
            <w:r w:rsidR="00913621">
              <w:rPr>
                <w:lang w:val="en-GB"/>
              </w:rPr>
              <w:t>-antagonists</w:t>
            </w:r>
            <w:r w:rsidR="001C1840" w:rsidRPr="0052262B">
              <w:rPr>
                <w:lang w:val="en-GB"/>
              </w:rPr>
              <w:t xml:space="preserve"> should be closely monitored for clinical and laboratory signs of active HBV infection throughout therapy and for several months following termination of therapy.</w:t>
            </w:r>
          </w:p>
          <w:p w:rsidR="006D6F80" w:rsidRPr="0052262B" w:rsidRDefault="001C1840" w:rsidP="004C50B4">
            <w:pPr>
              <w:pStyle w:val="Paragraph"/>
              <w:rPr>
                <w:lang w:val="en-GB"/>
              </w:rPr>
            </w:pPr>
            <w:r w:rsidRPr="0052262B">
              <w:rPr>
                <w:lang w:val="en-GB"/>
              </w:rPr>
              <w:t>In patients who develop HBV reactivation, CIMZIA should be discontinued and effective anti-viral therapy with appropriate supportive treatment should be initiated. The safety of resuming TNF</w:t>
            </w:r>
            <w:r w:rsidR="00913621">
              <w:rPr>
                <w:lang w:val="en-GB"/>
              </w:rPr>
              <w:t xml:space="preserve">-antagonist </w:t>
            </w:r>
            <w:r w:rsidRPr="0052262B">
              <w:rPr>
                <w:lang w:val="en-GB"/>
              </w:rPr>
              <w:t>therapy after HBV reactivation is controlled is not known. Therefore, prescribers should exercise caution when considering resumption of CIMZIA therapy in this situation and monitor patients closely.</w:t>
            </w:r>
          </w:p>
          <w:p w:rsidR="001C1840" w:rsidRDefault="001C1840" w:rsidP="006D6F80">
            <w:pPr>
              <w:pStyle w:val="BodyText"/>
              <w:keepNext/>
              <w:spacing w:before="0" w:after="0"/>
              <w:outlineLvl w:val="0"/>
              <w:rPr>
                <w:b/>
                <w:lang w:val="en-GB"/>
              </w:rPr>
            </w:pPr>
            <w:r w:rsidRPr="0052262B">
              <w:rPr>
                <w:b/>
                <w:lang w:val="en-GB"/>
              </w:rPr>
              <w:t>Malignancies and lymphoproliferative disorders:</w:t>
            </w:r>
          </w:p>
          <w:p w:rsidR="00E25CA1" w:rsidRPr="0052262B" w:rsidRDefault="00E25CA1" w:rsidP="006D6F80">
            <w:pPr>
              <w:pStyle w:val="BodyText"/>
              <w:keepNext/>
              <w:spacing w:before="0" w:after="0"/>
              <w:outlineLvl w:val="0"/>
              <w:rPr>
                <w:b/>
                <w:lang w:val="en-GB"/>
              </w:rPr>
            </w:pPr>
          </w:p>
          <w:p w:rsidR="00DF7E48" w:rsidRPr="00B90B7C" w:rsidRDefault="001C1840" w:rsidP="006D6F80">
            <w:pPr>
              <w:pStyle w:val="Paragraph"/>
              <w:keepNext/>
            </w:pPr>
            <w:r w:rsidRPr="0052262B">
              <w:rPr>
                <w:lang w:val="en-GB"/>
              </w:rPr>
              <w:t>In clinical studies with CIMZIA and other TNF</w:t>
            </w:r>
            <w:r w:rsidR="00913621">
              <w:rPr>
                <w:lang w:val="en-GB"/>
              </w:rPr>
              <w:t>-antagonist</w:t>
            </w:r>
            <w:r w:rsidRPr="0052262B">
              <w:rPr>
                <w:lang w:val="en-GB"/>
              </w:rPr>
              <w:t xml:space="preserve"> agents, more cases of lymphoma and other malignancies have been observed among patients receiving TNF</w:t>
            </w:r>
            <w:r w:rsidR="00913621">
              <w:rPr>
                <w:lang w:val="en-GB"/>
              </w:rPr>
              <w:t>-</w:t>
            </w:r>
            <w:r w:rsidRPr="0052262B">
              <w:rPr>
                <w:lang w:val="en-GB"/>
              </w:rPr>
              <w:t>antagonists than in control patients receiving placebo. However, the occurrence was uncommon or rare, and the observation period for patients on placebo was shorter than for patients receiving TNF-</w:t>
            </w:r>
            <w:r w:rsidR="00913621">
              <w:rPr>
                <w:lang w:val="en-GB"/>
              </w:rPr>
              <w:t>antagonist</w:t>
            </w:r>
            <w:r w:rsidR="00913621" w:rsidRPr="0052262B">
              <w:rPr>
                <w:lang w:val="en-GB"/>
              </w:rPr>
              <w:t xml:space="preserve"> </w:t>
            </w:r>
            <w:r w:rsidRPr="0052262B">
              <w:rPr>
                <w:lang w:val="en-GB"/>
              </w:rPr>
              <w:t>therapy. Furthermore, the background lymphoma risk in rheumatoid arthritis patients complicates the risk estimation. A possible risk for the development of lymphomas or other malignancies in patients treated with a TNF</w:t>
            </w:r>
            <w:r w:rsidR="00913621">
              <w:rPr>
                <w:lang w:val="en-GB"/>
              </w:rPr>
              <w:t>-antagonist</w:t>
            </w:r>
            <w:r w:rsidR="00316C1B" w:rsidRPr="0052262B">
              <w:rPr>
                <w:lang w:val="en-GB"/>
              </w:rPr>
              <w:t xml:space="preserve"> </w:t>
            </w:r>
            <w:r w:rsidRPr="0052262B">
              <w:rPr>
                <w:lang w:val="en-GB"/>
              </w:rPr>
              <w:t>cannot be excluded.</w:t>
            </w:r>
          </w:p>
          <w:p w:rsidR="008D35BA" w:rsidRDefault="00DF7E48" w:rsidP="006D6F80">
            <w:pPr>
              <w:pStyle w:val="Paragraph"/>
              <w:keepNext/>
              <w:rPr>
                <w:lang w:val="en-GB"/>
              </w:rPr>
            </w:pPr>
            <w:r w:rsidRPr="0052262B">
              <w:rPr>
                <w:lang w:val="en-GB"/>
              </w:rPr>
              <w:t>Malignancies, some fatal, have been reported among children, adolescents, and young adults who received treatment with TNF-</w:t>
            </w:r>
            <w:r w:rsidR="00913621">
              <w:rPr>
                <w:lang w:val="en-GB"/>
              </w:rPr>
              <w:t xml:space="preserve">antagonist </w:t>
            </w:r>
            <w:r w:rsidRPr="0052262B">
              <w:rPr>
                <w:lang w:val="en-GB"/>
              </w:rPr>
              <w:t>agents (initiation of therapy ≤ 18 years of age) of which CIMZIA is a member</w:t>
            </w:r>
            <w:r w:rsidR="00890792" w:rsidRPr="0052262B">
              <w:rPr>
                <w:lang w:val="en-GB"/>
              </w:rPr>
              <w:t xml:space="preserve"> (See PAEDIATRIC USE)</w:t>
            </w:r>
            <w:r w:rsidRPr="0052262B">
              <w:rPr>
                <w:lang w:val="en-GB"/>
              </w:rPr>
              <w:t xml:space="preserve">.  Approximately half the cases were lymphomas, including Hodgkin’s and non-Hodgkin’s lymphoma.  The other cases represented a variety of different malignancies and included rare malignancies usually </w:t>
            </w:r>
            <w:r w:rsidRPr="0052262B">
              <w:rPr>
                <w:lang w:val="en-GB"/>
              </w:rPr>
              <w:lastRenderedPageBreak/>
              <w:t xml:space="preserve">associated with immunosuppression and malignancies that are not usually observed in children and adolescents.  The malignancies occurred after a median of 30 months of therapy (range 1 to 84 months).  Most of the patients were receiving concomitant </w:t>
            </w:r>
            <w:proofErr w:type="spellStart"/>
            <w:r w:rsidRPr="0052262B">
              <w:rPr>
                <w:lang w:val="en-GB"/>
              </w:rPr>
              <w:t>immunosuppressants</w:t>
            </w:r>
            <w:proofErr w:type="spellEnd"/>
            <w:r w:rsidRPr="0052262B">
              <w:rPr>
                <w:lang w:val="en-GB"/>
              </w:rPr>
              <w:t>.  These cases were reported post</w:t>
            </w:r>
          </w:p>
          <w:p w:rsidR="00DF7E48" w:rsidRPr="0052262B" w:rsidRDefault="00DF7E48" w:rsidP="006D6F80">
            <w:pPr>
              <w:pStyle w:val="Paragraph"/>
              <w:keepNext/>
              <w:rPr>
                <w:lang w:val="en-GB"/>
              </w:rPr>
            </w:pPr>
            <w:r w:rsidRPr="0052262B">
              <w:rPr>
                <w:lang w:val="en-GB"/>
              </w:rPr>
              <w:t>-marketing and are derived from a variety of sources including registries and spontaneous post-marketing reports.</w:t>
            </w:r>
            <w:r w:rsidR="00913621">
              <w:rPr>
                <w:lang w:val="en-GB"/>
              </w:rPr>
              <w:t xml:space="preserve">  </w:t>
            </w:r>
          </w:p>
          <w:p w:rsidR="00F6058C" w:rsidRDefault="00F6058C" w:rsidP="00F6058C">
            <w:pPr>
              <w:pStyle w:val="Paragraph"/>
              <w:keepNext/>
              <w:rPr>
                <w:lang w:val="en-GB"/>
              </w:rPr>
            </w:pPr>
            <w:proofErr w:type="spellStart"/>
            <w:r>
              <w:rPr>
                <w:lang w:val="en-GB"/>
              </w:rPr>
              <w:t>Postmarketing</w:t>
            </w:r>
            <w:proofErr w:type="spellEnd"/>
            <w:r>
              <w:rPr>
                <w:lang w:val="en-GB"/>
              </w:rPr>
              <w:t xml:space="preserve"> cases of </w:t>
            </w:r>
            <w:proofErr w:type="spellStart"/>
            <w:r>
              <w:rPr>
                <w:lang w:val="en-GB"/>
              </w:rPr>
              <w:t>hepatosplenic</w:t>
            </w:r>
            <w:proofErr w:type="spellEnd"/>
            <w:r>
              <w:rPr>
                <w:lang w:val="en-GB"/>
              </w:rPr>
              <w:t xml:space="preserve"> T-cell-lymphoma (HSTCL), a rare type of T-cell lymphoma that has a very aggressive disease course and is usually fatal, have been reported in patients treated with TNF-antagonists.  The majority of the reported TNF-antagonist cases occurred in adolescent and young adult males with Crohn’s disease or ulcerative colitis.  Almost all of these patients had received treatment with the </w:t>
            </w:r>
            <w:proofErr w:type="spellStart"/>
            <w:r>
              <w:rPr>
                <w:lang w:val="en-GB"/>
              </w:rPr>
              <w:t>immunosuppressants</w:t>
            </w:r>
            <w:proofErr w:type="spellEnd"/>
            <w:r>
              <w:rPr>
                <w:lang w:val="en-GB"/>
              </w:rPr>
              <w:t xml:space="preserve"> azathioprine and/or 6-mercaptopurine concomitantly with a TNF-antagonist prior to diagnosis. </w:t>
            </w:r>
          </w:p>
          <w:p w:rsidR="008456C8" w:rsidRPr="0052262B" w:rsidRDefault="008456C8" w:rsidP="00F6058C">
            <w:pPr>
              <w:pStyle w:val="Paragraph"/>
              <w:keepNext/>
              <w:rPr>
                <w:lang w:val="en-GB"/>
              </w:rPr>
            </w:pPr>
          </w:p>
          <w:p w:rsidR="001C1840" w:rsidRPr="0052262B" w:rsidRDefault="001C1840" w:rsidP="006D6F80">
            <w:pPr>
              <w:pStyle w:val="Paragraph"/>
              <w:keepNext/>
              <w:rPr>
                <w:lang w:val="en-GB"/>
              </w:rPr>
            </w:pPr>
            <w:r w:rsidRPr="0052262B">
              <w:rPr>
                <w:lang w:val="en-GB"/>
              </w:rPr>
              <w:t xml:space="preserve">In the CIMZIA RA clinical trials (placebo-controlled and open-label) a total of </w:t>
            </w:r>
            <w:r w:rsidR="00F6058C">
              <w:rPr>
                <w:lang w:val="en-GB"/>
              </w:rPr>
              <w:t>5</w:t>
            </w:r>
            <w:r w:rsidRPr="0052262B">
              <w:rPr>
                <w:lang w:val="en-GB"/>
              </w:rPr>
              <w:t xml:space="preserve"> cases of lymphoma were observed among </w:t>
            </w:r>
            <w:r w:rsidR="00F6058C">
              <w:rPr>
                <w:lang w:val="en-GB"/>
              </w:rPr>
              <w:t>4,049</w:t>
            </w:r>
            <w:r w:rsidRPr="0052262B">
              <w:rPr>
                <w:lang w:val="en-GB"/>
              </w:rPr>
              <w:t xml:space="preserve"> patients. Patients with RA, particularly those with highly active disease, are at a higher risk for the development of lymphoma. </w:t>
            </w:r>
          </w:p>
          <w:p w:rsidR="00FF2686" w:rsidRPr="0052262B" w:rsidRDefault="001C1840" w:rsidP="006D6F80">
            <w:pPr>
              <w:pStyle w:val="Paragraph"/>
              <w:keepNext/>
              <w:rPr>
                <w:lang w:val="en-GB"/>
              </w:rPr>
            </w:pPr>
            <w:r w:rsidRPr="0052262B">
              <w:rPr>
                <w:lang w:val="en-GB"/>
              </w:rPr>
              <w:t>Rates in clinical studies for CIMZIA cannot be compared to the rates of clinical trials of other TNF</w:t>
            </w:r>
            <w:r w:rsidR="00913621">
              <w:rPr>
                <w:lang w:val="en-GB"/>
              </w:rPr>
              <w:t>-antagonists</w:t>
            </w:r>
            <w:r w:rsidRPr="0052262B">
              <w:rPr>
                <w:lang w:val="en-GB"/>
              </w:rPr>
              <w:t xml:space="preserve"> and may not predict the rates observed when CIMZIA is used in a broader patient population. </w:t>
            </w:r>
            <w:r w:rsidR="00FF2686" w:rsidRPr="0052262B">
              <w:rPr>
                <w:lang w:val="en-GB"/>
              </w:rPr>
              <w:t>The potential role of TNF</w:t>
            </w:r>
            <w:r w:rsidR="00913621">
              <w:rPr>
                <w:lang w:val="en-GB"/>
              </w:rPr>
              <w:t>-antagonist</w:t>
            </w:r>
            <w:r w:rsidR="00FF2686" w:rsidRPr="0052262B">
              <w:rPr>
                <w:lang w:val="en-GB"/>
              </w:rPr>
              <w:t xml:space="preserve"> therapy in the development of malignancies in adults is not known.</w:t>
            </w:r>
          </w:p>
          <w:p w:rsidR="001C1840" w:rsidRPr="0052262B" w:rsidRDefault="00FF2686" w:rsidP="006D6F80">
            <w:pPr>
              <w:pStyle w:val="Paragraph"/>
              <w:keepNext/>
              <w:rPr>
                <w:lang w:val="en-GB"/>
              </w:rPr>
            </w:pPr>
            <w:r w:rsidRPr="0052262B">
              <w:rPr>
                <w:lang w:val="en-GB"/>
              </w:rPr>
              <w:t>Cases of acute and chronic leuk</w:t>
            </w:r>
            <w:r w:rsidR="00220239">
              <w:rPr>
                <w:lang w:val="en-GB"/>
              </w:rPr>
              <w:t>a</w:t>
            </w:r>
            <w:r w:rsidRPr="0052262B">
              <w:rPr>
                <w:lang w:val="en-GB"/>
              </w:rPr>
              <w:t>emia have been reported in association with post-marketing TNF-</w:t>
            </w:r>
            <w:r w:rsidR="00913621">
              <w:rPr>
                <w:lang w:val="en-GB"/>
              </w:rPr>
              <w:t>antagonist</w:t>
            </w:r>
            <w:r w:rsidRPr="0052262B">
              <w:rPr>
                <w:lang w:val="en-GB"/>
              </w:rPr>
              <w:t xml:space="preserve"> use in RA and other indications.  Even in the absence of TNF-</w:t>
            </w:r>
            <w:r w:rsidR="00913621">
              <w:rPr>
                <w:lang w:val="en-GB"/>
              </w:rPr>
              <w:t>antagonist</w:t>
            </w:r>
            <w:r w:rsidRPr="0052262B">
              <w:rPr>
                <w:lang w:val="en-GB"/>
              </w:rPr>
              <w:t xml:space="preserve"> therapy, patients with RA may be at a higher risk (approximately 2-fold) than the general population for the development of leuk</w:t>
            </w:r>
            <w:r w:rsidR="009B51F2">
              <w:rPr>
                <w:lang w:val="en-GB"/>
              </w:rPr>
              <w:t>a</w:t>
            </w:r>
            <w:r w:rsidRPr="0052262B">
              <w:rPr>
                <w:lang w:val="en-GB"/>
              </w:rPr>
              <w:t xml:space="preserve">emia.  </w:t>
            </w:r>
          </w:p>
          <w:p w:rsidR="001C1840" w:rsidRDefault="001C1840" w:rsidP="006D6F80">
            <w:pPr>
              <w:pStyle w:val="Paragraph"/>
              <w:keepNext/>
              <w:rPr>
                <w:lang w:val="en-GB"/>
              </w:rPr>
            </w:pPr>
            <w:r w:rsidRPr="0052262B">
              <w:rPr>
                <w:lang w:val="en-GB"/>
              </w:rPr>
              <w:t>No studies have been conducted that include patients with a history of malignancy, or that continue treatment in patients who develop malignancy, while receiving CIMZIA. Thus, particular caution should be exercised in considering CIMZIA treatment of these patients. Patients treated with C</w:t>
            </w:r>
            <w:r w:rsidR="0026215D">
              <w:rPr>
                <w:lang w:val="en-GB"/>
              </w:rPr>
              <w:t>IMZIA</w:t>
            </w:r>
            <w:r w:rsidRPr="0052262B">
              <w:rPr>
                <w:lang w:val="en-GB"/>
              </w:rPr>
              <w:t xml:space="preserve"> should be monitored for symptoms of malignancy and be instructed to inform their physician of any changes to their general health</w:t>
            </w:r>
            <w:r w:rsidR="00925F12" w:rsidRPr="0052262B">
              <w:rPr>
                <w:lang w:val="en-GB"/>
              </w:rPr>
              <w:t xml:space="preserve"> (See ADVERSE EFFECTS)</w:t>
            </w:r>
            <w:r w:rsidRPr="0052262B">
              <w:rPr>
                <w:lang w:val="en-GB"/>
              </w:rPr>
              <w:t>.</w:t>
            </w:r>
          </w:p>
          <w:p w:rsidR="00195E8C" w:rsidRPr="00195E8C" w:rsidRDefault="00195E8C" w:rsidP="006D6F80">
            <w:pPr>
              <w:pStyle w:val="Paragraph"/>
              <w:keepNext/>
              <w:rPr>
                <w:b/>
                <w:lang w:val="en-GB"/>
              </w:rPr>
            </w:pPr>
            <w:r w:rsidRPr="00195E8C">
              <w:rPr>
                <w:b/>
                <w:lang w:val="en-GB"/>
              </w:rPr>
              <w:t>Skin cancers</w:t>
            </w:r>
          </w:p>
          <w:p w:rsidR="00195E8C" w:rsidRPr="0052262B" w:rsidRDefault="00195E8C" w:rsidP="006D6F80">
            <w:pPr>
              <w:pStyle w:val="Paragraph"/>
              <w:keepNext/>
              <w:rPr>
                <w:lang w:val="en-GB"/>
              </w:rPr>
            </w:pPr>
            <w:r>
              <w:rPr>
                <w:lang w:val="en-GB"/>
              </w:rPr>
              <w:t xml:space="preserve">Melanoma and </w:t>
            </w:r>
            <w:proofErr w:type="spellStart"/>
            <w:r>
              <w:rPr>
                <w:lang w:val="en-GB"/>
              </w:rPr>
              <w:t>Merkell</w:t>
            </w:r>
            <w:proofErr w:type="spellEnd"/>
            <w:r>
              <w:rPr>
                <w:lang w:val="en-GB"/>
              </w:rPr>
              <w:t xml:space="preserve"> cell carcinoma have been reported in patients treated with TNF-antagonists including CIMZIA.  Periodic skin examinations are recommended for all patients, particularly those with risk factors for skin cancer.</w:t>
            </w:r>
          </w:p>
          <w:p w:rsidR="00925F12" w:rsidRPr="00AF6BFA" w:rsidRDefault="00925F12" w:rsidP="00AF6BFA">
            <w:pPr>
              <w:pStyle w:val="Paragraph"/>
              <w:rPr>
                <w:b/>
                <w:lang w:val="en-GB"/>
              </w:rPr>
            </w:pPr>
            <w:r w:rsidRPr="00AF6BFA">
              <w:rPr>
                <w:b/>
                <w:lang w:val="en-GB"/>
              </w:rPr>
              <w:t>Chronic obstructive pulmonary disease (COPD)</w:t>
            </w:r>
            <w:r w:rsidR="00AF6BFA" w:rsidRPr="00AF6BFA">
              <w:rPr>
                <w:b/>
                <w:lang w:val="en-GB"/>
              </w:rPr>
              <w:t>:</w:t>
            </w:r>
          </w:p>
          <w:p w:rsidR="00925F12" w:rsidRDefault="00925F12" w:rsidP="00AF6BFA">
            <w:pPr>
              <w:pStyle w:val="Paragraph"/>
              <w:rPr>
                <w:lang w:val="en-GB"/>
              </w:rPr>
            </w:pPr>
            <w:r w:rsidRPr="0052262B">
              <w:rPr>
                <w:lang w:val="en-GB"/>
              </w:rPr>
              <w:t>In an exploratory clinical trial evaluating the use of another TNF</w:t>
            </w:r>
            <w:r w:rsidR="002C5F48">
              <w:rPr>
                <w:lang w:val="en-GB"/>
              </w:rPr>
              <w:t>-</w:t>
            </w:r>
            <w:r w:rsidRPr="0052262B">
              <w:rPr>
                <w:lang w:val="en-GB"/>
              </w:rPr>
              <w:t xml:space="preserve">antagonist, infliximab, in patients with moderate to severe chronic obstructive pulmonary disease (COPD), more malignancies, mostly in the lung or head and neck, were reported in </w:t>
            </w:r>
            <w:r w:rsidR="00913904">
              <w:rPr>
                <w:lang w:val="en-GB"/>
              </w:rPr>
              <w:t>active</w:t>
            </w:r>
            <w:r w:rsidRPr="0052262B">
              <w:rPr>
                <w:lang w:val="en-GB"/>
              </w:rPr>
              <w:t>-treated patients compared with control patients.  All patients had a history of heavy smoking.  Therefore, caution should be exercised when using any TNF antagonist in COPD patients, as well as in patients with increased risk for malignancy due to heavy smoking.</w:t>
            </w:r>
          </w:p>
          <w:p w:rsidR="001C1840" w:rsidRPr="00AF6BFA" w:rsidRDefault="001C1840" w:rsidP="00AF6BFA">
            <w:pPr>
              <w:pStyle w:val="Paragraph"/>
              <w:rPr>
                <w:b/>
                <w:lang w:val="en-GB"/>
              </w:rPr>
            </w:pPr>
            <w:r w:rsidRPr="00AF6BFA">
              <w:rPr>
                <w:b/>
                <w:lang w:val="en-GB"/>
              </w:rPr>
              <w:t>Congestive heart failure:</w:t>
            </w:r>
          </w:p>
          <w:p w:rsidR="001C1840" w:rsidRPr="0052262B" w:rsidRDefault="001C1840" w:rsidP="00AF6BFA">
            <w:pPr>
              <w:pStyle w:val="Paragraph"/>
              <w:rPr>
                <w:lang w:val="en-GB"/>
              </w:rPr>
            </w:pPr>
            <w:r w:rsidRPr="0052262B">
              <w:rPr>
                <w:lang w:val="en-GB"/>
              </w:rPr>
              <w:lastRenderedPageBreak/>
              <w:t>In a clinical trial with another TNF</w:t>
            </w:r>
            <w:r w:rsidR="002C5F48">
              <w:rPr>
                <w:lang w:val="en-GB"/>
              </w:rPr>
              <w:t>-antagonist</w:t>
            </w:r>
            <w:r w:rsidRPr="0052262B">
              <w:rPr>
                <w:lang w:val="en-GB"/>
              </w:rPr>
              <w:t>, worsening congestive heart failure and increased mortality due to congestive heart failure have been observed. Cases of congestive heart failure have also been reported in rheumatoid arthritis patients receiving CIMZIA. CIMZIA should be used with caution in patients with mild heart failure (NYHA class I/II). CIMZIA is contraindicated in moderate or severe heart failure.  Treatment with CIMZIA must be discontinued in patients who develop new or worsening symptoms of congestive heart failure</w:t>
            </w:r>
            <w:r w:rsidR="00925F12" w:rsidRPr="0052262B">
              <w:rPr>
                <w:lang w:val="en-GB"/>
              </w:rPr>
              <w:t xml:space="preserve"> (See ADVERSE EFFECTS)</w:t>
            </w:r>
            <w:r w:rsidRPr="0052262B">
              <w:rPr>
                <w:lang w:val="en-GB"/>
              </w:rPr>
              <w:t>.</w:t>
            </w:r>
          </w:p>
          <w:p w:rsidR="001C1840" w:rsidRPr="00AF6BFA" w:rsidRDefault="001C1840" w:rsidP="00AF6BFA">
            <w:pPr>
              <w:pStyle w:val="Paragraph"/>
              <w:rPr>
                <w:b/>
                <w:lang w:val="en-GB"/>
              </w:rPr>
            </w:pPr>
            <w:proofErr w:type="spellStart"/>
            <w:r w:rsidRPr="00AF6BFA">
              <w:rPr>
                <w:b/>
                <w:lang w:val="en-GB"/>
              </w:rPr>
              <w:t>Haematologic</w:t>
            </w:r>
            <w:proofErr w:type="spellEnd"/>
            <w:r w:rsidRPr="00AF6BFA">
              <w:rPr>
                <w:b/>
                <w:lang w:val="en-GB"/>
              </w:rPr>
              <w:t xml:space="preserve"> events:</w:t>
            </w:r>
          </w:p>
          <w:p w:rsidR="001C1840" w:rsidRPr="0052262B" w:rsidRDefault="001C1840" w:rsidP="00AF6BFA">
            <w:pPr>
              <w:pStyle w:val="Paragraph"/>
              <w:rPr>
                <w:lang w:val="en-GB"/>
              </w:rPr>
            </w:pPr>
            <w:r w:rsidRPr="0052262B">
              <w:rPr>
                <w:lang w:val="en-GB"/>
              </w:rPr>
              <w:t>Reports of pancytopenia, including aplastic anaemia, have been rare with TNF</w:t>
            </w:r>
            <w:r w:rsidR="002C5F48">
              <w:rPr>
                <w:lang w:val="en-GB"/>
              </w:rPr>
              <w:t>-antagonists</w:t>
            </w:r>
            <w:r w:rsidRPr="0052262B">
              <w:rPr>
                <w:lang w:val="en-GB"/>
              </w:rPr>
              <w:t xml:space="preserve">.  Adverse events of the </w:t>
            </w:r>
            <w:proofErr w:type="spellStart"/>
            <w:r w:rsidRPr="0052262B">
              <w:rPr>
                <w:lang w:val="en-GB"/>
              </w:rPr>
              <w:t>haematologic</w:t>
            </w:r>
            <w:proofErr w:type="spellEnd"/>
            <w:r w:rsidRPr="0052262B">
              <w:rPr>
                <w:lang w:val="en-GB"/>
              </w:rPr>
              <w:t xml:space="preserve"> system, including medically significant </w:t>
            </w:r>
            <w:proofErr w:type="spellStart"/>
            <w:r w:rsidRPr="0052262B">
              <w:rPr>
                <w:lang w:val="en-GB"/>
              </w:rPr>
              <w:t>cytopenia</w:t>
            </w:r>
            <w:proofErr w:type="spellEnd"/>
            <w:r w:rsidRPr="0052262B">
              <w:rPr>
                <w:lang w:val="en-GB"/>
              </w:rPr>
              <w:t xml:space="preserve"> (e.g. leukopenia, pancytopenia, and thrombocytopenia) have been infrequently reported with CIMZIA. </w:t>
            </w:r>
            <w:r w:rsidRPr="0052262B">
              <w:rPr>
                <w:bCs/>
                <w:lang w:val="en-GB"/>
              </w:rPr>
              <w:t xml:space="preserve">Although no high risk group has been identified, exercise caution in patients being treated with CIMZIA who have </w:t>
            </w:r>
            <w:r w:rsidR="00A906D6" w:rsidRPr="0052262B">
              <w:rPr>
                <w:bCs/>
                <w:lang w:val="en-GB"/>
              </w:rPr>
              <w:t>on-going</w:t>
            </w:r>
            <w:r w:rsidRPr="0052262B">
              <w:rPr>
                <w:bCs/>
                <w:lang w:val="en-GB"/>
              </w:rPr>
              <w:t>, or a history of, significant hematologic abnormalities</w:t>
            </w:r>
            <w:r w:rsidRPr="0052262B">
              <w:rPr>
                <w:bCs/>
                <w:color w:val="FF0000"/>
                <w:lang w:val="en-GB"/>
              </w:rPr>
              <w:t>.</w:t>
            </w:r>
            <w:r w:rsidRPr="00AF6BFA">
              <w:rPr>
                <w:bCs/>
                <w:lang w:val="en-GB"/>
              </w:rPr>
              <w:t xml:space="preserve">  </w:t>
            </w:r>
            <w:r w:rsidRPr="0052262B">
              <w:rPr>
                <w:lang w:val="en-GB"/>
              </w:rPr>
              <w:t xml:space="preserve">All patients should be advised to seek immediate medical attention if they develop signs and symptoms suggestive of blood </w:t>
            </w:r>
            <w:proofErr w:type="spellStart"/>
            <w:r w:rsidRPr="0052262B">
              <w:rPr>
                <w:lang w:val="en-GB"/>
              </w:rPr>
              <w:t>dyscrasias</w:t>
            </w:r>
            <w:proofErr w:type="spellEnd"/>
            <w:r w:rsidRPr="0052262B">
              <w:rPr>
                <w:lang w:val="en-GB"/>
              </w:rPr>
              <w:t xml:space="preserve"> or infection (e.g., persistent fever, bruising, bleeding, pallor) while on CIMZIA.  Discontinuation of CIMZIA therapy should be considered in patients with confirmed significant </w:t>
            </w:r>
            <w:proofErr w:type="spellStart"/>
            <w:r w:rsidRPr="0052262B">
              <w:rPr>
                <w:lang w:val="en-GB"/>
              </w:rPr>
              <w:t>haematologic</w:t>
            </w:r>
            <w:proofErr w:type="spellEnd"/>
            <w:r w:rsidRPr="0052262B">
              <w:rPr>
                <w:lang w:val="en-GB"/>
              </w:rPr>
              <w:t xml:space="preserve"> abnormalities.</w:t>
            </w:r>
          </w:p>
          <w:p w:rsidR="001C1840" w:rsidRPr="00AF6BFA" w:rsidRDefault="001C1840" w:rsidP="00AF6BFA">
            <w:pPr>
              <w:pStyle w:val="Paragraph"/>
              <w:rPr>
                <w:b/>
                <w:lang w:val="en-GB"/>
              </w:rPr>
            </w:pPr>
            <w:r w:rsidRPr="00AF6BFA">
              <w:rPr>
                <w:b/>
                <w:lang w:val="en-GB"/>
              </w:rPr>
              <w:t>Neurological events:</w:t>
            </w:r>
          </w:p>
          <w:p w:rsidR="001C1840" w:rsidRPr="0052262B" w:rsidRDefault="001C1840" w:rsidP="00AF6BFA">
            <w:pPr>
              <w:pStyle w:val="Paragraph"/>
              <w:rPr>
                <w:lang w:val="en-GB"/>
              </w:rPr>
            </w:pPr>
            <w:r w:rsidRPr="0052262B">
              <w:rPr>
                <w:lang w:val="en-GB"/>
              </w:rPr>
              <w:t>Use of TNF</w:t>
            </w:r>
            <w:r w:rsidR="002C5F48">
              <w:rPr>
                <w:lang w:val="en-GB"/>
              </w:rPr>
              <w:t>-antagonists</w:t>
            </w:r>
            <w:r w:rsidRPr="0052262B">
              <w:rPr>
                <w:lang w:val="en-GB"/>
              </w:rPr>
              <w:t xml:space="preserve"> has been associated with rare cases of exacerbation of clinical symptoms and/or radiographic evidence of </w:t>
            </w:r>
            <w:r w:rsidR="00171833" w:rsidRPr="00171833">
              <w:rPr>
                <w:lang w:val="en-GB"/>
              </w:rPr>
              <w:t xml:space="preserve">central nervous system </w:t>
            </w:r>
            <w:r w:rsidRPr="0052262B">
              <w:rPr>
                <w:lang w:val="en-GB"/>
              </w:rPr>
              <w:t>demyelinating disease</w:t>
            </w:r>
            <w:r w:rsidR="00913904">
              <w:rPr>
                <w:lang w:val="en-GB"/>
              </w:rPr>
              <w:t xml:space="preserve"> including multiple sclerosis</w:t>
            </w:r>
            <w:r w:rsidR="00171833">
              <w:rPr>
                <w:lang w:val="en-GB"/>
              </w:rPr>
              <w:t xml:space="preserve">, </w:t>
            </w:r>
            <w:r w:rsidR="00171833" w:rsidRPr="00171833">
              <w:rPr>
                <w:lang w:val="en-GB"/>
              </w:rPr>
              <w:t xml:space="preserve">and with peripheral demyelinating disease, including </w:t>
            </w:r>
            <w:proofErr w:type="spellStart"/>
            <w:r w:rsidR="00171833" w:rsidRPr="00171833">
              <w:rPr>
                <w:lang w:val="en-GB"/>
              </w:rPr>
              <w:t>Guillain-Barré</w:t>
            </w:r>
            <w:proofErr w:type="spellEnd"/>
            <w:r w:rsidR="00171833" w:rsidRPr="00171833">
              <w:rPr>
                <w:lang w:val="en-GB"/>
              </w:rPr>
              <w:t xml:space="preserve"> syndrome</w:t>
            </w:r>
            <w:r w:rsidR="00171833">
              <w:rPr>
                <w:lang w:val="en-GB"/>
              </w:rPr>
              <w:t>.</w:t>
            </w:r>
            <w:r w:rsidRPr="0052262B">
              <w:rPr>
                <w:lang w:val="en-GB"/>
              </w:rPr>
              <w:t xml:space="preserve">  Prescribers should exercise caution in considering the use of CIMZIA in patients with pre-existing or recent-onset central nervous system demyelinating disorders.  Rare cases of neurological disorders, including seizure disorder, </w:t>
            </w:r>
            <w:r w:rsidR="00913904">
              <w:rPr>
                <w:lang w:val="en-GB"/>
              </w:rPr>
              <w:t xml:space="preserve">cranial nerve </w:t>
            </w:r>
            <w:r w:rsidRPr="0052262B">
              <w:rPr>
                <w:lang w:val="en-GB"/>
              </w:rPr>
              <w:t>neuritis</w:t>
            </w:r>
            <w:r w:rsidR="00913904">
              <w:rPr>
                <w:lang w:val="en-GB"/>
              </w:rPr>
              <w:t>,</w:t>
            </w:r>
            <w:r w:rsidRPr="0052262B">
              <w:rPr>
                <w:lang w:val="en-GB"/>
              </w:rPr>
              <w:t xml:space="preserve"> peripheral neuropathy</w:t>
            </w:r>
            <w:r w:rsidR="00913904">
              <w:rPr>
                <w:lang w:val="en-GB"/>
              </w:rPr>
              <w:t xml:space="preserve"> and transverse myelitis</w:t>
            </w:r>
            <w:r w:rsidRPr="0052262B">
              <w:rPr>
                <w:lang w:val="en-GB"/>
              </w:rPr>
              <w:t>, have been reported in patients treated with CIMZIA.</w:t>
            </w:r>
          </w:p>
          <w:p w:rsidR="001C1840" w:rsidRPr="00AF6BFA" w:rsidRDefault="001C1840" w:rsidP="00AF6BFA">
            <w:pPr>
              <w:pStyle w:val="Paragraph"/>
              <w:rPr>
                <w:b/>
                <w:lang w:val="en-GB"/>
              </w:rPr>
            </w:pPr>
            <w:r w:rsidRPr="00AF6BFA">
              <w:rPr>
                <w:b/>
                <w:lang w:val="en-GB"/>
              </w:rPr>
              <w:t>Hypersensitivity:</w:t>
            </w:r>
          </w:p>
          <w:p w:rsidR="001C1840" w:rsidRPr="0052262B" w:rsidRDefault="001C1840" w:rsidP="00AF6BFA">
            <w:pPr>
              <w:pStyle w:val="Paragraph"/>
              <w:rPr>
                <w:lang w:val="en-GB"/>
              </w:rPr>
            </w:pPr>
            <w:r w:rsidRPr="0052262B">
              <w:rPr>
                <w:lang w:val="en-GB"/>
              </w:rPr>
              <w:t xml:space="preserve">The following symptoms that could be compatible with hypersensitivity reactions have been reported rarely following CIMZIA administration to patients:  angioedema, </w:t>
            </w:r>
            <w:proofErr w:type="spellStart"/>
            <w:r w:rsidRPr="0052262B">
              <w:rPr>
                <w:lang w:val="en-GB"/>
              </w:rPr>
              <w:t>dyspnea</w:t>
            </w:r>
            <w:proofErr w:type="spellEnd"/>
            <w:r w:rsidRPr="0052262B">
              <w:rPr>
                <w:lang w:val="en-GB"/>
              </w:rPr>
              <w:t xml:space="preserve">, hypotension, rash, serum sickness, and </w:t>
            </w:r>
            <w:proofErr w:type="spellStart"/>
            <w:r w:rsidRPr="0052262B">
              <w:rPr>
                <w:lang w:val="en-GB"/>
              </w:rPr>
              <w:t>urticaria</w:t>
            </w:r>
            <w:proofErr w:type="spellEnd"/>
            <w:r w:rsidRPr="0052262B">
              <w:rPr>
                <w:lang w:val="en-GB"/>
              </w:rPr>
              <w:t xml:space="preserve">.  </w:t>
            </w:r>
            <w:r w:rsidR="00F6058C">
              <w:rPr>
                <w:lang w:val="en-GB"/>
              </w:rPr>
              <w:t xml:space="preserve">Some of these reactions occurred after the first administration. </w:t>
            </w:r>
            <w:r w:rsidRPr="0052262B">
              <w:rPr>
                <w:lang w:val="en-GB"/>
              </w:rPr>
              <w:t>If such reactions occur, discontinue further administration of CIMZIA and institute appropriate therapy.  There are no data on the risks of using CIMZIA in patients who have experienced a severe hypersensitivity reaction towards another TNF</w:t>
            </w:r>
            <w:r w:rsidR="00FE797A">
              <w:rPr>
                <w:lang w:val="en-GB"/>
              </w:rPr>
              <w:t>-antagonist</w:t>
            </w:r>
            <w:r w:rsidRPr="0052262B">
              <w:rPr>
                <w:lang w:val="en-GB"/>
              </w:rPr>
              <w:t>; in these patients caution is needed</w:t>
            </w:r>
            <w:r w:rsidR="00240092" w:rsidRPr="0052262B">
              <w:rPr>
                <w:lang w:val="en-GB"/>
              </w:rPr>
              <w:t xml:space="preserve"> (See ADVERSE EFFECTS)</w:t>
            </w:r>
            <w:r w:rsidRPr="0052262B">
              <w:rPr>
                <w:lang w:val="en-GB"/>
              </w:rPr>
              <w:t>.</w:t>
            </w:r>
          </w:p>
          <w:p w:rsidR="001C1840" w:rsidRPr="00AF6BFA" w:rsidRDefault="001C1840" w:rsidP="00AF6BFA">
            <w:pPr>
              <w:pStyle w:val="Paragraph"/>
              <w:rPr>
                <w:b/>
                <w:lang w:val="en-GB"/>
              </w:rPr>
            </w:pPr>
            <w:r w:rsidRPr="00AF6BFA">
              <w:rPr>
                <w:b/>
                <w:lang w:val="en-GB"/>
              </w:rPr>
              <w:t>Autoimmune processes:</w:t>
            </w:r>
          </w:p>
          <w:p w:rsidR="00E25CA1" w:rsidRPr="0052262B" w:rsidRDefault="001C1840" w:rsidP="00AF6BFA">
            <w:pPr>
              <w:pStyle w:val="Paragraph"/>
              <w:rPr>
                <w:lang w:val="en-GB"/>
              </w:rPr>
            </w:pPr>
            <w:r w:rsidRPr="0052262B">
              <w:rPr>
                <w:lang w:val="en-GB"/>
              </w:rPr>
              <w:t xml:space="preserve">Treatment with CIMZIA may result in the formation of autoantibodies and, uncommonly, in the development of a lupus-like syndrome.  If a patient develops symptoms suggestive of a lupus-like syndrome following treatment with CIMZIA, treatment should be discontinued.  </w:t>
            </w:r>
            <w:bookmarkStart w:id="4" w:name="OLE_LINK30"/>
            <w:bookmarkStart w:id="5" w:name="OLE_LINK31"/>
            <w:r w:rsidRPr="0052262B">
              <w:rPr>
                <w:lang w:val="en-GB"/>
              </w:rPr>
              <w:t xml:space="preserve">CIMZIA has not been studied specifically in a lupus </w:t>
            </w:r>
            <w:r w:rsidRPr="0072033B">
              <w:rPr>
                <w:lang w:val="en-GB"/>
              </w:rPr>
              <w:t>population</w:t>
            </w:r>
            <w:r w:rsidR="00AF6BFA" w:rsidRPr="0072033B">
              <w:rPr>
                <w:lang w:val="en-GB"/>
              </w:rPr>
              <w:t xml:space="preserve"> See ADVERSE EFFECTS)</w:t>
            </w:r>
            <w:r w:rsidRPr="0072033B">
              <w:rPr>
                <w:lang w:val="en-GB"/>
              </w:rPr>
              <w:t>.</w:t>
            </w:r>
            <w:bookmarkEnd w:id="4"/>
            <w:bookmarkEnd w:id="5"/>
          </w:p>
          <w:p w:rsidR="001C1840" w:rsidRPr="00AF6BFA" w:rsidRDefault="001C1840" w:rsidP="00AF6BFA">
            <w:pPr>
              <w:pStyle w:val="Paragraph"/>
              <w:rPr>
                <w:b/>
                <w:lang w:val="en-GB"/>
              </w:rPr>
            </w:pPr>
            <w:r w:rsidRPr="00AF6BFA">
              <w:rPr>
                <w:b/>
                <w:lang w:val="en-GB"/>
              </w:rPr>
              <w:t>Vaccinations:</w:t>
            </w:r>
          </w:p>
          <w:p w:rsidR="00FF609D" w:rsidRDefault="00FF609D" w:rsidP="00FF609D">
            <w:pPr>
              <w:pStyle w:val="Paragraph"/>
              <w:rPr>
                <w:lang w:val="en-GB"/>
              </w:rPr>
            </w:pPr>
            <w:r w:rsidRPr="0052262B">
              <w:rPr>
                <w:lang w:val="en-GB"/>
              </w:rPr>
              <w:t>No data are available on the response to</w:t>
            </w:r>
            <w:r>
              <w:rPr>
                <w:lang w:val="en-GB"/>
              </w:rPr>
              <w:t xml:space="preserve"> live</w:t>
            </w:r>
            <w:r w:rsidRPr="0052262B">
              <w:rPr>
                <w:lang w:val="en-GB"/>
              </w:rPr>
              <w:t xml:space="preserve"> vaccinations or the secondary transmission of infection by live vaccines in patients receiving CIMZIA.  Live </w:t>
            </w:r>
            <w:r>
              <w:rPr>
                <w:lang w:val="en-GB"/>
              </w:rPr>
              <w:t xml:space="preserve">or live-attenuated </w:t>
            </w:r>
            <w:r w:rsidRPr="0052262B">
              <w:rPr>
                <w:lang w:val="en-GB"/>
              </w:rPr>
              <w:t xml:space="preserve">vaccines should not be administered concurrently with </w:t>
            </w:r>
            <w:r w:rsidRPr="0072033B">
              <w:rPr>
                <w:lang w:val="en-GB"/>
              </w:rPr>
              <w:t>CIMZIA.</w:t>
            </w:r>
            <w:r>
              <w:rPr>
                <w:lang w:val="en-GB"/>
              </w:rPr>
              <w:t xml:space="preserve"> Patients treated with CIMZIA may receive inactivated vaccines on the basis of data from recently completed clinical trials.</w:t>
            </w:r>
          </w:p>
          <w:p w:rsidR="00E25CA1" w:rsidRDefault="00FF609D" w:rsidP="00FF609D">
            <w:pPr>
              <w:pStyle w:val="Paragraph"/>
              <w:rPr>
                <w:lang w:val="en-GB"/>
              </w:rPr>
            </w:pPr>
            <w:r>
              <w:rPr>
                <w:lang w:val="en-GB"/>
              </w:rPr>
              <w:lastRenderedPageBreak/>
              <w:t>In a placebo-controlled clinical trial of patients with rheumatoid arthritis (RA0017), no meaningful difference was detected in antibody response between CIMZIA and placebo treatment groups when the pneumococcal polysaccharide vaccine and influenza vaccine were administered concurrently with CIMZIA.  Similar proportions of patients developed protective levels of antibodies between CIMZIA and plac</w:t>
            </w:r>
            <w:r w:rsidR="0082091A">
              <w:rPr>
                <w:lang w:val="en-GB"/>
              </w:rPr>
              <w:t>ebo treatment groups (See Table</w:t>
            </w:r>
            <w:r w:rsidR="009B51F2">
              <w:rPr>
                <w:lang w:val="en-GB"/>
              </w:rPr>
              <w:t xml:space="preserve"> </w:t>
            </w:r>
            <w:r w:rsidR="000A17A0">
              <w:rPr>
                <w:lang w:val="en-GB"/>
              </w:rPr>
              <w:t>10</w:t>
            </w:r>
            <w:r w:rsidR="009B51F2">
              <w:rPr>
                <w:lang w:val="en-GB"/>
              </w:rPr>
              <w:t>).</w:t>
            </w:r>
          </w:p>
          <w:p w:rsidR="00801376" w:rsidRDefault="00801376" w:rsidP="00FF609D">
            <w:pPr>
              <w:pStyle w:val="Paragraph"/>
              <w:rPr>
                <w:lang w:val="en-GB"/>
              </w:rPr>
            </w:pPr>
          </w:p>
          <w:p w:rsidR="00FF609D" w:rsidRPr="007F3171" w:rsidRDefault="0082091A" w:rsidP="00FF609D">
            <w:pPr>
              <w:pStyle w:val="Paragraph"/>
              <w:rPr>
                <w:b/>
                <w:lang w:val="en-GB"/>
              </w:rPr>
            </w:pPr>
            <w:r>
              <w:rPr>
                <w:b/>
                <w:lang w:val="en-GB"/>
              </w:rPr>
              <w:t>Table</w:t>
            </w:r>
            <w:r w:rsidR="001042E1">
              <w:rPr>
                <w:b/>
                <w:lang w:val="en-GB"/>
              </w:rPr>
              <w:t xml:space="preserve"> </w:t>
            </w:r>
            <w:r w:rsidR="00362CCC">
              <w:rPr>
                <w:b/>
                <w:lang w:val="en-GB"/>
              </w:rPr>
              <w:t>1</w:t>
            </w:r>
            <w:r w:rsidR="00CC3C79">
              <w:rPr>
                <w:b/>
                <w:lang w:val="en-GB"/>
              </w:rPr>
              <w:t>0</w:t>
            </w:r>
            <w:r w:rsidR="00FF609D" w:rsidRPr="007F3171">
              <w:rPr>
                <w:b/>
                <w:lang w:val="en-GB"/>
              </w:rPr>
              <w:t xml:space="preserve">: Satisfactory humoral response at week 6 </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2078"/>
              <w:gridCol w:w="2126"/>
              <w:gridCol w:w="2300"/>
            </w:tblGrid>
            <w:tr w:rsidR="00FF609D" w:rsidRPr="00AC6901" w:rsidTr="009B51F2">
              <w:trPr>
                <w:trHeight w:val="655"/>
              </w:trPr>
              <w:tc>
                <w:tcPr>
                  <w:tcW w:w="2067" w:type="dxa"/>
                  <w:tcBorders>
                    <w:top w:val="nil"/>
                    <w:left w:val="nil"/>
                    <w:bottom w:val="single" w:sz="4" w:space="0" w:color="auto"/>
                    <w:right w:val="single" w:sz="4" w:space="0" w:color="auto"/>
                  </w:tcBorders>
                  <w:shd w:val="clear" w:color="auto" w:fill="auto"/>
                </w:tcPr>
                <w:p w:rsidR="00FF609D" w:rsidRPr="009459B2" w:rsidRDefault="00FF609D" w:rsidP="007B16E1">
                  <w:pPr>
                    <w:pStyle w:val="Paragraph"/>
                    <w:rPr>
                      <w:lang w:val="en-GB"/>
                    </w:rPr>
                  </w:pPr>
                </w:p>
              </w:tc>
              <w:tc>
                <w:tcPr>
                  <w:tcW w:w="2078" w:type="dxa"/>
                  <w:tcBorders>
                    <w:left w:val="single" w:sz="4" w:space="0" w:color="auto"/>
                  </w:tcBorders>
                  <w:shd w:val="clear" w:color="auto" w:fill="D9D9D9"/>
                </w:tcPr>
                <w:p w:rsidR="00FF609D" w:rsidRPr="005603E7" w:rsidRDefault="00FF609D" w:rsidP="007B16E1">
                  <w:pPr>
                    <w:jc w:val="center"/>
                    <w:rPr>
                      <w:lang w:val="en-GB"/>
                    </w:rPr>
                  </w:pPr>
                  <w:proofErr w:type="spellStart"/>
                  <w:r w:rsidRPr="005603E7">
                    <w:rPr>
                      <w:lang w:val="en-GB"/>
                    </w:rPr>
                    <w:t>Cimzia</w:t>
                  </w:r>
                  <w:proofErr w:type="spellEnd"/>
                </w:p>
                <w:p w:rsidR="00FF609D" w:rsidRPr="009459B2" w:rsidRDefault="00FF609D" w:rsidP="007B16E1">
                  <w:pPr>
                    <w:pStyle w:val="Paragraph"/>
                    <w:jc w:val="center"/>
                    <w:rPr>
                      <w:lang w:val="en-GB"/>
                    </w:rPr>
                  </w:pPr>
                  <w:r w:rsidRPr="005603E7">
                    <w:rPr>
                      <w:lang w:val="en-GB"/>
                    </w:rPr>
                    <w:t>% (n/N)</w:t>
                  </w:r>
                </w:p>
              </w:tc>
              <w:tc>
                <w:tcPr>
                  <w:tcW w:w="2126" w:type="dxa"/>
                  <w:shd w:val="clear" w:color="auto" w:fill="D9D9D9"/>
                </w:tcPr>
                <w:p w:rsidR="00FF609D" w:rsidRPr="005603E7" w:rsidRDefault="00FF609D" w:rsidP="007B16E1">
                  <w:pPr>
                    <w:jc w:val="center"/>
                    <w:rPr>
                      <w:lang w:val="en-GB"/>
                    </w:rPr>
                  </w:pPr>
                  <w:r w:rsidRPr="005603E7">
                    <w:rPr>
                      <w:lang w:val="en-GB"/>
                    </w:rPr>
                    <w:t>Placebo</w:t>
                  </w:r>
                </w:p>
                <w:p w:rsidR="00FF609D" w:rsidRPr="009459B2" w:rsidRDefault="00FF609D" w:rsidP="007B16E1">
                  <w:pPr>
                    <w:pStyle w:val="Paragraph"/>
                    <w:jc w:val="center"/>
                    <w:rPr>
                      <w:lang w:val="en-GB"/>
                    </w:rPr>
                  </w:pPr>
                  <w:r w:rsidRPr="005603E7">
                    <w:rPr>
                      <w:lang w:val="en-GB"/>
                    </w:rPr>
                    <w:t>% (n/N)</w:t>
                  </w:r>
                </w:p>
              </w:tc>
              <w:tc>
                <w:tcPr>
                  <w:tcW w:w="2300" w:type="dxa"/>
                  <w:shd w:val="clear" w:color="auto" w:fill="D9D9D9"/>
                </w:tcPr>
                <w:p w:rsidR="00FF609D" w:rsidRPr="005603E7" w:rsidRDefault="00FF609D" w:rsidP="007B16E1">
                  <w:pPr>
                    <w:jc w:val="center"/>
                    <w:rPr>
                      <w:lang w:val="en-GB"/>
                    </w:rPr>
                  </w:pPr>
                  <w:r w:rsidRPr="005603E7">
                    <w:rPr>
                      <w:lang w:val="en-GB"/>
                    </w:rPr>
                    <w:t>Difference in proportion</w:t>
                  </w:r>
                </w:p>
                <w:p w:rsidR="00FF609D" w:rsidRPr="009459B2" w:rsidRDefault="00FF609D" w:rsidP="007B16E1">
                  <w:pPr>
                    <w:pStyle w:val="Paragraph"/>
                    <w:jc w:val="center"/>
                    <w:rPr>
                      <w:lang w:val="en-GB"/>
                    </w:rPr>
                  </w:pPr>
                  <w:r w:rsidRPr="005603E7">
                    <w:rPr>
                      <w:lang w:val="en-GB"/>
                    </w:rPr>
                    <w:t>[95 % CI]</w:t>
                  </w:r>
                </w:p>
              </w:tc>
            </w:tr>
            <w:tr w:rsidR="00FF609D" w:rsidRPr="00AC6901" w:rsidTr="009B51F2">
              <w:trPr>
                <w:trHeight w:val="670"/>
              </w:trPr>
              <w:tc>
                <w:tcPr>
                  <w:tcW w:w="2067" w:type="dxa"/>
                  <w:tcBorders>
                    <w:top w:val="single" w:sz="4" w:space="0" w:color="auto"/>
                  </w:tcBorders>
                  <w:shd w:val="clear" w:color="auto" w:fill="D9D9D9"/>
                </w:tcPr>
                <w:p w:rsidR="00FF609D" w:rsidRPr="009459B2" w:rsidRDefault="00FF609D" w:rsidP="007B16E1">
                  <w:pPr>
                    <w:pStyle w:val="Paragraph"/>
                    <w:rPr>
                      <w:lang w:val="en-GB"/>
                    </w:rPr>
                  </w:pPr>
                  <w:r w:rsidRPr="009459B2">
                    <w:rPr>
                      <w:lang w:val="en-GB"/>
                    </w:rPr>
                    <w:t>Pneumococcal vaccine</w:t>
                  </w:r>
                </w:p>
              </w:tc>
              <w:tc>
                <w:tcPr>
                  <w:tcW w:w="2078" w:type="dxa"/>
                  <w:shd w:val="clear" w:color="auto" w:fill="auto"/>
                  <w:vAlign w:val="center"/>
                </w:tcPr>
                <w:p w:rsidR="00FF609D" w:rsidRPr="009459B2" w:rsidRDefault="00FF609D" w:rsidP="007B16E1">
                  <w:pPr>
                    <w:pStyle w:val="Paragraph"/>
                    <w:rPr>
                      <w:lang w:val="en-GB"/>
                    </w:rPr>
                  </w:pPr>
                  <w:r w:rsidRPr="009459B2">
                    <w:rPr>
                      <w:lang w:val="en-GB"/>
                    </w:rPr>
                    <w:t>54.5% (48/88)</w:t>
                  </w:r>
                </w:p>
              </w:tc>
              <w:tc>
                <w:tcPr>
                  <w:tcW w:w="2126" w:type="dxa"/>
                  <w:shd w:val="clear" w:color="auto" w:fill="auto"/>
                  <w:vAlign w:val="center"/>
                </w:tcPr>
                <w:p w:rsidR="00FF609D" w:rsidRPr="009459B2" w:rsidRDefault="00FF609D" w:rsidP="007B16E1">
                  <w:pPr>
                    <w:pStyle w:val="Paragraph"/>
                    <w:rPr>
                      <w:lang w:val="en-GB"/>
                    </w:rPr>
                  </w:pPr>
                  <w:r w:rsidRPr="009459B2">
                    <w:rPr>
                      <w:lang w:val="en-GB"/>
                    </w:rPr>
                    <w:t>62.5% (55/88)</w:t>
                  </w:r>
                </w:p>
              </w:tc>
              <w:tc>
                <w:tcPr>
                  <w:tcW w:w="2300" w:type="dxa"/>
                </w:tcPr>
                <w:p w:rsidR="00FF609D" w:rsidRPr="005603E7" w:rsidRDefault="00FF609D" w:rsidP="007B16E1">
                  <w:pPr>
                    <w:jc w:val="center"/>
                    <w:rPr>
                      <w:lang w:val="en-GB"/>
                    </w:rPr>
                  </w:pPr>
                  <w:r w:rsidRPr="005603E7">
                    <w:rPr>
                      <w:lang w:val="en-GB"/>
                    </w:rPr>
                    <w:t>-0.080</w:t>
                  </w:r>
                </w:p>
                <w:p w:rsidR="00FF609D" w:rsidRPr="009459B2" w:rsidRDefault="00FF609D" w:rsidP="007B16E1">
                  <w:pPr>
                    <w:pStyle w:val="Paragraph"/>
                    <w:jc w:val="center"/>
                    <w:rPr>
                      <w:lang w:val="en-GB"/>
                    </w:rPr>
                  </w:pPr>
                  <w:r w:rsidRPr="005603E7">
                    <w:rPr>
                      <w:lang w:val="en-GB"/>
                    </w:rPr>
                    <w:t>[-0.225; 0.066]</w:t>
                  </w:r>
                </w:p>
              </w:tc>
            </w:tr>
            <w:tr w:rsidR="00FF609D" w:rsidRPr="00AC6901" w:rsidTr="009B51F2">
              <w:trPr>
                <w:trHeight w:val="670"/>
              </w:trPr>
              <w:tc>
                <w:tcPr>
                  <w:tcW w:w="2067" w:type="dxa"/>
                  <w:tcBorders>
                    <w:bottom w:val="single" w:sz="4" w:space="0" w:color="auto"/>
                  </w:tcBorders>
                  <w:shd w:val="clear" w:color="auto" w:fill="D9D9D9"/>
                </w:tcPr>
                <w:p w:rsidR="00FF609D" w:rsidRPr="009459B2" w:rsidRDefault="00FF609D" w:rsidP="007B16E1">
                  <w:pPr>
                    <w:pStyle w:val="Paragraph"/>
                    <w:rPr>
                      <w:lang w:val="en-GB"/>
                    </w:rPr>
                  </w:pPr>
                  <w:r w:rsidRPr="009459B2">
                    <w:rPr>
                      <w:lang w:val="en-GB"/>
                    </w:rPr>
                    <w:t>Influenza vaccine</w:t>
                  </w:r>
                </w:p>
              </w:tc>
              <w:tc>
                <w:tcPr>
                  <w:tcW w:w="2078" w:type="dxa"/>
                  <w:tcBorders>
                    <w:bottom w:val="single" w:sz="4" w:space="0" w:color="auto"/>
                  </w:tcBorders>
                  <w:shd w:val="clear" w:color="auto" w:fill="auto"/>
                  <w:vAlign w:val="center"/>
                </w:tcPr>
                <w:p w:rsidR="00FF609D" w:rsidRPr="009459B2" w:rsidRDefault="00FF609D" w:rsidP="007B16E1">
                  <w:pPr>
                    <w:pStyle w:val="Paragraph"/>
                    <w:rPr>
                      <w:lang w:val="en-GB"/>
                    </w:rPr>
                  </w:pPr>
                  <w:r w:rsidRPr="009459B2">
                    <w:rPr>
                      <w:lang w:val="en-GB"/>
                    </w:rPr>
                    <w:t>53.5% (46/86)</w:t>
                  </w:r>
                </w:p>
              </w:tc>
              <w:tc>
                <w:tcPr>
                  <w:tcW w:w="2126" w:type="dxa"/>
                  <w:tcBorders>
                    <w:bottom w:val="single" w:sz="4" w:space="0" w:color="auto"/>
                  </w:tcBorders>
                  <w:shd w:val="clear" w:color="auto" w:fill="auto"/>
                  <w:vAlign w:val="center"/>
                </w:tcPr>
                <w:p w:rsidR="00FF609D" w:rsidRPr="009459B2" w:rsidRDefault="00FF609D" w:rsidP="007B16E1">
                  <w:pPr>
                    <w:pStyle w:val="Paragraph"/>
                    <w:rPr>
                      <w:lang w:val="en-GB"/>
                    </w:rPr>
                  </w:pPr>
                  <w:r w:rsidRPr="009459B2">
                    <w:rPr>
                      <w:lang w:val="en-GB"/>
                    </w:rPr>
                    <w:t>61.4% (51/83)</w:t>
                  </w:r>
                </w:p>
              </w:tc>
              <w:tc>
                <w:tcPr>
                  <w:tcW w:w="2300" w:type="dxa"/>
                  <w:tcBorders>
                    <w:bottom w:val="single" w:sz="4" w:space="0" w:color="auto"/>
                  </w:tcBorders>
                </w:tcPr>
                <w:p w:rsidR="00FF609D" w:rsidRPr="005603E7" w:rsidRDefault="00FF609D" w:rsidP="007B16E1">
                  <w:pPr>
                    <w:jc w:val="center"/>
                    <w:rPr>
                      <w:lang w:val="en-GB"/>
                    </w:rPr>
                  </w:pPr>
                  <w:r w:rsidRPr="005603E7">
                    <w:rPr>
                      <w:lang w:val="en-GB"/>
                    </w:rPr>
                    <w:t>-0.080</w:t>
                  </w:r>
                </w:p>
                <w:p w:rsidR="00FF609D" w:rsidRPr="009459B2" w:rsidRDefault="00FF609D" w:rsidP="007B16E1">
                  <w:pPr>
                    <w:pStyle w:val="Paragraph"/>
                    <w:jc w:val="center"/>
                    <w:rPr>
                      <w:lang w:val="en-GB"/>
                    </w:rPr>
                  </w:pPr>
                  <w:r w:rsidRPr="005603E7">
                    <w:rPr>
                      <w:lang w:val="en-GB"/>
                    </w:rPr>
                    <w:t>[-0.229; 0.070]</w:t>
                  </w:r>
                </w:p>
              </w:tc>
            </w:tr>
          </w:tbl>
          <w:p w:rsidR="00FF609D" w:rsidRPr="00AC6901" w:rsidRDefault="00FF609D" w:rsidP="00FF609D">
            <w:pPr>
              <w:pStyle w:val="Paragraph"/>
              <w:rPr>
                <w:sz w:val="20"/>
                <w:szCs w:val="20"/>
              </w:rPr>
            </w:pPr>
            <w:r w:rsidRPr="00AC6901">
              <w:rPr>
                <w:sz w:val="20"/>
                <w:szCs w:val="20"/>
                <w:lang w:val="en-GB"/>
              </w:rPr>
              <w:t xml:space="preserve"> (</w:t>
            </w:r>
            <w:r w:rsidRPr="00AC6901">
              <w:rPr>
                <w:sz w:val="20"/>
                <w:szCs w:val="20"/>
              </w:rPr>
              <w:t>Note: A humoral responder is defined as a subject with:</w:t>
            </w:r>
          </w:p>
          <w:p w:rsidR="00FF609D" w:rsidRPr="00AC6901" w:rsidRDefault="00FF609D" w:rsidP="00FF609D">
            <w:pPr>
              <w:pStyle w:val="Paragraph"/>
              <w:rPr>
                <w:sz w:val="20"/>
                <w:szCs w:val="20"/>
              </w:rPr>
            </w:pPr>
            <w:r w:rsidRPr="00AC6901">
              <w:rPr>
                <w:sz w:val="20"/>
                <w:szCs w:val="20"/>
              </w:rPr>
              <w:t>- a ≥2-fold increase at Week 6 from vaccination at Week 2 in ≥3 of 6 pneumococcal antigens 6B, 9V, 14, 18C, 19F, and 23F;</w:t>
            </w:r>
          </w:p>
          <w:p w:rsidR="00FF609D" w:rsidRPr="00AC6901" w:rsidRDefault="00FF609D" w:rsidP="00FF609D">
            <w:pPr>
              <w:pStyle w:val="Paragraph"/>
              <w:rPr>
                <w:sz w:val="20"/>
                <w:szCs w:val="20"/>
                <w:lang w:val="en-GB"/>
              </w:rPr>
            </w:pPr>
            <w:r w:rsidRPr="00AC6901">
              <w:rPr>
                <w:sz w:val="20"/>
                <w:szCs w:val="20"/>
              </w:rPr>
              <w:t xml:space="preserve">- </w:t>
            </w:r>
            <w:proofErr w:type="gramStart"/>
            <w:r w:rsidRPr="00AC6901">
              <w:rPr>
                <w:sz w:val="20"/>
                <w:szCs w:val="20"/>
              </w:rPr>
              <w:t>a</w:t>
            </w:r>
            <w:proofErr w:type="gramEnd"/>
            <w:r w:rsidRPr="00AC6901">
              <w:rPr>
                <w:sz w:val="20"/>
                <w:szCs w:val="20"/>
              </w:rPr>
              <w:t xml:space="preserve"> ≥4-fold increase at Week 6 from vaccination at Week 2 in ≥2 of 3 influenza antigens H1N1 (</w:t>
            </w:r>
            <w:proofErr w:type="spellStart"/>
            <w:r w:rsidRPr="00AC6901">
              <w:rPr>
                <w:sz w:val="20"/>
                <w:szCs w:val="20"/>
              </w:rPr>
              <w:t>nonpandemic</w:t>
            </w:r>
            <w:proofErr w:type="spellEnd"/>
            <w:r w:rsidRPr="00AC6901">
              <w:rPr>
                <w:sz w:val="20"/>
                <w:szCs w:val="20"/>
              </w:rPr>
              <w:t>), H3N2, and B).</w:t>
            </w:r>
          </w:p>
          <w:p w:rsidR="00FF609D" w:rsidRDefault="00FF609D" w:rsidP="00FF609D">
            <w:pPr>
              <w:pStyle w:val="Paragraph"/>
              <w:rPr>
                <w:lang w:val="en-GB"/>
              </w:rPr>
            </w:pPr>
            <w:r w:rsidRPr="00AC6901">
              <w:rPr>
                <w:lang w:val="en-GB"/>
              </w:rPr>
              <w:t xml:space="preserve">However, patients receiving </w:t>
            </w:r>
            <w:r w:rsidR="00844A32">
              <w:rPr>
                <w:lang w:val="en-GB"/>
              </w:rPr>
              <w:t>CIMZIA</w:t>
            </w:r>
            <w:r w:rsidR="00844A32" w:rsidRPr="00AC6901">
              <w:rPr>
                <w:lang w:val="en-GB"/>
              </w:rPr>
              <w:t xml:space="preserve"> </w:t>
            </w:r>
            <w:r w:rsidRPr="00AC6901">
              <w:rPr>
                <w:lang w:val="en-GB"/>
              </w:rPr>
              <w:t>and concomitant methotrexate had a lower humoral response compared with patien</w:t>
            </w:r>
            <w:r>
              <w:rPr>
                <w:lang w:val="en-GB"/>
              </w:rPr>
              <w:t>ts rec</w:t>
            </w:r>
            <w:r w:rsidR="0082091A">
              <w:rPr>
                <w:lang w:val="en-GB"/>
              </w:rPr>
              <w:t xml:space="preserve">eiving </w:t>
            </w:r>
            <w:r w:rsidR="00844A32">
              <w:rPr>
                <w:lang w:val="en-GB"/>
              </w:rPr>
              <w:t xml:space="preserve">CIMZIA </w:t>
            </w:r>
            <w:r w:rsidR="0082091A">
              <w:rPr>
                <w:lang w:val="en-GB"/>
              </w:rPr>
              <w:t>alone (See Table</w:t>
            </w:r>
            <w:r w:rsidR="00801376">
              <w:rPr>
                <w:lang w:val="en-GB"/>
              </w:rPr>
              <w:t xml:space="preserve"> </w:t>
            </w:r>
            <w:r w:rsidR="000A17A0">
              <w:rPr>
                <w:lang w:val="en-GB"/>
              </w:rPr>
              <w:t>11</w:t>
            </w:r>
            <w:r w:rsidRPr="00AC6901">
              <w:rPr>
                <w:lang w:val="en-GB"/>
              </w:rPr>
              <w:t xml:space="preserve">). The clinical significance of this is unknown.  </w:t>
            </w:r>
          </w:p>
          <w:p w:rsidR="00E25CA1" w:rsidRDefault="00E25CA1" w:rsidP="00FF609D">
            <w:pPr>
              <w:pStyle w:val="Paragraph"/>
              <w:rPr>
                <w:lang w:val="en-GB"/>
              </w:rPr>
            </w:pPr>
          </w:p>
          <w:p w:rsidR="00413B6B" w:rsidRDefault="00413B6B" w:rsidP="00FF609D">
            <w:pPr>
              <w:pStyle w:val="Paragraph"/>
              <w:rPr>
                <w:lang w:val="en-GB"/>
              </w:rPr>
            </w:pPr>
          </w:p>
          <w:p w:rsidR="00413B6B" w:rsidRDefault="00413B6B" w:rsidP="00FF609D">
            <w:pPr>
              <w:pStyle w:val="Paragraph"/>
              <w:rPr>
                <w:lang w:val="en-GB"/>
              </w:rPr>
            </w:pPr>
          </w:p>
          <w:p w:rsidR="00413B6B" w:rsidRPr="00AC6901" w:rsidRDefault="00413B6B" w:rsidP="00FF609D">
            <w:pPr>
              <w:pStyle w:val="Paragraph"/>
              <w:rPr>
                <w:lang w:val="en-GB"/>
              </w:rPr>
            </w:pPr>
          </w:p>
          <w:p w:rsidR="00FF609D" w:rsidRPr="007F3171" w:rsidRDefault="0082091A" w:rsidP="00FF609D">
            <w:pPr>
              <w:pStyle w:val="Paragraph"/>
              <w:rPr>
                <w:b/>
                <w:lang w:val="en-GB"/>
              </w:rPr>
            </w:pPr>
            <w:r>
              <w:rPr>
                <w:b/>
                <w:lang w:val="en-GB"/>
              </w:rPr>
              <w:t>Table</w:t>
            </w:r>
            <w:r w:rsidR="001042E1">
              <w:rPr>
                <w:b/>
                <w:lang w:val="en-GB"/>
              </w:rPr>
              <w:t xml:space="preserve"> </w:t>
            </w:r>
            <w:r w:rsidR="00362CCC">
              <w:rPr>
                <w:b/>
                <w:lang w:val="en-GB"/>
              </w:rPr>
              <w:t>1</w:t>
            </w:r>
            <w:r w:rsidR="00CC3C79">
              <w:rPr>
                <w:b/>
                <w:lang w:val="en-GB"/>
              </w:rPr>
              <w:t>1</w:t>
            </w:r>
            <w:r w:rsidR="00FF609D" w:rsidRPr="007F3171">
              <w:rPr>
                <w:b/>
                <w:lang w:val="en-GB"/>
              </w:rPr>
              <w:t>: Satisfactory humoral response at week 6 per concomitant use of MTX</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996"/>
              <w:gridCol w:w="996"/>
              <w:gridCol w:w="1195"/>
              <w:gridCol w:w="90"/>
              <w:gridCol w:w="1170"/>
              <w:gridCol w:w="1260"/>
              <w:gridCol w:w="1710"/>
            </w:tblGrid>
            <w:tr w:rsidR="00FF609D" w:rsidRPr="005603E7" w:rsidTr="007B16E1">
              <w:tc>
                <w:tcPr>
                  <w:tcW w:w="1617" w:type="dxa"/>
                  <w:tcBorders>
                    <w:top w:val="nil"/>
                    <w:left w:val="nil"/>
                    <w:bottom w:val="single" w:sz="4" w:space="0" w:color="auto"/>
                    <w:right w:val="single" w:sz="4" w:space="0" w:color="auto"/>
                  </w:tcBorders>
                  <w:shd w:val="clear" w:color="auto" w:fill="auto"/>
                </w:tcPr>
                <w:p w:rsidR="00FF609D" w:rsidRPr="005603E7" w:rsidRDefault="00FF609D" w:rsidP="007B16E1">
                  <w:pPr>
                    <w:rPr>
                      <w:lang w:val="en-GB"/>
                    </w:rPr>
                  </w:pPr>
                </w:p>
              </w:tc>
              <w:tc>
                <w:tcPr>
                  <w:tcW w:w="996" w:type="dxa"/>
                  <w:shd w:val="clear" w:color="auto" w:fill="D9D9D9"/>
                </w:tcPr>
                <w:p w:rsidR="00FF609D" w:rsidRPr="005603E7" w:rsidRDefault="00FF609D" w:rsidP="007B16E1">
                  <w:pPr>
                    <w:jc w:val="center"/>
                    <w:rPr>
                      <w:lang w:val="en-GB"/>
                    </w:rPr>
                  </w:pPr>
                  <w:r w:rsidRPr="005603E7">
                    <w:rPr>
                      <w:lang w:val="en-GB"/>
                    </w:rPr>
                    <w:t>Placebo</w:t>
                  </w:r>
                </w:p>
                <w:p w:rsidR="00FF609D" w:rsidRPr="005603E7" w:rsidRDefault="00FF609D" w:rsidP="007B16E1">
                  <w:pPr>
                    <w:jc w:val="center"/>
                    <w:rPr>
                      <w:lang w:val="en-GB"/>
                    </w:rPr>
                  </w:pPr>
                  <w:r w:rsidRPr="005603E7">
                    <w:rPr>
                      <w:lang w:val="en-GB"/>
                    </w:rPr>
                    <w:t xml:space="preserve">% (n/N) </w:t>
                  </w:r>
                </w:p>
              </w:tc>
              <w:tc>
                <w:tcPr>
                  <w:tcW w:w="996" w:type="dxa"/>
                  <w:shd w:val="clear" w:color="auto" w:fill="D9D9D9"/>
                </w:tcPr>
                <w:p w:rsidR="00FF609D" w:rsidRPr="005603E7" w:rsidRDefault="00844A32" w:rsidP="007B16E1">
                  <w:pPr>
                    <w:jc w:val="center"/>
                    <w:rPr>
                      <w:lang w:val="en-GB"/>
                    </w:rPr>
                  </w:pPr>
                  <w:r>
                    <w:rPr>
                      <w:lang w:val="en-GB"/>
                    </w:rPr>
                    <w:t>CIMZIA</w:t>
                  </w:r>
                  <w:r w:rsidRPr="005603E7">
                    <w:rPr>
                      <w:lang w:val="en-GB"/>
                    </w:rPr>
                    <w:t xml:space="preserve"> </w:t>
                  </w:r>
                </w:p>
                <w:p w:rsidR="00FF609D" w:rsidRPr="005603E7" w:rsidRDefault="00FF609D" w:rsidP="007B16E1">
                  <w:pPr>
                    <w:jc w:val="center"/>
                    <w:rPr>
                      <w:lang w:val="en-GB"/>
                    </w:rPr>
                  </w:pPr>
                  <w:r w:rsidRPr="005603E7">
                    <w:rPr>
                      <w:lang w:val="en-GB"/>
                    </w:rPr>
                    <w:t>% (n/N)</w:t>
                  </w:r>
                </w:p>
              </w:tc>
              <w:tc>
                <w:tcPr>
                  <w:tcW w:w="1285" w:type="dxa"/>
                  <w:gridSpan w:val="2"/>
                  <w:shd w:val="clear" w:color="auto" w:fill="D9D9D9"/>
                </w:tcPr>
                <w:p w:rsidR="00FF609D" w:rsidRPr="005603E7" w:rsidRDefault="00FF609D" w:rsidP="007B16E1">
                  <w:pPr>
                    <w:jc w:val="center"/>
                    <w:rPr>
                      <w:lang w:val="en-GB"/>
                    </w:rPr>
                  </w:pPr>
                  <w:r w:rsidRPr="005603E7">
                    <w:rPr>
                      <w:lang w:val="en-GB"/>
                    </w:rPr>
                    <w:t>Difference in proportion</w:t>
                  </w:r>
                </w:p>
                <w:p w:rsidR="00FF609D" w:rsidRPr="005603E7" w:rsidRDefault="00FF609D" w:rsidP="007B16E1">
                  <w:pPr>
                    <w:jc w:val="center"/>
                    <w:rPr>
                      <w:lang w:val="en-GB"/>
                    </w:rPr>
                  </w:pPr>
                  <w:r w:rsidRPr="005603E7">
                    <w:rPr>
                      <w:lang w:val="en-GB"/>
                    </w:rPr>
                    <w:t>[95 % CI]</w:t>
                  </w:r>
                </w:p>
              </w:tc>
              <w:tc>
                <w:tcPr>
                  <w:tcW w:w="1170" w:type="dxa"/>
                  <w:shd w:val="clear" w:color="auto" w:fill="D9D9D9"/>
                </w:tcPr>
                <w:p w:rsidR="00FF609D" w:rsidRPr="005603E7" w:rsidRDefault="00FF609D" w:rsidP="007B16E1">
                  <w:pPr>
                    <w:jc w:val="center"/>
                    <w:rPr>
                      <w:lang w:val="en-GB"/>
                    </w:rPr>
                  </w:pPr>
                  <w:r w:rsidRPr="005603E7">
                    <w:rPr>
                      <w:lang w:val="en-GB"/>
                    </w:rPr>
                    <w:t>Placebo + MTX</w:t>
                  </w:r>
                </w:p>
                <w:p w:rsidR="00FF609D" w:rsidRPr="005603E7" w:rsidRDefault="00FF609D" w:rsidP="007B16E1">
                  <w:pPr>
                    <w:jc w:val="center"/>
                    <w:rPr>
                      <w:lang w:val="en-GB"/>
                    </w:rPr>
                  </w:pPr>
                  <w:r w:rsidRPr="005603E7">
                    <w:rPr>
                      <w:lang w:val="en-GB"/>
                    </w:rPr>
                    <w:t>% (n/N)</w:t>
                  </w:r>
                </w:p>
              </w:tc>
              <w:tc>
                <w:tcPr>
                  <w:tcW w:w="1260" w:type="dxa"/>
                  <w:shd w:val="clear" w:color="auto" w:fill="D9D9D9"/>
                </w:tcPr>
                <w:p w:rsidR="00FF609D" w:rsidRPr="005603E7" w:rsidRDefault="00844A32" w:rsidP="007B16E1">
                  <w:pPr>
                    <w:jc w:val="center"/>
                    <w:rPr>
                      <w:lang w:val="en-GB"/>
                    </w:rPr>
                  </w:pPr>
                  <w:r>
                    <w:rPr>
                      <w:lang w:val="en-GB"/>
                    </w:rPr>
                    <w:t>CIMZIA</w:t>
                  </w:r>
                  <w:r w:rsidRPr="005603E7">
                    <w:rPr>
                      <w:lang w:val="en-GB"/>
                    </w:rPr>
                    <w:t xml:space="preserve"> </w:t>
                  </w:r>
                  <w:r w:rsidR="00FF609D" w:rsidRPr="005603E7">
                    <w:rPr>
                      <w:lang w:val="en-GB"/>
                    </w:rPr>
                    <w:t>+ MTX</w:t>
                  </w:r>
                </w:p>
                <w:p w:rsidR="00FF609D" w:rsidRPr="005603E7" w:rsidRDefault="00FF609D" w:rsidP="007B16E1">
                  <w:pPr>
                    <w:jc w:val="center"/>
                    <w:rPr>
                      <w:lang w:val="en-GB"/>
                    </w:rPr>
                  </w:pPr>
                  <w:r w:rsidRPr="005603E7">
                    <w:rPr>
                      <w:lang w:val="en-GB"/>
                    </w:rPr>
                    <w:t>% (n/N)</w:t>
                  </w:r>
                </w:p>
              </w:tc>
              <w:tc>
                <w:tcPr>
                  <w:tcW w:w="1710" w:type="dxa"/>
                  <w:shd w:val="clear" w:color="auto" w:fill="D9D9D9"/>
                </w:tcPr>
                <w:p w:rsidR="00FF609D" w:rsidRPr="005603E7" w:rsidRDefault="00FF609D" w:rsidP="007B16E1">
                  <w:pPr>
                    <w:jc w:val="center"/>
                    <w:rPr>
                      <w:lang w:val="en-GB"/>
                    </w:rPr>
                  </w:pPr>
                  <w:r w:rsidRPr="005603E7">
                    <w:rPr>
                      <w:lang w:val="en-GB"/>
                    </w:rPr>
                    <w:t>Difference in proportion</w:t>
                  </w:r>
                </w:p>
                <w:p w:rsidR="00FF609D" w:rsidRPr="005603E7" w:rsidRDefault="00FF609D" w:rsidP="007B16E1">
                  <w:pPr>
                    <w:jc w:val="center"/>
                    <w:rPr>
                      <w:lang w:val="en-GB"/>
                    </w:rPr>
                  </w:pPr>
                  <w:r w:rsidRPr="005603E7">
                    <w:rPr>
                      <w:lang w:val="en-GB"/>
                    </w:rPr>
                    <w:t>[95 % CI]</w:t>
                  </w:r>
                </w:p>
              </w:tc>
            </w:tr>
            <w:tr w:rsidR="00FF609D" w:rsidRPr="005603E7" w:rsidTr="007B16E1">
              <w:tc>
                <w:tcPr>
                  <w:tcW w:w="1617" w:type="dxa"/>
                  <w:tcBorders>
                    <w:top w:val="single" w:sz="4" w:space="0" w:color="auto"/>
                  </w:tcBorders>
                  <w:shd w:val="clear" w:color="auto" w:fill="D9D9D9"/>
                </w:tcPr>
                <w:p w:rsidR="00FF609D" w:rsidRPr="005603E7" w:rsidRDefault="00FF609D" w:rsidP="007B16E1">
                  <w:pPr>
                    <w:jc w:val="center"/>
                    <w:rPr>
                      <w:lang w:val="en-GB"/>
                    </w:rPr>
                  </w:pPr>
                  <w:r w:rsidRPr="005603E7">
                    <w:rPr>
                      <w:lang w:val="en-GB"/>
                    </w:rPr>
                    <w:t>Pneumococcal vaccine</w:t>
                  </w:r>
                </w:p>
              </w:tc>
              <w:tc>
                <w:tcPr>
                  <w:tcW w:w="996" w:type="dxa"/>
                  <w:shd w:val="clear" w:color="auto" w:fill="auto"/>
                  <w:vAlign w:val="center"/>
                </w:tcPr>
                <w:p w:rsidR="00FF609D" w:rsidRPr="005603E7" w:rsidRDefault="00FF609D" w:rsidP="007B16E1">
                  <w:pPr>
                    <w:jc w:val="center"/>
                    <w:rPr>
                      <w:lang w:val="en-GB"/>
                    </w:rPr>
                  </w:pPr>
                  <w:r w:rsidRPr="005603E7">
                    <w:rPr>
                      <w:lang w:val="en-GB"/>
                    </w:rPr>
                    <w:t>89.3% (25/28)</w:t>
                  </w:r>
                </w:p>
              </w:tc>
              <w:tc>
                <w:tcPr>
                  <w:tcW w:w="996" w:type="dxa"/>
                  <w:shd w:val="clear" w:color="auto" w:fill="auto"/>
                  <w:vAlign w:val="center"/>
                </w:tcPr>
                <w:p w:rsidR="00FF609D" w:rsidRPr="005603E7" w:rsidRDefault="00FF609D" w:rsidP="007B16E1">
                  <w:pPr>
                    <w:jc w:val="center"/>
                    <w:rPr>
                      <w:lang w:val="en-GB"/>
                    </w:rPr>
                  </w:pPr>
                  <w:r w:rsidRPr="005603E7">
                    <w:rPr>
                      <w:lang w:val="en-GB"/>
                    </w:rPr>
                    <w:t>80.0% (20/25)</w:t>
                  </w:r>
                </w:p>
              </w:tc>
              <w:tc>
                <w:tcPr>
                  <w:tcW w:w="1195" w:type="dxa"/>
                  <w:shd w:val="clear" w:color="auto" w:fill="auto"/>
                </w:tcPr>
                <w:p w:rsidR="00FF609D" w:rsidRPr="005603E7" w:rsidRDefault="00FF609D" w:rsidP="007B16E1">
                  <w:pPr>
                    <w:jc w:val="center"/>
                    <w:rPr>
                      <w:lang w:val="en-GB"/>
                    </w:rPr>
                  </w:pPr>
                  <w:r w:rsidRPr="005603E7">
                    <w:rPr>
                      <w:lang w:val="en-GB"/>
                    </w:rPr>
                    <w:t>-0.093</w:t>
                  </w:r>
                </w:p>
                <w:p w:rsidR="00FF609D" w:rsidRPr="005603E7" w:rsidRDefault="00FF609D" w:rsidP="007B16E1">
                  <w:pPr>
                    <w:jc w:val="center"/>
                    <w:rPr>
                      <w:lang w:val="en-GB"/>
                    </w:rPr>
                  </w:pPr>
                  <w:r w:rsidRPr="005603E7">
                    <w:rPr>
                      <w:lang w:val="en-GB"/>
                    </w:rPr>
                    <w:t>[-0.286; 0.100]</w:t>
                  </w:r>
                </w:p>
              </w:tc>
              <w:tc>
                <w:tcPr>
                  <w:tcW w:w="1260" w:type="dxa"/>
                  <w:gridSpan w:val="2"/>
                  <w:shd w:val="clear" w:color="auto" w:fill="auto"/>
                  <w:vAlign w:val="center"/>
                </w:tcPr>
                <w:p w:rsidR="00FF609D" w:rsidRPr="005603E7" w:rsidRDefault="00FF609D" w:rsidP="007B16E1">
                  <w:pPr>
                    <w:jc w:val="center"/>
                    <w:rPr>
                      <w:lang w:val="en-GB"/>
                    </w:rPr>
                  </w:pPr>
                  <w:r w:rsidRPr="005603E7">
                    <w:rPr>
                      <w:lang w:val="en-GB"/>
                    </w:rPr>
                    <w:t>50.0% (30/60)</w:t>
                  </w:r>
                </w:p>
              </w:tc>
              <w:tc>
                <w:tcPr>
                  <w:tcW w:w="1260" w:type="dxa"/>
                  <w:shd w:val="clear" w:color="auto" w:fill="auto"/>
                  <w:vAlign w:val="center"/>
                </w:tcPr>
                <w:p w:rsidR="00FF609D" w:rsidRPr="005603E7" w:rsidRDefault="00FF609D" w:rsidP="007B16E1">
                  <w:pPr>
                    <w:jc w:val="center"/>
                    <w:rPr>
                      <w:lang w:val="en-GB"/>
                    </w:rPr>
                  </w:pPr>
                  <w:r w:rsidRPr="005603E7">
                    <w:rPr>
                      <w:lang w:val="en-GB"/>
                    </w:rPr>
                    <w:t>44.4% (28/63)</w:t>
                  </w:r>
                </w:p>
              </w:tc>
              <w:tc>
                <w:tcPr>
                  <w:tcW w:w="1710" w:type="dxa"/>
                  <w:shd w:val="clear" w:color="auto" w:fill="auto"/>
                </w:tcPr>
                <w:p w:rsidR="00FF609D" w:rsidRPr="005603E7" w:rsidRDefault="00FF609D" w:rsidP="007B16E1">
                  <w:pPr>
                    <w:jc w:val="center"/>
                    <w:rPr>
                      <w:lang w:val="en-GB"/>
                    </w:rPr>
                  </w:pPr>
                  <w:r w:rsidRPr="005603E7">
                    <w:rPr>
                      <w:lang w:val="en-GB"/>
                    </w:rPr>
                    <w:t>-0.056</w:t>
                  </w:r>
                </w:p>
                <w:p w:rsidR="00FF609D" w:rsidRPr="005603E7" w:rsidRDefault="00FF609D" w:rsidP="007B16E1">
                  <w:pPr>
                    <w:jc w:val="center"/>
                    <w:rPr>
                      <w:lang w:val="en-GB"/>
                    </w:rPr>
                  </w:pPr>
                  <w:r w:rsidRPr="005603E7">
                    <w:rPr>
                      <w:lang w:val="en-GB"/>
                    </w:rPr>
                    <w:t>[-0.232; 0.121]</w:t>
                  </w:r>
                </w:p>
              </w:tc>
            </w:tr>
            <w:tr w:rsidR="00FF609D" w:rsidRPr="005603E7" w:rsidTr="007B16E1">
              <w:tc>
                <w:tcPr>
                  <w:tcW w:w="1617" w:type="dxa"/>
                  <w:shd w:val="clear" w:color="auto" w:fill="D9D9D9"/>
                </w:tcPr>
                <w:p w:rsidR="00FF609D" w:rsidRPr="005603E7" w:rsidRDefault="00FF609D" w:rsidP="007B16E1">
                  <w:pPr>
                    <w:jc w:val="center"/>
                    <w:rPr>
                      <w:lang w:val="en-GB"/>
                    </w:rPr>
                  </w:pPr>
                  <w:r w:rsidRPr="005603E7">
                    <w:rPr>
                      <w:lang w:val="en-GB"/>
                    </w:rPr>
                    <w:t>Influenza vaccine</w:t>
                  </w:r>
                </w:p>
              </w:tc>
              <w:tc>
                <w:tcPr>
                  <w:tcW w:w="996" w:type="dxa"/>
                  <w:shd w:val="clear" w:color="auto" w:fill="auto"/>
                  <w:vAlign w:val="center"/>
                </w:tcPr>
                <w:p w:rsidR="00FF609D" w:rsidRPr="005603E7" w:rsidRDefault="00FF609D" w:rsidP="007B16E1">
                  <w:pPr>
                    <w:jc w:val="center"/>
                    <w:rPr>
                      <w:lang w:val="en-GB"/>
                    </w:rPr>
                  </w:pPr>
                  <w:r w:rsidRPr="005603E7">
                    <w:rPr>
                      <w:lang w:val="en-GB"/>
                    </w:rPr>
                    <w:t>84.6% (22/26)</w:t>
                  </w:r>
                </w:p>
              </w:tc>
              <w:tc>
                <w:tcPr>
                  <w:tcW w:w="996" w:type="dxa"/>
                  <w:shd w:val="clear" w:color="auto" w:fill="auto"/>
                  <w:vAlign w:val="center"/>
                </w:tcPr>
                <w:p w:rsidR="00FF609D" w:rsidRPr="005603E7" w:rsidRDefault="00FF609D" w:rsidP="007B16E1">
                  <w:pPr>
                    <w:jc w:val="center"/>
                    <w:rPr>
                      <w:lang w:val="en-GB"/>
                    </w:rPr>
                  </w:pPr>
                  <w:r w:rsidRPr="005603E7">
                    <w:rPr>
                      <w:lang w:val="en-GB"/>
                    </w:rPr>
                    <w:t>70.4% (19/27)</w:t>
                  </w:r>
                </w:p>
              </w:tc>
              <w:tc>
                <w:tcPr>
                  <w:tcW w:w="1195" w:type="dxa"/>
                  <w:shd w:val="clear" w:color="auto" w:fill="auto"/>
                </w:tcPr>
                <w:p w:rsidR="00FF609D" w:rsidRPr="005603E7" w:rsidRDefault="00FF609D" w:rsidP="007B16E1">
                  <w:pPr>
                    <w:jc w:val="center"/>
                    <w:rPr>
                      <w:lang w:val="en-GB"/>
                    </w:rPr>
                  </w:pPr>
                  <w:r w:rsidRPr="005603E7">
                    <w:rPr>
                      <w:lang w:val="en-GB"/>
                    </w:rPr>
                    <w:t>-0.142</w:t>
                  </w:r>
                </w:p>
                <w:p w:rsidR="00FF609D" w:rsidRPr="005603E7" w:rsidRDefault="00FF609D" w:rsidP="007B16E1">
                  <w:pPr>
                    <w:jc w:val="center"/>
                    <w:rPr>
                      <w:lang w:val="en-GB"/>
                    </w:rPr>
                  </w:pPr>
                  <w:r w:rsidRPr="005603E7">
                    <w:rPr>
                      <w:lang w:val="en-GB"/>
                    </w:rPr>
                    <w:t>[-0.368, 0.083]</w:t>
                  </w:r>
                </w:p>
              </w:tc>
              <w:tc>
                <w:tcPr>
                  <w:tcW w:w="1260" w:type="dxa"/>
                  <w:gridSpan w:val="2"/>
                  <w:shd w:val="clear" w:color="auto" w:fill="auto"/>
                  <w:vAlign w:val="center"/>
                </w:tcPr>
                <w:p w:rsidR="00FF609D" w:rsidRPr="005603E7" w:rsidRDefault="00FF609D" w:rsidP="007B16E1">
                  <w:pPr>
                    <w:jc w:val="center"/>
                    <w:rPr>
                      <w:lang w:val="en-GB"/>
                    </w:rPr>
                  </w:pPr>
                  <w:r w:rsidRPr="005603E7">
                    <w:rPr>
                      <w:lang w:val="en-GB"/>
                    </w:rPr>
                    <w:t>50.9% (29/57)</w:t>
                  </w:r>
                </w:p>
              </w:tc>
              <w:tc>
                <w:tcPr>
                  <w:tcW w:w="1260" w:type="dxa"/>
                  <w:shd w:val="clear" w:color="auto" w:fill="auto"/>
                  <w:vAlign w:val="center"/>
                </w:tcPr>
                <w:p w:rsidR="00FF609D" w:rsidRPr="005603E7" w:rsidRDefault="00FF609D" w:rsidP="007B16E1">
                  <w:pPr>
                    <w:jc w:val="center"/>
                    <w:rPr>
                      <w:lang w:val="en-GB"/>
                    </w:rPr>
                  </w:pPr>
                  <w:r w:rsidRPr="005603E7">
                    <w:rPr>
                      <w:lang w:val="en-GB"/>
                    </w:rPr>
                    <w:t>45.8% (27/59)</w:t>
                  </w:r>
                </w:p>
              </w:tc>
              <w:tc>
                <w:tcPr>
                  <w:tcW w:w="1710" w:type="dxa"/>
                  <w:shd w:val="clear" w:color="auto" w:fill="auto"/>
                </w:tcPr>
                <w:p w:rsidR="00FF609D" w:rsidRPr="005603E7" w:rsidRDefault="00FF609D" w:rsidP="007B16E1">
                  <w:pPr>
                    <w:jc w:val="center"/>
                    <w:rPr>
                      <w:lang w:val="en-GB"/>
                    </w:rPr>
                  </w:pPr>
                  <w:r w:rsidRPr="005603E7">
                    <w:rPr>
                      <w:lang w:val="en-GB"/>
                    </w:rPr>
                    <w:t xml:space="preserve">-0.051 </w:t>
                  </w:r>
                </w:p>
                <w:p w:rsidR="00FF609D" w:rsidRPr="005603E7" w:rsidRDefault="00FF609D" w:rsidP="007B16E1">
                  <w:pPr>
                    <w:jc w:val="center"/>
                    <w:rPr>
                      <w:lang w:val="en-GB"/>
                    </w:rPr>
                  </w:pPr>
                  <w:r w:rsidRPr="005603E7">
                    <w:rPr>
                      <w:lang w:val="en-GB"/>
                    </w:rPr>
                    <w:t>[-0.233; 0.131]</w:t>
                  </w:r>
                </w:p>
              </w:tc>
            </w:tr>
          </w:tbl>
          <w:p w:rsidR="00FF609D" w:rsidRPr="00AC6901" w:rsidRDefault="00FF609D" w:rsidP="00FF609D">
            <w:pPr>
              <w:pStyle w:val="Paragraph"/>
              <w:rPr>
                <w:lang w:val="en-GB"/>
              </w:rPr>
            </w:pPr>
          </w:p>
          <w:p w:rsidR="00FF609D" w:rsidRPr="00AC6901" w:rsidRDefault="00FF609D" w:rsidP="00FF609D">
            <w:pPr>
              <w:pStyle w:val="Paragraph"/>
            </w:pPr>
            <w:r w:rsidRPr="00AC6901">
              <w:rPr>
                <w:lang w:val="en-GB"/>
              </w:rPr>
              <w:t>CIMZIA does not significantly suppress the protective humoral immune response to the pneumococcal polysaccharide vaccine or influenza vaccine.</w:t>
            </w:r>
          </w:p>
          <w:p w:rsidR="001C1840" w:rsidRPr="00AF6BFA" w:rsidRDefault="001C1840" w:rsidP="00AF6BFA">
            <w:pPr>
              <w:pStyle w:val="Paragraph"/>
              <w:rPr>
                <w:b/>
                <w:lang w:val="en-GB"/>
              </w:rPr>
            </w:pPr>
            <w:r w:rsidRPr="00AF6BFA">
              <w:rPr>
                <w:b/>
                <w:lang w:val="en-GB"/>
              </w:rPr>
              <w:lastRenderedPageBreak/>
              <w:t>Concurrent administration of TNF-alpha inhibitor and other biologics:</w:t>
            </w:r>
          </w:p>
          <w:p w:rsidR="001C1840" w:rsidRPr="0052262B" w:rsidRDefault="001C1840" w:rsidP="00AF6BFA">
            <w:pPr>
              <w:pStyle w:val="Paragraph"/>
              <w:rPr>
                <w:lang w:val="en-GB"/>
              </w:rPr>
            </w:pPr>
            <w:r w:rsidRPr="0052262B">
              <w:rPr>
                <w:lang w:val="en-GB"/>
              </w:rPr>
              <w:t xml:space="preserve">Serious infections were seen in clinical studies with concurrent use of </w:t>
            </w:r>
            <w:proofErr w:type="spellStart"/>
            <w:r w:rsidRPr="0052262B">
              <w:rPr>
                <w:lang w:val="en-GB"/>
              </w:rPr>
              <w:t>anakinra</w:t>
            </w:r>
            <w:proofErr w:type="spellEnd"/>
            <w:r w:rsidRPr="0052262B">
              <w:rPr>
                <w:lang w:val="en-GB"/>
              </w:rPr>
              <w:t xml:space="preserve"> (an interleukin-1 antagonist) or </w:t>
            </w:r>
            <w:proofErr w:type="spellStart"/>
            <w:r w:rsidRPr="0052262B">
              <w:rPr>
                <w:lang w:val="en-GB"/>
              </w:rPr>
              <w:t>abatacept</w:t>
            </w:r>
            <w:proofErr w:type="spellEnd"/>
            <w:r w:rsidRPr="0052262B">
              <w:rPr>
                <w:lang w:val="en-GB"/>
              </w:rPr>
              <w:t xml:space="preserve"> and another TNF</w:t>
            </w:r>
            <w:r w:rsidR="00412D35">
              <w:rPr>
                <w:lang w:val="en-GB"/>
              </w:rPr>
              <w:t xml:space="preserve">-antagonist </w:t>
            </w:r>
            <w:r w:rsidRPr="0052262B">
              <w:rPr>
                <w:lang w:val="en-GB"/>
              </w:rPr>
              <w:t>agent, with no added benefit compared to TNF</w:t>
            </w:r>
            <w:r w:rsidR="00FE797A">
              <w:rPr>
                <w:lang w:val="en-GB"/>
              </w:rPr>
              <w:t>-antagonist</w:t>
            </w:r>
            <w:r w:rsidRPr="0052262B">
              <w:rPr>
                <w:lang w:val="en-GB"/>
              </w:rPr>
              <w:t xml:space="preserve"> therapy alone.  Because of the nature of the adverse events seen with the combina</w:t>
            </w:r>
            <w:r w:rsidR="00220239">
              <w:rPr>
                <w:lang w:val="en-GB"/>
              </w:rPr>
              <w:t>tion of another TNF</w:t>
            </w:r>
            <w:r w:rsidR="00412D35">
              <w:rPr>
                <w:lang w:val="en-GB"/>
              </w:rPr>
              <w:t xml:space="preserve">-antagonist </w:t>
            </w:r>
            <w:r w:rsidRPr="0052262B">
              <w:rPr>
                <w:lang w:val="en-GB"/>
              </w:rPr>
              <w:t xml:space="preserve">agent with </w:t>
            </w:r>
            <w:proofErr w:type="spellStart"/>
            <w:r w:rsidRPr="0052262B">
              <w:rPr>
                <w:lang w:val="en-GB"/>
              </w:rPr>
              <w:t>abatacept</w:t>
            </w:r>
            <w:proofErr w:type="spellEnd"/>
            <w:r w:rsidRPr="0052262B">
              <w:rPr>
                <w:lang w:val="en-GB"/>
              </w:rPr>
              <w:t xml:space="preserve"> or </w:t>
            </w:r>
            <w:proofErr w:type="spellStart"/>
            <w:r w:rsidRPr="0052262B">
              <w:rPr>
                <w:lang w:val="en-GB"/>
              </w:rPr>
              <w:t>anakinra</w:t>
            </w:r>
            <w:proofErr w:type="spellEnd"/>
            <w:r w:rsidRPr="0052262B">
              <w:rPr>
                <w:lang w:val="en-GB"/>
              </w:rPr>
              <w:t xml:space="preserve"> therapy, similar toxicities may also result from the combination of </w:t>
            </w:r>
            <w:proofErr w:type="spellStart"/>
            <w:r w:rsidRPr="0052262B">
              <w:rPr>
                <w:lang w:val="en-GB"/>
              </w:rPr>
              <w:t>anakinra</w:t>
            </w:r>
            <w:proofErr w:type="spellEnd"/>
            <w:r w:rsidRPr="0052262B">
              <w:rPr>
                <w:lang w:val="en-GB"/>
              </w:rPr>
              <w:t xml:space="preserve"> or </w:t>
            </w:r>
            <w:proofErr w:type="spellStart"/>
            <w:r w:rsidRPr="0052262B">
              <w:rPr>
                <w:lang w:val="en-GB"/>
              </w:rPr>
              <w:t>abatacept</w:t>
            </w:r>
            <w:proofErr w:type="spellEnd"/>
            <w:r w:rsidRPr="0052262B">
              <w:rPr>
                <w:lang w:val="en-GB"/>
              </w:rPr>
              <w:t xml:space="preserve"> and other TNF</w:t>
            </w:r>
            <w:r w:rsidR="00FE797A">
              <w:rPr>
                <w:lang w:val="en-GB"/>
              </w:rPr>
              <w:t>-antagonists</w:t>
            </w:r>
            <w:r w:rsidRPr="0052262B">
              <w:rPr>
                <w:lang w:val="en-GB"/>
              </w:rPr>
              <w:t xml:space="preserve">. Therefore, the use of CIMZIA in combination with </w:t>
            </w:r>
            <w:proofErr w:type="spellStart"/>
            <w:r w:rsidRPr="0052262B">
              <w:rPr>
                <w:lang w:val="en-GB"/>
              </w:rPr>
              <w:t>anakinra</w:t>
            </w:r>
            <w:proofErr w:type="spellEnd"/>
            <w:r w:rsidRPr="0052262B">
              <w:rPr>
                <w:lang w:val="en-GB"/>
              </w:rPr>
              <w:t xml:space="preserve"> or </w:t>
            </w:r>
            <w:proofErr w:type="spellStart"/>
            <w:r w:rsidRPr="0052262B">
              <w:rPr>
                <w:lang w:val="en-GB"/>
              </w:rPr>
              <w:t>abatacept</w:t>
            </w:r>
            <w:proofErr w:type="spellEnd"/>
            <w:r w:rsidRPr="0052262B">
              <w:rPr>
                <w:lang w:val="en-GB"/>
              </w:rPr>
              <w:t>, or any other biological response modifier, is not recommended.</w:t>
            </w:r>
          </w:p>
          <w:p w:rsidR="007F15AF" w:rsidRPr="00AF6BFA" w:rsidRDefault="007F15AF" w:rsidP="00AF6BFA">
            <w:pPr>
              <w:pStyle w:val="Paragraph"/>
              <w:rPr>
                <w:b/>
                <w:lang w:val="en-GB"/>
              </w:rPr>
            </w:pPr>
            <w:r w:rsidRPr="00AF6BFA">
              <w:rPr>
                <w:b/>
                <w:lang w:val="en-GB"/>
              </w:rPr>
              <w:t>Surgery</w:t>
            </w:r>
            <w:r w:rsidR="00AF6BFA">
              <w:rPr>
                <w:b/>
                <w:lang w:val="en-GB"/>
              </w:rPr>
              <w:t>:</w:t>
            </w:r>
          </w:p>
          <w:p w:rsidR="007F15AF" w:rsidRPr="0052262B" w:rsidRDefault="007F15AF" w:rsidP="00AF6BFA">
            <w:pPr>
              <w:pStyle w:val="Paragraph"/>
              <w:rPr>
                <w:lang w:val="en-GB"/>
              </w:rPr>
            </w:pPr>
            <w:r w:rsidRPr="0052262B">
              <w:rPr>
                <w:lang w:val="en-GB"/>
              </w:rPr>
              <w:t xml:space="preserve">There is limited safety experience with surgical procedures in patients treated with </w:t>
            </w:r>
            <w:r w:rsidR="0026215D">
              <w:rPr>
                <w:lang w:val="en-GB"/>
              </w:rPr>
              <w:t>CIMZIA</w:t>
            </w:r>
            <w:r w:rsidRPr="0052262B">
              <w:rPr>
                <w:lang w:val="en-GB"/>
              </w:rPr>
              <w:t xml:space="preserve">.  The 14-day half-life of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should be taken into consideration if a surgical procedure is planned.  A patient who requires surgery while on </w:t>
            </w:r>
            <w:r w:rsidR="0026215D">
              <w:rPr>
                <w:lang w:val="en-GB"/>
              </w:rPr>
              <w:t>CIMZIA</w:t>
            </w:r>
            <w:r w:rsidRPr="0052262B">
              <w:rPr>
                <w:lang w:val="en-GB"/>
              </w:rPr>
              <w:t xml:space="preserve"> should be closely monitored for infections, and appropriate actions should be taken.</w:t>
            </w:r>
          </w:p>
          <w:p w:rsidR="00CF7E3B" w:rsidRPr="002C1A5D" w:rsidRDefault="00CF7E3B" w:rsidP="00CF7E3B">
            <w:pPr>
              <w:pStyle w:val="Paragraph"/>
              <w:rPr>
                <w:b/>
                <w:lang w:val="en-GB"/>
              </w:rPr>
            </w:pPr>
            <w:r w:rsidRPr="002C1A5D">
              <w:rPr>
                <w:b/>
                <w:lang w:val="en-GB"/>
              </w:rPr>
              <w:t>Psoriasis - New-onset and Exacerbations:</w:t>
            </w:r>
          </w:p>
          <w:p w:rsidR="00CF7E3B" w:rsidRPr="00CF7E3B" w:rsidRDefault="00CF7E3B" w:rsidP="00CF7E3B">
            <w:pPr>
              <w:pStyle w:val="Paragraph"/>
              <w:rPr>
                <w:lang w:val="en-GB"/>
              </w:rPr>
            </w:pPr>
            <w:r w:rsidRPr="002C1A5D">
              <w:rPr>
                <w:lang w:val="en-GB"/>
              </w:rPr>
              <w:t>Cases of new onset psoriasis, including pustular psoriasis and palmoplantar psoriasis and cases of exacerbation of pre-existing psoriasis have been reported with the use of TNF</w:t>
            </w:r>
            <w:r w:rsidR="00FE797A">
              <w:rPr>
                <w:lang w:val="en-GB"/>
              </w:rPr>
              <w:t>-antagonists</w:t>
            </w:r>
            <w:r w:rsidRPr="002C1A5D">
              <w:rPr>
                <w:lang w:val="en-GB"/>
              </w:rPr>
              <w:t xml:space="preserve">, including </w:t>
            </w:r>
            <w:r w:rsidR="0026215D">
              <w:rPr>
                <w:lang w:val="en-GB"/>
              </w:rPr>
              <w:t>CIMZIA</w:t>
            </w:r>
            <w:r w:rsidRPr="002C1A5D">
              <w:rPr>
                <w:lang w:val="en-GB"/>
              </w:rPr>
              <w:t xml:space="preserve">.  Many of these patients were taking concomitant </w:t>
            </w:r>
            <w:proofErr w:type="spellStart"/>
            <w:r w:rsidRPr="002C1A5D">
              <w:rPr>
                <w:lang w:val="en-GB"/>
              </w:rPr>
              <w:t>immunosuppressants</w:t>
            </w:r>
            <w:proofErr w:type="spellEnd"/>
            <w:r w:rsidRPr="002C1A5D">
              <w:rPr>
                <w:lang w:val="en-GB"/>
              </w:rPr>
              <w:t xml:space="preserve"> (e.g. MTX, corticosteroids).  Some of these patients required hospitalization.  Most patients had improvement of their psoriasis following discontinuation of their TNF</w:t>
            </w:r>
            <w:r w:rsidR="00FE797A">
              <w:rPr>
                <w:lang w:val="en-GB"/>
              </w:rPr>
              <w:t>-antagonist</w:t>
            </w:r>
            <w:r w:rsidRPr="002C1A5D">
              <w:rPr>
                <w:lang w:val="en-GB"/>
              </w:rPr>
              <w:t>.  Some patients have had recurrences of the psoriasis when they were re-challenged with a different TNF</w:t>
            </w:r>
            <w:r w:rsidR="00FE797A">
              <w:rPr>
                <w:lang w:val="en-GB"/>
              </w:rPr>
              <w:t>-antagonist</w:t>
            </w:r>
            <w:r w:rsidRPr="002C1A5D">
              <w:rPr>
                <w:lang w:val="en-GB"/>
              </w:rPr>
              <w:t xml:space="preserve">.  Discontinuation of </w:t>
            </w:r>
            <w:r w:rsidR="0026215D">
              <w:rPr>
                <w:lang w:val="en-GB"/>
              </w:rPr>
              <w:t>CIMZIA</w:t>
            </w:r>
            <w:r w:rsidRPr="002C1A5D">
              <w:rPr>
                <w:lang w:val="en-GB"/>
              </w:rPr>
              <w:t xml:space="preserve"> should be considered for severe cases and those that do not improve or that worsen despite topical treatments.</w:t>
            </w:r>
          </w:p>
        </w:tc>
      </w:tr>
      <w:tr w:rsidR="001C1840" w:rsidRPr="0052262B">
        <w:tc>
          <w:tcPr>
            <w:tcW w:w="9142" w:type="dxa"/>
            <w:tcBorders>
              <w:top w:val="nil"/>
              <w:left w:val="single" w:sz="4" w:space="0" w:color="auto"/>
              <w:bottom w:val="nil"/>
              <w:right w:val="single" w:sz="4" w:space="0" w:color="auto"/>
            </w:tcBorders>
          </w:tcPr>
          <w:p w:rsidR="001C1840" w:rsidRPr="00B90B7C" w:rsidRDefault="001C1840" w:rsidP="00B90B7C">
            <w:pPr>
              <w:pStyle w:val="Paragraph"/>
              <w:rPr>
                <w:b/>
                <w:lang w:val="en-GB" w:eastAsia="en-AU"/>
              </w:rPr>
            </w:pPr>
            <w:r w:rsidRPr="00B90B7C">
              <w:rPr>
                <w:b/>
                <w:lang w:val="en-GB" w:eastAsia="en-AU"/>
              </w:rPr>
              <w:lastRenderedPageBreak/>
              <w:t>Effects on fertility</w:t>
            </w:r>
          </w:p>
        </w:tc>
      </w:tr>
      <w:tr w:rsidR="001C1840" w:rsidRPr="0052262B">
        <w:tc>
          <w:tcPr>
            <w:tcW w:w="9142" w:type="dxa"/>
            <w:tcBorders>
              <w:top w:val="nil"/>
              <w:left w:val="single" w:sz="4" w:space="0" w:color="auto"/>
              <w:bottom w:val="nil"/>
              <w:right w:val="single" w:sz="4" w:space="0" w:color="auto"/>
            </w:tcBorders>
          </w:tcPr>
          <w:p w:rsidR="006F4722" w:rsidRPr="0052262B" w:rsidRDefault="001C1840" w:rsidP="00B90B7C">
            <w:pPr>
              <w:pStyle w:val="Paragraph"/>
              <w:rPr>
                <w:lang w:val="en-GB"/>
              </w:rPr>
            </w:pPr>
            <w:r w:rsidRPr="0052262B">
              <w:rPr>
                <w:lang w:val="en-GB"/>
              </w:rPr>
              <w:t>Since CIMZIA does not cross-react with mouse or rat TNF</w:t>
            </w:r>
            <w:r w:rsidR="005F6AD0" w:rsidRPr="0052262B">
              <w:rPr>
                <w:lang w:val="en-GB"/>
              </w:rPr>
              <w:t>α</w:t>
            </w:r>
            <w:r w:rsidRPr="0052262B">
              <w:rPr>
                <w:lang w:val="en-GB"/>
              </w:rPr>
              <w:t>, reproductive studies have been performed in rats using a rodent anti-murine TNF</w:t>
            </w:r>
            <w:r w:rsidR="005F6AD0" w:rsidRPr="0052262B">
              <w:rPr>
                <w:lang w:val="en-GB"/>
              </w:rPr>
              <w:t>α</w:t>
            </w:r>
            <w:r w:rsidRPr="0052262B">
              <w:rPr>
                <w:lang w:val="en-GB"/>
              </w:rPr>
              <w:t xml:space="preserve"> </w:t>
            </w:r>
            <w:proofErr w:type="spellStart"/>
            <w:r w:rsidRPr="0052262B">
              <w:rPr>
                <w:lang w:val="en-GB"/>
              </w:rPr>
              <w:t>PEGylated</w:t>
            </w:r>
            <w:proofErr w:type="spellEnd"/>
            <w:r w:rsidRPr="0052262B">
              <w:rPr>
                <w:lang w:val="en-GB"/>
              </w:rPr>
              <w:t xml:space="preserve"> Fab' fragment (cTN3 PF), similar to CIMZIA. </w:t>
            </w:r>
            <w:proofErr w:type="gramStart"/>
            <w:r w:rsidRPr="0052262B">
              <w:rPr>
                <w:lang w:val="en-GB"/>
              </w:rPr>
              <w:t>cTN3</w:t>
            </w:r>
            <w:proofErr w:type="gramEnd"/>
            <w:r w:rsidRPr="0052262B">
              <w:rPr>
                <w:lang w:val="en-GB"/>
              </w:rPr>
              <w:t xml:space="preserve"> PF had no effects on the fertility and general reproductive </w:t>
            </w:r>
            <w:r w:rsidRPr="0052262B">
              <w:rPr>
                <w:rFonts w:cs="Arial"/>
                <w:lang w:val="en-GB"/>
              </w:rPr>
              <w:t>performance of male and female rats at iv doses up to 100 mg/kg, administered twice weekly.</w:t>
            </w:r>
            <w:r w:rsidR="00B65CF5" w:rsidRPr="0052262B">
              <w:rPr>
                <w:lang w:val="en-GB"/>
              </w:rPr>
              <w:t xml:space="preserve"> </w:t>
            </w:r>
          </w:p>
          <w:p w:rsidR="000C2146" w:rsidRDefault="00B65CF5" w:rsidP="000C2146">
            <w:pPr>
              <w:pStyle w:val="Paragraph"/>
              <w:rPr>
                <w:lang w:val="en-GB"/>
              </w:rPr>
            </w:pPr>
            <w:r w:rsidRPr="0052262B">
              <w:rPr>
                <w:lang w:val="en-GB"/>
              </w:rPr>
              <w:t xml:space="preserve">Effects on sperm motility measures and a trend of reduced sperm count in male rodents have been observed with no apparent effect on fertility. </w:t>
            </w:r>
          </w:p>
          <w:p w:rsidR="000C2146" w:rsidRPr="00B90B7C" w:rsidRDefault="000C2146" w:rsidP="000C2146">
            <w:pPr>
              <w:pStyle w:val="Paragraph"/>
            </w:pPr>
            <w:r w:rsidRPr="00D43075">
              <w:rPr>
                <w:lang w:val="en-GB"/>
              </w:rPr>
              <w:t xml:space="preserve">In a clinical trial to assess the effect of </w:t>
            </w:r>
            <w:proofErr w:type="spellStart"/>
            <w:r w:rsidRPr="00D43075">
              <w:rPr>
                <w:lang w:val="en-GB"/>
              </w:rPr>
              <w:t>certolizumab</w:t>
            </w:r>
            <w:proofErr w:type="spellEnd"/>
            <w:r w:rsidRPr="00D43075">
              <w:rPr>
                <w:lang w:val="en-GB"/>
              </w:rPr>
              <w:t xml:space="preserve"> </w:t>
            </w:r>
            <w:proofErr w:type="spellStart"/>
            <w:r w:rsidRPr="00D43075">
              <w:rPr>
                <w:lang w:val="en-GB"/>
              </w:rPr>
              <w:t>pegol</w:t>
            </w:r>
            <w:proofErr w:type="spellEnd"/>
            <w:r w:rsidRPr="00D43075">
              <w:rPr>
                <w:lang w:val="en-GB"/>
              </w:rPr>
              <w:t xml:space="preserve"> on semen quality parameters (primary variables: % total motility and % normal ovoid form morphology; secondary variables; semen volume, sperm count and concentration, %</w:t>
            </w:r>
            <w:r w:rsidR="00801376">
              <w:rPr>
                <w:lang w:val="en-GB"/>
              </w:rPr>
              <w:t xml:space="preserve"> </w:t>
            </w:r>
            <w:r w:rsidRPr="00D43075">
              <w:rPr>
                <w:lang w:val="en-GB"/>
              </w:rPr>
              <w:t>progressive motility, and % vitality</w:t>
            </w:r>
            <w:r w:rsidR="00A906D6" w:rsidRPr="00D43075">
              <w:rPr>
                <w:lang w:val="en-GB"/>
              </w:rPr>
              <w:t>),</w:t>
            </w:r>
            <w:r w:rsidRPr="00D43075">
              <w:rPr>
                <w:lang w:val="en-GB"/>
              </w:rPr>
              <w:t xml:space="preserve"> 20 healthy </w:t>
            </w:r>
            <w:r w:rsidR="00A906D6" w:rsidRPr="00D43075">
              <w:rPr>
                <w:lang w:val="en-GB"/>
              </w:rPr>
              <w:t>male subjects</w:t>
            </w:r>
            <w:r w:rsidRPr="00D43075">
              <w:rPr>
                <w:lang w:val="en-GB"/>
              </w:rPr>
              <w:t xml:space="preserve"> were randomized to receive a single subcutaneous dose of 400 mg of </w:t>
            </w:r>
            <w:proofErr w:type="spellStart"/>
            <w:r w:rsidRPr="00D43075">
              <w:rPr>
                <w:lang w:val="en-GB"/>
              </w:rPr>
              <w:t>certolizumab</w:t>
            </w:r>
            <w:proofErr w:type="spellEnd"/>
            <w:r w:rsidRPr="00D43075">
              <w:rPr>
                <w:lang w:val="en-GB"/>
              </w:rPr>
              <w:t xml:space="preserve"> </w:t>
            </w:r>
            <w:proofErr w:type="spellStart"/>
            <w:r w:rsidRPr="00D43075">
              <w:rPr>
                <w:lang w:val="en-GB"/>
              </w:rPr>
              <w:t>pegol</w:t>
            </w:r>
            <w:proofErr w:type="spellEnd"/>
            <w:r w:rsidRPr="00D43075">
              <w:rPr>
                <w:lang w:val="en-GB"/>
              </w:rPr>
              <w:t xml:space="preserve"> (n=15) or placebo (n=5).  A linear repeated measures model with the interaction between treatment group (placebo or </w:t>
            </w:r>
            <w:proofErr w:type="spellStart"/>
            <w:r w:rsidRPr="00D43075">
              <w:rPr>
                <w:lang w:val="en-GB"/>
              </w:rPr>
              <w:t>certolizumab</w:t>
            </w:r>
            <w:proofErr w:type="spellEnd"/>
            <w:r w:rsidRPr="00D43075">
              <w:rPr>
                <w:lang w:val="en-GB"/>
              </w:rPr>
              <w:t xml:space="preserve"> </w:t>
            </w:r>
            <w:proofErr w:type="spellStart"/>
            <w:r w:rsidRPr="00D43075">
              <w:rPr>
                <w:lang w:val="en-GB"/>
              </w:rPr>
              <w:t>pegol</w:t>
            </w:r>
            <w:proofErr w:type="spellEnd"/>
            <w:r w:rsidRPr="00D43075">
              <w:rPr>
                <w:lang w:val="en-GB"/>
              </w:rPr>
              <w:t xml:space="preserve">) and visit as fixed effect and subject as random effect was fitted to each variable. The 90% confidence intervals on the treatment effect were derived. During the 14 weeks follow-up  </w:t>
            </w:r>
            <w:proofErr w:type="spellStart"/>
            <w:r w:rsidRPr="00D43075">
              <w:rPr>
                <w:lang w:val="en-GB"/>
              </w:rPr>
              <w:t>certolizumab</w:t>
            </w:r>
            <w:proofErr w:type="spellEnd"/>
            <w:r w:rsidRPr="00D43075">
              <w:rPr>
                <w:lang w:val="en-GB"/>
              </w:rPr>
              <w:t xml:space="preserve"> </w:t>
            </w:r>
            <w:proofErr w:type="spellStart"/>
            <w:r w:rsidRPr="00D43075">
              <w:rPr>
                <w:lang w:val="en-GB"/>
              </w:rPr>
              <w:t>pegol</w:t>
            </w:r>
            <w:proofErr w:type="spellEnd"/>
            <w:r w:rsidRPr="00D43075">
              <w:rPr>
                <w:lang w:val="en-GB"/>
              </w:rPr>
              <w:t xml:space="preserve"> 400mg  treatment had no effect over that of placebo on semen quality variables (total motility point estimate -1.3, 90% CI -8.5 to 5.9; morphology point estimate -2.1,  90% CI -4.7 to 0.4).</w:t>
            </w:r>
          </w:p>
        </w:tc>
      </w:tr>
      <w:tr w:rsidR="001C1840" w:rsidRPr="0052262B">
        <w:tc>
          <w:tcPr>
            <w:tcW w:w="9142" w:type="dxa"/>
            <w:tcBorders>
              <w:top w:val="nil"/>
              <w:left w:val="single" w:sz="4" w:space="0" w:color="auto"/>
              <w:bottom w:val="nil"/>
              <w:right w:val="single" w:sz="4" w:space="0" w:color="auto"/>
            </w:tcBorders>
          </w:tcPr>
          <w:p w:rsidR="001C1840" w:rsidRPr="00B90B7C" w:rsidRDefault="001C1840" w:rsidP="00B90B7C">
            <w:pPr>
              <w:pStyle w:val="Paragraph"/>
              <w:rPr>
                <w:b/>
                <w:szCs w:val="22"/>
                <w:lang w:val="en-GB"/>
              </w:rPr>
            </w:pPr>
            <w:r w:rsidRPr="00B90B7C">
              <w:rPr>
                <w:b/>
                <w:lang w:val="en-GB" w:eastAsia="en-AU"/>
              </w:rPr>
              <w:t>Use in pregnancy (Category C)</w:t>
            </w:r>
          </w:p>
        </w:tc>
      </w:tr>
      <w:tr w:rsidR="001C1840" w:rsidRPr="0052262B">
        <w:tc>
          <w:tcPr>
            <w:tcW w:w="9142" w:type="dxa"/>
            <w:tcBorders>
              <w:top w:val="nil"/>
              <w:left w:val="single" w:sz="4" w:space="0" w:color="auto"/>
              <w:bottom w:val="nil"/>
              <w:right w:val="single" w:sz="4" w:space="0" w:color="auto"/>
            </w:tcBorders>
          </w:tcPr>
          <w:p w:rsidR="000C2146" w:rsidRDefault="000C2146" w:rsidP="000C2146">
            <w:pPr>
              <w:pStyle w:val="Paragraph"/>
              <w:rPr>
                <w:lang w:val="en-GB"/>
              </w:rPr>
            </w:pPr>
            <w:r w:rsidRPr="0052262B">
              <w:rPr>
                <w:lang w:val="en-GB"/>
              </w:rPr>
              <w:lastRenderedPageBreak/>
              <w:t xml:space="preserve">Women of childbearing potential </w:t>
            </w:r>
            <w:r>
              <w:rPr>
                <w:lang w:val="en-GB"/>
              </w:rPr>
              <w:t xml:space="preserve">should </w:t>
            </w:r>
            <w:r w:rsidRPr="0052262B">
              <w:rPr>
                <w:lang w:val="en-GB"/>
              </w:rPr>
              <w:t>use adequate contraception to prevent pregnancy and continue its use for at least</w:t>
            </w:r>
            <w:r>
              <w:rPr>
                <w:lang w:val="en-GB"/>
              </w:rPr>
              <w:t xml:space="preserve"> 10 weeks</w:t>
            </w:r>
            <w:r w:rsidRPr="0052262B">
              <w:rPr>
                <w:lang w:val="en-GB"/>
              </w:rPr>
              <w:t xml:space="preserve"> after the last CIMZIA treatment</w:t>
            </w:r>
            <w:r>
              <w:rPr>
                <w:lang w:val="en-GB"/>
              </w:rPr>
              <w:t xml:space="preserve">. </w:t>
            </w:r>
            <w:r w:rsidR="004316D4" w:rsidRPr="00DB2E80">
              <w:rPr>
                <w:lang w:val="en-GB"/>
              </w:rPr>
              <w:t xml:space="preserve">The elimination of </w:t>
            </w:r>
            <w:proofErr w:type="spellStart"/>
            <w:r w:rsidR="004316D4" w:rsidRPr="00DB2E80">
              <w:rPr>
                <w:lang w:val="en-GB"/>
              </w:rPr>
              <w:t>certolizumab</w:t>
            </w:r>
            <w:proofErr w:type="spellEnd"/>
            <w:r w:rsidR="004316D4" w:rsidRPr="00DB2E80">
              <w:rPr>
                <w:lang w:val="en-GB"/>
              </w:rPr>
              <w:t xml:space="preserve"> </w:t>
            </w:r>
            <w:proofErr w:type="spellStart"/>
            <w:r w:rsidR="004316D4" w:rsidRPr="00DB2E80">
              <w:rPr>
                <w:lang w:val="en-GB"/>
              </w:rPr>
              <w:t>pegol</w:t>
            </w:r>
            <w:proofErr w:type="spellEnd"/>
            <w:r w:rsidR="004316D4" w:rsidRPr="00DB2E80">
              <w:rPr>
                <w:lang w:val="en-GB"/>
              </w:rPr>
              <w:t xml:space="preserve"> may take up to 5 months.</w:t>
            </w:r>
          </w:p>
          <w:p w:rsidR="000C2146" w:rsidRPr="0052262B" w:rsidRDefault="000C2146" w:rsidP="000C2146">
            <w:pPr>
              <w:pStyle w:val="Paragraph"/>
              <w:rPr>
                <w:lang w:val="en-GB"/>
              </w:rPr>
            </w:pPr>
            <w:r>
              <w:rPr>
                <w:lang w:val="en-GB"/>
              </w:rPr>
              <w:t>There are no adequate and well-controlled studies of CIMZIA in pregnant women, CIMZIA should not be used during pregnancy unless the potential benefit justifies the potential risk to the foetus.</w:t>
            </w:r>
          </w:p>
          <w:p w:rsidR="000C2146" w:rsidRDefault="000C2146" w:rsidP="000C2146">
            <w:pPr>
              <w:pStyle w:val="Paragraph"/>
              <w:rPr>
                <w:lang w:val="en-GB"/>
              </w:rPr>
            </w:pPr>
            <w:r w:rsidRPr="0052262B">
              <w:rPr>
                <w:lang w:val="en-GB"/>
              </w:rPr>
              <w:t>Animal studies using a rodent anti-rat TNFα reagent did not reveal evidence of impaired fertility or harm to the foetus. However, these are insufficient with respect to human reproductive toxicity</w:t>
            </w:r>
            <w:r>
              <w:rPr>
                <w:lang w:val="en-GB"/>
              </w:rPr>
              <w:t>.</w:t>
            </w:r>
            <w:r w:rsidR="00E25CA1">
              <w:rPr>
                <w:lang w:val="en-GB"/>
              </w:rPr>
              <w:t xml:space="preserve"> </w:t>
            </w:r>
          </w:p>
          <w:p w:rsidR="000C2146" w:rsidRDefault="000C2146" w:rsidP="000C2146">
            <w:pPr>
              <w:pStyle w:val="Paragraph"/>
              <w:rPr>
                <w:lang w:val="en-GB"/>
              </w:rPr>
            </w:pPr>
            <w:r>
              <w:rPr>
                <w:lang w:val="en-GB"/>
              </w:rPr>
              <w:t xml:space="preserve">Active placental transfer of </w:t>
            </w:r>
            <w:proofErr w:type="spellStart"/>
            <w:r>
              <w:rPr>
                <w:lang w:val="en-GB"/>
              </w:rPr>
              <w:t>IgGs</w:t>
            </w:r>
            <w:proofErr w:type="spellEnd"/>
            <w:r>
              <w:rPr>
                <w:lang w:val="en-GB"/>
              </w:rPr>
              <w:t xml:space="preserve"> is mediated by the Fc part of an antibody binding to the neonatal Fc receptor (</w:t>
            </w:r>
            <w:proofErr w:type="spellStart"/>
            <w:r>
              <w:rPr>
                <w:lang w:val="en-GB"/>
              </w:rPr>
              <w:t>FcRn</w:t>
            </w:r>
            <w:proofErr w:type="spellEnd"/>
            <w:r>
              <w:rPr>
                <w:lang w:val="en-GB"/>
              </w:rPr>
              <w:t xml:space="preserve">).  </w:t>
            </w:r>
            <w:proofErr w:type="spellStart"/>
            <w:r>
              <w:rPr>
                <w:lang w:val="en-GB"/>
              </w:rPr>
              <w:t>Certolizumab</w:t>
            </w:r>
            <w:proofErr w:type="spellEnd"/>
            <w:r>
              <w:rPr>
                <w:lang w:val="en-GB"/>
              </w:rPr>
              <w:t xml:space="preserve"> </w:t>
            </w:r>
            <w:proofErr w:type="spellStart"/>
            <w:r>
              <w:rPr>
                <w:lang w:val="en-GB"/>
              </w:rPr>
              <w:t>pegol</w:t>
            </w:r>
            <w:proofErr w:type="spellEnd"/>
            <w:r>
              <w:rPr>
                <w:lang w:val="en-GB"/>
              </w:rPr>
              <w:t xml:space="preserve"> consists of just the Fab part of an antibody and does not contain an Fc part.  In reproduction studies in rats cTN3 γ1 (a surrogate full antibody to </w:t>
            </w:r>
            <w:proofErr w:type="spellStart"/>
            <w:r>
              <w:rPr>
                <w:lang w:val="en-GB"/>
              </w:rPr>
              <w:t>certolizumab</w:t>
            </w:r>
            <w:proofErr w:type="spellEnd"/>
            <w:r>
              <w:rPr>
                <w:lang w:val="en-GB"/>
              </w:rPr>
              <w:t xml:space="preserve"> including an Fc part) was transferred to the foetus during gestation.  However, there was little or no measurable transfer of cTN3 PF (surrogate </w:t>
            </w:r>
            <w:proofErr w:type="spellStart"/>
            <w:r>
              <w:rPr>
                <w:lang w:val="en-GB"/>
              </w:rPr>
              <w:t>Fab’fragment</w:t>
            </w:r>
            <w:proofErr w:type="spellEnd"/>
            <w:r>
              <w:rPr>
                <w:lang w:val="en-GB"/>
              </w:rPr>
              <w:t xml:space="preserve"> to </w:t>
            </w:r>
            <w:proofErr w:type="spellStart"/>
            <w:r>
              <w:rPr>
                <w:lang w:val="en-GB"/>
              </w:rPr>
              <w:t>certolizumab</w:t>
            </w:r>
            <w:proofErr w:type="spellEnd"/>
            <w:r>
              <w:rPr>
                <w:lang w:val="en-GB"/>
              </w:rPr>
              <w:t xml:space="preserve"> without an Fc) to the foetus w</w:t>
            </w:r>
            <w:r w:rsidR="00801376">
              <w:rPr>
                <w:lang w:val="en-GB"/>
              </w:rPr>
              <w:t xml:space="preserve">hen compared to maternal plasma </w:t>
            </w:r>
            <w:r>
              <w:rPr>
                <w:lang w:val="en-GB"/>
              </w:rPr>
              <w:t>concentrations, demonstrating the importance of the Fc for placental transfer.</w:t>
            </w:r>
          </w:p>
          <w:p w:rsidR="000C2146" w:rsidRDefault="000C2146" w:rsidP="000C2146">
            <w:pPr>
              <w:pStyle w:val="Paragraph"/>
              <w:rPr>
                <w:lang w:val="en-GB"/>
              </w:rPr>
            </w:pPr>
            <w:r>
              <w:rPr>
                <w:lang w:val="en-GB"/>
              </w:rPr>
              <w:t xml:space="preserve">Supporting data were also collected in a human closed-circuit placental transfer model in vitro where </w:t>
            </w:r>
            <w:proofErr w:type="spellStart"/>
            <w:r>
              <w:rPr>
                <w:lang w:val="en-GB"/>
              </w:rPr>
              <w:t>certolizumab</w:t>
            </w:r>
            <w:proofErr w:type="spellEnd"/>
            <w:r>
              <w:rPr>
                <w:lang w:val="en-GB"/>
              </w:rPr>
              <w:t xml:space="preserve"> </w:t>
            </w:r>
            <w:proofErr w:type="spellStart"/>
            <w:r>
              <w:rPr>
                <w:lang w:val="en-GB"/>
              </w:rPr>
              <w:t>pegol</w:t>
            </w:r>
            <w:proofErr w:type="spellEnd"/>
            <w:r>
              <w:rPr>
                <w:lang w:val="en-GB"/>
              </w:rPr>
              <w:t xml:space="preserve"> concentrations were found to be below or near the lowest level of quanti</w:t>
            </w:r>
            <w:r w:rsidR="007443DF">
              <w:rPr>
                <w:lang w:val="en-GB"/>
              </w:rPr>
              <w:t>fica</w:t>
            </w:r>
            <w:r>
              <w:rPr>
                <w:lang w:val="en-GB"/>
              </w:rPr>
              <w:t>tion (LLOQ) level in foetal circuit.</w:t>
            </w:r>
          </w:p>
          <w:p w:rsidR="000C2146" w:rsidRDefault="000C2146" w:rsidP="000C2146">
            <w:pPr>
              <w:pStyle w:val="Paragraph"/>
              <w:rPr>
                <w:lang w:val="en-GB"/>
              </w:rPr>
            </w:pPr>
            <w:r>
              <w:rPr>
                <w:lang w:val="en-GB"/>
              </w:rPr>
              <w:t xml:space="preserve">In an independent clinical study in 10 patients with Crohn’s disease treated with CIMZIA, </w:t>
            </w:r>
            <w:proofErr w:type="spellStart"/>
            <w:r>
              <w:rPr>
                <w:lang w:val="en-GB"/>
              </w:rPr>
              <w:t>certolizumab</w:t>
            </w:r>
            <w:proofErr w:type="spellEnd"/>
            <w:r>
              <w:rPr>
                <w:lang w:val="en-GB"/>
              </w:rPr>
              <w:t xml:space="preserve"> </w:t>
            </w:r>
            <w:proofErr w:type="spellStart"/>
            <w:r>
              <w:rPr>
                <w:lang w:val="en-GB"/>
              </w:rPr>
              <w:t>pegol</w:t>
            </w:r>
            <w:proofErr w:type="spellEnd"/>
            <w:r>
              <w:rPr>
                <w:lang w:val="en-GB"/>
              </w:rPr>
              <w:t xml:space="preserve"> concentrations were measured in maternal blood as well as in cord and infant blood (n=12) at the day of birth.  </w:t>
            </w:r>
            <w:proofErr w:type="spellStart"/>
            <w:r>
              <w:rPr>
                <w:lang w:val="en-GB"/>
              </w:rPr>
              <w:t>Certolizumab</w:t>
            </w:r>
            <w:proofErr w:type="spellEnd"/>
            <w:r>
              <w:rPr>
                <w:lang w:val="en-GB"/>
              </w:rPr>
              <w:t xml:space="preserve"> </w:t>
            </w:r>
            <w:proofErr w:type="spellStart"/>
            <w:r>
              <w:rPr>
                <w:lang w:val="en-GB"/>
              </w:rPr>
              <w:t>pegol</w:t>
            </w:r>
            <w:proofErr w:type="spellEnd"/>
            <w:r>
              <w:rPr>
                <w:lang w:val="en-GB"/>
              </w:rPr>
              <w:t xml:space="preserve"> concentrations were very low in cord blood (&lt;0.41 [L</w:t>
            </w:r>
            <w:r w:rsidR="007443DF">
              <w:rPr>
                <w:lang w:val="en-GB"/>
              </w:rPr>
              <w:t>ower Level of Quan</w:t>
            </w:r>
            <w:r>
              <w:rPr>
                <w:lang w:val="en-GB"/>
              </w:rPr>
              <w:t>tification] – 1.66 µg/mL) and infant blood (&lt;0.41 – 1.58</w:t>
            </w:r>
            <w:r w:rsidR="00801376">
              <w:rPr>
                <w:lang w:val="en-GB"/>
              </w:rPr>
              <w:t xml:space="preserve"> </w:t>
            </w:r>
            <w:r>
              <w:rPr>
                <w:lang w:val="en-GB"/>
              </w:rPr>
              <w:t xml:space="preserve">µg/mL) compared to maternal blood levels (1.87 – 59.57 µg/mL).  PEG concentrations were below Lower Level of Quantification, which ranged </w:t>
            </w:r>
            <w:proofErr w:type="gramStart"/>
            <w:r>
              <w:rPr>
                <w:lang w:val="en-GB"/>
              </w:rPr>
              <w:t>from 9</w:t>
            </w:r>
            <w:r w:rsidR="00801376">
              <w:rPr>
                <w:lang w:val="en-GB"/>
              </w:rPr>
              <w:t xml:space="preserve"> </w:t>
            </w:r>
            <w:r>
              <w:rPr>
                <w:lang w:val="en-GB"/>
              </w:rPr>
              <w:t>µg/mL</w:t>
            </w:r>
            <w:proofErr w:type="gramEnd"/>
            <w:r>
              <w:rPr>
                <w:lang w:val="en-GB"/>
              </w:rPr>
              <w:t xml:space="preserve"> (when sufficient sample was collected) up to 36 µg/mL (when sample needed to be diluted), in all cord and infant blood samples.</w:t>
            </w:r>
          </w:p>
          <w:p w:rsidR="00C766FA" w:rsidRDefault="000C2146" w:rsidP="00C766FA">
            <w:pPr>
              <w:pStyle w:val="Paragraph"/>
              <w:rPr>
                <w:lang w:val="en-GB"/>
              </w:rPr>
            </w:pPr>
            <w:r>
              <w:rPr>
                <w:lang w:val="en-GB"/>
              </w:rPr>
              <w:t xml:space="preserve">Pre-clinical and clinical data suggest a lack of active </w:t>
            </w:r>
            <w:proofErr w:type="spellStart"/>
            <w:r>
              <w:rPr>
                <w:lang w:val="en-GB"/>
              </w:rPr>
              <w:t>FcRn</w:t>
            </w:r>
            <w:proofErr w:type="spellEnd"/>
            <w:r>
              <w:rPr>
                <w:lang w:val="en-GB"/>
              </w:rPr>
              <w:t xml:space="preserve">-dependent placental transfer of </w:t>
            </w:r>
            <w:proofErr w:type="spellStart"/>
            <w:r>
              <w:rPr>
                <w:lang w:val="en-GB"/>
              </w:rPr>
              <w:t>certolizumab</w:t>
            </w:r>
            <w:proofErr w:type="spellEnd"/>
            <w:r>
              <w:rPr>
                <w:lang w:val="en-GB"/>
              </w:rPr>
              <w:t xml:space="preserve"> </w:t>
            </w:r>
            <w:proofErr w:type="spellStart"/>
            <w:r>
              <w:rPr>
                <w:lang w:val="en-GB"/>
              </w:rPr>
              <w:t>pegol</w:t>
            </w:r>
            <w:proofErr w:type="spellEnd"/>
            <w:r>
              <w:rPr>
                <w:lang w:val="en-GB"/>
              </w:rPr>
              <w:t xml:space="preserve">.  Due to its inhibition of TNFα, CIMZIA administration during pregnancy could affect normal immune responses in the new-born.  Although </w:t>
            </w:r>
            <w:proofErr w:type="spellStart"/>
            <w:r>
              <w:rPr>
                <w:lang w:val="en-GB"/>
              </w:rPr>
              <w:t>certolizumab</w:t>
            </w:r>
            <w:proofErr w:type="spellEnd"/>
            <w:r>
              <w:rPr>
                <w:lang w:val="en-GB"/>
              </w:rPr>
              <w:t xml:space="preserve"> </w:t>
            </w:r>
            <w:proofErr w:type="spellStart"/>
            <w:r>
              <w:rPr>
                <w:lang w:val="en-GB"/>
              </w:rPr>
              <w:t>pegol</w:t>
            </w:r>
            <w:proofErr w:type="spellEnd"/>
            <w:r>
              <w:rPr>
                <w:lang w:val="en-GB"/>
              </w:rPr>
              <w:t xml:space="preserve"> levels are low in the infant, the clinical significance of these low levels is unknown. The risk and benefits of administering live vaccines during the first 12 weeks should be discussed with a paediatrician (see Vaccinations).  However, humoral response in adults in the presence of CIMZIA was similar to that of placebo with respect to inactivated vaccines.</w:t>
            </w:r>
          </w:p>
          <w:p w:rsidR="00C766FA" w:rsidRDefault="00C766FA" w:rsidP="00C766FA">
            <w:pPr>
              <w:rPr>
                <w:b/>
                <w:bCs/>
                <w:u w:val="single"/>
              </w:rPr>
            </w:pPr>
            <w:r>
              <w:rPr>
                <w:b/>
                <w:bCs/>
                <w:u w:val="single"/>
              </w:rPr>
              <w:t xml:space="preserve">Information from case reports of </w:t>
            </w:r>
            <w:proofErr w:type="spellStart"/>
            <w:r>
              <w:rPr>
                <w:b/>
                <w:bCs/>
                <w:u w:val="single"/>
              </w:rPr>
              <w:t>certolizumab</w:t>
            </w:r>
            <w:proofErr w:type="spellEnd"/>
            <w:r>
              <w:rPr>
                <w:b/>
                <w:bCs/>
                <w:u w:val="single"/>
              </w:rPr>
              <w:t xml:space="preserve"> </w:t>
            </w:r>
            <w:proofErr w:type="spellStart"/>
            <w:r>
              <w:rPr>
                <w:b/>
                <w:bCs/>
                <w:u w:val="single"/>
              </w:rPr>
              <w:t>pegol</w:t>
            </w:r>
            <w:proofErr w:type="spellEnd"/>
            <w:r>
              <w:rPr>
                <w:b/>
                <w:bCs/>
                <w:u w:val="single"/>
              </w:rPr>
              <w:t xml:space="preserve"> exposure during pregnancy</w:t>
            </w:r>
          </w:p>
          <w:p w:rsidR="00C766FA" w:rsidRDefault="00C766FA" w:rsidP="00C766FA"/>
          <w:p w:rsidR="00C766FA" w:rsidRDefault="00C766FA" w:rsidP="00C766FA">
            <w:r>
              <w:t xml:space="preserve">During clinical development and post-marketing surveillance, cases of pregnancy have been reported in patients treated with </w:t>
            </w:r>
            <w:proofErr w:type="spellStart"/>
            <w:r>
              <w:t>certolizumab</w:t>
            </w:r>
            <w:proofErr w:type="spellEnd"/>
            <w:r>
              <w:t xml:space="preserve"> </w:t>
            </w:r>
            <w:proofErr w:type="spellStart"/>
            <w:r>
              <w:t>pegol</w:t>
            </w:r>
            <w:proofErr w:type="spellEnd"/>
            <w:r>
              <w:t xml:space="preserve">. Through March 2014, a total of 566 pregnancy reports had been received, 528 cases occurred in women treated with </w:t>
            </w:r>
            <w:proofErr w:type="spellStart"/>
            <w:r>
              <w:t>certolizumab</w:t>
            </w:r>
            <w:proofErr w:type="spellEnd"/>
            <w:r>
              <w:t xml:space="preserve"> </w:t>
            </w:r>
            <w:proofErr w:type="spellStart"/>
            <w:r>
              <w:t>pegol</w:t>
            </w:r>
            <w:proofErr w:type="spellEnd"/>
            <w:r>
              <w:t xml:space="preserve"> at any time during pregnancy, 38 were reported from men treated at time of conception. </w:t>
            </w:r>
          </w:p>
          <w:p w:rsidR="00C766FA" w:rsidRDefault="00C766FA" w:rsidP="00C766FA">
            <w:r>
              <w:t xml:space="preserve"> </w:t>
            </w:r>
          </w:p>
          <w:p w:rsidR="00C766FA" w:rsidRDefault="00C766FA" w:rsidP="00C766FA">
            <w:r>
              <w:t xml:space="preserve">Pregnancy outcomes were known for 304/528 cases of maternal exposure (197 prospective cases and 107 retrospective cases). Overall, 73% of the reported pregnancies resulted in live </w:t>
            </w:r>
            <w:proofErr w:type="gramStart"/>
            <w:r>
              <w:t>births,</w:t>
            </w:r>
            <w:proofErr w:type="gramEnd"/>
            <w:r>
              <w:t xml:space="preserve"> the remaining pregnancies resulted in miscarriage (15 %) or elective termination </w:t>
            </w:r>
            <w:r>
              <w:lastRenderedPageBreak/>
              <w:t>(11%). In six infants (2%) born from treated mothers, 7 congenital malformations were reported (</w:t>
            </w:r>
            <w:proofErr w:type="spellStart"/>
            <w:r>
              <w:t>vesicoureteric</w:t>
            </w:r>
            <w:proofErr w:type="spellEnd"/>
            <w:r>
              <w:t xml:space="preserve"> reflux, </w:t>
            </w:r>
            <w:proofErr w:type="spellStart"/>
            <w:r>
              <w:t>talipes</w:t>
            </w:r>
            <w:proofErr w:type="spellEnd"/>
            <w:r>
              <w:t xml:space="preserve">, polydactyly, bilateral </w:t>
            </w:r>
            <w:proofErr w:type="spellStart"/>
            <w:r>
              <w:t>hydronephrosis</w:t>
            </w:r>
            <w:proofErr w:type="spellEnd"/>
            <w:r>
              <w:t xml:space="preserve">, </w:t>
            </w:r>
            <w:proofErr w:type="spellStart"/>
            <w:r>
              <w:t>Hirschsprung’s</w:t>
            </w:r>
            <w:proofErr w:type="spellEnd"/>
            <w:r>
              <w:t xml:space="preserve"> disease, and club foot and right aortic arch with aberrant left subclavian), for which the causal role of </w:t>
            </w:r>
            <w:proofErr w:type="spellStart"/>
            <w:r>
              <w:t>certolizumab</w:t>
            </w:r>
            <w:proofErr w:type="spellEnd"/>
            <w:r>
              <w:t xml:space="preserve"> </w:t>
            </w:r>
            <w:proofErr w:type="spellStart"/>
            <w:r>
              <w:t>pegol</w:t>
            </w:r>
            <w:proofErr w:type="spellEnd"/>
            <w:r>
              <w:t xml:space="preserve"> is unknown. </w:t>
            </w:r>
          </w:p>
          <w:p w:rsidR="00C766FA" w:rsidRDefault="00C766FA" w:rsidP="00C766FA"/>
          <w:p w:rsidR="00C766FA" w:rsidRDefault="00C766FA" w:rsidP="00C766FA">
            <w:r>
              <w:t>Detailed information regarding period (trimester) or extent of exposure was not available. These data should be interpreted with caution due to limitations such as underreporting and incomplete information. They represent reporting rates and may not be representative of the general disease population experience.</w:t>
            </w:r>
          </w:p>
          <w:p w:rsidR="00C766FA" w:rsidRDefault="00C766FA" w:rsidP="00C766FA"/>
          <w:p w:rsidR="00C766FA" w:rsidRPr="00B90B7C" w:rsidRDefault="00C766FA" w:rsidP="00B50D8F">
            <w:pPr>
              <w:spacing w:after="120"/>
            </w:pPr>
            <w:r>
              <w:t>Published data from the US population suggested that major birth defects occur in 2-4% of the general population and that miscarriage occurs in 15-20% of clinically recognized pregnancies.</w:t>
            </w:r>
          </w:p>
        </w:tc>
      </w:tr>
      <w:tr w:rsidR="001C1840" w:rsidRPr="0052262B">
        <w:tc>
          <w:tcPr>
            <w:tcW w:w="9142" w:type="dxa"/>
            <w:tcBorders>
              <w:top w:val="nil"/>
              <w:left w:val="single" w:sz="4" w:space="0" w:color="auto"/>
              <w:bottom w:val="nil"/>
              <w:right w:val="single" w:sz="4" w:space="0" w:color="auto"/>
            </w:tcBorders>
          </w:tcPr>
          <w:p w:rsidR="001C1840" w:rsidRPr="007A1A1F" w:rsidRDefault="001C1840" w:rsidP="007A1A1F">
            <w:pPr>
              <w:pStyle w:val="Paragraph"/>
              <w:rPr>
                <w:b/>
                <w:lang w:val="en-GB" w:eastAsia="en-AU"/>
              </w:rPr>
            </w:pPr>
            <w:r w:rsidRPr="007A1A1F">
              <w:rPr>
                <w:b/>
                <w:lang w:val="en-GB" w:eastAsia="en-AU"/>
              </w:rPr>
              <w:lastRenderedPageBreak/>
              <w:t>Use in lactation</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7A1A1F">
            <w:pPr>
              <w:pStyle w:val="Paragraph"/>
              <w:rPr>
                <w:sz w:val="22"/>
                <w:szCs w:val="22"/>
                <w:lang w:val="en-GB"/>
              </w:rPr>
            </w:pPr>
            <w:r w:rsidRPr="0052262B">
              <w:rPr>
                <w:lang w:val="en-GB"/>
              </w:rPr>
              <w:t>There is insufficient/limited information on the excretion of CIMZIA in human or animal breast milk. A risk to the nursing child cannot be excluded.  A decision on whether to continue/discontinue breast-feeding or to continue/discontinue therapy with CIMZIA should be made taking into account the benefit of breast-feeding to the child and the benefit of CIMZIA therapy to the woman.</w:t>
            </w:r>
          </w:p>
        </w:tc>
      </w:tr>
      <w:tr w:rsidR="001C1840" w:rsidRPr="0052262B">
        <w:tc>
          <w:tcPr>
            <w:tcW w:w="9142" w:type="dxa"/>
            <w:tcBorders>
              <w:top w:val="nil"/>
              <w:left w:val="single" w:sz="4" w:space="0" w:color="auto"/>
              <w:bottom w:val="nil"/>
              <w:right w:val="single" w:sz="4" w:space="0" w:color="auto"/>
            </w:tcBorders>
          </w:tcPr>
          <w:p w:rsidR="001C1840" w:rsidRPr="007A1A1F" w:rsidRDefault="001C1840" w:rsidP="007A1A1F">
            <w:pPr>
              <w:pStyle w:val="Paragraph"/>
              <w:rPr>
                <w:b/>
                <w:lang w:val="en-GB" w:eastAsia="en-AU"/>
              </w:rPr>
            </w:pPr>
            <w:r w:rsidRPr="007A1A1F">
              <w:rPr>
                <w:b/>
                <w:lang w:val="en-GB" w:eastAsia="en-AU"/>
              </w:rPr>
              <w:t>Paediatric use</w:t>
            </w:r>
          </w:p>
        </w:tc>
      </w:tr>
      <w:tr w:rsidR="001C1840" w:rsidRPr="0052262B">
        <w:tc>
          <w:tcPr>
            <w:tcW w:w="9142" w:type="dxa"/>
            <w:tcBorders>
              <w:top w:val="nil"/>
              <w:left w:val="single" w:sz="4" w:space="0" w:color="auto"/>
              <w:bottom w:val="nil"/>
              <w:right w:val="single" w:sz="4" w:space="0" w:color="auto"/>
            </w:tcBorders>
          </w:tcPr>
          <w:p w:rsidR="00785D22" w:rsidRPr="007A1A1F" w:rsidRDefault="001C1840" w:rsidP="007A1A1F">
            <w:pPr>
              <w:pStyle w:val="Paragraph"/>
              <w:rPr>
                <w:noProof/>
                <w:lang w:val="en-GB"/>
              </w:rPr>
            </w:pPr>
            <w:r w:rsidRPr="0052262B">
              <w:rPr>
                <w:lang w:val="en-GB"/>
              </w:rPr>
              <w:t xml:space="preserve">The safety and efficacy of CIMZIA </w:t>
            </w:r>
            <w:r w:rsidRPr="0052262B">
              <w:rPr>
                <w:noProof/>
                <w:lang w:val="en-GB"/>
              </w:rPr>
              <w:t>in paediatric patients have not been established.</w:t>
            </w:r>
          </w:p>
        </w:tc>
      </w:tr>
      <w:tr w:rsidR="001C1840" w:rsidRPr="0052262B">
        <w:tc>
          <w:tcPr>
            <w:tcW w:w="9142" w:type="dxa"/>
            <w:tcBorders>
              <w:top w:val="nil"/>
              <w:left w:val="single" w:sz="4" w:space="0" w:color="auto"/>
              <w:bottom w:val="nil"/>
              <w:right w:val="single" w:sz="4" w:space="0" w:color="auto"/>
            </w:tcBorders>
          </w:tcPr>
          <w:p w:rsidR="001C1840" w:rsidRPr="007A1A1F" w:rsidRDefault="001C1840" w:rsidP="007A1A1F">
            <w:pPr>
              <w:pStyle w:val="Paragraph"/>
              <w:rPr>
                <w:b/>
                <w:lang w:val="en-GB" w:eastAsia="en-AU"/>
              </w:rPr>
            </w:pPr>
            <w:r w:rsidRPr="007A1A1F">
              <w:rPr>
                <w:b/>
                <w:lang w:val="en-GB" w:eastAsia="en-AU"/>
              </w:rPr>
              <w:t>Use in the elderly</w:t>
            </w:r>
          </w:p>
        </w:tc>
      </w:tr>
      <w:tr w:rsidR="001C1840" w:rsidRPr="0052262B">
        <w:tc>
          <w:tcPr>
            <w:tcW w:w="9142" w:type="dxa"/>
            <w:tcBorders>
              <w:top w:val="nil"/>
              <w:left w:val="single" w:sz="4" w:space="0" w:color="auto"/>
              <w:bottom w:val="nil"/>
              <w:right w:val="single" w:sz="4" w:space="0" w:color="auto"/>
            </w:tcBorders>
          </w:tcPr>
          <w:p w:rsidR="00421154" w:rsidRPr="0052262B" w:rsidRDefault="001C1840" w:rsidP="007A1A1F">
            <w:pPr>
              <w:pStyle w:val="Paragraph"/>
              <w:rPr>
                <w:lang w:val="en-GB"/>
              </w:rPr>
            </w:pPr>
            <w:r w:rsidRPr="0052262B">
              <w:rPr>
                <w:lang w:val="en-GB"/>
              </w:rPr>
              <w:t>Specific clinical studies have not been performed in elderly subjects.  However, no effect of age was observed in a population pharmacokinetic analysis in patients with rheumatoid arthritis in which 78 subjects (13.2% of the population) were aged 65 or greater and the oldest subject was aged 83 years</w:t>
            </w:r>
            <w:r w:rsidR="00785D22" w:rsidRPr="0052262B">
              <w:rPr>
                <w:lang w:val="en-GB"/>
              </w:rPr>
              <w:t>. There was an apparently higher incidence of infections among subjects ≥</w:t>
            </w:r>
            <w:r w:rsidR="00B73032">
              <w:rPr>
                <w:lang w:val="en-GB"/>
              </w:rPr>
              <w:t xml:space="preserve"> </w:t>
            </w:r>
            <w:r w:rsidR="00785D22" w:rsidRPr="0052262B">
              <w:rPr>
                <w:lang w:val="en-GB"/>
              </w:rPr>
              <w:t>65 years of age.</w:t>
            </w:r>
          </w:p>
        </w:tc>
      </w:tr>
      <w:tr w:rsidR="00421154" w:rsidRPr="007A1A1F" w:rsidTr="00DB1767">
        <w:tc>
          <w:tcPr>
            <w:tcW w:w="9142" w:type="dxa"/>
            <w:tcBorders>
              <w:top w:val="nil"/>
              <w:left w:val="single" w:sz="4" w:space="0" w:color="auto"/>
              <w:bottom w:val="nil"/>
              <w:right w:val="single" w:sz="4" w:space="0" w:color="auto"/>
            </w:tcBorders>
          </w:tcPr>
          <w:p w:rsidR="00421154" w:rsidRPr="007A1A1F" w:rsidRDefault="00421154" w:rsidP="00DB1767">
            <w:pPr>
              <w:pStyle w:val="Paragraph"/>
              <w:rPr>
                <w:b/>
                <w:lang w:val="en-GB" w:eastAsia="en-AU"/>
              </w:rPr>
            </w:pPr>
            <w:proofErr w:type="spellStart"/>
            <w:r w:rsidRPr="007A1A1F">
              <w:rPr>
                <w:b/>
                <w:lang w:val="en-GB" w:eastAsia="en-AU"/>
              </w:rPr>
              <w:t>Genotoxicity</w:t>
            </w:r>
            <w:proofErr w:type="spellEnd"/>
          </w:p>
        </w:tc>
      </w:tr>
      <w:tr w:rsidR="00421154" w:rsidRPr="0052262B" w:rsidTr="00DB1767">
        <w:tc>
          <w:tcPr>
            <w:tcW w:w="9142" w:type="dxa"/>
            <w:tcBorders>
              <w:top w:val="nil"/>
              <w:left w:val="single" w:sz="4" w:space="0" w:color="auto"/>
              <w:bottom w:val="nil"/>
              <w:right w:val="single" w:sz="4" w:space="0" w:color="auto"/>
            </w:tcBorders>
          </w:tcPr>
          <w:p w:rsidR="00421154" w:rsidRPr="0052262B" w:rsidRDefault="00421154" w:rsidP="00DB1767">
            <w:pPr>
              <w:pStyle w:val="Paragraph"/>
              <w:rPr>
                <w:iCs/>
                <w:szCs w:val="22"/>
                <w:lang w:val="en-GB"/>
              </w:rPr>
            </w:pPr>
            <w:r w:rsidRPr="0052262B">
              <w:rPr>
                <w:lang w:val="en-GB"/>
              </w:rPr>
              <w:t xml:space="preserve">CIMZIA was not </w:t>
            </w:r>
            <w:proofErr w:type="spellStart"/>
            <w:r w:rsidRPr="0052262B">
              <w:rPr>
                <w:lang w:val="en-GB"/>
              </w:rPr>
              <w:t>genotoxic</w:t>
            </w:r>
            <w:proofErr w:type="spellEnd"/>
            <w:r w:rsidRPr="0052262B">
              <w:rPr>
                <w:lang w:val="en-GB"/>
              </w:rPr>
              <w:t xml:space="preserve"> in the Ames test, the human peripheral blood lymphocytes chromosomal aberration assay, or the mouse bone marrow micronucleus assay. </w:t>
            </w:r>
          </w:p>
        </w:tc>
      </w:tr>
      <w:tr w:rsidR="001C1840" w:rsidRPr="0052262B">
        <w:tc>
          <w:tcPr>
            <w:tcW w:w="9142" w:type="dxa"/>
            <w:tcBorders>
              <w:top w:val="nil"/>
              <w:left w:val="single" w:sz="4" w:space="0" w:color="auto"/>
              <w:bottom w:val="nil"/>
              <w:right w:val="single" w:sz="4" w:space="0" w:color="auto"/>
            </w:tcBorders>
          </w:tcPr>
          <w:p w:rsidR="001C1840" w:rsidRPr="007A1A1F" w:rsidRDefault="001C1840" w:rsidP="00421154">
            <w:pPr>
              <w:pStyle w:val="Paragraph"/>
              <w:rPr>
                <w:b/>
                <w:lang w:val="en-GB" w:eastAsia="en-AU"/>
              </w:rPr>
            </w:pPr>
            <w:r w:rsidRPr="007A1A1F">
              <w:rPr>
                <w:b/>
                <w:lang w:val="en-GB" w:eastAsia="en-AU"/>
              </w:rPr>
              <w:t>Carcinogenicity</w:t>
            </w:r>
          </w:p>
        </w:tc>
      </w:tr>
      <w:tr w:rsidR="001C1840" w:rsidRPr="0052262B">
        <w:tc>
          <w:tcPr>
            <w:tcW w:w="9142" w:type="dxa"/>
            <w:tcBorders>
              <w:top w:val="nil"/>
              <w:left w:val="single" w:sz="4" w:space="0" w:color="auto"/>
              <w:bottom w:val="nil"/>
              <w:right w:val="single" w:sz="4" w:space="0" w:color="auto"/>
            </w:tcBorders>
          </w:tcPr>
          <w:p w:rsidR="001C1840" w:rsidRPr="0052262B" w:rsidRDefault="001C1840" w:rsidP="00421154">
            <w:pPr>
              <w:pStyle w:val="Paragraph"/>
              <w:rPr>
                <w:lang w:val="en-GB"/>
              </w:rPr>
            </w:pPr>
            <w:r w:rsidRPr="0052262B">
              <w:rPr>
                <w:lang w:val="en-GB"/>
              </w:rPr>
              <w:t>Long-term animal studies of CIMZIA have not been conducted to assess its carcinogenic potential</w:t>
            </w:r>
            <w:r w:rsidR="00801376">
              <w:rPr>
                <w:lang w:val="en-GB"/>
              </w:rPr>
              <w:t>.</w:t>
            </w:r>
          </w:p>
        </w:tc>
      </w:tr>
      <w:tr w:rsidR="00421154" w:rsidRPr="0052262B">
        <w:tc>
          <w:tcPr>
            <w:tcW w:w="9142" w:type="dxa"/>
            <w:tcBorders>
              <w:top w:val="nil"/>
              <w:left w:val="single" w:sz="4" w:space="0" w:color="auto"/>
              <w:bottom w:val="nil"/>
              <w:right w:val="single" w:sz="4" w:space="0" w:color="auto"/>
            </w:tcBorders>
          </w:tcPr>
          <w:p w:rsidR="00421154" w:rsidRDefault="00421154" w:rsidP="00421154">
            <w:pPr>
              <w:pStyle w:val="Paragraph"/>
              <w:rPr>
                <w:b/>
                <w:lang w:val="en-GB"/>
              </w:rPr>
            </w:pPr>
            <w:r>
              <w:rPr>
                <w:b/>
                <w:lang w:val="en-GB"/>
              </w:rPr>
              <w:t>Effect on laboratory tests</w:t>
            </w:r>
          </w:p>
          <w:p w:rsidR="00421154" w:rsidRPr="00421154" w:rsidRDefault="00421154" w:rsidP="00421154">
            <w:pPr>
              <w:pStyle w:val="Paragraph"/>
              <w:rPr>
                <w:lang w:val="en-GB"/>
              </w:rPr>
            </w:pPr>
            <w:r w:rsidRPr="00421154">
              <w:rPr>
                <w:lang w:val="en-GB"/>
              </w:rPr>
              <w:t>Activated partial thromboplastin time (</w:t>
            </w:r>
            <w:proofErr w:type="spellStart"/>
            <w:r w:rsidRPr="00421154">
              <w:rPr>
                <w:lang w:val="en-GB"/>
              </w:rPr>
              <w:t>aPTT</w:t>
            </w:r>
            <w:proofErr w:type="spellEnd"/>
            <w:r w:rsidRPr="00421154">
              <w:rPr>
                <w:lang w:val="en-GB"/>
              </w:rPr>
              <w:t>) assay:</w:t>
            </w:r>
          </w:p>
          <w:p w:rsidR="00421154" w:rsidRPr="00421154" w:rsidRDefault="00421154" w:rsidP="00421154">
            <w:pPr>
              <w:pStyle w:val="Paragraph"/>
              <w:rPr>
                <w:lang w:val="en-GB"/>
              </w:rPr>
            </w:pPr>
            <w:r w:rsidRPr="00421154">
              <w:rPr>
                <w:lang w:val="en-GB"/>
              </w:rPr>
              <w:t xml:space="preserve">Interference with certain coagulation assays has been detected in patients treated with CIMZIA.  CIMZIA may cause erroneously elevated </w:t>
            </w:r>
            <w:proofErr w:type="spellStart"/>
            <w:r w:rsidRPr="00421154">
              <w:rPr>
                <w:lang w:val="en-GB"/>
              </w:rPr>
              <w:t>aPTT</w:t>
            </w:r>
            <w:proofErr w:type="spellEnd"/>
            <w:r w:rsidRPr="00421154">
              <w:rPr>
                <w:lang w:val="en-GB"/>
              </w:rPr>
              <w:t xml:space="preserve"> assay results in patients without coagulation abnormalities.  This effect has been observed with the PTT-Lupus Anticoagulant (LA) test and Standard Target Activated Partial Thromboplastin time (STA-PTT) Automate tests from </w:t>
            </w:r>
            <w:proofErr w:type="spellStart"/>
            <w:r w:rsidRPr="00421154">
              <w:rPr>
                <w:lang w:val="en-GB"/>
              </w:rPr>
              <w:t>Diagnostica</w:t>
            </w:r>
            <w:proofErr w:type="spellEnd"/>
            <w:r w:rsidRPr="00421154">
              <w:rPr>
                <w:lang w:val="en-GB"/>
              </w:rPr>
              <w:t xml:space="preserve"> </w:t>
            </w:r>
            <w:proofErr w:type="spellStart"/>
            <w:r w:rsidRPr="00421154">
              <w:rPr>
                <w:lang w:val="en-GB"/>
              </w:rPr>
              <w:t>Stago</w:t>
            </w:r>
            <w:proofErr w:type="spellEnd"/>
            <w:r w:rsidRPr="00421154">
              <w:rPr>
                <w:lang w:val="en-GB"/>
              </w:rPr>
              <w:t xml:space="preserve">, and the </w:t>
            </w:r>
            <w:proofErr w:type="spellStart"/>
            <w:r w:rsidRPr="00421154">
              <w:rPr>
                <w:lang w:val="en-GB"/>
              </w:rPr>
              <w:t>HemosIL</w:t>
            </w:r>
            <w:proofErr w:type="spellEnd"/>
            <w:r w:rsidRPr="00421154">
              <w:rPr>
                <w:lang w:val="en-GB"/>
              </w:rPr>
              <w:t xml:space="preserve"> APTT-SP liquid </w:t>
            </w:r>
            <w:proofErr w:type="spellStart"/>
            <w:r w:rsidRPr="00421154">
              <w:rPr>
                <w:lang w:val="en-GB"/>
              </w:rPr>
              <w:t>HemosIL</w:t>
            </w:r>
            <w:proofErr w:type="spellEnd"/>
            <w:r w:rsidRPr="00421154">
              <w:rPr>
                <w:lang w:val="en-GB"/>
              </w:rPr>
              <w:t xml:space="preserve"> lyophilised silica tests from Instrumentation Laboratories.  Other </w:t>
            </w:r>
            <w:proofErr w:type="spellStart"/>
            <w:r w:rsidRPr="00421154">
              <w:rPr>
                <w:lang w:val="en-GB"/>
              </w:rPr>
              <w:t>aPTT</w:t>
            </w:r>
            <w:proofErr w:type="spellEnd"/>
            <w:r w:rsidRPr="00421154">
              <w:rPr>
                <w:lang w:val="en-GB"/>
              </w:rPr>
              <w:t xml:space="preserve"> assays may be affected as well.  There is no evidence that CIMZIA therapy has an effect on coagulation in </w:t>
            </w:r>
            <w:r w:rsidRPr="00421154">
              <w:rPr>
                <w:lang w:val="en-GB"/>
              </w:rPr>
              <w:lastRenderedPageBreak/>
              <w:t>vivo.  After patients receive CIMZIA, careful attention should be given to interpretation of abnormal coagulation results.  Interference with thrombin time (TT) and prothrombin time (PT) assays have not been observed.</w:t>
            </w:r>
          </w:p>
        </w:tc>
      </w:tr>
      <w:tr w:rsidR="00421154" w:rsidRPr="009A6E00" w:rsidTr="00DB1767">
        <w:tc>
          <w:tcPr>
            <w:tcW w:w="9142" w:type="dxa"/>
            <w:tcBorders>
              <w:top w:val="nil"/>
              <w:left w:val="single" w:sz="4" w:space="0" w:color="auto"/>
              <w:bottom w:val="nil"/>
              <w:right w:val="single" w:sz="4" w:space="0" w:color="auto"/>
            </w:tcBorders>
          </w:tcPr>
          <w:p w:rsidR="00421154" w:rsidRPr="00327796" w:rsidRDefault="00421154" w:rsidP="00DB1767">
            <w:pPr>
              <w:pStyle w:val="Paragraph"/>
              <w:rPr>
                <w:b/>
                <w:lang w:val="en-GB" w:eastAsia="en-AU"/>
              </w:rPr>
            </w:pPr>
            <w:r w:rsidRPr="00C14739">
              <w:rPr>
                <w:b/>
                <w:lang w:val="en-GB" w:eastAsia="en-AU"/>
              </w:rPr>
              <w:lastRenderedPageBreak/>
              <w:t>Effe</w:t>
            </w:r>
            <w:r w:rsidRPr="00242962">
              <w:rPr>
                <w:b/>
                <w:lang w:val="en-GB" w:eastAsia="en-AU"/>
              </w:rPr>
              <w:t>ct on ability to drive or operate machinery</w:t>
            </w:r>
          </w:p>
          <w:p w:rsidR="00421154" w:rsidRPr="00421154" w:rsidRDefault="00B50D8F" w:rsidP="00B50D8F">
            <w:pPr>
              <w:pStyle w:val="Paragraph"/>
              <w:rPr>
                <w:lang w:val="en-GB" w:eastAsia="en-AU"/>
              </w:rPr>
            </w:pPr>
            <w:r w:rsidRPr="00196A71">
              <w:rPr>
                <w:lang w:val="en-GB" w:eastAsia="en-AU"/>
              </w:rPr>
              <w:t xml:space="preserve">No studies on the effects on the ability to drive and use machines have been performed. </w:t>
            </w:r>
            <w:r w:rsidR="00196A71" w:rsidRPr="00891E12">
              <w:rPr>
                <w:lang w:val="en-GB" w:eastAsia="en-AU"/>
              </w:rPr>
              <w:t>CIMZIA may have a minor influence on the ability to drive and use machines. Dizziness (including vertigo, vision disorder and fatigue) may occur following administration of CIMZIA.</w:t>
            </w:r>
          </w:p>
        </w:tc>
      </w:tr>
      <w:tr w:rsidR="00E42397" w:rsidRPr="0052262B" w:rsidTr="00E14F72">
        <w:tc>
          <w:tcPr>
            <w:tcW w:w="9142" w:type="dxa"/>
            <w:tcBorders>
              <w:top w:val="single" w:sz="4" w:space="0" w:color="auto"/>
              <w:left w:val="single" w:sz="4" w:space="0" w:color="auto"/>
              <w:bottom w:val="single" w:sz="4" w:space="0" w:color="auto"/>
              <w:right w:val="single" w:sz="4" w:space="0" w:color="auto"/>
            </w:tcBorders>
          </w:tcPr>
          <w:p w:rsidR="00E42397" w:rsidRPr="007A1A1F" w:rsidRDefault="00E42397" w:rsidP="00E14F72">
            <w:pPr>
              <w:pStyle w:val="Heading2"/>
              <w:numPr>
                <w:ilvl w:val="0"/>
                <w:numId w:val="0"/>
              </w:numPr>
              <w:rPr>
                <w:b w:val="0"/>
                <w:lang w:val="en-GB" w:eastAsia="en-AU"/>
              </w:rPr>
            </w:pPr>
            <w:r w:rsidRPr="00E42397">
              <w:rPr>
                <w:rFonts w:cs="Times New Roman"/>
                <w:lang w:val="en-GB" w:eastAsia="en-AU"/>
              </w:rPr>
              <w:t>INTERACTIONS WITH OTHER MEDICINES</w:t>
            </w:r>
          </w:p>
        </w:tc>
      </w:tr>
      <w:tr w:rsidR="001C1840" w:rsidRPr="0052262B" w:rsidTr="00E14F72">
        <w:tc>
          <w:tcPr>
            <w:tcW w:w="9142" w:type="dxa"/>
            <w:tcBorders>
              <w:top w:val="single" w:sz="4" w:space="0" w:color="auto"/>
              <w:left w:val="single" w:sz="4" w:space="0" w:color="auto"/>
              <w:bottom w:val="nil"/>
              <w:right w:val="single" w:sz="4" w:space="0" w:color="auto"/>
            </w:tcBorders>
          </w:tcPr>
          <w:p w:rsidR="001C1840" w:rsidRPr="0052262B" w:rsidRDefault="001C1840" w:rsidP="007A1A1F">
            <w:pPr>
              <w:pStyle w:val="Paragraph"/>
              <w:rPr>
                <w:lang w:val="en-GB"/>
              </w:rPr>
            </w:pPr>
            <w:r w:rsidRPr="0052262B">
              <w:rPr>
                <w:lang w:val="en-GB"/>
              </w:rPr>
              <w:t xml:space="preserve">Concomitant drug treatment with methotrexate, corticosteroids, nonsteroidal anti-inflammatory drugs, analgesics, 5-amino </w:t>
            </w:r>
            <w:r w:rsidR="00CF74B1" w:rsidRPr="0052262B">
              <w:rPr>
                <w:lang w:val="en-GB"/>
              </w:rPr>
              <w:t>salicylic</w:t>
            </w:r>
            <w:r w:rsidRPr="0052262B">
              <w:rPr>
                <w:lang w:val="en-GB"/>
              </w:rPr>
              <w:t xml:space="preserve"> acid </w:t>
            </w:r>
            <w:proofErr w:type="spellStart"/>
            <w:r w:rsidRPr="0052262B">
              <w:rPr>
                <w:lang w:val="en-GB"/>
              </w:rPr>
              <w:t>analogs</w:t>
            </w:r>
            <w:proofErr w:type="spellEnd"/>
            <w:r w:rsidRPr="0052262B">
              <w:rPr>
                <w:lang w:val="en-GB"/>
              </w:rPr>
              <w:t xml:space="preserve"> or anti-</w:t>
            </w:r>
            <w:proofErr w:type="spellStart"/>
            <w:r w:rsidRPr="0052262B">
              <w:rPr>
                <w:lang w:val="en-GB"/>
              </w:rPr>
              <w:t>infectives</w:t>
            </w:r>
            <w:proofErr w:type="spellEnd"/>
            <w:r w:rsidRPr="0052262B">
              <w:rPr>
                <w:lang w:val="en-GB"/>
              </w:rPr>
              <w:t xml:space="preserve"> had no effect on the pharmacokinetics of CIMZIA.</w:t>
            </w:r>
          </w:p>
          <w:p w:rsidR="001C1840" w:rsidRPr="0052262B" w:rsidRDefault="001C1840" w:rsidP="007A1A1F">
            <w:pPr>
              <w:pStyle w:val="Paragraph"/>
              <w:rPr>
                <w:sz w:val="22"/>
                <w:szCs w:val="22"/>
                <w:lang w:val="en-GB"/>
              </w:rPr>
            </w:pPr>
            <w:r w:rsidRPr="0052262B">
              <w:rPr>
                <w:lang w:val="en-GB"/>
              </w:rPr>
              <w:t xml:space="preserve">The pharmacokinetics of CIMZIA </w:t>
            </w:r>
            <w:proofErr w:type="gramStart"/>
            <w:r w:rsidRPr="0052262B">
              <w:rPr>
                <w:lang w:val="en-GB"/>
              </w:rPr>
              <w:t>were</w:t>
            </w:r>
            <w:proofErr w:type="gramEnd"/>
            <w:r w:rsidRPr="0052262B">
              <w:rPr>
                <w:lang w:val="en-GB"/>
              </w:rPr>
              <w:t xml:space="preserve"> evaluated in a pharmacokinetic interaction study in 16 patients with rheumatoid arthritis receiving stable doses of methotrexate (ranging from 5 to 17.5 mg per week).  Co-administration of CIMZIA with methotrexate had no significant effect on the pharmacokinetics of methotrexate while the pharmacokinetics of CIMZIA </w:t>
            </w:r>
            <w:proofErr w:type="gramStart"/>
            <w:r w:rsidRPr="0052262B">
              <w:rPr>
                <w:lang w:val="en-GB"/>
              </w:rPr>
              <w:t>were</w:t>
            </w:r>
            <w:proofErr w:type="gramEnd"/>
            <w:r w:rsidRPr="0052262B">
              <w:rPr>
                <w:lang w:val="en-GB"/>
              </w:rPr>
              <w:t xml:space="preserve"> similar to those observed previously in healthy subjects.</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t>ADVERSE EFFECTS</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980EE3" w:rsidRDefault="00F521F8" w:rsidP="00801376">
            <w:pPr>
              <w:pStyle w:val="Paragraph"/>
              <w:rPr>
                <w:i/>
                <w:lang w:val="en-GB"/>
              </w:rPr>
            </w:pPr>
            <w:bookmarkStart w:id="6" w:name="OLE_LINK5"/>
            <w:bookmarkStart w:id="7" w:name="OLE_LINK6"/>
            <w:r w:rsidRPr="00801376">
              <w:rPr>
                <w:i/>
                <w:noProof/>
                <w:szCs w:val="22"/>
                <w:u w:val="single"/>
              </w:rPr>
              <w:t>Rheumatoid arthritis</w:t>
            </w:r>
            <w:r w:rsidR="00D103F3">
              <w:rPr>
                <w:i/>
                <w:lang w:val="en-GB"/>
              </w:rPr>
              <w:br/>
            </w:r>
            <w:proofErr w:type="spellStart"/>
            <w:r w:rsidR="00980EE3">
              <w:rPr>
                <w:lang w:val="en-GB"/>
              </w:rPr>
              <w:t>Cimzia</w:t>
            </w:r>
            <w:proofErr w:type="spellEnd"/>
            <w:r w:rsidR="00980EE3">
              <w:rPr>
                <w:lang w:val="en-GB"/>
              </w:rPr>
              <w:t xml:space="preserve"> was studied </w:t>
            </w:r>
            <w:r w:rsidR="005A6286">
              <w:rPr>
                <w:lang w:val="en-GB"/>
              </w:rPr>
              <w:t>in 4049 patients with rheumatoid arthritis in controlled and open-label trials for up to 92 months</w:t>
            </w:r>
            <w:r w:rsidR="00A906D6">
              <w:rPr>
                <w:lang w:val="en-GB"/>
              </w:rPr>
              <w:t>.</w:t>
            </w:r>
            <w:r w:rsidRPr="0052262B">
              <w:rPr>
                <w:lang w:val="en-GB"/>
              </w:rPr>
              <w:t xml:space="preserve"> The data in </w:t>
            </w:r>
            <w:r w:rsidRPr="00B73032">
              <w:rPr>
                <w:lang w:val="en-GB"/>
              </w:rPr>
              <w:t xml:space="preserve">Table </w:t>
            </w:r>
            <w:r w:rsidR="000A17A0">
              <w:rPr>
                <w:lang w:val="en-GB"/>
              </w:rPr>
              <w:t>12</w:t>
            </w:r>
            <w:r w:rsidR="000A17A0" w:rsidRPr="0052262B">
              <w:rPr>
                <w:lang w:val="en-GB"/>
              </w:rPr>
              <w:t xml:space="preserve"> </w:t>
            </w:r>
            <w:r w:rsidRPr="0052262B">
              <w:rPr>
                <w:lang w:val="en-GB"/>
              </w:rPr>
              <w:t xml:space="preserve">are based </w:t>
            </w:r>
            <w:r w:rsidR="005A6286">
              <w:rPr>
                <w:lang w:val="en-GB"/>
              </w:rPr>
              <w:t xml:space="preserve">primarily </w:t>
            </w:r>
            <w:r w:rsidRPr="0052262B">
              <w:rPr>
                <w:lang w:val="en-GB"/>
              </w:rPr>
              <w:t xml:space="preserve">on adverse </w:t>
            </w:r>
            <w:r w:rsidR="005A6286">
              <w:rPr>
                <w:lang w:val="en-GB"/>
              </w:rPr>
              <w:t xml:space="preserve">reactions </w:t>
            </w:r>
            <w:r w:rsidRPr="0052262B">
              <w:rPr>
                <w:lang w:val="en-GB"/>
              </w:rPr>
              <w:t xml:space="preserve">reported in </w:t>
            </w:r>
            <w:r w:rsidR="005A6286">
              <w:rPr>
                <w:lang w:val="en-GB"/>
              </w:rPr>
              <w:t>placebo-</w:t>
            </w:r>
            <w:r w:rsidRPr="0052262B">
              <w:rPr>
                <w:lang w:val="en-GB"/>
              </w:rPr>
              <w:t xml:space="preserve">controlled rheumatoid arthritis studies involving the </w:t>
            </w:r>
            <w:r w:rsidR="005A6286">
              <w:rPr>
                <w:lang w:val="en-GB"/>
              </w:rPr>
              <w:t>2965</w:t>
            </w:r>
            <w:r w:rsidR="005A6286" w:rsidRPr="0052262B">
              <w:rPr>
                <w:lang w:val="en-GB"/>
              </w:rPr>
              <w:t xml:space="preserve"> </w:t>
            </w:r>
            <w:r w:rsidRPr="0052262B">
              <w:rPr>
                <w:lang w:val="en-GB"/>
              </w:rPr>
              <w:t>patients receiving CIMZIA</w:t>
            </w:r>
            <w:r w:rsidR="005A6286">
              <w:rPr>
                <w:lang w:val="en-GB"/>
              </w:rPr>
              <w:t xml:space="preserve"> and 1137 patients receiving placebo during the controlled period</w:t>
            </w:r>
            <w:r w:rsidRPr="0052262B">
              <w:rPr>
                <w:lang w:val="en-GB"/>
              </w:rPr>
              <w:t>.  For placebo-controlled and open-label adverse drug reactions, all events recorded with causality at least “possibly” related to study medication were considered.</w:t>
            </w:r>
          </w:p>
          <w:p w:rsidR="00F521F8" w:rsidRPr="0052262B" w:rsidRDefault="00F521F8" w:rsidP="009A6E00">
            <w:pPr>
              <w:pStyle w:val="Paragraph"/>
              <w:rPr>
                <w:lang w:val="en-GB"/>
              </w:rPr>
            </w:pPr>
            <w:r w:rsidRPr="0052262B">
              <w:rPr>
                <w:lang w:val="en-GB"/>
              </w:rPr>
              <w:t xml:space="preserve">In the placebo-controlled studies, patients receiving CIMZIA had an approximately 4 times greater duration of exposure compared with the placebo group. This difference in exposure is primarily due to patients on placebo being more likely to withdraw early.  In addition, Studies RA-I and RA-II had a mandatory withdrawal for non-responders at Week 16, the majority of who were on placebo.  Adverse reactions were reported in </w:t>
            </w:r>
            <w:r w:rsidR="005A6286">
              <w:rPr>
                <w:lang w:val="en-GB"/>
              </w:rPr>
              <w:t>34.0</w:t>
            </w:r>
            <w:r w:rsidRPr="0052262B">
              <w:rPr>
                <w:lang w:val="en-GB"/>
              </w:rPr>
              <w:t xml:space="preserve">% of patients treated with CIMZIA and </w:t>
            </w:r>
            <w:r w:rsidR="005A6286">
              <w:rPr>
                <w:lang w:val="en-GB"/>
              </w:rPr>
              <w:t>24.9</w:t>
            </w:r>
            <w:r w:rsidRPr="0052262B">
              <w:rPr>
                <w:lang w:val="en-GB"/>
              </w:rPr>
              <w:t>% of patients treated with placebo in rheumatoid arthritis controlled clinical trials.</w:t>
            </w:r>
            <w:bookmarkStart w:id="8" w:name="OLE_LINK22"/>
            <w:bookmarkStart w:id="9" w:name="OLE_LINK23"/>
            <w:r w:rsidRPr="0052262B">
              <w:rPr>
                <w:lang w:val="en-GB"/>
              </w:rPr>
              <w:t xml:space="preserve"> The proportion of patients who discontinued treatment due to adverse events during the controlled trials was </w:t>
            </w:r>
            <w:r w:rsidR="005A6286">
              <w:rPr>
                <w:lang w:val="en-GB"/>
              </w:rPr>
              <w:t>4.4</w:t>
            </w:r>
            <w:r w:rsidRPr="0052262B">
              <w:rPr>
                <w:lang w:val="en-GB"/>
              </w:rPr>
              <w:t xml:space="preserve">% for patients treated with CIMZIA and </w:t>
            </w:r>
            <w:r w:rsidR="00655F87">
              <w:rPr>
                <w:lang w:val="en-GB"/>
              </w:rPr>
              <w:t>2.7</w:t>
            </w:r>
            <w:r w:rsidRPr="0052262B">
              <w:rPr>
                <w:lang w:val="en-GB"/>
              </w:rPr>
              <w:t>% for patients treated with placebo.</w:t>
            </w:r>
            <w:bookmarkEnd w:id="8"/>
            <w:bookmarkEnd w:id="9"/>
            <w:r w:rsidRPr="0052262B">
              <w:rPr>
                <w:lang w:val="en-GB"/>
              </w:rPr>
              <w:t xml:space="preserve">  </w:t>
            </w:r>
          </w:p>
          <w:p w:rsidR="00F521F8" w:rsidRDefault="00F521F8" w:rsidP="009A6E00">
            <w:pPr>
              <w:pStyle w:val="Paragraph"/>
              <w:rPr>
                <w:lang w:val="en-GB"/>
              </w:rPr>
            </w:pPr>
            <w:r w:rsidRPr="0052262B">
              <w:rPr>
                <w:lang w:val="en-GB"/>
              </w:rPr>
              <w:t xml:space="preserve">In the placebo-controlled rheumatoid arthritis studies, the most common types of adverse reactions were </w:t>
            </w:r>
            <w:r w:rsidR="00801376">
              <w:rPr>
                <w:lang w:val="en-GB"/>
              </w:rPr>
              <w:t>i</w:t>
            </w:r>
            <w:r w:rsidRPr="0052262B">
              <w:rPr>
                <w:lang w:val="en-GB"/>
              </w:rPr>
              <w:t xml:space="preserve">nfections reported in </w:t>
            </w:r>
            <w:r w:rsidR="005A6286">
              <w:rPr>
                <w:lang w:val="en-GB"/>
              </w:rPr>
              <w:t>14.4</w:t>
            </w:r>
            <w:r w:rsidRPr="0052262B">
              <w:rPr>
                <w:lang w:val="en-GB"/>
              </w:rPr>
              <w:t xml:space="preserve">% of patients on CIMZIA and </w:t>
            </w:r>
            <w:r w:rsidR="005A6286">
              <w:rPr>
                <w:lang w:val="en-GB"/>
              </w:rPr>
              <w:t>8.0</w:t>
            </w:r>
            <w:r w:rsidRPr="0052262B">
              <w:rPr>
                <w:lang w:val="en-GB"/>
              </w:rPr>
              <w:t xml:space="preserve">% of patients on placebo, </w:t>
            </w:r>
            <w:r w:rsidR="00801376">
              <w:rPr>
                <w:lang w:val="en-GB"/>
              </w:rPr>
              <w:t>g</w:t>
            </w:r>
            <w:r w:rsidRPr="0052262B">
              <w:rPr>
                <w:lang w:val="en-GB"/>
              </w:rPr>
              <w:t xml:space="preserve">eneral disorders and administration site conditions, reported in </w:t>
            </w:r>
            <w:r w:rsidR="005A6286">
              <w:rPr>
                <w:lang w:val="en-GB"/>
              </w:rPr>
              <w:t>8.8</w:t>
            </w:r>
            <w:r w:rsidRPr="0052262B">
              <w:rPr>
                <w:lang w:val="en-GB"/>
              </w:rPr>
              <w:t xml:space="preserve">% of patients on CIMZIA and </w:t>
            </w:r>
            <w:r w:rsidR="005A6286">
              <w:rPr>
                <w:lang w:val="en-GB"/>
              </w:rPr>
              <w:t>7.4</w:t>
            </w:r>
            <w:r w:rsidRPr="0052262B">
              <w:rPr>
                <w:lang w:val="en-GB"/>
              </w:rPr>
              <w:t>% of patients on placebo</w:t>
            </w:r>
            <w:r w:rsidR="00655F87">
              <w:rPr>
                <w:lang w:val="en-GB"/>
              </w:rPr>
              <w:t xml:space="preserve"> and </w:t>
            </w:r>
            <w:r w:rsidR="00801376">
              <w:rPr>
                <w:lang w:val="en-GB"/>
              </w:rPr>
              <w:t>s</w:t>
            </w:r>
            <w:r w:rsidR="00655F87">
              <w:rPr>
                <w:lang w:val="en-GB"/>
              </w:rPr>
              <w:t xml:space="preserve">kin and subcutaneous tissue disorders, reported in 7.0% of patients with </w:t>
            </w:r>
            <w:r w:rsidR="00844A32">
              <w:rPr>
                <w:lang w:val="en-GB"/>
              </w:rPr>
              <w:t xml:space="preserve">CIMZIA </w:t>
            </w:r>
            <w:r w:rsidR="00655F87">
              <w:rPr>
                <w:lang w:val="en-GB"/>
              </w:rPr>
              <w:t>and 2.4% of patients on placebo.</w:t>
            </w:r>
            <w:bookmarkEnd w:id="6"/>
            <w:bookmarkEnd w:id="7"/>
          </w:p>
          <w:p w:rsidR="00867E56" w:rsidRPr="0052262B" w:rsidRDefault="00867E56" w:rsidP="009A6E00">
            <w:pPr>
              <w:pStyle w:val="Paragraph"/>
              <w:rPr>
                <w:lang w:val="en-GB"/>
              </w:rPr>
            </w:pPr>
            <w:r>
              <w:rPr>
                <w:lang w:val="en-GB"/>
              </w:rPr>
              <w:t>CIMZIA in combination with MTX was studied in</w:t>
            </w:r>
            <w:r w:rsidR="009951E6">
              <w:rPr>
                <w:lang w:val="en-GB"/>
              </w:rPr>
              <w:t xml:space="preserve"> </w:t>
            </w:r>
            <w:r>
              <w:rPr>
                <w:lang w:val="en-GB"/>
              </w:rPr>
              <w:t>879</w:t>
            </w:r>
            <w:r w:rsidR="0064341A">
              <w:t xml:space="preserve"> </w:t>
            </w:r>
            <w:r w:rsidR="0064341A" w:rsidRPr="0064341A">
              <w:rPr>
                <w:lang w:val="en-GB"/>
              </w:rPr>
              <w:t>(3 subjects were randomised but did not</w:t>
            </w:r>
            <w:r w:rsidR="0064341A">
              <w:rPr>
                <w:lang w:val="en-GB"/>
              </w:rPr>
              <w:t xml:space="preserve"> receive the study medication)</w:t>
            </w:r>
            <w:r>
              <w:rPr>
                <w:lang w:val="en-GB"/>
              </w:rPr>
              <w:t xml:space="preserve"> DMARD naïve patients with rheumatoid arthritis in a placebo + MTX controlled clinical trial </w:t>
            </w:r>
            <w:r w:rsidR="004F072B">
              <w:rPr>
                <w:lang w:val="en-GB"/>
              </w:rPr>
              <w:t>(C-EARLY) for up to 52 weeks</w:t>
            </w:r>
            <w:r w:rsidR="004F072B" w:rsidRPr="00D97490">
              <w:rPr>
                <w:lang w:val="en-GB"/>
              </w:rPr>
              <w:t xml:space="preserve">. The safety profile for the DMARD naïve patients with rheumatoid arthritis treated with CIMZIA </w:t>
            </w:r>
            <w:r w:rsidR="00BD6D48" w:rsidRPr="00192932">
              <w:rPr>
                <w:lang w:val="en-GB"/>
              </w:rPr>
              <w:t xml:space="preserve">is </w:t>
            </w:r>
            <w:r w:rsidR="00BD6D48" w:rsidRPr="00192932">
              <w:rPr>
                <w:lang w:val="en-GB"/>
              </w:rPr>
              <w:lastRenderedPageBreak/>
              <w:t>summarised in Table 13 and Hepatic</w:t>
            </w:r>
            <w:r w:rsidR="006F2222" w:rsidRPr="00192932">
              <w:rPr>
                <w:lang w:val="en-GB"/>
              </w:rPr>
              <w:t xml:space="preserve"> section</w:t>
            </w:r>
            <w:r w:rsidR="004F072B" w:rsidRPr="00192932">
              <w:rPr>
                <w:lang w:val="en-GB"/>
              </w:rPr>
              <w:t>.</w:t>
            </w:r>
            <w:r w:rsidR="004F072B">
              <w:rPr>
                <w:lang w:val="en-GB"/>
              </w:rPr>
              <w:t xml:space="preserve"> </w:t>
            </w:r>
          </w:p>
          <w:p w:rsidR="00F521F8" w:rsidRPr="00980EE3" w:rsidRDefault="00023BB2" w:rsidP="00980EE3">
            <w:pPr>
              <w:rPr>
                <w:noProof/>
                <w:szCs w:val="22"/>
                <w:u w:val="single"/>
              </w:rPr>
            </w:pPr>
            <w:r w:rsidRPr="00801376">
              <w:rPr>
                <w:i/>
                <w:noProof/>
                <w:szCs w:val="22"/>
                <w:u w:val="single"/>
              </w:rPr>
              <w:t>Psoriatic</w:t>
            </w:r>
            <w:r w:rsidR="00F521F8" w:rsidRPr="00801376">
              <w:rPr>
                <w:i/>
                <w:noProof/>
                <w:szCs w:val="22"/>
                <w:u w:val="single"/>
              </w:rPr>
              <w:t xml:space="preserve"> arthritis</w:t>
            </w:r>
            <w:r w:rsidR="00D103F3" w:rsidRPr="00980EE3">
              <w:rPr>
                <w:noProof/>
                <w:szCs w:val="22"/>
                <w:u w:val="single"/>
              </w:rPr>
              <w:br/>
            </w:r>
            <w:r w:rsidR="00F521F8" w:rsidRPr="00980EE3">
              <w:rPr>
                <w:noProof/>
              </w:rPr>
              <w:t xml:space="preserve">CIMZIA was studied in 409 patients with </w:t>
            </w:r>
            <w:r w:rsidRPr="00980EE3">
              <w:rPr>
                <w:noProof/>
              </w:rPr>
              <w:t>psoriatic</w:t>
            </w:r>
            <w:r w:rsidR="00F521F8" w:rsidRPr="00980EE3">
              <w:rPr>
                <w:noProof/>
              </w:rPr>
              <w:t xml:space="preserve"> arthritis in a placebo-controlled clinical trial (PsA001).  The safety profile for </w:t>
            </w:r>
            <w:r w:rsidRPr="00980EE3">
              <w:rPr>
                <w:noProof/>
              </w:rPr>
              <w:t>psoriatic</w:t>
            </w:r>
            <w:r w:rsidR="00F521F8" w:rsidRPr="00980EE3">
              <w:rPr>
                <w:noProof/>
              </w:rPr>
              <w:t xml:space="preserve"> arthritis patients treated with CIMZIA was consistent with the safety profile in rheumatoid arthritis and previous experience with CIMZIA.</w:t>
            </w:r>
          </w:p>
          <w:p w:rsidR="00980EE3" w:rsidRPr="00980EE3" w:rsidRDefault="00980EE3" w:rsidP="00980EE3">
            <w:pPr>
              <w:rPr>
                <w:noProof/>
                <w:szCs w:val="22"/>
                <w:u w:val="single"/>
              </w:rPr>
            </w:pPr>
          </w:p>
          <w:p w:rsidR="00980EE3" w:rsidRDefault="006D0B27" w:rsidP="00980EE3">
            <w:pPr>
              <w:rPr>
                <w:i/>
                <w:noProof/>
                <w:szCs w:val="22"/>
                <w:u w:val="single"/>
              </w:rPr>
            </w:pPr>
            <w:r>
              <w:rPr>
                <w:i/>
                <w:noProof/>
                <w:szCs w:val="22"/>
                <w:u w:val="single"/>
              </w:rPr>
              <w:t>Ankylosing spondylitis</w:t>
            </w:r>
          </w:p>
          <w:p w:rsidR="0005733D" w:rsidRDefault="00F521F8" w:rsidP="00980EE3">
            <w:pPr>
              <w:rPr>
                <w:bCs/>
                <w:iCs/>
                <w:noProof/>
              </w:rPr>
            </w:pPr>
            <w:r w:rsidRPr="00F016D4">
              <w:rPr>
                <w:bCs/>
                <w:iCs/>
                <w:noProof/>
                <w:szCs w:val="22"/>
              </w:rPr>
              <w:t>C</w:t>
            </w:r>
            <w:r>
              <w:rPr>
                <w:noProof/>
              </w:rPr>
              <w:t>IMZIA</w:t>
            </w:r>
            <w:r w:rsidRPr="00F016D4">
              <w:rPr>
                <w:bCs/>
                <w:iCs/>
                <w:noProof/>
                <w:szCs w:val="22"/>
              </w:rPr>
              <w:t xml:space="preserve"> was studied in </w:t>
            </w:r>
            <w:r w:rsidRPr="00797D0B">
              <w:rPr>
                <w:bCs/>
                <w:iCs/>
                <w:noProof/>
              </w:rPr>
              <w:t>325</w:t>
            </w:r>
            <w:r w:rsidRPr="006F7103">
              <w:rPr>
                <w:bCs/>
                <w:iCs/>
                <w:noProof/>
              </w:rPr>
              <w:t> </w:t>
            </w:r>
            <w:r w:rsidRPr="00797D0B">
              <w:rPr>
                <w:bCs/>
                <w:iCs/>
                <w:noProof/>
              </w:rPr>
              <w:t xml:space="preserve">patients with axial spondyloarthritis in a placebo-controlled </w:t>
            </w:r>
            <w:r>
              <w:rPr>
                <w:bCs/>
                <w:iCs/>
                <w:noProof/>
              </w:rPr>
              <w:t>clinical trial (AS001)</w:t>
            </w:r>
            <w:r w:rsidRPr="00797D0B">
              <w:rPr>
                <w:bCs/>
                <w:iCs/>
                <w:noProof/>
              </w:rPr>
              <w:t>. The safety profile for axial spondyloarthritis p</w:t>
            </w:r>
            <w:r>
              <w:rPr>
                <w:bCs/>
                <w:iCs/>
                <w:noProof/>
              </w:rPr>
              <w:t>atients treated with C</w:t>
            </w:r>
            <w:r>
              <w:rPr>
                <w:noProof/>
              </w:rPr>
              <w:t>IMZIA</w:t>
            </w:r>
            <w:r w:rsidRPr="00797D0B">
              <w:rPr>
                <w:bCs/>
                <w:iCs/>
                <w:noProof/>
              </w:rPr>
              <w:t xml:space="preserve"> was consistent with the safety profile in rheumatoid arthritis and</w:t>
            </w:r>
            <w:r>
              <w:rPr>
                <w:bCs/>
                <w:iCs/>
                <w:noProof/>
              </w:rPr>
              <w:t xml:space="preserve"> previous experience with C</w:t>
            </w:r>
            <w:r>
              <w:rPr>
                <w:noProof/>
              </w:rPr>
              <w:t>IMZIA</w:t>
            </w:r>
            <w:r w:rsidRPr="00797D0B">
              <w:rPr>
                <w:bCs/>
                <w:iCs/>
                <w:noProof/>
              </w:rPr>
              <w:t>.</w:t>
            </w:r>
          </w:p>
          <w:p w:rsidR="00980EE3" w:rsidRDefault="00980EE3" w:rsidP="00D103F3">
            <w:pPr>
              <w:spacing w:after="120"/>
              <w:rPr>
                <w:bCs/>
                <w:iCs/>
                <w:noProof/>
              </w:rPr>
            </w:pPr>
          </w:p>
          <w:p w:rsidR="00413B6B" w:rsidRPr="00563591" w:rsidRDefault="00413B6B" w:rsidP="00D103F3">
            <w:pPr>
              <w:spacing w:after="120"/>
              <w:rPr>
                <w:bCs/>
                <w:iCs/>
                <w:noProof/>
              </w:rPr>
            </w:pPr>
          </w:p>
          <w:p w:rsidR="00E47E6A" w:rsidRDefault="0074245D" w:rsidP="00E47E6A">
            <w:pPr>
              <w:ind w:hanging="754"/>
              <w:rPr>
                <w:rFonts w:eastAsia="MS Mincho"/>
                <w:b/>
                <w:sz w:val="22"/>
                <w:szCs w:val="22"/>
                <w:lang w:val="en-GB"/>
              </w:rPr>
            </w:pPr>
            <w:r>
              <w:rPr>
                <w:rFonts w:eastAsia="MS Mincho"/>
                <w:b/>
                <w:sz w:val="22"/>
                <w:szCs w:val="22"/>
                <w:lang w:val="en-GB"/>
              </w:rPr>
              <w:t xml:space="preserve">Table </w:t>
            </w:r>
            <w:r w:rsidR="00E47E6A">
              <w:rPr>
                <w:rFonts w:eastAsia="MS Mincho"/>
                <w:b/>
                <w:sz w:val="22"/>
                <w:szCs w:val="22"/>
                <w:lang w:val="en-GB"/>
              </w:rPr>
              <w:t xml:space="preserve">  </w:t>
            </w:r>
            <w:proofErr w:type="spellStart"/>
            <w:r w:rsidR="00DA2546">
              <w:rPr>
                <w:rFonts w:eastAsia="MS Mincho"/>
                <w:b/>
                <w:sz w:val="22"/>
                <w:szCs w:val="22"/>
                <w:lang w:val="en-GB"/>
              </w:rPr>
              <w:t>Table</w:t>
            </w:r>
            <w:proofErr w:type="spellEnd"/>
            <w:r w:rsidR="00DA2546">
              <w:rPr>
                <w:rFonts w:eastAsia="MS Mincho"/>
                <w:b/>
                <w:sz w:val="22"/>
                <w:szCs w:val="22"/>
                <w:lang w:val="en-GB"/>
              </w:rPr>
              <w:t xml:space="preserve"> </w:t>
            </w:r>
            <w:r w:rsidR="00362CCC">
              <w:rPr>
                <w:rFonts w:eastAsia="MS Mincho"/>
                <w:b/>
                <w:sz w:val="22"/>
                <w:szCs w:val="22"/>
                <w:lang w:val="en-GB"/>
              </w:rPr>
              <w:t>1</w:t>
            </w:r>
            <w:r w:rsidR="00CC3C79">
              <w:rPr>
                <w:rFonts w:eastAsia="MS Mincho"/>
                <w:b/>
                <w:sz w:val="22"/>
                <w:szCs w:val="22"/>
                <w:lang w:val="en-GB"/>
              </w:rPr>
              <w:t>2</w:t>
            </w:r>
            <w:r w:rsidR="001042E1">
              <w:rPr>
                <w:rFonts w:eastAsia="MS Mincho"/>
                <w:b/>
                <w:sz w:val="22"/>
                <w:szCs w:val="22"/>
                <w:lang w:val="en-GB"/>
              </w:rPr>
              <w:t xml:space="preserve">: </w:t>
            </w:r>
            <w:r w:rsidR="00DA2546">
              <w:rPr>
                <w:rFonts w:eastAsia="MS Mincho"/>
                <w:b/>
                <w:sz w:val="22"/>
                <w:szCs w:val="22"/>
                <w:lang w:val="en-GB"/>
              </w:rPr>
              <w:t xml:space="preserve"> </w:t>
            </w:r>
            <w:r w:rsidR="00E47E6A">
              <w:rPr>
                <w:rFonts w:eastAsia="MS Mincho"/>
                <w:b/>
                <w:sz w:val="22"/>
                <w:szCs w:val="22"/>
                <w:lang w:val="en-GB"/>
              </w:rPr>
              <w:t>Summary of</w:t>
            </w:r>
            <w:r w:rsidR="00E47E6A">
              <w:rPr>
                <w:rFonts w:eastAsia="MS Mincho"/>
                <w:b/>
                <w:color w:val="FF0000"/>
                <w:sz w:val="22"/>
                <w:szCs w:val="22"/>
                <w:lang w:val="en-GB"/>
              </w:rPr>
              <w:t xml:space="preserve"> </w:t>
            </w:r>
            <w:r w:rsidR="00E47E6A">
              <w:rPr>
                <w:rFonts w:eastAsia="MS Mincho"/>
                <w:b/>
                <w:sz w:val="22"/>
                <w:szCs w:val="22"/>
                <w:lang w:val="en-GB"/>
              </w:rPr>
              <w:t>Adverse Events Regardless of Causality</w:t>
            </w:r>
            <w:r w:rsidR="00E47E6A">
              <w:rPr>
                <w:rFonts w:eastAsia="MS Mincho"/>
                <w:b/>
                <w:color w:val="FF0000"/>
                <w:sz w:val="22"/>
                <w:szCs w:val="22"/>
                <w:lang w:val="en-GB"/>
              </w:rPr>
              <w:t xml:space="preserve"> </w:t>
            </w:r>
            <w:r w:rsidR="00E47E6A">
              <w:rPr>
                <w:rFonts w:eastAsia="MS Mincho"/>
                <w:b/>
                <w:sz w:val="22"/>
                <w:szCs w:val="22"/>
                <w:lang w:val="en-GB"/>
              </w:rPr>
              <w:t>for event incidence ≥ 1% in the all CZP doses group</w:t>
            </w:r>
            <w:r w:rsidR="00E47E6A">
              <w:rPr>
                <w:lang w:val="en-GB"/>
              </w:rPr>
              <w:t xml:space="preserve"> </w:t>
            </w:r>
            <w:r w:rsidR="00E47E6A">
              <w:rPr>
                <w:rFonts w:eastAsia="MS Mincho"/>
                <w:b/>
                <w:sz w:val="22"/>
                <w:szCs w:val="22"/>
                <w:lang w:val="en-GB"/>
              </w:rPr>
              <w:t xml:space="preserve">and exceeding that of the placebo group reported during placebo-controlled </w:t>
            </w:r>
            <w:r w:rsidR="002B19B2">
              <w:rPr>
                <w:rFonts w:eastAsia="MS Mincho"/>
                <w:b/>
                <w:sz w:val="22"/>
                <w:szCs w:val="22"/>
                <w:lang w:val="en-GB"/>
              </w:rPr>
              <w:t xml:space="preserve">RA </w:t>
            </w:r>
            <w:r w:rsidR="00E47E6A">
              <w:rPr>
                <w:rFonts w:eastAsia="MS Mincho"/>
                <w:b/>
                <w:sz w:val="22"/>
                <w:szCs w:val="22"/>
                <w:lang w:val="en-GB"/>
              </w:rPr>
              <w:t>clinic</w:t>
            </w:r>
            <w:r w:rsidR="00E47E6A" w:rsidRPr="00267168">
              <w:rPr>
                <w:rFonts w:eastAsia="MS Mincho"/>
                <w:b/>
                <w:sz w:val="22"/>
                <w:szCs w:val="22"/>
                <w:lang w:val="en-GB"/>
              </w:rPr>
              <w:t>al trials</w:t>
            </w:r>
            <w:r w:rsidR="0080269E" w:rsidRPr="00267168">
              <w:t xml:space="preserve"> </w:t>
            </w:r>
            <w:r w:rsidR="0080269E" w:rsidRPr="00B50D8F">
              <w:rPr>
                <w:rFonts w:eastAsia="MS Mincho"/>
                <w:b/>
                <w:sz w:val="22"/>
                <w:szCs w:val="22"/>
                <w:lang w:val="en-GB"/>
              </w:rPr>
              <w:t>in patients with inadequate response to DMARDs.</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3219"/>
              <w:gridCol w:w="1688"/>
              <w:gridCol w:w="1689"/>
            </w:tblGrid>
            <w:tr w:rsidR="00E47E6A" w:rsidTr="00413B6B">
              <w:trPr>
                <w:tblHeader/>
              </w:trPr>
              <w:tc>
                <w:tcPr>
                  <w:tcW w:w="2299" w:type="dxa"/>
                  <w:tcBorders>
                    <w:top w:val="single" w:sz="12" w:space="0" w:color="auto"/>
                    <w:left w:val="single" w:sz="12" w:space="0" w:color="auto"/>
                    <w:bottom w:val="single" w:sz="12" w:space="0" w:color="auto"/>
                    <w:right w:val="single" w:sz="4" w:space="0" w:color="auto"/>
                  </w:tcBorders>
                  <w:hideMark/>
                </w:tcPr>
                <w:p w:rsidR="00E47E6A" w:rsidRDefault="007978BD">
                  <w:pPr>
                    <w:rPr>
                      <w:rFonts w:cs="Arial"/>
                      <w:b/>
                      <w:bCs/>
                      <w:kern w:val="32"/>
                      <w:sz w:val="20"/>
                      <w:szCs w:val="20"/>
                      <w:lang w:val="en-GB"/>
                    </w:rPr>
                  </w:pPr>
                  <w:r>
                    <w:rPr>
                      <w:rFonts w:cs="Arial"/>
                      <w:b/>
                      <w:bCs/>
                      <w:kern w:val="32"/>
                      <w:sz w:val="20"/>
                      <w:szCs w:val="20"/>
                      <w:lang w:val="en-GB"/>
                    </w:rPr>
                    <w:t>System Organ Class</w:t>
                  </w:r>
                </w:p>
              </w:tc>
              <w:tc>
                <w:tcPr>
                  <w:tcW w:w="3219" w:type="dxa"/>
                  <w:tcBorders>
                    <w:top w:val="single" w:sz="12" w:space="0" w:color="auto"/>
                    <w:left w:val="single" w:sz="12" w:space="0" w:color="auto"/>
                    <w:bottom w:val="single" w:sz="12" w:space="0" w:color="auto"/>
                    <w:right w:val="single" w:sz="4" w:space="0" w:color="auto"/>
                  </w:tcBorders>
                  <w:hideMark/>
                </w:tcPr>
                <w:p w:rsidR="00E47E6A" w:rsidRDefault="00E47E6A">
                  <w:pPr>
                    <w:ind w:left="12" w:firstLine="120"/>
                    <w:rPr>
                      <w:rFonts w:cs="Arial"/>
                      <w:bCs/>
                      <w:kern w:val="32"/>
                      <w:sz w:val="20"/>
                      <w:szCs w:val="20"/>
                      <w:lang w:val="en-GB"/>
                    </w:rPr>
                  </w:pPr>
                  <w:r>
                    <w:rPr>
                      <w:rFonts w:cs="Arial"/>
                      <w:b/>
                      <w:bCs/>
                      <w:kern w:val="32"/>
                      <w:sz w:val="20"/>
                      <w:szCs w:val="20"/>
                      <w:lang w:val="en-GB"/>
                    </w:rPr>
                    <w:t>Adverse Event</w:t>
                  </w:r>
                </w:p>
              </w:tc>
              <w:tc>
                <w:tcPr>
                  <w:tcW w:w="1688" w:type="dxa"/>
                  <w:tcBorders>
                    <w:top w:val="single" w:sz="12" w:space="0" w:color="auto"/>
                    <w:left w:val="single" w:sz="4" w:space="0" w:color="auto"/>
                    <w:bottom w:val="single" w:sz="12" w:space="0" w:color="auto"/>
                    <w:right w:val="single" w:sz="4" w:space="0" w:color="auto"/>
                  </w:tcBorders>
                  <w:hideMark/>
                </w:tcPr>
                <w:p w:rsidR="00E47E6A" w:rsidRPr="00571C9F" w:rsidRDefault="00E47E6A">
                  <w:pPr>
                    <w:jc w:val="center"/>
                    <w:rPr>
                      <w:b/>
                      <w:sz w:val="20"/>
                      <w:szCs w:val="20"/>
                      <w:lang w:val="en-GB"/>
                    </w:rPr>
                  </w:pPr>
                  <w:r w:rsidRPr="00571C9F">
                    <w:rPr>
                      <w:b/>
                      <w:sz w:val="20"/>
                      <w:szCs w:val="20"/>
                      <w:lang w:val="en-GB"/>
                    </w:rPr>
                    <w:t xml:space="preserve">PBO </w:t>
                  </w:r>
                </w:p>
                <w:p w:rsidR="00E47E6A" w:rsidRPr="00DA2546" w:rsidRDefault="00E47E6A">
                  <w:pPr>
                    <w:jc w:val="center"/>
                    <w:rPr>
                      <w:b/>
                      <w:sz w:val="20"/>
                      <w:szCs w:val="20"/>
                      <w:lang w:val="en-GB"/>
                    </w:rPr>
                  </w:pPr>
                  <w:r w:rsidRPr="00DA2546">
                    <w:rPr>
                      <w:b/>
                      <w:sz w:val="20"/>
                      <w:szCs w:val="20"/>
                      <w:lang w:val="en-GB"/>
                    </w:rPr>
                    <w:t>+/- MTX</w:t>
                  </w:r>
                </w:p>
                <w:p w:rsidR="00E47E6A" w:rsidRPr="00571C9F" w:rsidRDefault="00450372">
                  <w:pPr>
                    <w:jc w:val="center"/>
                    <w:rPr>
                      <w:b/>
                      <w:sz w:val="20"/>
                      <w:szCs w:val="20"/>
                      <w:lang w:val="en-GB"/>
                    </w:rPr>
                  </w:pPr>
                  <w:r w:rsidRPr="00571C9F">
                    <w:rPr>
                      <w:b/>
                      <w:sz w:val="20"/>
                      <w:szCs w:val="20"/>
                      <w:lang w:val="en-GB"/>
                    </w:rPr>
                    <w:t>(n=1137</w:t>
                  </w:r>
                  <w:r w:rsidR="00E47E6A" w:rsidRPr="00571C9F">
                    <w:rPr>
                      <w:b/>
                      <w:sz w:val="20"/>
                      <w:szCs w:val="20"/>
                      <w:lang w:val="en-GB"/>
                    </w:rPr>
                    <w:t>)</w:t>
                  </w:r>
                </w:p>
                <w:p w:rsidR="00E47E6A" w:rsidRPr="00571C9F" w:rsidRDefault="00E47E6A">
                  <w:pPr>
                    <w:jc w:val="center"/>
                    <w:rPr>
                      <w:b/>
                      <w:sz w:val="20"/>
                      <w:szCs w:val="20"/>
                      <w:lang w:val="en-GB"/>
                    </w:rPr>
                  </w:pPr>
                  <w:r w:rsidRPr="00571C9F">
                    <w:rPr>
                      <w:b/>
                      <w:sz w:val="20"/>
                      <w:szCs w:val="20"/>
                      <w:lang w:val="en-GB"/>
                    </w:rPr>
                    <w:t>(%)</w:t>
                  </w:r>
                </w:p>
              </w:tc>
              <w:tc>
                <w:tcPr>
                  <w:tcW w:w="1689" w:type="dxa"/>
                  <w:tcBorders>
                    <w:top w:val="single" w:sz="12" w:space="0" w:color="auto"/>
                    <w:left w:val="single" w:sz="4" w:space="0" w:color="auto"/>
                    <w:bottom w:val="single" w:sz="12" w:space="0" w:color="auto"/>
                    <w:right w:val="single" w:sz="12" w:space="0" w:color="auto"/>
                  </w:tcBorders>
                  <w:hideMark/>
                </w:tcPr>
                <w:p w:rsidR="00E47E6A" w:rsidRPr="00DA2546" w:rsidRDefault="00E47E6A">
                  <w:pPr>
                    <w:jc w:val="center"/>
                    <w:rPr>
                      <w:b/>
                      <w:sz w:val="20"/>
                      <w:szCs w:val="20"/>
                      <w:lang w:val="en-GB"/>
                    </w:rPr>
                  </w:pPr>
                  <w:r w:rsidRPr="00DA2546">
                    <w:rPr>
                      <w:b/>
                      <w:sz w:val="20"/>
                      <w:szCs w:val="20"/>
                      <w:lang w:val="en-GB"/>
                    </w:rPr>
                    <w:t xml:space="preserve">CZP </w:t>
                  </w:r>
                </w:p>
                <w:p w:rsidR="00E47E6A" w:rsidRPr="00BE27FD" w:rsidRDefault="00E47E6A">
                  <w:pPr>
                    <w:jc w:val="center"/>
                    <w:rPr>
                      <w:b/>
                      <w:sz w:val="20"/>
                      <w:szCs w:val="20"/>
                      <w:lang w:val="en-GB"/>
                    </w:rPr>
                  </w:pPr>
                  <w:r w:rsidRPr="00BE27FD">
                    <w:rPr>
                      <w:b/>
                      <w:sz w:val="20"/>
                      <w:szCs w:val="20"/>
                      <w:lang w:val="en-GB"/>
                    </w:rPr>
                    <w:t>+/- MTX</w:t>
                  </w:r>
                </w:p>
                <w:p w:rsidR="00E47E6A" w:rsidRPr="00571C9F" w:rsidRDefault="00450372">
                  <w:pPr>
                    <w:jc w:val="center"/>
                    <w:rPr>
                      <w:b/>
                      <w:sz w:val="20"/>
                      <w:szCs w:val="20"/>
                      <w:lang w:val="en-GB"/>
                    </w:rPr>
                  </w:pPr>
                  <w:r w:rsidRPr="00571C9F">
                    <w:rPr>
                      <w:b/>
                      <w:sz w:val="20"/>
                      <w:szCs w:val="20"/>
                      <w:lang w:val="en-GB"/>
                    </w:rPr>
                    <w:t>(n=</w:t>
                  </w:r>
                  <w:r w:rsidR="001C5FE1">
                    <w:rPr>
                      <w:b/>
                      <w:sz w:val="20"/>
                      <w:szCs w:val="20"/>
                      <w:lang w:val="en-GB"/>
                    </w:rPr>
                    <w:t>2965</w:t>
                  </w:r>
                  <w:r w:rsidR="00E47E6A" w:rsidRPr="00571C9F">
                    <w:rPr>
                      <w:b/>
                      <w:sz w:val="20"/>
                      <w:szCs w:val="20"/>
                      <w:lang w:val="en-GB"/>
                    </w:rPr>
                    <w:t>)</w:t>
                  </w:r>
                </w:p>
                <w:p w:rsidR="00E47E6A" w:rsidRPr="00571C9F" w:rsidRDefault="00E47E6A">
                  <w:pPr>
                    <w:jc w:val="center"/>
                    <w:rPr>
                      <w:b/>
                      <w:sz w:val="20"/>
                      <w:szCs w:val="20"/>
                      <w:lang w:val="en-GB"/>
                    </w:rPr>
                  </w:pPr>
                  <w:r w:rsidRPr="00571C9F">
                    <w:rPr>
                      <w:b/>
                      <w:sz w:val="20"/>
                      <w:szCs w:val="20"/>
                      <w:lang w:val="en-GB"/>
                    </w:rPr>
                    <w:t>(%)</w:t>
                  </w:r>
                </w:p>
              </w:tc>
            </w:tr>
            <w:tr w:rsidR="003121F3" w:rsidTr="00413B6B">
              <w:trPr>
                <w:tblHeader/>
              </w:trPr>
              <w:tc>
                <w:tcPr>
                  <w:tcW w:w="2299" w:type="dxa"/>
                  <w:vMerge w:val="restart"/>
                  <w:tcBorders>
                    <w:top w:val="single" w:sz="12" w:space="0" w:color="auto"/>
                    <w:left w:val="single" w:sz="12" w:space="0" w:color="auto"/>
                    <w:right w:val="single" w:sz="12" w:space="0" w:color="auto"/>
                  </w:tcBorders>
                </w:tcPr>
                <w:p w:rsidR="003121F3" w:rsidRPr="00155678" w:rsidRDefault="003121F3">
                  <w:pPr>
                    <w:rPr>
                      <w:rFonts w:cs="Arial"/>
                      <w:b/>
                      <w:bCs/>
                      <w:kern w:val="32"/>
                      <w:sz w:val="20"/>
                      <w:szCs w:val="20"/>
                      <w:lang w:val="en-GB"/>
                    </w:rPr>
                  </w:pPr>
                  <w:r w:rsidRPr="00683AC1">
                    <w:rPr>
                      <w:b/>
                      <w:sz w:val="20"/>
                      <w:szCs w:val="20"/>
                      <w:lang w:val="en-AU" w:eastAsia="en-AU"/>
                    </w:rPr>
                    <w:t>Infe</w:t>
                  </w:r>
                  <w:r w:rsidRPr="00F83E29">
                    <w:rPr>
                      <w:b/>
                      <w:sz w:val="20"/>
                      <w:szCs w:val="20"/>
                      <w:lang w:val="en-AU" w:eastAsia="en-AU"/>
                    </w:rPr>
                    <w:t>ctions and infestations</w:t>
                  </w:r>
                </w:p>
              </w:tc>
              <w:tc>
                <w:tcPr>
                  <w:tcW w:w="3219" w:type="dxa"/>
                  <w:tcBorders>
                    <w:top w:val="single" w:sz="12" w:space="0" w:color="auto"/>
                    <w:left w:val="single" w:sz="12" w:space="0" w:color="auto"/>
                    <w:bottom w:val="single" w:sz="4" w:space="0" w:color="auto"/>
                    <w:right w:val="single" w:sz="4" w:space="0" w:color="auto"/>
                  </w:tcBorders>
                </w:tcPr>
                <w:p w:rsidR="003121F3" w:rsidRPr="00155678" w:rsidRDefault="003121F3" w:rsidP="00155678">
                  <w:pPr>
                    <w:rPr>
                      <w:rFonts w:cs="Arial"/>
                      <w:bCs/>
                      <w:kern w:val="32"/>
                      <w:sz w:val="20"/>
                      <w:szCs w:val="20"/>
                      <w:lang w:val="en-GB"/>
                    </w:rPr>
                  </w:pPr>
                  <w:r>
                    <w:rPr>
                      <w:rFonts w:cs="Arial"/>
                      <w:bCs/>
                      <w:kern w:val="32"/>
                      <w:sz w:val="20"/>
                      <w:szCs w:val="20"/>
                      <w:lang w:val="en-GB"/>
                    </w:rPr>
                    <w:t xml:space="preserve">   Upper respiratory tract infection</w:t>
                  </w:r>
                </w:p>
              </w:tc>
              <w:tc>
                <w:tcPr>
                  <w:tcW w:w="1688" w:type="dxa"/>
                  <w:tcBorders>
                    <w:top w:val="single" w:sz="12" w:space="0" w:color="auto"/>
                    <w:left w:val="single" w:sz="4" w:space="0" w:color="auto"/>
                    <w:bottom w:val="single" w:sz="4" w:space="0" w:color="auto"/>
                    <w:right w:val="single" w:sz="4" w:space="0" w:color="auto"/>
                  </w:tcBorders>
                </w:tcPr>
                <w:p w:rsidR="003121F3" w:rsidRPr="00155678" w:rsidRDefault="003121F3">
                  <w:pPr>
                    <w:jc w:val="center"/>
                    <w:rPr>
                      <w:sz w:val="20"/>
                      <w:szCs w:val="20"/>
                      <w:lang w:val="en-GB"/>
                    </w:rPr>
                  </w:pPr>
                  <w:r>
                    <w:rPr>
                      <w:sz w:val="20"/>
                      <w:szCs w:val="20"/>
                      <w:lang w:val="en-GB"/>
                    </w:rPr>
                    <w:t>4.3%</w:t>
                  </w:r>
                </w:p>
              </w:tc>
              <w:tc>
                <w:tcPr>
                  <w:tcW w:w="1689" w:type="dxa"/>
                  <w:tcBorders>
                    <w:top w:val="single" w:sz="12" w:space="0" w:color="auto"/>
                    <w:left w:val="single" w:sz="4" w:space="0" w:color="auto"/>
                    <w:bottom w:val="single" w:sz="4" w:space="0" w:color="auto"/>
                    <w:right w:val="single" w:sz="12" w:space="0" w:color="auto"/>
                  </w:tcBorders>
                </w:tcPr>
                <w:p w:rsidR="003121F3" w:rsidRPr="00155678" w:rsidRDefault="003121F3">
                  <w:pPr>
                    <w:jc w:val="center"/>
                    <w:rPr>
                      <w:sz w:val="20"/>
                      <w:szCs w:val="20"/>
                      <w:lang w:val="en-GB"/>
                    </w:rPr>
                  </w:pPr>
                  <w:r>
                    <w:rPr>
                      <w:sz w:val="20"/>
                      <w:szCs w:val="20"/>
                      <w:lang w:val="en-GB"/>
                    </w:rPr>
                    <w:t>5.9%</w:t>
                  </w:r>
                </w:p>
              </w:tc>
            </w:tr>
            <w:tr w:rsidR="003121F3" w:rsidTr="00B805A0">
              <w:trPr>
                <w:tblHeader/>
              </w:trPr>
              <w:tc>
                <w:tcPr>
                  <w:tcW w:w="2299" w:type="dxa"/>
                  <w:vMerge/>
                  <w:tcBorders>
                    <w:left w:val="single" w:sz="12" w:space="0" w:color="auto"/>
                    <w:right w:val="single" w:sz="12" w:space="0" w:color="auto"/>
                  </w:tcBorders>
                </w:tcPr>
                <w:p w:rsidR="003121F3" w:rsidRPr="00BE4091" w:rsidRDefault="003121F3">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3121F3" w:rsidRDefault="003121F3" w:rsidP="00E548AE">
                  <w:pPr>
                    <w:rPr>
                      <w:rFonts w:cs="Arial"/>
                      <w:bCs/>
                      <w:kern w:val="32"/>
                      <w:sz w:val="20"/>
                      <w:szCs w:val="20"/>
                      <w:lang w:val="en-GB"/>
                    </w:rPr>
                  </w:pPr>
                  <w:r>
                    <w:rPr>
                      <w:rFonts w:cs="Arial"/>
                      <w:bCs/>
                      <w:kern w:val="32"/>
                      <w:sz w:val="20"/>
                      <w:szCs w:val="20"/>
                      <w:lang w:val="en-GB"/>
                    </w:rPr>
                    <w:t xml:space="preserve">   </w:t>
                  </w:r>
                  <w:proofErr w:type="spellStart"/>
                  <w:r>
                    <w:rPr>
                      <w:rFonts w:cs="Arial"/>
                      <w:bCs/>
                      <w:kern w:val="32"/>
                      <w:sz w:val="20"/>
                      <w:szCs w:val="20"/>
                      <w:lang w:val="en-GB"/>
                    </w:rPr>
                    <w:t>Nasopharyngitis</w:t>
                  </w:r>
                  <w:proofErr w:type="spellEnd"/>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4.1%</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5.3%</w:t>
                  </w:r>
                </w:p>
              </w:tc>
            </w:tr>
            <w:tr w:rsidR="003121F3" w:rsidTr="00B805A0">
              <w:trPr>
                <w:tblHeader/>
              </w:trPr>
              <w:tc>
                <w:tcPr>
                  <w:tcW w:w="2299" w:type="dxa"/>
                  <w:vMerge/>
                  <w:tcBorders>
                    <w:left w:val="single" w:sz="12" w:space="0" w:color="auto"/>
                    <w:right w:val="single" w:sz="12" w:space="0" w:color="auto"/>
                  </w:tcBorders>
                </w:tcPr>
                <w:p w:rsidR="003121F3" w:rsidRPr="00BE4091" w:rsidRDefault="003121F3">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3121F3" w:rsidRDefault="003121F3" w:rsidP="00E548AE">
                  <w:pPr>
                    <w:rPr>
                      <w:rFonts w:cs="Arial"/>
                      <w:bCs/>
                      <w:kern w:val="32"/>
                      <w:sz w:val="20"/>
                      <w:szCs w:val="20"/>
                      <w:lang w:val="en-GB"/>
                    </w:rPr>
                  </w:pPr>
                  <w:r>
                    <w:rPr>
                      <w:rFonts w:cs="Arial"/>
                      <w:bCs/>
                      <w:kern w:val="32"/>
                      <w:sz w:val="20"/>
                      <w:szCs w:val="20"/>
                      <w:lang w:val="en-GB"/>
                    </w:rPr>
                    <w:t xml:space="preserve">  Urinary tract infection</w:t>
                  </w: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4.1%</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4.5%</w:t>
                  </w:r>
                </w:p>
              </w:tc>
            </w:tr>
            <w:tr w:rsidR="003121F3" w:rsidTr="00B805A0">
              <w:trPr>
                <w:tblHeader/>
              </w:trPr>
              <w:tc>
                <w:tcPr>
                  <w:tcW w:w="2299" w:type="dxa"/>
                  <w:vMerge/>
                  <w:tcBorders>
                    <w:left w:val="single" w:sz="12" w:space="0" w:color="auto"/>
                    <w:right w:val="single" w:sz="12" w:space="0" w:color="auto"/>
                  </w:tcBorders>
                </w:tcPr>
                <w:p w:rsidR="003121F3" w:rsidRPr="00BE4091" w:rsidRDefault="003121F3">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12" w:firstLine="120"/>
                    <w:rPr>
                      <w:rFonts w:cs="Arial"/>
                      <w:bCs/>
                      <w:kern w:val="32"/>
                      <w:sz w:val="20"/>
                      <w:szCs w:val="20"/>
                      <w:lang w:val="en-GB"/>
                    </w:rPr>
                  </w:pPr>
                  <w:r>
                    <w:rPr>
                      <w:rFonts w:cs="Arial"/>
                      <w:bCs/>
                      <w:kern w:val="32"/>
                      <w:sz w:val="20"/>
                      <w:szCs w:val="20"/>
                      <w:lang w:val="en-GB"/>
                    </w:rPr>
                    <w:t>Herpes simplex</w:t>
                  </w: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0.7%</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2.3%</w:t>
                  </w:r>
                </w:p>
              </w:tc>
            </w:tr>
            <w:tr w:rsidR="003121F3" w:rsidTr="00B805A0">
              <w:trPr>
                <w:tblHeader/>
              </w:trPr>
              <w:tc>
                <w:tcPr>
                  <w:tcW w:w="2299" w:type="dxa"/>
                  <w:vMerge/>
                  <w:tcBorders>
                    <w:left w:val="single" w:sz="12" w:space="0" w:color="auto"/>
                    <w:right w:val="single" w:sz="12" w:space="0" w:color="auto"/>
                  </w:tcBorders>
                </w:tcPr>
                <w:p w:rsidR="003121F3" w:rsidRPr="00BE4091" w:rsidRDefault="003121F3">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12" w:firstLine="120"/>
                    <w:rPr>
                      <w:rFonts w:cs="Arial"/>
                      <w:bCs/>
                      <w:kern w:val="32"/>
                      <w:sz w:val="20"/>
                      <w:szCs w:val="20"/>
                      <w:lang w:val="en-GB"/>
                    </w:rPr>
                  </w:pPr>
                  <w:r>
                    <w:rPr>
                      <w:rFonts w:cs="Arial"/>
                      <w:bCs/>
                      <w:kern w:val="32"/>
                      <w:sz w:val="20"/>
                      <w:szCs w:val="20"/>
                      <w:lang w:val="en-GB"/>
                    </w:rPr>
                    <w:t>Sinusitis</w:t>
                  </w: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1.6%</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2.2%</w:t>
                  </w:r>
                </w:p>
              </w:tc>
            </w:tr>
            <w:tr w:rsidR="003121F3" w:rsidTr="00B805A0">
              <w:trPr>
                <w:tblHeader/>
              </w:trPr>
              <w:tc>
                <w:tcPr>
                  <w:tcW w:w="2299" w:type="dxa"/>
                  <w:vMerge/>
                  <w:tcBorders>
                    <w:left w:val="single" w:sz="12" w:space="0" w:color="auto"/>
                    <w:right w:val="single" w:sz="12" w:space="0" w:color="auto"/>
                  </w:tcBorders>
                </w:tcPr>
                <w:p w:rsidR="003121F3" w:rsidRPr="00E548AE" w:rsidRDefault="003121F3">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12" w:firstLine="120"/>
                    <w:rPr>
                      <w:rFonts w:cs="Arial"/>
                      <w:bCs/>
                      <w:kern w:val="32"/>
                      <w:sz w:val="20"/>
                      <w:szCs w:val="20"/>
                      <w:lang w:val="en-GB"/>
                    </w:rPr>
                  </w:pPr>
                  <w:r>
                    <w:rPr>
                      <w:rFonts w:cs="Arial"/>
                      <w:bCs/>
                      <w:kern w:val="32"/>
                      <w:sz w:val="20"/>
                      <w:szCs w:val="20"/>
                      <w:lang w:val="en-GB"/>
                    </w:rPr>
                    <w:t>Pharyngitis</w:t>
                  </w: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0.6%</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1.7%</w:t>
                  </w:r>
                </w:p>
              </w:tc>
            </w:tr>
            <w:tr w:rsidR="003121F3" w:rsidTr="00B805A0">
              <w:trPr>
                <w:tblHeader/>
              </w:trPr>
              <w:tc>
                <w:tcPr>
                  <w:tcW w:w="2299" w:type="dxa"/>
                  <w:vMerge/>
                  <w:tcBorders>
                    <w:left w:val="single" w:sz="12" w:space="0" w:color="auto"/>
                    <w:right w:val="single" w:sz="12" w:space="0" w:color="auto"/>
                  </w:tcBorders>
                </w:tcPr>
                <w:p w:rsidR="003121F3" w:rsidRPr="00E548AE" w:rsidRDefault="003121F3">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12" w:firstLine="120"/>
                    <w:rPr>
                      <w:rFonts w:cs="Arial"/>
                      <w:bCs/>
                      <w:kern w:val="32"/>
                      <w:sz w:val="20"/>
                      <w:szCs w:val="20"/>
                      <w:lang w:val="en-GB"/>
                    </w:rPr>
                  </w:pPr>
                  <w:r>
                    <w:rPr>
                      <w:rFonts w:cs="Arial"/>
                      <w:bCs/>
                      <w:kern w:val="32"/>
                      <w:sz w:val="20"/>
                      <w:szCs w:val="20"/>
                      <w:lang w:val="en-GB"/>
                    </w:rPr>
                    <w:t>Bronchitis acute</w:t>
                  </w: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0.5%</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1.6%</w:t>
                  </w:r>
                </w:p>
              </w:tc>
            </w:tr>
            <w:tr w:rsidR="003121F3" w:rsidTr="00B805A0">
              <w:trPr>
                <w:tblHeader/>
              </w:trPr>
              <w:tc>
                <w:tcPr>
                  <w:tcW w:w="2299" w:type="dxa"/>
                  <w:vMerge/>
                  <w:tcBorders>
                    <w:left w:val="single" w:sz="12" w:space="0" w:color="auto"/>
                    <w:right w:val="single" w:sz="12" w:space="0" w:color="auto"/>
                  </w:tcBorders>
                </w:tcPr>
                <w:p w:rsidR="003121F3" w:rsidRPr="00E548AE" w:rsidRDefault="003121F3">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12" w:firstLine="120"/>
                    <w:rPr>
                      <w:rFonts w:cs="Arial"/>
                      <w:bCs/>
                      <w:kern w:val="32"/>
                      <w:sz w:val="20"/>
                      <w:szCs w:val="20"/>
                      <w:lang w:val="en-GB"/>
                    </w:rPr>
                  </w:pPr>
                  <w:r>
                    <w:rPr>
                      <w:rFonts w:cs="Arial"/>
                      <w:bCs/>
                      <w:kern w:val="32"/>
                      <w:sz w:val="20"/>
                      <w:szCs w:val="20"/>
                      <w:lang w:val="en-GB"/>
                    </w:rPr>
                    <w:t>Rhinitis</w:t>
                  </w: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0.6%</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1.6%</w:t>
                  </w:r>
                </w:p>
              </w:tc>
            </w:tr>
            <w:tr w:rsidR="003121F3" w:rsidTr="009E0CBE">
              <w:trPr>
                <w:trHeight w:hRule="exact" w:val="284"/>
                <w:tblHeader/>
              </w:trPr>
              <w:tc>
                <w:tcPr>
                  <w:tcW w:w="2299" w:type="dxa"/>
                  <w:vMerge/>
                  <w:tcBorders>
                    <w:left w:val="single" w:sz="12" w:space="0" w:color="auto"/>
                    <w:bottom w:val="single" w:sz="12" w:space="0" w:color="auto"/>
                    <w:right w:val="single" w:sz="12" w:space="0" w:color="auto"/>
                  </w:tcBorders>
                </w:tcPr>
                <w:p w:rsidR="003121F3" w:rsidRPr="00E548AE" w:rsidRDefault="003121F3">
                  <w:pPr>
                    <w:rPr>
                      <w:rFonts w:cs="Arial"/>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12" w:firstLine="120"/>
                    <w:rPr>
                      <w:rFonts w:cs="Arial"/>
                      <w:bCs/>
                      <w:kern w:val="32"/>
                      <w:sz w:val="20"/>
                      <w:szCs w:val="20"/>
                      <w:lang w:val="en-GB"/>
                    </w:rPr>
                  </w:pPr>
                  <w:proofErr w:type="spellStart"/>
                  <w:r>
                    <w:rPr>
                      <w:rFonts w:cs="Arial"/>
                      <w:bCs/>
                      <w:kern w:val="32"/>
                      <w:sz w:val="20"/>
                      <w:szCs w:val="20"/>
                      <w:lang w:val="en-GB"/>
                    </w:rPr>
                    <w:t>Bacteriuria</w:t>
                  </w:r>
                  <w:proofErr w:type="spellEnd"/>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0.6%</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1.0%</w:t>
                  </w:r>
                </w:p>
                <w:p w:rsidR="003121F3" w:rsidRDefault="003121F3">
                  <w:pPr>
                    <w:jc w:val="center"/>
                    <w:rPr>
                      <w:sz w:val="20"/>
                      <w:szCs w:val="20"/>
                      <w:lang w:val="en-GB"/>
                    </w:rPr>
                  </w:pPr>
                </w:p>
              </w:tc>
            </w:tr>
            <w:tr w:rsidR="003121F3" w:rsidTr="00E548AE">
              <w:tc>
                <w:tcPr>
                  <w:tcW w:w="2299" w:type="dxa"/>
                  <w:vMerge w:val="restart"/>
                  <w:tcBorders>
                    <w:top w:val="single" w:sz="12" w:space="0" w:color="auto"/>
                    <w:left w:val="single" w:sz="12" w:space="0" w:color="auto"/>
                    <w:right w:val="single" w:sz="4" w:space="0" w:color="auto"/>
                  </w:tcBorders>
                  <w:vAlign w:val="center"/>
                </w:tcPr>
                <w:p w:rsidR="003121F3" w:rsidRDefault="003121F3">
                  <w:pPr>
                    <w:rPr>
                      <w:b/>
                      <w:bCs/>
                      <w:kern w:val="32"/>
                      <w:sz w:val="20"/>
                      <w:szCs w:val="20"/>
                      <w:lang w:val="en-GB"/>
                    </w:rPr>
                  </w:pPr>
                  <w:r>
                    <w:rPr>
                      <w:b/>
                      <w:bCs/>
                      <w:kern w:val="32"/>
                      <w:sz w:val="20"/>
                      <w:szCs w:val="20"/>
                      <w:lang w:val="en-GB"/>
                    </w:rPr>
                    <w:t xml:space="preserve">Musculoskeletal and connective tissue </w:t>
                  </w:r>
                </w:p>
                <w:p w:rsidR="003121F3" w:rsidRDefault="003121F3">
                  <w:pPr>
                    <w:rPr>
                      <w:b/>
                      <w:bCs/>
                      <w:kern w:val="32"/>
                      <w:sz w:val="20"/>
                      <w:szCs w:val="20"/>
                      <w:lang w:val="en-GB"/>
                    </w:rPr>
                  </w:pPr>
                  <w:r>
                    <w:rPr>
                      <w:b/>
                      <w:bCs/>
                      <w:kern w:val="32"/>
                      <w:sz w:val="20"/>
                      <w:szCs w:val="20"/>
                      <w:lang w:val="en-GB"/>
                    </w:rPr>
                    <w:t>disorders</w:t>
                  </w:r>
                </w:p>
                <w:p w:rsidR="003121F3" w:rsidRPr="007978BD" w:rsidRDefault="003121F3">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97"/>
                    <w:rPr>
                      <w:rFonts w:cs="Arial"/>
                      <w:bCs/>
                      <w:kern w:val="32"/>
                      <w:sz w:val="20"/>
                      <w:szCs w:val="20"/>
                      <w:lang w:val="en-GB"/>
                    </w:rPr>
                  </w:pPr>
                  <w:r>
                    <w:rPr>
                      <w:rFonts w:cs="Arial"/>
                      <w:bCs/>
                      <w:kern w:val="32"/>
                      <w:sz w:val="20"/>
                      <w:szCs w:val="20"/>
                      <w:lang w:val="en-GB"/>
                    </w:rPr>
                    <w:t>Back pain</w:t>
                  </w:r>
                </w:p>
              </w:tc>
              <w:tc>
                <w:tcPr>
                  <w:tcW w:w="1688" w:type="dxa"/>
                  <w:tcBorders>
                    <w:top w:val="single" w:sz="4" w:space="0" w:color="auto"/>
                    <w:left w:val="single" w:sz="4" w:space="0" w:color="auto"/>
                    <w:bottom w:val="single" w:sz="4" w:space="0" w:color="auto"/>
                    <w:right w:val="single" w:sz="4" w:space="0" w:color="auto"/>
                  </w:tcBorders>
                </w:tcPr>
                <w:p w:rsidR="003121F3" w:rsidDel="0074245D" w:rsidRDefault="003121F3">
                  <w:pPr>
                    <w:jc w:val="center"/>
                    <w:rPr>
                      <w:sz w:val="20"/>
                      <w:szCs w:val="20"/>
                      <w:lang w:val="en-GB"/>
                    </w:rPr>
                  </w:pPr>
                  <w:r>
                    <w:rPr>
                      <w:sz w:val="20"/>
                      <w:szCs w:val="20"/>
                      <w:lang w:val="en-GB"/>
                    </w:rPr>
                    <w:t>1.3%</w:t>
                  </w:r>
                </w:p>
              </w:tc>
              <w:tc>
                <w:tcPr>
                  <w:tcW w:w="1689" w:type="dxa"/>
                  <w:tcBorders>
                    <w:top w:val="single" w:sz="4" w:space="0" w:color="auto"/>
                    <w:left w:val="single" w:sz="4" w:space="0" w:color="auto"/>
                    <w:bottom w:val="single" w:sz="4" w:space="0" w:color="auto"/>
                    <w:right w:val="single" w:sz="12" w:space="0" w:color="auto"/>
                  </w:tcBorders>
                </w:tcPr>
                <w:p w:rsidR="003121F3" w:rsidDel="0074245D" w:rsidRDefault="003121F3">
                  <w:pPr>
                    <w:jc w:val="center"/>
                    <w:rPr>
                      <w:sz w:val="20"/>
                      <w:szCs w:val="20"/>
                      <w:lang w:val="en-GB"/>
                    </w:rPr>
                  </w:pPr>
                  <w:r>
                    <w:rPr>
                      <w:sz w:val="20"/>
                      <w:szCs w:val="20"/>
                      <w:lang w:val="en-GB"/>
                    </w:rPr>
                    <w:t>3.3%</w:t>
                  </w:r>
                </w:p>
              </w:tc>
            </w:tr>
            <w:tr w:rsidR="003121F3" w:rsidTr="009E0CBE">
              <w:trPr>
                <w:trHeight w:hRule="exact" w:val="528"/>
              </w:trPr>
              <w:tc>
                <w:tcPr>
                  <w:tcW w:w="2299" w:type="dxa"/>
                  <w:vMerge/>
                  <w:tcBorders>
                    <w:left w:val="single" w:sz="12" w:space="0" w:color="auto"/>
                    <w:right w:val="single" w:sz="4" w:space="0" w:color="auto"/>
                  </w:tcBorders>
                  <w:vAlign w:val="center"/>
                  <w:hideMark/>
                </w:tcPr>
                <w:p w:rsidR="003121F3" w:rsidRPr="00BE4091" w:rsidRDefault="003121F3">
                  <w:pPr>
                    <w:rPr>
                      <w:bCs/>
                      <w:kern w:val="32"/>
                      <w:sz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3121F3" w:rsidRDefault="003121F3">
                  <w:pPr>
                    <w:ind w:left="97"/>
                    <w:rPr>
                      <w:rFonts w:cs="Arial"/>
                      <w:bCs/>
                      <w:kern w:val="32"/>
                      <w:sz w:val="20"/>
                      <w:szCs w:val="20"/>
                      <w:lang w:val="en-GB"/>
                    </w:rPr>
                  </w:pPr>
                  <w:r>
                    <w:rPr>
                      <w:rFonts w:cs="Arial"/>
                      <w:bCs/>
                      <w:kern w:val="32"/>
                      <w:sz w:val="20"/>
                      <w:szCs w:val="20"/>
                      <w:lang w:val="en-GB"/>
                    </w:rPr>
                    <w:t>Muscle spasms</w:t>
                  </w:r>
                </w:p>
              </w:tc>
              <w:tc>
                <w:tcPr>
                  <w:tcW w:w="1688" w:type="dxa"/>
                  <w:tcBorders>
                    <w:top w:val="single" w:sz="4" w:space="0" w:color="auto"/>
                    <w:left w:val="single" w:sz="4" w:space="0" w:color="auto"/>
                    <w:bottom w:val="single" w:sz="4" w:space="0" w:color="auto"/>
                    <w:right w:val="single" w:sz="4" w:space="0" w:color="auto"/>
                  </w:tcBorders>
                  <w:hideMark/>
                </w:tcPr>
                <w:p w:rsidR="003121F3" w:rsidRDefault="003121F3">
                  <w:pPr>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hideMark/>
                </w:tcPr>
                <w:p w:rsidR="003121F3" w:rsidRDefault="003121F3">
                  <w:pPr>
                    <w:jc w:val="center"/>
                    <w:rPr>
                      <w:sz w:val="20"/>
                      <w:szCs w:val="20"/>
                      <w:lang w:val="en-GB"/>
                    </w:rPr>
                  </w:pPr>
                  <w:r>
                    <w:rPr>
                      <w:sz w:val="20"/>
                      <w:szCs w:val="20"/>
                      <w:lang w:val="en-GB"/>
                    </w:rPr>
                    <w:t>1.4%</w:t>
                  </w:r>
                </w:p>
                <w:p w:rsidR="003121F3" w:rsidRDefault="003121F3">
                  <w:pPr>
                    <w:jc w:val="center"/>
                    <w:rPr>
                      <w:sz w:val="20"/>
                      <w:szCs w:val="20"/>
                      <w:lang w:val="en-GB"/>
                    </w:rPr>
                  </w:pPr>
                </w:p>
                <w:p w:rsidR="003121F3" w:rsidRDefault="003121F3">
                  <w:pPr>
                    <w:jc w:val="center"/>
                    <w:rPr>
                      <w:sz w:val="20"/>
                      <w:szCs w:val="20"/>
                      <w:lang w:val="en-GB"/>
                    </w:rPr>
                  </w:pPr>
                </w:p>
              </w:tc>
            </w:tr>
            <w:tr w:rsidR="003121F3" w:rsidTr="00B805A0">
              <w:tc>
                <w:tcPr>
                  <w:tcW w:w="2299" w:type="dxa"/>
                  <w:vMerge w:val="restart"/>
                  <w:tcBorders>
                    <w:top w:val="single" w:sz="4" w:space="0" w:color="auto"/>
                    <w:left w:val="single" w:sz="12" w:space="0" w:color="auto"/>
                    <w:right w:val="single" w:sz="4" w:space="0" w:color="auto"/>
                  </w:tcBorders>
                  <w:vAlign w:val="center"/>
                </w:tcPr>
                <w:p w:rsidR="003121F3" w:rsidRPr="00155678" w:rsidRDefault="003121F3">
                  <w:pPr>
                    <w:rPr>
                      <w:b/>
                      <w:bCs/>
                      <w:kern w:val="32"/>
                      <w:sz w:val="20"/>
                      <w:szCs w:val="20"/>
                      <w:lang w:val="en-GB"/>
                    </w:rPr>
                  </w:pPr>
                  <w:r>
                    <w:rPr>
                      <w:b/>
                      <w:bCs/>
                      <w:kern w:val="32"/>
                      <w:sz w:val="20"/>
                      <w:szCs w:val="20"/>
                      <w:lang w:val="en-GB"/>
                    </w:rPr>
                    <w:t>Gastrointestinal disorders</w:t>
                  </w: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97"/>
                    <w:rPr>
                      <w:rFonts w:cs="Arial"/>
                      <w:bCs/>
                      <w:kern w:val="32"/>
                      <w:sz w:val="20"/>
                      <w:szCs w:val="20"/>
                      <w:lang w:val="en-GB"/>
                    </w:rPr>
                  </w:pPr>
                  <w:r>
                    <w:rPr>
                      <w:rFonts w:cs="Arial"/>
                      <w:bCs/>
                      <w:kern w:val="32"/>
                      <w:sz w:val="20"/>
                      <w:szCs w:val="20"/>
                      <w:lang w:val="en-GB"/>
                    </w:rPr>
                    <w:t>Abdominal pain upper</w:t>
                  </w: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1.3%</w:t>
                  </w:r>
                </w:p>
              </w:tc>
            </w:tr>
            <w:tr w:rsidR="003121F3" w:rsidTr="004017D2">
              <w:trPr>
                <w:trHeight w:hRule="exact" w:val="284"/>
              </w:trPr>
              <w:tc>
                <w:tcPr>
                  <w:tcW w:w="2299" w:type="dxa"/>
                  <w:vMerge/>
                  <w:tcBorders>
                    <w:left w:val="single" w:sz="12" w:space="0" w:color="auto"/>
                    <w:bottom w:val="single" w:sz="4" w:space="0" w:color="auto"/>
                    <w:right w:val="single" w:sz="4" w:space="0" w:color="auto"/>
                  </w:tcBorders>
                  <w:vAlign w:val="center"/>
                </w:tcPr>
                <w:p w:rsidR="003121F3" w:rsidRPr="00155678" w:rsidRDefault="003121F3" w:rsidP="002439EB">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97"/>
                    <w:rPr>
                      <w:rFonts w:cs="Arial"/>
                      <w:bCs/>
                      <w:kern w:val="32"/>
                      <w:sz w:val="20"/>
                      <w:szCs w:val="20"/>
                      <w:lang w:val="en-GB"/>
                    </w:rPr>
                  </w:pPr>
                  <w:r>
                    <w:rPr>
                      <w:rFonts w:cs="Arial"/>
                      <w:bCs/>
                      <w:kern w:val="32"/>
                      <w:sz w:val="20"/>
                      <w:szCs w:val="20"/>
                      <w:lang w:val="en-GB"/>
                    </w:rPr>
                    <w:t>Abdominal pain</w:t>
                  </w: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0.6%</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1.3%</w:t>
                  </w:r>
                </w:p>
                <w:p w:rsidR="003121F3" w:rsidRDefault="003121F3">
                  <w:pPr>
                    <w:jc w:val="center"/>
                    <w:rPr>
                      <w:sz w:val="20"/>
                      <w:szCs w:val="20"/>
                      <w:lang w:val="en-GB"/>
                    </w:rPr>
                  </w:pPr>
                </w:p>
              </w:tc>
            </w:tr>
            <w:tr w:rsidR="003121F3" w:rsidTr="00EC3745">
              <w:trPr>
                <w:trHeight w:val="287"/>
              </w:trPr>
              <w:tc>
                <w:tcPr>
                  <w:tcW w:w="2299" w:type="dxa"/>
                  <w:vMerge w:val="restart"/>
                  <w:tcBorders>
                    <w:top w:val="single" w:sz="4" w:space="0" w:color="auto"/>
                    <w:left w:val="single" w:sz="12" w:space="0" w:color="auto"/>
                    <w:right w:val="single" w:sz="4" w:space="0" w:color="auto"/>
                  </w:tcBorders>
                  <w:vAlign w:val="center"/>
                </w:tcPr>
                <w:p w:rsidR="003121F3" w:rsidRPr="00155678" w:rsidRDefault="003121F3" w:rsidP="00865AB7">
                  <w:pPr>
                    <w:autoSpaceDE w:val="0"/>
                    <w:autoSpaceDN w:val="0"/>
                    <w:adjustRightInd w:val="0"/>
                    <w:rPr>
                      <w:b/>
                      <w:sz w:val="20"/>
                      <w:szCs w:val="20"/>
                      <w:lang w:val="en-AU" w:eastAsia="en-AU"/>
                    </w:rPr>
                  </w:pPr>
                  <w:r w:rsidRPr="00155678">
                    <w:rPr>
                      <w:b/>
                      <w:sz w:val="20"/>
                      <w:szCs w:val="20"/>
                      <w:lang w:val="en-AU" w:eastAsia="en-AU"/>
                    </w:rPr>
                    <w:t>General disorders and</w:t>
                  </w:r>
                </w:p>
                <w:p w:rsidR="003121F3" w:rsidRPr="00155678" w:rsidRDefault="003121F3" w:rsidP="00865AB7">
                  <w:pPr>
                    <w:autoSpaceDE w:val="0"/>
                    <w:autoSpaceDN w:val="0"/>
                    <w:adjustRightInd w:val="0"/>
                    <w:rPr>
                      <w:b/>
                      <w:sz w:val="20"/>
                      <w:szCs w:val="20"/>
                      <w:lang w:val="en-AU" w:eastAsia="en-AU"/>
                    </w:rPr>
                  </w:pPr>
                  <w:r w:rsidRPr="00155678">
                    <w:rPr>
                      <w:b/>
                      <w:sz w:val="20"/>
                      <w:szCs w:val="20"/>
                      <w:lang w:val="en-AU" w:eastAsia="en-AU"/>
                    </w:rPr>
                    <w:t>administration site</w:t>
                  </w:r>
                </w:p>
                <w:p w:rsidR="003121F3" w:rsidRPr="00155678" w:rsidRDefault="003121F3" w:rsidP="00865AB7">
                  <w:pPr>
                    <w:autoSpaceDE w:val="0"/>
                    <w:autoSpaceDN w:val="0"/>
                    <w:adjustRightInd w:val="0"/>
                    <w:rPr>
                      <w:b/>
                      <w:sz w:val="20"/>
                      <w:szCs w:val="20"/>
                      <w:lang w:val="en-AU" w:eastAsia="en-AU"/>
                    </w:rPr>
                  </w:pPr>
                  <w:r w:rsidRPr="00155678">
                    <w:rPr>
                      <w:b/>
                      <w:sz w:val="20"/>
                      <w:szCs w:val="20"/>
                      <w:lang w:val="en-AU" w:eastAsia="en-AU"/>
                    </w:rPr>
                    <w:t>conditions</w:t>
                  </w:r>
                </w:p>
                <w:p w:rsidR="003121F3" w:rsidRPr="00155678" w:rsidRDefault="003121F3">
                  <w:pPr>
                    <w:rPr>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97"/>
                    <w:rPr>
                      <w:rFonts w:cs="Arial"/>
                      <w:bCs/>
                      <w:kern w:val="32"/>
                      <w:sz w:val="20"/>
                      <w:szCs w:val="20"/>
                      <w:lang w:val="en-GB"/>
                    </w:rPr>
                  </w:pPr>
                  <w:r>
                    <w:rPr>
                      <w:rFonts w:cs="Arial"/>
                      <w:bCs/>
                      <w:kern w:val="32"/>
                      <w:sz w:val="20"/>
                      <w:szCs w:val="20"/>
                      <w:lang w:val="en-GB"/>
                    </w:rPr>
                    <w:t>Injection site reactions</w:t>
                  </w: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0.8%</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1.4%</w:t>
                  </w:r>
                </w:p>
              </w:tc>
            </w:tr>
            <w:tr w:rsidR="003121F3" w:rsidTr="00EC3745">
              <w:tc>
                <w:tcPr>
                  <w:tcW w:w="2299" w:type="dxa"/>
                  <w:vMerge/>
                  <w:tcBorders>
                    <w:left w:val="single" w:sz="12" w:space="0" w:color="auto"/>
                    <w:right w:val="single" w:sz="4" w:space="0" w:color="auto"/>
                  </w:tcBorders>
                  <w:vAlign w:val="center"/>
                </w:tcPr>
                <w:p w:rsidR="003121F3" w:rsidRPr="00155678" w:rsidRDefault="003121F3" w:rsidP="00EC3745">
                  <w:pPr>
                    <w:ind w:left="72"/>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97"/>
                    <w:rPr>
                      <w:rFonts w:cs="Arial"/>
                      <w:bCs/>
                      <w:kern w:val="32"/>
                      <w:sz w:val="20"/>
                      <w:szCs w:val="20"/>
                      <w:lang w:val="en-GB"/>
                    </w:rPr>
                  </w:pPr>
                  <w:r>
                    <w:rPr>
                      <w:rFonts w:cs="Arial"/>
                      <w:bCs/>
                      <w:kern w:val="32"/>
                      <w:sz w:val="20"/>
                      <w:szCs w:val="20"/>
                      <w:lang w:val="en-GB"/>
                    </w:rPr>
                    <w:t>Pyrexia</w:t>
                  </w: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1.1%</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2.2%</w:t>
                  </w:r>
                </w:p>
              </w:tc>
            </w:tr>
            <w:tr w:rsidR="003121F3" w:rsidTr="00BE4091">
              <w:trPr>
                <w:trHeight w:val="188"/>
              </w:trPr>
              <w:tc>
                <w:tcPr>
                  <w:tcW w:w="2299" w:type="dxa"/>
                  <w:vMerge/>
                  <w:tcBorders>
                    <w:left w:val="single" w:sz="12" w:space="0" w:color="auto"/>
                    <w:right w:val="single" w:sz="4" w:space="0" w:color="auto"/>
                  </w:tcBorders>
                  <w:hideMark/>
                </w:tcPr>
                <w:p w:rsidR="003121F3" w:rsidRPr="00BE4091" w:rsidRDefault="003121F3">
                  <w:pPr>
                    <w:ind w:left="72"/>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97"/>
                    <w:rPr>
                      <w:rFonts w:cs="Arial"/>
                      <w:bCs/>
                      <w:kern w:val="32"/>
                      <w:sz w:val="20"/>
                      <w:szCs w:val="20"/>
                      <w:lang w:val="en-GB"/>
                    </w:rPr>
                  </w:pPr>
                  <w:r>
                    <w:rPr>
                      <w:rFonts w:cs="Arial"/>
                      <w:bCs/>
                      <w:kern w:val="32"/>
                      <w:sz w:val="20"/>
                      <w:szCs w:val="20"/>
                      <w:lang w:val="en-GB"/>
                    </w:rPr>
                    <w:t>Injection site erythema</w:t>
                  </w: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0.7%</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1.2%</w:t>
                  </w:r>
                </w:p>
              </w:tc>
            </w:tr>
            <w:tr w:rsidR="003121F3" w:rsidTr="00BE4091">
              <w:trPr>
                <w:trHeight w:val="188"/>
              </w:trPr>
              <w:tc>
                <w:tcPr>
                  <w:tcW w:w="2299" w:type="dxa"/>
                  <w:vMerge w:val="restart"/>
                  <w:tcBorders>
                    <w:top w:val="single" w:sz="4" w:space="0" w:color="auto"/>
                    <w:left w:val="single" w:sz="12" w:space="0" w:color="auto"/>
                    <w:right w:val="single" w:sz="4" w:space="0" w:color="auto"/>
                  </w:tcBorders>
                  <w:hideMark/>
                </w:tcPr>
                <w:p w:rsidR="003121F3" w:rsidRPr="00155678" w:rsidRDefault="003121F3" w:rsidP="00801376">
                  <w:pPr>
                    <w:keepNext/>
                    <w:keepLines/>
                    <w:rPr>
                      <w:b/>
                      <w:bCs/>
                      <w:kern w:val="32"/>
                      <w:sz w:val="20"/>
                      <w:szCs w:val="20"/>
                      <w:lang w:val="en-GB"/>
                    </w:rPr>
                  </w:pPr>
                  <w:r>
                    <w:rPr>
                      <w:b/>
                      <w:bCs/>
                      <w:kern w:val="32"/>
                      <w:sz w:val="20"/>
                      <w:szCs w:val="20"/>
                      <w:lang w:val="en-GB"/>
                    </w:rPr>
                    <w:t>Skin and subcutaneous tissue disorders</w:t>
                  </w:r>
                </w:p>
              </w:tc>
              <w:tc>
                <w:tcPr>
                  <w:tcW w:w="3219" w:type="dxa"/>
                  <w:tcBorders>
                    <w:top w:val="single" w:sz="4" w:space="0" w:color="auto"/>
                    <w:left w:val="single" w:sz="12" w:space="0" w:color="auto"/>
                    <w:bottom w:val="single" w:sz="4" w:space="0" w:color="auto"/>
                    <w:right w:val="single" w:sz="4" w:space="0" w:color="auto"/>
                  </w:tcBorders>
                </w:tcPr>
                <w:p w:rsidR="003121F3" w:rsidRDefault="003121F3" w:rsidP="00BF439A">
                  <w:pPr>
                    <w:keepNext/>
                    <w:keepLines/>
                    <w:ind w:left="97"/>
                    <w:rPr>
                      <w:rFonts w:cs="Arial"/>
                      <w:bCs/>
                      <w:strike/>
                      <w:kern w:val="32"/>
                      <w:sz w:val="20"/>
                      <w:szCs w:val="20"/>
                      <w:lang w:val="en-GB"/>
                    </w:rPr>
                  </w:pPr>
                  <w:r>
                    <w:rPr>
                      <w:rFonts w:cs="Arial"/>
                      <w:bCs/>
                      <w:kern w:val="32"/>
                      <w:sz w:val="20"/>
                      <w:szCs w:val="20"/>
                      <w:lang w:val="en-GB"/>
                    </w:rPr>
                    <w:t>Pruritus</w:t>
                  </w: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keepNext/>
                    <w:keepLines/>
                    <w:jc w:val="center"/>
                    <w:rPr>
                      <w:strike/>
                      <w:sz w:val="20"/>
                      <w:szCs w:val="20"/>
                      <w:lang w:val="en-GB"/>
                    </w:rPr>
                  </w:pPr>
                  <w:r>
                    <w:rPr>
                      <w:sz w:val="20"/>
                      <w:szCs w:val="20"/>
                      <w:lang w:val="en-GB"/>
                    </w:rPr>
                    <w:t>0.6%</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keepNext/>
                    <w:keepLines/>
                    <w:jc w:val="center"/>
                    <w:rPr>
                      <w:strike/>
                      <w:sz w:val="20"/>
                      <w:szCs w:val="20"/>
                      <w:lang w:val="en-GB"/>
                    </w:rPr>
                  </w:pPr>
                  <w:r>
                    <w:rPr>
                      <w:sz w:val="20"/>
                      <w:szCs w:val="20"/>
                      <w:lang w:val="en-GB"/>
                    </w:rPr>
                    <w:t>1.6%</w:t>
                  </w:r>
                </w:p>
              </w:tc>
            </w:tr>
            <w:tr w:rsidR="003121F3" w:rsidTr="004017D2">
              <w:trPr>
                <w:trHeight w:hRule="exact" w:val="284"/>
              </w:trPr>
              <w:tc>
                <w:tcPr>
                  <w:tcW w:w="2299" w:type="dxa"/>
                  <w:vMerge/>
                  <w:tcBorders>
                    <w:left w:val="single" w:sz="12" w:space="0" w:color="auto"/>
                    <w:right w:val="single" w:sz="4" w:space="0" w:color="auto"/>
                  </w:tcBorders>
                  <w:vAlign w:val="center"/>
                  <w:hideMark/>
                </w:tcPr>
                <w:p w:rsidR="003121F3" w:rsidRPr="00BE4091" w:rsidRDefault="003121F3">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keepNext/>
                    <w:keepLines/>
                    <w:ind w:left="97"/>
                    <w:rPr>
                      <w:rFonts w:cs="Arial"/>
                      <w:bCs/>
                      <w:kern w:val="32"/>
                      <w:sz w:val="20"/>
                      <w:szCs w:val="20"/>
                      <w:lang w:val="en-GB"/>
                    </w:rPr>
                  </w:pPr>
                  <w:r>
                    <w:rPr>
                      <w:rFonts w:cs="Arial"/>
                      <w:bCs/>
                      <w:kern w:val="32"/>
                      <w:sz w:val="20"/>
                      <w:szCs w:val="20"/>
                      <w:lang w:val="en-GB"/>
                    </w:rPr>
                    <w:t>Rash</w:t>
                  </w: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keepNext/>
                    <w:keepLines/>
                    <w:jc w:val="center"/>
                    <w:rPr>
                      <w:sz w:val="20"/>
                      <w:szCs w:val="20"/>
                      <w:lang w:val="en-GB"/>
                    </w:rPr>
                  </w:pPr>
                  <w:r>
                    <w:rPr>
                      <w:sz w:val="20"/>
                      <w:szCs w:val="20"/>
                      <w:lang w:val="en-GB"/>
                    </w:rPr>
                    <w:t>1.1%</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keepNext/>
                    <w:keepLines/>
                    <w:jc w:val="center"/>
                    <w:rPr>
                      <w:sz w:val="20"/>
                      <w:szCs w:val="20"/>
                      <w:lang w:val="en-GB"/>
                    </w:rPr>
                  </w:pPr>
                  <w:r>
                    <w:rPr>
                      <w:sz w:val="20"/>
                      <w:szCs w:val="20"/>
                      <w:lang w:val="en-GB"/>
                    </w:rPr>
                    <w:t>3.5%</w:t>
                  </w:r>
                </w:p>
                <w:p w:rsidR="003121F3" w:rsidRDefault="003121F3">
                  <w:pPr>
                    <w:keepNext/>
                    <w:keepLines/>
                    <w:jc w:val="center"/>
                    <w:rPr>
                      <w:sz w:val="20"/>
                      <w:szCs w:val="20"/>
                      <w:lang w:val="en-GB"/>
                    </w:rPr>
                  </w:pPr>
                </w:p>
              </w:tc>
            </w:tr>
            <w:tr w:rsidR="003121F3" w:rsidTr="00B805A0">
              <w:trPr>
                <w:trHeight w:val="242"/>
              </w:trPr>
              <w:tc>
                <w:tcPr>
                  <w:tcW w:w="2299" w:type="dxa"/>
                  <w:vMerge w:val="restart"/>
                  <w:tcBorders>
                    <w:top w:val="single" w:sz="4" w:space="0" w:color="auto"/>
                    <w:left w:val="single" w:sz="12" w:space="0" w:color="auto"/>
                    <w:right w:val="single" w:sz="4" w:space="0" w:color="auto"/>
                  </w:tcBorders>
                  <w:vAlign w:val="center"/>
                </w:tcPr>
                <w:p w:rsidR="003121F3" w:rsidRPr="00155678" w:rsidRDefault="003121F3">
                  <w:pPr>
                    <w:rPr>
                      <w:b/>
                      <w:bCs/>
                      <w:kern w:val="32"/>
                      <w:sz w:val="20"/>
                      <w:szCs w:val="20"/>
                      <w:lang w:val="en-GB"/>
                    </w:rPr>
                  </w:pPr>
                  <w:r>
                    <w:rPr>
                      <w:b/>
                      <w:bCs/>
                      <w:kern w:val="32"/>
                      <w:sz w:val="20"/>
                      <w:szCs w:val="20"/>
                      <w:lang w:val="en-GB"/>
                    </w:rPr>
                    <w:t>Investigations</w:t>
                  </w: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97"/>
                    <w:rPr>
                      <w:rFonts w:cs="Arial"/>
                      <w:bCs/>
                      <w:kern w:val="32"/>
                      <w:sz w:val="20"/>
                      <w:szCs w:val="20"/>
                      <w:lang w:val="en-GB"/>
                    </w:rPr>
                  </w:pPr>
                  <w:r>
                    <w:rPr>
                      <w:rFonts w:cs="Arial"/>
                      <w:bCs/>
                      <w:kern w:val="32"/>
                      <w:sz w:val="20"/>
                      <w:szCs w:val="20"/>
                      <w:lang w:val="en-GB"/>
                    </w:rPr>
                    <w:t>Aspartate aminotransferase increased</w:t>
                  </w: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1.1%</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1.2%</w:t>
                  </w:r>
                </w:p>
              </w:tc>
            </w:tr>
            <w:tr w:rsidR="003121F3" w:rsidTr="00B805A0">
              <w:trPr>
                <w:trHeight w:val="242"/>
              </w:trPr>
              <w:tc>
                <w:tcPr>
                  <w:tcW w:w="2299" w:type="dxa"/>
                  <w:vMerge/>
                  <w:tcBorders>
                    <w:left w:val="single" w:sz="12" w:space="0" w:color="auto"/>
                    <w:right w:val="single" w:sz="4" w:space="0" w:color="auto"/>
                  </w:tcBorders>
                  <w:vAlign w:val="center"/>
                </w:tcPr>
                <w:p w:rsidR="003121F3" w:rsidRDefault="003121F3">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97"/>
                    <w:rPr>
                      <w:rFonts w:cs="Arial"/>
                      <w:bCs/>
                      <w:kern w:val="32"/>
                      <w:sz w:val="20"/>
                      <w:szCs w:val="20"/>
                      <w:lang w:val="en-GB"/>
                    </w:rPr>
                  </w:pPr>
                  <w:r>
                    <w:rPr>
                      <w:rFonts w:cs="Arial"/>
                      <w:bCs/>
                      <w:kern w:val="32"/>
                      <w:sz w:val="20"/>
                      <w:szCs w:val="20"/>
                      <w:lang w:val="en-GB"/>
                    </w:rPr>
                    <w:t>Alanine aminotransferase increased</w:t>
                  </w: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1.4%</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1.8%</w:t>
                  </w:r>
                </w:p>
              </w:tc>
            </w:tr>
            <w:tr w:rsidR="003121F3" w:rsidTr="004017D2">
              <w:trPr>
                <w:trHeight w:hRule="exact" w:val="284"/>
              </w:trPr>
              <w:tc>
                <w:tcPr>
                  <w:tcW w:w="2299" w:type="dxa"/>
                  <w:vMerge/>
                  <w:tcBorders>
                    <w:left w:val="single" w:sz="12" w:space="0" w:color="auto"/>
                    <w:bottom w:val="single" w:sz="4" w:space="0" w:color="auto"/>
                    <w:right w:val="single" w:sz="4" w:space="0" w:color="auto"/>
                  </w:tcBorders>
                  <w:vAlign w:val="center"/>
                </w:tcPr>
                <w:p w:rsidR="003121F3" w:rsidRDefault="003121F3">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97"/>
                    <w:rPr>
                      <w:rFonts w:cs="Arial"/>
                      <w:bCs/>
                      <w:kern w:val="32"/>
                      <w:sz w:val="20"/>
                      <w:szCs w:val="20"/>
                      <w:lang w:val="en-GB"/>
                    </w:rPr>
                  </w:pPr>
                  <w:r>
                    <w:rPr>
                      <w:rFonts w:cs="Arial"/>
                      <w:bCs/>
                      <w:kern w:val="32"/>
                      <w:sz w:val="20"/>
                      <w:szCs w:val="20"/>
                      <w:lang w:val="en-GB"/>
                    </w:rPr>
                    <w:t>Hepatic enzyme increased</w:t>
                  </w: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0.8%</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1.1%</w:t>
                  </w:r>
                </w:p>
                <w:p w:rsidR="003121F3" w:rsidRDefault="003121F3">
                  <w:pPr>
                    <w:jc w:val="center"/>
                    <w:rPr>
                      <w:sz w:val="20"/>
                      <w:szCs w:val="20"/>
                      <w:lang w:val="en-GB"/>
                    </w:rPr>
                  </w:pPr>
                </w:p>
              </w:tc>
            </w:tr>
            <w:tr w:rsidR="003121F3" w:rsidTr="00EC3745">
              <w:tc>
                <w:tcPr>
                  <w:tcW w:w="2299" w:type="dxa"/>
                  <w:tcBorders>
                    <w:top w:val="single" w:sz="4" w:space="0" w:color="auto"/>
                    <w:left w:val="single" w:sz="12" w:space="0" w:color="auto"/>
                    <w:right w:val="single" w:sz="4" w:space="0" w:color="auto"/>
                  </w:tcBorders>
                  <w:vAlign w:val="center"/>
                  <w:hideMark/>
                </w:tcPr>
                <w:p w:rsidR="003121F3" w:rsidRPr="00155678" w:rsidRDefault="003121F3">
                  <w:pPr>
                    <w:rPr>
                      <w:b/>
                      <w:bCs/>
                      <w:kern w:val="32"/>
                      <w:sz w:val="20"/>
                      <w:szCs w:val="20"/>
                      <w:lang w:val="en-GB"/>
                    </w:rPr>
                  </w:pPr>
                  <w:r w:rsidRPr="00155678">
                    <w:rPr>
                      <w:b/>
                      <w:bCs/>
                      <w:kern w:val="32"/>
                      <w:sz w:val="20"/>
                      <w:szCs w:val="20"/>
                      <w:lang w:val="en-GB"/>
                    </w:rPr>
                    <w:t>Respiratory</w:t>
                  </w:r>
                  <w:r>
                    <w:rPr>
                      <w:b/>
                      <w:bCs/>
                      <w:kern w:val="32"/>
                      <w:sz w:val="20"/>
                      <w:szCs w:val="20"/>
                      <w:lang w:val="en-GB"/>
                    </w:rPr>
                    <w:t>, thoracic and mediastinal disorders</w:t>
                  </w:r>
                </w:p>
              </w:tc>
              <w:tc>
                <w:tcPr>
                  <w:tcW w:w="3219" w:type="dxa"/>
                  <w:tcBorders>
                    <w:top w:val="single" w:sz="4" w:space="0" w:color="auto"/>
                    <w:left w:val="single" w:sz="12" w:space="0" w:color="auto"/>
                    <w:bottom w:val="single" w:sz="4" w:space="0" w:color="auto"/>
                    <w:right w:val="single" w:sz="4" w:space="0" w:color="auto"/>
                  </w:tcBorders>
                  <w:hideMark/>
                </w:tcPr>
                <w:p w:rsidR="003121F3" w:rsidRDefault="003121F3">
                  <w:pPr>
                    <w:ind w:left="97"/>
                    <w:rPr>
                      <w:rFonts w:cs="Arial"/>
                      <w:bCs/>
                      <w:kern w:val="32"/>
                      <w:sz w:val="20"/>
                      <w:szCs w:val="20"/>
                      <w:lang w:val="en-GB"/>
                    </w:rPr>
                  </w:pPr>
                  <w:r>
                    <w:rPr>
                      <w:rFonts w:cs="Arial"/>
                      <w:bCs/>
                      <w:kern w:val="32"/>
                      <w:sz w:val="20"/>
                      <w:szCs w:val="20"/>
                      <w:lang w:val="en-GB"/>
                    </w:rPr>
                    <w:t>Cough</w:t>
                  </w:r>
                </w:p>
              </w:tc>
              <w:tc>
                <w:tcPr>
                  <w:tcW w:w="1688" w:type="dxa"/>
                  <w:tcBorders>
                    <w:top w:val="single" w:sz="4" w:space="0" w:color="auto"/>
                    <w:left w:val="single" w:sz="4" w:space="0" w:color="auto"/>
                    <w:bottom w:val="single" w:sz="4" w:space="0" w:color="auto"/>
                    <w:right w:val="single" w:sz="4" w:space="0" w:color="auto"/>
                  </w:tcBorders>
                  <w:hideMark/>
                </w:tcPr>
                <w:p w:rsidR="003121F3" w:rsidRDefault="003121F3">
                  <w:pPr>
                    <w:jc w:val="center"/>
                    <w:rPr>
                      <w:sz w:val="20"/>
                      <w:szCs w:val="20"/>
                      <w:lang w:val="en-GB"/>
                    </w:rPr>
                  </w:pPr>
                  <w:r>
                    <w:rPr>
                      <w:sz w:val="20"/>
                      <w:szCs w:val="20"/>
                      <w:lang w:val="en-GB"/>
                    </w:rPr>
                    <w:t>2.6%</w:t>
                  </w:r>
                </w:p>
              </w:tc>
              <w:tc>
                <w:tcPr>
                  <w:tcW w:w="1689" w:type="dxa"/>
                  <w:tcBorders>
                    <w:top w:val="single" w:sz="4" w:space="0" w:color="auto"/>
                    <w:left w:val="single" w:sz="4" w:space="0" w:color="auto"/>
                    <w:bottom w:val="single" w:sz="4" w:space="0" w:color="auto"/>
                    <w:right w:val="single" w:sz="12" w:space="0" w:color="auto"/>
                  </w:tcBorders>
                  <w:hideMark/>
                </w:tcPr>
                <w:p w:rsidR="003121F3" w:rsidRDefault="003121F3">
                  <w:pPr>
                    <w:jc w:val="center"/>
                    <w:rPr>
                      <w:sz w:val="20"/>
                      <w:szCs w:val="20"/>
                      <w:lang w:val="en-GB"/>
                    </w:rPr>
                  </w:pPr>
                  <w:r>
                    <w:rPr>
                      <w:sz w:val="20"/>
                      <w:szCs w:val="20"/>
                      <w:lang w:val="en-GB"/>
                    </w:rPr>
                    <w:t>2.7%</w:t>
                  </w:r>
                </w:p>
              </w:tc>
            </w:tr>
            <w:tr w:rsidR="003121F3" w:rsidTr="00EC3745">
              <w:tc>
                <w:tcPr>
                  <w:tcW w:w="2299" w:type="dxa"/>
                  <w:tcBorders>
                    <w:top w:val="single" w:sz="4" w:space="0" w:color="auto"/>
                    <w:left w:val="single" w:sz="12" w:space="0" w:color="auto"/>
                    <w:right w:val="single" w:sz="4" w:space="0" w:color="auto"/>
                  </w:tcBorders>
                </w:tcPr>
                <w:p w:rsidR="003121F3" w:rsidRPr="00155678" w:rsidRDefault="003121F3" w:rsidP="0010212D">
                  <w:pPr>
                    <w:autoSpaceDE w:val="0"/>
                    <w:autoSpaceDN w:val="0"/>
                    <w:adjustRightInd w:val="0"/>
                    <w:rPr>
                      <w:b/>
                      <w:sz w:val="20"/>
                      <w:szCs w:val="20"/>
                      <w:lang w:val="en-AU" w:eastAsia="en-AU"/>
                    </w:rPr>
                  </w:pPr>
                  <w:r w:rsidRPr="00155678">
                    <w:rPr>
                      <w:b/>
                      <w:sz w:val="20"/>
                      <w:szCs w:val="20"/>
                      <w:lang w:val="en-AU" w:eastAsia="en-AU"/>
                    </w:rPr>
                    <w:t>Injury, poisoning and</w:t>
                  </w:r>
                </w:p>
                <w:p w:rsidR="003121F3" w:rsidRPr="00155678" w:rsidRDefault="003121F3" w:rsidP="00801376">
                  <w:pPr>
                    <w:rPr>
                      <w:b/>
                      <w:bCs/>
                      <w:kern w:val="32"/>
                      <w:sz w:val="20"/>
                      <w:szCs w:val="20"/>
                      <w:lang w:val="en-GB"/>
                    </w:rPr>
                  </w:pPr>
                  <w:r w:rsidRPr="00155678">
                    <w:rPr>
                      <w:b/>
                      <w:sz w:val="20"/>
                      <w:szCs w:val="20"/>
                      <w:lang w:val="en-AU" w:eastAsia="en-AU"/>
                    </w:rPr>
                    <w:t>procedural complications</w:t>
                  </w: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97"/>
                    <w:rPr>
                      <w:rFonts w:cs="Arial"/>
                      <w:bCs/>
                      <w:kern w:val="32"/>
                      <w:sz w:val="20"/>
                      <w:szCs w:val="20"/>
                      <w:lang w:val="en-GB"/>
                    </w:rPr>
                  </w:pPr>
                  <w:r>
                    <w:rPr>
                      <w:rFonts w:cs="Arial"/>
                      <w:bCs/>
                      <w:kern w:val="32"/>
                      <w:sz w:val="20"/>
                      <w:szCs w:val="20"/>
                      <w:lang w:val="en-GB"/>
                    </w:rPr>
                    <w:t>Contusion</w:t>
                  </w: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0.5%</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1.1%</w:t>
                  </w:r>
                </w:p>
              </w:tc>
            </w:tr>
            <w:tr w:rsidR="003121F3" w:rsidTr="007128AC">
              <w:tc>
                <w:tcPr>
                  <w:tcW w:w="2299" w:type="dxa"/>
                  <w:tcBorders>
                    <w:left w:val="single" w:sz="12" w:space="0" w:color="auto"/>
                    <w:right w:val="single" w:sz="4" w:space="0" w:color="auto"/>
                  </w:tcBorders>
                </w:tcPr>
                <w:p w:rsidR="003121F3" w:rsidRPr="007128AC" w:rsidRDefault="003121F3" w:rsidP="0010212D">
                  <w:pPr>
                    <w:autoSpaceDE w:val="0"/>
                    <w:autoSpaceDN w:val="0"/>
                    <w:adjustRightInd w:val="0"/>
                    <w:rPr>
                      <w:b/>
                      <w:sz w:val="20"/>
                      <w:szCs w:val="20"/>
                      <w:lang w:val="en-AU" w:eastAsia="en-AU"/>
                    </w:rPr>
                  </w:pPr>
                  <w:r w:rsidRPr="007128AC">
                    <w:rPr>
                      <w:b/>
                      <w:sz w:val="20"/>
                      <w:szCs w:val="20"/>
                      <w:lang w:val="en-AU" w:eastAsia="en-AU"/>
                    </w:rPr>
                    <w:lastRenderedPageBreak/>
                    <w:t>Vascular disorders</w:t>
                  </w: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97"/>
                    <w:rPr>
                      <w:rFonts w:cs="Arial"/>
                      <w:bCs/>
                      <w:kern w:val="32"/>
                      <w:sz w:val="20"/>
                      <w:szCs w:val="20"/>
                      <w:lang w:val="en-GB"/>
                    </w:rPr>
                  </w:pPr>
                  <w:r>
                    <w:rPr>
                      <w:rFonts w:cs="Arial"/>
                      <w:bCs/>
                      <w:kern w:val="32"/>
                      <w:sz w:val="20"/>
                      <w:szCs w:val="20"/>
                      <w:lang w:val="en-GB"/>
                    </w:rPr>
                    <w:t>Hypertension</w:t>
                  </w:r>
                </w:p>
                <w:p w:rsidR="003121F3" w:rsidRDefault="003121F3">
                  <w:pPr>
                    <w:ind w:left="97"/>
                    <w:rPr>
                      <w:rFonts w:cs="Arial"/>
                      <w:bCs/>
                      <w:kern w:val="32"/>
                      <w:sz w:val="20"/>
                      <w:szCs w:val="20"/>
                      <w:lang w:val="en-GB"/>
                    </w:rPr>
                  </w:pP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1.4%</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3.9%</w:t>
                  </w:r>
                </w:p>
              </w:tc>
            </w:tr>
            <w:tr w:rsidR="003121F3" w:rsidTr="007128AC">
              <w:tc>
                <w:tcPr>
                  <w:tcW w:w="2299" w:type="dxa"/>
                  <w:tcBorders>
                    <w:left w:val="single" w:sz="12" w:space="0" w:color="auto"/>
                    <w:right w:val="single" w:sz="4" w:space="0" w:color="auto"/>
                  </w:tcBorders>
                </w:tcPr>
                <w:p w:rsidR="003121F3" w:rsidRPr="007128AC" w:rsidRDefault="003121F3" w:rsidP="0010212D">
                  <w:pPr>
                    <w:autoSpaceDE w:val="0"/>
                    <w:autoSpaceDN w:val="0"/>
                    <w:adjustRightInd w:val="0"/>
                    <w:rPr>
                      <w:b/>
                      <w:sz w:val="20"/>
                      <w:szCs w:val="20"/>
                      <w:lang w:val="en-AU" w:eastAsia="en-AU"/>
                    </w:rPr>
                  </w:pPr>
                  <w:r w:rsidRPr="007128AC">
                    <w:rPr>
                      <w:b/>
                      <w:sz w:val="20"/>
                      <w:szCs w:val="20"/>
                      <w:lang w:val="en-AU" w:eastAsia="en-AU"/>
                    </w:rPr>
                    <w:t>Blood and Lymphatic system disorders</w:t>
                  </w:r>
                </w:p>
              </w:tc>
              <w:tc>
                <w:tcPr>
                  <w:tcW w:w="3219" w:type="dxa"/>
                  <w:tcBorders>
                    <w:top w:val="single" w:sz="4" w:space="0" w:color="auto"/>
                    <w:left w:val="single" w:sz="12" w:space="0" w:color="auto"/>
                    <w:bottom w:val="single" w:sz="4" w:space="0" w:color="auto"/>
                    <w:right w:val="single" w:sz="4" w:space="0" w:color="auto"/>
                  </w:tcBorders>
                </w:tcPr>
                <w:p w:rsidR="003121F3" w:rsidRDefault="003121F3">
                  <w:pPr>
                    <w:ind w:left="97"/>
                    <w:rPr>
                      <w:rFonts w:cs="Arial"/>
                      <w:bCs/>
                      <w:kern w:val="32"/>
                      <w:sz w:val="20"/>
                      <w:szCs w:val="20"/>
                      <w:lang w:val="en-GB"/>
                    </w:rPr>
                  </w:pPr>
                  <w:r>
                    <w:rPr>
                      <w:rFonts w:cs="Arial"/>
                      <w:bCs/>
                      <w:kern w:val="32"/>
                      <w:sz w:val="20"/>
                      <w:szCs w:val="20"/>
                      <w:lang w:val="en-GB"/>
                    </w:rPr>
                    <w:t>Eosinophilia</w:t>
                  </w:r>
                </w:p>
                <w:p w:rsidR="003121F3" w:rsidRDefault="003121F3">
                  <w:pPr>
                    <w:ind w:left="97"/>
                    <w:rPr>
                      <w:rFonts w:cs="Arial"/>
                      <w:bCs/>
                      <w:kern w:val="32"/>
                      <w:sz w:val="20"/>
                      <w:szCs w:val="20"/>
                      <w:lang w:val="en-GB"/>
                    </w:rPr>
                  </w:pPr>
                </w:p>
                <w:p w:rsidR="003121F3" w:rsidRDefault="003121F3">
                  <w:pPr>
                    <w:ind w:left="97"/>
                    <w:rPr>
                      <w:rFonts w:cs="Arial"/>
                      <w:bCs/>
                      <w:kern w:val="32"/>
                      <w:sz w:val="20"/>
                      <w:szCs w:val="20"/>
                      <w:lang w:val="en-GB"/>
                    </w:rPr>
                  </w:pPr>
                </w:p>
              </w:tc>
              <w:tc>
                <w:tcPr>
                  <w:tcW w:w="1688" w:type="dxa"/>
                  <w:tcBorders>
                    <w:top w:val="single" w:sz="4" w:space="0" w:color="auto"/>
                    <w:left w:val="single" w:sz="4" w:space="0" w:color="auto"/>
                    <w:bottom w:val="single" w:sz="4" w:space="0" w:color="auto"/>
                    <w:right w:val="single" w:sz="4" w:space="0" w:color="auto"/>
                  </w:tcBorders>
                </w:tcPr>
                <w:p w:rsidR="003121F3" w:rsidRDefault="003121F3">
                  <w:pPr>
                    <w:jc w:val="center"/>
                    <w:rPr>
                      <w:sz w:val="20"/>
                      <w:szCs w:val="20"/>
                      <w:lang w:val="en-GB"/>
                    </w:rPr>
                  </w:pPr>
                  <w:r>
                    <w:rPr>
                      <w:sz w:val="20"/>
                      <w:szCs w:val="20"/>
                      <w:lang w:val="en-GB"/>
                    </w:rPr>
                    <w:t>0.4%</w:t>
                  </w:r>
                </w:p>
              </w:tc>
              <w:tc>
                <w:tcPr>
                  <w:tcW w:w="1689" w:type="dxa"/>
                  <w:tcBorders>
                    <w:top w:val="single" w:sz="4" w:space="0" w:color="auto"/>
                    <w:left w:val="single" w:sz="4" w:space="0" w:color="auto"/>
                    <w:bottom w:val="single" w:sz="4" w:space="0" w:color="auto"/>
                    <w:right w:val="single" w:sz="12" w:space="0" w:color="auto"/>
                  </w:tcBorders>
                </w:tcPr>
                <w:p w:rsidR="003121F3" w:rsidRDefault="003121F3">
                  <w:pPr>
                    <w:jc w:val="center"/>
                    <w:rPr>
                      <w:sz w:val="20"/>
                      <w:szCs w:val="20"/>
                      <w:lang w:val="en-GB"/>
                    </w:rPr>
                  </w:pPr>
                  <w:r>
                    <w:rPr>
                      <w:sz w:val="20"/>
                      <w:szCs w:val="20"/>
                      <w:lang w:val="en-GB"/>
                    </w:rPr>
                    <w:t>1.0%</w:t>
                  </w:r>
                </w:p>
              </w:tc>
            </w:tr>
            <w:tr w:rsidR="003121F3" w:rsidTr="00EC3745">
              <w:tc>
                <w:tcPr>
                  <w:tcW w:w="2299" w:type="dxa"/>
                  <w:tcBorders>
                    <w:left w:val="single" w:sz="12" w:space="0" w:color="auto"/>
                    <w:bottom w:val="single" w:sz="12" w:space="0" w:color="auto"/>
                    <w:right w:val="single" w:sz="4" w:space="0" w:color="auto"/>
                  </w:tcBorders>
                </w:tcPr>
                <w:p w:rsidR="003121F3" w:rsidRPr="007128AC" w:rsidRDefault="003121F3" w:rsidP="0010212D">
                  <w:pPr>
                    <w:autoSpaceDE w:val="0"/>
                    <w:autoSpaceDN w:val="0"/>
                    <w:adjustRightInd w:val="0"/>
                    <w:rPr>
                      <w:b/>
                      <w:sz w:val="20"/>
                      <w:szCs w:val="20"/>
                      <w:lang w:val="en-AU" w:eastAsia="en-AU"/>
                    </w:rPr>
                  </w:pPr>
                  <w:r w:rsidRPr="007128AC">
                    <w:rPr>
                      <w:b/>
                      <w:sz w:val="20"/>
                      <w:szCs w:val="20"/>
                      <w:lang w:val="en-AU" w:eastAsia="en-AU"/>
                    </w:rPr>
                    <w:t>Renal and urinary disorders</w:t>
                  </w:r>
                </w:p>
              </w:tc>
              <w:tc>
                <w:tcPr>
                  <w:tcW w:w="3219" w:type="dxa"/>
                  <w:tcBorders>
                    <w:top w:val="single" w:sz="4" w:space="0" w:color="auto"/>
                    <w:left w:val="single" w:sz="12" w:space="0" w:color="auto"/>
                    <w:bottom w:val="single" w:sz="12" w:space="0" w:color="auto"/>
                    <w:right w:val="single" w:sz="4" w:space="0" w:color="auto"/>
                  </w:tcBorders>
                </w:tcPr>
                <w:p w:rsidR="003121F3" w:rsidRDefault="003121F3">
                  <w:pPr>
                    <w:ind w:left="97"/>
                    <w:rPr>
                      <w:rFonts w:cs="Arial"/>
                      <w:bCs/>
                      <w:kern w:val="32"/>
                      <w:sz w:val="20"/>
                      <w:szCs w:val="20"/>
                      <w:lang w:val="en-GB"/>
                    </w:rPr>
                  </w:pPr>
                  <w:r>
                    <w:rPr>
                      <w:rFonts w:cs="Arial"/>
                      <w:bCs/>
                      <w:kern w:val="32"/>
                      <w:sz w:val="20"/>
                      <w:szCs w:val="20"/>
                      <w:lang w:val="en-GB"/>
                    </w:rPr>
                    <w:t>Haematuria</w:t>
                  </w:r>
                </w:p>
              </w:tc>
              <w:tc>
                <w:tcPr>
                  <w:tcW w:w="1688" w:type="dxa"/>
                  <w:tcBorders>
                    <w:top w:val="single" w:sz="4" w:space="0" w:color="auto"/>
                    <w:left w:val="single" w:sz="4" w:space="0" w:color="auto"/>
                    <w:bottom w:val="single" w:sz="12" w:space="0" w:color="auto"/>
                    <w:right w:val="single" w:sz="4" w:space="0" w:color="auto"/>
                  </w:tcBorders>
                </w:tcPr>
                <w:p w:rsidR="003121F3" w:rsidRDefault="003121F3">
                  <w:pPr>
                    <w:jc w:val="center"/>
                    <w:rPr>
                      <w:sz w:val="20"/>
                      <w:szCs w:val="20"/>
                      <w:lang w:val="en-GB"/>
                    </w:rPr>
                  </w:pPr>
                  <w:r>
                    <w:rPr>
                      <w:sz w:val="20"/>
                      <w:szCs w:val="20"/>
                      <w:lang w:val="en-GB"/>
                    </w:rPr>
                    <w:t>0.6%</w:t>
                  </w:r>
                </w:p>
              </w:tc>
              <w:tc>
                <w:tcPr>
                  <w:tcW w:w="1689" w:type="dxa"/>
                  <w:tcBorders>
                    <w:top w:val="single" w:sz="4" w:space="0" w:color="auto"/>
                    <w:left w:val="single" w:sz="4" w:space="0" w:color="auto"/>
                    <w:bottom w:val="single" w:sz="12" w:space="0" w:color="auto"/>
                    <w:right w:val="single" w:sz="12" w:space="0" w:color="auto"/>
                  </w:tcBorders>
                </w:tcPr>
                <w:p w:rsidR="003121F3" w:rsidRDefault="003121F3">
                  <w:pPr>
                    <w:jc w:val="center"/>
                    <w:rPr>
                      <w:sz w:val="20"/>
                      <w:szCs w:val="20"/>
                      <w:lang w:val="en-GB"/>
                    </w:rPr>
                  </w:pPr>
                  <w:r>
                    <w:rPr>
                      <w:sz w:val="20"/>
                      <w:szCs w:val="20"/>
                      <w:lang w:val="en-GB"/>
                    </w:rPr>
                    <w:t>1.0%</w:t>
                  </w:r>
                </w:p>
              </w:tc>
            </w:tr>
          </w:tbl>
          <w:p w:rsidR="006C76FA" w:rsidRDefault="006C76FA" w:rsidP="00D103F3">
            <w:pPr>
              <w:pStyle w:val="Paragraph"/>
              <w:rPr>
                <w:lang w:val="en-GB"/>
              </w:rPr>
            </w:pPr>
          </w:p>
          <w:p w:rsidR="00157D2A" w:rsidRDefault="00CC3C79" w:rsidP="00267168">
            <w:pPr>
              <w:rPr>
                <w:rFonts w:eastAsia="MS Mincho"/>
                <w:b/>
                <w:sz w:val="22"/>
                <w:szCs w:val="22"/>
                <w:lang w:val="en-GB"/>
              </w:rPr>
            </w:pPr>
            <w:r>
              <w:rPr>
                <w:rFonts w:eastAsia="MS Mincho"/>
                <w:b/>
                <w:sz w:val="22"/>
                <w:szCs w:val="22"/>
                <w:lang w:val="en-GB"/>
              </w:rPr>
              <w:t>Table 13</w:t>
            </w:r>
            <w:r w:rsidR="00157D2A">
              <w:rPr>
                <w:rFonts w:eastAsia="MS Mincho"/>
                <w:b/>
                <w:sz w:val="22"/>
                <w:szCs w:val="22"/>
                <w:lang w:val="en-GB"/>
              </w:rPr>
              <w:t>:  Summary of</w:t>
            </w:r>
            <w:r w:rsidR="00157D2A">
              <w:rPr>
                <w:rFonts w:eastAsia="MS Mincho"/>
                <w:b/>
                <w:color w:val="FF0000"/>
                <w:sz w:val="22"/>
                <w:szCs w:val="22"/>
                <w:lang w:val="en-GB"/>
              </w:rPr>
              <w:t xml:space="preserve"> </w:t>
            </w:r>
            <w:r w:rsidR="00157D2A">
              <w:rPr>
                <w:rFonts w:eastAsia="MS Mincho"/>
                <w:b/>
                <w:sz w:val="22"/>
                <w:szCs w:val="22"/>
                <w:lang w:val="en-GB"/>
              </w:rPr>
              <w:t>Adverse Events Regardless of Causality</w:t>
            </w:r>
            <w:r w:rsidR="00157D2A">
              <w:rPr>
                <w:rFonts w:eastAsia="MS Mincho"/>
                <w:b/>
                <w:color w:val="FF0000"/>
                <w:sz w:val="22"/>
                <w:szCs w:val="22"/>
                <w:lang w:val="en-GB"/>
              </w:rPr>
              <w:t xml:space="preserve"> </w:t>
            </w:r>
            <w:r w:rsidR="00157D2A">
              <w:rPr>
                <w:rFonts w:eastAsia="MS Mincho"/>
                <w:b/>
                <w:sz w:val="22"/>
                <w:szCs w:val="22"/>
                <w:lang w:val="en-GB"/>
              </w:rPr>
              <w:t>for event incidence ≥ 1% in the CZP group</w:t>
            </w:r>
            <w:r w:rsidR="00157D2A">
              <w:rPr>
                <w:lang w:val="en-GB"/>
              </w:rPr>
              <w:t xml:space="preserve"> </w:t>
            </w:r>
            <w:r w:rsidR="00157D2A">
              <w:rPr>
                <w:rFonts w:eastAsia="MS Mincho"/>
                <w:b/>
                <w:sz w:val="22"/>
                <w:szCs w:val="22"/>
                <w:lang w:val="en-GB"/>
              </w:rPr>
              <w:t>and exceeding that of the placebo group reported during C-EARLY clinical trial (</w:t>
            </w:r>
            <w:r w:rsidR="00157D2A" w:rsidRPr="00157D2A">
              <w:rPr>
                <w:rFonts w:eastAsia="MS Mincho"/>
                <w:b/>
                <w:sz w:val="22"/>
                <w:szCs w:val="22"/>
                <w:lang w:val="en-GB"/>
              </w:rPr>
              <w:t>DMARD naïve patients with rheumatoid arthritis in a placebo</w:t>
            </w:r>
            <w:r w:rsidR="005A37DC">
              <w:rPr>
                <w:rFonts w:eastAsia="MS Mincho"/>
                <w:b/>
                <w:sz w:val="22"/>
                <w:szCs w:val="22"/>
                <w:lang w:val="en-GB"/>
              </w:rPr>
              <w:t>-</w:t>
            </w:r>
            <w:r w:rsidR="00157D2A">
              <w:rPr>
                <w:rFonts w:eastAsia="MS Mincho"/>
                <w:b/>
                <w:sz w:val="22"/>
                <w:szCs w:val="22"/>
                <w:lang w:val="en-GB"/>
              </w:rPr>
              <w:t>controlled clinical trial)</w:t>
            </w:r>
            <w:r w:rsidR="00192932">
              <w:rPr>
                <w:rFonts w:eastAsia="MS Mincho"/>
                <w:b/>
                <w:sz w:val="22"/>
                <w:szCs w:val="22"/>
                <w:lang w:val="en-GB"/>
              </w:rPr>
              <w:t>.</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3219"/>
              <w:gridCol w:w="1688"/>
              <w:gridCol w:w="1689"/>
            </w:tblGrid>
            <w:tr w:rsidR="00D54965" w:rsidTr="0011167D">
              <w:trPr>
                <w:tblHeader/>
              </w:trPr>
              <w:tc>
                <w:tcPr>
                  <w:tcW w:w="2299" w:type="dxa"/>
                  <w:tcBorders>
                    <w:top w:val="single" w:sz="12" w:space="0" w:color="auto"/>
                    <w:left w:val="single" w:sz="12" w:space="0" w:color="auto"/>
                    <w:bottom w:val="single" w:sz="12" w:space="0" w:color="auto"/>
                    <w:right w:val="single" w:sz="4" w:space="0" w:color="auto"/>
                  </w:tcBorders>
                  <w:hideMark/>
                </w:tcPr>
                <w:p w:rsidR="00D54965" w:rsidRDefault="00D54965">
                  <w:pPr>
                    <w:rPr>
                      <w:rFonts w:cs="Arial"/>
                      <w:b/>
                      <w:bCs/>
                      <w:kern w:val="32"/>
                      <w:sz w:val="20"/>
                      <w:szCs w:val="20"/>
                      <w:lang w:val="en-GB"/>
                    </w:rPr>
                  </w:pPr>
                  <w:r>
                    <w:rPr>
                      <w:rFonts w:cs="Arial"/>
                      <w:b/>
                      <w:bCs/>
                      <w:kern w:val="32"/>
                      <w:sz w:val="20"/>
                      <w:szCs w:val="20"/>
                      <w:lang w:val="en-GB"/>
                    </w:rPr>
                    <w:t>System Organ Class</w:t>
                  </w:r>
                </w:p>
              </w:tc>
              <w:tc>
                <w:tcPr>
                  <w:tcW w:w="3219" w:type="dxa"/>
                  <w:tcBorders>
                    <w:top w:val="single" w:sz="12" w:space="0" w:color="auto"/>
                    <w:left w:val="single" w:sz="12" w:space="0" w:color="auto"/>
                    <w:bottom w:val="single" w:sz="12" w:space="0" w:color="auto"/>
                    <w:right w:val="single" w:sz="4" w:space="0" w:color="auto"/>
                  </w:tcBorders>
                  <w:hideMark/>
                </w:tcPr>
                <w:p w:rsidR="00D54965" w:rsidRDefault="00D54965">
                  <w:pPr>
                    <w:ind w:left="12" w:firstLine="120"/>
                    <w:rPr>
                      <w:rFonts w:cs="Arial"/>
                      <w:bCs/>
                      <w:kern w:val="32"/>
                      <w:sz w:val="20"/>
                      <w:szCs w:val="20"/>
                      <w:lang w:val="en-GB"/>
                    </w:rPr>
                  </w:pPr>
                  <w:r>
                    <w:rPr>
                      <w:rFonts w:cs="Arial"/>
                      <w:b/>
                      <w:bCs/>
                      <w:kern w:val="32"/>
                      <w:sz w:val="20"/>
                      <w:szCs w:val="20"/>
                      <w:lang w:val="en-GB"/>
                    </w:rPr>
                    <w:t>Adverse Event</w:t>
                  </w:r>
                </w:p>
              </w:tc>
              <w:tc>
                <w:tcPr>
                  <w:tcW w:w="1688" w:type="dxa"/>
                  <w:tcBorders>
                    <w:top w:val="single" w:sz="12" w:space="0" w:color="auto"/>
                    <w:left w:val="single" w:sz="4" w:space="0" w:color="auto"/>
                    <w:bottom w:val="single" w:sz="12" w:space="0" w:color="auto"/>
                    <w:right w:val="single" w:sz="4" w:space="0" w:color="auto"/>
                  </w:tcBorders>
                  <w:hideMark/>
                </w:tcPr>
                <w:p w:rsidR="00D54965" w:rsidRDefault="00D54965">
                  <w:pPr>
                    <w:jc w:val="center"/>
                    <w:rPr>
                      <w:b/>
                      <w:sz w:val="20"/>
                      <w:szCs w:val="20"/>
                      <w:lang w:val="en-GB"/>
                    </w:rPr>
                  </w:pPr>
                  <w:r>
                    <w:rPr>
                      <w:b/>
                      <w:sz w:val="20"/>
                      <w:szCs w:val="20"/>
                      <w:lang w:val="en-GB"/>
                    </w:rPr>
                    <w:t xml:space="preserve">PBO </w:t>
                  </w:r>
                </w:p>
                <w:p w:rsidR="00D54965" w:rsidRDefault="00D54965">
                  <w:pPr>
                    <w:jc w:val="center"/>
                    <w:rPr>
                      <w:b/>
                      <w:sz w:val="20"/>
                      <w:szCs w:val="20"/>
                      <w:lang w:val="en-GB"/>
                    </w:rPr>
                  </w:pPr>
                  <w:r>
                    <w:rPr>
                      <w:b/>
                      <w:sz w:val="20"/>
                      <w:szCs w:val="20"/>
                      <w:lang w:val="en-GB"/>
                    </w:rPr>
                    <w:t>+ MTX</w:t>
                  </w:r>
                </w:p>
                <w:p w:rsidR="00D54965" w:rsidRDefault="00D54965">
                  <w:pPr>
                    <w:jc w:val="center"/>
                    <w:rPr>
                      <w:b/>
                      <w:sz w:val="20"/>
                      <w:szCs w:val="20"/>
                      <w:lang w:val="en-GB"/>
                    </w:rPr>
                  </w:pPr>
                  <w:r>
                    <w:rPr>
                      <w:b/>
                      <w:sz w:val="20"/>
                      <w:szCs w:val="20"/>
                      <w:lang w:val="en-GB"/>
                    </w:rPr>
                    <w:t>(n=217)</w:t>
                  </w:r>
                </w:p>
                <w:p w:rsidR="00D54965" w:rsidRDefault="00D54965">
                  <w:pPr>
                    <w:jc w:val="center"/>
                    <w:rPr>
                      <w:b/>
                      <w:sz w:val="20"/>
                      <w:szCs w:val="20"/>
                      <w:lang w:val="en-GB"/>
                    </w:rPr>
                  </w:pPr>
                  <w:r>
                    <w:rPr>
                      <w:b/>
                      <w:sz w:val="20"/>
                      <w:szCs w:val="20"/>
                      <w:lang w:val="en-GB"/>
                    </w:rPr>
                    <w:t>(%)</w:t>
                  </w:r>
                </w:p>
              </w:tc>
              <w:tc>
                <w:tcPr>
                  <w:tcW w:w="1689" w:type="dxa"/>
                  <w:tcBorders>
                    <w:top w:val="single" w:sz="12" w:space="0" w:color="auto"/>
                    <w:left w:val="single" w:sz="4" w:space="0" w:color="auto"/>
                    <w:bottom w:val="single" w:sz="12" w:space="0" w:color="auto"/>
                    <w:right w:val="single" w:sz="12" w:space="0" w:color="auto"/>
                  </w:tcBorders>
                  <w:hideMark/>
                </w:tcPr>
                <w:p w:rsidR="00D54965" w:rsidRDefault="00D54965">
                  <w:pPr>
                    <w:jc w:val="center"/>
                    <w:rPr>
                      <w:b/>
                      <w:sz w:val="20"/>
                      <w:szCs w:val="20"/>
                      <w:lang w:val="en-GB"/>
                    </w:rPr>
                  </w:pPr>
                  <w:r>
                    <w:rPr>
                      <w:b/>
                      <w:sz w:val="20"/>
                      <w:szCs w:val="20"/>
                      <w:lang w:val="en-GB"/>
                    </w:rPr>
                    <w:t xml:space="preserve">CZP </w:t>
                  </w:r>
                </w:p>
                <w:p w:rsidR="00D54965" w:rsidRDefault="00D54965">
                  <w:pPr>
                    <w:jc w:val="center"/>
                    <w:rPr>
                      <w:b/>
                      <w:sz w:val="20"/>
                      <w:szCs w:val="20"/>
                      <w:lang w:val="en-GB"/>
                    </w:rPr>
                  </w:pPr>
                  <w:r>
                    <w:rPr>
                      <w:b/>
                      <w:sz w:val="20"/>
                      <w:szCs w:val="20"/>
                      <w:lang w:val="en-GB"/>
                    </w:rPr>
                    <w:t>+ MTX</w:t>
                  </w:r>
                </w:p>
                <w:p w:rsidR="00D54965" w:rsidRDefault="00D54965">
                  <w:pPr>
                    <w:jc w:val="center"/>
                    <w:rPr>
                      <w:b/>
                      <w:sz w:val="20"/>
                      <w:szCs w:val="20"/>
                      <w:lang w:val="en-GB"/>
                    </w:rPr>
                  </w:pPr>
                  <w:r>
                    <w:rPr>
                      <w:b/>
                      <w:sz w:val="20"/>
                      <w:szCs w:val="20"/>
                      <w:lang w:val="en-GB"/>
                    </w:rPr>
                    <w:t>(n=659)</w:t>
                  </w:r>
                </w:p>
                <w:p w:rsidR="00D54965" w:rsidRDefault="00D54965">
                  <w:pPr>
                    <w:jc w:val="center"/>
                    <w:rPr>
                      <w:b/>
                      <w:sz w:val="20"/>
                      <w:szCs w:val="20"/>
                      <w:lang w:val="en-GB"/>
                    </w:rPr>
                  </w:pPr>
                  <w:r>
                    <w:rPr>
                      <w:b/>
                      <w:sz w:val="20"/>
                      <w:szCs w:val="20"/>
                      <w:lang w:val="en-GB"/>
                    </w:rPr>
                    <w:t>(%)</w:t>
                  </w:r>
                </w:p>
              </w:tc>
            </w:tr>
            <w:tr w:rsidR="00D54965" w:rsidTr="0011167D">
              <w:tc>
                <w:tcPr>
                  <w:tcW w:w="2299" w:type="dxa"/>
                  <w:vMerge w:val="restart"/>
                  <w:tcBorders>
                    <w:top w:val="single" w:sz="12"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r>
                    <w:rPr>
                      <w:b/>
                      <w:bCs/>
                      <w:kern w:val="32"/>
                      <w:sz w:val="20"/>
                      <w:szCs w:val="20"/>
                      <w:lang w:val="en-GB"/>
                    </w:rPr>
                    <w:t>Infections and infestations</w:t>
                  </w:r>
                </w:p>
              </w:tc>
              <w:tc>
                <w:tcPr>
                  <w:tcW w:w="3219" w:type="dxa"/>
                  <w:tcBorders>
                    <w:top w:val="single" w:sz="12" w:space="0" w:color="auto"/>
                    <w:left w:val="single" w:sz="12" w:space="0" w:color="auto"/>
                    <w:bottom w:val="single" w:sz="4" w:space="0" w:color="auto"/>
                    <w:right w:val="single" w:sz="4" w:space="0" w:color="auto"/>
                  </w:tcBorders>
                  <w:hideMark/>
                </w:tcPr>
                <w:p w:rsidR="00D54965" w:rsidRDefault="00D54965">
                  <w:pPr>
                    <w:ind w:left="132"/>
                    <w:rPr>
                      <w:rFonts w:cs="Arial"/>
                      <w:bCs/>
                      <w:kern w:val="32"/>
                      <w:sz w:val="20"/>
                      <w:szCs w:val="20"/>
                      <w:lang w:val="en-GB"/>
                    </w:rPr>
                  </w:pPr>
                  <w:r>
                    <w:rPr>
                      <w:rFonts w:cs="Arial"/>
                      <w:bCs/>
                      <w:kern w:val="32"/>
                      <w:sz w:val="20"/>
                      <w:szCs w:val="20"/>
                      <w:lang w:val="en-GB"/>
                    </w:rPr>
                    <w:t xml:space="preserve"> Upper respiratory tract infection</w:t>
                  </w:r>
                </w:p>
              </w:tc>
              <w:tc>
                <w:tcPr>
                  <w:tcW w:w="1688" w:type="dxa"/>
                  <w:tcBorders>
                    <w:top w:val="single" w:sz="12"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5.1%</w:t>
                  </w:r>
                </w:p>
              </w:tc>
              <w:tc>
                <w:tcPr>
                  <w:tcW w:w="1689" w:type="dxa"/>
                  <w:tcBorders>
                    <w:top w:val="single" w:sz="12"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10.9%</w:t>
                  </w:r>
                </w:p>
              </w:tc>
            </w:tr>
            <w:tr w:rsidR="00D54965" w:rsidTr="00D54965">
              <w:tc>
                <w:tcPr>
                  <w:tcW w:w="2299" w:type="dxa"/>
                  <w:vMerge/>
                  <w:tcBorders>
                    <w:top w:val="single" w:sz="12"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132"/>
                    <w:rPr>
                      <w:rFonts w:cs="Arial"/>
                      <w:bCs/>
                      <w:kern w:val="32"/>
                      <w:sz w:val="20"/>
                      <w:szCs w:val="20"/>
                      <w:lang w:val="en-GB"/>
                    </w:rPr>
                  </w:pPr>
                  <w:r>
                    <w:rPr>
                      <w:rFonts w:cs="Arial"/>
                      <w:bCs/>
                      <w:kern w:val="32"/>
                      <w:sz w:val="20"/>
                      <w:szCs w:val="20"/>
                      <w:lang w:val="en-GB"/>
                    </w:rPr>
                    <w:t xml:space="preserve"> </w:t>
                  </w:r>
                  <w:proofErr w:type="spellStart"/>
                  <w:r>
                    <w:rPr>
                      <w:rFonts w:cs="Arial"/>
                      <w:bCs/>
                      <w:kern w:val="32"/>
                      <w:sz w:val="20"/>
                      <w:szCs w:val="20"/>
                      <w:lang w:val="en-GB"/>
                    </w:rPr>
                    <w:t>Nasopharyngitis</w:t>
                  </w:r>
                  <w:proofErr w:type="spellEnd"/>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6.0%</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7.0%</w:t>
                  </w:r>
                </w:p>
              </w:tc>
            </w:tr>
            <w:tr w:rsidR="00D54965" w:rsidTr="00D54965">
              <w:tc>
                <w:tcPr>
                  <w:tcW w:w="2299" w:type="dxa"/>
                  <w:vMerge/>
                  <w:tcBorders>
                    <w:top w:val="single" w:sz="12"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132"/>
                    <w:rPr>
                      <w:rFonts w:cs="Arial"/>
                      <w:bCs/>
                      <w:kern w:val="32"/>
                      <w:sz w:val="20"/>
                      <w:szCs w:val="20"/>
                      <w:lang w:val="en-GB"/>
                    </w:rPr>
                  </w:pPr>
                  <w:r>
                    <w:rPr>
                      <w:rFonts w:cs="Arial"/>
                      <w:bCs/>
                      <w:kern w:val="32"/>
                      <w:sz w:val="20"/>
                      <w:szCs w:val="20"/>
                      <w:lang w:val="en-GB"/>
                    </w:rPr>
                    <w:t>Tooth abscess</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0.5%</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1.1%</w:t>
                  </w:r>
                </w:p>
              </w:tc>
            </w:tr>
            <w:tr w:rsidR="00D54965" w:rsidTr="00D54965">
              <w:tc>
                <w:tcPr>
                  <w:tcW w:w="2299" w:type="dxa"/>
                  <w:vMerge/>
                  <w:tcBorders>
                    <w:top w:val="single" w:sz="12"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132"/>
                    <w:rPr>
                      <w:rFonts w:cs="Arial"/>
                      <w:bCs/>
                      <w:kern w:val="32"/>
                      <w:sz w:val="20"/>
                      <w:szCs w:val="20"/>
                      <w:lang w:val="en-GB"/>
                    </w:rPr>
                  </w:pPr>
                  <w:r>
                    <w:rPr>
                      <w:rFonts w:cs="Arial"/>
                      <w:bCs/>
                      <w:kern w:val="32"/>
                      <w:sz w:val="20"/>
                      <w:szCs w:val="20"/>
                      <w:lang w:val="en-GB"/>
                    </w:rPr>
                    <w:t>Conjunctivitis</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0.0%</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1.2%</w:t>
                  </w:r>
                </w:p>
              </w:tc>
            </w:tr>
            <w:tr w:rsidR="00D54965" w:rsidTr="00D54965">
              <w:tc>
                <w:tcPr>
                  <w:tcW w:w="2299" w:type="dxa"/>
                  <w:vMerge/>
                  <w:tcBorders>
                    <w:top w:val="single" w:sz="12"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132"/>
                    <w:rPr>
                      <w:rFonts w:cs="Arial"/>
                      <w:bCs/>
                      <w:kern w:val="32"/>
                      <w:sz w:val="20"/>
                      <w:szCs w:val="20"/>
                      <w:lang w:val="en-GB"/>
                    </w:rPr>
                  </w:pPr>
                  <w:r>
                    <w:rPr>
                      <w:rFonts w:cs="Arial"/>
                      <w:bCs/>
                      <w:kern w:val="32"/>
                      <w:sz w:val="20"/>
                      <w:szCs w:val="20"/>
                      <w:lang w:val="en-GB"/>
                    </w:rPr>
                    <w:t xml:space="preserve">Oral herpes </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1.5%</w:t>
                  </w:r>
                </w:p>
              </w:tc>
            </w:tr>
            <w:tr w:rsidR="00D54965" w:rsidTr="00D54965">
              <w:tc>
                <w:tcPr>
                  <w:tcW w:w="2299" w:type="dxa"/>
                  <w:vMerge/>
                  <w:tcBorders>
                    <w:top w:val="single" w:sz="12"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132"/>
                    <w:rPr>
                      <w:rFonts w:cs="Arial"/>
                      <w:bCs/>
                      <w:kern w:val="32"/>
                      <w:sz w:val="20"/>
                      <w:szCs w:val="20"/>
                      <w:lang w:val="en-GB"/>
                    </w:rPr>
                  </w:pPr>
                  <w:r>
                    <w:rPr>
                      <w:rFonts w:cs="Arial"/>
                      <w:bCs/>
                      <w:kern w:val="32"/>
                      <w:sz w:val="20"/>
                      <w:szCs w:val="20"/>
                      <w:lang w:val="en-GB"/>
                    </w:rPr>
                    <w:t>Herpes zoster</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1.1%</w:t>
                  </w:r>
                </w:p>
              </w:tc>
            </w:tr>
            <w:tr w:rsidR="00D54965" w:rsidTr="00D54965">
              <w:tc>
                <w:tcPr>
                  <w:tcW w:w="2299" w:type="dxa"/>
                  <w:vMerge/>
                  <w:tcBorders>
                    <w:top w:val="single" w:sz="12"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132"/>
                    <w:rPr>
                      <w:rFonts w:cs="Arial"/>
                      <w:bCs/>
                      <w:kern w:val="32"/>
                      <w:sz w:val="20"/>
                      <w:szCs w:val="20"/>
                      <w:lang w:val="en-GB"/>
                    </w:rPr>
                  </w:pPr>
                  <w:r>
                    <w:rPr>
                      <w:rFonts w:cs="Arial"/>
                      <w:bCs/>
                      <w:kern w:val="32"/>
                      <w:sz w:val="20"/>
                      <w:szCs w:val="20"/>
                      <w:lang w:val="en-GB"/>
                    </w:rPr>
                    <w:t>Influenza</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1.4%</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2.1%</w:t>
                  </w:r>
                </w:p>
              </w:tc>
            </w:tr>
            <w:tr w:rsidR="00D54965" w:rsidTr="00D54965">
              <w:tc>
                <w:tcPr>
                  <w:tcW w:w="2299" w:type="dxa"/>
                  <w:vMerge/>
                  <w:tcBorders>
                    <w:top w:val="single" w:sz="12"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132"/>
                    <w:rPr>
                      <w:rFonts w:cs="Arial"/>
                      <w:bCs/>
                      <w:kern w:val="32"/>
                      <w:sz w:val="20"/>
                      <w:szCs w:val="20"/>
                      <w:lang w:val="en-GB"/>
                    </w:rPr>
                  </w:pPr>
                  <w:r>
                    <w:rPr>
                      <w:rFonts w:cs="Arial"/>
                      <w:bCs/>
                      <w:kern w:val="32"/>
                      <w:sz w:val="20"/>
                      <w:szCs w:val="20"/>
                      <w:lang w:val="en-GB"/>
                    </w:rPr>
                    <w:t>Bronchitis</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3.2%</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4.4%</w:t>
                  </w:r>
                </w:p>
              </w:tc>
            </w:tr>
            <w:tr w:rsidR="00D54965" w:rsidTr="00D54965">
              <w:tc>
                <w:tcPr>
                  <w:tcW w:w="2299" w:type="dxa"/>
                  <w:vMerge/>
                  <w:tcBorders>
                    <w:top w:val="single" w:sz="12"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132"/>
                    <w:rPr>
                      <w:rFonts w:cs="Arial"/>
                      <w:bCs/>
                      <w:kern w:val="32"/>
                      <w:sz w:val="20"/>
                      <w:szCs w:val="20"/>
                      <w:lang w:val="en-GB"/>
                    </w:rPr>
                  </w:pPr>
                  <w:r>
                    <w:rPr>
                      <w:rFonts w:cs="Arial"/>
                      <w:bCs/>
                      <w:kern w:val="32"/>
                      <w:sz w:val="20"/>
                      <w:szCs w:val="20"/>
                      <w:lang w:val="en-GB"/>
                    </w:rPr>
                    <w:t>Sinusitis</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2.3%</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3.6%</w:t>
                  </w:r>
                </w:p>
              </w:tc>
            </w:tr>
            <w:tr w:rsidR="00D54965" w:rsidTr="00D54965">
              <w:tc>
                <w:tcPr>
                  <w:tcW w:w="2299" w:type="dxa"/>
                  <w:tcBorders>
                    <w:top w:val="single" w:sz="12"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r>
                    <w:rPr>
                      <w:b/>
                      <w:bCs/>
                      <w:kern w:val="32"/>
                      <w:sz w:val="20"/>
                      <w:szCs w:val="20"/>
                      <w:lang w:val="en-GB"/>
                    </w:rPr>
                    <w:t>Ear and labyrinth</w:t>
                  </w:r>
                </w:p>
                <w:p w:rsidR="00D54965" w:rsidRDefault="00D54965">
                  <w:pPr>
                    <w:rPr>
                      <w:b/>
                      <w:bCs/>
                      <w:kern w:val="32"/>
                      <w:sz w:val="20"/>
                      <w:szCs w:val="20"/>
                      <w:lang w:val="en-GB"/>
                    </w:rPr>
                  </w:pPr>
                  <w:r>
                    <w:rPr>
                      <w:b/>
                      <w:bCs/>
                      <w:kern w:val="32"/>
                      <w:sz w:val="20"/>
                      <w:szCs w:val="20"/>
                      <w:lang w:val="en-GB"/>
                    </w:rPr>
                    <w:t>Disorders</w:t>
                  </w: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 xml:space="preserve">Vertigo </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0.5%</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1.1%</w:t>
                  </w:r>
                </w:p>
              </w:tc>
            </w:tr>
            <w:tr w:rsidR="00D54965" w:rsidTr="00D54965">
              <w:tc>
                <w:tcPr>
                  <w:tcW w:w="2299" w:type="dxa"/>
                  <w:vMerge w:val="restart"/>
                  <w:tcBorders>
                    <w:top w:val="single" w:sz="12" w:space="0" w:color="auto"/>
                    <w:left w:val="single" w:sz="12" w:space="0" w:color="auto"/>
                    <w:bottom w:val="single" w:sz="4" w:space="0" w:color="auto"/>
                    <w:right w:val="single" w:sz="4" w:space="0" w:color="auto"/>
                  </w:tcBorders>
                  <w:vAlign w:val="center"/>
                </w:tcPr>
                <w:p w:rsidR="00D54965" w:rsidRDefault="00D54965">
                  <w:pPr>
                    <w:rPr>
                      <w:b/>
                      <w:bCs/>
                      <w:kern w:val="32"/>
                      <w:sz w:val="20"/>
                      <w:szCs w:val="20"/>
                      <w:lang w:val="en-GB"/>
                    </w:rPr>
                  </w:pPr>
                  <w:r>
                    <w:rPr>
                      <w:b/>
                      <w:bCs/>
                      <w:kern w:val="32"/>
                      <w:sz w:val="20"/>
                      <w:szCs w:val="20"/>
                      <w:lang w:val="en-GB"/>
                    </w:rPr>
                    <w:t xml:space="preserve">Musculoskeletal and connective tissue </w:t>
                  </w:r>
                </w:p>
                <w:p w:rsidR="00D54965" w:rsidRDefault="00D54965">
                  <w:pPr>
                    <w:rPr>
                      <w:b/>
                      <w:bCs/>
                      <w:kern w:val="32"/>
                      <w:sz w:val="20"/>
                      <w:szCs w:val="20"/>
                      <w:lang w:val="en-GB"/>
                    </w:rPr>
                  </w:pPr>
                  <w:r>
                    <w:rPr>
                      <w:b/>
                      <w:bCs/>
                      <w:kern w:val="32"/>
                      <w:sz w:val="20"/>
                      <w:szCs w:val="20"/>
                      <w:lang w:val="en-GB"/>
                    </w:rPr>
                    <w:t>disorders</w:t>
                  </w:r>
                </w:p>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Back pain</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2.8%</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2.9%</w:t>
                  </w:r>
                </w:p>
              </w:tc>
            </w:tr>
            <w:tr w:rsidR="00D54965" w:rsidTr="00D54965">
              <w:tc>
                <w:tcPr>
                  <w:tcW w:w="2299" w:type="dxa"/>
                  <w:vMerge/>
                  <w:tcBorders>
                    <w:top w:val="single" w:sz="12"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Myalgia</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1.1%</w:t>
                  </w:r>
                </w:p>
              </w:tc>
            </w:tr>
            <w:tr w:rsidR="00D54965" w:rsidTr="00D54965">
              <w:trPr>
                <w:trHeight w:hRule="exact" w:val="235"/>
              </w:trPr>
              <w:tc>
                <w:tcPr>
                  <w:tcW w:w="2299" w:type="dxa"/>
                  <w:vMerge/>
                  <w:tcBorders>
                    <w:top w:val="single" w:sz="12"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Muscle spasms</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tcPr>
                <w:p w:rsidR="00D54965" w:rsidRDefault="00D54965">
                  <w:pPr>
                    <w:jc w:val="center"/>
                    <w:rPr>
                      <w:sz w:val="20"/>
                      <w:szCs w:val="20"/>
                      <w:lang w:val="en-GB"/>
                    </w:rPr>
                  </w:pPr>
                  <w:r>
                    <w:rPr>
                      <w:sz w:val="20"/>
                      <w:szCs w:val="20"/>
                      <w:lang w:val="en-GB"/>
                    </w:rPr>
                    <w:t>1.1%</w:t>
                  </w:r>
                </w:p>
                <w:p w:rsidR="00D54965" w:rsidRDefault="00D54965">
                  <w:pPr>
                    <w:jc w:val="center"/>
                    <w:rPr>
                      <w:sz w:val="20"/>
                      <w:szCs w:val="20"/>
                      <w:lang w:val="en-GB"/>
                    </w:rPr>
                  </w:pPr>
                </w:p>
              </w:tc>
            </w:tr>
            <w:tr w:rsidR="00D54965" w:rsidTr="00D54965">
              <w:trPr>
                <w:trHeight w:hRule="exact" w:val="253"/>
              </w:trPr>
              <w:tc>
                <w:tcPr>
                  <w:tcW w:w="2299" w:type="dxa"/>
                  <w:vMerge/>
                  <w:tcBorders>
                    <w:top w:val="single" w:sz="12"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Arthralgia</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1.8%</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2.1%</w:t>
                  </w:r>
                </w:p>
              </w:tc>
            </w:tr>
            <w:tr w:rsidR="00D54965" w:rsidTr="00D54965">
              <w:trPr>
                <w:trHeight w:hRule="exact" w:val="262"/>
              </w:trPr>
              <w:tc>
                <w:tcPr>
                  <w:tcW w:w="2299" w:type="dxa"/>
                  <w:vMerge/>
                  <w:tcBorders>
                    <w:top w:val="single" w:sz="12"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Pain in extremity</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0.5%</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1.7%</w:t>
                  </w:r>
                </w:p>
              </w:tc>
            </w:tr>
            <w:tr w:rsidR="00D54965" w:rsidTr="00D54965">
              <w:trPr>
                <w:trHeight w:hRule="exact" w:val="280"/>
              </w:trPr>
              <w:tc>
                <w:tcPr>
                  <w:tcW w:w="2299" w:type="dxa"/>
                  <w:vMerge/>
                  <w:tcBorders>
                    <w:top w:val="single" w:sz="12"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Osteoarthritis</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1.5%</w:t>
                  </w:r>
                </w:p>
              </w:tc>
            </w:tr>
            <w:tr w:rsidR="00D54965" w:rsidTr="00D54965">
              <w:tc>
                <w:tcPr>
                  <w:tcW w:w="2299" w:type="dxa"/>
                  <w:vMerge w:val="restart"/>
                  <w:tcBorders>
                    <w:top w:val="single" w:sz="4"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r>
                    <w:rPr>
                      <w:b/>
                      <w:bCs/>
                      <w:kern w:val="32"/>
                      <w:sz w:val="20"/>
                      <w:szCs w:val="20"/>
                      <w:lang w:val="en-GB"/>
                    </w:rPr>
                    <w:t>Gastrointestinal disorders</w:t>
                  </w: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Abdominal pain upper</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1.8%</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2.1%</w:t>
                  </w:r>
                </w:p>
              </w:tc>
            </w:tr>
            <w:tr w:rsidR="00D54965" w:rsidTr="00D54965">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Diarrhoea</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1.8%</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4.7%</w:t>
                  </w:r>
                </w:p>
              </w:tc>
            </w:tr>
            <w:tr w:rsidR="00D54965" w:rsidTr="00D54965">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Gastritis</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2.1%</w:t>
                  </w:r>
                </w:p>
              </w:tc>
            </w:tr>
            <w:tr w:rsidR="00D54965" w:rsidTr="00D54965">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Nausea</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10.1%</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12.6%</w:t>
                  </w:r>
                </w:p>
              </w:tc>
            </w:tr>
            <w:tr w:rsidR="00D54965" w:rsidTr="00D54965">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Vomiting</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1.4%</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2.0%</w:t>
                  </w:r>
                </w:p>
              </w:tc>
            </w:tr>
            <w:tr w:rsidR="00D54965" w:rsidTr="00D54965">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Mouth ulceration</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1.4%</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1.5%</w:t>
                  </w:r>
                </w:p>
              </w:tc>
            </w:tr>
            <w:tr w:rsidR="00D54965" w:rsidTr="00D54965">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Stomatitis</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0.0%</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1.1%</w:t>
                  </w:r>
                </w:p>
              </w:tc>
            </w:tr>
            <w:tr w:rsidR="00D54965" w:rsidTr="00D54965">
              <w:trPr>
                <w:trHeight w:hRule="exact" w:val="284"/>
              </w:trPr>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Abdominal pain</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tcPr>
                <w:p w:rsidR="00D54965" w:rsidRDefault="00D54965">
                  <w:pPr>
                    <w:jc w:val="center"/>
                    <w:rPr>
                      <w:sz w:val="20"/>
                      <w:szCs w:val="20"/>
                      <w:lang w:val="en-GB"/>
                    </w:rPr>
                  </w:pPr>
                  <w:r>
                    <w:rPr>
                      <w:sz w:val="20"/>
                      <w:szCs w:val="20"/>
                      <w:lang w:val="en-GB"/>
                    </w:rPr>
                    <w:t>2.3%</w:t>
                  </w:r>
                </w:p>
                <w:p w:rsidR="00D54965" w:rsidRDefault="00D54965">
                  <w:pPr>
                    <w:jc w:val="center"/>
                    <w:rPr>
                      <w:sz w:val="20"/>
                      <w:szCs w:val="20"/>
                      <w:lang w:val="en-GB"/>
                    </w:rPr>
                  </w:pPr>
                </w:p>
              </w:tc>
            </w:tr>
            <w:tr w:rsidR="00D54965" w:rsidTr="00D54965">
              <w:trPr>
                <w:trHeight w:val="287"/>
              </w:trPr>
              <w:tc>
                <w:tcPr>
                  <w:tcW w:w="2299" w:type="dxa"/>
                  <w:vMerge w:val="restart"/>
                  <w:tcBorders>
                    <w:top w:val="single" w:sz="4" w:space="0" w:color="auto"/>
                    <w:left w:val="single" w:sz="12" w:space="0" w:color="auto"/>
                    <w:bottom w:val="single" w:sz="4" w:space="0" w:color="auto"/>
                    <w:right w:val="single" w:sz="4" w:space="0" w:color="auto"/>
                  </w:tcBorders>
                  <w:vAlign w:val="center"/>
                </w:tcPr>
                <w:p w:rsidR="00D54965" w:rsidRDefault="00D54965">
                  <w:pPr>
                    <w:autoSpaceDE w:val="0"/>
                    <w:autoSpaceDN w:val="0"/>
                    <w:adjustRightInd w:val="0"/>
                    <w:rPr>
                      <w:b/>
                      <w:sz w:val="20"/>
                      <w:szCs w:val="20"/>
                      <w:lang w:val="en-AU" w:eastAsia="en-AU"/>
                    </w:rPr>
                  </w:pPr>
                  <w:r>
                    <w:rPr>
                      <w:b/>
                      <w:sz w:val="20"/>
                      <w:szCs w:val="20"/>
                      <w:lang w:val="en-AU" w:eastAsia="en-AU"/>
                    </w:rPr>
                    <w:t>General disorders and</w:t>
                  </w:r>
                </w:p>
                <w:p w:rsidR="00D54965" w:rsidRDefault="00D54965">
                  <w:pPr>
                    <w:autoSpaceDE w:val="0"/>
                    <w:autoSpaceDN w:val="0"/>
                    <w:adjustRightInd w:val="0"/>
                    <w:rPr>
                      <w:b/>
                      <w:sz w:val="20"/>
                      <w:szCs w:val="20"/>
                      <w:lang w:val="en-AU" w:eastAsia="en-AU"/>
                    </w:rPr>
                  </w:pPr>
                  <w:r>
                    <w:rPr>
                      <w:b/>
                      <w:sz w:val="20"/>
                      <w:szCs w:val="20"/>
                      <w:lang w:val="en-AU" w:eastAsia="en-AU"/>
                    </w:rPr>
                    <w:t>administration site</w:t>
                  </w:r>
                </w:p>
                <w:p w:rsidR="00D54965" w:rsidRDefault="00D54965">
                  <w:pPr>
                    <w:autoSpaceDE w:val="0"/>
                    <w:autoSpaceDN w:val="0"/>
                    <w:adjustRightInd w:val="0"/>
                    <w:rPr>
                      <w:b/>
                      <w:sz w:val="20"/>
                      <w:szCs w:val="20"/>
                      <w:lang w:val="en-AU" w:eastAsia="en-AU"/>
                    </w:rPr>
                  </w:pPr>
                  <w:r>
                    <w:rPr>
                      <w:b/>
                      <w:sz w:val="20"/>
                      <w:szCs w:val="20"/>
                      <w:lang w:val="en-AU" w:eastAsia="en-AU"/>
                    </w:rPr>
                    <w:t>conditions</w:t>
                  </w:r>
                </w:p>
                <w:p w:rsidR="00D54965" w:rsidRDefault="00D54965">
                  <w:pPr>
                    <w:rPr>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Injection site reaction</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0.0%</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1.1%</w:t>
                  </w:r>
                </w:p>
              </w:tc>
            </w:tr>
            <w:tr w:rsidR="00D54965" w:rsidTr="00D54965">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Pyrexia</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1.5%</w:t>
                  </w:r>
                </w:p>
              </w:tc>
            </w:tr>
            <w:tr w:rsidR="00D54965" w:rsidTr="00D54965">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Fatigue</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0.0%</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2.1%</w:t>
                  </w:r>
                </w:p>
              </w:tc>
            </w:tr>
            <w:tr w:rsidR="00D54965" w:rsidTr="00D54965">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Malaise</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0.5%</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1.5%</w:t>
                  </w:r>
                </w:p>
              </w:tc>
            </w:tr>
            <w:tr w:rsidR="00D54965" w:rsidTr="00D54965">
              <w:trPr>
                <w:trHeight w:val="188"/>
              </w:trPr>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Injection site bruising</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1.2%</w:t>
                  </w:r>
                </w:p>
              </w:tc>
            </w:tr>
            <w:tr w:rsidR="00D54965" w:rsidTr="00D54965">
              <w:trPr>
                <w:trHeight w:hRule="exact" w:val="284"/>
              </w:trPr>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keepNext/>
                    <w:keepLines/>
                    <w:ind w:left="97"/>
                    <w:rPr>
                      <w:rFonts w:cs="Arial"/>
                      <w:bCs/>
                      <w:kern w:val="32"/>
                      <w:sz w:val="20"/>
                      <w:szCs w:val="20"/>
                      <w:lang w:val="en-GB"/>
                    </w:rPr>
                  </w:pPr>
                  <w:r>
                    <w:rPr>
                      <w:rFonts w:cs="Arial"/>
                      <w:bCs/>
                      <w:kern w:val="32"/>
                      <w:sz w:val="20"/>
                      <w:szCs w:val="20"/>
                      <w:lang w:val="en-GB"/>
                    </w:rPr>
                    <w:t>Alopecia</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keepNext/>
                    <w:keepLines/>
                    <w:jc w:val="center"/>
                    <w:rPr>
                      <w:sz w:val="20"/>
                      <w:szCs w:val="20"/>
                      <w:lang w:val="en-GB"/>
                    </w:rPr>
                  </w:pPr>
                  <w:r>
                    <w:rPr>
                      <w:sz w:val="20"/>
                      <w:szCs w:val="20"/>
                      <w:lang w:val="en-GB"/>
                    </w:rPr>
                    <w:t>3.2%</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keepNext/>
                    <w:keepLines/>
                    <w:jc w:val="center"/>
                    <w:rPr>
                      <w:sz w:val="20"/>
                      <w:szCs w:val="20"/>
                      <w:lang w:val="en-GB"/>
                    </w:rPr>
                  </w:pPr>
                  <w:r>
                    <w:rPr>
                      <w:sz w:val="20"/>
                      <w:szCs w:val="20"/>
                      <w:lang w:val="en-GB"/>
                    </w:rPr>
                    <w:t>3.9%</w:t>
                  </w:r>
                </w:p>
              </w:tc>
            </w:tr>
            <w:tr w:rsidR="00D54965" w:rsidTr="00D54965">
              <w:trPr>
                <w:trHeight w:hRule="exact" w:val="284"/>
              </w:trPr>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keepNext/>
                    <w:keepLines/>
                    <w:ind w:left="97"/>
                    <w:rPr>
                      <w:rFonts w:cs="Arial"/>
                      <w:bCs/>
                      <w:kern w:val="32"/>
                      <w:sz w:val="20"/>
                      <w:szCs w:val="20"/>
                      <w:lang w:val="en-GB"/>
                    </w:rPr>
                  </w:pPr>
                  <w:r>
                    <w:rPr>
                      <w:rFonts w:cs="Arial"/>
                      <w:bCs/>
                      <w:kern w:val="32"/>
                      <w:sz w:val="20"/>
                      <w:szCs w:val="20"/>
                      <w:lang w:val="en-GB"/>
                    </w:rPr>
                    <w:t>Dermatitis</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keepNext/>
                    <w:keepLines/>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keepNext/>
                    <w:keepLines/>
                    <w:jc w:val="center"/>
                    <w:rPr>
                      <w:sz w:val="20"/>
                      <w:szCs w:val="20"/>
                      <w:lang w:val="en-GB"/>
                    </w:rPr>
                  </w:pPr>
                  <w:r>
                    <w:rPr>
                      <w:sz w:val="20"/>
                      <w:szCs w:val="20"/>
                      <w:lang w:val="en-GB"/>
                    </w:rPr>
                    <w:t>1.1%</w:t>
                  </w:r>
                </w:p>
              </w:tc>
            </w:tr>
            <w:tr w:rsidR="00D54965" w:rsidTr="00D54965">
              <w:trPr>
                <w:trHeight w:val="242"/>
              </w:trPr>
              <w:tc>
                <w:tcPr>
                  <w:tcW w:w="2299" w:type="dxa"/>
                  <w:vMerge w:val="restart"/>
                  <w:tcBorders>
                    <w:top w:val="single" w:sz="4"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r>
                    <w:rPr>
                      <w:b/>
                      <w:bCs/>
                      <w:kern w:val="32"/>
                      <w:sz w:val="20"/>
                      <w:szCs w:val="20"/>
                      <w:lang w:val="en-GB"/>
                    </w:rPr>
                    <w:t>Investigations</w:t>
                  </w: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Aspartate aminotransferase increased</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2.3%</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3.0%</w:t>
                  </w:r>
                </w:p>
              </w:tc>
            </w:tr>
            <w:tr w:rsidR="00D54965" w:rsidTr="00D54965">
              <w:trPr>
                <w:trHeight w:val="242"/>
              </w:trPr>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Alanine aminotransferase increased</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4.1%</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6.4%</w:t>
                  </w:r>
                </w:p>
              </w:tc>
            </w:tr>
            <w:tr w:rsidR="00D54965" w:rsidTr="00D54965">
              <w:trPr>
                <w:trHeight w:hRule="exact" w:val="568"/>
              </w:trPr>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 xml:space="preserve">Blood </w:t>
                  </w:r>
                  <w:proofErr w:type="spellStart"/>
                  <w:r>
                    <w:rPr>
                      <w:rFonts w:cs="Arial"/>
                      <w:bCs/>
                      <w:kern w:val="32"/>
                      <w:sz w:val="20"/>
                      <w:szCs w:val="20"/>
                      <w:lang w:val="en-GB"/>
                    </w:rPr>
                    <w:t>creatine</w:t>
                  </w:r>
                  <w:proofErr w:type="spellEnd"/>
                  <w:r>
                    <w:rPr>
                      <w:rFonts w:cs="Arial"/>
                      <w:bCs/>
                      <w:kern w:val="32"/>
                      <w:sz w:val="20"/>
                      <w:szCs w:val="20"/>
                      <w:lang w:val="en-GB"/>
                    </w:rPr>
                    <w:t xml:space="preserve"> phosphokinase increased</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0.5%</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2.0%</w:t>
                  </w:r>
                </w:p>
              </w:tc>
            </w:tr>
            <w:tr w:rsidR="00D54965" w:rsidTr="00D54965">
              <w:trPr>
                <w:trHeight w:hRule="exact" w:val="284"/>
              </w:trPr>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proofErr w:type="spellStart"/>
                  <w:r>
                    <w:rPr>
                      <w:rFonts w:cs="Arial"/>
                      <w:bCs/>
                      <w:kern w:val="32"/>
                      <w:sz w:val="20"/>
                      <w:szCs w:val="20"/>
                      <w:lang w:val="en-GB"/>
                    </w:rPr>
                    <w:t>Hypercholesterolaemia</w:t>
                  </w:r>
                  <w:proofErr w:type="spellEnd"/>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2.3%</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3.0%</w:t>
                  </w:r>
                </w:p>
              </w:tc>
            </w:tr>
            <w:tr w:rsidR="00D54965" w:rsidTr="00D54965">
              <w:trPr>
                <w:trHeight w:hRule="exact" w:val="284"/>
              </w:trPr>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Hyperlipidaemia</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1.4%</w:t>
                  </w:r>
                </w:p>
              </w:tc>
            </w:tr>
            <w:tr w:rsidR="00D54965" w:rsidTr="00D54965">
              <w:tc>
                <w:tcPr>
                  <w:tcW w:w="2299" w:type="dxa"/>
                  <w:vMerge w:val="restart"/>
                  <w:tcBorders>
                    <w:top w:val="single" w:sz="4"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r>
                    <w:rPr>
                      <w:b/>
                      <w:bCs/>
                      <w:kern w:val="32"/>
                      <w:sz w:val="20"/>
                      <w:szCs w:val="20"/>
                      <w:lang w:val="en-GB"/>
                    </w:rPr>
                    <w:t>Respiratory, thoracic and mediastinal disorders</w:t>
                  </w: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Cough</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3.2%</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3.9%</w:t>
                  </w:r>
                </w:p>
              </w:tc>
            </w:tr>
            <w:tr w:rsidR="00D54965" w:rsidTr="00D54965">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Epistaxis</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0.0%</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1.4%</w:t>
                  </w:r>
                </w:p>
              </w:tc>
            </w:tr>
            <w:tr w:rsidR="00D54965" w:rsidTr="00D54965">
              <w:tc>
                <w:tcPr>
                  <w:tcW w:w="2299" w:type="dxa"/>
                  <w:vMerge w:val="restart"/>
                  <w:tcBorders>
                    <w:top w:val="single" w:sz="4" w:space="0" w:color="auto"/>
                    <w:left w:val="single" w:sz="12" w:space="0" w:color="auto"/>
                    <w:bottom w:val="single" w:sz="4" w:space="0" w:color="auto"/>
                    <w:right w:val="single" w:sz="4" w:space="0" w:color="auto"/>
                  </w:tcBorders>
                  <w:hideMark/>
                </w:tcPr>
                <w:p w:rsidR="00D54965" w:rsidRDefault="00D54965">
                  <w:pPr>
                    <w:autoSpaceDE w:val="0"/>
                    <w:autoSpaceDN w:val="0"/>
                    <w:adjustRightInd w:val="0"/>
                    <w:rPr>
                      <w:b/>
                      <w:sz w:val="20"/>
                      <w:szCs w:val="20"/>
                      <w:lang w:val="en-AU" w:eastAsia="en-AU"/>
                    </w:rPr>
                  </w:pPr>
                  <w:r>
                    <w:rPr>
                      <w:b/>
                      <w:sz w:val="20"/>
                      <w:szCs w:val="20"/>
                      <w:lang w:val="en-AU" w:eastAsia="en-AU"/>
                    </w:rPr>
                    <w:t>Injury, poisoning and</w:t>
                  </w:r>
                </w:p>
                <w:p w:rsidR="00D54965" w:rsidRDefault="00D54965">
                  <w:pPr>
                    <w:rPr>
                      <w:b/>
                      <w:bCs/>
                      <w:kern w:val="32"/>
                      <w:sz w:val="20"/>
                      <w:szCs w:val="20"/>
                      <w:lang w:val="en-GB"/>
                    </w:rPr>
                  </w:pPr>
                  <w:r>
                    <w:rPr>
                      <w:b/>
                      <w:sz w:val="20"/>
                      <w:szCs w:val="20"/>
                      <w:lang w:val="en-AU" w:eastAsia="en-AU"/>
                    </w:rPr>
                    <w:t>procedural complications</w:t>
                  </w: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Contusion</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0.5%</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1.4%</w:t>
                  </w:r>
                </w:p>
              </w:tc>
            </w:tr>
            <w:tr w:rsidR="00D54965" w:rsidTr="00D54965">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Fall</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0.9%</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1.1%</w:t>
                  </w:r>
                </w:p>
              </w:tc>
            </w:tr>
            <w:tr w:rsidR="00D54965" w:rsidTr="00D54965">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
                      <w:bCs/>
                      <w:kern w:val="32"/>
                      <w:sz w:val="20"/>
                      <w:szCs w:val="20"/>
                      <w:lang w:val="en-GB"/>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Laceration</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0.5%</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1.5%</w:t>
                  </w:r>
                </w:p>
              </w:tc>
            </w:tr>
            <w:tr w:rsidR="00D54965" w:rsidTr="00D54965">
              <w:tc>
                <w:tcPr>
                  <w:tcW w:w="2299" w:type="dxa"/>
                  <w:vMerge w:val="restart"/>
                  <w:tcBorders>
                    <w:top w:val="single" w:sz="4" w:space="0" w:color="auto"/>
                    <w:left w:val="single" w:sz="12" w:space="0" w:color="auto"/>
                    <w:bottom w:val="single" w:sz="4" w:space="0" w:color="auto"/>
                    <w:right w:val="single" w:sz="4" w:space="0" w:color="auto"/>
                  </w:tcBorders>
                  <w:hideMark/>
                </w:tcPr>
                <w:p w:rsidR="00D54965" w:rsidRDefault="00D54965">
                  <w:pPr>
                    <w:autoSpaceDE w:val="0"/>
                    <w:autoSpaceDN w:val="0"/>
                    <w:adjustRightInd w:val="0"/>
                    <w:rPr>
                      <w:b/>
                      <w:sz w:val="20"/>
                      <w:szCs w:val="20"/>
                      <w:lang w:val="en-AU" w:eastAsia="en-AU"/>
                    </w:rPr>
                  </w:pPr>
                  <w:r>
                    <w:rPr>
                      <w:b/>
                      <w:sz w:val="20"/>
                      <w:szCs w:val="20"/>
                      <w:lang w:val="en-AU" w:eastAsia="en-AU"/>
                    </w:rPr>
                    <w:t>Nervous system disorders</w:t>
                  </w: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Headache</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3.7%</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6.8%</w:t>
                  </w:r>
                </w:p>
              </w:tc>
            </w:tr>
            <w:tr w:rsidR="00D54965" w:rsidTr="00D54965">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
                      <w:sz w:val="20"/>
                      <w:szCs w:val="20"/>
                      <w:lang w:val="en-AU" w:eastAsia="en-AU"/>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Para</w:t>
                  </w:r>
                  <w:r w:rsidR="000C7D7D">
                    <w:rPr>
                      <w:rFonts w:cs="Arial"/>
                      <w:bCs/>
                      <w:kern w:val="32"/>
                      <w:sz w:val="20"/>
                      <w:szCs w:val="20"/>
                      <w:lang w:val="en-GB"/>
                    </w:rPr>
                    <w:t>e</w:t>
                  </w:r>
                  <w:r>
                    <w:rPr>
                      <w:rFonts w:cs="Arial"/>
                      <w:bCs/>
                      <w:kern w:val="32"/>
                      <w:sz w:val="20"/>
                      <w:szCs w:val="20"/>
                      <w:lang w:val="en-GB"/>
                    </w:rPr>
                    <w:t>sthesia</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0.0%</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1.1%</w:t>
                  </w:r>
                </w:p>
              </w:tc>
            </w:tr>
            <w:tr w:rsidR="00D54965" w:rsidTr="00D54965">
              <w:tc>
                <w:tcPr>
                  <w:tcW w:w="2299" w:type="dxa"/>
                  <w:vMerge w:val="restart"/>
                  <w:tcBorders>
                    <w:top w:val="single" w:sz="4" w:space="0" w:color="auto"/>
                    <w:left w:val="single" w:sz="12" w:space="0" w:color="auto"/>
                    <w:bottom w:val="single" w:sz="4" w:space="0" w:color="auto"/>
                    <w:right w:val="single" w:sz="4" w:space="0" w:color="auto"/>
                  </w:tcBorders>
                  <w:hideMark/>
                </w:tcPr>
                <w:p w:rsidR="00D54965" w:rsidRDefault="00D54965">
                  <w:pPr>
                    <w:autoSpaceDE w:val="0"/>
                    <w:autoSpaceDN w:val="0"/>
                    <w:adjustRightInd w:val="0"/>
                    <w:rPr>
                      <w:b/>
                      <w:sz w:val="20"/>
                      <w:szCs w:val="20"/>
                      <w:lang w:val="en-AU" w:eastAsia="en-AU"/>
                    </w:rPr>
                  </w:pPr>
                  <w:r>
                    <w:rPr>
                      <w:b/>
                      <w:sz w:val="20"/>
                      <w:szCs w:val="20"/>
                      <w:lang w:val="en-AU" w:eastAsia="en-AU"/>
                    </w:rPr>
                    <w:t>Vascular disorders</w:t>
                  </w:r>
                </w:p>
              </w:tc>
              <w:tc>
                <w:tcPr>
                  <w:tcW w:w="3219" w:type="dxa"/>
                  <w:tcBorders>
                    <w:top w:val="single" w:sz="4" w:space="0" w:color="auto"/>
                    <w:left w:val="single" w:sz="12" w:space="0" w:color="auto"/>
                    <w:bottom w:val="single" w:sz="4" w:space="0" w:color="auto"/>
                    <w:right w:val="single" w:sz="4" w:space="0" w:color="auto"/>
                  </w:tcBorders>
                </w:tcPr>
                <w:p w:rsidR="00D54965" w:rsidRDefault="00D54965">
                  <w:pPr>
                    <w:ind w:left="97"/>
                    <w:rPr>
                      <w:rFonts w:cs="Arial"/>
                      <w:bCs/>
                      <w:kern w:val="32"/>
                      <w:sz w:val="20"/>
                      <w:szCs w:val="20"/>
                      <w:lang w:val="en-GB"/>
                    </w:rPr>
                  </w:pPr>
                  <w:r>
                    <w:rPr>
                      <w:rFonts w:cs="Arial"/>
                      <w:bCs/>
                      <w:kern w:val="32"/>
                      <w:sz w:val="20"/>
                      <w:szCs w:val="20"/>
                      <w:lang w:val="en-GB"/>
                    </w:rPr>
                    <w:t>Hypertension</w:t>
                  </w:r>
                </w:p>
                <w:p w:rsidR="00D54965" w:rsidRDefault="00D54965">
                  <w:pPr>
                    <w:ind w:left="97"/>
                    <w:rPr>
                      <w:rFonts w:cs="Arial"/>
                      <w:bCs/>
                      <w:kern w:val="32"/>
                      <w:sz w:val="20"/>
                      <w:szCs w:val="20"/>
                      <w:lang w:val="en-GB"/>
                    </w:rPr>
                  </w:pP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2.3%</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2.4%</w:t>
                  </w:r>
                </w:p>
              </w:tc>
            </w:tr>
            <w:tr w:rsidR="00D54965" w:rsidTr="00D54965">
              <w:tc>
                <w:tcPr>
                  <w:tcW w:w="2299" w:type="dxa"/>
                  <w:vMerge/>
                  <w:tcBorders>
                    <w:top w:val="single" w:sz="4" w:space="0" w:color="auto"/>
                    <w:left w:val="single" w:sz="12" w:space="0" w:color="auto"/>
                    <w:bottom w:val="single" w:sz="4" w:space="0" w:color="auto"/>
                    <w:right w:val="single" w:sz="4" w:space="0" w:color="auto"/>
                  </w:tcBorders>
                  <w:vAlign w:val="center"/>
                  <w:hideMark/>
                </w:tcPr>
                <w:p w:rsidR="00D54965" w:rsidRDefault="00D54965">
                  <w:pPr>
                    <w:rPr>
                      <w:b/>
                      <w:sz w:val="20"/>
                      <w:szCs w:val="20"/>
                      <w:lang w:val="en-AU" w:eastAsia="en-AU"/>
                    </w:rPr>
                  </w:pP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Anaemia</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1.4%</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2.6%</w:t>
                  </w:r>
                </w:p>
              </w:tc>
            </w:tr>
            <w:tr w:rsidR="00D54965" w:rsidTr="00D54965">
              <w:tc>
                <w:tcPr>
                  <w:tcW w:w="2299" w:type="dxa"/>
                  <w:tcBorders>
                    <w:top w:val="single" w:sz="4" w:space="0" w:color="auto"/>
                    <w:left w:val="single" w:sz="12" w:space="0" w:color="auto"/>
                    <w:bottom w:val="single" w:sz="4" w:space="0" w:color="auto"/>
                    <w:right w:val="single" w:sz="4" w:space="0" w:color="auto"/>
                  </w:tcBorders>
                  <w:hideMark/>
                </w:tcPr>
                <w:p w:rsidR="00D54965" w:rsidRDefault="00D54965">
                  <w:pPr>
                    <w:autoSpaceDE w:val="0"/>
                    <w:autoSpaceDN w:val="0"/>
                    <w:adjustRightInd w:val="0"/>
                    <w:rPr>
                      <w:b/>
                      <w:sz w:val="20"/>
                      <w:szCs w:val="20"/>
                      <w:lang w:val="en-AU" w:eastAsia="en-AU"/>
                    </w:rPr>
                  </w:pPr>
                  <w:r>
                    <w:rPr>
                      <w:b/>
                      <w:sz w:val="20"/>
                      <w:szCs w:val="20"/>
                      <w:lang w:val="en-AU" w:eastAsia="en-AU"/>
                    </w:rPr>
                    <w:t>Immune system disorders</w:t>
                  </w: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Seasonal allergy</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rFonts w:cs="Arial"/>
                      <w:bCs/>
                      <w:kern w:val="32"/>
                      <w:sz w:val="20"/>
                      <w:szCs w:val="20"/>
                      <w:lang w:val="en-GB"/>
                    </w:rPr>
                  </w:pPr>
                  <w:r>
                    <w:rPr>
                      <w:rFonts w:cs="Arial"/>
                      <w:bCs/>
                      <w:kern w:val="32"/>
                      <w:sz w:val="20"/>
                      <w:szCs w:val="20"/>
                      <w:lang w:val="en-GB"/>
                    </w:rPr>
                    <w:t>0.0%</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rFonts w:cs="Arial"/>
                      <w:bCs/>
                      <w:kern w:val="32"/>
                      <w:sz w:val="20"/>
                      <w:szCs w:val="20"/>
                      <w:lang w:val="en-GB"/>
                    </w:rPr>
                  </w:pPr>
                  <w:r>
                    <w:rPr>
                      <w:rFonts w:cs="Arial"/>
                      <w:bCs/>
                      <w:kern w:val="32"/>
                      <w:sz w:val="20"/>
                      <w:szCs w:val="20"/>
                      <w:lang w:val="en-GB"/>
                    </w:rPr>
                    <w:t>1.7%</w:t>
                  </w:r>
                </w:p>
              </w:tc>
            </w:tr>
            <w:tr w:rsidR="00D54965" w:rsidTr="00D54965">
              <w:tc>
                <w:tcPr>
                  <w:tcW w:w="2299" w:type="dxa"/>
                  <w:tcBorders>
                    <w:top w:val="single" w:sz="4" w:space="0" w:color="auto"/>
                    <w:left w:val="single" w:sz="12" w:space="0" w:color="auto"/>
                    <w:bottom w:val="single" w:sz="4" w:space="0" w:color="auto"/>
                    <w:right w:val="single" w:sz="4" w:space="0" w:color="auto"/>
                  </w:tcBorders>
                  <w:hideMark/>
                </w:tcPr>
                <w:p w:rsidR="00D54965" w:rsidRDefault="00D54965">
                  <w:pPr>
                    <w:autoSpaceDE w:val="0"/>
                    <w:autoSpaceDN w:val="0"/>
                    <w:adjustRightInd w:val="0"/>
                    <w:rPr>
                      <w:b/>
                      <w:sz w:val="20"/>
                      <w:szCs w:val="20"/>
                      <w:lang w:val="en-AU" w:eastAsia="en-AU"/>
                    </w:rPr>
                  </w:pPr>
                  <w:r>
                    <w:rPr>
                      <w:b/>
                      <w:sz w:val="20"/>
                      <w:szCs w:val="20"/>
                      <w:lang w:val="en-AU" w:eastAsia="en-AU"/>
                    </w:rPr>
                    <w:t>Renal and urinary disorders</w:t>
                  </w: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Haematuria</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0.0%</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1.0%</w:t>
                  </w:r>
                </w:p>
              </w:tc>
            </w:tr>
            <w:tr w:rsidR="00D54965" w:rsidTr="00D54965">
              <w:tc>
                <w:tcPr>
                  <w:tcW w:w="2299" w:type="dxa"/>
                  <w:tcBorders>
                    <w:top w:val="single" w:sz="4" w:space="0" w:color="auto"/>
                    <w:left w:val="single" w:sz="12" w:space="0" w:color="auto"/>
                    <w:bottom w:val="single" w:sz="4" w:space="0" w:color="auto"/>
                    <w:right w:val="single" w:sz="4" w:space="0" w:color="auto"/>
                  </w:tcBorders>
                  <w:hideMark/>
                </w:tcPr>
                <w:p w:rsidR="00D54965" w:rsidRDefault="00D54965">
                  <w:pPr>
                    <w:autoSpaceDE w:val="0"/>
                    <w:autoSpaceDN w:val="0"/>
                    <w:adjustRightInd w:val="0"/>
                    <w:rPr>
                      <w:b/>
                      <w:sz w:val="20"/>
                      <w:szCs w:val="20"/>
                      <w:lang w:val="en-AU" w:eastAsia="en-AU"/>
                    </w:rPr>
                  </w:pPr>
                  <w:r>
                    <w:rPr>
                      <w:b/>
                      <w:sz w:val="20"/>
                      <w:szCs w:val="20"/>
                      <w:lang w:val="en-AU" w:eastAsia="en-AU"/>
                    </w:rPr>
                    <w:t>Reproductive system and breast disorders</w:t>
                  </w: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Menorrhagia</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0.0%</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1.1%</w:t>
                  </w:r>
                </w:p>
              </w:tc>
            </w:tr>
            <w:tr w:rsidR="00D54965" w:rsidTr="00D54965">
              <w:tc>
                <w:tcPr>
                  <w:tcW w:w="2299" w:type="dxa"/>
                  <w:tcBorders>
                    <w:top w:val="single" w:sz="4" w:space="0" w:color="auto"/>
                    <w:left w:val="single" w:sz="12" w:space="0" w:color="auto"/>
                    <w:bottom w:val="single" w:sz="4" w:space="0" w:color="auto"/>
                    <w:right w:val="single" w:sz="4" w:space="0" w:color="auto"/>
                  </w:tcBorders>
                  <w:hideMark/>
                </w:tcPr>
                <w:p w:rsidR="00D54965" w:rsidRDefault="00D54965">
                  <w:pPr>
                    <w:autoSpaceDE w:val="0"/>
                    <w:autoSpaceDN w:val="0"/>
                    <w:adjustRightInd w:val="0"/>
                    <w:rPr>
                      <w:b/>
                      <w:sz w:val="20"/>
                      <w:szCs w:val="20"/>
                      <w:lang w:val="en-AU" w:eastAsia="en-AU"/>
                    </w:rPr>
                  </w:pPr>
                  <w:r>
                    <w:rPr>
                      <w:b/>
                      <w:sz w:val="20"/>
                      <w:szCs w:val="20"/>
                      <w:lang w:val="en-AU" w:eastAsia="en-AU"/>
                    </w:rPr>
                    <w:t>Psychiatric disorders</w:t>
                  </w:r>
                </w:p>
              </w:tc>
              <w:tc>
                <w:tcPr>
                  <w:tcW w:w="3219" w:type="dxa"/>
                  <w:tcBorders>
                    <w:top w:val="single" w:sz="4" w:space="0" w:color="auto"/>
                    <w:left w:val="single" w:sz="12" w:space="0" w:color="auto"/>
                    <w:bottom w:val="single" w:sz="4" w:space="0" w:color="auto"/>
                    <w:right w:val="single" w:sz="4" w:space="0" w:color="auto"/>
                  </w:tcBorders>
                  <w:hideMark/>
                </w:tcPr>
                <w:p w:rsidR="00D54965" w:rsidRDefault="00D54965">
                  <w:pPr>
                    <w:ind w:left="97"/>
                    <w:rPr>
                      <w:rFonts w:cs="Arial"/>
                      <w:bCs/>
                      <w:kern w:val="32"/>
                      <w:sz w:val="20"/>
                      <w:szCs w:val="20"/>
                      <w:lang w:val="en-GB"/>
                    </w:rPr>
                  </w:pPr>
                  <w:r>
                    <w:rPr>
                      <w:rFonts w:cs="Arial"/>
                      <w:bCs/>
                      <w:kern w:val="32"/>
                      <w:sz w:val="20"/>
                      <w:szCs w:val="20"/>
                      <w:lang w:val="en-GB"/>
                    </w:rPr>
                    <w:t>Anxiety</w:t>
                  </w:r>
                </w:p>
              </w:tc>
              <w:tc>
                <w:tcPr>
                  <w:tcW w:w="1688" w:type="dxa"/>
                  <w:tcBorders>
                    <w:top w:val="single" w:sz="4" w:space="0" w:color="auto"/>
                    <w:left w:val="single" w:sz="4" w:space="0" w:color="auto"/>
                    <w:bottom w:val="single" w:sz="4" w:space="0" w:color="auto"/>
                    <w:right w:val="single" w:sz="4" w:space="0" w:color="auto"/>
                  </w:tcBorders>
                  <w:hideMark/>
                </w:tcPr>
                <w:p w:rsidR="00D54965" w:rsidRDefault="00D54965">
                  <w:pPr>
                    <w:jc w:val="center"/>
                    <w:rPr>
                      <w:sz w:val="20"/>
                      <w:szCs w:val="20"/>
                      <w:lang w:val="en-GB"/>
                    </w:rPr>
                  </w:pPr>
                  <w:r>
                    <w:rPr>
                      <w:sz w:val="20"/>
                      <w:szCs w:val="20"/>
                      <w:lang w:val="en-GB"/>
                    </w:rPr>
                    <w:t>0.5%</w:t>
                  </w:r>
                </w:p>
              </w:tc>
              <w:tc>
                <w:tcPr>
                  <w:tcW w:w="1689" w:type="dxa"/>
                  <w:tcBorders>
                    <w:top w:val="single" w:sz="4" w:space="0" w:color="auto"/>
                    <w:left w:val="single" w:sz="4" w:space="0" w:color="auto"/>
                    <w:bottom w:val="single" w:sz="4" w:space="0" w:color="auto"/>
                    <w:right w:val="single" w:sz="12" w:space="0" w:color="auto"/>
                  </w:tcBorders>
                  <w:hideMark/>
                </w:tcPr>
                <w:p w:rsidR="00D54965" w:rsidRDefault="00D54965">
                  <w:pPr>
                    <w:jc w:val="center"/>
                    <w:rPr>
                      <w:sz w:val="20"/>
                      <w:szCs w:val="20"/>
                      <w:lang w:val="en-GB"/>
                    </w:rPr>
                  </w:pPr>
                  <w:r>
                    <w:rPr>
                      <w:sz w:val="20"/>
                      <w:szCs w:val="20"/>
                      <w:lang w:val="en-GB"/>
                    </w:rPr>
                    <w:t>1.2%</w:t>
                  </w:r>
                </w:p>
              </w:tc>
            </w:tr>
          </w:tbl>
          <w:p w:rsidR="00D54965" w:rsidRDefault="00D54965" w:rsidP="00D103F3">
            <w:pPr>
              <w:pStyle w:val="Paragraph"/>
              <w:rPr>
                <w:lang w:val="en-GB"/>
              </w:rPr>
            </w:pPr>
          </w:p>
          <w:p w:rsidR="00F939C8" w:rsidRDefault="008A4D37" w:rsidP="00D103F3">
            <w:pPr>
              <w:pStyle w:val="Paragraph"/>
              <w:rPr>
                <w:lang w:val="en-GB"/>
              </w:rPr>
            </w:pPr>
            <w:r w:rsidRPr="0052262B">
              <w:rPr>
                <w:lang w:val="en-GB"/>
              </w:rPr>
              <w:t xml:space="preserve">Within the organ system classes, adverse </w:t>
            </w:r>
            <w:r>
              <w:rPr>
                <w:lang w:val="en-GB"/>
              </w:rPr>
              <w:t>reactions</w:t>
            </w:r>
            <w:r w:rsidRPr="0052262B">
              <w:rPr>
                <w:lang w:val="en-GB"/>
              </w:rPr>
              <w:t xml:space="preserve"> by frequency are listed using the following categories: very common </w:t>
            </w:r>
            <w:r>
              <w:rPr>
                <w:lang w:val="en-GB"/>
              </w:rPr>
              <w:t>(</w:t>
            </w:r>
            <w:r w:rsidRPr="0052262B">
              <w:rPr>
                <w:lang w:val="en-GB"/>
              </w:rPr>
              <w:t>≥ 1/10</w:t>
            </w:r>
            <w:r>
              <w:rPr>
                <w:lang w:val="en-GB"/>
              </w:rPr>
              <w:t xml:space="preserve">), </w:t>
            </w:r>
            <w:r w:rsidRPr="0052262B">
              <w:rPr>
                <w:lang w:val="en-GB"/>
              </w:rPr>
              <w:t>common</w:t>
            </w:r>
            <w:r>
              <w:rPr>
                <w:lang w:val="en-GB"/>
              </w:rPr>
              <w:t xml:space="preserve"> </w:t>
            </w:r>
            <w:r w:rsidR="00A906D6">
              <w:rPr>
                <w:lang w:val="en-GB"/>
              </w:rPr>
              <w:t>(</w:t>
            </w:r>
            <w:r w:rsidR="00A906D6" w:rsidRPr="0052262B">
              <w:rPr>
                <w:lang w:val="en-GB"/>
              </w:rPr>
              <w:t>≥</w:t>
            </w:r>
            <w:r w:rsidRPr="0052262B">
              <w:rPr>
                <w:lang w:val="en-GB"/>
              </w:rPr>
              <w:t xml:space="preserve"> 1/100 to &lt; 1/10</w:t>
            </w:r>
            <w:r>
              <w:rPr>
                <w:lang w:val="en-GB"/>
              </w:rPr>
              <w:t>), Uncommon (≥1/1000 to &lt;1/100); Rare (≥1/10000 to &lt;1/1000), not known (cannot be estimated from the available data)</w:t>
            </w:r>
            <w:r w:rsidRPr="0052262B">
              <w:rPr>
                <w:lang w:val="en-GB"/>
              </w:rPr>
              <w:t xml:space="preserve"> in Table </w:t>
            </w:r>
            <w:r w:rsidR="000A17A0">
              <w:rPr>
                <w:lang w:val="en-GB"/>
              </w:rPr>
              <w:t>14</w:t>
            </w:r>
            <w:r w:rsidR="000A17A0" w:rsidRPr="0052262B">
              <w:rPr>
                <w:lang w:val="en-GB"/>
              </w:rPr>
              <w:t xml:space="preserve"> </w:t>
            </w:r>
            <w:r w:rsidRPr="0052262B">
              <w:rPr>
                <w:lang w:val="en-GB"/>
              </w:rPr>
              <w:t xml:space="preserve">below. </w:t>
            </w:r>
          </w:p>
          <w:p w:rsidR="00E25CA1" w:rsidRDefault="00E25CA1" w:rsidP="00D103F3">
            <w:pPr>
              <w:pStyle w:val="Paragraph"/>
              <w:rPr>
                <w:lang w:val="en-GB"/>
              </w:rPr>
            </w:pPr>
          </w:p>
          <w:p w:rsidR="00807E7C" w:rsidRPr="00807E7C" w:rsidRDefault="005D5EED" w:rsidP="00D103F3">
            <w:pPr>
              <w:pStyle w:val="Paragraph"/>
              <w:rPr>
                <w:lang w:val="en-GB"/>
              </w:rPr>
            </w:pPr>
            <w:r>
              <w:rPr>
                <w:b/>
                <w:bCs/>
                <w:lang w:val="en-AU" w:eastAsia="en-AU"/>
              </w:rPr>
              <w:t>Table</w:t>
            </w:r>
            <w:r w:rsidR="00801376">
              <w:rPr>
                <w:b/>
                <w:bCs/>
                <w:lang w:val="en-AU" w:eastAsia="en-AU"/>
              </w:rPr>
              <w:t xml:space="preserve"> </w:t>
            </w:r>
            <w:r w:rsidR="00362CCC">
              <w:rPr>
                <w:b/>
                <w:bCs/>
                <w:lang w:val="en-AU" w:eastAsia="en-AU"/>
              </w:rPr>
              <w:t>1</w:t>
            </w:r>
            <w:r w:rsidR="00CC3C79">
              <w:rPr>
                <w:b/>
                <w:bCs/>
                <w:lang w:val="en-AU" w:eastAsia="en-AU"/>
              </w:rPr>
              <w:t>4</w:t>
            </w:r>
            <w:r w:rsidR="001042E1">
              <w:rPr>
                <w:b/>
                <w:bCs/>
                <w:lang w:val="en-AU" w:eastAsia="en-AU"/>
              </w:rPr>
              <w:t>:</w:t>
            </w:r>
            <w:r w:rsidR="00807E7C" w:rsidRPr="00807E7C">
              <w:rPr>
                <w:b/>
                <w:bCs/>
                <w:lang w:val="en-AU" w:eastAsia="en-AU"/>
              </w:rPr>
              <w:t xml:space="preserve">  Adverse drug reactions in </w:t>
            </w:r>
            <w:r w:rsidR="002B19B2">
              <w:rPr>
                <w:b/>
                <w:bCs/>
                <w:lang w:val="en-AU" w:eastAsia="en-AU"/>
              </w:rPr>
              <w:t xml:space="preserve">RA </w:t>
            </w:r>
            <w:r w:rsidR="00807E7C" w:rsidRPr="00807E7C">
              <w:rPr>
                <w:b/>
                <w:bCs/>
                <w:lang w:val="en-AU" w:eastAsia="en-AU"/>
              </w:rPr>
              <w:t xml:space="preserve">clinical trials and </w:t>
            </w:r>
            <w:proofErr w:type="spellStart"/>
            <w:r w:rsidR="00807E7C" w:rsidRPr="00807E7C">
              <w:rPr>
                <w:b/>
                <w:bCs/>
                <w:lang w:val="en-AU" w:eastAsia="en-AU"/>
              </w:rPr>
              <w:t>postmarketing</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418"/>
              <w:gridCol w:w="5054"/>
            </w:tblGrid>
            <w:tr w:rsidR="0005733D" w:rsidRPr="00D01A30" w:rsidTr="00D01A30">
              <w:tc>
                <w:tcPr>
                  <w:tcW w:w="2439" w:type="dxa"/>
                  <w:shd w:val="clear" w:color="auto" w:fill="auto"/>
                </w:tcPr>
                <w:p w:rsidR="0005733D" w:rsidRPr="00D01A30" w:rsidRDefault="0005733D" w:rsidP="0005733D">
                  <w:pPr>
                    <w:pStyle w:val="Paragraph"/>
                    <w:rPr>
                      <w:lang w:val="en-GB"/>
                    </w:rPr>
                  </w:pPr>
                  <w:r w:rsidRPr="00D01A30">
                    <w:rPr>
                      <w:b/>
                      <w:bCs/>
                      <w:sz w:val="21"/>
                      <w:szCs w:val="21"/>
                      <w:lang w:val="en-AU" w:eastAsia="en-AU"/>
                    </w:rPr>
                    <w:t xml:space="preserve">System Organ Class </w:t>
                  </w:r>
                </w:p>
              </w:tc>
              <w:tc>
                <w:tcPr>
                  <w:tcW w:w="1418" w:type="dxa"/>
                  <w:shd w:val="clear" w:color="auto" w:fill="auto"/>
                </w:tcPr>
                <w:p w:rsidR="0005733D" w:rsidRPr="00D01A30" w:rsidRDefault="0005733D" w:rsidP="0005733D">
                  <w:pPr>
                    <w:pStyle w:val="Paragraph"/>
                    <w:rPr>
                      <w:lang w:val="en-GB"/>
                    </w:rPr>
                  </w:pPr>
                  <w:r w:rsidRPr="00D01A30">
                    <w:rPr>
                      <w:b/>
                      <w:bCs/>
                      <w:sz w:val="21"/>
                      <w:szCs w:val="21"/>
                      <w:lang w:val="en-AU" w:eastAsia="en-AU"/>
                    </w:rPr>
                    <w:t xml:space="preserve">Frequency </w:t>
                  </w:r>
                </w:p>
              </w:tc>
              <w:tc>
                <w:tcPr>
                  <w:tcW w:w="5054" w:type="dxa"/>
                  <w:shd w:val="clear" w:color="auto" w:fill="auto"/>
                </w:tcPr>
                <w:p w:rsidR="0005733D" w:rsidRPr="00D01A30" w:rsidRDefault="0005733D" w:rsidP="00D103F3">
                  <w:pPr>
                    <w:pStyle w:val="Paragraph"/>
                    <w:rPr>
                      <w:lang w:val="en-GB"/>
                    </w:rPr>
                  </w:pPr>
                  <w:r w:rsidRPr="00D01A30">
                    <w:rPr>
                      <w:b/>
                      <w:bCs/>
                      <w:sz w:val="21"/>
                      <w:szCs w:val="21"/>
                      <w:lang w:val="en-AU" w:eastAsia="en-AU"/>
                    </w:rPr>
                    <w:t>Adverse Drug Reactions</w:t>
                  </w:r>
                </w:p>
              </w:tc>
            </w:tr>
            <w:tr w:rsidR="00E55526" w:rsidRPr="00D01A30" w:rsidTr="00D01A30">
              <w:tc>
                <w:tcPr>
                  <w:tcW w:w="2439" w:type="dxa"/>
                  <w:vMerge w:val="restart"/>
                  <w:shd w:val="clear" w:color="auto" w:fill="auto"/>
                </w:tcPr>
                <w:p w:rsidR="00E55526" w:rsidRPr="00D01A30" w:rsidRDefault="00E55526" w:rsidP="0005733D">
                  <w:pPr>
                    <w:pStyle w:val="Paragraph"/>
                    <w:rPr>
                      <w:lang w:val="en-GB"/>
                    </w:rPr>
                  </w:pPr>
                  <w:r w:rsidRPr="00D01A30">
                    <w:rPr>
                      <w:sz w:val="21"/>
                      <w:szCs w:val="21"/>
                      <w:lang w:val="en-AU" w:eastAsia="en-AU"/>
                    </w:rPr>
                    <w:t xml:space="preserve">Infections and infestations </w:t>
                  </w:r>
                </w:p>
              </w:tc>
              <w:tc>
                <w:tcPr>
                  <w:tcW w:w="1418" w:type="dxa"/>
                  <w:shd w:val="clear" w:color="auto" w:fill="auto"/>
                </w:tcPr>
                <w:p w:rsidR="00E55526" w:rsidRPr="00D01A30" w:rsidRDefault="00E55526" w:rsidP="00D103F3">
                  <w:pPr>
                    <w:pStyle w:val="Paragraph"/>
                    <w:rPr>
                      <w:lang w:val="en-GB"/>
                    </w:rPr>
                  </w:pPr>
                  <w:r w:rsidRPr="00D01A30">
                    <w:rPr>
                      <w:sz w:val="21"/>
                      <w:szCs w:val="21"/>
                      <w:lang w:val="en-AU" w:eastAsia="en-AU"/>
                    </w:rPr>
                    <w:t>Common</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bacterial infections (including abscess), viral infections (including herpes</w:t>
                  </w:r>
                  <w:r w:rsidR="00A847C9">
                    <w:rPr>
                      <w:sz w:val="21"/>
                      <w:szCs w:val="21"/>
                      <w:lang w:val="en-AU" w:eastAsia="en-AU"/>
                    </w:rPr>
                    <w:t xml:space="preserve"> zoster</w:t>
                  </w:r>
                  <w:r w:rsidR="00B716CE">
                    <w:rPr>
                      <w:sz w:val="21"/>
                      <w:szCs w:val="21"/>
                      <w:lang w:val="en-AU" w:eastAsia="en-AU"/>
                    </w:rPr>
                    <w:t xml:space="preserve"> and herpes simplex</w:t>
                  </w:r>
                  <w:r w:rsidRPr="00D01A30">
                    <w:rPr>
                      <w:sz w:val="21"/>
                      <w:szCs w:val="21"/>
                      <w:lang w:val="en-AU" w:eastAsia="en-AU"/>
                    </w:rPr>
                    <w:t>, papillomavirus, influenza)</w:t>
                  </w:r>
                </w:p>
              </w:tc>
            </w:tr>
            <w:tr w:rsidR="00E55526" w:rsidRPr="00D01A30" w:rsidTr="00D01A30">
              <w:tc>
                <w:tcPr>
                  <w:tcW w:w="2439" w:type="dxa"/>
                  <w:vMerge/>
                  <w:shd w:val="clear" w:color="auto" w:fill="auto"/>
                </w:tcPr>
                <w:p w:rsidR="00E55526" w:rsidRPr="00D01A30" w:rsidRDefault="00E55526" w:rsidP="00D103F3">
                  <w:pPr>
                    <w:pStyle w:val="Paragraph"/>
                    <w:rPr>
                      <w:lang w:val="en-GB"/>
                    </w:rPr>
                  </w:pPr>
                </w:p>
              </w:tc>
              <w:tc>
                <w:tcPr>
                  <w:tcW w:w="1418" w:type="dxa"/>
                  <w:shd w:val="clear" w:color="auto" w:fill="auto"/>
                </w:tcPr>
                <w:p w:rsidR="00E55526" w:rsidRPr="00D01A30" w:rsidRDefault="00E55526" w:rsidP="00D103F3">
                  <w:pPr>
                    <w:pStyle w:val="Paragraph"/>
                    <w:rPr>
                      <w:sz w:val="22"/>
                      <w:szCs w:val="22"/>
                      <w:lang w:val="en-GB"/>
                    </w:rPr>
                  </w:pPr>
                  <w:r w:rsidRPr="00D01A30">
                    <w:rPr>
                      <w:sz w:val="22"/>
                      <w:szCs w:val="22"/>
                      <w:lang w:val="en-GB"/>
                    </w:rPr>
                    <w:t>Uncommon</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sepsis (including multi-organ failure, septic shock),</w:t>
                  </w:r>
                </w:p>
                <w:p w:rsidR="00E55526" w:rsidRPr="00D01A30" w:rsidRDefault="00E55526" w:rsidP="00E55526">
                  <w:pPr>
                    <w:pStyle w:val="Paragraph"/>
                    <w:rPr>
                      <w:lang w:val="en-GB"/>
                    </w:rPr>
                  </w:pPr>
                  <w:r w:rsidRPr="00D01A30">
                    <w:rPr>
                      <w:sz w:val="21"/>
                      <w:szCs w:val="21"/>
                      <w:lang w:val="en-AU" w:eastAsia="en-AU"/>
                    </w:rPr>
                    <w:t>tuberculosis</w:t>
                  </w:r>
                  <w:r w:rsidR="00A847C9">
                    <w:rPr>
                      <w:sz w:val="21"/>
                      <w:szCs w:val="21"/>
                      <w:lang w:val="en-AU" w:eastAsia="en-AU"/>
                    </w:rPr>
                    <w:t xml:space="preserve"> (including </w:t>
                  </w:r>
                  <w:proofErr w:type="spellStart"/>
                  <w:r w:rsidR="00A847C9">
                    <w:rPr>
                      <w:sz w:val="21"/>
                      <w:szCs w:val="21"/>
                      <w:lang w:val="en-AU" w:eastAsia="en-AU"/>
                    </w:rPr>
                    <w:t>miliary</w:t>
                  </w:r>
                  <w:proofErr w:type="spellEnd"/>
                  <w:r w:rsidR="00A847C9">
                    <w:rPr>
                      <w:sz w:val="21"/>
                      <w:szCs w:val="21"/>
                      <w:lang w:val="en-AU" w:eastAsia="en-AU"/>
                    </w:rPr>
                    <w:t xml:space="preserve">, disseminated and </w:t>
                  </w:r>
                  <w:proofErr w:type="spellStart"/>
                  <w:r w:rsidR="00A847C9">
                    <w:rPr>
                      <w:sz w:val="21"/>
                      <w:szCs w:val="21"/>
                      <w:lang w:val="en-AU" w:eastAsia="en-AU"/>
                    </w:rPr>
                    <w:t>extrapulmonary</w:t>
                  </w:r>
                  <w:proofErr w:type="spellEnd"/>
                  <w:r w:rsidR="00A847C9">
                    <w:rPr>
                      <w:sz w:val="21"/>
                      <w:szCs w:val="21"/>
                      <w:lang w:val="en-AU" w:eastAsia="en-AU"/>
                    </w:rPr>
                    <w:t xml:space="preserve"> disease</w:t>
                  </w:r>
                  <w:r w:rsidR="002E64E8">
                    <w:rPr>
                      <w:sz w:val="21"/>
                      <w:szCs w:val="21"/>
                      <w:lang w:val="en-AU" w:eastAsia="en-AU"/>
                    </w:rPr>
                    <w:t>)</w:t>
                  </w:r>
                  <w:r w:rsidRPr="00D01A30">
                    <w:rPr>
                      <w:sz w:val="21"/>
                      <w:szCs w:val="21"/>
                      <w:lang w:val="en-AU" w:eastAsia="en-AU"/>
                    </w:rPr>
                    <w:t>, fungal infections (includes opportunistic)</w:t>
                  </w:r>
                </w:p>
              </w:tc>
            </w:tr>
            <w:tr w:rsidR="00E55526" w:rsidRPr="00D01A30" w:rsidTr="00D01A30">
              <w:tc>
                <w:tcPr>
                  <w:tcW w:w="2439" w:type="dxa"/>
                  <w:vMerge w:val="restart"/>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Neoplasms benign,</w:t>
                  </w:r>
                </w:p>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malignant and unspecified</w:t>
                  </w:r>
                </w:p>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(including cysts and</w:t>
                  </w:r>
                </w:p>
                <w:p w:rsidR="00E55526" w:rsidRPr="00D01A30" w:rsidRDefault="00E55526" w:rsidP="00E55526">
                  <w:pPr>
                    <w:pStyle w:val="Paragraph"/>
                    <w:rPr>
                      <w:lang w:val="en-GB"/>
                    </w:rPr>
                  </w:pPr>
                  <w:r w:rsidRPr="00D01A30">
                    <w:rPr>
                      <w:sz w:val="21"/>
                      <w:szCs w:val="21"/>
                      <w:lang w:val="en-AU" w:eastAsia="en-AU"/>
                    </w:rPr>
                    <w:t>polyps)</w:t>
                  </w:r>
                </w:p>
              </w:tc>
              <w:tc>
                <w:tcPr>
                  <w:tcW w:w="1418" w:type="dxa"/>
                  <w:shd w:val="clear" w:color="auto" w:fill="auto"/>
                </w:tcPr>
                <w:p w:rsidR="00E55526" w:rsidRPr="00D01A30" w:rsidRDefault="00E55526" w:rsidP="00D103F3">
                  <w:pPr>
                    <w:pStyle w:val="Paragraph"/>
                    <w:rPr>
                      <w:lang w:val="en-GB"/>
                    </w:rPr>
                  </w:pPr>
                  <w:r w:rsidRPr="00D01A30">
                    <w:rPr>
                      <w:sz w:val="21"/>
                      <w:szCs w:val="21"/>
                      <w:lang w:val="en-AU" w:eastAsia="en-AU"/>
                    </w:rPr>
                    <w:t>Uncommon</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blood and lymphatic system malignancies (including</w:t>
                  </w:r>
                </w:p>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lymphoma and leukaemia), solid organ tumours, non</w:t>
                  </w:r>
                  <w:r w:rsidR="00801376">
                    <w:rPr>
                      <w:sz w:val="21"/>
                      <w:szCs w:val="21"/>
                      <w:lang w:val="en-AU" w:eastAsia="en-AU"/>
                    </w:rPr>
                    <w:t xml:space="preserve">-melanoma </w:t>
                  </w:r>
                  <w:r w:rsidRPr="00D01A30">
                    <w:rPr>
                      <w:sz w:val="21"/>
                      <w:szCs w:val="21"/>
                      <w:lang w:val="en-AU" w:eastAsia="en-AU"/>
                    </w:rPr>
                    <w:t>skin cancers, pre-cancerous lesions (including</w:t>
                  </w:r>
                </w:p>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 xml:space="preserve">oral </w:t>
                  </w:r>
                  <w:proofErr w:type="spellStart"/>
                  <w:r w:rsidRPr="00D01A30">
                    <w:rPr>
                      <w:sz w:val="21"/>
                      <w:szCs w:val="21"/>
                      <w:lang w:val="en-AU" w:eastAsia="en-AU"/>
                    </w:rPr>
                    <w:t>leukoplakia</w:t>
                  </w:r>
                  <w:proofErr w:type="spellEnd"/>
                  <w:r w:rsidRPr="00D01A30">
                    <w:rPr>
                      <w:sz w:val="21"/>
                      <w:szCs w:val="21"/>
                      <w:lang w:val="en-AU" w:eastAsia="en-AU"/>
                    </w:rPr>
                    <w:t>, melanocytic nevus), benign tumours and cysts (including skin papilloma)</w:t>
                  </w:r>
                </w:p>
              </w:tc>
            </w:tr>
            <w:tr w:rsidR="00E55526" w:rsidRPr="00D01A30" w:rsidTr="00D01A30">
              <w:tc>
                <w:tcPr>
                  <w:tcW w:w="2439" w:type="dxa"/>
                  <w:vMerge/>
                  <w:shd w:val="clear" w:color="auto" w:fill="auto"/>
                </w:tcPr>
                <w:p w:rsidR="00E55526" w:rsidRPr="00D01A30" w:rsidRDefault="00E55526" w:rsidP="00D103F3">
                  <w:pPr>
                    <w:pStyle w:val="Paragraph"/>
                    <w:rPr>
                      <w:lang w:val="en-GB"/>
                    </w:rPr>
                  </w:pPr>
                </w:p>
              </w:tc>
              <w:tc>
                <w:tcPr>
                  <w:tcW w:w="1418" w:type="dxa"/>
                  <w:shd w:val="clear" w:color="auto" w:fill="auto"/>
                </w:tcPr>
                <w:p w:rsidR="00E55526" w:rsidRPr="00D01A30" w:rsidRDefault="00E55526" w:rsidP="00D103F3">
                  <w:pPr>
                    <w:pStyle w:val="Paragraph"/>
                    <w:rPr>
                      <w:sz w:val="22"/>
                      <w:szCs w:val="22"/>
                      <w:lang w:val="en-GB"/>
                    </w:rPr>
                  </w:pPr>
                  <w:r w:rsidRPr="00D01A30">
                    <w:rPr>
                      <w:sz w:val="22"/>
                      <w:szCs w:val="22"/>
                      <w:lang w:val="en-GB"/>
                    </w:rPr>
                    <w:t>Rare</w:t>
                  </w:r>
                </w:p>
              </w:tc>
              <w:tc>
                <w:tcPr>
                  <w:tcW w:w="5054" w:type="dxa"/>
                  <w:shd w:val="clear" w:color="auto" w:fill="auto"/>
                </w:tcPr>
                <w:p w:rsidR="00E55526" w:rsidRPr="00D01A30" w:rsidRDefault="00E55526" w:rsidP="00D103F3">
                  <w:pPr>
                    <w:pStyle w:val="Paragraph"/>
                    <w:rPr>
                      <w:lang w:val="en-GB"/>
                    </w:rPr>
                  </w:pPr>
                  <w:r w:rsidRPr="00D01A30">
                    <w:rPr>
                      <w:sz w:val="21"/>
                      <w:szCs w:val="21"/>
                      <w:lang w:val="en-AU" w:eastAsia="en-AU"/>
                    </w:rPr>
                    <w:t>gastrointestinal tumours, melanoma</w:t>
                  </w:r>
                </w:p>
              </w:tc>
            </w:tr>
            <w:tr w:rsidR="00E55526" w:rsidRPr="00D01A30" w:rsidTr="00D01A30">
              <w:tc>
                <w:tcPr>
                  <w:tcW w:w="2439" w:type="dxa"/>
                  <w:vMerge/>
                  <w:shd w:val="clear" w:color="auto" w:fill="auto"/>
                </w:tcPr>
                <w:p w:rsidR="00E55526" w:rsidRPr="00D01A30" w:rsidRDefault="00E55526" w:rsidP="00D103F3">
                  <w:pPr>
                    <w:pStyle w:val="Paragraph"/>
                    <w:rPr>
                      <w:lang w:val="en-GB"/>
                    </w:rPr>
                  </w:pPr>
                </w:p>
              </w:tc>
              <w:tc>
                <w:tcPr>
                  <w:tcW w:w="1418" w:type="dxa"/>
                  <w:shd w:val="clear" w:color="auto" w:fill="auto"/>
                </w:tcPr>
                <w:p w:rsidR="00E55526" w:rsidRPr="00D01A30" w:rsidRDefault="00E55526" w:rsidP="00D103F3">
                  <w:pPr>
                    <w:pStyle w:val="Paragraph"/>
                    <w:rPr>
                      <w:sz w:val="22"/>
                      <w:szCs w:val="22"/>
                      <w:lang w:val="en-GB"/>
                    </w:rPr>
                  </w:pPr>
                  <w:r w:rsidRPr="00D01A30">
                    <w:rPr>
                      <w:sz w:val="22"/>
                      <w:szCs w:val="22"/>
                      <w:lang w:val="en-GB"/>
                    </w:rPr>
                    <w:t>Not Known</w:t>
                  </w:r>
                </w:p>
              </w:tc>
              <w:tc>
                <w:tcPr>
                  <w:tcW w:w="5054" w:type="dxa"/>
                  <w:shd w:val="clear" w:color="auto" w:fill="auto"/>
                </w:tcPr>
                <w:p w:rsidR="00E55526" w:rsidRPr="00D01A30" w:rsidRDefault="00E55526" w:rsidP="00D103F3">
                  <w:pPr>
                    <w:pStyle w:val="Paragraph"/>
                    <w:rPr>
                      <w:lang w:val="en-GB"/>
                    </w:rPr>
                  </w:pPr>
                  <w:r w:rsidRPr="00D01A30">
                    <w:rPr>
                      <w:sz w:val="21"/>
                      <w:szCs w:val="21"/>
                      <w:lang w:val="en-AU" w:eastAsia="en-AU"/>
                    </w:rPr>
                    <w:t>Merkel cell carcinoma*</w:t>
                  </w:r>
                </w:p>
              </w:tc>
            </w:tr>
            <w:tr w:rsidR="00E55526" w:rsidRPr="00D01A30" w:rsidTr="00D01A30">
              <w:tc>
                <w:tcPr>
                  <w:tcW w:w="2439" w:type="dxa"/>
                  <w:vMerge w:val="restart"/>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Blood and the lymphatic</w:t>
                  </w:r>
                </w:p>
                <w:p w:rsidR="00E55526" w:rsidRPr="00D01A30" w:rsidRDefault="00E55526" w:rsidP="00E55526">
                  <w:pPr>
                    <w:pStyle w:val="Paragraph"/>
                    <w:rPr>
                      <w:lang w:val="en-GB"/>
                    </w:rPr>
                  </w:pPr>
                  <w:r w:rsidRPr="00D01A30">
                    <w:rPr>
                      <w:sz w:val="21"/>
                      <w:szCs w:val="21"/>
                      <w:lang w:val="en-AU" w:eastAsia="en-AU"/>
                    </w:rPr>
                    <w:t>system disorders</w:t>
                  </w:r>
                </w:p>
              </w:tc>
              <w:tc>
                <w:tcPr>
                  <w:tcW w:w="1418" w:type="dxa"/>
                  <w:shd w:val="clear" w:color="auto" w:fill="auto"/>
                </w:tcPr>
                <w:p w:rsidR="00E55526" w:rsidRPr="00D01A30" w:rsidRDefault="00E55526" w:rsidP="00D103F3">
                  <w:pPr>
                    <w:pStyle w:val="Paragraph"/>
                    <w:rPr>
                      <w:lang w:val="en-GB"/>
                    </w:rPr>
                  </w:pPr>
                  <w:r w:rsidRPr="00D01A30">
                    <w:rPr>
                      <w:sz w:val="21"/>
                      <w:szCs w:val="21"/>
                      <w:lang w:val="en-AU" w:eastAsia="en-AU"/>
                    </w:rPr>
                    <w:t>Common</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 xml:space="preserve">eosinophilic disorders, </w:t>
                  </w:r>
                  <w:proofErr w:type="spellStart"/>
                  <w:r w:rsidRPr="00D01A30">
                    <w:rPr>
                      <w:sz w:val="21"/>
                      <w:szCs w:val="21"/>
                      <w:lang w:val="en-AU" w:eastAsia="en-AU"/>
                    </w:rPr>
                    <w:t>leukopaenia</w:t>
                  </w:r>
                  <w:proofErr w:type="spellEnd"/>
                  <w:r w:rsidRPr="00D01A30">
                    <w:rPr>
                      <w:sz w:val="21"/>
                      <w:szCs w:val="21"/>
                      <w:lang w:val="en-AU" w:eastAsia="en-AU"/>
                    </w:rPr>
                    <w:t xml:space="preserve"> (including</w:t>
                  </w:r>
                </w:p>
                <w:p w:rsidR="00E55526" w:rsidRPr="00D01A30" w:rsidRDefault="00E55526" w:rsidP="00E55526">
                  <w:pPr>
                    <w:pStyle w:val="Paragraph"/>
                    <w:rPr>
                      <w:lang w:val="en-GB"/>
                    </w:rPr>
                  </w:pPr>
                  <w:proofErr w:type="spellStart"/>
                  <w:r w:rsidRPr="00D01A30">
                    <w:rPr>
                      <w:sz w:val="21"/>
                      <w:szCs w:val="21"/>
                      <w:lang w:val="en-AU" w:eastAsia="en-AU"/>
                    </w:rPr>
                    <w:t>neutropaenia</w:t>
                  </w:r>
                  <w:proofErr w:type="spellEnd"/>
                  <w:r w:rsidRPr="00D01A30">
                    <w:rPr>
                      <w:sz w:val="21"/>
                      <w:szCs w:val="21"/>
                      <w:lang w:val="en-AU" w:eastAsia="en-AU"/>
                    </w:rPr>
                    <w:t xml:space="preserve">, </w:t>
                  </w:r>
                  <w:proofErr w:type="spellStart"/>
                  <w:r w:rsidRPr="00D01A30">
                    <w:rPr>
                      <w:sz w:val="21"/>
                      <w:szCs w:val="21"/>
                      <w:lang w:val="en-AU" w:eastAsia="en-AU"/>
                    </w:rPr>
                    <w:t>lymphopaenia</w:t>
                  </w:r>
                  <w:proofErr w:type="spellEnd"/>
                  <w:r w:rsidRPr="00D01A30">
                    <w:rPr>
                      <w:sz w:val="21"/>
                      <w:szCs w:val="21"/>
                      <w:lang w:val="en-AU" w:eastAsia="en-AU"/>
                    </w:rPr>
                    <w:t>)</w:t>
                  </w:r>
                </w:p>
              </w:tc>
            </w:tr>
            <w:tr w:rsidR="00E55526" w:rsidRPr="00D01A30" w:rsidTr="00D01A30">
              <w:tc>
                <w:tcPr>
                  <w:tcW w:w="2439" w:type="dxa"/>
                  <w:vMerge/>
                  <w:shd w:val="clear" w:color="auto" w:fill="auto"/>
                </w:tcPr>
                <w:p w:rsidR="00E55526" w:rsidRPr="00D01A30" w:rsidRDefault="00E55526" w:rsidP="00D103F3">
                  <w:pPr>
                    <w:pStyle w:val="Paragraph"/>
                    <w:rPr>
                      <w:lang w:val="en-GB"/>
                    </w:rPr>
                  </w:pPr>
                </w:p>
              </w:tc>
              <w:tc>
                <w:tcPr>
                  <w:tcW w:w="1418" w:type="dxa"/>
                  <w:shd w:val="clear" w:color="auto" w:fill="auto"/>
                </w:tcPr>
                <w:p w:rsidR="00E55526" w:rsidRPr="008E22D0" w:rsidRDefault="00E55526" w:rsidP="00D103F3">
                  <w:pPr>
                    <w:pStyle w:val="Paragraph"/>
                    <w:rPr>
                      <w:sz w:val="22"/>
                      <w:szCs w:val="22"/>
                      <w:lang w:val="en-GB"/>
                    </w:rPr>
                  </w:pPr>
                  <w:r w:rsidRPr="008E22D0">
                    <w:rPr>
                      <w:sz w:val="22"/>
                      <w:szCs w:val="22"/>
                      <w:lang w:val="en-GB"/>
                    </w:rPr>
                    <w:t>Uncommon</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r w:rsidRPr="00D01A30">
                    <w:rPr>
                      <w:sz w:val="21"/>
                      <w:szCs w:val="21"/>
                      <w:lang w:val="en-AU" w:eastAsia="en-AU"/>
                    </w:rPr>
                    <w:t xml:space="preserve">anaemia, lymphadenopathy, </w:t>
                  </w:r>
                  <w:proofErr w:type="spellStart"/>
                  <w:r w:rsidRPr="00D01A30">
                    <w:rPr>
                      <w:sz w:val="21"/>
                      <w:szCs w:val="21"/>
                      <w:lang w:val="en-AU" w:eastAsia="en-AU"/>
                    </w:rPr>
                    <w:t>thrombocytopaenia</w:t>
                  </w:r>
                  <w:proofErr w:type="spellEnd"/>
                  <w:r w:rsidRPr="00D01A30">
                    <w:rPr>
                      <w:sz w:val="21"/>
                      <w:szCs w:val="21"/>
                      <w:lang w:val="en-AU" w:eastAsia="en-AU"/>
                    </w:rPr>
                    <w:t>,</w:t>
                  </w:r>
                </w:p>
                <w:p w:rsidR="00E55526" w:rsidRPr="00D01A30" w:rsidRDefault="00E55526" w:rsidP="00E55526">
                  <w:pPr>
                    <w:pStyle w:val="Paragraph"/>
                    <w:rPr>
                      <w:lang w:val="en-GB"/>
                    </w:rPr>
                  </w:pPr>
                  <w:r w:rsidRPr="00D01A30">
                    <w:rPr>
                      <w:sz w:val="21"/>
                      <w:szCs w:val="21"/>
                      <w:lang w:val="en-AU" w:eastAsia="en-AU"/>
                    </w:rPr>
                    <w:t>thrombocytosis</w:t>
                  </w:r>
                </w:p>
              </w:tc>
            </w:tr>
            <w:tr w:rsidR="00E55526" w:rsidRPr="00D01A30" w:rsidTr="00D01A30">
              <w:tc>
                <w:tcPr>
                  <w:tcW w:w="2439" w:type="dxa"/>
                  <w:vMerge/>
                  <w:shd w:val="clear" w:color="auto" w:fill="auto"/>
                </w:tcPr>
                <w:p w:rsidR="00E55526" w:rsidRPr="00D01A30" w:rsidRDefault="00E55526" w:rsidP="00D103F3">
                  <w:pPr>
                    <w:pStyle w:val="Paragraph"/>
                    <w:rPr>
                      <w:lang w:val="en-GB"/>
                    </w:rPr>
                  </w:pPr>
                </w:p>
              </w:tc>
              <w:tc>
                <w:tcPr>
                  <w:tcW w:w="1418" w:type="dxa"/>
                  <w:shd w:val="clear" w:color="auto" w:fill="auto"/>
                </w:tcPr>
                <w:p w:rsidR="00E55526" w:rsidRPr="008E22D0" w:rsidRDefault="00E55526" w:rsidP="00D103F3">
                  <w:pPr>
                    <w:pStyle w:val="Paragraph"/>
                    <w:rPr>
                      <w:sz w:val="22"/>
                      <w:szCs w:val="22"/>
                      <w:lang w:val="en-GB"/>
                    </w:rPr>
                  </w:pPr>
                  <w:r w:rsidRPr="008E22D0">
                    <w:rPr>
                      <w:sz w:val="22"/>
                      <w:szCs w:val="22"/>
                      <w:lang w:val="en-GB"/>
                    </w:rPr>
                    <w:t>Rare</w:t>
                  </w:r>
                </w:p>
              </w:tc>
              <w:tc>
                <w:tcPr>
                  <w:tcW w:w="5054" w:type="dxa"/>
                  <w:shd w:val="clear" w:color="auto" w:fill="auto"/>
                </w:tcPr>
                <w:p w:rsidR="00E55526" w:rsidRPr="00D01A30" w:rsidRDefault="00E55526" w:rsidP="00D01A30">
                  <w:pPr>
                    <w:autoSpaceDE w:val="0"/>
                    <w:autoSpaceDN w:val="0"/>
                    <w:adjustRightInd w:val="0"/>
                    <w:rPr>
                      <w:sz w:val="21"/>
                      <w:szCs w:val="21"/>
                      <w:lang w:val="en-AU" w:eastAsia="en-AU"/>
                    </w:rPr>
                  </w:pPr>
                  <w:proofErr w:type="spellStart"/>
                  <w:r w:rsidRPr="00D01A30">
                    <w:rPr>
                      <w:sz w:val="21"/>
                      <w:szCs w:val="21"/>
                      <w:lang w:val="en-AU" w:eastAsia="en-AU"/>
                    </w:rPr>
                    <w:t>pancytopaenia</w:t>
                  </w:r>
                  <w:proofErr w:type="spellEnd"/>
                  <w:r w:rsidRPr="00D01A30">
                    <w:rPr>
                      <w:sz w:val="21"/>
                      <w:szCs w:val="21"/>
                      <w:lang w:val="en-AU" w:eastAsia="en-AU"/>
                    </w:rPr>
                    <w:t xml:space="preserve">, splenomegaly, </w:t>
                  </w:r>
                  <w:proofErr w:type="spellStart"/>
                  <w:r w:rsidRPr="00D01A30">
                    <w:rPr>
                      <w:sz w:val="21"/>
                      <w:szCs w:val="21"/>
                      <w:lang w:val="en-AU" w:eastAsia="en-AU"/>
                    </w:rPr>
                    <w:t>erythrocytosis</w:t>
                  </w:r>
                  <w:proofErr w:type="spellEnd"/>
                  <w:r w:rsidRPr="00D01A30">
                    <w:rPr>
                      <w:sz w:val="21"/>
                      <w:szCs w:val="21"/>
                      <w:lang w:val="en-AU" w:eastAsia="en-AU"/>
                    </w:rPr>
                    <w:t>, white blood cell morphology abnormal</w:t>
                  </w:r>
                </w:p>
              </w:tc>
            </w:tr>
            <w:tr w:rsidR="00A840F4" w:rsidRPr="00D01A30" w:rsidTr="00D01A30">
              <w:tc>
                <w:tcPr>
                  <w:tcW w:w="2439" w:type="dxa"/>
                  <w:vMerge w:val="restart"/>
                  <w:shd w:val="clear" w:color="auto" w:fill="auto"/>
                </w:tcPr>
                <w:p w:rsidR="00A840F4" w:rsidRPr="00D01A30" w:rsidRDefault="00A840F4" w:rsidP="00D103F3">
                  <w:pPr>
                    <w:pStyle w:val="Paragraph"/>
                    <w:rPr>
                      <w:lang w:val="en-GB"/>
                    </w:rPr>
                  </w:pPr>
                  <w:r w:rsidRPr="00D01A30">
                    <w:rPr>
                      <w:sz w:val="21"/>
                      <w:szCs w:val="21"/>
                      <w:lang w:val="en-AU" w:eastAsia="en-AU"/>
                    </w:rPr>
                    <w:lastRenderedPageBreak/>
                    <w:t>Immune system disorders</w:t>
                  </w:r>
                </w:p>
              </w:tc>
              <w:tc>
                <w:tcPr>
                  <w:tcW w:w="1418" w:type="dxa"/>
                  <w:shd w:val="clear" w:color="auto" w:fill="auto"/>
                </w:tcPr>
                <w:p w:rsidR="00A840F4" w:rsidRPr="008E22D0" w:rsidRDefault="00A840F4" w:rsidP="00D103F3">
                  <w:pPr>
                    <w:pStyle w:val="Paragraph"/>
                    <w:rPr>
                      <w:sz w:val="22"/>
                      <w:szCs w:val="22"/>
                      <w:lang w:val="en-GB"/>
                    </w:rPr>
                  </w:pPr>
                  <w:r w:rsidRPr="008E22D0">
                    <w:rPr>
                      <w:sz w:val="22"/>
                      <w:szCs w:val="22"/>
                      <w:lang w:val="en-GB"/>
                    </w:rPr>
                    <w:t>Uncommon</w:t>
                  </w:r>
                </w:p>
              </w:tc>
              <w:tc>
                <w:tcPr>
                  <w:tcW w:w="5054" w:type="dxa"/>
                  <w:shd w:val="clear" w:color="auto" w:fill="auto"/>
                </w:tcPr>
                <w:p w:rsidR="00A840F4" w:rsidRPr="00D01A30" w:rsidRDefault="00A840F4" w:rsidP="00D01A30">
                  <w:pPr>
                    <w:autoSpaceDE w:val="0"/>
                    <w:autoSpaceDN w:val="0"/>
                    <w:adjustRightInd w:val="0"/>
                    <w:rPr>
                      <w:sz w:val="21"/>
                      <w:szCs w:val="21"/>
                      <w:lang w:val="en-AU" w:eastAsia="en-AU"/>
                    </w:rPr>
                  </w:pPr>
                  <w:proofErr w:type="spellStart"/>
                  <w:r w:rsidRPr="00D01A30">
                    <w:rPr>
                      <w:sz w:val="21"/>
                      <w:szCs w:val="21"/>
                      <w:lang w:val="en-AU" w:eastAsia="en-AU"/>
                    </w:rPr>
                    <w:t>vasculitides</w:t>
                  </w:r>
                  <w:proofErr w:type="spellEnd"/>
                  <w:r w:rsidRPr="00D01A30">
                    <w:rPr>
                      <w:sz w:val="21"/>
                      <w:szCs w:val="21"/>
                      <w:lang w:val="en-AU" w:eastAsia="en-AU"/>
                    </w:rPr>
                    <w:t>, lupus erythematosus, drug hypersensitivity</w:t>
                  </w:r>
                </w:p>
                <w:p w:rsidR="00A840F4" w:rsidRPr="00D01A30" w:rsidRDefault="00A840F4" w:rsidP="00D01A30">
                  <w:pPr>
                    <w:autoSpaceDE w:val="0"/>
                    <w:autoSpaceDN w:val="0"/>
                    <w:adjustRightInd w:val="0"/>
                    <w:rPr>
                      <w:sz w:val="21"/>
                      <w:szCs w:val="21"/>
                      <w:lang w:val="en-AU" w:eastAsia="en-AU"/>
                    </w:rPr>
                  </w:pPr>
                  <w:r w:rsidRPr="00D01A30">
                    <w:rPr>
                      <w:sz w:val="21"/>
                      <w:szCs w:val="21"/>
                      <w:lang w:val="en-AU" w:eastAsia="en-AU"/>
                    </w:rPr>
                    <w:t>(including anaphylactic shock), allergic disorders,</w:t>
                  </w:r>
                </w:p>
                <w:p w:rsidR="00A840F4" w:rsidRPr="00D01A30" w:rsidRDefault="00A840F4" w:rsidP="00A840F4">
                  <w:pPr>
                    <w:pStyle w:val="Paragraph"/>
                    <w:rPr>
                      <w:lang w:val="en-GB"/>
                    </w:rPr>
                  </w:pPr>
                  <w:r w:rsidRPr="00D01A30">
                    <w:rPr>
                      <w:sz w:val="21"/>
                      <w:szCs w:val="21"/>
                      <w:lang w:val="en-AU" w:eastAsia="en-AU"/>
                    </w:rPr>
                    <w:t>autoantibody positive</w:t>
                  </w:r>
                </w:p>
              </w:tc>
            </w:tr>
            <w:tr w:rsidR="00A840F4" w:rsidRPr="00D01A30" w:rsidTr="00D01A30">
              <w:tc>
                <w:tcPr>
                  <w:tcW w:w="2439" w:type="dxa"/>
                  <w:vMerge/>
                  <w:shd w:val="clear" w:color="auto" w:fill="auto"/>
                </w:tcPr>
                <w:p w:rsidR="00A840F4" w:rsidRPr="00D01A30" w:rsidRDefault="00A840F4" w:rsidP="00D103F3">
                  <w:pPr>
                    <w:pStyle w:val="Paragraph"/>
                    <w:rPr>
                      <w:lang w:val="en-GB"/>
                    </w:rPr>
                  </w:pPr>
                </w:p>
              </w:tc>
              <w:tc>
                <w:tcPr>
                  <w:tcW w:w="1418" w:type="dxa"/>
                  <w:shd w:val="clear" w:color="auto" w:fill="auto"/>
                </w:tcPr>
                <w:p w:rsidR="00A840F4" w:rsidRPr="008E22D0" w:rsidRDefault="00A840F4" w:rsidP="00D103F3">
                  <w:pPr>
                    <w:pStyle w:val="Paragraph"/>
                    <w:rPr>
                      <w:sz w:val="22"/>
                      <w:szCs w:val="22"/>
                      <w:lang w:val="en-GB"/>
                    </w:rPr>
                  </w:pPr>
                  <w:r w:rsidRPr="008E22D0">
                    <w:rPr>
                      <w:sz w:val="22"/>
                      <w:szCs w:val="22"/>
                      <w:lang w:val="en-GB"/>
                    </w:rPr>
                    <w:t>Rare</w:t>
                  </w:r>
                </w:p>
              </w:tc>
              <w:tc>
                <w:tcPr>
                  <w:tcW w:w="5054" w:type="dxa"/>
                  <w:shd w:val="clear" w:color="auto" w:fill="auto"/>
                </w:tcPr>
                <w:p w:rsidR="00A840F4" w:rsidRPr="00D01A30" w:rsidRDefault="00A840F4" w:rsidP="00D01A30">
                  <w:pPr>
                    <w:autoSpaceDE w:val="0"/>
                    <w:autoSpaceDN w:val="0"/>
                    <w:adjustRightInd w:val="0"/>
                    <w:rPr>
                      <w:sz w:val="21"/>
                      <w:szCs w:val="21"/>
                      <w:lang w:val="en-AU" w:eastAsia="en-AU"/>
                    </w:rPr>
                  </w:pPr>
                  <w:proofErr w:type="spellStart"/>
                  <w:r w:rsidRPr="00D01A30">
                    <w:rPr>
                      <w:sz w:val="21"/>
                      <w:szCs w:val="21"/>
                      <w:lang w:val="en-AU" w:eastAsia="en-AU"/>
                    </w:rPr>
                    <w:t>angioneurotic</w:t>
                  </w:r>
                  <w:proofErr w:type="spellEnd"/>
                  <w:r w:rsidRPr="00D01A30">
                    <w:rPr>
                      <w:sz w:val="21"/>
                      <w:szCs w:val="21"/>
                      <w:lang w:val="en-AU" w:eastAsia="en-AU"/>
                    </w:rPr>
                    <w:t xml:space="preserve"> oedema, sarcoidosis, serum sickness,</w:t>
                  </w:r>
                </w:p>
                <w:p w:rsidR="00A840F4" w:rsidRPr="00D01A30" w:rsidRDefault="00A840F4" w:rsidP="00A840F4">
                  <w:pPr>
                    <w:pStyle w:val="Paragraph"/>
                    <w:rPr>
                      <w:lang w:val="en-GB"/>
                    </w:rPr>
                  </w:pPr>
                  <w:r w:rsidRPr="00D01A30">
                    <w:rPr>
                      <w:sz w:val="21"/>
                      <w:szCs w:val="21"/>
                      <w:lang w:val="en-AU" w:eastAsia="en-AU"/>
                    </w:rPr>
                    <w:t xml:space="preserve">panniculitis (including erythema </w:t>
                  </w:r>
                  <w:proofErr w:type="spellStart"/>
                  <w:r w:rsidRPr="00D01A30">
                    <w:rPr>
                      <w:sz w:val="21"/>
                      <w:szCs w:val="21"/>
                      <w:lang w:val="en-AU" w:eastAsia="en-AU"/>
                    </w:rPr>
                    <w:t>nodosum</w:t>
                  </w:r>
                  <w:proofErr w:type="spellEnd"/>
                  <w:r w:rsidRPr="00D01A30">
                    <w:rPr>
                      <w:sz w:val="21"/>
                      <w:szCs w:val="21"/>
                      <w:lang w:val="en-AU" w:eastAsia="en-AU"/>
                    </w:rPr>
                    <w:t>)</w:t>
                  </w:r>
                </w:p>
              </w:tc>
            </w:tr>
            <w:tr w:rsidR="005D56BB" w:rsidRPr="00D01A30" w:rsidTr="00D01A30">
              <w:tc>
                <w:tcPr>
                  <w:tcW w:w="2439" w:type="dxa"/>
                  <w:shd w:val="clear" w:color="auto" w:fill="auto"/>
                </w:tcPr>
                <w:p w:rsidR="005D56BB" w:rsidRPr="00D01A30" w:rsidRDefault="005D56BB" w:rsidP="005D56BB">
                  <w:pPr>
                    <w:pStyle w:val="Paragraph"/>
                    <w:rPr>
                      <w:lang w:val="en-GB"/>
                    </w:rPr>
                  </w:pPr>
                  <w:r w:rsidRPr="00D01A30">
                    <w:rPr>
                      <w:sz w:val="21"/>
                      <w:szCs w:val="21"/>
                      <w:lang w:val="en-AU" w:eastAsia="en-AU"/>
                    </w:rPr>
                    <w:t>Endocrine disorders</w:t>
                  </w:r>
                </w:p>
              </w:tc>
              <w:tc>
                <w:tcPr>
                  <w:tcW w:w="1418" w:type="dxa"/>
                  <w:shd w:val="clear" w:color="auto" w:fill="auto"/>
                </w:tcPr>
                <w:p w:rsidR="005D56BB" w:rsidRPr="00D01A30" w:rsidRDefault="005D56BB" w:rsidP="00D103F3">
                  <w:pPr>
                    <w:pStyle w:val="Paragraph"/>
                    <w:rPr>
                      <w:lang w:val="en-GB"/>
                    </w:rPr>
                  </w:pPr>
                  <w:r w:rsidRPr="00D01A30">
                    <w:rPr>
                      <w:lang w:val="en-GB"/>
                    </w:rPr>
                    <w:t>Rare</w:t>
                  </w:r>
                </w:p>
              </w:tc>
              <w:tc>
                <w:tcPr>
                  <w:tcW w:w="5054" w:type="dxa"/>
                  <w:shd w:val="clear" w:color="auto" w:fill="auto"/>
                </w:tcPr>
                <w:p w:rsidR="005D56BB" w:rsidRPr="00D01A30" w:rsidRDefault="005D56BB" w:rsidP="00D103F3">
                  <w:pPr>
                    <w:pStyle w:val="Paragraph"/>
                    <w:rPr>
                      <w:lang w:val="en-GB"/>
                    </w:rPr>
                  </w:pPr>
                  <w:r w:rsidRPr="00D01A30">
                    <w:rPr>
                      <w:sz w:val="21"/>
                      <w:szCs w:val="21"/>
                      <w:lang w:val="en-AU" w:eastAsia="en-AU"/>
                    </w:rPr>
                    <w:t>thyroid disorders</w:t>
                  </w:r>
                </w:p>
              </w:tc>
            </w:tr>
            <w:tr w:rsidR="005D56BB" w:rsidRPr="00D01A30" w:rsidTr="00D01A30">
              <w:tc>
                <w:tcPr>
                  <w:tcW w:w="2439" w:type="dxa"/>
                  <w:vMerge w:val="restart"/>
                  <w:shd w:val="clear" w:color="auto" w:fill="auto"/>
                </w:tcPr>
                <w:p w:rsidR="005D56BB" w:rsidRPr="00D01A30" w:rsidRDefault="005D56BB" w:rsidP="00D01A30">
                  <w:pPr>
                    <w:autoSpaceDE w:val="0"/>
                    <w:autoSpaceDN w:val="0"/>
                    <w:adjustRightInd w:val="0"/>
                    <w:rPr>
                      <w:sz w:val="21"/>
                      <w:szCs w:val="21"/>
                      <w:lang w:val="en-AU" w:eastAsia="en-AU"/>
                    </w:rPr>
                  </w:pPr>
                  <w:r w:rsidRPr="00D01A30">
                    <w:rPr>
                      <w:sz w:val="21"/>
                      <w:szCs w:val="21"/>
                      <w:lang w:val="en-AU" w:eastAsia="en-AU"/>
                    </w:rPr>
                    <w:t>Metabolism and nutrition</w:t>
                  </w:r>
                </w:p>
                <w:p w:rsidR="005D56BB" w:rsidRPr="00D01A30" w:rsidRDefault="005D56BB" w:rsidP="005D56BB">
                  <w:pPr>
                    <w:pStyle w:val="Paragraph"/>
                    <w:rPr>
                      <w:lang w:val="en-GB"/>
                    </w:rPr>
                  </w:pPr>
                  <w:r w:rsidRPr="00D01A30">
                    <w:rPr>
                      <w:sz w:val="21"/>
                      <w:szCs w:val="21"/>
                      <w:lang w:val="en-AU" w:eastAsia="en-AU"/>
                    </w:rPr>
                    <w:t>disorders</w:t>
                  </w:r>
                </w:p>
              </w:tc>
              <w:tc>
                <w:tcPr>
                  <w:tcW w:w="1418" w:type="dxa"/>
                  <w:shd w:val="clear" w:color="auto" w:fill="auto"/>
                </w:tcPr>
                <w:p w:rsidR="005D56BB" w:rsidRPr="00D01A30" w:rsidRDefault="005D56BB" w:rsidP="00D103F3">
                  <w:pPr>
                    <w:pStyle w:val="Paragraph"/>
                    <w:rPr>
                      <w:lang w:val="en-GB"/>
                    </w:rPr>
                  </w:pPr>
                  <w:r w:rsidRPr="00D01A30">
                    <w:rPr>
                      <w:sz w:val="22"/>
                      <w:szCs w:val="22"/>
                      <w:lang w:val="en-GB"/>
                    </w:rPr>
                    <w:t>Uncommon</w:t>
                  </w:r>
                </w:p>
              </w:tc>
              <w:tc>
                <w:tcPr>
                  <w:tcW w:w="5054" w:type="dxa"/>
                  <w:shd w:val="clear" w:color="auto" w:fill="auto"/>
                </w:tcPr>
                <w:p w:rsidR="005D56BB" w:rsidRPr="00D01A30" w:rsidRDefault="005D56BB" w:rsidP="00D01A30">
                  <w:pPr>
                    <w:autoSpaceDE w:val="0"/>
                    <w:autoSpaceDN w:val="0"/>
                    <w:adjustRightInd w:val="0"/>
                    <w:rPr>
                      <w:sz w:val="21"/>
                      <w:szCs w:val="21"/>
                      <w:lang w:val="en-AU" w:eastAsia="en-AU"/>
                    </w:rPr>
                  </w:pPr>
                  <w:r w:rsidRPr="00D01A30">
                    <w:rPr>
                      <w:sz w:val="21"/>
                      <w:szCs w:val="21"/>
                      <w:lang w:val="en-AU" w:eastAsia="en-AU"/>
                    </w:rPr>
                    <w:t>electrolyte imbalance, dyslipidaemia, appetite disorders,</w:t>
                  </w:r>
                </w:p>
                <w:p w:rsidR="005D56BB" w:rsidRPr="00D01A30" w:rsidRDefault="005D56BB" w:rsidP="005D56BB">
                  <w:pPr>
                    <w:pStyle w:val="Paragraph"/>
                    <w:rPr>
                      <w:lang w:val="en-GB"/>
                    </w:rPr>
                  </w:pPr>
                  <w:r w:rsidRPr="00D01A30">
                    <w:rPr>
                      <w:sz w:val="21"/>
                      <w:szCs w:val="21"/>
                      <w:lang w:val="en-AU" w:eastAsia="en-AU"/>
                    </w:rPr>
                    <w:t>weight change</w:t>
                  </w:r>
                </w:p>
              </w:tc>
            </w:tr>
            <w:tr w:rsidR="005D56BB" w:rsidRPr="00D01A30" w:rsidTr="00D01A30">
              <w:tc>
                <w:tcPr>
                  <w:tcW w:w="2439" w:type="dxa"/>
                  <w:vMerge/>
                  <w:shd w:val="clear" w:color="auto" w:fill="auto"/>
                </w:tcPr>
                <w:p w:rsidR="005D56BB" w:rsidRPr="00D01A30" w:rsidRDefault="005D56BB" w:rsidP="00D103F3">
                  <w:pPr>
                    <w:pStyle w:val="Paragraph"/>
                    <w:rPr>
                      <w:lang w:val="en-GB"/>
                    </w:rPr>
                  </w:pPr>
                </w:p>
              </w:tc>
              <w:tc>
                <w:tcPr>
                  <w:tcW w:w="1418" w:type="dxa"/>
                  <w:shd w:val="clear" w:color="auto" w:fill="auto"/>
                </w:tcPr>
                <w:p w:rsidR="005D56BB" w:rsidRPr="00D01A30" w:rsidRDefault="005D56BB" w:rsidP="00D103F3">
                  <w:pPr>
                    <w:pStyle w:val="Paragraph"/>
                    <w:rPr>
                      <w:lang w:val="en-GB"/>
                    </w:rPr>
                  </w:pPr>
                  <w:r w:rsidRPr="00D01A30">
                    <w:rPr>
                      <w:sz w:val="22"/>
                      <w:szCs w:val="22"/>
                      <w:lang w:val="en-GB"/>
                    </w:rPr>
                    <w:t>Rare</w:t>
                  </w:r>
                </w:p>
              </w:tc>
              <w:tc>
                <w:tcPr>
                  <w:tcW w:w="5054" w:type="dxa"/>
                  <w:shd w:val="clear" w:color="auto" w:fill="auto"/>
                </w:tcPr>
                <w:p w:rsidR="005D56BB" w:rsidRPr="00D01A30" w:rsidRDefault="005D56BB" w:rsidP="00D103F3">
                  <w:pPr>
                    <w:pStyle w:val="Paragraph"/>
                    <w:rPr>
                      <w:lang w:val="en-GB"/>
                    </w:rPr>
                  </w:pPr>
                  <w:proofErr w:type="spellStart"/>
                  <w:r w:rsidRPr="00D01A30">
                    <w:rPr>
                      <w:sz w:val="21"/>
                      <w:szCs w:val="21"/>
                      <w:lang w:val="en-AU" w:eastAsia="en-AU"/>
                    </w:rPr>
                    <w:t>haemosideros</w:t>
                  </w:r>
                  <w:r w:rsidR="000360BF">
                    <w:rPr>
                      <w:sz w:val="21"/>
                      <w:szCs w:val="21"/>
                      <w:lang w:val="en-AU" w:eastAsia="en-AU"/>
                    </w:rPr>
                    <w:t>is</w:t>
                  </w:r>
                  <w:proofErr w:type="spellEnd"/>
                </w:p>
              </w:tc>
            </w:tr>
            <w:tr w:rsidR="00574597" w:rsidRPr="00D01A30" w:rsidTr="00D01A30">
              <w:tc>
                <w:tcPr>
                  <w:tcW w:w="2439" w:type="dxa"/>
                  <w:vMerge w:val="restart"/>
                  <w:shd w:val="clear" w:color="auto" w:fill="auto"/>
                </w:tcPr>
                <w:p w:rsidR="00574597" w:rsidRPr="00D01A30" w:rsidRDefault="00574597" w:rsidP="00D103F3">
                  <w:pPr>
                    <w:pStyle w:val="Paragraph"/>
                    <w:rPr>
                      <w:lang w:val="en-GB"/>
                    </w:rPr>
                  </w:pPr>
                  <w:r w:rsidRPr="00D01A30">
                    <w:rPr>
                      <w:sz w:val="21"/>
                      <w:szCs w:val="21"/>
                      <w:lang w:val="en-AU" w:eastAsia="en-AU"/>
                    </w:rPr>
                    <w:t>Psychiatric disorders</w:t>
                  </w:r>
                </w:p>
              </w:tc>
              <w:tc>
                <w:tcPr>
                  <w:tcW w:w="1418" w:type="dxa"/>
                  <w:shd w:val="clear" w:color="auto" w:fill="auto"/>
                </w:tcPr>
                <w:p w:rsidR="00574597" w:rsidRPr="00D01A30" w:rsidRDefault="00574597" w:rsidP="00D103F3">
                  <w:pPr>
                    <w:pStyle w:val="Paragraph"/>
                    <w:rPr>
                      <w:lang w:val="en-GB"/>
                    </w:rPr>
                  </w:pPr>
                  <w:r w:rsidRPr="00D01A30">
                    <w:rPr>
                      <w:sz w:val="22"/>
                      <w:szCs w:val="22"/>
                      <w:lang w:val="en-GB"/>
                    </w:rPr>
                    <w:t>Uncommon</w:t>
                  </w:r>
                </w:p>
              </w:tc>
              <w:tc>
                <w:tcPr>
                  <w:tcW w:w="5054" w:type="dxa"/>
                  <w:shd w:val="clear" w:color="auto" w:fill="auto"/>
                </w:tcPr>
                <w:p w:rsidR="00574597" w:rsidRPr="00D01A30" w:rsidRDefault="00574597" w:rsidP="00D01A30">
                  <w:pPr>
                    <w:autoSpaceDE w:val="0"/>
                    <w:autoSpaceDN w:val="0"/>
                    <w:adjustRightInd w:val="0"/>
                    <w:rPr>
                      <w:sz w:val="21"/>
                      <w:szCs w:val="21"/>
                      <w:lang w:val="en-AU" w:eastAsia="en-AU"/>
                    </w:rPr>
                  </w:pPr>
                  <w:r w:rsidRPr="00D01A30">
                    <w:rPr>
                      <w:sz w:val="21"/>
                      <w:szCs w:val="21"/>
                      <w:lang w:val="en-AU" w:eastAsia="en-AU"/>
                    </w:rPr>
                    <w:t>anxiety and mood disorders (including associated</w:t>
                  </w:r>
                </w:p>
                <w:p w:rsidR="00574597" w:rsidRPr="00D01A30" w:rsidRDefault="00574597" w:rsidP="00BE1406">
                  <w:pPr>
                    <w:pStyle w:val="Paragraph"/>
                    <w:rPr>
                      <w:lang w:val="en-GB"/>
                    </w:rPr>
                  </w:pPr>
                  <w:r w:rsidRPr="00D01A30">
                    <w:rPr>
                      <w:sz w:val="21"/>
                      <w:szCs w:val="21"/>
                      <w:lang w:val="en-AU" w:eastAsia="en-AU"/>
                    </w:rPr>
                    <w:t>symptoms)</w:t>
                  </w:r>
                </w:p>
              </w:tc>
            </w:tr>
            <w:tr w:rsidR="00574597" w:rsidRPr="00D01A30" w:rsidTr="00D01A30">
              <w:tc>
                <w:tcPr>
                  <w:tcW w:w="2439" w:type="dxa"/>
                  <w:vMerge/>
                  <w:shd w:val="clear" w:color="auto" w:fill="auto"/>
                </w:tcPr>
                <w:p w:rsidR="00574597" w:rsidRPr="00D01A30" w:rsidRDefault="00574597" w:rsidP="00D103F3">
                  <w:pPr>
                    <w:pStyle w:val="Paragraph"/>
                    <w:rPr>
                      <w:lang w:val="en-GB"/>
                    </w:rPr>
                  </w:pPr>
                </w:p>
              </w:tc>
              <w:tc>
                <w:tcPr>
                  <w:tcW w:w="1418" w:type="dxa"/>
                  <w:shd w:val="clear" w:color="auto" w:fill="auto"/>
                </w:tcPr>
                <w:p w:rsidR="00574597" w:rsidRPr="00D01A30" w:rsidRDefault="00574597" w:rsidP="00D103F3">
                  <w:pPr>
                    <w:pStyle w:val="Paragraph"/>
                    <w:rPr>
                      <w:lang w:val="en-GB"/>
                    </w:rPr>
                  </w:pPr>
                  <w:r w:rsidRPr="00D01A30">
                    <w:rPr>
                      <w:sz w:val="22"/>
                      <w:szCs w:val="22"/>
                      <w:lang w:val="en-GB"/>
                    </w:rPr>
                    <w:t>Rare</w:t>
                  </w:r>
                </w:p>
              </w:tc>
              <w:tc>
                <w:tcPr>
                  <w:tcW w:w="5054" w:type="dxa"/>
                  <w:shd w:val="clear" w:color="auto" w:fill="auto"/>
                </w:tcPr>
                <w:p w:rsidR="00574597" w:rsidRPr="00D01A30" w:rsidRDefault="00574597" w:rsidP="00D103F3">
                  <w:pPr>
                    <w:pStyle w:val="Paragraph"/>
                    <w:rPr>
                      <w:lang w:val="en-GB"/>
                    </w:rPr>
                  </w:pPr>
                  <w:r w:rsidRPr="00D01A30">
                    <w:rPr>
                      <w:sz w:val="21"/>
                      <w:szCs w:val="21"/>
                      <w:lang w:val="en-AU" w:eastAsia="en-AU"/>
                    </w:rPr>
                    <w:t>suicide attempt, delirium, mental impairment</w:t>
                  </w:r>
                </w:p>
              </w:tc>
            </w:tr>
            <w:tr w:rsidR="00173D46" w:rsidRPr="00D01A30" w:rsidTr="00D01A30">
              <w:tc>
                <w:tcPr>
                  <w:tcW w:w="2439" w:type="dxa"/>
                  <w:vMerge w:val="restart"/>
                  <w:shd w:val="clear" w:color="auto" w:fill="auto"/>
                </w:tcPr>
                <w:p w:rsidR="00173D46" w:rsidRPr="00D01A30" w:rsidRDefault="00173D46" w:rsidP="00D103F3">
                  <w:pPr>
                    <w:pStyle w:val="Paragraph"/>
                    <w:rPr>
                      <w:lang w:val="en-GB"/>
                    </w:rPr>
                  </w:pPr>
                  <w:r w:rsidRPr="00D01A30">
                    <w:rPr>
                      <w:sz w:val="21"/>
                      <w:szCs w:val="21"/>
                      <w:lang w:val="en-AU" w:eastAsia="en-AU"/>
                    </w:rPr>
                    <w:t>Nervous system disorders</w:t>
                  </w:r>
                </w:p>
              </w:tc>
              <w:tc>
                <w:tcPr>
                  <w:tcW w:w="1418" w:type="dxa"/>
                  <w:shd w:val="clear" w:color="auto" w:fill="auto"/>
                </w:tcPr>
                <w:p w:rsidR="00173D46" w:rsidRPr="008E22D0" w:rsidRDefault="00173D46" w:rsidP="00D103F3">
                  <w:pPr>
                    <w:pStyle w:val="Paragraph"/>
                    <w:rPr>
                      <w:sz w:val="22"/>
                      <w:szCs w:val="22"/>
                      <w:lang w:val="en-GB"/>
                    </w:rPr>
                  </w:pPr>
                  <w:r w:rsidRPr="008E22D0">
                    <w:rPr>
                      <w:sz w:val="22"/>
                      <w:szCs w:val="22"/>
                      <w:lang w:val="en-GB"/>
                    </w:rPr>
                    <w:t>Common</w:t>
                  </w:r>
                </w:p>
              </w:tc>
              <w:tc>
                <w:tcPr>
                  <w:tcW w:w="5054" w:type="dxa"/>
                  <w:shd w:val="clear" w:color="auto" w:fill="auto"/>
                </w:tcPr>
                <w:p w:rsidR="00173D46" w:rsidRPr="00D01A30" w:rsidRDefault="00173D46" w:rsidP="00D103F3">
                  <w:pPr>
                    <w:pStyle w:val="Paragraph"/>
                    <w:rPr>
                      <w:lang w:val="en-GB"/>
                    </w:rPr>
                  </w:pPr>
                  <w:r w:rsidRPr="00D01A30">
                    <w:rPr>
                      <w:sz w:val="21"/>
                      <w:szCs w:val="21"/>
                      <w:lang w:val="en-AU" w:eastAsia="en-AU"/>
                    </w:rPr>
                    <w:t>headaches (including migraine), sensory abnormalities</w:t>
                  </w:r>
                </w:p>
              </w:tc>
            </w:tr>
            <w:tr w:rsidR="00173D46" w:rsidRPr="00D01A30" w:rsidTr="00D01A30">
              <w:tc>
                <w:tcPr>
                  <w:tcW w:w="2439" w:type="dxa"/>
                  <w:vMerge/>
                  <w:shd w:val="clear" w:color="auto" w:fill="auto"/>
                </w:tcPr>
                <w:p w:rsidR="00173D46" w:rsidRPr="00D01A30" w:rsidRDefault="00173D46" w:rsidP="00D103F3">
                  <w:pPr>
                    <w:pStyle w:val="Paragraph"/>
                    <w:rPr>
                      <w:lang w:val="en-GB"/>
                    </w:rPr>
                  </w:pPr>
                </w:p>
              </w:tc>
              <w:tc>
                <w:tcPr>
                  <w:tcW w:w="1418" w:type="dxa"/>
                  <w:shd w:val="clear" w:color="auto" w:fill="auto"/>
                </w:tcPr>
                <w:p w:rsidR="00173D46" w:rsidRPr="008E22D0" w:rsidRDefault="00173D46" w:rsidP="00D103F3">
                  <w:pPr>
                    <w:pStyle w:val="Paragraph"/>
                    <w:rPr>
                      <w:sz w:val="22"/>
                      <w:szCs w:val="22"/>
                      <w:lang w:val="en-GB"/>
                    </w:rPr>
                  </w:pPr>
                  <w:r w:rsidRPr="008E22D0">
                    <w:rPr>
                      <w:sz w:val="22"/>
                      <w:szCs w:val="22"/>
                      <w:lang w:val="en-GB"/>
                    </w:rPr>
                    <w:t>Uncommon</w:t>
                  </w:r>
                </w:p>
              </w:tc>
              <w:tc>
                <w:tcPr>
                  <w:tcW w:w="5054" w:type="dxa"/>
                  <w:shd w:val="clear" w:color="auto" w:fill="auto"/>
                </w:tcPr>
                <w:p w:rsidR="00173D46" w:rsidRPr="00D01A30" w:rsidRDefault="00173D46" w:rsidP="00D103F3">
                  <w:pPr>
                    <w:pStyle w:val="Paragraph"/>
                    <w:rPr>
                      <w:lang w:val="en-GB"/>
                    </w:rPr>
                  </w:pPr>
                  <w:r w:rsidRPr="00D01A30">
                    <w:rPr>
                      <w:sz w:val="21"/>
                      <w:szCs w:val="21"/>
                      <w:lang w:val="en-AU" w:eastAsia="en-AU"/>
                    </w:rPr>
                    <w:t>peripheral neuropathies, dizziness, tremor</w:t>
                  </w:r>
                </w:p>
              </w:tc>
            </w:tr>
            <w:tr w:rsidR="00173D46" w:rsidRPr="00D01A30" w:rsidTr="00D01A30">
              <w:tc>
                <w:tcPr>
                  <w:tcW w:w="2439" w:type="dxa"/>
                  <w:vMerge/>
                  <w:shd w:val="clear" w:color="auto" w:fill="auto"/>
                </w:tcPr>
                <w:p w:rsidR="00173D46" w:rsidRPr="00D01A30" w:rsidRDefault="00173D46" w:rsidP="00D103F3">
                  <w:pPr>
                    <w:pStyle w:val="Paragraph"/>
                    <w:rPr>
                      <w:lang w:val="en-GB"/>
                    </w:rPr>
                  </w:pPr>
                </w:p>
              </w:tc>
              <w:tc>
                <w:tcPr>
                  <w:tcW w:w="1418" w:type="dxa"/>
                  <w:shd w:val="clear" w:color="auto" w:fill="auto"/>
                </w:tcPr>
                <w:p w:rsidR="00173D46" w:rsidRPr="008E22D0" w:rsidRDefault="00173D46" w:rsidP="00D103F3">
                  <w:pPr>
                    <w:pStyle w:val="Paragraph"/>
                    <w:rPr>
                      <w:sz w:val="22"/>
                      <w:szCs w:val="22"/>
                      <w:lang w:val="en-GB"/>
                    </w:rPr>
                  </w:pPr>
                  <w:r w:rsidRPr="008E22D0">
                    <w:rPr>
                      <w:sz w:val="22"/>
                      <w:szCs w:val="22"/>
                      <w:lang w:val="en-GB"/>
                    </w:rPr>
                    <w:t>Rare</w:t>
                  </w:r>
                </w:p>
              </w:tc>
              <w:tc>
                <w:tcPr>
                  <w:tcW w:w="5054" w:type="dxa"/>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seizure, cranial nerve inflammation, impaired coordination</w:t>
                  </w:r>
                  <w:r w:rsidR="000360BF">
                    <w:rPr>
                      <w:sz w:val="21"/>
                      <w:szCs w:val="21"/>
                      <w:lang w:val="en-AU" w:eastAsia="en-AU"/>
                    </w:rPr>
                    <w:t xml:space="preserve"> </w:t>
                  </w:r>
                  <w:r w:rsidRPr="00D01A30">
                    <w:rPr>
                      <w:sz w:val="21"/>
                      <w:szCs w:val="21"/>
                      <w:lang w:val="en-AU" w:eastAsia="en-AU"/>
                    </w:rPr>
                    <w:t>or balance</w:t>
                  </w:r>
                  <w:r w:rsidR="0032032B">
                    <w:rPr>
                      <w:sz w:val="21"/>
                      <w:szCs w:val="21"/>
                      <w:lang w:val="en-AU" w:eastAsia="en-AU"/>
                    </w:rPr>
                    <w:t>, sleep disorder</w:t>
                  </w:r>
                </w:p>
              </w:tc>
            </w:tr>
            <w:tr w:rsidR="00173D46" w:rsidRPr="00E47BA4" w:rsidTr="00D01A30">
              <w:tc>
                <w:tcPr>
                  <w:tcW w:w="2439" w:type="dxa"/>
                  <w:vMerge/>
                  <w:shd w:val="clear" w:color="auto" w:fill="auto"/>
                </w:tcPr>
                <w:p w:rsidR="00173D46" w:rsidRPr="00D01A30" w:rsidRDefault="00173D46" w:rsidP="00D103F3">
                  <w:pPr>
                    <w:pStyle w:val="Paragraph"/>
                    <w:rPr>
                      <w:lang w:val="en-GB"/>
                    </w:rPr>
                  </w:pPr>
                </w:p>
              </w:tc>
              <w:tc>
                <w:tcPr>
                  <w:tcW w:w="1418" w:type="dxa"/>
                  <w:shd w:val="clear" w:color="auto" w:fill="auto"/>
                </w:tcPr>
                <w:p w:rsidR="00173D46" w:rsidRPr="008E22D0" w:rsidRDefault="009F080C" w:rsidP="00D103F3">
                  <w:pPr>
                    <w:pStyle w:val="Paragraph"/>
                    <w:rPr>
                      <w:sz w:val="22"/>
                      <w:szCs w:val="22"/>
                      <w:lang w:val="en-GB"/>
                    </w:rPr>
                  </w:pPr>
                  <w:r w:rsidRPr="00D01A30">
                    <w:rPr>
                      <w:sz w:val="22"/>
                      <w:szCs w:val="22"/>
                      <w:lang w:val="en-GB"/>
                    </w:rPr>
                    <w:t>Not Known</w:t>
                  </w:r>
                </w:p>
              </w:tc>
              <w:tc>
                <w:tcPr>
                  <w:tcW w:w="5054" w:type="dxa"/>
                  <w:shd w:val="clear" w:color="auto" w:fill="auto"/>
                </w:tcPr>
                <w:p w:rsidR="00173D46" w:rsidRPr="00E47BA4" w:rsidRDefault="00173D46" w:rsidP="00D103F3">
                  <w:pPr>
                    <w:pStyle w:val="Paragraph"/>
                    <w:rPr>
                      <w:lang w:val="fr-BE"/>
                    </w:rPr>
                  </w:pPr>
                  <w:r w:rsidRPr="00E47BA4">
                    <w:rPr>
                      <w:sz w:val="21"/>
                      <w:szCs w:val="21"/>
                      <w:lang w:val="fr-BE" w:eastAsia="en-AU"/>
                    </w:rPr>
                    <w:t xml:space="preserve">multiple </w:t>
                  </w:r>
                  <w:proofErr w:type="spellStart"/>
                  <w:r w:rsidRPr="00E47BA4">
                    <w:rPr>
                      <w:sz w:val="21"/>
                      <w:szCs w:val="21"/>
                      <w:lang w:val="fr-BE" w:eastAsia="en-AU"/>
                    </w:rPr>
                    <w:t>sclerosis</w:t>
                  </w:r>
                  <w:proofErr w:type="spellEnd"/>
                  <w:r w:rsidRPr="00E47BA4">
                    <w:rPr>
                      <w:sz w:val="21"/>
                      <w:szCs w:val="21"/>
                      <w:lang w:val="fr-BE" w:eastAsia="en-AU"/>
                    </w:rPr>
                    <w:t>*, Guillain-Barré syndrome*</w:t>
                  </w:r>
                </w:p>
              </w:tc>
            </w:tr>
            <w:tr w:rsidR="00173D46" w:rsidRPr="00D01A30" w:rsidTr="00D01A30">
              <w:tc>
                <w:tcPr>
                  <w:tcW w:w="2439" w:type="dxa"/>
                  <w:shd w:val="clear" w:color="auto" w:fill="auto"/>
                </w:tcPr>
                <w:p w:rsidR="00173D46" w:rsidRPr="00D01A30" w:rsidRDefault="00173D46" w:rsidP="00D103F3">
                  <w:pPr>
                    <w:pStyle w:val="Paragraph"/>
                    <w:rPr>
                      <w:lang w:val="en-GB"/>
                    </w:rPr>
                  </w:pPr>
                  <w:r w:rsidRPr="00D01A30">
                    <w:rPr>
                      <w:sz w:val="21"/>
                      <w:szCs w:val="21"/>
                      <w:lang w:val="en-AU" w:eastAsia="en-AU"/>
                    </w:rPr>
                    <w:t>Eye disorders</w:t>
                  </w:r>
                </w:p>
              </w:tc>
              <w:tc>
                <w:tcPr>
                  <w:tcW w:w="1418" w:type="dxa"/>
                  <w:shd w:val="clear" w:color="auto" w:fill="auto"/>
                </w:tcPr>
                <w:p w:rsidR="00173D46" w:rsidRPr="00D01A30" w:rsidRDefault="00173D46" w:rsidP="00D103F3">
                  <w:pPr>
                    <w:pStyle w:val="Paragraph"/>
                    <w:rPr>
                      <w:sz w:val="22"/>
                      <w:szCs w:val="22"/>
                      <w:lang w:val="en-GB"/>
                    </w:rPr>
                  </w:pPr>
                  <w:r w:rsidRPr="00D01A30">
                    <w:rPr>
                      <w:sz w:val="22"/>
                      <w:szCs w:val="22"/>
                      <w:lang w:val="en-GB"/>
                    </w:rPr>
                    <w:t>Uncommon</w:t>
                  </w:r>
                </w:p>
              </w:tc>
              <w:tc>
                <w:tcPr>
                  <w:tcW w:w="5054" w:type="dxa"/>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visual disorder (including decreased vision), eye and</w:t>
                  </w:r>
                </w:p>
                <w:p w:rsidR="00173D46" w:rsidRPr="00D01A30" w:rsidRDefault="00173D46" w:rsidP="00173D46">
                  <w:pPr>
                    <w:pStyle w:val="Paragraph"/>
                    <w:rPr>
                      <w:sz w:val="21"/>
                      <w:szCs w:val="21"/>
                      <w:lang w:val="en-AU" w:eastAsia="en-AU"/>
                    </w:rPr>
                  </w:pPr>
                  <w:r w:rsidRPr="00D01A30">
                    <w:rPr>
                      <w:sz w:val="21"/>
                      <w:szCs w:val="21"/>
                      <w:lang w:val="en-AU" w:eastAsia="en-AU"/>
                    </w:rPr>
                    <w:t>eyelid inflammation, lacrimation disorder</w:t>
                  </w:r>
                </w:p>
              </w:tc>
            </w:tr>
            <w:tr w:rsidR="00173D46" w:rsidRPr="00D01A30" w:rsidTr="00267168">
              <w:trPr>
                <w:trHeight w:val="575"/>
              </w:trPr>
              <w:tc>
                <w:tcPr>
                  <w:tcW w:w="2439" w:type="dxa"/>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Ear and labyrinth</w:t>
                  </w:r>
                </w:p>
                <w:p w:rsidR="00173D46" w:rsidRDefault="00F939C8" w:rsidP="00173D46">
                  <w:pPr>
                    <w:pStyle w:val="Paragraph"/>
                    <w:rPr>
                      <w:sz w:val="21"/>
                      <w:szCs w:val="21"/>
                      <w:lang w:val="en-AU" w:eastAsia="en-AU"/>
                    </w:rPr>
                  </w:pPr>
                  <w:r w:rsidRPr="00D01A30">
                    <w:rPr>
                      <w:sz w:val="21"/>
                      <w:szCs w:val="21"/>
                      <w:lang w:val="en-AU" w:eastAsia="en-AU"/>
                    </w:rPr>
                    <w:t>D</w:t>
                  </w:r>
                  <w:r w:rsidR="00173D46" w:rsidRPr="00D01A30">
                    <w:rPr>
                      <w:sz w:val="21"/>
                      <w:szCs w:val="21"/>
                      <w:lang w:val="en-AU" w:eastAsia="en-AU"/>
                    </w:rPr>
                    <w:t>isorders</w:t>
                  </w:r>
                </w:p>
                <w:p w:rsidR="00F939C8" w:rsidRDefault="00F939C8" w:rsidP="00173D46">
                  <w:pPr>
                    <w:pStyle w:val="Paragraph"/>
                    <w:rPr>
                      <w:sz w:val="21"/>
                      <w:szCs w:val="21"/>
                      <w:lang w:val="en-AU" w:eastAsia="en-AU"/>
                    </w:rPr>
                  </w:pPr>
                </w:p>
                <w:p w:rsidR="00E25CA1" w:rsidRDefault="00E25CA1" w:rsidP="00173D46">
                  <w:pPr>
                    <w:pStyle w:val="Paragraph"/>
                    <w:rPr>
                      <w:sz w:val="21"/>
                      <w:szCs w:val="21"/>
                      <w:lang w:val="en-AU" w:eastAsia="en-AU"/>
                    </w:rPr>
                  </w:pPr>
                </w:p>
                <w:p w:rsidR="00E25CA1" w:rsidRPr="00D01A30" w:rsidRDefault="00E25CA1" w:rsidP="00173D46">
                  <w:pPr>
                    <w:pStyle w:val="Paragraph"/>
                    <w:rPr>
                      <w:sz w:val="21"/>
                      <w:szCs w:val="21"/>
                      <w:lang w:val="en-AU" w:eastAsia="en-AU"/>
                    </w:rPr>
                  </w:pPr>
                </w:p>
              </w:tc>
              <w:tc>
                <w:tcPr>
                  <w:tcW w:w="1418" w:type="dxa"/>
                  <w:shd w:val="clear" w:color="auto" w:fill="auto"/>
                </w:tcPr>
                <w:p w:rsidR="00173D46" w:rsidRPr="00D01A30" w:rsidRDefault="00173D46" w:rsidP="00D103F3">
                  <w:pPr>
                    <w:pStyle w:val="Paragraph"/>
                    <w:rPr>
                      <w:sz w:val="22"/>
                      <w:szCs w:val="22"/>
                      <w:lang w:val="en-GB"/>
                    </w:rPr>
                  </w:pPr>
                  <w:r w:rsidRPr="00D01A30">
                    <w:rPr>
                      <w:sz w:val="22"/>
                      <w:szCs w:val="22"/>
                      <w:lang w:val="en-GB"/>
                    </w:rPr>
                    <w:t>Uncommon</w:t>
                  </w:r>
                </w:p>
              </w:tc>
              <w:tc>
                <w:tcPr>
                  <w:tcW w:w="5054" w:type="dxa"/>
                  <w:shd w:val="clear" w:color="auto" w:fill="auto"/>
                </w:tcPr>
                <w:p w:rsidR="00173D46" w:rsidRPr="00D01A30" w:rsidRDefault="00173D46" w:rsidP="002439EB">
                  <w:pPr>
                    <w:autoSpaceDE w:val="0"/>
                    <w:autoSpaceDN w:val="0"/>
                    <w:adjustRightInd w:val="0"/>
                    <w:rPr>
                      <w:sz w:val="21"/>
                      <w:szCs w:val="21"/>
                      <w:lang w:val="en-AU" w:eastAsia="en-AU"/>
                    </w:rPr>
                  </w:pPr>
                  <w:r w:rsidRPr="00D01A30">
                    <w:rPr>
                      <w:sz w:val="21"/>
                      <w:szCs w:val="21"/>
                      <w:lang w:val="en-AU" w:eastAsia="en-AU"/>
                    </w:rPr>
                    <w:t>tinnitus, vertigo</w:t>
                  </w:r>
                </w:p>
              </w:tc>
            </w:tr>
            <w:tr w:rsidR="00173D46" w:rsidRPr="00D01A30" w:rsidTr="00D01A30">
              <w:tc>
                <w:tcPr>
                  <w:tcW w:w="2439" w:type="dxa"/>
                  <w:vMerge w:val="restart"/>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Cardiac disorders</w:t>
                  </w:r>
                </w:p>
              </w:tc>
              <w:tc>
                <w:tcPr>
                  <w:tcW w:w="1418" w:type="dxa"/>
                  <w:shd w:val="clear" w:color="auto" w:fill="auto"/>
                </w:tcPr>
                <w:p w:rsidR="00173D46" w:rsidRPr="00D01A30" w:rsidRDefault="00173D46" w:rsidP="00D103F3">
                  <w:pPr>
                    <w:pStyle w:val="Paragraph"/>
                    <w:rPr>
                      <w:sz w:val="22"/>
                      <w:szCs w:val="22"/>
                      <w:lang w:val="en-GB"/>
                    </w:rPr>
                  </w:pPr>
                  <w:r w:rsidRPr="00D01A30">
                    <w:rPr>
                      <w:sz w:val="22"/>
                      <w:szCs w:val="22"/>
                      <w:lang w:val="en-GB"/>
                    </w:rPr>
                    <w:t>Uncommon</w:t>
                  </w:r>
                </w:p>
              </w:tc>
              <w:tc>
                <w:tcPr>
                  <w:tcW w:w="5054" w:type="dxa"/>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cardiomyopathies (including heart failure), ischaemic</w:t>
                  </w:r>
                </w:p>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coronary artery disorders , arrhythmias (including atrial</w:t>
                  </w:r>
                </w:p>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fibrillation), palpitations</w:t>
                  </w:r>
                </w:p>
              </w:tc>
            </w:tr>
            <w:tr w:rsidR="00173D46" w:rsidRPr="00D01A30" w:rsidTr="00D01A30">
              <w:tc>
                <w:tcPr>
                  <w:tcW w:w="2439" w:type="dxa"/>
                  <w:vMerge/>
                  <w:shd w:val="clear" w:color="auto" w:fill="auto"/>
                </w:tcPr>
                <w:p w:rsidR="00173D46" w:rsidRPr="00D01A30" w:rsidRDefault="00173D46" w:rsidP="00D01A30">
                  <w:pPr>
                    <w:autoSpaceDE w:val="0"/>
                    <w:autoSpaceDN w:val="0"/>
                    <w:adjustRightInd w:val="0"/>
                    <w:rPr>
                      <w:sz w:val="21"/>
                      <w:szCs w:val="21"/>
                      <w:lang w:val="en-AU" w:eastAsia="en-AU"/>
                    </w:rPr>
                  </w:pPr>
                </w:p>
              </w:tc>
              <w:tc>
                <w:tcPr>
                  <w:tcW w:w="1418" w:type="dxa"/>
                  <w:shd w:val="clear" w:color="auto" w:fill="auto"/>
                </w:tcPr>
                <w:p w:rsidR="00173D46" w:rsidRPr="00D01A30" w:rsidRDefault="00173D46" w:rsidP="00D103F3">
                  <w:pPr>
                    <w:pStyle w:val="Paragraph"/>
                    <w:rPr>
                      <w:sz w:val="22"/>
                      <w:szCs w:val="22"/>
                      <w:lang w:val="en-GB"/>
                    </w:rPr>
                  </w:pPr>
                  <w:r w:rsidRPr="00D01A30">
                    <w:rPr>
                      <w:sz w:val="22"/>
                      <w:szCs w:val="22"/>
                      <w:lang w:val="en-GB"/>
                    </w:rPr>
                    <w:t>Rare</w:t>
                  </w:r>
                </w:p>
              </w:tc>
              <w:tc>
                <w:tcPr>
                  <w:tcW w:w="5054" w:type="dxa"/>
                  <w:shd w:val="clear" w:color="auto" w:fill="auto"/>
                </w:tcPr>
                <w:p w:rsidR="00173D46" w:rsidRPr="00D01A30" w:rsidRDefault="00173D46" w:rsidP="00D01A30">
                  <w:pPr>
                    <w:autoSpaceDE w:val="0"/>
                    <w:autoSpaceDN w:val="0"/>
                    <w:adjustRightInd w:val="0"/>
                    <w:rPr>
                      <w:sz w:val="21"/>
                      <w:szCs w:val="21"/>
                      <w:lang w:val="en-AU" w:eastAsia="en-AU"/>
                    </w:rPr>
                  </w:pPr>
                  <w:r w:rsidRPr="00D01A30">
                    <w:rPr>
                      <w:sz w:val="21"/>
                      <w:szCs w:val="21"/>
                      <w:lang w:val="en-AU" w:eastAsia="en-AU"/>
                    </w:rPr>
                    <w:t>pericarditis, atrioventricular block</w:t>
                  </w:r>
                </w:p>
              </w:tc>
            </w:tr>
            <w:tr w:rsidR="00E01A81" w:rsidRPr="00D01A30" w:rsidTr="00D01A30">
              <w:tc>
                <w:tcPr>
                  <w:tcW w:w="2439" w:type="dxa"/>
                  <w:vMerge w:val="restart"/>
                  <w:shd w:val="clear" w:color="auto" w:fill="auto"/>
                </w:tcPr>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Vascular disorders</w:t>
                  </w:r>
                </w:p>
              </w:tc>
              <w:tc>
                <w:tcPr>
                  <w:tcW w:w="1418" w:type="dxa"/>
                  <w:shd w:val="clear" w:color="auto" w:fill="auto"/>
                </w:tcPr>
                <w:p w:rsidR="00E01A81" w:rsidRPr="00D01A30" w:rsidRDefault="00E01A81" w:rsidP="00D103F3">
                  <w:pPr>
                    <w:pStyle w:val="Paragraph"/>
                    <w:rPr>
                      <w:sz w:val="22"/>
                      <w:szCs w:val="22"/>
                      <w:lang w:val="en-GB"/>
                    </w:rPr>
                  </w:pPr>
                  <w:r w:rsidRPr="00D01A30">
                    <w:rPr>
                      <w:sz w:val="22"/>
                      <w:szCs w:val="22"/>
                      <w:lang w:val="en-GB"/>
                    </w:rPr>
                    <w:t>Common</w:t>
                  </w:r>
                </w:p>
              </w:tc>
              <w:tc>
                <w:tcPr>
                  <w:tcW w:w="5054" w:type="dxa"/>
                  <w:shd w:val="clear" w:color="auto" w:fill="auto"/>
                </w:tcPr>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hypertension</w:t>
                  </w:r>
                </w:p>
              </w:tc>
            </w:tr>
            <w:tr w:rsidR="00E01A81" w:rsidRPr="00D01A30" w:rsidTr="00D01A30">
              <w:tc>
                <w:tcPr>
                  <w:tcW w:w="2439" w:type="dxa"/>
                  <w:vMerge/>
                  <w:shd w:val="clear" w:color="auto" w:fill="auto"/>
                </w:tcPr>
                <w:p w:rsidR="00E01A81" w:rsidRPr="00D01A30" w:rsidRDefault="00E01A81" w:rsidP="00D01A30">
                  <w:pPr>
                    <w:autoSpaceDE w:val="0"/>
                    <w:autoSpaceDN w:val="0"/>
                    <w:adjustRightInd w:val="0"/>
                    <w:rPr>
                      <w:sz w:val="21"/>
                      <w:szCs w:val="21"/>
                      <w:lang w:val="en-AU" w:eastAsia="en-AU"/>
                    </w:rPr>
                  </w:pPr>
                </w:p>
              </w:tc>
              <w:tc>
                <w:tcPr>
                  <w:tcW w:w="1418" w:type="dxa"/>
                  <w:shd w:val="clear" w:color="auto" w:fill="auto"/>
                </w:tcPr>
                <w:p w:rsidR="00E01A81" w:rsidRPr="00D01A30" w:rsidRDefault="00E01A81" w:rsidP="00D103F3">
                  <w:pPr>
                    <w:pStyle w:val="Paragraph"/>
                    <w:rPr>
                      <w:sz w:val="22"/>
                      <w:szCs w:val="22"/>
                      <w:lang w:val="en-GB"/>
                    </w:rPr>
                  </w:pPr>
                  <w:r w:rsidRPr="00D01A30">
                    <w:rPr>
                      <w:sz w:val="22"/>
                      <w:szCs w:val="22"/>
                      <w:lang w:val="en-GB"/>
                    </w:rPr>
                    <w:t>Uncommon</w:t>
                  </w:r>
                </w:p>
              </w:tc>
              <w:tc>
                <w:tcPr>
                  <w:tcW w:w="5054" w:type="dxa"/>
                  <w:shd w:val="clear" w:color="auto" w:fill="auto"/>
                </w:tcPr>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 xml:space="preserve">haemorrhage or bleeding (any site), </w:t>
                  </w:r>
                  <w:proofErr w:type="spellStart"/>
                  <w:r w:rsidRPr="00D01A30">
                    <w:rPr>
                      <w:sz w:val="21"/>
                      <w:szCs w:val="21"/>
                      <w:lang w:val="en-AU" w:eastAsia="en-AU"/>
                    </w:rPr>
                    <w:t>hypercoagulation</w:t>
                  </w:r>
                  <w:proofErr w:type="spellEnd"/>
                </w:p>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(including thrombophlebitis, pulmonary embolism),</w:t>
                  </w:r>
                </w:p>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syncope, oedema (including peripheral, facial),</w:t>
                  </w:r>
                </w:p>
                <w:p w:rsidR="00E01A81" w:rsidRPr="00D01A30" w:rsidRDefault="00E01A81" w:rsidP="008B1103">
                  <w:pPr>
                    <w:autoSpaceDE w:val="0"/>
                    <w:autoSpaceDN w:val="0"/>
                    <w:adjustRightInd w:val="0"/>
                    <w:rPr>
                      <w:sz w:val="21"/>
                      <w:szCs w:val="21"/>
                      <w:lang w:val="en-AU" w:eastAsia="en-AU"/>
                    </w:rPr>
                  </w:pPr>
                  <w:proofErr w:type="spellStart"/>
                  <w:r w:rsidRPr="00D01A30">
                    <w:rPr>
                      <w:sz w:val="21"/>
                      <w:szCs w:val="21"/>
                      <w:lang w:val="en-AU" w:eastAsia="en-AU"/>
                    </w:rPr>
                    <w:t>ecchymoses</w:t>
                  </w:r>
                  <w:proofErr w:type="spellEnd"/>
                  <w:r w:rsidRPr="00D01A30">
                    <w:rPr>
                      <w:sz w:val="21"/>
                      <w:szCs w:val="21"/>
                      <w:lang w:val="en-AU" w:eastAsia="en-AU"/>
                    </w:rPr>
                    <w:t xml:space="preserve"> (including haematoma, </w:t>
                  </w:r>
                  <w:proofErr w:type="spellStart"/>
                  <w:r w:rsidRPr="00D01A30">
                    <w:rPr>
                      <w:sz w:val="21"/>
                      <w:szCs w:val="21"/>
                      <w:lang w:val="en-AU" w:eastAsia="en-AU"/>
                    </w:rPr>
                    <w:t>petechiae</w:t>
                  </w:r>
                  <w:proofErr w:type="spellEnd"/>
                  <w:r w:rsidRPr="00D01A30">
                    <w:rPr>
                      <w:sz w:val="21"/>
                      <w:szCs w:val="21"/>
                      <w:lang w:val="en-AU" w:eastAsia="en-AU"/>
                    </w:rPr>
                    <w:t>)</w:t>
                  </w:r>
                </w:p>
              </w:tc>
            </w:tr>
            <w:tr w:rsidR="00E01A81" w:rsidRPr="00D01A30" w:rsidTr="00D01A30">
              <w:tc>
                <w:tcPr>
                  <w:tcW w:w="2439" w:type="dxa"/>
                  <w:vMerge/>
                  <w:shd w:val="clear" w:color="auto" w:fill="auto"/>
                </w:tcPr>
                <w:p w:rsidR="00E01A81" w:rsidRPr="00D01A30" w:rsidRDefault="00E01A81" w:rsidP="00D01A30">
                  <w:pPr>
                    <w:autoSpaceDE w:val="0"/>
                    <w:autoSpaceDN w:val="0"/>
                    <w:adjustRightInd w:val="0"/>
                    <w:rPr>
                      <w:sz w:val="21"/>
                      <w:szCs w:val="21"/>
                      <w:lang w:val="en-AU" w:eastAsia="en-AU"/>
                    </w:rPr>
                  </w:pPr>
                </w:p>
              </w:tc>
              <w:tc>
                <w:tcPr>
                  <w:tcW w:w="1418" w:type="dxa"/>
                  <w:shd w:val="clear" w:color="auto" w:fill="auto"/>
                </w:tcPr>
                <w:p w:rsidR="00E01A81" w:rsidRPr="00D01A30" w:rsidRDefault="00E01A81" w:rsidP="00D103F3">
                  <w:pPr>
                    <w:pStyle w:val="Paragraph"/>
                    <w:rPr>
                      <w:sz w:val="22"/>
                      <w:szCs w:val="22"/>
                      <w:lang w:val="en-GB"/>
                    </w:rPr>
                  </w:pPr>
                  <w:r w:rsidRPr="00D01A30">
                    <w:rPr>
                      <w:sz w:val="22"/>
                      <w:szCs w:val="22"/>
                      <w:lang w:val="en-GB"/>
                    </w:rPr>
                    <w:t>Rare</w:t>
                  </w:r>
                </w:p>
              </w:tc>
              <w:tc>
                <w:tcPr>
                  <w:tcW w:w="5054" w:type="dxa"/>
                  <w:shd w:val="clear" w:color="auto" w:fill="auto"/>
                </w:tcPr>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cerebrovascular accident, arteriosclerosis, Raynaud’s</w:t>
                  </w:r>
                </w:p>
                <w:p w:rsidR="00E01A81" w:rsidRPr="00D01A30" w:rsidRDefault="00E01A81" w:rsidP="00D01A30">
                  <w:pPr>
                    <w:autoSpaceDE w:val="0"/>
                    <w:autoSpaceDN w:val="0"/>
                    <w:adjustRightInd w:val="0"/>
                    <w:rPr>
                      <w:sz w:val="21"/>
                      <w:szCs w:val="21"/>
                      <w:lang w:val="en-AU" w:eastAsia="en-AU"/>
                    </w:rPr>
                  </w:pPr>
                  <w:r w:rsidRPr="00D01A30">
                    <w:rPr>
                      <w:sz w:val="21"/>
                      <w:szCs w:val="21"/>
                      <w:lang w:val="en-AU" w:eastAsia="en-AU"/>
                    </w:rPr>
                    <w:t xml:space="preserve">phenomenon, </w:t>
                  </w:r>
                  <w:proofErr w:type="spellStart"/>
                  <w:r w:rsidRPr="00D01A30">
                    <w:rPr>
                      <w:sz w:val="21"/>
                      <w:szCs w:val="21"/>
                      <w:lang w:val="en-AU" w:eastAsia="en-AU"/>
                    </w:rPr>
                    <w:t>livedo</w:t>
                  </w:r>
                  <w:proofErr w:type="spellEnd"/>
                  <w:r w:rsidRPr="00D01A30">
                    <w:rPr>
                      <w:sz w:val="21"/>
                      <w:szCs w:val="21"/>
                      <w:lang w:val="en-AU" w:eastAsia="en-AU"/>
                    </w:rPr>
                    <w:t xml:space="preserve"> </w:t>
                  </w:r>
                  <w:proofErr w:type="spellStart"/>
                  <w:r w:rsidRPr="00D01A30">
                    <w:rPr>
                      <w:sz w:val="21"/>
                      <w:szCs w:val="21"/>
                      <w:lang w:val="en-AU" w:eastAsia="en-AU"/>
                    </w:rPr>
                    <w:t>reticularis</w:t>
                  </w:r>
                  <w:proofErr w:type="spellEnd"/>
                  <w:r w:rsidRPr="00D01A30">
                    <w:rPr>
                      <w:sz w:val="21"/>
                      <w:szCs w:val="21"/>
                      <w:lang w:val="en-AU" w:eastAsia="en-AU"/>
                    </w:rPr>
                    <w:t>, telangiectasia</w:t>
                  </w:r>
                </w:p>
              </w:tc>
            </w:tr>
            <w:tr w:rsidR="00173D46" w:rsidRPr="00D01A30" w:rsidTr="00D01A30">
              <w:tc>
                <w:tcPr>
                  <w:tcW w:w="2439" w:type="dxa"/>
                  <w:shd w:val="clear" w:color="auto" w:fill="auto"/>
                </w:tcPr>
                <w:p w:rsidR="002B10BD" w:rsidRPr="00D01A30" w:rsidRDefault="002B10BD" w:rsidP="00D01A30">
                  <w:pPr>
                    <w:autoSpaceDE w:val="0"/>
                    <w:autoSpaceDN w:val="0"/>
                    <w:adjustRightInd w:val="0"/>
                    <w:rPr>
                      <w:sz w:val="21"/>
                      <w:szCs w:val="21"/>
                      <w:lang w:val="en-AU" w:eastAsia="en-AU"/>
                    </w:rPr>
                  </w:pPr>
                  <w:r w:rsidRPr="00D01A30">
                    <w:rPr>
                      <w:sz w:val="21"/>
                      <w:szCs w:val="21"/>
                      <w:lang w:val="en-AU" w:eastAsia="en-AU"/>
                    </w:rPr>
                    <w:t>Respiratory, thoracic and</w:t>
                  </w:r>
                </w:p>
                <w:p w:rsidR="00173D46" w:rsidRPr="00D01A30" w:rsidRDefault="002B10BD" w:rsidP="00D01A30">
                  <w:pPr>
                    <w:autoSpaceDE w:val="0"/>
                    <w:autoSpaceDN w:val="0"/>
                    <w:adjustRightInd w:val="0"/>
                    <w:rPr>
                      <w:sz w:val="21"/>
                      <w:szCs w:val="21"/>
                      <w:lang w:val="en-AU" w:eastAsia="en-AU"/>
                    </w:rPr>
                  </w:pPr>
                  <w:r w:rsidRPr="00D01A30">
                    <w:rPr>
                      <w:sz w:val="21"/>
                      <w:szCs w:val="21"/>
                      <w:lang w:val="en-AU" w:eastAsia="en-AU"/>
                    </w:rPr>
                    <w:t>mediastinal disorders</w:t>
                  </w:r>
                </w:p>
              </w:tc>
              <w:tc>
                <w:tcPr>
                  <w:tcW w:w="1418" w:type="dxa"/>
                  <w:shd w:val="clear" w:color="auto" w:fill="auto"/>
                </w:tcPr>
                <w:p w:rsidR="00173D46" w:rsidRPr="00D01A30" w:rsidRDefault="002B10BD" w:rsidP="00D103F3">
                  <w:pPr>
                    <w:pStyle w:val="Paragraph"/>
                    <w:rPr>
                      <w:sz w:val="22"/>
                      <w:szCs w:val="22"/>
                      <w:lang w:val="en-GB"/>
                    </w:rPr>
                  </w:pPr>
                  <w:r w:rsidRPr="00D01A30">
                    <w:rPr>
                      <w:sz w:val="22"/>
                      <w:szCs w:val="22"/>
                      <w:lang w:val="en-GB"/>
                    </w:rPr>
                    <w:t>Uncommon</w:t>
                  </w:r>
                </w:p>
              </w:tc>
              <w:tc>
                <w:tcPr>
                  <w:tcW w:w="5054" w:type="dxa"/>
                  <w:shd w:val="clear" w:color="auto" w:fill="auto"/>
                </w:tcPr>
                <w:p w:rsidR="002B10BD" w:rsidRPr="00D01A30" w:rsidRDefault="002B10BD" w:rsidP="00D01A30">
                  <w:pPr>
                    <w:autoSpaceDE w:val="0"/>
                    <w:autoSpaceDN w:val="0"/>
                    <w:adjustRightInd w:val="0"/>
                    <w:rPr>
                      <w:sz w:val="21"/>
                      <w:szCs w:val="21"/>
                      <w:lang w:val="en-AU" w:eastAsia="en-AU"/>
                    </w:rPr>
                  </w:pPr>
                  <w:r w:rsidRPr="00D01A30">
                    <w:rPr>
                      <w:sz w:val="21"/>
                      <w:szCs w:val="21"/>
                      <w:lang w:val="en-AU" w:eastAsia="en-AU"/>
                    </w:rPr>
                    <w:t>asthma and related symptoms, pleural effusion and</w:t>
                  </w:r>
                </w:p>
                <w:p w:rsidR="00173D46" w:rsidRPr="00D01A30" w:rsidRDefault="002B10BD" w:rsidP="00D01A30">
                  <w:pPr>
                    <w:autoSpaceDE w:val="0"/>
                    <w:autoSpaceDN w:val="0"/>
                    <w:adjustRightInd w:val="0"/>
                    <w:rPr>
                      <w:sz w:val="21"/>
                      <w:szCs w:val="21"/>
                      <w:lang w:val="en-AU" w:eastAsia="en-AU"/>
                    </w:rPr>
                  </w:pPr>
                  <w:r w:rsidRPr="00D01A30">
                    <w:rPr>
                      <w:sz w:val="21"/>
                      <w:szCs w:val="21"/>
                      <w:lang w:val="en-AU" w:eastAsia="en-AU"/>
                    </w:rPr>
                    <w:t>symptoms, respiratory tra</w:t>
                  </w:r>
                  <w:r w:rsidR="00801376">
                    <w:rPr>
                      <w:sz w:val="21"/>
                      <w:szCs w:val="21"/>
                      <w:lang w:val="en-AU" w:eastAsia="en-AU"/>
                    </w:rPr>
                    <w:t xml:space="preserve">ct congestion and inflammation, </w:t>
                  </w:r>
                  <w:r w:rsidRPr="00D01A30">
                    <w:rPr>
                      <w:sz w:val="21"/>
                      <w:szCs w:val="21"/>
                      <w:lang w:val="en-AU" w:eastAsia="en-AU"/>
                    </w:rPr>
                    <w:t>cough</w:t>
                  </w:r>
                </w:p>
              </w:tc>
            </w:tr>
            <w:tr w:rsidR="00173D46" w:rsidRPr="00D01A30" w:rsidTr="00D01A30">
              <w:tc>
                <w:tcPr>
                  <w:tcW w:w="2439" w:type="dxa"/>
                  <w:shd w:val="clear" w:color="auto" w:fill="auto"/>
                </w:tcPr>
                <w:p w:rsidR="00173D46" w:rsidRPr="00D01A30" w:rsidRDefault="00173D46" w:rsidP="00D01A30">
                  <w:pPr>
                    <w:autoSpaceDE w:val="0"/>
                    <w:autoSpaceDN w:val="0"/>
                    <w:adjustRightInd w:val="0"/>
                    <w:rPr>
                      <w:sz w:val="21"/>
                      <w:szCs w:val="21"/>
                      <w:lang w:val="en-AU" w:eastAsia="en-AU"/>
                    </w:rPr>
                  </w:pPr>
                </w:p>
              </w:tc>
              <w:tc>
                <w:tcPr>
                  <w:tcW w:w="1418" w:type="dxa"/>
                  <w:shd w:val="clear" w:color="auto" w:fill="auto"/>
                </w:tcPr>
                <w:p w:rsidR="00173D46" w:rsidRPr="00D01A30" w:rsidRDefault="002B10BD" w:rsidP="00D103F3">
                  <w:pPr>
                    <w:pStyle w:val="Paragraph"/>
                    <w:rPr>
                      <w:sz w:val="22"/>
                      <w:szCs w:val="22"/>
                      <w:lang w:val="en-GB"/>
                    </w:rPr>
                  </w:pPr>
                  <w:r w:rsidRPr="00D01A30">
                    <w:rPr>
                      <w:sz w:val="22"/>
                      <w:szCs w:val="22"/>
                      <w:lang w:val="en-GB"/>
                    </w:rPr>
                    <w:t>Rare</w:t>
                  </w:r>
                </w:p>
              </w:tc>
              <w:tc>
                <w:tcPr>
                  <w:tcW w:w="5054" w:type="dxa"/>
                  <w:shd w:val="clear" w:color="auto" w:fill="auto"/>
                </w:tcPr>
                <w:p w:rsidR="00173D46" w:rsidRPr="00D01A30" w:rsidRDefault="002B10BD" w:rsidP="00D01A30">
                  <w:pPr>
                    <w:autoSpaceDE w:val="0"/>
                    <w:autoSpaceDN w:val="0"/>
                    <w:adjustRightInd w:val="0"/>
                    <w:rPr>
                      <w:sz w:val="21"/>
                      <w:szCs w:val="21"/>
                      <w:lang w:val="en-AU" w:eastAsia="en-AU"/>
                    </w:rPr>
                  </w:pPr>
                  <w:r w:rsidRPr="00D01A30">
                    <w:rPr>
                      <w:sz w:val="21"/>
                      <w:szCs w:val="21"/>
                      <w:lang w:val="en-AU" w:eastAsia="en-AU"/>
                    </w:rPr>
                    <w:t>interstitial lung disease, pneumonitis</w:t>
                  </w:r>
                </w:p>
              </w:tc>
            </w:tr>
            <w:tr w:rsidR="009F080C" w:rsidRPr="00D01A30" w:rsidTr="00D01A30">
              <w:tc>
                <w:tcPr>
                  <w:tcW w:w="2439" w:type="dxa"/>
                  <w:vMerge w:val="restart"/>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Gastrointestinal disorders</w:t>
                  </w: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nausea</w:t>
                  </w:r>
                </w:p>
              </w:tc>
            </w:tr>
            <w:tr w:rsidR="009F080C" w:rsidRPr="00D01A30" w:rsidTr="00D01A30">
              <w:tc>
                <w:tcPr>
                  <w:tcW w:w="2439" w:type="dxa"/>
                  <w:vMerge/>
                  <w:shd w:val="clear" w:color="auto" w:fill="auto"/>
                </w:tcPr>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Uncommon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ascites, gastrointestinal ulceration and perforation,</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gastrointestinal tract inflammation (any site), stomatitis,</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dyspepsia, abdominal distension, oropharyngeal dryness</w:t>
                  </w:r>
                </w:p>
              </w:tc>
            </w:tr>
            <w:tr w:rsidR="009F080C" w:rsidRPr="00D01A30" w:rsidTr="00D01A30">
              <w:tc>
                <w:tcPr>
                  <w:tcW w:w="2439" w:type="dxa"/>
                  <w:vMerge/>
                  <w:shd w:val="clear" w:color="auto" w:fill="auto"/>
                </w:tcPr>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Rare</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 xml:space="preserve">odynophagia, </w:t>
                  </w:r>
                  <w:proofErr w:type="spellStart"/>
                  <w:r w:rsidRPr="00D01A30">
                    <w:rPr>
                      <w:sz w:val="21"/>
                      <w:szCs w:val="21"/>
                      <w:lang w:val="en-AU" w:eastAsia="en-AU"/>
                    </w:rPr>
                    <w:t>hypermotility</w:t>
                  </w:r>
                  <w:proofErr w:type="spellEnd"/>
                </w:p>
              </w:tc>
            </w:tr>
            <w:tr w:rsidR="009F080C" w:rsidRPr="00D01A30" w:rsidTr="00D01A30">
              <w:tc>
                <w:tcPr>
                  <w:tcW w:w="2439" w:type="dxa"/>
                  <w:vMerge w:val="restart"/>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Hepatobiliary disorders</w:t>
                  </w:r>
                </w:p>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hepatitis (including hepatic enzyme increased)</w:t>
                  </w:r>
                </w:p>
              </w:tc>
            </w:tr>
            <w:tr w:rsidR="009F080C" w:rsidRPr="00D01A30" w:rsidTr="00D01A30">
              <w:tc>
                <w:tcPr>
                  <w:tcW w:w="2439" w:type="dxa"/>
                  <w:vMerge/>
                  <w:shd w:val="clear" w:color="auto" w:fill="auto"/>
                </w:tcPr>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Uncommon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proofErr w:type="spellStart"/>
                  <w:r w:rsidRPr="00D01A30">
                    <w:rPr>
                      <w:sz w:val="21"/>
                      <w:szCs w:val="21"/>
                      <w:lang w:val="en-AU" w:eastAsia="en-AU"/>
                    </w:rPr>
                    <w:t>hepatopathy</w:t>
                  </w:r>
                  <w:proofErr w:type="spellEnd"/>
                  <w:r w:rsidRPr="00D01A30">
                    <w:rPr>
                      <w:sz w:val="21"/>
                      <w:szCs w:val="21"/>
                      <w:lang w:val="en-AU" w:eastAsia="en-AU"/>
                    </w:rPr>
                    <w:t xml:space="preserve"> (including cirrhosis), cholestasis, blood</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bilirubin increased</w:t>
                  </w:r>
                </w:p>
              </w:tc>
            </w:tr>
            <w:tr w:rsidR="00563591" w:rsidRPr="00D01A30" w:rsidTr="00D01A30">
              <w:tc>
                <w:tcPr>
                  <w:tcW w:w="2439" w:type="dxa"/>
                  <w:vMerge/>
                  <w:shd w:val="clear" w:color="auto" w:fill="auto"/>
                </w:tcPr>
                <w:p w:rsidR="00563591" w:rsidRPr="00D01A30" w:rsidRDefault="00563591" w:rsidP="00D01A30">
                  <w:pPr>
                    <w:autoSpaceDE w:val="0"/>
                    <w:autoSpaceDN w:val="0"/>
                    <w:adjustRightInd w:val="0"/>
                    <w:rPr>
                      <w:sz w:val="21"/>
                      <w:szCs w:val="21"/>
                      <w:lang w:val="en-AU" w:eastAsia="en-AU"/>
                    </w:rPr>
                  </w:pP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Rare</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proofErr w:type="spellStart"/>
                  <w:r w:rsidRPr="00D01A30">
                    <w:rPr>
                      <w:sz w:val="21"/>
                      <w:szCs w:val="21"/>
                      <w:lang w:val="en-AU" w:eastAsia="en-AU"/>
                    </w:rPr>
                    <w:t>cholelithiasis</w:t>
                  </w:r>
                  <w:proofErr w:type="spellEnd"/>
                </w:p>
              </w:tc>
            </w:tr>
            <w:tr w:rsidR="009F080C" w:rsidRPr="00D01A30" w:rsidTr="00D01A30">
              <w:tc>
                <w:tcPr>
                  <w:tcW w:w="2439" w:type="dxa"/>
                  <w:vMerge w:val="restart"/>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Skin and subcutaneous</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tissue disorders</w:t>
                  </w:r>
                </w:p>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rash</w:t>
                  </w:r>
                </w:p>
              </w:tc>
            </w:tr>
            <w:tr w:rsidR="009F080C" w:rsidRPr="00D01A30" w:rsidTr="00D01A30">
              <w:tc>
                <w:tcPr>
                  <w:tcW w:w="2439" w:type="dxa"/>
                  <w:vMerge/>
                  <w:shd w:val="clear" w:color="auto" w:fill="auto"/>
                </w:tcPr>
                <w:p w:rsidR="009F080C" w:rsidRPr="00D01A30" w:rsidRDefault="009F080C" w:rsidP="00D01A30">
                  <w:pPr>
                    <w:autoSpaceDE w:val="0"/>
                    <w:autoSpaceDN w:val="0"/>
                    <w:adjustRightInd w:val="0"/>
                    <w:rPr>
                      <w:sz w:val="21"/>
                      <w:szCs w:val="21"/>
                      <w:lang w:val="en-AU" w:eastAsia="en-AU"/>
                    </w:rPr>
                  </w:pPr>
                </w:p>
              </w:tc>
              <w:tc>
                <w:tcPr>
                  <w:tcW w:w="1418" w:type="dxa"/>
                  <w:shd w:val="clear" w:color="auto" w:fill="auto"/>
                </w:tcPr>
                <w:p w:rsidR="009F080C" w:rsidRPr="00D01A30" w:rsidRDefault="009F080C" w:rsidP="00D103F3">
                  <w:pPr>
                    <w:pStyle w:val="Paragraph"/>
                    <w:rPr>
                      <w:sz w:val="22"/>
                      <w:szCs w:val="22"/>
                      <w:lang w:val="en-GB"/>
                    </w:rPr>
                  </w:pPr>
                  <w:r w:rsidRPr="00D01A30">
                    <w:rPr>
                      <w:sz w:val="22"/>
                      <w:szCs w:val="22"/>
                      <w:lang w:val="en-GB"/>
                    </w:rPr>
                    <w:t>Uncommon</w:t>
                  </w:r>
                </w:p>
              </w:tc>
              <w:tc>
                <w:tcPr>
                  <w:tcW w:w="5054" w:type="dxa"/>
                  <w:shd w:val="clear" w:color="auto" w:fill="auto"/>
                </w:tcPr>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alopecia, new onset or worsening of psoriasis (including</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palmoplantar pustular psoriasis) and related conditions,</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dermatitis and eczema, sweat gland disorder, skin ulcer,</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photosensitivity, acne, skin discolouration, dry skin, nail</w:t>
                  </w:r>
                </w:p>
                <w:p w:rsidR="009F080C" w:rsidRPr="00D01A30" w:rsidRDefault="009F080C" w:rsidP="00D01A30">
                  <w:pPr>
                    <w:autoSpaceDE w:val="0"/>
                    <w:autoSpaceDN w:val="0"/>
                    <w:adjustRightInd w:val="0"/>
                    <w:rPr>
                      <w:sz w:val="21"/>
                      <w:szCs w:val="21"/>
                      <w:lang w:val="en-AU" w:eastAsia="en-AU"/>
                    </w:rPr>
                  </w:pPr>
                  <w:r w:rsidRPr="00D01A30">
                    <w:rPr>
                      <w:sz w:val="21"/>
                      <w:szCs w:val="21"/>
                      <w:lang w:val="en-AU" w:eastAsia="en-AU"/>
                    </w:rPr>
                    <w:t>and nail bed disorders</w:t>
                  </w:r>
                </w:p>
              </w:tc>
            </w:tr>
            <w:tr w:rsidR="00563591" w:rsidRPr="00D01A30" w:rsidTr="00D01A30">
              <w:tc>
                <w:tcPr>
                  <w:tcW w:w="2439" w:type="dxa"/>
                  <w:vMerge/>
                  <w:shd w:val="clear" w:color="auto" w:fill="auto"/>
                </w:tcPr>
                <w:p w:rsidR="00563591" w:rsidRPr="00D01A30" w:rsidRDefault="00563591" w:rsidP="00D01A30">
                  <w:pPr>
                    <w:autoSpaceDE w:val="0"/>
                    <w:autoSpaceDN w:val="0"/>
                    <w:adjustRightInd w:val="0"/>
                    <w:rPr>
                      <w:sz w:val="21"/>
                      <w:szCs w:val="21"/>
                      <w:lang w:val="en-AU" w:eastAsia="en-AU"/>
                    </w:rPr>
                  </w:pP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Rare</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skin exfoliation and desquamation, bullous conditions, hair texture disorder</w:t>
                  </w:r>
                </w:p>
              </w:tc>
            </w:tr>
            <w:tr w:rsidR="00922571" w:rsidRPr="00D01A30" w:rsidTr="00D01A30">
              <w:tc>
                <w:tcPr>
                  <w:tcW w:w="2439" w:type="dxa"/>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Musculoskeletal,</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connective tissue and</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bone disorders</w:t>
                  </w:r>
                </w:p>
              </w:tc>
              <w:tc>
                <w:tcPr>
                  <w:tcW w:w="1418" w:type="dxa"/>
                  <w:shd w:val="clear" w:color="auto" w:fill="auto"/>
                </w:tcPr>
                <w:p w:rsidR="00922571" w:rsidRPr="00D01A30" w:rsidRDefault="00922571" w:rsidP="00D103F3">
                  <w:pPr>
                    <w:pStyle w:val="Paragraph"/>
                    <w:rPr>
                      <w:sz w:val="21"/>
                      <w:szCs w:val="21"/>
                      <w:lang w:val="en-AU" w:eastAsia="en-AU"/>
                    </w:rPr>
                  </w:pPr>
                  <w:r w:rsidRPr="00D01A30">
                    <w:rPr>
                      <w:sz w:val="21"/>
                      <w:szCs w:val="21"/>
                      <w:lang w:val="en-AU" w:eastAsia="en-AU"/>
                    </w:rPr>
                    <w:t>Uncommon</w:t>
                  </w:r>
                </w:p>
              </w:tc>
              <w:tc>
                <w:tcPr>
                  <w:tcW w:w="5054" w:type="dxa"/>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muscle disorders</w:t>
                  </w:r>
                  <w:r w:rsidRPr="0080269E">
                    <w:rPr>
                      <w:sz w:val="21"/>
                      <w:szCs w:val="21"/>
                      <w:lang w:val="en-AU" w:eastAsia="en-AU"/>
                    </w:rPr>
                    <w:t xml:space="preserve">, blood </w:t>
                  </w:r>
                  <w:proofErr w:type="spellStart"/>
                  <w:r w:rsidRPr="0080269E">
                    <w:rPr>
                      <w:sz w:val="21"/>
                      <w:szCs w:val="21"/>
                      <w:lang w:val="en-AU" w:eastAsia="en-AU"/>
                    </w:rPr>
                    <w:t>creatine</w:t>
                  </w:r>
                  <w:proofErr w:type="spellEnd"/>
                  <w:r w:rsidRPr="0080269E">
                    <w:rPr>
                      <w:sz w:val="21"/>
                      <w:szCs w:val="21"/>
                      <w:lang w:val="en-AU" w:eastAsia="en-AU"/>
                    </w:rPr>
                    <w:t xml:space="preserve"> phosphokinase increased</w:t>
                  </w:r>
                </w:p>
              </w:tc>
            </w:tr>
            <w:tr w:rsidR="00563591" w:rsidRPr="00D01A30" w:rsidTr="00D01A30">
              <w:tc>
                <w:tcPr>
                  <w:tcW w:w="2439"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Renal and urinary</w:t>
                  </w:r>
                </w:p>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disorders</w:t>
                  </w: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Uncommon</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renal impairment, blood in urine, bladder and urethral</w:t>
                  </w:r>
                </w:p>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symptoms</w:t>
                  </w:r>
                </w:p>
              </w:tc>
            </w:tr>
            <w:tr w:rsidR="00563591" w:rsidRPr="00D01A30" w:rsidTr="00D01A30">
              <w:tc>
                <w:tcPr>
                  <w:tcW w:w="2439" w:type="dxa"/>
                  <w:shd w:val="clear" w:color="auto" w:fill="auto"/>
                </w:tcPr>
                <w:p w:rsidR="00563591" w:rsidRPr="00D01A30" w:rsidRDefault="00563591" w:rsidP="00D01A30">
                  <w:pPr>
                    <w:autoSpaceDE w:val="0"/>
                    <w:autoSpaceDN w:val="0"/>
                    <w:adjustRightInd w:val="0"/>
                    <w:rPr>
                      <w:sz w:val="21"/>
                      <w:szCs w:val="21"/>
                      <w:lang w:val="en-AU" w:eastAsia="en-AU"/>
                    </w:rPr>
                  </w:pP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Rare</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nephropathy (including nephritis)</w:t>
                  </w:r>
                </w:p>
              </w:tc>
            </w:tr>
            <w:tr w:rsidR="00922571" w:rsidRPr="00D01A30" w:rsidTr="00D01A30">
              <w:tc>
                <w:tcPr>
                  <w:tcW w:w="2439" w:type="dxa"/>
                  <w:vMerge w:val="restart"/>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Reproductive system and</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breast disorders</w:t>
                  </w:r>
                </w:p>
                <w:p w:rsidR="00922571" w:rsidRDefault="0092257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Default="00E25CA1" w:rsidP="00D01A30">
                  <w:pPr>
                    <w:autoSpaceDE w:val="0"/>
                    <w:autoSpaceDN w:val="0"/>
                    <w:adjustRightInd w:val="0"/>
                    <w:rPr>
                      <w:sz w:val="21"/>
                      <w:szCs w:val="21"/>
                      <w:lang w:val="en-AU" w:eastAsia="en-AU"/>
                    </w:rPr>
                  </w:pPr>
                </w:p>
                <w:p w:rsidR="00E25CA1" w:rsidRPr="00D01A30" w:rsidRDefault="00E25CA1" w:rsidP="00D01A30">
                  <w:pPr>
                    <w:autoSpaceDE w:val="0"/>
                    <w:autoSpaceDN w:val="0"/>
                    <w:adjustRightInd w:val="0"/>
                    <w:rPr>
                      <w:sz w:val="21"/>
                      <w:szCs w:val="21"/>
                      <w:lang w:val="en-AU" w:eastAsia="en-AU"/>
                    </w:rPr>
                  </w:pPr>
                </w:p>
              </w:tc>
              <w:tc>
                <w:tcPr>
                  <w:tcW w:w="1418" w:type="dxa"/>
                  <w:shd w:val="clear" w:color="auto" w:fill="auto"/>
                </w:tcPr>
                <w:p w:rsidR="00922571" w:rsidRPr="00D01A30" w:rsidRDefault="00922571" w:rsidP="00D103F3">
                  <w:pPr>
                    <w:pStyle w:val="Paragraph"/>
                    <w:rPr>
                      <w:sz w:val="22"/>
                      <w:szCs w:val="22"/>
                      <w:lang w:val="en-GB"/>
                    </w:rPr>
                  </w:pPr>
                  <w:r w:rsidRPr="00D01A30">
                    <w:rPr>
                      <w:sz w:val="22"/>
                      <w:szCs w:val="22"/>
                      <w:lang w:val="en-GB"/>
                    </w:rPr>
                    <w:t>Uncommon</w:t>
                  </w:r>
                </w:p>
              </w:tc>
              <w:tc>
                <w:tcPr>
                  <w:tcW w:w="5054" w:type="dxa"/>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menstrual cycle and uterine bleeding disorders (including</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amenorrhea), breast disorders</w:t>
                  </w:r>
                </w:p>
              </w:tc>
            </w:tr>
            <w:tr w:rsidR="00922571" w:rsidRPr="00D01A30" w:rsidTr="00D01A30">
              <w:tc>
                <w:tcPr>
                  <w:tcW w:w="2439" w:type="dxa"/>
                  <w:vMerge/>
                  <w:shd w:val="clear" w:color="auto" w:fill="auto"/>
                </w:tcPr>
                <w:p w:rsidR="00922571" w:rsidRPr="00D01A30" w:rsidRDefault="00922571" w:rsidP="00D01A30">
                  <w:pPr>
                    <w:autoSpaceDE w:val="0"/>
                    <w:autoSpaceDN w:val="0"/>
                    <w:adjustRightInd w:val="0"/>
                    <w:rPr>
                      <w:sz w:val="21"/>
                      <w:szCs w:val="21"/>
                      <w:lang w:val="en-AU" w:eastAsia="en-AU"/>
                    </w:rPr>
                  </w:pPr>
                </w:p>
              </w:tc>
              <w:tc>
                <w:tcPr>
                  <w:tcW w:w="1418" w:type="dxa"/>
                  <w:shd w:val="clear" w:color="auto" w:fill="auto"/>
                </w:tcPr>
                <w:p w:rsidR="00922571" w:rsidRPr="00D01A30" w:rsidRDefault="00922571" w:rsidP="00D103F3">
                  <w:pPr>
                    <w:pStyle w:val="Paragraph"/>
                    <w:rPr>
                      <w:sz w:val="22"/>
                      <w:szCs w:val="22"/>
                      <w:lang w:val="en-GB"/>
                    </w:rPr>
                  </w:pPr>
                  <w:r w:rsidRPr="00D01A30">
                    <w:rPr>
                      <w:sz w:val="22"/>
                      <w:szCs w:val="22"/>
                      <w:lang w:val="en-GB"/>
                    </w:rPr>
                    <w:t>Rare</w:t>
                  </w:r>
                </w:p>
              </w:tc>
              <w:tc>
                <w:tcPr>
                  <w:tcW w:w="5054" w:type="dxa"/>
                  <w:shd w:val="clear" w:color="auto" w:fill="auto"/>
                </w:tcPr>
                <w:p w:rsidR="00922571" w:rsidRDefault="00922571" w:rsidP="00D01A30">
                  <w:pPr>
                    <w:autoSpaceDE w:val="0"/>
                    <w:autoSpaceDN w:val="0"/>
                    <w:adjustRightInd w:val="0"/>
                    <w:rPr>
                      <w:sz w:val="21"/>
                      <w:szCs w:val="21"/>
                      <w:lang w:val="en-AU" w:eastAsia="en-AU"/>
                    </w:rPr>
                  </w:pPr>
                  <w:r w:rsidRPr="00D01A30">
                    <w:rPr>
                      <w:sz w:val="21"/>
                      <w:szCs w:val="21"/>
                      <w:lang w:val="en-AU" w:eastAsia="en-AU"/>
                    </w:rPr>
                    <w:t>sexual dysfunction</w:t>
                  </w:r>
                </w:p>
                <w:p w:rsidR="00980EE3" w:rsidRDefault="00980EE3" w:rsidP="00D01A30">
                  <w:pPr>
                    <w:autoSpaceDE w:val="0"/>
                    <w:autoSpaceDN w:val="0"/>
                    <w:adjustRightInd w:val="0"/>
                    <w:rPr>
                      <w:sz w:val="21"/>
                      <w:szCs w:val="21"/>
                      <w:lang w:val="en-AU" w:eastAsia="en-AU"/>
                    </w:rPr>
                  </w:pPr>
                </w:p>
                <w:p w:rsidR="00980EE3" w:rsidRDefault="00980EE3" w:rsidP="00D01A30">
                  <w:pPr>
                    <w:autoSpaceDE w:val="0"/>
                    <w:autoSpaceDN w:val="0"/>
                    <w:adjustRightInd w:val="0"/>
                    <w:rPr>
                      <w:sz w:val="21"/>
                      <w:szCs w:val="21"/>
                      <w:lang w:val="en-AU" w:eastAsia="en-AU"/>
                    </w:rPr>
                  </w:pPr>
                </w:p>
                <w:p w:rsidR="00980EE3" w:rsidRDefault="00980EE3" w:rsidP="00D01A30">
                  <w:pPr>
                    <w:autoSpaceDE w:val="0"/>
                    <w:autoSpaceDN w:val="0"/>
                    <w:adjustRightInd w:val="0"/>
                    <w:rPr>
                      <w:sz w:val="21"/>
                      <w:szCs w:val="21"/>
                      <w:lang w:val="en-AU" w:eastAsia="en-AU"/>
                    </w:rPr>
                  </w:pPr>
                </w:p>
                <w:p w:rsidR="00980EE3" w:rsidRPr="00D01A30" w:rsidRDefault="00980EE3" w:rsidP="00D01A30">
                  <w:pPr>
                    <w:autoSpaceDE w:val="0"/>
                    <w:autoSpaceDN w:val="0"/>
                    <w:adjustRightInd w:val="0"/>
                    <w:rPr>
                      <w:sz w:val="21"/>
                      <w:szCs w:val="21"/>
                      <w:lang w:val="en-AU" w:eastAsia="en-AU"/>
                    </w:rPr>
                  </w:pPr>
                </w:p>
              </w:tc>
            </w:tr>
            <w:tr w:rsidR="00922571" w:rsidRPr="00D01A30" w:rsidTr="00D01A30">
              <w:tc>
                <w:tcPr>
                  <w:tcW w:w="2439" w:type="dxa"/>
                  <w:vMerge w:val="restart"/>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General disorders and</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administration site</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conditions</w:t>
                  </w:r>
                </w:p>
                <w:p w:rsidR="00922571" w:rsidRPr="00D01A30" w:rsidRDefault="00922571" w:rsidP="00D01A30">
                  <w:pPr>
                    <w:autoSpaceDE w:val="0"/>
                    <w:autoSpaceDN w:val="0"/>
                    <w:adjustRightInd w:val="0"/>
                    <w:rPr>
                      <w:sz w:val="21"/>
                      <w:szCs w:val="21"/>
                      <w:lang w:val="en-AU" w:eastAsia="en-AU"/>
                    </w:rPr>
                  </w:pPr>
                </w:p>
              </w:tc>
              <w:tc>
                <w:tcPr>
                  <w:tcW w:w="1418" w:type="dxa"/>
                  <w:shd w:val="clear" w:color="auto" w:fill="auto"/>
                </w:tcPr>
                <w:p w:rsidR="00922571" w:rsidRPr="00D01A30" w:rsidRDefault="00922571" w:rsidP="00D103F3">
                  <w:pPr>
                    <w:pStyle w:val="Paragraph"/>
                    <w:rPr>
                      <w:sz w:val="22"/>
                      <w:szCs w:val="22"/>
                      <w:lang w:val="en-GB"/>
                    </w:rPr>
                  </w:pPr>
                  <w:r w:rsidRPr="00D01A30">
                    <w:rPr>
                      <w:sz w:val="22"/>
                      <w:szCs w:val="22"/>
                      <w:lang w:val="en-GB"/>
                    </w:rPr>
                    <w:t>Common</w:t>
                  </w:r>
                </w:p>
              </w:tc>
              <w:tc>
                <w:tcPr>
                  <w:tcW w:w="5054" w:type="dxa"/>
                  <w:shd w:val="clear" w:color="auto" w:fill="auto"/>
                </w:tcPr>
                <w:p w:rsidR="00922571" w:rsidRPr="00D01A30" w:rsidRDefault="00922571" w:rsidP="00D01A30">
                  <w:pPr>
                    <w:autoSpaceDE w:val="0"/>
                    <w:autoSpaceDN w:val="0"/>
                    <w:adjustRightInd w:val="0"/>
                    <w:rPr>
                      <w:sz w:val="21"/>
                      <w:szCs w:val="21"/>
                      <w:lang w:val="en-AU" w:eastAsia="en-AU"/>
                    </w:rPr>
                  </w:pPr>
                  <w:r w:rsidRPr="007128AC">
                    <w:rPr>
                      <w:sz w:val="21"/>
                      <w:szCs w:val="21"/>
                      <w:lang w:val="en-AU" w:eastAsia="en-AU"/>
                    </w:rPr>
                    <w:t>pyrexia,</w:t>
                  </w:r>
                  <w:r w:rsidRPr="00D01A30">
                    <w:rPr>
                      <w:sz w:val="21"/>
                      <w:szCs w:val="21"/>
                      <w:lang w:val="en-AU" w:eastAsia="en-AU"/>
                    </w:rPr>
                    <w:t xml:space="preserve"> pain (any site), </w:t>
                  </w:r>
                  <w:proofErr w:type="spellStart"/>
                  <w:r w:rsidRPr="00D01A30">
                    <w:rPr>
                      <w:sz w:val="21"/>
                      <w:szCs w:val="21"/>
                      <w:lang w:val="en-AU" w:eastAsia="en-AU"/>
                    </w:rPr>
                    <w:t>asthaenia</w:t>
                  </w:r>
                  <w:proofErr w:type="spellEnd"/>
                  <w:r w:rsidRPr="00D01A30">
                    <w:rPr>
                      <w:sz w:val="21"/>
                      <w:szCs w:val="21"/>
                      <w:lang w:val="en-AU" w:eastAsia="en-AU"/>
                    </w:rPr>
                    <w:t>, pruritus (any site),</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injection site reactions</w:t>
                  </w:r>
                </w:p>
              </w:tc>
            </w:tr>
            <w:tr w:rsidR="00922571" w:rsidRPr="00D01A30" w:rsidTr="00D01A30">
              <w:tc>
                <w:tcPr>
                  <w:tcW w:w="2439" w:type="dxa"/>
                  <w:vMerge/>
                  <w:shd w:val="clear" w:color="auto" w:fill="auto"/>
                </w:tcPr>
                <w:p w:rsidR="00922571" w:rsidRPr="00D01A30" w:rsidRDefault="00922571" w:rsidP="00D01A30">
                  <w:pPr>
                    <w:autoSpaceDE w:val="0"/>
                    <w:autoSpaceDN w:val="0"/>
                    <w:adjustRightInd w:val="0"/>
                    <w:rPr>
                      <w:sz w:val="21"/>
                      <w:szCs w:val="21"/>
                      <w:lang w:val="en-AU" w:eastAsia="en-AU"/>
                    </w:rPr>
                  </w:pPr>
                </w:p>
              </w:tc>
              <w:tc>
                <w:tcPr>
                  <w:tcW w:w="1418" w:type="dxa"/>
                  <w:shd w:val="clear" w:color="auto" w:fill="auto"/>
                </w:tcPr>
                <w:p w:rsidR="00922571" w:rsidRPr="00D01A30" w:rsidRDefault="00922571" w:rsidP="00D103F3">
                  <w:pPr>
                    <w:pStyle w:val="Paragraph"/>
                    <w:rPr>
                      <w:sz w:val="22"/>
                      <w:szCs w:val="22"/>
                      <w:lang w:val="en-GB"/>
                    </w:rPr>
                  </w:pPr>
                  <w:r w:rsidRPr="00D01A30">
                    <w:rPr>
                      <w:sz w:val="22"/>
                      <w:szCs w:val="22"/>
                      <w:lang w:val="en-GB"/>
                    </w:rPr>
                    <w:t>Uncommon</w:t>
                  </w:r>
                </w:p>
              </w:tc>
              <w:tc>
                <w:tcPr>
                  <w:tcW w:w="5054" w:type="dxa"/>
                  <w:shd w:val="clear" w:color="auto" w:fill="auto"/>
                </w:tcPr>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chills, influenza-like illness, altered temperature</w:t>
                  </w:r>
                </w:p>
                <w:p w:rsidR="00922571" w:rsidRPr="00D01A30" w:rsidRDefault="00922571" w:rsidP="00D01A30">
                  <w:pPr>
                    <w:autoSpaceDE w:val="0"/>
                    <w:autoSpaceDN w:val="0"/>
                    <w:adjustRightInd w:val="0"/>
                    <w:rPr>
                      <w:sz w:val="21"/>
                      <w:szCs w:val="21"/>
                      <w:lang w:val="en-AU" w:eastAsia="en-AU"/>
                    </w:rPr>
                  </w:pPr>
                  <w:r w:rsidRPr="00D01A30">
                    <w:rPr>
                      <w:sz w:val="21"/>
                      <w:szCs w:val="21"/>
                      <w:lang w:val="en-AU" w:eastAsia="en-AU"/>
                    </w:rPr>
                    <w:t>perception, night sweats, flushing</w:t>
                  </w:r>
                </w:p>
              </w:tc>
            </w:tr>
            <w:tr w:rsidR="00563591" w:rsidRPr="00D01A30" w:rsidTr="00D01A30">
              <w:tc>
                <w:tcPr>
                  <w:tcW w:w="2439" w:type="dxa"/>
                  <w:vMerge/>
                  <w:shd w:val="clear" w:color="auto" w:fill="auto"/>
                </w:tcPr>
                <w:p w:rsidR="00563591" w:rsidRPr="00D01A30" w:rsidRDefault="00563591" w:rsidP="00D01A30">
                  <w:pPr>
                    <w:autoSpaceDE w:val="0"/>
                    <w:autoSpaceDN w:val="0"/>
                    <w:adjustRightInd w:val="0"/>
                    <w:rPr>
                      <w:sz w:val="21"/>
                      <w:szCs w:val="21"/>
                      <w:lang w:val="en-AU" w:eastAsia="en-AU"/>
                    </w:rPr>
                  </w:pPr>
                </w:p>
              </w:tc>
              <w:tc>
                <w:tcPr>
                  <w:tcW w:w="1418" w:type="dxa"/>
                  <w:shd w:val="clear" w:color="auto" w:fill="auto"/>
                </w:tcPr>
                <w:p w:rsidR="00563591" w:rsidRPr="00D01A30" w:rsidRDefault="00563591" w:rsidP="00D103F3">
                  <w:pPr>
                    <w:pStyle w:val="Paragraph"/>
                    <w:rPr>
                      <w:sz w:val="22"/>
                      <w:szCs w:val="22"/>
                      <w:lang w:val="en-GB"/>
                    </w:rPr>
                  </w:pPr>
                  <w:r w:rsidRPr="00D01A30">
                    <w:rPr>
                      <w:sz w:val="22"/>
                      <w:szCs w:val="22"/>
                      <w:lang w:val="en-GB"/>
                    </w:rPr>
                    <w:t>Rare</w:t>
                  </w:r>
                </w:p>
              </w:tc>
              <w:tc>
                <w:tcPr>
                  <w:tcW w:w="5054" w:type="dxa"/>
                  <w:shd w:val="clear" w:color="auto" w:fill="auto"/>
                </w:tcPr>
                <w:p w:rsidR="00563591" w:rsidRPr="00D01A30" w:rsidRDefault="00563591" w:rsidP="00D01A30">
                  <w:pPr>
                    <w:autoSpaceDE w:val="0"/>
                    <w:autoSpaceDN w:val="0"/>
                    <w:adjustRightInd w:val="0"/>
                    <w:rPr>
                      <w:sz w:val="21"/>
                      <w:szCs w:val="21"/>
                      <w:lang w:val="en-AU" w:eastAsia="en-AU"/>
                    </w:rPr>
                  </w:pPr>
                  <w:r w:rsidRPr="00D01A30">
                    <w:rPr>
                      <w:sz w:val="21"/>
                      <w:szCs w:val="21"/>
                      <w:lang w:val="en-AU" w:eastAsia="en-AU"/>
                    </w:rPr>
                    <w:t>fistula (any site)</w:t>
                  </w:r>
                </w:p>
              </w:tc>
            </w:tr>
            <w:tr w:rsidR="00AB148D" w:rsidRPr="00D01A30" w:rsidTr="00D01A30">
              <w:tc>
                <w:tcPr>
                  <w:tcW w:w="2439" w:type="dxa"/>
                  <w:vMerge w:val="restart"/>
                  <w:shd w:val="clear" w:color="auto" w:fill="auto"/>
                </w:tcPr>
                <w:p w:rsidR="00AB148D" w:rsidRPr="00D01A30" w:rsidRDefault="00AB148D" w:rsidP="00D01A30">
                  <w:pPr>
                    <w:autoSpaceDE w:val="0"/>
                    <w:autoSpaceDN w:val="0"/>
                    <w:adjustRightInd w:val="0"/>
                    <w:rPr>
                      <w:sz w:val="21"/>
                      <w:szCs w:val="21"/>
                      <w:lang w:val="en-AU" w:eastAsia="en-AU"/>
                    </w:rPr>
                  </w:pPr>
                  <w:r w:rsidRPr="00D01A30">
                    <w:rPr>
                      <w:sz w:val="21"/>
                      <w:szCs w:val="21"/>
                      <w:lang w:val="en-AU" w:eastAsia="en-AU"/>
                    </w:rPr>
                    <w:t>Investigations</w:t>
                  </w:r>
                </w:p>
                <w:p w:rsidR="00AB148D" w:rsidRPr="00D01A30" w:rsidRDefault="00AB148D" w:rsidP="00D01A30">
                  <w:pPr>
                    <w:autoSpaceDE w:val="0"/>
                    <w:autoSpaceDN w:val="0"/>
                    <w:adjustRightInd w:val="0"/>
                    <w:rPr>
                      <w:sz w:val="21"/>
                      <w:szCs w:val="21"/>
                      <w:lang w:val="en-AU" w:eastAsia="en-AU"/>
                    </w:rPr>
                  </w:pPr>
                </w:p>
              </w:tc>
              <w:tc>
                <w:tcPr>
                  <w:tcW w:w="1418" w:type="dxa"/>
                  <w:shd w:val="clear" w:color="auto" w:fill="auto"/>
                </w:tcPr>
                <w:p w:rsidR="00AB148D" w:rsidRPr="00D01A30" w:rsidRDefault="00AB148D" w:rsidP="00D103F3">
                  <w:pPr>
                    <w:pStyle w:val="Paragraph"/>
                    <w:rPr>
                      <w:sz w:val="22"/>
                      <w:szCs w:val="22"/>
                      <w:lang w:val="en-GB"/>
                    </w:rPr>
                  </w:pPr>
                  <w:r w:rsidRPr="00D01A30">
                    <w:rPr>
                      <w:sz w:val="22"/>
                      <w:szCs w:val="22"/>
                      <w:lang w:val="en-GB"/>
                    </w:rPr>
                    <w:t>Uncommon</w:t>
                  </w:r>
                </w:p>
              </w:tc>
              <w:tc>
                <w:tcPr>
                  <w:tcW w:w="5054" w:type="dxa"/>
                  <w:shd w:val="clear" w:color="auto" w:fill="auto"/>
                </w:tcPr>
                <w:p w:rsidR="00AB148D" w:rsidRPr="00D01A30" w:rsidRDefault="00AB148D" w:rsidP="00D01A30">
                  <w:pPr>
                    <w:autoSpaceDE w:val="0"/>
                    <w:autoSpaceDN w:val="0"/>
                    <w:adjustRightInd w:val="0"/>
                    <w:rPr>
                      <w:sz w:val="21"/>
                      <w:szCs w:val="21"/>
                      <w:lang w:val="en-AU" w:eastAsia="en-AU"/>
                    </w:rPr>
                  </w:pPr>
                  <w:r w:rsidRPr="00D01A30">
                    <w:rPr>
                      <w:sz w:val="21"/>
                      <w:szCs w:val="21"/>
                      <w:lang w:val="en-AU" w:eastAsia="en-AU"/>
                    </w:rPr>
                    <w:t>blood alkaline phosphatase increased, coagulation time</w:t>
                  </w:r>
                </w:p>
                <w:p w:rsidR="00AB148D" w:rsidRPr="00D01A30" w:rsidRDefault="00AB148D" w:rsidP="00D01A30">
                  <w:pPr>
                    <w:autoSpaceDE w:val="0"/>
                    <w:autoSpaceDN w:val="0"/>
                    <w:adjustRightInd w:val="0"/>
                    <w:rPr>
                      <w:sz w:val="21"/>
                      <w:szCs w:val="21"/>
                      <w:lang w:val="en-AU" w:eastAsia="en-AU"/>
                    </w:rPr>
                  </w:pPr>
                  <w:r w:rsidRPr="00D01A30">
                    <w:rPr>
                      <w:sz w:val="21"/>
                      <w:szCs w:val="21"/>
                      <w:lang w:val="en-AU" w:eastAsia="en-AU"/>
                    </w:rPr>
                    <w:t>prolonged</w:t>
                  </w:r>
                </w:p>
              </w:tc>
            </w:tr>
            <w:tr w:rsidR="00AB148D" w:rsidRPr="00D01A30" w:rsidTr="00D01A30">
              <w:tc>
                <w:tcPr>
                  <w:tcW w:w="2439" w:type="dxa"/>
                  <w:vMerge/>
                  <w:shd w:val="clear" w:color="auto" w:fill="auto"/>
                </w:tcPr>
                <w:p w:rsidR="00AB148D" w:rsidRPr="00D01A30" w:rsidRDefault="00AB148D" w:rsidP="00D01A30">
                  <w:pPr>
                    <w:autoSpaceDE w:val="0"/>
                    <w:autoSpaceDN w:val="0"/>
                    <w:adjustRightInd w:val="0"/>
                    <w:rPr>
                      <w:sz w:val="21"/>
                      <w:szCs w:val="21"/>
                      <w:lang w:val="en-AU" w:eastAsia="en-AU"/>
                    </w:rPr>
                  </w:pPr>
                </w:p>
              </w:tc>
              <w:tc>
                <w:tcPr>
                  <w:tcW w:w="1418" w:type="dxa"/>
                  <w:shd w:val="clear" w:color="auto" w:fill="auto"/>
                </w:tcPr>
                <w:p w:rsidR="00AB148D" w:rsidRPr="00504A6C" w:rsidRDefault="00AB148D" w:rsidP="00D103F3">
                  <w:pPr>
                    <w:pStyle w:val="Paragraph"/>
                    <w:rPr>
                      <w:sz w:val="22"/>
                      <w:szCs w:val="22"/>
                      <w:lang w:val="en-GB"/>
                    </w:rPr>
                  </w:pPr>
                  <w:r w:rsidRPr="00504A6C">
                    <w:rPr>
                      <w:sz w:val="22"/>
                      <w:szCs w:val="22"/>
                      <w:lang w:val="en-GB"/>
                    </w:rPr>
                    <w:t>Rare</w:t>
                  </w:r>
                </w:p>
              </w:tc>
              <w:tc>
                <w:tcPr>
                  <w:tcW w:w="5054" w:type="dxa"/>
                  <w:shd w:val="clear" w:color="auto" w:fill="auto"/>
                </w:tcPr>
                <w:p w:rsidR="00AB148D" w:rsidRPr="00504A6C" w:rsidRDefault="00AB148D" w:rsidP="00D01A30">
                  <w:pPr>
                    <w:autoSpaceDE w:val="0"/>
                    <w:autoSpaceDN w:val="0"/>
                    <w:adjustRightInd w:val="0"/>
                    <w:rPr>
                      <w:sz w:val="21"/>
                      <w:szCs w:val="21"/>
                      <w:lang w:val="en-AU" w:eastAsia="en-AU"/>
                    </w:rPr>
                  </w:pPr>
                  <w:r w:rsidRPr="00504A6C">
                    <w:rPr>
                      <w:sz w:val="21"/>
                      <w:szCs w:val="21"/>
                      <w:lang w:val="en-AU" w:eastAsia="en-AU"/>
                    </w:rPr>
                    <w:t>blood uric acid increased</w:t>
                  </w:r>
                </w:p>
              </w:tc>
            </w:tr>
            <w:tr w:rsidR="00192932" w:rsidRPr="00D01A30" w:rsidTr="00881F31">
              <w:trPr>
                <w:trHeight w:val="493"/>
              </w:trPr>
              <w:tc>
                <w:tcPr>
                  <w:tcW w:w="2439" w:type="dxa"/>
                  <w:shd w:val="clear" w:color="auto" w:fill="auto"/>
                </w:tcPr>
                <w:p w:rsidR="00192932" w:rsidRPr="00D01A30" w:rsidRDefault="00192932" w:rsidP="00D01A30">
                  <w:pPr>
                    <w:autoSpaceDE w:val="0"/>
                    <w:autoSpaceDN w:val="0"/>
                    <w:adjustRightInd w:val="0"/>
                    <w:rPr>
                      <w:sz w:val="21"/>
                      <w:szCs w:val="21"/>
                      <w:lang w:val="en-AU" w:eastAsia="en-AU"/>
                    </w:rPr>
                  </w:pPr>
                  <w:r w:rsidRPr="00D01A30">
                    <w:rPr>
                      <w:sz w:val="21"/>
                      <w:szCs w:val="21"/>
                      <w:lang w:val="en-AU" w:eastAsia="en-AU"/>
                    </w:rPr>
                    <w:t>Injury, poisoning and</w:t>
                  </w:r>
                </w:p>
                <w:p w:rsidR="00192932" w:rsidRPr="00D01A30" w:rsidRDefault="00192932" w:rsidP="00D01A30">
                  <w:pPr>
                    <w:autoSpaceDE w:val="0"/>
                    <w:autoSpaceDN w:val="0"/>
                    <w:adjustRightInd w:val="0"/>
                    <w:rPr>
                      <w:sz w:val="21"/>
                      <w:szCs w:val="21"/>
                      <w:lang w:val="en-AU" w:eastAsia="en-AU"/>
                    </w:rPr>
                  </w:pPr>
                  <w:r w:rsidRPr="00D01A30">
                    <w:rPr>
                      <w:sz w:val="21"/>
                      <w:szCs w:val="21"/>
                      <w:lang w:val="en-AU" w:eastAsia="en-AU"/>
                    </w:rPr>
                    <w:t>procedural complications</w:t>
                  </w:r>
                </w:p>
              </w:tc>
              <w:tc>
                <w:tcPr>
                  <w:tcW w:w="1418" w:type="dxa"/>
                  <w:shd w:val="clear" w:color="auto" w:fill="auto"/>
                </w:tcPr>
                <w:p w:rsidR="00192932" w:rsidRPr="00504A6C" w:rsidRDefault="00192932" w:rsidP="00D103F3">
                  <w:pPr>
                    <w:pStyle w:val="Paragraph"/>
                    <w:rPr>
                      <w:sz w:val="22"/>
                      <w:szCs w:val="22"/>
                      <w:lang w:val="en-GB"/>
                    </w:rPr>
                  </w:pPr>
                  <w:r w:rsidRPr="00D01A30">
                    <w:rPr>
                      <w:sz w:val="22"/>
                      <w:szCs w:val="22"/>
                      <w:lang w:val="en-GB"/>
                    </w:rPr>
                    <w:t>Uncommon</w:t>
                  </w:r>
                </w:p>
              </w:tc>
              <w:tc>
                <w:tcPr>
                  <w:tcW w:w="5054" w:type="dxa"/>
                  <w:shd w:val="clear" w:color="auto" w:fill="auto"/>
                </w:tcPr>
                <w:p w:rsidR="00192932" w:rsidRPr="00504A6C" w:rsidRDefault="00192932" w:rsidP="00D01A30">
                  <w:pPr>
                    <w:autoSpaceDE w:val="0"/>
                    <w:autoSpaceDN w:val="0"/>
                    <w:adjustRightInd w:val="0"/>
                    <w:rPr>
                      <w:sz w:val="21"/>
                      <w:szCs w:val="21"/>
                      <w:lang w:val="en-AU" w:eastAsia="en-AU"/>
                    </w:rPr>
                  </w:pPr>
                  <w:r w:rsidRPr="00D01A30">
                    <w:rPr>
                      <w:sz w:val="21"/>
                      <w:szCs w:val="21"/>
                      <w:lang w:val="en-AU" w:eastAsia="en-AU"/>
                    </w:rPr>
                    <w:t>skin injuries, impaired healing</w:t>
                  </w:r>
                </w:p>
              </w:tc>
            </w:tr>
          </w:tbl>
          <w:p w:rsidR="00807E7C" w:rsidRDefault="00807E7C" w:rsidP="00807E7C">
            <w:pPr>
              <w:autoSpaceDE w:val="0"/>
              <w:autoSpaceDN w:val="0"/>
              <w:adjustRightInd w:val="0"/>
              <w:rPr>
                <w:sz w:val="21"/>
                <w:szCs w:val="21"/>
                <w:lang w:val="en-AU" w:eastAsia="en-AU"/>
              </w:rPr>
            </w:pPr>
            <w:r>
              <w:rPr>
                <w:sz w:val="21"/>
                <w:szCs w:val="21"/>
                <w:lang w:val="en-AU" w:eastAsia="en-AU"/>
              </w:rPr>
              <w:t xml:space="preserve">*These events have been related to the class of TNF-antagonists, but incidence with </w:t>
            </w:r>
            <w:proofErr w:type="spellStart"/>
            <w:r>
              <w:rPr>
                <w:sz w:val="21"/>
                <w:szCs w:val="21"/>
                <w:lang w:val="en-AU" w:eastAsia="en-AU"/>
              </w:rPr>
              <w:t>Cimzia</w:t>
            </w:r>
            <w:proofErr w:type="spellEnd"/>
            <w:r>
              <w:rPr>
                <w:sz w:val="21"/>
                <w:szCs w:val="21"/>
                <w:lang w:val="en-AU" w:eastAsia="en-AU"/>
              </w:rPr>
              <w:t xml:space="preserve"> is not</w:t>
            </w:r>
          </w:p>
          <w:p w:rsidR="0005733D" w:rsidRDefault="00807E7C" w:rsidP="00807E7C">
            <w:pPr>
              <w:pStyle w:val="Paragraph"/>
              <w:rPr>
                <w:sz w:val="21"/>
                <w:szCs w:val="21"/>
                <w:lang w:val="en-AU" w:eastAsia="en-AU"/>
              </w:rPr>
            </w:pPr>
            <w:proofErr w:type="gramStart"/>
            <w:r>
              <w:rPr>
                <w:sz w:val="21"/>
                <w:szCs w:val="21"/>
                <w:lang w:val="en-AU" w:eastAsia="en-AU"/>
              </w:rPr>
              <w:t>known</w:t>
            </w:r>
            <w:proofErr w:type="gramEnd"/>
            <w:r>
              <w:rPr>
                <w:sz w:val="21"/>
                <w:szCs w:val="21"/>
                <w:lang w:val="en-AU" w:eastAsia="en-AU"/>
              </w:rPr>
              <w:t>.</w:t>
            </w:r>
          </w:p>
          <w:p w:rsidR="00E25CA1" w:rsidRPr="009A6E00" w:rsidRDefault="00E25CA1" w:rsidP="00807E7C">
            <w:pPr>
              <w:pStyle w:val="Paragraph"/>
              <w:rPr>
                <w:lang w:val="en-GB"/>
              </w:rPr>
            </w:pPr>
          </w:p>
          <w:p w:rsidR="00F521F8" w:rsidRPr="0072033B" w:rsidRDefault="00F521F8" w:rsidP="006D6F80">
            <w:pPr>
              <w:pStyle w:val="Paragraph"/>
            </w:pPr>
            <w:r w:rsidRPr="0072033B">
              <w:t xml:space="preserve">The additional following Adverse Drug Reactions (ADRs) have been observed uncommonly with CIMZIA in other indications: gastrointestinal stenosis and obstructions, general physical health deterioration, grand mal convulsion, optic neuritis, abortion spontaneous and </w:t>
            </w:r>
            <w:proofErr w:type="spellStart"/>
            <w:r w:rsidRPr="0072033B">
              <w:t>azoospermia</w:t>
            </w:r>
            <w:proofErr w:type="spellEnd"/>
            <w:r>
              <w:t>, vaginal discharge and fistula (any site).</w:t>
            </w:r>
          </w:p>
          <w:p w:rsidR="00F521F8" w:rsidRPr="006D6F80" w:rsidRDefault="00F521F8" w:rsidP="006D6F80">
            <w:pPr>
              <w:pStyle w:val="Paragraph"/>
              <w:rPr>
                <w:b/>
                <w:lang w:val="en-GB"/>
              </w:rPr>
            </w:pPr>
            <w:r w:rsidRPr="006D6F80">
              <w:rPr>
                <w:b/>
                <w:lang w:val="en-GB"/>
              </w:rPr>
              <w:t>Infections</w:t>
            </w:r>
          </w:p>
          <w:p w:rsidR="00F521F8" w:rsidRPr="0052262B" w:rsidRDefault="00F521F8" w:rsidP="006D6F80">
            <w:pPr>
              <w:pStyle w:val="Paragraph"/>
              <w:rPr>
                <w:lang w:val="en-GB"/>
              </w:rPr>
            </w:pPr>
            <w:r w:rsidRPr="0052262B">
              <w:rPr>
                <w:lang w:val="en-GB"/>
              </w:rPr>
              <w:lastRenderedPageBreak/>
              <w:t xml:space="preserve">The incidence of new cases of infections in placebo-controlled clinical studies in rheumatoid arthritis was </w:t>
            </w:r>
            <w:r w:rsidR="00564616">
              <w:rPr>
                <w:lang w:val="en-GB"/>
              </w:rPr>
              <w:t>1.03</w:t>
            </w:r>
            <w:r w:rsidRPr="0052262B">
              <w:rPr>
                <w:lang w:val="en-GB"/>
              </w:rPr>
              <w:t xml:space="preserve"> per patient-year for all CIMZIA-treated patients and </w:t>
            </w:r>
            <w:r w:rsidR="00564616">
              <w:rPr>
                <w:lang w:val="en-GB"/>
              </w:rPr>
              <w:t>0.92</w:t>
            </w:r>
            <w:r w:rsidRPr="0052262B">
              <w:rPr>
                <w:lang w:val="en-GB"/>
              </w:rPr>
              <w:t xml:space="preserve"> per patient-year for placebo-treated patients.  The infections consisted primarily of upper respiratory tract infections, </w:t>
            </w:r>
            <w:r w:rsidR="00564616" w:rsidRPr="00564616">
              <w:rPr>
                <w:lang w:val="en-GB"/>
              </w:rPr>
              <w:t xml:space="preserve">urinary tract infections, </w:t>
            </w:r>
            <w:r w:rsidRPr="0052262B">
              <w:rPr>
                <w:lang w:val="en-GB"/>
              </w:rPr>
              <w:t>lower respiratory tract infections</w:t>
            </w:r>
            <w:r w:rsidR="00564616">
              <w:rPr>
                <w:lang w:val="en-GB"/>
              </w:rPr>
              <w:t xml:space="preserve"> and </w:t>
            </w:r>
            <w:r w:rsidR="00564616" w:rsidRPr="00564616">
              <w:rPr>
                <w:lang w:val="en-GB"/>
              </w:rPr>
              <w:t xml:space="preserve">herpes </w:t>
            </w:r>
            <w:r w:rsidR="00564616">
              <w:rPr>
                <w:lang w:val="en-GB"/>
              </w:rPr>
              <w:t xml:space="preserve">viral </w:t>
            </w:r>
            <w:r w:rsidR="00564616" w:rsidRPr="00564616">
              <w:rPr>
                <w:lang w:val="en-GB"/>
              </w:rPr>
              <w:t>infections</w:t>
            </w:r>
            <w:r w:rsidR="00801376">
              <w:rPr>
                <w:lang w:val="en-GB"/>
              </w:rPr>
              <w:t>.</w:t>
            </w:r>
          </w:p>
          <w:p w:rsidR="00F521F8" w:rsidRPr="0052262B" w:rsidRDefault="00F521F8" w:rsidP="006D6F80">
            <w:pPr>
              <w:pStyle w:val="Paragraph"/>
              <w:rPr>
                <w:lang w:val="en-GB"/>
              </w:rPr>
            </w:pPr>
            <w:r w:rsidRPr="0052262B">
              <w:rPr>
                <w:lang w:val="en-GB"/>
              </w:rPr>
              <w:t>I</w:t>
            </w:r>
            <w:bookmarkStart w:id="10" w:name="OLE_LINK3"/>
            <w:bookmarkStart w:id="11" w:name="OLE_LINK4"/>
            <w:r w:rsidRPr="0052262B">
              <w:rPr>
                <w:lang w:val="en-GB"/>
              </w:rPr>
              <w:t>n the placebo-controlled studies, there were more new cases of serious infection adverse reactions in the CIMZIA treatment groups, compared with the placebo groups (</w:t>
            </w:r>
            <w:r w:rsidR="00564616">
              <w:rPr>
                <w:lang w:val="en-GB"/>
              </w:rPr>
              <w:t>0.07</w:t>
            </w:r>
            <w:r w:rsidRPr="0052262B">
              <w:rPr>
                <w:lang w:val="en-GB"/>
              </w:rPr>
              <w:t xml:space="preserve"> per patient-year for all CIMZIA doses vs. 0.02 per patient-year for placebo).  Rates of serious infections were </w:t>
            </w:r>
            <w:r w:rsidR="00564616">
              <w:rPr>
                <w:lang w:val="en-GB"/>
              </w:rPr>
              <w:t>0.08</w:t>
            </w:r>
            <w:r w:rsidRPr="0052262B">
              <w:rPr>
                <w:lang w:val="en-GB"/>
              </w:rPr>
              <w:t xml:space="preserve"> per patient-year in the 200 mg every 2 week dose group and </w:t>
            </w:r>
            <w:r w:rsidR="00564616">
              <w:rPr>
                <w:lang w:val="en-GB"/>
              </w:rPr>
              <w:t>0.05</w:t>
            </w:r>
            <w:r w:rsidRPr="0052262B">
              <w:rPr>
                <w:lang w:val="en-GB"/>
              </w:rPr>
              <w:t xml:space="preserve"> in the 400 mg every 4 weeks dose group. </w:t>
            </w:r>
            <w:bookmarkStart w:id="12" w:name="OLE_LINK9"/>
            <w:bookmarkStart w:id="13" w:name="OLE_LINK10"/>
            <w:r w:rsidRPr="0052262B">
              <w:rPr>
                <w:lang w:val="en-GB"/>
              </w:rPr>
              <w:t>Serious infections included tuberculosis and invasive opportunistic infections (e.g.</w:t>
            </w:r>
            <w:r>
              <w:rPr>
                <w:lang w:val="en-GB"/>
              </w:rPr>
              <w:t>,</w:t>
            </w:r>
            <w:r w:rsidRPr="0052262B">
              <w:rPr>
                <w:lang w:val="en-GB"/>
              </w:rPr>
              <w:t xml:space="preserve"> </w:t>
            </w:r>
            <w:r w:rsidRPr="0052262B">
              <w:rPr>
                <w:i/>
                <w:lang w:val="en-GB"/>
              </w:rPr>
              <w:t>Pneumocystis</w:t>
            </w:r>
            <w:r w:rsidRPr="0052262B">
              <w:rPr>
                <w:lang w:val="en-GB"/>
              </w:rPr>
              <w:t xml:space="preserve">, fungal </w:t>
            </w:r>
            <w:proofErr w:type="spellStart"/>
            <w:r w:rsidRPr="0052262B">
              <w:rPr>
                <w:lang w:val="en-GB"/>
              </w:rPr>
              <w:t>oesophagitis</w:t>
            </w:r>
            <w:proofErr w:type="spellEnd"/>
            <w:r w:rsidRPr="0052262B">
              <w:rPr>
                <w:lang w:val="en-GB"/>
              </w:rPr>
              <w:t xml:space="preserve">, </w:t>
            </w:r>
            <w:proofErr w:type="spellStart"/>
            <w:r w:rsidRPr="0052262B">
              <w:rPr>
                <w:i/>
                <w:lang w:val="en-GB"/>
              </w:rPr>
              <w:t>Nocardia</w:t>
            </w:r>
            <w:proofErr w:type="spellEnd"/>
            <w:r w:rsidRPr="0052262B">
              <w:rPr>
                <w:lang w:val="en-GB"/>
              </w:rPr>
              <w:t xml:space="preserve"> and herpes zoster disseminated).</w:t>
            </w:r>
            <w:bookmarkEnd w:id="10"/>
            <w:bookmarkEnd w:id="11"/>
            <w:bookmarkEnd w:id="12"/>
            <w:bookmarkEnd w:id="13"/>
            <w:r w:rsidRPr="0052262B">
              <w:rPr>
                <w:lang w:val="en-GB"/>
              </w:rPr>
              <w:t xml:space="preserve"> There is no evidence of increased risk of infections with continued exposure over time (see PRECAUTIONS).</w:t>
            </w:r>
          </w:p>
          <w:p w:rsidR="00F521F8" w:rsidRPr="006D6F80" w:rsidRDefault="00F521F8" w:rsidP="006D6F80">
            <w:pPr>
              <w:pStyle w:val="Paragraph"/>
              <w:rPr>
                <w:b/>
                <w:lang w:val="en-GB"/>
              </w:rPr>
            </w:pPr>
            <w:r w:rsidRPr="006D6F80">
              <w:rPr>
                <w:b/>
                <w:lang w:val="en-GB"/>
              </w:rPr>
              <w:t>Tuberculosis and Opportunistic Infections</w:t>
            </w:r>
          </w:p>
          <w:p w:rsidR="00F521F8" w:rsidRPr="006D6F80" w:rsidRDefault="00F521F8" w:rsidP="006D6F80">
            <w:pPr>
              <w:pStyle w:val="Paragraph"/>
            </w:pPr>
            <w:r w:rsidRPr="0052262B">
              <w:rPr>
                <w:lang w:val="en-GB"/>
              </w:rPr>
              <w:t>In completed and ongoing global clinical studies in all indications 5,118 CIMZIA treated patients, the overall rate of tuberculosis is approximately 0.61 per 100 patient-years across all indications.</w:t>
            </w:r>
          </w:p>
          <w:p w:rsidR="00F521F8" w:rsidRDefault="00F521F8" w:rsidP="006D6F80">
            <w:pPr>
              <w:pStyle w:val="Paragraph"/>
              <w:rPr>
                <w:lang w:val="en-GB"/>
              </w:rPr>
            </w:pPr>
            <w:r w:rsidRPr="0052262B">
              <w:rPr>
                <w:lang w:val="en-GB"/>
              </w:rPr>
              <w:t xml:space="preserve">The majority of cases occurred in countries with high endemic rates of TB. Across all indications, no cases of TB have been reported in Australia (0/140) and 1 case (1/53) in New Zealand.  In total across the region and all indications, this represents 1 case among 193 patients. Reports include cases of </w:t>
            </w:r>
            <w:proofErr w:type="spellStart"/>
            <w:r w:rsidRPr="0052262B">
              <w:rPr>
                <w:lang w:val="en-GB"/>
              </w:rPr>
              <w:t>miliary</w:t>
            </w:r>
            <w:proofErr w:type="spellEnd"/>
            <w:r w:rsidRPr="0052262B">
              <w:rPr>
                <w:lang w:val="en-GB"/>
              </w:rPr>
              <w:t xml:space="preserve">, lymphatic, peritoneal, as well as pulmonary TB.  The median time to onset of TB for all patients exposed to CIMZIA across all indications was 345 days.  In the studies with CIMZIA in RA, there were </w:t>
            </w:r>
            <w:r w:rsidR="00564616">
              <w:rPr>
                <w:lang w:val="en-GB"/>
              </w:rPr>
              <w:t>50</w:t>
            </w:r>
            <w:r w:rsidR="00564616" w:rsidRPr="0052262B">
              <w:rPr>
                <w:lang w:val="en-GB"/>
              </w:rPr>
              <w:t xml:space="preserve"> </w:t>
            </w:r>
            <w:r w:rsidRPr="0052262B">
              <w:rPr>
                <w:lang w:val="en-GB"/>
              </w:rPr>
              <w:t xml:space="preserve">cases of TB among </w:t>
            </w:r>
            <w:r w:rsidR="00564616">
              <w:rPr>
                <w:lang w:val="en-GB"/>
              </w:rPr>
              <w:t>4049</w:t>
            </w:r>
            <w:r w:rsidRPr="0052262B">
              <w:rPr>
                <w:lang w:val="en-GB"/>
              </w:rPr>
              <w:t xml:space="preserve"> exposed patients; including some fatal cases (see PRECAUTIONS).</w:t>
            </w:r>
          </w:p>
          <w:p w:rsidR="00E25CA1" w:rsidRDefault="00E25CA1" w:rsidP="006D6F80">
            <w:pPr>
              <w:pStyle w:val="Paragraph"/>
              <w:rPr>
                <w:lang w:val="en-GB"/>
              </w:rPr>
            </w:pPr>
          </w:p>
          <w:p w:rsidR="00F521F8" w:rsidRPr="006D6F80" w:rsidRDefault="00F521F8" w:rsidP="006D6F80">
            <w:pPr>
              <w:pStyle w:val="Paragraph"/>
              <w:rPr>
                <w:b/>
                <w:lang w:val="en-GB"/>
              </w:rPr>
            </w:pPr>
            <w:r w:rsidRPr="006D6F80">
              <w:rPr>
                <w:b/>
                <w:lang w:val="en-GB"/>
              </w:rPr>
              <w:t>Congestive heart failure</w:t>
            </w:r>
          </w:p>
          <w:p w:rsidR="00F521F8" w:rsidRDefault="00F521F8" w:rsidP="00425E4F">
            <w:pPr>
              <w:pStyle w:val="Paragraph"/>
              <w:ind w:right="-108"/>
              <w:rPr>
                <w:lang w:val="en-GB"/>
              </w:rPr>
            </w:pPr>
            <w:r w:rsidRPr="0052262B">
              <w:rPr>
                <w:lang w:val="en-GB"/>
              </w:rPr>
              <w:t>In placebo controlled and open-label rheumatoid arthritis clinical trials, cases of new or worsening heart failure have been reported for CIMZIA-treated patients. The majority of these cases were mild to moderate and occurred during the first year of exposure (see PRECAUTIONS).</w:t>
            </w:r>
          </w:p>
          <w:p w:rsidR="00F521F8" w:rsidRPr="006D6F80" w:rsidRDefault="00F521F8" w:rsidP="006D6F80">
            <w:pPr>
              <w:pStyle w:val="Paragraph"/>
              <w:rPr>
                <w:b/>
                <w:lang w:val="en-GB"/>
              </w:rPr>
            </w:pPr>
            <w:r w:rsidRPr="006D6F80">
              <w:rPr>
                <w:b/>
                <w:lang w:val="en-GB"/>
              </w:rPr>
              <w:t>Hepatic</w:t>
            </w:r>
          </w:p>
          <w:p w:rsidR="00F521F8" w:rsidRDefault="00F521F8" w:rsidP="006D6F80">
            <w:pPr>
              <w:pStyle w:val="Paragraph"/>
              <w:rPr>
                <w:lang w:val="en-GB"/>
              </w:rPr>
            </w:pPr>
            <w:r w:rsidRPr="0052262B">
              <w:rPr>
                <w:lang w:val="en-GB"/>
              </w:rPr>
              <w:t xml:space="preserve">In placebo-controlled rheumatoid arthritis studies, the adverse events of ALT </w:t>
            </w:r>
            <w:r w:rsidR="00D364D5" w:rsidRPr="00BD6D48">
              <w:rPr>
                <w:lang w:val="en-GB"/>
              </w:rPr>
              <w:t>increased</w:t>
            </w:r>
            <w:r w:rsidRPr="00BD6D48">
              <w:rPr>
                <w:lang w:val="en-GB"/>
              </w:rPr>
              <w:t xml:space="preserve"> occurred in </w:t>
            </w:r>
            <w:r w:rsidR="00BA251B" w:rsidRPr="00BD6D48">
              <w:rPr>
                <w:lang w:val="en-GB"/>
              </w:rPr>
              <w:t>1.8</w:t>
            </w:r>
            <w:r w:rsidRPr="00BD6D48">
              <w:rPr>
                <w:lang w:val="en-GB"/>
              </w:rPr>
              <w:t xml:space="preserve">% of CIMZIA-treated and </w:t>
            </w:r>
            <w:r w:rsidR="00BA251B" w:rsidRPr="00BD6D48">
              <w:rPr>
                <w:lang w:val="en-GB"/>
              </w:rPr>
              <w:t>1.4</w:t>
            </w:r>
            <w:r w:rsidRPr="00BD6D48">
              <w:rPr>
                <w:lang w:val="en-GB"/>
              </w:rPr>
              <w:t xml:space="preserve">% of placebo treated patients, and AST </w:t>
            </w:r>
            <w:r w:rsidR="00D364D5" w:rsidRPr="00BD6D48">
              <w:rPr>
                <w:lang w:val="en-GB"/>
              </w:rPr>
              <w:t>increased</w:t>
            </w:r>
            <w:r w:rsidRPr="0052262B">
              <w:rPr>
                <w:lang w:val="en-GB"/>
              </w:rPr>
              <w:t xml:space="preserve"> occurred in </w:t>
            </w:r>
            <w:r w:rsidR="00BA251B">
              <w:rPr>
                <w:lang w:val="en-GB"/>
              </w:rPr>
              <w:t>1.2</w:t>
            </w:r>
            <w:r w:rsidRPr="0052262B">
              <w:rPr>
                <w:lang w:val="en-GB"/>
              </w:rPr>
              <w:t>% of CIMZIA</w:t>
            </w:r>
            <w:r w:rsidR="00834DF0">
              <w:rPr>
                <w:lang w:val="en-GB"/>
              </w:rPr>
              <w:t>-treated</w:t>
            </w:r>
            <w:r w:rsidRPr="0052262B">
              <w:rPr>
                <w:lang w:val="en-GB"/>
              </w:rPr>
              <w:t xml:space="preserve"> </w:t>
            </w:r>
            <w:r w:rsidRPr="006C76FA">
              <w:rPr>
                <w:lang w:val="en-GB"/>
              </w:rPr>
              <w:t xml:space="preserve">and </w:t>
            </w:r>
            <w:r w:rsidR="00834DF0" w:rsidRPr="006C76FA">
              <w:rPr>
                <w:lang w:val="en-GB"/>
              </w:rPr>
              <w:t>1.1 % of</w:t>
            </w:r>
            <w:r w:rsidR="00834DF0">
              <w:rPr>
                <w:lang w:val="en-GB"/>
              </w:rPr>
              <w:t xml:space="preserve"> </w:t>
            </w:r>
            <w:r w:rsidRPr="0052262B">
              <w:rPr>
                <w:lang w:val="en-GB"/>
              </w:rPr>
              <w:t xml:space="preserve">placebo-treated patients.  Hepatic adverse events occurred in </w:t>
            </w:r>
            <w:r w:rsidR="00BA251B">
              <w:rPr>
                <w:lang w:val="en-GB"/>
              </w:rPr>
              <w:t>1.2</w:t>
            </w:r>
            <w:r w:rsidRPr="0052262B">
              <w:rPr>
                <w:lang w:val="en-GB"/>
              </w:rPr>
              <w:t xml:space="preserve">% of CIMZIA-treated patients and </w:t>
            </w:r>
            <w:r w:rsidR="00BA251B">
              <w:rPr>
                <w:lang w:val="en-GB"/>
              </w:rPr>
              <w:t>0.7</w:t>
            </w:r>
            <w:r w:rsidRPr="0052262B">
              <w:rPr>
                <w:lang w:val="en-GB"/>
              </w:rPr>
              <w:t xml:space="preserve">% of placebo-treated patients.  In placebo-controlled and open-label rheumatoid arthritis studies combined, the incidence of hepatic adverse events in CIMZIA treated patients was </w:t>
            </w:r>
            <w:r w:rsidR="00BA251B">
              <w:rPr>
                <w:lang w:val="en-GB"/>
              </w:rPr>
              <w:t>1.88</w:t>
            </w:r>
            <w:r w:rsidRPr="0052262B">
              <w:rPr>
                <w:lang w:val="en-GB"/>
              </w:rPr>
              <w:t xml:space="preserve"> per 100 patient-years, as compared to </w:t>
            </w:r>
            <w:r w:rsidR="00BA251B">
              <w:rPr>
                <w:lang w:val="en-GB"/>
              </w:rPr>
              <w:t>2.88</w:t>
            </w:r>
            <w:r w:rsidRPr="0052262B">
              <w:rPr>
                <w:lang w:val="en-GB"/>
              </w:rPr>
              <w:t xml:space="preserve"> per 100 patient-years during the placebo-controlled rheumatoid arthritis studies.</w:t>
            </w:r>
            <w:r w:rsidR="00B37424">
              <w:t xml:space="preserve"> </w:t>
            </w:r>
            <w:r w:rsidR="00B37424" w:rsidRPr="00BD6D48">
              <w:rPr>
                <w:lang w:val="en-GB"/>
              </w:rPr>
              <w:t>In the C-EARLY study, the incidence of adverse events of ALT increased occurred in 6.4% and 4.1%, of AST increased in 3.0% and 2.3%  and of hepatic enzyme increased in 2.</w:t>
            </w:r>
            <w:r w:rsidR="00B919B9" w:rsidRPr="00BD6D48">
              <w:rPr>
                <w:lang w:val="en-GB"/>
              </w:rPr>
              <w:t>4</w:t>
            </w:r>
            <w:r w:rsidR="00B37424" w:rsidRPr="00BD6D48">
              <w:rPr>
                <w:lang w:val="en-GB"/>
              </w:rPr>
              <w:t>% and 2.</w:t>
            </w:r>
            <w:r w:rsidR="00B919B9" w:rsidRPr="00BD6D48">
              <w:rPr>
                <w:lang w:val="en-GB"/>
              </w:rPr>
              <w:t>8</w:t>
            </w:r>
            <w:r w:rsidR="00B37424" w:rsidRPr="00BD6D48">
              <w:rPr>
                <w:lang w:val="en-GB"/>
              </w:rPr>
              <w:t>% in CIMZIA-treated and placebo-treated patients respectively, in DMARDs naïve subjects. Of note is that the MTX dose was higher in C-EARLY study compared to RA-I, RA-II and RA-IV.</w:t>
            </w:r>
          </w:p>
          <w:p w:rsidR="00F521F8" w:rsidRPr="006D6F80" w:rsidRDefault="00F521F8" w:rsidP="006D6F80">
            <w:pPr>
              <w:pStyle w:val="Paragraph"/>
              <w:rPr>
                <w:b/>
                <w:lang w:val="en-GB"/>
              </w:rPr>
            </w:pPr>
            <w:r w:rsidRPr="006D6F80">
              <w:rPr>
                <w:b/>
                <w:lang w:val="en-GB"/>
              </w:rPr>
              <w:t>Immunogenicity</w:t>
            </w:r>
          </w:p>
          <w:p w:rsidR="00F521F8" w:rsidRDefault="00F521F8" w:rsidP="006D6F80">
            <w:pPr>
              <w:pStyle w:val="Paragraph"/>
              <w:rPr>
                <w:i/>
                <w:u w:val="single"/>
                <w:lang w:val="en-GB"/>
              </w:rPr>
            </w:pPr>
            <w:r>
              <w:rPr>
                <w:i/>
                <w:u w:val="single"/>
                <w:lang w:val="en-GB"/>
              </w:rPr>
              <w:lastRenderedPageBreak/>
              <w:t>Rheumatoid arthritis</w:t>
            </w:r>
          </w:p>
          <w:p w:rsidR="00F521F8" w:rsidRPr="000742EA" w:rsidRDefault="00F521F8" w:rsidP="006D6F80">
            <w:pPr>
              <w:pStyle w:val="Paragraph"/>
              <w:rPr>
                <w:lang w:val="en-GB"/>
              </w:rPr>
            </w:pPr>
            <w:r w:rsidRPr="0052262B">
              <w:rPr>
                <w:lang w:val="en-GB"/>
              </w:rPr>
              <w:t xml:space="preserve">The overall percentage of patients with antibodies to CIMZIA detectable on at least one occasion was 8% (105 of 1,509) in the phase </w:t>
            </w:r>
            <w:r w:rsidRPr="000742EA">
              <w:rPr>
                <w:lang w:val="en-GB"/>
              </w:rPr>
              <w:t>III RA placebo-controlled trials. The percentage of patients with antibodies to CIMZIA at 6 months, for each of the approved dosing regimens, was 5.1% and 8.5% for the 200 mg every 2 weeks + MTX regimen (studies RA-I and RA-II respectively), 4% for the 400 mg every 4 weeks + MTX regimen (study RA-IV), and 22.5% for the 400 mg every 4 weeks monotherapy regimen (study RA-III).</w:t>
            </w:r>
          </w:p>
          <w:p w:rsidR="00F521F8" w:rsidRPr="006D6F80" w:rsidRDefault="00F521F8" w:rsidP="006D6F80">
            <w:pPr>
              <w:pStyle w:val="Paragraph"/>
              <w:rPr>
                <w:lang w:val="en-GB"/>
              </w:rPr>
            </w:pPr>
            <w:r w:rsidRPr="000742EA">
              <w:rPr>
                <w:lang w:val="en-GB"/>
              </w:rPr>
              <w:t xml:space="preserve">Approximately one-third of antibody-positive patients (3%, 39 of 1,509) had antibodies with neutralising activity </w:t>
            </w:r>
            <w:r w:rsidRPr="000742EA">
              <w:rPr>
                <w:i/>
                <w:lang w:val="en-GB"/>
              </w:rPr>
              <w:t>in vitro</w:t>
            </w:r>
            <w:r w:rsidRPr="000742EA">
              <w:rPr>
                <w:lang w:val="en-GB"/>
              </w:rPr>
              <w:t xml:space="preserve">. </w:t>
            </w:r>
            <w:r w:rsidRPr="0052262B">
              <w:rPr>
                <w:lang w:val="en-GB"/>
              </w:rPr>
              <w:t xml:space="preserve">Patients treated with concomitant </w:t>
            </w:r>
            <w:proofErr w:type="spellStart"/>
            <w:r w:rsidRPr="0052262B">
              <w:rPr>
                <w:lang w:val="en-GB"/>
              </w:rPr>
              <w:t>immunosuppressants</w:t>
            </w:r>
            <w:proofErr w:type="spellEnd"/>
            <w:r w:rsidRPr="0052262B">
              <w:rPr>
                <w:lang w:val="en-GB"/>
              </w:rPr>
              <w:t xml:space="preserve"> (MTX) had a lower rate of antibody development than patients not taking </w:t>
            </w:r>
            <w:proofErr w:type="spellStart"/>
            <w:r w:rsidRPr="0052262B">
              <w:rPr>
                <w:lang w:val="en-GB"/>
              </w:rPr>
              <w:t>immunosuppressants</w:t>
            </w:r>
            <w:proofErr w:type="spellEnd"/>
            <w:r w:rsidRPr="0052262B">
              <w:rPr>
                <w:lang w:val="en-GB"/>
              </w:rPr>
              <w:t xml:space="preserve"> at baseline (2% vs. 8%).</w:t>
            </w:r>
          </w:p>
          <w:p w:rsidR="00F521F8" w:rsidRPr="0052262B" w:rsidRDefault="00F521F8" w:rsidP="006D6F80">
            <w:pPr>
              <w:pStyle w:val="Paragraph"/>
              <w:rPr>
                <w:lang w:val="en-GB"/>
              </w:rPr>
            </w:pPr>
            <w:r w:rsidRPr="0052262B">
              <w:rPr>
                <w:lang w:val="en-GB"/>
              </w:rPr>
              <w:t>Antibody formation was associated with lowered drug plasma concentration and in some patients, reduced efficacy. No association was seen between antibody development and the development of adverse events.</w:t>
            </w:r>
          </w:p>
          <w:p w:rsidR="00F521F8" w:rsidRDefault="00F521F8" w:rsidP="006D6F80">
            <w:pPr>
              <w:pStyle w:val="Paragraph"/>
              <w:rPr>
                <w:lang w:val="en-GB"/>
              </w:rPr>
            </w:pPr>
            <w:r w:rsidRPr="0052262B">
              <w:rPr>
                <w:lang w:val="en-GB"/>
              </w:rPr>
              <w:t xml:space="preserve">The data reflect the percentage of patients whose test results were considered positive for antibodies to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in an ELISA, and are highly dependent on the sensitivity and specificity of the assay.  The observed incidence of antibody (including neutralizing antibody) positivity in an assay is highly dependent on several factors, including assay sensitivity and specificity, assay methodology, sample handling, timing of sample collection, concomitant medications, and underlying disease. For these reasons, comparison of the incidence of antibodies to </w:t>
            </w:r>
            <w:proofErr w:type="spellStart"/>
            <w:r w:rsidRPr="0052262B">
              <w:rPr>
                <w:lang w:val="en-GB"/>
              </w:rPr>
              <w:t>certolizumab</w:t>
            </w:r>
            <w:proofErr w:type="spellEnd"/>
            <w:r w:rsidRPr="0052262B">
              <w:rPr>
                <w:lang w:val="en-GB"/>
              </w:rPr>
              <w:t xml:space="preserve"> </w:t>
            </w:r>
            <w:proofErr w:type="spellStart"/>
            <w:r w:rsidRPr="0052262B">
              <w:rPr>
                <w:lang w:val="en-GB"/>
              </w:rPr>
              <w:t>pegol</w:t>
            </w:r>
            <w:proofErr w:type="spellEnd"/>
            <w:r w:rsidRPr="0052262B">
              <w:rPr>
                <w:lang w:val="en-GB"/>
              </w:rPr>
              <w:t xml:space="preserve"> with the incidence of antibodies to other products may be misleading.</w:t>
            </w:r>
          </w:p>
          <w:p w:rsidR="00F521F8" w:rsidRDefault="00023BB2" w:rsidP="00F521F8">
            <w:pPr>
              <w:numPr>
                <w:ilvl w:val="12"/>
                <w:numId w:val="0"/>
              </w:numPr>
              <w:spacing w:after="120"/>
              <w:ind w:right="-2"/>
              <w:rPr>
                <w:i/>
                <w:u w:val="single"/>
              </w:rPr>
            </w:pPr>
            <w:r>
              <w:rPr>
                <w:i/>
                <w:u w:val="single"/>
              </w:rPr>
              <w:t>Psoriatic</w:t>
            </w:r>
            <w:r w:rsidR="00F521F8">
              <w:rPr>
                <w:i/>
                <w:u w:val="single"/>
              </w:rPr>
              <w:t xml:space="preserve"> arthritis</w:t>
            </w:r>
          </w:p>
          <w:p w:rsidR="00F521F8" w:rsidRDefault="00F521F8" w:rsidP="00F521F8">
            <w:pPr>
              <w:numPr>
                <w:ilvl w:val="12"/>
                <w:numId w:val="0"/>
              </w:numPr>
              <w:spacing w:after="120"/>
              <w:ind w:right="-2"/>
              <w:rPr>
                <w:iCs/>
                <w:noProof/>
                <w:szCs w:val="22"/>
              </w:rPr>
            </w:pPr>
            <w:r w:rsidRPr="009E32B4">
              <w:rPr>
                <w:iCs/>
                <w:noProof/>
                <w:szCs w:val="22"/>
              </w:rPr>
              <w:t>The overall percentage of pa</w:t>
            </w:r>
            <w:r>
              <w:rPr>
                <w:iCs/>
                <w:noProof/>
                <w:szCs w:val="22"/>
              </w:rPr>
              <w:t>tients with antibodies to C</w:t>
            </w:r>
            <w:r>
              <w:rPr>
                <w:noProof/>
              </w:rPr>
              <w:t>IMZIA</w:t>
            </w:r>
            <w:r w:rsidRPr="009E32B4">
              <w:rPr>
                <w:iCs/>
                <w:noProof/>
                <w:szCs w:val="22"/>
              </w:rPr>
              <w:t xml:space="preserve"> detectable on at least one occasion up to Week 24 was </w:t>
            </w:r>
            <w:r>
              <w:rPr>
                <w:iCs/>
                <w:noProof/>
                <w:szCs w:val="22"/>
              </w:rPr>
              <w:t>11.7</w:t>
            </w:r>
            <w:r w:rsidRPr="009E32B4">
              <w:rPr>
                <w:iCs/>
                <w:noProof/>
                <w:szCs w:val="22"/>
              </w:rPr>
              <w:t xml:space="preserve">% in the phase III placebo controlled trial in patients with </w:t>
            </w:r>
            <w:r w:rsidR="00023BB2">
              <w:rPr>
                <w:iCs/>
                <w:noProof/>
                <w:szCs w:val="22"/>
              </w:rPr>
              <w:t>psoriatic</w:t>
            </w:r>
            <w:r>
              <w:rPr>
                <w:iCs/>
                <w:noProof/>
                <w:szCs w:val="22"/>
              </w:rPr>
              <w:t xml:space="preserve"> arthritis</w:t>
            </w:r>
            <w:r w:rsidRPr="009E32B4">
              <w:rPr>
                <w:iCs/>
                <w:noProof/>
                <w:szCs w:val="22"/>
              </w:rPr>
              <w:t xml:space="preserve">. Antibody formation was associated with lowered drug plasma concentration. The number of patients with antibodies to </w:t>
            </w:r>
            <w:r>
              <w:rPr>
                <w:iCs/>
                <w:noProof/>
                <w:szCs w:val="22"/>
              </w:rPr>
              <w:t>C</w:t>
            </w:r>
            <w:r>
              <w:rPr>
                <w:noProof/>
              </w:rPr>
              <w:t>IMZIA</w:t>
            </w:r>
            <w:r w:rsidRPr="009E32B4">
              <w:rPr>
                <w:iCs/>
                <w:noProof/>
                <w:szCs w:val="22"/>
              </w:rPr>
              <w:t xml:space="preserve"> in th</w:t>
            </w:r>
            <w:r>
              <w:rPr>
                <w:iCs/>
                <w:noProof/>
                <w:szCs w:val="22"/>
              </w:rPr>
              <w:t>is</w:t>
            </w:r>
            <w:r w:rsidRPr="009E32B4">
              <w:rPr>
                <w:iCs/>
                <w:noProof/>
                <w:szCs w:val="22"/>
              </w:rPr>
              <w:t xml:space="preserve"> trial was too small to make valid assessment of the impact of the antibody formation on efficacy.</w:t>
            </w:r>
          </w:p>
          <w:p w:rsidR="00E25CA1" w:rsidRDefault="00E25CA1" w:rsidP="00F521F8">
            <w:pPr>
              <w:numPr>
                <w:ilvl w:val="12"/>
                <w:numId w:val="0"/>
              </w:numPr>
              <w:spacing w:after="120"/>
              <w:ind w:right="-2"/>
              <w:rPr>
                <w:iCs/>
                <w:noProof/>
                <w:szCs w:val="22"/>
              </w:rPr>
            </w:pPr>
          </w:p>
          <w:p w:rsidR="00F521F8" w:rsidRDefault="00F521F8" w:rsidP="00F521F8">
            <w:pPr>
              <w:numPr>
                <w:ilvl w:val="12"/>
                <w:numId w:val="0"/>
              </w:numPr>
              <w:spacing w:after="120"/>
              <w:ind w:right="-2"/>
              <w:rPr>
                <w:i/>
                <w:u w:val="single"/>
              </w:rPr>
            </w:pPr>
            <w:r w:rsidRPr="009E32B4">
              <w:rPr>
                <w:i/>
                <w:u w:val="single"/>
              </w:rPr>
              <w:t xml:space="preserve">Axial </w:t>
            </w:r>
            <w:proofErr w:type="spellStart"/>
            <w:r w:rsidRPr="009E32B4">
              <w:rPr>
                <w:i/>
                <w:u w:val="single"/>
              </w:rPr>
              <w:t>spondyloarthritis</w:t>
            </w:r>
            <w:proofErr w:type="spellEnd"/>
          </w:p>
          <w:p w:rsidR="00F521F8" w:rsidRDefault="00F521F8" w:rsidP="00F521F8">
            <w:pPr>
              <w:numPr>
                <w:ilvl w:val="12"/>
                <w:numId w:val="0"/>
              </w:numPr>
              <w:spacing w:after="120"/>
              <w:ind w:right="-2"/>
              <w:rPr>
                <w:iCs/>
                <w:noProof/>
                <w:szCs w:val="22"/>
              </w:rPr>
            </w:pPr>
            <w:r w:rsidRPr="009E32B4">
              <w:rPr>
                <w:iCs/>
                <w:noProof/>
                <w:szCs w:val="22"/>
              </w:rPr>
              <w:t>The overall percentage of pa</w:t>
            </w:r>
            <w:r>
              <w:rPr>
                <w:iCs/>
                <w:noProof/>
                <w:szCs w:val="22"/>
              </w:rPr>
              <w:t>tients with antibodies to C</w:t>
            </w:r>
            <w:r>
              <w:rPr>
                <w:noProof/>
              </w:rPr>
              <w:t>IMZIA</w:t>
            </w:r>
            <w:r w:rsidRPr="009E32B4">
              <w:rPr>
                <w:iCs/>
                <w:noProof/>
                <w:szCs w:val="22"/>
              </w:rPr>
              <w:t xml:space="preserve"> detectable on at least one occasion up to Week 24 was 4.4% in the phase III placebo controlled trial in patients with axial spondyloarthritis. Antibody formation was associated with lowered drug plasma concentration. The number of patients with antibodies to </w:t>
            </w:r>
            <w:r>
              <w:rPr>
                <w:iCs/>
                <w:noProof/>
                <w:szCs w:val="22"/>
              </w:rPr>
              <w:t>C</w:t>
            </w:r>
            <w:r>
              <w:rPr>
                <w:noProof/>
              </w:rPr>
              <w:t>IMZIA</w:t>
            </w:r>
            <w:r w:rsidRPr="009E32B4">
              <w:rPr>
                <w:iCs/>
                <w:noProof/>
                <w:szCs w:val="22"/>
              </w:rPr>
              <w:t xml:space="preserve"> in these trials was too small to make valid assessment of the impact of the antibody formation on efficacy.</w:t>
            </w:r>
          </w:p>
          <w:p w:rsidR="00F521F8" w:rsidRPr="006D6F80" w:rsidRDefault="00F521F8" w:rsidP="006D6F80">
            <w:pPr>
              <w:pStyle w:val="Paragraph"/>
              <w:rPr>
                <w:b/>
                <w:lang w:val="en-GB"/>
              </w:rPr>
            </w:pPr>
            <w:r w:rsidRPr="006D6F80">
              <w:rPr>
                <w:b/>
                <w:lang w:val="en-GB"/>
              </w:rPr>
              <w:t>Hypersensitivity reactions</w:t>
            </w:r>
          </w:p>
          <w:p w:rsidR="00F521F8" w:rsidRDefault="00F521F8" w:rsidP="006D6F80">
            <w:pPr>
              <w:pStyle w:val="Paragraph"/>
              <w:rPr>
                <w:lang w:val="en-GB"/>
              </w:rPr>
            </w:pPr>
            <w:r w:rsidRPr="0052262B">
              <w:rPr>
                <w:lang w:val="en-GB"/>
              </w:rPr>
              <w:t xml:space="preserve">The following symptoms that could be compatible with hypersensitivity reactions have been reported following CIMZIA administration to patients: angioedema, dermatitis allergic, </w:t>
            </w:r>
            <w:proofErr w:type="spellStart"/>
            <w:r w:rsidRPr="0052262B">
              <w:rPr>
                <w:lang w:val="en-GB"/>
              </w:rPr>
              <w:t>urticaria</w:t>
            </w:r>
            <w:proofErr w:type="spellEnd"/>
            <w:r w:rsidRPr="0052262B">
              <w:rPr>
                <w:lang w:val="en-GB"/>
              </w:rPr>
              <w:t xml:space="preserve">, </w:t>
            </w:r>
            <w:proofErr w:type="spellStart"/>
            <w:r w:rsidRPr="0052262B">
              <w:rPr>
                <w:lang w:val="en-GB"/>
              </w:rPr>
              <w:t>dyspnea</w:t>
            </w:r>
            <w:proofErr w:type="spellEnd"/>
            <w:r w:rsidRPr="0052262B">
              <w:rPr>
                <w:lang w:val="en-GB"/>
              </w:rPr>
              <w:t>, hot flush, hypotension, injection site reactions, malaise, pyrexia, rash, serum sickness, and (</w:t>
            </w:r>
            <w:r w:rsidRPr="002074EC">
              <w:rPr>
                <w:lang w:val="en-GB"/>
              </w:rPr>
              <w:t>vasovagal) syncope (See PRECAUTIONS).</w:t>
            </w:r>
          </w:p>
          <w:p w:rsidR="00F521F8" w:rsidRPr="006D6F80" w:rsidRDefault="00F521F8" w:rsidP="006D6F80">
            <w:pPr>
              <w:pStyle w:val="Paragraph"/>
              <w:rPr>
                <w:b/>
                <w:lang w:val="en-GB"/>
              </w:rPr>
            </w:pPr>
            <w:r w:rsidRPr="006D6F80">
              <w:rPr>
                <w:b/>
                <w:lang w:val="en-GB"/>
              </w:rPr>
              <w:t>Malignancies and lymphoproliferative disorders</w:t>
            </w:r>
          </w:p>
          <w:p w:rsidR="0082091A" w:rsidRDefault="00F521F8" w:rsidP="006D6F80">
            <w:pPr>
              <w:pStyle w:val="Paragraph"/>
              <w:rPr>
                <w:lang w:val="en-GB"/>
              </w:rPr>
            </w:pPr>
            <w:bookmarkStart w:id="14" w:name="OLE_LINK11"/>
            <w:r w:rsidRPr="0052262B">
              <w:rPr>
                <w:lang w:val="en-GB"/>
              </w:rPr>
              <w:lastRenderedPageBreak/>
              <w:t xml:space="preserve">In placebo-controlled and open-label rheumatoid arthritis studies combined, observed malignancies included breast and ovarian cancers, basal cell carcinoma, and lymphoma.  Cases of lymphoma occurred at an incidence rate of </w:t>
            </w:r>
            <w:r w:rsidR="00B96397">
              <w:rPr>
                <w:lang w:val="en-GB"/>
              </w:rPr>
              <w:t>0.05</w:t>
            </w:r>
            <w:r w:rsidRPr="0052262B">
              <w:rPr>
                <w:lang w:val="en-GB"/>
              </w:rPr>
              <w:t xml:space="preserve"> per 100 patient-years and melanoma at an incidence rate of </w:t>
            </w:r>
            <w:r w:rsidR="00B96397">
              <w:rPr>
                <w:lang w:val="en-GB"/>
              </w:rPr>
              <w:t>0.08</w:t>
            </w:r>
            <w:r w:rsidRPr="0052262B">
              <w:rPr>
                <w:lang w:val="en-GB"/>
              </w:rPr>
              <w:t xml:space="preserve"> per 100 patient-years with CIMZIA in rheumatoid arthritis clinical trials.  The number of cases reported is insufficient to identify a treatment effect (see PRECAUTIONS).</w:t>
            </w:r>
            <w:bookmarkEnd w:id="14"/>
            <w:r>
              <w:rPr>
                <w:lang w:val="en-GB"/>
              </w:rPr>
              <w:t xml:space="preserve"> </w:t>
            </w:r>
          </w:p>
          <w:p w:rsidR="00F521F8" w:rsidRPr="006D6F80" w:rsidRDefault="00F521F8" w:rsidP="006D6F80">
            <w:pPr>
              <w:pStyle w:val="Paragraph"/>
              <w:rPr>
                <w:u w:val="single"/>
                <w:lang w:val="en-GB"/>
              </w:rPr>
            </w:pPr>
            <w:r>
              <w:rPr>
                <w:lang w:val="en-GB"/>
              </w:rPr>
              <w:t xml:space="preserve"> </w:t>
            </w:r>
            <w:r w:rsidRPr="006D6F80">
              <w:rPr>
                <w:u w:val="single"/>
                <w:lang w:val="en-GB"/>
              </w:rPr>
              <w:t>Lymphoma</w:t>
            </w:r>
          </w:p>
          <w:p w:rsidR="00F521F8" w:rsidRPr="0052262B" w:rsidRDefault="00F521F8" w:rsidP="006D6F80">
            <w:pPr>
              <w:pStyle w:val="Paragraph"/>
              <w:rPr>
                <w:lang w:val="en-GB"/>
              </w:rPr>
            </w:pPr>
            <w:r w:rsidRPr="0052262B">
              <w:rPr>
                <w:lang w:val="en-GB"/>
              </w:rPr>
              <w:t xml:space="preserve">In rheumatoid arthritis placebo-controlled and open label studies combined, </w:t>
            </w:r>
            <w:r w:rsidR="00E624FA">
              <w:rPr>
                <w:lang w:val="en-GB"/>
              </w:rPr>
              <w:t>5</w:t>
            </w:r>
            <w:r w:rsidR="00E624FA" w:rsidRPr="0052262B">
              <w:rPr>
                <w:lang w:val="en-GB"/>
              </w:rPr>
              <w:t xml:space="preserve"> </w:t>
            </w:r>
            <w:r w:rsidRPr="0052262B">
              <w:rPr>
                <w:lang w:val="en-GB"/>
              </w:rPr>
              <w:t xml:space="preserve">cases of lymphoma were reported in patients treated with CIMZIA (1 case in the placebo-controlled studies and </w:t>
            </w:r>
            <w:r w:rsidR="00E624FA">
              <w:rPr>
                <w:lang w:val="en-GB"/>
              </w:rPr>
              <w:t>4</w:t>
            </w:r>
            <w:r w:rsidR="00E624FA" w:rsidRPr="0052262B">
              <w:rPr>
                <w:lang w:val="en-GB"/>
              </w:rPr>
              <w:t xml:space="preserve"> </w:t>
            </w:r>
            <w:r w:rsidRPr="0052262B">
              <w:rPr>
                <w:lang w:val="en-GB"/>
              </w:rPr>
              <w:t xml:space="preserve">in the open-label studies), corresponding to a rate of </w:t>
            </w:r>
            <w:r w:rsidR="00E624FA">
              <w:rPr>
                <w:lang w:val="en-GB"/>
              </w:rPr>
              <w:t>0.05</w:t>
            </w:r>
            <w:r w:rsidRPr="0052262B">
              <w:rPr>
                <w:lang w:val="en-GB"/>
              </w:rPr>
              <w:t xml:space="preserve"> /100 patient-years among </w:t>
            </w:r>
            <w:r w:rsidR="00E624FA">
              <w:rPr>
                <w:lang w:val="en-GB"/>
              </w:rPr>
              <w:t>4049</w:t>
            </w:r>
            <w:r w:rsidR="00E624FA" w:rsidRPr="0052262B">
              <w:rPr>
                <w:lang w:val="en-GB"/>
              </w:rPr>
              <w:t xml:space="preserve"> </w:t>
            </w:r>
            <w:r w:rsidRPr="0052262B">
              <w:rPr>
                <w:lang w:val="en-GB"/>
              </w:rPr>
              <w:t xml:space="preserve">patients.  No lymphoma was reported among </w:t>
            </w:r>
            <w:r w:rsidR="00E624FA">
              <w:rPr>
                <w:lang w:val="en-GB"/>
              </w:rPr>
              <w:t>1137</w:t>
            </w:r>
            <w:r w:rsidR="00E624FA" w:rsidRPr="0052262B">
              <w:rPr>
                <w:lang w:val="en-GB"/>
              </w:rPr>
              <w:t xml:space="preserve"> </w:t>
            </w:r>
            <w:r w:rsidRPr="0052262B">
              <w:rPr>
                <w:lang w:val="en-GB"/>
              </w:rPr>
              <w:t>placebo-treated patients.</w:t>
            </w:r>
            <w:r>
              <w:rPr>
                <w:lang w:val="en-GB"/>
              </w:rPr>
              <w:t xml:space="preserve">  One case of lymphoma was also observed in the phase III psoriatic arthritis clinical trial.</w:t>
            </w:r>
          </w:p>
          <w:p w:rsidR="00F521F8" w:rsidRPr="000209AF" w:rsidRDefault="00F521F8" w:rsidP="000209AF">
            <w:pPr>
              <w:pStyle w:val="Paragraph"/>
              <w:rPr>
                <w:u w:val="single"/>
                <w:lang w:val="en-GB"/>
              </w:rPr>
            </w:pPr>
            <w:r w:rsidRPr="000209AF">
              <w:rPr>
                <w:u w:val="single"/>
                <w:lang w:val="en-GB"/>
              </w:rPr>
              <w:t>Non-Lymphoma Malignancies</w:t>
            </w:r>
          </w:p>
          <w:p w:rsidR="00F521F8" w:rsidRPr="0052262B" w:rsidRDefault="00F521F8" w:rsidP="000209AF">
            <w:pPr>
              <w:pStyle w:val="Paragraph"/>
              <w:rPr>
                <w:lang w:val="en-GB"/>
              </w:rPr>
            </w:pPr>
            <w:r w:rsidRPr="0052262B">
              <w:rPr>
                <w:lang w:val="en-GB"/>
              </w:rPr>
              <w:t xml:space="preserve">In the rheumatoid arthritis placebo-controlled studies, </w:t>
            </w:r>
            <w:r w:rsidR="00DF1A74">
              <w:rPr>
                <w:lang w:val="en-GB"/>
              </w:rPr>
              <w:t>9</w:t>
            </w:r>
            <w:r w:rsidR="00DF1A74" w:rsidRPr="0052262B">
              <w:rPr>
                <w:lang w:val="en-GB"/>
              </w:rPr>
              <w:t xml:space="preserve"> </w:t>
            </w:r>
            <w:r w:rsidRPr="0052262B">
              <w:rPr>
                <w:lang w:val="en-GB"/>
              </w:rPr>
              <w:t xml:space="preserve">patients </w:t>
            </w:r>
            <w:r w:rsidR="00A906D6" w:rsidRPr="0052262B">
              <w:rPr>
                <w:lang w:val="en-GB"/>
              </w:rPr>
              <w:t>(</w:t>
            </w:r>
            <w:r w:rsidR="00A906D6">
              <w:rPr>
                <w:lang w:val="en-GB"/>
              </w:rPr>
              <w:t>0.3</w:t>
            </w:r>
            <w:r w:rsidRPr="0052262B">
              <w:rPr>
                <w:lang w:val="en-GB"/>
              </w:rPr>
              <w:t xml:space="preserve">%) treated with CIMZIA and </w:t>
            </w:r>
            <w:r w:rsidR="00DF1A74">
              <w:rPr>
                <w:lang w:val="en-GB"/>
              </w:rPr>
              <w:t>4</w:t>
            </w:r>
            <w:r w:rsidR="00DF1A74" w:rsidRPr="0052262B">
              <w:rPr>
                <w:lang w:val="en-GB"/>
              </w:rPr>
              <w:t xml:space="preserve"> </w:t>
            </w:r>
            <w:r w:rsidRPr="0052262B">
              <w:rPr>
                <w:lang w:val="en-GB"/>
              </w:rPr>
              <w:t>patient</w:t>
            </w:r>
            <w:r w:rsidR="00DF1A74">
              <w:rPr>
                <w:lang w:val="en-GB"/>
              </w:rPr>
              <w:t>s</w:t>
            </w:r>
            <w:r w:rsidRPr="0052262B">
              <w:rPr>
                <w:lang w:val="en-GB"/>
              </w:rPr>
              <w:t xml:space="preserve"> (</w:t>
            </w:r>
            <w:r w:rsidR="00DF1A74">
              <w:rPr>
                <w:lang w:val="en-GB"/>
              </w:rPr>
              <w:t>0.35</w:t>
            </w:r>
            <w:r w:rsidRPr="0052262B">
              <w:rPr>
                <w:lang w:val="en-GB"/>
              </w:rPr>
              <w:t>%) in the placebo group experienced malignancies other than lymphomas and non-melanoma skin cancers.</w:t>
            </w:r>
          </w:p>
          <w:p w:rsidR="00493507" w:rsidRDefault="00F521F8" w:rsidP="000209AF">
            <w:pPr>
              <w:pStyle w:val="Paragraph"/>
              <w:rPr>
                <w:lang w:val="en-GB"/>
              </w:rPr>
            </w:pPr>
            <w:r w:rsidRPr="0052262B">
              <w:rPr>
                <w:lang w:val="en-GB"/>
              </w:rPr>
              <w:t xml:space="preserve">In rheumatoid arthritis placebo-controlled and open-label studies combined, </w:t>
            </w:r>
            <w:r w:rsidR="00DF1A74">
              <w:rPr>
                <w:lang w:val="en-GB"/>
              </w:rPr>
              <w:t>68</w:t>
            </w:r>
            <w:r w:rsidR="00DF1A74" w:rsidRPr="0052262B">
              <w:rPr>
                <w:lang w:val="en-GB"/>
              </w:rPr>
              <w:t xml:space="preserve"> </w:t>
            </w:r>
            <w:r w:rsidRPr="0052262B">
              <w:rPr>
                <w:lang w:val="en-GB"/>
              </w:rPr>
              <w:t xml:space="preserve">malignancies other than lymphomas and non-melanoma skin cancers were observed at a rate of </w:t>
            </w:r>
            <w:r w:rsidR="00BC5DE2">
              <w:rPr>
                <w:lang w:val="en-GB"/>
              </w:rPr>
              <w:t>0.7</w:t>
            </w:r>
            <w:r w:rsidRPr="0052262B">
              <w:rPr>
                <w:lang w:val="en-GB"/>
              </w:rPr>
              <w:t xml:space="preserve"> </w:t>
            </w:r>
            <w:r w:rsidR="00493507">
              <w:rPr>
                <w:lang w:val="en-GB"/>
              </w:rPr>
              <w:t>/</w:t>
            </w:r>
            <w:r w:rsidRPr="0052262B">
              <w:rPr>
                <w:lang w:val="en-GB"/>
              </w:rPr>
              <w:t xml:space="preserve">100 patient-years among </w:t>
            </w:r>
            <w:r w:rsidR="00BC5DE2">
              <w:rPr>
                <w:lang w:val="en-GB"/>
              </w:rPr>
              <w:t>4049</w:t>
            </w:r>
            <w:r w:rsidR="00BC5DE2" w:rsidRPr="0052262B">
              <w:rPr>
                <w:lang w:val="en-GB"/>
              </w:rPr>
              <w:t xml:space="preserve"> </w:t>
            </w:r>
            <w:r w:rsidRPr="0052262B">
              <w:rPr>
                <w:lang w:val="en-GB"/>
              </w:rPr>
              <w:t xml:space="preserve">CIMZIA-treated patients and </w:t>
            </w:r>
            <w:r w:rsidR="00BC5DE2">
              <w:rPr>
                <w:lang w:val="en-GB"/>
              </w:rPr>
              <w:t>4</w:t>
            </w:r>
            <w:r w:rsidR="00BC5DE2" w:rsidRPr="0052262B">
              <w:rPr>
                <w:lang w:val="en-GB"/>
              </w:rPr>
              <w:t xml:space="preserve"> </w:t>
            </w:r>
            <w:r w:rsidRPr="0052262B">
              <w:rPr>
                <w:lang w:val="en-GB"/>
              </w:rPr>
              <w:t>malignanc</w:t>
            </w:r>
            <w:r w:rsidR="00493507">
              <w:rPr>
                <w:lang w:val="en-GB"/>
              </w:rPr>
              <w:t>ies</w:t>
            </w:r>
            <w:r w:rsidRPr="0052262B">
              <w:rPr>
                <w:lang w:val="en-GB"/>
              </w:rPr>
              <w:t xml:space="preserve"> at a rate </w:t>
            </w:r>
            <w:r>
              <w:rPr>
                <w:lang w:val="en-GB"/>
              </w:rPr>
              <w:t>of</w:t>
            </w:r>
            <w:r w:rsidRPr="0052262B">
              <w:rPr>
                <w:lang w:val="en-GB"/>
              </w:rPr>
              <w:t xml:space="preserve"> </w:t>
            </w:r>
            <w:r w:rsidR="00BC5DE2">
              <w:rPr>
                <w:lang w:val="en-GB"/>
              </w:rPr>
              <w:t>1.08</w:t>
            </w:r>
            <w:r w:rsidRPr="0052262B">
              <w:rPr>
                <w:lang w:val="en-GB"/>
              </w:rPr>
              <w:t xml:space="preserve"> /100 patient-years among </w:t>
            </w:r>
            <w:r w:rsidR="00BC5DE2">
              <w:rPr>
                <w:lang w:val="en-GB"/>
              </w:rPr>
              <w:t>1137</w:t>
            </w:r>
            <w:r w:rsidR="00BC5DE2" w:rsidRPr="0052262B">
              <w:rPr>
                <w:lang w:val="en-GB"/>
              </w:rPr>
              <w:t xml:space="preserve"> </w:t>
            </w:r>
            <w:r w:rsidRPr="0052262B">
              <w:rPr>
                <w:lang w:val="en-GB"/>
              </w:rPr>
              <w:t xml:space="preserve">placebo-treated patients. </w:t>
            </w:r>
          </w:p>
          <w:p w:rsidR="00F521F8" w:rsidRPr="000209AF" w:rsidRDefault="00F521F8" w:rsidP="000209AF">
            <w:pPr>
              <w:pStyle w:val="Paragraph"/>
              <w:rPr>
                <w:u w:val="single"/>
                <w:lang w:val="en-GB"/>
              </w:rPr>
            </w:pPr>
            <w:r w:rsidRPr="0052262B">
              <w:rPr>
                <w:lang w:val="en-GB"/>
              </w:rPr>
              <w:t xml:space="preserve"> </w:t>
            </w:r>
            <w:r w:rsidRPr="000209AF">
              <w:rPr>
                <w:u w:val="single"/>
                <w:lang w:val="en-GB"/>
              </w:rPr>
              <w:t>Non-Melanoma Skin Cancers</w:t>
            </w:r>
          </w:p>
          <w:p w:rsidR="00F521F8" w:rsidRDefault="00F521F8" w:rsidP="000209AF">
            <w:pPr>
              <w:pStyle w:val="Paragraph"/>
              <w:rPr>
                <w:lang w:val="en-GB"/>
              </w:rPr>
            </w:pPr>
            <w:r w:rsidRPr="0052262B">
              <w:rPr>
                <w:lang w:val="en-GB"/>
              </w:rPr>
              <w:t xml:space="preserve">In the rheumatoid arthritis placebo-controlled studies, non-melanoma skin cancers occurred in </w:t>
            </w:r>
            <w:r w:rsidR="00BA630D">
              <w:rPr>
                <w:lang w:val="en-GB"/>
              </w:rPr>
              <w:t>4</w:t>
            </w:r>
            <w:r w:rsidR="00BA630D" w:rsidRPr="0052262B">
              <w:rPr>
                <w:lang w:val="en-GB"/>
              </w:rPr>
              <w:t xml:space="preserve"> </w:t>
            </w:r>
            <w:r w:rsidRPr="0052262B">
              <w:rPr>
                <w:lang w:val="en-GB"/>
              </w:rPr>
              <w:t xml:space="preserve">patients (0.1%) receiving CIMZIA and </w:t>
            </w:r>
            <w:r w:rsidR="00BA630D">
              <w:rPr>
                <w:lang w:val="en-GB"/>
              </w:rPr>
              <w:t>1</w:t>
            </w:r>
            <w:r w:rsidR="00BA630D" w:rsidRPr="0052262B">
              <w:rPr>
                <w:lang w:val="en-GB"/>
              </w:rPr>
              <w:t xml:space="preserve"> </w:t>
            </w:r>
            <w:r w:rsidRPr="0052262B">
              <w:rPr>
                <w:lang w:val="en-GB"/>
              </w:rPr>
              <w:t xml:space="preserve">patient in the placebo group.  In the controlled and uncontrolled studies, there were a total of </w:t>
            </w:r>
            <w:r w:rsidR="00BA630D">
              <w:rPr>
                <w:lang w:val="en-GB"/>
              </w:rPr>
              <w:t>28</w:t>
            </w:r>
            <w:r w:rsidR="00BA630D" w:rsidRPr="0052262B">
              <w:rPr>
                <w:lang w:val="en-GB"/>
              </w:rPr>
              <w:t xml:space="preserve"> </w:t>
            </w:r>
            <w:r w:rsidRPr="0052262B">
              <w:rPr>
                <w:lang w:val="en-GB"/>
              </w:rPr>
              <w:t>(</w:t>
            </w:r>
            <w:r w:rsidR="00BA630D">
              <w:rPr>
                <w:lang w:val="en-GB"/>
              </w:rPr>
              <w:t>0.7%</w:t>
            </w:r>
            <w:r w:rsidRPr="0052262B">
              <w:rPr>
                <w:lang w:val="en-GB"/>
              </w:rPr>
              <w:t>) subjects who experienced non-melanoma skin cancers.</w:t>
            </w:r>
          </w:p>
          <w:p w:rsidR="006C76FA" w:rsidRDefault="006C76FA" w:rsidP="000209AF">
            <w:pPr>
              <w:pStyle w:val="Paragraph"/>
              <w:rPr>
                <w:lang w:val="en-GB"/>
              </w:rPr>
            </w:pPr>
          </w:p>
          <w:p w:rsidR="00F521F8" w:rsidRPr="000209AF" w:rsidRDefault="00F521F8" w:rsidP="000209AF">
            <w:pPr>
              <w:pStyle w:val="Paragraph"/>
              <w:rPr>
                <w:b/>
                <w:lang w:val="en-GB"/>
              </w:rPr>
            </w:pPr>
            <w:r w:rsidRPr="000209AF">
              <w:rPr>
                <w:b/>
                <w:lang w:val="en-GB"/>
              </w:rPr>
              <w:t>Autoimmune disease</w:t>
            </w:r>
          </w:p>
          <w:p w:rsidR="00F521F8" w:rsidRDefault="00F521F8" w:rsidP="000209AF">
            <w:pPr>
              <w:pStyle w:val="Paragraph"/>
              <w:rPr>
                <w:lang w:val="en-GB"/>
              </w:rPr>
            </w:pPr>
            <w:r w:rsidRPr="0052262B">
              <w:rPr>
                <w:lang w:val="en-GB"/>
              </w:rPr>
              <w:t xml:space="preserve">In </w:t>
            </w:r>
            <w:r w:rsidR="007F6D41">
              <w:rPr>
                <w:lang w:val="en-GB"/>
              </w:rPr>
              <w:t xml:space="preserve">the pivotal </w:t>
            </w:r>
            <w:r w:rsidRPr="0052262B">
              <w:rPr>
                <w:lang w:val="en-GB"/>
              </w:rPr>
              <w:t xml:space="preserve">placebo-controlled rheumatoid arthritis studies, there was no clinically meaningful increase in ANA or anti-double-stranded DNA antibody conversion noted for CIMZIA-treated patients at any dose.  For subjects who were ANA negative at Baseline, 16.7% of those treated with CIMZIA developed positive ANA </w:t>
            </w:r>
            <w:proofErr w:type="spellStart"/>
            <w:r w:rsidRPr="0052262B">
              <w:rPr>
                <w:lang w:val="en-GB"/>
              </w:rPr>
              <w:t>titers</w:t>
            </w:r>
            <w:proofErr w:type="spellEnd"/>
            <w:r w:rsidRPr="0052262B">
              <w:rPr>
                <w:lang w:val="en-GB"/>
              </w:rPr>
              <w:t xml:space="preserve">, compared with 12.0% of subjects in the placebo group.  Taking into account the difference in exposure between the 2 groups, there is no increased risk of developing a positive ANA with CIMZIA treatment.  In both placebo-controlled and open-label follow-up studies for rheumatoid arthritis, cases of lupus-like syndrome were reported uncommonly.  There have been rare reports of other immune-mediated conditions; the causal relationship to CIMZIA is not known.  The impact of long-term treatment with CIMZIA on the development of autoimmune diseases is </w:t>
            </w:r>
            <w:r w:rsidRPr="002074EC">
              <w:rPr>
                <w:lang w:val="en-GB"/>
              </w:rPr>
              <w:t>unknown (See PRECAUTIONS).</w:t>
            </w:r>
          </w:p>
          <w:p w:rsidR="00F521F8" w:rsidRPr="00E270B7" w:rsidRDefault="00F521F8" w:rsidP="00E270B7">
            <w:pPr>
              <w:pStyle w:val="Paragraph"/>
              <w:rPr>
                <w:b/>
                <w:lang w:val="en-GB"/>
              </w:rPr>
            </w:pPr>
            <w:r w:rsidRPr="00E270B7">
              <w:rPr>
                <w:b/>
                <w:lang w:val="en-GB"/>
              </w:rPr>
              <w:t>Laboratory abnormalities</w:t>
            </w:r>
          </w:p>
          <w:p w:rsidR="00F521F8" w:rsidRPr="00E270B7" w:rsidRDefault="00F521F8" w:rsidP="00E270B7">
            <w:pPr>
              <w:pStyle w:val="Paragraph"/>
              <w:rPr>
                <w:i/>
                <w:lang w:val="en-GB"/>
              </w:rPr>
            </w:pPr>
            <w:r w:rsidRPr="00E270B7">
              <w:rPr>
                <w:i/>
                <w:lang w:val="en-GB"/>
              </w:rPr>
              <w:t>Liver enzyme elevations</w:t>
            </w:r>
          </w:p>
          <w:p w:rsidR="00F521F8" w:rsidRPr="0052262B" w:rsidRDefault="00F521F8" w:rsidP="00E270B7">
            <w:pPr>
              <w:pStyle w:val="Paragraph"/>
              <w:rPr>
                <w:lang w:val="en-GB"/>
              </w:rPr>
            </w:pPr>
            <w:r w:rsidRPr="0052262B">
              <w:rPr>
                <w:lang w:val="en-GB"/>
              </w:rPr>
              <w:t xml:space="preserve">In controlled rheumatoid arthritis trials (studies RA-I to RA-IV), when corrected for exposure, the incidence of hepatic enzyme elevations was similar in the subjects receiving </w:t>
            </w:r>
            <w:r w:rsidRPr="0052262B">
              <w:rPr>
                <w:lang w:val="en-GB"/>
              </w:rPr>
              <w:lastRenderedPageBreak/>
              <w:t xml:space="preserve">placebo as compared to </w:t>
            </w:r>
            <w:r w:rsidRPr="00B919B9">
              <w:rPr>
                <w:lang w:val="en-GB"/>
              </w:rPr>
              <w:t>CIMZIA</w:t>
            </w:r>
            <w:r w:rsidR="00AD3C01" w:rsidRPr="00B919B9">
              <w:t xml:space="preserve"> </w:t>
            </w:r>
            <w:r w:rsidR="00AD3C01" w:rsidRPr="00B919B9">
              <w:rPr>
                <w:lang w:val="en-GB"/>
              </w:rPr>
              <w:t>(see PHARMACOLOGY)</w:t>
            </w:r>
            <w:r w:rsidRPr="00B919B9">
              <w:rPr>
                <w:lang w:val="en-GB"/>
              </w:rPr>
              <w:t>.</w:t>
            </w:r>
          </w:p>
          <w:p w:rsidR="00F521F8" w:rsidRPr="00E270B7" w:rsidRDefault="00F521F8" w:rsidP="00E270B7">
            <w:pPr>
              <w:pStyle w:val="Paragraph"/>
              <w:rPr>
                <w:b/>
                <w:lang w:val="en-GB"/>
              </w:rPr>
            </w:pPr>
            <w:r w:rsidRPr="00E270B7">
              <w:rPr>
                <w:b/>
                <w:lang w:val="en-GB"/>
              </w:rPr>
              <w:t>Injection site reactions</w:t>
            </w:r>
          </w:p>
          <w:p w:rsidR="00F521F8" w:rsidRPr="00B643F2" w:rsidRDefault="00F521F8" w:rsidP="007F6D41">
            <w:pPr>
              <w:pStyle w:val="Paragraph"/>
              <w:rPr>
                <w:lang w:val="en-GB"/>
              </w:rPr>
            </w:pPr>
            <w:bookmarkStart w:id="15" w:name="OLE_LINK32"/>
            <w:bookmarkStart w:id="16" w:name="OLE_LINK33"/>
            <w:r w:rsidRPr="0052262B">
              <w:rPr>
                <w:lang w:val="en-GB"/>
              </w:rPr>
              <w:t xml:space="preserve">In the placebo-controlled rheumatoid arthritis studies, </w:t>
            </w:r>
            <w:r w:rsidR="007F6D41">
              <w:rPr>
                <w:lang w:val="en-GB"/>
              </w:rPr>
              <w:t>5.8</w:t>
            </w:r>
            <w:r w:rsidRPr="0052262B">
              <w:rPr>
                <w:lang w:val="en-GB"/>
              </w:rPr>
              <w:t>% of patients treated with CIMZIA developed injection site reactions</w:t>
            </w:r>
            <w:bookmarkEnd w:id="15"/>
            <w:bookmarkEnd w:id="16"/>
            <w:r w:rsidRPr="0052262B">
              <w:rPr>
                <w:lang w:val="en-GB"/>
              </w:rPr>
              <w:t xml:space="preserve"> (erythema, itching, haematoma, pain, swelling or bruising), compared to </w:t>
            </w:r>
            <w:r w:rsidR="007F6D41">
              <w:rPr>
                <w:lang w:val="en-GB"/>
              </w:rPr>
              <w:t>4.8</w:t>
            </w:r>
            <w:r w:rsidRPr="0052262B">
              <w:rPr>
                <w:lang w:val="en-GB"/>
              </w:rPr>
              <w:t xml:space="preserve">% of patients receiving placebo.  </w:t>
            </w:r>
            <w:bookmarkStart w:id="17" w:name="OLE_LINK24"/>
            <w:bookmarkStart w:id="18" w:name="OLE_LINK25"/>
            <w:r w:rsidRPr="0052262B">
              <w:rPr>
                <w:lang w:val="en-GB"/>
              </w:rPr>
              <w:t>In particular, injection site pain was observed in 1.5% of patients treated with CIMZIA, in the placebo-controlled rheumatoid arthritis studies, with no cases leading to withdrawal.</w:t>
            </w:r>
            <w:bookmarkEnd w:id="17"/>
            <w:bookmarkEnd w:id="18"/>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lastRenderedPageBreak/>
              <w:t>DOSAGE AND ADMINISTRATION</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Default="00F521F8" w:rsidP="00E270B7">
            <w:pPr>
              <w:pStyle w:val="Paragraph"/>
              <w:rPr>
                <w:i/>
                <w:lang w:val="en-GB"/>
              </w:rPr>
            </w:pPr>
            <w:r>
              <w:rPr>
                <w:i/>
                <w:lang w:val="en-GB"/>
              </w:rPr>
              <w:t>Loading dose</w:t>
            </w:r>
          </w:p>
          <w:p w:rsidR="00F521F8" w:rsidRDefault="00F521F8" w:rsidP="00B83E04">
            <w:pPr>
              <w:tabs>
                <w:tab w:val="left" w:pos="450"/>
              </w:tabs>
              <w:spacing w:after="120"/>
              <w:ind w:left="34"/>
              <w:contextualSpacing/>
              <w:rPr>
                <w:sz w:val="22"/>
              </w:rPr>
            </w:pPr>
            <w:r>
              <w:rPr>
                <w:sz w:val="22"/>
              </w:rPr>
              <w:t>The recommended loading dose of CIMZIA for adult patients is 400 mg (given as 2 subcutaneous injections of 200 mg each) initially (week 0) and at weeks 2 and 4.</w:t>
            </w:r>
          </w:p>
          <w:p w:rsidR="00F521F8" w:rsidRDefault="00F521F8" w:rsidP="00E270B7">
            <w:pPr>
              <w:pStyle w:val="Paragraph"/>
              <w:rPr>
                <w:i/>
                <w:lang w:val="en-GB"/>
              </w:rPr>
            </w:pPr>
            <w:r>
              <w:rPr>
                <w:i/>
                <w:lang w:val="en-GB"/>
              </w:rPr>
              <w:t>Maintenance dose</w:t>
            </w:r>
          </w:p>
          <w:p w:rsidR="00F521F8" w:rsidRPr="00425E4F" w:rsidRDefault="00F521F8" w:rsidP="00E270B7">
            <w:pPr>
              <w:pStyle w:val="Paragraph"/>
              <w:rPr>
                <w:i/>
                <w:u w:val="single"/>
                <w:lang w:val="en-GB"/>
              </w:rPr>
            </w:pPr>
            <w:r w:rsidRPr="00425E4F">
              <w:rPr>
                <w:i/>
                <w:u w:val="single"/>
                <w:lang w:val="en-GB"/>
              </w:rPr>
              <w:t>Rheumatoid arthritis</w:t>
            </w:r>
          </w:p>
          <w:p w:rsidR="00F521F8" w:rsidRPr="0052262B" w:rsidRDefault="00F521F8" w:rsidP="00DA694F">
            <w:pPr>
              <w:pStyle w:val="Paragraph"/>
              <w:rPr>
                <w:lang w:val="en-GB"/>
              </w:rPr>
            </w:pPr>
            <w:r>
              <w:rPr>
                <w:lang w:val="en-GB"/>
              </w:rPr>
              <w:t>After the loading dose, t</w:t>
            </w:r>
            <w:r w:rsidRPr="0052262B">
              <w:rPr>
                <w:lang w:val="en-GB"/>
              </w:rPr>
              <w:t xml:space="preserve">he recommended </w:t>
            </w:r>
            <w:r>
              <w:rPr>
                <w:lang w:val="en-GB"/>
              </w:rPr>
              <w:t xml:space="preserve">maintenance </w:t>
            </w:r>
            <w:r w:rsidRPr="0052262B">
              <w:rPr>
                <w:lang w:val="en-GB"/>
              </w:rPr>
              <w:t xml:space="preserve">dose of CIMZIA for adult patients with rheumatoid arthritis is </w:t>
            </w:r>
            <w:r w:rsidRPr="002074EC">
              <w:rPr>
                <w:lang w:val="en-GB"/>
              </w:rPr>
              <w:t>200 mg every 2 weeks via subcutaneous injection.</w:t>
            </w:r>
            <w:r>
              <w:rPr>
                <w:lang w:val="en-GB"/>
              </w:rPr>
              <w:t xml:space="preserve"> </w:t>
            </w:r>
            <w:r w:rsidRPr="002074EC">
              <w:rPr>
                <w:lang w:val="en-GB"/>
              </w:rPr>
              <w:t xml:space="preserve">Alternatively, </w:t>
            </w:r>
            <w:r>
              <w:rPr>
                <w:lang w:val="en-GB"/>
              </w:rPr>
              <w:t>CIMZIA</w:t>
            </w:r>
            <w:r w:rsidRPr="0052262B">
              <w:rPr>
                <w:lang w:val="en-GB"/>
              </w:rPr>
              <w:t xml:space="preserve"> 400 mg every 4 weeks has been shown to be safe and effective. </w:t>
            </w:r>
          </w:p>
          <w:p w:rsidR="00F521F8" w:rsidRPr="0052262B" w:rsidRDefault="00F521F8" w:rsidP="00DA694F">
            <w:pPr>
              <w:pStyle w:val="Paragraph"/>
              <w:rPr>
                <w:lang w:val="en-GB"/>
              </w:rPr>
            </w:pPr>
            <w:r w:rsidRPr="0052262B">
              <w:rPr>
                <w:lang w:val="en-GB"/>
              </w:rPr>
              <w:t>No additional benefit has been observed with doses above a total dose of 400mg/monthly (see CLINICAL TRIALS Section)</w:t>
            </w:r>
            <w:r>
              <w:rPr>
                <w:lang w:val="en-GB"/>
              </w:rPr>
              <w:t>.</w:t>
            </w:r>
          </w:p>
          <w:p w:rsidR="00F521F8" w:rsidRDefault="00023BB2" w:rsidP="00A420A9">
            <w:pPr>
              <w:outlineLvl w:val="0"/>
              <w:rPr>
                <w:i/>
                <w:noProof/>
                <w:szCs w:val="22"/>
                <w:u w:val="single"/>
              </w:rPr>
            </w:pPr>
            <w:r>
              <w:rPr>
                <w:i/>
                <w:noProof/>
                <w:szCs w:val="22"/>
                <w:u w:val="single"/>
              </w:rPr>
              <w:t>Psoriatic</w:t>
            </w:r>
            <w:r w:rsidR="00F521F8">
              <w:rPr>
                <w:i/>
                <w:noProof/>
                <w:szCs w:val="22"/>
                <w:u w:val="single"/>
              </w:rPr>
              <w:t xml:space="preserve"> arthritis</w:t>
            </w:r>
          </w:p>
          <w:p w:rsidR="00FF3314" w:rsidRDefault="00FF3314" w:rsidP="00A420A9">
            <w:pPr>
              <w:outlineLvl w:val="0"/>
              <w:rPr>
                <w:i/>
                <w:noProof/>
                <w:szCs w:val="22"/>
                <w:u w:val="single"/>
              </w:rPr>
            </w:pPr>
          </w:p>
          <w:p w:rsidR="00F521F8" w:rsidRDefault="00F521F8" w:rsidP="00A420A9">
            <w:pPr>
              <w:outlineLvl w:val="0"/>
            </w:pPr>
            <w:r>
              <w:rPr>
                <w:noProof/>
                <w:szCs w:val="22"/>
              </w:rPr>
              <w:t>After the loading dose, the recommended maintenance dose of C</w:t>
            </w:r>
            <w:r>
              <w:rPr>
                <w:noProof/>
              </w:rPr>
              <w:t xml:space="preserve">IMZIA for adult patients with </w:t>
            </w:r>
            <w:r w:rsidR="00023BB2">
              <w:rPr>
                <w:noProof/>
              </w:rPr>
              <w:t>psoriatic</w:t>
            </w:r>
            <w:r>
              <w:rPr>
                <w:noProof/>
              </w:rPr>
              <w:t xml:space="preserve"> arthritis is </w:t>
            </w:r>
            <w:r>
              <w:t>200 mg every 2 weeks.</w:t>
            </w:r>
            <w:r w:rsidR="006C76FA">
              <w:t xml:space="preserve"> </w:t>
            </w:r>
            <w:r w:rsidR="00E041CD">
              <w:t>Alternatively CIMZIA 400 mg every 4 weeks can be considered.</w:t>
            </w:r>
          </w:p>
          <w:p w:rsidR="00F521F8" w:rsidRPr="00C80FA2" w:rsidRDefault="00F521F8" w:rsidP="00A420A9">
            <w:pPr>
              <w:outlineLvl w:val="0"/>
              <w:rPr>
                <w:noProof/>
                <w:szCs w:val="22"/>
              </w:rPr>
            </w:pPr>
          </w:p>
          <w:p w:rsidR="00F521F8" w:rsidRDefault="00F521F8" w:rsidP="00A420A9">
            <w:pPr>
              <w:outlineLvl w:val="0"/>
              <w:rPr>
                <w:i/>
                <w:noProof/>
                <w:szCs w:val="22"/>
                <w:u w:val="single"/>
              </w:rPr>
            </w:pPr>
            <w:r>
              <w:rPr>
                <w:i/>
                <w:noProof/>
                <w:szCs w:val="22"/>
                <w:u w:val="single"/>
              </w:rPr>
              <w:t>A</w:t>
            </w:r>
            <w:r w:rsidR="00D43DED">
              <w:rPr>
                <w:i/>
                <w:noProof/>
                <w:szCs w:val="22"/>
                <w:u w:val="single"/>
              </w:rPr>
              <w:t>nkylosing spondylitis</w:t>
            </w:r>
          </w:p>
          <w:p w:rsidR="00FF3314" w:rsidRDefault="00FF3314" w:rsidP="00A420A9">
            <w:pPr>
              <w:outlineLvl w:val="0"/>
              <w:rPr>
                <w:i/>
                <w:noProof/>
                <w:szCs w:val="22"/>
                <w:u w:val="single"/>
              </w:rPr>
            </w:pPr>
          </w:p>
          <w:p w:rsidR="00F521F8" w:rsidRDefault="00F521F8" w:rsidP="00980EE3">
            <w:pPr>
              <w:outlineLvl w:val="0"/>
            </w:pPr>
            <w:r>
              <w:t xml:space="preserve">After the loading dose, the recommended dose of CIMZIA for adult patients with </w:t>
            </w:r>
            <w:r w:rsidR="00507072">
              <w:t xml:space="preserve">ankylosing spondylitis </w:t>
            </w:r>
            <w:r>
              <w:t>is 200 mg every 2 weeks or 400 mg every 4 weeks.</w:t>
            </w:r>
          </w:p>
          <w:p w:rsidR="00980EE3" w:rsidRPr="00980EE3" w:rsidRDefault="00980EE3" w:rsidP="00980EE3">
            <w:pPr>
              <w:outlineLvl w:val="0"/>
              <w:rPr>
                <w:noProof/>
                <w:szCs w:val="22"/>
              </w:rPr>
            </w:pPr>
          </w:p>
          <w:p w:rsidR="006160BB" w:rsidRDefault="006160BB" w:rsidP="00980EE3">
            <w:pPr>
              <w:pStyle w:val="Paragraph"/>
              <w:rPr>
                <w:lang w:val="en-GB"/>
              </w:rPr>
            </w:pPr>
            <w:r w:rsidRPr="006160BB">
              <w:rPr>
                <w:lang w:val="en-GB"/>
              </w:rPr>
              <w:t>For the above indications, available data suggest that clinical response is usually achieved within 12 weeks of treatment. Continuation</w:t>
            </w:r>
            <w:r w:rsidR="00493507">
              <w:rPr>
                <w:lang w:val="en-GB"/>
              </w:rPr>
              <w:t xml:space="preserve"> of</w:t>
            </w:r>
            <w:r w:rsidRPr="006160BB">
              <w:rPr>
                <w:lang w:val="en-GB"/>
              </w:rPr>
              <w:t xml:space="preserve"> therapy should be carefully reconsidered in patients who show no evidence of therapeutic benefit within the first 12 weeks of treatment</w:t>
            </w:r>
            <w:r w:rsidR="00801376">
              <w:rPr>
                <w:lang w:val="en-GB"/>
              </w:rPr>
              <w:t>.</w:t>
            </w:r>
          </w:p>
          <w:p w:rsidR="006C76FA" w:rsidRDefault="00F521F8" w:rsidP="00E270B7">
            <w:pPr>
              <w:pStyle w:val="Paragraph"/>
              <w:rPr>
                <w:lang w:val="en-GB"/>
              </w:rPr>
            </w:pPr>
            <w:r w:rsidRPr="0052262B">
              <w:rPr>
                <w:lang w:val="en-GB"/>
              </w:rPr>
              <w:t>CIMZIA treatment should be initiated and supervised by specialist physicians experienced in the diagnosis and treatment of rheumatoid arthritis</w:t>
            </w:r>
            <w:r>
              <w:rPr>
                <w:lang w:val="en-GB"/>
              </w:rPr>
              <w:t>, psoriatic arthritis and</w:t>
            </w:r>
            <w:r w:rsidR="00954C84">
              <w:rPr>
                <w:lang w:val="en-GB"/>
              </w:rPr>
              <w:t xml:space="preserve"> ankylosing spondylitis.</w:t>
            </w:r>
            <w:r>
              <w:rPr>
                <w:lang w:val="en-GB"/>
              </w:rPr>
              <w:t xml:space="preserve"> </w:t>
            </w:r>
            <w:r w:rsidRPr="0052262B">
              <w:rPr>
                <w:lang w:val="en-GB"/>
              </w:rPr>
              <w:t>After proper training in injection technique, patients may self-inject with CIMZIA if their physician determines that it is appropriate and with medical follow-up as necessary.</w:t>
            </w:r>
          </w:p>
          <w:p w:rsidR="00F521F8" w:rsidRPr="00E270B7" w:rsidRDefault="00F521F8" w:rsidP="00E270B7">
            <w:pPr>
              <w:pStyle w:val="Paragraph"/>
              <w:rPr>
                <w:u w:val="single"/>
                <w:lang w:val="en-GB"/>
              </w:rPr>
            </w:pPr>
            <w:r w:rsidRPr="00E270B7">
              <w:rPr>
                <w:u w:val="single"/>
                <w:lang w:val="en-GB"/>
              </w:rPr>
              <w:t>Children and adolescents:</w:t>
            </w:r>
          </w:p>
          <w:p w:rsidR="00F521F8" w:rsidRPr="0052262B" w:rsidRDefault="00F521F8" w:rsidP="00E270B7">
            <w:pPr>
              <w:pStyle w:val="Paragraph"/>
              <w:rPr>
                <w:lang w:val="en-GB"/>
              </w:rPr>
            </w:pPr>
            <w:r w:rsidRPr="0052262B">
              <w:rPr>
                <w:lang w:val="en-GB"/>
              </w:rPr>
              <w:t>There is no experience in children or adolescents below 18 years of age.</w:t>
            </w:r>
          </w:p>
          <w:p w:rsidR="00F521F8" w:rsidRPr="00E270B7" w:rsidRDefault="00F521F8" w:rsidP="00E270B7">
            <w:pPr>
              <w:pStyle w:val="Paragraph"/>
              <w:rPr>
                <w:u w:val="single"/>
                <w:lang w:val="en-GB"/>
              </w:rPr>
            </w:pPr>
            <w:r w:rsidRPr="00E270B7">
              <w:rPr>
                <w:u w:val="single"/>
                <w:lang w:val="en-GB"/>
              </w:rPr>
              <w:t>Elderly:</w:t>
            </w:r>
          </w:p>
          <w:p w:rsidR="00F521F8" w:rsidRDefault="00F521F8" w:rsidP="00E270B7">
            <w:pPr>
              <w:pStyle w:val="Paragraph"/>
              <w:rPr>
                <w:lang w:val="en-GB"/>
              </w:rPr>
            </w:pPr>
            <w:r w:rsidRPr="0052262B">
              <w:rPr>
                <w:lang w:val="en-GB"/>
              </w:rPr>
              <w:t xml:space="preserve">No dose adjustment is required.  Population pharmacokinetic analyses showed no effect of </w:t>
            </w:r>
            <w:r w:rsidRPr="0052262B">
              <w:rPr>
                <w:lang w:val="en-GB"/>
              </w:rPr>
              <w:lastRenderedPageBreak/>
              <w:t>age.</w:t>
            </w:r>
          </w:p>
          <w:p w:rsidR="00F521F8" w:rsidRPr="00E270B7" w:rsidRDefault="00F521F8" w:rsidP="00E270B7">
            <w:pPr>
              <w:pStyle w:val="Paragraph"/>
              <w:rPr>
                <w:u w:val="single"/>
                <w:lang w:val="en-GB"/>
              </w:rPr>
            </w:pPr>
            <w:r w:rsidRPr="00E270B7">
              <w:rPr>
                <w:u w:val="single"/>
                <w:lang w:val="en-GB"/>
              </w:rPr>
              <w:t>Renal impairment:</w:t>
            </w:r>
          </w:p>
          <w:p w:rsidR="00F521F8" w:rsidRPr="0052262B" w:rsidRDefault="00F521F8" w:rsidP="00E270B7">
            <w:pPr>
              <w:pStyle w:val="Paragraph"/>
              <w:rPr>
                <w:lang w:val="en-GB"/>
              </w:rPr>
            </w:pPr>
            <w:r w:rsidRPr="0052262B">
              <w:rPr>
                <w:lang w:val="en-GB"/>
              </w:rPr>
              <w:t xml:space="preserve">There are insufficient data to provide dosing recommendations in moderate and severe renal impairment (see </w:t>
            </w:r>
            <w:r w:rsidRPr="005930AE">
              <w:rPr>
                <w:lang w:val="en-GB"/>
              </w:rPr>
              <w:t>Pharmacokinetic</w:t>
            </w:r>
            <w:r w:rsidRPr="00EF37B6">
              <w:rPr>
                <w:lang w:val="en-GB"/>
              </w:rPr>
              <w:t xml:space="preserve"> </w:t>
            </w:r>
            <w:r w:rsidRPr="005930AE">
              <w:rPr>
                <w:lang w:val="en-GB"/>
              </w:rPr>
              <w:t>properties</w:t>
            </w:r>
            <w:r w:rsidRPr="0052262B">
              <w:rPr>
                <w:lang w:val="en-GB"/>
              </w:rPr>
              <w:t>).</w:t>
            </w:r>
          </w:p>
          <w:p w:rsidR="00F521F8" w:rsidRPr="00E270B7" w:rsidRDefault="00F521F8" w:rsidP="00E270B7">
            <w:pPr>
              <w:pStyle w:val="Paragraph"/>
              <w:rPr>
                <w:u w:val="single"/>
                <w:lang w:val="en-GB"/>
              </w:rPr>
            </w:pPr>
            <w:r w:rsidRPr="00E270B7">
              <w:rPr>
                <w:u w:val="single"/>
                <w:lang w:val="en-GB"/>
              </w:rPr>
              <w:t>Hepatic impairment:</w:t>
            </w:r>
          </w:p>
          <w:p w:rsidR="00F521F8" w:rsidRDefault="00F521F8" w:rsidP="00E270B7">
            <w:pPr>
              <w:pStyle w:val="Paragraph"/>
              <w:rPr>
                <w:lang w:val="en-GB"/>
              </w:rPr>
            </w:pPr>
            <w:r w:rsidRPr="0052262B">
              <w:rPr>
                <w:lang w:val="en-GB"/>
              </w:rPr>
              <w:t>Specific clinical studies have not been performed to assess the effect of hepatic impairment on the pharmacokinetics of CIMZIA.</w:t>
            </w:r>
          </w:p>
          <w:p w:rsidR="00E25CA1" w:rsidRPr="00E270B7" w:rsidRDefault="00E25CA1" w:rsidP="00E270B7">
            <w:pPr>
              <w:pStyle w:val="Paragraph"/>
            </w:pP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lastRenderedPageBreak/>
              <w:t>OVERDOSAGE</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A42B30">
            <w:pPr>
              <w:pStyle w:val="Paragraph"/>
              <w:rPr>
                <w:b/>
                <w:bCs/>
                <w:lang w:val="en-GB"/>
              </w:rPr>
            </w:pPr>
            <w:r w:rsidRPr="0052262B">
              <w:rPr>
                <w:lang w:val="en-GB"/>
              </w:rPr>
              <w:t xml:space="preserve">No </w:t>
            </w:r>
            <w:r w:rsidRPr="002074EC">
              <w:rPr>
                <w:lang w:val="en-GB"/>
              </w:rPr>
              <w:t>case of CIMZIA overdose</w:t>
            </w:r>
            <w:r w:rsidRPr="0052262B">
              <w:rPr>
                <w:lang w:val="en-GB"/>
              </w:rPr>
              <w:t xml:space="preserve"> has been reported.</w:t>
            </w:r>
          </w:p>
          <w:p w:rsidR="00F521F8" w:rsidRPr="0052262B" w:rsidRDefault="00F521F8" w:rsidP="00A42B30">
            <w:pPr>
              <w:pStyle w:val="Paragraph"/>
              <w:rPr>
                <w:lang w:val="en-GB"/>
              </w:rPr>
            </w:pPr>
            <w:r w:rsidRPr="0052262B">
              <w:rPr>
                <w:lang w:val="en-GB"/>
              </w:rPr>
              <w:t>The maximum tolerated dose of CIMZIA has not been established.  No dose-limiting toxicity was observed during clinical trials.  Multiple doses of up to 800mg subcutaneously and 20mg/kg intravenously have been administered and well tolerated.</w:t>
            </w:r>
          </w:p>
          <w:p w:rsidR="00F521F8" w:rsidRDefault="00F521F8" w:rsidP="008140CC">
            <w:pPr>
              <w:pStyle w:val="Paragraph"/>
              <w:rPr>
                <w:lang w:val="en-GB"/>
              </w:rPr>
            </w:pPr>
            <w:r w:rsidRPr="0052262B">
              <w:rPr>
                <w:lang w:val="en-GB"/>
              </w:rPr>
              <w:t xml:space="preserve">In cases of </w:t>
            </w:r>
            <w:proofErr w:type="spellStart"/>
            <w:r w:rsidRPr="0052262B">
              <w:rPr>
                <w:lang w:val="en-GB"/>
              </w:rPr>
              <w:t>overdosage</w:t>
            </w:r>
            <w:proofErr w:type="spellEnd"/>
            <w:r w:rsidRPr="0052262B">
              <w:rPr>
                <w:lang w:val="en-GB"/>
              </w:rPr>
              <w:t xml:space="preserve">, it is recommended that patients are monitored closely for any adverse reactions or effect, and appropriate symptomatic treatment initiated immediately. </w:t>
            </w:r>
          </w:p>
          <w:p w:rsidR="00F521F8" w:rsidRDefault="00F521F8" w:rsidP="008140CC">
            <w:pPr>
              <w:pStyle w:val="Paragraph"/>
            </w:pPr>
            <w:r w:rsidRPr="00803780">
              <w:t xml:space="preserve">For further information on the management of </w:t>
            </w:r>
            <w:proofErr w:type="spellStart"/>
            <w:r w:rsidRPr="00803780">
              <w:t>overdosage</w:t>
            </w:r>
            <w:proofErr w:type="spellEnd"/>
            <w:r w:rsidRPr="00803780">
              <w:t xml:space="preserve"> contact the Poisons Information Centre (telephone 13 11 26).</w:t>
            </w:r>
          </w:p>
          <w:p w:rsidR="006C76FA" w:rsidRPr="00C23BA8" w:rsidRDefault="006C76FA" w:rsidP="008140CC">
            <w:pPr>
              <w:pStyle w:val="Paragraph"/>
            </w:pP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t>PRESENTATION AND STORAGE CONDITIONS</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Default="00F521F8" w:rsidP="00C23BA8">
            <w:pPr>
              <w:pStyle w:val="Paragraph"/>
              <w:rPr>
                <w:szCs w:val="22"/>
                <w:lang w:val="en-GB"/>
              </w:rPr>
            </w:pPr>
            <w:r w:rsidRPr="0052262B">
              <w:rPr>
                <w:lang w:val="en-GB"/>
              </w:rPr>
              <w:t>C</w:t>
            </w:r>
            <w:r>
              <w:rPr>
                <w:lang w:val="en-GB"/>
              </w:rPr>
              <w:t>IMZIA</w:t>
            </w:r>
            <w:r w:rsidRPr="0052262B">
              <w:rPr>
                <w:lang w:val="en-GB"/>
              </w:rPr>
              <w:t>® Injection is supplied in a carton containing two single use prefilled glass syringes of 200 mg (1mL) CIMZIA and two alcohol pads.</w:t>
            </w:r>
            <w:r w:rsidR="00C23BA8">
              <w:rPr>
                <w:lang w:val="en-GB"/>
              </w:rPr>
              <w:br/>
            </w:r>
            <w:r w:rsidRPr="0052262B">
              <w:rPr>
                <w:lang w:val="en-GB"/>
              </w:rPr>
              <w:t>Storage at 2 to 8</w:t>
            </w:r>
            <w:r w:rsidRPr="0052262B">
              <w:rPr>
                <w:vertAlign w:val="superscript"/>
                <w:lang w:val="en-GB"/>
              </w:rPr>
              <w:t>o</w:t>
            </w:r>
            <w:r w:rsidRPr="0052262B">
              <w:rPr>
                <w:lang w:val="en-GB"/>
              </w:rPr>
              <w:t>C (Refrigerate. Do not freeze.)</w:t>
            </w:r>
            <w:r w:rsidR="00C23BA8">
              <w:rPr>
                <w:lang w:val="en-GB"/>
              </w:rPr>
              <w:br/>
            </w:r>
            <w:r w:rsidRPr="0052262B">
              <w:rPr>
                <w:lang w:val="en-GB"/>
              </w:rPr>
              <w:t>Product is for single use in one patient only.  Discard any residue.</w:t>
            </w:r>
            <w:r w:rsidR="00C23BA8">
              <w:rPr>
                <w:lang w:val="en-GB"/>
              </w:rPr>
              <w:br/>
            </w:r>
            <w:r w:rsidRPr="0052262B">
              <w:rPr>
                <w:szCs w:val="22"/>
                <w:lang w:val="en-GB"/>
              </w:rPr>
              <w:t>Protect from light.</w:t>
            </w:r>
          </w:p>
          <w:p w:rsidR="00E25CA1" w:rsidRPr="0052262B" w:rsidRDefault="00E25CA1" w:rsidP="00C23BA8">
            <w:pPr>
              <w:pStyle w:val="Paragraph"/>
              <w:rPr>
                <w:szCs w:val="22"/>
                <w:lang w:val="en-GB"/>
              </w:rPr>
            </w:pP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t>NAME AND ADDRESS OF THE SPONSOR</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144E0D">
            <w:pPr>
              <w:rPr>
                <w:lang w:val="en-GB" w:eastAsia="en-AU"/>
              </w:rPr>
            </w:pPr>
            <w:r w:rsidRPr="0052262B">
              <w:rPr>
                <w:lang w:val="en-GB"/>
              </w:rPr>
              <w:t>UCB Pharma</w:t>
            </w:r>
            <w:r w:rsidRPr="0052262B">
              <w:rPr>
                <w:lang w:val="en-GB"/>
              </w:rPr>
              <w:br/>
              <w:t>A division of UCB Australia Pty Ltd</w:t>
            </w:r>
            <w:r w:rsidRPr="0052262B">
              <w:rPr>
                <w:lang w:val="en-GB"/>
              </w:rPr>
              <w:br/>
              <w:t>Level 1, 1155 Malvern Road</w:t>
            </w:r>
            <w:r w:rsidRPr="0052262B">
              <w:rPr>
                <w:lang w:val="en-GB"/>
              </w:rPr>
              <w:br/>
              <w:t>Malvern VIC 3144, Australia</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t>POISON SCHEDULE OF THE MEDICINE</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971346" w:rsidRDefault="00F521F8" w:rsidP="00971346">
            <w:pPr>
              <w:pStyle w:val="Paragraph"/>
            </w:pPr>
            <w:r w:rsidRPr="0052262B">
              <w:rPr>
                <w:lang w:val="en-GB" w:eastAsia="en-AU"/>
              </w:rPr>
              <w:t>S4</w:t>
            </w:r>
          </w:p>
        </w:tc>
      </w:tr>
      <w:tr w:rsidR="00F521F8" w:rsidRPr="0052262B">
        <w:tc>
          <w:tcPr>
            <w:tcW w:w="9142" w:type="dxa"/>
            <w:tcBorders>
              <w:top w:val="single" w:sz="4" w:space="0" w:color="auto"/>
              <w:left w:val="single" w:sz="4" w:space="0" w:color="auto"/>
              <w:bottom w:val="single" w:sz="4" w:space="0" w:color="auto"/>
              <w:right w:val="single" w:sz="4" w:space="0" w:color="auto"/>
            </w:tcBorders>
          </w:tcPr>
          <w:p w:rsidR="00F521F8" w:rsidRPr="0052262B" w:rsidRDefault="00F521F8" w:rsidP="00017A0A">
            <w:pPr>
              <w:pStyle w:val="Heading2"/>
              <w:numPr>
                <w:ilvl w:val="0"/>
                <w:numId w:val="0"/>
              </w:numPr>
              <w:rPr>
                <w:rFonts w:cs="Times New Roman"/>
                <w:lang w:val="en-GB" w:eastAsia="en-AU"/>
              </w:rPr>
            </w:pPr>
            <w:r w:rsidRPr="0052262B">
              <w:rPr>
                <w:rFonts w:cs="Times New Roman"/>
                <w:lang w:val="en-GB" w:eastAsia="en-AU"/>
              </w:rPr>
              <w:t>DATE OF APPROVAL</w:t>
            </w:r>
          </w:p>
        </w:tc>
      </w:tr>
      <w:tr w:rsidR="00C23BA8" w:rsidRPr="0052262B">
        <w:tc>
          <w:tcPr>
            <w:tcW w:w="9142" w:type="dxa"/>
            <w:tcBorders>
              <w:top w:val="single" w:sz="4" w:space="0" w:color="auto"/>
              <w:left w:val="single" w:sz="4" w:space="0" w:color="auto"/>
              <w:bottom w:val="single" w:sz="4" w:space="0" w:color="auto"/>
              <w:right w:val="single" w:sz="4" w:space="0" w:color="auto"/>
            </w:tcBorders>
          </w:tcPr>
          <w:p w:rsidR="00C23BA8" w:rsidRDefault="00C23BA8" w:rsidP="00C23BA8">
            <w:pPr>
              <w:rPr>
                <w:lang w:val="en-GB"/>
              </w:rPr>
            </w:pPr>
            <w:r>
              <w:rPr>
                <w:lang w:val="en-GB"/>
              </w:rPr>
              <w:t>Date of first inclusion in the Australian Register of Therapeutic Goods: 20 January 2010</w:t>
            </w:r>
          </w:p>
          <w:p w:rsidR="00C23BA8" w:rsidRPr="0052262B" w:rsidRDefault="00C23BA8" w:rsidP="00E76932">
            <w:pPr>
              <w:rPr>
                <w:lang w:val="en-GB"/>
              </w:rPr>
            </w:pPr>
            <w:r>
              <w:rPr>
                <w:lang w:val="en-GB"/>
              </w:rPr>
              <w:t xml:space="preserve">Date of most recent amendment: </w:t>
            </w:r>
            <w:r w:rsidR="00E76932">
              <w:rPr>
                <w:lang w:val="en-GB"/>
              </w:rPr>
              <w:t>07 November 2016</w:t>
            </w:r>
          </w:p>
        </w:tc>
      </w:tr>
    </w:tbl>
    <w:p w:rsidR="00837CF5" w:rsidRPr="0052262B" w:rsidRDefault="00837CF5" w:rsidP="00C23BA8">
      <w:pPr>
        <w:rPr>
          <w:lang w:val="en-GB"/>
        </w:rPr>
      </w:pPr>
    </w:p>
    <w:sectPr w:rsidR="00837CF5" w:rsidRPr="0052262B" w:rsidSect="00267168">
      <w:headerReference w:type="default" r:id="rId12"/>
      <w:footerReference w:type="default" r:id="rId13"/>
      <w:endnotePr>
        <w:numFmt w:val="decimal"/>
      </w:endnotePr>
      <w:pgSz w:w="11907" w:h="16839" w:code="9"/>
      <w:pgMar w:top="1440" w:right="1647"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E98" w:rsidRPr="00490A0F" w:rsidRDefault="00BB0E98" w:rsidP="00490A0F">
      <w:pPr>
        <w:pStyle w:val="Footer"/>
      </w:pPr>
    </w:p>
  </w:endnote>
  <w:endnote w:type="continuationSeparator" w:id="0">
    <w:p w:rsidR="00BB0E98" w:rsidRPr="00490A0F" w:rsidRDefault="00BB0E98" w:rsidP="00490A0F">
      <w:pPr>
        <w:pStyle w:val="Footer"/>
      </w:pPr>
    </w:p>
  </w:endnote>
  <w:endnote w:type="continuationNotice" w:id="1">
    <w:p w:rsidR="00BB0E98" w:rsidRPr="00490A0F" w:rsidRDefault="00BB0E98" w:rsidP="00490A0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Arial Unicode M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E98" w:rsidRDefault="00BB0E98">
    <w:pPr>
      <w:pStyle w:val="Footer"/>
    </w:pPr>
  </w:p>
  <w:p w:rsidR="00BB0E98" w:rsidRDefault="00BB0E98" w:rsidP="00A44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E98" w:rsidRDefault="00BB0E98">
      <w:r>
        <w:separator/>
      </w:r>
    </w:p>
  </w:footnote>
  <w:footnote w:type="continuationSeparator" w:id="0">
    <w:p w:rsidR="00BB0E98" w:rsidRDefault="00BB0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8" w:rsidRPr="00FF3314" w:rsidRDefault="00BB0E98" w:rsidP="00144E0D">
    <w:pPr>
      <w:pStyle w:val="Header"/>
    </w:pPr>
    <w:bookmarkStart w:id="19" w:name="ISISiteHeaderStd"/>
    <w:r>
      <w:t xml:space="preserve">Page </w:t>
    </w:r>
    <w:r>
      <w:rPr>
        <w:b/>
        <w:bCs/>
        <w:sz w:val="24"/>
        <w:szCs w:val="24"/>
      </w:rPr>
      <w:fldChar w:fldCharType="begin"/>
    </w:r>
    <w:r>
      <w:rPr>
        <w:b/>
        <w:bCs/>
      </w:rPr>
      <w:instrText xml:space="preserve"> PAGE </w:instrText>
    </w:r>
    <w:r>
      <w:rPr>
        <w:b/>
        <w:bCs/>
        <w:sz w:val="24"/>
        <w:szCs w:val="24"/>
      </w:rPr>
      <w:fldChar w:fldCharType="separate"/>
    </w:r>
    <w:r w:rsidR="00AB5AD5">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5AD5">
      <w:rPr>
        <w:b/>
        <w:bCs/>
        <w:noProof/>
      </w:rPr>
      <w:t>35</w:t>
    </w:r>
    <w:r>
      <w:rPr>
        <w:b/>
        <w:bCs/>
        <w:sz w:val="24"/>
        <w:szCs w:val="24"/>
      </w:rPr>
      <w:fldChar w:fldCharType="end"/>
    </w:r>
    <w:r>
      <w:rPr>
        <w:b/>
        <w:bCs/>
        <w:sz w:val="24"/>
        <w:szCs w:val="24"/>
      </w:rPr>
      <w:tab/>
    </w:r>
    <w:bookmarkEnd w:id="19"/>
  </w:p>
  <w:tbl>
    <w:tblPr>
      <w:tblStyle w:val="TableGrid"/>
      <w:tblW w:w="0" w:type="auto"/>
      <w:shd w:val="clear" w:color="auto" w:fill="E4F2E0"/>
      <w:tblLook w:val="04A0" w:firstRow="1" w:lastRow="0" w:firstColumn="1" w:lastColumn="0" w:noHBand="0" w:noVBand="1"/>
    </w:tblPr>
    <w:tblGrid>
      <w:gridCol w:w="8720"/>
    </w:tblGrid>
    <w:tr w:rsidR="00B96918" w:rsidTr="00D63BFC">
      <w:tc>
        <w:tcPr>
          <w:tcW w:w="8720" w:type="dxa"/>
          <w:shd w:val="clear" w:color="auto" w:fill="E4F2E0"/>
        </w:tcPr>
        <w:p w:rsidR="00B96918" w:rsidRPr="00D361CA" w:rsidRDefault="00B96918" w:rsidP="00AB5AD5">
          <w:pPr>
            <w:spacing w:before="40" w:after="40"/>
            <w:rPr>
              <w:b/>
              <w:sz w:val="20"/>
              <w:szCs w:val="20"/>
            </w:rPr>
          </w:pPr>
          <w:r w:rsidRPr="00AB5AD5">
            <w:rPr>
              <w:rFonts w:asciiTheme="majorHAnsi" w:hAnsiTheme="majorHAnsi"/>
              <w:b/>
              <w:sz w:val="20"/>
              <w:szCs w:val="20"/>
            </w:rPr>
            <w:t>Attachment 1: Product information for</w:t>
          </w:r>
          <w:r w:rsidRPr="00AB5AD5">
            <w:rPr>
              <w:rFonts w:asciiTheme="majorHAnsi" w:hAnsiTheme="majorHAnsi"/>
              <w:b/>
              <w:sz w:val="20"/>
              <w:szCs w:val="20"/>
            </w:rPr>
            <w:t xml:space="preserve"> </w:t>
          </w:r>
          <w:proofErr w:type="spellStart"/>
          <w:r w:rsidRPr="00AB5AD5">
            <w:rPr>
              <w:rFonts w:asciiTheme="majorHAnsi" w:hAnsiTheme="majorHAnsi"/>
              <w:b/>
              <w:sz w:val="20"/>
              <w:szCs w:val="20"/>
            </w:rPr>
            <w:t>AusPAR</w:t>
          </w:r>
          <w:proofErr w:type="spellEnd"/>
          <w:r w:rsidRPr="00AB5AD5">
            <w:rPr>
              <w:rFonts w:asciiTheme="majorHAnsi" w:hAnsiTheme="majorHAnsi"/>
              <w:b/>
              <w:sz w:val="20"/>
              <w:szCs w:val="20"/>
            </w:rPr>
            <w:t xml:space="preserve"> </w:t>
          </w:r>
          <w:proofErr w:type="spellStart"/>
          <w:r w:rsidRPr="00AB5AD5">
            <w:rPr>
              <w:rFonts w:asciiTheme="majorHAnsi" w:hAnsiTheme="majorHAnsi"/>
              <w:b/>
              <w:sz w:val="20"/>
              <w:szCs w:val="20"/>
            </w:rPr>
            <w:t>Cimzia</w:t>
          </w:r>
          <w:proofErr w:type="spellEnd"/>
          <w:r w:rsidRPr="00AB5AD5">
            <w:rPr>
              <w:rFonts w:asciiTheme="majorHAnsi" w:hAnsiTheme="majorHAnsi"/>
              <w:b/>
              <w:sz w:val="20"/>
              <w:szCs w:val="20"/>
            </w:rPr>
            <w:t xml:space="preserve"> </w:t>
          </w:r>
          <w:proofErr w:type="spellStart"/>
          <w:r w:rsidRPr="00AB5AD5">
            <w:rPr>
              <w:rFonts w:asciiTheme="majorHAnsi" w:hAnsiTheme="majorHAnsi"/>
              <w:b/>
              <w:sz w:val="20"/>
              <w:szCs w:val="20"/>
            </w:rPr>
            <w:t>Certolizumab</w:t>
          </w:r>
          <w:proofErr w:type="spellEnd"/>
          <w:r w:rsidRPr="00AB5AD5">
            <w:rPr>
              <w:rFonts w:asciiTheme="majorHAnsi" w:hAnsiTheme="majorHAnsi"/>
              <w:b/>
              <w:sz w:val="20"/>
              <w:szCs w:val="20"/>
            </w:rPr>
            <w:t xml:space="preserve"> </w:t>
          </w:r>
          <w:proofErr w:type="spellStart"/>
          <w:r w:rsidRPr="00AB5AD5">
            <w:rPr>
              <w:rFonts w:asciiTheme="majorHAnsi" w:hAnsiTheme="majorHAnsi"/>
              <w:b/>
              <w:sz w:val="20"/>
              <w:szCs w:val="20"/>
            </w:rPr>
            <w:t>pegol</w:t>
          </w:r>
          <w:proofErr w:type="spellEnd"/>
          <w:r w:rsidRPr="00AB5AD5">
            <w:rPr>
              <w:rFonts w:asciiTheme="majorHAnsi" w:hAnsiTheme="majorHAnsi"/>
              <w:b/>
              <w:sz w:val="20"/>
              <w:szCs w:val="20"/>
            </w:rPr>
            <w:t xml:space="preserve"> UCB Australia Pty Ltd PM-2015-01158-1-3</w:t>
          </w:r>
          <w:r w:rsidR="00AB5AD5" w:rsidRPr="00AB5AD5">
            <w:rPr>
              <w:rFonts w:asciiTheme="majorHAnsi" w:hAnsiTheme="majorHAnsi"/>
              <w:b/>
              <w:sz w:val="20"/>
              <w:szCs w:val="20"/>
            </w:rPr>
            <w:t xml:space="preserve"> </w:t>
          </w:r>
          <w:r w:rsidRPr="00AB5AD5">
            <w:rPr>
              <w:rFonts w:asciiTheme="majorHAnsi" w:hAnsiTheme="majorHAnsi"/>
              <w:b/>
              <w:sz w:val="20"/>
              <w:szCs w:val="20"/>
            </w:rPr>
            <w:t xml:space="preserve">Final 21 June 2017. This Product Information was approved at the time this </w:t>
          </w:r>
          <w:proofErr w:type="spellStart"/>
          <w:r w:rsidRPr="00AB5AD5">
            <w:rPr>
              <w:rFonts w:asciiTheme="majorHAnsi" w:hAnsiTheme="majorHAnsi"/>
              <w:b/>
              <w:sz w:val="20"/>
              <w:szCs w:val="20"/>
            </w:rPr>
            <w:t>AusPAR</w:t>
          </w:r>
          <w:proofErr w:type="spellEnd"/>
          <w:r w:rsidRPr="00AB5AD5">
            <w:rPr>
              <w:rFonts w:asciiTheme="majorHAnsi" w:hAnsiTheme="majorHAnsi"/>
              <w:b/>
              <w:sz w:val="20"/>
              <w:szCs w:val="20"/>
            </w:rPr>
            <w:t xml:space="preserve"> was published</w:t>
          </w:r>
          <w:r w:rsidRPr="00D361CA">
            <w:rPr>
              <w:b/>
              <w:sz w:val="20"/>
              <w:szCs w:val="20"/>
            </w:rPr>
            <w:t>.</w:t>
          </w:r>
        </w:p>
      </w:tc>
    </w:tr>
  </w:tbl>
  <w:p w:rsidR="00BB0E98" w:rsidRPr="00FF3314" w:rsidRDefault="00BB0E98" w:rsidP="00144E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C98"/>
    <w:multiLevelType w:val="singleLevel"/>
    <w:tmpl w:val="A2481BF8"/>
    <w:name w:val="WWln3"/>
    <w:lvl w:ilvl="0">
      <w:start w:val="1"/>
      <w:numFmt w:val="decimal"/>
      <w:lvlText w:val="%1."/>
      <w:lvlJc w:val="left"/>
      <w:pPr>
        <w:tabs>
          <w:tab w:val="num" w:pos="1080"/>
        </w:tabs>
        <w:ind w:left="1080" w:hanging="360"/>
      </w:pPr>
      <w:rPr>
        <w:rFonts w:ascii="Times New Roman" w:hAnsi="Times New Roman"/>
        <w:b w:val="0"/>
        <w:i w:val="0"/>
        <w:caps w:val="0"/>
        <w:sz w:val="24"/>
        <w:u w:val="none"/>
        <w:vertAlign w:val="baseline"/>
      </w:rPr>
    </w:lvl>
  </w:abstractNum>
  <w:abstractNum w:abstractNumId="1">
    <w:nsid w:val="03D821A7"/>
    <w:multiLevelType w:val="multilevel"/>
    <w:tmpl w:val="04090023"/>
    <w:name w:val="WWtf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9095901"/>
    <w:multiLevelType w:val="singleLevel"/>
    <w:tmpl w:val="46A81DAE"/>
    <w:lvl w:ilvl="0">
      <w:start w:val="1"/>
      <w:numFmt w:val="decimal"/>
      <w:pStyle w:val="Appendix"/>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3">
    <w:nsid w:val="0A970744"/>
    <w:multiLevelType w:val="hybridMultilevel"/>
    <w:tmpl w:val="B49AF062"/>
    <w:lvl w:ilvl="0" w:tplc="94CCDF66">
      <w:start w:val="1"/>
      <w:numFmt w:val="bullet"/>
      <w:pStyle w:val="BulletsTex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4">
    <w:nsid w:val="0BC6661C"/>
    <w:multiLevelType w:val="singleLevel"/>
    <w:tmpl w:val="48D8DE4C"/>
    <w:name w:val="UCBat"/>
    <w:lvl w:ilvl="0">
      <w:start w:val="1"/>
      <w:numFmt w:val="lowerLetter"/>
      <w:pStyle w:val="ListLett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5">
    <w:nsid w:val="0C357CDB"/>
    <w:multiLevelType w:val="singleLevel"/>
    <w:tmpl w:val="711E06A8"/>
    <w:name w:val="UCBll2"/>
    <w:lvl w:ilvl="0">
      <w:start w:val="1"/>
      <w:numFmt w:val="lowerLetter"/>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6">
    <w:nsid w:val="0DC90E5E"/>
    <w:multiLevelType w:val="singleLevel"/>
    <w:tmpl w:val="65DC03AC"/>
    <w:name w:val="Wwll3"/>
    <w:lvl w:ilvl="0">
      <w:start w:val="1"/>
      <w:numFmt w:val="bullet"/>
      <w:lvlText w:val="□"/>
      <w:lvlJc w:val="left"/>
      <w:pPr>
        <w:tabs>
          <w:tab w:val="num" w:pos="1080"/>
        </w:tabs>
        <w:ind w:left="1080" w:hanging="360"/>
      </w:pPr>
      <w:rPr>
        <w:rFonts w:ascii="Times New Roman" w:hAnsi="Times New Roman"/>
        <w:b w:val="0"/>
        <w:i w:val="0"/>
        <w:caps w:val="0"/>
        <w:sz w:val="24"/>
        <w:u w:val="none"/>
        <w:vertAlign w:val="baseline"/>
      </w:rPr>
    </w:lvl>
  </w:abstractNum>
  <w:abstractNum w:abstractNumId="7">
    <w:nsid w:val="0F7E0FE4"/>
    <w:multiLevelType w:val="singleLevel"/>
    <w:tmpl w:val="89CCC27C"/>
    <w:lvl w:ilvl="0">
      <w:start w:val="1"/>
      <w:numFmt w:val="decimal"/>
      <w:pStyle w:val="ListNumb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8">
    <w:nsid w:val="154B228F"/>
    <w:multiLevelType w:val="multilevel"/>
    <w:tmpl w:val="0409001D"/>
    <w:name w:val="WWtf"/>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5866ACF"/>
    <w:multiLevelType w:val="multilevel"/>
    <w:tmpl w:val="9EF47328"/>
    <w:name w:val="UCBln2"/>
    <w:lvl w:ilvl="0">
      <w:numFmt w:val="none"/>
      <w:lvlText w:val=""/>
      <w:lvlJc w:val="left"/>
      <w:pPr>
        <w:tabs>
          <w:tab w:val="num" w:pos="360"/>
        </w:tabs>
      </w:pPr>
    </w:lvl>
    <w:lvl w:ilvl="1">
      <w:start w:val="1"/>
      <w:numFmt w:val="decimal"/>
      <w:lvlText w:val="%1.%2."/>
      <w:lvlJc w:val="left"/>
      <w:pPr>
        <w:tabs>
          <w:tab w:val="num" w:pos="720"/>
        </w:tabs>
        <w:ind w:left="720" w:hanging="720"/>
      </w:pPr>
      <w:rPr>
        <w:rFonts w:ascii="Arial" w:hAnsi="Arial" w:cs="Arial" w:hint="default"/>
        <w:b/>
        <w:i w:val="0"/>
        <w:caps w:val="0"/>
        <w:sz w:val="26"/>
        <w:u w:val="none"/>
        <w:vertAlign w:val="baseline"/>
      </w:rPr>
    </w:lvl>
    <w:lvl w:ilvl="2">
      <w:start w:val="1"/>
      <w:numFmt w:val="decimal"/>
      <w:lvlText w:val="%1.%2.%3"/>
      <w:lvlJc w:val="left"/>
      <w:pPr>
        <w:tabs>
          <w:tab w:val="num" w:pos="1440"/>
        </w:tabs>
        <w:ind w:left="1440" w:hanging="1440"/>
      </w:pPr>
      <w:rPr>
        <w:rFonts w:ascii="Arial" w:hAnsi="Arial" w:cs="Arial" w:hint="default"/>
        <w:b/>
        <w:i w:val="0"/>
        <w:caps w:val="0"/>
        <w:sz w:val="24"/>
        <w:szCs w:val="24"/>
        <w:u w:val="none"/>
        <w:vertAlign w:val="baseline"/>
      </w:rPr>
    </w:lvl>
    <w:lvl w:ilvl="3">
      <w:start w:val="1"/>
      <w:numFmt w:val="decimal"/>
      <w:lvlText w:val="%1.%2.%3.%4"/>
      <w:lvlJc w:val="left"/>
      <w:pPr>
        <w:tabs>
          <w:tab w:val="num" w:pos="1200"/>
        </w:tabs>
        <w:ind w:left="1200" w:hanging="1200"/>
      </w:pPr>
      <w:rPr>
        <w:rFonts w:ascii="Arial" w:hAnsi="Arial" w:cs="Arial" w:hint="default"/>
        <w:b/>
        <w:i w:val="0"/>
        <w:caps w:val="0"/>
        <w:sz w:val="22"/>
        <w:szCs w:val="22"/>
        <w:u w:val="none"/>
        <w:vertAlign w:val="baseline"/>
      </w:rPr>
    </w:lvl>
    <w:lvl w:ilvl="4">
      <w:start w:val="1"/>
      <w:numFmt w:val="none"/>
      <w:suff w:val="nothing"/>
      <w:lvlText w:val=""/>
      <w:lvlJc w:val="left"/>
      <w:pPr>
        <w:tabs>
          <w:tab w:val="num" w:pos="0"/>
        </w:tabs>
        <w:ind w:left="0" w:firstLine="0"/>
      </w:pPr>
      <w:rPr>
        <w:rFonts w:ascii="Arial" w:hAnsi="Arial" w:cs="Arial" w:hint="default"/>
        <w:b/>
        <w:i w:val="0"/>
        <w:caps w:val="0"/>
        <w:sz w:val="22"/>
        <w:u w:val="none"/>
        <w:vertAlign w:val="baseline"/>
      </w:rPr>
    </w:lvl>
    <w:lvl w:ilvl="5">
      <w:start w:val="1"/>
      <w:numFmt w:val="none"/>
      <w:suff w:val="nothing"/>
      <w:lvlText w:val=""/>
      <w:lvlJc w:val="left"/>
      <w:pPr>
        <w:tabs>
          <w:tab w:val="num" w:pos="0"/>
        </w:tabs>
        <w:ind w:left="0" w:firstLine="0"/>
      </w:pPr>
      <w:rPr>
        <w:rFonts w:ascii="Arial" w:hAnsi="Arial" w:cs="Arial" w:hint="default"/>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hint="default"/>
        <w:b w:val="0"/>
        <w:i/>
        <w:caps w:val="0"/>
        <w:sz w:val="22"/>
        <w:u w:val="none"/>
        <w:vertAlign w:val="baseline"/>
      </w:rPr>
    </w:lvl>
    <w:lvl w:ilvl="7">
      <w:start w:val="1"/>
      <w:numFmt w:val="none"/>
      <w:suff w:val="nothing"/>
      <w:lvlText w:val=""/>
      <w:lvlJc w:val="left"/>
      <w:pPr>
        <w:tabs>
          <w:tab w:val="num" w:pos="0"/>
        </w:tabs>
        <w:ind w:left="0" w:firstLine="0"/>
      </w:pPr>
      <w:rPr>
        <w:rFonts w:ascii="Arial" w:hAnsi="Arial" w:cs="Arial" w:hint="default"/>
        <w:b w:val="0"/>
        <w:i/>
        <w:caps w:val="0"/>
        <w:sz w:val="22"/>
        <w:u w:val="none"/>
        <w:vertAlign w:val="baseline"/>
      </w:rPr>
    </w:lvl>
    <w:lvl w:ilvl="8">
      <w:start w:val="1"/>
      <w:numFmt w:val="none"/>
      <w:suff w:val="nothing"/>
      <w:lvlText w:val=""/>
      <w:lvlJc w:val="left"/>
      <w:pPr>
        <w:tabs>
          <w:tab w:val="num" w:pos="0"/>
        </w:tabs>
        <w:ind w:left="0" w:firstLine="0"/>
      </w:pPr>
      <w:rPr>
        <w:rFonts w:ascii="Arial" w:hAnsi="Arial" w:cs="Arial" w:hint="default"/>
        <w:b w:val="0"/>
        <w:i/>
        <w:caps w:val="0"/>
        <w:sz w:val="22"/>
        <w:u w:val="none"/>
        <w:vertAlign w:val="baseline"/>
      </w:rPr>
    </w:lvl>
  </w:abstractNum>
  <w:abstractNum w:abstractNumId="10">
    <w:nsid w:val="1F8C7E25"/>
    <w:multiLevelType w:val="singleLevel"/>
    <w:tmpl w:val="D3E4494C"/>
    <w:name w:val="WWlh"/>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11">
    <w:nsid w:val="234660A4"/>
    <w:multiLevelType w:val="singleLevel"/>
    <w:tmpl w:val="6318E812"/>
    <w:name w:val="WWln"/>
    <w:lvl w:ilvl="0">
      <w:start w:val="1"/>
      <w:numFmt w:val="bullet"/>
      <w:lvlText w:val="•"/>
      <w:lvlJc w:val="left"/>
      <w:pPr>
        <w:tabs>
          <w:tab w:val="num" w:pos="360"/>
        </w:tabs>
        <w:ind w:left="360" w:hanging="360"/>
      </w:pPr>
      <w:rPr>
        <w:rFonts w:ascii="Times New Roman" w:hAnsi="Times New Roman"/>
        <w:b w:val="0"/>
        <w:i w:val="0"/>
        <w:caps w:val="0"/>
        <w:sz w:val="28"/>
        <w:u w:val="none"/>
        <w:vertAlign w:val="baseline"/>
      </w:rPr>
    </w:lvl>
  </w:abstractNum>
  <w:abstractNum w:abstractNumId="12">
    <w:nsid w:val="250F712B"/>
    <w:multiLevelType w:val="singleLevel"/>
    <w:tmpl w:val="706A08DA"/>
    <w:name w:val="UCBtfl"/>
    <w:lvl w:ilvl="0">
      <w:start w:val="1"/>
      <w:numFmt w:val="bullet"/>
      <w:lvlText w:val="-"/>
      <w:lvlJc w:val="left"/>
      <w:pPr>
        <w:tabs>
          <w:tab w:val="num" w:pos="720"/>
        </w:tabs>
        <w:ind w:left="720" w:hanging="360"/>
      </w:pPr>
      <w:rPr>
        <w:rFonts w:ascii="Times New Roman" w:hAnsi="Times New Roman"/>
        <w:b w:val="0"/>
        <w:i w:val="0"/>
        <w:caps w:val="0"/>
        <w:sz w:val="24"/>
        <w:u w:val="none"/>
        <w:vertAlign w:val="baseline"/>
      </w:rPr>
    </w:lvl>
  </w:abstractNum>
  <w:abstractNum w:abstractNumId="13">
    <w:nsid w:val="331C79AC"/>
    <w:multiLevelType w:val="multilevel"/>
    <w:tmpl w:val="650E4AA4"/>
    <w:name w:val="WWlb"/>
    <w:lvl w:ilvl="0">
      <w:numFmt w:val="none"/>
      <w:pStyle w:val="Heading1"/>
      <w:lvlText w:val=""/>
      <w:lvlJc w:val="left"/>
      <w:pPr>
        <w:tabs>
          <w:tab w:val="num" w:pos="360"/>
        </w:tabs>
      </w:pPr>
    </w:lvl>
    <w:lvl w:ilvl="1">
      <w:start w:val="1"/>
      <w:numFmt w:val="decimal"/>
      <w:pStyle w:val="Heading2"/>
      <w:lvlText w:val="%1.%2"/>
      <w:lvlJc w:val="left"/>
      <w:pPr>
        <w:tabs>
          <w:tab w:val="num" w:pos="0"/>
        </w:tabs>
        <w:ind w:left="0" w:firstLine="0"/>
      </w:pPr>
      <w:rPr>
        <w:rFonts w:ascii="Arial" w:hAnsi="Arial" w:cs="Arial"/>
        <w:b/>
        <w:i w:val="0"/>
        <w:caps w:val="0"/>
        <w:sz w:val="26"/>
        <w:u w:val="none"/>
        <w:vertAlign w:val="baseline"/>
      </w:rPr>
    </w:lvl>
    <w:lvl w:ilvl="2">
      <w:start w:val="1"/>
      <w:numFmt w:val="decimal"/>
      <w:pStyle w:val="Heading3"/>
      <w:lvlText w:val="%1.%2.%3"/>
      <w:lvlJc w:val="left"/>
      <w:pPr>
        <w:tabs>
          <w:tab w:val="num" w:pos="0"/>
        </w:tabs>
        <w:ind w:left="0" w:firstLine="0"/>
      </w:pPr>
      <w:rPr>
        <w:rFonts w:ascii="Arial" w:hAnsi="Arial" w:cs="Arial"/>
        <w:b/>
        <w:i w:val="0"/>
        <w:caps w:val="0"/>
        <w:sz w:val="24"/>
        <w:u w:val="none"/>
        <w:vertAlign w:val="baseline"/>
      </w:rPr>
    </w:lvl>
    <w:lvl w:ilvl="3">
      <w:start w:val="1"/>
      <w:numFmt w:val="decimal"/>
      <w:pStyle w:val="Heading4"/>
      <w:lvlText w:val="%1.%2.%3.%4"/>
      <w:lvlJc w:val="left"/>
      <w:pPr>
        <w:tabs>
          <w:tab w:val="num" w:pos="0"/>
        </w:tabs>
        <w:ind w:left="0" w:firstLine="0"/>
      </w:pPr>
      <w:rPr>
        <w:rFonts w:ascii="Arial" w:hAnsi="Arial" w:cs="Arial"/>
        <w:b/>
        <w:i w:val="0"/>
        <w:caps w:val="0"/>
        <w:sz w:val="24"/>
        <w:u w:val="none"/>
        <w:vertAlign w:val="baseline"/>
      </w:rPr>
    </w:lvl>
    <w:lvl w:ilvl="4">
      <w:start w:val="1"/>
      <w:numFmt w:val="none"/>
      <w:pStyle w:val="Heading5"/>
      <w:suff w:val="nothing"/>
      <w:lvlText w:val=""/>
      <w:lvlJc w:val="left"/>
      <w:pPr>
        <w:tabs>
          <w:tab w:val="num" w:pos="0"/>
        </w:tabs>
        <w:ind w:left="0" w:firstLine="0"/>
      </w:pPr>
      <w:rPr>
        <w:rFonts w:ascii="Arial" w:hAnsi="Arial" w:cs="Arial"/>
        <w:b/>
        <w:i w:val="0"/>
        <w:caps w:val="0"/>
        <w:sz w:val="24"/>
        <w:u w:val="none"/>
        <w:vertAlign w:val="baseline"/>
      </w:rPr>
    </w:lvl>
    <w:lvl w:ilvl="5">
      <w:start w:val="1"/>
      <w:numFmt w:val="none"/>
      <w:pStyle w:val="Heading6"/>
      <w:suff w:val="nothing"/>
      <w:lvlText w:val=""/>
      <w:lvlJc w:val="left"/>
      <w:pPr>
        <w:tabs>
          <w:tab w:val="num" w:pos="0"/>
        </w:tabs>
        <w:ind w:left="0" w:firstLine="0"/>
      </w:pPr>
      <w:rPr>
        <w:rFonts w:ascii="Arial" w:hAnsi="Arial" w:cs="Arial"/>
        <w:b/>
        <w:i w:val="0"/>
        <w:caps w:val="0"/>
        <w:sz w:val="24"/>
        <w:u w:val="none"/>
        <w:vertAlign w:val="baseline"/>
      </w:rPr>
    </w:lvl>
    <w:lvl w:ilvl="6">
      <w:start w:val="1"/>
      <w:numFmt w:val="none"/>
      <w:pStyle w:val="Heading7"/>
      <w:suff w:val="nothing"/>
      <w:lvlText w:val=""/>
      <w:lvlJc w:val="left"/>
      <w:pPr>
        <w:tabs>
          <w:tab w:val="num" w:pos="0"/>
        </w:tabs>
        <w:ind w:left="0" w:firstLine="0"/>
      </w:pPr>
      <w:rPr>
        <w:rFonts w:ascii="Arial" w:hAnsi="Arial" w:cs="Arial"/>
        <w:b w:val="0"/>
        <w:i/>
        <w:caps w:val="0"/>
        <w:sz w:val="24"/>
        <w:u w:val="none"/>
        <w:vertAlign w:val="baseline"/>
      </w:rPr>
    </w:lvl>
    <w:lvl w:ilvl="7">
      <w:start w:val="1"/>
      <w:numFmt w:val="none"/>
      <w:pStyle w:val="Heading8"/>
      <w:suff w:val="nothing"/>
      <w:lvlText w:val=""/>
      <w:lvlJc w:val="left"/>
      <w:pPr>
        <w:tabs>
          <w:tab w:val="num" w:pos="0"/>
        </w:tabs>
        <w:ind w:left="0" w:firstLine="0"/>
      </w:pPr>
      <w:rPr>
        <w:rFonts w:ascii="Arial" w:hAnsi="Arial" w:cs="Arial"/>
        <w:b w:val="0"/>
        <w:i/>
        <w:caps w:val="0"/>
        <w:sz w:val="24"/>
        <w:u w:val="none"/>
        <w:vertAlign w:val="baseline"/>
      </w:rPr>
    </w:lvl>
    <w:lvl w:ilvl="8">
      <w:start w:val="1"/>
      <w:numFmt w:val="none"/>
      <w:pStyle w:val="Heading9"/>
      <w:suff w:val="nothing"/>
      <w:lvlText w:val=""/>
      <w:lvlJc w:val="left"/>
      <w:pPr>
        <w:tabs>
          <w:tab w:val="num" w:pos="0"/>
        </w:tabs>
        <w:ind w:left="0" w:firstLine="0"/>
      </w:pPr>
      <w:rPr>
        <w:rFonts w:ascii="Arial" w:hAnsi="Arial" w:cs="Arial"/>
        <w:b w:val="0"/>
        <w:i/>
        <w:caps w:val="0"/>
        <w:sz w:val="24"/>
        <w:u w:val="none"/>
        <w:vertAlign w:val="baseline"/>
      </w:rPr>
    </w:lvl>
  </w:abstractNum>
  <w:abstractNum w:abstractNumId="14">
    <w:nsid w:val="33993812"/>
    <w:multiLevelType w:val="singleLevel"/>
    <w:tmpl w:val="B87E406A"/>
    <w:name w:val="WWlb2"/>
    <w:lvl w:ilvl="0">
      <w:start w:val="1"/>
      <w:numFmt w:val="decimal"/>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5">
    <w:nsid w:val="3ECE23E7"/>
    <w:multiLevelType w:val="singleLevel"/>
    <w:tmpl w:val="FE40662C"/>
    <w:name w:val="UCBH"/>
    <w:lvl w:ilvl="0">
      <w:start w:val="1"/>
      <w:numFmt w:val="lower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6">
    <w:nsid w:val="41367CA2"/>
    <w:multiLevelType w:val="singleLevel"/>
    <w:tmpl w:val="E2C2F066"/>
    <w:name w:val="WWln2"/>
    <w:lvl w:ilvl="0">
      <w:start w:val="1"/>
      <w:numFmt w:val="decimal"/>
      <w:pStyle w:val="ListNumb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7">
    <w:nsid w:val="41FE6787"/>
    <w:multiLevelType w:val="hybridMultilevel"/>
    <w:tmpl w:val="9E6887B0"/>
    <w:lvl w:ilvl="0" w:tplc="09B81E10">
      <w:start w:val="1"/>
      <w:numFmt w:val="bullet"/>
      <w:pStyle w:val="tablebullet"/>
      <w:lvlText w:val=""/>
      <w:lvlJc w:val="left"/>
      <w:pPr>
        <w:tabs>
          <w:tab w:val="num" w:pos="284"/>
        </w:tabs>
        <w:ind w:left="284" w:hanging="284"/>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nsid w:val="42783476"/>
    <w:multiLevelType w:val="singleLevel"/>
    <w:tmpl w:val="B20AD89E"/>
    <w:lvl w:ilvl="0">
      <w:start w:val="1"/>
      <w:numFmt w:val="lowerLetter"/>
      <w:pStyle w:val="ListLett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9">
    <w:nsid w:val="44D43A9F"/>
    <w:multiLevelType w:val="singleLevel"/>
    <w:tmpl w:val="476EC19E"/>
    <w:name w:val="UCBln3"/>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20">
    <w:nsid w:val="46C94076"/>
    <w:multiLevelType w:val="hybridMultilevel"/>
    <w:tmpl w:val="C1765A9E"/>
    <w:name w:val="UCBll3"/>
    <w:lvl w:ilvl="0" w:tplc="B28C1930">
      <w:start w:val="1"/>
      <w:numFmt w:val="decimal"/>
      <w:lvlText w:val="%1."/>
      <w:lvlJc w:val="left"/>
      <w:pPr>
        <w:tabs>
          <w:tab w:val="num" w:pos="360"/>
        </w:tabs>
        <w:ind w:left="360" w:hanging="360"/>
      </w:pPr>
      <w:rPr>
        <w:rFonts w:cs="Times New Roman"/>
      </w:rPr>
    </w:lvl>
    <w:lvl w:ilvl="1" w:tplc="B4EA2166">
      <w:start w:val="1"/>
      <w:numFmt w:val="lowerLetter"/>
      <w:lvlText w:val="%2."/>
      <w:lvlJc w:val="left"/>
      <w:pPr>
        <w:tabs>
          <w:tab w:val="num" w:pos="1080"/>
        </w:tabs>
        <w:ind w:left="1080" w:hanging="360"/>
      </w:pPr>
      <w:rPr>
        <w:rFonts w:cs="Times New Roman"/>
      </w:rPr>
    </w:lvl>
    <w:lvl w:ilvl="2" w:tplc="A5F061A2">
      <w:start w:val="1"/>
      <w:numFmt w:val="lowerRoman"/>
      <w:lvlText w:val="%3."/>
      <w:lvlJc w:val="right"/>
      <w:pPr>
        <w:tabs>
          <w:tab w:val="num" w:pos="1800"/>
        </w:tabs>
        <w:ind w:left="1800" w:hanging="180"/>
      </w:pPr>
      <w:rPr>
        <w:rFonts w:cs="Times New Roman"/>
      </w:rPr>
    </w:lvl>
    <w:lvl w:ilvl="3" w:tplc="E7F8D14A">
      <w:start w:val="1"/>
      <w:numFmt w:val="decimal"/>
      <w:lvlText w:val="%4."/>
      <w:lvlJc w:val="left"/>
      <w:pPr>
        <w:tabs>
          <w:tab w:val="num" w:pos="2520"/>
        </w:tabs>
        <w:ind w:left="2520" w:hanging="360"/>
      </w:pPr>
      <w:rPr>
        <w:rFonts w:cs="Times New Roman"/>
      </w:rPr>
    </w:lvl>
    <w:lvl w:ilvl="4" w:tplc="A23A23B6">
      <w:start w:val="1"/>
      <w:numFmt w:val="lowerLetter"/>
      <w:lvlText w:val="%5."/>
      <w:lvlJc w:val="left"/>
      <w:pPr>
        <w:tabs>
          <w:tab w:val="num" w:pos="3240"/>
        </w:tabs>
        <w:ind w:left="3240" w:hanging="360"/>
      </w:pPr>
      <w:rPr>
        <w:rFonts w:cs="Times New Roman"/>
      </w:rPr>
    </w:lvl>
    <w:lvl w:ilvl="5" w:tplc="7B609F18">
      <w:start w:val="1"/>
      <w:numFmt w:val="lowerRoman"/>
      <w:lvlText w:val="%6."/>
      <w:lvlJc w:val="right"/>
      <w:pPr>
        <w:tabs>
          <w:tab w:val="num" w:pos="3960"/>
        </w:tabs>
        <w:ind w:left="3960" w:hanging="180"/>
      </w:pPr>
      <w:rPr>
        <w:rFonts w:cs="Times New Roman"/>
      </w:rPr>
    </w:lvl>
    <w:lvl w:ilvl="6" w:tplc="0D5CC2E0">
      <w:start w:val="1"/>
      <w:numFmt w:val="decimal"/>
      <w:lvlText w:val="%7."/>
      <w:lvlJc w:val="left"/>
      <w:pPr>
        <w:tabs>
          <w:tab w:val="num" w:pos="4680"/>
        </w:tabs>
        <w:ind w:left="4680" w:hanging="360"/>
      </w:pPr>
      <w:rPr>
        <w:rFonts w:cs="Times New Roman"/>
      </w:rPr>
    </w:lvl>
    <w:lvl w:ilvl="7" w:tplc="9EC20A4C">
      <w:start w:val="1"/>
      <w:numFmt w:val="lowerLetter"/>
      <w:lvlText w:val="%8."/>
      <w:lvlJc w:val="left"/>
      <w:pPr>
        <w:tabs>
          <w:tab w:val="num" w:pos="5400"/>
        </w:tabs>
        <w:ind w:left="5400" w:hanging="360"/>
      </w:pPr>
      <w:rPr>
        <w:rFonts w:cs="Times New Roman"/>
      </w:rPr>
    </w:lvl>
    <w:lvl w:ilvl="8" w:tplc="81F0681C">
      <w:start w:val="1"/>
      <w:numFmt w:val="lowerRoman"/>
      <w:lvlText w:val="%9."/>
      <w:lvlJc w:val="right"/>
      <w:pPr>
        <w:tabs>
          <w:tab w:val="num" w:pos="6120"/>
        </w:tabs>
        <w:ind w:left="6120" w:hanging="180"/>
      </w:pPr>
      <w:rPr>
        <w:rFonts w:cs="Times New Roman"/>
      </w:rPr>
    </w:lvl>
  </w:abstractNum>
  <w:abstractNum w:abstractNumId="21">
    <w:nsid w:val="46E208C9"/>
    <w:multiLevelType w:val="singleLevel"/>
    <w:tmpl w:val="F43C4308"/>
    <w:name w:val="UCBtf"/>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2">
    <w:nsid w:val="473A3C54"/>
    <w:multiLevelType w:val="singleLevel"/>
    <w:tmpl w:val="18D60898"/>
    <w:name w:val="WWre"/>
    <w:lvl w:ilvl="0">
      <w:start w:val="1"/>
      <w:numFmt w:val="lowerLetter"/>
      <w:lvlText w:val="%1."/>
      <w:lvlJc w:val="left"/>
      <w:pPr>
        <w:tabs>
          <w:tab w:val="num" w:pos="720"/>
        </w:tabs>
        <w:ind w:left="720" w:hanging="360"/>
      </w:pPr>
      <w:rPr>
        <w:rFonts w:ascii="Times New Roman" w:hAnsi="Times New Roman"/>
        <w:b w:val="0"/>
        <w:i w:val="0"/>
        <w:caps w:val="0"/>
        <w:sz w:val="24"/>
        <w:u w:val="none"/>
        <w:vertAlign w:val="baseline"/>
      </w:rPr>
    </w:lvl>
  </w:abstractNum>
  <w:abstractNum w:abstractNumId="23">
    <w:nsid w:val="4AA967D8"/>
    <w:multiLevelType w:val="singleLevel"/>
    <w:tmpl w:val="5A9EC25A"/>
    <w:name w:val="WWll2"/>
    <w:lvl w:ilvl="0">
      <w:start w:val="1"/>
      <w:numFmt w:val="bullet"/>
      <w:pStyle w:val="ListBullet"/>
      <w:lvlText w:val="•"/>
      <w:lvlJc w:val="left"/>
      <w:pPr>
        <w:tabs>
          <w:tab w:val="num" w:pos="0"/>
        </w:tabs>
        <w:ind w:left="0" w:firstLine="0"/>
      </w:pPr>
      <w:rPr>
        <w:rFonts w:ascii="Times New Roman" w:hAnsi="Times New Roman" w:cs="Times New Roman"/>
        <w:b w:val="0"/>
        <w:i w:val="0"/>
        <w:caps w:val="0"/>
        <w:sz w:val="32"/>
        <w:u w:val="none"/>
        <w:vertAlign w:val="baseline"/>
      </w:rPr>
    </w:lvl>
  </w:abstractNum>
  <w:abstractNum w:abstractNumId="24">
    <w:nsid w:val="4BD914E3"/>
    <w:multiLevelType w:val="singleLevel"/>
    <w:tmpl w:val="5F2C715E"/>
    <w:name w:val="WWat"/>
    <w:lvl w:ilvl="0">
      <w:start w:val="1"/>
      <w:numFmt w:val="decimal"/>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25">
    <w:nsid w:val="50296FA4"/>
    <w:multiLevelType w:val="singleLevel"/>
    <w:tmpl w:val="070821CA"/>
    <w:name w:val="UCBlb"/>
    <w:lvl w:ilvl="0">
      <w:start w:val="1"/>
      <w:numFmt w:val="bullet"/>
      <w:lvlText w:val=""/>
      <w:lvlJc w:val="left"/>
      <w:pPr>
        <w:tabs>
          <w:tab w:val="num" w:pos="360"/>
        </w:tabs>
        <w:ind w:left="360" w:hanging="360"/>
      </w:pPr>
      <w:rPr>
        <w:rFonts w:ascii="Symbol" w:hAnsi="Symbol" w:hint="default"/>
        <w:b w:val="0"/>
        <w:i w:val="0"/>
        <w:caps w:val="0"/>
        <w:sz w:val="24"/>
        <w:u w:val="none"/>
        <w:vertAlign w:val="baseline"/>
      </w:rPr>
    </w:lvl>
  </w:abstractNum>
  <w:abstractNum w:abstractNumId="26">
    <w:nsid w:val="524C062E"/>
    <w:multiLevelType w:val="singleLevel"/>
    <w:tmpl w:val="78D60FF2"/>
    <w:lvl w:ilvl="0">
      <w:start w:val="1"/>
      <w:numFmt w:val="decimal"/>
      <w:pStyle w:val="ListNumber"/>
      <w:lvlText w:val="%1."/>
      <w:lvlJc w:val="left"/>
      <w:pPr>
        <w:tabs>
          <w:tab w:val="num" w:pos="0"/>
        </w:tabs>
        <w:ind w:left="0" w:firstLine="0"/>
      </w:pPr>
      <w:rPr>
        <w:rFonts w:ascii="Times New Roman" w:hAnsi="Times New Roman" w:cs="Times New Roman"/>
        <w:b w:val="0"/>
        <w:i w:val="0"/>
        <w:caps w:val="0"/>
        <w:sz w:val="24"/>
        <w:u w:val="none"/>
        <w:vertAlign w:val="baseline"/>
      </w:rPr>
    </w:lvl>
  </w:abstractNum>
  <w:abstractNum w:abstractNumId="27">
    <w:nsid w:val="52512908"/>
    <w:multiLevelType w:val="multilevel"/>
    <w:tmpl w:val="2A822734"/>
    <w:lvl w:ilvl="0">
      <w:start w:val="1"/>
      <w:numFmt w:val="bullet"/>
      <w:pStyle w:val="Normalbullet"/>
      <w:lvlText w:val=""/>
      <w:lvlJc w:val="left"/>
      <w:pPr>
        <w:tabs>
          <w:tab w:val="num" w:pos="284"/>
        </w:tabs>
        <w:ind w:left="284" w:hanging="284"/>
      </w:pPr>
      <w:rPr>
        <w:rFonts w:ascii="Symbol" w:hAnsi="Symbol" w:hint="default"/>
        <w:b w:val="0"/>
        <w:i w:val="0"/>
        <w:sz w:val="24"/>
        <w:u w:val="none"/>
      </w:rPr>
    </w:lvl>
    <w:lvl w:ilvl="1">
      <w:start w:val="1"/>
      <w:numFmt w:val="bullet"/>
      <w:lvlText w:val="–"/>
      <w:lvlJc w:val="left"/>
      <w:pPr>
        <w:tabs>
          <w:tab w:val="num" w:pos="567"/>
        </w:tabs>
        <w:ind w:left="567" w:hanging="283"/>
      </w:pPr>
      <w:rPr>
        <w:rFonts w:ascii="Times New Roman" w:hAnsi="Times New Roman" w:hint="default"/>
        <w:b w:val="0"/>
        <w:i w:val="0"/>
        <w:sz w:val="24"/>
      </w:rPr>
    </w:lvl>
    <w:lvl w:ilvl="2">
      <w:start w:val="1"/>
      <w:numFmt w:val="bullet"/>
      <w:lvlText w:val=""/>
      <w:lvlJc w:val="left"/>
      <w:pPr>
        <w:tabs>
          <w:tab w:val="num" w:pos="964"/>
        </w:tabs>
        <w:ind w:left="964" w:hanging="397"/>
      </w:pPr>
      <w:rPr>
        <w:rFonts w:ascii="Symbol" w:hAnsi="Symbol" w:hint="default"/>
        <w:b/>
        <w:i w:val="0"/>
        <w:sz w:val="24"/>
        <w:u w:val="none"/>
      </w:rPr>
    </w:lvl>
    <w:lvl w:ilvl="3">
      <w:start w:val="1"/>
      <w:numFmt w:val="decimal"/>
      <w:lvlText w:val="%3.%1.%2.%4"/>
      <w:lvlJc w:val="left"/>
      <w:pPr>
        <w:tabs>
          <w:tab w:val="num" w:pos="851"/>
        </w:tabs>
        <w:ind w:left="851" w:hanging="851"/>
      </w:pPr>
      <w:rPr>
        <w:rFonts w:ascii="Times New Roman" w:hAnsi="Times New Roman" w:cs="Times New Roman" w:hint="default"/>
        <w:b w:val="0"/>
        <w:i w:val="0"/>
        <w:sz w:val="24"/>
        <w:szCs w:val="24"/>
      </w:rPr>
    </w:lvl>
    <w:lvl w:ilvl="4">
      <w:start w:val="1"/>
      <w:numFmt w:val="decimal"/>
      <w:lvlText w:val="%1.%2.%3.%4.%5"/>
      <w:lvlJc w:val="left"/>
      <w:pPr>
        <w:tabs>
          <w:tab w:val="num" w:pos="1859"/>
        </w:tabs>
        <w:ind w:left="1859" w:hanging="1008"/>
      </w:pPr>
      <w:rPr>
        <w:rFonts w:cs="Times New Roman" w:hint="default"/>
      </w:rPr>
    </w:lvl>
    <w:lvl w:ilvl="5">
      <w:start w:val="1"/>
      <w:numFmt w:val="decimal"/>
      <w:lvlText w:val="%1.%2.%3.%4.%5.%6"/>
      <w:lvlJc w:val="left"/>
      <w:pPr>
        <w:tabs>
          <w:tab w:val="num" w:pos="2003"/>
        </w:tabs>
        <w:ind w:left="2003" w:hanging="1152"/>
      </w:pPr>
      <w:rPr>
        <w:rFonts w:cs="Times New Roman" w:hint="default"/>
      </w:rPr>
    </w:lvl>
    <w:lvl w:ilvl="6">
      <w:start w:val="1"/>
      <w:numFmt w:val="decimal"/>
      <w:lvlText w:val="%1.%2.%3.%4.%5.%6.%7"/>
      <w:lvlJc w:val="left"/>
      <w:pPr>
        <w:tabs>
          <w:tab w:val="num" w:pos="2147"/>
        </w:tabs>
        <w:ind w:left="2147" w:hanging="1296"/>
      </w:pPr>
      <w:rPr>
        <w:rFonts w:cs="Times New Roman" w:hint="default"/>
      </w:rPr>
    </w:lvl>
    <w:lvl w:ilvl="7">
      <w:start w:val="1"/>
      <w:numFmt w:val="decimal"/>
      <w:lvlText w:val="%1.%2.%3.%4.%5.%6.%7.%8"/>
      <w:lvlJc w:val="left"/>
      <w:pPr>
        <w:tabs>
          <w:tab w:val="num" w:pos="2291"/>
        </w:tabs>
        <w:ind w:left="2291" w:hanging="1440"/>
      </w:pPr>
      <w:rPr>
        <w:rFonts w:cs="Times New Roman" w:hint="default"/>
      </w:rPr>
    </w:lvl>
    <w:lvl w:ilvl="8">
      <w:start w:val="1"/>
      <w:numFmt w:val="decimal"/>
      <w:lvlText w:val="%1.%2.%3.%4.%5.%6.%7.%8.%9"/>
      <w:lvlJc w:val="left"/>
      <w:pPr>
        <w:tabs>
          <w:tab w:val="num" w:pos="2435"/>
        </w:tabs>
        <w:ind w:left="2435" w:hanging="1584"/>
      </w:pPr>
      <w:rPr>
        <w:rFonts w:cs="Times New Roman" w:hint="default"/>
      </w:rPr>
    </w:lvl>
  </w:abstractNum>
  <w:abstractNum w:abstractNumId="28">
    <w:nsid w:val="584C11DD"/>
    <w:multiLevelType w:val="singleLevel"/>
    <w:tmpl w:val="54187898"/>
    <w:name w:val="UCBln"/>
    <w:lvl w:ilvl="0">
      <w:start w:val="1"/>
      <w:numFmt w:val="bullet"/>
      <w:lvlText w:val="•"/>
      <w:lvlJc w:val="left"/>
      <w:pPr>
        <w:tabs>
          <w:tab w:val="num" w:pos="360"/>
        </w:tabs>
        <w:ind w:left="360" w:hanging="360"/>
      </w:pPr>
      <w:rPr>
        <w:rFonts w:ascii="Times New Roman" w:hAnsi="Times New Roman" w:cs="Times New Roman"/>
        <w:b w:val="0"/>
        <w:i w:val="0"/>
        <w:caps w:val="0"/>
        <w:sz w:val="32"/>
        <w:u w:val="none"/>
        <w:vertAlign w:val="baseline"/>
      </w:rPr>
    </w:lvl>
  </w:abstractNum>
  <w:abstractNum w:abstractNumId="29">
    <w:nsid w:val="59AB3DD7"/>
    <w:multiLevelType w:val="singleLevel"/>
    <w:tmpl w:val="DF66C9FE"/>
    <w:name w:val="WWtfl"/>
    <w:lvl w:ilvl="0">
      <w:start w:val="1"/>
      <w:numFmt w:val="bullet"/>
      <w:pStyle w:val="ListBullet3"/>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30">
    <w:nsid w:val="60B55533"/>
    <w:multiLevelType w:val="hybridMultilevel"/>
    <w:tmpl w:val="99CA5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28C6145"/>
    <w:multiLevelType w:val="singleLevel"/>
    <w:tmpl w:val="FC0C264C"/>
    <w:name w:val="UCBlb3"/>
    <w:lvl w:ilvl="0">
      <w:start w:val="1"/>
      <w:numFmt w:val="lowerLetter"/>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2">
    <w:nsid w:val="645311DA"/>
    <w:multiLevelType w:val="multilevel"/>
    <w:tmpl w:val="0409001F"/>
    <w:name w:val="WWll"/>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33">
    <w:nsid w:val="69C321DE"/>
    <w:multiLevelType w:val="singleLevel"/>
    <w:tmpl w:val="A5565786"/>
    <w:name w:val="UCBre"/>
    <w:lvl w:ilvl="0">
      <w:start w:val="1"/>
      <w:numFmt w:val="lowerLetter"/>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34">
    <w:nsid w:val="6CD50258"/>
    <w:multiLevelType w:val="hybridMultilevel"/>
    <w:tmpl w:val="193C6D12"/>
    <w:lvl w:ilvl="0" w:tplc="D1C877F2">
      <w:start w:val="1"/>
      <w:numFmt w:val="bullet"/>
      <w:pStyle w:val="tablettextbullet"/>
      <w:lvlText w:val=""/>
      <w:lvlJc w:val="left"/>
      <w:pPr>
        <w:tabs>
          <w:tab w:val="num" w:pos="142"/>
        </w:tabs>
        <w:ind w:left="142" w:hanging="142"/>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5">
    <w:nsid w:val="7CF636AF"/>
    <w:multiLevelType w:val="hybridMultilevel"/>
    <w:tmpl w:val="322058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nsid w:val="7F6E681C"/>
    <w:multiLevelType w:val="singleLevel"/>
    <w:tmpl w:val="B3D227BE"/>
    <w:lvl w:ilvl="0">
      <w:start w:val="1"/>
      <w:numFmt w:val="lowerLetter"/>
      <w:pStyle w:val="List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7">
    <w:nsid w:val="7F9E1DB4"/>
    <w:multiLevelType w:val="singleLevel"/>
    <w:tmpl w:val="67BC1C50"/>
    <w:lvl w:ilvl="0">
      <w:start w:val="1"/>
      <w:numFmt w:val="bullet"/>
      <w:pStyle w:val="ListBullet2"/>
      <w:lvlText w:val="-"/>
      <w:lvlJc w:val="left"/>
      <w:pPr>
        <w:tabs>
          <w:tab w:val="num" w:pos="720"/>
        </w:tabs>
        <w:ind w:left="720" w:hanging="360"/>
      </w:pPr>
      <w:rPr>
        <w:rFonts w:ascii="Times New Roman" w:hAnsi="Times New Roman" w:cs="Times New Roman"/>
        <w:b w:val="0"/>
        <w:i w:val="0"/>
        <w:caps w:val="0"/>
        <w:sz w:val="24"/>
        <w:u w:val="none"/>
        <w:vertAlign w:val="baseline"/>
      </w:rPr>
    </w:lvl>
  </w:abstractNum>
  <w:num w:numId="1">
    <w:abstractNumId w:val="37"/>
  </w:num>
  <w:num w:numId="2">
    <w:abstractNumId w:val="29"/>
  </w:num>
  <w:num w:numId="3">
    <w:abstractNumId w:val="23"/>
  </w:num>
  <w:num w:numId="4">
    <w:abstractNumId w:val="26"/>
  </w:num>
  <w:num w:numId="5">
    <w:abstractNumId w:val="2"/>
  </w:num>
  <w:num w:numId="6">
    <w:abstractNumId w:val="7"/>
  </w:num>
  <w:num w:numId="7">
    <w:abstractNumId w:val="16"/>
  </w:num>
  <w:num w:numId="8">
    <w:abstractNumId w:val="36"/>
  </w:num>
  <w:num w:numId="9">
    <w:abstractNumId w:val="4"/>
  </w:num>
  <w:num w:numId="10">
    <w:abstractNumId w:val="18"/>
  </w:num>
  <w:num w:numId="11">
    <w:abstractNumId w:val="31"/>
  </w:num>
  <w:num w:numId="12">
    <w:abstractNumId w:val="19"/>
  </w:num>
  <w:num w:numId="13">
    <w:abstractNumId w:val="10"/>
  </w:num>
  <w:num w:numId="14">
    <w:abstractNumId w:val="13"/>
  </w:num>
  <w:num w:numId="15">
    <w:abstractNumId w:val="27"/>
  </w:num>
  <w:num w:numId="16">
    <w:abstractNumId w:val="17"/>
  </w:num>
  <w:num w:numId="17">
    <w:abstractNumId w:val="34"/>
  </w:num>
  <w:num w:numId="18">
    <w:abstractNumId w:val="3"/>
  </w:num>
  <w:num w:numId="19">
    <w:abstractNumId w:val="13"/>
  </w:num>
  <w:num w:numId="20">
    <w:abstractNumId w:val="13"/>
  </w:num>
  <w:num w:numId="21">
    <w:abstractNumId w:val="13"/>
  </w:num>
  <w:num w:numId="22">
    <w:abstractNumId w:val="13"/>
  </w:num>
  <w:num w:numId="23">
    <w:abstractNumId w:val="30"/>
  </w:num>
  <w:num w:numId="24">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6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pendixPageHiding" w:val="0"/>
    <w:docVar w:name="CaptionIndent" w:val="1"/>
    <w:docVar w:name="CaptionNumberMethod" w:val="3"/>
    <w:docVar w:name="CaptionSeparator" w:val="2"/>
    <w:docVar w:name="CaptionStyle" w:val="0"/>
    <w:docVar w:name="CitationStyle" w:val="3"/>
    <w:docVar w:name="ContentTemplate" w:val="0"/>
    <w:docVar w:name="CurrentVersion" w:val="2.1"/>
    <w:docVar w:name="CustomBullet" w:val="CustomType-Bullet|StyleName-List Bullet 2|Code-UCB|Suffix-lb2|ListName-UCB|NumberStyle-23|IndentValue- 0|ParaStyleName--55|IsSuperscripted-False|BulletCharacter-45|FontSize-|;CustomType-Bullet|StyleName-List Bullet 3|Code-UCB|Suffix-lb3|ListName-UCB|NumberStyle-23|IndentValue- 0|ParaStyleName--56|IsSuperscripted-False|BulletCharacter-9702|FontSize-|;CustomType-Bullet|StyleName-List Bullet|Code-UCB|Suffix-lb|ListName-UCB|NumberStyle-23|IndentValue- 0|ParaStyleName--49|IsSuperscripted-False|BulletCharacter-8226|FontSize-16|;"/>
    <w:docVar w:name="CustomListTemplate" w:val="UCB"/>
    <w:docVar w:name="CustomNumber" w:val="CustomType-Number|StyleName-List Number|Code-UCB|Suffix-ln|ListName-UCB|NumberStyle-0|IndentValue- 0|ParaStyleName--50|PictureString-1, 2, 3|CustomFormat-%1.|Separator-0|Superscript-False|StartAt-1|;CustomType-Number|StyleName-Appendix|Code-UCB|Suffix-at|ListName-UCB|NumberStyle-0|IndentValue- 0|ParaStyleName-Appendix|PictureString-1, 2, 3|CustomFormat-Appendix %1|Separator-0|Superscript-False|StartAt-1|;CustomType-Number|StyleName-List Number 2|Code-UCB|Suffix-ln2|ListName-UCB|NumberStyle-0|IndentValue- 0|ParaStyleName--59|PictureString-1, 2, 3|CustomFormat-%1.|Separator-0|Superscript-False|StartAt-1|;CustomType-Number|StyleName-List Number 3|Code-UCB|Suffix-ln3|ListName-UCB|NumberStyle-0|IndentValue- 0|ParaStyleName--60|PictureString-1, 2, 3|CustomFormat-%1.|Separator-0|Superscript-False|StartAt-1|;CustomType-Number|StyleName-List Letter|Code-UCB|Suffix-ll|ListName-UCB|NumberStyle-4|IndentValue- 0|ParaStyleName-List Letter|PictureString-a, b, c|CustomFormat-%1.|Separator-0|Superscript-False|StartAt-1|;CustomType-Number|StyleName-List Letter 2|Code-UCB|Suffix-ll2|ListName-UCB|NumberStyle-4|IndentValue- 0|ParaStyleName-List Letter 2|PictureString-a, b, c|CustomFormat-%1.|Separator-0|Superscript-False|StartAt-1|;CustomType-Number|StyleName-List Letter 3|Code-UCB|Suffix-ll3|ListName-UCB|NumberStyle-4|IndentValue- 0|ParaStyleName-List Letter 3|PictureString-a, b, c|CustomFormat-%1.|Separator-0|Superscript-False|StartAt-1|;CustomType-Number|StyleName-References|Code-UCB|Suffix-re|ListName-UCB|NumberStyle-4|IndentValue- 0|ParaStyleName-References|PictureString-a, b, c|CustomFormat-%1.|Separator-0|Superscript-False|StartAt-1|;CustomType-Number|StyleName-Table Footnote|Code-UCB|Suffix-tf|ListName-UCB|NumberStyle-0|IndentValue- 0|ParaStyleName-Table Footnote|PictureString-1, 2, 3|CustomFormat-%1.|Separator-0|Superscript-True|StartAt-1|;CustomType-Number|StyleName-Table Footnote Letter|Code-UCB|Suffix-tfl|ListName-UCB|NumberStyle-4|IndentValue- 0|ParaStyleName-Table Footnote Letter|PictureString-a, b, c|CustomFormat-%1.|Separator-0|Superscript-True|StartAt-1|;"/>
    <w:docVar w:name="CustomOutline" w:val="CustomType-Outline|StyleName-Heading 1|Code-UCB|Suffix-H|ListName-UCB|NumberStyle-0|IndentValue- 0|ParaStyleName--2|LinkLevel-1|PictureString-1, 2, 3|CustomFormat-%1|FontName-|StartAt-1|IsLegal-False|NumberPosition-Left|;CustomType-Outline|StyleName-Heading 3|Code-UCB|Suffix-H|ListName-UCB|NumberStyle-0|IndentValue- 0|ParaStyleName--4|LinkLevel-3|PictureString-1, 2, 3|CustomFormat-%1.%2.%3|FontName-|StartAt-1|IsLegal-False|NumberPosition-Left|;CustomType-Outline|StyleName-Heading 2|Code-UCB|Suffix-H|ListName-UCB|NumberStyle-0|IndentValue- 0|ParaStyleName--3|LinkLevel-2|PictureString-1, 2, 3|CustomFormat-%1.%2|FontName-|StartAt-1|IsLegal-False|NumberPosition-Left|;CustomType-Outline|StyleName-Heading 4|Code-UCB|Suffix-H|ListName-UCB|NumberStyle-0|IndentValue- 0|ParaStyleName--5|LinkLevel-4|PictureString-1, 2, 3|CustomFormat-%1.%2.%3.%4|FontName-|StartAt-1|IsLegal-False|NumberPosition-Left|;CustomType-Outline|StyleName-Heading 5|Code-UCB|Suffix-H|ListName-UCB|NumberStyle-0|IndentValue- 0|ParaStyleName--6|LinkLevel-5|PictureString-1, 2, 3|CustomFormat-%1.%2.%3.%4.%5|FontName-|StartAt-1|IsLegal-False|NumberPosition-Left|;CustomType-Outline|StyleName-Heading 6|Code-UCB|Suffix-H|ListName-UCB|NumberStyle-0|IndentValue- 0|ParaStyleName--7|LinkLevel-6|PictureString-1, 2, 3|CustomFormat-%1.%2.%3.%4.%5.%6|FontName-|StartAt-1|IsLegal-False|NumberPosition-Left|;CustomType-Outline|StyleName-Heading 7|Code-UCB|Suffix-H|ListName-UCB|NumberStyle-0|IndentValue- 0|ParaStyleName--8|LinkLevel-7|PictureString-1, 2, 3|CustomFormat-%1.%2.%3.%4.%5.%6.%7|FontName-|StartAt-1|IsLegal-False|NumberPosition-Left|;CustomType-Outline|StyleName-Heading 8|Code-UCB|Suffix-H|ListName-UCB|NumberStyle-0|IndentValue- 0|ParaStyleName--9|LinkLevel-8|PictureString-1, 2, 3|CustomFormat-%1.%2.%3.%4.%5.%6.%7.%8|FontName-|StartAt-1|IsLegal-False|NumberPosition-Left|;CustomType-Outline|StyleName-Heading 9|Code-UCB|Suffix-H|ListName-UCB|NumberStyle-0|IndentValue- 0|ParaStyleName--10|LinkLevel-9|PictureString-1, 2, 3|CustomFormat-%1.%2.%3.%4.%5.%6.%7.%8.%9|FontName-|StartAt-1|IsLegal-False|NumberPosition-Left|;"/>
    <w:docVar w:name="DateFormat" w:val="dd-mmm-yyyy"/>
    <w:docVar w:name="DefaultTableFont" w:val="Times New Roman"/>
    <w:docVar w:name="DefaultTableFontSize" w:val="10"/>
    <w:docVar w:name="DefaultTableMajLineType" w:val="1"/>
    <w:docVar w:name="DefaultTableMinLineType" w:val="1"/>
    <w:docVar w:name="FieldList" w:val="Title+M|DocumentType;Document Type+T|Product;Product Name|Sponsor|"/>
    <w:docVar w:name="FigureCaptionAbove" w:val="1"/>
    <w:docVar w:name="HeaderType" w:val="0"/>
    <w:docVar w:name="HeadingLevels" w:val="4"/>
    <w:docVar w:name="IsCustomized" w:val="YES"/>
    <w:docVar w:name="KeepSCT" w:val="0"/>
    <w:docVar w:name="PromptInformation" w:val="Allow"/>
    <w:docVar w:name="RefListStyle" w:val="2"/>
    <w:docVar w:name="SiteTemplate" w:val="M:\Sites\Braine\Netapps\ISIWriter\PRD\ISIWriter Site Template.doc"/>
    <w:docVar w:name="SuppressPrefix" w:val="0"/>
    <w:docVar w:name="TableAlign" w:val="2"/>
    <w:docVar w:name="TableFootnoteType" w:val="Letter"/>
    <w:docVar w:name="TableGridOption" w:val="FullGrid"/>
    <w:docVar w:name="TOCLevels" w:val="4"/>
  </w:docVars>
  <w:rsids>
    <w:rsidRoot w:val="0075516B"/>
    <w:rsid w:val="00000390"/>
    <w:rsid w:val="0000066C"/>
    <w:rsid w:val="000009C6"/>
    <w:rsid w:val="00000AB8"/>
    <w:rsid w:val="00000E31"/>
    <w:rsid w:val="00001068"/>
    <w:rsid w:val="0000106C"/>
    <w:rsid w:val="00001265"/>
    <w:rsid w:val="000017E4"/>
    <w:rsid w:val="00001B76"/>
    <w:rsid w:val="00001C6A"/>
    <w:rsid w:val="00002773"/>
    <w:rsid w:val="00003911"/>
    <w:rsid w:val="00003D84"/>
    <w:rsid w:val="00004443"/>
    <w:rsid w:val="0000498B"/>
    <w:rsid w:val="00004C15"/>
    <w:rsid w:val="00004CBD"/>
    <w:rsid w:val="00004F14"/>
    <w:rsid w:val="00005AD2"/>
    <w:rsid w:val="00007AB7"/>
    <w:rsid w:val="00010606"/>
    <w:rsid w:val="000109FE"/>
    <w:rsid w:val="00010D91"/>
    <w:rsid w:val="000125AC"/>
    <w:rsid w:val="00012ACF"/>
    <w:rsid w:val="00013262"/>
    <w:rsid w:val="000132D5"/>
    <w:rsid w:val="0001376D"/>
    <w:rsid w:val="000139A1"/>
    <w:rsid w:val="0001453B"/>
    <w:rsid w:val="00014597"/>
    <w:rsid w:val="00014D42"/>
    <w:rsid w:val="00014F03"/>
    <w:rsid w:val="000152DC"/>
    <w:rsid w:val="00015857"/>
    <w:rsid w:val="00015D7B"/>
    <w:rsid w:val="00015E11"/>
    <w:rsid w:val="00016C34"/>
    <w:rsid w:val="00016CC2"/>
    <w:rsid w:val="00017487"/>
    <w:rsid w:val="00017A0A"/>
    <w:rsid w:val="00017B83"/>
    <w:rsid w:val="00017F58"/>
    <w:rsid w:val="000201FE"/>
    <w:rsid w:val="0002067A"/>
    <w:rsid w:val="000206AE"/>
    <w:rsid w:val="00020851"/>
    <w:rsid w:val="000208B3"/>
    <w:rsid w:val="000209AF"/>
    <w:rsid w:val="00021AE9"/>
    <w:rsid w:val="00021C81"/>
    <w:rsid w:val="00021EE7"/>
    <w:rsid w:val="000231D5"/>
    <w:rsid w:val="0002354A"/>
    <w:rsid w:val="00023BB2"/>
    <w:rsid w:val="00023BCA"/>
    <w:rsid w:val="00023D64"/>
    <w:rsid w:val="00024284"/>
    <w:rsid w:val="000245E9"/>
    <w:rsid w:val="0002475A"/>
    <w:rsid w:val="00024B02"/>
    <w:rsid w:val="00024DDC"/>
    <w:rsid w:val="0002502B"/>
    <w:rsid w:val="00025089"/>
    <w:rsid w:val="0002663F"/>
    <w:rsid w:val="000278E6"/>
    <w:rsid w:val="0002795E"/>
    <w:rsid w:val="00027A06"/>
    <w:rsid w:val="000303FB"/>
    <w:rsid w:val="00030802"/>
    <w:rsid w:val="0003132F"/>
    <w:rsid w:val="00031B73"/>
    <w:rsid w:val="00031F6E"/>
    <w:rsid w:val="000323F5"/>
    <w:rsid w:val="00032EDC"/>
    <w:rsid w:val="000330FE"/>
    <w:rsid w:val="0003325F"/>
    <w:rsid w:val="00033DDF"/>
    <w:rsid w:val="00035A09"/>
    <w:rsid w:val="00035A77"/>
    <w:rsid w:val="00035DF7"/>
    <w:rsid w:val="00035F2B"/>
    <w:rsid w:val="000360BF"/>
    <w:rsid w:val="000361E9"/>
    <w:rsid w:val="00036A59"/>
    <w:rsid w:val="00036F39"/>
    <w:rsid w:val="00037770"/>
    <w:rsid w:val="00037D64"/>
    <w:rsid w:val="00040472"/>
    <w:rsid w:val="00040604"/>
    <w:rsid w:val="00040D66"/>
    <w:rsid w:val="00040F70"/>
    <w:rsid w:val="0004249C"/>
    <w:rsid w:val="0004258F"/>
    <w:rsid w:val="00042C22"/>
    <w:rsid w:val="00042CF9"/>
    <w:rsid w:val="0004357F"/>
    <w:rsid w:val="0004379E"/>
    <w:rsid w:val="00043CF9"/>
    <w:rsid w:val="000443F9"/>
    <w:rsid w:val="0004467B"/>
    <w:rsid w:val="00045F15"/>
    <w:rsid w:val="000477D9"/>
    <w:rsid w:val="00050198"/>
    <w:rsid w:val="00050D3C"/>
    <w:rsid w:val="00050ED7"/>
    <w:rsid w:val="000511BB"/>
    <w:rsid w:val="00051EBF"/>
    <w:rsid w:val="00051FBF"/>
    <w:rsid w:val="000529EA"/>
    <w:rsid w:val="00052EE9"/>
    <w:rsid w:val="000530CB"/>
    <w:rsid w:val="00053143"/>
    <w:rsid w:val="000536E7"/>
    <w:rsid w:val="000538B2"/>
    <w:rsid w:val="000538D6"/>
    <w:rsid w:val="00053C00"/>
    <w:rsid w:val="0005403F"/>
    <w:rsid w:val="00054265"/>
    <w:rsid w:val="00054A38"/>
    <w:rsid w:val="00054FB1"/>
    <w:rsid w:val="0005519F"/>
    <w:rsid w:val="0005555A"/>
    <w:rsid w:val="00055A94"/>
    <w:rsid w:val="00055F32"/>
    <w:rsid w:val="000562C4"/>
    <w:rsid w:val="00056659"/>
    <w:rsid w:val="000568CB"/>
    <w:rsid w:val="00056E73"/>
    <w:rsid w:val="00057258"/>
    <w:rsid w:val="0005733D"/>
    <w:rsid w:val="000573F9"/>
    <w:rsid w:val="0005768C"/>
    <w:rsid w:val="0005780D"/>
    <w:rsid w:val="00057F2E"/>
    <w:rsid w:val="00060EE0"/>
    <w:rsid w:val="00061027"/>
    <w:rsid w:val="000613C1"/>
    <w:rsid w:val="00061704"/>
    <w:rsid w:val="0006302D"/>
    <w:rsid w:val="000642A7"/>
    <w:rsid w:val="00064364"/>
    <w:rsid w:val="0006541F"/>
    <w:rsid w:val="00065D03"/>
    <w:rsid w:val="00066B47"/>
    <w:rsid w:val="00066C06"/>
    <w:rsid w:val="00066D4A"/>
    <w:rsid w:val="00066E7A"/>
    <w:rsid w:val="000671F2"/>
    <w:rsid w:val="00067810"/>
    <w:rsid w:val="00067C5F"/>
    <w:rsid w:val="000708C0"/>
    <w:rsid w:val="00071C2D"/>
    <w:rsid w:val="00072413"/>
    <w:rsid w:val="0007265D"/>
    <w:rsid w:val="0007402E"/>
    <w:rsid w:val="00074089"/>
    <w:rsid w:val="000742EA"/>
    <w:rsid w:val="00074359"/>
    <w:rsid w:val="00074E99"/>
    <w:rsid w:val="0007566C"/>
    <w:rsid w:val="000769F0"/>
    <w:rsid w:val="00076C2D"/>
    <w:rsid w:val="00077087"/>
    <w:rsid w:val="000770D3"/>
    <w:rsid w:val="00077591"/>
    <w:rsid w:val="00077AAB"/>
    <w:rsid w:val="00077D70"/>
    <w:rsid w:val="0008021D"/>
    <w:rsid w:val="00080958"/>
    <w:rsid w:val="00080B2B"/>
    <w:rsid w:val="00080BC3"/>
    <w:rsid w:val="00080CD1"/>
    <w:rsid w:val="000814EC"/>
    <w:rsid w:val="00082297"/>
    <w:rsid w:val="000824F2"/>
    <w:rsid w:val="00082968"/>
    <w:rsid w:val="00082F10"/>
    <w:rsid w:val="000832D6"/>
    <w:rsid w:val="0008444D"/>
    <w:rsid w:val="0008478A"/>
    <w:rsid w:val="0008491F"/>
    <w:rsid w:val="0008497A"/>
    <w:rsid w:val="00084CD5"/>
    <w:rsid w:val="00085176"/>
    <w:rsid w:val="000853B7"/>
    <w:rsid w:val="000854A9"/>
    <w:rsid w:val="00085BB4"/>
    <w:rsid w:val="00085D33"/>
    <w:rsid w:val="0008641E"/>
    <w:rsid w:val="000909A1"/>
    <w:rsid w:val="00090E1B"/>
    <w:rsid w:val="00091075"/>
    <w:rsid w:val="000910AC"/>
    <w:rsid w:val="00091533"/>
    <w:rsid w:val="00091953"/>
    <w:rsid w:val="00092C87"/>
    <w:rsid w:val="00092D43"/>
    <w:rsid w:val="00093279"/>
    <w:rsid w:val="000949DC"/>
    <w:rsid w:val="00095252"/>
    <w:rsid w:val="00095AD5"/>
    <w:rsid w:val="00095F10"/>
    <w:rsid w:val="00096AE1"/>
    <w:rsid w:val="000970E9"/>
    <w:rsid w:val="00097357"/>
    <w:rsid w:val="000973A4"/>
    <w:rsid w:val="000977CA"/>
    <w:rsid w:val="00097D62"/>
    <w:rsid w:val="000A026E"/>
    <w:rsid w:val="000A0679"/>
    <w:rsid w:val="000A0D13"/>
    <w:rsid w:val="000A162A"/>
    <w:rsid w:val="000A1755"/>
    <w:rsid w:val="000A17A0"/>
    <w:rsid w:val="000A1810"/>
    <w:rsid w:val="000A1BEB"/>
    <w:rsid w:val="000A24D5"/>
    <w:rsid w:val="000A5682"/>
    <w:rsid w:val="000A5732"/>
    <w:rsid w:val="000A5BF2"/>
    <w:rsid w:val="000A66FB"/>
    <w:rsid w:val="000B018D"/>
    <w:rsid w:val="000B026B"/>
    <w:rsid w:val="000B0277"/>
    <w:rsid w:val="000B04C5"/>
    <w:rsid w:val="000B052B"/>
    <w:rsid w:val="000B091E"/>
    <w:rsid w:val="000B0A61"/>
    <w:rsid w:val="000B119E"/>
    <w:rsid w:val="000B13AD"/>
    <w:rsid w:val="000B1E52"/>
    <w:rsid w:val="000B2587"/>
    <w:rsid w:val="000B294C"/>
    <w:rsid w:val="000B2E27"/>
    <w:rsid w:val="000B365E"/>
    <w:rsid w:val="000B493F"/>
    <w:rsid w:val="000B4EB4"/>
    <w:rsid w:val="000B51D1"/>
    <w:rsid w:val="000B5706"/>
    <w:rsid w:val="000B579F"/>
    <w:rsid w:val="000B5909"/>
    <w:rsid w:val="000B5AA4"/>
    <w:rsid w:val="000B6158"/>
    <w:rsid w:val="000B6770"/>
    <w:rsid w:val="000B6DAF"/>
    <w:rsid w:val="000B6DFB"/>
    <w:rsid w:val="000B7D9C"/>
    <w:rsid w:val="000C09B9"/>
    <w:rsid w:val="000C1817"/>
    <w:rsid w:val="000C2146"/>
    <w:rsid w:val="000C2EA6"/>
    <w:rsid w:val="000C3545"/>
    <w:rsid w:val="000C437F"/>
    <w:rsid w:val="000C4771"/>
    <w:rsid w:val="000C47AE"/>
    <w:rsid w:val="000C48C3"/>
    <w:rsid w:val="000C4BE0"/>
    <w:rsid w:val="000C53D8"/>
    <w:rsid w:val="000C5604"/>
    <w:rsid w:val="000C5B2B"/>
    <w:rsid w:val="000C5B87"/>
    <w:rsid w:val="000C5CBD"/>
    <w:rsid w:val="000C6227"/>
    <w:rsid w:val="000C7161"/>
    <w:rsid w:val="000C718B"/>
    <w:rsid w:val="000C756F"/>
    <w:rsid w:val="000C7656"/>
    <w:rsid w:val="000C7720"/>
    <w:rsid w:val="000C7D7D"/>
    <w:rsid w:val="000D0392"/>
    <w:rsid w:val="000D0434"/>
    <w:rsid w:val="000D0874"/>
    <w:rsid w:val="000D0FEF"/>
    <w:rsid w:val="000D116B"/>
    <w:rsid w:val="000D14D2"/>
    <w:rsid w:val="000D161C"/>
    <w:rsid w:val="000D1715"/>
    <w:rsid w:val="000D1A31"/>
    <w:rsid w:val="000D1E07"/>
    <w:rsid w:val="000D1FEE"/>
    <w:rsid w:val="000D2816"/>
    <w:rsid w:val="000D2C94"/>
    <w:rsid w:val="000D2D1C"/>
    <w:rsid w:val="000D2D94"/>
    <w:rsid w:val="000D3AE3"/>
    <w:rsid w:val="000D4514"/>
    <w:rsid w:val="000D470C"/>
    <w:rsid w:val="000D4848"/>
    <w:rsid w:val="000D4D67"/>
    <w:rsid w:val="000D52C6"/>
    <w:rsid w:val="000D55E4"/>
    <w:rsid w:val="000D5622"/>
    <w:rsid w:val="000D58D8"/>
    <w:rsid w:val="000D5FDD"/>
    <w:rsid w:val="000D777A"/>
    <w:rsid w:val="000D78AF"/>
    <w:rsid w:val="000E003B"/>
    <w:rsid w:val="000E03C1"/>
    <w:rsid w:val="000E0C7B"/>
    <w:rsid w:val="000E0D2F"/>
    <w:rsid w:val="000E0FCD"/>
    <w:rsid w:val="000E1523"/>
    <w:rsid w:val="000E265B"/>
    <w:rsid w:val="000E276D"/>
    <w:rsid w:val="000E36D7"/>
    <w:rsid w:val="000E3C75"/>
    <w:rsid w:val="000E444E"/>
    <w:rsid w:val="000E45AB"/>
    <w:rsid w:val="000E475A"/>
    <w:rsid w:val="000E4EEA"/>
    <w:rsid w:val="000E52EB"/>
    <w:rsid w:val="000E57A4"/>
    <w:rsid w:val="000E6907"/>
    <w:rsid w:val="000E698F"/>
    <w:rsid w:val="000E6CEC"/>
    <w:rsid w:val="000E7163"/>
    <w:rsid w:val="000E7579"/>
    <w:rsid w:val="000E794A"/>
    <w:rsid w:val="000F1585"/>
    <w:rsid w:val="000F1873"/>
    <w:rsid w:val="000F20AE"/>
    <w:rsid w:val="000F264E"/>
    <w:rsid w:val="000F38A4"/>
    <w:rsid w:val="000F3A4D"/>
    <w:rsid w:val="000F3E60"/>
    <w:rsid w:val="000F3EB1"/>
    <w:rsid w:val="000F3FDF"/>
    <w:rsid w:val="000F4388"/>
    <w:rsid w:val="000F47D9"/>
    <w:rsid w:val="000F49B3"/>
    <w:rsid w:val="000F49B8"/>
    <w:rsid w:val="000F4A88"/>
    <w:rsid w:val="000F535D"/>
    <w:rsid w:val="000F646D"/>
    <w:rsid w:val="000F76B4"/>
    <w:rsid w:val="000F7E97"/>
    <w:rsid w:val="00100299"/>
    <w:rsid w:val="001005B6"/>
    <w:rsid w:val="001006E2"/>
    <w:rsid w:val="00101B8D"/>
    <w:rsid w:val="00101DE8"/>
    <w:rsid w:val="0010212D"/>
    <w:rsid w:val="001042C5"/>
    <w:rsid w:val="001042E1"/>
    <w:rsid w:val="00104E8C"/>
    <w:rsid w:val="00105889"/>
    <w:rsid w:val="00105B63"/>
    <w:rsid w:val="00105BEE"/>
    <w:rsid w:val="0010606D"/>
    <w:rsid w:val="001061C5"/>
    <w:rsid w:val="00106796"/>
    <w:rsid w:val="001068A9"/>
    <w:rsid w:val="0010695A"/>
    <w:rsid w:val="00107080"/>
    <w:rsid w:val="00107709"/>
    <w:rsid w:val="00107817"/>
    <w:rsid w:val="00107E09"/>
    <w:rsid w:val="00107E32"/>
    <w:rsid w:val="001100CC"/>
    <w:rsid w:val="0011058A"/>
    <w:rsid w:val="00110BFA"/>
    <w:rsid w:val="00111636"/>
    <w:rsid w:val="0011167D"/>
    <w:rsid w:val="001117A3"/>
    <w:rsid w:val="00111FB7"/>
    <w:rsid w:val="001126F0"/>
    <w:rsid w:val="001127AD"/>
    <w:rsid w:val="0011291C"/>
    <w:rsid w:val="00112A1E"/>
    <w:rsid w:val="00112EFD"/>
    <w:rsid w:val="00113673"/>
    <w:rsid w:val="0011392C"/>
    <w:rsid w:val="001139F1"/>
    <w:rsid w:val="00113ED5"/>
    <w:rsid w:val="00113F42"/>
    <w:rsid w:val="0011536E"/>
    <w:rsid w:val="001155F6"/>
    <w:rsid w:val="0011564D"/>
    <w:rsid w:val="001169FC"/>
    <w:rsid w:val="00116ECF"/>
    <w:rsid w:val="00117D5D"/>
    <w:rsid w:val="00117E9A"/>
    <w:rsid w:val="00117FDB"/>
    <w:rsid w:val="00120767"/>
    <w:rsid w:val="00121289"/>
    <w:rsid w:val="0012148F"/>
    <w:rsid w:val="001219A0"/>
    <w:rsid w:val="00121D79"/>
    <w:rsid w:val="00121F79"/>
    <w:rsid w:val="001228F8"/>
    <w:rsid w:val="00122A06"/>
    <w:rsid w:val="0012308F"/>
    <w:rsid w:val="001232D2"/>
    <w:rsid w:val="0012361F"/>
    <w:rsid w:val="0012384E"/>
    <w:rsid w:val="00123ABF"/>
    <w:rsid w:val="00123FDF"/>
    <w:rsid w:val="00124587"/>
    <w:rsid w:val="00125F76"/>
    <w:rsid w:val="0012689C"/>
    <w:rsid w:val="001268B0"/>
    <w:rsid w:val="00126F11"/>
    <w:rsid w:val="00127356"/>
    <w:rsid w:val="0012770F"/>
    <w:rsid w:val="00130B8B"/>
    <w:rsid w:val="001314C2"/>
    <w:rsid w:val="001317A2"/>
    <w:rsid w:val="00131AAA"/>
    <w:rsid w:val="00131AC3"/>
    <w:rsid w:val="00131FFF"/>
    <w:rsid w:val="00132221"/>
    <w:rsid w:val="00132890"/>
    <w:rsid w:val="00132FD9"/>
    <w:rsid w:val="00133485"/>
    <w:rsid w:val="001336DA"/>
    <w:rsid w:val="001340B2"/>
    <w:rsid w:val="0013427A"/>
    <w:rsid w:val="001345EB"/>
    <w:rsid w:val="00134620"/>
    <w:rsid w:val="00135753"/>
    <w:rsid w:val="001366A6"/>
    <w:rsid w:val="00136C91"/>
    <w:rsid w:val="001375B6"/>
    <w:rsid w:val="0013763C"/>
    <w:rsid w:val="00140BC6"/>
    <w:rsid w:val="00140E94"/>
    <w:rsid w:val="001415F9"/>
    <w:rsid w:val="001425A7"/>
    <w:rsid w:val="00142705"/>
    <w:rsid w:val="00142A0A"/>
    <w:rsid w:val="00142C55"/>
    <w:rsid w:val="00142F51"/>
    <w:rsid w:val="0014383C"/>
    <w:rsid w:val="001439AB"/>
    <w:rsid w:val="001441C9"/>
    <w:rsid w:val="0014470E"/>
    <w:rsid w:val="0014479F"/>
    <w:rsid w:val="00144909"/>
    <w:rsid w:val="00144C47"/>
    <w:rsid w:val="00144E0D"/>
    <w:rsid w:val="001459B6"/>
    <w:rsid w:val="00145A3B"/>
    <w:rsid w:val="00145EC1"/>
    <w:rsid w:val="0014650F"/>
    <w:rsid w:val="001468F0"/>
    <w:rsid w:val="001477CB"/>
    <w:rsid w:val="00147F51"/>
    <w:rsid w:val="001503C5"/>
    <w:rsid w:val="00151260"/>
    <w:rsid w:val="001520BF"/>
    <w:rsid w:val="00153B01"/>
    <w:rsid w:val="00153FE0"/>
    <w:rsid w:val="00154011"/>
    <w:rsid w:val="00154238"/>
    <w:rsid w:val="001547EB"/>
    <w:rsid w:val="0015485C"/>
    <w:rsid w:val="00154A0F"/>
    <w:rsid w:val="00154BC3"/>
    <w:rsid w:val="00154D73"/>
    <w:rsid w:val="00155678"/>
    <w:rsid w:val="00155A50"/>
    <w:rsid w:val="00155B1F"/>
    <w:rsid w:val="00155E2E"/>
    <w:rsid w:val="00156CF7"/>
    <w:rsid w:val="00157334"/>
    <w:rsid w:val="00157D2A"/>
    <w:rsid w:val="001609DE"/>
    <w:rsid w:val="00161305"/>
    <w:rsid w:val="00161BD1"/>
    <w:rsid w:val="00162001"/>
    <w:rsid w:val="001620F0"/>
    <w:rsid w:val="0016335A"/>
    <w:rsid w:val="001636BC"/>
    <w:rsid w:val="00163B7C"/>
    <w:rsid w:val="00164082"/>
    <w:rsid w:val="0016464E"/>
    <w:rsid w:val="00164857"/>
    <w:rsid w:val="00164C1B"/>
    <w:rsid w:val="00164F8E"/>
    <w:rsid w:val="0016526A"/>
    <w:rsid w:val="001659AE"/>
    <w:rsid w:val="00165AC3"/>
    <w:rsid w:val="00166155"/>
    <w:rsid w:val="001662BA"/>
    <w:rsid w:val="00167067"/>
    <w:rsid w:val="0016788D"/>
    <w:rsid w:val="001679C6"/>
    <w:rsid w:val="0017051A"/>
    <w:rsid w:val="001705FE"/>
    <w:rsid w:val="00170721"/>
    <w:rsid w:val="00171833"/>
    <w:rsid w:val="001727B7"/>
    <w:rsid w:val="001730AF"/>
    <w:rsid w:val="001735FA"/>
    <w:rsid w:val="00173D46"/>
    <w:rsid w:val="00174269"/>
    <w:rsid w:val="001743A6"/>
    <w:rsid w:val="0017496D"/>
    <w:rsid w:val="00174ED2"/>
    <w:rsid w:val="00175920"/>
    <w:rsid w:val="00175DE2"/>
    <w:rsid w:val="0017640C"/>
    <w:rsid w:val="00176B98"/>
    <w:rsid w:val="00176D2C"/>
    <w:rsid w:val="00176DB2"/>
    <w:rsid w:val="0017741F"/>
    <w:rsid w:val="0017748C"/>
    <w:rsid w:val="0017775B"/>
    <w:rsid w:val="00177C84"/>
    <w:rsid w:val="00177D3E"/>
    <w:rsid w:val="00180C2D"/>
    <w:rsid w:val="0018108B"/>
    <w:rsid w:val="001817BC"/>
    <w:rsid w:val="00182205"/>
    <w:rsid w:val="001828D1"/>
    <w:rsid w:val="00182B13"/>
    <w:rsid w:val="00182B6D"/>
    <w:rsid w:val="00182B7D"/>
    <w:rsid w:val="00183159"/>
    <w:rsid w:val="0018322E"/>
    <w:rsid w:val="00183304"/>
    <w:rsid w:val="00183610"/>
    <w:rsid w:val="00183BB8"/>
    <w:rsid w:val="00183E4B"/>
    <w:rsid w:val="00183FCD"/>
    <w:rsid w:val="00184497"/>
    <w:rsid w:val="00184D8E"/>
    <w:rsid w:val="00184E0A"/>
    <w:rsid w:val="001860AA"/>
    <w:rsid w:val="0018678C"/>
    <w:rsid w:val="00186A45"/>
    <w:rsid w:val="00186E82"/>
    <w:rsid w:val="00187788"/>
    <w:rsid w:val="00187884"/>
    <w:rsid w:val="00187C9D"/>
    <w:rsid w:val="00187D8D"/>
    <w:rsid w:val="001902AC"/>
    <w:rsid w:val="0019054D"/>
    <w:rsid w:val="00190AEA"/>
    <w:rsid w:val="0019154B"/>
    <w:rsid w:val="001919A4"/>
    <w:rsid w:val="001919D8"/>
    <w:rsid w:val="00191CD4"/>
    <w:rsid w:val="00192932"/>
    <w:rsid w:val="001930A0"/>
    <w:rsid w:val="001945C2"/>
    <w:rsid w:val="0019482C"/>
    <w:rsid w:val="00194976"/>
    <w:rsid w:val="001957D6"/>
    <w:rsid w:val="00195E8C"/>
    <w:rsid w:val="00196797"/>
    <w:rsid w:val="00196A71"/>
    <w:rsid w:val="00196A94"/>
    <w:rsid w:val="00196D42"/>
    <w:rsid w:val="00196D8C"/>
    <w:rsid w:val="0019745A"/>
    <w:rsid w:val="001977F2"/>
    <w:rsid w:val="001A05BD"/>
    <w:rsid w:val="001A0701"/>
    <w:rsid w:val="001A07FE"/>
    <w:rsid w:val="001A0876"/>
    <w:rsid w:val="001A129C"/>
    <w:rsid w:val="001A1417"/>
    <w:rsid w:val="001A1BBF"/>
    <w:rsid w:val="001A2467"/>
    <w:rsid w:val="001A2502"/>
    <w:rsid w:val="001A255F"/>
    <w:rsid w:val="001A2857"/>
    <w:rsid w:val="001A2EF3"/>
    <w:rsid w:val="001A3171"/>
    <w:rsid w:val="001A35DA"/>
    <w:rsid w:val="001A3E6B"/>
    <w:rsid w:val="001A5039"/>
    <w:rsid w:val="001A55ED"/>
    <w:rsid w:val="001A5DA2"/>
    <w:rsid w:val="001A68E5"/>
    <w:rsid w:val="001A7E47"/>
    <w:rsid w:val="001B0384"/>
    <w:rsid w:val="001B03D9"/>
    <w:rsid w:val="001B073A"/>
    <w:rsid w:val="001B08A6"/>
    <w:rsid w:val="001B0D0A"/>
    <w:rsid w:val="001B0F69"/>
    <w:rsid w:val="001B1498"/>
    <w:rsid w:val="001B2812"/>
    <w:rsid w:val="001B32ED"/>
    <w:rsid w:val="001B409D"/>
    <w:rsid w:val="001B45CB"/>
    <w:rsid w:val="001B500D"/>
    <w:rsid w:val="001B5019"/>
    <w:rsid w:val="001B5414"/>
    <w:rsid w:val="001B627E"/>
    <w:rsid w:val="001B6E75"/>
    <w:rsid w:val="001B7171"/>
    <w:rsid w:val="001B79FC"/>
    <w:rsid w:val="001C08C4"/>
    <w:rsid w:val="001C0F16"/>
    <w:rsid w:val="001C14B9"/>
    <w:rsid w:val="001C1840"/>
    <w:rsid w:val="001C1DFE"/>
    <w:rsid w:val="001C2AE5"/>
    <w:rsid w:val="001C314D"/>
    <w:rsid w:val="001C34EE"/>
    <w:rsid w:val="001C398A"/>
    <w:rsid w:val="001C3B33"/>
    <w:rsid w:val="001C3DBF"/>
    <w:rsid w:val="001C3DF9"/>
    <w:rsid w:val="001C4269"/>
    <w:rsid w:val="001C45F5"/>
    <w:rsid w:val="001C4FAE"/>
    <w:rsid w:val="001C55AC"/>
    <w:rsid w:val="001C5CB3"/>
    <w:rsid w:val="001C5FE1"/>
    <w:rsid w:val="001C605C"/>
    <w:rsid w:val="001C61FD"/>
    <w:rsid w:val="001C62C4"/>
    <w:rsid w:val="001C6688"/>
    <w:rsid w:val="001C6751"/>
    <w:rsid w:val="001C700F"/>
    <w:rsid w:val="001C7A0D"/>
    <w:rsid w:val="001C7A3A"/>
    <w:rsid w:val="001D013B"/>
    <w:rsid w:val="001D0BD7"/>
    <w:rsid w:val="001D0D2D"/>
    <w:rsid w:val="001D10B5"/>
    <w:rsid w:val="001D1208"/>
    <w:rsid w:val="001D185B"/>
    <w:rsid w:val="001D1E7F"/>
    <w:rsid w:val="001D206A"/>
    <w:rsid w:val="001D240A"/>
    <w:rsid w:val="001D32DA"/>
    <w:rsid w:val="001D35C3"/>
    <w:rsid w:val="001D3CF1"/>
    <w:rsid w:val="001D5D45"/>
    <w:rsid w:val="001D6FFF"/>
    <w:rsid w:val="001D77F5"/>
    <w:rsid w:val="001E0981"/>
    <w:rsid w:val="001E2073"/>
    <w:rsid w:val="001E22B7"/>
    <w:rsid w:val="001E2498"/>
    <w:rsid w:val="001E2798"/>
    <w:rsid w:val="001E293A"/>
    <w:rsid w:val="001E3AFA"/>
    <w:rsid w:val="001E40A6"/>
    <w:rsid w:val="001E44DA"/>
    <w:rsid w:val="001E4B0F"/>
    <w:rsid w:val="001E5377"/>
    <w:rsid w:val="001E5A78"/>
    <w:rsid w:val="001E5F0A"/>
    <w:rsid w:val="001E6F5F"/>
    <w:rsid w:val="001E74AF"/>
    <w:rsid w:val="001F025F"/>
    <w:rsid w:val="001F03A0"/>
    <w:rsid w:val="001F04AF"/>
    <w:rsid w:val="001F093F"/>
    <w:rsid w:val="001F1893"/>
    <w:rsid w:val="001F1971"/>
    <w:rsid w:val="001F1FA9"/>
    <w:rsid w:val="001F2570"/>
    <w:rsid w:val="001F27A3"/>
    <w:rsid w:val="001F3A33"/>
    <w:rsid w:val="001F3CBC"/>
    <w:rsid w:val="001F42D2"/>
    <w:rsid w:val="001F4D0E"/>
    <w:rsid w:val="001F5071"/>
    <w:rsid w:val="001F587A"/>
    <w:rsid w:val="001F6172"/>
    <w:rsid w:val="001F6F2C"/>
    <w:rsid w:val="001F6FE2"/>
    <w:rsid w:val="001F735A"/>
    <w:rsid w:val="001F74ED"/>
    <w:rsid w:val="001F7975"/>
    <w:rsid w:val="002005A0"/>
    <w:rsid w:val="00200719"/>
    <w:rsid w:val="00200DE9"/>
    <w:rsid w:val="00200E0A"/>
    <w:rsid w:val="00201768"/>
    <w:rsid w:val="00201DE6"/>
    <w:rsid w:val="002028AF"/>
    <w:rsid w:val="002035CE"/>
    <w:rsid w:val="00203A2F"/>
    <w:rsid w:val="00203CF3"/>
    <w:rsid w:val="00203D05"/>
    <w:rsid w:val="00203D9D"/>
    <w:rsid w:val="00203F7F"/>
    <w:rsid w:val="00204111"/>
    <w:rsid w:val="00204183"/>
    <w:rsid w:val="002043BB"/>
    <w:rsid w:val="00204668"/>
    <w:rsid w:val="00204E1C"/>
    <w:rsid w:val="0020544D"/>
    <w:rsid w:val="0020571D"/>
    <w:rsid w:val="00205816"/>
    <w:rsid w:val="00205A59"/>
    <w:rsid w:val="00205C59"/>
    <w:rsid w:val="00205E40"/>
    <w:rsid w:val="0020606B"/>
    <w:rsid w:val="002062A9"/>
    <w:rsid w:val="002068DA"/>
    <w:rsid w:val="00206D3C"/>
    <w:rsid w:val="002074EC"/>
    <w:rsid w:val="002077C7"/>
    <w:rsid w:val="0021030A"/>
    <w:rsid w:val="0021062D"/>
    <w:rsid w:val="00210E9F"/>
    <w:rsid w:val="00211654"/>
    <w:rsid w:val="00211842"/>
    <w:rsid w:val="00212458"/>
    <w:rsid w:val="00212524"/>
    <w:rsid w:val="00212A00"/>
    <w:rsid w:val="00212DC3"/>
    <w:rsid w:val="00212EB5"/>
    <w:rsid w:val="002130D7"/>
    <w:rsid w:val="002133DA"/>
    <w:rsid w:val="0021348B"/>
    <w:rsid w:val="0021398F"/>
    <w:rsid w:val="00213A07"/>
    <w:rsid w:val="00213A65"/>
    <w:rsid w:val="00213E34"/>
    <w:rsid w:val="0021414E"/>
    <w:rsid w:val="00214C1C"/>
    <w:rsid w:val="00214FA8"/>
    <w:rsid w:val="0021521E"/>
    <w:rsid w:val="00215359"/>
    <w:rsid w:val="00215676"/>
    <w:rsid w:val="00215F73"/>
    <w:rsid w:val="002165F2"/>
    <w:rsid w:val="002172ED"/>
    <w:rsid w:val="0021780E"/>
    <w:rsid w:val="00220239"/>
    <w:rsid w:val="0022098C"/>
    <w:rsid w:val="00220AC5"/>
    <w:rsid w:val="00220C8D"/>
    <w:rsid w:val="00220FEC"/>
    <w:rsid w:val="002214F0"/>
    <w:rsid w:val="002217E8"/>
    <w:rsid w:val="00221C97"/>
    <w:rsid w:val="00221E33"/>
    <w:rsid w:val="00223197"/>
    <w:rsid w:val="002231EE"/>
    <w:rsid w:val="00223213"/>
    <w:rsid w:val="002239FF"/>
    <w:rsid w:val="0022415F"/>
    <w:rsid w:val="00224540"/>
    <w:rsid w:val="00224767"/>
    <w:rsid w:val="00224D10"/>
    <w:rsid w:val="0022510B"/>
    <w:rsid w:val="00225160"/>
    <w:rsid w:val="002253FD"/>
    <w:rsid w:val="00225539"/>
    <w:rsid w:val="0022587E"/>
    <w:rsid w:val="002260F7"/>
    <w:rsid w:val="002263F4"/>
    <w:rsid w:val="002269B1"/>
    <w:rsid w:val="00226A49"/>
    <w:rsid w:val="00226C79"/>
    <w:rsid w:val="00226DB3"/>
    <w:rsid w:val="00226E2F"/>
    <w:rsid w:val="0022737C"/>
    <w:rsid w:val="002279B7"/>
    <w:rsid w:val="00227D1E"/>
    <w:rsid w:val="00230180"/>
    <w:rsid w:val="002301E3"/>
    <w:rsid w:val="00230D22"/>
    <w:rsid w:val="002313D5"/>
    <w:rsid w:val="00231AFE"/>
    <w:rsid w:val="00232A96"/>
    <w:rsid w:val="00232CD1"/>
    <w:rsid w:val="002338FD"/>
    <w:rsid w:val="00233B02"/>
    <w:rsid w:val="00234131"/>
    <w:rsid w:val="002345BD"/>
    <w:rsid w:val="00235F65"/>
    <w:rsid w:val="002367EC"/>
    <w:rsid w:val="00236B27"/>
    <w:rsid w:val="00236E3D"/>
    <w:rsid w:val="00237709"/>
    <w:rsid w:val="0023778A"/>
    <w:rsid w:val="00237D68"/>
    <w:rsid w:val="00240092"/>
    <w:rsid w:val="00241731"/>
    <w:rsid w:val="00241901"/>
    <w:rsid w:val="00241AA3"/>
    <w:rsid w:val="00241D8C"/>
    <w:rsid w:val="0024262A"/>
    <w:rsid w:val="00242962"/>
    <w:rsid w:val="002439EB"/>
    <w:rsid w:val="002449BF"/>
    <w:rsid w:val="00244B1A"/>
    <w:rsid w:val="00244FEB"/>
    <w:rsid w:val="00245346"/>
    <w:rsid w:val="0024603E"/>
    <w:rsid w:val="002467BC"/>
    <w:rsid w:val="00246D8D"/>
    <w:rsid w:val="00246F4E"/>
    <w:rsid w:val="00246FC9"/>
    <w:rsid w:val="0024746C"/>
    <w:rsid w:val="0024748D"/>
    <w:rsid w:val="002504E2"/>
    <w:rsid w:val="00250975"/>
    <w:rsid w:val="00251ACE"/>
    <w:rsid w:val="00251AEF"/>
    <w:rsid w:val="00252229"/>
    <w:rsid w:val="00252CC3"/>
    <w:rsid w:val="00252D74"/>
    <w:rsid w:val="002533E1"/>
    <w:rsid w:val="00253886"/>
    <w:rsid w:val="00253C44"/>
    <w:rsid w:val="00254BFC"/>
    <w:rsid w:val="0025625A"/>
    <w:rsid w:val="0025631D"/>
    <w:rsid w:val="00256356"/>
    <w:rsid w:val="0025635B"/>
    <w:rsid w:val="00256743"/>
    <w:rsid w:val="00256772"/>
    <w:rsid w:val="002575A4"/>
    <w:rsid w:val="002579EC"/>
    <w:rsid w:val="00257C4F"/>
    <w:rsid w:val="0026043D"/>
    <w:rsid w:val="00260AF8"/>
    <w:rsid w:val="00261925"/>
    <w:rsid w:val="00261E5A"/>
    <w:rsid w:val="0026215D"/>
    <w:rsid w:val="002621F5"/>
    <w:rsid w:val="00262284"/>
    <w:rsid w:val="00262346"/>
    <w:rsid w:val="00263336"/>
    <w:rsid w:val="0026335C"/>
    <w:rsid w:val="00263E43"/>
    <w:rsid w:val="002641ED"/>
    <w:rsid w:val="00264559"/>
    <w:rsid w:val="00264762"/>
    <w:rsid w:val="002647D4"/>
    <w:rsid w:val="002649CC"/>
    <w:rsid w:val="00264C81"/>
    <w:rsid w:val="00264DB2"/>
    <w:rsid w:val="00265229"/>
    <w:rsid w:val="002654B8"/>
    <w:rsid w:val="0026581C"/>
    <w:rsid w:val="00265925"/>
    <w:rsid w:val="0026618F"/>
    <w:rsid w:val="00266432"/>
    <w:rsid w:val="0026683C"/>
    <w:rsid w:val="00267124"/>
    <w:rsid w:val="00267168"/>
    <w:rsid w:val="00267C2F"/>
    <w:rsid w:val="002706B6"/>
    <w:rsid w:val="0027082F"/>
    <w:rsid w:val="00270D2A"/>
    <w:rsid w:val="00270EF4"/>
    <w:rsid w:val="00272CD3"/>
    <w:rsid w:val="00272EF2"/>
    <w:rsid w:val="002731CC"/>
    <w:rsid w:val="00273503"/>
    <w:rsid w:val="0027364A"/>
    <w:rsid w:val="00274635"/>
    <w:rsid w:val="0027500B"/>
    <w:rsid w:val="00275107"/>
    <w:rsid w:val="002751BD"/>
    <w:rsid w:val="00275674"/>
    <w:rsid w:val="00275987"/>
    <w:rsid w:val="00276515"/>
    <w:rsid w:val="0027655A"/>
    <w:rsid w:val="00276749"/>
    <w:rsid w:val="00276944"/>
    <w:rsid w:val="00276EC6"/>
    <w:rsid w:val="0027710B"/>
    <w:rsid w:val="0027715B"/>
    <w:rsid w:val="00277374"/>
    <w:rsid w:val="002773E0"/>
    <w:rsid w:val="0027751E"/>
    <w:rsid w:val="0027771A"/>
    <w:rsid w:val="00277C7A"/>
    <w:rsid w:val="00277D43"/>
    <w:rsid w:val="00277FBB"/>
    <w:rsid w:val="0028011A"/>
    <w:rsid w:val="002803D4"/>
    <w:rsid w:val="002807B5"/>
    <w:rsid w:val="00280A82"/>
    <w:rsid w:val="00280BBB"/>
    <w:rsid w:val="00280C8A"/>
    <w:rsid w:val="00280FA8"/>
    <w:rsid w:val="00280FD1"/>
    <w:rsid w:val="00281196"/>
    <w:rsid w:val="002812DE"/>
    <w:rsid w:val="00281F8F"/>
    <w:rsid w:val="002820D8"/>
    <w:rsid w:val="00282135"/>
    <w:rsid w:val="00283110"/>
    <w:rsid w:val="002834E6"/>
    <w:rsid w:val="00283595"/>
    <w:rsid w:val="00283D10"/>
    <w:rsid w:val="00284244"/>
    <w:rsid w:val="00284BF4"/>
    <w:rsid w:val="00284F96"/>
    <w:rsid w:val="002850C5"/>
    <w:rsid w:val="00285621"/>
    <w:rsid w:val="002856E6"/>
    <w:rsid w:val="00285711"/>
    <w:rsid w:val="00285A19"/>
    <w:rsid w:val="0028652D"/>
    <w:rsid w:val="002865EF"/>
    <w:rsid w:val="00286BE8"/>
    <w:rsid w:val="00287262"/>
    <w:rsid w:val="002878C5"/>
    <w:rsid w:val="00287EF9"/>
    <w:rsid w:val="002905B4"/>
    <w:rsid w:val="0029090D"/>
    <w:rsid w:val="002919F6"/>
    <w:rsid w:val="00293056"/>
    <w:rsid w:val="002933B7"/>
    <w:rsid w:val="002952C7"/>
    <w:rsid w:val="002959D7"/>
    <w:rsid w:val="00295FDD"/>
    <w:rsid w:val="002961FC"/>
    <w:rsid w:val="00296319"/>
    <w:rsid w:val="002965A9"/>
    <w:rsid w:val="00296926"/>
    <w:rsid w:val="00296D59"/>
    <w:rsid w:val="002971E5"/>
    <w:rsid w:val="002973A6"/>
    <w:rsid w:val="00297811"/>
    <w:rsid w:val="00297A62"/>
    <w:rsid w:val="00297A78"/>
    <w:rsid w:val="00297AF8"/>
    <w:rsid w:val="002A0129"/>
    <w:rsid w:val="002A0396"/>
    <w:rsid w:val="002A0705"/>
    <w:rsid w:val="002A12F6"/>
    <w:rsid w:val="002A16C6"/>
    <w:rsid w:val="002A16FF"/>
    <w:rsid w:val="002A1BBF"/>
    <w:rsid w:val="002A1CB1"/>
    <w:rsid w:val="002A2278"/>
    <w:rsid w:val="002A26FC"/>
    <w:rsid w:val="002A2AAD"/>
    <w:rsid w:val="002A2B3D"/>
    <w:rsid w:val="002A362F"/>
    <w:rsid w:val="002A5292"/>
    <w:rsid w:val="002A6021"/>
    <w:rsid w:val="002A6269"/>
    <w:rsid w:val="002A632A"/>
    <w:rsid w:val="002A6EB0"/>
    <w:rsid w:val="002A7378"/>
    <w:rsid w:val="002A73DD"/>
    <w:rsid w:val="002A73FE"/>
    <w:rsid w:val="002A7E2B"/>
    <w:rsid w:val="002B0836"/>
    <w:rsid w:val="002B0EE7"/>
    <w:rsid w:val="002B10BD"/>
    <w:rsid w:val="002B11DB"/>
    <w:rsid w:val="002B1554"/>
    <w:rsid w:val="002B19B2"/>
    <w:rsid w:val="002B1CCA"/>
    <w:rsid w:val="002B1D55"/>
    <w:rsid w:val="002B2213"/>
    <w:rsid w:val="002B2411"/>
    <w:rsid w:val="002B2896"/>
    <w:rsid w:val="002B2919"/>
    <w:rsid w:val="002B2D85"/>
    <w:rsid w:val="002B308A"/>
    <w:rsid w:val="002B362A"/>
    <w:rsid w:val="002B47D0"/>
    <w:rsid w:val="002B4D77"/>
    <w:rsid w:val="002B5883"/>
    <w:rsid w:val="002B5DB4"/>
    <w:rsid w:val="002B6428"/>
    <w:rsid w:val="002B6B08"/>
    <w:rsid w:val="002B6CC2"/>
    <w:rsid w:val="002B6EA4"/>
    <w:rsid w:val="002B777D"/>
    <w:rsid w:val="002B78D8"/>
    <w:rsid w:val="002C082C"/>
    <w:rsid w:val="002C0EEA"/>
    <w:rsid w:val="002C13A8"/>
    <w:rsid w:val="002C1438"/>
    <w:rsid w:val="002C15AE"/>
    <w:rsid w:val="002C1A5D"/>
    <w:rsid w:val="002C2B03"/>
    <w:rsid w:val="002C3652"/>
    <w:rsid w:val="002C383F"/>
    <w:rsid w:val="002C411C"/>
    <w:rsid w:val="002C4148"/>
    <w:rsid w:val="002C4DFB"/>
    <w:rsid w:val="002C58F9"/>
    <w:rsid w:val="002C5B1C"/>
    <w:rsid w:val="002C5F14"/>
    <w:rsid w:val="002C5F48"/>
    <w:rsid w:val="002C6511"/>
    <w:rsid w:val="002C6D13"/>
    <w:rsid w:val="002C707E"/>
    <w:rsid w:val="002C731E"/>
    <w:rsid w:val="002C7670"/>
    <w:rsid w:val="002C7C4A"/>
    <w:rsid w:val="002D00A7"/>
    <w:rsid w:val="002D0275"/>
    <w:rsid w:val="002D0A24"/>
    <w:rsid w:val="002D0AB2"/>
    <w:rsid w:val="002D0D95"/>
    <w:rsid w:val="002D20C0"/>
    <w:rsid w:val="002D2360"/>
    <w:rsid w:val="002D2406"/>
    <w:rsid w:val="002D2E8F"/>
    <w:rsid w:val="002D31B7"/>
    <w:rsid w:val="002D4B3B"/>
    <w:rsid w:val="002D4E9E"/>
    <w:rsid w:val="002D50B7"/>
    <w:rsid w:val="002D50F7"/>
    <w:rsid w:val="002D525B"/>
    <w:rsid w:val="002D536C"/>
    <w:rsid w:val="002D543A"/>
    <w:rsid w:val="002D55EF"/>
    <w:rsid w:val="002D5614"/>
    <w:rsid w:val="002D602B"/>
    <w:rsid w:val="002D612C"/>
    <w:rsid w:val="002D624E"/>
    <w:rsid w:val="002D6268"/>
    <w:rsid w:val="002D63BD"/>
    <w:rsid w:val="002D6AB6"/>
    <w:rsid w:val="002D734D"/>
    <w:rsid w:val="002D759F"/>
    <w:rsid w:val="002E0029"/>
    <w:rsid w:val="002E03D9"/>
    <w:rsid w:val="002E03E9"/>
    <w:rsid w:val="002E0616"/>
    <w:rsid w:val="002E158D"/>
    <w:rsid w:val="002E17D1"/>
    <w:rsid w:val="002E266A"/>
    <w:rsid w:val="002E286E"/>
    <w:rsid w:val="002E37DE"/>
    <w:rsid w:val="002E40CE"/>
    <w:rsid w:val="002E4450"/>
    <w:rsid w:val="002E4F0C"/>
    <w:rsid w:val="002E5000"/>
    <w:rsid w:val="002E58F7"/>
    <w:rsid w:val="002E5D17"/>
    <w:rsid w:val="002E64E8"/>
    <w:rsid w:val="002E6EB5"/>
    <w:rsid w:val="002E7239"/>
    <w:rsid w:val="002E767F"/>
    <w:rsid w:val="002E7841"/>
    <w:rsid w:val="002E787E"/>
    <w:rsid w:val="002E79A5"/>
    <w:rsid w:val="002E7A17"/>
    <w:rsid w:val="002E7F2E"/>
    <w:rsid w:val="002F0242"/>
    <w:rsid w:val="002F03DD"/>
    <w:rsid w:val="002F0BF9"/>
    <w:rsid w:val="002F1A3C"/>
    <w:rsid w:val="002F1EB3"/>
    <w:rsid w:val="002F23A7"/>
    <w:rsid w:val="002F2950"/>
    <w:rsid w:val="002F2D8E"/>
    <w:rsid w:val="002F499F"/>
    <w:rsid w:val="002F587B"/>
    <w:rsid w:val="002F58F4"/>
    <w:rsid w:val="002F6D91"/>
    <w:rsid w:val="002F722B"/>
    <w:rsid w:val="002F7918"/>
    <w:rsid w:val="002F7C38"/>
    <w:rsid w:val="003000FA"/>
    <w:rsid w:val="00300E18"/>
    <w:rsid w:val="0030110D"/>
    <w:rsid w:val="003018C7"/>
    <w:rsid w:val="00301D29"/>
    <w:rsid w:val="00301D3E"/>
    <w:rsid w:val="00301F50"/>
    <w:rsid w:val="003023A2"/>
    <w:rsid w:val="00302482"/>
    <w:rsid w:val="00302686"/>
    <w:rsid w:val="00302D9E"/>
    <w:rsid w:val="00302E1F"/>
    <w:rsid w:val="00303821"/>
    <w:rsid w:val="00303EDC"/>
    <w:rsid w:val="00303F20"/>
    <w:rsid w:val="00304D92"/>
    <w:rsid w:val="0030516B"/>
    <w:rsid w:val="00305655"/>
    <w:rsid w:val="0030591A"/>
    <w:rsid w:val="00305D8C"/>
    <w:rsid w:val="00306266"/>
    <w:rsid w:val="00306521"/>
    <w:rsid w:val="00307001"/>
    <w:rsid w:val="0030755F"/>
    <w:rsid w:val="003075A2"/>
    <w:rsid w:val="00307A35"/>
    <w:rsid w:val="00307C9F"/>
    <w:rsid w:val="00310104"/>
    <w:rsid w:val="00310B2D"/>
    <w:rsid w:val="00310D69"/>
    <w:rsid w:val="003113DD"/>
    <w:rsid w:val="00311719"/>
    <w:rsid w:val="00311E26"/>
    <w:rsid w:val="00311E78"/>
    <w:rsid w:val="003121F3"/>
    <w:rsid w:val="0031227B"/>
    <w:rsid w:val="003127D7"/>
    <w:rsid w:val="0031370A"/>
    <w:rsid w:val="0031380B"/>
    <w:rsid w:val="003141BB"/>
    <w:rsid w:val="0031571F"/>
    <w:rsid w:val="003158FC"/>
    <w:rsid w:val="0031593F"/>
    <w:rsid w:val="00315A4E"/>
    <w:rsid w:val="0031618B"/>
    <w:rsid w:val="00316C1B"/>
    <w:rsid w:val="00316E25"/>
    <w:rsid w:val="0031720F"/>
    <w:rsid w:val="00317EEF"/>
    <w:rsid w:val="0032032B"/>
    <w:rsid w:val="003208F2"/>
    <w:rsid w:val="00321716"/>
    <w:rsid w:val="0032178B"/>
    <w:rsid w:val="003219D3"/>
    <w:rsid w:val="00321B38"/>
    <w:rsid w:val="00322B50"/>
    <w:rsid w:val="00323BF1"/>
    <w:rsid w:val="0032417F"/>
    <w:rsid w:val="003241CF"/>
    <w:rsid w:val="00324685"/>
    <w:rsid w:val="003246B7"/>
    <w:rsid w:val="003247B1"/>
    <w:rsid w:val="00324C2C"/>
    <w:rsid w:val="00325296"/>
    <w:rsid w:val="00325F82"/>
    <w:rsid w:val="00326031"/>
    <w:rsid w:val="00327796"/>
    <w:rsid w:val="00327B37"/>
    <w:rsid w:val="00327E65"/>
    <w:rsid w:val="0033007F"/>
    <w:rsid w:val="003300EA"/>
    <w:rsid w:val="003308D6"/>
    <w:rsid w:val="00330DA8"/>
    <w:rsid w:val="003310C4"/>
    <w:rsid w:val="00331AC5"/>
    <w:rsid w:val="0033205F"/>
    <w:rsid w:val="00333F6D"/>
    <w:rsid w:val="0033419E"/>
    <w:rsid w:val="0033452F"/>
    <w:rsid w:val="00334876"/>
    <w:rsid w:val="00334B8C"/>
    <w:rsid w:val="00334DC3"/>
    <w:rsid w:val="00334E65"/>
    <w:rsid w:val="00335050"/>
    <w:rsid w:val="00335202"/>
    <w:rsid w:val="00335594"/>
    <w:rsid w:val="00335ACE"/>
    <w:rsid w:val="0033622A"/>
    <w:rsid w:val="00336603"/>
    <w:rsid w:val="003367AE"/>
    <w:rsid w:val="003368A9"/>
    <w:rsid w:val="00336DEF"/>
    <w:rsid w:val="00337A4F"/>
    <w:rsid w:val="003401FA"/>
    <w:rsid w:val="003402FE"/>
    <w:rsid w:val="0034032D"/>
    <w:rsid w:val="003404AA"/>
    <w:rsid w:val="0034063C"/>
    <w:rsid w:val="003408A2"/>
    <w:rsid w:val="00341E41"/>
    <w:rsid w:val="00341E57"/>
    <w:rsid w:val="00341ED5"/>
    <w:rsid w:val="00341EE3"/>
    <w:rsid w:val="00342722"/>
    <w:rsid w:val="00342A73"/>
    <w:rsid w:val="00342EF3"/>
    <w:rsid w:val="00343ACE"/>
    <w:rsid w:val="00344AD8"/>
    <w:rsid w:val="00344EF1"/>
    <w:rsid w:val="00344F0B"/>
    <w:rsid w:val="00344FA8"/>
    <w:rsid w:val="003454BF"/>
    <w:rsid w:val="00345750"/>
    <w:rsid w:val="00345C3D"/>
    <w:rsid w:val="00346343"/>
    <w:rsid w:val="003463C7"/>
    <w:rsid w:val="0034690E"/>
    <w:rsid w:val="003471EC"/>
    <w:rsid w:val="0034742A"/>
    <w:rsid w:val="00347A8B"/>
    <w:rsid w:val="00347BC6"/>
    <w:rsid w:val="00347E0E"/>
    <w:rsid w:val="0035014F"/>
    <w:rsid w:val="00350279"/>
    <w:rsid w:val="003504E5"/>
    <w:rsid w:val="003505AA"/>
    <w:rsid w:val="0035073E"/>
    <w:rsid w:val="00350CE3"/>
    <w:rsid w:val="00350DCD"/>
    <w:rsid w:val="0035159C"/>
    <w:rsid w:val="00352433"/>
    <w:rsid w:val="00352C54"/>
    <w:rsid w:val="0035316C"/>
    <w:rsid w:val="00353451"/>
    <w:rsid w:val="003535CF"/>
    <w:rsid w:val="00353937"/>
    <w:rsid w:val="00353B8E"/>
    <w:rsid w:val="003540AA"/>
    <w:rsid w:val="003541EF"/>
    <w:rsid w:val="00354E24"/>
    <w:rsid w:val="003557A8"/>
    <w:rsid w:val="0035589E"/>
    <w:rsid w:val="00356691"/>
    <w:rsid w:val="00356695"/>
    <w:rsid w:val="00357689"/>
    <w:rsid w:val="0035772A"/>
    <w:rsid w:val="00357875"/>
    <w:rsid w:val="0036066E"/>
    <w:rsid w:val="0036082B"/>
    <w:rsid w:val="00360A91"/>
    <w:rsid w:val="00360AC0"/>
    <w:rsid w:val="00362864"/>
    <w:rsid w:val="00362A26"/>
    <w:rsid w:val="00362CCC"/>
    <w:rsid w:val="00362D72"/>
    <w:rsid w:val="003633DD"/>
    <w:rsid w:val="00363411"/>
    <w:rsid w:val="003638B9"/>
    <w:rsid w:val="00363E43"/>
    <w:rsid w:val="00363FAE"/>
    <w:rsid w:val="00364665"/>
    <w:rsid w:val="00364860"/>
    <w:rsid w:val="00364B5C"/>
    <w:rsid w:val="00364B63"/>
    <w:rsid w:val="00364C1D"/>
    <w:rsid w:val="00365139"/>
    <w:rsid w:val="003652D6"/>
    <w:rsid w:val="0036595C"/>
    <w:rsid w:val="0036598B"/>
    <w:rsid w:val="00365E45"/>
    <w:rsid w:val="00366053"/>
    <w:rsid w:val="003668C9"/>
    <w:rsid w:val="00366F8B"/>
    <w:rsid w:val="00367BF5"/>
    <w:rsid w:val="00370250"/>
    <w:rsid w:val="003705BA"/>
    <w:rsid w:val="00370852"/>
    <w:rsid w:val="003711B3"/>
    <w:rsid w:val="003716DB"/>
    <w:rsid w:val="00371D4D"/>
    <w:rsid w:val="00371E01"/>
    <w:rsid w:val="00373F25"/>
    <w:rsid w:val="00374338"/>
    <w:rsid w:val="00374A20"/>
    <w:rsid w:val="003750ED"/>
    <w:rsid w:val="003757C0"/>
    <w:rsid w:val="0037587E"/>
    <w:rsid w:val="003759EA"/>
    <w:rsid w:val="00375AB7"/>
    <w:rsid w:val="00375D4B"/>
    <w:rsid w:val="0037607F"/>
    <w:rsid w:val="0037644F"/>
    <w:rsid w:val="00376D7A"/>
    <w:rsid w:val="00376E00"/>
    <w:rsid w:val="003770AD"/>
    <w:rsid w:val="003770BA"/>
    <w:rsid w:val="00377474"/>
    <w:rsid w:val="003774B8"/>
    <w:rsid w:val="00377940"/>
    <w:rsid w:val="0038066A"/>
    <w:rsid w:val="003806B7"/>
    <w:rsid w:val="00380A99"/>
    <w:rsid w:val="00381641"/>
    <w:rsid w:val="00381A65"/>
    <w:rsid w:val="00382C24"/>
    <w:rsid w:val="00382C55"/>
    <w:rsid w:val="00383E70"/>
    <w:rsid w:val="00384322"/>
    <w:rsid w:val="00384513"/>
    <w:rsid w:val="00384B4D"/>
    <w:rsid w:val="00384C36"/>
    <w:rsid w:val="00385354"/>
    <w:rsid w:val="0038560E"/>
    <w:rsid w:val="00385699"/>
    <w:rsid w:val="00385940"/>
    <w:rsid w:val="00385FA7"/>
    <w:rsid w:val="00385FC6"/>
    <w:rsid w:val="003860F7"/>
    <w:rsid w:val="0038618A"/>
    <w:rsid w:val="0038662F"/>
    <w:rsid w:val="003867DE"/>
    <w:rsid w:val="003867F6"/>
    <w:rsid w:val="00386D2C"/>
    <w:rsid w:val="0038707B"/>
    <w:rsid w:val="00387BAE"/>
    <w:rsid w:val="00387E18"/>
    <w:rsid w:val="0039016D"/>
    <w:rsid w:val="00390445"/>
    <w:rsid w:val="00390978"/>
    <w:rsid w:val="00390A39"/>
    <w:rsid w:val="00390C14"/>
    <w:rsid w:val="00390D82"/>
    <w:rsid w:val="00390F9D"/>
    <w:rsid w:val="0039173B"/>
    <w:rsid w:val="003919BE"/>
    <w:rsid w:val="00391FE2"/>
    <w:rsid w:val="003923E8"/>
    <w:rsid w:val="00392BD4"/>
    <w:rsid w:val="003934A2"/>
    <w:rsid w:val="00393722"/>
    <w:rsid w:val="00393EBD"/>
    <w:rsid w:val="003943DE"/>
    <w:rsid w:val="00395282"/>
    <w:rsid w:val="0039549E"/>
    <w:rsid w:val="00395699"/>
    <w:rsid w:val="0039608D"/>
    <w:rsid w:val="00396184"/>
    <w:rsid w:val="00396C05"/>
    <w:rsid w:val="00397171"/>
    <w:rsid w:val="003973C9"/>
    <w:rsid w:val="0039774C"/>
    <w:rsid w:val="00397753"/>
    <w:rsid w:val="00397BEE"/>
    <w:rsid w:val="00397C01"/>
    <w:rsid w:val="003A0F37"/>
    <w:rsid w:val="003A1325"/>
    <w:rsid w:val="003A17A9"/>
    <w:rsid w:val="003A1844"/>
    <w:rsid w:val="003A19B4"/>
    <w:rsid w:val="003A1D0C"/>
    <w:rsid w:val="003A26A7"/>
    <w:rsid w:val="003A28A9"/>
    <w:rsid w:val="003A2A73"/>
    <w:rsid w:val="003A3049"/>
    <w:rsid w:val="003A352D"/>
    <w:rsid w:val="003A36BA"/>
    <w:rsid w:val="003A38A3"/>
    <w:rsid w:val="003A3C9B"/>
    <w:rsid w:val="003A3E3F"/>
    <w:rsid w:val="003A41E8"/>
    <w:rsid w:val="003A42CA"/>
    <w:rsid w:val="003A515A"/>
    <w:rsid w:val="003A53C4"/>
    <w:rsid w:val="003A59E3"/>
    <w:rsid w:val="003A5C3C"/>
    <w:rsid w:val="003A5F17"/>
    <w:rsid w:val="003A6208"/>
    <w:rsid w:val="003A70D0"/>
    <w:rsid w:val="003A78A3"/>
    <w:rsid w:val="003B06F5"/>
    <w:rsid w:val="003B06F8"/>
    <w:rsid w:val="003B0C76"/>
    <w:rsid w:val="003B12DC"/>
    <w:rsid w:val="003B13BD"/>
    <w:rsid w:val="003B1B3F"/>
    <w:rsid w:val="003B1B72"/>
    <w:rsid w:val="003B1D97"/>
    <w:rsid w:val="003B1DC9"/>
    <w:rsid w:val="003B22A5"/>
    <w:rsid w:val="003B2C07"/>
    <w:rsid w:val="003B3836"/>
    <w:rsid w:val="003B461C"/>
    <w:rsid w:val="003B46FE"/>
    <w:rsid w:val="003B47AD"/>
    <w:rsid w:val="003B4800"/>
    <w:rsid w:val="003B4822"/>
    <w:rsid w:val="003B4B8C"/>
    <w:rsid w:val="003B4D7D"/>
    <w:rsid w:val="003B4EAD"/>
    <w:rsid w:val="003B5000"/>
    <w:rsid w:val="003B5517"/>
    <w:rsid w:val="003B5EC3"/>
    <w:rsid w:val="003B6247"/>
    <w:rsid w:val="003B6503"/>
    <w:rsid w:val="003B6D4E"/>
    <w:rsid w:val="003B7A59"/>
    <w:rsid w:val="003C03B5"/>
    <w:rsid w:val="003C0D0F"/>
    <w:rsid w:val="003C0D28"/>
    <w:rsid w:val="003C140E"/>
    <w:rsid w:val="003C1623"/>
    <w:rsid w:val="003C1CDB"/>
    <w:rsid w:val="003C29B3"/>
    <w:rsid w:val="003C2F00"/>
    <w:rsid w:val="003C337E"/>
    <w:rsid w:val="003C3CAA"/>
    <w:rsid w:val="003C41B6"/>
    <w:rsid w:val="003C488A"/>
    <w:rsid w:val="003C4E79"/>
    <w:rsid w:val="003C5365"/>
    <w:rsid w:val="003C5659"/>
    <w:rsid w:val="003C6559"/>
    <w:rsid w:val="003C6A41"/>
    <w:rsid w:val="003C7119"/>
    <w:rsid w:val="003C79E4"/>
    <w:rsid w:val="003C7F18"/>
    <w:rsid w:val="003D03A6"/>
    <w:rsid w:val="003D05E6"/>
    <w:rsid w:val="003D109D"/>
    <w:rsid w:val="003D166F"/>
    <w:rsid w:val="003D22F4"/>
    <w:rsid w:val="003D2A54"/>
    <w:rsid w:val="003D308A"/>
    <w:rsid w:val="003D36AB"/>
    <w:rsid w:val="003D3AA3"/>
    <w:rsid w:val="003D40F8"/>
    <w:rsid w:val="003D449D"/>
    <w:rsid w:val="003D4AD4"/>
    <w:rsid w:val="003D51FC"/>
    <w:rsid w:val="003D526F"/>
    <w:rsid w:val="003D529D"/>
    <w:rsid w:val="003D5916"/>
    <w:rsid w:val="003D6288"/>
    <w:rsid w:val="003D6746"/>
    <w:rsid w:val="003D6799"/>
    <w:rsid w:val="003D6845"/>
    <w:rsid w:val="003D6876"/>
    <w:rsid w:val="003D6D60"/>
    <w:rsid w:val="003D7CE7"/>
    <w:rsid w:val="003E1185"/>
    <w:rsid w:val="003E18D3"/>
    <w:rsid w:val="003E1DDE"/>
    <w:rsid w:val="003E2731"/>
    <w:rsid w:val="003E29DE"/>
    <w:rsid w:val="003E2D6B"/>
    <w:rsid w:val="003E2E00"/>
    <w:rsid w:val="003E3BC1"/>
    <w:rsid w:val="003E4232"/>
    <w:rsid w:val="003E4313"/>
    <w:rsid w:val="003E47B3"/>
    <w:rsid w:val="003E4E97"/>
    <w:rsid w:val="003E536A"/>
    <w:rsid w:val="003E5E80"/>
    <w:rsid w:val="003E646D"/>
    <w:rsid w:val="003E65BC"/>
    <w:rsid w:val="003E69FC"/>
    <w:rsid w:val="003E6D3C"/>
    <w:rsid w:val="003E705E"/>
    <w:rsid w:val="003E72B7"/>
    <w:rsid w:val="003E75B5"/>
    <w:rsid w:val="003E7C23"/>
    <w:rsid w:val="003E7CA7"/>
    <w:rsid w:val="003F02E9"/>
    <w:rsid w:val="003F06D8"/>
    <w:rsid w:val="003F0C87"/>
    <w:rsid w:val="003F115F"/>
    <w:rsid w:val="003F16E4"/>
    <w:rsid w:val="003F1F99"/>
    <w:rsid w:val="003F22AF"/>
    <w:rsid w:val="003F2C5E"/>
    <w:rsid w:val="003F358A"/>
    <w:rsid w:val="003F364A"/>
    <w:rsid w:val="003F3A2E"/>
    <w:rsid w:val="003F4124"/>
    <w:rsid w:val="003F4BE0"/>
    <w:rsid w:val="003F6984"/>
    <w:rsid w:val="003F6A88"/>
    <w:rsid w:val="003F6D95"/>
    <w:rsid w:val="003F7212"/>
    <w:rsid w:val="004003BD"/>
    <w:rsid w:val="004008BE"/>
    <w:rsid w:val="004014CE"/>
    <w:rsid w:val="004017D2"/>
    <w:rsid w:val="004023D3"/>
    <w:rsid w:val="004028CE"/>
    <w:rsid w:val="004038FD"/>
    <w:rsid w:val="0040433D"/>
    <w:rsid w:val="00404397"/>
    <w:rsid w:val="00404969"/>
    <w:rsid w:val="00405014"/>
    <w:rsid w:val="004061E4"/>
    <w:rsid w:val="00406535"/>
    <w:rsid w:val="00406DA9"/>
    <w:rsid w:val="004072E2"/>
    <w:rsid w:val="004074D9"/>
    <w:rsid w:val="00407A1E"/>
    <w:rsid w:val="00410D98"/>
    <w:rsid w:val="00410EC3"/>
    <w:rsid w:val="00410EF3"/>
    <w:rsid w:val="00411254"/>
    <w:rsid w:val="004113DA"/>
    <w:rsid w:val="004117CE"/>
    <w:rsid w:val="00411D80"/>
    <w:rsid w:val="00412351"/>
    <w:rsid w:val="0041243F"/>
    <w:rsid w:val="004126AB"/>
    <w:rsid w:val="00412D35"/>
    <w:rsid w:val="00412E31"/>
    <w:rsid w:val="0041301D"/>
    <w:rsid w:val="0041304D"/>
    <w:rsid w:val="00413A05"/>
    <w:rsid w:val="00413B6B"/>
    <w:rsid w:val="00413E85"/>
    <w:rsid w:val="00414EA8"/>
    <w:rsid w:val="004150FB"/>
    <w:rsid w:val="00415593"/>
    <w:rsid w:val="004158C7"/>
    <w:rsid w:val="00415B18"/>
    <w:rsid w:val="00417791"/>
    <w:rsid w:val="00417CED"/>
    <w:rsid w:val="00420868"/>
    <w:rsid w:val="0042086D"/>
    <w:rsid w:val="0042087B"/>
    <w:rsid w:val="00420B70"/>
    <w:rsid w:val="00420E56"/>
    <w:rsid w:val="00421059"/>
    <w:rsid w:val="00421154"/>
    <w:rsid w:val="004227D5"/>
    <w:rsid w:val="00422BB3"/>
    <w:rsid w:val="00422FB1"/>
    <w:rsid w:val="0042316F"/>
    <w:rsid w:val="00423C24"/>
    <w:rsid w:val="00425887"/>
    <w:rsid w:val="00425BC5"/>
    <w:rsid w:val="00425E4F"/>
    <w:rsid w:val="00425EAF"/>
    <w:rsid w:val="004269D4"/>
    <w:rsid w:val="00430592"/>
    <w:rsid w:val="004310CC"/>
    <w:rsid w:val="004316D4"/>
    <w:rsid w:val="00431808"/>
    <w:rsid w:val="00431E84"/>
    <w:rsid w:val="0043248D"/>
    <w:rsid w:val="00432492"/>
    <w:rsid w:val="00432A74"/>
    <w:rsid w:val="00432B37"/>
    <w:rsid w:val="00432E1C"/>
    <w:rsid w:val="00433CD0"/>
    <w:rsid w:val="00433DD4"/>
    <w:rsid w:val="0043514E"/>
    <w:rsid w:val="0043534C"/>
    <w:rsid w:val="004353FC"/>
    <w:rsid w:val="0043548F"/>
    <w:rsid w:val="004366A6"/>
    <w:rsid w:val="004366C2"/>
    <w:rsid w:val="00436999"/>
    <w:rsid w:val="0043709D"/>
    <w:rsid w:val="00437148"/>
    <w:rsid w:val="0043759F"/>
    <w:rsid w:val="00437D05"/>
    <w:rsid w:val="00437FB7"/>
    <w:rsid w:val="00437FF9"/>
    <w:rsid w:val="00440B6B"/>
    <w:rsid w:val="00441234"/>
    <w:rsid w:val="00442F04"/>
    <w:rsid w:val="00443087"/>
    <w:rsid w:val="004434BB"/>
    <w:rsid w:val="00443635"/>
    <w:rsid w:val="004442D2"/>
    <w:rsid w:val="004444EF"/>
    <w:rsid w:val="00445326"/>
    <w:rsid w:val="004459DD"/>
    <w:rsid w:val="00446F95"/>
    <w:rsid w:val="00447083"/>
    <w:rsid w:val="004479A0"/>
    <w:rsid w:val="004500FA"/>
    <w:rsid w:val="00450372"/>
    <w:rsid w:val="00450382"/>
    <w:rsid w:val="00450B57"/>
    <w:rsid w:val="00451095"/>
    <w:rsid w:val="00452342"/>
    <w:rsid w:val="0045235D"/>
    <w:rsid w:val="0045280A"/>
    <w:rsid w:val="00452A8E"/>
    <w:rsid w:val="00452EC7"/>
    <w:rsid w:val="00453804"/>
    <w:rsid w:val="00453B89"/>
    <w:rsid w:val="00453D32"/>
    <w:rsid w:val="00454928"/>
    <w:rsid w:val="00454C5F"/>
    <w:rsid w:val="00455051"/>
    <w:rsid w:val="0045590D"/>
    <w:rsid w:val="00455AF2"/>
    <w:rsid w:val="00455B23"/>
    <w:rsid w:val="0045614E"/>
    <w:rsid w:val="00456DE9"/>
    <w:rsid w:val="00457711"/>
    <w:rsid w:val="004577F4"/>
    <w:rsid w:val="004600CC"/>
    <w:rsid w:val="0046034C"/>
    <w:rsid w:val="0046039C"/>
    <w:rsid w:val="00461087"/>
    <w:rsid w:val="004623AC"/>
    <w:rsid w:val="00462D68"/>
    <w:rsid w:val="0046448A"/>
    <w:rsid w:val="004646C8"/>
    <w:rsid w:val="00464CA6"/>
    <w:rsid w:val="00465287"/>
    <w:rsid w:val="00465718"/>
    <w:rsid w:val="00465786"/>
    <w:rsid w:val="0046596D"/>
    <w:rsid w:val="004664C8"/>
    <w:rsid w:val="004669F1"/>
    <w:rsid w:val="0046758E"/>
    <w:rsid w:val="004678C8"/>
    <w:rsid w:val="0047015A"/>
    <w:rsid w:val="004702C6"/>
    <w:rsid w:val="0047044E"/>
    <w:rsid w:val="00470654"/>
    <w:rsid w:val="00470D94"/>
    <w:rsid w:val="0047295D"/>
    <w:rsid w:val="004733C8"/>
    <w:rsid w:val="0047364F"/>
    <w:rsid w:val="00473C45"/>
    <w:rsid w:val="00473E5E"/>
    <w:rsid w:val="00474B63"/>
    <w:rsid w:val="00474C10"/>
    <w:rsid w:val="00475052"/>
    <w:rsid w:val="00475193"/>
    <w:rsid w:val="0047558C"/>
    <w:rsid w:val="00475D7B"/>
    <w:rsid w:val="004767F2"/>
    <w:rsid w:val="00476892"/>
    <w:rsid w:val="00476A86"/>
    <w:rsid w:val="00477670"/>
    <w:rsid w:val="00477D3A"/>
    <w:rsid w:val="00477FB9"/>
    <w:rsid w:val="00480133"/>
    <w:rsid w:val="00480604"/>
    <w:rsid w:val="00480789"/>
    <w:rsid w:val="00480AD0"/>
    <w:rsid w:val="00480BCE"/>
    <w:rsid w:val="00480C70"/>
    <w:rsid w:val="00481941"/>
    <w:rsid w:val="00481A0C"/>
    <w:rsid w:val="00481A1F"/>
    <w:rsid w:val="00481B28"/>
    <w:rsid w:val="00482075"/>
    <w:rsid w:val="004822B5"/>
    <w:rsid w:val="0048268C"/>
    <w:rsid w:val="00482AA3"/>
    <w:rsid w:val="00482F64"/>
    <w:rsid w:val="00482FCF"/>
    <w:rsid w:val="00483218"/>
    <w:rsid w:val="0048470D"/>
    <w:rsid w:val="00484C52"/>
    <w:rsid w:val="00484C77"/>
    <w:rsid w:val="00484DDE"/>
    <w:rsid w:val="00484F5F"/>
    <w:rsid w:val="004853E9"/>
    <w:rsid w:val="004857EA"/>
    <w:rsid w:val="004858DE"/>
    <w:rsid w:val="00485D1A"/>
    <w:rsid w:val="00486281"/>
    <w:rsid w:val="00486AAF"/>
    <w:rsid w:val="004872FE"/>
    <w:rsid w:val="004877FE"/>
    <w:rsid w:val="00487838"/>
    <w:rsid w:val="00487C3F"/>
    <w:rsid w:val="004906EB"/>
    <w:rsid w:val="00490A0F"/>
    <w:rsid w:val="00490F08"/>
    <w:rsid w:val="004911A5"/>
    <w:rsid w:val="00492122"/>
    <w:rsid w:val="004929DD"/>
    <w:rsid w:val="00493411"/>
    <w:rsid w:val="00493507"/>
    <w:rsid w:val="004938BE"/>
    <w:rsid w:val="00494106"/>
    <w:rsid w:val="00494B33"/>
    <w:rsid w:val="004955CB"/>
    <w:rsid w:val="00495791"/>
    <w:rsid w:val="00495B5B"/>
    <w:rsid w:val="00495FE7"/>
    <w:rsid w:val="00496664"/>
    <w:rsid w:val="00496ABA"/>
    <w:rsid w:val="004972FB"/>
    <w:rsid w:val="004A0B96"/>
    <w:rsid w:val="004A0D6A"/>
    <w:rsid w:val="004A1121"/>
    <w:rsid w:val="004A1311"/>
    <w:rsid w:val="004A13A7"/>
    <w:rsid w:val="004A1843"/>
    <w:rsid w:val="004A1E7C"/>
    <w:rsid w:val="004A22A0"/>
    <w:rsid w:val="004A2E5E"/>
    <w:rsid w:val="004A3B50"/>
    <w:rsid w:val="004A3B63"/>
    <w:rsid w:val="004A3E5D"/>
    <w:rsid w:val="004A407F"/>
    <w:rsid w:val="004A429C"/>
    <w:rsid w:val="004A44D9"/>
    <w:rsid w:val="004A456F"/>
    <w:rsid w:val="004A53E5"/>
    <w:rsid w:val="004A54C8"/>
    <w:rsid w:val="004A582E"/>
    <w:rsid w:val="004A5C51"/>
    <w:rsid w:val="004A629D"/>
    <w:rsid w:val="004A65B6"/>
    <w:rsid w:val="004A69D5"/>
    <w:rsid w:val="004A6C6A"/>
    <w:rsid w:val="004A79C4"/>
    <w:rsid w:val="004A7FC1"/>
    <w:rsid w:val="004B0BEE"/>
    <w:rsid w:val="004B1815"/>
    <w:rsid w:val="004B1FA9"/>
    <w:rsid w:val="004B211A"/>
    <w:rsid w:val="004B22AE"/>
    <w:rsid w:val="004B2D03"/>
    <w:rsid w:val="004B30DD"/>
    <w:rsid w:val="004B3355"/>
    <w:rsid w:val="004B40A4"/>
    <w:rsid w:val="004B4274"/>
    <w:rsid w:val="004B4AB7"/>
    <w:rsid w:val="004B5B87"/>
    <w:rsid w:val="004B64BA"/>
    <w:rsid w:val="004B6B11"/>
    <w:rsid w:val="004B6C10"/>
    <w:rsid w:val="004B6FDD"/>
    <w:rsid w:val="004B798B"/>
    <w:rsid w:val="004C0587"/>
    <w:rsid w:val="004C06CA"/>
    <w:rsid w:val="004C0EE7"/>
    <w:rsid w:val="004C0F31"/>
    <w:rsid w:val="004C120A"/>
    <w:rsid w:val="004C147F"/>
    <w:rsid w:val="004C3350"/>
    <w:rsid w:val="004C3E25"/>
    <w:rsid w:val="004C410B"/>
    <w:rsid w:val="004C4218"/>
    <w:rsid w:val="004C49CD"/>
    <w:rsid w:val="004C50B4"/>
    <w:rsid w:val="004C5512"/>
    <w:rsid w:val="004C6CC7"/>
    <w:rsid w:val="004C6CFA"/>
    <w:rsid w:val="004C75C4"/>
    <w:rsid w:val="004C794C"/>
    <w:rsid w:val="004D0DDC"/>
    <w:rsid w:val="004D11BF"/>
    <w:rsid w:val="004D134A"/>
    <w:rsid w:val="004D1492"/>
    <w:rsid w:val="004D1CD2"/>
    <w:rsid w:val="004D1D2C"/>
    <w:rsid w:val="004D2130"/>
    <w:rsid w:val="004D2711"/>
    <w:rsid w:val="004D3817"/>
    <w:rsid w:val="004D4831"/>
    <w:rsid w:val="004D4981"/>
    <w:rsid w:val="004D4F59"/>
    <w:rsid w:val="004D5034"/>
    <w:rsid w:val="004D53F1"/>
    <w:rsid w:val="004D5A64"/>
    <w:rsid w:val="004D5B8A"/>
    <w:rsid w:val="004D5BE1"/>
    <w:rsid w:val="004D63EF"/>
    <w:rsid w:val="004D6AAB"/>
    <w:rsid w:val="004D6B7A"/>
    <w:rsid w:val="004D71F9"/>
    <w:rsid w:val="004D7A7B"/>
    <w:rsid w:val="004E0561"/>
    <w:rsid w:val="004E0BFF"/>
    <w:rsid w:val="004E103E"/>
    <w:rsid w:val="004E1230"/>
    <w:rsid w:val="004E1F1F"/>
    <w:rsid w:val="004E1F5D"/>
    <w:rsid w:val="004E1FB1"/>
    <w:rsid w:val="004E2181"/>
    <w:rsid w:val="004E235F"/>
    <w:rsid w:val="004E2DB8"/>
    <w:rsid w:val="004E3743"/>
    <w:rsid w:val="004E3746"/>
    <w:rsid w:val="004E3854"/>
    <w:rsid w:val="004E4397"/>
    <w:rsid w:val="004E4EAF"/>
    <w:rsid w:val="004E5294"/>
    <w:rsid w:val="004E557E"/>
    <w:rsid w:val="004E6006"/>
    <w:rsid w:val="004E753B"/>
    <w:rsid w:val="004E7730"/>
    <w:rsid w:val="004E7A02"/>
    <w:rsid w:val="004F04BB"/>
    <w:rsid w:val="004F072B"/>
    <w:rsid w:val="004F08B2"/>
    <w:rsid w:val="004F08D6"/>
    <w:rsid w:val="004F110B"/>
    <w:rsid w:val="004F115C"/>
    <w:rsid w:val="004F1EE6"/>
    <w:rsid w:val="004F2271"/>
    <w:rsid w:val="004F2633"/>
    <w:rsid w:val="004F2C2D"/>
    <w:rsid w:val="004F4304"/>
    <w:rsid w:val="004F440A"/>
    <w:rsid w:val="004F5D8B"/>
    <w:rsid w:val="004F5DD0"/>
    <w:rsid w:val="004F5EAF"/>
    <w:rsid w:val="004F688B"/>
    <w:rsid w:val="004F7139"/>
    <w:rsid w:val="004F7307"/>
    <w:rsid w:val="0050016E"/>
    <w:rsid w:val="005003F5"/>
    <w:rsid w:val="0050091F"/>
    <w:rsid w:val="0050117E"/>
    <w:rsid w:val="005018D7"/>
    <w:rsid w:val="0050198C"/>
    <w:rsid w:val="0050217A"/>
    <w:rsid w:val="005024A7"/>
    <w:rsid w:val="00503AC7"/>
    <w:rsid w:val="00504A6C"/>
    <w:rsid w:val="00505306"/>
    <w:rsid w:val="005053C9"/>
    <w:rsid w:val="00505B3D"/>
    <w:rsid w:val="00505E54"/>
    <w:rsid w:val="00507072"/>
    <w:rsid w:val="00507591"/>
    <w:rsid w:val="00507F1E"/>
    <w:rsid w:val="00510226"/>
    <w:rsid w:val="00510EFD"/>
    <w:rsid w:val="005111F2"/>
    <w:rsid w:val="0051153E"/>
    <w:rsid w:val="00511797"/>
    <w:rsid w:val="00512427"/>
    <w:rsid w:val="0051279A"/>
    <w:rsid w:val="00512B8A"/>
    <w:rsid w:val="00513661"/>
    <w:rsid w:val="00513C73"/>
    <w:rsid w:val="0051432B"/>
    <w:rsid w:val="005154C1"/>
    <w:rsid w:val="00515E43"/>
    <w:rsid w:val="005165E4"/>
    <w:rsid w:val="00516A5B"/>
    <w:rsid w:val="0051728B"/>
    <w:rsid w:val="005178E4"/>
    <w:rsid w:val="005203A8"/>
    <w:rsid w:val="00520AC5"/>
    <w:rsid w:val="00520BAC"/>
    <w:rsid w:val="0052116B"/>
    <w:rsid w:val="005222DA"/>
    <w:rsid w:val="0052262B"/>
    <w:rsid w:val="00522724"/>
    <w:rsid w:val="00522A2A"/>
    <w:rsid w:val="00522B59"/>
    <w:rsid w:val="00522F9E"/>
    <w:rsid w:val="00523186"/>
    <w:rsid w:val="00523555"/>
    <w:rsid w:val="00523761"/>
    <w:rsid w:val="00523A35"/>
    <w:rsid w:val="00523DCE"/>
    <w:rsid w:val="0052428E"/>
    <w:rsid w:val="0052429D"/>
    <w:rsid w:val="00524918"/>
    <w:rsid w:val="00524F2F"/>
    <w:rsid w:val="00525760"/>
    <w:rsid w:val="00525E74"/>
    <w:rsid w:val="0052627C"/>
    <w:rsid w:val="005263EA"/>
    <w:rsid w:val="00526803"/>
    <w:rsid w:val="0052693E"/>
    <w:rsid w:val="00526D9F"/>
    <w:rsid w:val="005271EB"/>
    <w:rsid w:val="0052722D"/>
    <w:rsid w:val="00527971"/>
    <w:rsid w:val="00527982"/>
    <w:rsid w:val="00530BDD"/>
    <w:rsid w:val="00530E5B"/>
    <w:rsid w:val="00531887"/>
    <w:rsid w:val="00531EC9"/>
    <w:rsid w:val="0053252B"/>
    <w:rsid w:val="00532549"/>
    <w:rsid w:val="005328D9"/>
    <w:rsid w:val="00532AB7"/>
    <w:rsid w:val="00532FA2"/>
    <w:rsid w:val="005332C3"/>
    <w:rsid w:val="00533927"/>
    <w:rsid w:val="00533BAD"/>
    <w:rsid w:val="00533F85"/>
    <w:rsid w:val="005340B4"/>
    <w:rsid w:val="00534107"/>
    <w:rsid w:val="00534C92"/>
    <w:rsid w:val="00535608"/>
    <w:rsid w:val="0053567A"/>
    <w:rsid w:val="00536027"/>
    <w:rsid w:val="005361DB"/>
    <w:rsid w:val="00536472"/>
    <w:rsid w:val="005366C3"/>
    <w:rsid w:val="00536BDD"/>
    <w:rsid w:val="00536CB5"/>
    <w:rsid w:val="0053760C"/>
    <w:rsid w:val="005377B6"/>
    <w:rsid w:val="00540162"/>
    <w:rsid w:val="005402B4"/>
    <w:rsid w:val="00540381"/>
    <w:rsid w:val="0054072F"/>
    <w:rsid w:val="00540AF7"/>
    <w:rsid w:val="00540BA3"/>
    <w:rsid w:val="00540F28"/>
    <w:rsid w:val="00541337"/>
    <w:rsid w:val="00543133"/>
    <w:rsid w:val="00543584"/>
    <w:rsid w:val="00543C1A"/>
    <w:rsid w:val="00544782"/>
    <w:rsid w:val="005453F5"/>
    <w:rsid w:val="00545539"/>
    <w:rsid w:val="0054562D"/>
    <w:rsid w:val="00545A47"/>
    <w:rsid w:val="00545AD2"/>
    <w:rsid w:val="0054692E"/>
    <w:rsid w:val="00546C16"/>
    <w:rsid w:val="00546FBC"/>
    <w:rsid w:val="00547066"/>
    <w:rsid w:val="00547428"/>
    <w:rsid w:val="0054767B"/>
    <w:rsid w:val="0054776A"/>
    <w:rsid w:val="00547DF3"/>
    <w:rsid w:val="00547F37"/>
    <w:rsid w:val="00550145"/>
    <w:rsid w:val="00551940"/>
    <w:rsid w:val="005519D2"/>
    <w:rsid w:val="0055226D"/>
    <w:rsid w:val="00552396"/>
    <w:rsid w:val="00553BC8"/>
    <w:rsid w:val="0055420F"/>
    <w:rsid w:val="00554440"/>
    <w:rsid w:val="005545C5"/>
    <w:rsid w:val="005556C5"/>
    <w:rsid w:val="00555901"/>
    <w:rsid w:val="00556494"/>
    <w:rsid w:val="00556537"/>
    <w:rsid w:val="005567E0"/>
    <w:rsid w:val="00556CD6"/>
    <w:rsid w:val="00556FA8"/>
    <w:rsid w:val="0055749D"/>
    <w:rsid w:val="005576DD"/>
    <w:rsid w:val="005578CD"/>
    <w:rsid w:val="00557CDD"/>
    <w:rsid w:val="00557E5C"/>
    <w:rsid w:val="0056049A"/>
    <w:rsid w:val="00560A3A"/>
    <w:rsid w:val="00560DF1"/>
    <w:rsid w:val="00560F56"/>
    <w:rsid w:val="0056121D"/>
    <w:rsid w:val="00561828"/>
    <w:rsid w:val="00561A88"/>
    <w:rsid w:val="00561EB3"/>
    <w:rsid w:val="00562420"/>
    <w:rsid w:val="00562E08"/>
    <w:rsid w:val="00563591"/>
    <w:rsid w:val="005638D1"/>
    <w:rsid w:val="00563A83"/>
    <w:rsid w:val="00564616"/>
    <w:rsid w:val="00564C84"/>
    <w:rsid w:val="005651DC"/>
    <w:rsid w:val="00565265"/>
    <w:rsid w:val="00565389"/>
    <w:rsid w:val="0056606E"/>
    <w:rsid w:val="0056668B"/>
    <w:rsid w:val="00566F43"/>
    <w:rsid w:val="005677B1"/>
    <w:rsid w:val="00567EEC"/>
    <w:rsid w:val="00570084"/>
    <w:rsid w:val="00570119"/>
    <w:rsid w:val="00570192"/>
    <w:rsid w:val="00570410"/>
    <w:rsid w:val="0057066F"/>
    <w:rsid w:val="0057096E"/>
    <w:rsid w:val="005718CD"/>
    <w:rsid w:val="00571C9F"/>
    <w:rsid w:val="00572348"/>
    <w:rsid w:val="0057250D"/>
    <w:rsid w:val="00573C10"/>
    <w:rsid w:val="00573EC0"/>
    <w:rsid w:val="0057422B"/>
    <w:rsid w:val="00574597"/>
    <w:rsid w:val="00574B5B"/>
    <w:rsid w:val="00574FEE"/>
    <w:rsid w:val="0057533F"/>
    <w:rsid w:val="00575512"/>
    <w:rsid w:val="00575638"/>
    <w:rsid w:val="00576241"/>
    <w:rsid w:val="00576337"/>
    <w:rsid w:val="00576378"/>
    <w:rsid w:val="00576690"/>
    <w:rsid w:val="00576714"/>
    <w:rsid w:val="00576752"/>
    <w:rsid w:val="00577373"/>
    <w:rsid w:val="00577421"/>
    <w:rsid w:val="00577452"/>
    <w:rsid w:val="005776B8"/>
    <w:rsid w:val="00577CC0"/>
    <w:rsid w:val="00580E53"/>
    <w:rsid w:val="00581A6C"/>
    <w:rsid w:val="0058218F"/>
    <w:rsid w:val="005828BC"/>
    <w:rsid w:val="00582E85"/>
    <w:rsid w:val="00583140"/>
    <w:rsid w:val="0058348F"/>
    <w:rsid w:val="005835FB"/>
    <w:rsid w:val="00584380"/>
    <w:rsid w:val="005846B2"/>
    <w:rsid w:val="00584ABD"/>
    <w:rsid w:val="00584BF9"/>
    <w:rsid w:val="00584C24"/>
    <w:rsid w:val="00584E2C"/>
    <w:rsid w:val="00584EA3"/>
    <w:rsid w:val="005852C0"/>
    <w:rsid w:val="00585896"/>
    <w:rsid w:val="00585C51"/>
    <w:rsid w:val="0058631D"/>
    <w:rsid w:val="005863BF"/>
    <w:rsid w:val="005870CF"/>
    <w:rsid w:val="005871C8"/>
    <w:rsid w:val="00587BB0"/>
    <w:rsid w:val="005904BC"/>
    <w:rsid w:val="005904C3"/>
    <w:rsid w:val="00590713"/>
    <w:rsid w:val="00590950"/>
    <w:rsid w:val="00591956"/>
    <w:rsid w:val="0059260D"/>
    <w:rsid w:val="005930AE"/>
    <w:rsid w:val="005935AA"/>
    <w:rsid w:val="00593E90"/>
    <w:rsid w:val="00594141"/>
    <w:rsid w:val="00594B30"/>
    <w:rsid w:val="00595ABD"/>
    <w:rsid w:val="005960E4"/>
    <w:rsid w:val="0059619C"/>
    <w:rsid w:val="00596548"/>
    <w:rsid w:val="005967D1"/>
    <w:rsid w:val="00596F71"/>
    <w:rsid w:val="0059741D"/>
    <w:rsid w:val="005A0245"/>
    <w:rsid w:val="005A0308"/>
    <w:rsid w:val="005A03E0"/>
    <w:rsid w:val="005A12D7"/>
    <w:rsid w:val="005A1544"/>
    <w:rsid w:val="005A1983"/>
    <w:rsid w:val="005A1D2A"/>
    <w:rsid w:val="005A249E"/>
    <w:rsid w:val="005A3171"/>
    <w:rsid w:val="005A347C"/>
    <w:rsid w:val="005A3791"/>
    <w:rsid w:val="005A37DC"/>
    <w:rsid w:val="005A383A"/>
    <w:rsid w:val="005A3A0E"/>
    <w:rsid w:val="005A3E92"/>
    <w:rsid w:val="005A40DA"/>
    <w:rsid w:val="005A411D"/>
    <w:rsid w:val="005A4375"/>
    <w:rsid w:val="005A43C8"/>
    <w:rsid w:val="005A4512"/>
    <w:rsid w:val="005A46B8"/>
    <w:rsid w:val="005A4974"/>
    <w:rsid w:val="005A4EC5"/>
    <w:rsid w:val="005A5B4E"/>
    <w:rsid w:val="005A6286"/>
    <w:rsid w:val="005A69D5"/>
    <w:rsid w:val="005A7D03"/>
    <w:rsid w:val="005A7ED0"/>
    <w:rsid w:val="005B0121"/>
    <w:rsid w:val="005B0532"/>
    <w:rsid w:val="005B0A30"/>
    <w:rsid w:val="005B0C33"/>
    <w:rsid w:val="005B0E84"/>
    <w:rsid w:val="005B12F2"/>
    <w:rsid w:val="005B16FF"/>
    <w:rsid w:val="005B1A23"/>
    <w:rsid w:val="005B25B9"/>
    <w:rsid w:val="005B311E"/>
    <w:rsid w:val="005B3471"/>
    <w:rsid w:val="005B392F"/>
    <w:rsid w:val="005B3A5A"/>
    <w:rsid w:val="005B4162"/>
    <w:rsid w:val="005B48D4"/>
    <w:rsid w:val="005B6100"/>
    <w:rsid w:val="005B648D"/>
    <w:rsid w:val="005B68AB"/>
    <w:rsid w:val="005B6E80"/>
    <w:rsid w:val="005B6EF5"/>
    <w:rsid w:val="005B7D20"/>
    <w:rsid w:val="005B7E16"/>
    <w:rsid w:val="005C00F2"/>
    <w:rsid w:val="005C0DBD"/>
    <w:rsid w:val="005C1437"/>
    <w:rsid w:val="005C1F60"/>
    <w:rsid w:val="005C26A4"/>
    <w:rsid w:val="005C26CD"/>
    <w:rsid w:val="005C2903"/>
    <w:rsid w:val="005C2DCB"/>
    <w:rsid w:val="005C35F6"/>
    <w:rsid w:val="005C3CF1"/>
    <w:rsid w:val="005C445C"/>
    <w:rsid w:val="005C4478"/>
    <w:rsid w:val="005C49A0"/>
    <w:rsid w:val="005C5457"/>
    <w:rsid w:val="005C59A2"/>
    <w:rsid w:val="005C5AE7"/>
    <w:rsid w:val="005C5CFC"/>
    <w:rsid w:val="005C5F5D"/>
    <w:rsid w:val="005C648B"/>
    <w:rsid w:val="005C7236"/>
    <w:rsid w:val="005D0260"/>
    <w:rsid w:val="005D03EE"/>
    <w:rsid w:val="005D0AE6"/>
    <w:rsid w:val="005D0CC0"/>
    <w:rsid w:val="005D12DB"/>
    <w:rsid w:val="005D16E0"/>
    <w:rsid w:val="005D1BAC"/>
    <w:rsid w:val="005D1BE5"/>
    <w:rsid w:val="005D1CB2"/>
    <w:rsid w:val="005D2001"/>
    <w:rsid w:val="005D2987"/>
    <w:rsid w:val="005D2B37"/>
    <w:rsid w:val="005D2D79"/>
    <w:rsid w:val="005D2DFC"/>
    <w:rsid w:val="005D3439"/>
    <w:rsid w:val="005D4135"/>
    <w:rsid w:val="005D4617"/>
    <w:rsid w:val="005D56BB"/>
    <w:rsid w:val="005D5EED"/>
    <w:rsid w:val="005D650B"/>
    <w:rsid w:val="005D6A02"/>
    <w:rsid w:val="005D6D9C"/>
    <w:rsid w:val="005D719F"/>
    <w:rsid w:val="005D7A90"/>
    <w:rsid w:val="005D7D4B"/>
    <w:rsid w:val="005E0914"/>
    <w:rsid w:val="005E0F29"/>
    <w:rsid w:val="005E0F7B"/>
    <w:rsid w:val="005E1940"/>
    <w:rsid w:val="005E1B00"/>
    <w:rsid w:val="005E1F88"/>
    <w:rsid w:val="005E3F5E"/>
    <w:rsid w:val="005E3FA3"/>
    <w:rsid w:val="005E4162"/>
    <w:rsid w:val="005E41C7"/>
    <w:rsid w:val="005E4D94"/>
    <w:rsid w:val="005E5F33"/>
    <w:rsid w:val="005E6735"/>
    <w:rsid w:val="005E7940"/>
    <w:rsid w:val="005E7D41"/>
    <w:rsid w:val="005E7DC3"/>
    <w:rsid w:val="005F0CA9"/>
    <w:rsid w:val="005F0CC7"/>
    <w:rsid w:val="005F118C"/>
    <w:rsid w:val="005F14DF"/>
    <w:rsid w:val="005F1878"/>
    <w:rsid w:val="005F1C9C"/>
    <w:rsid w:val="005F1CFD"/>
    <w:rsid w:val="005F1E40"/>
    <w:rsid w:val="005F1F79"/>
    <w:rsid w:val="005F238B"/>
    <w:rsid w:val="005F2830"/>
    <w:rsid w:val="005F29C3"/>
    <w:rsid w:val="005F2C3B"/>
    <w:rsid w:val="005F2E75"/>
    <w:rsid w:val="005F31D4"/>
    <w:rsid w:val="005F39C0"/>
    <w:rsid w:val="005F3C2D"/>
    <w:rsid w:val="005F4D05"/>
    <w:rsid w:val="005F501A"/>
    <w:rsid w:val="005F5867"/>
    <w:rsid w:val="005F5971"/>
    <w:rsid w:val="005F599E"/>
    <w:rsid w:val="005F66E4"/>
    <w:rsid w:val="005F6929"/>
    <w:rsid w:val="005F6AD0"/>
    <w:rsid w:val="005F74EC"/>
    <w:rsid w:val="005F7899"/>
    <w:rsid w:val="005F7F44"/>
    <w:rsid w:val="005F7F6D"/>
    <w:rsid w:val="006001A5"/>
    <w:rsid w:val="00600B12"/>
    <w:rsid w:val="00600D2B"/>
    <w:rsid w:val="006011ED"/>
    <w:rsid w:val="00601864"/>
    <w:rsid w:val="00601E1C"/>
    <w:rsid w:val="00602613"/>
    <w:rsid w:val="00602E13"/>
    <w:rsid w:val="006031EB"/>
    <w:rsid w:val="00603292"/>
    <w:rsid w:val="00603AC0"/>
    <w:rsid w:val="00603F6B"/>
    <w:rsid w:val="00603F7C"/>
    <w:rsid w:val="00604431"/>
    <w:rsid w:val="006046D0"/>
    <w:rsid w:val="006060B7"/>
    <w:rsid w:val="0060696D"/>
    <w:rsid w:val="0060698E"/>
    <w:rsid w:val="00606FBE"/>
    <w:rsid w:val="00607AC6"/>
    <w:rsid w:val="006101A5"/>
    <w:rsid w:val="00610AC4"/>
    <w:rsid w:val="006115DF"/>
    <w:rsid w:val="006119AC"/>
    <w:rsid w:val="00611A04"/>
    <w:rsid w:val="006121E8"/>
    <w:rsid w:val="006127BD"/>
    <w:rsid w:val="00613159"/>
    <w:rsid w:val="00613167"/>
    <w:rsid w:val="00613222"/>
    <w:rsid w:val="00613DB7"/>
    <w:rsid w:val="00613EE1"/>
    <w:rsid w:val="00613FE1"/>
    <w:rsid w:val="006145F4"/>
    <w:rsid w:val="0061513B"/>
    <w:rsid w:val="00615375"/>
    <w:rsid w:val="0061538C"/>
    <w:rsid w:val="00615D6C"/>
    <w:rsid w:val="006160BB"/>
    <w:rsid w:val="00616BA1"/>
    <w:rsid w:val="006172D5"/>
    <w:rsid w:val="006173E7"/>
    <w:rsid w:val="006175BB"/>
    <w:rsid w:val="00617A7C"/>
    <w:rsid w:val="00617B21"/>
    <w:rsid w:val="0062033E"/>
    <w:rsid w:val="00620463"/>
    <w:rsid w:val="00620F05"/>
    <w:rsid w:val="00620F32"/>
    <w:rsid w:val="0062176E"/>
    <w:rsid w:val="00621DE8"/>
    <w:rsid w:val="00622244"/>
    <w:rsid w:val="00622B71"/>
    <w:rsid w:val="00622C15"/>
    <w:rsid w:val="00623186"/>
    <w:rsid w:val="00623589"/>
    <w:rsid w:val="006237C3"/>
    <w:rsid w:val="00623956"/>
    <w:rsid w:val="00623BD3"/>
    <w:rsid w:val="0062402C"/>
    <w:rsid w:val="0062434A"/>
    <w:rsid w:val="00625054"/>
    <w:rsid w:val="0062514A"/>
    <w:rsid w:val="00626032"/>
    <w:rsid w:val="00626084"/>
    <w:rsid w:val="00626DC3"/>
    <w:rsid w:val="00626FFC"/>
    <w:rsid w:val="00627554"/>
    <w:rsid w:val="006301E0"/>
    <w:rsid w:val="0063060E"/>
    <w:rsid w:val="00630B49"/>
    <w:rsid w:val="00631483"/>
    <w:rsid w:val="0063171A"/>
    <w:rsid w:val="00632BD0"/>
    <w:rsid w:val="00632D1B"/>
    <w:rsid w:val="006333B5"/>
    <w:rsid w:val="00633CEF"/>
    <w:rsid w:val="00633DF8"/>
    <w:rsid w:val="00634BAF"/>
    <w:rsid w:val="00635E3B"/>
    <w:rsid w:val="006363B1"/>
    <w:rsid w:val="00636651"/>
    <w:rsid w:val="006370EF"/>
    <w:rsid w:val="006379BF"/>
    <w:rsid w:val="00637F2C"/>
    <w:rsid w:val="0064004A"/>
    <w:rsid w:val="00640165"/>
    <w:rsid w:val="00640F6C"/>
    <w:rsid w:val="006413E0"/>
    <w:rsid w:val="006423EF"/>
    <w:rsid w:val="00642CF9"/>
    <w:rsid w:val="00642EAE"/>
    <w:rsid w:val="0064341A"/>
    <w:rsid w:val="0064374C"/>
    <w:rsid w:val="00643D32"/>
    <w:rsid w:val="00643D40"/>
    <w:rsid w:val="00643DC3"/>
    <w:rsid w:val="00644125"/>
    <w:rsid w:val="00644657"/>
    <w:rsid w:val="00644F61"/>
    <w:rsid w:val="00645A5D"/>
    <w:rsid w:val="00646A13"/>
    <w:rsid w:val="00646C2D"/>
    <w:rsid w:val="00647109"/>
    <w:rsid w:val="00647359"/>
    <w:rsid w:val="006506B3"/>
    <w:rsid w:val="0065070A"/>
    <w:rsid w:val="00650C27"/>
    <w:rsid w:val="0065189D"/>
    <w:rsid w:val="00651B8A"/>
    <w:rsid w:val="00651D11"/>
    <w:rsid w:val="00651FAB"/>
    <w:rsid w:val="00652433"/>
    <w:rsid w:val="00652CFF"/>
    <w:rsid w:val="00653A03"/>
    <w:rsid w:val="00654B37"/>
    <w:rsid w:val="00654C92"/>
    <w:rsid w:val="0065532E"/>
    <w:rsid w:val="00655879"/>
    <w:rsid w:val="00655C11"/>
    <w:rsid w:val="00655F87"/>
    <w:rsid w:val="0065625F"/>
    <w:rsid w:val="00656D93"/>
    <w:rsid w:val="0065718C"/>
    <w:rsid w:val="00657650"/>
    <w:rsid w:val="00657E4C"/>
    <w:rsid w:val="00660334"/>
    <w:rsid w:val="006604A5"/>
    <w:rsid w:val="00660914"/>
    <w:rsid w:val="00660A62"/>
    <w:rsid w:val="00660B20"/>
    <w:rsid w:val="00660DF8"/>
    <w:rsid w:val="00660EC2"/>
    <w:rsid w:val="00661151"/>
    <w:rsid w:val="00661717"/>
    <w:rsid w:val="00661CE7"/>
    <w:rsid w:val="00661E8C"/>
    <w:rsid w:val="00662336"/>
    <w:rsid w:val="00662599"/>
    <w:rsid w:val="00663CA8"/>
    <w:rsid w:val="00663D5C"/>
    <w:rsid w:val="00664771"/>
    <w:rsid w:val="00665312"/>
    <w:rsid w:val="00665374"/>
    <w:rsid w:val="00665747"/>
    <w:rsid w:val="00665C97"/>
    <w:rsid w:val="00666E23"/>
    <w:rsid w:val="006678DB"/>
    <w:rsid w:val="00667B3F"/>
    <w:rsid w:val="00667B90"/>
    <w:rsid w:val="006706BE"/>
    <w:rsid w:val="006707F8"/>
    <w:rsid w:val="00670F0D"/>
    <w:rsid w:val="00671C69"/>
    <w:rsid w:val="00671CF0"/>
    <w:rsid w:val="00672A5D"/>
    <w:rsid w:val="00672D6D"/>
    <w:rsid w:val="006735CB"/>
    <w:rsid w:val="00673B69"/>
    <w:rsid w:val="00673DF7"/>
    <w:rsid w:val="0067400E"/>
    <w:rsid w:val="006743C2"/>
    <w:rsid w:val="00674B96"/>
    <w:rsid w:val="00676392"/>
    <w:rsid w:val="0067710D"/>
    <w:rsid w:val="006773D0"/>
    <w:rsid w:val="006775D6"/>
    <w:rsid w:val="00677C05"/>
    <w:rsid w:val="00677E6B"/>
    <w:rsid w:val="0068012B"/>
    <w:rsid w:val="0068013D"/>
    <w:rsid w:val="00680266"/>
    <w:rsid w:val="00681295"/>
    <w:rsid w:val="0068186D"/>
    <w:rsid w:val="00682237"/>
    <w:rsid w:val="00682526"/>
    <w:rsid w:val="006826ED"/>
    <w:rsid w:val="00682738"/>
    <w:rsid w:val="00682785"/>
    <w:rsid w:val="00682A8A"/>
    <w:rsid w:val="00682B3D"/>
    <w:rsid w:val="00682F3E"/>
    <w:rsid w:val="0068348E"/>
    <w:rsid w:val="00683555"/>
    <w:rsid w:val="00683AC1"/>
    <w:rsid w:val="00683C1F"/>
    <w:rsid w:val="00683CF3"/>
    <w:rsid w:val="006843F8"/>
    <w:rsid w:val="00684A8F"/>
    <w:rsid w:val="00684B68"/>
    <w:rsid w:val="00684B6F"/>
    <w:rsid w:val="00684E33"/>
    <w:rsid w:val="006853C5"/>
    <w:rsid w:val="006854A1"/>
    <w:rsid w:val="00685E11"/>
    <w:rsid w:val="006861E4"/>
    <w:rsid w:val="00686781"/>
    <w:rsid w:val="0068691F"/>
    <w:rsid w:val="0068720C"/>
    <w:rsid w:val="00690996"/>
    <w:rsid w:val="00690B35"/>
    <w:rsid w:val="00690B85"/>
    <w:rsid w:val="00691099"/>
    <w:rsid w:val="006911A6"/>
    <w:rsid w:val="0069127B"/>
    <w:rsid w:val="00691C19"/>
    <w:rsid w:val="00691C61"/>
    <w:rsid w:val="00692202"/>
    <w:rsid w:val="0069247E"/>
    <w:rsid w:val="00692A99"/>
    <w:rsid w:val="0069344C"/>
    <w:rsid w:val="00693D39"/>
    <w:rsid w:val="00694166"/>
    <w:rsid w:val="006941F8"/>
    <w:rsid w:val="006944C5"/>
    <w:rsid w:val="0069496B"/>
    <w:rsid w:val="00694C01"/>
    <w:rsid w:val="006956EE"/>
    <w:rsid w:val="00695A3D"/>
    <w:rsid w:val="00695D33"/>
    <w:rsid w:val="006960FC"/>
    <w:rsid w:val="0069713D"/>
    <w:rsid w:val="006973A6"/>
    <w:rsid w:val="006976E7"/>
    <w:rsid w:val="00697D8B"/>
    <w:rsid w:val="006A0361"/>
    <w:rsid w:val="006A0B05"/>
    <w:rsid w:val="006A0E76"/>
    <w:rsid w:val="006A143A"/>
    <w:rsid w:val="006A14BD"/>
    <w:rsid w:val="006A209B"/>
    <w:rsid w:val="006A29CA"/>
    <w:rsid w:val="006A4558"/>
    <w:rsid w:val="006A48D5"/>
    <w:rsid w:val="006A6184"/>
    <w:rsid w:val="006A6474"/>
    <w:rsid w:val="006A6609"/>
    <w:rsid w:val="006A69A5"/>
    <w:rsid w:val="006A6F8D"/>
    <w:rsid w:val="006B03C4"/>
    <w:rsid w:val="006B057D"/>
    <w:rsid w:val="006B08E4"/>
    <w:rsid w:val="006B0A15"/>
    <w:rsid w:val="006B0C27"/>
    <w:rsid w:val="006B14EC"/>
    <w:rsid w:val="006B15BC"/>
    <w:rsid w:val="006B1942"/>
    <w:rsid w:val="006B1C5F"/>
    <w:rsid w:val="006B1FCE"/>
    <w:rsid w:val="006B256A"/>
    <w:rsid w:val="006B2614"/>
    <w:rsid w:val="006B2A82"/>
    <w:rsid w:val="006B2F7F"/>
    <w:rsid w:val="006B3279"/>
    <w:rsid w:val="006B3430"/>
    <w:rsid w:val="006B3739"/>
    <w:rsid w:val="006B3AA6"/>
    <w:rsid w:val="006B40E5"/>
    <w:rsid w:val="006B4220"/>
    <w:rsid w:val="006B45A2"/>
    <w:rsid w:val="006B5912"/>
    <w:rsid w:val="006B5948"/>
    <w:rsid w:val="006B5DA5"/>
    <w:rsid w:val="006B5E65"/>
    <w:rsid w:val="006B63E1"/>
    <w:rsid w:val="006B6770"/>
    <w:rsid w:val="006B69AE"/>
    <w:rsid w:val="006B768A"/>
    <w:rsid w:val="006B78ED"/>
    <w:rsid w:val="006B7AF8"/>
    <w:rsid w:val="006B7BEB"/>
    <w:rsid w:val="006B7E03"/>
    <w:rsid w:val="006C009E"/>
    <w:rsid w:val="006C045A"/>
    <w:rsid w:val="006C0993"/>
    <w:rsid w:val="006C0BFA"/>
    <w:rsid w:val="006C154B"/>
    <w:rsid w:val="006C157C"/>
    <w:rsid w:val="006C1929"/>
    <w:rsid w:val="006C2080"/>
    <w:rsid w:val="006C2A94"/>
    <w:rsid w:val="006C35BC"/>
    <w:rsid w:val="006C35F2"/>
    <w:rsid w:val="006C36CC"/>
    <w:rsid w:val="006C40E1"/>
    <w:rsid w:val="006C45CC"/>
    <w:rsid w:val="006C4A87"/>
    <w:rsid w:val="006C4E6F"/>
    <w:rsid w:val="006C51F6"/>
    <w:rsid w:val="006C55F1"/>
    <w:rsid w:val="006C5AFA"/>
    <w:rsid w:val="006C5BC6"/>
    <w:rsid w:val="006C6025"/>
    <w:rsid w:val="006C6268"/>
    <w:rsid w:val="006C6697"/>
    <w:rsid w:val="006C6787"/>
    <w:rsid w:val="006C6C80"/>
    <w:rsid w:val="006C76FA"/>
    <w:rsid w:val="006C7DAB"/>
    <w:rsid w:val="006D069F"/>
    <w:rsid w:val="006D0B27"/>
    <w:rsid w:val="006D0CCF"/>
    <w:rsid w:val="006D1135"/>
    <w:rsid w:val="006D20AD"/>
    <w:rsid w:val="006D27E5"/>
    <w:rsid w:val="006D2DED"/>
    <w:rsid w:val="006D4240"/>
    <w:rsid w:val="006D443A"/>
    <w:rsid w:val="006D4549"/>
    <w:rsid w:val="006D467E"/>
    <w:rsid w:val="006D4C50"/>
    <w:rsid w:val="006D4DE0"/>
    <w:rsid w:val="006D576F"/>
    <w:rsid w:val="006D5939"/>
    <w:rsid w:val="006D5C35"/>
    <w:rsid w:val="006D5D9A"/>
    <w:rsid w:val="006D600F"/>
    <w:rsid w:val="006D61BD"/>
    <w:rsid w:val="006D6214"/>
    <w:rsid w:val="006D69D1"/>
    <w:rsid w:val="006D6DD5"/>
    <w:rsid w:val="006D6F80"/>
    <w:rsid w:val="006D6FA2"/>
    <w:rsid w:val="006D739D"/>
    <w:rsid w:val="006D75A1"/>
    <w:rsid w:val="006E09D5"/>
    <w:rsid w:val="006E0DB2"/>
    <w:rsid w:val="006E1592"/>
    <w:rsid w:val="006E17AD"/>
    <w:rsid w:val="006E1BA1"/>
    <w:rsid w:val="006E20CD"/>
    <w:rsid w:val="006E2538"/>
    <w:rsid w:val="006E28E6"/>
    <w:rsid w:val="006E31FF"/>
    <w:rsid w:val="006E33BB"/>
    <w:rsid w:val="006E38B1"/>
    <w:rsid w:val="006E3A14"/>
    <w:rsid w:val="006E5A66"/>
    <w:rsid w:val="006E5C54"/>
    <w:rsid w:val="006E631F"/>
    <w:rsid w:val="006E66D0"/>
    <w:rsid w:val="006E7196"/>
    <w:rsid w:val="006E7D3B"/>
    <w:rsid w:val="006E7F49"/>
    <w:rsid w:val="006F01E8"/>
    <w:rsid w:val="006F01EE"/>
    <w:rsid w:val="006F039B"/>
    <w:rsid w:val="006F0C45"/>
    <w:rsid w:val="006F0D9B"/>
    <w:rsid w:val="006F0F70"/>
    <w:rsid w:val="006F134B"/>
    <w:rsid w:val="006F18C6"/>
    <w:rsid w:val="006F1B3F"/>
    <w:rsid w:val="006F2222"/>
    <w:rsid w:val="006F22F0"/>
    <w:rsid w:val="006F2A1F"/>
    <w:rsid w:val="006F2DA9"/>
    <w:rsid w:val="006F326F"/>
    <w:rsid w:val="006F4722"/>
    <w:rsid w:val="006F5501"/>
    <w:rsid w:val="006F5549"/>
    <w:rsid w:val="006F699A"/>
    <w:rsid w:val="006F73AB"/>
    <w:rsid w:val="006F7EFD"/>
    <w:rsid w:val="00700CF7"/>
    <w:rsid w:val="00700F36"/>
    <w:rsid w:val="0070115F"/>
    <w:rsid w:val="0070185C"/>
    <w:rsid w:val="00701EDE"/>
    <w:rsid w:val="00702C92"/>
    <w:rsid w:val="007034F6"/>
    <w:rsid w:val="00703774"/>
    <w:rsid w:val="00703BD4"/>
    <w:rsid w:val="00704368"/>
    <w:rsid w:val="00704767"/>
    <w:rsid w:val="00704952"/>
    <w:rsid w:val="00704DBD"/>
    <w:rsid w:val="00705730"/>
    <w:rsid w:val="00705D4C"/>
    <w:rsid w:val="00706711"/>
    <w:rsid w:val="007067CD"/>
    <w:rsid w:val="00706B9B"/>
    <w:rsid w:val="00707678"/>
    <w:rsid w:val="00707D56"/>
    <w:rsid w:val="0071007C"/>
    <w:rsid w:val="0071123C"/>
    <w:rsid w:val="007115F8"/>
    <w:rsid w:val="00711C5D"/>
    <w:rsid w:val="00711E36"/>
    <w:rsid w:val="00711F44"/>
    <w:rsid w:val="00712013"/>
    <w:rsid w:val="0071221C"/>
    <w:rsid w:val="007128AC"/>
    <w:rsid w:val="00713110"/>
    <w:rsid w:val="0071379F"/>
    <w:rsid w:val="00713D48"/>
    <w:rsid w:val="007141A8"/>
    <w:rsid w:val="00714759"/>
    <w:rsid w:val="007149B5"/>
    <w:rsid w:val="00715234"/>
    <w:rsid w:val="0071543D"/>
    <w:rsid w:val="00715EE4"/>
    <w:rsid w:val="00716036"/>
    <w:rsid w:val="0071676D"/>
    <w:rsid w:val="007167E8"/>
    <w:rsid w:val="00716FC6"/>
    <w:rsid w:val="00717885"/>
    <w:rsid w:val="00717F1C"/>
    <w:rsid w:val="0072011B"/>
    <w:rsid w:val="0072033B"/>
    <w:rsid w:val="0072068C"/>
    <w:rsid w:val="007206DD"/>
    <w:rsid w:val="007209FB"/>
    <w:rsid w:val="00721BFE"/>
    <w:rsid w:val="00721CF4"/>
    <w:rsid w:val="00722B1A"/>
    <w:rsid w:val="007236ED"/>
    <w:rsid w:val="0072383B"/>
    <w:rsid w:val="00723DED"/>
    <w:rsid w:val="00723E07"/>
    <w:rsid w:val="00724159"/>
    <w:rsid w:val="007245F0"/>
    <w:rsid w:val="0072552A"/>
    <w:rsid w:val="00725582"/>
    <w:rsid w:val="0072568C"/>
    <w:rsid w:val="00726B76"/>
    <w:rsid w:val="00727236"/>
    <w:rsid w:val="00727658"/>
    <w:rsid w:val="00727786"/>
    <w:rsid w:val="007279D1"/>
    <w:rsid w:val="00727E7C"/>
    <w:rsid w:val="007300AC"/>
    <w:rsid w:val="00730583"/>
    <w:rsid w:val="00730F1F"/>
    <w:rsid w:val="00731523"/>
    <w:rsid w:val="007317E3"/>
    <w:rsid w:val="007318F5"/>
    <w:rsid w:val="00731C14"/>
    <w:rsid w:val="00731F21"/>
    <w:rsid w:val="00732939"/>
    <w:rsid w:val="00732DA2"/>
    <w:rsid w:val="00733394"/>
    <w:rsid w:val="00733BA6"/>
    <w:rsid w:val="00733CF6"/>
    <w:rsid w:val="00734152"/>
    <w:rsid w:val="00734601"/>
    <w:rsid w:val="00735BCE"/>
    <w:rsid w:val="00736DCC"/>
    <w:rsid w:val="00737666"/>
    <w:rsid w:val="007376D3"/>
    <w:rsid w:val="00740033"/>
    <w:rsid w:val="007400B8"/>
    <w:rsid w:val="00740162"/>
    <w:rsid w:val="00740214"/>
    <w:rsid w:val="00741007"/>
    <w:rsid w:val="0074164D"/>
    <w:rsid w:val="00741735"/>
    <w:rsid w:val="007417EA"/>
    <w:rsid w:val="00741FE4"/>
    <w:rsid w:val="0074245D"/>
    <w:rsid w:val="00742496"/>
    <w:rsid w:val="00743DB6"/>
    <w:rsid w:val="00744184"/>
    <w:rsid w:val="00744357"/>
    <w:rsid w:val="007443DF"/>
    <w:rsid w:val="00745CCC"/>
    <w:rsid w:val="007461CA"/>
    <w:rsid w:val="00746544"/>
    <w:rsid w:val="00746A57"/>
    <w:rsid w:val="00746CCC"/>
    <w:rsid w:val="00747042"/>
    <w:rsid w:val="007471F5"/>
    <w:rsid w:val="00747A7D"/>
    <w:rsid w:val="00747DB8"/>
    <w:rsid w:val="00750C9E"/>
    <w:rsid w:val="00750D28"/>
    <w:rsid w:val="00750DCB"/>
    <w:rsid w:val="00750FE0"/>
    <w:rsid w:val="00751A46"/>
    <w:rsid w:val="00752898"/>
    <w:rsid w:val="007529F2"/>
    <w:rsid w:val="00752A2B"/>
    <w:rsid w:val="00752D94"/>
    <w:rsid w:val="00753589"/>
    <w:rsid w:val="00753C6E"/>
    <w:rsid w:val="00753DE5"/>
    <w:rsid w:val="00753ED7"/>
    <w:rsid w:val="00754C96"/>
    <w:rsid w:val="00754CA9"/>
    <w:rsid w:val="0075516B"/>
    <w:rsid w:val="007556F6"/>
    <w:rsid w:val="00755881"/>
    <w:rsid w:val="007563B0"/>
    <w:rsid w:val="00756647"/>
    <w:rsid w:val="007574F6"/>
    <w:rsid w:val="00757D1A"/>
    <w:rsid w:val="00757F3B"/>
    <w:rsid w:val="00757FC1"/>
    <w:rsid w:val="00760AB4"/>
    <w:rsid w:val="00761B58"/>
    <w:rsid w:val="007621AD"/>
    <w:rsid w:val="00762B36"/>
    <w:rsid w:val="00763311"/>
    <w:rsid w:val="0076333E"/>
    <w:rsid w:val="007643DC"/>
    <w:rsid w:val="00765130"/>
    <w:rsid w:val="00765782"/>
    <w:rsid w:val="0076592D"/>
    <w:rsid w:val="00765B16"/>
    <w:rsid w:val="0076605F"/>
    <w:rsid w:val="00766080"/>
    <w:rsid w:val="00766461"/>
    <w:rsid w:val="007665E3"/>
    <w:rsid w:val="007670F8"/>
    <w:rsid w:val="007675AA"/>
    <w:rsid w:val="00767B19"/>
    <w:rsid w:val="00767FB7"/>
    <w:rsid w:val="0077014E"/>
    <w:rsid w:val="00770F0D"/>
    <w:rsid w:val="007713A2"/>
    <w:rsid w:val="007716AA"/>
    <w:rsid w:val="0077220C"/>
    <w:rsid w:val="0077233F"/>
    <w:rsid w:val="007723D7"/>
    <w:rsid w:val="00772AA9"/>
    <w:rsid w:val="00772C3B"/>
    <w:rsid w:val="00772F35"/>
    <w:rsid w:val="00773122"/>
    <w:rsid w:val="00773172"/>
    <w:rsid w:val="007733C0"/>
    <w:rsid w:val="00773F1B"/>
    <w:rsid w:val="007742C7"/>
    <w:rsid w:val="007743BE"/>
    <w:rsid w:val="00774485"/>
    <w:rsid w:val="007744A5"/>
    <w:rsid w:val="00774687"/>
    <w:rsid w:val="00774820"/>
    <w:rsid w:val="00775195"/>
    <w:rsid w:val="00775BF4"/>
    <w:rsid w:val="00775F4E"/>
    <w:rsid w:val="007764B1"/>
    <w:rsid w:val="0077659B"/>
    <w:rsid w:val="007770E8"/>
    <w:rsid w:val="00777365"/>
    <w:rsid w:val="00777FF1"/>
    <w:rsid w:val="007805DB"/>
    <w:rsid w:val="007811FB"/>
    <w:rsid w:val="0078156B"/>
    <w:rsid w:val="007820A0"/>
    <w:rsid w:val="0078253D"/>
    <w:rsid w:val="007826A9"/>
    <w:rsid w:val="00782AF5"/>
    <w:rsid w:val="00782C0D"/>
    <w:rsid w:val="00782E0A"/>
    <w:rsid w:val="00782E65"/>
    <w:rsid w:val="007835FE"/>
    <w:rsid w:val="00784736"/>
    <w:rsid w:val="007850FC"/>
    <w:rsid w:val="00785198"/>
    <w:rsid w:val="00785264"/>
    <w:rsid w:val="0078553E"/>
    <w:rsid w:val="00785A50"/>
    <w:rsid w:val="00785D22"/>
    <w:rsid w:val="00785DD6"/>
    <w:rsid w:val="00786048"/>
    <w:rsid w:val="00787D98"/>
    <w:rsid w:val="00790510"/>
    <w:rsid w:val="0079108A"/>
    <w:rsid w:val="00792D63"/>
    <w:rsid w:val="007930A8"/>
    <w:rsid w:val="00793180"/>
    <w:rsid w:val="00793807"/>
    <w:rsid w:val="00793E89"/>
    <w:rsid w:val="0079455D"/>
    <w:rsid w:val="00794CFF"/>
    <w:rsid w:val="0079520C"/>
    <w:rsid w:val="007952FC"/>
    <w:rsid w:val="00795C2B"/>
    <w:rsid w:val="0079613E"/>
    <w:rsid w:val="0079624C"/>
    <w:rsid w:val="007963B8"/>
    <w:rsid w:val="00796808"/>
    <w:rsid w:val="00796B91"/>
    <w:rsid w:val="00796F4D"/>
    <w:rsid w:val="00797719"/>
    <w:rsid w:val="007978BD"/>
    <w:rsid w:val="007A008E"/>
    <w:rsid w:val="007A00D3"/>
    <w:rsid w:val="007A03E5"/>
    <w:rsid w:val="007A04ED"/>
    <w:rsid w:val="007A1A1F"/>
    <w:rsid w:val="007A2D3E"/>
    <w:rsid w:val="007A2DDC"/>
    <w:rsid w:val="007A33A3"/>
    <w:rsid w:val="007A3A59"/>
    <w:rsid w:val="007A3A88"/>
    <w:rsid w:val="007A3CCE"/>
    <w:rsid w:val="007A3FF1"/>
    <w:rsid w:val="007A41A8"/>
    <w:rsid w:val="007A4260"/>
    <w:rsid w:val="007A42FA"/>
    <w:rsid w:val="007A46DD"/>
    <w:rsid w:val="007A4B71"/>
    <w:rsid w:val="007A4FA5"/>
    <w:rsid w:val="007A4FEF"/>
    <w:rsid w:val="007A572B"/>
    <w:rsid w:val="007A57D3"/>
    <w:rsid w:val="007A6EA9"/>
    <w:rsid w:val="007A70D6"/>
    <w:rsid w:val="007A7CA8"/>
    <w:rsid w:val="007B0789"/>
    <w:rsid w:val="007B0B3A"/>
    <w:rsid w:val="007B0CAD"/>
    <w:rsid w:val="007B13D5"/>
    <w:rsid w:val="007B16E1"/>
    <w:rsid w:val="007B1CD9"/>
    <w:rsid w:val="007B2422"/>
    <w:rsid w:val="007B2534"/>
    <w:rsid w:val="007B2A7F"/>
    <w:rsid w:val="007B2BB7"/>
    <w:rsid w:val="007B388F"/>
    <w:rsid w:val="007B3E21"/>
    <w:rsid w:val="007B3F92"/>
    <w:rsid w:val="007B4DA1"/>
    <w:rsid w:val="007B5174"/>
    <w:rsid w:val="007B533A"/>
    <w:rsid w:val="007B6045"/>
    <w:rsid w:val="007B604D"/>
    <w:rsid w:val="007B65C5"/>
    <w:rsid w:val="007B6720"/>
    <w:rsid w:val="007B6DF7"/>
    <w:rsid w:val="007B6F6A"/>
    <w:rsid w:val="007B703B"/>
    <w:rsid w:val="007B72B0"/>
    <w:rsid w:val="007B7773"/>
    <w:rsid w:val="007B7CCC"/>
    <w:rsid w:val="007C0FEC"/>
    <w:rsid w:val="007C1AB5"/>
    <w:rsid w:val="007C1CDD"/>
    <w:rsid w:val="007C2205"/>
    <w:rsid w:val="007C2937"/>
    <w:rsid w:val="007C3EE4"/>
    <w:rsid w:val="007C4076"/>
    <w:rsid w:val="007C411D"/>
    <w:rsid w:val="007C5303"/>
    <w:rsid w:val="007C62A5"/>
    <w:rsid w:val="007C7403"/>
    <w:rsid w:val="007D0A9F"/>
    <w:rsid w:val="007D17D9"/>
    <w:rsid w:val="007D2146"/>
    <w:rsid w:val="007D22E1"/>
    <w:rsid w:val="007D2DB0"/>
    <w:rsid w:val="007D31FF"/>
    <w:rsid w:val="007D3CE8"/>
    <w:rsid w:val="007D3E31"/>
    <w:rsid w:val="007D3F10"/>
    <w:rsid w:val="007D4C0C"/>
    <w:rsid w:val="007D50F1"/>
    <w:rsid w:val="007D55B6"/>
    <w:rsid w:val="007D55DB"/>
    <w:rsid w:val="007D569E"/>
    <w:rsid w:val="007D5B51"/>
    <w:rsid w:val="007D6485"/>
    <w:rsid w:val="007D6708"/>
    <w:rsid w:val="007D71D1"/>
    <w:rsid w:val="007D7267"/>
    <w:rsid w:val="007D785E"/>
    <w:rsid w:val="007E0202"/>
    <w:rsid w:val="007E0F14"/>
    <w:rsid w:val="007E1AB1"/>
    <w:rsid w:val="007E28CE"/>
    <w:rsid w:val="007E2E23"/>
    <w:rsid w:val="007E2F40"/>
    <w:rsid w:val="007E2F7B"/>
    <w:rsid w:val="007E2FE5"/>
    <w:rsid w:val="007E3157"/>
    <w:rsid w:val="007E369A"/>
    <w:rsid w:val="007E3D56"/>
    <w:rsid w:val="007E3FCB"/>
    <w:rsid w:val="007E4D06"/>
    <w:rsid w:val="007E4F3A"/>
    <w:rsid w:val="007E50D7"/>
    <w:rsid w:val="007E5BEE"/>
    <w:rsid w:val="007E603F"/>
    <w:rsid w:val="007E6972"/>
    <w:rsid w:val="007E774A"/>
    <w:rsid w:val="007F021F"/>
    <w:rsid w:val="007F034C"/>
    <w:rsid w:val="007F0F3A"/>
    <w:rsid w:val="007F0FF5"/>
    <w:rsid w:val="007F129C"/>
    <w:rsid w:val="007F137B"/>
    <w:rsid w:val="007F15AC"/>
    <w:rsid w:val="007F15AF"/>
    <w:rsid w:val="007F2153"/>
    <w:rsid w:val="007F2340"/>
    <w:rsid w:val="007F2387"/>
    <w:rsid w:val="007F27DA"/>
    <w:rsid w:val="007F2F6B"/>
    <w:rsid w:val="007F3D8A"/>
    <w:rsid w:val="007F43E8"/>
    <w:rsid w:val="007F46E9"/>
    <w:rsid w:val="007F4865"/>
    <w:rsid w:val="007F52C0"/>
    <w:rsid w:val="007F5486"/>
    <w:rsid w:val="007F6550"/>
    <w:rsid w:val="007F66E1"/>
    <w:rsid w:val="007F6985"/>
    <w:rsid w:val="007F6990"/>
    <w:rsid w:val="007F6A23"/>
    <w:rsid w:val="007F6B1B"/>
    <w:rsid w:val="007F6D41"/>
    <w:rsid w:val="007F6F80"/>
    <w:rsid w:val="007F70E3"/>
    <w:rsid w:val="007F770C"/>
    <w:rsid w:val="00800B67"/>
    <w:rsid w:val="00800CFA"/>
    <w:rsid w:val="00800F4D"/>
    <w:rsid w:val="008011D4"/>
    <w:rsid w:val="00801376"/>
    <w:rsid w:val="0080155E"/>
    <w:rsid w:val="0080185F"/>
    <w:rsid w:val="00801C7B"/>
    <w:rsid w:val="0080253F"/>
    <w:rsid w:val="0080266C"/>
    <w:rsid w:val="0080269E"/>
    <w:rsid w:val="008029C8"/>
    <w:rsid w:val="00802DF0"/>
    <w:rsid w:val="00802FDC"/>
    <w:rsid w:val="008032E3"/>
    <w:rsid w:val="0080381B"/>
    <w:rsid w:val="00804022"/>
    <w:rsid w:val="008052CC"/>
    <w:rsid w:val="0080552A"/>
    <w:rsid w:val="0080582F"/>
    <w:rsid w:val="00805A98"/>
    <w:rsid w:val="008062C2"/>
    <w:rsid w:val="00806D32"/>
    <w:rsid w:val="00806DDD"/>
    <w:rsid w:val="00807373"/>
    <w:rsid w:val="008077CD"/>
    <w:rsid w:val="00807A44"/>
    <w:rsid w:val="00807E7C"/>
    <w:rsid w:val="00810193"/>
    <w:rsid w:val="00811083"/>
    <w:rsid w:val="0081150D"/>
    <w:rsid w:val="00812B49"/>
    <w:rsid w:val="00813095"/>
    <w:rsid w:val="00813AA0"/>
    <w:rsid w:val="00813D92"/>
    <w:rsid w:val="00814050"/>
    <w:rsid w:val="008140CC"/>
    <w:rsid w:val="00814E54"/>
    <w:rsid w:val="00815187"/>
    <w:rsid w:val="00815694"/>
    <w:rsid w:val="008157CE"/>
    <w:rsid w:val="00815879"/>
    <w:rsid w:val="00816412"/>
    <w:rsid w:val="008167E6"/>
    <w:rsid w:val="008169E4"/>
    <w:rsid w:val="00816E79"/>
    <w:rsid w:val="0081711E"/>
    <w:rsid w:val="008179D1"/>
    <w:rsid w:val="008201F4"/>
    <w:rsid w:val="0082024A"/>
    <w:rsid w:val="0082091A"/>
    <w:rsid w:val="008216DF"/>
    <w:rsid w:val="0082186A"/>
    <w:rsid w:val="00821E6A"/>
    <w:rsid w:val="008221AC"/>
    <w:rsid w:val="00822285"/>
    <w:rsid w:val="00822437"/>
    <w:rsid w:val="0082285F"/>
    <w:rsid w:val="0082344D"/>
    <w:rsid w:val="00824C13"/>
    <w:rsid w:val="00825124"/>
    <w:rsid w:val="00825B3A"/>
    <w:rsid w:val="00826298"/>
    <w:rsid w:val="008262E0"/>
    <w:rsid w:val="00827003"/>
    <w:rsid w:val="0082722D"/>
    <w:rsid w:val="0082755F"/>
    <w:rsid w:val="008279CA"/>
    <w:rsid w:val="00827F74"/>
    <w:rsid w:val="00830B67"/>
    <w:rsid w:val="00831302"/>
    <w:rsid w:val="00831478"/>
    <w:rsid w:val="0083148E"/>
    <w:rsid w:val="008317B4"/>
    <w:rsid w:val="008319F1"/>
    <w:rsid w:val="00831AFC"/>
    <w:rsid w:val="0083246D"/>
    <w:rsid w:val="00832A16"/>
    <w:rsid w:val="00833431"/>
    <w:rsid w:val="00833774"/>
    <w:rsid w:val="00833B83"/>
    <w:rsid w:val="00833B87"/>
    <w:rsid w:val="00834BFE"/>
    <w:rsid w:val="00834DF0"/>
    <w:rsid w:val="00835123"/>
    <w:rsid w:val="00835A60"/>
    <w:rsid w:val="00836928"/>
    <w:rsid w:val="00836A19"/>
    <w:rsid w:val="00837CF5"/>
    <w:rsid w:val="00840096"/>
    <w:rsid w:val="008407DC"/>
    <w:rsid w:val="00840C57"/>
    <w:rsid w:val="008411FC"/>
    <w:rsid w:val="008425AD"/>
    <w:rsid w:val="008425FE"/>
    <w:rsid w:val="00842999"/>
    <w:rsid w:val="008436B2"/>
    <w:rsid w:val="00843AE2"/>
    <w:rsid w:val="0084448C"/>
    <w:rsid w:val="00844702"/>
    <w:rsid w:val="00844A32"/>
    <w:rsid w:val="00845468"/>
    <w:rsid w:val="008456C8"/>
    <w:rsid w:val="00845903"/>
    <w:rsid w:val="00845ADE"/>
    <w:rsid w:val="00846262"/>
    <w:rsid w:val="00846333"/>
    <w:rsid w:val="00846618"/>
    <w:rsid w:val="00846633"/>
    <w:rsid w:val="0084668C"/>
    <w:rsid w:val="00846F20"/>
    <w:rsid w:val="008477A3"/>
    <w:rsid w:val="00847AFF"/>
    <w:rsid w:val="00850AE0"/>
    <w:rsid w:val="00850B69"/>
    <w:rsid w:val="00851377"/>
    <w:rsid w:val="00851FA5"/>
    <w:rsid w:val="00852A68"/>
    <w:rsid w:val="008532C0"/>
    <w:rsid w:val="00853939"/>
    <w:rsid w:val="00853A14"/>
    <w:rsid w:val="00853BFA"/>
    <w:rsid w:val="00853CC0"/>
    <w:rsid w:val="00853D4D"/>
    <w:rsid w:val="00853DC3"/>
    <w:rsid w:val="00853E69"/>
    <w:rsid w:val="0085407F"/>
    <w:rsid w:val="008547B0"/>
    <w:rsid w:val="0085515F"/>
    <w:rsid w:val="00855648"/>
    <w:rsid w:val="0085684C"/>
    <w:rsid w:val="00856A04"/>
    <w:rsid w:val="008603B2"/>
    <w:rsid w:val="008608D1"/>
    <w:rsid w:val="00860D1E"/>
    <w:rsid w:val="00861F50"/>
    <w:rsid w:val="00862170"/>
    <w:rsid w:val="00862330"/>
    <w:rsid w:val="0086270D"/>
    <w:rsid w:val="008628FD"/>
    <w:rsid w:val="008629C0"/>
    <w:rsid w:val="00862EBF"/>
    <w:rsid w:val="00863E8A"/>
    <w:rsid w:val="008640BA"/>
    <w:rsid w:val="00864FD9"/>
    <w:rsid w:val="008650B9"/>
    <w:rsid w:val="00865AB7"/>
    <w:rsid w:val="008663E6"/>
    <w:rsid w:val="00866BC6"/>
    <w:rsid w:val="00867BEE"/>
    <w:rsid w:val="00867E56"/>
    <w:rsid w:val="00870542"/>
    <w:rsid w:val="0087168B"/>
    <w:rsid w:val="0087237E"/>
    <w:rsid w:val="0087257B"/>
    <w:rsid w:val="00872623"/>
    <w:rsid w:val="008727AE"/>
    <w:rsid w:val="0087300F"/>
    <w:rsid w:val="008730E6"/>
    <w:rsid w:val="00873378"/>
    <w:rsid w:val="00873448"/>
    <w:rsid w:val="008736BB"/>
    <w:rsid w:val="008738B6"/>
    <w:rsid w:val="00873D68"/>
    <w:rsid w:val="00873E3C"/>
    <w:rsid w:val="008742C9"/>
    <w:rsid w:val="00874CA2"/>
    <w:rsid w:val="00874D0C"/>
    <w:rsid w:val="00874F93"/>
    <w:rsid w:val="008754F9"/>
    <w:rsid w:val="008756BF"/>
    <w:rsid w:val="00875ACF"/>
    <w:rsid w:val="00875BDE"/>
    <w:rsid w:val="008764D5"/>
    <w:rsid w:val="008765A4"/>
    <w:rsid w:val="0087750D"/>
    <w:rsid w:val="0087788F"/>
    <w:rsid w:val="00877B5B"/>
    <w:rsid w:val="0088099D"/>
    <w:rsid w:val="00880A52"/>
    <w:rsid w:val="00881559"/>
    <w:rsid w:val="008816DC"/>
    <w:rsid w:val="00881B14"/>
    <w:rsid w:val="00881F31"/>
    <w:rsid w:val="00881F33"/>
    <w:rsid w:val="00882D15"/>
    <w:rsid w:val="00882E32"/>
    <w:rsid w:val="00884E17"/>
    <w:rsid w:val="00885A1B"/>
    <w:rsid w:val="00885B94"/>
    <w:rsid w:val="00885C50"/>
    <w:rsid w:val="008865D7"/>
    <w:rsid w:val="0088712C"/>
    <w:rsid w:val="0088755F"/>
    <w:rsid w:val="00887F7E"/>
    <w:rsid w:val="00887FD2"/>
    <w:rsid w:val="008902C1"/>
    <w:rsid w:val="00890792"/>
    <w:rsid w:val="00890A28"/>
    <w:rsid w:val="008912C1"/>
    <w:rsid w:val="00891CFB"/>
    <w:rsid w:val="00891E12"/>
    <w:rsid w:val="008933B4"/>
    <w:rsid w:val="00893D8B"/>
    <w:rsid w:val="00893DDB"/>
    <w:rsid w:val="008945FE"/>
    <w:rsid w:val="0089620B"/>
    <w:rsid w:val="00896D1E"/>
    <w:rsid w:val="00896E8D"/>
    <w:rsid w:val="00897146"/>
    <w:rsid w:val="00897886"/>
    <w:rsid w:val="00897C95"/>
    <w:rsid w:val="008A007D"/>
    <w:rsid w:val="008A0099"/>
    <w:rsid w:val="008A073B"/>
    <w:rsid w:val="008A0B3A"/>
    <w:rsid w:val="008A0C85"/>
    <w:rsid w:val="008A166E"/>
    <w:rsid w:val="008A197D"/>
    <w:rsid w:val="008A19C7"/>
    <w:rsid w:val="008A1BBA"/>
    <w:rsid w:val="008A3049"/>
    <w:rsid w:val="008A3677"/>
    <w:rsid w:val="008A44D9"/>
    <w:rsid w:val="008A44DD"/>
    <w:rsid w:val="008A487B"/>
    <w:rsid w:val="008A4D37"/>
    <w:rsid w:val="008A5004"/>
    <w:rsid w:val="008A608F"/>
    <w:rsid w:val="008A6130"/>
    <w:rsid w:val="008A65A9"/>
    <w:rsid w:val="008A693B"/>
    <w:rsid w:val="008A6EDA"/>
    <w:rsid w:val="008A711F"/>
    <w:rsid w:val="008A7236"/>
    <w:rsid w:val="008A78A0"/>
    <w:rsid w:val="008A7A5C"/>
    <w:rsid w:val="008A7BC1"/>
    <w:rsid w:val="008B0577"/>
    <w:rsid w:val="008B0C58"/>
    <w:rsid w:val="008B1103"/>
    <w:rsid w:val="008B13B3"/>
    <w:rsid w:val="008B187A"/>
    <w:rsid w:val="008B2703"/>
    <w:rsid w:val="008B2741"/>
    <w:rsid w:val="008B2C0D"/>
    <w:rsid w:val="008B2CB8"/>
    <w:rsid w:val="008B2EAF"/>
    <w:rsid w:val="008B2EBA"/>
    <w:rsid w:val="008B2F4E"/>
    <w:rsid w:val="008B3243"/>
    <w:rsid w:val="008B3555"/>
    <w:rsid w:val="008B3B19"/>
    <w:rsid w:val="008B43B3"/>
    <w:rsid w:val="008B4544"/>
    <w:rsid w:val="008B4EEF"/>
    <w:rsid w:val="008B57F5"/>
    <w:rsid w:val="008B5882"/>
    <w:rsid w:val="008B62F5"/>
    <w:rsid w:val="008B6390"/>
    <w:rsid w:val="008B6805"/>
    <w:rsid w:val="008B6BD6"/>
    <w:rsid w:val="008B70E4"/>
    <w:rsid w:val="008B732A"/>
    <w:rsid w:val="008C059B"/>
    <w:rsid w:val="008C11FF"/>
    <w:rsid w:val="008C15CF"/>
    <w:rsid w:val="008C161A"/>
    <w:rsid w:val="008C1B30"/>
    <w:rsid w:val="008C1B70"/>
    <w:rsid w:val="008C1CC3"/>
    <w:rsid w:val="008C1DCB"/>
    <w:rsid w:val="008C2B4F"/>
    <w:rsid w:val="008C2CDF"/>
    <w:rsid w:val="008C2E49"/>
    <w:rsid w:val="008C3650"/>
    <w:rsid w:val="008C3D40"/>
    <w:rsid w:val="008C461A"/>
    <w:rsid w:val="008C4753"/>
    <w:rsid w:val="008C4997"/>
    <w:rsid w:val="008C4CDB"/>
    <w:rsid w:val="008C4F9C"/>
    <w:rsid w:val="008C5726"/>
    <w:rsid w:val="008C575D"/>
    <w:rsid w:val="008C6714"/>
    <w:rsid w:val="008C67EC"/>
    <w:rsid w:val="008C67F7"/>
    <w:rsid w:val="008C6EC4"/>
    <w:rsid w:val="008C72CC"/>
    <w:rsid w:val="008C741F"/>
    <w:rsid w:val="008C79AD"/>
    <w:rsid w:val="008C7C1E"/>
    <w:rsid w:val="008C7D7C"/>
    <w:rsid w:val="008C7DA9"/>
    <w:rsid w:val="008D0396"/>
    <w:rsid w:val="008D03ED"/>
    <w:rsid w:val="008D0623"/>
    <w:rsid w:val="008D0697"/>
    <w:rsid w:val="008D0C3D"/>
    <w:rsid w:val="008D133B"/>
    <w:rsid w:val="008D1387"/>
    <w:rsid w:val="008D18CB"/>
    <w:rsid w:val="008D1F0C"/>
    <w:rsid w:val="008D2A79"/>
    <w:rsid w:val="008D3200"/>
    <w:rsid w:val="008D35BA"/>
    <w:rsid w:val="008D377B"/>
    <w:rsid w:val="008D4812"/>
    <w:rsid w:val="008D4DFE"/>
    <w:rsid w:val="008D5738"/>
    <w:rsid w:val="008D5A9B"/>
    <w:rsid w:val="008D5EEF"/>
    <w:rsid w:val="008D65F7"/>
    <w:rsid w:val="008D6869"/>
    <w:rsid w:val="008D6C40"/>
    <w:rsid w:val="008D78FA"/>
    <w:rsid w:val="008D7DCD"/>
    <w:rsid w:val="008E016F"/>
    <w:rsid w:val="008E01EF"/>
    <w:rsid w:val="008E0269"/>
    <w:rsid w:val="008E07F1"/>
    <w:rsid w:val="008E09F1"/>
    <w:rsid w:val="008E107F"/>
    <w:rsid w:val="008E1A82"/>
    <w:rsid w:val="008E20E9"/>
    <w:rsid w:val="008E22D0"/>
    <w:rsid w:val="008E245A"/>
    <w:rsid w:val="008E2580"/>
    <w:rsid w:val="008E299C"/>
    <w:rsid w:val="008E2AB9"/>
    <w:rsid w:val="008E2F2C"/>
    <w:rsid w:val="008E30F5"/>
    <w:rsid w:val="008E3302"/>
    <w:rsid w:val="008E389C"/>
    <w:rsid w:val="008E3AEE"/>
    <w:rsid w:val="008E46A5"/>
    <w:rsid w:val="008E473C"/>
    <w:rsid w:val="008E4DCB"/>
    <w:rsid w:val="008E4DCF"/>
    <w:rsid w:val="008E4FA3"/>
    <w:rsid w:val="008E65D8"/>
    <w:rsid w:val="008E6CA4"/>
    <w:rsid w:val="008E6FC4"/>
    <w:rsid w:val="008E714D"/>
    <w:rsid w:val="008E77AD"/>
    <w:rsid w:val="008F01A4"/>
    <w:rsid w:val="008F046F"/>
    <w:rsid w:val="008F0B73"/>
    <w:rsid w:val="008F201E"/>
    <w:rsid w:val="008F2C5F"/>
    <w:rsid w:val="008F3396"/>
    <w:rsid w:val="008F37A9"/>
    <w:rsid w:val="008F39F4"/>
    <w:rsid w:val="008F4910"/>
    <w:rsid w:val="008F4A11"/>
    <w:rsid w:val="008F5634"/>
    <w:rsid w:val="008F5B5A"/>
    <w:rsid w:val="008F5FCF"/>
    <w:rsid w:val="008F7385"/>
    <w:rsid w:val="008F790D"/>
    <w:rsid w:val="008F7D12"/>
    <w:rsid w:val="00901BFE"/>
    <w:rsid w:val="0090249D"/>
    <w:rsid w:val="00902A0C"/>
    <w:rsid w:val="00903445"/>
    <w:rsid w:val="009037A6"/>
    <w:rsid w:val="0090457C"/>
    <w:rsid w:val="00905D4C"/>
    <w:rsid w:val="00905F72"/>
    <w:rsid w:val="00906AA0"/>
    <w:rsid w:val="00906AD6"/>
    <w:rsid w:val="009072CD"/>
    <w:rsid w:val="0091027D"/>
    <w:rsid w:val="009104E9"/>
    <w:rsid w:val="00910CC4"/>
    <w:rsid w:val="009111A0"/>
    <w:rsid w:val="009112AE"/>
    <w:rsid w:val="00911678"/>
    <w:rsid w:val="009117E3"/>
    <w:rsid w:val="00911825"/>
    <w:rsid w:val="00911D87"/>
    <w:rsid w:val="009133DC"/>
    <w:rsid w:val="0091340C"/>
    <w:rsid w:val="00913621"/>
    <w:rsid w:val="0091365A"/>
    <w:rsid w:val="00913904"/>
    <w:rsid w:val="00913A4B"/>
    <w:rsid w:val="00913B6E"/>
    <w:rsid w:val="00913E93"/>
    <w:rsid w:val="00914042"/>
    <w:rsid w:val="0091429C"/>
    <w:rsid w:val="009143AE"/>
    <w:rsid w:val="00914867"/>
    <w:rsid w:val="009148FF"/>
    <w:rsid w:val="009156EC"/>
    <w:rsid w:val="00915752"/>
    <w:rsid w:val="009159A1"/>
    <w:rsid w:val="00915A76"/>
    <w:rsid w:val="00915AAE"/>
    <w:rsid w:val="00915AC2"/>
    <w:rsid w:val="00915FCC"/>
    <w:rsid w:val="0091693E"/>
    <w:rsid w:val="00916C28"/>
    <w:rsid w:val="009170DB"/>
    <w:rsid w:val="00917A55"/>
    <w:rsid w:val="00920CC1"/>
    <w:rsid w:val="00920D32"/>
    <w:rsid w:val="00920DA1"/>
    <w:rsid w:val="009211CB"/>
    <w:rsid w:val="009213AA"/>
    <w:rsid w:val="009214D7"/>
    <w:rsid w:val="0092156B"/>
    <w:rsid w:val="0092213E"/>
    <w:rsid w:val="0092224D"/>
    <w:rsid w:val="0092226D"/>
    <w:rsid w:val="00922571"/>
    <w:rsid w:val="00922850"/>
    <w:rsid w:val="009229CC"/>
    <w:rsid w:val="009239A8"/>
    <w:rsid w:val="00923AE2"/>
    <w:rsid w:val="009240E1"/>
    <w:rsid w:val="00924291"/>
    <w:rsid w:val="0092468A"/>
    <w:rsid w:val="00924892"/>
    <w:rsid w:val="00924E26"/>
    <w:rsid w:val="00925DBB"/>
    <w:rsid w:val="00925F12"/>
    <w:rsid w:val="00927346"/>
    <w:rsid w:val="00927B46"/>
    <w:rsid w:val="00927C7F"/>
    <w:rsid w:val="00927E9B"/>
    <w:rsid w:val="009306D8"/>
    <w:rsid w:val="00930E79"/>
    <w:rsid w:val="00931525"/>
    <w:rsid w:val="00931900"/>
    <w:rsid w:val="00931922"/>
    <w:rsid w:val="0093347C"/>
    <w:rsid w:val="0093362B"/>
    <w:rsid w:val="00933631"/>
    <w:rsid w:val="00933BD9"/>
    <w:rsid w:val="00933C4E"/>
    <w:rsid w:val="00933F0C"/>
    <w:rsid w:val="009340DA"/>
    <w:rsid w:val="009348F6"/>
    <w:rsid w:val="0093549F"/>
    <w:rsid w:val="00936679"/>
    <w:rsid w:val="00936A5E"/>
    <w:rsid w:val="00937234"/>
    <w:rsid w:val="009373AC"/>
    <w:rsid w:val="009373ED"/>
    <w:rsid w:val="009379DA"/>
    <w:rsid w:val="00937F93"/>
    <w:rsid w:val="009409F1"/>
    <w:rsid w:val="00940DD6"/>
    <w:rsid w:val="00940EA1"/>
    <w:rsid w:val="009415F3"/>
    <w:rsid w:val="009417A6"/>
    <w:rsid w:val="009417C0"/>
    <w:rsid w:val="009419D9"/>
    <w:rsid w:val="00942B83"/>
    <w:rsid w:val="00942E98"/>
    <w:rsid w:val="0094320D"/>
    <w:rsid w:val="00943324"/>
    <w:rsid w:val="00943A71"/>
    <w:rsid w:val="00943BB0"/>
    <w:rsid w:val="00943C81"/>
    <w:rsid w:val="00944ECE"/>
    <w:rsid w:val="009452B8"/>
    <w:rsid w:val="0094581D"/>
    <w:rsid w:val="00945E1A"/>
    <w:rsid w:val="00946C76"/>
    <w:rsid w:val="009470C8"/>
    <w:rsid w:val="00947101"/>
    <w:rsid w:val="009478B2"/>
    <w:rsid w:val="00947999"/>
    <w:rsid w:val="00947C93"/>
    <w:rsid w:val="00950F7C"/>
    <w:rsid w:val="00951063"/>
    <w:rsid w:val="009516BA"/>
    <w:rsid w:val="00952227"/>
    <w:rsid w:val="009527F2"/>
    <w:rsid w:val="00952B01"/>
    <w:rsid w:val="00952E27"/>
    <w:rsid w:val="009539C7"/>
    <w:rsid w:val="00953BF1"/>
    <w:rsid w:val="00953EEC"/>
    <w:rsid w:val="00954357"/>
    <w:rsid w:val="00954732"/>
    <w:rsid w:val="00954C84"/>
    <w:rsid w:val="00955508"/>
    <w:rsid w:val="00955A76"/>
    <w:rsid w:val="0095692D"/>
    <w:rsid w:val="00956A24"/>
    <w:rsid w:val="00956D4A"/>
    <w:rsid w:val="00957336"/>
    <w:rsid w:val="009573A3"/>
    <w:rsid w:val="0096001C"/>
    <w:rsid w:val="00960705"/>
    <w:rsid w:val="00960C5D"/>
    <w:rsid w:val="00961A1D"/>
    <w:rsid w:val="009620CE"/>
    <w:rsid w:val="0096227E"/>
    <w:rsid w:val="0096261F"/>
    <w:rsid w:val="00963948"/>
    <w:rsid w:val="00963D03"/>
    <w:rsid w:val="009645D5"/>
    <w:rsid w:val="00964A8D"/>
    <w:rsid w:val="00965650"/>
    <w:rsid w:val="009658DB"/>
    <w:rsid w:val="0096593A"/>
    <w:rsid w:val="00965ABE"/>
    <w:rsid w:val="00965DBC"/>
    <w:rsid w:val="0096650D"/>
    <w:rsid w:val="00967C8D"/>
    <w:rsid w:val="00967D51"/>
    <w:rsid w:val="00970B2E"/>
    <w:rsid w:val="00971346"/>
    <w:rsid w:val="00971691"/>
    <w:rsid w:val="00971756"/>
    <w:rsid w:val="00971842"/>
    <w:rsid w:val="00971902"/>
    <w:rsid w:val="00971D19"/>
    <w:rsid w:val="009721AD"/>
    <w:rsid w:val="009723FD"/>
    <w:rsid w:val="00973111"/>
    <w:rsid w:val="00973419"/>
    <w:rsid w:val="00975349"/>
    <w:rsid w:val="0097569B"/>
    <w:rsid w:val="009756A6"/>
    <w:rsid w:val="00975903"/>
    <w:rsid w:val="00975A8C"/>
    <w:rsid w:val="00975EFC"/>
    <w:rsid w:val="0097653A"/>
    <w:rsid w:val="00976EC1"/>
    <w:rsid w:val="0097712C"/>
    <w:rsid w:val="009772DF"/>
    <w:rsid w:val="00977536"/>
    <w:rsid w:val="009776FF"/>
    <w:rsid w:val="00977920"/>
    <w:rsid w:val="009779A5"/>
    <w:rsid w:val="00977E54"/>
    <w:rsid w:val="00980027"/>
    <w:rsid w:val="009800B8"/>
    <w:rsid w:val="00980C36"/>
    <w:rsid w:val="00980EE3"/>
    <w:rsid w:val="00981665"/>
    <w:rsid w:val="00981725"/>
    <w:rsid w:val="00981DB6"/>
    <w:rsid w:val="00981F21"/>
    <w:rsid w:val="00982101"/>
    <w:rsid w:val="00983B23"/>
    <w:rsid w:val="009840B0"/>
    <w:rsid w:val="0098469C"/>
    <w:rsid w:val="009847B9"/>
    <w:rsid w:val="009849D1"/>
    <w:rsid w:val="00984C88"/>
    <w:rsid w:val="00984D87"/>
    <w:rsid w:val="009858FA"/>
    <w:rsid w:val="00985F54"/>
    <w:rsid w:val="00985F98"/>
    <w:rsid w:val="00986ED7"/>
    <w:rsid w:val="0098754A"/>
    <w:rsid w:val="009877C8"/>
    <w:rsid w:val="00987CC0"/>
    <w:rsid w:val="00987E9E"/>
    <w:rsid w:val="00990310"/>
    <w:rsid w:val="009908E4"/>
    <w:rsid w:val="00990ABA"/>
    <w:rsid w:val="00991423"/>
    <w:rsid w:val="0099188B"/>
    <w:rsid w:val="009918C7"/>
    <w:rsid w:val="009932D8"/>
    <w:rsid w:val="00993504"/>
    <w:rsid w:val="00993A63"/>
    <w:rsid w:val="00994B41"/>
    <w:rsid w:val="00994FF2"/>
    <w:rsid w:val="00995056"/>
    <w:rsid w:val="009951E6"/>
    <w:rsid w:val="00995523"/>
    <w:rsid w:val="0099579E"/>
    <w:rsid w:val="009964CD"/>
    <w:rsid w:val="009971C1"/>
    <w:rsid w:val="0099785E"/>
    <w:rsid w:val="00997CCB"/>
    <w:rsid w:val="00997DF4"/>
    <w:rsid w:val="009A0572"/>
    <w:rsid w:val="009A091B"/>
    <w:rsid w:val="009A0BDE"/>
    <w:rsid w:val="009A12F3"/>
    <w:rsid w:val="009A12FD"/>
    <w:rsid w:val="009A14E1"/>
    <w:rsid w:val="009A1D85"/>
    <w:rsid w:val="009A1E34"/>
    <w:rsid w:val="009A23FF"/>
    <w:rsid w:val="009A2544"/>
    <w:rsid w:val="009A2628"/>
    <w:rsid w:val="009A2BEC"/>
    <w:rsid w:val="009A2C0F"/>
    <w:rsid w:val="009A319E"/>
    <w:rsid w:val="009A34E3"/>
    <w:rsid w:val="009A3588"/>
    <w:rsid w:val="009A3904"/>
    <w:rsid w:val="009A40D1"/>
    <w:rsid w:val="009A41F8"/>
    <w:rsid w:val="009A45EF"/>
    <w:rsid w:val="009A4602"/>
    <w:rsid w:val="009A4931"/>
    <w:rsid w:val="009A5657"/>
    <w:rsid w:val="009A56A5"/>
    <w:rsid w:val="009A5B0C"/>
    <w:rsid w:val="009A63F7"/>
    <w:rsid w:val="009A6C30"/>
    <w:rsid w:val="009A6CC5"/>
    <w:rsid w:val="009A6D09"/>
    <w:rsid w:val="009A6E00"/>
    <w:rsid w:val="009A7306"/>
    <w:rsid w:val="009A7558"/>
    <w:rsid w:val="009A7927"/>
    <w:rsid w:val="009A7A21"/>
    <w:rsid w:val="009B02A4"/>
    <w:rsid w:val="009B0518"/>
    <w:rsid w:val="009B13C1"/>
    <w:rsid w:val="009B14FD"/>
    <w:rsid w:val="009B17ED"/>
    <w:rsid w:val="009B2083"/>
    <w:rsid w:val="009B26D2"/>
    <w:rsid w:val="009B2AA0"/>
    <w:rsid w:val="009B3552"/>
    <w:rsid w:val="009B35D2"/>
    <w:rsid w:val="009B396F"/>
    <w:rsid w:val="009B3A98"/>
    <w:rsid w:val="009B3CD6"/>
    <w:rsid w:val="009B45F8"/>
    <w:rsid w:val="009B4CC1"/>
    <w:rsid w:val="009B4E4F"/>
    <w:rsid w:val="009B51F2"/>
    <w:rsid w:val="009B5510"/>
    <w:rsid w:val="009B5569"/>
    <w:rsid w:val="009B61CE"/>
    <w:rsid w:val="009B64CE"/>
    <w:rsid w:val="009B6BB5"/>
    <w:rsid w:val="009B6E3E"/>
    <w:rsid w:val="009B7696"/>
    <w:rsid w:val="009B7B7E"/>
    <w:rsid w:val="009C00EA"/>
    <w:rsid w:val="009C0139"/>
    <w:rsid w:val="009C07D5"/>
    <w:rsid w:val="009C0C87"/>
    <w:rsid w:val="009C0E02"/>
    <w:rsid w:val="009C143B"/>
    <w:rsid w:val="009C16CC"/>
    <w:rsid w:val="009C1850"/>
    <w:rsid w:val="009C1A04"/>
    <w:rsid w:val="009C1EA6"/>
    <w:rsid w:val="009C2412"/>
    <w:rsid w:val="009C2C39"/>
    <w:rsid w:val="009C2F36"/>
    <w:rsid w:val="009C30C6"/>
    <w:rsid w:val="009C316B"/>
    <w:rsid w:val="009C4233"/>
    <w:rsid w:val="009C4302"/>
    <w:rsid w:val="009C44A8"/>
    <w:rsid w:val="009C46C2"/>
    <w:rsid w:val="009C4944"/>
    <w:rsid w:val="009C4ADC"/>
    <w:rsid w:val="009C4E7F"/>
    <w:rsid w:val="009C52B6"/>
    <w:rsid w:val="009C5390"/>
    <w:rsid w:val="009C5562"/>
    <w:rsid w:val="009C67BA"/>
    <w:rsid w:val="009C6828"/>
    <w:rsid w:val="009C73D6"/>
    <w:rsid w:val="009D01CB"/>
    <w:rsid w:val="009D038D"/>
    <w:rsid w:val="009D03F3"/>
    <w:rsid w:val="009D1503"/>
    <w:rsid w:val="009D159D"/>
    <w:rsid w:val="009D2431"/>
    <w:rsid w:val="009D2838"/>
    <w:rsid w:val="009D3D9E"/>
    <w:rsid w:val="009D4251"/>
    <w:rsid w:val="009D429C"/>
    <w:rsid w:val="009D45AA"/>
    <w:rsid w:val="009D4BA6"/>
    <w:rsid w:val="009D5F88"/>
    <w:rsid w:val="009D612B"/>
    <w:rsid w:val="009D691C"/>
    <w:rsid w:val="009D6C37"/>
    <w:rsid w:val="009D6E34"/>
    <w:rsid w:val="009D6EDA"/>
    <w:rsid w:val="009D728C"/>
    <w:rsid w:val="009D79F9"/>
    <w:rsid w:val="009E07FF"/>
    <w:rsid w:val="009E0CBE"/>
    <w:rsid w:val="009E10D6"/>
    <w:rsid w:val="009E1920"/>
    <w:rsid w:val="009E22B0"/>
    <w:rsid w:val="009E2815"/>
    <w:rsid w:val="009E44C0"/>
    <w:rsid w:val="009E4B86"/>
    <w:rsid w:val="009E54D1"/>
    <w:rsid w:val="009E554C"/>
    <w:rsid w:val="009E5CF0"/>
    <w:rsid w:val="009E692C"/>
    <w:rsid w:val="009F002C"/>
    <w:rsid w:val="009F0136"/>
    <w:rsid w:val="009F07A9"/>
    <w:rsid w:val="009F080C"/>
    <w:rsid w:val="009F0E96"/>
    <w:rsid w:val="009F1932"/>
    <w:rsid w:val="009F1ABE"/>
    <w:rsid w:val="009F1B47"/>
    <w:rsid w:val="009F23FF"/>
    <w:rsid w:val="009F29BC"/>
    <w:rsid w:val="009F2B4C"/>
    <w:rsid w:val="009F312D"/>
    <w:rsid w:val="009F319C"/>
    <w:rsid w:val="009F37BC"/>
    <w:rsid w:val="009F39A1"/>
    <w:rsid w:val="009F56DC"/>
    <w:rsid w:val="009F5B12"/>
    <w:rsid w:val="009F5D67"/>
    <w:rsid w:val="009F5DD4"/>
    <w:rsid w:val="009F6A52"/>
    <w:rsid w:val="009F6BE6"/>
    <w:rsid w:val="009F70A4"/>
    <w:rsid w:val="00A00289"/>
    <w:rsid w:val="00A01393"/>
    <w:rsid w:val="00A01BFD"/>
    <w:rsid w:val="00A02184"/>
    <w:rsid w:val="00A02287"/>
    <w:rsid w:val="00A02B3A"/>
    <w:rsid w:val="00A02B5A"/>
    <w:rsid w:val="00A03071"/>
    <w:rsid w:val="00A031D1"/>
    <w:rsid w:val="00A03DD0"/>
    <w:rsid w:val="00A04A16"/>
    <w:rsid w:val="00A04C21"/>
    <w:rsid w:val="00A052A8"/>
    <w:rsid w:val="00A05C5D"/>
    <w:rsid w:val="00A065B9"/>
    <w:rsid w:val="00A06810"/>
    <w:rsid w:val="00A068D0"/>
    <w:rsid w:val="00A06B8F"/>
    <w:rsid w:val="00A075E1"/>
    <w:rsid w:val="00A07FBB"/>
    <w:rsid w:val="00A1012D"/>
    <w:rsid w:val="00A103A9"/>
    <w:rsid w:val="00A10BDD"/>
    <w:rsid w:val="00A10DC2"/>
    <w:rsid w:val="00A118A5"/>
    <w:rsid w:val="00A11D69"/>
    <w:rsid w:val="00A12022"/>
    <w:rsid w:val="00A121F9"/>
    <w:rsid w:val="00A128AB"/>
    <w:rsid w:val="00A128CB"/>
    <w:rsid w:val="00A12AFE"/>
    <w:rsid w:val="00A14A6E"/>
    <w:rsid w:val="00A1576D"/>
    <w:rsid w:val="00A1577B"/>
    <w:rsid w:val="00A15B81"/>
    <w:rsid w:val="00A15E8E"/>
    <w:rsid w:val="00A162F5"/>
    <w:rsid w:val="00A1689F"/>
    <w:rsid w:val="00A16FB5"/>
    <w:rsid w:val="00A178B2"/>
    <w:rsid w:val="00A17AEE"/>
    <w:rsid w:val="00A17D08"/>
    <w:rsid w:val="00A2020A"/>
    <w:rsid w:val="00A20753"/>
    <w:rsid w:val="00A20784"/>
    <w:rsid w:val="00A207ED"/>
    <w:rsid w:val="00A20A29"/>
    <w:rsid w:val="00A21095"/>
    <w:rsid w:val="00A21936"/>
    <w:rsid w:val="00A21FBD"/>
    <w:rsid w:val="00A22272"/>
    <w:rsid w:val="00A223EE"/>
    <w:rsid w:val="00A22523"/>
    <w:rsid w:val="00A235DB"/>
    <w:rsid w:val="00A23C5F"/>
    <w:rsid w:val="00A23E9F"/>
    <w:rsid w:val="00A2403A"/>
    <w:rsid w:val="00A24B14"/>
    <w:rsid w:val="00A24DF4"/>
    <w:rsid w:val="00A257AD"/>
    <w:rsid w:val="00A25904"/>
    <w:rsid w:val="00A25D5F"/>
    <w:rsid w:val="00A26747"/>
    <w:rsid w:val="00A27378"/>
    <w:rsid w:val="00A27488"/>
    <w:rsid w:val="00A27969"/>
    <w:rsid w:val="00A27EFA"/>
    <w:rsid w:val="00A27FE8"/>
    <w:rsid w:val="00A30018"/>
    <w:rsid w:val="00A300AD"/>
    <w:rsid w:val="00A30A0B"/>
    <w:rsid w:val="00A30BFA"/>
    <w:rsid w:val="00A30DD9"/>
    <w:rsid w:val="00A30FA9"/>
    <w:rsid w:val="00A31284"/>
    <w:rsid w:val="00A31399"/>
    <w:rsid w:val="00A31EFC"/>
    <w:rsid w:val="00A320F5"/>
    <w:rsid w:val="00A326F8"/>
    <w:rsid w:val="00A327ED"/>
    <w:rsid w:val="00A32961"/>
    <w:rsid w:val="00A32F1A"/>
    <w:rsid w:val="00A334CA"/>
    <w:rsid w:val="00A335DD"/>
    <w:rsid w:val="00A33D2A"/>
    <w:rsid w:val="00A344A1"/>
    <w:rsid w:val="00A36553"/>
    <w:rsid w:val="00A3692D"/>
    <w:rsid w:val="00A36B6C"/>
    <w:rsid w:val="00A36D29"/>
    <w:rsid w:val="00A3709D"/>
    <w:rsid w:val="00A37103"/>
    <w:rsid w:val="00A37277"/>
    <w:rsid w:val="00A379B7"/>
    <w:rsid w:val="00A379F2"/>
    <w:rsid w:val="00A40238"/>
    <w:rsid w:val="00A40B1A"/>
    <w:rsid w:val="00A40B6B"/>
    <w:rsid w:val="00A4124B"/>
    <w:rsid w:val="00A4164D"/>
    <w:rsid w:val="00A420A9"/>
    <w:rsid w:val="00A421DE"/>
    <w:rsid w:val="00A42B30"/>
    <w:rsid w:val="00A43045"/>
    <w:rsid w:val="00A43B43"/>
    <w:rsid w:val="00A43F0A"/>
    <w:rsid w:val="00A440AE"/>
    <w:rsid w:val="00A4414E"/>
    <w:rsid w:val="00A448EB"/>
    <w:rsid w:val="00A45788"/>
    <w:rsid w:val="00A45A45"/>
    <w:rsid w:val="00A460AD"/>
    <w:rsid w:val="00A46E99"/>
    <w:rsid w:val="00A4730F"/>
    <w:rsid w:val="00A474DE"/>
    <w:rsid w:val="00A503FE"/>
    <w:rsid w:val="00A50431"/>
    <w:rsid w:val="00A51296"/>
    <w:rsid w:val="00A5152E"/>
    <w:rsid w:val="00A5187A"/>
    <w:rsid w:val="00A51A26"/>
    <w:rsid w:val="00A52170"/>
    <w:rsid w:val="00A521E3"/>
    <w:rsid w:val="00A52EA3"/>
    <w:rsid w:val="00A531F9"/>
    <w:rsid w:val="00A534E8"/>
    <w:rsid w:val="00A53653"/>
    <w:rsid w:val="00A53BF2"/>
    <w:rsid w:val="00A54CAD"/>
    <w:rsid w:val="00A54D07"/>
    <w:rsid w:val="00A562B4"/>
    <w:rsid w:val="00A56313"/>
    <w:rsid w:val="00A56382"/>
    <w:rsid w:val="00A56FFF"/>
    <w:rsid w:val="00A578B1"/>
    <w:rsid w:val="00A57D2E"/>
    <w:rsid w:val="00A60337"/>
    <w:rsid w:val="00A60BB2"/>
    <w:rsid w:val="00A60E63"/>
    <w:rsid w:val="00A611CE"/>
    <w:rsid w:val="00A6126F"/>
    <w:rsid w:val="00A61468"/>
    <w:rsid w:val="00A6149B"/>
    <w:rsid w:val="00A6153B"/>
    <w:rsid w:val="00A618A4"/>
    <w:rsid w:val="00A619DB"/>
    <w:rsid w:val="00A621B3"/>
    <w:rsid w:val="00A62301"/>
    <w:rsid w:val="00A62552"/>
    <w:rsid w:val="00A62584"/>
    <w:rsid w:val="00A64002"/>
    <w:rsid w:val="00A64191"/>
    <w:rsid w:val="00A647CF"/>
    <w:rsid w:val="00A64906"/>
    <w:rsid w:val="00A64D7A"/>
    <w:rsid w:val="00A656C4"/>
    <w:rsid w:val="00A657FF"/>
    <w:rsid w:val="00A662D2"/>
    <w:rsid w:val="00A6634B"/>
    <w:rsid w:val="00A66874"/>
    <w:rsid w:val="00A66902"/>
    <w:rsid w:val="00A66A0F"/>
    <w:rsid w:val="00A66BBE"/>
    <w:rsid w:val="00A66EF8"/>
    <w:rsid w:val="00A67249"/>
    <w:rsid w:val="00A6747D"/>
    <w:rsid w:val="00A676D6"/>
    <w:rsid w:val="00A70088"/>
    <w:rsid w:val="00A711A1"/>
    <w:rsid w:val="00A71977"/>
    <w:rsid w:val="00A71FE5"/>
    <w:rsid w:val="00A72469"/>
    <w:rsid w:val="00A726EC"/>
    <w:rsid w:val="00A740C4"/>
    <w:rsid w:val="00A74E2D"/>
    <w:rsid w:val="00A75B6F"/>
    <w:rsid w:val="00A75F76"/>
    <w:rsid w:val="00A75FB2"/>
    <w:rsid w:val="00A762D5"/>
    <w:rsid w:val="00A76360"/>
    <w:rsid w:val="00A769B5"/>
    <w:rsid w:val="00A76B7E"/>
    <w:rsid w:val="00A77B3C"/>
    <w:rsid w:val="00A77EDF"/>
    <w:rsid w:val="00A81E5D"/>
    <w:rsid w:val="00A82359"/>
    <w:rsid w:val="00A82808"/>
    <w:rsid w:val="00A8282F"/>
    <w:rsid w:val="00A82929"/>
    <w:rsid w:val="00A82DE8"/>
    <w:rsid w:val="00A83C5F"/>
    <w:rsid w:val="00A840F4"/>
    <w:rsid w:val="00A847C9"/>
    <w:rsid w:val="00A847E0"/>
    <w:rsid w:val="00A84B75"/>
    <w:rsid w:val="00A853BC"/>
    <w:rsid w:val="00A85959"/>
    <w:rsid w:val="00A85D56"/>
    <w:rsid w:val="00A8635C"/>
    <w:rsid w:val="00A878D7"/>
    <w:rsid w:val="00A87B11"/>
    <w:rsid w:val="00A87CEE"/>
    <w:rsid w:val="00A9045A"/>
    <w:rsid w:val="00A906B0"/>
    <w:rsid w:val="00A906D6"/>
    <w:rsid w:val="00A90C01"/>
    <w:rsid w:val="00A90EC2"/>
    <w:rsid w:val="00A90FCF"/>
    <w:rsid w:val="00A91944"/>
    <w:rsid w:val="00A9199C"/>
    <w:rsid w:val="00A92425"/>
    <w:rsid w:val="00A92AAF"/>
    <w:rsid w:val="00A93611"/>
    <w:rsid w:val="00A93786"/>
    <w:rsid w:val="00A93BDB"/>
    <w:rsid w:val="00A94E7D"/>
    <w:rsid w:val="00A9529A"/>
    <w:rsid w:val="00A95A22"/>
    <w:rsid w:val="00A95F5A"/>
    <w:rsid w:val="00A974BB"/>
    <w:rsid w:val="00A97918"/>
    <w:rsid w:val="00A979A3"/>
    <w:rsid w:val="00A97CAB"/>
    <w:rsid w:val="00AA0223"/>
    <w:rsid w:val="00AA0352"/>
    <w:rsid w:val="00AA0EA2"/>
    <w:rsid w:val="00AA1115"/>
    <w:rsid w:val="00AA13BC"/>
    <w:rsid w:val="00AA1BF4"/>
    <w:rsid w:val="00AA1E7A"/>
    <w:rsid w:val="00AA2043"/>
    <w:rsid w:val="00AA236D"/>
    <w:rsid w:val="00AA2A0A"/>
    <w:rsid w:val="00AA2C43"/>
    <w:rsid w:val="00AA3318"/>
    <w:rsid w:val="00AA3E5A"/>
    <w:rsid w:val="00AA444B"/>
    <w:rsid w:val="00AA469E"/>
    <w:rsid w:val="00AA49E9"/>
    <w:rsid w:val="00AA4CB5"/>
    <w:rsid w:val="00AA4D69"/>
    <w:rsid w:val="00AA5043"/>
    <w:rsid w:val="00AA538E"/>
    <w:rsid w:val="00AA5672"/>
    <w:rsid w:val="00AA6674"/>
    <w:rsid w:val="00AA7FF6"/>
    <w:rsid w:val="00AB0406"/>
    <w:rsid w:val="00AB1374"/>
    <w:rsid w:val="00AB13D1"/>
    <w:rsid w:val="00AB148D"/>
    <w:rsid w:val="00AB1E55"/>
    <w:rsid w:val="00AB2B61"/>
    <w:rsid w:val="00AB2DD7"/>
    <w:rsid w:val="00AB3314"/>
    <w:rsid w:val="00AB3C9D"/>
    <w:rsid w:val="00AB3EA4"/>
    <w:rsid w:val="00AB40D9"/>
    <w:rsid w:val="00AB41F1"/>
    <w:rsid w:val="00AB4239"/>
    <w:rsid w:val="00AB4A1D"/>
    <w:rsid w:val="00AB5AD5"/>
    <w:rsid w:val="00AB64EB"/>
    <w:rsid w:val="00AB6A64"/>
    <w:rsid w:val="00AB6CD7"/>
    <w:rsid w:val="00AB7325"/>
    <w:rsid w:val="00AB7778"/>
    <w:rsid w:val="00AB7823"/>
    <w:rsid w:val="00AB7849"/>
    <w:rsid w:val="00AB79B9"/>
    <w:rsid w:val="00AB7DFB"/>
    <w:rsid w:val="00AC1374"/>
    <w:rsid w:val="00AC14C0"/>
    <w:rsid w:val="00AC23A1"/>
    <w:rsid w:val="00AC2806"/>
    <w:rsid w:val="00AC280A"/>
    <w:rsid w:val="00AC2AEE"/>
    <w:rsid w:val="00AC2EE2"/>
    <w:rsid w:val="00AC30DB"/>
    <w:rsid w:val="00AC33FE"/>
    <w:rsid w:val="00AC39EB"/>
    <w:rsid w:val="00AC3A51"/>
    <w:rsid w:val="00AC40E1"/>
    <w:rsid w:val="00AC4E4E"/>
    <w:rsid w:val="00AC4E78"/>
    <w:rsid w:val="00AC534B"/>
    <w:rsid w:val="00AC6211"/>
    <w:rsid w:val="00AC64D9"/>
    <w:rsid w:val="00AC65D8"/>
    <w:rsid w:val="00AC6D95"/>
    <w:rsid w:val="00AC73C3"/>
    <w:rsid w:val="00AC78DC"/>
    <w:rsid w:val="00AD08DC"/>
    <w:rsid w:val="00AD1130"/>
    <w:rsid w:val="00AD2038"/>
    <w:rsid w:val="00AD338E"/>
    <w:rsid w:val="00AD38AC"/>
    <w:rsid w:val="00AD3C01"/>
    <w:rsid w:val="00AD406F"/>
    <w:rsid w:val="00AD420B"/>
    <w:rsid w:val="00AD4D49"/>
    <w:rsid w:val="00AD57F1"/>
    <w:rsid w:val="00AD59C5"/>
    <w:rsid w:val="00AD5ECA"/>
    <w:rsid w:val="00AD5FAA"/>
    <w:rsid w:val="00AD619B"/>
    <w:rsid w:val="00AD6621"/>
    <w:rsid w:val="00AD66BF"/>
    <w:rsid w:val="00AD6C84"/>
    <w:rsid w:val="00AD7D0F"/>
    <w:rsid w:val="00AE02AB"/>
    <w:rsid w:val="00AE036F"/>
    <w:rsid w:val="00AE0B18"/>
    <w:rsid w:val="00AE1846"/>
    <w:rsid w:val="00AE2231"/>
    <w:rsid w:val="00AE2782"/>
    <w:rsid w:val="00AE2DC0"/>
    <w:rsid w:val="00AE315B"/>
    <w:rsid w:val="00AE3275"/>
    <w:rsid w:val="00AE3678"/>
    <w:rsid w:val="00AE3CE1"/>
    <w:rsid w:val="00AE412E"/>
    <w:rsid w:val="00AE47E7"/>
    <w:rsid w:val="00AE48A4"/>
    <w:rsid w:val="00AE4AFF"/>
    <w:rsid w:val="00AE54CB"/>
    <w:rsid w:val="00AE56CE"/>
    <w:rsid w:val="00AE73C2"/>
    <w:rsid w:val="00AE762A"/>
    <w:rsid w:val="00AE7C78"/>
    <w:rsid w:val="00AE7D1B"/>
    <w:rsid w:val="00AF0399"/>
    <w:rsid w:val="00AF03E9"/>
    <w:rsid w:val="00AF1216"/>
    <w:rsid w:val="00AF1304"/>
    <w:rsid w:val="00AF17DB"/>
    <w:rsid w:val="00AF22CF"/>
    <w:rsid w:val="00AF23F0"/>
    <w:rsid w:val="00AF2618"/>
    <w:rsid w:val="00AF2BE3"/>
    <w:rsid w:val="00AF2C18"/>
    <w:rsid w:val="00AF3D3F"/>
    <w:rsid w:val="00AF3D62"/>
    <w:rsid w:val="00AF3E68"/>
    <w:rsid w:val="00AF454D"/>
    <w:rsid w:val="00AF4F11"/>
    <w:rsid w:val="00AF5431"/>
    <w:rsid w:val="00AF5D60"/>
    <w:rsid w:val="00AF6742"/>
    <w:rsid w:val="00AF6AFA"/>
    <w:rsid w:val="00AF6BFA"/>
    <w:rsid w:val="00AF6EBF"/>
    <w:rsid w:val="00AF7D2D"/>
    <w:rsid w:val="00B003EA"/>
    <w:rsid w:val="00B00B47"/>
    <w:rsid w:val="00B0148A"/>
    <w:rsid w:val="00B016A0"/>
    <w:rsid w:val="00B01DF6"/>
    <w:rsid w:val="00B0226F"/>
    <w:rsid w:val="00B0333C"/>
    <w:rsid w:val="00B040AA"/>
    <w:rsid w:val="00B043B3"/>
    <w:rsid w:val="00B045B1"/>
    <w:rsid w:val="00B04E45"/>
    <w:rsid w:val="00B05A05"/>
    <w:rsid w:val="00B06D95"/>
    <w:rsid w:val="00B06EB1"/>
    <w:rsid w:val="00B06F3C"/>
    <w:rsid w:val="00B07A3A"/>
    <w:rsid w:val="00B07C79"/>
    <w:rsid w:val="00B1054C"/>
    <w:rsid w:val="00B10C39"/>
    <w:rsid w:val="00B10F14"/>
    <w:rsid w:val="00B11094"/>
    <w:rsid w:val="00B11609"/>
    <w:rsid w:val="00B11928"/>
    <w:rsid w:val="00B12BE6"/>
    <w:rsid w:val="00B12FE3"/>
    <w:rsid w:val="00B12FF8"/>
    <w:rsid w:val="00B1317F"/>
    <w:rsid w:val="00B131DF"/>
    <w:rsid w:val="00B132BC"/>
    <w:rsid w:val="00B13659"/>
    <w:rsid w:val="00B137A2"/>
    <w:rsid w:val="00B138DD"/>
    <w:rsid w:val="00B1402D"/>
    <w:rsid w:val="00B157C8"/>
    <w:rsid w:val="00B15A9A"/>
    <w:rsid w:val="00B15E08"/>
    <w:rsid w:val="00B15FFC"/>
    <w:rsid w:val="00B162FB"/>
    <w:rsid w:val="00B164C4"/>
    <w:rsid w:val="00B166E1"/>
    <w:rsid w:val="00B16B8D"/>
    <w:rsid w:val="00B16E6F"/>
    <w:rsid w:val="00B1743A"/>
    <w:rsid w:val="00B17BC6"/>
    <w:rsid w:val="00B17E41"/>
    <w:rsid w:val="00B204AC"/>
    <w:rsid w:val="00B209D5"/>
    <w:rsid w:val="00B216C3"/>
    <w:rsid w:val="00B21862"/>
    <w:rsid w:val="00B21EF0"/>
    <w:rsid w:val="00B2289C"/>
    <w:rsid w:val="00B229E1"/>
    <w:rsid w:val="00B22CE0"/>
    <w:rsid w:val="00B23561"/>
    <w:rsid w:val="00B23D5D"/>
    <w:rsid w:val="00B240B7"/>
    <w:rsid w:val="00B24A23"/>
    <w:rsid w:val="00B24AFA"/>
    <w:rsid w:val="00B24D3F"/>
    <w:rsid w:val="00B2511A"/>
    <w:rsid w:val="00B257A2"/>
    <w:rsid w:val="00B258BC"/>
    <w:rsid w:val="00B25B25"/>
    <w:rsid w:val="00B2641C"/>
    <w:rsid w:val="00B277A5"/>
    <w:rsid w:val="00B27920"/>
    <w:rsid w:val="00B300CB"/>
    <w:rsid w:val="00B3029A"/>
    <w:rsid w:val="00B30CE0"/>
    <w:rsid w:val="00B31692"/>
    <w:rsid w:val="00B318FD"/>
    <w:rsid w:val="00B3232D"/>
    <w:rsid w:val="00B32AA5"/>
    <w:rsid w:val="00B33B68"/>
    <w:rsid w:val="00B33F33"/>
    <w:rsid w:val="00B345DC"/>
    <w:rsid w:val="00B34811"/>
    <w:rsid w:val="00B34D51"/>
    <w:rsid w:val="00B34F94"/>
    <w:rsid w:val="00B355DD"/>
    <w:rsid w:val="00B356CC"/>
    <w:rsid w:val="00B3573B"/>
    <w:rsid w:val="00B359CF"/>
    <w:rsid w:val="00B35AD3"/>
    <w:rsid w:val="00B36897"/>
    <w:rsid w:val="00B369D8"/>
    <w:rsid w:val="00B369E7"/>
    <w:rsid w:val="00B36F3E"/>
    <w:rsid w:val="00B3707A"/>
    <w:rsid w:val="00B37424"/>
    <w:rsid w:val="00B37585"/>
    <w:rsid w:val="00B37B2F"/>
    <w:rsid w:val="00B37D1B"/>
    <w:rsid w:val="00B37EE4"/>
    <w:rsid w:val="00B410AC"/>
    <w:rsid w:val="00B411CB"/>
    <w:rsid w:val="00B41962"/>
    <w:rsid w:val="00B4198B"/>
    <w:rsid w:val="00B419FB"/>
    <w:rsid w:val="00B41FDE"/>
    <w:rsid w:val="00B425B9"/>
    <w:rsid w:val="00B431A4"/>
    <w:rsid w:val="00B443AF"/>
    <w:rsid w:val="00B45C73"/>
    <w:rsid w:val="00B46158"/>
    <w:rsid w:val="00B46688"/>
    <w:rsid w:val="00B46817"/>
    <w:rsid w:val="00B4685F"/>
    <w:rsid w:val="00B46A5B"/>
    <w:rsid w:val="00B46B86"/>
    <w:rsid w:val="00B47EBF"/>
    <w:rsid w:val="00B5013A"/>
    <w:rsid w:val="00B5013F"/>
    <w:rsid w:val="00B501D4"/>
    <w:rsid w:val="00B50303"/>
    <w:rsid w:val="00B50336"/>
    <w:rsid w:val="00B5059F"/>
    <w:rsid w:val="00B506D5"/>
    <w:rsid w:val="00B50AF7"/>
    <w:rsid w:val="00B50C12"/>
    <w:rsid w:val="00B50CE2"/>
    <w:rsid w:val="00B50D8F"/>
    <w:rsid w:val="00B51079"/>
    <w:rsid w:val="00B511A4"/>
    <w:rsid w:val="00B5123B"/>
    <w:rsid w:val="00B512FA"/>
    <w:rsid w:val="00B51B6F"/>
    <w:rsid w:val="00B52DE0"/>
    <w:rsid w:val="00B53ADC"/>
    <w:rsid w:val="00B53DC1"/>
    <w:rsid w:val="00B544D4"/>
    <w:rsid w:val="00B55503"/>
    <w:rsid w:val="00B55E98"/>
    <w:rsid w:val="00B55FD2"/>
    <w:rsid w:val="00B576F8"/>
    <w:rsid w:val="00B57B84"/>
    <w:rsid w:val="00B57F14"/>
    <w:rsid w:val="00B57F8C"/>
    <w:rsid w:val="00B60160"/>
    <w:rsid w:val="00B60975"/>
    <w:rsid w:val="00B60F88"/>
    <w:rsid w:val="00B61465"/>
    <w:rsid w:val="00B614C1"/>
    <w:rsid w:val="00B616BB"/>
    <w:rsid w:val="00B61D2F"/>
    <w:rsid w:val="00B61D53"/>
    <w:rsid w:val="00B62503"/>
    <w:rsid w:val="00B62A42"/>
    <w:rsid w:val="00B632E6"/>
    <w:rsid w:val="00B63F05"/>
    <w:rsid w:val="00B643F2"/>
    <w:rsid w:val="00B64C7D"/>
    <w:rsid w:val="00B651DE"/>
    <w:rsid w:val="00B65C2E"/>
    <w:rsid w:val="00B65CF5"/>
    <w:rsid w:val="00B660F6"/>
    <w:rsid w:val="00B67038"/>
    <w:rsid w:val="00B671B8"/>
    <w:rsid w:val="00B70089"/>
    <w:rsid w:val="00B7054E"/>
    <w:rsid w:val="00B70EFD"/>
    <w:rsid w:val="00B716CE"/>
    <w:rsid w:val="00B7171E"/>
    <w:rsid w:val="00B71751"/>
    <w:rsid w:val="00B71A9F"/>
    <w:rsid w:val="00B71D5C"/>
    <w:rsid w:val="00B71F71"/>
    <w:rsid w:val="00B721BA"/>
    <w:rsid w:val="00B726A0"/>
    <w:rsid w:val="00B7274B"/>
    <w:rsid w:val="00B728ED"/>
    <w:rsid w:val="00B72C77"/>
    <w:rsid w:val="00B72D40"/>
    <w:rsid w:val="00B72D80"/>
    <w:rsid w:val="00B73032"/>
    <w:rsid w:val="00B735D6"/>
    <w:rsid w:val="00B736C3"/>
    <w:rsid w:val="00B7376B"/>
    <w:rsid w:val="00B73B2F"/>
    <w:rsid w:val="00B74DE0"/>
    <w:rsid w:val="00B7524F"/>
    <w:rsid w:val="00B753EE"/>
    <w:rsid w:val="00B753FD"/>
    <w:rsid w:val="00B75609"/>
    <w:rsid w:val="00B75888"/>
    <w:rsid w:val="00B75BF4"/>
    <w:rsid w:val="00B76055"/>
    <w:rsid w:val="00B760AB"/>
    <w:rsid w:val="00B76440"/>
    <w:rsid w:val="00B767B5"/>
    <w:rsid w:val="00B76DB2"/>
    <w:rsid w:val="00B76E65"/>
    <w:rsid w:val="00B7714F"/>
    <w:rsid w:val="00B775BF"/>
    <w:rsid w:val="00B7763A"/>
    <w:rsid w:val="00B77BBE"/>
    <w:rsid w:val="00B77E08"/>
    <w:rsid w:val="00B805A0"/>
    <w:rsid w:val="00B8063B"/>
    <w:rsid w:val="00B82D34"/>
    <w:rsid w:val="00B835B0"/>
    <w:rsid w:val="00B83A06"/>
    <w:rsid w:val="00B83E04"/>
    <w:rsid w:val="00B84549"/>
    <w:rsid w:val="00B84EC1"/>
    <w:rsid w:val="00B85760"/>
    <w:rsid w:val="00B858C7"/>
    <w:rsid w:val="00B85AA2"/>
    <w:rsid w:val="00B86A3E"/>
    <w:rsid w:val="00B86D1A"/>
    <w:rsid w:val="00B87091"/>
    <w:rsid w:val="00B871A8"/>
    <w:rsid w:val="00B873ED"/>
    <w:rsid w:val="00B876D0"/>
    <w:rsid w:val="00B87B8C"/>
    <w:rsid w:val="00B90047"/>
    <w:rsid w:val="00B90208"/>
    <w:rsid w:val="00B90450"/>
    <w:rsid w:val="00B90A93"/>
    <w:rsid w:val="00B90B7C"/>
    <w:rsid w:val="00B91398"/>
    <w:rsid w:val="00B91904"/>
    <w:rsid w:val="00B919B9"/>
    <w:rsid w:val="00B91A74"/>
    <w:rsid w:val="00B91AE1"/>
    <w:rsid w:val="00B91E48"/>
    <w:rsid w:val="00B92461"/>
    <w:rsid w:val="00B924CE"/>
    <w:rsid w:val="00B92526"/>
    <w:rsid w:val="00B9255A"/>
    <w:rsid w:val="00B93106"/>
    <w:rsid w:val="00B93327"/>
    <w:rsid w:val="00B93421"/>
    <w:rsid w:val="00B934F4"/>
    <w:rsid w:val="00B9372D"/>
    <w:rsid w:val="00B9372E"/>
    <w:rsid w:val="00B9428F"/>
    <w:rsid w:val="00B94323"/>
    <w:rsid w:val="00B94553"/>
    <w:rsid w:val="00B94585"/>
    <w:rsid w:val="00B945B2"/>
    <w:rsid w:val="00B94868"/>
    <w:rsid w:val="00B94C96"/>
    <w:rsid w:val="00B94C9A"/>
    <w:rsid w:val="00B94E00"/>
    <w:rsid w:val="00B95161"/>
    <w:rsid w:val="00B95296"/>
    <w:rsid w:val="00B956E2"/>
    <w:rsid w:val="00B95A0E"/>
    <w:rsid w:val="00B9628D"/>
    <w:rsid w:val="00B96397"/>
    <w:rsid w:val="00B9639D"/>
    <w:rsid w:val="00B963E4"/>
    <w:rsid w:val="00B96416"/>
    <w:rsid w:val="00B96467"/>
    <w:rsid w:val="00B964D7"/>
    <w:rsid w:val="00B96691"/>
    <w:rsid w:val="00B9675A"/>
    <w:rsid w:val="00B96918"/>
    <w:rsid w:val="00B96DD3"/>
    <w:rsid w:val="00B96F7E"/>
    <w:rsid w:val="00B976CA"/>
    <w:rsid w:val="00B97955"/>
    <w:rsid w:val="00BA01A3"/>
    <w:rsid w:val="00BA02E2"/>
    <w:rsid w:val="00BA040F"/>
    <w:rsid w:val="00BA07C5"/>
    <w:rsid w:val="00BA10E9"/>
    <w:rsid w:val="00BA1B71"/>
    <w:rsid w:val="00BA1D3B"/>
    <w:rsid w:val="00BA200A"/>
    <w:rsid w:val="00BA20FA"/>
    <w:rsid w:val="00BA22CD"/>
    <w:rsid w:val="00BA251B"/>
    <w:rsid w:val="00BA3075"/>
    <w:rsid w:val="00BA43CA"/>
    <w:rsid w:val="00BA49BB"/>
    <w:rsid w:val="00BA549D"/>
    <w:rsid w:val="00BA5667"/>
    <w:rsid w:val="00BA5FFB"/>
    <w:rsid w:val="00BA630D"/>
    <w:rsid w:val="00BA67AF"/>
    <w:rsid w:val="00BA697D"/>
    <w:rsid w:val="00BA6AB9"/>
    <w:rsid w:val="00BA6B00"/>
    <w:rsid w:val="00BA7B3F"/>
    <w:rsid w:val="00BB0E98"/>
    <w:rsid w:val="00BB118D"/>
    <w:rsid w:val="00BB1E34"/>
    <w:rsid w:val="00BB20D6"/>
    <w:rsid w:val="00BB2AB2"/>
    <w:rsid w:val="00BB2B92"/>
    <w:rsid w:val="00BB2E35"/>
    <w:rsid w:val="00BB3ED4"/>
    <w:rsid w:val="00BB41CA"/>
    <w:rsid w:val="00BB4CD5"/>
    <w:rsid w:val="00BB4FF7"/>
    <w:rsid w:val="00BB501D"/>
    <w:rsid w:val="00BB51CA"/>
    <w:rsid w:val="00BB536E"/>
    <w:rsid w:val="00BB5F26"/>
    <w:rsid w:val="00BB731A"/>
    <w:rsid w:val="00BB75B4"/>
    <w:rsid w:val="00BB7D07"/>
    <w:rsid w:val="00BC0796"/>
    <w:rsid w:val="00BC0B09"/>
    <w:rsid w:val="00BC1073"/>
    <w:rsid w:val="00BC11B7"/>
    <w:rsid w:val="00BC2426"/>
    <w:rsid w:val="00BC2AF3"/>
    <w:rsid w:val="00BC3B82"/>
    <w:rsid w:val="00BC4083"/>
    <w:rsid w:val="00BC454F"/>
    <w:rsid w:val="00BC45A9"/>
    <w:rsid w:val="00BC59B2"/>
    <w:rsid w:val="00BC5A8E"/>
    <w:rsid w:val="00BC5B9B"/>
    <w:rsid w:val="00BC5DE2"/>
    <w:rsid w:val="00BC6318"/>
    <w:rsid w:val="00BC6438"/>
    <w:rsid w:val="00BC6A60"/>
    <w:rsid w:val="00BC6C59"/>
    <w:rsid w:val="00BC6EDE"/>
    <w:rsid w:val="00BC713B"/>
    <w:rsid w:val="00BC7656"/>
    <w:rsid w:val="00BC7A16"/>
    <w:rsid w:val="00BD0B63"/>
    <w:rsid w:val="00BD0DF2"/>
    <w:rsid w:val="00BD1539"/>
    <w:rsid w:val="00BD1704"/>
    <w:rsid w:val="00BD1D7E"/>
    <w:rsid w:val="00BD22D6"/>
    <w:rsid w:val="00BD25CD"/>
    <w:rsid w:val="00BD27A7"/>
    <w:rsid w:val="00BD2977"/>
    <w:rsid w:val="00BD2C8E"/>
    <w:rsid w:val="00BD339B"/>
    <w:rsid w:val="00BD35CB"/>
    <w:rsid w:val="00BD380D"/>
    <w:rsid w:val="00BD38CF"/>
    <w:rsid w:val="00BD39C3"/>
    <w:rsid w:val="00BD3CA1"/>
    <w:rsid w:val="00BD3D64"/>
    <w:rsid w:val="00BD41AC"/>
    <w:rsid w:val="00BD440F"/>
    <w:rsid w:val="00BD4740"/>
    <w:rsid w:val="00BD4776"/>
    <w:rsid w:val="00BD4A26"/>
    <w:rsid w:val="00BD4DF4"/>
    <w:rsid w:val="00BD5D7C"/>
    <w:rsid w:val="00BD667D"/>
    <w:rsid w:val="00BD6876"/>
    <w:rsid w:val="00BD6D48"/>
    <w:rsid w:val="00BD733B"/>
    <w:rsid w:val="00BD747F"/>
    <w:rsid w:val="00BD7AD6"/>
    <w:rsid w:val="00BE0306"/>
    <w:rsid w:val="00BE0344"/>
    <w:rsid w:val="00BE0B99"/>
    <w:rsid w:val="00BE10AA"/>
    <w:rsid w:val="00BE1406"/>
    <w:rsid w:val="00BE1585"/>
    <w:rsid w:val="00BE1834"/>
    <w:rsid w:val="00BE1A27"/>
    <w:rsid w:val="00BE223A"/>
    <w:rsid w:val="00BE245B"/>
    <w:rsid w:val="00BE27FD"/>
    <w:rsid w:val="00BE3672"/>
    <w:rsid w:val="00BE3ABE"/>
    <w:rsid w:val="00BE3F75"/>
    <w:rsid w:val="00BE4091"/>
    <w:rsid w:val="00BE436D"/>
    <w:rsid w:val="00BE49EA"/>
    <w:rsid w:val="00BE4B16"/>
    <w:rsid w:val="00BE50EA"/>
    <w:rsid w:val="00BE56E7"/>
    <w:rsid w:val="00BE576D"/>
    <w:rsid w:val="00BE6207"/>
    <w:rsid w:val="00BE62EC"/>
    <w:rsid w:val="00BE652D"/>
    <w:rsid w:val="00BE6FC6"/>
    <w:rsid w:val="00BE701F"/>
    <w:rsid w:val="00BE76B3"/>
    <w:rsid w:val="00BE7B5B"/>
    <w:rsid w:val="00BF0FF1"/>
    <w:rsid w:val="00BF1443"/>
    <w:rsid w:val="00BF148B"/>
    <w:rsid w:val="00BF1542"/>
    <w:rsid w:val="00BF194E"/>
    <w:rsid w:val="00BF1B38"/>
    <w:rsid w:val="00BF2E2C"/>
    <w:rsid w:val="00BF36B2"/>
    <w:rsid w:val="00BF3C81"/>
    <w:rsid w:val="00BF3E3E"/>
    <w:rsid w:val="00BF439A"/>
    <w:rsid w:val="00BF5723"/>
    <w:rsid w:val="00BF6562"/>
    <w:rsid w:val="00BF6C52"/>
    <w:rsid w:val="00BF6D6D"/>
    <w:rsid w:val="00BF6F84"/>
    <w:rsid w:val="00BF745C"/>
    <w:rsid w:val="00C0000F"/>
    <w:rsid w:val="00C014E3"/>
    <w:rsid w:val="00C0160E"/>
    <w:rsid w:val="00C0254D"/>
    <w:rsid w:val="00C026A0"/>
    <w:rsid w:val="00C0324E"/>
    <w:rsid w:val="00C039CF"/>
    <w:rsid w:val="00C03D11"/>
    <w:rsid w:val="00C041CC"/>
    <w:rsid w:val="00C0473F"/>
    <w:rsid w:val="00C06D8D"/>
    <w:rsid w:val="00C079FD"/>
    <w:rsid w:val="00C1030E"/>
    <w:rsid w:val="00C1071A"/>
    <w:rsid w:val="00C10720"/>
    <w:rsid w:val="00C11300"/>
    <w:rsid w:val="00C117F4"/>
    <w:rsid w:val="00C119FF"/>
    <w:rsid w:val="00C11F65"/>
    <w:rsid w:val="00C12327"/>
    <w:rsid w:val="00C1263C"/>
    <w:rsid w:val="00C12768"/>
    <w:rsid w:val="00C129FD"/>
    <w:rsid w:val="00C12BB9"/>
    <w:rsid w:val="00C13A66"/>
    <w:rsid w:val="00C1408A"/>
    <w:rsid w:val="00C14148"/>
    <w:rsid w:val="00C143F3"/>
    <w:rsid w:val="00C14739"/>
    <w:rsid w:val="00C148E6"/>
    <w:rsid w:val="00C14914"/>
    <w:rsid w:val="00C14ADF"/>
    <w:rsid w:val="00C14AE3"/>
    <w:rsid w:val="00C14D2D"/>
    <w:rsid w:val="00C15006"/>
    <w:rsid w:val="00C1519D"/>
    <w:rsid w:val="00C15701"/>
    <w:rsid w:val="00C159AB"/>
    <w:rsid w:val="00C16338"/>
    <w:rsid w:val="00C16983"/>
    <w:rsid w:val="00C172A7"/>
    <w:rsid w:val="00C173EA"/>
    <w:rsid w:val="00C17C48"/>
    <w:rsid w:val="00C17DB0"/>
    <w:rsid w:val="00C2055F"/>
    <w:rsid w:val="00C20CEE"/>
    <w:rsid w:val="00C21091"/>
    <w:rsid w:val="00C2159C"/>
    <w:rsid w:val="00C2195B"/>
    <w:rsid w:val="00C21C0B"/>
    <w:rsid w:val="00C22062"/>
    <w:rsid w:val="00C22751"/>
    <w:rsid w:val="00C227DB"/>
    <w:rsid w:val="00C235CF"/>
    <w:rsid w:val="00C23BA8"/>
    <w:rsid w:val="00C23E28"/>
    <w:rsid w:val="00C248A1"/>
    <w:rsid w:val="00C25688"/>
    <w:rsid w:val="00C25728"/>
    <w:rsid w:val="00C25A17"/>
    <w:rsid w:val="00C25C0B"/>
    <w:rsid w:val="00C25C24"/>
    <w:rsid w:val="00C25E65"/>
    <w:rsid w:val="00C263B8"/>
    <w:rsid w:val="00C275F2"/>
    <w:rsid w:val="00C27700"/>
    <w:rsid w:val="00C27A38"/>
    <w:rsid w:val="00C27E71"/>
    <w:rsid w:val="00C306F3"/>
    <w:rsid w:val="00C30AE9"/>
    <w:rsid w:val="00C30B66"/>
    <w:rsid w:val="00C317FA"/>
    <w:rsid w:val="00C3194F"/>
    <w:rsid w:val="00C32029"/>
    <w:rsid w:val="00C32444"/>
    <w:rsid w:val="00C32602"/>
    <w:rsid w:val="00C3294A"/>
    <w:rsid w:val="00C33948"/>
    <w:rsid w:val="00C33B4F"/>
    <w:rsid w:val="00C346CB"/>
    <w:rsid w:val="00C35816"/>
    <w:rsid w:val="00C3667B"/>
    <w:rsid w:val="00C371C6"/>
    <w:rsid w:val="00C37C93"/>
    <w:rsid w:val="00C40AC2"/>
    <w:rsid w:val="00C40B2D"/>
    <w:rsid w:val="00C40BBC"/>
    <w:rsid w:val="00C410FA"/>
    <w:rsid w:val="00C42144"/>
    <w:rsid w:val="00C42165"/>
    <w:rsid w:val="00C429E2"/>
    <w:rsid w:val="00C42EC8"/>
    <w:rsid w:val="00C4300B"/>
    <w:rsid w:val="00C433CE"/>
    <w:rsid w:val="00C43414"/>
    <w:rsid w:val="00C43AA0"/>
    <w:rsid w:val="00C44810"/>
    <w:rsid w:val="00C44C3F"/>
    <w:rsid w:val="00C44EA5"/>
    <w:rsid w:val="00C44F2C"/>
    <w:rsid w:val="00C45E1C"/>
    <w:rsid w:val="00C45EAE"/>
    <w:rsid w:val="00C466ED"/>
    <w:rsid w:val="00C47B8D"/>
    <w:rsid w:val="00C47CD6"/>
    <w:rsid w:val="00C50195"/>
    <w:rsid w:val="00C50A02"/>
    <w:rsid w:val="00C512A4"/>
    <w:rsid w:val="00C51F0F"/>
    <w:rsid w:val="00C52D09"/>
    <w:rsid w:val="00C52D62"/>
    <w:rsid w:val="00C53423"/>
    <w:rsid w:val="00C53592"/>
    <w:rsid w:val="00C53AA1"/>
    <w:rsid w:val="00C54141"/>
    <w:rsid w:val="00C54683"/>
    <w:rsid w:val="00C54CF8"/>
    <w:rsid w:val="00C555F9"/>
    <w:rsid w:val="00C55C94"/>
    <w:rsid w:val="00C55D11"/>
    <w:rsid w:val="00C56F5C"/>
    <w:rsid w:val="00C570AF"/>
    <w:rsid w:val="00C57389"/>
    <w:rsid w:val="00C57DDD"/>
    <w:rsid w:val="00C61270"/>
    <w:rsid w:val="00C61383"/>
    <w:rsid w:val="00C6157C"/>
    <w:rsid w:val="00C61A81"/>
    <w:rsid w:val="00C61C05"/>
    <w:rsid w:val="00C61C25"/>
    <w:rsid w:val="00C62885"/>
    <w:rsid w:val="00C62CD7"/>
    <w:rsid w:val="00C62DE9"/>
    <w:rsid w:val="00C62F1E"/>
    <w:rsid w:val="00C62F97"/>
    <w:rsid w:val="00C632AC"/>
    <w:rsid w:val="00C63407"/>
    <w:rsid w:val="00C63E72"/>
    <w:rsid w:val="00C64A81"/>
    <w:rsid w:val="00C64F0E"/>
    <w:rsid w:val="00C653CB"/>
    <w:rsid w:val="00C65734"/>
    <w:rsid w:val="00C65BEC"/>
    <w:rsid w:val="00C6608A"/>
    <w:rsid w:val="00C66323"/>
    <w:rsid w:val="00C66665"/>
    <w:rsid w:val="00C668B7"/>
    <w:rsid w:val="00C66BEE"/>
    <w:rsid w:val="00C66E83"/>
    <w:rsid w:val="00C67218"/>
    <w:rsid w:val="00C6752B"/>
    <w:rsid w:val="00C67D6D"/>
    <w:rsid w:val="00C67E9B"/>
    <w:rsid w:val="00C70382"/>
    <w:rsid w:val="00C7047A"/>
    <w:rsid w:val="00C7065E"/>
    <w:rsid w:val="00C70BF7"/>
    <w:rsid w:val="00C70E62"/>
    <w:rsid w:val="00C71C41"/>
    <w:rsid w:val="00C71E02"/>
    <w:rsid w:val="00C71F9D"/>
    <w:rsid w:val="00C729CA"/>
    <w:rsid w:val="00C72A6C"/>
    <w:rsid w:val="00C72ACA"/>
    <w:rsid w:val="00C72B84"/>
    <w:rsid w:val="00C73155"/>
    <w:rsid w:val="00C7339B"/>
    <w:rsid w:val="00C73AD1"/>
    <w:rsid w:val="00C7525F"/>
    <w:rsid w:val="00C7559A"/>
    <w:rsid w:val="00C75F23"/>
    <w:rsid w:val="00C76298"/>
    <w:rsid w:val="00C766FA"/>
    <w:rsid w:val="00C77225"/>
    <w:rsid w:val="00C776CE"/>
    <w:rsid w:val="00C803B6"/>
    <w:rsid w:val="00C80E96"/>
    <w:rsid w:val="00C80EAB"/>
    <w:rsid w:val="00C80FA2"/>
    <w:rsid w:val="00C816DF"/>
    <w:rsid w:val="00C81D70"/>
    <w:rsid w:val="00C820FD"/>
    <w:rsid w:val="00C82D83"/>
    <w:rsid w:val="00C8310E"/>
    <w:rsid w:val="00C84A18"/>
    <w:rsid w:val="00C850D0"/>
    <w:rsid w:val="00C8523B"/>
    <w:rsid w:val="00C853AB"/>
    <w:rsid w:val="00C855C8"/>
    <w:rsid w:val="00C85ACD"/>
    <w:rsid w:val="00C85C28"/>
    <w:rsid w:val="00C86824"/>
    <w:rsid w:val="00C8745B"/>
    <w:rsid w:val="00C876A1"/>
    <w:rsid w:val="00C87B64"/>
    <w:rsid w:val="00C87E1F"/>
    <w:rsid w:val="00C90102"/>
    <w:rsid w:val="00C90495"/>
    <w:rsid w:val="00C904D0"/>
    <w:rsid w:val="00C908AC"/>
    <w:rsid w:val="00C90DFA"/>
    <w:rsid w:val="00C92769"/>
    <w:rsid w:val="00C928D8"/>
    <w:rsid w:val="00C9318D"/>
    <w:rsid w:val="00C93FDF"/>
    <w:rsid w:val="00C952E6"/>
    <w:rsid w:val="00C95909"/>
    <w:rsid w:val="00C95B39"/>
    <w:rsid w:val="00C965C4"/>
    <w:rsid w:val="00C96857"/>
    <w:rsid w:val="00C968DA"/>
    <w:rsid w:val="00C96D58"/>
    <w:rsid w:val="00C97E18"/>
    <w:rsid w:val="00CA012B"/>
    <w:rsid w:val="00CA0256"/>
    <w:rsid w:val="00CA02AD"/>
    <w:rsid w:val="00CA054F"/>
    <w:rsid w:val="00CA0B59"/>
    <w:rsid w:val="00CA1182"/>
    <w:rsid w:val="00CA1ACA"/>
    <w:rsid w:val="00CA1FA8"/>
    <w:rsid w:val="00CA2885"/>
    <w:rsid w:val="00CA2D4C"/>
    <w:rsid w:val="00CA2DBB"/>
    <w:rsid w:val="00CA3059"/>
    <w:rsid w:val="00CA3516"/>
    <w:rsid w:val="00CA38F1"/>
    <w:rsid w:val="00CA3F39"/>
    <w:rsid w:val="00CA45B6"/>
    <w:rsid w:val="00CA4C6A"/>
    <w:rsid w:val="00CA4FF5"/>
    <w:rsid w:val="00CA506F"/>
    <w:rsid w:val="00CA5145"/>
    <w:rsid w:val="00CA574A"/>
    <w:rsid w:val="00CA585D"/>
    <w:rsid w:val="00CA6225"/>
    <w:rsid w:val="00CA6266"/>
    <w:rsid w:val="00CA6D94"/>
    <w:rsid w:val="00CA74FB"/>
    <w:rsid w:val="00CA77EE"/>
    <w:rsid w:val="00CB0603"/>
    <w:rsid w:val="00CB08F6"/>
    <w:rsid w:val="00CB091D"/>
    <w:rsid w:val="00CB0C6F"/>
    <w:rsid w:val="00CB0EBB"/>
    <w:rsid w:val="00CB1E89"/>
    <w:rsid w:val="00CB1FF7"/>
    <w:rsid w:val="00CB2518"/>
    <w:rsid w:val="00CB2B6C"/>
    <w:rsid w:val="00CB2B9D"/>
    <w:rsid w:val="00CB343B"/>
    <w:rsid w:val="00CB3498"/>
    <w:rsid w:val="00CB36B9"/>
    <w:rsid w:val="00CB38B4"/>
    <w:rsid w:val="00CB38E1"/>
    <w:rsid w:val="00CB4417"/>
    <w:rsid w:val="00CB4524"/>
    <w:rsid w:val="00CB4BBB"/>
    <w:rsid w:val="00CB5F22"/>
    <w:rsid w:val="00CB5FF3"/>
    <w:rsid w:val="00CB7176"/>
    <w:rsid w:val="00CC00CF"/>
    <w:rsid w:val="00CC015C"/>
    <w:rsid w:val="00CC1331"/>
    <w:rsid w:val="00CC223C"/>
    <w:rsid w:val="00CC2295"/>
    <w:rsid w:val="00CC241F"/>
    <w:rsid w:val="00CC2635"/>
    <w:rsid w:val="00CC2A04"/>
    <w:rsid w:val="00CC2CA1"/>
    <w:rsid w:val="00CC2D86"/>
    <w:rsid w:val="00CC2D9C"/>
    <w:rsid w:val="00CC2F73"/>
    <w:rsid w:val="00CC31F4"/>
    <w:rsid w:val="00CC3713"/>
    <w:rsid w:val="00CC3B39"/>
    <w:rsid w:val="00CC3C79"/>
    <w:rsid w:val="00CC41A5"/>
    <w:rsid w:val="00CC41BB"/>
    <w:rsid w:val="00CC43C2"/>
    <w:rsid w:val="00CC440A"/>
    <w:rsid w:val="00CC4D3D"/>
    <w:rsid w:val="00CC55F0"/>
    <w:rsid w:val="00CC5B28"/>
    <w:rsid w:val="00CC62DF"/>
    <w:rsid w:val="00CC678D"/>
    <w:rsid w:val="00CC6C10"/>
    <w:rsid w:val="00CC6F89"/>
    <w:rsid w:val="00CC7300"/>
    <w:rsid w:val="00CC7784"/>
    <w:rsid w:val="00CC784F"/>
    <w:rsid w:val="00CC785E"/>
    <w:rsid w:val="00CC7A26"/>
    <w:rsid w:val="00CC7A80"/>
    <w:rsid w:val="00CC7F48"/>
    <w:rsid w:val="00CD07ED"/>
    <w:rsid w:val="00CD09D0"/>
    <w:rsid w:val="00CD09F8"/>
    <w:rsid w:val="00CD0C63"/>
    <w:rsid w:val="00CD12A6"/>
    <w:rsid w:val="00CD13B0"/>
    <w:rsid w:val="00CD25E2"/>
    <w:rsid w:val="00CD2AC0"/>
    <w:rsid w:val="00CD3809"/>
    <w:rsid w:val="00CD3EF1"/>
    <w:rsid w:val="00CD3FAC"/>
    <w:rsid w:val="00CD5730"/>
    <w:rsid w:val="00CD598C"/>
    <w:rsid w:val="00CD6316"/>
    <w:rsid w:val="00CD6325"/>
    <w:rsid w:val="00CD6336"/>
    <w:rsid w:val="00CD67E1"/>
    <w:rsid w:val="00CD69B5"/>
    <w:rsid w:val="00CD717B"/>
    <w:rsid w:val="00CD7BAC"/>
    <w:rsid w:val="00CD7CA3"/>
    <w:rsid w:val="00CD7E2A"/>
    <w:rsid w:val="00CE0F50"/>
    <w:rsid w:val="00CE15BD"/>
    <w:rsid w:val="00CE1E97"/>
    <w:rsid w:val="00CE2013"/>
    <w:rsid w:val="00CE22EE"/>
    <w:rsid w:val="00CE285C"/>
    <w:rsid w:val="00CE2C51"/>
    <w:rsid w:val="00CE3358"/>
    <w:rsid w:val="00CE3576"/>
    <w:rsid w:val="00CE35FE"/>
    <w:rsid w:val="00CE3698"/>
    <w:rsid w:val="00CE36F1"/>
    <w:rsid w:val="00CE38F6"/>
    <w:rsid w:val="00CE4426"/>
    <w:rsid w:val="00CE4F2B"/>
    <w:rsid w:val="00CE52B9"/>
    <w:rsid w:val="00CE5DED"/>
    <w:rsid w:val="00CE5FDD"/>
    <w:rsid w:val="00CE6176"/>
    <w:rsid w:val="00CE63EC"/>
    <w:rsid w:val="00CE6504"/>
    <w:rsid w:val="00CE7361"/>
    <w:rsid w:val="00CE7405"/>
    <w:rsid w:val="00CE752A"/>
    <w:rsid w:val="00CF0C9A"/>
    <w:rsid w:val="00CF0FEE"/>
    <w:rsid w:val="00CF10E4"/>
    <w:rsid w:val="00CF17C2"/>
    <w:rsid w:val="00CF26E7"/>
    <w:rsid w:val="00CF2733"/>
    <w:rsid w:val="00CF2F84"/>
    <w:rsid w:val="00CF358E"/>
    <w:rsid w:val="00CF36D7"/>
    <w:rsid w:val="00CF3D77"/>
    <w:rsid w:val="00CF4379"/>
    <w:rsid w:val="00CF4970"/>
    <w:rsid w:val="00CF5257"/>
    <w:rsid w:val="00CF52C2"/>
    <w:rsid w:val="00CF6190"/>
    <w:rsid w:val="00CF6322"/>
    <w:rsid w:val="00CF6369"/>
    <w:rsid w:val="00CF6766"/>
    <w:rsid w:val="00CF6C2C"/>
    <w:rsid w:val="00CF6D5C"/>
    <w:rsid w:val="00CF6F17"/>
    <w:rsid w:val="00CF70A0"/>
    <w:rsid w:val="00CF74B1"/>
    <w:rsid w:val="00CF7E3B"/>
    <w:rsid w:val="00D002AF"/>
    <w:rsid w:val="00D01A30"/>
    <w:rsid w:val="00D01E36"/>
    <w:rsid w:val="00D02599"/>
    <w:rsid w:val="00D02A5A"/>
    <w:rsid w:val="00D04A94"/>
    <w:rsid w:val="00D04B31"/>
    <w:rsid w:val="00D05830"/>
    <w:rsid w:val="00D05C27"/>
    <w:rsid w:val="00D06096"/>
    <w:rsid w:val="00D06A73"/>
    <w:rsid w:val="00D06DA7"/>
    <w:rsid w:val="00D07549"/>
    <w:rsid w:val="00D07967"/>
    <w:rsid w:val="00D103F3"/>
    <w:rsid w:val="00D112FD"/>
    <w:rsid w:val="00D119C0"/>
    <w:rsid w:val="00D11F57"/>
    <w:rsid w:val="00D12DD7"/>
    <w:rsid w:val="00D12EEB"/>
    <w:rsid w:val="00D13C23"/>
    <w:rsid w:val="00D13C7E"/>
    <w:rsid w:val="00D1437A"/>
    <w:rsid w:val="00D14B0B"/>
    <w:rsid w:val="00D14D01"/>
    <w:rsid w:val="00D14F2E"/>
    <w:rsid w:val="00D1531B"/>
    <w:rsid w:val="00D157BE"/>
    <w:rsid w:val="00D15C54"/>
    <w:rsid w:val="00D16343"/>
    <w:rsid w:val="00D16402"/>
    <w:rsid w:val="00D16673"/>
    <w:rsid w:val="00D166CC"/>
    <w:rsid w:val="00D1772E"/>
    <w:rsid w:val="00D17A9C"/>
    <w:rsid w:val="00D17C4C"/>
    <w:rsid w:val="00D20174"/>
    <w:rsid w:val="00D20310"/>
    <w:rsid w:val="00D2032B"/>
    <w:rsid w:val="00D204DB"/>
    <w:rsid w:val="00D205AE"/>
    <w:rsid w:val="00D208EF"/>
    <w:rsid w:val="00D20A89"/>
    <w:rsid w:val="00D20B9E"/>
    <w:rsid w:val="00D21353"/>
    <w:rsid w:val="00D215E7"/>
    <w:rsid w:val="00D21C26"/>
    <w:rsid w:val="00D22B7A"/>
    <w:rsid w:val="00D23236"/>
    <w:rsid w:val="00D237DC"/>
    <w:rsid w:val="00D23B1A"/>
    <w:rsid w:val="00D23C2B"/>
    <w:rsid w:val="00D249D3"/>
    <w:rsid w:val="00D24AD8"/>
    <w:rsid w:val="00D25E12"/>
    <w:rsid w:val="00D2700E"/>
    <w:rsid w:val="00D27201"/>
    <w:rsid w:val="00D27D7D"/>
    <w:rsid w:val="00D27DC3"/>
    <w:rsid w:val="00D27E65"/>
    <w:rsid w:val="00D3080D"/>
    <w:rsid w:val="00D30A8C"/>
    <w:rsid w:val="00D30B03"/>
    <w:rsid w:val="00D30DE7"/>
    <w:rsid w:val="00D3139E"/>
    <w:rsid w:val="00D31885"/>
    <w:rsid w:val="00D32F1F"/>
    <w:rsid w:val="00D33507"/>
    <w:rsid w:val="00D3367D"/>
    <w:rsid w:val="00D3376D"/>
    <w:rsid w:val="00D34008"/>
    <w:rsid w:val="00D34720"/>
    <w:rsid w:val="00D34D2D"/>
    <w:rsid w:val="00D35CFB"/>
    <w:rsid w:val="00D35E90"/>
    <w:rsid w:val="00D35FA3"/>
    <w:rsid w:val="00D3633D"/>
    <w:rsid w:val="00D364D5"/>
    <w:rsid w:val="00D36CD3"/>
    <w:rsid w:val="00D37C17"/>
    <w:rsid w:val="00D40B45"/>
    <w:rsid w:val="00D40B4D"/>
    <w:rsid w:val="00D413E0"/>
    <w:rsid w:val="00D418AE"/>
    <w:rsid w:val="00D41AD8"/>
    <w:rsid w:val="00D41C14"/>
    <w:rsid w:val="00D42453"/>
    <w:rsid w:val="00D42D0D"/>
    <w:rsid w:val="00D42FDC"/>
    <w:rsid w:val="00D4356B"/>
    <w:rsid w:val="00D437B7"/>
    <w:rsid w:val="00D43DED"/>
    <w:rsid w:val="00D43F51"/>
    <w:rsid w:val="00D43F81"/>
    <w:rsid w:val="00D44798"/>
    <w:rsid w:val="00D4496E"/>
    <w:rsid w:val="00D44F0B"/>
    <w:rsid w:val="00D44F89"/>
    <w:rsid w:val="00D45713"/>
    <w:rsid w:val="00D4613A"/>
    <w:rsid w:val="00D46186"/>
    <w:rsid w:val="00D4643E"/>
    <w:rsid w:val="00D46D7A"/>
    <w:rsid w:val="00D46D7D"/>
    <w:rsid w:val="00D47AE8"/>
    <w:rsid w:val="00D47C92"/>
    <w:rsid w:val="00D47F2F"/>
    <w:rsid w:val="00D50283"/>
    <w:rsid w:val="00D50360"/>
    <w:rsid w:val="00D50451"/>
    <w:rsid w:val="00D51116"/>
    <w:rsid w:val="00D514B2"/>
    <w:rsid w:val="00D5292F"/>
    <w:rsid w:val="00D52FDA"/>
    <w:rsid w:val="00D5379B"/>
    <w:rsid w:val="00D537BC"/>
    <w:rsid w:val="00D537D5"/>
    <w:rsid w:val="00D53CAC"/>
    <w:rsid w:val="00D5447E"/>
    <w:rsid w:val="00D54965"/>
    <w:rsid w:val="00D55686"/>
    <w:rsid w:val="00D560B3"/>
    <w:rsid w:val="00D560FC"/>
    <w:rsid w:val="00D56781"/>
    <w:rsid w:val="00D568A1"/>
    <w:rsid w:val="00D57467"/>
    <w:rsid w:val="00D5781C"/>
    <w:rsid w:val="00D610D7"/>
    <w:rsid w:val="00D6225E"/>
    <w:rsid w:val="00D62436"/>
    <w:rsid w:val="00D62CD5"/>
    <w:rsid w:val="00D6374B"/>
    <w:rsid w:val="00D643FB"/>
    <w:rsid w:val="00D65371"/>
    <w:rsid w:val="00D65561"/>
    <w:rsid w:val="00D656A8"/>
    <w:rsid w:val="00D65F6F"/>
    <w:rsid w:val="00D6606A"/>
    <w:rsid w:val="00D666EF"/>
    <w:rsid w:val="00D66A1E"/>
    <w:rsid w:val="00D66EF8"/>
    <w:rsid w:val="00D6778A"/>
    <w:rsid w:val="00D70419"/>
    <w:rsid w:val="00D705C7"/>
    <w:rsid w:val="00D708F8"/>
    <w:rsid w:val="00D711EA"/>
    <w:rsid w:val="00D72D25"/>
    <w:rsid w:val="00D731C9"/>
    <w:rsid w:val="00D73272"/>
    <w:rsid w:val="00D73715"/>
    <w:rsid w:val="00D739AC"/>
    <w:rsid w:val="00D73E92"/>
    <w:rsid w:val="00D74534"/>
    <w:rsid w:val="00D74699"/>
    <w:rsid w:val="00D75547"/>
    <w:rsid w:val="00D755D2"/>
    <w:rsid w:val="00D75815"/>
    <w:rsid w:val="00D75F94"/>
    <w:rsid w:val="00D7602B"/>
    <w:rsid w:val="00D76482"/>
    <w:rsid w:val="00D7688D"/>
    <w:rsid w:val="00D770B9"/>
    <w:rsid w:val="00D771FB"/>
    <w:rsid w:val="00D8057A"/>
    <w:rsid w:val="00D808F7"/>
    <w:rsid w:val="00D80DA6"/>
    <w:rsid w:val="00D80DF0"/>
    <w:rsid w:val="00D81EB3"/>
    <w:rsid w:val="00D827D1"/>
    <w:rsid w:val="00D82C26"/>
    <w:rsid w:val="00D831FD"/>
    <w:rsid w:val="00D83D36"/>
    <w:rsid w:val="00D83DBB"/>
    <w:rsid w:val="00D83DCB"/>
    <w:rsid w:val="00D83FF0"/>
    <w:rsid w:val="00D84593"/>
    <w:rsid w:val="00D8493B"/>
    <w:rsid w:val="00D84F43"/>
    <w:rsid w:val="00D8519A"/>
    <w:rsid w:val="00D8525D"/>
    <w:rsid w:val="00D85AE9"/>
    <w:rsid w:val="00D85CD0"/>
    <w:rsid w:val="00D85EB7"/>
    <w:rsid w:val="00D86D7D"/>
    <w:rsid w:val="00D86FA9"/>
    <w:rsid w:val="00D86FBD"/>
    <w:rsid w:val="00D8704C"/>
    <w:rsid w:val="00D87436"/>
    <w:rsid w:val="00D877B0"/>
    <w:rsid w:val="00D87A1F"/>
    <w:rsid w:val="00D9054F"/>
    <w:rsid w:val="00D90ED6"/>
    <w:rsid w:val="00D90F56"/>
    <w:rsid w:val="00D91D01"/>
    <w:rsid w:val="00D929CB"/>
    <w:rsid w:val="00D930A1"/>
    <w:rsid w:val="00D9311F"/>
    <w:rsid w:val="00D937F8"/>
    <w:rsid w:val="00D94B82"/>
    <w:rsid w:val="00D95124"/>
    <w:rsid w:val="00D95345"/>
    <w:rsid w:val="00D96A2A"/>
    <w:rsid w:val="00D96FD1"/>
    <w:rsid w:val="00D97311"/>
    <w:rsid w:val="00D97490"/>
    <w:rsid w:val="00D97A30"/>
    <w:rsid w:val="00D97CB0"/>
    <w:rsid w:val="00DA0194"/>
    <w:rsid w:val="00DA028B"/>
    <w:rsid w:val="00DA05FB"/>
    <w:rsid w:val="00DA0895"/>
    <w:rsid w:val="00DA0987"/>
    <w:rsid w:val="00DA0FEB"/>
    <w:rsid w:val="00DA1209"/>
    <w:rsid w:val="00DA1956"/>
    <w:rsid w:val="00DA23A7"/>
    <w:rsid w:val="00DA250C"/>
    <w:rsid w:val="00DA2546"/>
    <w:rsid w:val="00DA3599"/>
    <w:rsid w:val="00DA376A"/>
    <w:rsid w:val="00DA4186"/>
    <w:rsid w:val="00DA41C3"/>
    <w:rsid w:val="00DA43CB"/>
    <w:rsid w:val="00DA5108"/>
    <w:rsid w:val="00DA516D"/>
    <w:rsid w:val="00DA60C3"/>
    <w:rsid w:val="00DA6264"/>
    <w:rsid w:val="00DA62BD"/>
    <w:rsid w:val="00DA694F"/>
    <w:rsid w:val="00DA71C0"/>
    <w:rsid w:val="00DB029D"/>
    <w:rsid w:val="00DB057E"/>
    <w:rsid w:val="00DB06F1"/>
    <w:rsid w:val="00DB0CB6"/>
    <w:rsid w:val="00DB138F"/>
    <w:rsid w:val="00DB1767"/>
    <w:rsid w:val="00DB18D6"/>
    <w:rsid w:val="00DB256C"/>
    <w:rsid w:val="00DB2703"/>
    <w:rsid w:val="00DB2A3E"/>
    <w:rsid w:val="00DB2E80"/>
    <w:rsid w:val="00DB2F00"/>
    <w:rsid w:val="00DB34D3"/>
    <w:rsid w:val="00DB47EB"/>
    <w:rsid w:val="00DB4AAB"/>
    <w:rsid w:val="00DB5459"/>
    <w:rsid w:val="00DB54EE"/>
    <w:rsid w:val="00DB5947"/>
    <w:rsid w:val="00DB5A5E"/>
    <w:rsid w:val="00DB64DD"/>
    <w:rsid w:val="00DB71C0"/>
    <w:rsid w:val="00DB77D7"/>
    <w:rsid w:val="00DC19B2"/>
    <w:rsid w:val="00DC2A30"/>
    <w:rsid w:val="00DC368A"/>
    <w:rsid w:val="00DC3929"/>
    <w:rsid w:val="00DC3A9C"/>
    <w:rsid w:val="00DC4130"/>
    <w:rsid w:val="00DC4C20"/>
    <w:rsid w:val="00DC52FB"/>
    <w:rsid w:val="00DC54FD"/>
    <w:rsid w:val="00DC623E"/>
    <w:rsid w:val="00DC686E"/>
    <w:rsid w:val="00DC6E65"/>
    <w:rsid w:val="00DC723B"/>
    <w:rsid w:val="00DC7479"/>
    <w:rsid w:val="00DC7483"/>
    <w:rsid w:val="00DC7E59"/>
    <w:rsid w:val="00DD0494"/>
    <w:rsid w:val="00DD04C1"/>
    <w:rsid w:val="00DD05DF"/>
    <w:rsid w:val="00DD2236"/>
    <w:rsid w:val="00DD24E8"/>
    <w:rsid w:val="00DD3442"/>
    <w:rsid w:val="00DD36BA"/>
    <w:rsid w:val="00DD3833"/>
    <w:rsid w:val="00DD3E70"/>
    <w:rsid w:val="00DD3ED0"/>
    <w:rsid w:val="00DD442E"/>
    <w:rsid w:val="00DD5BD6"/>
    <w:rsid w:val="00DD6078"/>
    <w:rsid w:val="00DD6109"/>
    <w:rsid w:val="00DD677B"/>
    <w:rsid w:val="00DD6897"/>
    <w:rsid w:val="00DD734E"/>
    <w:rsid w:val="00DD736E"/>
    <w:rsid w:val="00DD7CC0"/>
    <w:rsid w:val="00DD7D9F"/>
    <w:rsid w:val="00DE010E"/>
    <w:rsid w:val="00DE108B"/>
    <w:rsid w:val="00DE1813"/>
    <w:rsid w:val="00DE198D"/>
    <w:rsid w:val="00DE1DA9"/>
    <w:rsid w:val="00DE2391"/>
    <w:rsid w:val="00DE24CD"/>
    <w:rsid w:val="00DE2741"/>
    <w:rsid w:val="00DE3A74"/>
    <w:rsid w:val="00DE3E7C"/>
    <w:rsid w:val="00DE4065"/>
    <w:rsid w:val="00DE415B"/>
    <w:rsid w:val="00DE44C8"/>
    <w:rsid w:val="00DE4BB7"/>
    <w:rsid w:val="00DE589D"/>
    <w:rsid w:val="00DE5CC5"/>
    <w:rsid w:val="00DE5D11"/>
    <w:rsid w:val="00DE63B9"/>
    <w:rsid w:val="00DE7224"/>
    <w:rsid w:val="00DE7436"/>
    <w:rsid w:val="00DE7A31"/>
    <w:rsid w:val="00DF00D7"/>
    <w:rsid w:val="00DF00E4"/>
    <w:rsid w:val="00DF0589"/>
    <w:rsid w:val="00DF0F03"/>
    <w:rsid w:val="00DF128D"/>
    <w:rsid w:val="00DF1691"/>
    <w:rsid w:val="00DF16EE"/>
    <w:rsid w:val="00DF17F4"/>
    <w:rsid w:val="00DF1A74"/>
    <w:rsid w:val="00DF1F1E"/>
    <w:rsid w:val="00DF21DD"/>
    <w:rsid w:val="00DF262D"/>
    <w:rsid w:val="00DF2CCA"/>
    <w:rsid w:val="00DF4CE7"/>
    <w:rsid w:val="00DF5AE4"/>
    <w:rsid w:val="00DF5C62"/>
    <w:rsid w:val="00DF6258"/>
    <w:rsid w:val="00DF6455"/>
    <w:rsid w:val="00DF74D0"/>
    <w:rsid w:val="00DF7A4F"/>
    <w:rsid w:val="00DF7E48"/>
    <w:rsid w:val="00DF7FB0"/>
    <w:rsid w:val="00E00C5A"/>
    <w:rsid w:val="00E01050"/>
    <w:rsid w:val="00E015CC"/>
    <w:rsid w:val="00E0175F"/>
    <w:rsid w:val="00E01A81"/>
    <w:rsid w:val="00E02215"/>
    <w:rsid w:val="00E02396"/>
    <w:rsid w:val="00E02665"/>
    <w:rsid w:val="00E02D1F"/>
    <w:rsid w:val="00E02EBB"/>
    <w:rsid w:val="00E030C3"/>
    <w:rsid w:val="00E0352D"/>
    <w:rsid w:val="00E03DDC"/>
    <w:rsid w:val="00E041CD"/>
    <w:rsid w:val="00E0468B"/>
    <w:rsid w:val="00E048AD"/>
    <w:rsid w:val="00E04A3C"/>
    <w:rsid w:val="00E0509D"/>
    <w:rsid w:val="00E05153"/>
    <w:rsid w:val="00E056EE"/>
    <w:rsid w:val="00E05758"/>
    <w:rsid w:val="00E05846"/>
    <w:rsid w:val="00E06828"/>
    <w:rsid w:val="00E0703A"/>
    <w:rsid w:val="00E07790"/>
    <w:rsid w:val="00E07E5B"/>
    <w:rsid w:val="00E10609"/>
    <w:rsid w:val="00E108E9"/>
    <w:rsid w:val="00E110C2"/>
    <w:rsid w:val="00E11409"/>
    <w:rsid w:val="00E12C3E"/>
    <w:rsid w:val="00E142AF"/>
    <w:rsid w:val="00E14CC7"/>
    <w:rsid w:val="00E14F72"/>
    <w:rsid w:val="00E1560A"/>
    <w:rsid w:val="00E15622"/>
    <w:rsid w:val="00E159C7"/>
    <w:rsid w:val="00E161A4"/>
    <w:rsid w:val="00E16200"/>
    <w:rsid w:val="00E17B8E"/>
    <w:rsid w:val="00E17DA6"/>
    <w:rsid w:val="00E17DFB"/>
    <w:rsid w:val="00E2052A"/>
    <w:rsid w:val="00E208DA"/>
    <w:rsid w:val="00E209C6"/>
    <w:rsid w:val="00E2100B"/>
    <w:rsid w:val="00E21094"/>
    <w:rsid w:val="00E21367"/>
    <w:rsid w:val="00E214BC"/>
    <w:rsid w:val="00E21582"/>
    <w:rsid w:val="00E21B89"/>
    <w:rsid w:val="00E21BED"/>
    <w:rsid w:val="00E222C4"/>
    <w:rsid w:val="00E2249D"/>
    <w:rsid w:val="00E22A32"/>
    <w:rsid w:val="00E22B98"/>
    <w:rsid w:val="00E22D3C"/>
    <w:rsid w:val="00E239EE"/>
    <w:rsid w:val="00E23AA7"/>
    <w:rsid w:val="00E23DB8"/>
    <w:rsid w:val="00E24C08"/>
    <w:rsid w:val="00E25CA1"/>
    <w:rsid w:val="00E260AD"/>
    <w:rsid w:val="00E26F9B"/>
    <w:rsid w:val="00E270B7"/>
    <w:rsid w:val="00E278A9"/>
    <w:rsid w:val="00E27BE7"/>
    <w:rsid w:val="00E27DBD"/>
    <w:rsid w:val="00E3042D"/>
    <w:rsid w:val="00E30AA3"/>
    <w:rsid w:val="00E30C35"/>
    <w:rsid w:val="00E30F01"/>
    <w:rsid w:val="00E30F40"/>
    <w:rsid w:val="00E3170C"/>
    <w:rsid w:val="00E31830"/>
    <w:rsid w:val="00E31C2C"/>
    <w:rsid w:val="00E32191"/>
    <w:rsid w:val="00E32403"/>
    <w:rsid w:val="00E32635"/>
    <w:rsid w:val="00E32D1E"/>
    <w:rsid w:val="00E32D88"/>
    <w:rsid w:val="00E33117"/>
    <w:rsid w:val="00E33983"/>
    <w:rsid w:val="00E341D8"/>
    <w:rsid w:val="00E35741"/>
    <w:rsid w:val="00E35F51"/>
    <w:rsid w:val="00E3741B"/>
    <w:rsid w:val="00E376B3"/>
    <w:rsid w:val="00E40008"/>
    <w:rsid w:val="00E4014D"/>
    <w:rsid w:val="00E40505"/>
    <w:rsid w:val="00E406A4"/>
    <w:rsid w:val="00E4128E"/>
    <w:rsid w:val="00E412D3"/>
    <w:rsid w:val="00E4154C"/>
    <w:rsid w:val="00E418D3"/>
    <w:rsid w:val="00E41F9C"/>
    <w:rsid w:val="00E42000"/>
    <w:rsid w:val="00E42397"/>
    <w:rsid w:val="00E42DC7"/>
    <w:rsid w:val="00E42F18"/>
    <w:rsid w:val="00E43398"/>
    <w:rsid w:val="00E43B47"/>
    <w:rsid w:val="00E443BE"/>
    <w:rsid w:val="00E44FC4"/>
    <w:rsid w:val="00E45CA1"/>
    <w:rsid w:val="00E46023"/>
    <w:rsid w:val="00E4660A"/>
    <w:rsid w:val="00E46A74"/>
    <w:rsid w:val="00E46DC3"/>
    <w:rsid w:val="00E47BA4"/>
    <w:rsid w:val="00E47E6A"/>
    <w:rsid w:val="00E50724"/>
    <w:rsid w:val="00E5085B"/>
    <w:rsid w:val="00E50AE2"/>
    <w:rsid w:val="00E5256E"/>
    <w:rsid w:val="00E52F7B"/>
    <w:rsid w:val="00E5348E"/>
    <w:rsid w:val="00E538B8"/>
    <w:rsid w:val="00E53B79"/>
    <w:rsid w:val="00E53C4B"/>
    <w:rsid w:val="00E53E32"/>
    <w:rsid w:val="00E548AE"/>
    <w:rsid w:val="00E54975"/>
    <w:rsid w:val="00E549D5"/>
    <w:rsid w:val="00E54B1E"/>
    <w:rsid w:val="00E55526"/>
    <w:rsid w:val="00E55719"/>
    <w:rsid w:val="00E5598A"/>
    <w:rsid w:val="00E55FBF"/>
    <w:rsid w:val="00E56286"/>
    <w:rsid w:val="00E56817"/>
    <w:rsid w:val="00E56868"/>
    <w:rsid w:val="00E56F32"/>
    <w:rsid w:val="00E57041"/>
    <w:rsid w:val="00E57130"/>
    <w:rsid w:val="00E573B4"/>
    <w:rsid w:val="00E57C7C"/>
    <w:rsid w:val="00E57DE6"/>
    <w:rsid w:val="00E57EA3"/>
    <w:rsid w:val="00E60129"/>
    <w:rsid w:val="00E60F76"/>
    <w:rsid w:val="00E6167D"/>
    <w:rsid w:val="00E61728"/>
    <w:rsid w:val="00E617B4"/>
    <w:rsid w:val="00E61A94"/>
    <w:rsid w:val="00E624FA"/>
    <w:rsid w:val="00E62EDD"/>
    <w:rsid w:val="00E63241"/>
    <w:rsid w:val="00E6343A"/>
    <w:rsid w:val="00E637F3"/>
    <w:rsid w:val="00E6397C"/>
    <w:rsid w:val="00E639E4"/>
    <w:rsid w:val="00E63C1A"/>
    <w:rsid w:val="00E63EDF"/>
    <w:rsid w:val="00E640A2"/>
    <w:rsid w:val="00E64733"/>
    <w:rsid w:val="00E65453"/>
    <w:rsid w:val="00E65E98"/>
    <w:rsid w:val="00E662D1"/>
    <w:rsid w:val="00E663FA"/>
    <w:rsid w:val="00E66474"/>
    <w:rsid w:val="00E669F6"/>
    <w:rsid w:val="00E67063"/>
    <w:rsid w:val="00E67158"/>
    <w:rsid w:val="00E67C25"/>
    <w:rsid w:val="00E67FA5"/>
    <w:rsid w:val="00E70544"/>
    <w:rsid w:val="00E70872"/>
    <w:rsid w:val="00E70CC2"/>
    <w:rsid w:val="00E70EA3"/>
    <w:rsid w:val="00E7120D"/>
    <w:rsid w:val="00E71685"/>
    <w:rsid w:val="00E717C7"/>
    <w:rsid w:val="00E72057"/>
    <w:rsid w:val="00E7258A"/>
    <w:rsid w:val="00E72CC2"/>
    <w:rsid w:val="00E7348A"/>
    <w:rsid w:val="00E73ADA"/>
    <w:rsid w:val="00E74020"/>
    <w:rsid w:val="00E7458C"/>
    <w:rsid w:val="00E758F2"/>
    <w:rsid w:val="00E75946"/>
    <w:rsid w:val="00E759CE"/>
    <w:rsid w:val="00E7601A"/>
    <w:rsid w:val="00E76932"/>
    <w:rsid w:val="00E76E36"/>
    <w:rsid w:val="00E77D75"/>
    <w:rsid w:val="00E8019E"/>
    <w:rsid w:val="00E80896"/>
    <w:rsid w:val="00E80C1E"/>
    <w:rsid w:val="00E8123D"/>
    <w:rsid w:val="00E813C4"/>
    <w:rsid w:val="00E81730"/>
    <w:rsid w:val="00E81989"/>
    <w:rsid w:val="00E82240"/>
    <w:rsid w:val="00E8266E"/>
    <w:rsid w:val="00E82F14"/>
    <w:rsid w:val="00E832CC"/>
    <w:rsid w:val="00E8344F"/>
    <w:rsid w:val="00E83CBC"/>
    <w:rsid w:val="00E8449F"/>
    <w:rsid w:val="00E85014"/>
    <w:rsid w:val="00E85C03"/>
    <w:rsid w:val="00E85D98"/>
    <w:rsid w:val="00E86894"/>
    <w:rsid w:val="00E86D2E"/>
    <w:rsid w:val="00E86F7F"/>
    <w:rsid w:val="00E87E7D"/>
    <w:rsid w:val="00E90683"/>
    <w:rsid w:val="00E920C3"/>
    <w:rsid w:val="00E9240D"/>
    <w:rsid w:val="00E92677"/>
    <w:rsid w:val="00E92DBC"/>
    <w:rsid w:val="00E93856"/>
    <w:rsid w:val="00E9443C"/>
    <w:rsid w:val="00E9451B"/>
    <w:rsid w:val="00E94598"/>
    <w:rsid w:val="00E9492A"/>
    <w:rsid w:val="00E957E8"/>
    <w:rsid w:val="00E96991"/>
    <w:rsid w:val="00E97FA4"/>
    <w:rsid w:val="00EA0270"/>
    <w:rsid w:val="00EA039C"/>
    <w:rsid w:val="00EA0427"/>
    <w:rsid w:val="00EA04B8"/>
    <w:rsid w:val="00EA11D8"/>
    <w:rsid w:val="00EA12AE"/>
    <w:rsid w:val="00EA135A"/>
    <w:rsid w:val="00EA21FC"/>
    <w:rsid w:val="00EA2396"/>
    <w:rsid w:val="00EA24FF"/>
    <w:rsid w:val="00EA2730"/>
    <w:rsid w:val="00EA27A4"/>
    <w:rsid w:val="00EA2DB2"/>
    <w:rsid w:val="00EA2F21"/>
    <w:rsid w:val="00EA39B8"/>
    <w:rsid w:val="00EA3E28"/>
    <w:rsid w:val="00EA442C"/>
    <w:rsid w:val="00EA4566"/>
    <w:rsid w:val="00EA4B8A"/>
    <w:rsid w:val="00EA4FD4"/>
    <w:rsid w:val="00EA5BF9"/>
    <w:rsid w:val="00EA61E2"/>
    <w:rsid w:val="00EA77F2"/>
    <w:rsid w:val="00EA7882"/>
    <w:rsid w:val="00EA7E96"/>
    <w:rsid w:val="00EA7F5B"/>
    <w:rsid w:val="00EB04F6"/>
    <w:rsid w:val="00EB06AA"/>
    <w:rsid w:val="00EB1CA4"/>
    <w:rsid w:val="00EB1F15"/>
    <w:rsid w:val="00EB1FEE"/>
    <w:rsid w:val="00EB2899"/>
    <w:rsid w:val="00EB2900"/>
    <w:rsid w:val="00EB3260"/>
    <w:rsid w:val="00EB3899"/>
    <w:rsid w:val="00EB3B5B"/>
    <w:rsid w:val="00EB3E2D"/>
    <w:rsid w:val="00EB3F66"/>
    <w:rsid w:val="00EB56B8"/>
    <w:rsid w:val="00EB583A"/>
    <w:rsid w:val="00EB5860"/>
    <w:rsid w:val="00EB5BDE"/>
    <w:rsid w:val="00EB6541"/>
    <w:rsid w:val="00EB6C45"/>
    <w:rsid w:val="00EB78DE"/>
    <w:rsid w:val="00EC0011"/>
    <w:rsid w:val="00EC0A7B"/>
    <w:rsid w:val="00EC20DE"/>
    <w:rsid w:val="00EC3422"/>
    <w:rsid w:val="00EC34BF"/>
    <w:rsid w:val="00EC34F5"/>
    <w:rsid w:val="00EC357C"/>
    <w:rsid w:val="00EC3745"/>
    <w:rsid w:val="00EC377A"/>
    <w:rsid w:val="00EC5547"/>
    <w:rsid w:val="00EC56CF"/>
    <w:rsid w:val="00EC58DE"/>
    <w:rsid w:val="00EC61F1"/>
    <w:rsid w:val="00EC626B"/>
    <w:rsid w:val="00EC66B9"/>
    <w:rsid w:val="00EC68E8"/>
    <w:rsid w:val="00EC7005"/>
    <w:rsid w:val="00EC7317"/>
    <w:rsid w:val="00EC73CF"/>
    <w:rsid w:val="00EC774D"/>
    <w:rsid w:val="00EC78B6"/>
    <w:rsid w:val="00EC7A54"/>
    <w:rsid w:val="00EC7B68"/>
    <w:rsid w:val="00EC7F47"/>
    <w:rsid w:val="00ED08BA"/>
    <w:rsid w:val="00ED0C76"/>
    <w:rsid w:val="00ED0FA9"/>
    <w:rsid w:val="00ED1311"/>
    <w:rsid w:val="00ED16F9"/>
    <w:rsid w:val="00ED2059"/>
    <w:rsid w:val="00ED20FB"/>
    <w:rsid w:val="00ED2B35"/>
    <w:rsid w:val="00ED49F6"/>
    <w:rsid w:val="00ED4B25"/>
    <w:rsid w:val="00ED5438"/>
    <w:rsid w:val="00ED5646"/>
    <w:rsid w:val="00ED591B"/>
    <w:rsid w:val="00ED5B37"/>
    <w:rsid w:val="00ED6196"/>
    <w:rsid w:val="00EE0158"/>
    <w:rsid w:val="00EE0BFC"/>
    <w:rsid w:val="00EE0E19"/>
    <w:rsid w:val="00EE1120"/>
    <w:rsid w:val="00EE14FD"/>
    <w:rsid w:val="00EE189C"/>
    <w:rsid w:val="00EE26ED"/>
    <w:rsid w:val="00EE285F"/>
    <w:rsid w:val="00EE2B53"/>
    <w:rsid w:val="00EE32C9"/>
    <w:rsid w:val="00EE3AA6"/>
    <w:rsid w:val="00EE3B71"/>
    <w:rsid w:val="00EE3BB9"/>
    <w:rsid w:val="00EE4A9D"/>
    <w:rsid w:val="00EE4BDF"/>
    <w:rsid w:val="00EE4DCC"/>
    <w:rsid w:val="00EE5844"/>
    <w:rsid w:val="00EE68FF"/>
    <w:rsid w:val="00EE6906"/>
    <w:rsid w:val="00EE713D"/>
    <w:rsid w:val="00EF0135"/>
    <w:rsid w:val="00EF0B37"/>
    <w:rsid w:val="00EF0FA2"/>
    <w:rsid w:val="00EF15CD"/>
    <w:rsid w:val="00EF37B6"/>
    <w:rsid w:val="00EF3CF5"/>
    <w:rsid w:val="00EF4048"/>
    <w:rsid w:val="00EF42EE"/>
    <w:rsid w:val="00EF42FF"/>
    <w:rsid w:val="00EF460B"/>
    <w:rsid w:val="00EF469A"/>
    <w:rsid w:val="00EF4E1F"/>
    <w:rsid w:val="00EF6124"/>
    <w:rsid w:val="00EF6363"/>
    <w:rsid w:val="00EF6BC1"/>
    <w:rsid w:val="00EF7190"/>
    <w:rsid w:val="00EF71DA"/>
    <w:rsid w:val="00EF7384"/>
    <w:rsid w:val="00EF7675"/>
    <w:rsid w:val="00EF7B7B"/>
    <w:rsid w:val="00F0083F"/>
    <w:rsid w:val="00F00E49"/>
    <w:rsid w:val="00F00F3A"/>
    <w:rsid w:val="00F01D0F"/>
    <w:rsid w:val="00F023DB"/>
    <w:rsid w:val="00F02B6A"/>
    <w:rsid w:val="00F02FAF"/>
    <w:rsid w:val="00F03F82"/>
    <w:rsid w:val="00F049BD"/>
    <w:rsid w:val="00F04FAD"/>
    <w:rsid w:val="00F0544B"/>
    <w:rsid w:val="00F05452"/>
    <w:rsid w:val="00F05A89"/>
    <w:rsid w:val="00F05C0A"/>
    <w:rsid w:val="00F05CC5"/>
    <w:rsid w:val="00F05CFC"/>
    <w:rsid w:val="00F0632A"/>
    <w:rsid w:val="00F06784"/>
    <w:rsid w:val="00F06838"/>
    <w:rsid w:val="00F06B05"/>
    <w:rsid w:val="00F07AA0"/>
    <w:rsid w:val="00F07F8E"/>
    <w:rsid w:val="00F10BE0"/>
    <w:rsid w:val="00F1101F"/>
    <w:rsid w:val="00F110AB"/>
    <w:rsid w:val="00F11541"/>
    <w:rsid w:val="00F11B11"/>
    <w:rsid w:val="00F11B14"/>
    <w:rsid w:val="00F11C2B"/>
    <w:rsid w:val="00F1263E"/>
    <w:rsid w:val="00F12677"/>
    <w:rsid w:val="00F12BEB"/>
    <w:rsid w:val="00F13440"/>
    <w:rsid w:val="00F1403F"/>
    <w:rsid w:val="00F1416E"/>
    <w:rsid w:val="00F15B86"/>
    <w:rsid w:val="00F16051"/>
    <w:rsid w:val="00F17308"/>
    <w:rsid w:val="00F17DCB"/>
    <w:rsid w:val="00F2009B"/>
    <w:rsid w:val="00F204BA"/>
    <w:rsid w:val="00F2094E"/>
    <w:rsid w:val="00F21154"/>
    <w:rsid w:val="00F21E34"/>
    <w:rsid w:val="00F22B09"/>
    <w:rsid w:val="00F234EF"/>
    <w:rsid w:val="00F2365F"/>
    <w:rsid w:val="00F24B8C"/>
    <w:rsid w:val="00F255D5"/>
    <w:rsid w:val="00F25F68"/>
    <w:rsid w:val="00F2678D"/>
    <w:rsid w:val="00F26820"/>
    <w:rsid w:val="00F26EDE"/>
    <w:rsid w:val="00F27654"/>
    <w:rsid w:val="00F276C1"/>
    <w:rsid w:val="00F3072B"/>
    <w:rsid w:val="00F31649"/>
    <w:rsid w:val="00F3175D"/>
    <w:rsid w:val="00F32003"/>
    <w:rsid w:val="00F3231C"/>
    <w:rsid w:val="00F3275D"/>
    <w:rsid w:val="00F32CD2"/>
    <w:rsid w:val="00F32F0F"/>
    <w:rsid w:val="00F35073"/>
    <w:rsid w:val="00F35425"/>
    <w:rsid w:val="00F3547C"/>
    <w:rsid w:val="00F3553D"/>
    <w:rsid w:val="00F362D7"/>
    <w:rsid w:val="00F36325"/>
    <w:rsid w:val="00F36EFD"/>
    <w:rsid w:val="00F3790E"/>
    <w:rsid w:val="00F37EFB"/>
    <w:rsid w:val="00F400DB"/>
    <w:rsid w:val="00F40293"/>
    <w:rsid w:val="00F406EE"/>
    <w:rsid w:val="00F40EA6"/>
    <w:rsid w:val="00F41430"/>
    <w:rsid w:val="00F417B7"/>
    <w:rsid w:val="00F417DA"/>
    <w:rsid w:val="00F41AE2"/>
    <w:rsid w:val="00F4223B"/>
    <w:rsid w:val="00F42A35"/>
    <w:rsid w:val="00F42CBD"/>
    <w:rsid w:val="00F42CED"/>
    <w:rsid w:val="00F43013"/>
    <w:rsid w:val="00F43D5A"/>
    <w:rsid w:val="00F43DAF"/>
    <w:rsid w:val="00F43FC0"/>
    <w:rsid w:val="00F44636"/>
    <w:rsid w:val="00F447F9"/>
    <w:rsid w:val="00F448C5"/>
    <w:rsid w:val="00F44B8E"/>
    <w:rsid w:val="00F45305"/>
    <w:rsid w:val="00F46184"/>
    <w:rsid w:val="00F46FF4"/>
    <w:rsid w:val="00F4742A"/>
    <w:rsid w:val="00F47992"/>
    <w:rsid w:val="00F479EA"/>
    <w:rsid w:val="00F503E2"/>
    <w:rsid w:val="00F50661"/>
    <w:rsid w:val="00F51269"/>
    <w:rsid w:val="00F51632"/>
    <w:rsid w:val="00F5167B"/>
    <w:rsid w:val="00F51807"/>
    <w:rsid w:val="00F521F8"/>
    <w:rsid w:val="00F52571"/>
    <w:rsid w:val="00F52A3E"/>
    <w:rsid w:val="00F53441"/>
    <w:rsid w:val="00F5455A"/>
    <w:rsid w:val="00F5547A"/>
    <w:rsid w:val="00F55615"/>
    <w:rsid w:val="00F56847"/>
    <w:rsid w:val="00F577A2"/>
    <w:rsid w:val="00F57B0D"/>
    <w:rsid w:val="00F57D2F"/>
    <w:rsid w:val="00F6058C"/>
    <w:rsid w:val="00F6059E"/>
    <w:rsid w:val="00F60ADC"/>
    <w:rsid w:val="00F60B03"/>
    <w:rsid w:val="00F61617"/>
    <w:rsid w:val="00F61DA8"/>
    <w:rsid w:val="00F62AB8"/>
    <w:rsid w:val="00F62E8D"/>
    <w:rsid w:val="00F63256"/>
    <w:rsid w:val="00F63537"/>
    <w:rsid w:val="00F63709"/>
    <w:rsid w:val="00F653CD"/>
    <w:rsid w:val="00F6547C"/>
    <w:rsid w:val="00F65BF0"/>
    <w:rsid w:val="00F6644F"/>
    <w:rsid w:val="00F66B4E"/>
    <w:rsid w:val="00F673B8"/>
    <w:rsid w:val="00F70C66"/>
    <w:rsid w:val="00F71406"/>
    <w:rsid w:val="00F717B6"/>
    <w:rsid w:val="00F71B7C"/>
    <w:rsid w:val="00F71BB2"/>
    <w:rsid w:val="00F72AC0"/>
    <w:rsid w:val="00F736C9"/>
    <w:rsid w:val="00F73B1A"/>
    <w:rsid w:val="00F73D3B"/>
    <w:rsid w:val="00F73E8B"/>
    <w:rsid w:val="00F7417E"/>
    <w:rsid w:val="00F750DB"/>
    <w:rsid w:val="00F75B5B"/>
    <w:rsid w:val="00F75F7A"/>
    <w:rsid w:val="00F76697"/>
    <w:rsid w:val="00F766EE"/>
    <w:rsid w:val="00F76741"/>
    <w:rsid w:val="00F76A63"/>
    <w:rsid w:val="00F77D2D"/>
    <w:rsid w:val="00F77D54"/>
    <w:rsid w:val="00F77F93"/>
    <w:rsid w:val="00F80150"/>
    <w:rsid w:val="00F8022F"/>
    <w:rsid w:val="00F804D6"/>
    <w:rsid w:val="00F80C11"/>
    <w:rsid w:val="00F811A2"/>
    <w:rsid w:val="00F81D16"/>
    <w:rsid w:val="00F823D9"/>
    <w:rsid w:val="00F82897"/>
    <w:rsid w:val="00F82C66"/>
    <w:rsid w:val="00F82E3F"/>
    <w:rsid w:val="00F83E29"/>
    <w:rsid w:val="00F840A5"/>
    <w:rsid w:val="00F844FF"/>
    <w:rsid w:val="00F8548D"/>
    <w:rsid w:val="00F8561F"/>
    <w:rsid w:val="00F85829"/>
    <w:rsid w:val="00F858C4"/>
    <w:rsid w:val="00F8661D"/>
    <w:rsid w:val="00F8674B"/>
    <w:rsid w:val="00F86EC5"/>
    <w:rsid w:val="00F86F1B"/>
    <w:rsid w:val="00F86F6F"/>
    <w:rsid w:val="00F875D2"/>
    <w:rsid w:val="00F8785C"/>
    <w:rsid w:val="00F90995"/>
    <w:rsid w:val="00F9132C"/>
    <w:rsid w:val="00F91383"/>
    <w:rsid w:val="00F914EC"/>
    <w:rsid w:val="00F9185E"/>
    <w:rsid w:val="00F91949"/>
    <w:rsid w:val="00F91A7F"/>
    <w:rsid w:val="00F92092"/>
    <w:rsid w:val="00F92653"/>
    <w:rsid w:val="00F92E15"/>
    <w:rsid w:val="00F92F0E"/>
    <w:rsid w:val="00F93412"/>
    <w:rsid w:val="00F93989"/>
    <w:rsid w:val="00F939C8"/>
    <w:rsid w:val="00F93BA1"/>
    <w:rsid w:val="00F93C5A"/>
    <w:rsid w:val="00F9537A"/>
    <w:rsid w:val="00F953A6"/>
    <w:rsid w:val="00F9599A"/>
    <w:rsid w:val="00F95AD2"/>
    <w:rsid w:val="00F96F29"/>
    <w:rsid w:val="00F973CB"/>
    <w:rsid w:val="00FA05B3"/>
    <w:rsid w:val="00FA08EC"/>
    <w:rsid w:val="00FA09F8"/>
    <w:rsid w:val="00FA0A41"/>
    <w:rsid w:val="00FA13BC"/>
    <w:rsid w:val="00FA1CD1"/>
    <w:rsid w:val="00FA3E0B"/>
    <w:rsid w:val="00FA4387"/>
    <w:rsid w:val="00FA4C34"/>
    <w:rsid w:val="00FA5087"/>
    <w:rsid w:val="00FA5EE6"/>
    <w:rsid w:val="00FA69E3"/>
    <w:rsid w:val="00FA768F"/>
    <w:rsid w:val="00FB0384"/>
    <w:rsid w:val="00FB0457"/>
    <w:rsid w:val="00FB0EC7"/>
    <w:rsid w:val="00FB162C"/>
    <w:rsid w:val="00FB1A7F"/>
    <w:rsid w:val="00FB1C6A"/>
    <w:rsid w:val="00FB2291"/>
    <w:rsid w:val="00FB3A63"/>
    <w:rsid w:val="00FB3D49"/>
    <w:rsid w:val="00FB4247"/>
    <w:rsid w:val="00FB47AA"/>
    <w:rsid w:val="00FB576A"/>
    <w:rsid w:val="00FB5941"/>
    <w:rsid w:val="00FB6D76"/>
    <w:rsid w:val="00FB7785"/>
    <w:rsid w:val="00FB78C1"/>
    <w:rsid w:val="00FC011F"/>
    <w:rsid w:val="00FC0833"/>
    <w:rsid w:val="00FC0A96"/>
    <w:rsid w:val="00FC0B32"/>
    <w:rsid w:val="00FC11B6"/>
    <w:rsid w:val="00FC167E"/>
    <w:rsid w:val="00FC173F"/>
    <w:rsid w:val="00FC30C8"/>
    <w:rsid w:val="00FC35DE"/>
    <w:rsid w:val="00FC368B"/>
    <w:rsid w:val="00FC3B6B"/>
    <w:rsid w:val="00FC48C1"/>
    <w:rsid w:val="00FC52CF"/>
    <w:rsid w:val="00FC5A85"/>
    <w:rsid w:val="00FC68DC"/>
    <w:rsid w:val="00FC6C1F"/>
    <w:rsid w:val="00FC6D38"/>
    <w:rsid w:val="00FC7283"/>
    <w:rsid w:val="00FC72B4"/>
    <w:rsid w:val="00FC7B8F"/>
    <w:rsid w:val="00FD06E2"/>
    <w:rsid w:val="00FD0B24"/>
    <w:rsid w:val="00FD133F"/>
    <w:rsid w:val="00FD2451"/>
    <w:rsid w:val="00FD2ECD"/>
    <w:rsid w:val="00FD3F11"/>
    <w:rsid w:val="00FD43BF"/>
    <w:rsid w:val="00FD5A21"/>
    <w:rsid w:val="00FD5D04"/>
    <w:rsid w:val="00FD7425"/>
    <w:rsid w:val="00FD77C2"/>
    <w:rsid w:val="00FD7CBB"/>
    <w:rsid w:val="00FE08B0"/>
    <w:rsid w:val="00FE0C1E"/>
    <w:rsid w:val="00FE119F"/>
    <w:rsid w:val="00FE13EF"/>
    <w:rsid w:val="00FE1611"/>
    <w:rsid w:val="00FE17C3"/>
    <w:rsid w:val="00FE19B4"/>
    <w:rsid w:val="00FE1B7D"/>
    <w:rsid w:val="00FE1EBF"/>
    <w:rsid w:val="00FE204F"/>
    <w:rsid w:val="00FE210D"/>
    <w:rsid w:val="00FE2932"/>
    <w:rsid w:val="00FE2B45"/>
    <w:rsid w:val="00FE340B"/>
    <w:rsid w:val="00FE40EF"/>
    <w:rsid w:val="00FE4349"/>
    <w:rsid w:val="00FE4C4B"/>
    <w:rsid w:val="00FE5A34"/>
    <w:rsid w:val="00FE5A3C"/>
    <w:rsid w:val="00FE6956"/>
    <w:rsid w:val="00FE70B7"/>
    <w:rsid w:val="00FE797A"/>
    <w:rsid w:val="00FE79B9"/>
    <w:rsid w:val="00FF062E"/>
    <w:rsid w:val="00FF06B2"/>
    <w:rsid w:val="00FF0734"/>
    <w:rsid w:val="00FF12A6"/>
    <w:rsid w:val="00FF1C91"/>
    <w:rsid w:val="00FF1CD2"/>
    <w:rsid w:val="00FF1E4E"/>
    <w:rsid w:val="00FF1FC8"/>
    <w:rsid w:val="00FF2686"/>
    <w:rsid w:val="00FF3314"/>
    <w:rsid w:val="00FF393F"/>
    <w:rsid w:val="00FF3CE3"/>
    <w:rsid w:val="00FF4C26"/>
    <w:rsid w:val="00FF609D"/>
    <w:rsid w:val="00FF7128"/>
    <w:rsid w:val="00FF7587"/>
    <w:rsid w:val="00FF7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E0D"/>
    <w:rPr>
      <w:sz w:val="24"/>
      <w:szCs w:val="24"/>
      <w:lang w:val="en-US" w:eastAsia="en-US"/>
    </w:rPr>
  </w:style>
  <w:style w:type="paragraph" w:styleId="Heading1">
    <w:name w:val="heading 1"/>
    <w:next w:val="Paragraph"/>
    <w:qFormat/>
    <w:rsid w:val="00144E0D"/>
    <w:pPr>
      <w:keepNext/>
      <w:keepLines/>
      <w:numPr>
        <w:numId w:val="14"/>
      </w:numPr>
      <w:tabs>
        <w:tab w:val="left" w:pos="0"/>
      </w:tabs>
      <w:spacing w:before="120" w:after="120"/>
      <w:outlineLvl w:val="0"/>
    </w:pPr>
    <w:rPr>
      <w:rFonts w:ascii="Arial" w:hAnsi="Arial" w:cs="Arial"/>
      <w:b/>
      <w:bCs/>
      <w:caps/>
      <w:kern w:val="32"/>
      <w:sz w:val="28"/>
      <w:szCs w:val="28"/>
      <w:lang w:val="en-US" w:eastAsia="en-US"/>
    </w:rPr>
  </w:style>
  <w:style w:type="paragraph" w:styleId="Heading2">
    <w:name w:val="heading 2"/>
    <w:next w:val="Paragraph"/>
    <w:link w:val="Heading2Char"/>
    <w:qFormat/>
    <w:rsid w:val="00144E0D"/>
    <w:pPr>
      <w:keepNext/>
      <w:keepLines/>
      <w:numPr>
        <w:ilvl w:val="1"/>
        <w:numId w:val="14"/>
      </w:numPr>
      <w:spacing w:before="120" w:after="120"/>
      <w:outlineLvl w:val="1"/>
    </w:pPr>
    <w:rPr>
      <w:rFonts w:ascii="Arial" w:hAnsi="Arial" w:cs="Arial"/>
      <w:b/>
      <w:bCs/>
      <w:iCs/>
      <w:sz w:val="26"/>
      <w:szCs w:val="26"/>
      <w:lang w:val="en-US" w:eastAsia="en-US"/>
    </w:rPr>
  </w:style>
  <w:style w:type="paragraph" w:styleId="Heading3">
    <w:name w:val="heading 3"/>
    <w:next w:val="Paragraph"/>
    <w:qFormat/>
    <w:rsid w:val="00144E0D"/>
    <w:pPr>
      <w:keepNext/>
      <w:keepLines/>
      <w:numPr>
        <w:ilvl w:val="2"/>
        <w:numId w:val="14"/>
      </w:numPr>
      <w:tabs>
        <w:tab w:val="left" w:pos="0"/>
      </w:tabs>
      <w:spacing w:before="120" w:after="120"/>
      <w:outlineLvl w:val="2"/>
    </w:pPr>
    <w:rPr>
      <w:rFonts w:ascii="Arial" w:hAnsi="Arial" w:cs="Arial"/>
      <w:b/>
      <w:bCs/>
      <w:sz w:val="24"/>
      <w:szCs w:val="24"/>
      <w:lang w:val="en-US" w:eastAsia="en-US"/>
    </w:rPr>
  </w:style>
  <w:style w:type="paragraph" w:styleId="Heading4">
    <w:name w:val="heading 4"/>
    <w:next w:val="Paragraph"/>
    <w:qFormat/>
    <w:rsid w:val="00144E0D"/>
    <w:pPr>
      <w:keepNext/>
      <w:keepLines/>
      <w:numPr>
        <w:ilvl w:val="3"/>
        <w:numId w:val="14"/>
      </w:numPr>
      <w:tabs>
        <w:tab w:val="left" w:pos="0"/>
      </w:tabs>
      <w:spacing w:before="120" w:after="120"/>
      <w:outlineLvl w:val="3"/>
    </w:pPr>
    <w:rPr>
      <w:rFonts w:ascii="Arial" w:hAnsi="Arial"/>
      <w:b/>
      <w:bCs/>
      <w:sz w:val="24"/>
      <w:szCs w:val="22"/>
      <w:lang w:val="en-US" w:eastAsia="en-US"/>
    </w:rPr>
  </w:style>
  <w:style w:type="paragraph" w:styleId="Heading5">
    <w:name w:val="heading 5"/>
    <w:next w:val="Paragraph"/>
    <w:qFormat/>
    <w:rsid w:val="00144E0D"/>
    <w:pPr>
      <w:keepNext/>
      <w:keepLines/>
      <w:numPr>
        <w:ilvl w:val="4"/>
        <w:numId w:val="14"/>
      </w:numPr>
      <w:tabs>
        <w:tab w:val="clear" w:pos="0"/>
      </w:tabs>
      <w:spacing w:before="120" w:after="120"/>
      <w:outlineLvl w:val="4"/>
    </w:pPr>
    <w:rPr>
      <w:rFonts w:ascii="Arial" w:hAnsi="Arial" w:cs="Arial"/>
      <w:b/>
      <w:bCs/>
      <w:iCs/>
      <w:sz w:val="24"/>
      <w:szCs w:val="22"/>
      <w:lang w:val="en-US" w:eastAsia="en-US"/>
    </w:rPr>
  </w:style>
  <w:style w:type="paragraph" w:styleId="Heading6">
    <w:name w:val="heading 6"/>
    <w:next w:val="Paragraph"/>
    <w:qFormat/>
    <w:rsid w:val="00144E0D"/>
    <w:pPr>
      <w:keepNext/>
      <w:keepLines/>
      <w:numPr>
        <w:ilvl w:val="5"/>
        <w:numId w:val="14"/>
      </w:numPr>
      <w:tabs>
        <w:tab w:val="clear" w:pos="0"/>
      </w:tabs>
      <w:spacing w:before="120" w:after="120"/>
      <w:outlineLvl w:val="5"/>
    </w:pPr>
    <w:rPr>
      <w:rFonts w:ascii="Arial" w:hAnsi="Arial" w:cs="Arial"/>
      <w:b/>
      <w:bCs/>
      <w:sz w:val="24"/>
      <w:szCs w:val="22"/>
      <w:lang w:val="en-US" w:eastAsia="en-US"/>
    </w:rPr>
  </w:style>
  <w:style w:type="paragraph" w:styleId="Heading7">
    <w:name w:val="heading 7"/>
    <w:next w:val="Paragraph"/>
    <w:qFormat/>
    <w:rsid w:val="00144E0D"/>
    <w:pPr>
      <w:keepNext/>
      <w:keepLines/>
      <w:numPr>
        <w:ilvl w:val="6"/>
        <w:numId w:val="14"/>
      </w:numPr>
      <w:tabs>
        <w:tab w:val="clear" w:pos="0"/>
      </w:tabs>
      <w:spacing w:before="120" w:after="120"/>
      <w:outlineLvl w:val="6"/>
    </w:pPr>
    <w:rPr>
      <w:rFonts w:ascii="Arial" w:hAnsi="Arial" w:cs="Arial"/>
      <w:i/>
      <w:sz w:val="24"/>
      <w:szCs w:val="24"/>
      <w:lang w:val="en-US" w:eastAsia="en-US"/>
    </w:rPr>
  </w:style>
  <w:style w:type="paragraph" w:styleId="Heading8">
    <w:name w:val="heading 8"/>
    <w:next w:val="Paragraph"/>
    <w:qFormat/>
    <w:rsid w:val="00144E0D"/>
    <w:pPr>
      <w:keepNext/>
      <w:keepLines/>
      <w:numPr>
        <w:ilvl w:val="7"/>
        <w:numId w:val="14"/>
      </w:numPr>
      <w:tabs>
        <w:tab w:val="clear" w:pos="0"/>
      </w:tabs>
      <w:spacing w:before="120" w:after="120"/>
      <w:outlineLvl w:val="7"/>
    </w:pPr>
    <w:rPr>
      <w:rFonts w:ascii="Arial" w:hAnsi="Arial" w:cs="Arial"/>
      <w:i/>
      <w:iCs/>
      <w:sz w:val="24"/>
      <w:szCs w:val="24"/>
      <w:lang w:val="en-US" w:eastAsia="en-US"/>
    </w:rPr>
  </w:style>
  <w:style w:type="paragraph" w:styleId="Heading9">
    <w:name w:val="heading 9"/>
    <w:next w:val="Paragraph"/>
    <w:qFormat/>
    <w:rsid w:val="00144E0D"/>
    <w:pPr>
      <w:keepNext/>
      <w:keepLines/>
      <w:numPr>
        <w:ilvl w:val="8"/>
        <w:numId w:val="14"/>
      </w:numPr>
      <w:tabs>
        <w:tab w:val="clear" w:pos="0"/>
      </w:tabs>
      <w:spacing w:before="120" w:after="120"/>
      <w:outlineLvl w:val="8"/>
    </w:pPr>
    <w:rPr>
      <w:rFonts w:ascii="Arial" w:hAnsi="Arial" w:cs="Arial"/>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rsid w:val="00144E0D"/>
    <w:pPr>
      <w:spacing w:after="120"/>
    </w:pPr>
    <w:rPr>
      <w:sz w:val="24"/>
      <w:szCs w:val="24"/>
      <w:lang w:val="en-US" w:eastAsia="en-US"/>
    </w:rPr>
  </w:style>
  <w:style w:type="paragraph" w:styleId="BalloonText">
    <w:name w:val="Balloon Text"/>
    <w:basedOn w:val="Normal"/>
    <w:semiHidden/>
    <w:rsid w:val="00144E0D"/>
    <w:rPr>
      <w:rFonts w:ascii="Arial Narrow" w:hAnsi="Arial Narrow" w:cs="Tahoma"/>
      <w:sz w:val="18"/>
      <w:szCs w:val="16"/>
    </w:rPr>
  </w:style>
  <w:style w:type="character" w:styleId="PageNumber">
    <w:name w:val="page number"/>
    <w:basedOn w:val="DefaultParagraphFont"/>
    <w:semiHidden/>
    <w:rsid w:val="00144E0D"/>
  </w:style>
  <w:style w:type="paragraph" w:customStyle="1" w:styleId="TableRowHead">
    <w:name w:val="Table Row Head"/>
    <w:basedOn w:val="TableText"/>
    <w:semiHidden/>
    <w:rsid w:val="00144E0D"/>
    <w:pPr>
      <w:tabs>
        <w:tab w:val="left" w:pos="360"/>
      </w:tabs>
      <w:jc w:val="left"/>
    </w:pPr>
  </w:style>
  <w:style w:type="paragraph" w:customStyle="1" w:styleId="TableText">
    <w:name w:val="Table Text"/>
    <w:semiHidden/>
    <w:rsid w:val="00144E0D"/>
    <w:pPr>
      <w:spacing w:after="60"/>
      <w:jc w:val="center"/>
    </w:pPr>
    <w:rPr>
      <w:sz w:val="24"/>
      <w:lang w:val="en-US" w:eastAsia="en-US"/>
    </w:rPr>
  </w:style>
  <w:style w:type="paragraph" w:styleId="Title">
    <w:name w:val="Title"/>
    <w:qFormat/>
    <w:rsid w:val="00144E0D"/>
    <w:pPr>
      <w:spacing w:before="240" w:after="240"/>
      <w:jc w:val="center"/>
    </w:pPr>
    <w:rPr>
      <w:rFonts w:ascii="Arial" w:hAnsi="Arial" w:cs="Arial"/>
      <w:b/>
      <w:bCs/>
      <w:kern w:val="28"/>
      <w:sz w:val="32"/>
      <w:szCs w:val="32"/>
      <w:lang w:val="en-US" w:eastAsia="en-US"/>
    </w:rPr>
  </w:style>
  <w:style w:type="paragraph" w:customStyle="1" w:styleId="TableHead">
    <w:name w:val="Table Head"/>
    <w:basedOn w:val="TableText"/>
    <w:rsid w:val="00144E0D"/>
    <w:rPr>
      <w:b/>
      <w:szCs w:val="48"/>
    </w:rPr>
  </w:style>
  <w:style w:type="paragraph" w:styleId="Header">
    <w:name w:val="header"/>
    <w:link w:val="HeaderChar"/>
    <w:uiPriority w:val="99"/>
    <w:rsid w:val="00144E0D"/>
    <w:pPr>
      <w:tabs>
        <w:tab w:val="center" w:pos="4507"/>
        <w:tab w:val="right" w:pos="9000"/>
      </w:tabs>
    </w:pPr>
    <w:rPr>
      <w:lang w:val="en-US" w:eastAsia="en-US"/>
    </w:rPr>
  </w:style>
  <w:style w:type="paragraph" w:styleId="Footer">
    <w:name w:val="footer"/>
    <w:basedOn w:val="Header"/>
    <w:link w:val="FooterChar"/>
    <w:uiPriority w:val="99"/>
    <w:rsid w:val="00144E0D"/>
  </w:style>
  <w:style w:type="character" w:customStyle="1" w:styleId="Instructions">
    <w:name w:val="Instructions"/>
    <w:rsid w:val="00144E0D"/>
    <w:rPr>
      <w:i/>
      <w:vanish/>
      <w:color w:val="008080"/>
    </w:rPr>
  </w:style>
  <w:style w:type="paragraph" w:customStyle="1" w:styleId="TOCTitle">
    <w:name w:val="TOC Title"/>
    <w:basedOn w:val="Title"/>
    <w:next w:val="TOC1"/>
    <w:rsid w:val="00144E0D"/>
    <w:pPr>
      <w:pageBreakBefore/>
    </w:pPr>
    <w:rPr>
      <w:caps/>
      <w:sz w:val="28"/>
      <w:szCs w:val="28"/>
    </w:rPr>
  </w:style>
  <w:style w:type="paragraph" w:styleId="TOC1">
    <w:name w:val="toc 1"/>
    <w:next w:val="Paragraph"/>
    <w:rsid w:val="00144E0D"/>
    <w:pPr>
      <w:tabs>
        <w:tab w:val="left" w:pos="480"/>
        <w:tab w:val="right" w:leader="dot" w:pos="9029"/>
      </w:tabs>
      <w:spacing w:before="60"/>
      <w:ind w:left="480" w:right="360" w:hanging="480"/>
    </w:pPr>
    <w:rPr>
      <w:caps/>
      <w:color w:val="0000FF"/>
      <w:sz w:val="24"/>
      <w:lang w:val="en-US" w:eastAsia="en-US"/>
    </w:rPr>
  </w:style>
  <w:style w:type="paragraph" w:styleId="TOC2">
    <w:name w:val="toc 2"/>
    <w:next w:val="Paragraph"/>
    <w:rsid w:val="00144E0D"/>
    <w:pPr>
      <w:tabs>
        <w:tab w:val="left" w:pos="1440"/>
        <w:tab w:val="right" w:leader="dot" w:pos="9029"/>
      </w:tabs>
      <w:spacing w:before="60"/>
      <w:ind w:left="1440" w:right="360" w:hanging="720"/>
    </w:pPr>
    <w:rPr>
      <w:color w:val="0000FF"/>
      <w:sz w:val="24"/>
      <w:szCs w:val="24"/>
      <w:lang w:val="en-US" w:eastAsia="en-US"/>
    </w:rPr>
  </w:style>
  <w:style w:type="paragraph" w:styleId="TOC3">
    <w:name w:val="toc 3"/>
    <w:next w:val="Paragraph"/>
    <w:rsid w:val="00144E0D"/>
    <w:pPr>
      <w:tabs>
        <w:tab w:val="left" w:pos="2400"/>
        <w:tab w:val="right" w:leader="dot" w:pos="9029"/>
      </w:tabs>
      <w:spacing w:before="60"/>
      <w:ind w:left="2400" w:hanging="960"/>
    </w:pPr>
    <w:rPr>
      <w:color w:val="0000FF"/>
      <w:sz w:val="24"/>
      <w:szCs w:val="24"/>
      <w:lang w:val="en-US" w:eastAsia="en-US"/>
    </w:rPr>
  </w:style>
  <w:style w:type="character" w:styleId="Hyperlink">
    <w:name w:val="Hyperlink"/>
    <w:rsid w:val="00144E0D"/>
    <w:rPr>
      <w:color w:val="0000FF"/>
      <w:u w:val="none"/>
    </w:rPr>
  </w:style>
  <w:style w:type="paragraph" w:styleId="ListBullet">
    <w:name w:val="List Bullet"/>
    <w:rsid w:val="00144E0D"/>
    <w:pPr>
      <w:numPr>
        <w:numId w:val="3"/>
      </w:numPr>
      <w:spacing w:after="60"/>
    </w:pPr>
    <w:rPr>
      <w:sz w:val="24"/>
      <w:lang w:val="en-US" w:eastAsia="en-US"/>
    </w:rPr>
  </w:style>
  <w:style w:type="paragraph" w:customStyle="1" w:styleId="ListEnd">
    <w:name w:val="List End"/>
    <w:next w:val="Paragraph"/>
    <w:semiHidden/>
    <w:rsid w:val="00144E0D"/>
    <w:rPr>
      <w:sz w:val="24"/>
      <w:lang w:val="en-US" w:eastAsia="en-US"/>
    </w:rPr>
  </w:style>
  <w:style w:type="paragraph" w:styleId="ListNumber">
    <w:name w:val="List Number"/>
    <w:basedOn w:val="Normal"/>
    <w:rsid w:val="00144E0D"/>
    <w:pPr>
      <w:numPr>
        <w:numId w:val="4"/>
      </w:numPr>
      <w:spacing w:after="60"/>
    </w:pPr>
  </w:style>
  <w:style w:type="paragraph" w:styleId="ListNumber2">
    <w:name w:val="List Number 2"/>
    <w:basedOn w:val="Normal"/>
    <w:rsid w:val="00144E0D"/>
    <w:pPr>
      <w:numPr>
        <w:numId w:val="6"/>
      </w:numPr>
      <w:spacing w:after="60"/>
    </w:pPr>
  </w:style>
  <w:style w:type="paragraph" w:styleId="ListNumber3">
    <w:name w:val="List Number 3"/>
    <w:basedOn w:val="Normal"/>
    <w:rsid w:val="00144E0D"/>
    <w:pPr>
      <w:numPr>
        <w:numId w:val="7"/>
      </w:numPr>
      <w:spacing w:after="60"/>
    </w:pPr>
  </w:style>
  <w:style w:type="paragraph" w:styleId="ListBullet2">
    <w:name w:val="List Bullet 2"/>
    <w:rsid w:val="00144E0D"/>
    <w:pPr>
      <w:numPr>
        <w:numId w:val="1"/>
      </w:numPr>
      <w:spacing w:after="60"/>
    </w:pPr>
    <w:rPr>
      <w:sz w:val="24"/>
      <w:szCs w:val="24"/>
      <w:lang w:val="en-US" w:eastAsia="en-US"/>
    </w:rPr>
  </w:style>
  <w:style w:type="paragraph" w:styleId="ListBullet3">
    <w:name w:val="List Bullet 3"/>
    <w:rsid w:val="00144E0D"/>
    <w:pPr>
      <w:numPr>
        <w:numId w:val="2"/>
      </w:numPr>
      <w:spacing w:after="60"/>
    </w:pPr>
    <w:rPr>
      <w:sz w:val="24"/>
      <w:szCs w:val="24"/>
      <w:lang w:val="en-US" w:eastAsia="en-US"/>
    </w:rPr>
  </w:style>
  <w:style w:type="paragraph" w:styleId="TOC4">
    <w:name w:val="toc 4"/>
    <w:next w:val="Normal"/>
    <w:rsid w:val="00144E0D"/>
    <w:pPr>
      <w:tabs>
        <w:tab w:val="left" w:pos="3605"/>
        <w:tab w:val="right" w:leader="dot" w:pos="9029"/>
      </w:tabs>
      <w:spacing w:before="60"/>
      <w:ind w:left="3605" w:right="360" w:hanging="1200"/>
    </w:pPr>
    <w:rPr>
      <w:color w:val="0000FF"/>
      <w:sz w:val="24"/>
      <w:lang w:val="en-US" w:eastAsia="en-US"/>
    </w:rPr>
  </w:style>
  <w:style w:type="paragraph" w:styleId="TableofFigures">
    <w:name w:val="table of figures"/>
    <w:basedOn w:val="TOC2"/>
    <w:next w:val="Normal"/>
    <w:rsid w:val="00144E0D"/>
    <w:pPr>
      <w:tabs>
        <w:tab w:val="clear" w:pos="1440"/>
        <w:tab w:val="left" w:pos="2385"/>
      </w:tabs>
      <w:ind w:left="2385" w:hanging="1665"/>
    </w:pPr>
  </w:style>
  <w:style w:type="paragraph" w:customStyle="1" w:styleId="Approval">
    <w:name w:val="Approval"/>
    <w:rsid w:val="00144E0D"/>
    <w:pPr>
      <w:tabs>
        <w:tab w:val="left" w:pos="1080"/>
        <w:tab w:val="left" w:pos="5040"/>
        <w:tab w:val="left" w:pos="5760"/>
        <w:tab w:val="left" w:pos="6480"/>
        <w:tab w:val="left" w:pos="8640"/>
      </w:tabs>
    </w:pPr>
    <w:rPr>
      <w:rFonts w:eastAsia="Arial Unicode MS"/>
      <w:sz w:val="24"/>
      <w:szCs w:val="24"/>
      <w:lang w:val="en-US" w:eastAsia="en-US"/>
    </w:rPr>
  </w:style>
  <w:style w:type="paragraph" w:styleId="EndnoteText">
    <w:name w:val="endnote text"/>
    <w:basedOn w:val="Normal"/>
    <w:semiHidden/>
    <w:rsid w:val="00144E0D"/>
    <w:rPr>
      <w:sz w:val="20"/>
      <w:szCs w:val="20"/>
    </w:rPr>
  </w:style>
  <w:style w:type="character" w:styleId="EndnoteReference">
    <w:name w:val="endnote reference"/>
    <w:semiHidden/>
    <w:rsid w:val="00144E0D"/>
    <w:rPr>
      <w:vertAlign w:val="superscript"/>
    </w:rPr>
  </w:style>
  <w:style w:type="paragraph" w:customStyle="1" w:styleId="TableCenter">
    <w:name w:val="Table Center"/>
    <w:basedOn w:val="Normal"/>
    <w:rsid w:val="00144E0D"/>
    <w:pPr>
      <w:spacing w:after="60"/>
      <w:jc w:val="center"/>
    </w:pPr>
  </w:style>
  <w:style w:type="table" w:styleId="TableGrid">
    <w:name w:val="Table Grid"/>
    <w:basedOn w:val="TableNormal"/>
    <w:uiPriority w:val="59"/>
    <w:rsid w:val="00144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next w:val="Paragraph"/>
    <w:rsid w:val="00144E0D"/>
    <w:pPr>
      <w:keepLines/>
      <w:spacing w:after="120"/>
      <w:jc w:val="center"/>
    </w:pPr>
    <w:rPr>
      <w:sz w:val="24"/>
      <w:lang w:val="en-US" w:eastAsia="en-US"/>
    </w:rPr>
  </w:style>
  <w:style w:type="paragraph" w:customStyle="1" w:styleId="Confidentiality">
    <w:name w:val="Confidentiality"/>
    <w:rsid w:val="00144E0D"/>
    <w:pPr>
      <w:ind w:left="720" w:right="720"/>
    </w:pPr>
    <w:rPr>
      <w:sz w:val="24"/>
      <w:lang w:val="en-US" w:eastAsia="en-US"/>
    </w:rPr>
  </w:style>
  <w:style w:type="paragraph" w:customStyle="1" w:styleId="TableFixedWidth">
    <w:name w:val="Table Fixed Width"/>
    <w:rsid w:val="00144E0D"/>
    <w:rPr>
      <w:rFonts w:ascii="Courier New" w:hAnsi="Courier New"/>
      <w:lang w:val="en-US" w:eastAsia="en-US"/>
    </w:rPr>
  </w:style>
  <w:style w:type="paragraph" w:customStyle="1" w:styleId="Heading1NoTOC">
    <w:name w:val="Heading 1 No TOC"/>
    <w:next w:val="Paragraph"/>
    <w:rsid w:val="00144E0D"/>
    <w:pPr>
      <w:keepNext/>
      <w:keepLines/>
      <w:tabs>
        <w:tab w:val="left" w:pos="1440"/>
      </w:tabs>
      <w:spacing w:before="120" w:after="120"/>
    </w:pPr>
    <w:rPr>
      <w:rFonts w:ascii="Arial" w:hAnsi="Arial" w:cs="Arial"/>
      <w:b/>
      <w:bCs/>
      <w:caps/>
      <w:kern w:val="32"/>
      <w:sz w:val="28"/>
      <w:szCs w:val="48"/>
      <w:lang w:val="en-US" w:eastAsia="en-US"/>
    </w:rPr>
  </w:style>
  <w:style w:type="paragraph" w:customStyle="1" w:styleId="Heading1Unnumbered">
    <w:name w:val="Heading 1 Unnumbered"/>
    <w:next w:val="Paragraph"/>
    <w:rsid w:val="00144E0D"/>
    <w:pPr>
      <w:keepNext/>
      <w:keepLines/>
      <w:tabs>
        <w:tab w:val="left" w:pos="1440"/>
      </w:tabs>
      <w:spacing w:before="120" w:after="120"/>
      <w:outlineLvl w:val="0"/>
    </w:pPr>
    <w:rPr>
      <w:rFonts w:ascii="Arial" w:hAnsi="Arial" w:cs="Arial"/>
      <w:b/>
      <w:bCs/>
      <w:caps/>
      <w:kern w:val="32"/>
      <w:sz w:val="28"/>
      <w:szCs w:val="48"/>
      <w:lang w:val="en-US" w:eastAsia="en-US"/>
    </w:rPr>
  </w:style>
  <w:style w:type="paragraph" w:customStyle="1" w:styleId="Heading2NoTOC">
    <w:name w:val="Heading 2 No TOC"/>
    <w:next w:val="Paragraph"/>
    <w:rsid w:val="00144E0D"/>
    <w:pPr>
      <w:keepNext/>
      <w:keepLines/>
      <w:tabs>
        <w:tab w:val="left" w:pos="1440"/>
      </w:tabs>
      <w:spacing w:before="120" w:after="120"/>
    </w:pPr>
    <w:rPr>
      <w:rFonts w:ascii="Arial" w:hAnsi="Arial" w:cs="Arial"/>
      <w:b/>
      <w:bCs/>
      <w:iCs/>
      <w:sz w:val="26"/>
      <w:szCs w:val="26"/>
      <w:lang w:val="en-US" w:eastAsia="en-US"/>
    </w:rPr>
  </w:style>
  <w:style w:type="paragraph" w:customStyle="1" w:styleId="References">
    <w:name w:val="References"/>
    <w:rsid w:val="00144E0D"/>
    <w:pPr>
      <w:numPr>
        <w:numId w:val="11"/>
      </w:numPr>
      <w:spacing w:after="120"/>
    </w:pPr>
    <w:rPr>
      <w:rFonts w:cs="Arial"/>
      <w:bCs/>
      <w:kern w:val="32"/>
      <w:sz w:val="24"/>
      <w:szCs w:val="24"/>
      <w:lang w:val="en-US" w:eastAsia="en-US"/>
    </w:rPr>
  </w:style>
  <w:style w:type="paragraph" w:customStyle="1" w:styleId="TableFootnote">
    <w:name w:val="Table Footnote"/>
    <w:basedOn w:val="TableText"/>
    <w:rsid w:val="00144E0D"/>
    <w:pPr>
      <w:numPr>
        <w:numId w:val="12"/>
      </w:numPr>
      <w:jc w:val="left"/>
    </w:pPr>
    <w:rPr>
      <w:sz w:val="20"/>
    </w:rPr>
  </w:style>
  <w:style w:type="paragraph" w:customStyle="1" w:styleId="TableFootnoteLetter">
    <w:name w:val="Table Footnote Letter"/>
    <w:basedOn w:val="TableFootnote"/>
    <w:rsid w:val="00144E0D"/>
    <w:pPr>
      <w:numPr>
        <w:numId w:val="13"/>
      </w:numPr>
    </w:pPr>
  </w:style>
  <w:style w:type="paragraph" w:customStyle="1" w:styleId="TableLeft">
    <w:name w:val="Table Left"/>
    <w:rsid w:val="00144E0D"/>
    <w:pPr>
      <w:spacing w:after="60"/>
    </w:pPr>
    <w:rPr>
      <w:rFonts w:cs="Arial"/>
      <w:bCs/>
      <w:kern w:val="32"/>
      <w:sz w:val="24"/>
      <w:szCs w:val="24"/>
      <w:lang w:val="en-US" w:eastAsia="en-US"/>
    </w:rPr>
  </w:style>
  <w:style w:type="paragraph" w:customStyle="1" w:styleId="TableFootnoteSymbol">
    <w:name w:val="Table Footnote Symbol"/>
    <w:basedOn w:val="TableFootnote"/>
    <w:rsid w:val="00144E0D"/>
    <w:pPr>
      <w:numPr>
        <w:numId w:val="0"/>
      </w:numPr>
    </w:pPr>
    <w:rPr>
      <w:szCs w:val="48"/>
    </w:rPr>
  </w:style>
  <w:style w:type="paragraph" w:customStyle="1" w:styleId="ListLetter">
    <w:name w:val="List Letter"/>
    <w:rsid w:val="00144E0D"/>
    <w:pPr>
      <w:numPr>
        <w:numId w:val="8"/>
      </w:numPr>
      <w:spacing w:after="60"/>
    </w:pPr>
    <w:rPr>
      <w:rFonts w:cs="Arial"/>
      <w:bCs/>
      <w:iCs/>
      <w:sz w:val="24"/>
      <w:szCs w:val="48"/>
      <w:lang w:val="en-US" w:eastAsia="en-US"/>
    </w:rPr>
  </w:style>
  <w:style w:type="paragraph" w:customStyle="1" w:styleId="ListLetter2">
    <w:name w:val="List Letter 2"/>
    <w:rsid w:val="00144E0D"/>
    <w:pPr>
      <w:numPr>
        <w:numId w:val="9"/>
      </w:numPr>
      <w:spacing w:after="60"/>
    </w:pPr>
    <w:rPr>
      <w:rFonts w:cs="Arial"/>
      <w:bCs/>
      <w:iCs/>
      <w:sz w:val="24"/>
      <w:szCs w:val="24"/>
      <w:lang w:val="en-US" w:eastAsia="en-US"/>
    </w:rPr>
  </w:style>
  <w:style w:type="paragraph" w:customStyle="1" w:styleId="ListLetter3">
    <w:name w:val="List Letter 3"/>
    <w:rsid w:val="00144E0D"/>
    <w:pPr>
      <w:numPr>
        <w:numId w:val="10"/>
      </w:numPr>
      <w:spacing w:after="60"/>
    </w:pPr>
    <w:rPr>
      <w:rFonts w:cs="Arial"/>
      <w:bCs/>
      <w:iCs/>
      <w:sz w:val="24"/>
      <w:szCs w:val="48"/>
      <w:lang w:val="en-US" w:eastAsia="en-US"/>
    </w:rPr>
  </w:style>
  <w:style w:type="paragraph" w:customStyle="1" w:styleId="TableTitleContinued">
    <w:name w:val="Table Title Continued"/>
    <w:basedOn w:val="Normal"/>
    <w:rsid w:val="00144E0D"/>
    <w:pPr>
      <w:spacing w:after="120"/>
    </w:pPr>
    <w:rPr>
      <w:rFonts w:ascii="Arial" w:hAnsi="Arial"/>
      <w:b/>
    </w:rPr>
  </w:style>
  <w:style w:type="paragraph" w:customStyle="1" w:styleId="FigureEndofTextTitle">
    <w:name w:val="Figure End of Text Title"/>
    <w:next w:val="Figure"/>
    <w:rsid w:val="00144E0D"/>
    <w:pPr>
      <w:keepNext/>
      <w:tabs>
        <w:tab w:val="left" w:pos="1440"/>
      </w:tabs>
      <w:ind w:left="1440" w:hanging="1440"/>
    </w:pPr>
    <w:rPr>
      <w:rFonts w:ascii="Arial" w:hAnsi="Arial" w:cs="Arial"/>
      <w:b/>
      <w:bCs/>
      <w:iCs/>
      <w:sz w:val="24"/>
      <w:szCs w:val="48"/>
      <w:lang w:val="en-US" w:eastAsia="en-US"/>
    </w:rPr>
  </w:style>
  <w:style w:type="paragraph" w:styleId="Caption">
    <w:name w:val="caption"/>
    <w:basedOn w:val="Normal"/>
    <w:next w:val="Normal"/>
    <w:qFormat/>
    <w:rsid w:val="00144E0D"/>
    <w:pPr>
      <w:spacing w:before="120" w:after="120"/>
    </w:pPr>
    <w:rPr>
      <w:b/>
      <w:bCs/>
      <w:sz w:val="20"/>
      <w:szCs w:val="20"/>
    </w:rPr>
  </w:style>
  <w:style w:type="character" w:styleId="CommentReference">
    <w:name w:val="annotation reference"/>
    <w:semiHidden/>
    <w:rsid w:val="00144E0D"/>
    <w:rPr>
      <w:sz w:val="16"/>
      <w:szCs w:val="16"/>
    </w:rPr>
  </w:style>
  <w:style w:type="paragraph" w:styleId="CommentText">
    <w:name w:val="annotation text"/>
    <w:basedOn w:val="Normal"/>
    <w:link w:val="CommentTextChar"/>
    <w:semiHidden/>
    <w:rsid w:val="00144E0D"/>
    <w:rPr>
      <w:sz w:val="20"/>
      <w:szCs w:val="20"/>
    </w:rPr>
  </w:style>
  <w:style w:type="paragraph" w:styleId="CommentSubject">
    <w:name w:val="annotation subject"/>
    <w:basedOn w:val="CommentText"/>
    <w:next w:val="CommentText"/>
    <w:semiHidden/>
    <w:rsid w:val="00144E0D"/>
    <w:rPr>
      <w:b/>
      <w:bCs/>
    </w:rPr>
  </w:style>
  <w:style w:type="paragraph" w:styleId="DocumentMap">
    <w:name w:val="Document Map"/>
    <w:basedOn w:val="Normal"/>
    <w:semiHidden/>
    <w:rsid w:val="00144E0D"/>
    <w:pPr>
      <w:shd w:val="clear" w:color="auto" w:fill="000080"/>
    </w:pPr>
    <w:rPr>
      <w:rFonts w:ascii="Tahoma" w:hAnsi="Tahoma" w:cs="Tahoma"/>
    </w:rPr>
  </w:style>
  <w:style w:type="character" w:styleId="FollowedHyperlink">
    <w:name w:val="FollowedHyperlink"/>
    <w:semiHidden/>
    <w:rsid w:val="00144E0D"/>
    <w:rPr>
      <w:color w:val="800080"/>
      <w:u w:val="single"/>
    </w:rPr>
  </w:style>
  <w:style w:type="character" w:styleId="FootnoteReference">
    <w:name w:val="footnote reference"/>
    <w:semiHidden/>
    <w:rsid w:val="00144E0D"/>
    <w:rPr>
      <w:vertAlign w:val="superscript"/>
    </w:rPr>
  </w:style>
  <w:style w:type="paragraph" w:styleId="FootnoteText">
    <w:name w:val="footnote text"/>
    <w:basedOn w:val="Normal"/>
    <w:semiHidden/>
    <w:rsid w:val="00144E0D"/>
    <w:rPr>
      <w:sz w:val="20"/>
      <w:szCs w:val="20"/>
    </w:rPr>
  </w:style>
  <w:style w:type="character" w:styleId="LineNumber">
    <w:name w:val="line number"/>
    <w:basedOn w:val="DefaultParagraphFont"/>
    <w:semiHidden/>
    <w:rsid w:val="00144E0D"/>
  </w:style>
  <w:style w:type="paragraph" w:styleId="List">
    <w:name w:val="List"/>
    <w:basedOn w:val="Normal"/>
    <w:semiHidden/>
    <w:rsid w:val="00144E0D"/>
    <w:pPr>
      <w:ind w:left="360" w:hanging="360"/>
    </w:pPr>
  </w:style>
  <w:style w:type="paragraph" w:styleId="List2">
    <w:name w:val="List 2"/>
    <w:basedOn w:val="Normal"/>
    <w:semiHidden/>
    <w:rsid w:val="00144E0D"/>
    <w:pPr>
      <w:ind w:left="720" w:hanging="360"/>
    </w:pPr>
  </w:style>
  <w:style w:type="paragraph" w:styleId="List3">
    <w:name w:val="List 3"/>
    <w:basedOn w:val="Normal"/>
    <w:semiHidden/>
    <w:rsid w:val="00144E0D"/>
    <w:pPr>
      <w:ind w:left="1080" w:hanging="360"/>
    </w:pPr>
  </w:style>
  <w:style w:type="paragraph" w:styleId="List4">
    <w:name w:val="List 4"/>
    <w:basedOn w:val="Normal"/>
    <w:semiHidden/>
    <w:rsid w:val="00144E0D"/>
    <w:pPr>
      <w:ind w:left="1440" w:hanging="360"/>
    </w:pPr>
  </w:style>
  <w:style w:type="paragraph" w:styleId="List5">
    <w:name w:val="List 5"/>
    <w:basedOn w:val="Normal"/>
    <w:semiHidden/>
    <w:rsid w:val="00144E0D"/>
    <w:pPr>
      <w:ind w:left="1800" w:hanging="360"/>
    </w:pPr>
  </w:style>
  <w:style w:type="paragraph" w:styleId="ListBullet4">
    <w:name w:val="List Bullet 4"/>
    <w:basedOn w:val="Normal"/>
    <w:autoRedefine/>
    <w:semiHidden/>
    <w:rsid w:val="00144E0D"/>
    <w:pPr>
      <w:tabs>
        <w:tab w:val="num" w:pos="1440"/>
      </w:tabs>
      <w:ind w:left="1440" w:hanging="360"/>
    </w:pPr>
  </w:style>
  <w:style w:type="paragraph" w:styleId="ListBullet5">
    <w:name w:val="List Bullet 5"/>
    <w:basedOn w:val="Normal"/>
    <w:autoRedefine/>
    <w:semiHidden/>
    <w:rsid w:val="00144E0D"/>
    <w:pPr>
      <w:tabs>
        <w:tab w:val="num" w:pos="1800"/>
      </w:tabs>
      <w:ind w:left="1800" w:hanging="360"/>
    </w:pPr>
  </w:style>
  <w:style w:type="paragraph" w:styleId="ListContinue">
    <w:name w:val="List Continue"/>
    <w:basedOn w:val="Normal"/>
    <w:semiHidden/>
    <w:rsid w:val="00144E0D"/>
    <w:pPr>
      <w:spacing w:after="120"/>
      <w:ind w:left="360"/>
    </w:pPr>
  </w:style>
  <w:style w:type="paragraph" w:styleId="ListContinue2">
    <w:name w:val="List Continue 2"/>
    <w:basedOn w:val="Normal"/>
    <w:semiHidden/>
    <w:rsid w:val="00144E0D"/>
    <w:pPr>
      <w:spacing w:after="120"/>
      <w:ind w:left="720"/>
    </w:pPr>
  </w:style>
  <w:style w:type="paragraph" w:styleId="ListContinue3">
    <w:name w:val="List Continue 3"/>
    <w:basedOn w:val="Normal"/>
    <w:semiHidden/>
    <w:rsid w:val="00144E0D"/>
    <w:pPr>
      <w:spacing w:after="120"/>
      <w:ind w:left="1080"/>
    </w:pPr>
  </w:style>
  <w:style w:type="paragraph" w:styleId="ListContinue4">
    <w:name w:val="List Continue 4"/>
    <w:basedOn w:val="Normal"/>
    <w:semiHidden/>
    <w:rsid w:val="00144E0D"/>
    <w:pPr>
      <w:spacing w:after="120"/>
      <w:ind w:left="1440"/>
    </w:pPr>
  </w:style>
  <w:style w:type="paragraph" w:styleId="ListContinue5">
    <w:name w:val="List Continue 5"/>
    <w:basedOn w:val="Normal"/>
    <w:semiHidden/>
    <w:rsid w:val="00144E0D"/>
    <w:pPr>
      <w:spacing w:after="120"/>
      <w:ind w:left="1800"/>
    </w:pPr>
  </w:style>
  <w:style w:type="paragraph" w:styleId="ListNumber4">
    <w:name w:val="List Number 4"/>
    <w:basedOn w:val="Normal"/>
    <w:semiHidden/>
    <w:rsid w:val="00144E0D"/>
    <w:pPr>
      <w:tabs>
        <w:tab w:val="num" w:pos="1440"/>
      </w:tabs>
      <w:ind w:left="1440" w:hanging="360"/>
    </w:pPr>
  </w:style>
  <w:style w:type="paragraph" w:styleId="ListNumber5">
    <w:name w:val="List Number 5"/>
    <w:basedOn w:val="Normal"/>
    <w:semiHidden/>
    <w:rsid w:val="00144E0D"/>
    <w:pPr>
      <w:tabs>
        <w:tab w:val="num" w:pos="1800"/>
      </w:tabs>
      <w:ind w:left="1800" w:hanging="360"/>
    </w:pPr>
  </w:style>
  <w:style w:type="paragraph" w:styleId="MacroText">
    <w:name w:val="macro"/>
    <w:semiHidden/>
    <w:rsid w:val="00144E0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NoteHeading">
    <w:name w:val="Note Heading"/>
    <w:basedOn w:val="Normal"/>
    <w:next w:val="Normal"/>
    <w:semiHidden/>
    <w:rsid w:val="00144E0D"/>
  </w:style>
  <w:style w:type="table" w:styleId="Table3Deffects1">
    <w:name w:val="Table 3D effects 1"/>
    <w:basedOn w:val="TableNormal"/>
    <w:semiHidden/>
    <w:rsid w:val="00144E0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44E0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44E0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44E0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44E0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44E0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44E0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44E0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44E0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44E0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44E0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44E0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44E0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44E0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44E0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44E0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44E0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44E0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44E0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44E0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44E0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44E0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44E0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44E0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44E0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44E0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44E0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44E0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44E0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44E0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44E0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44E0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44E0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44E0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44E0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44E0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44E0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44E0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44E0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44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44E0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44E0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44E0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5">
    <w:name w:val="toc 5"/>
    <w:next w:val="Normal"/>
    <w:rsid w:val="00144E0D"/>
    <w:pPr>
      <w:tabs>
        <w:tab w:val="right" w:leader="dot" w:pos="9029"/>
      </w:tabs>
      <w:spacing w:before="60"/>
      <w:ind w:left="5760"/>
    </w:pPr>
    <w:rPr>
      <w:color w:val="0000FF"/>
      <w:sz w:val="24"/>
      <w:lang w:val="en-US" w:eastAsia="en-US"/>
    </w:rPr>
  </w:style>
  <w:style w:type="paragraph" w:styleId="TOC6">
    <w:name w:val="toc 6"/>
    <w:next w:val="Normal"/>
    <w:rsid w:val="00144E0D"/>
    <w:pPr>
      <w:tabs>
        <w:tab w:val="right" w:leader="dot" w:pos="9029"/>
      </w:tabs>
      <w:spacing w:before="60"/>
      <w:ind w:left="6725" w:right="360"/>
    </w:pPr>
    <w:rPr>
      <w:color w:val="0000FF"/>
      <w:sz w:val="24"/>
      <w:lang w:val="en-US" w:eastAsia="en-US"/>
    </w:rPr>
  </w:style>
  <w:style w:type="paragraph" w:styleId="TOC7">
    <w:name w:val="toc 7"/>
    <w:basedOn w:val="TOC1"/>
    <w:next w:val="Normal"/>
    <w:semiHidden/>
    <w:rsid w:val="00144E0D"/>
    <w:pPr>
      <w:tabs>
        <w:tab w:val="clear" w:pos="480"/>
      </w:tabs>
      <w:ind w:left="7675" w:firstLine="0"/>
    </w:pPr>
    <w:rPr>
      <w:caps w:val="0"/>
    </w:rPr>
  </w:style>
  <w:style w:type="paragraph" w:styleId="TOC8">
    <w:name w:val="toc 8"/>
    <w:basedOn w:val="TOC1"/>
    <w:next w:val="Normal"/>
    <w:semiHidden/>
    <w:rsid w:val="00144E0D"/>
    <w:pPr>
      <w:tabs>
        <w:tab w:val="clear" w:pos="480"/>
      </w:tabs>
      <w:ind w:left="8640" w:firstLine="0"/>
    </w:pPr>
    <w:rPr>
      <w:caps w:val="0"/>
    </w:rPr>
  </w:style>
  <w:style w:type="paragraph" w:styleId="TOC9">
    <w:name w:val="toc 9"/>
    <w:basedOn w:val="TOC1"/>
    <w:next w:val="Normal"/>
    <w:semiHidden/>
    <w:rsid w:val="00144E0D"/>
    <w:pPr>
      <w:tabs>
        <w:tab w:val="clear" w:pos="480"/>
      </w:tabs>
      <w:ind w:left="9605" w:firstLine="0"/>
    </w:pPr>
    <w:rPr>
      <w:caps w:val="0"/>
    </w:rPr>
  </w:style>
  <w:style w:type="paragraph" w:customStyle="1" w:styleId="TableTitle">
    <w:name w:val="Table Title"/>
    <w:next w:val="TableHead"/>
    <w:rsid w:val="00144E0D"/>
    <w:pPr>
      <w:keepNext/>
      <w:keepLines/>
      <w:tabs>
        <w:tab w:val="left" w:pos="1440"/>
      </w:tabs>
      <w:spacing w:after="120"/>
      <w:ind w:left="1440" w:hanging="1440"/>
    </w:pPr>
    <w:rPr>
      <w:rFonts w:ascii="Arial" w:hAnsi="Arial"/>
      <w:b/>
      <w:color w:val="000000"/>
      <w:sz w:val="24"/>
      <w:szCs w:val="24"/>
      <w:lang w:val="en-US" w:eastAsia="en-US"/>
    </w:rPr>
  </w:style>
  <w:style w:type="paragraph" w:customStyle="1" w:styleId="Appendix">
    <w:name w:val="Appendix"/>
    <w:basedOn w:val="Heading2NoTOC"/>
    <w:next w:val="Paragraph"/>
    <w:rsid w:val="00144E0D"/>
    <w:pPr>
      <w:numPr>
        <w:numId w:val="5"/>
      </w:numPr>
    </w:pPr>
    <w:rPr>
      <w:bCs w:val="0"/>
      <w:snapToGrid w:val="0"/>
    </w:rPr>
  </w:style>
  <w:style w:type="paragraph" w:customStyle="1" w:styleId="FigureTitle">
    <w:name w:val="Figure Title"/>
    <w:basedOn w:val="TableTitle"/>
    <w:next w:val="Figure"/>
    <w:rsid w:val="00144E0D"/>
    <w:pPr>
      <w:spacing w:after="240"/>
    </w:pPr>
  </w:style>
  <w:style w:type="character" w:customStyle="1" w:styleId="Citation">
    <w:name w:val="Citation"/>
    <w:rsid w:val="00144E0D"/>
    <w:rPr>
      <w:vertAlign w:val="superscript"/>
    </w:rPr>
  </w:style>
  <w:style w:type="paragraph" w:customStyle="1" w:styleId="FooterLandscape">
    <w:name w:val="FooterLandscape"/>
    <w:basedOn w:val="Normal"/>
    <w:rsid w:val="00144E0D"/>
    <w:pPr>
      <w:tabs>
        <w:tab w:val="center" w:pos="6307"/>
        <w:tab w:val="right" w:pos="12600"/>
      </w:tabs>
    </w:pPr>
    <w:rPr>
      <w:rFonts w:eastAsia="Arial Unicode MS"/>
      <w:sz w:val="20"/>
      <w:szCs w:val="20"/>
    </w:rPr>
  </w:style>
  <w:style w:type="paragraph" w:customStyle="1" w:styleId="HeaderLandscape">
    <w:name w:val="HeaderLandscape"/>
    <w:rsid w:val="00144E0D"/>
    <w:pPr>
      <w:tabs>
        <w:tab w:val="center" w:pos="6480"/>
        <w:tab w:val="right" w:pos="12960"/>
      </w:tabs>
    </w:pPr>
    <w:rPr>
      <w:rFonts w:eastAsia="Arial Unicode MS"/>
      <w:lang w:val="en-US" w:eastAsia="en-US"/>
    </w:rPr>
  </w:style>
  <w:style w:type="paragraph" w:customStyle="1" w:styleId="Heading2Unnumbered">
    <w:name w:val="Heading 2 Unnumbered"/>
    <w:next w:val="Paragraph"/>
    <w:rsid w:val="00144E0D"/>
    <w:pPr>
      <w:keepNext/>
      <w:keepLines/>
      <w:tabs>
        <w:tab w:val="left" w:pos="1440"/>
      </w:tabs>
      <w:spacing w:before="120" w:after="120"/>
      <w:outlineLvl w:val="1"/>
    </w:pPr>
    <w:rPr>
      <w:rFonts w:ascii="Arial" w:hAnsi="Arial" w:cs="Arial"/>
      <w:b/>
      <w:bCs/>
      <w:iCs/>
      <w:sz w:val="26"/>
      <w:szCs w:val="26"/>
      <w:lang w:val="en-US" w:eastAsia="en-US"/>
    </w:rPr>
  </w:style>
  <w:style w:type="paragraph" w:customStyle="1" w:styleId="TableEndofTextTitle">
    <w:name w:val="Table End of Text Title"/>
    <w:next w:val="TableHead"/>
    <w:rsid w:val="00144E0D"/>
    <w:pPr>
      <w:tabs>
        <w:tab w:val="left" w:pos="1440"/>
      </w:tabs>
      <w:ind w:left="1440" w:hanging="1440"/>
    </w:pPr>
    <w:rPr>
      <w:rFonts w:ascii="Arial" w:hAnsi="Arial"/>
      <w:b/>
      <w:sz w:val="24"/>
      <w:szCs w:val="24"/>
      <w:lang w:val="en-US" w:eastAsia="en-US"/>
    </w:rPr>
  </w:style>
  <w:style w:type="paragraph" w:customStyle="1" w:styleId="TOCSection">
    <w:name w:val="TOC Section"/>
    <w:basedOn w:val="Heading1"/>
    <w:rsid w:val="00144E0D"/>
    <w:pPr>
      <w:numPr>
        <w:numId w:val="0"/>
      </w:numPr>
      <w:tabs>
        <w:tab w:val="left" w:pos="480"/>
      </w:tabs>
      <w:spacing w:before="240"/>
      <w:outlineLvl w:val="9"/>
    </w:pPr>
  </w:style>
  <w:style w:type="character" w:customStyle="1" w:styleId="UserTips">
    <w:name w:val="User Tips"/>
    <w:rsid w:val="00144E0D"/>
    <w:rPr>
      <w:i/>
      <w:vanish/>
      <w:color w:val="FF6600"/>
    </w:rPr>
  </w:style>
  <w:style w:type="paragraph" w:customStyle="1" w:styleId="Heading3Unnumbered">
    <w:name w:val="Heading 3 Unnumbered"/>
    <w:next w:val="Paragraph"/>
    <w:rsid w:val="00144E0D"/>
    <w:pPr>
      <w:keepNext/>
      <w:keepLines/>
      <w:tabs>
        <w:tab w:val="left" w:pos="1440"/>
      </w:tabs>
      <w:spacing w:before="120" w:after="120"/>
      <w:outlineLvl w:val="2"/>
    </w:pPr>
    <w:rPr>
      <w:rFonts w:ascii="Arial" w:hAnsi="Arial" w:cs="Arial"/>
      <w:b/>
      <w:bCs/>
      <w:sz w:val="24"/>
      <w:szCs w:val="24"/>
      <w:lang w:val="en-US" w:eastAsia="en-US"/>
    </w:rPr>
  </w:style>
  <w:style w:type="paragraph" w:customStyle="1" w:styleId="Heading4Unnumbered">
    <w:name w:val="Heading 4 Unnumbered"/>
    <w:next w:val="Paragraph"/>
    <w:rsid w:val="00144E0D"/>
    <w:pPr>
      <w:keepNext/>
      <w:keepLines/>
      <w:tabs>
        <w:tab w:val="left" w:pos="1440"/>
      </w:tabs>
      <w:spacing w:before="120" w:after="120"/>
      <w:outlineLvl w:val="3"/>
    </w:pPr>
    <w:rPr>
      <w:rFonts w:ascii="Arial" w:hAnsi="Arial"/>
      <w:b/>
      <w:bCs/>
      <w:sz w:val="24"/>
      <w:szCs w:val="22"/>
      <w:lang w:val="en-US" w:eastAsia="en-US"/>
    </w:rPr>
  </w:style>
  <w:style w:type="paragraph" w:customStyle="1" w:styleId="Heading5Unnumbered">
    <w:name w:val="Heading 5 Unnumbered"/>
    <w:next w:val="Paragraph"/>
    <w:rsid w:val="00144E0D"/>
    <w:pPr>
      <w:keepNext/>
      <w:keepLines/>
      <w:tabs>
        <w:tab w:val="left" w:pos="1440"/>
      </w:tabs>
      <w:spacing w:before="120" w:after="120"/>
      <w:outlineLvl w:val="4"/>
    </w:pPr>
    <w:rPr>
      <w:rFonts w:ascii="Arial" w:hAnsi="Arial" w:cs="Arial"/>
      <w:b/>
      <w:bCs/>
      <w:iCs/>
      <w:sz w:val="24"/>
      <w:szCs w:val="22"/>
      <w:lang w:val="en-US" w:eastAsia="en-US"/>
    </w:rPr>
  </w:style>
  <w:style w:type="paragraph" w:customStyle="1" w:styleId="Heading6Unnumbered">
    <w:name w:val="Heading 6 Unnumbered"/>
    <w:next w:val="Paragraph"/>
    <w:rsid w:val="00144E0D"/>
    <w:pPr>
      <w:keepNext/>
      <w:keepLines/>
      <w:tabs>
        <w:tab w:val="left" w:pos="1440"/>
      </w:tabs>
      <w:spacing w:before="120" w:after="120"/>
      <w:outlineLvl w:val="5"/>
    </w:pPr>
    <w:rPr>
      <w:rFonts w:ascii="Arial" w:hAnsi="Arial" w:cs="Arial"/>
      <w:b/>
      <w:bCs/>
      <w:sz w:val="24"/>
      <w:szCs w:val="22"/>
      <w:lang w:val="en-US" w:eastAsia="en-US"/>
    </w:rPr>
  </w:style>
  <w:style w:type="paragraph" w:customStyle="1" w:styleId="tabletext0">
    <w:name w:val="table text"/>
    <w:basedOn w:val="Normal"/>
    <w:rsid w:val="00144E0D"/>
    <w:pPr>
      <w:spacing w:before="20" w:after="20"/>
    </w:pPr>
    <w:rPr>
      <w:rFonts w:eastAsia="MS Mincho"/>
      <w:sz w:val="20"/>
      <w:lang w:val="en-GB"/>
    </w:rPr>
  </w:style>
  <w:style w:type="paragraph" w:customStyle="1" w:styleId="tableheading">
    <w:name w:val="table heading"/>
    <w:basedOn w:val="tabletext0"/>
    <w:rsid w:val="00144E0D"/>
    <w:rPr>
      <w:b/>
    </w:rPr>
  </w:style>
  <w:style w:type="paragraph" w:customStyle="1" w:styleId="tablettextbullet">
    <w:name w:val="tablet text bullet"/>
    <w:basedOn w:val="Normal"/>
    <w:rsid w:val="00144E0D"/>
    <w:pPr>
      <w:numPr>
        <w:numId w:val="17"/>
      </w:numPr>
      <w:spacing w:before="160" w:after="160"/>
    </w:pPr>
    <w:rPr>
      <w:rFonts w:eastAsia="MS Mincho"/>
      <w:lang w:val="en-AU"/>
    </w:rPr>
  </w:style>
  <w:style w:type="paragraph" w:customStyle="1" w:styleId="CVBioText">
    <w:name w:val="CV Bio Text"/>
    <w:basedOn w:val="Normal"/>
    <w:rsid w:val="00144E0D"/>
    <w:rPr>
      <w:rFonts w:eastAsia="MS Mincho"/>
      <w:szCs w:val="20"/>
      <w:lang w:val="en-AU"/>
    </w:rPr>
  </w:style>
  <w:style w:type="paragraph" w:customStyle="1" w:styleId="KendleHidden">
    <w:name w:val="Kendle Hidden"/>
    <w:basedOn w:val="Normal"/>
    <w:next w:val="Normal"/>
    <w:link w:val="KendleHiddenChar"/>
    <w:locked/>
    <w:rsid w:val="00144E0D"/>
    <w:rPr>
      <w:rFonts w:eastAsia="MS Mincho"/>
      <w:vanish/>
      <w:color w:val="0000FF"/>
      <w:sz w:val="20"/>
      <w:lang w:val="en-AU" w:eastAsia="en-AU"/>
    </w:rPr>
  </w:style>
  <w:style w:type="character" w:customStyle="1" w:styleId="KendleHiddenChar">
    <w:name w:val="Kendle Hidden Char"/>
    <w:link w:val="KendleHidden"/>
    <w:locked/>
    <w:rsid w:val="00144E0D"/>
    <w:rPr>
      <w:rFonts w:eastAsia="MS Mincho"/>
      <w:vanish/>
      <w:color w:val="0000FF"/>
      <w:szCs w:val="24"/>
      <w:lang w:val="en-AU" w:eastAsia="en-AU" w:bidi="ar-SA"/>
    </w:rPr>
  </w:style>
  <w:style w:type="paragraph" w:customStyle="1" w:styleId="NormalBold">
    <w:name w:val="Normal Bold"/>
    <w:basedOn w:val="Normal"/>
    <w:next w:val="Normal"/>
    <w:link w:val="NormalBoldChar"/>
    <w:rsid w:val="00144E0D"/>
    <w:pPr>
      <w:spacing w:before="160" w:after="160"/>
    </w:pPr>
    <w:rPr>
      <w:rFonts w:eastAsia="MS Mincho"/>
      <w:b/>
      <w:lang w:val="en-AU"/>
    </w:rPr>
  </w:style>
  <w:style w:type="character" w:customStyle="1" w:styleId="NormalBoldChar">
    <w:name w:val="Normal Bold Char"/>
    <w:link w:val="NormalBold"/>
    <w:locked/>
    <w:rsid w:val="00144E0D"/>
    <w:rPr>
      <w:rFonts w:eastAsia="MS Mincho"/>
      <w:b/>
      <w:sz w:val="24"/>
      <w:szCs w:val="24"/>
      <w:lang w:val="en-AU" w:eastAsia="en-US" w:bidi="ar-SA"/>
    </w:rPr>
  </w:style>
  <w:style w:type="paragraph" w:customStyle="1" w:styleId="Normalbullet">
    <w:name w:val="Normal bullet"/>
    <w:basedOn w:val="Normal"/>
    <w:rsid w:val="00144E0D"/>
    <w:pPr>
      <w:numPr>
        <w:numId w:val="15"/>
      </w:numPr>
      <w:spacing w:before="60" w:after="60"/>
    </w:pPr>
    <w:rPr>
      <w:rFonts w:eastAsia="MS Mincho"/>
      <w:lang w:val="en-AU"/>
    </w:rPr>
  </w:style>
  <w:style w:type="paragraph" w:customStyle="1" w:styleId="NormalItalic">
    <w:name w:val="Normal Italic"/>
    <w:basedOn w:val="Normal"/>
    <w:next w:val="Normal"/>
    <w:rsid w:val="00144E0D"/>
    <w:pPr>
      <w:spacing w:before="160" w:after="160"/>
    </w:pPr>
    <w:rPr>
      <w:rFonts w:eastAsia="MS Mincho"/>
      <w:i/>
    </w:rPr>
  </w:style>
  <w:style w:type="paragraph" w:customStyle="1" w:styleId="StyleBold">
    <w:name w:val="Style Bold"/>
    <w:basedOn w:val="Normal"/>
    <w:link w:val="StyleBoldChar"/>
    <w:rsid w:val="00144E0D"/>
    <w:pPr>
      <w:spacing w:before="60" w:after="120"/>
    </w:pPr>
    <w:rPr>
      <w:rFonts w:eastAsia="MS Mincho"/>
      <w:b/>
      <w:lang w:val="en-AU" w:eastAsia="en-AU"/>
    </w:rPr>
  </w:style>
  <w:style w:type="character" w:customStyle="1" w:styleId="StyleBoldChar">
    <w:name w:val="Style Bold Char"/>
    <w:link w:val="StyleBold"/>
    <w:locked/>
    <w:rsid w:val="00144E0D"/>
    <w:rPr>
      <w:rFonts w:eastAsia="MS Mincho"/>
      <w:b/>
      <w:sz w:val="24"/>
      <w:szCs w:val="24"/>
      <w:lang w:val="en-AU" w:eastAsia="en-AU" w:bidi="ar-SA"/>
    </w:rPr>
  </w:style>
  <w:style w:type="paragraph" w:customStyle="1" w:styleId="StyleHeading1Before12pt">
    <w:name w:val="Style Heading 1 + Before:  12 pt"/>
    <w:basedOn w:val="Heading1"/>
    <w:rsid w:val="00144E0D"/>
    <w:pPr>
      <w:keepLines w:val="0"/>
      <w:numPr>
        <w:numId w:val="0"/>
      </w:numPr>
      <w:tabs>
        <w:tab w:val="clear" w:pos="0"/>
      </w:tabs>
      <w:spacing w:before="240"/>
    </w:pPr>
    <w:rPr>
      <w:rFonts w:ascii="Times New Roman" w:eastAsia="MS Mincho" w:hAnsi="Times New Roman" w:cs="Times New Roman"/>
      <w:caps w:val="0"/>
      <w:kern w:val="0"/>
      <w:sz w:val="24"/>
      <w:szCs w:val="20"/>
    </w:rPr>
  </w:style>
  <w:style w:type="paragraph" w:styleId="Subtitle">
    <w:name w:val="Subtitle"/>
    <w:basedOn w:val="Normal"/>
    <w:qFormat/>
    <w:rsid w:val="00144E0D"/>
    <w:pPr>
      <w:pBdr>
        <w:bottom w:val="single" w:sz="4" w:space="1" w:color="auto"/>
      </w:pBdr>
      <w:spacing w:before="160" w:after="60"/>
      <w:outlineLvl w:val="1"/>
    </w:pPr>
    <w:rPr>
      <w:rFonts w:eastAsia="MS Mincho" w:cs="Arial"/>
      <w:b/>
      <w:sz w:val="72"/>
      <w:lang w:val="en-AU"/>
    </w:rPr>
  </w:style>
  <w:style w:type="paragraph" w:customStyle="1" w:styleId="Subtitle2">
    <w:name w:val="Subtitle 2"/>
    <w:basedOn w:val="Subtitle"/>
    <w:rsid w:val="00144E0D"/>
    <w:pPr>
      <w:pBdr>
        <w:bottom w:val="none" w:sz="0" w:space="0" w:color="auto"/>
      </w:pBdr>
    </w:pPr>
    <w:rPr>
      <w:sz w:val="32"/>
    </w:rPr>
  </w:style>
  <w:style w:type="paragraph" w:customStyle="1" w:styleId="tablebullet">
    <w:name w:val="table bullet"/>
    <w:basedOn w:val="Normal"/>
    <w:rsid w:val="00144E0D"/>
    <w:pPr>
      <w:numPr>
        <w:numId w:val="16"/>
      </w:numPr>
      <w:spacing w:before="160" w:after="160"/>
    </w:pPr>
    <w:rPr>
      <w:rFonts w:eastAsia="MS Mincho"/>
      <w:lang w:val="en-AU"/>
    </w:rPr>
  </w:style>
  <w:style w:type="paragraph" w:customStyle="1" w:styleId="tablefiguremiddle">
    <w:name w:val="table figure middle"/>
    <w:basedOn w:val="Normal"/>
    <w:rsid w:val="00144E0D"/>
    <w:pPr>
      <w:spacing w:before="60" w:after="60"/>
      <w:jc w:val="center"/>
    </w:pPr>
    <w:rPr>
      <w:rFonts w:eastAsia="MS Mincho"/>
      <w:lang w:val="en-GB"/>
    </w:rPr>
  </w:style>
  <w:style w:type="paragraph" w:customStyle="1" w:styleId="TableHeading0">
    <w:name w:val="Table Heading"/>
    <w:basedOn w:val="Normal"/>
    <w:rsid w:val="00144E0D"/>
    <w:pPr>
      <w:spacing w:before="40" w:after="40"/>
    </w:pPr>
    <w:rPr>
      <w:rFonts w:eastAsia="MS Mincho"/>
      <w:b/>
      <w:sz w:val="20"/>
      <w:lang w:val="en-AU"/>
    </w:rPr>
  </w:style>
  <w:style w:type="paragraph" w:customStyle="1" w:styleId="tabletextbulletitalics">
    <w:name w:val="table text bullet italics"/>
    <w:basedOn w:val="tablettextbullet"/>
    <w:rsid w:val="00144E0D"/>
    <w:pPr>
      <w:numPr>
        <w:numId w:val="0"/>
      </w:numPr>
    </w:pPr>
    <w:rPr>
      <w:i/>
      <w:lang w:eastAsia="en-AU"/>
    </w:rPr>
  </w:style>
  <w:style w:type="paragraph" w:customStyle="1" w:styleId="Default">
    <w:name w:val="Default"/>
    <w:rsid w:val="00144E0D"/>
    <w:pPr>
      <w:widowControl w:val="0"/>
      <w:autoSpaceDE w:val="0"/>
      <w:autoSpaceDN w:val="0"/>
      <w:adjustRightInd w:val="0"/>
    </w:pPr>
    <w:rPr>
      <w:rFonts w:eastAsia="MS Mincho"/>
      <w:color w:val="000000"/>
      <w:sz w:val="24"/>
      <w:szCs w:val="24"/>
    </w:rPr>
  </w:style>
  <w:style w:type="paragraph" w:customStyle="1" w:styleId="CM21">
    <w:name w:val="CM21"/>
    <w:basedOn w:val="Default"/>
    <w:next w:val="Default"/>
    <w:rsid w:val="00144E0D"/>
    <w:pPr>
      <w:spacing w:after="240"/>
    </w:pPr>
    <w:rPr>
      <w:color w:val="auto"/>
    </w:rPr>
  </w:style>
  <w:style w:type="paragraph" w:customStyle="1" w:styleId="CM22">
    <w:name w:val="CM22"/>
    <w:basedOn w:val="Default"/>
    <w:next w:val="Default"/>
    <w:rsid w:val="00144E0D"/>
    <w:pPr>
      <w:spacing w:after="120"/>
    </w:pPr>
    <w:rPr>
      <w:color w:val="auto"/>
    </w:rPr>
  </w:style>
  <w:style w:type="paragraph" w:customStyle="1" w:styleId="CM2">
    <w:name w:val="CM2"/>
    <w:basedOn w:val="Default"/>
    <w:next w:val="Default"/>
    <w:rsid w:val="00144E0D"/>
    <w:pPr>
      <w:spacing w:line="276" w:lineRule="atLeast"/>
    </w:pPr>
    <w:rPr>
      <w:color w:val="auto"/>
    </w:rPr>
  </w:style>
  <w:style w:type="paragraph" w:customStyle="1" w:styleId="CM23">
    <w:name w:val="CM23"/>
    <w:basedOn w:val="Default"/>
    <w:next w:val="Default"/>
    <w:rsid w:val="00144E0D"/>
    <w:pPr>
      <w:spacing w:after="390"/>
    </w:pPr>
    <w:rPr>
      <w:color w:val="auto"/>
    </w:rPr>
  </w:style>
  <w:style w:type="paragraph" w:customStyle="1" w:styleId="CM3">
    <w:name w:val="CM3"/>
    <w:basedOn w:val="Default"/>
    <w:next w:val="Default"/>
    <w:rsid w:val="00144E0D"/>
    <w:rPr>
      <w:color w:val="auto"/>
    </w:rPr>
  </w:style>
  <w:style w:type="paragraph" w:customStyle="1" w:styleId="CM25">
    <w:name w:val="CM25"/>
    <w:basedOn w:val="Default"/>
    <w:next w:val="Default"/>
    <w:rsid w:val="00144E0D"/>
    <w:pPr>
      <w:spacing w:after="1173"/>
    </w:pPr>
    <w:rPr>
      <w:color w:val="auto"/>
    </w:rPr>
  </w:style>
  <w:style w:type="paragraph" w:customStyle="1" w:styleId="CM26">
    <w:name w:val="CM26"/>
    <w:basedOn w:val="Default"/>
    <w:next w:val="Default"/>
    <w:rsid w:val="00144E0D"/>
    <w:pPr>
      <w:spacing w:after="295"/>
    </w:pPr>
    <w:rPr>
      <w:color w:val="auto"/>
    </w:rPr>
  </w:style>
  <w:style w:type="paragraph" w:customStyle="1" w:styleId="CM27">
    <w:name w:val="CM27"/>
    <w:basedOn w:val="Default"/>
    <w:next w:val="Default"/>
    <w:rsid w:val="00144E0D"/>
    <w:pPr>
      <w:spacing w:after="170"/>
    </w:pPr>
    <w:rPr>
      <w:color w:val="auto"/>
    </w:rPr>
  </w:style>
  <w:style w:type="paragraph" w:customStyle="1" w:styleId="NormalDSGChar">
    <w:name w:val="NormalDSG Char"/>
    <w:basedOn w:val="Normal"/>
    <w:link w:val="NormalDSGCharChar"/>
    <w:rsid w:val="00144E0D"/>
    <w:pPr>
      <w:spacing w:after="120"/>
    </w:pPr>
    <w:rPr>
      <w:rFonts w:eastAsia="MS Mincho"/>
    </w:rPr>
  </w:style>
  <w:style w:type="character" w:customStyle="1" w:styleId="NormalDSGCharChar">
    <w:name w:val="NormalDSG Char Char"/>
    <w:link w:val="NormalDSGChar"/>
    <w:locked/>
    <w:rsid w:val="00144E0D"/>
    <w:rPr>
      <w:rFonts w:eastAsia="MS Mincho"/>
      <w:sz w:val="24"/>
      <w:szCs w:val="24"/>
      <w:lang w:val="en-US" w:eastAsia="en-US" w:bidi="ar-SA"/>
    </w:rPr>
  </w:style>
  <w:style w:type="paragraph" w:customStyle="1" w:styleId="TableTextHeading">
    <w:name w:val="TableTextHeading"/>
    <w:basedOn w:val="Normal"/>
    <w:rsid w:val="00144E0D"/>
    <w:pPr>
      <w:keepNext/>
      <w:spacing w:before="60" w:after="60"/>
      <w:jc w:val="center"/>
    </w:pPr>
    <w:rPr>
      <w:rFonts w:ascii="Times New Roman Bold" w:eastAsia="MS Mincho" w:hAnsi="Times New Roman Bold"/>
      <w:b/>
      <w:szCs w:val="20"/>
      <w:lang w:eastAsia="de-DE"/>
    </w:rPr>
  </w:style>
  <w:style w:type="paragraph" w:customStyle="1" w:styleId="TableText1">
    <w:name w:val="TableText"/>
    <w:basedOn w:val="Normal"/>
    <w:rsid w:val="00144E0D"/>
    <w:pPr>
      <w:keepNext/>
      <w:spacing w:before="60" w:after="60"/>
    </w:pPr>
    <w:rPr>
      <w:rFonts w:eastAsia="MS Mincho"/>
      <w:szCs w:val="20"/>
      <w:lang w:eastAsia="de-DE"/>
    </w:rPr>
  </w:style>
  <w:style w:type="paragraph" w:customStyle="1" w:styleId="NoNumCaption">
    <w:name w:val="NoNumCaption"/>
    <w:basedOn w:val="Caption"/>
    <w:next w:val="Normal"/>
    <w:rsid w:val="00144E0D"/>
    <w:pPr>
      <w:keepNext/>
      <w:keepLines/>
      <w:tabs>
        <w:tab w:val="left" w:pos="1440"/>
      </w:tabs>
      <w:jc w:val="center"/>
    </w:pPr>
    <w:rPr>
      <w:rFonts w:ascii="Times New Roman Bold" w:eastAsia="MS Mincho" w:hAnsi="Times New Roman Bold"/>
      <w:bCs w:val="0"/>
      <w:kern w:val="24"/>
      <w:sz w:val="24"/>
      <w:szCs w:val="24"/>
      <w:lang w:eastAsia="de-DE"/>
    </w:rPr>
  </w:style>
  <w:style w:type="paragraph" w:styleId="BodyText">
    <w:name w:val="Body Text"/>
    <w:basedOn w:val="Normal"/>
    <w:rsid w:val="00144E0D"/>
    <w:pPr>
      <w:spacing w:before="160" w:after="120"/>
    </w:pPr>
    <w:rPr>
      <w:rFonts w:eastAsia="MS Mincho"/>
      <w:lang w:val="en-AU"/>
    </w:rPr>
  </w:style>
  <w:style w:type="paragraph" w:customStyle="1" w:styleId="BulletsText">
    <w:name w:val="Bullets Text"/>
    <w:basedOn w:val="Normal"/>
    <w:rsid w:val="00144E0D"/>
    <w:pPr>
      <w:numPr>
        <w:numId w:val="18"/>
      </w:numPr>
      <w:spacing w:after="120"/>
    </w:pPr>
    <w:rPr>
      <w:rFonts w:eastAsia="MS Mincho"/>
      <w:szCs w:val="20"/>
      <w:lang w:eastAsia="de-DE"/>
    </w:rPr>
  </w:style>
  <w:style w:type="character" w:customStyle="1" w:styleId="NormalDSGCharCharChar">
    <w:name w:val="NormalDSG Char Char Char"/>
    <w:rsid w:val="00144E0D"/>
    <w:rPr>
      <w:rFonts w:cs="Times New Roman"/>
      <w:snapToGrid w:val="0"/>
      <w:sz w:val="24"/>
      <w:lang w:val="en-US" w:eastAsia="en-US" w:bidi="ar-SA"/>
    </w:rPr>
  </w:style>
  <w:style w:type="paragraph" w:customStyle="1" w:styleId="NormalDSG">
    <w:name w:val="NormalDSG"/>
    <w:basedOn w:val="Normal"/>
    <w:rsid w:val="00144E0D"/>
    <w:pPr>
      <w:spacing w:after="120"/>
    </w:pPr>
    <w:rPr>
      <w:rFonts w:eastAsia="MS Mincho"/>
      <w:szCs w:val="20"/>
    </w:rPr>
  </w:style>
  <w:style w:type="paragraph" w:styleId="NormalWeb">
    <w:name w:val="Normal (Web)"/>
    <w:basedOn w:val="Normal"/>
    <w:rsid w:val="00144E0D"/>
    <w:pPr>
      <w:spacing w:before="100" w:beforeAutospacing="1" w:after="100" w:afterAutospacing="1"/>
    </w:pPr>
    <w:rPr>
      <w:rFonts w:eastAsia="MS Mincho"/>
      <w:lang w:val="de-DE" w:eastAsia="de-DE"/>
    </w:rPr>
  </w:style>
  <w:style w:type="paragraph" w:customStyle="1" w:styleId="a">
    <w:name w:val="_"/>
    <w:basedOn w:val="Normal"/>
    <w:rsid w:val="00144E0D"/>
    <w:pPr>
      <w:widowControl w:val="0"/>
      <w:ind w:left="720" w:hanging="270"/>
    </w:pPr>
    <w:rPr>
      <w:rFonts w:eastAsia="MS Mincho"/>
      <w:szCs w:val="20"/>
    </w:rPr>
  </w:style>
  <w:style w:type="paragraph" w:customStyle="1" w:styleId="CellTitle">
    <w:name w:val="Cell Title"/>
    <w:basedOn w:val="BodyText"/>
    <w:next w:val="BodyText"/>
    <w:rsid w:val="00144E0D"/>
    <w:pPr>
      <w:spacing w:before="0" w:after="0"/>
      <w:jc w:val="center"/>
    </w:pPr>
    <w:rPr>
      <w:szCs w:val="20"/>
      <w:lang w:val="en-US"/>
    </w:rPr>
  </w:style>
  <w:style w:type="paragraph" w:customStyle="1" w:styleId="TableNote">
    <w:name w:val="Table Note"/>
    <w:basedOn w:val="BodyText"/>
    <w:next w:val="BodyText"/>
    <w:link w:val="TableNoteChar"/>
    <w:rsid w:val="00144E0D"/>
    <w:pPr>
      <w:spacing w:before="0" w:after="0"/>
    </w:pPr>
    <w:rPr>
      <w:sz w:val="18"/>
      <w:szCs w:val="20"/>
      <w:lang w:val="en-US"/>
    </w:rPr>
  </w:style>
  <w:style w:type="character" w:customStyle="1" w:styleId="TableNoteChar">
    <w:name w:val="Table Note Char"/>
    <w:link w:val="TableNote"/>
    <w:locked/>
    <w:rsid w:val="00144E0D"/>
    <w:rPr>
      <w:rFonts w:eastAsia="MS Mincho"/>
      <w:sz w:val="18"/>
      <w:lang w:val="en-US" w:eastAsia="en-US" w:bidi="ar-SA"/>
    </w:rPr>
  </w:style>
  <w:style w:type="paragraph" w:customStyle="1" w:styleId="TN10">
    <w:name w:val="TN10"/>
    <w:basedOn w:val="BodyText"/>
    <w:next w:val="BodyText"/>
    <w:rsid w:val="00144E0D"/>
    <w:pPr>
      <w:spacing w:before="0" w:after="0"/>
    </w:pPr>
    <w:rPr>
      <w:sz w:val="20"/>
      <w:szCs w:val="20"/>
      <w:lang w:val="en-US"/>
    </w:rPr>
  </w:style>
  <w:style w:type="paragraph" w:styleId="BodyTextIndent2">
    <w:name w:val="Body Text Indent 2"/>
    <w:basedOn w:val="Normal"/>
    <w:rsid w:val="00144E0D"/>
    <w:pPr>
      <w:spacing w:before="160" w:after="120" w:line="480" w:lineRule="auto"/>
      <w:ind w:left="283"/>
    </w:pPr>
    <w:rPr>
      <w:rFonts w:eastAsia="MS Mincho"/>
      <w:lang w:val="en-AU"/>
    </w:rPr>
  </w:style>
  <w:style w:type="character" w:customStyle="1" w:styleId="FooterChar">
    <w:name w:val="Footer Char"/>
    <w:link w:val="Footer"/>
    <w:uiPriority w:val="99"/>
    <w:rsid w:val="002C6511"/>
    <w:rPr>
      <w:lang w:val="en-US" w:eastAsia="en-US"/>
    </w:rPr>
  </w:style>
  <w:style w:type="character" w:customStyle="1" w:styleId="HeaderChar">
    <w:name w:val="Header Char"/>
    <w:link w:val="Header"/>
    <w:uiPriority w:val="99"/>
    <w:rsid w:val="002C6511"/>
    <w:rPr>
      <w:lang w:val="en-US" w:eastAsia="en-US"/>
    </w:rPr>
  </w:style>
  <w:style w:type="paragraph" w:styleId="Revision">
    <w:name w:val="Revision"/>
    <w:hidden/>
    <w:uiPriority w:val="99"/>
    <w:semiHidden/>
    <w:rsid w:val="00035A09"/>
    <w:rPr>
      <w:sz w:val="24"/>
      <w:szCs w:val="24"/>
      <w:lang w:val="en-US" w:eastAsia="en-US"/>
    </w:rPr>
  </w:style>
  <w:style w:type="character" w:customStyle="1" w:styleId="CommentTextChar">
    <w:name w:val="Comment Text Char"/>
    <w:link w:val="CommentText"/>
    <w:semiHidden/>
    <w:rsid w:val="005C5AE7"/>
  </w:style>
  <w:style w:type="character" w:customStyle="1" w:styleId="Heading2Char">
    <w:name w:val="Heading 2 Char"/>
    <w:link w:val="Heading2"/>
    <w:rsid w:val="00267168"/>
    <w:rPr>
      <w:rFonts w:ascii="Arial" w:hAnsi="Arial" w:cs="Arial"/>
      <w:b/>
      <w:bCs/>
      <w:iCs/>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6105">
      <w:bodyDiv w:val="1"/>
      <w:marLeft w:val="0"/>
      <w:marRight w:val="0"/>
      <w:marTop w:val="0"/>
      <w:marBottom w:val="0"/>
      <w:divBdr>
        <w:top w:val="none" w:sz="0" w:space="0" w:color="auto"/>
        <w:left w:val="none" w:sz="0" w:space="0" w:color="auto"/>
        <w:bottom w:val="none" w:sz="0" w:space="0" w:color="auto"/>
        <w:right w:val="none" w:sz="0" w:space="0" w:color="auto"/>
      </w:divBdr>
    </w:div>
    <w:div w:id="534201437">
      <w:bodyDiv w:val="1"/>
      <w:marLeft w:val="0"/>
      <w:marRight w:val="0"/>
      <w:marTop w:val="0"/>
      <w:marBottom w:val="0"/>
      <w:divBdr>
        <w:top w:val="none" w:sz="0" w:space="0" w:color="auto"/>
        <w:left w:val="none" w:sz="0" w:space="0" w:color="auto"/>
        <w:bottom w:val="none" w:sz="0" w:space="0" w:color="auto"/>
        <w:right w:val="none" w:sz="0" w:space="0" w:color="auto"/>
      </w:divBdr>
    </w:div>
    <w:div w:id="807279696">
      <w:bodyDiv w:val="1"/>
      <w:marLeft w:val="0"/>
      <w:marRight w:val="0"/>
      <w:marTop w:val="0"/>
      <w:marBottom w:val="0"/>
      <w:divBdr>
        <w:top w:val="none" w:sz="0" w:space="0" w:color="auto"/>
        <w:left w:val="none" w:sz="0" w:space="0" w:color="auto"/>
        <w:bottom w:val="none" w:sz="0" w:space="0" w:color="auto"/>
        <w:right w:val="none" w:sz="0" w:space="0" w:color="auto"/>
      </w:divBdr>
    </w:div>
    <w:div w:id="99414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023600\Application%20Data\Microsoft\Templates\ISIWri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2F2E2-EDDC-49C2-A1F4-E5EB635C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ISIWriter</Template>
  <TotalTime>36</TotalTime>
  <Pages>35</Pages>
  <Words>13376</Words>
  <Characters>77586</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AusPAR Attachment 1: Product information for Cimzia</vt:lpstr>
    </vt:vector>
  </TitlesOfParts>
  <Manager>Justin Hur</Manager>
  <Company>Image Solutions, Inc.</Company>
  <LinksUpToDate>false</LinksUpToDate>
  <CharactersWithSpaces>90781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Cimzia</dc:title>
  <dc:subject>Prescription medicines</dc:subject>
  <dc:creator>UCB Australia Pty Ltd </dc:creator>
  <cp:keywords>AusPARs</cp:keywords>
  <cp:lastModifiedBy>THOMPSON, Lynette</cp:lastModifiedBy>
  <cp:revision>4</cp:revision>
  <cp:lastPrinted>2016-11-21T05:05:00Z</cp:lastPrinted>
  <dcterms:created xsi:type="dcterms:W3CDTF">2017-06-13T04:26:00Z</dcterms:created>
  <dcterms:modified xsi:type="dcterms:W3CDTF">2017-07-13T05:34:00Z</dcterms:modified>
  <cp:category>ISIWriter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IWriterRevision">
    <vt:lpwstr>0</vt:lpwstr>
  </property>
  <property fmtid="{D5CDD505-2E9C-101B-9397-08002B2CF9AE}" pid="3" name="ISIWriterMajor">
    <vt:lpwstr>2</vt:lpwstr>
  </property>
  <property fmtid="{D5CDD505-2E9C-101B-9397-08002B2CF9AE}" pid="4" name="ISIWriterMinor">
    <vt:lpwstr>1</vt:lpwstr>
  </property>
</Properties>
</file>