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3122B1" w:rsidP="0088772A">
            <w:pPr>
              <w:rPr>
                <w:rFonts w:ascii="Arial" w:hAnsi="Arial" w:cs="Arial"/>
                <w:b/>
                <w:color w:val="002C47"/>
                <w:sz w:val="36"/>
                <w:szCs w:val="36"/>
              </w:rPr>
            </w:pPr>
            <w:r>
              <w:rPr>
                <w:rFonts w:ascii="Arial" w:hAnsi="Arial" w:cs="Arial"/>
                <w:b/>
                <w:color w:val="002C47"/>
                <w:sz w:val="36"/>
                <w:szCs w:val="36"/>
              </w:rPr>
              <w:t>Ju</w:t>
            </w:r>
            <w:r w:rsidR="0088772A">
              <w:rPr>
                <w:rFonts w:ascii="Arial" w:hAnsi="Arial" w:cs="Arial"/>
                <w:b/>
                <w:color w:val="002C47"/>
                <w:sz w:val="36"/>
                <w:szCs w:val="36"/>
              </w:rPr>
              <w:t>ly</w:t>
            </w:r>
            <w:r>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Public Assessment Report for</w:t>
            </w:r>
            <w:r w:rsidR="00702D7B">
              <w:rPr>
                <w:color w:val="FFFFFF" w:themeColor="background1"/>
              </w:rPr>
              <w:t xml:space="preserve"> </w:t>
            </w:r>
            <w:r w:rsidR="003122B1" w:rsidRPr="003122B1">
              <w:rPr>
                <w:color w:val="FFFFFF" w:themeColor="background1"/>
              </w:rPr>
              <w:t>Certolizumab pegol</w:t>
            </w:r>
          </w:p>
        </w:tc>
      </w:tr>
      <w:tr w:rsidR="0032583B" w:rsidRPr="00B64760" w:rsidTr="0032583B">
        <w:tc>
          <w:tcPr>
            <w:tcW w:w="9079" w:type="dxa"/>
          </w:tcPr>
          <w:p w:rsidR="0032583B" w:rsidRPr="008E7846" w:rsidRDefault="0032583B" w:rsidP="003122B1">
            <w:pPr>
              <w:pStyle w:val="Subtitle"/>
              <w:rPr>
                <w:color w:val="FFFFFF" w:themeColor="background1"/>
              </w:rPr>
            </w:pPr>
            <w:r w:rsidRPr="008E7846">
              <w:rPr>
                <w:color w:val="FFFFFF" w:themeColor="background1"/>
              </w:rPr>
              <w:t xml:space="preserve">Proprietary Product Name: </w:t>
            </w:r>
            <w:r w:rsidR="003122B1">
              <w:rPr>
                <w:color w:val="FFFFFF" w:themeColor="background1"/>
              </w:rPr>
              <w:t>Cimzia</w:t>
            </w:r>
          </w:p>
        </w:tc>
      </w:tr>
      <w:tr w:rsidR="0032583B" w:rsidRPr="00B64760" w:rsidTr="0032583B">
        <w:trPr>
          <w:trHeight w:val="486"/>
        </w:trPr>
        <w:tc>
          <w:tcPr>
            <w:tcW w:w="9079" w:type="dxa"/>
          </w:tcPr>
          <w:p w:rsidR="0032583B" w:rsidRPr="008E7846" w:rsidRDefault="0032583B" w:rsidP="003122B1">
            <w:pPr>
              <w:pStyle w:val="Subtitle"/>
              <w:rPr>
                <w:color w:val="FFFFFF" w:themeColor="background1"/>
              </w:rPr>
            </w:pPr>
            <w:r w:rsidRPr="008E7846">
              <w:rPr>
                <w:color w:val="FFFFFF" w:themeColor="background1"/>
              </w:rPr>
              <w:t xml:space="preserve">Sponsor: </w:t>
            </w:r>
            <w:r w:rsidR="003122B1">
              <w:rPr>
                <w:color w:val="FFFFFF" w:themeColor="background1"/>
              </w:rPr>
              <w:t>UC</w:t>
            </w:r>
            <w:r w:rsidR="00F47B25">
              <w:rPr>
                <w:color w:val="FFFFFF" w:themeColor="background1"/>
              </w:rPr>
              <w:t>B Australia Pt</w:t>
            </w:r>
            <w:r w:rsidR="004F4D77">
              <w:rPr>
                <w:color w:val="FFFFFF" w:themeColor="background1"/>
              </w:rPr>
              <w:t>y Ltd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A0B0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1525646" w:history="1">
            <w:r w:rsidR="001A0B08" w:rsidRPr="00D8623D">
              <w:rPr>
                <w:rStyle w:val="Hyperlink"/>
                <w:noProof/>
              </w:rPr>
              <w:t>Common abbreviations</w:t>
            </w:r>
            <w:r w:rsidR="001A0B08">
              <w:rPr>
                <w:noProof/>
                <w:webHidden/>
              </w:rPr>
              <w:tab/>
            </w:r>
            <w:r w:rsidR="001A0B08">
              <w:rPr>
                <w:noProof/>
                <w:webHidden/>
              </w:rPr>
              <w:fldChar w:fldCharType="begin"/>
            </w:r>
            <w:r w:rsidR="001A0B08">
              <w:rPr>
                <w:noProof/>
                <w:webHidden/>
              </w:rPr>
              <w:instrText xml:space="preserve"> PAGEREF _Toc21525646 \h </w:instrText>
            </w:r>
            <w:r w:rsidR="001A0B08">
              <w:rPr>
                <w:noProof/>
                <w:webHidden/>
              </w:rPr>
            </w:r>
            <w:r w:rsidR="001A0B08">
              <w:rPr>
                <w:noProof/>
                <w:webHidden/>
              </w:rPr>
              <w:fldChar w:fldCharType="separate"/>
            </w:r>
            <w:r w:rsidR="001A0B08">
              <w:rPr>
                <w:noProof/>
                <w:webHidden/>
              </w:rPr>
              <w:t>4</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47" w:history="1">
            <w:r w:rsidR="001A0B08" w:rsidRPr="00D8623D">
              <w:rPr>
                <w:rStyle w:val="Hyperlink"/>
                <w:noProof/>
              </w:rPr>
              <w:t>I. Introduction to product submission</w:t>
            </w:r>
            <w:r w:rsidR="001A0B08">
              <w:rPr>
                <w:noProof/>
                <w:webHidden/>
              </w:rPr>
              <w:tab/>
            </w:r>
            <w:r w:rsidR="001A0B08">
              <w:rPr>
                <w:noProof/>
                <w:webHidden/>
              </w:rPr>
              <w:fldChar w:fldCharType="begin"/>
            </w:r>
            <w:r w:rsidR="001A0B08">
              <w:rPr>
                <w:noProof/>
                <w:webHidden/>
              </w:rPr>
              <w:instrText xml:space="preserve"> PAGEREF _Toc21525647 \h </w:instrText>
            </w:r>
            <w:r w:rsidR="001A0B08">
              <w:rPr>
                <w:noProof/>
                <w:webHidden/>
              </w:rPr>
            </w:r>
            <w:r w:rsidR="001A0B08">
              <w:rPr>
                <w:noProof/>
                <w:webHidden/>
              </w:rPr>
              <w:fldChar w:fldCharType="separate"/>
            </w:r>
            <w:r w:rsidR="001A0B08">
              <w:rPr>
                <w:noProof/>
                <w:webHidden/>
              </w:rPr>
              <w:t>6</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48" w:history="1">
            <w:r w:rsidR="001A0B08" w:rsidRPr="00D8623D">
              <w:rPr>
                <w:rStyle w:val="Hyperlink"/>
                <w:noProof/>
                <w:lang w:eastAsia="en-AU"/>
              </w:rPr>
              <w:t>Submission details</w:t>
            </w:r>
            <w:r w:rsidR="001A0B08">
              <w:rPr>
                <w:noProof/>
                <w:webHidden/>
              </w:rPr>
              <w:tab/>
            </w:r>
            <w:r w:rsidR="001A0B08">
              <w:rPr>
                <w:noProof/>
                <w:webHidden/>
              </w:rPr>
              <w:fldChar w:fldCharType="begin"/>
            </w:r>
            <w:r w:rsidR="001A0B08">
              <w:rPr>
                <w:noProof/>
                <w:webHidden/>
              </w:rPr>
              <w:instrText xml:space="preserve"> PAGEREF _Toc21525648 \h </w:instrText>
            </w:r>
            <w:r w:rsidR="001A0B08">
              <w:rPr>
                <w:noProof/>
                <w:webHidden/>
              </w:rPr>
            </w:r>
            <w:r w:rsidR="001A0B08">
              <w:rPr>
                <w:noProof/>
                <w:webHidden/>
              </w:rPr>
              <w:fldChar w:fldCharType="separate"/>
            </w:r>
            <w:r w:rsidR="001A0B08">
              <w:rPr>
                <w:noProof/>
                <w:webHidden/>
              </w:rPr>
              <w:t>6</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49" w:history="1">
            <w:r w:rsidR="001A0B08" w:rsidRPr="00D8623D">
              <w:rPr>
                <w:rStyle w:val="Hyperlink"/>
                <w:noProof/>
              </w:rPr>
              <w:t>Product background</w:t>
            </w:r>
            <w:r w:rsidR="001A0B08">
              <w:rPr>
                <w:noProof/>
                <w:webHidden/>
              </w:rPr>
              <w:tab/>
            </w:r>
            <w:r w:rsidR="001A0B08">
              <w:rPr>
                <w:noProof/>
                <w:webHidden/>
              </w:rPr>
              <w:fldChar w:fldCharType="begin"/>
            </w:r>
            <w:r w:rsidR="001A0B08">
              <w:rPr>
                <w:noProof/>
                <w:webHidden/>
              </w:rPr>
              <w:instrText xml:space="preserve"> PAGEREF _Toc21525649 \h </w:instrText>
            </w:r>
            <w:r w:rsidR="001A0B08">
              <w:rPr>
                <w:noProof/>
                <w:webHidden/>
              </w:rPr>
            </w:r>
            <w:r w:rsidR="001A0B08">
              <w:rPr>
                <w:noProof/>
                <w:webHidden/>
              </w:rPr>
              <w:fldChar w:fldCharType="separate"/>
            </w:r>
            <w:r w:rsidR="001A0B08">
              <w:rPr>
                <w:noProof/>
                <w:webHidden/>
              </w:rPr>
              <w:t>6</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50" w:history="1">
            <w:r w:rsidR="001A0B08" w:rsidRPr="00D8623D">
              <w:rPr>
                <w:rStyle w:val="Hyperlink"/>
                <w:noProof/>
              </w:rPr>
              <w:t>Regulatory status</w:t>
            </w:r>
            <w:r w:rsidR="001A0B08">
              <w:rPr>
                <w:noProof/>
                <w:webHidden/>
              </w:rPr>
              <w:tab/>
            </w:r>
            <w:r w:rsidR="001A0B08">
              <w:rPr>
                <w:noProof/>
                <w:webHidden/>
              </w:rPr>
              <w:fldChar w:fldCharType="begin"/>
            </w:r>
            <w:r w:rsidR="001A0B08">
              <w:rPr>
                <w:noProof/>
                <w:webHidden/>
              </w:rPr>
              <w:instrText xml:space="preserve"> PAGEREF _Toc21525650 \h </w:instrText>
            </w:r>
            <w:r w:rsidR="001A0B08">
              <w:rPr>
                <w:noProof/>
                <w:webHidden/>
              </w:rPr>
            </w:r>
            <w:r w:rsidR="001A0B08">
              <w:rPr>
                <w:noProof/>
                <w:webHidden/>
              </w:rPr>
              <w:fldChar w:fldCharType="separate"/>
            </w:r>
            <w:r w:rsidR="001A0B08">
              <w:rPr>
                <w:noProof/>
                <w:webHidden/>
              </w:rPr>
              <w:t>7</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51" w:history="1">
            <w:r w:rsidR="001A0B08" w:rsidRPr="00D8623D">
              <w:rPr>
                <w:rStyle w:val="Hyperlink"/>
                <w:noProof/>
              </w:rPr>
              <w:t>Product Information</w:t>
            </w:r>
            <w:r w:rsidR="001A0B08">
              <w:rPr>
                <w:noProof/>
                <w:webHidden/>
              </w:rPr>
              <w:tab/>
            </w:r>
            <w:r w:rsidR="001A0B08">
              <w:rPr>
                <w:noProof/>
                <w:webHidden/>
              </w:rPr>
              <w:fldChar w:fldCharType="begin"/>
            </w:r>
            <w:r w:rsidR="001A0B08">
              <w:rPr>
                <w:noProof/>
                <w:webHidden/>
              </w:rPr>
              <w:instrText xml:space="preserve"> PAGEREF _Toc21525651 \h </w:instrText>
            </w:r>
            <w:r w:rsidR="001A0B08">
              <w:rPr>
                <w:noProof/>
                <w:webHidden/>
              </w:rPr>
            </w:r>
            <w:r w:rsidR="001A0B08">
              <w:rPr>
                <w:noProof/>
                <w:webHidden/>
              </w:rPr>
              <w:fldChar w:fldCharType="separate"/>
            </w:r>
            <w:r w:rsidR="001A0B08">
              <w:rPr>
                <w:noProof/>
                <w:webHidden/>
              </w:rPr>
              <w:t>8</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52" w:history="1">
            <w:r w:rsidR="001A0B08" w:rsidRPr="00D8623D">
              <w:rPr>
                <w:rStyle w:val="Hyperlink"/>
                <w:noProof/>
              </w:rPr>
              <w:t>II. Registration time line</w:t>
            </w:r>
            <w:r w:rsidR="001A0B08">
              <w:rPr>
                <w:noProof/>
                <w:webHidden/>
              </w:rPr>
              <w:tab/>
            </w:r>
            <w:r w:rsidR="001A0B08">
              <w:rPr>
                <w:noProof/>
                <w:webHidden/>
              </w:rPr>
              <w:fldChar w:fldCharType="begin"/>
            </w:r>
            <w:r w:rsidR="001A0B08">
              <w:rPr>
                <w:noProof/>
                <w:webHidden/>
              </w:rPr>
              <w:instrText xml:space="preserve"> PAGEREF _Toc21525652 \h </w:instrText>
            </w:r>
            <w:r w:rsidR="001A0B08">
              <w:rPr>
                <w:noProof/>
                <w:webHidden/>
              </w:rPr>
            </w:r>
            <w:r w:rsidR="001A0B08">
              <w:rPr>
                <w:noProof/>
                <w:webHidden/>
              </w:rPr>
              <w:fldChar w:fldCharType="separate"/>
            </w:r>
            <w:r w:rsidR="001A0B08">
              <w:rPr>
                <w:noProof/>
                <w:webHidden/>
              </w:rPr>
              <w:t>8</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53" w:history="1">
            <w:r w:rsidR="001A0B08" w:rsidRPr="00D8623D">
              <w:rPr>
                <w:rStyle w:val="Hyperlink"/>
                <w:noProof/>
              </w:rPr>
              <w:t>III. Quality findings</w:t>
            </w:r>
            <w:r w:rsidR="001A0B08">
              <w:rPr>
                <w:noProof/>
                <w:webHidden/>
              </w:rPr>
              <w:tab/>
            </w:r>
            <w:r w:rsidR="001A0B08">
              <w:rPr>
                <w:noProof/>
                <w:webHidden/>
              </w:rPr>
              <w:fldChar w:fldCharType="begin"/>
            </w:r>
            <w:r w:rsidR="001A0B08">
              <w:rPr>
                <w:noProof/>
                <w:webHidden/>
              </w:rPr>
              <w:instrText xml:space="preserve"> PAGEREF _Toc21525653 \h </w:instrText>
            </w:r>
            <w:r w:rsidR="001A0B08">
              <w:rPr>
                <w:noProof/>
                <w:webHidden/>
              </w:rPr>
            </w:r>
            <w:r w:rsidR="001A0B08">
              <w:rPr>
                <w:noProof/>
                <w:webHidden/>
              </w:rPr>
              <w:fldChar w:fldCharType="separate"/>
            </w:r>
            <w:r w:rsidR="001A0B08">
              <w:rPr>
                <w:noProof/>
                <w:webHidden/>
              </w:rPr>
              <w:t>8</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54" w:history="1">
            <w:r w:rsidR="001A0B08" w:rsidRPr="00D8623D">
              <w:rPr>
                <w:rStyle w:val="Hyperlink"/>
                <w:noProof/>
              </w:rPr>
              <w:t>IV. Nonclinical findings</w:t>
            </w:r>
            <w:r w:rsidR="001A0B08">
              <w:rPr>
                <w:noProof/>
                <w:webHidden/>
              </w:rPr>
              <w:tab/>
            </w:r>
            <w:r w:rsidR="001A0B08">
              <w:rPr>
                <w:noProof/>
                <w:webHidden/>
              </w:rPr>
              <w:fldChar w:fldCharType="begin"/>
            </w:r>
            <w:r w:rsidR="001A0B08">
              <w:rPr>
                <w:noProof/>
                <w:webHidden/>
              </w:rPr>
              <w:instrText xml:space="preserve"> PAGEREF _Toc21525654 \h </w:instrText>
            </w:r>
            <w:r w:rsidR="001A0B08">
              <w:rPr>
                <w:noProof/>
                <w:webHidden/>
              </w:rPr>
            </w:r>
            <w:r w:rsidR="001A0B08">
              <w:rPr>
                <w:noProof/>
                <w:webHidden/>
              </w:rPr>
              <w:fldChar w:fldCharType="separate"/>
            </w:r>
            <w:r w:rsidR="001A0B08">
              <w:rPr>
                <w:noProof/>
                <w:webHidden/>
              </w:rPr>
              <w:t>8</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55" w:history="1">
            <w:r w:rsidR="001A0B08" w:rsidRPr="00D8623D">
              <w:rPr>
                <w:rStyle w:val="Hyperlink"/>
                <w:noProof/>
              </w:rPr>
              <w:t>V. Clinical findings</w:t>
            </w:r>
            <w:r w:rsidR="001A0B08">
              <w:rPr>
                <w:noProof/>
                <w:webHidden/>
              </w:rPr>
              <w:tab/>
            </w:r>
            <w:r w:rsidR="001A0B08">
              <w:rPr>
                <w:noProof/>
                <w:webHidden/>
              </w:rPr>
              <w:fldChar w:fldCharType="begin"/>
            </w:r>
            <w:r w:rsidR="001A0B08">
              <w:rPr>
                <w:noProof/>
                <w:webHidden/>
              </w:rPr>
              <w:instrText xml:space="preserve"> PAGEREF _Toc21525655 \h </w:instrText>
            </w:r>
            <w:r w:rsidR="001A0B08">
              <w:rPr>
                <w:noProof/>
                <w:webHidden/>
              </w:rPr>
            </w:r>
            <w:r w:rsidR="001A0B08">
              <w:rPr>
                <w:noProof/>
                <w:webHidden/>
              </w:rPr>
              <w:fldChar w:fldCharType="separate"/>
            </w:r>
            <w:r w:rsidR="001A0B08">
              <w:rPr>
                <w:noProof/>
                <w:webHidden/>
              </w:rPr>
              <w:t>9</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56" w:history="1">
            <w:r w:rsidR="001A0B08" w:rsidRPr="00D8623D">
              <w:rPr>
                <w:rStyle w:val="Hyperlink"/>
                <w:noProof/>
              </w:rPr>
              <w:t>Introduction</w:t>
            </w:r>
            <w:r w:rsidR="001A0B08">
              <w:rPr>
                <w:noProof/>
                <w:webHidden/>
              </w:rPr>
              <w:tab/>
            </w:r>
            <w:r w:rsidR="001A0B08">
              <w:rPr>
                <w:noProof/>
                <w:webHidden/>
              </w:rPr>
              <w:fldChar w:fldCharType="begin"/>
            </w:r>
            <w:r w:rsidR="001A0B08">
              <w:rPr>
                <w:noProof/>
                <w:webHidden/>
              </w:rPr>
              <w:instrText xml:space="preserve"> PAGEREF _Toc21525656 \h </w:instrText>
            </w:r>
            <w:r w:rsidR="001A0B08">
              <w:rPr>
                <w:noProof/>
                <w:webHidden/>
              </w:rPr>
            </w:r>
            <w:r w:rsidR="001A0B08">
              <w:rPr>
                <w:noProof/>
                <w:webHidden/>
              </w:rPr>
              <w:fldChar w:fldCharType="separate"/>
            </w:r>
            <w:r w:rsidR="001A0B08">
              <w:rPr>
                <w:noProof/>
                <w:webHidden/>
              </w:rPr>
              <w:t>9</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57" w:history="1">
            <w:r w:rsidR="001A0B08" w:rsidRPr="00D8623D">
              <w:rPr>
                <w:rStyle w:val="Hyperlink"/>
                <w:noProof/>
              </w:rPr>
              <w:t>Pharmacokinetics</w:t>
            </w:r>
            <w:r w:rsidR="001A0B08">
              <w:rPr>
                <w:noProof/>
                <w:webHidden/>
              </w:rPr>
              <w:tab/>
            </w:r>
            <w:r w:rsidR="001A0B08">
              <w:rPr>
                <w:noProof/>
                <w:webHidden/>
              </w:rPr>
              <w:fldChar w:fldCharType="begin"/>
            </w:r>
            <w:r w:rsidR="001A0B08">
              <w:rPr>
                <w:noProof/>
                <w:webHidden/>
              </w:rPr>
              <w:instrText xml:space="preserve"> PAGEREF _Toc21525657 \h </w:instrText>
            </w:r>
            <w:r w:rsidR="001A0B08">
              <w:rPr>
                <w:noProof/>
                <w:webHidden/>
              </w:rPr>
            </w:r>
            <w:r w:rsidR="001A0B08">
              <w:rPr>
                <w:noProof/>
                <w:webHidden/>
              </w:rPr>
              <w:fldChar w:fldCharType="separate"/>
            </w:r>
            <w:r w:rsidR="001A0B08">
              <w:rPr>
                <w:noProof/>
                <w:webHidden/>
              </w:rPr>
              <w:t>11</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58" w:history="1">
            <w:r w:rsidR="001A0B08" w:rsidRPr="00D8623D">
              <w:rPr>
                <w:rStyle w:val="Hyperlink"/>
                <w:noProof/>
              </w:rPr>
              <w:t>Pharmacodynamics</w:t>
            </w:r>
            <w:r w:rsidR="001A0B08">
              <w:rPr>
                <w:noProof/>
                <w:webHidden/>
              </w:rPr>
              <w:tab/>
            </w:r>
            <w:r w:rsidR="001A0B08">
              <w:rPr>
                <w:noProof/>
                <w:webHidden/>
              </w:rPr>
              <w:fldChar w:fldCharType="begin"/>
            </w:r>
            <w:r w:rsidR="001A0B08">
              <w:rPr>
                <w:noProof/>
                <w:webHidden/>
              </w:rPr>
              <w:instrText xml:space="preserve"> PAGEREF _Toc21525658 \h </w:instrText>
            </w:r>
            <w:r w:rsidR="001A0B08">
              <w:rPr>
                <w:noProof/>
                <w:webHidden/>
              </w:rPr>
            </w:r>
            <w:r w:rsidR="001A0B08">
              <w:rPr>
                <w:noProof/>
                <w:webHidden/>
              </w:rPr>
              <w:fldChar w:fldCharType="separate"/>
            </w:r>
            <w:r w:rsidR="001A0B08">
              <w:rPr>
                <w:noProof/>
                <w:webHidden/>
              </w:rPr>
              <w:t>16</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59" w:history="1">
            <w:r w:rsidR="001A0B08" w:rsidRPr="00D8623D">
              <w:rPr>
                <w:rStyle w:val="Hyperlink"/>
                <w:noProof/>
              </w:rPr>
              <w:t>Dosage selection for the pivotal studies</w:t>
            </w:r>
            <w:r w:rsidR="001A0B08">
              <w:rPr>
                <w:noProof/>
                <w:webHidden/>
              </w:rPr>
              <w:tab/>
            </w:r>
            <w:r w:rsidR="001A0B08">
              <w:rPr>
                <w:noProof/>
                <w:webHidden/>
              </w:rPr>
              <w:fldChar w:fldCharType="begin"/>
            </w:r>
            <w:r w:rsidR="001A0B08">
              <w:rPr>
                <w:noProof/>
                <w:webHidden/>
              </w:rPr>
              <w:instrText xml:space="preserve"> PAGEREF _Toc21525659 \h </w:instrText>
            </w:r>
            <w:r w:rsidR="001A0B08">
              <w:rPr>
                <w:noProof/>
                <w:webHidden/>
              </w:rPr>
            </w:r>
            <w:r w:rsidR="001A0B08">
              <w:rPr>
                <w:noProof/>
                <w:webHidden/>
              </w:rPr>
              <w:fldChar w:fldCharType="separate"/>
            </w:r>
            <w:r w:rsidR="001A0B08">
              <w:rPr>
                <w:noProof/>
                <w:webHidden/>
              </w:rPr>
              <w:t>17</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0" w:history="1">
            <w:r w:rsidR="001A0B08" w:rsidRPr="00D8623D">
              <w:rPr>
                <w:rStyle w:val="Hyperlink"/>
                <w:noProof/>
              </w:rPr>
              <w:t>Efficacy</w:t>
            </w:r>
            <w:r w:rsidR="001A0B08">
              <w:rPr>
                <w:noProof/>
                <w:webHidden/>
              </w:rPr>
              <w:tab/>
            </w:r>
            <w:r w:rsidR="001A0B08">
              <w:rPr>
                <w:noProof/>
                <w:webHidden/>
              </w:rPr>
              <w:fldChar w:fldCharType="begin"/>
            </w:r>
            <w:r w:rsidR="001A0B08">
              <w:rPr>
                <w:noProof/>
                <w:webHidden/>
              </w:rPr>
              <w:instrText xml:space="preserve"> PAGEREF _Toc21525660 \h </w:instrText>
            </w:r>
            <w:r w:rsidR="001A0B08">
              <w:rPr>
                <w:noProof/>
                <w:webHidden/>
              </w:rPr>
            </w:r>
            <w:r w:rsidR="001A0B08">
              <w:rPr>
                <w:noProof/>
                <w:webHidden/>
              </w:rPr>
              <w:fldChar w:fldCharType="separate"/>
            </w:r>
            <w:r w:rsidR="001A0B08">
              <w:rPr>
                <w:noProof/>
                <w:webHidden/>
              </w:rPr>
              <w:t>17</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1" w:history="1">
            <w:r w:rsidR="001A0B08" w:rsidRPr="00D8623D">
              <w:rPr>
                <w:rStyle w:val="Hyperlink"/>
                <w:noProof/>
              </w:rPr>
              <w:t>Safety</w:t>
            </w:r>
            <w:r w:rsidR="001A0B08">
              <w:rPr>
                <w:noProof/>
                <w:webHidden/>
              </w:rPr>
              <w:tab/>
            </w:r>
            <w:r w:rsidR="001A0B08">
              <w:rPr>
                <w:noProof/>
                <w:webHidden/>
              </w:rPr>
              <w:fldChar w:fldCharType="begin"/>
            </w:r>
            <w:r w:rsidR="001A0B08">
              <w:rPr>
                <w:noProof/>
                <w:webHidden/>
              </w:rPr>
              <w:instrText xml:space="preserve"> PAGEREF _Toc21525661 \h </w:instrText>
            </w:r>
            <w:r w:rsidR="001A0B08">
              <w:rPr>
                <w:noProof/>
                <w:webHidden/>
              </w:rPr>
            </w:r>
            <w:r w:rsidR="001A0B08">
              <w:rPr>
                <w:noProof/>
                <w:webHidden/>
              </w:rPr>
              <w:fldChar w:fldCharType="separate"/>
            </w:r>
            <w:r w:rsidR="001A0B08">
              <w:rPr>
                <w:noProof/>
                <w:webHidden/>
              </w:rPr>
              <w:t>20</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2" w:history="1">
            <w:r w:rsidR="001A0B08" w:rsidRPr="00D8623D">
              <w:rPr>
                <w:rStyle w:val="Hyperlink"/>
                <w:noProof/>
              </w:rPr>
              <w:t>First round benefit-risk assessment</w:t>
            </w:r>
            <w:r w:rsidR="001A0B08">
              <w:rPr>
                <w:noProof/>
                <w:webHidden/>
              </w:rPr>
              <w:tab/>
            </w:r>
            <w:r w:rsidR="001A0B08">
              <w:rPr>
                <w:noProof/>
                <w:webHidden/>
              </w:rPr>
              <w:fldChar w:fldCharType="begin"/>
            </w:r>
            <w:r w:rsidR="001A0B08">
              <w:rPr>
                <w:noProof/>
                <w:webHidden/>
              </w:rPr>
              <w:instrText xml:space="preserve"> PAGEREF _Toc21525662 \h </w:instrText>
            </w:r>
            <w:r w:rsidR="001A0B08">
              <w:rPr>
                <w:noProof/>
                <w:webHidden/>
              </w:rPr>
            </w:r>
            <w:r w:rsidR="001A0B08">
              <w:rPr>
                <w:noProof/>
                <w:webHidden/>
              </w:rPr>
              <w:fldChar w:fldCharType="separate"/>
            </w:r>
            <w:r w:rsidR="001A0B08">
              <w:rPr>
                <w:noProof/>
                <w:webHidden/>
              </w:rPr>
              <w:t>41</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3" w:history="1">
            <w:r w:rsidR="001A0B08" w:rsidRPr="00D8623D">
              <w:rPr>
                <w:rStyle w:val="Hyperlink"/>
                <w:noProof/>
              </w:rPr>
              <w:t>First round recommendation regarding authorisation</w:t>
            </w:r>
            <w:r w:rsidR="001A0B08">
              <w:rPr>
                <w:noProof/>
                <w:webHidden/>
              </w:rPr>
              <w:tab/>
            </w:r>
            <w:r w:rsidR="001A0B08">
              <w:rPr>
                <w:noProof/>
                <w:webHidden/>
              </w:rPr>
              <w:fldChar w:fldCharType="begin"/>
            </w:r>
            <w:r w:rsidR="001A0B08">
              <w:rPr>
                <w:noProof/>
                <w:webHidden/>
              </w:rPr>
              <w:instrText xml:space="preserve"> PAGEREF _Toc21525663 \h </w:instrText>
            </w:r>
            <w:r w:rsidR="001A0B08">
              <w:rPr>
                <w:noProof/>
                <w:webHidden/>
              </w:rPr>
            </w:r>
            <w:r w:rsidR="001A0B08">
              <w:rPr>
                <w:noProof/>
                <w:webHidden/>
              </w:rPr>
              <w:fldChar w:fldCharType="separate"/>
            </w:r>
            <w:r w:rsidR="001A0B08">
              <w:rPr>
                <w:noProof/>
                <w:webHidden/>
              </w:rPr>
              <w:t>44</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4" w:history="1">
            <w:r w:rsidR="001A0B08" w:rsidRPr="00D8623D">
              <w:rPr>
                <w:rStyle w:val="Hyperlink"/>
                <w:noProof/>
              </w:rPr>
              <w:t>Clinical questions and second round evaluation</w:t>
            </w:r>
            <w:r w:rsidR="001A0B08">
              <w:rPr>
                <w:noProof/>
                <w:webHidden/>
              </w:rPr>
              <w:tab/>
            </w:r>
            <w:r w:rsidR="001A0B08">
              <w:rPr>
                <w:noProof/>
                <w:webHidden/>
              </w:rPr>
              <w:fldChar w:fldCharType="begin"/>
            </w:r>
            <w:r w:rsidR="001A0B08">
              <w:rPr>
                <w:noProof/>
                <w:webHidden/>
              </w:rPr>
              <w:instrText xml:space="preserve"> PAGEREF _Toc21525664 \h </w:instrText>
            </w:r>
            <w:r w:rsidR="001A0B08">
              <w:rPr>
                <w:noProof/>
                <w:webHidden/>
              </w:rPr>
            </w:r>
            <w:r w:rsidR="001A0B08">
              <w:rPr>
                <w:noProof/>
                <w:webHidden/>
              </w:rPr>
              <w:fldChar w:fldCharType="separate"/>
            </w:r>
            <w:r w:rsidR="001A0B08">
              <w:rPr>
                <w:noProof/>
                <w:webHidden/>
              </w:rPr>
              <w:t>45</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5" w:history="1">
            <w:r w:rsidR="001A0B08" w:rsidRPr="00D8623D">
              <w:rPr>
                <w:rStyle w:val="Hyperlink"/>
                <w:noProof/>
              </w:rPr>
              <w:t>Second round benefit-risk assessment</w:t>
            </w:r>
            <w:r w:rsidR="001A0B08">
              <w:rPr>
                <w:noProof/>
                <w:webHidden/>
              </w:rPr>
              <w:tab/>
            </w:r>
            <w:r w:rsidR="001A0B08">
              <w:rPr>
                <w:noProof/>
                <w:webHidden/>
              </w:rPr>
              <w:fldChar w:fldCharType="begin"/>
            </w:r>
            <w:r w:rsidR="001A0B08">
              <w:rPr>
                <w:noProof/>
                <w:webHidden/>
              </w:rPr>
              <w:instrText xml:space="preserve"> PAGEREF _Toc21525665 \h </w:instrText>
            </w:r>
            <w:r w:rsidR="001A0B08">
              <w:rPr>
                <w:noProof/>
                <w:webHidden/>
              </w:rPr>
            </w:r>
            <w:r w:rsidR="001A0B08">
              <w:rPr>
                <w:noProof/>
                <w:webHidden/>
              </w:rPr>
              <w:fldChar w:fldCharType="separate"/>
            </w:r>
            <w:r w:rsidR="001A0B08">
              <w:rPr>
                <w:noProof/>
                <w:webHidden/>
              </w:rPr>
              <w:t>47</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66" w:history="1">
            <w:r w:rsidR="001A0B08" w:rsidRPr="00D8623D">
              <w:rPr>
                <w:rStyle w:val="Hyperlink"/>
                <w:noProof/>
              </w:rPr>
              <w:t>VI. Pharmacovigilance findings</w:t>
            </w:r>
            <w:r w:rsidR="001A0B08">
              <w:rPr>
                <w:noProof/>
                <w:webHidden/>
              </w:rPr>
              <w:tab/>
            </w:r>
            <w:r w:rsidR="001A0B08">
              <w:rPr>
                <w:noProof/>
                <w:webHidden/>
              </w:rPr>
              <w:fldChar w:fldCharType="begin"/>
            </w:r>
            <w:r w:rsidR="001A0B08">
              <w:rPr>
                <w:noProof/>
                <w:webHidden/>
              </w:rPr>
              <w:instrText xml:space="preserve"> PAGEREF _Toc21525666 \h </w:instrText>
            </w:r>
            <w:r w:rsidR="001A0B08">
              <w:rPr>
                <w:noProof/>
                <w:webHidden/>
              </w:rPr>
            </w:r>
            <w:r w:rsidR="001A0B08">
              <w:rPr>
                <w:noProof/>
                <w:webHidden/>
              </w:rPr>
              <w:fldChar w:fldCharType="separate"/>
            </w:r>
            <w:r w:rsidR="001A0B08">
              <w:rPr>
                <w:noProof/>
                <w:webHidden/>
              </w:rPr>
              <w:t>48</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7" w:history="1">
            <w:r w:rsidR="001A0B08" w:rsidRPr="00D8623D">
              <w:rPr>
                <w:rStyle w:val="Hyperlink"/>
                <w:noProof/>
                <w:lang w:eastAsia="en-AU"/>
              </w:rPr>
              <w:t>Risk management plan</w:t>
            </w:r>
            <w:r w:rsidR="001A0B08">
              <w:rPr>
                <w:noProof/>
                <w:webHidden/>
              </w:rPr>
              <w:tab/>
            </w:r>
            <w:r w:rsidR="001A0B08">
              <w:rPr>
                <w:noProof/>
                <w:webHidden/>
              </w:rPr>
              <w:fldChar w:fldCharType="begin"/>
            </w:r>
            <w:r w:rsidR="001A0B08">
              <w:rPr>
                <w:noProof/>
                <w:webHidden/>
              </w:rPr>
              <w:instrText xml:space="preserve"> PAGEREF _Toc21525667 \h </w:instrText>
            </w:r>
            <w:r w:rsidR="001A0B08">
              <w:rPr>
                <w:noProof/>
                <w:webHidden/>
              </w:rPr>
            </w:r>
            <w:r w:rsidR="001A0B08">
              <w:rPr>
                <w:noProof/>
                <w:webHidden/>
              </w:rPr>
              <w:fldChar w:fldCharType="separate"/>
            </w:r>
            <w:r w:rsidR="001A0B08">
              <w:rPr>
                <w:noProof/>
                <w:webHidden/>
              </w:rPr>
              <w:t>48</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68" w:history="1">
            <w:r w:rsidR="001A0B08" w:rsidRPr="00D8623D">
              <w:rPr>
                <w:rStyle w:val="Hyperlink"/>
                <w:noProof/>
              </w:rPr>
              <w:t>VII. Overall conclusion and risk/benefit assessment</w:t>
            </w:r>
            <w:r w:rsidR="001A0B08">
              <w:rPr>
                <w:noProof/>
                <w:webHidden/>
              </w:rPr>
              <w:tab/>
            </w:r>
            <w:r w:rsidR="001A0B08">
              <w:rPr>
                <w:noProof/>
                <w:webHidden/>
              </w:rPr>
              <w:fldChar w:fldCharType="begin"/>
            </w:r>
            <w:r w:rsidR="001A0B08">
              <w:rPr>
                <w:noProof/>
                <w:webHidden/>
              </w:rPr>
              <w:instrText xml:space="preserve"> PAGEREF _Toc21525668 \h </w:instrText>
            </w:r>
            <w:r w:rsidR="001A0B08">
              <w:rPr>
                <w:noProof/>
                <w:webHidden/>
              </w:rPr>
            </w:r>
            <w:r w:rsidR="001A0B08">
              <w:rPr>
                <w:noProof/>
                <w:webHidden/>
              </w:rPr>
              <w:fldChar w:fldCharType="separate"/>
            </w:r>
            <w:r w:rsidR="001A0B08">
              <w:rPr>
                <w:noProof/>
                <w:webHidden/>
              </w:rPr>
              <w:t>50</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69" w:history="1">
            <w:r w:rsidR="001A0B08" w:rsidRPr="00D8623D">
              <w:rPr>
                <w:rStyle w:val="Hyperlink"/>
                <w:noProof/>
              </w:rPr>
              <w:t>Background</w:t>
            </w:r>
            <w:r w:rsidR="001A0B08">
              <w:rPr>
                <w:noProof/>
                <w:webHidden/>
              </w:rPr>
              <w:tab/>
            </w:r>
            <w:r w:rsidR="001A0B08">
              <w:rPr>
                <w:noProof/>
                <w:webHidden/>
              </w:rPr>
              <w:fldChar w:fldCharType="begin"/>
            </w:r>
            <w:r w:rsidR="001A0B08">
              <w:rPr>
                <w:noProof/>
                <w:webHidden/>
              </w:rPr>
              <w:instrText xml:space="preserve"> PAGEREF _Toc21525669 \h </w:instrText>
            </w:r>
            <w:r w:rsidR="001A0B08">
              <w:rPr>
                <w:noProof/>
                <w:webHidden/>
              </w:rPr>
            </w:r>
            <w:r w:rsidR="001A0B08">
              <w:rPr>
                <w:noProof/>
                <w:webHidden/>
              </w:rPr>
              <w:fldChar w:fldCharType="separate"/>
            </w:r>
            <w:r w:rsidR="001A0B08">
              <w:rPr>
                <w:noProof/>
                <w:webHidden/>
              </w:rPr>
              <w:t>50</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70" w:history="1">
            <w:r w:rsidR="001A0B08" w:rsidRPr="00D8623D">
              <w:rPr>
                <w:rStyle w:val="Hyperlink"/>
                <w:noProof/>
              </w:rPr>
              <w:t>Quality</w:t>
            </w:r>
            <w:r w:rsidR="001A0B08">
              <w:rPr>
                <w:noProof/>
                <w:webHidden/>
              </w:rPr>
              <w:tab/>
            </w:r>
            <w:r w:rsidR="001A0B08">
              <w:rPr>
                <w:noProof/>
                <w:webHidden/>
              </w:rPr>
              <w:fldChar w:fldCharType="begin"/>
            </w:r>
            <w:r w:rsidR="001A0B08">
              <w:rPr>
                <w:noProof/>
                <w:webHidden/>
              </w:rPr>
              <w:instrText xml:space="preserve"> PAGEREF _Toc21525670 \h </w:instrText>
            </w:r>
            <w:r w:rsidR="001A0B08">
              <w:rPr>
                <w:noProof/>
                <w:webHidden/>
              </w:rPr>
            </w:r>
            <w:r w:rsidR="001A0B08">
              <w:rPr>
                <w:noProof/>
                <w:webHidden/>
              </w:rPr>
              <w:fldChar w:fldCharType="separate"/>
            </w:r>
            <w:r w:rsidR="001A0B08">
              <w:rPr>
                <w:noProof/>
                <w:webHidden/>
              </w:rPr>
              <w:t>52</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71" w:history="1">
            <w:r w:rsidR="001A0B08" w:rsidRPr="00D8623D">
              <w:rPr>
                <w:rStyle w:val="Hyperlink"/>
                <w:noProof/>
              </w:rPr>
              <w:t>Nonclinical</w:t>
            </w:r>
            <w:r w:rsidR="001A0B08">
              <w:rPr>
                <w:noProof/>
                <w:webHidden/>
              </w:rPr>
              <w:tab/>
            </w:r>
            <w:r w:rsidR="001A0B08">
              <w:rPr>
                <w:noProof/>
                <w:webHidden/>
              </w:rPr>
              <w:fldChar w:fldCharType="begin"/>
            </w:r>
            <w:r w:rsidR="001A0B08">
              <w:rPr>
                <w:noProof/>
                <w:webHidden/>
              </w:rPr>
              <w:instrText xml:space="preserve"> PAGEREF _Toc21525671 \h </w:instrText>
            </w:r>
            <w:r w:rsidR="001A0B08">
              <w:rPr>
                <w:noProof/>
                <w:webHidden/>
              </w:rPr>
            </w:r>
            <w:r w:rsidR="001A0B08">
              <w:rPr>
                <w:noProof/>
                <w:webHidden/>
              </w:rPr>
              <w:fldChar w:fldCharType="separate"/>
            </w:r>
            <w:r w:rsidR="001A0B08">
              <w:rPr>
                <w:noProof/>
                <w:webHidden/>
              </w:rPr>
              <w:t>52</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72" w:history="1">
            <w:r w:rsidR="001A0B08" w:rsidRPr="00D8623D">
              <w:rPr>
                <w:rStyle w:val="Hyperlink"/>
                <w:noProof/>
              </w:rPr>
              <w:t>Clinical</w:t>
            </w:r>
            <w:r w:rsidR="001A0B08">
              <w:rPr>
                <w:noProof/>
                <w:webHidden/>
              </w:rPr>
              <w:tab/>
            </w:r>
            <w:r w:rsidR="001A0B08">
              <w:rPr>
                <w:noProof/>
                <w:webHidden/>
              </w:rPr>
              <w:fldChar w:fldCharType="begin"/>
            </w:r>
            <w:r w:rsidR="001A0B08">
              <w:rPr>
                <w:noProof/>
                <w:webHidden/>
              </w:rPr>
              <w:instrText xml:space="preserve"> PAGEREF _Toc21525672 \h </w:instrText>
            </w:r>
            <w:r w:rsidR="001A0B08">
              <w:rPr>
                <w:noProof/>
                <w:webHidden/>
              </w:rPr>
            </w:r>
            <w:r w:rsidR="001A0B08">
              <w:rPr>
                <w:noProof/>
                <w:webHidden/>
              </w:rPr>
              <w:fldChar w:fldCharType="separate"/>
            </w:r>
            <w:r w:rsidR="001A0B08">
              <w:rPr>
                <w:noProof/>
                <w:webHidden/>
              </w:rPr>
              <w:t>52</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73" w:history="1">
            <w:r w:rsidR="001A0B08" w:rsidRPr="00D8623D">
              <w:rPr>
                <w:rStyle w:val="Hyperlink"/>
                <w:noProof/>
                <w:lang w:eastAsia="en-AU"/>
              </w:rPr>
              <w:t>Risk management plan</w:t>
            </w:r>
            <w:r w:rsidR="001A0B08">
              <w:rPr>
                <w:noProof/>
                <w:webHidden/>
              </w:rPr>
              <w:tab/>
            </w:r>
            <w:r w:rsidR="001A0B08">
              <w:rPr>
                <w:noProof/>
                <w:webHidden/>
              </w:rPr>
              <w:fldChar w:fldCharType="begin"/>
            </w:r>
            <w:r w:rsidR="001A0B08">
              <w:rPr>
                <w:noProof/>
                <w:webHidden/>
              </w:rPr>
              <w:instrText xml:space="preserve"> PAGEREF _Toc21525673 \h </w:instrText>
            </w:r>
            <w:r w:rsidR="001A0B08">
              <w:rPr>
                <w:noProof/>
                <w:webHidden/>
              </w:rPr>
            </w:r>
            <w:r w:rsidR="001A0B08">
              <w:rPr>
                <w:noProof/>
                <w:webHidden/>
              </w:rPr>
              <w:fldChar w:fldCharType="separate"/>
            </w:r>
            <w:r w:rsidR="001A0B08">
              <w:rPr>
                <w:noProof/>
                <w:webHidden/>
              </w:rPr>
              <w:t>71</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74" w:history="1">
            <w:r w:rsidR="001A0B08" w:rsidRPr="00D8623D">
              <w:rPr>
                <w:rStyle w:val="Hyperlink"/>
                <w:noProof/>
              </w:rPr>
              <w:t>Risk-benefit analysis</w:t>
            </w:r>
            <w:r w:rsidR="001A0B08">
              <w:rPr>
                <w:noProof/>
                <w:webHidden/>
              </w:rPr>
              <w:tab/>
            </w:r>
            <w:r w:rsidR="001A0B08">
              <w:rPr>
                <w:noProof/>
                <w:webHidden/>
              </w:rPr>
              <w:fldChar w:fldCharType="begin"/>
            </w:r>
            <w:r w:rsidR="001A0B08">
              <w:rPr>
                <w:noProof/>
                <w:webHidden/>
              </w:rPr>
              <w:instrText xml:space="preserve"> PAGEREF _Toc21525674 \h </w:instrText>
            </w:r>
            <w:r w:rsidR="001A0B08">
              <w:rPr>
                <w:noProof/>
                <w:webHidden/>
              </w:rPr>
            </w:r>
            <w:r w:rsidR="001A0B08">
              <w:rPr>
                <w:noProof/>
                <w:webHidden/>
              </w:rPr>
              <w:fldChar w:fldCharType="separate"/>
            </w:r>
            <w:r w:rsidR="001A0B08">
              <w:rPr>
                <w:noProof/>
                <w:webHidden/>
              </w:rPr>
              <w:t>71</w:t>
            </w:r>
            <w:r w:rsidR="001A0B08">
              <w:rPr>
                <w:noProof/>
                <w:webHidden/>
              </w:rPr>
              <w:fldChar w:fldCharType="end"/>
            </w:r>
          </w:hyperlink>
        </w:p>
        <w:p w:rsidR="001A0B08" w:rsidRDefault="0028740A">
          <w:pPr>
            <w:pStyle w:val="TOC3"/>
            <w:rPr>
              <w:rFonts w:asciiTheme="minorHAnsi" w:eastAsiaTheme="minorEastAsia" w:hAnsiTheme="minorHAnsi" w:cstheme="minorBidi"/>
              <w:noProof/>
              <w:lang w:eastAsia="en-AU"/>
            </w:rPr>
          </w:pPr>
          <w:hyperlink w:anchor="_Toc21525675" w:history="1">
            <w:r w:rsidR="001A0B08" w:rsidRPr="00D8623D">
              <w:rPr>
                <w:rStyle w:val="Hyperlink"/>
                <w:noProof/>
              </w:rPr>
              <w:t>Outcome</w:t>
            </w:r>
            <w:r w:rsidR="001A0B08">
              <w:rPr>
                <w:noProof/>
                <w:webHidden/>
              </w:rPr>
              <w:tab/>
            </w:r>
            <w:r w:rsidR="001A0B08">
              <w:rPr>
                <w:noProof/>
                <w:webHidden/>
              </w:rPr>
              <w:fldChar w:fldCharType="begin"/>
            </w:r>
            <w:r w:rsidR="001A0B08">
              <w:rPr>
                <w:noProof/>
                <w:webHidden/>
              </w:rPr>
              <w:instrText xml:space="preserve"> PAGEREF _Toc21525675 \h </w:instrText>
            </w:r>
            <w:r w:rsidR="001A0B08">
              <w:rPr>
                <w:noProof/>
                <w:webHidden/>
              </w:rPr>
            </w:r>
            <w:r w:rsidR="001A0B08">
              <w:rPr>
                <w:noProof/>
                <w:webHidden/>
              </w:rPr>
              <w:fldChar w:fldCharType="separate"/>
            </w:r>
            <w:r w:rsidR="001A0B08">
              <w:rPr>
                <w:noProof/>
                <w:webHidden/>
              </w:rPr>
              <w:t>82</w:t>
            </w:r>
            <w:r w:rsidR="001A0B08">
              <w:rPr>
                <w:noProof/>
                <w:webHidden/>
              </w:rPr>
              <w:fldChar w:fldCharType="end"/>
            </w:r>
          </w:hyperlink>
        </w:p>
        <w:p w:rsidR="001A0B08" w:rsidRDefault="0028740A">
          <w:pPr>
            <w:pStyle w:val="TOC2"/>
            <w:rPr>
              <w:rFonts w:asciiTheme="minorHAnsi" w:eastAsiaTheme="minorEastAsia" w:hAnsiTheme="minorHAnsi" w:cstheme="minorBidi"/>
              <w:b w:val="0"/>
              <w:noProof/>
              <w:sz w:val="22"/>
              <w:lang w:eastAsia="en-AU"/>
            </w:rPr>
          </w:pPr>
          <w:hyperlink w:anchor="_Toc21525676" w:history="1">
            <w:r w:rsidR="001A0B08" w:rsidRPr="00D8623D">
              <w:rPr>
                <w:rStyle w:val="Hyperlink"/>
                <w:noProof/>
              </w:rPr>
              <w:t>Attachment 1. Product Information</w:t>
            </w:r>
            <w:r w:rsidR="001A0B08">
              <w:rPr>
                <w:noProof/>
                <w:webHidden/>
              </w:rPr>
              <w:tab/>
            </w:r>
            <w:r w:rsidR="001A0B08">
              <w:rPr>
                <w:noProof/>
                <w:webHidden/>
              </w:rPr>
              <w:fldChar w:fldCharType="begin"/>
            </w:r>
            <w:r w:rsidR="001A0B08">
              <w:rPr>
                <w:noProof/>
                <w:webHidden/>
              </w:rPr>
              <w:instrText xml:space="preserve"> PAGEREF _Toc21525676 \h </w:instrText>
            </w:r>
            <w:r w:rsidR="001A0B08">
              <w:rPr>
                <w:noProof/>
                <w:webHidden/>
              </w:rPr>
            </w:r>
            <w:r w:rsidR="001A0B08">
              <w:rPr>
                <w:noProof/>
                <w:webHidden/>
              </w:rPr>
              <w:fldChar w:fldCharType="separate"/>
            </w:r>
            <w:r w:rsidR="001A0B08">
              <w:rPr>
                <w:noProof/>
                <w:webHidden/>
              </w:rPr>
              <w:t>82</w:t>
            </w:r>
            <w:r w:rsidR="001A0B08">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Default="00441C3F" w:rsidP="004F0C4A">
      <w:pPr>
        <w:pStyle w:val="Heading2"/>
      </w:pPr>
      <w:bookmarkStart w:id="3" w:name="_Toc351716269"/>
      <w:bookmarkStart w:id="4" w:name="_Toc351718881"/>
      <w:bookmarkStart w:id="5" w:name="_Toc355338616"/>
      <w:bookmarkStart w:id="6" w:name="_Toc356306144"/>
      <w:bookmarkStart w:id="7" w:name="_Toc21525646"/>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2518"/>
        <w:gridCol w:w="6202"/>
      </w:tblGrid>
      <w:tr w:rsidR="007641D3" w:rsidTr="00981167">
        <w:trPr>
          <w:cnfStyle w:val="100000000000" w:firstRow="1" w:lastRow="0" w:firstColumn="0" w:lastColumn="0" w:oddVBand="0" w:evenVBand="0" w:oddHBand="0" w:evenHBand="0" w:firstRowFirstColumn="0" w:firstRowLastColumn="0" w:lastRowFirstColumn="0" w:lastRowLastColumn="0"/>
        </w:trPr>
        <w:tc>
          <w:tcPr>
            <w:tcW w:w="2518" w:type="dxa"/>
            <w:hideMark/>
          </w:tcPr>
          <w:p w:rsidR="007641D3" w:rsidRDefault="007641D3">
            <w:r>
              <w:t>Abbreviation</w:t>
            </w:r>
          </w:p>
        </w:tc>
        <w:tc>
          <w:tcPr>
            <w:tcW w:w="6202" w:type="dxa"/>
            <w:hideMark/>
          </w:tcPr>
          <w:p w:rsidR="007641D3" w:rsidRDefault="007641D3">
            <w:r>
              <w:t>Meaning</w:t>
            </w:r>
          </w:p>
        </w:tc>
      </w:tr>
      <w:tr w:rsidR="001749BF"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1749BF" w:rsidRDefault="001749BF">
            <w:r>
              <w:t>ACM</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1749BF" w:rsidRDefault="001749BF">
            <w:r>
              <w:t>Advisory Committee on Medicines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ADA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Anti-</w:t>
            </w:r>
            <w:r w:rsidR="004F4D77">
              <w:t>drug a</w:t>
            </w:r>
            <w:r>
              <w:t>ntibody</w:t>
            </w:r>
          </w:p>
        </w:tc>
      </w:tr>
      <w:tr w:rsidR="00981167"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981167" w:rsidRDefault="00981167" w:rsidP="00981167">
            <w:r>
              <w:t>ADA</w:t>
            </w:r>
            <w:r w:rsidR="00BA49C1">
              <w:t xml:space="preserve"> </w:t>
            </w:r>
            <w:r>
              <w:t>16 positive</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81167" w:rsidRDefault="00981167" w:rsidP="00981167">
            <w:r>
              <w:t xml:space="preserve">Presence of </w:t>
            </w:r>
            <w:r>
              <w:rPr>
                <w:szCs w:val="22"/>
              </w:rPr>
              <w:t>at least one anti-CZP antibodies event (&gt; 2.4 U/mL) in the first 16 weeks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AE</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Adverse </w:t>
            </w:r>
            <w:r w:rsidR="004F4D77">
              <w:t>e</w:t>
            </w:r>
            <w:r>
              <w:t>vent</w:t>
            </w:r>
          </w:p>
        </w:tc>
      </w:tr>
      <w:tr w:rsidR="00702D7B"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702D7B" w:rsidRDefault="00702D7B">
            <w:r>
              <w:t>ALT</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702D7B" w:rsidRDefault="00702D7B">
            <w:r>
              <w:t>Alanine transaminase</w:t>
            </w:r>
          </w:p>
        </w:tc>
      </w:tr>
      <w:tr w:rsidR="001749BF"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1749BF" w:rsidRDefault="001749BF">
            <w:r>
              <w:t>ARTG</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1749BF" w:rsidRDefault="001749BF">
            <w:r>
              <w:t>Australian Register of Therapeutic Goods</w:t>
            </w:r>
          </w:p>
        </w:tc>
      </w:tr>
      <w:tr w:rsidR="001749BF"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1749BF" w:rsidRDefault="001749BF">
            <w:r>
              <w:t>ASA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1749BF" w:rsidRDefault="00A02B57">
            <w:r>
              <w:t>Australian Specific A</w:t>
            </w:r>
            <w:r w:rsidR="001749BF">
              <w:t>nnex</w:t>
            </w:r>
          </w:p>
        </w:tc>
      </w:tr>
      <w:tr w:rsidR="00702D7B"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702D7B" w:rsidRDefault="00702D7B">
            <w:r>
              <w:t>AST</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702D7B" w:rsidRDefault="00702D7B">
            <w:r>
              <w:t>Aspartate transaminase</w:t>
            </w:r>
          </w:p>
        </w:tc>
      </w:tr>
      <w:tr w:rsidR="00AC72C6"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C72C6" w:rsidRDefault="00AC72C6">
            <w:r>
              <w:t>AUC</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C72C6" w:rsidRDefault="00AC72C6">
            <w:r>
              <w:t>Area under the curve</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02D7B">
            <w:r>
              <w:t>BMI</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Body </w:t>
            </w:r>
            <w:r w:rsidR="004F4D77">
              <w:t>mass index</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BSA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Body </w:t>
            </w:r>
            <w:r w:rsidR="004F4D77">
              <w:t>surface area</w:t>
            </w:r>
          </w:p>
        </w:tc>
      </w:tr>
      <w:tr w:rsidR="00ED4801"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ED4801" w:rsidRDefault="00ED4801">
            <w:r w:rsidRPr="007C0362">
              <w:t>C</w:t>
            </w:r>
            <w:r w:rsidRPr="007C0362">
              <w:rPr>
                <w:vertAlign w:val="subscript"/>
              </w:rPr>
              <w:t>AUC</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ED4801" w:rsidRDefault="00ED4801">
            <w:r>
              <w:t>Cumulative area under the curve</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CL/F</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Apparent </w:t>
            </w:r>
            <w:r w:rsidR="004F4D77">
              <w:t>drug clearance</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CV</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sidP="004F4D77">
            <w:r>
              <w:t xml:space="preserve">Coefficient of </w:t>
            </w:r>
            <w:r w:rsidR="004F4D77">
              <w:t>v</w:t>
            </w:r>
            <w:r>
              <w:t>ariation</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CYP</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Cytochrome P450</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340AD">
            <w:r>
              <w:t>CZP</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sidP="004F4D77">
            <w:r>
              <w:t xml:space="preserve">Certolizumab </w:t>
            </w:r>
            <w:r w:rsidR="004F4D77">
              <w:t>p</w:t>
            </w:r>
            <w:r>
              <w:t>egol</w:t>
            </w:r>
          </w:p>
        </w:tc>
      </w:tr>
      <w:tr w:rsidR="00BE0224" w:rsidRPr="00BE0224"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BE0224" w:rsidRPr="00BE0224" w:rsidRDefault="00BE0224" w:rsidP="00BE0224">
            <w:r w:rsidRPr="00BE0224">
              <w:t>EC</w:t>
            </w:r>
            <w:r w:rsidRPr="007C0362">
              <w:rPr>
                <w:vertAlign w:val="subscript"/>
              </w:rPr>
              <w:t>90</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BE0224" w:rsidRPr="00BE0224" w:rsidRDefault="004409AA" w:rsidP="00BE0224">
            <w:r>
              <w:t>T</w:t>
            </w:r>
            <w:r w:rsidR="00BE0224" w:rsidRPr="00BE0224">
              <w:t>he concentration at which 90% of the maximal effect is achieved</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ECxx</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Effective concentration xx%</w:t>
            </w:r>
          </w:p>
        </w:tc>
      </w:tr>
      <w:tr w:rsidR="00956C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56CD3" w:rsidRDefault="00956CD3">
            <w:r>
              <w:t>EMA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956CD3" w:rsidRDefault="00956CD3">
            <w:r>
              <w:t>European Medicines Agency</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ETN</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Etanercept</w:t>
            </w:r>
          </w:p>
        </w:tc>
      </w:tr>
      <w:tr w:rsidR="00AA6EF0"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EU</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European Union</w:t>
            </w:r>
          </w:p>
        </w:tc>
      </w:tr>
      <w:tr w:rsidR="00AA6EF0"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GCP</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Good Clinical Practice</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LLOQ</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Lower </w:t>
            </w:r>
            <w:r w:rsidR="004F4D77">
              <w:t>limit of quantification</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MACE</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Major Adverse Cardiovascular Event</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lastRenderedPageBreak/>
              <w:t>MCMC</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Markov Chain Monte Carlo</w:t>
            </w:r>
          </w:p>
        </w:tc>
      </w:tr>
      <w:tr w:rsidR="00885B29"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885B29" w:rsidRDefault="00885B29">
            <w:r>
              <w:t>MedDRA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885B29" w:rsidRDefault="00885B29">
            <w:r>
              <w:t>Medical Dictionary of Regulatory Affairs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NRI</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Non-Responder Imputation</w:t>
            </w:r>
          </w:p>
        </w:tc>
      </w:tr>
      <w:tr w:rsidR="00F001E6"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001E6" w:rsidRDefault="00F001E6">
            <w:r w:rsidRPr="004B2851">
              <w:t>PASI</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001E6" w:rsidRDefault="00F001E6">
            <w:r>
              <w:t xml:space="preserve">Psoriasis Area </w:t>
            </w:r>
            <w:r w:rsidR="00BE0224">
              <w:t xml:space="preserve">and </w:t>
            </w:r>
            <w:r>
              <w:t>Severity Index</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PASIxx</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Psoriasis Area Severity Index of xx%</w:t>
            </w:r>
          </w:p>
        </w:tc>
      </w:tr>
      <w:tr w:rsidR="00AA6EF0"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PASS</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Psoriasis Area Severity Score</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PBO</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Placebo</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PD</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pPr>
              <w:rPr>
                <w:lang w:val="it-IT"/>
              </w:rPr>
            </w:pPr>
            <w:r>
              <w:t>Pharmacodynamic</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PGA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Physician Global Assessment (of </w:t>
            </w:r>
            <w:r w:rsidR="00AA6EF0">
              <w:t>improvement/</w:t>
            </w:r>
            <w:r>
              <w:t>disease activity)</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PK</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Pharmacokinetic</w:t>
            </w:r>
          </w:p>
        </w:tc>
      </w:tr>
      <w:tr w:rsidR="00F001E6"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F001E6" w:rsidRDefault="00F001E6">
            <w:r>
              <w:t>PKPD</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F001E6" w:rsidRDefault="004409AA">
            <w:r>
              <w:rPr>
                <w:rFonts w:eastAsia="TimesNewRoman" w:cs="TimesNewRoman"/>
                <w:color w:val="000000"/>
              </w:rPr>
              <w:t>P</w:t>
            </w:r>
            <w:r w:rsidR="00F001E6" w:rsidRPr="00B23B11">
              <w:rPr>
                <w:rFonts w:eastAsia="TimesNewRoman" w:cs="TimesNewRoman"/>
                <w:color w:val="000000"/>
              </w:rPr>
              <w:t>harmacokinetic</w:t>
            </w:r>
            <w:r>
              <w:rPr>
                <w:rFonts w:eastAsia="TimesNewRoman" w:cs="TimesNewRoman"/>
                <w:color w:val="000000"/>
              </w:rPr>
              <w:t>(s)</w:t>
            </w:r>
            <w:r w:rsidR="00F001E6" w:rsidRPr="00B23B11">
              <w:rPr>
                <w:rFonts w:eastAsia="TimesNewRoman" w:cs="TimesNewRoman"/>
                <w:color w:val="000000"/>
              </w:rPr>
              <w:t>/</w:t>
            </w:r>
            <w:r>
              <w:rPr>
                <w:rFonts w:eastAsia="TimesNewRoman" w:cs="TimesNewRoman"/>
                <w:color w:val="000000"/>
              </w:rPr>
              <w:t>P</w:t>
            </w:r>
            <w:r w:rsidR="00F001E6" w:rsidRPr="00B23B11">
              <w:rPr>
                <w:rFonts w:eastAsia="TimesNewRoman" w:cs="TimesNewRoman"/>
                <w:color w:val="000000"/>
              </w:rPr>
              <w:t>harmacodynamic</w:t>
            </w:r>
            <w:r>
              <w:rPr>
                <w:rFonts w:eastAsia="TimesNewRoman" w:cs="TimesNewRoman"/>
                <w:color w:val="000000"/>
              </w:rPr>
              <w:t>(s)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PT</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4F4D77">
            <w:r>
              <w:t xml:space="preserve">Preferred </w:t>
            </w:r>
            <w:r w:rsidR="004409AA">
              <w:t>T</w:t>
            </w:r>
            <w:r w:rsidR="007641D3">
              <w:t>erm</w:t>
            </w:r>
          </w:p>
        </w:tc>
      </w:tr>
      <w:tr w:rsidR="00AA6EF0"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Q2W</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rsidR="00AA6EF0" w:rsidRDefault="00AA6EF0">
            <w:r>
              <w:t>Every 2 weeks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RA</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sidP="009C2FAC">
            <w:r>
              <w:t xml:space="preserve">Rheumatoid </w:t>
            </w:r>
            <w:r w:rsidR="009C2FAC">
              <w:t>a</w:t>
            </w:r>
            <w:r>
              <w:t>rthritis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SAE</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Serious adverse event</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SC</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Subcutaneous</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SD</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sidP="009C2FAC">
            <w:r>
              <w:t xml:space="preserve">Standard </w:t>
            </w:r>
            <w:r w:rsidR="009C2FAC">
              <w:t>d</w:t>
            </w:r>
            <w:r>
              <w:t>eviation</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SOC</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System </w:t>
            </w:r>
            <w:r w:rsidR="004409AA">
              <w:t>O</w:t>
            </w:r>
            <w:r w:rsidR="009C2FAC">
              <w:t xml:space="preserve">rgan </w:t>
            </w:r>
            <w:r w:rsidR="004409AA">
              <w:t>C</w:t>
            </w:r>
            <w:r>
              <w:t>lass</w:t>
            </w:r>
          </w:p>
        </w:tc>
      </w:tr>
      <w:tr w:rsidR="00BE0224" w:rsidTr="009C2FA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BE0224" w:rsidRDefault="00BE0224" w:rsidP="009C2FAC">
            <w:r w:rsidRPr="008F5BC0">
              <w:t>t</w:t>
            </w:r>
            <w:r>
              <w:rPr>
                <w:vertAlign w:val="subscript"/>
              </w:rPr>
              <w:t>½</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BE0224" w:rsidRPr="009C2FAC" w:rsidRDefault="004409AA" w:rsidP="009C2FAC">
            <w:r>
              <w:t>T</w:t>
            </w:r>
            <w:r w:rsidR="009C2FAC" w:rsidRPr="009C2FAC">
              <w:t>ime taken for half the initial dose of medicine administered to be eliminated from the bod</w:t>
            </w:r>
            <w:r w:rsidR="009C2FAC">
              <w:t>y</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TNF</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Tumour </w:t>
            </w:r>
            <w:r w:rsidR="009C2FAC">
              <w:t>necrosis factor</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ULN</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Upper </w:t>
            </w:r>
            <w:r w:rsidR="009C2FAC">
              <w:t>limit of normal</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URTI</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Upper </w:t>
            </w:r>
            <w:r w:rsidR="009C2FAC">
              <w:t>respiratory tract infection</w:t>
            </w:r>
          </w:p>
        </w:tc>
      </w:tr>
      <w:tr w:rsidR="007641D3" w:rsidTr="00981167">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V/F</w:t>
            </w:r>
          </w:p>
        </w:tc>
        <w:tc>
          <w:tcPr>
            <w:tcW w:w="6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hideMark/>
          </w:tcPr>
          <w:p w:rsidR="007641D3" w:rsidRDefault="007641D3">
            <w:r>
              <w:t xml:space="preserve">Apparent </w:t>
            </w:r>
            <w:r w:rsidR="009C2FAC">
              <w:t>volume of distribution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21525647"/>
      <w:r>
        <w:lastRenderedPageBreak/>
        <w:t>I.</w:t>
      </w:r>
      <w:r w:rsidR="008E7846">
        <w:t xml:space="preserve"> Introduction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21525648"/>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1A5EAB" w:rsidP="00F47B25">
            <w:r>
              <w:t>M</w:t>
            </w:r>
            <w:r w:rsidR="008E7846" w:rsidRPr="003D1E62">
              <w:t xml:space="preserve">ajor </w:t>
            </w:r>
            <w:r w:rsidR="001B5C90">
              <w:t>v</w:t>
            </w:r>
            <w:r w:rsidR="00F47B25">
              <w:t>ariation</w:t>
            </w:r>
            <w:r>
              <w:t>; extension of indications</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612569" w:rsidP="00612569">
            <w:r>
              <w:t>Approved</w:t>
            </w:r>
          </w:p>
        </w:tc>
      </w:tr>
      <w:tr w:rsidR="008E7846" w:rsidRPr="003D1E62" w:rsidTr="003735BC">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7641D3" w:rsidP="001B5C90">
            <w:r>
              <w:t>29 May 2019</w:t>
            </w:r>
          </w:p>
        </w:tc>
      </w:tr>
      <w:tr w:rsidR="00ED2922" w:rsidRPr="003D1E62" w:rsidTr="003735BC">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13616B" w:rsidP="00D153D8">
            <w:pPr>
              <w:rPr>
                <w:i/>
              </w:rPr>
            </w:pPr>
            <w:r>
              <w:t>13 June 2019</w:t>
            </w:r>
          </w:p>
        </w:tc>
      </w:tr>
      <w:tr w:rsidR="00500337" w:rsidRPr="003D1E62" w:rsidTr="003735BC">
        <w:tc>
          <w:tcPr>
            <w:tcW w:w="2907" w:type="dxa"/>
          </w:tcPr>
          <w:p w:rsidR="00500337" w:rsidRPr="00441C3F" w:rsidRDefault="005D1976" w:rsidP="001B5C90">
            <w:pPr>
              <w:rPr>
                <w:i/>
              </w:rPr>
            </w:pPr>
            <w:r>
              <w:rPr>
                <w:i/>
              </w:rPr>
              <w:t>ARTG numbers</w:t>
            </w:r>
            <w:r w:rsidR="00500337">
              <w:rPr>
                <w:i/>
              </w:rPr>
              <w:t>:</w:t>
            </w:r>
          </w:p>
        </w:tc>
        <w:tc>
          <w:tcPr>
            <w:tcW w:w="6307" w:type="dxa"/>
          </w:tcPr>
          <w:p w:rsidR="00500337" w:rsidRPr="00441C3F" w:rsidRDefault="001B52B4" w:rsidP="00EC463D">
            <w:r>
              <w:t xml:space="preserve">154728, </w:t>
            </w:r>
            <w:r w:rsidR="00612569">
              <w:t>281317</w:t>
            </w:r>
          </w:p>
        </w:tc>
      </w:tr>
      <w:tr w:rsidR="003735BC" w:rsidRPr="003D1E62" w:rsidTr="003735BC">
        <w:tc>
          <w:tcPr>
            <w:tcW w:w="2907" w:type="dxa"/>
          </w:tcPr>
          <w:p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rsidR="003735BC" w:rsidRPr="00487162" w:rsidRDefault="00FC3AA7" w:rsidP="00515D2E">
            <w:r>
              <w:t>No</w:t>
            </w:r>
          </w:p>
        </w:tc>
      </w:tr>
      <w:tr w:rsidR="008E7846" w:rsidRPr="00487162" w:rsidTr="00BF1190">
        <w:tc>
          <w:tcPr>
            <w:tcW w:w="2907" w:type="dxa"/>
          </w:tcPr>
          <w:p w:rsidR="008E7846" w:rsidRPr="00487162" w:rsidRDefault="001B5C90" w:rsidP="00E45619">
            <w:pPr>
              <w:rPr>
                <w:i/>
              </w:rPr>
            </w:pPr>
            <w:r>
              <w:rPr>
                <w:i/>
              </w:rPr>
              <w:t xml:space="preserve">Active </w:t>
            </w:r>
            <w:r w:rsidR="001A5EAB">
              <w:rPr>
                <w:i/>
              </w:rPr>
              <w:t>ingredient</w:t>
            </w:r>
            <w:r>
              <w:rPr>
                <w:i/>
              </w:rPr>
              <w:t>:</w:t>
            </w:r>
          </w:p>
        </w:tc>
        <w:tc>
          <w:tcPr>
            <w:tcW w:w="6307" w:type="dxa"/>
          </w:tcPr>
          <w:p w:rsidR="008E7846" w:rsidRPr="00487162" w:rsidRDefault="00612569" w:rsidP="002676AF">
            <w:r>
              <w:t>Cert</w:t>
            </w:r>
            <w:r w:rsidR="002676AF">
              <w:t>o</w:t>
            </w:r>
            <w:r>
              <w:t>lizumab pegol</w:t>
            </w:r>
          </w:p>
        </w:tc>
      </w:tr>
      <w:tr w:rsidR="008E7846" w:rsidRPr="00487162" w:rsidTr="00BF1190">
        <w:tc>
          <w:tcPr>
            <w:tcW w:w="2907" w:type="dxa"/>
          </w:tcPr>
          <w:p w:rsidR="008E7846" w:rsidRPr="00487162" w:rsidRDefault="008E7846" w:rsidP="001B5C90">
            <w:pPr>
              <w:rPr>
                <w:i/>
              </w:rPr>
            </w:pPr>
            <w:r w:rsidRPr="00487162">
              <w:rPr>
                <w:i/>
              </w:rPr>
              <w:t>Product</w:t>
            </w:r>
            <w:r w:rsidR="001A5EAB">
              <w:rPr>
                <w:i/>
              </w:rPr>
              <w:t xml:space="preserve"> name</w:t>
            </w:r>
            <w:r w:rsidR="001B5C90">
              <w:rPr>
                <w:i/>
              </w:rPr>
              <w:t>:</w:t>
            </w:r>
          </w:p>
        </w:tc>
        <w:tc>
          <w:tcPr>
            <w:tcW w:w="6307" w:type="dxa"/>
          </w:tcPr>
          <w:p w:rsidR="008E7846" w:rsidRPr="00487162" w:rsidRDefault="00612569" w:rsidP="00E45619">
            <w:r>
              <w:t>Cimzia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1A5EAB" w:rsidP="00E45619">
            <w:r>
              <w:t>UCB Australia Pty. Ltd.</w:t>
            </w:r>
          </w:p>
          <w:p w:rsidR="001A5EAB" w:rsidRPr="001A5EAB" w:rsidRDefault="001A5EAB" w:rsidP="001A5EAB">
            <w:r w:rsidRPr="001A5EAB">
              <w:t>Level 1, 1155 Malvern Rd</w:t>
            </w:r>
          </w:p>
          <w:p w:rsidR="001A5EAB" w:rsidRPr="00487162" w:rsidRDefault="001A5EAB" w:rsidP="001A5EAB">
            <w:r w:rsidRPr="001A5EAB">
              <w:t>Malvern VIC 3144</w:t>
            </w:r>
          </w:p>
        </w:tc>
      </w:tr>
      <w:tr w:rsidR="008E7846" w:rsidRPr="00487162" w:rsidTr="00BF1190">
        <w:tc>
          <w:tcPr>
            <w:tcW w:w="2907" w:type="dxa"/>
          </w:tcPr>
          <w:p w:rsidR="008E7846" w:rsidRPr="00487162" w:rsidRDefault="001A5EAB" w:rsidP="00E45619">
            <w:pPr>
              <w:rPr>
                <w:i/>
              </w:rPr>
            </w:pPr>
            <w:r>
              <w:rPr>
                <w:i/>
              </w:rPr>
              <w:t>Dose form</w:t>
            </w:r>
            <w:r w:rsidR="001B5C90">
              <w:rPr>
                <w:i/>
              </w:rPr>
              <w:t>:</w:t>
            </w:r>
          </w:p>
        </w:tc>
        <w:tc>
          <w:tcPr>
            <w:tcW w:w="6307" w:type="dxa"/>
          </w:tcPr>
          <w:p w:rsidR="008E7846" w:rsidRPr="00487162" w:rsidRDefault="00612569" w:rsidP="00E45619">
            <w:r>
              <w:t>Solution for injection</w:t>
            </w:r>
          </w:p>
        </w:tc>
      </w:tr>
      <w:tr w:rsidR="008E7846" w:rsidRPr="00487162" w:rsidTr="00BF1190">
        <w:tc>
          <w:tcPr>
            <w:tcW w:w="2907" w:type="dxa"/>
          </w:tcPr>
          <w:p w:rsidR="008E7846" w:rsidRPr="00487162" w:rsidRDefault="001A5EAB" w:rsidP="00E45619">
            <w:pPr>
              <w:rPr>
                <w:i/>
              </w:rPr>
            </w:pPr>
            <w:r>
              <w:rPr>
                <w:i/>
              </w:rPr>
              <w:t>Strength</w:t>
            </w:r>
            <w:r w:rsidR="008E7846" w:rsidRPr="00487162">
              <w:rPr>
                <w:i/>
              </w:rPr>
              <w:t xml:space="preserve">: </w:t>
            </w:r>
          </w:p>
        </w:tc>
        <w:tc>
          <w:tcPr>
            <w:tcW w:w="6307" w:type="dxa"/>
          </w:tcPr>
          <w:p w:rsidR="008E7846" w:rsidRPr="00487162" w:rsidRDefault="00612569" w:rsidP="00E45619">
            <w:r>
              <w:t>200 mg</w:t>
            </w:r>
            <w:r w:rsidR="001B52B4">
              <w:t xml:space="preserve"> in 1 mL</w:t>
            </w:r>
          </w:p>
        </w:tc>
      </w:tr>
      <w:tr w:rsidR="008E7846" w:rsidRPr="00487162" w:rsidTr="00BF1190">
        <w:tc>
          <w:tcPr>
            <w:tcW w:w="2907" w:type="dxa"/>
          </w:tcPr>
          <w:p w:rsidR="008E7846" w:rsidRPr="00487162" w:rsidRDefault="001A5EAB" w:rsidP="00E45619">
            <w:pPr>
              <w:rPr>
                <w:i/>
              </w:rPr>
            </w:pPr>
            <w:r>
              <w:rPr>
                <w:i/>
              </w:rPr>
              <w:t>Containers</w:t>
            </w:r>
            <w:r w:rsidR="008E7846" w:rsidRPr="00487162">
              <w:rPr>
                <w:i/>
              </w:rPr>
              <w:t>:</w:t>
            </w:r>
          </w:p>
        </w:tc>
        <w:tc>
          <w:tcPr>
            <w:tcW w:w="6307" w:type="dxa"/>
          </w:tcPr>
          <w:p w:rsidR="008E7846" w:rsidRPr="00487162" w:rsidRDefault="00612569" w:rsidP="00E45619">
            <w:r>
              <w:t>Prefilled syringe</w:t>
            </w:r>
            <w:r w:rsidR="001B52B4">
              <w:t>, prefilled pen</w:t>
            </w:r>
          </w:p>
        </w:tc>
      </w:tr>
      <w:tr w:rsidR="008E7846" w:rsidRPr="00487162" w:rsidTr="00BF1190">
        <w:tc>
          <w:tcPr>
            <w:tcW w:w="2907" w:type="dxa"/>
          </w:tcPr>
          <w:p w:rsidR="008E7846" w:rsidRPr="00487162" w:rsidRDefault="001A5EAB" w:rsidP="00E45619">
            <w:pPr>
              <w:rPr>
                <w:i/>
              </w:rPr>
            </w:pPr>
            <w:r>
              <w:rPr>
                <w:i/>
              </w:rPr>
              <w:t>Pack sizes</w:t>
            </w:r>
            <w:r w:rsidR="008E7846" w:rsidRPr="00487162">
              <w:rPr>
                <w:i/>
              </w:rPr>
              <w:t>:</w:t>
            </w:r>
          </w:p>
        </w:tc>
        <w:tc>
          <w:tcPr>
            <w:tcW w:w="6307" w:type="dxa"/>
          </w:tcPr>
          <w:p w:rsidR="008E7846" w:rsidRPr="00487162" w:rsidRDefault="001B52B4" w:rsidP="00E45619">
            <w:r>
              <w:t>2 x prefilled pens, 2 x prefilled syringes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12569" w:rsidRPr="00612569" w:rsidRDefault="00612569" w:rsidP="00612569">
            <w:pPr>
              <w:rPr>
                <w:i/>
              </w:rPr>
            </w:pPr>
            <w:r w:rsidRPr="00612569">
              <w:rPr>
                <w:i/>
              </w:rPr>
              <w:t>Plaque psoriasis</w:t>
            </w:r>
          </w:p>
          <w:p w:rsidR="008E7846" w:rsidRPr="00487162" w:rsidRDefault="00612569" w:rsidP="00612569">
            <w:pPr>
              <w:rPr>
                <w:rFonts w:eastAsia="MS Mincho"/>
                <w:lang w:eastAsia="ja-JP"/>
              </w:rPr>
            </w:pPr>
            <w:r w:rsidRPr="00612569">
              <w:rPr>
                <w:i/>
              </w:rPr>
              <w:t>Cimzia is indicated for the treatment of adult patients with moderate to severe chronic plaque</w:t>
            </w:r>
            <w:r>
              <w:rPr>
                <w:i/>
              </w:rPr>
              <w:t xml:space="preserve"> </w:t>
            </w:r>
            <w:r w:rsidRPr="00612569">
              <w:rPr>
                <w:i/>
              </w:rPr>
              <w:t>psoriasis who are candidates for systemic therapy or phototherapy</w:t>
            </w:r>
            <w:r>
              <w:t>.</w:t>
            </w:r>
          </w:p>
        </w:tc>
      </w:tr>
      <w:tr w:rsidR="008E7846" w:rsidRPr="00487162" w:rsidTr="00BF1190">
        <w:tc>
          <w:tcPr>
            <w:tcW w:w="2907" w:type="dxa"/>
          </w:tcPr>
          <w:p w:rsidR="008E7846" w:rsidRPr="00487162" w:rsidRDefault="001A5EAB" w:rsidP="00E45619">
            <w:pPr>
              <w:rPr>
                <w:i/>
              </w:rPr>
            </w:pPr>
            <w:r>
              <w:rPr>
                <w:i/>
              </w:rPr>
              <w:t>Route</w:t>
            </w:r>
            <w:r w:rsidR="008E7846" w:rsidRPr="00487162">
              <w:rPr>
                <w:i/>
              </w:rPr>
              <w:t xml:space="preserve"> of administration:</w:t>
            </w:r>
          </w:p>
        </w:tc>
        <w:tc>
          <w:tcPr>
            <w:tcW w:w="6307" w:type="dxa"/>
          </w:tcPr>
          <w:p w:rsidR="008E7846" w:rsidRPr="00487162" w:rsidRDefault="00612569" w:rsidP="00E45619">
            <w:r>
              <w:t>Subcutaneous injection</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612569" w:rsidRPr="00487162" w:rsidRDefault="00612569" w:rsidP="00E45619">
            <w:r>
              <w:t>Loading dose 400 mg at Weeks 0, 2 and 4</w:t>
            </w:r>
            <w:r w:rsidR="001A5EAB">
              <w:t>. Maintenance dose 200 </w:t>
            </w:r>
            <w:r>
              <w:t>mg at 2 week intervals or 400 mg at 2</w:t>
            </w:r>
            <w:r w:rsidR="001B52B4">
              <w:t> </w:t>
            </w:r>
            <w:r>
              <w:t>week intervals</w:t>
            </w:r>
            <w:r w:rsidR="001A5EAB">
              <w:t>. Please s</w:t>
            </w:r>
            <w:r>
              <w:t xml:space="preserve">ee </w:t>
            </w:r>
            <w:r w:rsidR="001A5EAB">
              <w:t xml:space="preserve">the </w:t>
            </w:r>
            <w:r>
              <w:t>P</w:t>
            </w:r>
            <w:r w:rsidR="001A5EAB">
              <w:t xml:space="preserve">roduct </w:t>
            </w:r>
            <w:r>
              <w:t>I</w:t>
            </w:r>
            <w:r w:rsidR="001A5EAB">
              <w:t>nformation</w:t>
            </w:r>
            <w:r>
              <w:t xml:space="preserve"> for details</w:t>
            </w:r>
          </w:p>
        </w:tc>
      </w:tr>
    </w:tbl>
    <w:p w:rsidR="008E7846" w:rsidRDefault="008E7846" w:rsidP="008E7846">
      <w:pPr>
        <w:pStyle w:val="Heading3"/>
      </w:pPr>
      <w:bookmarkStart w:id="12" w:name="_Toc247691503"/>
      <w:bookmarkStart w:id="13" w:name="_Toc314842484"/>
      <w:bookmarkStart w:id="14" w:name="_Toc21525649"/>
      <w:r>
        <w:t>Product background</w:t>
      </w:r>
      <w:bookmarkEnd w:id="12"/>
      <w:bookmarkEnd w:id="13"/>
      <w:bookmarkEnd w:id="14"/>
    </w:p>
    <w:p w:rsidR="00702D7B" w:rsidRDefault="00940A89" w:rsidP="00721EF0">
      <w:r w:rsidRPr="00940A89">
        <w:t>This AusPAR describes the applicat</w:t>
      </w:r>
      <w:r w:rsidR="00721EF0">
        <w:t xml:space="preserve">ion by </w:t>
      </w:r>
      <w:r w:rsidR="001A5EAB">
        <w:t>UCB Australia Pty. Ltd. (</w:t>
      </w:r>
      <w:r w:rsidR="00721EF0">
        <w:t>the sponsor</w:t>
      </w:r>
      <w:r w:rsidR="001A5EAB">
        <w:t>)</w:t>
      </w:r>
      <w:r w:rsidR="00721EF0">
        <w:t xml:space="preserve"> to register Cimzia</w:t>
      </w:r>
      <w:r w:rsidRPr="00940A89">
        <w:t xml:space="preserve"> </w:t>
      </w:r>
      <w:r w:rsidR="001A5EAB">
        <w:t>certolizumab pegol,</w:t>
      </w:r>
      <w:r w:rsidR="001A5EAB" w:rsidRPr="00940A89">
        <w:t xml:space="preserve"> </w:t>
      </w:r>
      <w:r w:rsidR="001A5EAB">
        <w:t>200 mg in 1 mL</w:t>
      </w:r>
      <w:r w:rsidR="001A5EAB" w:rsidRPr="00940A89">
        <w:t xml:space="preserve"> </w:t>
      </w:r>
      <w:r w:rsidR="001A5EAB">
        <w:t xml:space="preserve">in prefilled pen or prefilled syringe for subcutaneous injection </w:t>
      </w:r>
      <w:r w:rsidRPr="00940A89">
        <w:t xml:space="preserve">for the following </w:t>
      </w:r>
      <w:r w:rsidR="004C6DDB">
        <w:t xml:space="preserve">extension of </w:t>
      </w:r>
      <w:r w:rsidRPr="00940A89">
        <w:t>indication</w:t>
      </w:r>
      <w:r w:rsidR="00721EF0">
        <w:t>:</w:t>
      </w:r>
    </w:p>
    <w:p w:rsidR="00721EF0" w:rsidRDefault="00A4668C" w:rsidP="00721EF0">
      <w:pPr>
        <w:ind w:left="720"/>
      </w:pPr>
      <w:r>
        <w:rPr>
          <w:i/>
        </w:rPr>
        <w:t>Cimzia is indicated f</w:t>
      </w:r>
      <w:r w:rsidR="00721EF0" w:rsidRPr="00721EF0">
        <w:rPr>
          <w:i/>
        </w:rPr>
        <w:t>or the treatment of adult patients with moderate to severe plaque psoriasis who are candidates for systemic therapy or phototherapy</w:t>
      </w:r>
      <w:r w:rsidR="00721EF0">
        <w:t>.</w:t>
      </w:r>
    </w:p>
    <w:p w:rsidR="006D6A6E" w:rsidRPr="006D6A6E" w:rsidRDefault="006D6A6E" w:rsidP="006D6A6E">
      <w:bookmarkStart w:id="15" w:name="_Toc314842485"/>
      <w:bookmarkStart w:id="16" w:name="_Toc247691504"/>
      <w:r w:rsidRPr="006D6A6E">
        <w:lastRenderedPageBreak/>
        <w:t>Psoriasis is a chronic inflammatory skin disorder mainly characterised by erythematous papules and plaques with a silvery scale (plaque psoriasis). However, the disease may also manifest itself as guttate psoriasis, pustular psoriasis, inverse psoriasis, erythrodermic psoriasis, or nail psoriasis. In some individuals, systemic symptoms may occur.</w:t>
      </w:r>
    </w:p>
    <w:p w:rsidR="006D6A6E" w:rsidRPr="006D6A6E" w:rsidRDefault="006D6A6E" w:rsidP="006D6A6E">
      <w:r w:rsidRPr="006D6A6E">
        <w:t>There is a variety of treatments for plaque psoriasis</w:t>
      </w:r>
      <w:r w:rsidR="004409AA">
        <w:t>, including:</w:t>
      </w:r>
    </w:p>
    <w:p w:rsidR="006D6A6E" w:rsidRPr="006D6A6E" w:rsidRDefault="004409AA" w:rsidP="00380D4A">
      <w:pPr>
        <w:pStyle w:val="ListBullet"/>
      </w:pPr>
      <w:r>
        <w:t>t</w:t>
      </w:r>
      <w:r w:rsidR="006D6A6E" w:rsidRPr="006D6A6E">
        <w:t>opical corticosteroids and emollients</w:t>
      </w:r>
    </w:p>
    <w:p w:rsidR="006D6A6E" w:rsidRPr="006D6A6E" w:rsidRDefault="004409AA" w:rsidP="00380D4A">
      <w:pPr>
        <w:pStyle w:val="ListBullet"/>
      </w:pPr>
      <w:r>
        <w:t>v</w:t>
      </w:r>
      <w:r w:rsidRPr="006D6A6E">
        <w:t xml:space="preserve">itamin </w:t>
      </w:r>
      <w:r w:rsidR="006D6A6E" w:rsidRPr="006D6A6E">
        <w:t>D analogues (</w:t>
      </w:r>
      <w:r w:rsidR="00A567C2">
        <w:t>for example,</w:t>
      </w:r>
      <w:r w:rsidR="006D6A6E" w:rsidRPr="006D6A6E">
        <w:t xml:space="preserve"> calcipotriene, calcitriol)</w:t>
      </w:r>
    </w:p>
    <w:p w:rsidR="006D6A6E" w:rsidRPr="006D6A6E" w:rsidRDefault="004409AA" w:rsidP="00380D4A">
      <w:pPr>
        <w:pStyle w:val="ListBullet"/>
      </w:pPr>
      <w:r>
        <w:t>topical</w:t>
      </w:r>
      <w:r w:rsidR="00A4668C">
        <w:t>/systemic retinoid</w:t>
      </w:r>
      <w:r w:rsidR="006D6A6E" w:rsidRPr="006D6A6E">
        <w:t xml:space="preserve"> (</w:t>
      </w:r>
      <w:r w:rsidR="00A567C2">
        <w:t>for example,</w:t>
      </w:r>
      <w:r w:rsidR="006D6A6E" w:rsidRPr="006D6A6E">
        <w:t xml:space="preserve"> tazarotene)</w:t>
      </w:r>
    </w:p>
    <w:p w:rsidR="00702D7B" w:rsidRDefault="004409AA" w:rsidP="00380D4A">
      <w:pPr>
        <w:pStyle w:val="ListBullet"/>
      </w:pPr>
      <w:r>
        <w:t>t</w:t>
      </w:r>
      <w:r w:rsidRPr="006D6A6E">
        <w:t xml:space="preserve">opical </w:t>
      </w:r>
      <w:r w:rsidR="006D6A6E" w:rsidRPr="006D6A6E">
        <w:t>tacrolimus or pimecrolimus</w:t>
      </w:r>
    </w:p>
    <w:p w:rsidR="006D6A6E" w:rsidRPr="006D6A6E" w:rsidRDefault="006D6A6E" w:rsidP="00380D4A">
      <w:pPr>
        <w:pStyle w:val="ListBullet"/>
      </w:pPr>
      <w:r w:rsidRPr="006D6A6E">
        <w:t>UVB phototherapy</w:t>
      </w:r>
    </w:p>
    <w:p w:rsidR="006D6A6E" w:rsidRPr="006D6A6E" w:rsidRDefault="004409AA" w:rsidP="00380D4A">
      <w:pPr>
        <w:pStyle w:val="ListBullet"/>
      </w:pPr>
      <w:r>
        <w:t>n</w:t>
      </w:r>
      <w:r w:rsidRPr="006D6A6E">
        <w:t>on</w:t>
      </w:r>
      <w:r w:rsidR="006D6A6E" w:rsidRPr="006D6A6E">
        <w:t>-biological agents (</w:t>
      </w:r>
      <w:r w:rsidR="00A567C2">
        <w:t>for example,</w:t>
      </w:r>
      <w:r w:rsidR="006D6A6E" w:rsidRPr="006D6A6E">
        <w:t xml:space="preserve"> methotrexate, cyclosporine, apremilast)</w:t>
      </w:r>
    </w:p>
    <w:p w:rsidR="006D6A6E" w:rsidRPr="006D6A6E" w:rsidRDefault="004409AA" w:rsidP="00380D4A">
      <w:pPr>
        <w:pStyle w:val="ListBullet"/>
      </w:pPr>
      <w:r>
        <w:t>b</w:t>
      </w:r>
      <w:r w:rsidRPr="006D6A6E">
        <w:t xml:space="preserve">iological </w:t>
      </w:r>
      <w:r w:rsidR="00A4668C" w:rsidRPr="006D6A6E">
        <w:t>immunomodulator</w:t>
      </w:r>
      <w:r w:rsidR="006D6A6E" w:rsidRPr="006D6A6E">
        <w:t xml:space="preserve"> (</w:t>
      </w:r>
      <w:r w:rsidR="00A567C2">
        <w:t>for example,</w:t>
      </w:r>
      <w:r w:rsidR="006D6A6E" w:rsidRPr="006D6A6E">
        <w:t xml:space="preserve"> infliximab, adalimumab, etanercept, ustekinumab, secukinumab, ixekizumab)</w:t>
      </w:r>
      <w:r>
        <w:t>.</w:t>
      </w:r>
    </w:p>
    <w:p w:rsidR="00A4668C" w:rsidRDefault="006D6A6E" w:rsidP="006D6A6E">
      <w:r w:rsidRPr="006D6A6E">
        <w:t xml:space="preserve">Certolizumab pegol </w:t>
      </w:r>
      <w:r w:rsidR="007340AD">
        <w:t>(CZP</w:t>
      </w:r>
      <w:r w:rsidRPr="006D6A6E">
        <w:t>) is a genetically engineered, humanised, antibody fragment antigen-binding (Fab’) with specificity for human</w:t>
      </w:r>
      <w:r w:rsidR="00380D4A">
        <w:t xml:space="preserve"> tumour necrosis factor</w:t>
      </w:r>
      <w:r w:rsidRPr="006D6A6E">
        <w:t xml:space="preserve"> </w:t>
      </w:r>
      <w:r w:rsidR="00380D4A">
        <w:t>(</w:t>
      </w:r>
      <w:r w:rsidRPr="006D6A6E">
        <w:t>TNF</w:t>
      </w:r>
      <w:r w:rsidR="00380D4A">
        <w:t>)</w:t>
      </w:r>
      <w:r w:rsidRPr="006D6A6E">
        <w:t xml:space="preserve">, derived originally from a murine immunoglobulin G2 monoclonal antibody, expressed in an E. coli bacterial expression system. The Fab’ is purified using standard chromatographic methods and conjugated to </w:t>
      </w:r>
      <w:r w:rsidR="00380D4A">
        <w:t>two</w:t>
      </w:r>
      <w:r w:rsidRPr="006D6A6E">
        <w:t xml:space="preserve"> linked 20</w:t>
      </w:r>
      <w:r w:rsidR="00A567C2">
        <w:t xml:space="preserve"> </w:t>
      </w:r>
      <w:r w:rsidRPr="006D6A6E">
        <w:t>kDa polyethylene glycol (PEG)</w:t>
      </w:r>
      <w:r w:rsidR="00A4668C">
        <w:t xml:space="preserve"> chains via a maleimide linker.</w:t>
      </w:r>
    </w:p>
    <w:p w:rsidR="00702D7B" w:rsidRDefault="00380D4A" w:rsidP="006D6A6E">
      <w:r>
        <w:t>C</w:t>
      </w:r>
      <w:r w:rsidR="001D63B3">
        <w:t>ertolizumab pegol</w:t>
      </w:r>
      <w:r w:rsidR="006D6A6E" w:rsidRPr="006D6A6E">
        <w:t xml:space="preserve"> is the fourth anti-TNF therapy proposed for the registration of plaque psoriasis in Australia after infliximab, adalimumab, and etanercept.</w:t>
      </w:r>
    </w:p>
    <w:p w:rsidR="008E7846" w:rsidRPr="003F31A2" w:rsidRDefault="00386150" w:rsidP="006D6A6E">
      <w:pPr>
        <w:pStyle w:val="Heading3"/>
      </w:pPr>
      <w:bookmarkStart w:id="17" w:name="_Toc21525650"/>
      <w:r>
        <w:t>Regulatory s</w:t>
      </w:r>
      <w:r w:rsidR="008E7846">
        <w:t>tatus</w:t>
      </w:r>
      <w:bookmarkEnd w:id="15"/>
      <w:bookmarkEnd w:id="16"/>
      <w:bookmarkEnd w:id="17"/>
    </w:p>
    <w:p w:rsidR="00A4668C" w:rsidRPr="006D6A6E" w:rsidRDefault="00A4668C" w:rsidP="00A4668C">
      <w:bookmarkStart w:id="18" w:name="_Toc247691505"/>
      <w:bookmarkStart w:id="19" w:name="_Toc314842486"/>
      <w:r>
        <w:t>Cimzia was first registered in Australia in 10 January 2010.</w:t>
      </w:r>
    </w:p>
    <w:p w:rsidR="00940A89" w:rsidRDefault="00940A89" w:rsidP="00940A89">
      <w:r w:rsidRPr="00940A89">
        <w:t>The product received initial registration on the Australian Regis</w:t>
      </w:r>
      <w:r w:rsidR="00A4668C">
        <w:t xml:space="preserve">ter of Therapeutic Goods (ARTG) for the treatment of rheumatoid arthritis, psoriatic arthritis and ankylosing spondylitis on </w:t>
      </w:r>
      <w:r w:rsidR="004C6DDB">
        <w:t>20 January 2010 and a 200 mg/mL prefilled syringe was registered on 10 February 2017.</w:t>
      </w:r>
    </w:p>
    <w:p w:rsidR="00940A89" w:rsidRDefault="00940A89" w:rsidP="00940A89">
      <w:r w:rsidRPr="00940A89">
        <w:t xml:space="preserve">At the time the TGA considered this </w:t>
      </w:r>
      <w:r w:rsidR="00A4668C" w:rsidRPr="00940A89">
        <w:t>application;</w:t>
      </w:r>
      <w:r w:rsidRPr="00940A89">
        <w:t xml:space="preserve"> a similar application had been approved in (country, date) was under co</w:t>
      </w:r>
      <w:bookmarkStart w:id="20" w:name="_GoBack"/>
      <w:bookmarkEnd w:id="20"/>
      <w:r w:rsidR="009C2FAC">
        <w:t>nsideration in (country date) as shown in Table 1.</w:t>
      </w:r>
    </w:p>
    <w:p w:rsidR="00625A46" w:rsidRDefault="00625A46" w:rsidP="007340AD">
      <w:pPr>
        <w:pStyle w:val="TableTitle"/>
      </w:pPr>
      <w:r>
        <w:t xml:space="preserve">Table 1: International </w:t>
      </w:r>
      <w:r w:rsidR="009C2FAC">
        <w:t>r</w:t>
      </w:r>
      <w:r>
        <w:t>egulatory status</w:t>
      </w:r>
    </w:p>
    <w:tbl>
      <w:tblPr>
        <w:tblStyle w:val="TableTGAblue"/>
        <w:tblW w:w="0" w:type="auto"/>
        <w:tblLook w:val="04A0" w:firstRow="1" w:lastRow="0" w:firstColumn="1" w:lastColumn="0" w:noHBand="0" w:noVBand="1"/>
      </w:tblPr>
      <w:tblGrid>
        <w:gridCol w:w="2038"/>
        <w:gridCol w:w="2465"/>
        <w:gridCol w:w="1842"/>
        <w:gridCol w:w="1843"/>
      </w:tblGrid>
      <w:tr w:rsidR="004C6DDB" w:rsidRPr="00A4668C" w:rsidTr="002D2E00">
        <w:trPr>
          <w:cnfStyle w:val="100000000000" w:firstRow="1" w:lastRow="0" w:firstColumn="0" w:lastColumn="0" w:oddVBand="0" w:evenVBand="0" w:oddHBand="0" w:evenHBand="0" w:firstRowFirstColumn="0" w:firstRowLastColumn="0" w:lastRowFirstColumn="0" w:lastRowLastColumn="0"/>
        </w:trPr>
        <w:tc>
          <w:tcPr>
            <w:tcW w:w="2038" w:type="dxa"/>
          </w:tcPr>
          <w:p w:rsidR="004C6DDB" w:rsidRPr="00A4668C" w:rsidRDefault="004C6DDB" w:rsidP="00A4668C">
            <w:pPr>
              <w:ind w:left="0" w:right="0"/>
              <w:rPr>
                <w:sz w:val="20"/>
                <w:szCs w:val="20"/>
              </w:rPr>
            </w:pPr>
            <w:r w:rsidRPr="00A4668C">
              <w:rPr>
                <w:sz w:val="20"/>
                <w:szCs w:val="20"/>
              </w:rPr>
              <w:t xml:space="preserve">Country </w:t>
            </w:r>
          </w:p>
        </w:tc>
        <w:tc>
          <w:tcPr>
            <w:tcW w:w="2465" w:type="dxa"/>
          </w:tcPr>
          <w:p w:rsidR="004C6DDB" w:rsidRPr="00A4668C" w:rsidRDefault="004C6DDB" w:rsidP="00A4668C">
            <w:pPr>
              <w:ind w:left="0" w:right="0"/>
              <w:rPr>
                <w:sz w:val="20"/>
                <w:szCs w:val="20"/>
              </w:rPr>
            </w:pPr>
            <w:r w:rsidRPr="00A4668C">
              <w:rPr>
                <w:sz w:val="20"/>
                <w:szCs w:val="20"/>
              </w:rPr>
              <w:t>Date of submission</w:t>
            </w:r>
          </w:p>
        </w:tc>
        <w:tc>
          <w:tcPr>
            <w:tcW w:w="1842" w:type="dxa"/>
          </w:tcPr>
          <w:p w:rsidR="004C6DDB" w:rsidRPr="00A4668C" w:rsidRDefault="004C6DDB" w:rsidP="00A4668C">
            <w:pPr>
              <w:ind w:left="0" w:right="0"/>
              <w:rPr>
                <w:sz w:val="20"/>
                <w:szCs w:val="20"/>
              </w:rPr>
            </w:pPr>
            <w:r w:rsidRPr="00A4668C">
              <w:rPr>
                <w:sz w:val="20"/>
                <w:szCs w:val="20"/>
              </w:rPr>
              <w:t>Regulatory Status</w:t>
            </w:r>
          </w:p>
        </w:tc>
        <w:tc>
          <w:tcPr>
            <w:tcW w:w="1843" w:type="dxa"/>
          </w:tcPr>
          <w:p w:rsidR="004C6DDB" w:rsidRPr="00A4668C" w:rsidRDefault="004C6DDB" w:rsidP="00A4668C">
            <w:pPr>
              <w:ind w:left="0" w:right="0"/>
              <w:rPr>
                <w:sz w:val="20"/>
                <w:szCs w:val="20"/>
              </w:rPr>
            </w:pPr>
            <w:r w:rsidRPr="00A4668C">
              <w:rPr>
                <w:sz w:val="20"/>
                <w:szCs w:val="20"/>
              </w:rPr>
              <w:t>Date of Decision</w:t>
            </w:r>
          </w:p>
        </w:tc>
      </w:tr>
      <w:tr w:rsidR="004C6DDB" w:rsidRPr="00A4668C" w:rsidTr="002D2E00">
        <w:tc>
          <w:tcPr>
            <w:tcW w:w="2038" w:type="dxa"/>
          </w:tcPr>
          <w:p w:rsidR="004C6DDB" w:rsidRPr="00A4668C" w:rsidRDefault="004C6DDB" w:rsidP="00A4668C">
            <w:pPr>
              <w:ind w:left="0" w:right="0"/>
              <w:rPr>
                <w:sz w:val="20"/>
                <w:szCs w:val="20"/>
              </w:rPr>
            </w:pPr>
            <w:r w:rsidRPr="00A4668C">
              <w:rPr>
                <w:sz w:val="20"/>
                <w:szCs w:val="20"/>
              </w:rPr>
              <w:t>EU</w:t>
            </w:r>
            <w:r w:rsidR="00A4668C" w:rsidRPr="00A4668C">
              <w:rPr>
                <w:sz w:val="20"/>
                <w:szCs w:val="20"/>
              </w:rPr>
              <w:t xml:space="preserve"> </w:t>
            </w:r>
            <w:r w:rsidRPr="00A4668C">
              <w:rPr>
                <w:sz w:val="20"/>
                <w:szCs w:val="20"/>
              </w:rPr>
              <w:t>(centralised</w:t>
            </w:r>
            <w:r w:rsidR="00A4668C" w:rsidRPr="00A4668C">
              <w:rPr>
                <w:sz w:val="20"/>
                <w:szCs w:val="20"/>
              </w:rPr>
              <w:t xml:space="preserve"> process</w:t>
            </w:r>
            <w:r w:rsidRPr="00A4668C">
              <w:rPr>
                <w:sz w:val="20"/>
                <w:szCs w:val="20"/>
              </w:rPr>
              <w:t>)</w:t>
            </w:r>
          </w:p>
        </w:tc>
        <w:tc>
          <w:tcPr>
            <w:tcW w:w="2465" w:type="dxa"/>
          </w:tcPr>
          <w:p w:rsidR="004C6DDB" w:rsidRPr="00A4668C" w:rsidRDefault="004C6DDB" w:rsidP="00A4668C">
            <w:pPr>
              <w:ind w:left="0" w:right="0"/>
              <w:rPr>
                <w:sz w:val="20"/>
                <w:szCs w:val="20"/>
              </w:rPr>
            </w:pPr>
            <w:r w:rsidRPr="00A4668C">
              <w:rPr>
                <w:sz w:val="20"/>
                <w:szCs w:val="20"/>
              </w:rPr>
              <w:t>Jul</w:t>
            </w:r>
            <w:r w:rsidR="002D2E00" w:rsidRPr="00A4668C">
              <w:rPr>
                <w:sz w:val="20"/>
                <w:szCs w:val="20"/>
              </w:rPr>
              <w:t xml:space="preserve">y </w:t>
            </w:r>
            <w:r w:rsidRPr="00A4668C">
              <w:rPr>
                <w:sz w:val="20"/>
                <w:szCs w:val="20"/>
              </w:rPr>
              <w:t xml:space="preserve">2017 </w:t>
            </w:r>
          </w:p>
        </w:tc>
        <w:tc>
          <w:tcPr>
            <w:tcW w:w="1842" w:type="dxa"/>
          </w:tcPr>
          <w:p w:rsidR="004C6DDB" w:rsidRPr="00A4668C" w:rsidRDefault="00A4668C" w:rsidP="00A4668C">
            <w:pPr>
              <w:ind w:left="0" w:right="0"/>
              <w:rPr>
                <w:sz w:val="20"/>
                <w:szCs w:val="20"/>
              </w:rPr>
            </w:pPr>
            <w:r w:rsidRPr="00A4668C">
              <w:rPr>
                <w:sz w:val="20"/>
                <w:szCs w:val="20"/>
              </w:rPr>
              <w:t>Approved</w:t>
            </w:r>
          </w:p>
        </w:tc>
        <w:tc>
          <w:tcPr>
            <w:tcW w:w="1843" w:type="dxa"/>
          </w:tcPr>
          <w:p w:rsidR="004C6DDB" w:rsidRPr="00A4668C" w:rsidRDefault="002D2E00" w:rsidP="00A4668C">
            <w:pPr>
              <w:ind w:left="0" w:right="0"/>
              <w:rPr>
                <w:sz w:val="20"/>
                <w:szCs w:val="20"/>
              </w:rPr>
            </w:pPr>
            <w:r w:rsidRPr="00A4668C">
              <w:rPr>
                <w:sz w:val="20"/>
                <w:szCs w:val="20"/>
              </w:rPr>
              <w:t>7 June 2018</w:t>
            </w:r>
          </w:p>
        </w:tc>
      </w:tr>
      <w:tr w:rsidR="002D2E00" w:rsidRPr="00A4668C" w:rsidTr="002D2E00">
        <w:tc>
          <w:tcPr>
            <w:tcW w:w="2038" w:type="dxa"/>
          </w:tcPr>
          <w:p w:rsidR="002D2E00" w:rsidRPr="00A4668C" w:rsidRDefault="002D2E00" w:rsidP="00A4668C">
            <w:pPr>
              <w:ind w:left="0" w:right="0"/>
              <w:rPr>
                <w:sz w:val="20"/>
                <w:szCs w:val="20"/>
              </w:rPr>
            </w:pPr>
            <w:r w:rsidRPr="00A4668C">
              <w:rPr>
                <w:sz w:val="20"/>
                <w:szCs w:val="20"/>
              </w:rPr>
              <w:t>USA</w:t>
            </w:r>
          </w:p>
        </w:tc>
        <w:tc>
          <w:tcPr>
            <w:tcW w:w="2465" w:type="dxa"/>
          </w:tcPr>
          <w:p w:rsidR="002D2E00" w:rsidRPr="00A4668C" w:rsidRDefault="002D2E00" w:rsidP="00A4668C">
            <w:pPr>
              <w:ind w:left="0" w:right="0"/>
              <w:rPr>
                <w:sz w:val="20"/>
                <w:szCs w:val="20"/>
              </w:rPr>
            </w:pPr>
            <w:r w:rsidRPr="00A4668C">
              <w:rPr>
                <w:sz w:val="20"/>
                <w:szCs w:val="20"/>
              </w:rPr>
              <w:t>July 2017</w:t>
            </w:r>
          </w:p>
        </w:tc>
        <w:tc>
          <w:tcPr>
            <w:tcW w:w="1842" w:type="dxa"/>
          </w:tcPr>
          <w:p w:rsidR="002D2E00" w:rsidRPr="00A4668C" w:rsidRDefault="002D2E00" w:rsidP="00A4668C">
            <w:pPr>
              <w:ind w:left="0" w:right="0"/>
              <w:rPr>
                <w:sz w:val="20"/>
                <w:szCs w:val="20"/>
              </w:rPr>
            </w:pPr>
            <w:r w:rsidRPr="00A4668C">
              <w:rPr>
                <w:sz w:val="20"/>
                <w:szCs w:val="20"/>
              </w:rPr>
              <w:t>Ap</w:t>
            </w:r>
            <w:r w:rsidR="00A4668C" w:rsidRPr="00A4668C">
              <w:rPr>
                <w:sz w:val="20"/>
                <w:szCs w:val="20"/>
              </w:rPr>
              <w:t>proved</w:t>
            </w:r>
          </w:p>
        </w:tc>
        <w:tc>
          <w:tcPr>
            <w:tcW w:w="1843" w:type="dxa"/>
          </w:tcPr>
          <w:p w:rsidR="002D2E00" w:rsidRPr="00A4668C" w:rsidRDefault="002D2E00" w:rsidP="00A4668C">
            <w:pPr>
              <w:ind w:left="0" w:right="0"/>
              <w:rPr>
                <w:sz w:val="20"/>
                <w:szCs w:val="20"/>
              </w:rPr>
            </w:pPr>
            <w:r w:rsidRPr="00A4668C">
              <w:rPr>
                <w:sz w:val="20"/>
                <w:szCs w:val="20"/>
              </w:rPr>
              <w:t>24 May 2018</w:t>
            </w:r>
          </w:p>
        </w:tc>
      </w:tr>
      <w:tr w:rsidR="002D2E00" w:rsidRPr="00A4668C" w:rsidTr="002D2E00">
        <w:tc>
          <w:tcPr>
            <w:tcW w:w="2038" w:type="dxa"/>
          </w:tcPr>
          <w:p w:rsidR="002D2E00" w:rsidRPr="00A4668C" w:rsidRDefault="002D2E00" w:rsidP="00A4668C">
            <w:pPr>
              <w:ind w:left="0" w:right="0"/>
              <w:rPr>
                <w:sz w:val="20"/>
                <w:szCs w:val="20"/>
              </w:rPr>
            </w:pPr>
            <w:r w:rsidRPr="00A4668C">
              <w:rPr>
                <w:sz w:val="20"/>
                <w:szCs w:val="20"/>
              </w:rPr>
              <w:t xml:space="preserve">Canada </w:t>
            </w:r>
          </w:p>
        </w:tc>
        <w:tc>
          <w:tcPr>
            <w:tcW w:w="2465" w:type="dxa"/>
          </w:tcPr>
          <w:p w:rsidR="002D2E00" w:rsidRPr="00A4668C" w:rsidRDefault="002D2E00" w:rsidP="00A4668C">
            <w:pPr>
              <w:ind w:left="0" w:right="0"/>
              <w:rPr>
                <w:sz w:val="20"/>
                <w:szCs w:val="20"/>
              </w:rPr>
            </w:pPr>
            <w:r w:rsidRPr="00A4668C">
              <w:rPr>
                <w:sz w:val="20"/>
                <w:szCs w:val="20"/>
              </w:rPr>
              <w:t>September 2017</w:t>
            </w:r>
          </w:p>
        </w:tc>
        <w:tc>
          <w:tcPr>
            <w:tcW w:w="1842" w:type="dxa"/>
          </w:tcPr>
          <w:p w:rsidR="002D2E00" w:rsidRPr="00A4668C" w:rsidRDefault="00A4668C" w:rsidP="00A4668C">
            <w:pPr>
              <w:ind w:left="0" w:right="0"/>
              <w:rPr>
                <w:sz w:val="20"/>
                <w:szCs w:val="20"/>
              </w:rPr>
            </w:pPr>
            <w:r w:rsidRPr="00A4668C">
              <w:rPr>
                <w:sz w:val="20"/>
                <w:szCs w:val="20"/>
              </w:rPr>
              <w:t>Approved</w:t>
            </w:r>
          </w:p>
        </w:tc>
        <w:tc>
          <w:tcPr>
            <w:tcW w:w="1843" w:type="dxa"/>
          </w:tcPr>
          <w:p w:rsidR="002D2E00" w:rsidRPr="00A4668C" w:rsidRDefault="002D2E00" w:rsidP="00A4668C">
            <w:pPr>
              <w:ind w:left="0" w:right="0"/>
              <w:rPr>
                <w:sz w:val="20"/>
                <w:szCs w:val="20"/>
              </w:rPr>
            </w:pPr>
            <w:r w:rsidRPr="00A4668C">
              <w:rPr>
                <w:sz w:val="20"/>
                <w:szCs w:val="20"/>
              </w:rPr>
              <w:t>16 Aug</w:t>
            </w:r>
            <w:r w:rsidR="004409AA">
              <w:rPr>
                <w:sz w:val="20"/>
                <w:szCs w:val="20"/>
              </w:rPr>
              <w:t>ust</w:t>
            </w:r>
            <w:r w:rsidRPr="00A4668C">
              <w:rPr>
                <w:sz w:val="20"/>
                <w:szCs w:val="20"/>
              </w:rPr>
              <w:t xml:space="preserve"> 2018</w:t>
            </w:r>
          </w:p>
        </w:tc>
      </w:tr>
      <w:tr w:rsidR="004C6DDB" w:rsidRPr="00A4668C" w:rsidTr="002D2E00">
        <w:tc>
          <w:tcPr>
            <w:tcW w:w="2038" w:type="dxa"/>
          </w:tcPr>
          <w:p w:rsidR="004C6DDB" w:rsidRPr="00A4668C" w:rsidRDefault="004C6DDB" w:rsidP="00A4668C">
            <w:pPr>
              <w:ind w:left="0" w:right="0"/>
              <w:rPr>
                <w:sz w:val="20"/>
                <w:szCs w:val="20"/>
              </w:rPr>
            </w:pPr>
            <w:r w:rsidRPr="00A4668C">
              <w:rPr>
                <w:sz w:val="20"/>
                <w:szCs w:val="20"/>
              </w:rPr>
              <w:t>Switzerland</w:t>
            </w:r>
          </w:p>
        </w:tc>
        <w:tc>
          <w:tcPr>
            <w:tcW w:w="2465" w:type="dxa"/>
          </w:tcPr>
          <w:p w:rsidR="004C6DDB" w:rsidRPr="00A4668C" w:rsidRDefault="002D2E00" w:rsidP="00A4668C">
            <w:pPr>
              <w:ind w:left="0" w:right="0"/>
              <w:rPr>
                <w:sz w:val="20"/>
                <w:szCs w:val="20"/>
              </w:rPr>
            </w:pPr>
            <w:r w:rsidRPr="00A4668C">
              <w:rPr>
                <w:sz w:val="20"/>
                <w:szCs w:val="20"/>
              </w:rPr>
              <w:t>25 September 2018</w:t>
            </w:r>
          </w:p>
        </w:tc>
        <w:tc>
          <w:tcPr>
            <w:tcW w:w="1842" w:type="dxa"/>
          </w:tcPr>
          <w:p w:rsidR="004C6DDB" w:rsidRPr="00A4668C" w:rsidRDefault="002D2E00" w:rsidP="00A4668C">
            <w:pPr>
              <w:ind w:left="0" w:right="0"/>
              <w:rPr>
                <w:sz w:val="20"/>
                <w:szCs w:val="20"/>
              </w:rPr>
            </w:pPr>
            <w:r w:rsidRPr="00A4668C">
              <w:rPr>
                <w:sz w:val="20"/>
                <w:szCs w:val="20"/>
              </w:rPr>
              <w:t xml:space="preserve">Under </w:t>
            </w:r>
            <w:r w:rsidR="00A4668C" w:rsidRPr="00A4668C">
              <w:rPr>
                <w:sz w:val="20"/>
                <w:szCs w:val="20"/>
              </w:rPr>
              <w:t>evaluation</w:t>
            </w:r>
          </w:p>
        </w:tc>
        <w:tc>
          <w:tcPr>
            <w:tcW w:w="1843" w:type="dxa"/>
          </w:tcPr>
          <w:p w:rsidR="004C6DDB" w:rsidRPr="00A4668C" w:rsidRDefault="004C6DDB" w:rsidP="00A4668C">
            <w:pPr>
              <w:ind w:left="0" w:right="0"/>
              <w:rPr>
                <w:sz w:val="20"/>
                <w:szCs w:val="20"/>
              </w:rPr>
            </w:pPr>
          </w:p>
        </w:tc>
      </w:tr>
    </w:tbl>
    <w:p w:rsidR="008E7846" w:rsidRDefault="008E7846" w:rsidP="00940A89">
      <w:pPr>
        <w:pStyle w:val="Heading3"/>
      </w:pPr>
      <w:bookmarkStart w:id="21" w:name="_Toc21525651"/>
      <w:r>
        <w:lastRenderedPageBreak/>
        <w:t>Product Information</w:t>
      </w:r>
      <w:bookmarkEnd w:id="18"/>
      <w:bookmarkEnd w:id="19"/>
      <w:bookmarkEnd w:id="21"/>
    </w:p>
    <w:p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4" w:name="_Toc504480011"/>
      <w:bookmarkStart w:id="25" w:name="_Toc21525652"/>
      <w:r>
        <w:t>II. Registration time line</w:t>
      </w:r>
      <w:bookmarkEnd w:id="24"/>
      <w:bookmarkEnd w:id="25"/>
    </w:p>
    <w:p w:rsidR="00500337" w:rsidRDefault="00500337" w:rsidP="00500337">
      <w:r>
        <w:t>The following table captures the key steps and dates for this application and which are detailed and discussed in this Au</w:t>
      </w:r>
      <w:r w:rsidR="00380D4A">
        <w:t>sPAR</w:t>
      </w:r>
      <w:r>
        <w:t>.</w:t>
      </w:r>
    </w:p>
    <w:p w:rsidR="00500337" w:rsidRPr="00377BD4" w:rsidRDefault="006A58A8" w:rsidP="00A567C2">
      <w:pPr>
        <w:pStyle w:val="TableTitle"/>
      </w:pPr>
      <w:r w:rsidRPr="006A58A8">
        <w:t xml:space="preserve">Table </w:t>
      </w:r>
      <w:r w:rsidR="00D26DDE">
        <w:t>2:</w:t>
      </w:r>
      <w:r w:rsidRPr="006A58A8">
        <w:t xml:space="preserve"> Timeline for Submission PM-</w:t>
      </w:r>
      <w:r w:rsidR="00A567C2">
        <w:t>2017-04943-1-1</w:t>
      </w:r>
    </w:p>
    <w:tbl>
      <w:tblPr>
        <w:tblStyle w:val="TableTGAblue"/>
        <w:tblW w:w="0" w:type="auto"/>
        <w:tblLook w:val="04A0" w:firstRow="1" w:lastRow="0" w:firstColumn="1" w:lastColumn="0" w:noHBand="0" w:noVBand="1"/>
      </w:tblPr>
      <w:tblGrid>
        <w:gridCol w:w="4360"/>
        <w:gridCol w:w="4360"/>
      </w:tblGrid>
      <w:tr w:rsidR="0050033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500337">
        <w:tc>
          <w:tcPr>
            <w:tcW w:w="4360" w:type="dxa"/>
          </w:tcPr>
          <w:p w:rsidR="00500337" w:rsidRDefault="00500337" w:rsidP="00500337">
            <w:pPr>
              <w:ind w:left="0" w:right="0"/>
            </w:pPr>
            <w:r>
              <w:t>Submission dossier accepted and first round evaluation commenced</w:t>
            </w:r>
          </w:p>
        </w:tc>
        <w:tc>
          <w:tcPr>
            <w:tcW w:w="4360" w:type="dxa"/>
          </w:tcPr>
          <w:p w:rsidR="00500337" w:rsidRDefault="00A4668C" w:rsidP="00500337">
            <w:pPr>
              <w:ind w:left="0" w:right="0"/>
            </w:pPr>
            <w:r>
              <w:t>3 April 2018</w:t>
            </w:r>
          </w:p>
        </w:tc>
      </w:tr>
      <w:tr w:rsidR="00500337" w:rsidTr="00500337">
        <w:tc>
          <w:tcPr>
            <w:tcW w:w="4360" w:type="dxa"/>
          </w:tcPr>
          <w:p w:rsidR="00500337" w:rsidRDefault="00500337" w:rsidP="00500337">
            <w:pPr>
              <w:ind w:left="0" w:right="0"/>
            </w:pPr>
            <w:r>
              <w:t>First round evaluation completed</w:t>
            </w:r>
          </w:p>
        </w:tc>
        <w:tc>
          <w:tcPr>
            <w:tcW w:w="4360" w:type="dxa"/>
          </w:tcPr>
          <w:p w:rsidR="00500337" w:rsidRDefault="00014D62" w:rsidP="00500337">
            <w:pPr>
              <w:ind w:left="0" w:right="0"/>
            </w:pPr>
            <w:r>
              <w:t>6 September</w:t>
            </w:r>
            <w:r w:rsidR="00A567C2">
              <w:t xml:space="preserve"> 2018</w:t>
            </w:r>
          </w:p>
        </w:tc>
      </w:tr>
      <w:tr w:rsidR="00500337" w:rsidTr="00500337">
        <w:tc>
          <w:tcPr>
            <w:tcW w:w="4360" w:type="dxa"/>
          </w:tcPr>
          <w:p w:rsidR="00500337" w:rsidRDefault="00500337" w:rsidP="00500337">
            <w:pPr>
              <w:ind w:left="0" w:right="0"/>
            </w:pPr>
            <w:r>
              <w:t>Sponsor provides responses on questions raised in first round evaluation</w:t>
            </w:r>
          </w:p>
        </w:tc>
        <w:tc>
          <w:tcPr>
            <w:tcW w:w="4360" w:type="dxa"/>
          </w:tcPr>
          <w:p w:rsidR="00500337" w:rsidRDefault="00014D62" w:rsidP="00500337">
            <w:pPr>
              <w:ind w:left="0" w:right="0"/>
            </w:pPr>
            <w:r>
              <w:t>30 October 2018</w:t>
            </w:r>
          </w:p>
        </w:tc>
      </w:tr>
      <w:tr w:rsidR="00500337" w:rsidTr="00500337">
        <w:tc>
          <w:tcPr>
            <w:tcW w:w="4360" w:type="dxa"/>
          </w:tcPr>
          <w:p w:rsidR="00500337" w:rsidRDefault="00500337" w:rsidP="00500337">
            <w:pPr>
              <w:ind w:left="0" w:right="0"/>
            </w:pPr>
            <w:r>
              <w:t>Second round evaluation completed</w:t>
            </w:r>
          </w:p>
        </w:tc>
        <w:tc>
          <w:tcPr>
            <w:tcW w:w="4360" w:type="dxa"/>
          </w:tcPr>
          <w:p w:rsidR="00500337" w:rsidRDefault="00A567C2" w:rsidP="00500337">
            <w:pPr>
              <w:ind w:left="0" w:right="0"/>
            </w:pPr>
            <w:r>
              <w:t>23 November 2018</w:t>
            </w:r>
          </w:p>
        </w:tc>
      </w:tr>
      <w:tr w:rsidR="00500337" w:rsidTr="00500337">
        <w:tc>
          <w:tcPr>
            <w:tcW w:w="4360" w:type="dxa"/>
          </w:tcPr>
          <w:p w:rsidR="00500337" w:rsidRDefault="00500337" w:rsidP="00500337">
            <w:pPr>
              <w:ind w:left="0" w:right="0"/>
            </w:pPr>
            <w:r>
              <w:t>Delegate’s Overall benefit-risk assessment and request for Advisory Committee advice</w:t>
            </w:r>
          </w:p>
        </w:tc>
        <w:tc>
          <w:tcPr>
            <w:tcW w:w="4360" w:type="dxa"/>
          </w:tcPr>
          <w:p w:rsidR="00500337" w:rsidRDefault="00380D4A" w:rsidP="00500337">
            <w:pPr>
              <w:ind w:left="0" w:right="0"/>
            </w:pPr>
            <w:r>
              <w:t>3 January 2019</w:t>
            </w:r>
          </w:p>
        </w:tc>
      </w:tr>
      <w:tr w:rsidR="00500337" w:rsidTr="00500337">
        <w:tc>
          <w:tcPr>
            <w:tcW w:w="4360" w:type="dxa"/>
          </w:tcPr>
          <w:p w:rsidR="00500337" w:rsidRDefault="00500337" w:rsidP="00500337">
            <w:pPr>
              <w:ind w:left="0" w:right="0"/>
            </w:pPr>
            <w:r>
              <w:t>Sponsor’s pre-Advisory Committee response</w:t>
            </w:r>
          </w:p>
        </w:tc>
        <w:tc>
          <w:tcPr>
            <w:tcW w:w="4360" w:type="dxa"/>
          </w:tcPr>
          <w:p w:rsidR="00500337" w:rsidRDefault="00ED3678" w:rsidP="00500337">
            <w:pPr>
              <w:ind w:left="0" w:right="0"/>
            </w:pPr>
            <w:r>
              <w:t>11 January 2019</w:t>
            </w:r>
          </w:p>
        </w:tc>
      </w:tr>
      <w:tr w:rsidR="00500337" w:rsidTr="00500337">
        <w:tc>
          <w:tcPr>
            <w:tcW w:w="4360" w:type="dxa"/>
          </w:tcPr>
          <w:p w:rsidR="00500337" w:rsidRDefault="00500337" w:rsidP="00500337">
            <w:pPr>
              <w:ind w:left="0" w:right="0"/>
            </w:pPr>
            <w:r>
              <w:t>Advisory Committee meeting</w:t>
            </w:r>
          </w:p>
        </w:tc>
        <w:tc>
          <w:tcPr>
            <w:tcW w:w="4360" w:type="dxa"/>
          </w:tcPr>
          <w:p w:rsidR="00500337" w:rsidRDefault="00A567C2" w:rsidP="00500337">
            <w:pPr>
              <w:ind w:left="0" w:right="0"/>
            </w:pPr>
            <w:r>
              <w:t>1 February 2019</w:t>
            </w:r>
          </w:p>
        </w:tc>
      </w:tr>
      <w:tr w:rsidR="00500337" w:rsidTr="00500337">
        <w:tc>
          <w:tcPr>
            <w:tcW w:w="4360" w:type="dxa"/>
          </w:tcPr>
          <w:p w:rsidR="00500337" w:rsidRDefault="00500337" w:rsidP="00500337">
            <w:pPr>
              <w:ind w:left="0" w:right="0"/>
            </w:pPr>
            <w:r>
              <w:t>Registration decision (Outcome)</w:t>
            </w:r>
          </w:p>
        </w:tc>
        <w:tc>
          <w:tcPr>
            <w:tcW w:w="4360" w:type="dxa"/>
          </w:tcPr>
          <w:p w:rsidR="00500337" w:rsidRDefault="00A567C2" w:rsidP="00500337">
            <w:pPr>
              <w:ind w:left="0" w:right="0"/>
            </w:pPr>
            <w:r>
              <w:t>29 May 2019</w:t>
            </w:r>
          </w:p>
        </w:tc>
      </w:tr>
      <w:tr w:rsidR="00500337" w:rsidTr="00500337">
        <w:tc>
          <w:tcPr>
            <w:tcW w:w="4360" w:type="dxa"/>
          </w:tcPr>
          <w:p w:rsidR="00500337" w:rsidRDefault="00500337" w:rsidP="00500337">
            <w:pPr>
              <w:ind w:left="0" w:right="0"/>
            </w:pPr>
            <w:r>
              <w:t>Completion of administrative activities and registration on ARTG</w:t>
            </w:r>
          </w:p>
        </w:tc>
        <w:tc>
          <w:tcPr>
            <w:tcW w:w="4360" w:type="dxa"/>
          </w:tcPr>
          <w:p w:rsidR="00500337" w:rsidRDefault="00ED3678" w:rsidP="00500337">
            <w:pPr>
              <w:ind w:left="0" w:right="0"/>
            </w:pPr>
            <w:r>
              <w:t>13 June 2019</w:t>
            </w:r>
          </w:p>
        </w:tc>
      </w:tr>
      <w:tr w:rsidR="00500337" w:rsidTr="00500337">
        <w:tc>
          <w:tcPr>
            <w:tcW w:w="4360" w:type="dxa"/>
          </w:tcPr>
          <w:p w:rsidR="00500337" w:rsidRDefault="00500337" w:rsidP="00500337">
            <w:pPr>
              <w:ind w:left="0" w:right="0"/>
            </w:pPr>
            <w:r>
              <w:t>Number of working days from submission dossier acceptance to registration decision*</w:t>
            </w:r>
          </w:p>
        </w:tc>
        <w:tc>
          <w:tcPr>
            <w:tcW w:w="4360" w:type="dxa"/>
          </w:tcPr>
          <w:p w:rsidR="00500337" w:rsidRDefault="00014D62" w:rsidP="00500337">
            <w:pPr>
              <w:ind w:left="0" w:right="0"/>
            </w:pPr>
            <w:r>
              <w:t>240</w:t>
            </w:r>
          </w:p>
        </w:tc>
      </w:tr>
    </w:tbl>
    <w:p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rsidR="00500337" w:rsidRDefault="00500337" w:rsidP="00500337">
      <w:r>
        <w:t>Evaluations included under Quality findings and Nonclinical findings incorporate both the first and second round evaluations.</w:t>
      </w:r>
    </w:p>
    <w:p w:rsidR="008E7846" w:rsidRPr="003602A9" w:rsidRDefault="00500337" w:rsidP="008E7846">
      <w:pPr>
        <w:pStyle w:val="Heading2"/>
        <w:ind w:left="-11"/>
      </w:pPr>
      <w:bookmarkStart w:id="26" w:name="_Toc21525653"/>
      <w:r>
        <w:t>I</w:t>
      </w:r>
      <w:r w:rsidR="008E7846">
        <w:t>II. Quality</w:t>
      </w:r>
      <w:bookmarkEnd w:id="1"/>
      <w:r w:rsidR="008E7846">
        <w:t xml:space="preserve"> findings</w:t>
      </w:r>
      <w:bookmarkEnd w:id="22"/>
      <w:bookmarkEnd w:id="23"/>
      <w:bookmarkEnd w:id="26"/>
    </w:p>
    <w:p w:rsidR="008E7846" w:rsidRDefault="00940A89" w:rsidP="008E7846">
      <w:bookmarkStart w:id="27" w:name="_Toc247691507"/>
      <w:bookmarkStart w:id="28" w:name="_Toc314842488"/>
      <w:r w:rsidRPr="00940A89">
        <w:t>There was no requirement for a quality evaluation in a submission of this type.</w:t>
      </w:r>
      <w:bookmarkEnd w:id="27"/>
      <w:bookmarkEnd w:id="28"/>
    </w:p>
    <w:p w:rsidR="008E7846" w:rsidRDefault="008E7846" w:rsidP="008E7846">
      <w:pPr>
        <w:pStyle w:val="Heading2"/>
      </w:pPr>
      <w:bookmarkStart w:id="29" w:name="_Toc196046439"/>
      <w:bookmarkStart w:id="30" w:name="_Toc247691510"/>
      <w:bookmarkStart w:id="31" w:name="_Toc314842494"/>
      <w:bookmarkStart w:id="32" w:name="_Toc21525654"/>
      <w:r>
        <w:t>I</w:t>
      </w:r>
      <w:r w:rsidR="00500337">
        <w:t>V</w:t>
      </w:r>
      <w:r>
        <w:t>. Nonclinical</w:t>
      </w:r>
      <w:bookmarkEnd w:id="29"/>
      <w:r>
        <w:t xml:space="preserve"> findings</w:t>
      </w:r>
      <w:bookmarkEnd w:id="30"/>
      <w:bookmarkEnd w:id="31"/>
      <w:bookmarkEnd w:id="32"/>
    </w:p>
    <w:p w:rsidR="00940A89" w:rsidRDefault="00940A89" w:rsidP="000E6196">
      <w:bookmarkStart w:id="33" w:name="_Toc247691511"/>
      <w:bookmarkStart w:id="34" w:name="_Toc314842495"/>
      <w:r>
        <w:t>There was no requirement for a nonclinical evaluation in a submission of this type.</w:t>
      </w:r>
    </w:p>
    <w:p w:rsidR="008E7846" w:rsidRPr="00254787" w:rsidRDefault="008E7846" w:rsidP="008E7846">
      <w:pPr>
        <w:pStyle w:val="Heading2"/>
      </w:pPr>
      <w:bookmarkStart w:id="35" w:name="_Toc196046462"/>
      <w:bookmarkStart w:id="36" w:name="_Toc247691516"/>
      <w:bookmarkStart w:id="37" w:name="_Toc314842500"/>
      <w:bookmarkStart w:id="38" w:name="_Toc21525655"/>
      <w:bookmarkStart w:id="39" w:name="_Toc163441353"/>
      <w:bookmarkStart w:id="40" w:name="_Toc163441348"/>
      <w:bookmarkEnd w:id="33"/>
      <w:bookmarkEnd w:id="34"/>
      <w:r>
        <w:lastRenderedPageBreak/>
        <w:t xml:space="preserve">V. </w:t>
      </w:r>
      <w:r w:rsidRPr="00254787">
        <w:t>Clinical</w:t>
      </w:r>
      <w:bookmarkEnd w:id="35"/>
      <w:r>
        <w:t xml:space="preserve"> </w:t>
      </w:r>
      <w:r w:rsidR="003A7F6C">
        <w:t>f</w:t>
      </w:r>
      <w:r>
        <w:t>indings</w:t>
      </w:r>
      <w:bookmarkEnd w:id="36"/>
      <w:bookmarkEnd w:id="37"/>
      <w:bookmarkEnd w:id="38"/>
    </w:p>
    <w:p w:rsidR="00C80137" w:rsidRDefault="00C80137" w:rsidP="00D425BB">
      <w:bookmarkStart w:id="41" w:name="_Toc196046463"/>
      <w:r>
        <w:t xml:space="preserve">A summary of the </w:t>
      </w:r>
      <w:r w:rsidRPr="00FD70B8">
        <w:t>clinical findings is presented in this section.</w:t>
      </w:r>
    </w:p>
    <w:p w:rsidR="008E7846" w:rsidRDefault="008E7846" w:rsidP="008E7846">
      <w:pPr>
        <w:pStyle w:val="Heading3"/>
      </w:pPr>
      <w:bookmarkStart w:id="42" w:name="_Toc247691517"/>
      <w:bookmarkStart w:id="43" w:name="_Toc314842501"/>
      <w:bookmarkStart w:id="44" w:name="_Toc21525656"/>
      <w:r w:rsidRPr="00254787">
        <w:t>Introduction</w:t>
      </w:r>
      <w:bookmarkEnd w:id="41"/>
      <w:bookmarkEnd w:id="42"/>
      <w:bookmarkEnd w:id="43"/>
      <w:bookmarkEnd w:id="44"/>
    </w:p>
    <w:p w:rsidR="00702D7B" w:rsidRDefault="00A567C2" w:rsidP="00F03E34">
      <w:r>
        <w:t>Psoriasis</w:t>
      </w:r>
      <w:r w:rsidR="00F03E34">
        <w:t xml:space="preserve"> is a chronic, inflammatory, immune based skin disorder with a genetic disposition that affects about 3% of the Australian population. Various types of </w:t>
      </w:r>
      <w:r>
        <w:t>psoriasis</w:t>
      </w:r>
      <w:r w:rsidR="00F03E34">
        <w:t xml:space="preserve"> exist including plaque, guttate, inverse, pustular and erythrodermic forms; however, plaque </w:t>
      </w:r>
      <w:r>
        <w:t>psoriasis</w:t>
      </w:r>
      <w:r w:rsidR="00F03E34">
        <w:t xml:space="preserve"> is the most common type comprising 80</w:t>
      </w:r>
      <w:r>
        <w:t xml:space="preserve"> to </w:t>
      </w:r>
      <w:r w:rsidR="00F03E34">
        <w:t xml:space="preserve">90% of all cases. Though </w:t>
      </w:r>
      <w:r>
        <w:t>psoriasis</w:t>
      </w:r>
      <w:r w:rsidR="00F03E34">
        <w:t xml:space="preserve"> can present at any age, the mean age of onset has a bimodal distribution at 15</w:t>
      </w:r>
      <w:r>
        <w:t xml:space="preserve"> to </w:t>
      </w:r>
      <w:r w:rsidR="00F03E34">
        <w:t>20 years and 55</w:t>
      </w:r>
      <w:r>
        <w:t xml:space="preserve"> to </w:t>
      </w:r>
      <w:r w:rsidR="00F03E34">
        <w:t>60 years. It is equally distributed across the genders. About 25</w:t>
      </w:r>
      <w:r>
        <w:t xml:space="preserve"> to </w:t>
      </w:r>
      <w:r w:rsidR="00F03E34">
        <w:t xml:space="preserve">30% of subjects with </w:t>
      </w:r>
      <w:r>
        <w:t>psoriasis</w:t>
      </w:r>
      <w:r w:rsidR="00F03E34">
        <w:t xml:space="preserve"> develop a concurrent inflammatory arthritis, </w:t>
      </w:r>
      <w:r>
        <w:t>psoriatic arthritis</w:t>
      </w:r>
      <w:r w:rsidR="00F03E34">
        <w:t>. Environmental factors and genetic components are thought to be implicated in the development of the disease. It is estimated that approximately 15</w:t>
      </w:r>
      <w:r>
        <w:t xml:space="preserve"> to</w:t>
      </w:r>
      <w:r w:rsidR="00F03E34">
        <w:t xml:space="preserve">20% of all </w:t>
      </w:r>
      <w:r>
        <w:t>psoriasis</w:t>
      </w:r>
      <w:r w:rsidR="00F03E34">
        <w:t xml:space="preserve"> patients have moderate to severe disease, which is the target population of this application.</w:t>
      </w:r>
    </w:p>
    <w:p w:rsidR="00F03E34" w:rsidRDefault="00A567C2" w:rsidP="00F03E34">
      <w:r>
        <w:t>Psoriasis</w:t>
      </w:r>
      <w:r w:rsidR="00F03E34">
        <w:t xml:space="preserve"> often has a substantial impact upon an affected individual’s quality of life (such as sleeping problems and disrupted leisure activities) and has a multitude of psychosocial and emotional effects upon patients including reduced self-esteem and body image issues. Up to 35% of </w:t>
      </w:r>
      <w:r>
        <w:t>psoriasis</w:t>
      </w:r>
      <w:r w:rsidR="00F03E34">
        <w:t xml:space="preserve"> sufferers report depressive symptoms and up to 80% state that </w:t>
      </w:r>
      <w:r>
        <w:t>psoriasis</w:t>
      </w:r>
      <w:r w:rsidR="00F03E34">
        <w:t xml:space="preserve"> impacts negatively on their </w:t>
      </w:r>
      <w:r>
        <w:t>quality of life</w:t>
      </w:r>
      <w:r w:rsidR="00F03E34">
        <w:t xml:space="preserve">. Patients with </w:t>
      </w:r>
      <w:r>
        <w:t>psoriasis</w:t>
      </w:r>
      <w:r w:rsidR="00F03E34">
        <w:t xml:space="preserve"> have an increased incidence of malignancy such as skin cancers and possibly lymphoma, and recent literature including data from meta-analyses tends to indicate that cardiovascular risk and its associated mortality is higher in patients with </w:t>
      </w:r>
      <w:r>
        <w:t>psoriasis</w:t>
      </w:r>
      <w:r w:rsidR="00F03E34">
        <w:t>.</w:t>
      </w:r>
    </w:p>
    <w:p w:rsidR="00702D7B" w:rsidRDefault="00ED3678" w:rsidP="00F03E34">
      <w:r>
        <w:t xml:space="preserve">Depending on severity, a </w:t>
      </w:r>
      <w:r w:rsidR="00515D2E">
        <w:t>stepwise</w:t>
      </w:r>
      <w:r w:rsidR="00F03E34" w:rsidRPr="00F03E34">
        <w:t xml:space="preserve"> approach is typically used when managing </w:t>
      </w:r>
      <w:r w:rsidR="00A567C2">
        <w:t>psoriasis</w:t>
      </w:r>
      <w:r w:rsidR="00F03E34" w:rsidRPr="00F03E34">
        <w:t xml:space="preserve">. The first line strategy is topical therapy, which satisfactorily controls </w:t>
      </w:r>
      <w:r w:rsidR="00A567C2">
        <w:t>psoriasis</w:t>
      </w:r>
      <w:r w:rsidR="00F03E34" w:rsidRPr="00F03E34">
        <w:t xml:space="preserve"> in approximately 70% of all cases. Topical therapies include various corticosteroids</w:t>
      </w:r>
      <w:r w:rsidR="00786E8F">
        <w:t>,</w:t>
      </w:r>
      <w:r w:rsidR="00F03E34" w:rsidRPr="00F03E34">
        <w:t xml:space="preserve"> tar preparations, emollients, salicylic acid, vitamin D analogues, retinoids and calcineurin inhibitors such as pimecrolimus. Various types of phototherapy are generally considered the next line of treatment in Australian guidelines, but their availability and potential limitations is a barrier to utilisation.</w:t>
      </w:r>
    </w:p>
    <w:p w:rsidR="00702D7B" w:rsidRDefault="00F03E34" w:rsidP="00F03E34">
      <w:r w:rsidRPr="00F03E34">
        <w:t>Until recently, non-biological systemic therapies, in particula</w:t>
      </w:r>
      <w:r w:rsidR="001D63B3">
        <w:t>r, weekly low dose methotrexate</w:t>
      </w:r>
      <w:r w:rsidRPr="00F03E34">
        <w:t xml:space="preserve">, have been the mainstay of treatment refractory moderate to severe </w:t>
      </w:r>
      <w:r w:rsidR="00A567C2">
        <w:t>psoriasis</w:t>
      </w:r>
      <w:r w:rsidRPr="00F03E34">
        <w:t xml:space="preserve">. Other commonly used systemic therapies include oral cyclosporine and acitretin. However, evidence indicates that conventional systemic therapies have limited efficacy in treating </w:t>
      </w:r>
      <w:r w:rsidR="00A567C2">
        <w:t>psoriasis</w:t>
      </w:r>
      <w:r w:rsidRPr="00F03E34">
        <w:t xml:space="preserve"> (</w:t>
      </w:r>
      <w:r w:rsidR="00A567C2">
        <w:t>for example,</w:t>
      </w:r>
      <w:r w:rsidRPr="00F03E34">
        <w:t xml:space="preserve"> </w:t>
      </w:r>
      <w:r w:rsidR="001D63B3">
        <w:t>methotrexate</w:t>
      </w:r>
      <w:r w:rsidRPr="00F03E34">
        <w:t xml:space="preserve"> and cyclosporine achieve a </w:t>
      </w:r>
      <w:r w:rsidR="000301CE">
        <w:t>Psoriasis Area S</w:t>
      </w:r>
      <w:r w:rsidR="004F4D77">
        <w:t xml:space="preserve">everity </w:t>
      </w:r>
      <w:r w:rsidR="000301CE">
        <w:t>I</w:t>
      </w:r>
      <w:r w:rsidR="004F4D77">
        <w:t>ndex (</w:t>
      </w:r>
      <w:r w:rsidRPr="00F03E34">
        <w:t>PASI</w:t>
      </w:r>
      <w:r w:rsidR="004F4D77">
        <w:t>)</w:t>
      </w:r>
      <w:r w:rsidRPr="00F03E34">
        <w:t xml:space="preserve"> response of 50</w:t>
      </w:r>
      <w:r w:rsidR="001D63B3">
        <w:t xml:space="preserve"> to </w:t>
      </w:r>
      <w:r w:rsidRPr="00F03E34">
        <w:t>70% after 12</w:t>
      </w:r>
      <w:r w:rsidR="001D63B3">
        <w:t xml:space="preserve"> to</w:t>
      </w:r>
      <w:r w:rsidRPr="00F03E34">
        <w:t>16 weeks of therapy), and carry significant toxicity and tolerability risks.</w:t>
      </w:r>
    </w:p>
    <w:p w:rsidR="00702D7B" w:rsidRDefault="00F03E34" w:rsidP="00F03E34">
      <w:r w:rsidRPr="00F03E34">
        <w:t xml:space="preserve">The efficacy and safety of biologic therapies such as </w:t>
      </w:r>
      <w:r w:rsidR="001D63B3">
        <w:t>tumour necrosis factor (</w:t>
      </w:r>
      <w:r w:rsidRPr="00F03E34">
        <w:t>TNF</w:t>
      </w:r>
      <w:r w:rsidR="001D63B3">
        <w:t>)</w:t>
      </w:r>
      <w:r w:rsidRPr="00F03E34">
        <w:t xml:space="preserve"> and interleukin-17 inhibitors is established for patients with moderate to severe </w:t>
      </w:r>
      <w:r w:rsidR="00A567C2">
        <w:t>psoriasis</w:t>
      </w:r>
      <w:r w:rsidRPr="00F03E34">
        <w:t xml:space="preserve"> (70</w:t>
      </w:r>
      <w:r w:rsidR="001D63B3">
        <w:t xml:space="preserve"> to </w:t>
      </w:r>
      <w:r w:rsidRPr="00F03E34">
        <w:t xml:space="preserve">80% of patients achieve at least a </w:t>
      </w:r>
      <w:r w:rsidR="00AA6EF0">
        <w:t>75% PASI response (</w:t>
      </w:r>
      <w:r w:rsidRPr="00F03E34">
        <w:t>PASI75</w:t>
      </w:r>
      <w:r w:rsidR="00AA6EF0">
        <w:t>)</w:t>
      </w:r>
      <w:r w:rsidRPr="00F03E34">
        <w:t xml:space="preserve"> at 10</w:t>
      </w:r>
      <w:r w:rsidR="001D63B3">
        <w:t xml:space="preserve"> to </w:t>
      </w:r>
      <w:r w:rsidRPr="00F03E34">
        <w:t>16</w:t>
      </w:r>
      <w:r w:rsidR="001D63B3">
        <w:t> </w:t>
      </w:r>
      <w:r w:rsidRPr="00F03E34">
        <w:t xml:space="preserve">weeks). However, while biologic drugs have been shown to demonstrate significant efficacy in treating active </w:t>
      </w:r>
      <w:r w:rsidR="00A567C2">
        <w:t>psoriasis</w:t>
      </w:r>
      <w:r w:rsidRPr="00F03E34">
        <w:t xml:space="preserve">, loss of response over time may occur in up to 30% of patients and necessitate alternative treatment options. As such, the sponsor claims there is an unmet need for additional biologic therapies for active </w:t>
      </w:r>
      <w:r w:rsidR="00A567C2">
        <w:t>psoriasis</w:t>
      </w:r>
      <w:r w:rsidRPr="00F03E34">
        <w:t>.</w:t>
      </w:r>
    </w:p>
    <w:p w:rsidR="00605AD4" w:rsidRDefault="00605AD4" w:rsidP="00605AD4">
      <w:pPr>
        <w:pStyle w:val="Heading4"/>
      </w:pPr>
      <w:bookmarkStart w:id="45" w:name="_Toc196046464"/>
      <w:bookmarkStart w:id="46" w:name="_Toc247691518"/>
      <w:bookmarkStart w:id="47" w:name="_Toc314842502"/>
      <w:r w:rsidRPr="00605AD4">
        <w:t xml:space="preserve">Clinical </w:t>
      </w:r>
      <w:r w:rsidR="00EF59DC">
        <w:t>r</w:t>
      </w:r>
      <w:r w:rsidRPr="00605AD4">
        <w:t>ationale</w:t>
      </w:r>
    </w:p>
    <w:p w:rsidR="00702D7B" w:rsidRDefault="001D63B3" w:rsidP="00500337">
      <w:r>
        <w:t>Tumour necrosis factor</w:t>
      </w:r>
      <w:r w:rsidR="00F03E34" w:rsidRPr="00F03E34">
        <w:t xml:space="preserve"> plays a central role in the molecular and cellular events occurring in the pathogenesis of several autoimmune inflammatory conditions including </w:t>
      </w:r>
      <w:r w:rsidR="00A567C2">
        <w:t>psoriasis</w:t>
      </w:r>
      <w:r w:rsidR="00F03E34" w:rsidRPr="00F03E34">
        <w:t xml:space="preserve">. Elevated concentrations of TNF have been found in the skin lesions of </w:t>
      </w:r>
      <w:r w:rsidR="00A567C2">
        <w:t>psoriasis</w:t>
      </w:r>
      <w:r w:rsidR="00F03E34" w:rsidRPr="00F03E34">
        <w:t xml:space="preserve">. The </w:t>
      </w:r>
      <w:r w:rsidR="00F03E34" w:rsidRPr="00F03E34">
        <w:lastRenderedPageBreak/>
        <w:t xml:space="preserve">efficacy and safety of anti-TNF medicines in treating patients with moderate to severe </w:t>
      </w:r>
      <w:r w:rsidR="00A567C2">
        <w:t>psoriasis</w:t>
      </w:r>
      <w:r w:rsidR="00F03E34" w:rsidRPr="00F03E34">
        <w:t xml:space="preserve"> is established. </w:t>
      </w:r>
      <w:r>
        <w:t>Certolizumab pegol</w:t>
      </w:r>
      <w:r w:rsidR="00F03E34" w:rsidRPr="00F03E34">
        <w:t xml:space="preserve"> is a recombinant, humanised monoclonal antigen binding antibody, which inhibits the binding of TNF to the surface of cells expressing TNF receptors such as T-lymphocytes in the skin of patients with active </w:t>
      </w:r>
      <w:r w:rsidR="00A567C2">
        <w:t>psoriasis</w:t>
      </w:r>
      <w:r w:rsidR="00F03E34" w:rsidRPr="00F03E34">
        <w:t xml:space="preserve">. </w:t>
      </w:r>
      <w:r>
        <w:t>Certolizumab pegol</w:t>
      </w:r>
      <w:r w:rsidR="00F03E34" w:rsidRPr="00F03E34">
        <w:t xml:space="preserve"> is currently approved in Australia for use in </w:t>
      </w:r>
      <w:r w:rsidR="00380D4A">
        <w:t>three</w:t>
      </w:r>
      <w:r w:rsidR="00F03E34" w:rsidRPr="00F03E34">
        <w:t xml:space="preserve"> treatment indications, </w:t>
      </w:r>
      <w:r w:rsidR="00380D4A">
        <w:t>two</w:t>
      </w:r>
      <w:r w:rsidR="00F03E34" w:rsidRPr="00F03E34">
        <w:t xml:space="preserve"> of which (psoriatic arthritis and ankylosing spondylitis) are significantly associated with </w:t>
      </w:r>
      <w:r w:rsidR="00A567C2">
        <w:t>psoriasis</w:t>
      </w:r>
      <w:r w:rsidR="00F03E34" w:rsidRPr="00F03E34">
        <w:t xml:space="preserve">. Reducing skin disease activity is the key therapeutic goal in managing </w:t>
      </w:r>
      <w:r w:rsidR="00A567C2">
        <w:t>psoriasis</w:t>
      </w:r>
      <w:r w:rsidR="00F03E34" w:rsidRPr="00F03E34">
        <w:t xml:space="preserve">. Furthermore, </w:t>
      </w:r>
      <w:r>
        <w:t>certolizumab pegol</w:t>
      </w:r>
      <w:r w:rsidR="00F03E34" w:rsidRPr="00F03E34">
        <w:t xml:space="preserve"> has been widely used in Australian adult rheumatology clinical practice for 8 years with a well-characterised benefit: risk profile.</w:t>
      </w:r>
    </w:p>
    <w:p w:rsidR="00605AD4" w:rsidRDefault="00605AD4" w:rsidP="00605AD4">
      <w:pPr>
        <w:pStyle w:val="Heading4"/>
      </w:pPr>
      <w:r w:rsidRPr="00605AD4">
        <w:t>Guidance</w:t>
      </w:r>
    </w:p>
    <w:p w:rsidR="00702D7B" w:rsidRDefault="008F5BC0" w:rsidP="008F5BC0">
      <w:r>
        <w:t xml:space="preserve">The sponsor states that this submission is consistent with the TGA pre-submission planning form and letter in both scope and scale. The TGA has recommended review and consideration of </w:t>
      </w:r>
      <w:r w:rsidR="00CD72BD">
        <w:t>one</w:t>
      </w:r>
      <w:r>
        <w:t xml:space="preserve"> specific </w:t>
      </w:r>
      <w:r w:rsidR="00AA6EF0">
        <w:t>European Union (</w:t>
      </w:r>
      <w:r>
        <w:t>EU</w:t>
      </w:r>
      <w:r w:rsidR="00AA6EF0">
        <w:t>)</w:t>
      </w:r>
      <w:r>
        <w:t xml:space="preserve"> regulatory guideline pertaining to the requested extension of indication</w:t>
      </w:r>
      <w:bookmarkStart w:id="48" w:name="_Ref12882177"/>
      <w:r w:rsidR="00694CE3">
        <w:rPr>
          <w:rStyle w:val="FootnoteReference"/>
        </w:rPr>
        <w:footnoteReference w:id="1"/>
      </w:r>
      <w:bookmarkEnd w:id="48"/>
      <w:r w:rsidR="00694CE3">
        <w:t xml:space="preserve"> (adopted by the TGA).</w:t>
      </w:r>
    </w:p>
    <w:p w:rsidR="00702D7B" w:rsidRDefault="008F5BC0" w:rsidP="008F5BC0">
      <w:r>
        <w:t xml:space="preserve">For the newly proposed treatment indication of </w:t>
      </w:r>
      <w:r w:rsidR="00A567C2">
        <w:t>psoriasis</w:t>
      </w:r>
      <w:r>
        <w:t xml:space="preserve">, the </w:t>
      </w:r>
      <w:r w:rsidR="001D63B3">
        <w:t>certolizumab pegol</w:t>
      </w:r>
      <w:r>
        <w:t xml:space="preserve"> clinical development program includes 3 pivotal, randomised, double</w:t>
      </w:r>
      <w:r w:rsidR="001D63B3">
        <w:t xml:space="preserve"> </w:t>
      </w:r>
      <w:r>
        <w:t>blind, parallel</w:t>
      </w:r>
      <w:r w:rsidR="001D63B3">
        <w:t xml:space="preserve"> </w:t>
      </w:r>
      <w:r>
        <w:t xml:space="preserve">group Phase </w:t>
      </w:r>
      <w:r w:rsidR="001D63B3">
        <w:t>III</w:t>
      </w:r>
      <w:r>
        <w:t xml:space="preserve"> studies supported by a Phase </w:t>
      </w:r>
      <w:r w:rsidR="001D63B3">
        <w:t>II</w:t>
      </w:r>
      <w:r>
        <w:t xml:space="preserve"> program that examined dose response, post-treatment maintenance of effect and the response to re-treatment in prior responders. In addition, one of the pivotal studies (CIMPACT</w:t>
      </w:r>
      <w:r w:rsidR="00AA6EF0">
        <w:t xml:space="preserve"> trial</w:t>
      </w:r>
      <w:r>
        <w:t>) had an active comparator therapy.</w:t>
      </w:r>
    </w:p>
    <w:p w:rsidR="00702D7B" w:rsidRDefault="008F5BC0" w:rsidP="008F5BC0">
      <w:r>
        <w:t xml:space="preserve">All the Phase </w:t>
      </w:r>
      <w:r w:rsidR="001D63B3">
        <w:t>III</w:t>
      </w:r>
      <w:r>
        <w:t xml:space="preserve"> trials were appropriately designed with initial, double</w:t>
      </w:r>
      <w:r w:rsidR="00CD72BD">
        <w:t xml:space="preserve"> </w:t>
      </w:r>
      <w:r>
        <w:t>blind treatment periods of 16</w:t>
      </w:r>
      <w:r w:rsidR="001D63B3">
        <w:t> </w:t>
      </w:r>
      <w:r>
        <w:t xml:space="preserve">weeks, and the </w:t>
      </w:r>
      <w:r w:rsidR="001D63B3">
        <w:t>certolizumab pegol</w:t>
      </w:r>
      <w:r>
        <w:t xml:space="preserve"> </w:t>
      </w:r>
      <w:r w:rsidR="00515D2E">
        <w:t>application</w:t>
      </w:r>
      <w:r>
        <w:t xml:space="preserve"> provided efficacy evaluations from these studies for up to 48 weeks of treatment follow-up. However, no long-term efficacy data has been provided at this stage.</w:t>
      </w:r>
    </w:p>
    <w:p w:rsidR="00F727CB" w:rsidRDefault="00CD72BD" w:rsidP="008F5BC0">
      <w:r>
        <w:t>P</w:t>
      </w:r>
      <w:r w:rsidR="00A567C2">
        <w:t>soriasis</w:t>
      </w:r>
      <w:r w:rsidR="008F5BC0">
        <w:t xml:space="preserve"> is a chronic disease and therefore, </w:t>
      </w:r>
      <w:r w:rsidR="00515D2E">
        <w:t>long-term</w:t>
      </w:r>
      <w:r w:rsidR="008F5BC0">
        <w:t xml:space="preserve"> treatment response data is important. However, the key </w:t>
      </w:r>
      <w:r w:rsidR="00A567C2">
        <w:t>psoriasis</w:t>
      </w:r>
      <w:r w:rsidR="008F5BC0">
        <w:t xml:space="preserve"> regulatory guideline states that 12 weeks is the minimum required time frame for demonstration of short</w:t>
      </w:r>
      <w:r w:rsidR="001D63B3">
        <w:t xml:space="preserve"> </w:t>
      </w:r>
      <w:r w:rsidR="008F5BC0">
        <w:t>term clinical efficacy, with measurement of speed of response being desirable. In addition, it is recommended that at least one therapeutic confirmatory trial be followed by an observation period of at least 2</w:t>
      </w:r>
      <w:r w:rsidR="00F727CB">
        <w:t> </w:t>
      </w:r>
      <w:r w:rsidR="008F5BC0">
        <w:t xml:space="preserve">months to explore the duration of response, rebound and time to relapse. Furthermore, </w:t>
      </w:r>
      <w:r w:rsidR="00515D2E">
        <w:t>long-term</w:t>
      </w:r>
      <w:r w:rsidR="008F5BC0">
        <w:t xml:space="preserve"> safety data beyond 1 year may be necessary for registration. The regulatory guideline for </w:t>
      </w:r>
      <w:r w:rsidR="00A567C2">
        <w:t>psoriasis</w:t>
      </w:r>
      <w:r w:rsidR="008F5BC0">
        <w:t xml:space="preserve"> recommends that efficacy be assessed by at least</w:t>
      </w:r>
    </w:p>
    <w:p w:rsidR="00500337" w:rsidRDefault="00694CE3" w:rsidP="008F5BC0">
      <w:r>
        <w:t>Two</w:t>
      </w:r>
      <w:r w:rsidR="008F5BC0">
        <w:t xml:space="preserve"> endpoints, ideally a validated standardised global score of response (such as the Physician’s Globa</w:t>
      </w:r>
      <w:r w:rsidR="004F4D77">
        <w:t>l Assessment of improvement, (</w:t>
      </w:r>
      <w:r w:rsidR="008F5BC0">
        <w:t>PGA</w:t>
      </w:r>
      <w:r w:rsidR="004F4D77">
        <w:t>)</w:t>
      </w:r>
      <w:r w:rsidR="008F5BC0">
        <w:t>) in conjunction with the Psoriasis Area Severity Score</w:t>
      </w:r>
      <w:r w:rsidR="00AA6EF0">
        <w:t xml:space="preserve"> (PASS)</w:t>
      </w:r>
      <w:r w:rsidR="00CD72BD">
        <w:t>.</w:t>
      </w:r>
      <w:r w:rsidR="008F5BC0">
        <w:t xml:space="preserve"> However, it is considered that the PASI alone is not sufficient to evaluate </w:t>
      </w:r>
      <w:r w:rsidR="00A567C2">
        <w:t>psoriasis</w:t>
      </w:r>
      <w:r w:rsidR="008F5BC0">
        <w:t xml:space="preserve"> severity at baseline and following treatment. Regarding the choice of comparator therapy, there is no perfect </w:t>
      </w:r>
      <w:r w:rsidR="00AA6EF0">
        <w:t>‘</w:t>
      </w:r>
      <w:r w:rsidR="008F5BC0">
        <w:t>gold standard</w:t>
      </w:r>
      <w:r w:rsidR="00AA6EF0">
        <w:t>’</w:t>
      </w:r>
      <w:r w:rsidR="008F5BC0">
        <w:t xml:space="preserve"> systemic treatment for severe </w:t>
      </w:r>
      <w:r w:rsidR="00A567C2">
        <w:t>psoriasis</w:t>
      </w:r>
      <w:r w:rsidR="008F5BC0">
        <w:t xml:space="preserve"> and the guideline states that the choice of an active comparator should be done in relation to the investigational medicine.</w:t>
      </w:r>
    </w:p>
    <w:p w:rsidR="008F5BC0" w:rsidRDefault="008F5BC0" w:rsidP="00CD72BD">
      <w:pPr>
        <w:pStyle w:val="Heading5"/>
      </w:pPr>
      <w:r>
        <w:t>Evaluator comment</w:t>
      </w:r>
    </w:p>
    <w:p w:rsidR="00702D7B" w:rsidRDefault="001D63B3" w:rsidP="008F5BC0">
      <w:r>
        <w:t>Certolizumab pegol</w:t>
      </w:r>
      <w:r w:rsidR="008F5BC0">
        <w:t xml:space="preserve"> is the fourth in class anti-TNF therapy proposed for the registration of </w:t>
      </w:r>
      <w:r w:rsidR="00A567C2">
        <w:t>psoriasis</w:t>
      </w:r>
      <w:r w:rsidR="008F5BC0">
        <w:t xml:space="preserve"> treatment in Australia. </w:t>
      </w:r>
      <w:r>
        <w:t>Certolizumab pegol</w:t>
      </w:r>
      <w:r w:rsidR="008F5BC0">
        <w:t xml:space="preserve"> is available as a liquid formulation in prefilled 1.0 mL vials (presented in pre-filled syringes) for administration by </w:t>
      </w:r>
      <w:r w:rsidR="009C2FAC">
        <w:t>subcutaneous (</w:t>
      </w:r>
      <w:r w:rsidR="008F5BC0">
        <w:t>SC</w:t>
      </w:r>
      <w:r w:rsidR="009C2FAC">
        <w:t>)</w:t>
      </w:r>
      <w:r w:rsidR="008F5BC0">
        <w:t xml:space="preserve"> injection. </w:t>
      </w:r>
      <w:r>
        <w:t>Certolizumab pegol</w:t>
      </w:r>
      <w:r w:rsidR="008F5BC0">
        <w:t xml:space="preserve"> exerts an immunomodulatory effect via inhibition of the protean of TNF mediated effects on the immune response. There is an unmet need for additional effective therapies in </w:t>
      </w:r>
      <w:r w:rsidR="00A567C2">
        <w:t>psoriasis</w:t>
      </w:r>
      <w:r w:rsidR="008F5BC0">
        <w:t xml:space="preserve"> as response rates to current </w:t>
      </w:r>
      <w:r w:rsidR="008F5BC0">
        <w:lastRenderedPageBreak/>
        <w:t xml:space="preserve">available treatment options (including several non-biologic systemic therapies and biologic drugs) are sub-optimal in a significant proportion of patients. Through inhibition of TNF alpha and subsequent modification of the inflammatory response, </w:t>
      </w:r>
      <w:r>
        <w:t>certolizumab pegol</w:t>
      </w:r>
      <w:r w:rsidR="008F5BC0">
        <w:t xml:space="preserve"> demonstrates biological plausibility for producing a beneficial treatment effect in chronic moderate to severe plaque </w:t>
      </w:r>
      <w:r w:rsidR="00A567C2">
        <w:t>psoriasis</w:t>
      </w:r>
      <w:r w:rsidR="008F5BC0">
        <w:t>.</w:t>
      </w:r>
    </w:p>
    <w:p w:rsidR="008F5BC0" w:rsidRDefault="008F5BC0" w:rsidP="008F5BC0">
      <w:r>
        <w:t>In general, the sponsor has adhered to the TGA adopted EU regulatory guideline of relevance in this submission</w:t>
      </w:r>
      <w:r w:rsidR="00694CE3">
        <w:t>.</w:t>
      </w:r>
      <w:r w:rsidR="00694CE3" w:rsidRPr="00694CE3">
        <w:rPr>
          <w:vertAlign w:val="superscript"/>
        </w:rPr>
        <w:fldChar w:fldCharType="begin"/>
      </w:r>
      <w:r w:rsidR="00694CE3" w:rsidRPr="00694CE3">
        <w:rPr>
          <w:vertAlign w:val="superscript"/>
        </w:rPr>
        <w:instrText xml:space="preserve"> NOTEREF _Ref12882177 \h </w:instrText>
      </w:r>
      <w:r w:rsidR="00694CE3">
        <w:rPr>
          <w:vertAlign w:val="superscript"/>
        </w:rPr>
        <w:instrText xml:space="preserve"> \* MERGEFORMAT </w:instrText>
      </w:r>
      <w:r w:rsidR="00694CE3" w:rsidRPr="00694CE3">
        <w:rPr>
          <w:vertAlign w:val="superscript"/>
        </w:rPr>
      </w:r>
      <w:r w:rsidR="00694CE3" w:rsidRPr="00694CE3">
        <w:rPr>
          <w:vertAlign w:val="superscript"/>
        </w:rPr>
        <w:fldChar w:fldCharType="separate"/>
      </w:r>
      <w:r w:rsidR="00694CE3" w:rsidRPr="00694CE3">
        <w:rPr>
          <w:vertAlign w:val="superscript"/>
        </w:rPr>
        <w:t>1</w:t>
      </w:r>
      <w:r w:rsidR="00694CE3" w:rsidRPr="00694CE3">
        <w:rPr>
          <w:vertAlign w:val="superscript"/>
        </w:rPr>
        <w:fldChar w:fldCharType="end"/>
      </w:r>
      <w:r>
        <w:t xml:space="preserve"> There are significant, established safety concerns with anti-TNF therapies, including the risk and type of serious infections as well as other serious adverse effects such as risk of malignancy, heart failure, hypersensitivity reactions, hepatic abnormalities and immunogenicity.</w:t>
      </w:r>
    </w:p>
    <w:p w:rsidR="00702D7B" w:rsidRDefault="008F5BC0" w:rsidP="008F5BC0">
      <w:r>
        <w:t xml:space="preserve">The proposed treatment indication wording for </w:t>
      </w:r>
      <w:r w:rsidR="001D63B3">
        <w:t>certolizumab pegol</w:t>
      </w:r>
      <w:r>
        <w:t xml:space="preserve"> clearly specifies that the sponsor is requesting registration of the drug for use in patients who are candidates for systemic therapy or phototherapy. There are no significant outstanding issues with the proposed commercial formulation and the remaining matter of the optimal dose regimen (</w:t>
      </w:r>
      <w:r w:rsidR="001D63B3">
        <w:t>certolizumab pegol</w:t>
      </w:r>
      <w:r>
        <w:t xml:space="preserve"> 200</w:t>
      </w:r>
      <w:r w:rsidR="00786E8F">
        <w:t xml:space="preserve"> </w:t>
      </w:r>
      <w:r>
        <w:t xml:space="preserve">mg </w:t>
      </w:r>
      <w:r w:rsidR="00AA6EF0">
        <w:t>once every 2 weeks (</w:t>
      </w:r>
      <w:r>
        <w:t>Q2W</w:t>
      </w:r>
      <w:r w:rsidR="00AA6EF0">
        <w:t>)</w:t>
      </w:r>
      <w:r>
        <w:t xml:space="preserve"> compared with 400</w:t>
      </w:r>
      <w:r w:rsidR="00786E8F">
        <w:t xml:space="preserve"> </w:t>
      </w:r>
      <w:r>
        <w:t>mg Q2W) will be discussed in this evaluation.</w:t>
      </w:r>
    </w:p>
    <w:p w:rsidR="00605AD4" w:rsidRDefault="00605AD4" w:rsidP="00605AD4">
      <w:pPr>
        <w:pStyle w:val="Heading4"/>
      </w:pPr>
      <w:r w:rsidRPr="00605AD4">
        <w:t>Contents of the clinical dossier</w:t>
      </w:r>
    </w:p>
    <w:p w:rsidR="008F5BC0" w:rsidRDefault="008F5BC0" w:rsidP="008F5BC0">
      <w:r>
        <w:t>The submission contained the following clinical information:</w:t>
      </w:r>
    </w:p>
    <w:p w:rsidR="008F5BC0" w:rsidRDefault="008F5BC0" w:rsidP="001D63B3">
      <w:pPr>
        <w:pStyle w:val="ListBullet"/>
      </w:pPr>
      <w:r>
        <w:t>All 5 of the efficacy/safety studies collected pharmacokinetic (</w:t>
      </w:r>
      <w:r w:rsidR="00694CE3">
        <w:t>PK</w:t>
      </w:r>
      <w:r>
        <w:t>) data.</w:t>
      </w:r>
    </w:p>
    <w:p w:rsidR="008F5BC0" w:rsidRDefault="008F5BC0" w:rsidP="001D63B3">
      <w:pPr>
        <w:pStyle w:val="ListBullet"/>
      </w:pPr>
      <w:r>
        <w:t xml:space="preserve">A Population </w:t>
      </w:r>
      <w:r w:rsidR="001D63B3">
        <w:t xml:space="preserve">pharmacokinetic </w:t>
      </w:r>
      <w:r>
        <w:t xml:space="preserve">analysis and a </w:t>
      </w:r>
      <w:r w:rsidR="001D63B3">
        <w:t>pharmacokinetic/p</w:t>
      </w:r>
      <w:r>
        <w:t xml:space="preserve">harmacodynamic </w:t>
      </w:r>
      <w:r w:rsidR="00AA6EF0">
        <w:t xml:space="preserve">(PKPD) </w:t>
      </w:r>
      <w:r>
        <w:t xml:space="preserve">report based on data collected in the 3 Phase </w:t>
      </w:r>
      <w:r w:rsidR="001D63B3">
        <w:t>III</w:t>
      </w:r>
      <w:r>
        <w:t xml:space="preserve"> studies.</w:t>
      </w:r>
    </w:p>
    <w:p w:rsidR="00694CE3" w:rsidRDefault="008F5BC0" w:rsidP="001D63B3">
      <w:pPr>
        <w:pStyle w:val="ListBullet"/>
      </w:pPr>
      <w:r>
        <w:t>3 pi</w:t>
      </w:r>
      <w:r w:rsidR="00694CE3">
        <w:t>votal efficacy/safety studies</w:t>
      </w:r>
      <w:r w:rsidR="00AA6EF0">
        <w:t>:</w:t>
      </w:r>
    </w:p>
    <w:p w:rsidR="00694CE3" w:rsidRDefault="008F5BC0" w:rsidP="00694CE3">
      <w:pPr>
        <w:pStyle w:val="ListBullet2"/>
      </w:pPr>
      <w:r>
        <w:t>Study PS0005 (als</w:t>
      </w:r>
      <w:r w:rsidR="00694CE3">
        <w:t>o known as the CIMPASI-1 trial)</w:t>
      </w:r>
      <w:r w:rsidR="00AA6EF0">
        <w:t>;</w:t>
      </w:r>
    </w:p>
    <w:p w:rsidR="00694CE3" w:rsidRDefault="008F5BC0" w:rsidP="00694CE3">
      <w:pPr>
        <w:pStyle w:val="ListBullet2"/>
      </w:pPr>
      <w:r>
        <w:t>Study PS0002 (CIMPASI-2 trial)</w:t>
      </w:r>
      <w:r w:rsidR="00AA6EF0">
        <w:t>;</w:t>
      </w:r>
      <w:r>
        <w:t xml:space="preserve"> and</w:t>
      </w:r>
    </w:p>
    <w:p w:rsidR="008F5BC0" w:rsidRDefault="008F5BC0" w:rsidP="00694CE3">
      <w:pPr>
        <w:pStyle w:val="ListBullet2"/>
      </w:pPr>
      <w:r>
        <w:t xml:space="preserve">Study PS0003 (CIMPACT </w:t>
      </w:r>
      <w:r w:rsidR="00AA6EF0">
        <w:t>trial</w:t>
      </w:r>
      <w:r>
        <w:t>).</w:t>
      </w:r>
    </w:p>
    <w:p w:rsidR="008F5BC0" w:rsidRDefault="008F5BC0" w:rsidP="001D63B3">
      <w:pPr>
        <w:pStyle w:val="ListBullet"/>
      </w:pPr>
      <w:r>
        <w:t>2 other efficacy/safety studies</w:t>
      </w:r>
      <w:r w:rsidR="00AA6EF0">
        <w:t xml:space="preserve">; </w:t>
      </w:r>
      <w:r>
        <w:t xml:space="preserve">Studies C87040 and C87044 were conducted in adult patients with moderate to severe plaque </w:t>
      </w:r>
      <w:r w:rsidR="00A567C2">
        <w:t>psoriasis</w:t>
      </w:r>
      <w:r>
        <w:t xml:space="preserve"> as supportive evidence.</w:t>
      </w:r>
    </w:p>
    <w:p w:rsidR="008F5BC0" w:rsidRPr="008F5BC0" w:rsidRDefault="008F5BC0" w:rsidP="001D63B3">
      <w:pPr>
        <w:pStyle w:val="ListBullet"/>
      </w:pPr>
      <w:r>
        <w:t xml:space="preserve">4 </w:t>
      </w:r>
      <w:r w:rsidR="001D63B3">
        <w:t>p</w:t>
      </w:r>
      <w:r>
        <w:t xml:space="preserve">ooled efficacy datasets using data from the 3 Phase </w:t>
      </w:r>
      <w:r w:rsidR="001D63B3">
        <w:t>III</w:t>
      </w:r>
      <w:r>
        <w:t xml:space="preserve"> studies was also provided.</w:t>
      </w:r>
    </w:p>
    <w:p w:rsidR="00605AD4" w:rsidRDefault="00605AD4" w:rsidP="00605AD4">
      <w:pPr>
        <w:pStyle w:val="Heading4"/>
      </w:pPr>
      <w:r w:rsidRPr="00605AD4">
        <w:t>Paediatric data</w:t>
      </w:r>
    </w:p>
    <w:p w:rsidR="00500337" w:rsidRPr="00500337" w:rsidRDefault="008F5BC0" w:rsidP="00500337">
      <w:r w:rsidRPr="008F5BC0">
        <w:t xml:space="preserve">The submission did not contain any paediatric data. </w:t>
      </w:r>
      <w:r w:rsidR="001D63B3">
        <w:t>T</w:t>
      </w:r>
      <w:r w:rsidRPr="008F5BC0">
        <w:t>he sponsor did not answer any of the format questions relating to an agreed paediatric investigation plan in Europe or the USA, or provide justification as to why the product is not suitable for children.</w:t>
      </w:r>
    </w:p>
    <w:p w:rsidR="00605AD4" w:rsidRDefault="00605AD4" w:rsidP="00605AD4">
      <w:pPr>
        <w:pStyle w:val="Heading4"/>
      </w:pPr>
      <w:r w:rsidRPr="00605AD4">
        <w:t>Good clinical practice</w:t>
      </w:r>
    </w:p>
    <w:p w:rsidR="00500337" w:rsidRPr="00500337" w:rsidRDefault="008F5BC0" w:rsidP="00500337">
      <w:r w:rsidRPr="008F5BC0">
        <w:t xml:space="preserve">The studies presented in this submission are stated to have been conducted according to </w:t>
      </w:r>
      <w:r w:rsidR="00694CE3">
        <w:t>Good Clinical Practice (</w:t>
      </w:r>
      <w:r w:rsidRPr="008F5BC0">
        <w:t>GCP</w:t>
      </w:r>
      <w:r w:rsidR="00694CE3">
        <w:t>)</w:t>
      </w:r>
      <w:r w:rsidRPr="008F5BC0">
        <w:t xml:space="preserve"> standards, and the study reports are consistent with adherence to GCP.</w:t>
      </w:r>
    </w:p>
    <w:p w:rsidR="008E7846" w:rsidRDefault="008E7846" w:rsidP="00605AD4">
      <w:pPr>
        <w:pStyle w:val="Heading3"/>
      </w:pPr>
      <w:bookmarkStart w:id="49" w:name="_Toc21525657"/>
      <w:r w:rsidRPr="00254787">
        <w:t>Pharmacokinetics</w:t>
      </w:r>
      <w:bookmarkEnd w:id="39"/>
      <w:bookmarkEnd w:id="45"/>
      <w:bookmarkEnd w:id="46"/>
      <w:bookmarkEnd w:id="47"/>
      <w:bookmarkEnd w:id="49"/>
    </w:p>
    <w:p w:rsidR="00605AD4" w:rsidRDefault="00605AD4" w:rsidP="00605AD4">
      <w:pPr>
        <w:pStyle w:val="Heading4"/>
      </w:pPr>
      <w:r>
        <w:t>Studies</w:t>
      </w:r>
      <w:r w:rsidR="00500337">
        <w:t xml:space="preserve"> providing pharmacokinetic data</w:t>
      </w:r>
    </w:p>
    <w:p w:rsidR="008F5BC0" w:rsidRDefault="008F5BC0" w:rsidP="008F5BC0">
      <w:r>
        <w:t xml:space="preserve">The pharmacokinetic properties of </w:t>
      </w:r>
      <w:r w:rsidR="001D63B3">
        <w:t>certolizumab pegol</w:t>
      </w:r>
      <w:r>
        <w:t xml:space="preserve"> have been extensively studied in the </w:t>
      </w:r>
      <w:r w:rsidR="00694CE3">
        <w:t>three</w:t>
      </w:r>
      <w:r>
        <w:t xml:space="preserve"> current approved treatment indi</w:t>
      </w:r>
      <w:r w:rsidR="00CD72BD">
        <w:t>cations of rheumatoid arthritis</w:t>
      </w:r>
      <w:r>
        <w:t xml:space="preserve">, psoriatic </w:t>
      </w:r>
      <w:r>
        <w:lastRenderedPageBreak/>
        <w:t xml:space="preserve">arthritis and ankylosing spondylitis. In support of this submission, the sponsor has provided new </w:t>
      </w:r>
      <w:r w:rsidR="00F63AEF">
        <w:t>pharmacokinetic</w:t>
      </w:r>
      <w:r>
        <w:t xml:space="preserve"> data in adult subjects with moderate to severe </w:t>
      </w:r>
      <w:r w:rsidR="00A567C2">
        <w:t>psoriasis</w:t>
      </w:r>
      <w:r>
        <w:t xml:space="preserve"> from 3 pivotal Phase </w:t>
      </w:r>
      <w:r w:rsidR="00F63AEF">
        <w:t>III</w:t>
      </w:r>
      <w:r>
        <w:t xml:space="preserve"> studies (</w:t>
      </w:r>
      <w:r w:rsidR="00AA6EF0">
        <w:t xml:space="preserve">the </w:t>
      </w:r>
      <w:r>
        <w:t>CIMPASI-1, CIMPASI-2 and CIMPACT</w:t>
      </w:r>
      <w:r w:rsidR="00AA6EF0">
        <w:t xml:space="preserve"> trials</w:t>
      </w:r>
      <w:r>
        <w:t>) and 2</w:t>
      </w:r>
      <w:r w:rsidR="00AA6EF0">
        <w:t> </w:t>
      </w:r>
      <w:r>
        <w:t xml:space="preserve">consecutive Phase </w:t>
      </w:r>
      <w:r w:rsidR="00F63AEF">
        <w:t>II</w:t>
      </w:r>
      <w:r>
        <w:t xml:space="preserve"> trials (C87040 and C87044). The submission also included a population </w:t>
      </w:r>
      <w:r w:rsidR="00F63AEF">
        <w:t>pharmacokinetic</w:t>
      </w:r>
      <w:r>
        <w:t xml:space="preserve"> analysis using integrated data from all 3 of the Phase </w:t>
      </w:r>
      <w:r w:rsidR="00F63AEF">
        <w:t>III</w:t>
      </w:r>
      <w:r>
        <w:t xml:space="preserve"> trials. The overall objectives of the population </w:t>
      </w:r>
      <w:r w:rsidR="00F63AEF">
        <w:t>pharmacokinetic</w:t>
      </w:r>
      <w:r>
        <w:t xml:space="preserve"> analysis were to describe the </w:t>
      </w:r>
      <w:r w:rsidR="00F63AEF">
        <w:t>pharmacokinetic</w:t>
      </w:r>
      <w:r>
        <w:t xml:space="preserve"> of </w:t>
      </w:r>
      <w:r w:rsidR="001D63B3">
        <w:t>certolizumab pegol</w:t>
      </w:r>
      <w:r>
        <w:t xml:space="preserve"> in subjects with moderate to severe chronic plaque </w:t>
      </w:r>
      <w:r w:rsidR="00A567C2">
        <w:t>psoriasis</w:t>
      </w:r>
      <w:r>
        <w:t xml:space="preserve">, and to identify and quantify the covariate-parameter relationships in the developed models. None of the studies that collected </w:t>
      </w:r>
      <w:r w:rsidR="00F63AEF">
        <w:t>pharmacokinetic</w:t>
      </w:r>
      <w:r>
        <w:t xml:space="preserve"> data had major deficiencies that excluded their results from consideration.</w:t>
      </w:r>
    </w:p>
    <w:p w:rsidR="00605AD4" w:rsidRDefault="00605AD4" w:rsidP="00605AD4">
      <w:pPr>
        <w:pStyle w:val="Heading4"/>
      </w:pPr>
      <w:r>
        <w:t>Evaluator’s conclusions on pharmacokinetics</w:t>
      </w:r>
    </w:p>
    <w:p w:rsidR="00702D7B" w:rsidRDefault="008F5BC0" w:rsidP="008F5BC0">
      <w:r>
        <w:t xml:space="preserve">The </w:t>
      </w:r>
      <w:r w:rsidR="00F63AEF">
        <w:t>pharmacokinetic</w:t>
      </w:r>
      <w:r>
        <w:t xml:space="preserve"> characteristics of </w:t>
      </w:r>
      <w:r w:rsidR="001D63B3">
        <w:t>certolizumab pegol</w:t>
      </w:r>
      <w:r>
        <w:t xml:space="preserve"> in adult patients with </w:t>
      </w:r>
      <w:r w:rsidR="00F63AEF">
        <w:t>rheumatoid arthritis</w:t>
      </w:r>
      <w:r>
        <w:t xml:space="preserve">, </w:t>
      </w:r>
      <w:r w:rsidR="00A567C2">
        <w:t>psoriatic arthritis</w:t>
      </w:r>
      <w:r>
        <w:t xml:space="preserve"> and </w:t>
      </w:r>
      <w:r w:rsidR="00F63AEF">
        <w:t xml:space="preserve">ankylosing </w:t>
      </w:r>
      <w:r w:rsidR="00694CE3">
        <w:t>spondylitis</w:t>
      </w:r>
      <w:r>
        <w:t xml:space="preserve"> are well characterised and patients with </w:t>
      </w:r>
      <w:r w:rsidR="00A567C2">
        <w:t>psoriasis</w:t>
      </w:r>
      <w:r>
        <w:t xml:space="preserve"> have similar </w:t>
      </w:r>
      <w:r w:rsidR="00F63AEF">
        <w:t>pharmacokinetic</w:t>
      </w:r>
      <w:r>
        <w:t xml:space="preserve"> responses to </w:t>
      </w:r>
      <w:r w:rsidR="001D63B3">
        <w:t>certolizumab pegol</w:t>
      </w:r>
      <w:r>
        <w:t xml:space="preserve"> exposure. In subjects with autoimmune inflammatory arthritis, the drug is well absorbed after SC administration (bioavailability approximately 80%) and exhibits a relatively low apparent volume of distribution (4.71 L in </w:t>
      </w:r>
      <w:r w:rsidR="00A567C2">
        <w:t>psoriasis</w:t>
      </w:r>
      <w:r>
        <w:t xml:space="preserve">). </w:t>
      </w:r>
      <w:r w:rsidR="00F63AEF">
        <w:t>C</w:t>
      </w:r>
      <w:r w:rsidR="001D63B3">
        <w:t>ertolizumab pegol</w:t>
      </w:r>
      <w:r>
        <w:t xml:space="preserve"> exhibits moderate </w:t>
      </w:r>
      <w:r w:rsidR="00F63AEF">
        <w:t xml:space="preserve">pharmacokinetic variability for </w:t>
      </w:r>
      <w:r>
        <w:t>trough</w:t>
      </w:r>
      <w:r w:rsidR="00F63AEF">
        <w:t xml:space="preserve"> plasma levels</w:t>
      </w:r>
      <w:r>
        <w:t xml:space="preserve"> and clearance in adult subjects with </w:t>
      </w:r>
      <w:r w:rsidR="00A567C2">
        <w:t>psoriasis</w:t>
      </w:r>
      <w:r>
        <w:t xml:space="preserve">. Target mediated drug disposition is presumed, and although the metabolic pathway for </w:t>
      </w:r>
      <w:r w:rsidR="001D63B3">
        <w:t>certolizumab pegol</w:t>
      </w:r>
      <w:r>
        <w:t xml:space="preserve"> has not been formally characterised it is expected to be degraded into small peptides and amino acids via catabolic pathways in the same manner as endogenous </w:t>
      </w:r>
      <w:r w:rsidR="00AA6EF0">
        <w:t>immunoglobulin G</w:t>
      </w:r>
      <w:r>
        <w:t>.</w:t>
      </w:r>
    </w:p>
    <w:p w:rsidR="00702D7B" w:rsidRDefault="008F5BC0" w:rsidP="008F5BC0">
      <w:r>
        <w:t xml:space="preserve">The mean systemic drug clearance appears to be dose independent with a mean terminal half-life of approximately 14 days following SC administration in adult subjects with </w:t>
      </w:r>
      <w:r w:rsidR="00F63AEF">
        <w:t>rheumatoid arthritis</w:t>
      </w:r>
      <w:r>
        <w:t xml:space="preserve">. Across the Phase </w:t>
      </w:r>
      <w:r w:rsidR="00F63AEF">
        <w:t>III</w:t>
      </w:r>
      <w:r>
        <w:t xml:space="preserve"> studies following multiple SC doses of </w:t>
      </w:r>
      <w:r w:rsidR="001D63B3">
        <w:t>certolizumab pegol</w:t>
      </w:r>
      <w:r>
        <w:t xml:space="preserve"> 200</w:t>
      </w:r>
      <w:r w:rsidR="00786E8F">
        <w:t xml:space="preserve"> </w:t>
      </w:r>
      <w:r>
        <w:t>mg Q2W or 400</w:t>
      </w:r>
      <w:r w:rsidR="00786E8F">
        <w:t xml:space="preserve"> </w:t>
      </w:r>
      <w:r>
        <w:t xml:space="preserve">mg Q2W, steady state drug concentrations were reached by </w:t>
      </w:r>
      <w:r w:rsidR="00F63AEF">
        <w:t>W</w:t>
      </w:r>
      <w:r>
        <w:t xml:space="preserve">eek 16 and remained relatively stable through to </w:t>
      </w:r>
      <w:r w:rsidR="00F63AEF">
        <w:t>W</w:t>
      </w:r>
      <w:r>
        <w:t xml:space="preserve">eek 48 in those who didn’t develop </w:t>
      </w:r>
      <w:r w:rsidR="00BD6F96">
        <w:t>anti-drug</w:t>
      </w:r>
      <w:r>
        <w:t xml:space="preserve"> antibodies. Plasma </w:t>
      </w:r>
      <w:r w:rsidR="001D63B3">
        <w:t>certolizumab pegol</w:t>
      </w:r>
      <w:r>
        <w:t xml:space="preserve"> trough concentrations increase in a dose proportional manner. Trough serum </w:t>
      </w:r>
      <w:r w:rsidR="001D63B3">
        <w:t>certolizumab pegol</w:t>
      </w:r>
      <w:r>
        <w:t xml:space="preserve"> concentrations at steady state are approximately </w:t>
      </w:r>
      <w:r w:rsidR="00F63AEF">
        <w:t xml:space="preserve">two </w:t>
      </w:r>
      <w:r>
        <w:t>fold higher following administration of 400</w:t>
      </w:r>
      <w:r w:rsidR="00786E8F">
        <w:t xml:space="preserve"> </w:t>
      </w:r>
      <w:r>
        <w:t>mg Q2W therapy compared to 200</w:t>
      </w:r>
      <w:r w:rsidR="00786E8F">
        <w:t xml:space="preserve"> </w:t>
      </w:r>
      <w:r>
        <w:t xml:space="preserve">mg Q2W. The sponsor is proposing both dose regimens for </w:t>
      </w:r>
      <w:r w:rsidR="001D63B3">
        <w:t>certolizumab pegol</w:t>
      </w:r>
      <w:r>
        <w:t xml:space="preserve"> therapy in </w:t>
      </w:r>
      <w:r w:rsidR="00A567C2">
        <w:t>psoriasis</w:t>
      </w:r>
      <w:r>
        <w:t>.</w:t>
      </w:r>
    </w:p>
    <w:p w:rsidR="00702D7B" w:rsidRDefault="008F5BC0" w:rsidP="008F5BC0">
      <w:r>
        <w:t xml:space="preserve">The </w:t>
      </w:r>
      <w:r w:rsidR="00F63AEF">
        <w:t>two</w:t>
      </w:r>
      <w:r>
        <w:t xml:space="preserve"> main sources of </w:t>
      </w:r>
      <w:r w:rsidR="00F63AEF">
        <w:t>pharmacokinetic</w:t>
      </w:r>
      <w:r>
        <w:t xml:space="preserve"> variability identified in patients using the primary Phase </w:t>
      </w:r>
      <w:r w:rsidR="00F63AEF">
        <w:t>III</w:t>
      </w:r>
      <w:r>
        <w:t xml:space="preserve"> </w:t>
      </w:r>
      <w:r w:rsidR="00F63AEF">
        <w:t>pharmacokinetic</w:t>
      </w:r>
      <w:r>
        <w:t xml:space="preserve"> data and the population </w:t>
      </w:r>
      <w:r w:rsidR="00F63AEF">
        <w:t>pharmacokinetic</w:t>
      </w:r>
      <w:r>
        <w:t xml:space="preserve"> analysis are subject body weight and the presence of </w:t>
      </w:r>
      <w:r w:rsidR="00CD72BD">
        <w:t>antidrug antibodies</w:t>
      </w:r>
      <w:r>
        <w:t xml:space="preserve">. Within the same </w:t>
      </w:r>
      <w:r w:rsidR="001D63B3">
        <w:t>certolizumab pegol</w:t>
      </w:r>
      <w:r>
        <w:t xml:space="preserve"> dose, the variation in </w:t>
      </w:r>
      <w:r w:rsidR="001D63B3">
        <w:t>certolizumab pegol</w:t>
      </w:r>
      <w:r>
        <w:t xml:space="preserve"> trough concentrations is predicted to be about </w:t>
      </w:r>
      <w:r w:rsidR="00F63AEF">
        <w:t>two</w:t>
      </w:r>
      <w:r>
        <w:t>-fold between the highest and lowest body weight quintiles. An increase in weight (&gt;</w:t>
      </w:r>
      <w:r w:rsidR="00F001E6">
        <w:t xml:space="preserve"> </w:t>
      </w:r>
      <w:r>
        <w:t>108</w:t>
      </w:r>
      <w:r w:rsidR="00F63AEF">
        <w:t> </w:t>
      </w:r>
      <w:r>
        <w:t xml:space="preserve">kg) results in significantly reduced drug exposure. Positive </w:t>
      </w:r>
      <w:r w:rsidR="00F63AEF">
        <w:t>antidrug antibody</w:t>
      </w:r>
      <w:r>
        <w:t xml:space="preserve"> status was associated with markedly lower trough </w:t>
      </w:r>
      <w:r w:rsidR="001D63B3">
        <w:t>certolizumab pegol</w:t>
      </w:r>
      <w:r>
        <w:t xml:space="preserve"> concentrations compared to </w:t>
      </w:r>
      <w:r w:rsidR="00F63AEF">
        <w:t>antibody</w:t>
      </w:r>
      <w:r>
        <w:t xml:space="preserve"> negative status. The population </w:t>
      </w:r>
      <w:r w:rsidR="00F63AEF">
        <w:t>pharmacokinetic</w:t>
      </w:r>
      <w:r>
        <w:t xml:space="preserve"> analysis estimated the presence of </w:t>
      </w:r>
      <w:r w:rsidR="00F63AEF">
        <w:t>antidrug antibodies</w:t>
      </w:r>
      <w:r>
        <w:t xml:space="preserve"> increases </w:t>
      </w:r>
      <w:r w:rsidR="004F4D77">
        <w:t>apparent drug clearance (</w:t>
      </w:r>
      <w:r>
        <w:t>CL/F</w:t>
      </w:r>
      <w:r w:rsidR="004F4D77">
        <w:t>)</w:t>
      </w:r>
      <w:r>
        <w:t xml:space="preserve"> by approximately </w:t>
      </w:r>
      <w:r w:rsidR="00F63AEF">
        <w:t>three</w:t>
      </w:r>
      <w:r w:rsidR="00F001E6">
        <w:t xml:space="preserve"> </w:t>
      </w:r>
      <w:r>
        <w:t xml:space="preserve">fold, resulting in a decrease in </w:t>
      </w:r>
      <w:r w:rsidR="001D63B3">
        <w:t>certolizumab pegol</w:t>
      </w:r>
      <w:r>
        <w:t xml:space="preserve"> trough</w:t>
      </w:r>
      <w:r w:rsidR="00F63AEF">
        <w:t xml:space="preserve"> plasma levels</w:t>
      </w:r>
      <w:r>
        <w:t xml:space="preserve"> of about 85%. No other demographic characteristic (age, ethnicity or gender) appears to have a significant effect on the </w:t>
      </w:r>
      <w:r w:rsidR="00F63AEF">
        <w:t>pharmacokinetic</w:t>
      </w:r>
      <w:r>
        <w:t xml:space="preserve"> of </w:t>
      </w:r>
      <w:r w:rsidR="001D63B3">
        <w:t>certolizumab pegol</w:t>
      </w:r>
      <w:r>
        <w:t>. There is no data in patients with severe renal or hepatic impairment.</w:t>
      </w:r>
    </w:p>
    <w:p w:rsidR="00500337" w:rsidRDefault="008F5BC0" w:rsidP="008F5BC0">
      <w:r>
        <w:t xml:space="preserve">The sponsor has not presented any studies examining the effect of </w:t>
      </w:r>
      <w:r w:rsidR="001D63B3">
        <w:t>certolizumab pegol</w:t>
      </w:r>
      <w:r>
        <w:t xml:space="preserve"> on the </w:t>
      </w:r>
      <w:r w:rsidR="00F63AEF">
        <w:t>pharmacokinetic</w:t>
      </w:r>
      <w:r>
        <w:t xml:space="preserve"> of various </w:t>
      </w:r>
      <w:r w:rsidR="00E62588">
        <w:t>cytochrome P450 (</w:t>
      </w:r>
      <w:r>
        <w:t>CYP</w:t>
      </w:r>
      <w:r w:rsidR="00E62588">
        <w:t>)</w:t>
      </w:r>
      <w:r>
        <w:t xml:space="preserve"> probe substrates, yet it is biologically plausible that inhibition of TNF may result in restoration of CYP activity, leading to increased metabolism of drugs that are CYP substrates. The effect of </w:t>
      </w:r>
      <w:r w:rsidR="001D63B3">
        <w:t>certolizumab pegol</w:t>
      </w:r>
      <w:r>
        <w:t xml:space="preserve"> on CYP enzymes may be clinically relevant for a CYP substrate with a narrow therapeutic index.</w:t>
      </w:r>
    </w:p>
    <w:p w:rsidR="00E8302F" w:rsidRDefault="00E8302F" w:rsidP="00E8302F">
      <w:pPr>
        <w:pStyle w:val="Heading4"/>
      </w:pPr>
      <w:r>
        <w:lastRenderedPageBreak/>
        <w:t>Population pharmacokinetics</w:t>
      </w:r>
      <w:r w:rsidR="00BE0224">
        <w:t xml:space="preserve"> evaluation</w:t>
      </w:r>
    </w:p>
    <w:p w:rsidR="00DD556C" w:rsidRDefault="00DD556C" w:rsidP="00DD556C">
      <w:pPr>
        <w:pStyle w:val="Heading5"/>
      </w:pPr>
      <w:r>
        <w:t>Introduction</w:t>
      </w:r>
    </w:p>
    <w:p w:rsidR="00DD556C" w:rsidRPr="003A5198" w:rsidRDefault="00DD556C" w:rsidP="00DD556C">
      <w:pPr>
        <w:spacing w:after="0"/>
      </w:pPr>
      <w:r>
        <w:t xml:space="preserve">The psoriasis development program consisted in two Phase II studies (C87040 and C87044) that have been completed in their entirety and three Phase III studies (PS0005, PS0002, and PS0003; also referred to as </w:t>
      </w:r>
      <w:r w:rsidR="00956CD3">
        <w:t xml:space="preserve">the </w:t>
      </w:r>
      <w:r>
        <w:t>CIMPASI-1, CIMPASI-2, and CIMPACT</w:t>
      </w:r>
      <w:r w:rsidR="00956CD3">
        <w:t xml:space="preserve"> trials</w:t>
      </w:r>
      <w:r>
        <w:t xml:space="preserve">, respectively) that have been completed through Week 48 in adult subjects with moderate to severe chronic plaque PSO. The 96-week open-label treatment </w:t>
      </w:r>
      <w:r w:rsidRPr="003A5198">
        <w:t xml:space="preserve">periods of the Phase </w:t>
      </w:r>
      <w:r>
        <w:t>III</w:t>
      </w:r>
      <w:r w:rsidRPr="003A5198">
        <w:t xml:space="preserve"> studies are ongoing. Furthermore, the development program evaluated two dose regimens:</w:t>
      </w:r>
    </w:p>
    <w:p w:rsidR="00DD556C" w:rsidRPr="003A5198" w:rsidRDefault="00DD556C" w:rsidP="007C0362">
      <w:pPr>
        <w:pStyle w:val="ListBullet"/>
      </w:pPr>
      <w:r w:rsidRPr="003A5198">
        <w:t>400mg Q2W</w:t>
      </w:r>
    </w:p>
    <w:p w:rsidR="00DD556C" w:rsidRDefault="00DD556C" w:rsidP="007C0362">
      <w:pPr>
        <w:pStyle w:val="ListBullet"/>
      </w:pPr>
      <w:r w:rsidRPr="003A5198">
        <w:t>200mg Q2W (with loading dose of 400mg at Weeks 0, 2, and 4)</w:t>
      </w:r>
    </w:p>
    <w:p w:rsidR="00DD556C" w:rsidRDefault="00DD556C" w:rsidP="00DD556C">
      <w:r>
        <w:t xml:space="preserve">For the popPK and </w:t>
      </w:r>
      <w:r w:rsidR="004F4D77">
        <w:rPr>
          <w:rFonts w:eastAsia="TimesNewRoman" w:cs="TimesNewRoman"/>
          <w:color w:val="000000"/>
        </w:rPr>
        <w:t>pharmacokinetic/pharmacodynamic</w:t>
      </w:r>
      <w:r w:rsidR="004F4D77">
        <w:t xml:space="preserve"> (</w:t>
      </w:r>
      <w:r>
        <w:t>PKPD</w:t>
      </w:r>
      <w:r w:rsidR="004F4D77">
        <w:t>)</w:t>
      </w:r>
      <w:r>
        <w:t xml:space="preserve"> analysis, only data from the three Phase III studies were included.</w:t>
      </w:r>
    </w:p>
    <w:p w:rsidR="00DD556C" w:rsidRDefault="00DD556C" w:rsidP="00DD556C">
      <w:pPr>
        <w:pStyle w:val="Heading5"/>
      </w:pPr>
      <w:r>
        <w:t>Evaluation s</w:t>
      </w:r>
      <w:r w:rsidRPr="00DD556C">
        <w:t>cope</w:t>
      </w:r>
    </w:p>
    <w:p w:rsidR="00DD556C" w:rsidRPr="00953F75" w:rsidRDefault="00DD556C" w:rsidP="00DD556C">
      <w:pPr>
        <w:spacing w:after="0"/>
        <w:rPr>
          <w:rFonts w:eastAsia="Times New Roman"/>
          <w:szCs w:val="24"/>
        </w:rPr>
      </w:pPr>
      <w:r>
        <w:rPr>
          <w:rFonts w:cstheme="minorHAnsi"/>
          <w:szCs w:val="24"/>
          <w:lang w:eastAsia="en-AU"/>
        </w:rPr>
        <w:t>T</w:t>
      </w:r>
      <w:r w:rsidRPr="00953F75">
        <w:rPr>
          <w:rFonts w:cstheme="minorHAnsi"/>
          <w:szCs w:val="24"/>
          <w:lang w:eastAsia="en-AU"/>
        </w:rPr>
        <w:t xml:space="preserve">he </w:t>
      </w:r>
      <w:r w:rsidRPr="00953F75">
        <w:rPr>
          <w:rFonts w:eastAsia="Times New Roman"/>
          <w:szCs w:val="24"/>
        </w:rPr>
        <w:t>following tasks for the</w:t>
      </w:r>
      <w:r w:rsidRPr="00953F75">
        <w:rPr>
          <w:rFonts w:eastAsia="Times New Roman"/>
          <w:b/>
          <w:szCs w:val="24"/>
        </w:rPr>
        <w:t xml:space="preserve"> </w:t>
      </w:r>
      <w:r w:rsidRPr="00953F75">
        <w:rPr>
          <w:rFonts w:eastAsia="Times New Roman"/>
          <w:szCs w:val="24"/>
        </w:rPr>
        <w:t>Population Pharmacokinetic</w:t>
      </w:r>
      <w:r>
        <w:rPr>
          <w:rFonts w:eastAsia="Times New Roman"/>
          <w:szCs w:val="24"/>
        </w:rPr>
        <w:t xml:space="preserve"> (popPK)</w:t>
      </w:r>
      <w:r w:rsidRPr="00953F75">
        <w:rPr>
          <w:rFonts w:eastAsia="Times New Roman"/>
          <w:szCs w:val="24"/>
        </w:rPr>
        <w:t xml:space="preserve"> and PKPD analyses should be performed:</w:t>
      </w:r>
    </w:p>
    <w:p w:rsidR="00DD556C" w:rsidRPr="00416892" w:rsidRDefault="00DD556C" w:rsidP="00DD556C">
      <w:pPr>
        <w:pStyle w:val="ListBullet"/>
      </w:pPr>
      <w:r w:rsidRPr="00416892">
        <w:t xml:space="preserve">To replicate the key analysis of the Population Pharmacokinetic analysis titled </w:t>
      </w:r>
      <w:r w:rsidR="00956CD3" w:rsidRPr="007C0362">
        <w:rPr>
          <w:i/>
        </w:rPr>
        <w:t>‘</w:t>
      </w:r>
      <w:r w:rsidRPr="007C0362">
        <w:rPr>
          <w:i/>
        </w:rPr>
        <w:t xml:space="preserve">Population PK and PKPD </w:t>
      </w:r>
      <w:r w:rsidR="00956CD3" w:rsidRPr="00956CD3">
        <w:rPr>
          <w:i/>
        </w:rPr>
        <w:t xml:space="preserve">models describing the relationships between the cimzia exposure and the efficacy </w:t>
      </w:r>
      <w:r w:rsidRPr="007C0362">
        <w:rPr>
          <w:i/>
        </w:rPr>
        <w:t xml:space="preserve">in terms of PASI and PGA </w:t>
      </w:r>
      <w:r w:rsidR="00956CD3" w:rsidRPr="00956CD3">
        <w:rPr>
          <w:i/>
        </w:rPr>
        <w:t>responses in patients with chronic plaque psoriasis enrolled</w:t>
      </w:r>
      <w:r w:rsidRPr="007C0362">
        <w:rPr>
          <w:i/>
        </w:rPr>
        <w:t xml:space="preserve"> in three Phase </w:t>
      </w:r>
      <w:r w:rsidR="00BE0224" w:rsidRPr="007C0362">
        <w:rPr>
          <w:i/>
        </w:rPr>
        <w:t>III</w:t>
      </w:r>
      <w:r w:rsidRPr="007C0362">
        <w:rPr>
          <w:i/>
        </w:rPr>
        <w:t xml:space="preserve"> Studies (Studies CIMPASI-1, CIMPASI-2, and CIMPACT)</w:t>
      </w:r>
      <w:r w:rsidR="00956CD3" w:rsidRPr="007C0362">
        <w:rPr>
          <w:i/>
        </w:rPr>
        <w:t>’</w:t>
      </w:r>
      <w:r>
        <w:t xml:space="preserve"> dated</w:t>
      </w:r>
      <w:r w:rsidR="00956CD3">
        <w:t xml:space="preserve"> 7</w:t>
      </w:r>
      <w:r>
        <w:t xml:space="preserve"> July</w:t>
      </w:r>
      <w:r w:rsidR="00956CD3">
        <w:t xml:space="preserve"> </w:t>
      </w:r>
      <w:r>
        <w:t xml:space="preserve">2017 </w:t>
      </w:r>
      <w:r w:rsidRPr="00416892">
        <w:t>and report whether results submitted by the sponsor can be confirmed</w:t>
      </w:r>
      <w:r w:rsidR="00BE0224">
        <w:t>.</w:t>
      </w:r>
    </w:p>
    <w:p w:rsidR="00DD556C" w:rsidRPr="00953F75" w:rsidRDefault="00DD556C" w:rsidP="00DD556C">
      <w:pPr>
        <w:pStyle w:val="ListBullet"/>
      </w:pPr>
      <w:r w:rsidRPr="00953F75">
        <w:t xml:space="preserve">Review the report of the analysis using the Guideline on </w:t>
      </w:r>
      <w:r w:rsidR="00956CD3" w:rsidRPr="00953F75">
        <w:t xml:space="preserve">reporting the results of </w:t>
      </w:r>
      <w:r w:rsidR="00956CD3">
        <w:t>p</w:t>
      </w:r>
      <w:r w:rsidR="00956CD3" w:rsidRPr="00953F75">
        <w:t xml:space="preserve">opulation </w:t>
      </w:r>
      <w:r w:rsidR="00956CD3">
        <w:t>p</w:t>
      </w:r>
      <w:r w:rsidR="00956CD3" w:rsidRPr="00953F75">
        <w:t xml:space="preserve">harmacokinetic </w:t>
      </w:r>
      <w:r w:rsidR="00956CD3">
        <w:t>a</w:t>
      </w:r>
      <w:r w:rsidRPr="00953F75">
        <w:t>nalyses CHMP/EWP/185990/06 published by the European Medicines Agency</w:t>
      </w:r>
      <w:r w:rsidR="00956CD3">
        <w:t xml:space="preserve"> (EMA)</w:t>
      </w:r>
      <w:r w:rsidRPr="00953F75">
        <w:t xml:space="preserve"> and adopted by the TGA and provide a detailed written report.</w:t>
      </w:r>
    </w:p>
    <w:p w:rsidR="00DD556C" w:rsidRPr="00953F75" w:rsidRDefault="00DD556C" w:rsidP="00DD556C">
      <w:pPr>
        <w:pStyle w:val="ListBullet"/>
      </w:pPr>
      <w:r w:rsidRPr="00953F75">
        <w:t xml:space="preserve">Consider the </w:t>
      </w:r>
      <w:r w:rsidR="00956CD3">
        <w:t>EMA</w:t>
      </w:r>
      <w:r w:rsidRPr="00953F75">
        <w:t xml:space="preserve"> Guideline on the </w:t>
      </w:r>
      <w:r w:rsidR="00956CD3">
        <w:t>c</w:t>
      </w:r>
      <w:r w:rsidRPr="00953F75">
        <w:t xml:space="preserve">linical </w:t>
      </w:r>
      <w:r w:rsidR="00956CD3">
        <w:t>i</w:t>
      </w:r>
      <w:r w:rsidRPr="00953F75">
        <w:t>nvestigation of the pharmacokinetics of therapeutic proteins CHMP /EWP/89249/2004 dated 24</w:t>
      </w:r>
      <w:r w:rsidR="00956CD3">
        <w:t> </w:t>
      </w:r>
      <w:r w:rsidRPr="00953F75">
        <w:t>January 2007 during the eval</w:t>
      </w:r>
      <w:r w:rsidR="0008359C">
        <w:t>uation, particularly regarding:</w:t>
      </w:r>
    </w:p>
    <w:p w:rsidR="00DD556C" w:rsidRPr="00953F75" w:rsidRDefault="00DD556C" w:rsidP="00DD556C">
      <w:pPr>
        <w:pStyle w:val="ListBullet2"/>
      </w:pPr>
      <w:r>
        <w:t>t</w:t>
      </w:r>
      <w:r w:rsidRPr="00953F75">
        <w:t xml:space="preserve">he implications for the results of the </w:t>
      </w:r>
      <w:r>
        <w:t>popPK</w:t>
      </w:r>
      <w:r w:rsidRPr="00953F75">
        <w:t xml:space="preserve"> analyses and Exposure/response analyses of s</w:t>
      </w:r>
      <w:r w:rsidR="00BE0224">
        <w:t xml:space="preserve">ection 3.3 </w:t>
      </w:r>
      <w:r w:rsidR="00956CD3">
        <w:t>‘</w:t>
      </w:r>
      <w:r w:rsidR="00BE0224">
        <w:t>PKPD relationship</w:t>
      </w:r>
      <w:r w:rsidR="00956CD3">
        <w:t>’</w:t>
      </w:r>
      <w:r w:rsidR="00BE0224">
        <w:t xml:space="preserve"> </w:t>
      </w:r>
      <w:r w:rsidRPr="00953F75">
        <w:t>and</w:t>
      </w:r>
    </w:p>
    <w:p w:rsidR="00DD556C" w:rsidRPr="00953F75" w:rsidRDefault="00DD556C" w:rsidP="00DD556C">
      <w:pPr>
        <w:pStyle w:val="ListBullet2"/>
      </w:pPr>
      <w:r w:rsidRPr="00953F75">
        <w:t xml:space="preserve">the implications of section 3.4 </w:t>
      </w:r>
      <w:r w:rsidR="00956CD3">
        <w:t>‘</w:t>
      </w:r>
      <w:r w:rsidRPr="00953F75">
        <w:t>Immunogenicity</w:t>
      </w:r>
      <w:r w:rsidR="00956CD3">
        <w:t>’</w:t>
      </w:r>
      <w:r w:rsidRPr="00953F75">
        <w:t xml:space="preserve"> including whether the impact of antibodies on the efficacy and/or safety of the drug has been addressed in the course of the </w:t>
      </w:r>
      <w:r>
        <w:t>popPK</w:t>
      </w:r>
      <w:r w:rsidRPr="00953F75">
        <w:t xml:space="preserve"> analyses and </w:t>
      </w:r>
      <w:r w:rsidR="00956CD3">
        <w:t>e</w:t>
      </w:r>
      <w:r w:rsidRPr="00953F75">
        <w:t>xposure/response analyses.</w:t>
      </w:r>
    </w:p>
    <w:p w:rsidR="00DD556C" w:rsidRPr="00953F75" w:rsidRDefault="00DD556C" w:rsidP="00DD556C">
      <w:pPr>
        <w:pStyle w:val="ListBullet"/>
      </w:pPr>
      <w:r w:rsidRPr="00953F75">
        <w:t xml:space="preserve">Review the pharmacokinetic/pharmacodynamic analyses in the </w:t>
      </w:r>
      <w:r>
        <w:t>popPK</w:t>
      </w:r>
      <w:r w:rsidRPr="00953F75">
        <w:t xml:space="preserve"> report and provide a critical appraisal, including the validity of the study design and the implications of results for dosage and other information in the proposed Australian </w:t>
      </w:r>
      <w:r w:rsidR="00956CD3">
        <w:t>PI</w:t>
      </w:r>
      <w:r w:rsidRPr="00953F75">
        <w:t>. Re-analysis of data is not requested.</w:t>
      </w:r>
    </w:p>
    <w:p w:rsidR="00DD556C" w:rsidRPr="00953F75" w:rsidRDefault="00DD556C" w:rsidP="00DD556C">
      <w:pPr>
        <w:pStyle w:val="ListBullet"/>
      </w:pPr>
      <w:r w:rsidRPr="00953F75">
        <w:t>Comment on:</w:t>
      </w:r>
    </w:p>
    <w:p w:rsidR="00DD556C" w:rsidRPr="00953F75" w:rsidRDefault="00DD556C" w:rsidP="00DD556C">
      <w:pPr>
        <w:pStyle w:val="ListBullet2"/>
      </w:pPr>
      <w:r w:rsidRPr="00953F75">
        <w:t xml:space="preserve">the consequences if any of the results of your analysis for the </w:t>
      </w:r>
      <w:r w:rsidR="00956CD3" w:rsidRPr="00953F75">
        <w:t>first-round benefit-risk assessment (first round assessment of benefits; first round assessment of risks;</w:t>
      </w:r>
      <w:r w:rsidR="00956CD3">
        <w:t xml:space="preserve"> and</w:t>
      </w:r>
      <w:r w:rsidR="00956CD3" w:rsidRPr="00953F75">
        <w:t xml:space="preserve"> first round assessment </w:t>
      </w:r>
      <w:r w:rsidR="00956CD3">
        <w:t>of benefit-risk balance);</w:t>
      </w:r>
    </w:p>
    <w:p w:rsidR="00DD556C" w:rsidRPr="00953F75" w:rsidRDefault="00DD556C" w:rsidP="00DD556C">
      <w:pPr>
        <w:pStyle w:val="ListBullet2"/>
      </w:pPr>
      <w:r w:rsidRPr="00953F75">
        <w:t xml:space="preserve">the implications of the results of your analyses for the information in the proposed Australian </w:t>
      </w:r>
      <w:r w:rsidR="00956CD3">
        <w:t>PI</w:t>
      </w:r>
      <w:r w:rsidRPr="00953F75">
        <w:t xml:space="preserve"> (sections on </w:t>
      </w:r>
      <w:r w:rsidRPr="007C0362">
        <w:rPr>
          <w:i/>
        </w:rPr>
        <w:t>Pharmacokinetics and Dosage</w:t>
      </w:r>
      <w:r>
        <w:t xml:space="preserve"> and </w:t>
      </w:r>
      <w:r w:rsidRPr="007C0362">
        <w:rPr>
          <w:i/>
        </w:rPr>
        <w:t>Administration</w:t>
      </w:r>
      <w:r>
        <w:t>)</w:t>
      </w:r>
      <w:r w:rsidR="00956CD3">
        <w:t>; and</w:t>
      </w:r>
    </w:p>
    <w:p w:rsidR="00DD556C" w:rsidRDefault="00DD556C" w:rsidP="00DD556C">
      <w:pPr>
        <w:pStyle w:val="ListBullet2"/>
      </w:pPr>
      <w:r w:rsidRPr="00953F75">
        <w:t xml:space="preserve">whether the results of the models are relevant to the data that forms the basis for other parts of the proposed </w:t>
      </w:r>
      <w:r w:rsidR="00956CD3">
        <w:t>PI</w:t>
      </w:r>
      <w:r w:rsidRPr="00953F75">
        <w:t xml:space="preserve"> such</w:t>
      </w:r>
      <w:r>
        <w:t xml:space="preserve"> as </w:t>
      </w:r>
      <w:r w:rsidR="00956CD3" w:rsidRPr="007C0362">
        <w:rPr>
          <w:i/>
        </w:rPr>
        <w:t>U</w:t>
      </w:r>
      <w:r w:rsidRPr="007C0362">
        <w:rPr>
          <w:i/>
        </w:rPr>
        <w:t>se in Special Populations</w:t>
      </w:r>
      <w:r>
        <w:t>.</w:t>
      </w:r>
    </w:p>
    <w:p w:rsidR="00DD556C" w:rsidRDefault="00DD556C" w:rsidP="00DD556C">
      <w:pPr>
        <w:pStyle w:val="Heading5"/>
      </w:pPr>
      <w:r>
        <w:lastRenderedPageBreak/>
        <w:t>Summary</w:t>
      </w:r>
    </w:p>
    <w:p w:rsidR="0008359C" w:rsidRPr="0008359C" w:rsidRDefault="0008359C" w:rsidP="0008359C">
      <w:pPr>
        <w:pStyle w:val="Heading6"/>
      </w:pPr>
      <w:r w:rsidRPr="00D94040">
        <w:t>Summary of the replication of the final (key) analysis model</w:t>
      </w:r>
    </w:p>
    <w:p w:rsidR="00DD556C" w:rsidRDefault="00DD556C" w:rsidP="00DD556C">
      <w:r w:rsidRPr="00D94040">
        <w:rPr>
          <w:rFonts w:cstheme="minorHAnsi"/>
          <w:szCs w:val="24"/>
        </w:rPr>
        <w:t xml:space="preserve">The final popPK and the two final </w:t>
      </w:r>
      <w:r w:rsidR="00956CD3" w:rsidRPr="00D94040">
        <w:rPr>
          <w:rFonts w:cstheme="minorHAnsi"/>
          <w:szCs w:val="24"/>
        </w:rPr>
        <w:t>PKP</w:t>
      </w:r>
      <w:r w:rsidR="00956CD3">
        <w:rPr>
          <w:rFonts w:cstheme="minorHAnsi"/>
          <w:szCs w:val="24"/>
        </w:rPr>
        <w:t>D</w:t>
      </w:r>
      <w:r w:rsidR="00956CD3" w:rsidRPr="00D94040">
        <w:rPr>
          <w:rFonts w:cstheme="minorHAnsi"/>
          <w:szCs w:val="24"/>
        </w:rPr>
        <w:t xml:space="preserve"> </w:t>
      </w:r>
      <w:r w:rsidRPr="00D94040">
        <w:rPr>
          <w:rFonts w:cstheme="minorHAnsi"/>
          <w:szCs w:val="24"/>
        </w:rPr>
        <w:t>models were rerun for this evaluation and were compared to the result provided in the sponsor’s report and also the electronic</w:t>
      </w:r>
      <w:r w:rsidRPr="00123FFA">
        <w:rPr>
          <w:rFonts w:cstheme="minorHAnsi"/>
          <w:szCs w:val="24"/>
        </w:rPr>
        <w:t xml:space="preserve"> data and model files. </w:t>
      </w:r>
      <w:r>
        <w:rPr>
          <w:rFonts w:cstheme="minorHAnsi"/>
          <w:szCs w:val="24"/>
        </w:rPr>
        <w:t xml:space="preserve">The key models (popPK, PASI PKPD and PGA PKPD) supplied by the sponsor </w:t>
      </w:r>
      <w:r w:rsidRPr="00C0724A">
        <w:rPr>
          <w:rFonts w:cstheme="minorHAnsi"/>
          <w:szCs w:val="24"/>
        </w:rPr>
        <w:t>were repeated using the software NONMEM version 7.</w:t>
      </w:r>
      <w:r>
        <w:rPr>
          <w:rFonts w:cstheme="minorHAnsi"/>
          <w:szCs w:val="24"/>
        </w:rPr>
        <w:t>4</w:t>
      </w:r>
      <w:r w:rsidRPr="00C0724A">
        <w:rPr>
          <w:rFonts w:cstheme="minorHAnsi"/>
          <w:szCs w:val="24"/>
        </w:rPr>
        <w:t xml:space="preserve"> and PsN version </w:t>
      </w:r>
      <w:r>
        <w:rPr>
          <w:rFonts w:cstheme="minorHAnsi"/>
          <w:szCs w:val="24"/>
        </w:rPr>
        <w:t>4.7.0</w:t>
      </w:r>
      <w:r w:rsidRPr="00C0724A">
        <w:rPr>
          <w:rFonts w:cstheme="minorHAnsi"/>
          <w:szCs w:val="24"/>
        </w:rPr>
        <w:t xml:space="preserve">. </w:t>
      </w:r>
      <w:r w:rsidRPr="001C3246">
        <w:rPr>
          <w:rFonts w:cstheme="minorHAnsi"/>
          <w:szCs w:val="24"/>
        </w:rPr>
        <w:t>Only minor deviations</w:t>
      </w:r>
      <w:r>
        <w:rPr>
          <w:rFonts w:cstheme="minorHAnsi"/>
          <w:szCs w:val="24"/>
        </w:rPr>
        <w:t xml:space="preserve"> from the submitted results </w:t>
      </w:r>
      <w:r w:rsidRPr="001C3246">
        <w:rPr>
          <w:rFonts w:cstheme="minorHAnsi"/>
          <w:szCs w:val="24"/>
        </w:rPr>
        <w:t xml:space="preserve">were found. The results submitted in the report </w:t>
      </w:r>
      <w:r>
        <w:rPr>
          <w:rFonts w:cstheme="minorHAnsi"/>
          <w:szCs w:val="24"/>
        </w:rPr>
        <w:t>were</w:t>
      </w:r>
      <w:r w:rsidRPr="001C3246">
        <w:rPr>
          <w:rFonts w:cstheme="minorHAnsi"/>
          <w:szCs w:val="24"/>
        </w:rPr>
        <w:t xml:space="preserve"> confirmed </w:t>
      </w:r>
      <w:r>
        <w:rPr>
          <w:rFonts w:cstheme="minorHAnsi"/>
          <w:szCs w:val="24"/>
        </w:rPr>
        <w:t xml:space="preserve">given the </w:t>
      </w:r>
      <w:r w:rsidRPr="001C3246">
        <w:rPr>
          <w:rFonts w:cstheme="minorHAnsi"/>
          <w:szCs w:val="24"/>
        </w:rPr>
        <w:t xml:space="preserve">evaluation performed. </w:t>
      </w:r>
      <w:r>
        <w:rPr>
          <w:rFonts w:cstheme="minorHAnsi"/>
          <w:szCs w:val="24"/>
        </w:rPr>
        <w:t>No concerns are noted.</w:t>
      </w:r>
    </w:p>
    <w:p w:rsidR="00DD556C" w:rsidRPr="00DD556C" w:rsidRDefault="00DD556C" w:rsidP="00DD556C">
      <w:pPr>
        <w:pStyle w:val="Heading6"/>
      </w:pPr>
      <w:r w:rsidRPr="00953F75">
        <w:t xml:space="preserve">Summary of the </w:t>
      </w:r>
      <w:r w:rsidR="00956CD3">
        <w:t>e</w:t>
      </w:r>
      <w:r w:rsidRPr="00953F75">
        <w:t>valuation of the popPK and PKPD report</w:t>
      </w:r>
      <w:r w:rsidRPr="00953F75">
        <w:rPr>
          <w:szCs w:val="24"/>
        </w:rPr>
        <w:t xml:space="preserve"> </w:t>
      </w:r>
      <w:r w:rsidRPr="00953F75">
        <w:t>against Guideline CHMP/EWP/185990/06</w:t>
      </w:r>
    </w:p>
    <w:p w:rsidR="00702D7B" w:rsidRDefault="00E8302F" w:rsidP="008F5BC0">
      <w:r w:rsidRPr="00E8302F">
        <w:t xml:space="preserve">Overall, this was a clearly written report by the sponsor, all points outlined in the EMA Guideline were addressed, main decision and assumptions made during the analysis were outlined and could be followed easily. The data was appropriate to support the claims, as well as the methods and evaluation standards for a </w:t>
      </w:r>
      <w:r w:rsidR="007340AD">
        <w:t>population pharmacokinetic</w:t>
      </w:r>
      <w:r w:rsidR="00F001E6">
        <w:t xml:space="preserve"> analysis. The use of a mixed </w:t>
      </w:r>
      <w:r w:rsidRPr="00E8302F">
        <w:t>effect modelling approach with the data used was appropriate and consistent with guidelines.</w:t>
      </w:r>
    </w:p>
    <w:p w:rsidR="0008359C" w:rsidRDefault="0008359C" w:rsidP="0008359C">
      <w:r w:rsidRPr="0008359C">
        <w:t>Main comments raised during the popPK and PKPD models evaluations were:</w:t>
      </w:r>
    </w:p>
    <w:p w:rsidR="0008359C" w:rsidRPr="0008359C" w:rsidRDefault="0008359C" w:rsidP="0008359C">
      <w:pPr>
        <w:pStyle w:val="ListBullet"/>
      </w:pPr>
      <w:r w:rsidRPr="0008359C">
        <w:t xml:space="preserve">Information regarding the analytical assays to </w:t>
      </w:r>
      <w:r w:rsidR="00956CD3" w:rsidRPr="0008359C">
        <w:t>characteri</w:t>
      </w:r>
      <w:r w:rsidR="00956CD3">
        <w:t>s</w:t>
      </w:r>
      <w:r w:rsidR="00956CD3" w:rsidRPr="0008359C">
        <w:t xml:space="preserve">e </w:t>
      </w:r>
      <w:r w:rsidRPr="0008359C">
        <w:t xml:space="preserve">concentrations of CZP were not described, except for a change in </w:t>
      </w:r>
      <w:r w:rsidR="004F4D77" w:rsidRPr="0008359C">
        <w:t xml:space="preserve">the </w:t>
      </w:r>
      <w:r w:rsidR="004F4D77">
        <w:t>lower limit of quantification</w:t>
      </w:r>
      <w:r w:rsidR="004F4D77" w:rsidRPr="0008359C">
        <w:t xml:space="preserve"> </w:t>
      </w:r>
      <w:r w:rsidR="004F4D77">
        <w:t>(</w:t>
      </w:r>
      <w:r w:rsidRPr="0008359C">
        <w:t>LLOQ</w:t>
      </w:r>
      <w:r w:rsidR="004F4D77">
        <w:t>)</w:t>
      </w:r>
      <w:r w:rsidRPr="0008359C">
        <w:t xml:space="preserve"> compared to a previous report. This may be available in other parts of the submission.</w:t>
      </w:r>
    </w:p>
    <w:p w:rsidR="0008359C" w:rsidRPr="0008359C" w:rsidRDefault="0008359C" w:rsidP="0008359C">
      <w:pPr>
        <w:pStyle w:val="ListBullet"/>
      </w:pPr>
      <w:r w:rsidRPr="0008359C">
        <w:t>A power model was utilised for all continuous covariates included, which may not be the most biologically plausible model. A physiologically based rational was not provided. The rational for covariate inclusion was limited and mainly based on previous unpublished reports. The sponsor may want to co</w:t>
      </w:r>
      <w:r w:rsidR="00BE0224">
        <w:t>nsider this in future analyses.</w:t>
      </w:r>
    </w:p>
    <w:p w:rsidR="0008359C" w:rsidRPr="0008359C" w:rsidRDefault="0008359C" w:rsidP="0008359C">
      <w:pPr>
        <w:pStyle w:val="ListBullet"/>
      </w:pPr>
      <w:r w:rsidRPr="0008359C">
        <w:t>Please clarify if 3.8% of post-dose CZP concentration means 3.8% of the 5907 CZP concentration originally obtained or 3.8% of the 4361 plasma concentration used in the popPK data set, to complete the information.</w:t>
      </w:r>
    </w:p>
    <w:p w:rsidR="0008359C" w:rsidRPr="0008359C" w:rsidRDefault="0008359C" w:rsidP="0008359C">
      <w:pPr>
        <w:pStyle w:val="ListBullet"/>
      </w:pPr>
      <w:r w:rsidRPr="0008359C">
        <w:t xml:space="preserve">Given that higher </w:t>
      </w:r>
      <w:r w:rsidR="00956CD3">
        <w:t>weight</w:t>
      </w:r>
      <w:r w:rsidRPr="0008359C">
        <w:t xml:space="preserve"> patients had a slower onset of effect in PASI score reduction and </w:t>
      </w:r>
      <w:r w:rsidR="00956CD3">
        <w:t>weight</w:t>
      </w:r>
      <w:r w:rsidRPr="0008359C">
        <w:t xml:space="preserve"> also significantly influences CL/F and </w:t>
      </w:r>
      <w:r w:rsidR="009C2FAC">
        <w:t>apparent volume of distribution</w:t>
      </w:r>
      <w:r w:rsidR="009C2FAC" w:rsidRPr="0008359C">
        <w:t xml:space="preserve"> </w:t>
      </w:r>
      <w:r w:rsidR="009C2FAC">
        <w:t>(</w:t>
      </w:r>
      <w:r w:rsidRPr="0008359C">
        <w:t>V/F</w:t>
      </w:r>
      <w:r w:rsidR="009C2FAC">
        <w:t>)</w:t>
      </w:r>
      <w:r w:rsidRPr="0008359C">
        <w:t xml:space="preserve"> with reduced exposure to CZP in higher weight patients, the sponsor should provide further arguments for a non-weight based dosing of CZP.</w:t>
      </w:r>
    </w:p>
    <w:p w:rsidR="0008359C" w:rsidRPr="0008359C" w:rsidRDefault="0008359C" w:rsidP="0008359C">
      <w:pPr>
        <w:pStyle w:val="ListBullet"/>
      </w:pPr>
      <w:r w:rsidRPr="0008359C">
        <w:t>Please comment on the fi</w:t>
      </w:r>
      <w:r w:rsidR="00BE0224">
        <w:t xml:space="preserve">nding that patients with an </w:t>
      </w:r>
      <w:r w:rsidR="004F4D77">
        <w:t>anti-drug antibody (</w:t>
      </w:r>
      <w:r w:rsidR="00BE0224">
        <w:t>ADA</w:t>
      </w:r>
      <w:r w:rsidR="004F4D77">
        <w:t>)</w:t>
      </w:r>
      <w:r w:rsidRPr="0008359C">
        <w:t xml:space="preserve"> event (&gt;</w:t>
      </w:r>
      <w:r w:rsidR="00956CD3">
        <w:t> </w:t>
      </w:r>
      <w:r w:rsidRPr="0008359C">
        <w:t>2.4 U/mL) up to Week 16 had a different EC</w:t>
      </w:r>
      <w:r w:rsidRPr="007C0362">
        <w:rPr>
          <w:vertAlign w:val="subscript"/>
        </w:rPr>
        <w:t>90</w:t>
      </w:r>
      <w:r w:rsidR="00956CD3">
        <w:rPr>
          <w:rStyle w:val="FootnoteReference"/>
          <w:vertAlign w:val="baseline"/>
        </w:rPr>
        <w:t>;</w:t>
      </w:r>
      <w:r w:rsidR="004F4D77">
        <w:rPr>
          <w:rStyle w:val="FootnoteReference"/>
        </w:rPr>
        <w:footnoteReference w:id="2"/>
      </w:r>
      <w:r w:rsidRPr="0008359C">
        <w:t xml:space="preserve"> on top of having reduced exposure due to an increased CL/F. How can th</w:t>
      </w:r>
      <w:r w:rsidR="00BE0224">
        <w:t>is be explained? Developing ADA</w:t>
      </w:r>
      <w:r w:rsidRPr="0008359C">
        <w:t xml:space="preserve"> against CZP leads to a reduction in the exposure (due to increased CL/F) and on top of that the potency of CZP is reduced? Please extend the discussion around this for further support.</w:t>
      </w:r>
    </w:p>
    <w:p w:rsidR="0008359C" w:rsidRPr="0008359C" w:rsidRDefault="0008359C" w:rsidP="007C0362">
      <w:pPr>
        <w:pStyle w:val="Heading6"/>
      </w:pPr>
      <w:r>
        <w:t>Conclusion</w:t>
      </w:r>
    </w:p>
    <w:p w:rsidR="0008359C" w:rsidRPr="0008359C" w:rsidRDefault="0008359C" w:rsidP="0008359C">
      <w:r w:rsidRPr="0008359C">
        <w:t>Overall, the popPK report and the PKPD analyses are in agreement with the guidelines.</w:t>
      </w:r>
    </w:p>
    <w:p w:rsidR="0008359C" w:rsidRPr="0008359C" w:rsidRDefault="0008359C" w:rsidP="0008359C">
      <w:r w:rsidRPr="0008359C">
        <w:t xml:space="preserve">The conclusions drawn from the final models are valid, the report provided a well-rounded discussion. Results of the popPK model and PKPD models could be replicated in this assessment and were found appropriate. </w:t>
      </w:r>
      <w:r w:rsidR="00BE0224">
        <w:t>Overall the exposure,</w:t>
      </w:r>
      <w:r w:rsidRPr="0008359C">
        <w:t xml:space="preserve"> efficacy (PASI and PGA) relationship modelling performed was appropriate and the analysis assumptions used and conclusions made are considered reasonable</w:t>
      </w:r>
    </w:p>
    <w:p w:rsidR="0008359C" w:rsidRPr="00953F75" w:rsidRDefault="0008359C" w:rsidP="0008359C">
      <w:pPr>
        <w:pStyle w:val="Heading6"/>
      </w:pPr>
      <w:r w:rsidRPr="00953F75">
        <w:lastRenderedPageBreak/>
        <w:t xml:space="preserve">Summary of the </w:t>
      </w:r>
      <w:r w:rsidR="00956CD3">
        <w:t>e</w:t>
      </w:r>
      <w:r w:rsidRPr="00953F75">
        <w:t>valuation of the popPK and PKPD report</w:t>
      </w:r>
      <w:r w:rsidRPr="00953F75">
        <w:rPr>
          <w:szCs w:val="24"/>
        </w:rPr>
        <w:t xml:space="preserve"> </w:t>
      </w:r>
      <w:r w:rsidRPr="00953F75">
        <w:t>against the Guideline for therapeutic proteins CHMP /EWP/89249/2004</w:t>
      </w:r>
    </w:p>
    <w:p w:rsidR="0008359C" w:rsidRDefault="0008359C" w:rsidP="0008359C">
      <w:r w:rsidRPr="0034694B">
        <w:t xml:space="preserve">The sponsor’s reports were evaluated against the guideline for therapeutic proteins in relation to the impact on the PK and </w:t>
      </w:r>
      <w:r w:rsidR="004F4D77">
        <w:t>pharmacodynamics</w:t>
      </w:r>
      <w:r w:rsidR="004F4D77" w:rsidRPr="0034694B">
        <w:t xml:space="preserve"> </w:t>
      </w:r>
      <w:r w:rsidR="004F4D77">
        <w:t>(</w:t>
      </w:r>
      <w:r w:rsidRPr="0034694B">
        <w:t>PD</w:t>
      </w:r>
      <w:r w:rsidR="004F4D77">
        <w:t>)</w:t>
      </w:r>
      <w:r w:rsidRPr="0034694B">
        <w:t xml:space="preserve"> of CZP. </w:t>
      </w:r>
      <w:r w:rsidRPr="0034694B">
        <w:rPr>
          <w:lang w:eastAsia="en-AU"/>
        </w:rPr>
        <w:t xml:space="preserve">Immunogenicity was considered </w:t>
      </w:r>
      <w:r>
        <w:rPr>
          <w:lang w:eastAsia="en-AU"/>
        </w:rPr>
        <w:t>throughout and the</w:t>
      </w:r>
      <w:r w:rsidRPr="0034694B">
        <w:rPr>
          <w:lang w:eastAsia="en-AU"/>
        </w:rPr>
        <w:t xml:space="preserve"> report overall complies with the guideline</w:t>
      </w:r>
      <w:r>
        <w:rPr>
          <w:lang w:eastAsia="en-AU"/>
        </w:rPr>
        <w:t>.</w:t>
      </w:r>
      <w:r>
        <w:t xml:space="preserve"> </w:t>
      </w:r>
      <w:r w:rsidR="00BE0224">
        <w:t>Patients with an ADA</w:t>
      </w:r>
      <w:r>
        <w:t xml:space="preserve"> positive response were identified. A positive </w:t>
      </w:r>
      <w:r w:rsidR="00BE0224">
        <w:t>ADA</w:t>
      </w:r>
      <w:r w:rsidRPr="0034694B">
        <w:t xml:space="preserve"> </w:t>
      </w:r>
      <w:r>
        <w:t>event was</w:t>
      </w:r>
      <w:r w:rsidRPr="0034694B">
        <w:t xml:space="preserve"> found to influence the apparent clearance (CL/F) of CZP and EC</w:t>
      </w:r>
      <w:r w:rsidRPr="007C0362">
        <w:rPr>
          <w:vertAlign w:val="subscript"/>
        </w:rPr>
        <w:t>90</w:t>
      </w:r>
      <w:r w:rsidRPr="0034694B">
        <w:t xml:space="preserve"> in the PASI model.</w:t>
      </w:r>
    </w:p>
    <w:p w:rsidR="0008359C" w:rsidRDefault="0008359C" w:rsidP="0008359C">
      <w:pPr>
        <w:pStyle w:val="Heading5"/>
      </w:pPr>
      <w:r>
        <w:t>Conclusion</w:t>
      </w:r>
    </w:p>
    <w:p w:rsidR="0008359C" w:rsidRDefault="0008359C" w:rsidP="0008359C">
      <w:r w:rsidRPr="0008359C">
        <w:t xml:space="preserve">The final popPK model for CZP in </w:t>
      </w:r>
      <w:r w:rsidR="00992F5A">
        <w:t>psoriasis</w:t>
      </w:r>
      <w:r w:rsidRPr="0008359C">
        <w:t xml:space="preserve"> patients was</w:t>
      </w:r>
      <w:r>
        <w:t xml:space="preserve"> found to be a one compartment model with first-order absorption and a first-order elimination from the central compartment. </w:t>
      </w:r>
      <w:r w:rsidR="00992F5A">
        <w:t xml:space="preserve">Inter-individual variability </w:t>
      </w:r>
      <w:r>
        <w:t xml:space="preserve">terms were supported on CL/F and V/F with a correlation between the two terms. ADA on CL/F, and </w:t>
      </w:r>
      <w:r w:rsidR="00992F5A">
        <w:t xml:space="preserve">weight </w:t>
      </w:r>
      <w:r>
        <w:t xml:space="preserve">on CL/F and V/F were included as structural covariates and resulted in statistically significant improvement of the model fit. The </w:t>
      </w:r>
      <w:r w:rsidR="00992F5A">
        <w:t xml:space="preserve">residual unexplained variability </w:t>
      </w:r>
      <w:r>
        <w:t>for CZP was described by a combined error model (proportional and additive). Shrinkage was reported to be &lt;</w:t>
      </w:r>
      <w:r w:rsidR="00BE0224">
        <w:t xml:space="preserve"> </w:t>
      </w:r>
      <w:r>
        <w:t xml:space="preserve">10% on CL/F </w:t>
      </w:r>
      <w:r w:rsidR="00992F5A">
        <w:t xml:space="preserve">inter-individual variability </w:t>
      </w:r>
      <w:r>
        <w:t xml:space="preserve">and 59% on V/F </w:t>
      </w:r>
      <w:r w:rsidR="00992F5A">
        <w:t>inter-individual variability</w:t>
      </w:r>
      <w:r>
        <w:t>. Sensitivity analys</w:t>
      </w:r>
      <w:r w:rsidR="00992F5A">
        <w:t>e</w:t>
      </w:r>
      <w:r>
        <w:t>s support the final model using the updated popPK data set.</w:t>
      </w:r>
    </w:p>
    <w:p w:rsidR="0008359C" w:rsidRDefault="0008359C" w:rsidP="0008359C">
      <w:r>
        <w:t xml:space="preserve">The final parameters are shown in Table </w:t>
      </w:r>
      <w:r w:rsidR="009C2FAC">
        <w:t>3</w:t>
      </w:r>
      <w:r>
        <w:t>. The values were replicated by the evaluator using the provided data and model files.</w:t>
      </w:r>
    </w:p>
    <w:p w:rsidR="0008359C" w:rsidRDefault="009C2FAC" w:rsidP="0008359C">
      <w:pPr>
        <w:pStyle w:val="TableTitle"/>
        <w:rPr>
          <w:lang w:eastAsia="en-AU"/>
        </w:rPr>
      </w:pPr>
      <w:r>
        <w:rPr>
          <w:lang w:eastAsia="en-AU"/>
        </w:rPr>
        <w:lastRenderedPageBreak/>
        <w:t>Table 3</w:t>
      </w:r>
      <w:r w:rsidR="0008359C">
        <w:rPr>
          <w:lang w:eastAsia="en-AU"/>
        </w:rPr>
        <w:t>: Parameter estimates of the final PK model for Cimzia</w:t>
      </w:r>
    </w:p>
    <w:p w:rsidR="0008359C" w:rsidRPr="0008359C" w:rsidRDefault="0008359C" w:rsidP="0008359C">
      <w:r>
        <w:rPr>
          <w:noProof/>
          <w:lang w:eastAsia="en-AU"/>
        </w:rPr>
        <w:drawing>
          <wp:inline distT="0" distB="0" distL="0" distR="0" wp14:anchorId="1C117CEA" wp14:editId="65F1E516">
            <wp:extent cx="4391025" cy="5334000"/>
            <wp:effectExtent l="0" t="0" r="9525" b="0"/>
            <wp:docPr id="6" name="Picture 6" descr="Parameter estimates of the final PK model for Cim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91025" cy="5334000"/>
                    </a:xfrm>
                    <a:prstGeom prst="rect">
                      <a:avLst/>
                    </a:prstGeom>
                  </pic:spPr>
                </pic:pic>
              </a:graphicData>
            </a:graphic>
          </wp:inline>
        </w:drawing>
      </w:r>
    </w:p>
    <w:p w:rsidR="008E7846" w:rsidRDefault="008E7846" w:rsidP="008E7846">
      <w:pPr>
        <w:pStyle w:val="Heading3"/>
      </w:pPr>
      <w:bookmarkStart w:id="50" w:name="_Toc196046481"/>
      <w:bookmarkStart w:id="51" w:name="_Toc247691520"/>
      <w:bookmarkStart w:id="52" w:name="_Toc314842503"/>
      <w:bookmarkStart w:id="53" w:name="_Toc21525658"/>
      <w:r w:rsidRPr="00254787">
        <w:t>Pharmacodynamics</w:t>
      </w:r>
      <w:bookmarkEnd w:id="40"/>
      <w:bookmarkEnd w:id="50"/>
      <w:bookmarkEnd w:id="51"/>
      <w:bookmarkEnd w:id="52"/>
      <w:bookmarkEnd w:id="53"/>
    </w:p>
    <w:p w:rsidR="00605AD4" w:rsidRDefault="00605AD4" w:rsidP="00605AD4">
      <w:pPr>
        <w:pStyle w:val="Heading4"/>
      </w:pPr>
      <w:r>
        <w:t>Studies providing pharmacodynamic data</w:t>
      </w:r>
    </w:p>
    <w:p w:rsidR="00500337" w:rsidRPr="00500337" w:rsidRDefault="008F5BC0" w:rsidP="00500337">
      <w:r w:rsidRPr="008F5BC0">
        <w:t xml:space="preserve">In this submission, the sponsor has provided a new population </w:t>
      </w:r>
      <w:r w:rsidR="00992F5A">
        <w:t>PKPD</w:t>
      </w:r>
      <w:r w:rsidRPr="008F5BC0">
        <w:t xml:space="preserve"> analysis using the PASI data up to </w:t>
      </w:r>
      <w:r w:rsidR="00E62588">
        <w:t>W</w:t>
      </w:r>
      <w:r w:rsidRPr="008F5BC0">
        <w:t>eek</w:t>
      </w:r>
      <w:r w:rsidR="00E62588">
        <w:t> </w:t>
      </w:r>
      <w:r w:rsidRPr="008F5BC0">
        <w:t xml:space="preserve">16 from the CIMPASI-1, CIMPASI-2 and </w:t>
      </w:r>
      <w:r w:rsidR="00992F5A">
        <w:t>trials</w:t>
      </w:r>
      <w:r w:rsidRPr="008F5BC0">
        <w:t xml:space="preserve">. The PASI </w:t>
      </w:r>
      <w:r w:rsidR="00992F5A">
        <w:t xml:space="preserve">PKPD </w:t>
      </w:r>
      <w:r w:rsidRPr="008F5BC0">
        <w:t xml:space="preserve">model only included data up to </w:t>
      </w:r>
      <w:r w:rsidR="00F63AEF">
        <w:t>W</w:t>
      </w:r>
      <w:r w:rsidRPr="008F5BC0">
        <w:t xml:space="preserve">eek 16 because the trials were designed to have a response driven change in therapy after 16 weeks. The </w:t>
      </w:r>
      <w:r w:rsidR="00F63AEF">
        <w:t>pharmacokinetic/ pharmacodynamic</w:t>
      </w:r>
      <w:r w:rsidRPr="008F5BC0">
        <w:t xml:space="preserve"> dataset comprised 4919 PASI observations collected from 849 subjects.</w:t>
      </w:r>
    </w:p>
    <w:p w:rsidR="00605AD4" w:rsidRDefault="00605AD4" w:rsidP="00605AD4">
      <w:pPr>
        <w:pStyle w:val="Heading4"/>
      </w:pPr>
      <w:r>
        <w:t>Evaluator’s conclusions on pharmacodynamics</w:t>
      </w:r>
    </w:p>
    <w:p w:rsidR="00702D7B" w:rsidRDefault="008F5BC0" w:rsidP="00500337">
      <w:r w:rsidRPr="008F5BC0">
        <w:t xml:space="preserve">In this submission, the sponsor has provided a new population </w:t>
      </w:r>
      <w:r w:rsidR="00992F5A">
        <w:t>PKPD</w:t>
      </w:r>
      <w:r w:rsidRPr="008F5BC0">
        <w:t xml:space="preserve"> analysis using the PASI and plasma </w:t>
      </w:r>
      <w:r w:rsidR="001D63B3">
        <w:t>certolizumab pegol</w:t>
      </w:r>
      <w:r w:rsidRPr="008F5BC0">
        <w:t xml:space="preserve"> concentration data up to </w:t>
      </w:r>
      <w:r w:rsidR="00F63AEF">
        <w:t>W</w:t>
      </w:r>
      <w:r w:rsidRPr="008F5BC0">
        <w:t xml:space="preserve">eek 16 from the </w:t>
      </w:r>
      <w:r w:rsidR="00BE0224">
        <w:t>three</w:t>
      </w:r>
      <w:r w:rsidRPr="008F5BC0">
        <w:t xml:space="preserve"> Phase </w:t>
      </w:r>
      <w:r w:rsidR="00F63AEF">
        <w:t>III</w:t>
      </w:r>
      <w:r w:rsidRPr="008F5BC0">
        <w:t xml:space="preserve"> studies. The </w:t>
      </w:r>
      <w:r w:rsidR="00F63AEF">
        <w:t>pharmacokinetic/pharmacodynamic</w:t>
      </w:r>
      <w:r w:rsidRPr="008F5BC0">
        <w:t xml:space="preserve"> dataset comprised 4919 PASI observations collected from 849 subjects. The analysis showed an exposure-response </w:t>
      </w:r>
      <w:r w:rsidRPr="008F5BC0">
        <w:lastRenderedPageBreak/>
        <w:t xml:space="preserve">relationship between </w:t>
      </w:r>
      <w:r w:rsidR="001D63B3">
        <w:t>certolizumab pegol</w:t>
      </w:r>
      <w:r w:rsidRPr="008F5BC0">
        <w:t xml:space="preserve"> plasma concentrations and PASI with an EC</w:t>
      </w:r>
      <w:r w:rsidRPr="007C0362">
        <w:rPr>
          <w:vertAlign w:val="subscript"/>
        </w:rPr>
        <w:t>90</w:t>
      </w:r>
      <w:r w:rsidRPr="008F5BC0">
        <w:t xml:space="preserve"> of 11.1 μg/mL and PASI </w:t>
      </w:r>
      <w:r w:rsidR="007C0362">
        <w:t>half-life</w:t>
      </w:r>
      <w:r w:rsidR="00992F5A">
        <w:t xml:space="preserve"> (</w:t>
      </w:r>
      <w:r w:rsidRPr="008F5BC0">
        <w:t>t</w:t>
      </w:r>
      <w:r w:rsidR="00BE0224">
        <w:rPr>
          <w:vertAlign w:val="subscript"/>
        </w:rPr>
        <w:t>½</w:t>
      </w:r>
      <w:r w:rsidR="00992F5A">
        <w:t>) o</w:t>
      </w:r>
      <w:r w:rsidRPr="008F5BC0">
        <w:t>f 22.5 days.</w:t>
      </w:r>
      <w:r w:rsidR="009C2FAC">
        <w:rPr>
          <w:rStyle w:val="FootnoteReference"/>
        </w:rPr>
        <w:footnoteReference w:id="3"/>
      </w:r>
    </w:p>
    <w:p w:rsidR="00702D7B" w:rsidRDefault="008F5BC0" w:rsidP="00500337">
      <w:r w:rsidRPr="008F5BC0">
        <w:t xml:space="preserve">The exposure-response relationship of </w:t>
      </w:r>
      <w:r w:rsidR="001D63B3">
        <w:t>certolizumab pegol</w:t>
      </w:r>
      <w:r w:rsidRPr="008F5BC0">
        <w:t xml:space="preserve"> for predicting clinical efficacy in patients with </w:t>
      </w:r>
      <w:r w:rsidR="00A567C2">
        <w:t>psoriasis</w:t>
      </w:r>
      <w:r w:rsidRPr="008F5BC0">
        <w:t xml:space="preserve"> appears to be best explained by higher trough drug concentration rather than </w:t>
      </w:r>
      <w:r w:rsidR="001D63B3">
        <w:t>certolizumab pegol</w:t>
      </w:r>
      <w:r w:rsidRPr="008F5BC0">
        <w:t xml:space="preserve"> dose regimen as there appears to be substantial overlap in trough serum </w:t>
      </w:r>
      <w:r w:rsidR="001D63B3">
        <w:t>certolizumab pegol</w:t>
      </w:r>
      <w:r w:rsidRPr="008F5BC0">
        <w:t xml:space="preserve"> levels according to the dosing range of 200</w:t>
      </w:r>
      <w:r w:rsidR="00F63AEF">
        <w:t xml:space="preserve"> to </w:t>
      </w:r>
      <w:r w:rsidRPr="008F5BC0">
        <w:t>400</w:t>
      </w:r>
      <w:r w:rsidR="00E62588">
        <w:t xml:space="preserve"> </w:t>
      </w:r>
      <w:r w:rsidRPr="008F5BC0">
        <w:t xml:space="preserve">mg Q2W. Consistent with prior knowledge, the </w:t>
      </w:r>
      <w:r w:rsidR="00F63AEF">
        <w:t>two</w:t>
      </w:r>
      <w:r w:rsidRPr="008F5BC0">
        <w:t xml:space="preserve"> covariates identified to have the greatest impact upon exposure-response are the presence of </w:t>
      </w:r>
      <w:r w:rsidR="00F63AEF">
        <w:t>antidrug antibodies</w:t>
      </w:r>
      <w:r w:rsidRPr="008F5BC0">
        <w:t xml:space="preserve"> and increased subject body weight. Positive </w:t>
      </w:r>
      <w:r w:rsidR="00F63AEF">
        <w:t>antibody</w:t>
      </w:r>
      <w:r w:rsidRPr="008F5BC0">
        <w:t xml:space="preserve"> status results in substantially lower </w:t>
      </w:r>
      <w:r w:rsidR="001D63B3">
        <w:t>certolizumab pegol</w:t>
      </w:r>
      <w:r w:rsidRPr="008F5BC0">
        <w:t xml:space="preserve"> plasma concentrations and increases the EC</w:t>
      </w:r>
      <w:r w:rsidRPr="007C0362">
        <w:rPr>
          <w:vertAlign w:val="subscript"/>
        </w:rPr>
        <w:t>90</w:t>
      </w:r>
      <w:r w:rsidRPr="008F5BC0">
        <w:t xml:space="preserve"> value for achieving PASI response significantly. Subjects with high body weights (&gt;</w:t>
      </w:r>
      <w:r w:rsidR="00F63AEF">
        <w:t xml:space="preserve"> </w:t>
      </w:r>
      <w:r w:rsidRPr="008F5BC0">
        <w:t xml:space="preserve">90 kg) also have lower plasma </w:t>
      </w:r>
      <w:r w:rsidR="001D63B3">
        <w:t>certolizumab pegol</w:t>
      </w:r>
      <w:r w:rsidRPr="008F5BC0">
        <w:t xml:space="preserve"> concentrations and this results in an increase in time to maximum clinical response (longer PASI </w:t>
      </w:r>
      <w:r w:rsidR="00BE0224" w:rsidRPr="008F5BC0">
        <w:t>t</w:t>
      </w:r>
      <w:r w:rsidR="00BE0224">
        <w:rPr>
          <w:vertAlign w:val="subscript"/>
        </w:rPr>
        <w:t>½</w:t>
      </w:r>
      <w:r w:rsidRPr="008F5BC0">
        <w:t>).</w:t>
      </w:r>
    </w:p>
    <w:p w:rsidR="008E7846" w:rsidRDefault="00605AD4" w:rsidP="00605AD4">
      <w:pPr>
        <w:pStyle w:val="Heading3"/>
      </w:pPr>
      <w:bookmarkStart w:id="54" w:name="_Toc21525659"/>
      <w:r>
        <w:t>Dosage selection for the pivotal studies</w:t>
      </w:r>
      <w:bookmarkEnd w:id="54"/>
    </w:p>
    <w:p w:rsidR="00702D7B" w:rsidRDefault="008F5BC0" w:rsidP="008F5BC0">
      <w:r>
        <w:t xml:space="preserve">The totality of data from the Phase </w:t>
      </w:r>
      <w:r w:rsidR="00A316C5">
        <w:t>II</w:t>
      </w:r>
      <w:r>
        <w:t xml:space="preserve"> </w:t>
      </w:r>
      <w:r w:rsidR="00A567C2">
        <w:t>psoriasis</w:t>
      </w:r>
      <w:r>
        <w:t xml:space="preserve"> studies, including clinical outcomes (efficacy, safety and tolerability information), as well as the known </w:t>
      </w:r>
      <w:r w:rsidR="00992F5A">
        <w:t>PKPD</w:t>
      </w:r>
      <w:r>
        <w:t xml:space="preserve"> data in other treatment indications support the investigation of </w:t>
      </w:r>
      <w:r w:rsidR="00786E8F">
        <w:t>two</w:t>
      </w:r>
      <w:r>
        <w:t xml:space="preserve"> </w:t>
      </w:r>
      <w:r w:rsidR="001D63B3">
        <w:t>certolizumab pegol</w:t>
      </w:r>
      <w:r>
        <w:t xml:space="preserve"> dose regimens in the pivotal Phase </w:t>
      </w:r>
      <w:r w:rsidR="00A316C5">
        <w:t>III</w:t>
      </w:r>
      <w:r>
        <w:t xml:space="preserve"> studies. The Phase </w:t>
      </w:r>
      <w:r w:rsidR="00A316C5">
        <w:t>III</w:t>
      </w:r>
      <w:r>
        <w:t xml:space="preserve"> trials predominantly investigated the </w:t>
      </w:r>
      <w:r w:rsidR="001D63B3">
        <w:t>certolizumab pegol</w:t>
      </w:r>
      <w:r w:rsidR="007340AD">
        <w:t xml:space="preserve"> treatment posology</w:t>
      </w:r>
      <w:r>
        <w:t xml:space="preserve"> of 200</w:t>
      </w:r>
      <w:r w:rsidR="00A316C5">
        <w:t xml:space="preserve"> </w:t>
      </w:r>
      <w:r>
        <w:t>mg Q2W and 400</w:t>
      </w:r>
      <w:r w:rsidR="00A316C5">
        <w:t xml:space="preserve"> </w:t>
      </w:r>
      <w:r>
        <w:t>mg Q4W, which have been appropriately justified by the sponsor.</w:t>
      </w:r>
    </w:p>
    <w:p w:rsidR="00702D7B" w:rsidRDefault="008F5BC0" w:rsidP="008F5BC0">
      <w:r>
        <w:t xml:space="preserve">Comments regarding the appropriateness and adequacy of concurrent and/or comparator therapies in the Phase </w:t>
      </w:r>
      <w:r w:rsidR="00A316C5">
        <w:t>III</w:t>
      </w:r>
      <w:r>
        <w:t xml:space="preserve"> studies are also pertinent to the interpretation of the reported outcomes. The majority of treatment comparisons involved the assessment of </w:t>
      </w:r>
      <w:r w:rsidR="001D63B3">
        <w:t>certolizumab pegol</w:t>
      </w:r>
      <w:r>
        <w:t xml:space="preserve"> versus </w:t>
      </w:r>
      <w:r w:rsidR="00A316C5">
        <w:t>placebo</w:t>
      </w:r>
      <w:r>
        <w:t xml:space="preserve">, which is appropriate in establishing the relative merits of </w:t>
      </w:r>
      <w:r w:rsidR="001D63B3">
        <w:t>certolizumab pegol</w:t>
      </w:r>
      <w:r>
        <w:t xml:space="preserve"> in </w:t>
      </w:r>
      <w:r w:rsidR="00A567C2">
        <w:t>psoriasis</w:t>
      </w:r>
      <w:r>
        <w:t>. Study PS0003 (CIMPACT</w:t>
      </w:r>
      <w:r w:rsidR="00992F5A">
        <w:t xml:space="preserve"> trial</w:t>
      </w:r>
      <w:r>
        <w:t xml:space="preserve">) also had a comparison between </w:t>
      </w:r>
      <w:r w:rsidR="001D63B3">
        <w:t>certolizumab pegol</w:t>
      </w:r>
      <w:r>
        <w:t xml:space="preserve"> and etanercept, which is also appropriate to reflect an active biologic comparator, but this biologic therapy may be relatively less effective than peers and hence is a minor deficiency of the current </w:t>
      </w:r>
      <w:r w:rsidR="001D63B3">
        <w:t>certolizumab pegol</w:t>
      </w:r>
      <w:r>
        <w:t xml:space="preserve"> </w:t>
      </w:r>
      <w:r w:rsidR="00A567C2">
        <w:t>psoriasis</w:t>
      </w:r>
      <w:r>
        <w:t xml:space="preserve"> study program.</w:t>
      </w:r>
    </w:p>
    <w:p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21525660"/>
      <w:r w:rsidRPr="00254787">
        <w:t>Efficacy</w:t>
      </w:r>
      <w:bookmarkEnd w:id="55"/>
      <w:bookmarkEnd w:id="56"/>
      <w:bookmarkEnd w:id="57"/>
      <w:bookmarkEnd w:id="58"/>
      <w:bookmarkEnd w:id="59"/>
    </w:p>
    <w:p w:rsidR="00605AD4" w:rsidRDefault="00605AD4" w:rsidP="00605AD4">
      <w:pPr>
        <w:pStyle w:val="Heading4"/>
      </w:pPr>
      <w:bookmarkStart w:id="60" w:name="_Toc184439992"/>
      <w:bookmarkStart w:id="61" w:name="_Toc184440279"/>
      <w:bookmarkStart w:id="62" w:name="_Toc184444657"/>
      <w:bookmarkStart w:id="63" w:name="_Toc196046487"/>
      <w:r>
        <w:t>Studies providing efficacy data</w:t>
      </w:r>
    </w:p>
    <w:p w:rsidR="00702D7B" w:rsidRDefault="008F5BC0" w:rsidP="008F5BC0">
      <w:r>
        <w:t xml:space="preserve">The efficacy of </w:t>
      </w:r>
      <w:r w:rsidR="001D63B3">
        <w:t>certolizumab pegol</w:t>
      </w:r>
      <w:r>
        <w:t xml:space="preserve"> in patients with moderate to severe plaque </w:t>
      </w:r>
      <w:r w:rsidR="00A567C2">
        <w:t>psoriasis</w:t>
      </w:r>
      <w:r>
        <w:t xml:space="preserve"> has been evaluated in </w:t>
      </w:r>
      <w:r w:rsidR="00BE0224">
        <w:t>three</w:t>
      </w:r>
      <w:r>
        <w:t xml:space="preserve"> ongoing Phase </w:t>
      </w:r>
      <w:r w:rsidR="00786E8F">
        <w:t>III</w:t>
      </w:r>
      <w:r>
        <w:t xml:space="preserve"> studies (Studies PS0001, PS0002 and PS0005) as well as </w:t>
      </w:r>
      <w:r w:rsidR="00786E8F">
        <w:t>two</w:t>
      </w:r>
      <w:r>
        <w:t xml:space="preserve"> completed Phase </w:t>
      </w:r>
      <w:r w:rsidR="00786E8F">
        <w:t>II</w:t>
      </w:r>
      <w:r>
        <w:t xml:space="preserve"> studies (C87040 and C87044). Each of the Phase </w:t>
      </w:r>
      <w:r w:rsidR="00A316C5">
        <w:t xml:space="preserve">III </w:t>
      </w:r>
      <w:r>
        <w:t xml:space="preserve">studies investigated efficacy in a placebo controlled manner through to 16 weeks. The trials recruited a range of </w:t>
      </w:r>
      <w:r w:rsidR="00A567C2">
        <w:t>psoriasis</w:t>
      </w:r>
      <w:r>
        <w:t xml:space="preserve"> patients, spanning the treatment continuum from inadequate response to topical therapies, to subjects with an inadequate response to conventional systemic immunosuppression, and patients with an inadequate response to biologic therapies.</w:t>
      </w:r>
    </w:p>
    <w:p w:rsidR="00702D7B" w:rsidRDefault="008F5BC0" w:rsidP="008F5BC0">
      <w:r>
        <w:t xml:space="preserve">The </w:t>
      </w:r>
      <w:r w:rsidR="00A316C5">
        <w:t>two</w:t>
      </w:r>
      <w:r>
        <w:t xml:space="preserve"> pivotal CIMPASI </w:t>
      </w:r>
      <w:r w:rsidR="00A873CD">
        <w:t xml:space="preserve">trials </w:t>
      </w:r>
      <w:r>
        <w:t xml:space="preserve">will be considered together in this report as their design, inclusion criteria and statistical analyses were similar. However, there were 5 key differences in study design across the Phase </w:t>
      </w:r>
      <w:r w:rsidR="00A316C5">
        <w:t>III</w:t>
      </w:r>
      <w:r>
        <w:t xml:space="preserve"> studies (</w:t>
      </w:r>
      <w:r w:rsidR="00A567C2">
        <w:t>that is,</w:t>
      </w:r>
      <w:r>
        <w:t xml:space="preserve"> when comparing the </w:t>
      </w:r>
      <w:r w:rsidR="00786E8F">
        <w:t>two</w:t>
      </w:r>
      <w:r>
        <w:t xml:space="preserve"> CIMPASI trials to </w:t>
      </w:r>
      <w:r w:rsidR="00A873CD">
        <w:t xml:space="preserve">the </w:t>
      </w:r>
      <w:r>
        <w:t>CIMPACT</w:t>
      </w:r>
      <w:r w:rsidR="00A873CD">
        <w:t xml:space="preserve"> trial</w:t>
      </w:r>
      <w:r>
        <w:t>).</w:t>
      </w:r>
      <w:r w:rsidR="00A873CD">
        <w:t xml:space="preserve"> These key differences are as follows:</w:t>
      </w:r>
    </w:p>
    <w:p w:rsidR="008F5BC0" w:rsidRDefault="008F5BC0" w:rsidP="00A316C5">
      <w:pPr>
        <w:pStyle w:val="ListBullet"/>
      </w:pPr>
      <w:r w:rsidRPr="001D6F74">
        <w:lastRenderedPageBreak/>
        <w:t>Type of comparator</w:t>
      </w:r>
      <w:r>
        <w:t xml:space="preserve">: </w:t>
      </w:r>
      <w:r w:rsidR="001A00B6">
        <w:t>t</w:t>
      </w:r>
      <w:r>
        <w:t xml:space="preserve">he CIMPASI studies were </w:t>
      </w:r>
      <w:r w:rsidR="00A316C5">
        <w:t>placebo</w:t>
      </w:r>
      <w:r>
        <w:t xml:space="preserve"> controlled whereas CIMPACT included a </w:t>
      </w:r>
      <w:r w:rsidR="00A316C5">
        <w:t>placebo</w:t>
      </w:r>
      <w:r>
        <w:t xml:space="preserve"> and active control</w:t>
      </w:r>
      <w:r w:rsidR="00A316C5">
        <w:t xml:space="preserve"> etanercept.</w:t>
      </w:r>
    </w:p>
    <w:p w:rsidR="00702D7B" w:rsidRDefault="001A00B6" w:rsidP="00A316C5">
      <w:pPr>
        <w:pStyle w:val="ListBullet"/>
      </w:pPr>
      <w:r w:rsidRPr="001D6F74">
        <w:t>C</w:t>
      </w:r>
      <w:r w:rsidR="001D63B3" w:rsidRPr="001D6F74">
        <w:t>ertolizumab pegol</w:t>
      </w:r>
      <w:r w:rsidR="008F5BC0" w:rsidRPr="001D6F74">
        <w:t xml:space="preserve"> dosing regimens</w:t>
      </w:r>
      <w:r w:rsidR="008F5BC0">
        <w:t xml:space="preserve">: </w:t>
      </w:r>
      <w:r w:rsidR="00A873CD">
        <w:t>a</w:t>
      </w:r>
      <w:r w:rsidR="008F5BC0">
        <w:t xml:space="preserve">ll the Phase </w:t>
      </w:r>
      <w:r w:rsidR="00A316C5">
        <w:t>III</w:t>
      </w:r>
      <w:r w:rsidR="008F5BC0">
        <w:t xml:space="preserve"> studies investigated 2 dose regimens of </w:t>
      </w:r>
      <w:r w:rsidR="001D63B3">
        <w:t>certolizumab pegol</w:t>
      </w:r>
      <w:r w:rsidR="008F5BC0">
        <w:t xml:space="preserve"> (200</w:t>
      </w:r>
      <w:r w:rsidR="00786E8F">
        <w:t xml:space="preserve"> </w:t>
      </w:r>
      <w:r w:rsidR="008F5BC0">
        <w:t>mg Q2W and 400</w:t>
      </w:r>
      <w:r w:rsidR="00786E8F">
        <w:t xml:space="preserve"> </w:t>
      </w:r>
      <w:r w:rsidR="008F5BC0">
        <w:t>mg Q2W) in the initial treatment period, but a longer dosing interval of 400</w:t>
      </w:r>
      <w:r w:rsidR="00786E8F">
        <w:t xml:space="preserve"> </w:t>
      </w:r>
      <w:r w:rsidR="008F5BC0">
        <w:t>mg every 4 weeks was only evaluated in the maintenance treatment period of the CIMPACT study.</w:t>
      </w:r>
    </w:p>
    <w:p w:rsidR="00702D7B" w:rsidRDefault="001A00B6" w:rsidP="00A316C5">
      <w:pPr>
        <w:pStyle w:val="ListBullet"/>
      </w:pPr>
      <w:r w:rsidRPr="001D6F74">
        <w:t xml:space="preserve">Escape </w:t>
      </w:r>
      <w:r w:rsidR="00A873CD" w:rsidRPr="001D6F74">
        <w:t>arm entry</w:t>
      </w:r>
      <w:r>
        <w:t>: i</w:t>
      </w:r>
      <w:r w:rsidR="008F5BC0">
        <w:t xml:space="preserve">n the CIMPASI studies, subjects not achieving a PASI50 response at </w:t>
      </w:r>
      <w:r w:rsidR="00A316C5">
        <w:t>W</w:t>
      </w:r>
      <w:r w:rsidR="008F5BC0">
        <w:t xml:space="preserve">eek 16 were eligible to receive escape </w:t>
      </w:r>
      <w:r w:rsidR="001D63B3">
        <w:t>certolizumab pegol</w:t>
      </w:r>
      <w:r w:rsidR="008F5BC0">
        <w:t xml:space="preserve"> treatment. In CIMPACT, subjects not achieving PASI75 response at </w:t>
      </w:r>
      <w:r w:rsidR="00A316C5">
        <w:t>W</w:t>
      </w:r>
      <w:r w:rsidR="008F5BC0">
        <w:t>eek 16 entered the escape arm.</w:t>
      </w:r>
    </w:p>
    <w:p w:rsidR="008F5BC0" w:rsidRDefault="00A873CD" w:rsidP="00A316C5">
      <w:pPr>
        <w:pStyle w:val="ListBullet"/>
      </w:pPr>
      <w:r w:rsidRPr="001D6F74">
        <w:t>treatment assignment in blinded maintenance period</w:t>
      </w:r>
      <w:r w:rsidR="001A00B6">
        <w:t>: i</w:t>
      </w:r>
      <w:r w:rsidR="008F5BC0">
        <w:t xml:space="preserve">n the CIMPASI studies, subjects randomised to </w:t>
      </w:r>
      <w:r w:rsidR="001D63B3">
        <w:t>certolizumab pegol</w:t>
      </w:r>
      <w:r w:rsidR="008F5BC0">
        <w:t xml:space="preserve"> who achieved a PASI50 response at </w:t>
      </w:r>
      <w:r w:rsidR="00A316C5">
        <w:t>W</w:t>
      </w:r>
      <w:r w:rsidR="008F5BC0">
        <w:t>eek</w:t>
      </w:r>
      <w:r w:rsidR="00E62588">
        <w:t> </w:t>
      </w:r>
      <w:r w:rsidR="008F5BC0">
        <w:t xml:space="preserve">16 continued with their original assigned treatment in the maintenance treatment phase. Subjects randomised to </w:t>
      </w:r>
      <w:r w:rsidR="00A316C5">
        <w:t>placebo</w:t>
      </w:r>
      <w:r w:rsidR="008F5BC0">
        <w:t xml:space="preserve"> who achieved PASI75 response continued </w:t>
      </w:r>
      <w:r w:rsidR="00A316C5">
        <w:t>placebo</w:t>
      </w:r>
      <w:r w:rsidR="008F5BC0">
        <w:t xml:space="preserve">. Subjects randomised to </w:t>
      </w:r>
      <w:r w:rsidR="00A316C5">
        <w:t>placebo</w:t>
      </w:r>
      <w:r w:rsidR="008F5BC0">
        <w:t xml:space="preserve"> who achieved a PASI50 but not a PASI75 response at </w:t>
      </w:r>
      <w:r w:rsidR="00786E8F">
        <w:t>W</w:t>
      </w:r>
      <w:r w:rsidR="008F5BC0">
        <w:t xml:space="preserve">eek 16 received blinded </w:t>
      </w:r>
      <w:r w:rsidR="001D63B3">
        <w:t>certolizumab pegol</w:t>
      </w:r>
      <w:r w:rsidR="008F5BC0">
        <w:t xml:space="preserve"> 200</w:t>
      </w:r>
      <w:r w:rsidR="00A316C5">
        <w:t xml:space="preserve"> </w:t>
      </w:r>
      <w:r w:rsidR="008F5BC0">
        <w:t xml:space="preserve">mg Q2W (following a loading dose of 400 mg at </w:t>
      </w:r>
      <w:r w:rsidR="00A316C5">
        <w:t>W</w:t>
      </w:r>
      <w:r w:rsidR="008F5BC0">
        <w:t xml:space="preserve">eeks 16, 18 and 20). In CIMPACT, subjects who initially received </w:t>
      </w:r>
      <w:r w:rsidR="001D63B3">
        <w:t>certolizumab pegol</w:t>
      </w:r>
      <w:r w:rsidR="008F5BC0">
        <w:t xml:space="preserve"> or </w:t>
      </w:r>
      <w:r w:rsidR="00F65747">
        <w:t>etanercept</w:t>
      </w:r>
      <w:r w:rsidR="008F5BC0">
        <w:t xml:space="preserve"> that achieved PASI75 response at </w:t>
      </w:r>
      <w:r w:rsidR="00A316C5">
        <w:t>W</w:t>
      </w:r>
      <w:r w:rsidR="008F5BC0">
        <w:t xml:space="preserve">eek 16 were re-randomised to </w:t>
      </w:r>
      <w:r w:rsidR="001D63B3">
        <w:t>certolizumab pegol</w:t>
      </w:r>
      <w:r w:rsidR="008F5BC0">
        <w:t xml:space="preserve"> or </w:t>
      </w:r>
      <w:r w:rsidR="00A316C5">
        <w:t>placebo</w:t>
      </w:r>
      <w:r w:rsidR="008F5BC0">
        <w:t xml:space="preserve"> upon entering the blinded maintenance treatment phase. Subjects randomised to </w:t>
      </w:r>
      <w:r w:rsidR="00A316C5">
        <w:t>placebo</w:t>
      </w:r>
      <w:r w:rsidR="008F5BC0">
        <w:t xml:space="preserve"> who achieved PASI75 response at </w:t>
      </w:r>
      <w:r w:rsidR="00A316C5">
        <w:t>W</w:t>
      </w:r>
      <w:r w:rsidR="008F5BC0">
        <w:t xml:space="preserve">eek 16 continued blinded </w:t>
      </w:r>
      <w:r w:rsidR="00A316C5">
        <w:t>placebo</w:t>
      </w:r>
      <w:r w:rsidR="008F5BC0">
        <w:t>.</w:t>
      </w:r>
    </w:p>
    <w:p w:rsidR="00702D7B" w:rsidRDefault="008F5BC0" w:rsidP="00A316C5">
      <w:pPr>
        <w:pStyle w:val="ListBullet"/>
      </w:pPr>
      <w:r w:rsidRPr="001D6F74">
        <w:t xml:space="preserve">Loss of </w:t>
      </w:r>
      <w:r w:rsidR="006E1EBE" w:rsidRPr="001D6F74">
        <w:t>response during maintenance phase</w:t>
      </w:r>
      <w:r>
        <w:t>: In the CIMPASI studies, all subjects who lost response to treatment (</w:t>
      </w:r>
      <w:r w:rsidR="00A567C2">
        <w:t>that is,</w:t>
      </w:r>
      <w:r>
        <w:t xml:space="preserve"> no longer achieving PASI50 response) during maintenance treatment phase between </w:t>
      </w:r>
      <w:r w:rsidR="00A316C5">
        <w:t>W</w:t>
      </w:r>
      <w:r>
        <w:t xml:space="preserve">eeks 32 and 48 were withdrawn from the study. In CIMPACT, only subjects in the escape arm were withdrawn from the trial if a PASI50 response was not achieved at </w:t>
      </w:r>
      <w:r w:rsidR="00786E8F">
        <w:t>W</w:t>
      </w:r>
      <w:r>
        <w:t>eek 32 or subsequent evaluations. Those that didn’t achieve PASI50 response at any time during the maintenance treatment period were considered to have relapsed and were eligible to enter the open label phase of the trial.</w:t>
      </w:r>
    </w:p>
    <w:p w:rsidR="008E7846" w:rsidRDefault="00605AD4" w:rsidP="00605AD4">
      <w:pPr>
        <w:pStyle w:val="Heading4"/>
      </w:pPr>
      <w:r>
        <w:t>Evaluator’s conclusions on efficacy</w:t>
      </w:r>
    </w:p>
    <w:p w:rsidR="00702D7B" w:rsidRDefault="008F5BC0" w:rsidP="008F5BC0">
      <w:r>
        <w:t xml:space="preserve">In support of the registration of </w:t>
      </w:r>
      <w:r w:rsidR="001D63B3">
        <w:t>certolizumab pegol</w:t>
      </w:r>
      <w:r>
        <w:t xml:space="preserve"> therapy for the treatment of moderate to severe </w:t>
      </w:r>
      <w:r w:rsidR="00A567C2">
        <w:t>psoriasis</w:t>
      </w:r>
      <w:r>
        <w:t xml:space="preserve">, this submission contains </w:t>
      </w:r>
      <w:r w:rsidR="00A316C5">
        <w:t>three</w:t>
      </w:r>
      <w:r>
        <w:t xml:space="preserve"> ongoing Phase </w:t>
      </w:r>
      <w:r w:rsidR="00A316C5">
        <w:t>III</w:t>
      </w:r>
      <w:r>
        <w:t xml:space="preserve"> studies (CIMPASI-1, CIMPASI-2 and CIMPACT), all of which were nominated as pivotal by the sponsor. The submission also included efficacy data from </w:t>
      </w:r>
      <w:r w:rsidR="00A316C5">
        <w:t>two</w:t>
      </w:r>
      <w:r>
        <w:t xml:space="preserve"> completed Phase </w:t>
      </w:r>
      <w:r w:rsidR="00A316C5">
        <w:t>II</w:t>
      </w:r>
      <w:r>
        <w:t xml:space="preserve"> studies (C87040 and C87044) for supporting data purposes. The overall clinical development program for </w:t>
      </w:r>
      <w:r w:rsidR="001D63B3">
        <w:t>certolizumab pegol</w:t>
      </w:r>
      <w:r>
        <w:t xml:space="preserve"> provides a dataset that in general appropriately reflects the clinical </w:t>
      </w:r>
      <w:r w:rsidR="00A567C2">
        <w:t>psoriasis</w:t>
      </w:r>
      <w:r>
        <w:t xml:space="preserve"> population in Australia. The Phase </w:t>
      </w:r>
      <w:r w:rsidR="00A316C5">
        <w:t>II/III</w:t>
      </w:r>
      <w:r>
        <w:t xml:space="preserve"> studies enrolled a spectrum of patients with moderate to severe </w:t>
      </w:r>
      <w:r w:rsidR="00A567C2">
        <w:t>psoriasis</w:t>
      </w:r>
      <w:r>
        <w:t xml:space="preserve">, including patients who had never received any prior systemic therapy, patients who have an inadequate response to </w:t>
      </w:r>
      <w:r w:rsidR="00A316C5">
        <w:t>methotrexate</w:t>
      </w:r>
      <w:r>
        <w:t xml:space="preserve"> (the most commonly used prior systemic treatment) and patients who had exposure to biologic therapies (but who were not primary efficacy non-responders).</w:t>
      </w:r>
    </w:p>
    <w:p w:rsidR="00702D7B" w:rsidRDefault="008F5BC0" w:rsidP="008F5BC0">
      <w:r>
        <w:t xml:space="preserve">Based upon the evaluation of efficacy data from the ongoing Phase </w:t>
      </w:r>
      <w:r w:rsidR="00A316C5">
        <w:t>III</w:t>
      </w:r>
      <w:r>
        <w:t xml:space="preserve"> clinical studies through to the primary efficacy evaluation time point of 16 weeks, treatment with </w:t>
      </w:r>
      <w:r w:rsidR="001D63B3">
        <w:t>certolizumab pegol</w:t>
      </w:r>
      <w:r>
        <w:t xml:space="preserve"> (either 200</w:t>
      </w:r>
      <w:r w:rsidR="00A316C5">
        <w:t xml:space="preserve"> </w:t>
      </w:r>
      <w:r>
        <w:t>mg Q2W after loading with 400</w:t>
      </w:r>
      <w:r w:rsidR="00786E8F">
        <w:t xml:space="preserve"> </w:t>
      </w:r>
      <w:r>
        <w:t xml:space="preserve">mg at </w:t>
      </w:r>
      <w:r w:rsidR="00786E8F">
        <w:t>W</w:t>
      </w:r>
      <w:r>
        <w:t>eeks 0, 2 and 4; or 400</w:t>
      </w:r>
      <w:r w:rsidR="00A316C5">
        <w:t xml:space="preserve"> </w:t>
      </w:r>
      <w:r>
        <w:t xml:space="preserve">mg Q2W from initiation) in adult patients with moderate to severe </w:t>
      </w:r>
      <w:r w:rsidR="00A567C2">
        <w:t>psoriasis</w:t>
      </w:r>
      <w:r>
        <w:t xml:space="preserve"> yielded consistent and robust results for statistically and clinically improving the signs and symptoms of the disease (PASI and PGA responses) as well as improving health related quality of life (mainly measured by changes in </w:t>
      </w:r>
      <w:r w:rsidR="006E1EBE">
        <w:t>D</w:t>
      </w:r>
      <w:r w:rsidR="006E1EBE" w:rsidRPr="00E62588">
        <w:t>ermatology Life Quality Index</w:t>
      </w:r>
      <w:r w:rsidRPr="00E62588">
        <w:t xml:space="preserve"> scores</w:t>
      </w:r>
      <w:r>
        <w:t xml:space="preserve"> over time). Compared to </w:t>
      </w:r>
      <w:r w:rsidR="00A316C5">
        <w:t>placebo</w:t>
      </w:r>
      <w:r>
        <w:t xml:space="preserve"> (and etanercept in the CIMPACT Study), statistically significant and durable improvements were observed from the initial weeks of treatment across a diverse range of efficacy measures for </w:t>
      </w:r>
      <w:r w:rsidR="001D63B3">
        <w:t>certolizumab pegol</w:t>
      </w:r>
      <w:r>
        <w:t xml:space="preserve">, including the primary </w:t>
      </w:r>
      <w:r>
        <w:lastRenderedPageBreak/>
        <w:t xml:space="preserve">endpoints of clinically significant PASI and PGA response. Many subjects treated with </w:t>
      </w:r>
      <w:r w:rsidR="001D63B3">
        <w:t>certolizumab pegol</w:t>
      </w:r>
      <w:r>
        <w:t xml:space="preserve"> achieved highly stringent levels of improvement (such as PASI75 or greater levels of clinical response) in </w:t>
      </w:r>
      <w:r w:rsidR="00A567C2">
        <w:t>psoriasis</w:t>
      </w:r>
      <w:r>
        <w:t xml:space="preserve">, which is highly desired outcome of treatment supported by the literature. Treatment with </w:t>
      </w:r>
      <w:r w:rsidR="001D63B3">
        <w:t>certolizumab pegol</w:t>
      </w:r>
      <w:r>
        <w:t xml:space="preserve"> (both dose regimens) produced rapid and sustained improvements in clinical response and patient reported outcomes of relevance (such as the </w:t>
      </w:r>
      <w:r w:rsidR="00E62588">
        <w:t xml:space="preserve">Dermatology </w:t>
      </w:r>
      <w:r w:rsidR="006E1EBE">
        <w:t>L</w:t>
      </w:r>
      <w:r w:rsidR="00E62588">
        <w:t xml:space="preserve">ife </w:t>
      </w:r>
      <w:r w:rsidR="006E1EBE">
        <w:t>Quality I</w:t>
      </w:r>
      <w:r w:rsidR="00E62588">
        <w:t>ndex</w:t>
      </w:r>
      <w:r>
        <w:t>), which were maintained in most patients through to 48 weeks of treatment.</w:t>
      </w:r>
    </w:p>
    <w:p w:rsidR="00702D7B" w:rsidRDefault="008F5BC0" w:rsidP="008F5BC0">
      <w:r>
        <w:t xml:space="preserve">All the Phase </w:t>
      </w:r>
      <w:r w:rsidR="00A316C5">
        <w:t>III</w:t>
      </w:r>
      <w:r>
        <w:t xml:space="preserve"> studies were randomised, double</w:t>
      </w:r>
      <w:r w:rsidR="00786E8F">
        <w:t xml:space="preserve"> </w:t>
      </w:r>
      <w:r>
        <w:t xml:space="preserve">blind and parallel group controlled in design and enrolled adult patients with a confirmed diagnosis of </w:t>
      </w:r>
      <w:r w:rsidR="00A567C2">
        <w:t>psoriasis</w:t>
      </w:r>
      <w:r>
        <w:t xml:space="preserve"> of at least 6</w:t>
      </w:r>
      <w:r w:rsidR="00A316C5">
        <w:t> </w:t>
      </w:r>
      <w:r>
        <w:t>months duration. Subjects were required to have moderate to severe disease at baseline with a PASI score ≥</w:t>
      </w:r>
      <w:r w:rsidR="00D9433C">
        <w:t xml:space="preserve"> </w:t>
      </w:r>
      <w:r>
        <w:t xml:space="preserve">12, affected </w:t>
      </w:r>
      <w:r w:rsidR="001A00B6">
        <w:t>body surface area</w:t>
      </w:r>
      <w:r>
        <w:t xml:space="preserve"> &gt;</w:t>
      </w:r>
      <w:r w:rsidR="00D9433C">
        <w:t xml:space="preserve"> </w:t>
      </w:r>
      <w:r>
        <w:t>10% and a PGA score &gt;</w:t>
      </w:r>
      <w:r w:rsidR="00A316C5">
        <w:t xml:space="preserve"> </w:t>
      </w:r>
      <w:r>
        <w:t xml:space="preserve">3. The baseline demographic and disease related characteristics of patients in the Phase </w:t>
      </w:r>
      <w:r w:rsidR="00786E8F">
        <w:t>III</w:t>
      </w:r>
      <w:r>
        <w:t xml:space="preserve"> trials are diverse but similar to those in the anticipated Australian patient cohort, and therefore generalisation of these results to the Australian context is expected. However, the main caveat to generalisability is the long duration of </w:t>
      </w:r>
      <w:r w:rsidR="00A567C2">
        <w:t>psoriasis</w:t>
      </w:r>
      <w:r>
        <w:t>, which appears to have been relatively under-treated in most subjects. This is an unusual feature of Australian patients in clinical practice. Expectedly, most recruited patients were male, of Caucasian ethnicity, and within the expected age range of 45</w:t>
      </w:r>
      <w:r w:rsidR="00A316C5">
        <w:t xml:space="preserve"> to</w:t>
      </w:r>
      <w:r>
        <w:t xml:space="preserve"> 65 years. The average </w:t>
      </w:r>
      <w:r w:rsidR="00A316C5">
        <w:t>body mass index</w:t>
      </w:r>
      <w:r>
        <w:t xml:space="preserve"> of studied patients is approximately 30 kg/m</w:t>
      </w:r>
      <w:r w:rsidRPr="00A316C5">
        <w:rPr>
          <w:vertAlign w:val="superscript"/>
        </w:rPr>
        <w:t>2</w:t>
      </w:r>
      <w:r>
        <w:t>, which is to be expected. However, there are some other caveats to the generalisability of the treatment population. For example, all the studies excluded patients who were at a significant risk of infection or malignancy, or who had various abnormal laboratory results at baseline (</w:t>
      </w:r>
      <w:r w:rsidR="00A567C2">
        <w:t>for example,</w:t>
      </w:r>
      <w:r>
        <w:t xml:space="preserve"> abnormal liver function tests). In addition, prospective patients were excluded from study involvement if they had a history of primary efficacy failure to any biologic therapy. This may result in selection bias with potential favouring of efficacy outcomes towards any biologic therapy for </w:t>
      </w:r>
      <w:r w:rsidR="00A567C2">
        <w:t>psoriasis</w:t>
      </w:r>
      <w:r>
        <w:t>.</w:t>
      </w:r>
    </w:p>
    <w:p w:rsidR="00702D7B" w:rsidRDefault="008F5BC0" w:rsidP="008F5BC0">
      <w:r>
        <w:t xml:space="preserve">The clinical efficacy data available up to 48 weeks in the Phase </w:t>
      </w:r>
      <w:r w:rsidR="00A316C5">
        <w:t>III</w:t>
      </w:r>
      <w:r>
        <w:t xml:space="preserve"> studies indicated that most responding patients appear to maintain their clinical benefit with continued </w:t>
      </w:r>
      <w:r w:rsidR="001D63B3">
        <w:t>certolizumab pegol</w:t>
      </w:r>
      <w:r>
        <w:t xml:space="preserve"> treatment. In addition, for </w:t>
      </w:r>
      <w:r w:rsidR="00A316C5">
        <w:t>placebo</w:t>
      </w:r>
      <w:r>
        <w:t xml:space="preserve"> patients who switched to </w:t>
      </w:r>
      <w:r w:rsidR="001D63B3">
        <w:t>certolizumab pegol</w:t>
      </w:r>
      <w:r>
        <w:t xml:space="preserve"> at 16 weeks, the rates of PASI and PGA response observed 16 weeks later were like those achieved in the originally treated </w:t>
      </w:r>
      <w:r w:rsidR="001D63B3">
        <w:t>certolizumab pegol</w:t>
      </w:r>
      <w:r>
        <w:t xml:space="preserve"> cohorts. However, the results from the maintenance treatment period of the CIMPACT Study provide support for the additional efficacy benefits of the </w:t>
      </w:r>
      <w:r w:rsidR="001D63B3">
        <w:t>certolizumab pegol</w:t>
      </w:r>
      <w:r>
        <w:t xml:space="preserve"> 400</w:t>
      </w:r>
      <w:r w:rsidR="00A316C5">
        <w:t xml:space="preserve"> </w:t>
      </w:r>
      <w:r>
        <w:t>mg Q2W dosing regimen versus 200</w:t>
      </w:r>
      <w:r w:rsidR="00A316C5">
        <w:t xml:space="preserve"> </w:t>
      </w:r>
      <w:r>
        <w:t xml:space="preserve">mg Q2W therapy. While most subjects who remained on </w:t>
      </w:r>
      <w:r w:rsidR="001D63B3">
        <w:t>certolizumab pegol</w:t>
      </w:r>
      <w:r>
        <w:t xml:space="preserve"> 200</w:t>
      </w:r>
      <w:r w:rsidR="00A316C5">
        <w:t xml:space="preserve"> </w:t>
      </w:r>
      <w:r>
        <w:t xml:space="preserve">mg Q2W continued to have a clinically meaningful PASI75 response at week 48 (79.5%), subjects who remained on </w:t>
      </w:r>
      <w:r w:rsidR="001D63B3">
        <w:t>certolizumab pegol</w:t>
      </w:r>
      <w:r>
        <w:t xml:space="preserve"> 400</w:t>
      </w:r>
      <w:r w:rsidR="00A316C5">
        <w:t xml:space="preserve"> </w:t>
      </w:r>
      <w:r>
        <w:t xml:space="preserve">mg Q2W therapy recorded a comparatively better efficacy response overall (98.0%). In the group of subjects who were re-randomised at </w:t>
      </w:r>
      <w:r w:rsidR="00A316C5">
        <w:t>W</w:t>
      </w:r>
      <w:r>
        <w:t xml:space="preserve">eek 16 in the CIMPACT trial from </w:t>
      </w:r>
      <w:r w:rsidR="001D63B3">
        <w:t>certolizumab pegol</w:t>
      </w:r>
      <w:r>
        <w:t xml:space="preserve"> 400</w:t>
      </w:r>
      <w:r w:rsidR="00A316C5">
        <w:t xml:space="preserve"> </w:t>
      </w:r>
      <w:r>
        <w:t xml:space="preserve">mg Q2W to receive a reduced dose of </w:t>
      </w:r>
      <w:r w:rsidR="001D63B3">
        <w:t>certolizumab pegol</w:t>
      </w:r>
      <w:r>
        <w:t xml:space="preserve"> 200</w:t>
      </w:r>
      <w:r w:rsidR="00A316C5">
        <w:t xml:space="preserve"> </w:t>
      </w:r>
      <w:r>
        <w:t xml:space="preserve">mg Q2W during the maintenance treatment period, the PASI75 responder rate at </w:t>
      </w:r>
      <w:r w:rsidR="00A316C5">
        <w:t>W</w:t>
      </w:r>
      <w:r>
        <w:t xml:space="preserve">eek 48 (relative to </w:t>
      </w:r>
      <w:r w:rsidR="00A316C5">
        <w:t>W</w:t>
      </w:r>
      <w:r>
        <w:t xml:space="preserve">eek 16) was notably lower compared with those who were on a continuous </w:t>
      </w:r>
      <w:r w:rsidR="001D63B3">
        <w:t>certolizumab pegol</w:t>
      </w:r>
      <w:r>
        <w:t xml:space="preserve"> 400</w:t>
      </w:r>
      <w:r w:rsidR="00A316C5">
        <w:t xml:space="preserve"> </w:t>
      </w:r>
      <w:r>
        <w:t>mg Q2W dosing regimen (80.0% versus 98.0%; post-hoc p-value &lt;</w:t>
      </w:r>
      <w:r w:rsidR="00A316C5">
        <w:t> </w:t>
      </w:r>
      <w:r>
        <w:t>0.05).</w:t>
      </w:r>
    </w:p>
    <w:p w:rsidR="008F5BC0" w:rsidRDefault="008F5BC0" w:rsidP="00D9433C">
      <w:pPr>
        <w:pStyle w:val="Heading5"/>
      </w:pPr>
      <w:r>
        <w:t xml:space="preserve">Comparison with </w:t>
      </w:r>
      <w:r w:rsidR="00BD6F96">
        <w:t>e</w:t>
      </w:r>
      <w:r>
        <w:t>tanercept</w:t>
      </w:r>
    </w:p>
    <w:p w:rsidR="008F5BC0" w:rsidRDefault="008F5BC0" w:rsidP="008F5BC0">
      <w:r>
        <w:t xml:space="preserve">In the CIMPACT Study, </w:t>
      </w:r>
      <w:r w:rsidR="00F65747">
        <w:t>etanercept</w:t>
      </w:r>
      <w:r>
        <w:t xml:space="preserve"> was included as an active comparator. In formal statistical comparisons between both </w:t>
      </w:r>
      <w:r w:rsidR="001D63B3">
        <w:t>certolizumab pegol</w:t>
      </w:r>
      <w:r>
        <w:t xml:space="preserve"> dose regimens versus </w:t>
      </w:r>
      <w:r w:rsidR="00F65747">
        <w:t>etanercept</w:t>
      </w:r>
      <w:r>
        <w:t xml:space="preserve"> at </w:t>
      </w:r>
      <w:r w:rsidR="00F65747">
        <w:t>W</w:t>
      </w:r>
      <w:r>
        <w:t xml:space="preserve">eek 12, the </w:t>
      </w:r>
      <w:r w:rsidR="001D63B3">
        <w:t>certolizumab pegol</w:t>
      </w:r>
      <w:r>
        <w:t xml:space="preserve"> 400</w:t>
      </w:r>
      <w:r w:rsidR="00F65747">
        <w:t xml:space="preserve"> </w:t>
      </w:r>
      <w:r>
        <w:t xml:space="preserve">mg Q2W group demonstrated statistical superiority over </w:t>
      </w:r>
      <w:r w:rsidR="00F65747">
        <w:t>etanercept</w:t>
      </w:r>
      <w:r>
        <w:t xml:space="preserve"> for the rate of PASI75 response. The </w:t>
      </w:r>
      <w:r w:rsidR="001D63B3">
        <w:t>certolizumab pegol</w:t>
      </w:r>
      <w:r>
        <w:t xml:space="preserve"> 200</w:t>
      </w:r>
      <w:r w:rsidR="00F65747">
        <w:t> </w:t>
      </w:r>
      <w:r>
        <w:t xml:space="preserve">mg Q2W dosing regimen was numerically higher, but not statistically superior versus </w:t>
      </w:r>
      <w:r w:rsidR="00F65747">
        <w:t>etanercept</w:t>
      </w:r>
      <w:r>
        <w:t xml:space="preserve">, and was determined to be statistically non-inferior to </w:t>
      </w:r>
      <w:r w:rsidR="00F65747">
        <w:t>etanercept</w:t>
      </w:r>
      <w:r>
        <w:t xml:space="preserve"> for the PASI75 responder rate at </w:t>
      </w:r>
      <w:r w:rsidR="00F65747">
        <w:t>W</w:t>
      </w:r>
      <w:r>
        <w:t>eek 12 of treatment.</w:t>
      </w:r>
    </w:p>
    <w:p w:rsidR="00702D7B" w:rsidRDefault="008F5BC0" w:rsidP="00D9433C">
      <w:pPr>
        <w:pStyle w:val="Heading5"/>
      </w:pPr>
      <w:r>
        <w:lastRenderedPageBreak/>
        <w:t xml:space="preserve">Dose </w:t>
      </w:r>
      <w:r w:rsidR="006E1EBE">
        <w:t>r</w:t>
      </w:r>
      <w:r>
        <w:t>ecommendations</w:t>
      </w:r>
    </w:p>
    <w:p w:rsidR="008F5BC0" w:rsidRDefault="008F5BC0" w:rsidP="008F5BC0">
      <w:r>
        <w:t xml:space="preserve">Considering the totality of the efficacy results from </w:t>
      </w:r>
      <w:r w:rsidR="00EE730D">
        <w:t>three</w:t>
      </w:r>
      <w:r>
        <w:t xml:space="preserve"> well controlled Phase </w:t>
      </w:r>
      <w:r w:rsidR="00F65747">
        <w:t>III</w:t>
      </w:r>
      <w:r>
        <w:t xml:space="preserve"> studies as well as the pooled datasets and Phase </w:t>
      </w:r>
      <w:r w:rsidR="006E1EBE">
        <w:t>II</w:t>
      </w:r>
      <w:r>
        <w:t xml:space="preserve"> trials, the proposed dose of </w:t>
      </w:r>
      <w:r w:rsidR="001D63B3">
        <w:t>certolizumab pegol</w:t>
      </w:r>
      <w:r>
        <w:t xml:space="preserve"> 400</w:t>
      </w:r>
      <w:r w:rsidR="00F65747">
        <w:t xml:space="preserve"> </w:t>
      </w:r>
      <w:r>
        <w:t xml:space="preserve">mg Q2W provides the greatest clinical benefit in treating </w:t>
      </w:r>
      <w:r w:rsidR="00A567C2">
        <w:t>psoriasis</w:t>
      </w:r>
      <w:r>
        <w:t xml:space="preserve">. A dose of </w:t>
      </w:r>
      <w:r w:rsidR="001D63B3">
        <w:t>certolizumab pegol</w:t>
      </w:r>
      <w:r>
        <w:t xml:space="preserve"> 400</w:t>
      </w:r>
      <w:r w:rsidR="00F65747">
        <w:t xml:space="preserve"> </w:t>
      </w:r>
      <w:r>
        <w:t xml:space="preserve">mg at </w:t>
      </w:r>
      <w:r w:rsidR="00F65747">
        <w:t>W</w:t>
      </w:r>
      <w:r>
        <w:t>eeks 0, 2 and 4 followed by 200</w:t>
      </w:r>
      <w:r w:rsidR="00F65747">
        <w:t xml:space="preserve"> </w:t>
      </w:r>
      <w:r>
        <w:t>mg Q2W thereafter may be considered as being clinically effective and provides flexibility to prescribing based upon individual patient circumstances.</w:t>
      </w:r>
    </w:p>
    <w:p w:rsidR="008F5BC0" w:rsidRDefault="008F5BC0" w:rsidP="00D9433C">
      <w:pPr>
        <w:pStyle w:val="Heading5"/>
      </w:pPr>
      <w:r>
        <w:t xml:space="preserve">Overall </w:t>
      </w:r>
      <w:r w:rsidR="006E1EBE">
        <w:t>r</w:t>
      </w:r>
      <w:r>
        <w:t>ecommendation</w:t>
      </w:r>
    </w:p>
    <w:p w:rsidR="00500337" w:rsidRPr="00500337" w:rsidRDefault="008F5BC0" w:rsidP="008F5BC0">
      <w:r>
        <w:t xml:space="preserve">In conclusion, the clinical efficacy and health related </w:t>
      </w:r>
      <w:r w:rsidR="00F65747">
        <w:t>quality of life</w:t>
      </w:r>
      <w:r>
        <w:t xml:space="preserve"> data presented thus far with </w:t>
      </w:r>
      <w:r w:rsidR="001D63B3">
        <w:t>certolizumab pegol</w:t>
      </w:r>
      <w:r>
        <w:t xml:space="preserve"> therapy (either 200</w:t>
      </w:r>
      <w:r w:rsidR="00F65747">
        <w:t xml:space="preserve"> </w:t>
      </w:r>
      <w:r>
        <w:t>mg Q2W or 400</w:t>
      </w:r>
      <w:r w:rsidR="00F65747">
        <w:t xml:space="preserve"> </w:t>
      </w:r>
      <w:r>
        <w:t xml:space="preserve">mg Q2W) demonstrates a consistent and robust benefit in adult patients with moderate to severe chronic plaque </w:t>
      </w:r>
      <w:r w:rsidR="00A567C2">
        <w:t>psoriasis</w:t>
      </w:r>
      <w:r>
        <w:t>. In addition, the dataset meets the requirements of the TGA adopted EU regulatory guideline</w:t>
      </w:r>
      <w:r w:rsidR="006E1EBE">
        <w:t>;</w:t>
      </w:r>
      <w:r w:rsidR="00BE0224" w:rsidRPr="00BE0224">
        <w:rPr>
          <w:vertAlign w:val="superscript"/>
        </w:rPr>
        <w:fldChar w:fldCharType="begin"/>
      </w:r>
      <w:r w:rsidR="00BE0224" w:rsidRPr="00BE0224">
        <w:rPr>
          <w:vertAlign w:val="superscript"/>
        </w:rPr>
        <w:instrText xml:space="preserve"> NOTEREF _Ref12882177 \h </w:instrText>
      </w:r>
      <w:r w:rsidR="00BE0224">
        <w:rPr>
          <w:vertAlign w:val="superscript"/>
        </w:rPr>
        <w:instrText xml:space="preserve"> \* MERGEFORMAT </w:instrText>
      </w:r>
      <w:r w:rsidR="00BE0224" w:rsidRPr="00BE0224">
        <w:rPr>
          <w:vertAlign w:val="superscript"/>
        </w:rPr>
      </w:r>
      <w:r w:rsidR="00BE0224" w:rsidRPr="00BE0224">
        <w:rPr>
          <w:vertAlign w:val="superscript"/>
        </w:rPr>
        <w:fldChar w:fldCharType="separate"/>
      </w:r>
      <w:r w:rsidR="00BE0224" w:rsidRPr="00BE0224">
        <w:rPr>
          <w:vertAlign w:val="superscript"/>
        </w:rPr>
        <w:t>1</w:t>
      </w:r>
      <w:r w:rsidR="00BE0224" w:rsidRPr="00BE0224">
        <w:rPr>
          <w:vertAlign w:val="superscript"/>
        </w:rPr>
        <w:fldChar w:fldCharType="end"/>
      </w:r>
      <w:r>
        <w:t xml:space="preserve"> for demonstrating an effective treatment for </w:t>
      </w:r>
      <w:r w:rsidR="00A567C2">
        <w:t>psoriasis</w:t>
      </w:r>
      <w:r>
        <w:t>.</w:t>
      </w:r>
    </w:p>
    <w:p w:rsidR="008E7846" w:rsidRPr="002E238E" w:rsidRDefault="008E7846" w:rsidP="008E7846">
      <w:pPr>
        <w:pStyle w:val="Heading3"/>
      </w:pPr>
      <w:bookmarkStart w:id="64" w:name="_Toc163441378"/>
      <w:bookmarkStart w:id="65" w:name="_Toc196046495"/>
      <w:bookmarkStart w:id="66" w:name="_Toc247691522"/>
      <w:bookmarkStart w:id="67" w:name="_Toc314842505"/>
      <w:bookmarkStart w:id="68" w:name="_Toc21525661"/>
      <w:bookmarkEnd w:id="60"/>
      <w:bookmarkEnd w:id="61"/>
      <w:bookmarkEnd w:id="62"/>
      <w:bookmarkEnd w:id="63"/>
      <w:r w:rsidRPr="002E238E">
        <w:t>Safety</w:t>
      </w:r>
      <w:bookmarkEnd w:id="64"/>
      <w:bookmarkEnd w:id="65"/>
      <w:bookmarkEnd w:id="66"/>
      <w:bookmarkEnd w:id="67"/>
      <w:bookmarkEnd w:id="68"/>
    </w:p>
    <w:p w:rsidR="00605AD4" w:rsidRDefault="00605AD4" w:rsidP="00605AD4">
      <w:pPr>
        <w:pStyle w:val="Heading4"/>
      </w:pPr>
      <w:bookmarkStart w:id="69" w:name="_Toc247691524"/>
      <w:bookmarkStart w:id="70" w:name="_Toc314842508"/>
      <w:bookmarkStart w:id="71" w:name="_Toc196046504"/>
      <w:bookmarkStart w:id="72" w:name="_Toc163441390"/>
      <w:r w:rsidRPr="00605AD4">
        <w:t>Studies providing safety data</w:t>
      </w:r>
    </w:p>
    <w:p w:rsidR="008F5BC0" w:rsidRDefault="008F5BC0" w:rsidP="008F5BC0">
      <w:r>
        <w:t>In the pivotal efficacy studies (CIMPASI-1, CIMPASI-2 and CIMPACT</w:t>
      </w:r>
      <w:r w:rsidR="006E1EBE">
        <w:t xml:space="preserve"> trials</w:t>
      </w:r>
      <w:r>
        <w:t>), the following safety data was collected:</w:t>
      </w:r>
    </w:p>
    <w:p w:rsidR="008F5BC0" w:rsidRDefault="008F5BC0" w:rsidP="00F65747">
      <w:pPr>
        <w:pStyle w:val="ListBullet"/>
      </w:pPr>
      <w:r>
        <w:t xml:space="preserve">Adverse </w:t>
      </w:r>
      <w:r w:rsidR="006E1EBE">
        <w:t xml:space="preserve">events </w:t>
      </w:r>
      <w:r>
        <w:t>(AE) in general were assessed by completion of the AE Case Report Form</w:t>
      </w:r>
      <w:r w:rsidR="00885B29">
        <w:t xml:space="preserve"> </w:t>
      </w:r>
      <w:r>
        <w:t xml:space="preserve">at </w:t>
      </w:r>
      <w:r w:rsidR="00F65747">
        <w:t>W</w:t>
      </w:r>
      <w:r>
        <w:t>eeks 2, 4, 8, 12, 16, 20, 24, 28, 32, 40 and 48. Physical examination was performed at baseline and at weeks 16 and 48.</w:t>
      </w:r>
    </w:p>
    <w:p w:rsidR="008F5BC0" w:rsidRDefault="008F5BC0" w:rsidP="00F65747">
      <w:pPr>
        <w:pStyle w:val="ListBullet"/>
      </w:pPr>
      <w:r>
        <w:t xml:space="preserve">AEs of special interest, including serious infections, malignancy (including lymphoma), congestive heart failure, Major Adverse </w:t>
      </w:r>
      <w:r w:rsidRPr="00BE0224">
        <w:t>Cardiovascular Events (MACE), demyelinating</w:t>
      </w:r>
      <w:r>
        <w:t xml:space="preserve"> disorders, serious skin reactions, serious bleeding events, lupus-like reactions and various major haematological disorders were assessed by </w:t>
      </w:r>
      <w:r w:rsidR="00F65747">
        <w:t>case record form</w:t>
      </w:r>
      <w:r>
        <w:t xml:space="preserve"> and physical examination as per the schedule for general AE evaluation.</w:t>
      </w:r>
    </w:p>
    <w:p w:rsidR="008F5BC0" w:rsidRDefault="008F5BC0" w:rsidP="00F65747">
      <w:pPr>
        <w:pStyle w:val="ListBullet"/>
      </w:pPr>
      <w:r>
        <w:t>Laboratory tests, including haematology, clinical chemistry and urinalysis were performed at baseline, every 4 weeks for the first 16 weeks, and thereafter every 8</w:t>
      </w:r>
      <w:r w:rsidR="00F65747">
        <w:t> </w:t>
      </w:r>
      <w:r>
        <w:t xml:space="preserve">weeks until </w:t>
      </w:r>
      <w:r w:rsidR="00F65747">
        <w:t>W</w:t>
      </w:r>
      <w:r>
        <w:t>eek 48. A fasting lipid profile was collected at baseline and every 8</w:t>
      </w:r>
      <w:r w:rsidR="00F65747">
        <w:t> </w:t>
      </w:r>
      <w:r>
        <w:t xml:space="preserve">weeks until </w:t>
      </w:r>
      <w:r w:rsidR="00F65747">
        <w:t>W</w:t>
      </w:r>
      <w:r>
        <w:t>eek 48. Episodes of anaemia, neutropenia and thrombocytopenia were an AE of special interest as this is a potential identified risk with anti-TNF therapies.</w:t>
      </w:r>
    </w:p>
    <w:p w:rsidR="00702D7B" w:rsidRDefault="008F5BC0" w:rsidP="00F65747">
      <w:pPr>
        <w:pStyle w:val="ListBullet"/>
      </w:pPr>
      <w:r>
        <w:t xml:space="preserve">Screening assessments for tuberculosis (including targeted questionnaire, physical exam and chest X-ray and QuantiFERON Gold testing) were taken at baseline, but not routinely collected thereafter apart from a </w:t>
      </w:r>
      <w:r w:rsidR="00F65747">
        <w:t>tuberculosis</w:t>
      </w:r>
      <w:r>
        <w:t xml:space="preserve"> questionnaire administered at </w:t>
      </w:r>
      <w:r w:rsidR="00F65747">
        <w:t>W</w:t>
      </w:r>
      <w:r>
        <w:t>eeks 12, 24, 32 and 48.</w:t>
      </w:r>
    </w:p>
    <w:p w:rsidR="00702D7B" w:rsidRDefault="008F5BC0" w:rsidP="00F65747">
      <w:pPr>
        <w:pStyle w:val="ListBullet"/>
      </w:pPr>
      <w:r>
        <w:t xml:space="preserve">Vital signs such as blood pressure were performed at each scheduled study visit. Subject weight was recorded at baseline, and </w:t>
      </w:r>
      <w:r w:rsidR="00F65747">
        <w:t>W</w:t>
      </w:r>
      <w:r>
        <w:t>eeks 16 and 48.</w:t>
      </w:r>
    </w:p>
    <w:p w:rsidR="008F5BC0" w:rsidRDefault="008F5BC0" w:rsidP="00F65747">
      <w:pPr>
        <w:pStyle w:val="ListBullet"/>
      </w:pPr>
      <w:r>
        <w:t>Urine pregnancy testing was performed at baseline in women of reproductive age.</w:t>
      </w:r>
    </w:p>
    <w:p w:rsidR="008F5BC0" w:rsidRDefault="008F5BC0" w:rsidP="00F65747">
      <w:pPr>
        <w:pStyle w:val="ListBullet"/>
      </w:pPr>
      <w:r>
        <w:t xml:space="preserve">Serum for </w:t>
      </w:r>
      <w:r w:rsidR="00885B29">
        <w:t>ADA</w:t>
      </w:r>
      <w:r>
        <w:t xml:space="preserve"> to </w:t>
      </w:r>
      <w:r w:rsidR="001D63B3">
        <w:t>certolizumab pegol</w:t>
      </w:r>
      <w:r>
        <w:t xml:space="preserve"> was collected at baseline and </w:t>
      </w:r>
      <w:r w:rsidR="00F65747">
        <w:t>W</w:t>
      </w:r>
      <w:r>
        <w:t xml:space="preserve">eeks 2, 4, 16, 24, 32 or 36, and 48 during the Phase </w:t>
      </w:r>
      <w:r w:rsidR="00F65747">
        <w:t>III</w:t>
      </w:r>
      <w:r>
        <w:t xml:space="preserve"> studies, and at 10 weeks post-treatment.</w:t>
      </w:r>
    </w:p>
    <w:p w:rsidR="00500337" w:rsidRDefault="008F5BC0" w:rsidP="008F5BC0">
      <w:r>
        <w:t>AEs were summarised by the</w:t>
      </w:r>
      <w:r w:rsidR="00885B29">
        <w:t xml:space="preserve"> Medical Dictionary of Regulatory Affairs (</w:t>
      </w:r>
      <w:r>
        <w:t>MedDRA</w:t>
      </w:r>
      <w:r w:rsidR="00885B29">
        <w:t>)</w:t>
      </w:r>
      <w:r>
        <w:t xml:space="preserve"> classification (version 18.1) using System Organ Class (SOC) </w:t>
      </w:r>
      <w:r w:rsidR="004F4D77">
        <w:t xml:space="preserve">and </w:t>
      </w:r>
      <w:r w:rsidR="00885B29">
        <w:t xml:space="preserve">Preferred Term </w:t>
      </w:r>
      <w:r>
        <w:t>(PT) nomenclature.</w:t>
      </w:r>
    </w:p>
    <w:p w:rsidR="008F5BC0" w:rsidRDefault="008F5BC0" w:rsidP="008F5BC0">
      <w:r>
        <w:t xml:space="preserve">The Phase </w:t>
      </w:r>
      <w:r w:rsidR="00F65747">
        <w:t>II</w:t>
      </w:r>
      <w:r>
        <w:t xml:space="preserve"> studies (C87040 and C87044) also provided safety data:</w:t>
      </w:r>
    </w:p>
    <w:p w:rsidR="00702D7B" w:rsidRDefault="008F5BC0" w:rsidP="00F65747">
      <w:pPr>
        <w:pStyle w:val="ListBullet"/>
      </w:pPr>
      <w:r>
        <w:lastRenderedPageBreak/>
        <w:t xml:space="preserve">AEs were assessed weekly until </w:t>
      </w:r>
      <w:r w:rsidR="00D9433C">
        <w:t>W</w:t>
      </w:r>
      <w:r>
        <w:t>eek 4, then every 2 weeks until the end of treatment (</w:t>
      </w:r>
      <w:r w:rsidR="00F65747">
        <w:t>W</w:t>
      </w:r>
      <w:r>
        <w:t>eek 12) and then every 4 weeks in the follow-up period of Study C87040. AEs were assessed every 2 weeks in the re-treatment trial (Study C87044).</w:t>
      </w:r>
    </w:p>
    <w:p w:rsidR="008F5BC0" w:rsidRPr="00500337" w:rsidRDefault="008F5BC0" w:rsidP="00F65747">
      <w:pPr>
        <w:pStyle w:val="ListBullet"/>
      </w:pPr>
      <w:r>
        <w:t>Safety blood parameters (haematology and liver function tests), physical examination, ECG and anti-drug antibodies were assessed every 2</w:t>
      </w:r>
      <w:r w:rsidR="00F65747">
        <w:t xml:space="preserve"> to </w:t>
      </w:r>
      <w:r>
        <w:t xml:space="preserve">4 weeks in both Phase </w:t>
      </w:r>
      <w:r w:rsidR="00F65747">
        <w:t>II</w:t>
      </w:r>
      <w:r>
        <w:t xml:space="preserve"> studies.</w:t>
      </w:r>
    </w:p>
    <w:p w:rsidR="00605AD4" w:rsidRDefault="00605AD4" w:rsidP="00605AD4">
      <w:pPr>
        <w:pStyle w:val="Heading4"/>
      </w:pPr>
      <w:r w:rsidRPr="00605AD4">
        <w:t>Patient exposure</w:t>
      </w:r>
    </w:p>
    <w:p w:rsidR="008F5BC0" w:rsidRDefault="008F5BC0" w:rsidP="00D9433C">
      <w:pPr>
        <w:pStyle w:val="Heading5"/>
      </w:pPr>
      <w:r>
        <w:t xml:space="preserve">Initial </w:t>
      </w:r>
      <w:r w:rsidR="00885B29">
        <w:t xml:space="preserve">treatment period </w:t>
      </w:r>
      <w:r>
        <w:t>(Pool S1)</w:t>
      </w:r>
    </w:p>
    <w:p w:rsidR="00702D7B" w:rsidRDefault="008F5BC0" w:rsidP="008F5BC0">
      <w:r>
        <w:t xml:space="preserve">Overall exposure to study medication in the primary safety pool (Pool S1), which includes subjects enrolled in the Phase </w:t>
      </w:r>
      <w:r w:rsidR="00F65747">
        <w:t>III</w:t>
      </w:r>
      <w:r>
        <w:t xml:space="preserve">, </w:t>
      </w:r>
      <w:r w:rsidR="00A316C5">
        <w:t>placebo</w:t>
      </w:r>
      <w:r>
        <w:t xml:space="preserve">-controlled studies CIMPASI-1, CIMPASI-2, and CIMPACT, is presented for the initial treatment period by randomised treatment group in </w:t>
      </w:r>
      <w:r w:rsidRPr="009C2FAC">
        <w:t xml:space="preserve">Table </w:t>
      </w:r>
      <w:r w:rsidR="009C2FAC" w:rsidRPr="009C2FAC">
        <w:t>4</w:t>
      </w:r>
      <w:r w:rsidRPr="009C2FAC">
        <w:t>.</w:t>
      </w:r>
    </w:p>
    <w:p w:rsidR="00D26DDE" w:rsidRDefault="009C2FAC" w:rsidP="00D26DDE">
      <w:pPr>
        <w:pStyle w:val="TableTitle"/>
      </w:pPr>
      <w:r>
        <w:t>Table 4</w:t>
      </w:r>
      <w:r w:rsidR="00D26DDE">
        <w:t xml:space="preserve">: Exposure to </w:t>
      </w:r>
      <w:r>
        <w:t xml:space="preserve">study medication </w:t>
      </w:r>
      <w:r w:rsidR="00D26DDE">
        <w:t xml:space="preserve">during the </w:t>
      </w:r>
      <w:r w:rsidR="00885B29">
        <w:t xml:space="preserve">initial treatment period </w:t>
      </w:r>
      <w:r w:rsidR="00D26DDE">
        <w:t>(Pool S1)</w:t>
      </w:r>
    </w:p>
    <w:p w:rsidR="00D26DDE" w:rsidRDefault="00D26DDE" w:rsidP="008F5BC0">
      <w:r>
        <w:rPr>
          <w:noProof/>
          <w:lang w:eastAsia="en-AU"/>
        </w:rPr>
        <w:drawing>
          <wp:inline distT="0" distB="0" distL="0" distR="0" wp14:anchorId="0BEE7328" wp14:editId="55C48A2A">
            <wp:extent cx="4121624" cy="3108334"/>
            <wp:effectExtent l="0" t="0" r="0" b="0"/>
            <wp:docPr id="42" name="Picture 42" descr="Exposure to Study Medication during the Initial Treatment Period (Pool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7119" cy="3112478"/>
                    </a:xfrm>
                    <a:prstGeom prst="rect">
                      <a:avLst/>
                    </a:prstGeom>
                    <a:noFill/>
                    <a:ln>
                      <a:noFill/>
                    </a:ln>
                  </pic:spPr>
                </pic:pic>
              </a:graphicData>
            </a:graphic>
          </wp:inline>
        </w:drawing>
      </w:r>
    </w:p>
    <w:p w:rsidR="00702D7B" w:rsidRDefault="008F5BC0" w:rsidP="008F5BC0">
      <w:r>
        <w:t>During the 16</w:t>
      </w:r>
      <w:r w:rsidR="00F65747">
        <w:t xml:space="preserve"> </w:t>
      </w:r>
      <w:r>
        <w:t xml:space="preserve">week initial treatment phase for Pool S1, the mean duration of exposure was slightly lower in the </w:t>
      </w:r>
      <w:r w:rsidR="00A316C5">
        <w:t>placebo</w:t>
      </w:r>
      <w:r>
        <w:t xml:space="preserve"> arm at 107.8 days compared with the </w:t>
      </w:r>
      <w:r w:rsidR="001D63B3">
        <w:t>certolizumab pegol</w:t>
      </w:r>
      <w:r>
        <w:t xml:space="preserve"> 400</w:t>
      </w:r>
      <w:r w:rsidR="00D26DDE">
        <w:t> </w:t>
      </w:r>
      <w:r>
        <w:t xml:space="preserve">mg Q2W (110.7 days) and </w:t>
      </w:r>
      <w:r w:rsidR="001D63B3">
        <w:t>certolizumab pegol</w:t>
      </w:r>
      <w:r>
        <w:t xml:space="preserve"> 200</w:t>
      </w:r>
      <w:r w:rsidR="00F65747">
        <w:t xml:space="preserve"> </w:t>
      </w:r>
      <w:r>
        <w:t>mg Q2W (110.0</w:t>
      </w:r>
      <w:r w:rsidR="00F65747">
        <w:t> </w:t>
      </w:r>
      <w:r>
        <w:t xml:space="preserve">days) groups. However, the median number of days that study medication was received was 112 days in all </w:t>
      </w:r>
      <w:r w:rsidR="001A00B6">
        <w:t>three</w:t>
      </w:r>
      <w:r>
        <w:t xml:space="preserve"> treatment arms. Most subjects (&gt;</w:t>
      </w:r>
      <w:r w:rsidR="00F65747">
        <w:t xml:space="preserve"> </w:t>
      </w:r>
      <w:r>
        <w:t xml:space="preserve">93%) in each treatment group continued to receive study medication for 3 or more months, but total drug exposure was higher in both </w:t>
      </w:r>
      <w:r w:rsidR="001D63B3">
        <w:t>certolizumab pegol</w:t>
      </w:r>
      <w:r>
        <w:t xml:space="preserve"> dose groups due to a combination of sample size and subject withdrawal prior to week 16 (more with </w:t>
      </w:r>
      <w:r w:rsidR="00A316C5">
        <w:t>placebo</w:t>
      </w:r>
      <w:r>
        <w:t xml:space="preserve">). The total exposure in </w:t>
      </w:r>
      <w:r w:rsidR="00EE730D">
        <w:t>patient-year</w:t>
      </w:r>
      <w:r>
        <w:t xml:space="preserve">s was similar between the </w:t>
      </w:r>
      <w:r w:rsidR="001D63B3">
        <w:t>certolizumab pegol</w:t>
      </w:r>
      <w:r>
        <w:t xml:space="preserve"> 400</w:t>
      </w:r>
      <w:r w:rsidR="00D9433C">
        <w:t> </w:t>
      </w:r>
      <w:r>
        <w:t xml:space="preserve">mg Q2W and </w:t>
      </w:r>
      <w:r w:rsidR="001D63B3">
        <w:t>certolizumab pegol</w:t>
      </w:r>
      <w:r>
        <w:t xml:space="preserve"> 200</w:t>
      </w:r>
      <w:r w:rsidR="00F65747">
        <w:t xml:space="preserve"> </w:t>
      </w:r>
      <w:r>
        <w:t xml:space="preserve">mg Q2W groups at 104.5 </w:t>
      </w:r>
      <w:r w:rsidR="00EE730D">
        <w:t>patient-year</w:t>
      </w:r>
      <w:r w:rsidR="00F65747">
        <w:t>s</w:t>
      </w:r>
      <w:r>
        <w:t xml:space="preserve"> and 106.5 </w:t>
      </w:r>
      <w:r w:rsidR="00EE730D">
        <w:t>patient-year</w:t>
      </w:r>
      <w:r w:rsidR="00F65747">
        <w:t>s</w:t>
      </w:r>
      <w:r>
        <w:t>, respec</w:t>
      </w:r>
      <w:r w:rsidR="00D26DDE">
        <w:t>tively.</w:t>
      </w:r>
    </w:p>
    <w:p w:rsidR="00B0427D" w:rsidRDefault="00B0427D" w:rsidP="00D9433C">
      <w:pPr>
        <w:pStyle w:val="Heading5"/>
      </w:pPr>
      <w:r>
        <w:t xml:space="preserve">Maintenance </w:t>
      </w:r>
      <w:r w:rsidR="00885B29">
        <w:t>t</w:t>
      </w:r>
      <w:r>
        <w:t xml:space="preserve">reatment </w:t>
      </w:r>
      <w:r w:rsidR="00885B29">
        <w:t>p</w:t>
      </w:r>
      <w:r>
        <w:t>eriod (Pool S4)</w:t>
      </w:r>
    </w:p>
    <w:p w:rsidR="00D26DDE" w:rsidRDefault="00B0427D" w:rsidP="00B0427D">
      <w:r>
        <w:t>Overall study medication exposure in Pool S4, which include</w:t>
      </w:r>
      <w:r w:rsidR="00F65747">
        <w:t xml:space="preserve">s subjects participating in the </w:t>
      </w:r>
      <w:r>
        <w:t xml:space="preserve">Phase </w:t>
      </w:r>
      <w:r w:rsidR="00F65747">
        <w:t>III</w:t>
      </w:r>
      <w:r>
        <w:t xml:space="preserve">, </w:t>
      </w:r>
      <w:r w:rsidR="00A316C5">
        <w:t>placebo</w:t>
      </w:r>
      <w:r w:rsidR="00D9433C">
        <w:t xml:space="preserve"> </w:t>
      </w:r>
      <w:r>
        <w:t>controlled CIMPASI-1, CIMPASI-2, and CIMPACT</w:t>
      </w:r>
      <w:r w:rsidR="00885B29">
        <w:t xml:space="preserve"> trials</w:t>
      </w:r>
      <w:r>
        <w:t xml:space="preserve"> during the maintenance treatment period, is presented by assigned treatment at </w:t>
      </w:r>
      <w:r w:rsidR="00F65747">
        <w:t>W</w:t>
      </w:r>
      <w:r>
        <w:t xml:space="preserve">eek 16 in </w:t>
      </w:r>
      <w:r w:rsidRPr="001D6F74">
        <w:t xml:space="preserve">Table </w:t>
      </w:r>
      <w:r w:rsidR="009C2FAC" w:rsidRPr="00BD6F96">
        <w:t>5</w:t>
      </w:r>
      <w:r w:rsidR="00D26DDE">
        <w:t>.</w:t>
      </w:r>
    </w:p>
    <w:p w:rsidR="00D26DDE" w:rsidRDefault="009C2FAC" w:rsidP="007340AD">
      <w:pPr>
        <w:pStyle w:val="TableTitle"/>
      </w:pPr>
      <w:r>
        <w:lastRenderedPageBreak/>
        <w:t>Table 5</w:t>
      </w:r>
      <w:r w:rsidR="002D5C11">
        <w:t>:</w:t>
      </w:r>
      <w:r w:rsidR="00BE0224">
        <w:t xml:space="preserve"> </w:t>
      </w:r>
      <w:r w:rsidR="002D5C11">
        <w:t xml:space="preserve">Exposure to </w:t>
      </w:r>
      <w:r>
        <w:t xml:space="preserve">study medication </w:t>
      </w:r>
      <w:r w:rsidR="002D5C11">
        <w:t xml:space="preserve">during the </w:t>
      </w:r>
      <w:r w:rsidR="00885B29">
        <w:t>m</w:t>
      </w:r>
      <w:r w:rsidR="002D5C11">
        <w:t xml:space="preserve">aintenance </w:t>
      </w:r>
      <w:r w:rsidR="00885B29">
        <w:t xml:space="preserve">treatment period </w:t>
      </w:r>
      <w:r w:rsidR="002D5C11">
        <w:t>(Pool S4)</w:t>
      </w:r>
    </w:p>
    <w:p w:rsidR="002D5C11" w:rsidRDefault="002D5C11" w:rsidP="00B0427D">
      <w:r>
        <w:rPr>
          <w:noProof/>
          <w:lang w:eastAsia="en-AU"/>
        </w:rPr>
        <w:drawing>
          <wp:inline distT="0" distB="0" distL="0" distR="0" wp14:anchorId="6FF555C8" wp14:editId="31E8C268">
            <wp:extent cx="3991970" cy="3554313"/>
            <wp:effectExtent l="0" t="0" r="8890" b="8255"/>
            <wp:docPr id="43" name="Picture 43" descr="Exposure to Study Medication during the Maintenance Treatment Period (Pool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5678" cy="3557614"/>
                    </a:xfrm>
                    <a:prstGeom prst="rect">
                      <a:avLst/>
                    </a:prstGeom>
                    <a:noFill/>
                    <a:ln>
                      <a:noFill/>
                    </a:ln>
                  </pic:spPr>
                </pic:pic>
              </a:graphicData>
            </a:graphic>
          </wp:inline>
        </w:drawing>
      </w:r>
    </w:p>
    <w:p w:rsidR="00702D7B" w:rsidRDefault="00B0427D" w:rsidP="00B0427D">
      <w:r>
        <w:t xml:space="preserve">As expected in Pool S4, the mean duration of exposure was higher in both </w:t>
      </w:r>
      <w:r w:rsidR="001D63B3">
        <w:t>certolizumab pegol</w:t>
      </w:r>
      <w:r>
        <w:t xml:space="preserve"> groups (211.2 days for 200</w:t>
      </w:r>
      <w:r w:rsidR="00F65747">
        <w:t xml:space="preserve"> </w:t>
      </w:r>
      <w:r>
        <w:t>mg Q2W and 204.8 days for 400</w:t>
      </w:r>
      <w:r w:rsidR="00F65747">
        <w:t xml:space="preserve"> </w:t>
      </w:r>
      <w:r>
        <w:t xml:space="preserve">mg Q2W) compared with the </w:t>
      </w:r>
      <w:r w:rsidR="00A316C5">
        <w:t>placebo</w:t>
      </w:r>
      <w:r>
        <w:t xml:space="preserve"> arm (172 days) and was mainly explained by subjects in the </w:t>
      </w:r>
      <w:r w:rsidR="00A316C5">
        <w:t>placebo</w:t>
      </w:r>
      <w:r>
        <w:t xml:space="preserve"> group from </w:t>
      </w:r>
      <w:r w:rsidR="00151642">
        <w:t xml:space="preserve">the </w:t>
      </w:r>
      <w:r>
        <w:t xml:space="preserve">CIMPACT </w:t>
      </w:r>
      <w:r w:rsidR="00151642">
        <w:t xml:space="preserve">trial </w:t>
      </w:r>
      <w:r>
        <w:t xml:space="preserve">who relapsed during the blinded maintenance treatment period and subsequently escaped to the open label treatment phase. The mean duration of exposure in the </w:t>
      </w:r>
      <w:r w:rsidR="001D63B3">
        <w:t>certolizumab pegol</w:t>
      </w:r>
      <w:r>
        <w:t xml:space="preserve"> 200</w:t>
      </w:r>
      <w:r w:rsidR="00F65747">
        <w:t xml:space="preserve"> </w:t>
      </w:r>
      <w:r>
        <w:t xml:space="preserve">mg Q2W group was slightly higher compared to the </w:t>
      </w:r>
      <w:r w:rsidR="001D63B3">
        <w:t>certolizumab pegol</w:t>
      </w:r>
      <w:r>
        <w:t xml:space="preserve"> 400</w:t>
      </w:r>
      <w:r w:rsidR="00F65747">
        <w:t xml:space="preserve"> </w:t>
      </w:r>
      <w:r>
        <w:t xml:space="preserve">mg Q2W arm (211.2 days versus 204.8 days). This appears to be explained by the higher rate of discontinuation among subjects on escape </w:t>
      </w:r>
      <w:r w:rsidR="001D63B3">
        <w:t>certolizumab pegol</w:t>
      </w:r>
      <w:r>
        <w:t xml:space="preserve"> 400</w:t>
      </w:r>
      <w:r w:rsidR="00F65747">
        <w:t xml:space="preserve"> </w:t>
      </w:r>
      <w:r>
        <w:t xml:space="preserve">mg Q2W therapy that were mandatorily withdrawn from the study if PASI50 response was not achieved in the maintenance treatment period. It is important to note that Pool S4 includes subjects in the </w:t>
      </w:r>
      <w:r w:rsidR="00A316C5">
        <w:t>placebo</w:t>
      </w:r>
      <w:r>
        <w:t xml:space="preserve"> group who relapsed during the blinded maintenance treatment period of the CIMPACT </w:t>
      </w:r>
      <w:r w:rsidR="00151642">
        <w:t>trial</w:t>
      </w:r>
      <w:r>
        <w:t xml:space="preserve">, and who then escaped to </w:t>
      </w:r>
      <w:r w:rsidR="001D63B3">
        <w:t>certolizumab pegol</w:t>
      </w:r>
      <w:r>
        <w:t xml:space="preserve"> 400</w:t>
      </w:r>
      <w:r w:rsidR="00F65747">
        <w:t xml:space="preserve"> </w:t>
      </w:r>
      <w:r>
        <w:t>mg Q2W therapy.</w:t>
      </w:r>
    </w:p>
    <w:p w:rsidR="00702D7B" w:rsidRDefault="00B0427D" w:rsidP="00B0427D">
      <w:r>
        <w:t xml:space="preserve">In Pool S4, the total subject exposure was 312.4 </w:t>
      </w:r>
      <w:r w:rsidR="00EE730D">
        <w:t>patient-year</w:t>
      </w:r>
      <w:r w:rsidR="00F65747">
        <w:t>s</w:t>
      </w:r>
      <w:r>
        <w:t xml:space="preserve"> in the </w:t>
      </w:r>
      <w:r w:rsidR="001D63B3">
        <w:t>certolizumab pegol</w:t>
      </w:r>
      <w:r>
        <w:t xml:space="preserve"> 400</w:t>
      </w:r>
      <w:r w:rsidR="00F65747">
        <w:t xml:space="preserve"> </w:t>
      </w:r>
      <w:r>
        <w:t xml:space="preserve">mg Q2W group, 203.6 </w:t>
      </w:r>
      <w:r w:rsidR="00EE730D">
        <w:t>patient-year</w:t>
      </w:r>
      <w:r w:rsidR="00F65747">
        <w:t>s</w:t>
      </w:r>
      <w:r>
        <w:t xml:space="preserve"> in the </w:t>
      </w:r>
      <w:r w:rsidR="001D63B3">
        <w:t>certolizumab pegol</w:t>
      </w:r>
      <w:r>
        <w:t xml:space="preserve"> 200</w:t>
      </w:r>
      <w:r w:rsidR="00F65747">
        <w:t xml:space="preserve"> </w:t>
      </w:r>
      <w:r>
        <w:t xml:space="preserve">mg Q2W arm and 39.1 </w:t>
      </w:r>
      <w:r w:rsidR="00EE730D">
        <w:t>patient-year</w:t>
      </w:r>
      <w:r w:rsidR="00F65747">
        <w:t>s</w:t>
      </w:r>
      <w:r>
        <w:t xml:space="preserve"> in the </w:t>
      </w:r>
      <w:r w:rsidR="00A316C5">
        <w:t>placebo</w:t>
      </w:r>
      <w:r>
        <w:t xml:space="preserve"> group. The higher total exposure in the </w:t>
      </w:r>
      <w:r w:rsidR="001D63B3">
        <w:t>certolizumab pegol</w:t>
      </w:r>
      <w:r>
        <w:t xml:space="preserve"> 400</w:t>
      </w:r>
      <w:r w:rsidR="00F65747">
        <w:t xml:space="preserve"> </w:t>
      </w:r>
      <w:r>
        <w:t xml:space="preserve">mg Q2W group compared with the </w:t>
      </w:r>
      <w:r w:rsidR="001D63B3">
        <w:t>certolizumab pegol</w:t>
      </w:r>
      <w:r>
        <w:t xml:space="preserve"> 200</w:t>
      </w:r>
      <w:r w:rsidR="00F65747">
        <w:t xml:space="preserve"> </w:t>
      </w:r>
      <w:r>
        <w:t>mg Q2W arm (312.4</w:t>
      </w:r>
      <w:r w:rsidR="00F65747">
        <w:t> </w:t>
      </w:r>
      <w:r w:rsidR="00EE730D">
        <w:t>patient-year</w:t>
      </w:r>
      <w:r w:rsidR="00F65747">
        <w:t>s</w:t>
      </w:r>
      <w:r>
        <w:t xml:space="preserve"> versus 203.6 </w:t>
      </w:r>
      <w:r w:rsidR="00EE730D">
        <w:t>patient-year</w:t>
      </w:r>
      <w:r w:rsidR="00F65747">
        <w:t>s</w:t>
      </w:r>
      <w:r>
        <w:t xml:space="preserve">) was primarily due to the difference in sample size (540 subjects in the </w:t>
      </w:r>
      <w:r w:rsidR="001D63B3">
        <w:t>certolizumab pegol</w:t>
      </w:r>
      <w:r>
        <w:t xml:space="preserve"> 400</w:t>
      </w:r>
      <w:r w:rsidR="00F65747">
        <w:t xml:space="preserve"> </w:t>
      </w:r>
      <w:r>
        <w:t xml:space="preserve">mg Q2W group and 348 subjects in the </w:t>
      </w:r>
      <w:r w:rsidR="001D63B3">
        <w:t>certolizumab pegol</w:t>
      </w:r>
      <w:r>
        <w:t xml:space="preserve"> 200</w:t>
      </w:r>
      <w:r w:rsidR="00F65747">
        <w:t xml:space="preserve"> </w:t>
      </w:r>
      <w:r>
        <w:t xml:space="preserve">mg Q2W arm). Pool S4 included a total of 888 subjects exposed to </w:t>
      </w:r>
      <w:r w:rsidR="001D63B3">
        <w:t>certolizumab pegol</w:t>
      </w:r>
      <w:r>
        <w:t xml:space="preserve"> (either dose regimen) and 87.5% (n</w:t>
      </w:r>
      <w:r w:rsidR="00702D7B">
        <w:t xml:space="preserve"> = </w:t>
      </w:r>
      <w:r>
        <w:t xml:space="preserve">777) of those subjects completed the maintenance treatment period (between </w:t>
      </w:r>
      <w:r w:rsidR="00F65747">
        <w:t>W</w:t>
      </w:r>
      <w:r w:rsidR="002D5C11">
        <w:t>eeks 16 and 48).</w:t>
      </w:r>
    </w:p>
    <w:p w:rsidR="00B0427D" w:rsidRDefault="00B0427D" w:rsidP="00D9433C">
      <w:pPr>
        <w:pStyle w:val="Heading5"/>
      </w:pPr>
      <w:r>
        <w:t xml:space="preserve">Phase </w:t>
      </w:r>
      <w:r w:rsidR="00F65747">
        <w:t>II</w:t>
      </w:r>
      <w:r>
        <w:t xml:space="preserve"> </w:t>
      </w:r>
      <w:r w:rsidR="00151642">
        <w:t>s</w:t>
      </w:r>
      <w:r>
        <w:t>tudies</w:t>
      </w:r>
    </w:p>
    <w:p w:rsidR="00B0427D" w:rsidRDefault="00B0427D" w:rsidP="00B0427D">
      <w:r>
        <w:t xml:space="preserve">In Study C87040, the mean exposure to treatment in terms of the number of administered study drug injections was the same for both </w:t>
      </w:r>
      <w:r w:rsidR="001D63B3">
        <w:t>certolizumab pegol</w:t>
      </w:r>
      <w:r>
        <w:t xml:space="preserve"> groups, but lower for the </w:t>
      </w:r>
      <w:r w:rsidR="00A316C5">
        <w:t>placebo</w:t>
      </w:r>
      <w:r>
        <w:t xml:space="preserve"> arm. It is important to note that subjects received </w:t>
      </w:r>
      <w:r w:rsidR="00EE730D">
        <w:t>two</w:t>
      </w:r>
      <w:r>
        <w:t xml:space="preserve"> concurrent study injections at each visit over the 12</w:t>
      </w:r>
      <w:r w:rsidR="00F65747">
        <w:t xml:space="preserve"> </w:t>
      </w:r>
      <w:r>
        <w:t xml:space="preserve">week active treatment period of Study C87040. A summary of the extent of treatment exposure in Study C87040 is provided in Table </w:t>
      </w:r>
      <w:r w:rsidR="009C2FAC">
        <w:t>6</w:t>
      </w:r>
      <w:r>
        <w:t>.</w:t>
      </w:r>
    </w:p>
    <w:p w:rsidR="00702D7B" w:rsidRDefault="00B0427D" w:rsidP="002D5C11">
      <w:pPr>
        <w:pStyle w:val="TableTitle"/>
      </w:pPr>
      <w:r>
        <w:lastRenderedPageBreak/>
        <w:t xml:space="preserve">Table </w:t>
      </w:r>
      <w:r w:rsidR="009C2FAC">
        <w:t>6</w:t>
      </w:r>
      <w:r w:rsidR="002D5C11">
        <w:t xml:space="preserve">: </w:t>
      </w:r>
      <w:r>
        <w:t xml:space="preserve">Extent of </w:t>
      </w:r>
      <w:r w:rsidR="009C2FAC">
        <w:t xml:space="preserve">treatment exposure </w:t>
      </w:r>
      <w:r>
        <w:t>in Study C87040</w:t>
      </w:r>
    </w:p>
    <w:p w:rsidR="00B0427D" w:rsidRDefault="00B0427D" w:rsidP="00B0427D">
      <w:r>
        <w:rPr>
          <w:noProof/>
          <w:lang w:eastAsia="en-AU"/>
        </w:rPr>
        <w:drawing>
          <wp:inline distT="0" distB="0" distL="0" distR="0" wp14:anchorId="4976E713" wp14:editId="718B8ED4">
            <wp:extent cx="4667250" cy="1584224"/>
            <wp:effectExtent l="0" t="0" r="0" b="0"/>
            <wp:docPr id="53" name="Picture 53" descr="Extent of Treatment Exposure in Study C87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2227" cy="1585913"/>
                    </a:xfrm>
                    <a:prstGeom prst="rect">
                      <a:avLst/>
                    </a:prstGeom>
                    <a:noFill/>
                    <a:ln>
                      <a:noFill/>
                    </a:ln>
                  </pic:spPr>
                </pic:pic>
              </a:graphicData>
            </a:graphic>
          </wp:inline>
        </w:drawing>
      </w:r>
    </w:p>
    <w:p w:rsidR="00B0427D" w:rsidRDefault="00B0427D" w:rsidP="00B0427D">
      <w:r>
        <w:t xml:space="preserve">In addition, more subjects in the </w:t>
      </w:r>
      <w:r w:rsidR="00A316C5">
        <w:t>placebo</w:t>
      </w:r>
      <w:r>
        <w:t xml:space="preserve"> group (32.2%) discontinued the trial compared with 8.5% of subjects in the </w:t>
      </w:r>
      <w:r w:rsidR="001D63B3">
        <w:t>certolizumab pegol</w:t>
      </w:r>
      <w:r>
        <w:t xml:space="preserve"> 200</w:t>
      </w:r>
      <w:r w:rsidR="00F65747">
        <w:t xml:space="preserve"> </w:t>
      </w:r>
      <w:r>
        <w:t xml:space="preserve">mg arm and 6.9% of subjects in the </w:t>
      </w:r>
      <w:r w:rsidR="001D63B3">
        <w:t>certolizumab pegol</w:t>
      </w:r>
      <w:r>
        <w:t xml:space="preserve"> 400</w:t>
      </w:r>
      <w:r w:rsidR="00F65747">
        <w:t xml:space="preserve"> </w:t>
      </w:r>
      <w:r>
        <w:t>mg group, mainly due to lack of efficacy.</w:t>
      </w:r>
    </w:p>
    <w:p w:rsidR="00B0427D" w:rsidRDefault="00B0427D" w:rsidP="00B0427D">
      <w:r>
        <w:t xml:space="preserve">In the re-treatment trial (Study C87044), the mean number of injections each </w:t>
      </w:r>
      <w:r w:rsidR="001D63B3">
        <w:t>certolizumab pegol</w:t>
      </w:r>
      <w:r>
        <w:t xml:space="preserve"> treatment cohort received was similar at 11.6 to 11.8 injections. It is important to note that each </w:t>
      </w:r>
      <w:r w:rsidR="001D63B3">
        <w:t>certolizumab pegol</w:t>
      </w:r>
      <w:r>
        <w:t xml:space="preserve"> treatment cohort in Study C87044 received 2 concurrent study medication injections at each visit to maintain blinding over the 12</w:t>
      </w:r>
      <w:r w:rsidR="001778C0">
        <w:t xml:space="preserve"> </w:t>
      </w:r>
      <w:r>
        <w:t xml:space="preserve">week active re-treatment period. Table </w:t>
      </w:r>
      <w:r w:rsidR="009C2FAC">
        <w:t>7</w:t>
      </w:r>
      <w:r>
        <w:t xml:space="preserve"> provides a summary of exposure in Study</w:t>
      </w:r>
      <w:r w:rsidR="00151642">
        <w:t> </w:t>
      </w:r>
      <w:r>
        <w:t>C87044.</w:t>
      </w:r>
    </w:p>
    <w:p w:rsidR="00B0427D" w:rsidRDefault="00B0427D" w:rsidP="002D5C11">
      <w:pPr>
        <w:pStyle w:val="TableTitle"/>
      </w:pPr>
      <w:r>
        <w:t xml:space="preserve">Table </w:t>
      </w:r>
      <w:r w:rsidR="009C2FAC">
        <w:t>7</w:t>
      </w:r>
      <w:r w:rsidR="002D5C11">
        <w:t xml:space="preserve">: </w:t>
      </w:r>
      <w:r>
        <w:t xml:space="preserve">Extent of </w:t>
      </w:r>
      <w:r w:rsidR="009C2FAC">
        <w:t xml:space="preserve">treatment exposure </w:t>
      </w:r>
      <w:r>
        <w:t>in Study C87044</w:t>
      </w:r>
    </w:p>
    <w:p w:rsidR="00B0427D" w:rsidRDefault="00B0427D" w:rsidP="00B0427D">
      <w:r>
        <w:rPr>
          <w:noProof/>
          <w:lang w:eastAsia="en-AU"/>
        </w:rPr>
        <w:drawing>
          <wp:inline distT="0" distB="0" distL="0" distR="0" wp14:anchorId="11F34D6F" wp14:editId="3DEE5CE3">
            <wp:extent cx="5119692" cy="1190625"/>
            <wp:effectExtent l="0" t="0" r="5080" b="0"/>
            <wp:docPr id="54" name="Picture 54" descr="Extent of Treatment Exposure in Study C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2095" cy="1191184"/>
                    </a:xfrm>
                    <a:prstGeom prst="rect">
                      <a:avLst/>
                    </a:prstGeom>
                    <a:noFill/>
                    <a:ln>
                      <a:noFill/>
                    </a:ln>
                  </pic:spPr>
                </pic:pic>
              </a:graphicData>
            </a:graphic>
          </wp:inline>
        </w:drawing>
      </w:r>
    </w:p>
    <w:p w:rsidR="00702D7B" w:rsidRDefault="00B0427D" w:rsidP="00D9433C">
      <w:pPr>
        <w:pStyle w:val="Heading5"/>
      </w:pPr>
      <w:r>
        <w:t xml:space="preserve">Long </w:t>
      </w:r>
      <w:r w:rsidR="00BD6F96">
        <w:t xml:space="preserve">term safety </w:t>
      </w:r>
      <w:r>
        <w:t>(Pool S3)</w:t>
      </w:r>
    </w:p>
    <w:p w:rsidR="00B0427D" w:rsidRDefault="00B0427D" w:rsidP="00B0427D">
      <w:r>
        <w:t xml:space="preserve">In Pool S3, a total of 995 subjects were exposed to </w:t>
      </w:r>
      <w:r w:rsidR="001D63B3">
        <w:t>certolizumab pegol</w:t>
      </w:r>
      <w:r>
        <w:t xml:space="preserve"> in the Phase </w:t>
      </w:r>
      <w:r w:rsidR="001778C0">
        <w:t>III</w:t>
      </w:r>
      <w:r>
        <w:t xml:space="preserve"> </w:t>
      </w:r>
      <w:r w:rsidR="00A567C2">
        <w:t>psoriasis</w:t>
      </w:r>
      <w:r>
        <w:t xml:space="preserve"> studies (which represents a total drug exposure of 883.2 </w:t>
      </w:r>
      <w:r w:rsidR="00EE730D">
        <w:t>patient-year</w:t>
      </w:r>
      <w:r w:rsidR="001778C0">
        <w:t>s</w:t>
      </w:r>
      <w:r>
        <w:t xml:space="preserve">) and 117 subjects received </w:t>
      </w:r>
      <w:r w:rsidR="001D63B3">
        <w:t>certolizumab pegol</w:t>
      </w:r>
      <w:r>
        <w:t xml:space="preserve"> in the Phase </w:t>
      </w:r>
      <w:r w:rsidR="001778C0">
        <w:t>II</w:t>
      </w:r>
      <w:r>
        <w:t xml:space="preserve"> program (an additional 68.5 </w:t>
      </w:r>
      <w:r w:rsidR="00EE730D">
        <w:t>patient-year</w:t>
      </w:r>
      <w:r w:rsidR="001778C0">
        <w:t>s</w:t>
      </w:r>
      <w:r>
        <w:t xml:space="preserve"> of exposure). Table </w:t>
      </w:r>
      <w:r w:rsidR="009C2FAC">
        <w:t>8</w:t>
      </w:r>
      <w:r>
        <w:t xml:space="preserve"> summarises the exposure to </w:t>
      </w:r>
      <w:r w:rsidR="001D63B3">
        <w:t>certolizumab pegol</w:t>
      </w:r>
      <w:r>
        <w:t xml:space="preserve"> in the long</w:t>
      </w:r>
      <w:r w:rsidR="002D5C11">
        <w:t>-term safety dataset (Pool S3).</w:t>
      </w:r>
    </w:p>
    <w:p w:rsidR="00B0427D" w:rsidRDefault="00B0427D" w:rsidP="00B0427D">
      <w:r>
        <w:t xml:space="preserve">In the Phase </w:t>
      </w:r>
      <w:r w:rsidR="001778C0">
        <w:t>III</w:t>
      </w:r>
      <w:r>
        <w:t xml:space="preserve"> studies, overall exposure was higher with </w:t>
      </w:r>
      <w:r w:rsidR="001D63B3">
        <w:t>certolizumab pegol</w:t>
      </w:r>
      <w:r>
        <w:t xml:space="preserve"> 400</w:t>
      </w:r>
      <w:r w:rsidR="001778C0">
        <w:t xml:space="preserve"> </w:t>
      </w:r>
      <w:r>
        <w:t xml:space="preserve">mg Q2W (478.3 </w:t>
      </w:r>
      <w:r w:rsidR="00EE730D">
        <w:t>patient-year</w:t>
      </w:r>
      <w:r w:rsidR="001778C0">
        <w:t>s</w:t>
      </w:r>
      <w:r>
        <w:t xml:space="preserve">) compared to </w:t>
      </w:r>
      <w:r w:rsidR="001D63B3">
        <w:t>certolizumab pegol</w:t>
      </w:r>
      <w:r>
        <w:t xml:space="preserve"> 200</w:t>
      </w:r>
      <w:r w:rsidR="001778C0">
        <w:t xml:space="preserve"> </w:t>
      </w:r>
      <w:r>
        <w:t xml:space="preserve">mg Q2W (404.9 </w:t>
      </w:r>
      <w:r w:rsidR="00EE730D">
        <w:t>patient-year</w:t>
      </w:r>
      <w:r w:rsidR="001778C0">
        <w:t>s</w:t>
      </w:r>
      <w:r>
        <w:t xml:space="preserve">). This observation is best explained by a higher proportion of </w:t>
      </w:r>
      <w:r w:rsidR="001D63B3">
        <w:t>certolizumab pegol</w:t>
      </w:r>
      <w:r>
        <w:t xml:space="preserve"> 200</w:t>
      </w:r>
      <w:r w:rsidR="001778C0">
        <w:t xml:space="preserve"> </w:t>
      </w:r>
      <w:r>
        <w:t>mg treated subjects having &lt;</w:t>
      </w:r>
      <w:r w:rsidR="001778C0">
        <w:t xml:space="preserve"> </w:t>
      </w:r>
      <w:r>
        <w:t xml:space="preserve">16 weeks of drug exposure (40.3% </w:t>
      </w:r>
      <w:r w:rsidR="00151642">
        <w:t>(</w:t>
      </w:r>
      <w:r>
        <w:t>283</w:t>
      </w:r>
      <w:r w:rsidR="001778C0">
        <w:t xml:space="preserve"> of</w:t>
      </w:r>
      <w:r w:rsidR="00EE730D">
        <w:t xml:space="preserve"> </w:t>
      </w:r>
      <w:r>
        <w:t>703</w:t>
      </w:r>
      <w:r w:rsidR="00151642">
        <w:t>)</w:t>
      </w:r>
      <w:r>
        <w:t xml:space="preserve"> with 200</w:t>
      </w:r>
      <w:r w:rsidR="001778C0">
        <w:t xml:space="preserve"> </w:t>
      </w:r>
      <w:r>
        <w:t xml:space="preserve">mg Q2W versus 16.5% </w:t>
      </w:r>
      <w:r w:rsidR="00151642">
        <w:t>(</w:t>
      </w:r>
      <w:r>
        <w:t>112</w:t>
      </w:r>
      <w:r w:rsidR="001778C0">
        <w:t xml:space="preserve"> of </w:t>
      </w:r>
      <w:r>
        <w:t>677</w:t>
      </w:r>
      <w:r w:rsidR="00151642">
        <w:t>)</w:t>
      </w:r>
      <w:r>
        <w:t xml:space="preserve"> with 400</w:t>
      </w:r>
      <w:r w:rsidR="001778C0">
        <w:t xml:space="preserve"> </w:t>
      </w:r>
      <w:r>
        <w:t xml:space="preserve">mg Q2W). This difference in distribution of duration of exposure between the </w:t>
      </w:r>
      <w:r w:rsidR="00EE730D">
        <w:t>two</w:t>
      </w:r>
      <w:r>
        <w:t xml:space="preserve"> </w:t>
      </w:r>
      <w:r w:rsidR="001D63B3">
        <w:t>certolizumab pegol</w:t>
      </w:r>
      <w:r>
        <w:t xml:space="preserve"> dose regimens is driven by a high number of subjects who are first exposed to </w:t>
      </w:r>
      <w:r w:rsidR="001D63B3">
        <w:t>certolizumab pegol</w:t>
      </w:r>
      <w:r>
        <w:t xml:space="preserve"> at a dose of 200</w:t>
      </w:r>
      <w:r w:rsidR="001778C0">
        <w:t xml:space="preserve"> </w:t>
      </w:r>
      <w:r>
        <w:t>mg Q2W in the open label treatment periods.</w:t>
      </w:r>
    </w:p>
    <w:p w:rsidR="002D5C11" w:rsidRDefault="002D5C11" w:rsidP="002D5C11">
      <w:pPr>
        <w:pStyle w:val="TableTitle"/>
      </w:pPr>
      <w:r w:rsidRPr="00B0427D">
        <w:lastRenderedPageBreak/>
        <w:t xml:space="preserve">Table </w:t>
      </w:r>
      <w:r w:rsidR="009C2FAC">
        <w:t>8</w:t>
      </w:r>
      <w:r>
        <w:t xml:space="preserve">: </w:t>
      </w:r>
      <w:r w:rsidRPr="00B0427D">
        <w:t xml:space="preserve">Exposure to </w:t>
      </w:r>
      <w:r>
        <w:t>certolizumab pegol</w:t>
      </w:r>
      <w:r w:rsidRPr="00B0427D">
        <w:t xml:space="preserve"> for Pool S3 Subjects (as of data cut-off dates)</w:t>
      </w:r>
    </w:p>
    <w:p w:rsidR="002D5C11" w:rsidRDefault="002D5C11" w:rsidP="002D5C11">
      <w:r>
        <w:rPr>
          <w:noProof/>
          <w:lang w:eastAsia="en-AU"/>
        </w:rPr>
        <w:drawing>
          <wp:inline distT="0" distB="0" distL="0" distR="0" wp14:anchorId="7C6E47D4" wp14:editId="2DC68847">
            <wp:extent cx="4505325" cy="4033054"/>
            <wp:effectExtent l="0" t="0" r="0" b="5715"/>
            <wp:docPr id="44" name="Picture 44" descr="Exposure to certolizumab pegol for Pool S3 Subjects (as of data cut-off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0176" cy="4037396"/>
                    </a:xfrm>
                    <a:prstGeom prst="rect">
                      <a:avLst/>
                    </a:prstGeom>
                    <a:noFill/>
                    <a:ln>
                      <a:noFill/>
                    </a:ln>
                  </pic:spPr>
                </pic:pic>
              </a:graphicData>
            </a:graphic>
          </wp:inline>
        </w:drawing>
      </w:r>
    </w:p>
    <w:p w:rsidR="00605AD4" w:rsidRDefault="00605AD4" w:rsidP="00605AD4">
      <w:pPr>
        <w:pStyle w:val="Heading4"/>
      </w:pPr>
      <w:r w:rsidRPr="00605AD4">
        <w:t>Safety issues with the potential for major regulatory impact</w:t>
      </w:r>
    </w:p>
    <w:p w:rsidR="00B0427D" w:rsidRDefault="00B0427D" w:rsidP="007918E9">
      <w:pPr>
        <w:pStyle w:val="Heading5"/>
      </w:pPr>
      <w:r>
        <w:t xml:space="preserve">Deaths and other </w:t>
      </w:r>
      <w:r w:rsidR="00BE0224">
        <w:t>serious</w:t>
      </w:r>
      <w:r>
        <w:t xml:space="preserve"> adverse events (SAE)</w:t>
      </w:r>
    </w:p>
    <w:p w:rsidR="00702D7B" w:rsidRDefault="00B0427D" w:rsidP="007918E9">
      <w:pPr>
        <w:pStyle w:val="Heading6"/>
      </w:pPr>
      <w:r>
        <w:t xml:space="preserve">Initial </w:t>
      </w:r>
      <w:r w:rsidR="00BD6F96">
        <w:t xml:space="preserve">treatment period </w:t>
      </w:r>
      <w:r>
        <w:t>(Pool S1)</w:t>
      </w:r>
    </w:p>
    <w:p w:rsidR="00702D7B" w:rsidRDefault="00B0427D" w:rsidP="00B0427D">
      <w:r>
        <w:t xml:space="preserve">No subjects died during the initial treatment periods of the Phase </w:t>
      </w:r>
      <w:r w:rsidR="001778C0">
        <w:t>III</w:t>
      </w:r>
      <w:r>
        <w:t xml:space="preserve"> trials. In Pool S1, the incidence of serious </w:t>
      </w:r>
      <w:r w:rsidR="009C2FAC">
        <w:t>adverse event</w:t>
      </w:r>
      <w:r>
        <w:t xml:space="preserve">s (SAEs) was similar between the </w:t>
      </w:r>
      <w:r w:rsidR="00A316C5">
        <w:t>placebo</w:t>
      </w:r>
      <w:r>
        <w:t xml:space="preserve"> (4.5%; 7</w:t>
      </w:r>
      <w:r w:rsidR="001778C0">
        <w:t xml:space="preserve"> of </w:t>
      </w:r>
      <w:r>
        <w:t xml:space="preserve">157; 7 SAEs) and </w:t>
      </w:r>
      <w:r w:rsidR="001D63B3">
        <w:t>certolizumab pegol</w:t>
      </w:r>
      <w:r>
        <w:t xml:space="preserve"> 400</w:t>
      </w:r>
      <w:r w:rsidR="002676AF">
        <w:t xml:space="preserve"> </w:t>
      </w:r>
      <w:r>
        <w:t>mg treatment groups (4.7%; 16</w:t>
      </w:r>
      <w:r w:rsidR="001778C0">
        <w:t xml:space="preserve"> of </w:t>
      </w:r>
      <w:r>
        <w:t xml:space="preserve">342; 20 SAEs), but significantly lower in the </w:t>
      </w:r>
      <w:r w:rsidR="001D63B3">
        <w:t>certolizumab pegol</w:t>
      </w:r>
      <w:r>
        <w:t xml:space="preserve"> 200</w:t>
      </w:r>
      <w:r w:rsidR="001778C0">
        <w:t xml:space="preserve"> </w:t>
      </w:r>
      <w:r>
        <w:t>mg arm (1.4%; 5</w:t>
      </w:r>
      <w:r w:rsidR="001778C0">
        <w:t xml:space="preserve"> of </w:t>
      </w:r>
      <w:r>
        <w:t>350; 9 SAEs).</w:t>
      </w:r>
    </w:p>
    <w:p w:rsidR="00702D7B" w:rsidRDefault="00B0427D" w:rsidP="00B0427D">
      <w:r>
        <w:t xml:space="preserve">Except for osteoarthritis affecting 2 subjects in the </w:t>
      </w:r>
      <w:r w:rsidR="001D63B3">
        <w:t>certolizumab pegol</w:t>
      </w:r>
      <w:r>
        <w:t xml:space="preserve"> 400</w:t>
      </w:r>
      <w:r w:rsidR="001778C0">
        <w:t xml:space="preserve"> </w:t>
      </w:r>
      <w:r>
        <w:t xml:space="preserve">mg Q2W group, all other SAEs by </w:t>
      </w:r>
      <w:r w:rsidR="007918E9">
        <w:t>preferred term</w:t>
      </w:r>
      <w:r>
        <w:t xml:space="preserve"> were reported in single patients. Serious AEs of lymphadenitis, </w:t>
      </w:r>
      <w:r w:rsidR="002676AF">
        <w:t>injection site reaction</w:t>
      </w:r>
      <w:r>
        <w:t xml:space="preserve"> and anaphylactoid reaction (all of which were considered to be treatment related) were reported by 1 subject each in the </w:t>
      </w:r>
      <w:r w:rsidR="001D63B3">
        <w:t>certolizumab pegol</w:t>
      </w:r>
      <w:r>
        <w:t xml:space="preserve"> 400</w:t>
      </w:r>
      <w:r w:rsidR="001778C0">
        <w:t xml:space="preserve"> </w:t>
      </w:r>
      <w:r>
        <w:t xml:space="preserve">mg Q2W group. The SAE of anaphylactoid reaction (in a 44 year old male) occurred on the first day of </w:t>
      </w:r>
      <w:r w:rsidR="001D63B3">
        <w:t>certolizumab pegol</w:t>
      </w:r>
      <w:r>
        <w:t xml:space="preserve"> dosing, required immediate hospitalisation and resolved 3 days later, and led to the subject permanently ceasing treatment. One subject in the </w:t>
      </w:r>
      <w:r w:rsidR="001D63B3">
        <w:t>certolizumab pegol</w:t>
      </w:r>
      <w:r>
        <w:t xml:space="preserve"> 200</w:t>
      </w:r>
      <w:r w:rsidR="001778C0">
        <w:t xml:space="preserve"> </w:t>
      </w:r>
      <w:r>
        <w:t>mg Q2W cohort</w:t>
      </w:r>
      <w:r w:rsidR="002D5C11">
        <w:t>,</w:t>
      </w:r>
      <w:r>
        <w:t xml:space="preserve"> had a treatment related SAE of depression with suicide attempt requiring hospitalisation. All other SAEs were considered not related to study medication.</w:t>
      </w:r>
    </w:p>
    <w:p w:rsidR="00702D7B" w:rsidRDefault="00B0427D" w:rsidP="007918E9">
      <w:pPr>
        <w:pStyle w:val="Heading6"/>
      </w:pPr>
      <w:r>
        <w:t xml:space="preserve">Maintenance </w:t>
      </w:r>
      <w:r w:rsidR="00BD6F96">
        <w:t xml:space="preserve">treatment period </w:t>
      </w:r>
      <w:r>
        <w:t>(Pool S4)</w:t>
      </w:r>
    </w:p>
    <w:p w:rsidR="00702D7B" w:rsidRDefault="00B0427D" w:rsidP="00B0427D">
      <w:r>
        <w:t>One fatality was recorded in Pool S4. A 41year</w:t>
      </w:r>
      <w:r w:rsidR="00EE730D">
        <w:t xml:space="preserve"> </w:t>
      </w:r>
      <w:r>
        <w:t xml:space="preserve">old male treated with </w:t>
      </w:r>
      <w:r w:rsidR="001D63B3">
        <w:t>certolizumab pegol</w:t>
      </w:r>
      <w:r>
        <w:t xml:space="preserve"> 400</w:t>
      </w:r>
      <w:r w:rsidR="001778C0">
        <w:t xml:space="preserve"> </w:t>
      </w:r>
      <w:r>
        <w:t xml:space="preserve">mg Q2W therapy in the CIMPACT Study died of multiple injuries at the scene of a motor vehicle accident during the maintenance treatment period. The overall incidence of SAEs in the maintenance treatment periods was relatively low with </w:t>
      </w:r>
      <w:r w:rsidR="001D63B3">
        <w:t>certolizumab pegol</w:t>
      </w:r>
      <w:r>
        <w:t xml:space="preserve"> (4.6% [25</w:t>
      </w:r>
      <w:r w:rsidR="001778C0">
        <w:t xml:space="preserve"> of </w:t>
      </w:r>
      <w:r>
        <w:t xml:space="preserve">540] in the </w:t>
      </w:r>
      <w:r w:rsidR="001D63B3">
        <w:t>certolizumab pegol</w:t>
      </w:r>
      <w:r>
        <w:t xml:space="preserve"> 400</w:t>
      </w:r>
      <w:r w:rsidR="001778C0">
        <w:t xml:space="preserve"> </w:t>
      </w:r>
      <w:r>
        <w:t>mg Q2W arm and 5.2% [18</w:t>
      </w:r>
      <w:r w:rsidR="001778C0">
        <w:t xml:space="preserve"> of </w:t>
      </w:r>
      <w:r>
        <w:t xml:space="preserve">348] in the </w:t>
      </w:r>
      <w:r w:rsidR="001D63B3">
        <w:lastRenderedPageBreak/>
        <w:t>certolizumab pegol</w:t>
      </w:r>
      <w:r>
        <w:t xml:space="preserve"> 200</w:t>
      </w:r>
      <w:r w:rsidR="001778C0">
        <w:t xml:space="preserve"> </w:t>
      </w:r>
      <w:r>
        <w:t xml:space="preserve">mg Q2W group), but lower in the </w:t>
      </w:r>
      <w:r w:rsidR="00A316C5">
        <w:t>placebo</w:t>
      </w:r>
      <w:r>
        <w:t xml:space="preserve"> group (2.4%; 2</w:t>
      </w:r>
      <w:r w:rsidR="001778C0">
        <w:t xml:space="preserve"> of </w:t>
      </w:r>
      <w:r>
        <w:t xml:space="preserve">82). Furthermore, the </w:t>
      </w:r>
      <w:r w:rsidR="001778C0">
        <w:t>incident rates</w:t>
      </w:r>
      <w:r w:rsidR="00BE0224">
        <w:t xml:space="preserve"> for SAEs was almost 2 </w:t>
      </w:r>
      <w:r>
        <w:t xml:space="preserve">fold in the </w:t>
      </w:r>
      <w:r w:rsidR="001D63B3">
        <w:t>certolizumab pegol</w:t>
      </w:r>
      <w:r>
        <w:t xml:space="preserve"> groups (</w:t>
      </w:r>
      <w:r w:rsidR="00EE730D">
        <w:t>incident rate</w:t>
      </w:r>
      <w:r>
        <w:t xml:space="preserve"> of 9.07 per 100 </w:t>
      </w:r>
      <w:r w:rsidR="00EE730D">
        <w:t>patient-year</w:t>
      </w:r>
      <w:r w:rsidR="001778C0">
        <w:t>s</w:t>
      </w:r>
      <w:r>
        <w:t xml:space="preserve"> with 200</w:t>
      </w:r>
      <w:r w:rsidR="001778C0">
        <w:t xml:space="preserve"> </w:t>
      </w:r>
      <w:r>
        <w:t xml:space="preserve">mg therapy and </w:t>
      </w:r>
      <w:r w:rsidR="001778C0">
        <w:t>incident rate</w:t>
      </w:r>
      <w:r>
        <w:t xml:space="preserve"> of 8.15 per 100 </w:t>
      </w:r>
      <w:r w:rsidR="00EE730D">
        <w:t>patient-year</w:t>
      </w:r>
      <w:r w:rsidR="001778C0">
        <w:t>s</w:t>
      </w:r>
      <w:r>
        <w:t xml:space="preserve"> with 400</w:t>
      </w:r>
      <w:r w:rsidR="001778C0">
        <w:t xml:space="preserve"> </w:t>
      </w:r>
      <w:r>
        <w:t xml:space="preserve">mg) compared with the </w:t>
      </w:r>
      <w:r w:rsidR="00A316C5">
        <w:t>placebo</w:t>
      </w:r>
      <w:r>
        <w:t xml:space="preserve"> arm (5.2 per 100</w:t>
      </w:r>
      <w:r w:rsidR="002676AF">
        <w:t> </w:t>
      </w:r>
      <w:r w:rsidR="00EE730D">
        <w:t>patient-year</w:t>
      </w:r>
      <w:r w:rsidR="001778C0">
        <w:t>s</w:t>
      </w:r>
      <w:r>
        <w:t xml:space="preserve">). There were no noticeable differences in between the </w:t>
      </w:r>
      <w:r w:rsidR="0007429E">
        <w:t>two</w:t>
      </w:r>
      <w:r>
        <w:t xml:space="preserve"> </w:t>
      </w:r>
      <w:r w:rsidR="001D63B3">
        <w:t>certolizumab pegol</w:t>
      </w:r>
      <w:r>
        <w:t xml:space="preserve"> groups for the types and pattern of SAEs.</w:t>
      </w:r>
    </w:p>
    <w:p w:rsidR="00702D7B" w:rsidRDefault="00B0427D" w:rsidP="00B0427D">
      <w:r>
        <w:t xml:space="preserve">In </w:t>
      </w:r>
      <w:r w:rsidR="001D63B3">
        <w:t>certolizumab pegol</w:t>
      </w:r>
      <w:r>
        <w:t xml:space="preserve"> treated subjects (both dose regimens combined), SAEs were reported by at least 2 subjects in the following SOCs: infections and infestations (2</w:t>
      </w:r>
      <w:r w:rsidR="0007429E">
        <w:t> </w:t>
      </w:r>
      <w:r>
        <w:t xml:space="preserve">subjects treated with </w:t>
      </w:r>
      <w:r w:rsidR="001D63B3">
        <w:t>certolizumab pegol</w:t>
      </w:r>
      <w:r>
        <w:t xml:space="preserve"> 400</w:t>
      </w:r>
      <w:r w:rsidR="001778C0">
        <w:t xml:space="preserve"> </w:t>
      </w:r>
      <w:r>
        <w:t xml:space="preserve">mg Q2W </w:t>
      </w:r>
      <w:r w:rsidR="007918E9">
        <w:t>(</w:t>
      </w:r>
      <w:r>
        <w:t>1 developed an abdominal abscess and infected haematoma and the other experienced pneumonia</w:t>
      </w:r>
      <w:r w:rsidR="007918E9">
        <w:t>)</w:t>
      </w:r>
      <w:r>
        <w:t>); and injury, poisoning and procedural complications (9 subjects; 1.0% incidence each); musculoskeletal and connective tissue disorders (6 subjects; 0.7% incidence); nervous system disorders (4 subjects; 0.5% incidence); hepatobiliary disorders (3 subjects; 0.3%); and neoplasms (3 subjects; 0.3%); and cardiac disorders, and skin and subcutaneous tissue disorders, and gastrointestinal disorders (2 subjects each; 0.2% incidence).</w:t>
      </w:r>
    </w:p>
    <w:p w:rsidR="00702D7B" w:rsidRDefault="00B0427D" w:rsidP="00B0427D">
      <w:r>
        <w:t xml:space="preserve">No individual SAE by </w:t>
      </w:r>
      <w:r w:rsidR="007918E9">
        <w:t>preferred term</w:t>
      </w:r>
      <w:r>
        <w:t xml:space="preserve"> was reported by more than 1 subject in the all </w:t>
      </w:r>
      <w:r w:rsidR="001D63B3">
        <w:t>certolizumab pegol</w:t>
      </w:r>
      <w:r>
        <w:t xml:space="preserve"> treated cohort apart from </w:t>
      </w:r>
      <w:r w:rsidR="00A567C2">
        <w:t>psoriatic arthritis</w:t>
      </w:r>
      <w:r>
        <w:t xml:space="preserve"> (reported by 2 subjects in the </w:t>
      </w:r>
      <w:r w:rsidR="001D63B3">
        <w:t>certolizumab pegol</w:t>
      </w:r>
      <w:r>
        <w:t xml:space="preserve"> 200</w:t>
      </w:r>
      <w:r w:rsidR="001778C0">
        <w:t xml:space="preserve"> </w:t>
      </w:r>
      <w:r>
        <w:t xml:space="preserve">mg Q2W arm), migraine (reported by 1 subject in each </w:t>
      </w:r>
      <w:r w:rsidR="001D63B3">
        <w:t>certolizumab pegol</w:t>
      </w:r>
      <w:r>
        <w:t xml:space="preserve"> arm), rib fracture (reported by 1 person in each </w:t>
      </w:r>
      <w:r w:rsidR="001D63B3">
        <w:t>certolizumab pegol</w:t>
      </w:r>
      <w:r>
        <w:t xml:space="preserve"> group) and erysipelas (reported by 1 subject in the </w:t>
      </w:r>
      <w:r w:rsidR="001D63B3">
        <w:t>certolizumab pegol</w:t>
      </w:r>
      <w:r>
        <w:t xml:space="preserve"> 200</w:t>
      </w:r>
      <w:r w:rsidR="001778C0">
        <w:t xml:space="preserve"> </w:t>
      </w:r>
      <w:r>
        <w:t xml:space="preserve">mg Q2W group and 2 subjects in the </w:t>
      </w:r>
      <w:r w:rsidR="001D63B3">
        <w:t>certolizumab pegol</w:t>
      </w:r>
      <w:r>
        <w:t xml:space="preserve"> 400</w:t>
      </w:r>
      <w:r w:rsidR="001778C0">
        <w:t xml:space="preserve"> </w:t>
      </w:r>
      <w:r>
        <w:t>mg Q2W arm).</w:t>
      </w:r>
    </w:p>
    <w:p w:rsidR="00B0427D" w:rsidRDefault="00B0427D" w:rsidP="00B0427D">
      <w:r>
        <w:t xml:space="preserve">Treatment related SAEs were reported by 7 subjects treated with </w:t>
      </w:r>
      <w:r w:rsidR="001D63B3">
        <w:t>certolizumab pegol</w:t>
      </w:r>
      <w:r>
        <w:t>: 2</w:t>
      </w:r>
      <w:r w:rsidR="0007429E">
        <w:t> </w:t>
      </w:r>
      <w:r>
        <w:t xml:space="preserve">subjects in the </w:t>
      </w:r>
      <w:r w:rsidR="001D63B3">
        <w:t>certolizumab pegol</w:t>
      </w:r>
      <w:r>
        <w:t xml:space="preserve"> 200</w:t>
      </w:r>
      <w:r w:rsidR="001778C0">
        <w:t xml:space="preserve"> </w:t>
      </w:r>
      <w:r>
        <w:t xml:space="preserve">mg Q2W group and 5 subjects in the </w:t>
      </w:r>
      <w:r w:rsidR="001D63B3">
        <w:t>certolizumab pegol</w:t>
      </w:r>
      <w:r>
        <w:t xml:space="preserve"> 400</w:t>
      </w:r>
      <w:r w:rsidR="001778C0">
        <w:t xml:space="preserve"> </w:t>
      </w:r>
      <w:r>
        <w:t xml:space="preserve">mg Q2W arm. Related SAEs of hepatitis (not infectious) and drug-induced liver injury were reported in the </w:t>
      </w:r>
      <w:r w:rsidR="001D63B3">
        <w:t>certolizumab pegol</w:t>
      </w:r>
      <w:r>
        <w:t xml:space="preserve"> 200</w:t>
      </w:r>
      <w:r w:rsidR="001778C0">
        <w:t xml:space="preserve"> </w:t>
      </w:r>
      <w:r>
        <w:t xml:space="preserve">mg Q2W group. In the </w:t>
      </w:r>
      <w:r w:rsidR="001D63B3">
        <w:t>certolizumab pegol</w:t>
      </w:r>
      <w:r>
        <w:t xml:space="preserve"> 400</w:t>
      </w:r>
      <w:r w:rsidR="001778C0">
        <w:t xml:space="preserve"> </w:t>
      </w:r>
      <w:r>
        <w:t xml:space="preserve">mg Q2W group, related SAEs of E. coli sepsis and pyelonephritis (same subject), sepsis, </w:t>
      </w:r>
      <w:r w:rsidR="001778C0">
        <w:t>tuberculosis</w:t>
      </w:r>
      <w:r>
        <w:t>, erysipelas and congestive heart failure were reported in Pool S4.</w:t>
      </w:r>
    </w:p>
    <w:p w:rsidR="00B0427D" w:rsidRDefault="00B0427D" w:rsidP="007918E9">
      <w:pPr>
        <w:pStyle w:val="Heading6"/>
      </w:pPr>
      <w:r>
        <w:t xml:space="preserve">Phase </w:t>
      </w:r>
      <w:r w:rsidR="001778C0">
        <w:t>II</w:t>
      </w:r>
      <w:r>
        <w:t xml:space="preserve"> Studies</w:t>
      </w:r>
    </w:p>
    <w:p w:rsidR="00702D7B" w:rsidRDefault="00B0427D" w:rsidP="00B0427D">
      <w:r>
        <w:t xml:space="preserve">There were no deaths during the Phase </w:t>
      </w:r>
      <w:r w:rsidR="001778C0">
        <w:t>II</w:t>
      </w:r>
      <w:r>
        <w:t xml:space="preserve"> trials. In Study C87040, at least 1 SAE was reported by 1 (1.7% of 58) </w:t>
      </w:r>
      <w:r w:rsidR="00A316C5">
        <w:t>placebo</w:t>
      </w:r>
      <w:r>
        <w:t xml:space="preserve"> subject, 2 (3.3% of 60) </w:t>
      </w:r>
      <w:r w:rsidR="001D63B3">
        <w:t>certolizumab pegol</w:t>
      </w:r>
      <w:r>
        <w:t xml:space="preserve"> 200</w:t>
      </w:r>
      <w:r w:rsidR="001778C0">
        <w:t> </w:t>
      </w:r>
      <w:r>
        <w:t xml:space="preserve">mg treated patients and 5 (8.8% of 57) </w:t>
      </w:r>
      <w:r w:rsidR="001D63B3">
        <w:t>certolizumab pegol</w:t>
      </w:r>
      <w:r>
        <w:t xml:space="preserve"> 400</w:t>
      </w:r>
      <w:r w:rsidR="00EE730D">
        <w:t xml:space="preserve"> </w:t>
      </w:r>
      <w:r>
        <w:t xml:space="preserve">mg treated subjects. The </w:t>
      </w:r>
      <w:r w:rsidR="00A316C5">
        <w:t>placebo</w:t>
      </w:r>
      <w:r>
        <w:t xml:space="preserve"> subject recorded haemorrhagic diarrhoea as an SAE. In the </w:t>
      </w:r>
      <w:r w:rsidR="001D63B3">
        <w:t>certolizumab pegol</w:t>
      </w:r>
      <w:r>
        <w:t xml:space="preserve"> 200</w:t>
      </w:r>
      <w:r w:rsidR="001778C0">
        <w:t xml:space="preserve"> </w:t>
      </w:r>
      <w:r>
        <w:t xml:space="preserve">mg group, 3 SAEs were reported in 2 subjects (contusion, and urinary tract infection and gastroenteritis). In the </w:t>
      </w:r>
      <w:r w:rsidR="001D63B3">
        <w:t>certolizumab pegol</w:t>
      </w:r>
      <w:r>
        <w:t xml:space="preserve"> 400</w:t>
      </w:r>
      <w:r w:rsidR="00EE730D">
        <w:t xml:space="preserve"> </w:t>
      </w:r>
      <w:r>
        <w:t>mg arm, 7 SAEs were recorded in 5</w:t>
      </w:r>
      <w:r w:rsidR="0007429E">
        <w:t> </w:t>
      </w:r>
      <w:r>
        <w:t xml:space="preserve">subjects including 2 pregnancies in 1 patient (once during treatment and the other post-treatment), 1 pregnancy in another subject, disseminated </w:t>
      </w:r>
      <w:r w:rsidR="001778C0">
        <w:t>tuberculosis</w:t>
      </w:r>
      <w:r>
        <w:t xml:space="preserve">, anxiety (twice) and gastroenteritis, and </w:t>
      </w:r>
      <w:r w:rsidR="00A567C2">
        <w:t>psoriasis</w:t>
      </w:r>
      <w:r>
        <w:t>.</w:t>
      </w:r>
    </w:p>
    <w:p w:rsidR="00702D7B" w:rsidRDefault="00B0427D" w:rsidP="00B0427D">
      <w:r>
        <w:t>During the re-treatment period of Study C87044, no subjects reported an SAE. However, a 72</w:t>
      </w:r>
      <w:r w:rsidR="001778C0">
        <w:t xml:space="preserve"> </w:t>
      </w:r>
      <w:r>
        <w:t>year</w:t>
      </w:r>
      <w:r w:rsidR="001778C0">
        <w:t xml:space="preserve"> </w:t>
      </w:r>
      <w:r>
        <w:t xml:space="preserve">old male subject died from cerebral haemorrhage 18 weeks after receiving their last dose of </w:t>
      </w:r>
      <w:r w:rsidR="001D63B3">
        <w:t>certolizumab pegol</w:t>
      </w:r>
      <w:r>
        <w:t xml:space="preserve"> in Study C87044. Another subject (47</w:t>
      </w:r>
      <w:r w:rsidR="001778C0">
        <w:t xml:space="preserve"> </w:t>
      </w:r>
      <w:r>
        <w:t>year</w:t>
      </w:r>
      <w:r w:rsidR="001778C0">
        <w:t xml:space="preserve"> </w:t>
      </w:r>
      <w:r>
        <w:t xml:space="preserve">old female) was scheduled to enter Study C87044 but failed screening because of suspected pulmonary </w:t>
      </w:r>
      <w:r w:rsidR="001778C0">
        <w:t>tuberculosis</w:t>
      </w:r>
      <w:r>
        <w:t xml:space="preserve"> (positive </w:t>
      </w:r>
      <w:r w:rsidR="007918E9" w:rsidRPr="007918E9">
        <w:t xml:space="preserve">purified protein derivative </w:t>
      </w:r>
      <w:r w:rsidRPr="007918E9">
        <w:t>skin</w:t>
      </w:r>
      <w:r>
        <w:t xml:space="preserve"> test and calcified nodules on chest X-ray). Screening took place 33 weeks after her last dose of </w:t>
      </w:r>
      <w:r w:rsidR="001D63B3">
        <w:t>certolizumab pegol</w:t>
      </w:r>
      <w:r>
        <w:t xml:space="preserve"> 400mg in Study C87040. The investigator considered the SAE to be treatment related.</w:t>
      </w:r>
    </w:p>
    <w:p w:rsidR="00702D7B" w:rsidRDefault="00B0427D" w:rsidP="007918E9">
      <w:pPr>
        <w:pStyle w:val="Heading6"/>
      </w:pPr>
      <w:r>
        <w:t xml:space="preserve">Long </w:t>
      </w:r>
      <w:r w:rsidR="00BD6F96">
        <w:t xml:space="preserve">term safety </w:t>
      </w:r>
      <w:r>
        <w:t>(Pool S3)</w:t>
      </w:r>
    </w:p>
    <w:p w:rsidR="00702D7B" w:rsidRDefault="00B0427D" w:rsidP="00B0427D">
      <w:r>
        <w:t xml:space="preserve">Two deaths were recorded in Pool S3. Both were the result of fatal traffic accidents. One additional treatment emergent death (deemed unrelated to </w:t>
      </w:r>
      <w:r w:rsidR="001D63B3">
        <w:t>certolizumab pegol</w:t>
      </w:r>
      <w:r w:rsidR="00EE730D">
        <w:t>) due to exacerbation of chronic obstructive pulmonary disease</w:t>
      </w:r>
      <w:r>
        <w:t xml:space="preserve"> was reported after the clinical cut-off date but before the safety cut-off date of 6 March 2017.</w:t>
      </w:r>
    </w:p>
    <w:p w:rsidR="00702D7B" w:rsidRDefault="00B0427D" w:rsidP="00B0427D">
      <w:r>
        <w:lastRenderedPageBreak/>
        <w:t xml:space="preserve">Table </w:t>
      </w:r>
      <w:r w:rsidR="009C2FAC">
        <w:t>9</w:t>
      </w:r>
      <w:r>
        <w:t xml:space="preserve"> provides a summary of serious infections and other SAEs, including their </w:t>
      </w:r>
      <w:r w:rsidR="001778C0">
        <w:t xml:space="preserve">incident </w:t>
      </w:r>
      <w:r w:rsidR="00BD6F96">
        <w:t>rates that</w:t>
      </w:r>
      <w:r>
        <w:t xml:space="preserve"> have been recorded in the long-term safety dataset (Pool S3). In general, the frequency and pattern of SAEs is consistent with the earlier </w:t>
      </w:r>
      <w:r w:rsidR="001D63B3">
        <w:t>certolizumab pegol</w:t>
      </w:r>
      <w:r>
        <w:t xml:space="preserve"> safety datasets in patients with </w:t>
      </w:r>
      <w:r w:rsidR="00A567C2">
        <w:t>psoriasis</w:t>
      </w:r>
      <w:r>
        <w:t xml:space="preserve"> and is within expectations for an anti-TNF therapy.</w:t>
      </w:r>
    </w:p>
    <w:p w:rsidR="00702D7B" w:rsidRDefault="00B0427D" w:rsidP="00B0427D">
      <w:r>
        <w:t xml:space="preserve">There is a small increased risk of serious infection with </w:t>
      </w:r>
      <w:r w:rsidR="001D63B3">
        <w:t>certolizumab pegol</w:t>
      </w:r>
      <w:r>
        <w:t xml:space="preserve"> that does not increase over time on drug. In Pool S3, 12 </w:t>
      </w:r>
      <w:r w:rsidR="001D63B3">
        <w:t>certolizumab pegol</w:t>
      </w:r>
      <w:r>
        <w:t xml:space="preserve"> treated subjects reported 14 infectious SAEs including 8 subjects in the </w:t>
      </w:r>
      <w:r w:rsidR="001D63B3">
        <w:t>certolizumab pegol</w:t>
      </w:r>
      <w:r>
        <w:t xml:space="preserve"> 400mg group (1.2%; </w:t>
      </w:r>
      <w:r w:rsidR="001778C0">
        <w:t>incident rate</w:t>
      </w:r>
      <w:r>
        <w:t xml:space="preserve"> of 1.68 per 100 </w:t>
      </w:r>
      <w:r w:rsidR="00EE730D">
        <w:t>patient-year</w:t>
      </w:r>
      <w:r w:rsidR="001778C0">
        <w:t>s</w:t>
      </w:r>
      <w:r>
        <w:t xml:space="preserve">) and 4 patients in the </w:t>
      </w:r>
      <w:r w:rsidR="001D63B3">
        <w:t>certolizumab pegol</w:t>
      </w:r>
      <w:r>
        <w:t xml:space="preserve"> 200</w:t>
      </w:r>
      <w:r w:rsidR="00EE730D">
        <w:t> </w:t>
      </w:r>
      <w:r>
        <w:t xml:space="preserve">mg arm (0.6%; </w:t>
      </w:r>
      <w:r w:rsidR="00EE730D">
        <w:t>incident rate</w:t>
      </w:r>
      <w:r>
        <w:t xml:space="preserve"> of 0.99 per 100 </w:t>
      </w:r>
      <w:r w:rsidR="00EE730D">
        <w:t>patient-years</w:t>
      </w:r>
      <w:r>
        <w:t xml:space="preserve">). An additional case of </w:t>
      </w:r>
      <w:r w:rsidR="00EE730D">
        <w:t>tuberculosis</w:t>
      </w:r>
      <w:r>
        <w:t xml:space="preserve"> was identified after initial database lock. This subject developed </w:t>
      </w:r>
      <w:r w:rsidR="00EE730D">
        <w:t>tuberculosis</w:t>
      </w:r>
      <w:r>
        <w:t xml:space="preserve"> 60 days after receiving their first dose of </w:t>
      </w:r>
      <w:r w:rsidR="001D63B3">
        <w:t>certolizumab pegol</w:t>
      </w:r>
      <w:r>
        <w:t xml:space="preserve"> 400</w:t>
      </w:r>
      <w:r w:rsidR="00EE730D">
        <w:t xml:space="preserve"> </w:t>
      </w:r>
      <w:r>
        <w:t xml:space="preserve">mg Q2W (via escape) in the CIMPACT study after being previously treated with </w:t>
      </w:r>
      <w:r w:rsidR="00F65747">
        <w:t>etanercept</w:t>
      </w:r>
      <w:r>
        <w:t xml:space="preserve"> earlier in the trial. The SAE was considered to be treatment related and the subject was permanently withdrawn from </w:t>
      </w:r>
      <w:r w:rsidR="001D63B3">
        <w:t>certolizumab pegol</w:t>
      </w:r>
      <w:r>
        <w:t>. No other significant opportunistic infections were identified in Pool S3.</w:t>
      </w:r>
    </w:p>
    <w:p w:rsidR="00B0427D" w:rsidRDefault="00B0427D" w:rsidP="00B0427D">
      <w:r>
        <w:t xml:space="preserve">A total of 6 subjects (0.5%) in Pool S3 reported 8 malignancies with an exposure adjusted </w:t>
      </w:r>
      <w:r w:rsidR="00EE730D">
        <w:t>incidence rate</w:t>
      </w:r>
      <w:r>
        <w:t xml:space="preserve"> of 0.68 per 100 </w:t>
      </w:r>
      <w:r w:rsidR="00EE730D">
        <w:t>patient-years</w:t>
      </w:r>
      <w:r>
        <w:t xml:space="preserve">, which is consistent with published expectations. Malignancy related AEs were equally observed in both </w:t>
      </w:r>
      <w:r w:rsidR="001D63B3">
        <w:t>certolizumab pegol</w:t>
      </w:r>
      <w:r>
        <w:t xml:space="preserve"> dose groups, and included 3 non-melanoma skin cancers and 5 solid organ malignancies (breast cancer, prostate cancer, Hodgkin’s lymphoma and 2 types of malignant brain cancer in 1 subject). One of the malignancies was reported in the initial treatment period (basal cell carcinoma of skin) and all events were identified in either the maintenance or </w:t>
      </w:r>
      <w:r w:rsidR="002D5C11">
        <w:t>open label treatment phases.</w:t>
      </w:r>
    </w:p>
    <w:p w:rsidR="002D5C11" w:rsidRDefault="009C2FAC" w:rsidP="002D5C11">
      <w:pPr>
        <w:pStyle w:val="TableTitle"/>
      </w:pPr>
      <w:r>
        <w:t>Table 9</w:t>
      </w:r>
      <w:r w:rsidR="002D5C11">
        <w:t>: SAEs by SOCs (including preferred terms with at least 2 affected subjects in any group) in Pool S3</w:t>
      </w:r>
    </w:p>
    <w:p w:rsidR="00B0427D" w:rsidRDefault="00B0427D" w:rsidP="00B0427D">
      <w:r>
        <w:rPr>
          <w:noProof/>
          <w:lang w:eastAsia="en-AU"/>
        </w:rPr>
        <w:drawing>
          <wp:inline distT="0" distB="0" distL="0" distR="0" wp14:anchorId="3466D3CD" wp14:editId="67D8284D">
            <wp:extent cx="5400040" cy="3414335"/>
            <wp:effectExtent l="0" t="0" r="0" b="0"/>
            <wp:docPr id="62" name="Picture 62" descr="SAEs by SOCs (including preferred terms with at least 2 affected subjects in any group) in Pool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414335"/>
                    </a:xfrm>
                    <a:prstGeom prst="rect">
                      <a:avLst/>
                    </a:prstGeom>
                    <a:noFill/>
                    <a:ln>
                      <a:noFill/>
                    </a:ln>
                  </pic:spPr>
                </pic:pic>
              </a:graphicData>
            </a:graphic>
          </wp:inline>
        </w:drawing>
      </w:r>
    </w:p>
    <w:p w:rsidR="002D5C11" w:rsidRDefault="002D5C11" w:rsidP="005C4228">
      <w:pPr>
        <w:pStyle w:val="TableTitle"/>
      </w:pPr>
      <w:r>
        <w:lastRenderedPageBreak/>
        <w:t xml:space="preserve">Table 8 </w:t>
      </w:r>
      <w:r w:rsidR="009C2FAC">
        <w:t>(</w:t>
      </w:r>
      <w:r>
        <w:t>cont</w:t>
      </w:r>
      <w:r w:rsidR="009C2FAC">
        <w:t>inue</w:t>
      </w:r>
      <w:r>
        <w:t>d</w:t>
      </w:r>
      <w:r w:rsidR="009C2FAC">
        <w:t>)</w:t>
      </w:r>
      <w:r>
        <w:t>: SAEs by SOCs (including preferred terms with at least 2 affected subjects in any group) in Pool S3</w:t>
      </w:r>
    </w:p>
    <w:p w:rsidR="00B0427D" w:rsidRDefault="00B0427D" w:rsidP="00B0427D">
      <w:r>
        <w:rPr>
          <w:noProof/>
          <w:lang w:eastAsia="en-AU"/>
        </w:rPr>
        <w:drawing>
          <wp:inline distT="0" distB="0" distL="0" distR="0" wp14:anchorId="6A8F0117" wp14:editId="0B29B782">
            <wp:extent cx="5400040" cy="2830304"/>
            <wp:effectExtent l="0" t="0" r="0" b="8255"/>
            <wp:docPr id="63" name="Picture 63" descr="contd: SAEs by SOCs (including preferred terms with at least 2 affected subjects in any group) in Pool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830304"/>
                    </a:xfrm>
                    <a:prstGeom prst="rect">
                      <a:avLst/>
                    </a:prstGeom>
                    <a:noFill/>
                    <a:ln>
                      <a:noFill/>
                    </a:ln>
                  </pic:spPr>
                </pic:pic>
              </a:graphicData>
            </a:graphic>
          </wp:inline>
        </w:drawing>
      </w:r>
    </w:p>
    <w:p w:rsidR="00500337" w:rsidRDefault="00B0427D" w:rsidP="007918E9">
      <w:pPr>
        <w:pStyle w:val="Heading5"/>
      </w:pPr>
      <w:r>
        <w:t>Liver function and hepatotoxicity</w:t>
      </w:r>
    </w:p>
    <w:p w:rsidR="00B146AA" w:rsidRDefault="00B146AA" w:rsidP="007918E9">
      <w:pPr>
        <w:pStyle w:val="Heading6"/>
      </w:pPr>
      <w:r>
        <w:t xml:space="preserve">Initial </w:t>
      </w:r>
      <w:r w:rsidR="00BD6F96">
        <w:t xml:space="preserve">treatment period </w:t>
      </w:r>
      <w:r>
        <w:t>(Pool S1)</w:t>
      </w:r>
    </w:p>
    <w:p w:rsidR="00702D7B" w:rsidRDefault="00B146AA" w:rsidP="00B146AA">
      <w:r>
        <w:t xml:space="preserve">In Pool S1, a total of 57 hepatic AEs were recorded in 34 subjects: 6 patients (3.8% of 157) in the </w:t>
      </w:r>
      <w:r w:rsidR="00A316C5">
        <w:t>placebo</w:t>
      </w:r>
      <w:r>
        <w:t xml:space="preserve"> group had 7 hepatic AEs (</w:t>
      </w:r>
      <w:r w:rsidR="00EE730D">
        <w:t>incident rate</w:t>
      </w:r>
      <w:r>
        <w:t xml:space="preserve"> of 13.05 per 100 </w:t>
      </w:r>
      <w:r w:rsidR="00EE730D">
        <w:t>patient-years</w:t>
      </w:r>
      <w:r>
        <w:t xml:space="preserve">), 17 subjects (4.9% of 350) in the </w:t>
      </w:r>
      <w:r w:rsidR="001D63B3">
        <w:t>certolizumab pegol</w:t>
      </w:r>
      <w:r>
        <w:t xml:space="preserve"> 200</w:t>
      </w:r>
      <w:r w:rsidR="00EF53A2">
        <w:t xml:space="preserve"> </w:t>
      </w:r>
      <w:r>
        <w:t>mg arm experienced 33 hepatic AEs (</w:t>
      </w:r>
      <w:r w:rsidR="00EE730D">
        <w:t>incident rate</w:t>
      </w:r>
      <w:r>
        <w:t xml:space="preserve"> of 16.31 per 100 </w:t>
      </w:r>
      <w:r w:rsidR="00EE730D">
        <w:t>patient-years</w:t>
      </w:r>
      <w:r>
        <w:t xml:space="preserve">) and 11 subjects (3.2% of 342) in the </w:t>
      </w:r>
      <w:r w:rsidR="001D63B3">
        <w:t>certolizumab pegol</w:t>
      </w:r>
      <w:r>
        <w:t xml:space="preserve"> 400mg group recorded 17 hepatic AEs (</w:t>
      </w:r>
      <w:r w:rsidR="00EE730D">
        <w:t>incident rate</w:t>
      </w:r>
      <w:r>
        <w:t xml:space="preserve"> of 10.64 per 100</w:t>
      </w:r>
      <w:r w:rsidR="00EF53A2">
        <w:t> </w:t>
      </w:r>
      <w:r w:rsidR="00EE730D">
        <w:t>patient-years</w:t>
      </w:r>
      <w:r>
        <w:t xml:space="preserve">) </w:t>
      </w:r>
      <w:r w:rsidR="007918E9">
        <w:t>(see</w:t>
      </w:r>
      <w:r>
        <w:t xml:space="preserve"> Table </w:t>
      </w:r>
      <w:r w:rsidR="009C2FAC">
        <w:t>10</w:t>
      </w:r>
      <w:r w:rsidR="007918E9">
        <w:t>)</w:t>
      </w:r>
      <w:r>
        <w:t>.</w:t>
      </w:r>
    </w:p>
    <w:p w:rsidR="005C4228" w:rsidRDefault="009C2FAC" w:rsidP="005C4228">
      <w:pPr>
        <w:pStyle w:val="TableTitle"/>
      </w:pPr>
      <w:r>
        <w:t>Table 10</w:t>
      </w:r>
      <w:r w:rsidR="005C4228">
        <w:t>: Summary of Hepatic AEs (in at least 2 subjects in any treatment group) of Pool S1</w:t>
      </w:r>
    </w:p>
    <w:p w:rsidR="005C4228" w:rsidRDefault="005C4228" w:rsidP="00B146AA">
      <w:r>
        <w:rPr>
          <w:noProof/>
          <w:lang w:eastAsia="en-AU"/>
        </w:rPr>
        <w:drawing>
          <wp:inline distT="0" distB="0" distL="0" distR="0" wp14:anchorId="5A71BC22" wp14:editId="584B503F">
            <wp:extent cx="5400040" cy="3243580"/>
            <wp:effectExtent l="0" t="0" r="0" b="0"/>
            <wp:docPr id="55" name="Picture 55" descr="Summary of Hepatic AEs (in at least 2 subjects in any treatment group) of Pool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inline>
        </w:drawing>
      </w:r>
    </w:p>
    <w:p w:rsidR="00B146AA" w:rsidRDefault="00B146AA" w:rsidP="00B146AA">
      <w:r>
        <w:t xml:space="preserve">Most hepatic AEs were not considered to be treatment related. Two </w:t>
      </w:r>
      <w:r w:rsidR="001D63B3">
        <w:t>certolizumab pegol</w:t>
      </w:r>
      <w:r>
        <w:t xml:space="preserve"> 200</w:t>
      </w:r>
      <w:r w:rsidR="00EF53A2">
        <w:t xml:space="preserve"> </w:t>
      </w:r>
      <w:r>
        <w:t xml:space="preserve">mg treated subjects in CIMPASI-2 discontinued due to hepatic AEs and another </w:t>
      </w:r>
      <w:r w:rsidR="001D63B3">
        <w:lastRenderedPageBreak/>
        <w:t>certolizumab pegol</w:t>
      </w:r>
      <w:r>
        <w:t xml:space="preserve"> 200</w:t>
      </w:r>
      <w:r w:rsidR="00EF53A2">
        <w:t xml:space="preserve"> </w:t>
      </w:r>
      <w:r>
        <w:t xml:space="preserve">mg Q2W treated patient in the CIMPASI-2 study had increased serum transaminases recorded as SAE. However, no subject in Pool </w:t>
      </w:r>
      <w:r w:rsidR="005C4228">
        <w:t>S1 met Hy’s law criterion.</w:t>
      </w:r>
    </w:p>
    <w:p w:rsidR="00B146AA" w:rsidRDefault="00B146AA" w:rsidP="007918E9">
      <w:pPr>
        <w:pStyle w:val="Heading6"/>
      </w:pPr>
      <w:r>
        <w:t xml:space="preserve">Maintenance </w:t>
      </w:r>
      <w:r w:rsidR="00BD6F96">
        <w:t xml:space="preserve">treatment period </w:t>
      </w:r>
      <w:r>
        <w:t>(Pool S4)</w:t>
      </w:r>
    </w:p>
    <w:p w:rsidR="00702D7B" w:rsidRDefault="00B146AA" w:rsidP="00B146AA">
      <w:r>
        <w:t>The liver function and hepatic AE data during the maintenance treatment period was combined into Pool S3 to give a longer term profile on this potential issue.</w:t>
      </w:r>
    </w:p>
    <w:p w:rsidR="00B146AA" w:rsidRDefault="00B146AA" w:rsidP="007918E9">
      <w:pPr>
        <w:pStyle w:val="Heading6"/>
      </w:pPr>
      <w:r>
        <w:t xml:space="preserve">Phase </w:t>
      </w:r>
      <w:r w:rsidR="00EF53A2">
        <w:t>II</w:t>
      </w:r>
      <w:r>
        <w:t xml:space="preserve"> </w:t>
      </w:r>
      <w:r w:rsidR="001A0B08">
        <w:t>s</w:t>
      </w:r>
      <w:r>
        <w:t>tudies</w:t>
      </w:r>
    </w:p>
    <w:p w:rsidR="00B146AA" w:rsidRDefault="00B146AA" w:rsidP="00B146AA">
      <w:r>
        <w:t xml:space="preserve">No significant abnormalities of liver function were reported in the Phase </w:t>
      </w:r>
      <w:r w:rsidR="007918E9">
        <w:t>II</w:t>
      </w:r>
      <w:r>
        <w:t xml:space="preserve"> trials apart from 3 subjects (2 treated with </w:t>
      </w:r>
      <w:r w:rsidR="001D63B3">
        <w:t>certolizumab pegol</w:t>
      </w:r>
      <w:r>
        <w:t xml:space="preserve"> 400</w:t>
      </w:r>
      <w:r w:rsidR="00EF53A2">
        <w:t xml:space="preserve"> </w:t>
      </w:r>
      <w:r>
        <w:t xml:space="preserve">mg Q2W and 1 given </w:t>
      </w:r>
      <w:r w:rsidR="001D63B3">
        <w:t>certolizumab pegol</w:t>
      </w:r>
      <w:r>
        <w:t xml:space="preserve"> 200</w:t>
      </w:r>
      <w:r w:rsidR="00EF53A2">
        <w:t xml:space="preserve"> </w:t>
      </w:r>
      <w:r>
        <w:t>mg Q2W) developing grade 3 increases in serum gamma-glutamyl transferase levels at the end of treatment in Study C87040, which returned to normal values during the follow-up period. In addition, 3 subjects (1 in each of the 3 treatment groups) developed increased serum transaminases in Study C87040.</w:t>
      </w:r>
    </w:p>
    <w:p w:rsidR="00B146AA" w:rsidRDefault="00B146AA" w:rsidP="00AD6D2A">
      <w:pPr>
        <w:pStyle w:val="Heading6"/>
      </w:pPr>
      <w:r>
        <w:t xml:space="preserve">Long </w:t>
      </w:r>
      <w:r w:rsidR="00BD6F96">
        <w:t xml:space="preserve">term safety </w:t>
      </w:r>
      <w:r>
        <w:t>(Pool S3)</w:t>
      </w:r>
    </w:p>
    <w:p w:rsidR="00B146AA" w:rsidRDefault="00B146AA" w:rsidP="00B146AA">
      <w:r>
        <w:t xml:space="preserve">In Pool S3, 71 subjects (7.1% of 995) treated with </w:t>
      </w:r>
      <w:r w:rsidR="001D63B3">
        <w:t>certolizumab pegol</w:t>
      </w:r>
      <w:r>
        <w:t xml:space="preserve"> in the Phase </w:t>
      </w:r>
      <w:r w:rsidR="00EF53A2">
        <w:t>III</w:t>
      </w:r>
      <w:r>
        <w:t xml:space="preserve"> trials reported hepatic AEs. The </w:t>
      </w:r>
      <w:r w:rsidR="00EE730D">
        <w:t>incident rate</w:t>
      </w:r>
      <w:r>
        <w:t xml:space="preserve">s were 8.17 per 100 </w:t>
      </w:r>
      <w:r w:rsidR="00EE730D">
        <w:t>patient-years</w:t>
      </w:r>
      <w:r>
        <w:t xml:space="preserve"> for the </w:t>
      </w:r>
      <w:r w:rsidR="001D63B3">
        <w:t>certolizumab pegol</w:t>
      </w:r>
      <w:r>
        <w:t xml:space="preserve"> 200</w:t>
      </w:r>
      <w:r w:rsidR="00EF53A2">
        <w:t xml:space="preserve"> </w:t>
      </w:r>
      <w:r>
        <w:t xml:space="preserve">mg Q2W group and 9.30 per 100 </w:t>
      </w:r>
      <w:r w:rsidR="00EE730D">
        <w:t>patient-years</w:t>
      </w:r>
      <w:r>
        <w:t xml:space="preserve"> for the </w:t>
      </w:r>
      <w:r w:rsidR="001D63B3">
        <w:t>certolizumab pegol</w:t>
      </w:r>
      <w:r>
        <w:t xml:space="preserve"> 400</w:t>
      </w:r>
      <w:r w:rsidR="00EF53A2">
        <w:t xml:space="preserve"> </w:t>
      </w:r>
      <w:r>
        <w:t xml:space="preserve">mg Q2W group. The </w:t>
      </w:r>
      <w:r w:rsidR="00EE730D">
        <w:t>incident rate</w:t>
      </w:r>
      <w:r>
        <w:t xml:space="preserve">s in Pool S3 did not increase compared with the 2 </w:t>
      </w:r>
      <w:r w:rsidR="001D63B3">
        <w:t>certolizumab pegol</w:t>
      </w:r>
      <w:r>
        <w:t xml:space="preserve"> dose groups in Pool S1 (16.31 per 100 </w:t>
      </w:r>
      <w:r w:rsidR="00EE730D">
        <w:t>patient-years</w:t>
      </w:r>
      <w:r>
        <w:t xml:space="preserve"> for 200</w:t>
      </w:r>
      <w:r w:rsidR="00EF53A2">
        <w:t xml:space="preserve"> </w:t>
      </w:r>
      <w:r>
        <w:t xml:space="preserve">mg Q2W and 10.64 per 100 </w:t>
      </w:r>
      <w:r w:rsidR="00EE730D">
        <w:t>patient-years</w:t>
      </w:r>
      <w:r>
        <w:t xml:space="preserve"> for the 400</w:t>
      </w:r>
      <w:r w:rsidR="00EF53A2">
        <w:t xml:space="preserve"> </w:t>
      </w:r>
      <w:r>
        <w:t>mg Q2W group), suggesting no increase in liver damage risk with longer exposure.</w:t>
      </w:r>
    </w:p>
    <w:p w:rsidR="00B146AA" w:rsidRDefault="00B146AA" w:rsidP="00B146AA">
      <w:r>
        <w:t xml:space="preserve">One subject treated with </w:t>
      </w:r>
      <w:r w:rsidR="001D63B3">
        <w:t>certolizumab pegol</w:t>
      </w:r>
      <w:r>
        <w:t xml:space="preserve"> in the CIMPACT trial recorded an elevation in serum </w:t>
      </w:r>
      <w:r w:rsidR="00702D7B">
        <w:t>alanine transaminase (</w:t>
      </w:r>
      <w:r>
        <w:t>ALT</w:t>
      </w:r>
      <w:r w:rsidR="00702D7B">
        <w:t>)</w:t>
      </w:r>
      <w:r>
        <w:t xml:space="preserve"> ≥</w:t>
      </w:r>
      <w:r w:rsidR="00EF53A2">
        <w:t xml:space="preserve"> </w:t>
      </w:r>
      <w:r>
        <w:t>20</w:t>
      </w:r>
      <w:r w:rsidR="00EF53A2">
        <w:t xml:space="preserve"> </w:t>
      </w:r>
      <w:r>
        <w:t>x</w:t>
      </w:r>
      <w:r w:rsidR="00EF53A2">
        <w:t xml:space="preserve"> </w:t>
      </w:r>
      <w:r w:rsidR="0007429E">
        <w:t>upper limit of normal (</w:t>
      </w:r>
      <w:r>
        <w:t>ULN</w:t>
      </w:r>
      <w:r w:rsidR="0007429E">
        <w:t>)</w:t>
      </w:r>
      <w:r>
        <w:t xml:space="preserve"> (1020 IU/L at </w:t>
      </w:r>
      <w:r w:rsidR="00EF53A2">
        <w:t>W</w:t>
      </w:r>
      <w:r>
        <w:t xml:space="preserve">eek 20) and an </w:t>
      </w:r>
      <w:r w:rsidR="0007429E">
        <w:t>aspartate transaminase (</w:t>
      </w:r>
      <w:r>
        <w:t>AST</w:t>
      </w:r>
      <w:r w:rsidR="0007429E">
        <w:t>)</w:t>
      </w:r>
      <w:r>
        <w:t xml:space="preserve"> elevation ≥</w:t>
      </w:r>
      <w:r w:rsidR="00AD6D2A">
        <w:t xml:space="preserve"> </w:t>
      </w:r>
      <w:r>
        <w:t>10</w:t>
      </w:r>
      <w:r w:rsidR="00EF53A2">
        <w:t xml:space="preserve"> </w:t>
      </w:r>
      <w:r>
        <w:t>x</w:t>
      </w:r>
      <w:r w:rsidR="00EF53A2">
        <w:t xml:space="preserve"> </w:t>
      </w:r>
      <w:r>
        <w:t xml:space="preserve">ULN (431 IU/L at </w:t>
      </w:r>
      <w:r w:rsidR="00EF53A2">
        <w:t>W</w:t>
      </w:r>
      <w:r>
        <w:t xml:space="preserve">eek 20). The subject’s serum bilirubin was normal at all visits. No markedly abnormal post-baseline elevations of serum transaminases occurred in subjects receiving </w:t>
      </w:r>
      <w:r w:rsidR="00A316C5">
        <w:t>placebo</w:t>
      </w:r>
      <w:r>
        <w:t xml:space="preserve">. Three additional SAEs were reported in Pool S3 compared with Pool S1/S2. In the </w:t>
      </w:r>
      <w:r w:rsidR="001D63B3">
        <w:t>certolizumab pegol</w:t>
      </w:r>
      <w:r>
        <w:t xml:space="preserve"> 200</w:t>
      </w:r>
      <w:r w:rsidR="00EF53A2">
        <w:t xml:space="preserve"> </w:t>
      </w:r>
      <w:r>
        <w:t xml:space="preserve">mg group, SAEs of drug-induced liver injury and hepatitis (resulting in treatment discontinuation) were reported. In the </w:t>
      </w:r>
      <w:r w:rsidR="001D63B3">
        <w:t>certolizumab pegol</w:t>
      </w:r>
      <w:r>
        <w:t xml:space="preserve"> 400</w:t>
      </w:r>
      <w:r w:rsidR="00EF53A2">
        <w:t> </w:t>
      </w:r>
      <w:r>
        <w:t>mg Q2W group, an SAE</w:t>
      </w:r>
      <w:r w:rsidR="005C4228">
        <w:t xml:space="preserve"> of cholecystitis was reported.</w:t>
      </w:r>
    </w:p>
    <w:p w:rsidR="005C4228" w:rsidRDefault="005C4228" w:rsidP="00B146AA">
      <w:r>
        <w:t>The percentages of subjects with elevations in bilirubin ≥ 1 x ULN and ≥ 1.5 x ULN were similar across all treatment groups. Elevations in bilirubin of ≥ 1 x ULN occurred in 99 certolizumab pegol treated subjects (10.2%) in the Phase III studies. Twenty-seven certolizumab pegol treated subjects (2.8%) in the Phase III trials had serum bilirubin elevation ≥ 1.5 x ULN. No subject met the Hy’s Law criterion, defined as bilirubin elevation ≥ 2 x ULN, and ALT or AST elevation ≥ 3 x ULN at the same visit. A summary of post-baseline liver function test elevations and Hy’s Law criterion during the combined initial, maintenance and open label treatment periods is p</w:t>
      </w:r>
      <w:r w:rsidR="009C2FAC">
        <w:t>resented for Pool S3 in Table 11</w:t>
      </w:r>
      <w:r>
        <w:t>.</w:t>
      </w:r>
    </w:p>
    <w:p w:rsidR="00BE0224" w:rsidRDefault="009C2FAC" w:rsidP="00BE0224">
      <w:pPr>
        <w:pStyle w:val="TableTitle"/>
        <w:rPr>
          <w:noProof/>
          <w:lang w:eastAsia="en-AU"/>
        </w:rPr>
      </w:pPr>
      <w:r>
        <w:lastRenderedPageBreak/>
        <w:t>Table 11</w:t>
      </w:r>
      <w:r w:rsidR="005C4228" w:rsidRPr="00BE0224">
        <w:t xml:space="preserve">: Post Baseline </w:t>
      </w:r>
      <w:r w:rsidRPr="00BE0224">
        <w:t xml:space="preserve">increases in liver function tests </w:t>
      </w:r>
      <w:r w:rsidR="005C4228" w:rsidRPr="00BE0224">
        <w:t>during initial, maintenance and</w:t>
      </w:r>
      <w:r w:rsidR="00702D7B" w:rsidRPr="00BE0224">
        <w:t xml:space="preserve"> </w:t>
      </w:r>
      <w:r w:rsidR="005C4228" w:rsidRPr="00BE0224">
        <w:t>open label treatment with certolizumab pegol (Pool S3)</w:t>
      </w:r>
    </w:p>
    <w:p w:rsidR="005C4228" w:rsidRDefault="005C4228" w:rsidP="00BE0224">
      <w:r w:rsidRPr="00BE0224">
        <w:rPr>
          <w:noProof/>
          <w:lang w:eastAsia="en-AU"/>
        </w:rPr>
        <w:drawing>
          <wp:inline distT="0" distB="0" distL="0" distR="0" wp14:anchorId="5C52704E" wp14:editId="61AB3DFF">
            <wp:extent cx="5400040" cy="4130800"/>
            <wp:effectExtent l="0" t="0" r="0" b="3175"/>
            <wp:docPr id="4" name="Picture 4" descr="Post Baseline Increases in Liver Function Tests during initial, maintenance and   open label treatment with certolizumab pegol (Pool S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4130800"/>
                    </a:xfrm>
                    <a:prstGeom prst="rect">
                      <a:avLst/>
                    </a:prstGeom>
                  </pic:spPr>
                </pic:pic>
              </a:graphicData>
            </a:graphic>
          </wp:inline>
        </w:drawing>
      </w:r>
    </w:p>
    <w:p w:rsidR="00B146AA" w:rsidRDefault="00B146AA" w:rsidP="00AD6D2A">
      <w:pPr>
        <w:pStyle w:val="Heading5"/>
      </w:pPr>
      <w:r>
        <w:t>Renal function and renal toxicity</w:t>
      </w:r>
    </w:p>
    <w:p w:rsidR="00B146AA" w:rsidRDefault="00B146AA" w:rsidP="00AD6D2A">
      <w:pPr>
        <w:pStyle w:val="Heading6"/>
      </w:pPr>
      <w:r>
        <w:t xml:space="preserve">Initial </w:t>
      </w:r>
      <w:r w:rsidR="00BD6F96">
        <w:t xml:space="preserve">treatment period </w:t>
      </w:r>
      <w:r>
        <w:t>(Pool S1)</w:t>
      </w:r>
    </w:p>
    <w:p w:rsidR="00702D7B" w:rsidRDefault="00B146AA" w:rsidP="00B146AA">
      <w:r>
        <w:t xml:space="preserve">In Pool S1, only 1 subject treated with </w:t>
      </w:r>
      <w:r w:rsidR="001D63B3">
        <w:t>certolizumab pegol</w:t>
      </w:r>
      <w:r>
        <w:t xml:space="preserve"> 400</w:t>
      </w:r>
      <w:r w:rsidR="00EF53A2">
        <w:t xml:space="preserve"> </w:t>
      </w:r>
      <w:r>
        <w:t>mg Q2W developed a significant increase from baseline in serum creatinine, which was transient and not related to study medication.</w:t>
      </w:r>
    </w:p>
    <w:p w:rsidR="00B146AA" w:rsidRDefault="00B146AA" w:rsidP="00AD6D2A">
      <w:pPr>
        <w:pStyle w:val="Heading6"/>
      </w:pPr>
      <w:r>
        <w:t xml:space="preserve">Maintenance </w:t>
      </w:r>
      <w:r w:rsidR="00BD6F96">
        <w:t>treatment per</w:t>
      </w:r>
      <w:r>
        <w:t>iod (Pool S4)</w:t>
      </w:r>
    </w:p>
    <w:p w:rsidR="00B146AA" w:rsidRDefault="00B146AA" w:rsidP="00B146AA">
      <w:r>
        <w:t xml:space="preserve">No concerns regarding renal function impairment were observed with </w:t>
      </w:r>
      <w:r w:rsidR="001D63B3">
        <w:t>certolizumab pegol</w:t>
      </w:r>
      <w:r>
        <w:t xml:space="preserve"> in this dataset.</w:t>
      </w:r>
    </w:p>
    <w:p w:rsidR="00B146AA" w:rsidRDefault="00B146AA" w:rsidP="00AD6D2A">
      <w:pPr>
        <w:pStyle w:val="Heading6"/>
      </w:pPr>
      <w:r>
        <w:t xml:space="preserve">Phase </w:t>
      </w:r>
      <w:r w:rsidR="00EF53A2">
        <w:t>II</w:t>
      </w:r>
      <w:r>
        <w:t xml:space="preserve"> </w:t>
      </w:r>
      <w:r w:rsidR="001A0B08">
        <w:t>s</w:t>
      </w:r>
      <w:r>
        <w:t>tudies</w:t>
      </w:r>
    </w:p>
    <w:p w:rsidR="00702D7B" w:rsidRDefault="00B146AA" w:rsidP="00B146AA">
      <w:r>
        <w:t xml:space="preserve">No significant abnormalities of renal function were reported in the Phase </w:t>
      </w:r>
      <w:r w:rsidR="00EF53A2">
        <w:t>II</w:t>
      </w:r>
      <w:r>
        <w:t xml:space="preserve"> trials.</w:t>
      </w:r>
    </w:p>
    <w:p w:rsidR="00B146AA" w:rsidRDefault="00B146AA" w:rsidP="00AD6D2A">
      <w:pPr>
        <w:pStyle w:val="Heading6"/>
      </w:pPr>
      <w:r>
        <w:t xml:space="preserve">Long </w:t>
      </w:r>
      <w:r w:rsidR="00BD6F96">
        <w:t xml:space="preserve">term safety </w:t>
      </w:r>
      <w:r>
        <w:t>(Pool S3)</w:t>
      </w:r>
    </w:p>
    <w:p w:rsidR="00B0427D" w:rsidRDefault="00B146AA" w:rsidP="00B146AA">
      <w:r>
        <w:t xml:space="preserve">Nil concerns regarding renal toxicity were expected or identified with </w:t>
      </w:r>
      <w:r w:rsidR="001D63B3">
        <w:t>certolizumab pegol</w:t>
      </w:r>
      <w:r>
        <w:t xml:space="preserve"> in the Pool S3 set.</w:t>
      </w:r>
    </w:p>
    <w:p w:rsidR="00B146AA" w:rsidRDefault="00B146AA" w:rsidP="00AD6D2A">
      <w:pPr>
        <w:pStyle w:val="Heading5"/>
      </w:pPr>
      <w:r>
        <w:t>Other clinical chemistry</w:t>
      </w:r>
    </w:p>
    <w:p w:rsidR="00702D7B" w:rsidRDefault="00B146AA" w:rsidP="00B146AA">
      <w:r>
        <w:t>Increased serum creatine phosphokinase levels in patients with axial spondyloarthritis have been a signal of potential concern with anti-TNF drugs as a class.</w:t>
      </w:r>
    </w:p>
    <w:p w:rsidR="00702D7B" w:rsidRDefault="00B146AA" w:rsidP="00AD6D2A">
      <w:pPr>
        <w:pStyle w:val="Heading6"/>
      </w:pPr>
      <w:r>
        <w:t xml:space="preserve">Initial </w:t>
      </w:r>
      <w:r w:rsidR="00BD6F96">
        <w:t xml:space="preserve">treatment period </w:t>
      </w:r>
      <w:r>
        <w:t>(Pool S1)</w:t>
      </w:r>
    </w:p>
    <w:p w:rsidR="00B146AA" w:rsidRDefault="00B146AA" w:rsidP="00B146AA">
      <w:r>
        <w:t xml:space="preserve">During the initial treatment period of the Phase </w:t>
      </w:r>
      <w:r w:rsidR="002676AF">
        <w:t>III</w:t>
      </w:r>
      <w:r>
        <w:t xml:space="preserve"> trials, a higher frequency of normal baseline to high post-treatment </w:t>
      </w:r>
      <w:r w:rsidR="00EF53A2">
        <w:t>creatine phosphokinase</w:t>
      </w:r>
      <w:r>
        <w:t xml:space="preserve"> levels (on at least 1 occasion) was reported for </w:t>
      </w:r>
      <w:r w:rsidR="001D63B3">
        <w:t>certolizumab pegol</w:t>
      </w:r>
      <w:r>
        <w:t xml:space="preserve"> treated subjects (16.3% [57</w:t>
      </w:r>
      <w:r w:rsidR="00EF53A2">
        <w:t xml:space="preserve"> of </w:t>
      </w:r>
      <w:r>
        <w:t>350] for 200</w:t>
      </w:r>
      <w:r w:rsidR="00EF53A2">
        <w:t xml:space="preserve"> </w:t>
      </w:r>
      <w:r>
        <w:t xml:space="preserve">mg Q2W and </w:t>
      </w:r>
      <w:r>
        <w:lastRenderedPageBreak/>
        <w:t>17.0% [58</w:t>
      </w:r>
      <w:r w:rsidR="00EF53A2">
        <w:t xml:space="preserve"> of </w:t>
      </w:r>
      <w:r>
        <w:t>342] for 400</w:t>
      </w:r>
      <w:r w:rsidR="00EF53A2">
        <w:t xml:space="preserve"> </w:t>
      </w:r>
      <w:r>
        <w:t xml:space="preserve">mg Q2W) compared with </w:t>
      </w:r>
      <w:r w:rsidR="00A316C5">
        <w:t>placebo</w:t>
      </w:r>
      <w:r>
        <w:t xml:space="preserve"> patients (12.1%; 19</w:t>
      </w:r>
      <w:r w:rsidR="00EF53A2">
        <w:t xml:space="preserve"> of </w:t>
      </w:r>
      <w:r>
        <w:t xml:space="preserve">157). A subject treated with </w:t>
      </w:r>
      <w:r w:rsidR="001D63B3">
        <w:t>certolizumab pegol</w:t>
      </w:r>
      <w:r>
        <w:t xml:space="preserve"> 400</w:t>
      </w:r>
      <w:r w:rsidR="00EF53A2">
        <w:t xml:space="preserve"> </w:t>
      </w:r>
      <w:r>
        <w:t xml:space="preserve">mg Q2W in the CIMPASI-2 Study recorded a serum </w:t>
      </w:r>
      <w:r w:rsidR="00EF53A2">
        <w:t xml:space="preserve">creatine phosphokinase </w:t>
      </w:r>
      <w:r>
        <w:t xml:space="preserve">level of 20,823 U/L at </w:t>
      </w:r>
      <w:r w:rsidR="00EF53A2">
        <w:t>W</w:t>
      </w:r>
      <w:r>
        <w:t xml:space="preserve">eek 4 with no associated clinical AE. At </w:t>
      </w:r>
      <w:r w:rsidR="00EF53A2">
        <w:t>W</w:t>
      </w:r>
      <w:r>
        <w:t xml:space="preserve">eek 6, the </w:t>
      </w:r>
      <w:r w:rsidR="00EF53A2">
        <w:t xml:space="preserve">creatine phosphokinase </w:t>
      </w:r>
      <w:r>
        <w:t xml:space="preserve">had declined to 309 U/L and by </w:t>
      </w:r>
      <w:r w:rsidR="00EF53A2">
        <w:t>W</w:t>
      </w:r>
      <w:r>
        <w:t xml:space="preserve">eek 8, the value had returned to within the normal range. No other treatment related trends in abnormal serum chemistry (glucose, calcium, sodium, potassium </w:t>
      </w:r>
      <w:r w:rsidR="002676AF">
        <w:t>or magnesium) were observed.</w:t>
      </w:r>
    </w:p>
    <w:p w:rsidR="00B146AA" w:rsidRDefault="00B146AA" w:rsidP="00AD6D2A">
      <w:pPr>
        <w:pStyle w:val="Heading6"/>
      </w:pPr>
      <w:r>
        <w:t xml:space="preserve">Maintenance </w:t>
      </w:r>
      <w:r w:rsidR="00BD6F96">
        <w:t xml:space="preserve">treatment period </w:t>
      </w:r>
      <w:r>
        <w:t>(Pool S4)</w:t>
      </w:r>
    </w:p>
    <w:p w:rsidR="00702D7B" w:rsidRDefault="00B146AA" w:rsidP="00B146AA">
      <w:r>
        <w:t xml:space="preserve">In Pool S4, a higher proportion of </w:t>
      </w:r>
      <w:r w:rsidR="001D63B3">
        <w:t>certolizumab pegol</w:t>
      </w:r>
      <w:r>
        <w:t xml:space="preserve"> 200</w:t>
      </w:r>
      <w:r w:rsidR="00EF53A2">
        <w:t xml:space="preserve"> </w:t>
      </w:r>
      <w:r>
        <w:t xml:space="preserve">mg Q2W treated subjects recorded increased blood </w:t>
      </w:r>
      <w:r w:rsidR="00EF53A2">
        <w:t>creatine phosphokinase</w:t>
      </w:r>
      <w:r w:rsidR="00702D7B">
        <w:t xml:space="preserve"> </w:t>
      </w:r>
      <w:r>
        <w:t>levels (2.3% [8</w:t>
      </w:r>
      <w:r w:rsidR="00EF53A2">
        <w:t xml:space="preserve"> of </w:t>
      </w:r>
      <w:r>
        <w:t xml:space="preserve">348] of subjects at </w:t>
      </w:r>
      <w:r w:rsidR="00EE730D">
        <w:t>incident rate</w:t>
      </w:r>
      <w:r>
        <w:t xml:space="preserve"> of 3.95 per 100 </w:t>
      </w:r>
      <w:r w:rsidR="00EE730D">
        <w:t>patient-years</w:t>
      </w:r>
      <w:r>
        <w:t xml:space="preserve">) compared to the 2 other groups (1 </w:t>
      </w:r>
      <w:r w:rsidR="00A316C5">
        <w:t>placebo</w:t>
      </w:r>
      <w:r>
        <w:t xml:space="preserve"> treated subject at </w:t>
      </w:r>
      <w:r w:rsidR="00EE730D">
        <w:t>incident rate</w:t>
      </w:r>
      <w:r>
        <w:t xml:space="preserve"> of 2.56 per 100 </w:t>
      </w:r>
      <w:r w:rsidR="00EE730D">
        <w:t>patient-years</w:t>
      </w:r>
      <w:r>
        <w:t xml:space="preserve"> and 6 </w:t>
      </w:r>
      <w:r w:rsidR="001D63B3">
        <w:t>certolizumab pegol</w:t>
      </w:r>
      <w:r>
        <w:t xml:space="preserve"> 400</w:t>
      </w:r>
      <w:r w:rsidR="002676AF">
        <w:t> </w:t>
      </w:r>
      <w:r>
        <w:t xml:space="preserve">mg Q2W treated subjects [1.1% of 540] at </w:t>
      </w:r>
      <w:r w:rsidR="00EE730D">
        <w:t>incident rate</w:t>
      </w:r>
      <w:r>
        <w:t xml:space="preserve"> of 1.93 per 100 </w:t>
      </w:r>
      <w:r w:rsidR="00EE730D">
        <w:t>patient-years</w:t>
      </w:r>
      <w:r>
        <w:t xml:space="preserve">). Raised post-treatment blood glucose levels were reported for several </w:t>
      </w:r>
      <w:r w:rsidR="001D63B3">
        <w:t>certolizumab pegol</w:t>
      </w:r>
      <w:r>
        <w:t xml:space="preserve"> treated subjects, nearly all of which had a previous or current history of diabetes mellitus at baseline.</w:t>
      </w:r>
    </w:p>
    <w:p w:rsidR="00B146AA" w:rsidRDefault="00B146AA" w:rsidP="00AD6D2A">
      <w:pPr>
        <w:pStyle w:val="Heading6"/>
      </w:pPr>
      <w:r>
        <w:t xml:space="preserve">Phase </w:t>
      </w:r>
      <w:r w:rsidR="00EF53A2">
        <w:t>II</w:t>
      </w:r>
      <w:r>
        <w:t xml:space="preserve"> studies</w:t>
      </w:r>
    </w:p>
    <w:p w:rsidR="00702D7B" w:rsidRDefault="00B146AA" w:rsidP="00B146AA">
      <w:r>
        <w:t xml:space="preserve">No significant abnormalities of serum biochemistry were reported in the Phase </w:t>
      </w:r>
      <w:r w:rsidR="00EF53A2">
        <w:t>II</w:t>
      </w:r>
      <w:r>
        <w:t xml:space="preserve"> trials apart from 2 subjects (1 in the </w:t>
      </w:r>
      <w:r w:rsidR="00A316C5">
        <w:t>placebo</w:t>
      </w:r>
      <w:r>
        <w:t xml:space="preserve"> arm and the other treated with </w:t>
      </w:r>
      <w:r w:rsidR="001D63B3">
        <w:t>certolizumab pegol</w:t>
      </w:r>
      <w:r>
        <w:t xml:space="preserve"> 400</w:t>
      </w:r>
      <w:r w:rsidR="00EF53A2">
        <w:t xml:space="preserve"> </w:t>
      </w:r>
      <w:r>
        <w:t xml:space="preserve">mg Q2W) recording grade 3 hyponatraemia (transient) and 1 patient in the </w:t>
      </w:r>
      <w:r w:rsidR="001D63B3">
        <w:t>certolizumab pegol</w:t>
      </w:r>
      <w:r>
        <w:t xml:space="preserve"> 200mg arm having hyperkalaemia during Study C87040.</w:t>
      </w:r>
    </w:p>
    <w:p w:rsidR="00B146AA" w:rsidRDefault="00B146AA" w:rsidP="00AD6D2A">
      <w:pPr>
        <w:pStyle w:val="Heading6"/>
      </w:pPr>
      <w:r>
        <w:t xml:space="preserve">Long </w:t>
      </w:r>
      <w:r w:rsidR="00BD6F96">
        <w:t xml:space="preserve">term safety </w:t>
      </w:r>
      <w:r>
        <w:t>(Pool S3)</w:t>
      </w:r>
    </w:p>
    <w:p w:rsidR="00702D7B" w:rsidRDefault="00B146AA" w:rsidP="00B146AA">
      <w:r>
        <w:t xml:space="preserve">During open label treatment, 10 subjects reported markedly high blood glucose levels, 2 recorded markedly elevated serum </w:t>
      </w:r>
      <w:r w:rsidR="00EF53A2">
        <w:t xml:space="preserve">creatine phosphokinase </w:t>
      </w:r>
      <w:r>
        <w:t>levels and 1 subject had a transient high serum potassium level. This safety dataset did not reveal any new signals for abnormalities of serum chemistry or an increased frequency of known abnormalities above expectations.</w:t>
      </w:r>
    </w:p>
    <w:p w:rsidR="00B146AA" w:rsidRDefault="00B146AA" w:rsidP="00AD6D2A">
      <w:pPr>
        <w:pStyle w:val="Heading5"/>
      </w:pPr>
      <w:r>
        <w:t>Haematology and haematological toxicity</w:t>
      </w:r>
    </w:p>
    <w:p w:rsidR="00702D7B" w:rsidRDefault="00B146AA" w:rsidP="00AD6D2A">
      <w:pPr>
        <w:pStyle w:val="Heading6"/>
      </w:pPr>
      <w:r>
        <w:t xml:space="preserve">Initial </w:t>
      </w:r>
      <w:r w:rsidR="00BD6F96">
        <w:t>treatment p</w:t>
      </w:r>
      <w:r>
        <w:t>eriod (Pool S1)</w:t>
      </w:r>
    </w:p>
    <w:p w:rsidR="00702D7B" w:rsidRDefault="00B146AA" w:rsidP="00B146AA">
      <w:r>
        <w:t xml:space="preserve">Over the first 16 weeks of treatment, mean and median values for all haematology parameters were similar across the </w:t>
      </w:r>
      <w:r w:rsidR="00EF53A2">
        <w:t>three</w:t>
      </w:r>
      <w:r>
        <w:t xml:space="preserve"> treatment groups (</w:t>
      </w:r>
      <w:r w:rsidR="00A316C5">
        <w:t>placebo</w:t>
      </w:r>
      <w:r>
        <w:t xml:space="preserve">, </w:t>
      </w:r>
      <w:r w:rsidR="001D63B3">
        <w:t>certolizumab pegol</w:t>
      </w:r>
      <w:r>
        <w:t xml:space="preserve"> 200</w:t>
      </w:r>
      <w:r w:rsidR="00EF53A2">
        <w:t xml:space="preserve"> </w:t>
      </w:r>
      <w:r>
        <w:t xml:space="preserve">mg Q2W and </w:t>
      </w:r>
      <w:r w:rsidR="001D63B3">
        <w:t>certolizumab pegol</w:t>
      </w:r>
      <w:r>
        <w:t xml:space="preserve"> 400</w:t>
      </w:r>
      <w:r w:rsidR="00EF53A2">
        <w:t xml:space="preserve"> </w:t>
      </w:r>
      <w:r>
        <w:t>mg Q2W) with only small changes from baseline of no clinical relevance being noted.</w:t>
      </w:r>
      <w:r w:rsidR="00702D7B">
        <w:t xml:space="preserve"> </w:t>
      </w:r>
      <w:r>
        <w:t xml:space="preserve">Regarding individual subject changes from baseline, the 2 altered parameters of note with </w:t>
      </w:r>
      <w:r w:rsidR="001D63B3">
        <w:t>certolizumab pegol</w:t>
      </w:r>
      <w:r>
        <w:t xml:space="preserve"> therapy were:</w:t>
      </w:r>
    </w:p>
    <w:p w:rsidR="00702D7B" w:rsidRDefault="00B146AA" w:rsidP="00EF53A2">
      <w:pPr>
        <w:pStyle w:val="ListBullet"/>
      </w:pPr>
      <w:r>
        <w:t>a slightly higher frequency of subjects with their platelet count going from normal at baseline to low post-treatment (1.3% [2</w:t>
      </w:r>
      <w:r w:rsidR="00EF53A2">
        <w:t xml:space="preserve"> of </w:t>
      </w:r>
      <w:r>
        <w:t xml:space="preserve">157] with </w:t>
      </w:r>
      <w:r w:rsidR="00A316C5">
        <w:t>placebo</w:t>
      </w:r>
      <w:r>
        <w:t xml:space="preserve"> compared with 2.6% [9</w:t>
      </w:r>
      <w:r w:rsidR="00EF53A2">
        <w:t xml:space="preserve"> of </w:t>
      </w:r>
      <w:r>
        <w:t xml:space="preserve">350] with </w:t>
      </w:r>
      <w:r w:rsidR="001D63B3">
        <w:t>certolizumab pegol</w:t>
      </w:r>
      <w:r>
        <w:t xml:space="preserve"> 200</w:t>
      </w:r>
      <w:r w:rsidR="00EF53A2">
        <w:t xml:space="preserve"> </w:t>
      </w:r>
      <w:r>
        <w:t>mg Q2W and 1.8% [6</w:t>
      </w:r>
      <w:r w:rsidR="00EF53A2">
        <w:t xml:space="preserve"> of </w:t>
      </w:r>
      <w:r>
        <w:t xml:space="preserve">342] with </w:t>
      </w:r>
      <w:r w:rsidR="001D63B3">
        <w:t>certolizumab pegol</w:t>
      </w:r>
      <w:r>
        <w:t xml:space="preserve"> 400</w:t>
      </w:r>
      <w:r w:rsidR="00EF53A2">
        <w:t xml:space="preserve"> </w:t>
      </w:r>
      <w:r>
        <w:t>mg Q2W), and</w:t>
      </w:r>
    </w:p>
    <w:p w:rsidR="00702D7B" w:rsidRDefault="00B146AA" w:rsidP="00EF53A2">
      <w:pPr>
        <w:pStyle w:val="ListBullet"/>
      </w:pPr>
      <w:r>
        <w:t xml:space="preserve">a higher incidence of markedly low haemoglobin level with </w:t>
      </w:r>
      <w:r w:rsidR="001D63B3">
        <w:t>certolizumab pegol</w:t>
      </w:r>
      <w:r>
        <w:t xml:space="preserve"> 400</w:t>
      </w:r>
      <w:r w:rsidR="00F2768E">
        <w:t> </w:t>
      </w:r>
      <w:r>
        <w:t>mg therapy (1.2% [4</w:t>
      </w:r>
      <w:r w:rsidR="00F2768E">
        <w:t xml:space="preserve"> of </w:t>
      </w:r>
      <w:r>
        <w:t xml:space="preserve">342] compared with 1 subject in the </w:t>
      </w:r>
      <w:r w:rsidR="00A316C5">
        <w:t>placebo</w:t>
      </w:r>
      <w:r>
        <w:t xml:space="preserve"> arm [0.6%] and 1 subject in the </w:t>
      </w:r>
      <w:r w:rsidR="001D63B3">
        <w:t>certolizumab pegol</w:t>
      </w:r>
      <w:r>
        <w:t xml:space="preserve"> 200</w:t>
      </w:r>
      <w:r w:rsidR="00F2768E">
        <w:t xml:space="preserve"> </w:t>
      </w:r>
      <w:r>
        <w:t>mg group [0.3%]). No other notable emergent shift patterns were observed for any of the other haematology parameters.</w:t>
      </w:r>
    </w:p>
    <w:p w:rsidR="00702D7B" w:rsidRDefault="00B146AA" w:rsidP="00AD6D2A">
      <w:pPr>
        <w:pStyle w:val="Heading6"/>
      </w:pPr>
      <w:r>
        <w:t xml:space="preserve">Maintenance </w:t>
      </w:r>
      <w:r w:rsidR="00BD6F96">
        <w:t xml:space="preserve">treatment period </w:t>
      </w:r>
      <w:r>
        <w:t>(Pool S4)</w:t>
      </w:r>
    </w:p>
    <w:p w:rsidR="00702D7B" w:rsidRDefault="00B146AA" w:rsidP="00B146AA">
      <w:r>
        <w:t xml:space="preserve">In Pool S4, mean and median changes from baseline over time for both dose regimens of </w:t>
      </w:r>
      <w:r w:rsidR="001D63B3">
        <w:t>certolizumab pegol</w:t>
      </w:r>
      <w:r>
        <w:t xml:space="preserve"> during the maintenance treatment period were small and not of clinical significance. Very few markedly abnormal haematology results were reported at any visit during the maintenance treatment phase. In the all </w:t>
      </w:r>
      <w:r w:rsidR="001D63B3">
        <w:t>certolizumab pegol</w:t>
      </w:r>
      <w:r>
        <w:t xml:space="preserve"> treated cohort, a total of 7 subjects (0.8%) reported low haemoglobin, 2 subjects (0.2%) recorded </w:t>
      </w:r>
      <w:r>
        <w:lastRenderedPageBreak/>
        <w:t xml:space="preserve">lymphopenia and 1 subject receiving </w:t>
      </w:r>
      <w:r w:rsidR="001D63B3">
        <w:t>certolizumab pegol</w:t>
      </w:r>
      <w:r>
        <w:t xml:space="preserve"> 200</w:t>
      </w:r>
      <w:r w:rsidR="002676AF">
        <w:t xml:space="preserve"> </w:t>
      </w:r>
      <w:r>
        <w:t>mg Q2W therapy in the CIMPACT Study experienced both neutropenia and thrombocytopenia.</w:t>
      </w:r>
    </w:p>
    <w:p w:rsidR="00B146AA" w:rsidRDefault="00B146AA" w:rsidP="00AD6D2A">
      <w:pPr>
        <w:pStyle w:val="Heading6"/>
      </w:pPr>
      <w:r>
        <w:t xml:space="preserve">Phase </w:t>
      </w:r>
      <w:r w:rsidR="00F2768E">
        <w:t>II</w:t>
      </w:r>
      <w:r>
        <w:t xml:space="preserve"> studies</w:t>
      </w:r>
    </w:p>
    <w:p w:rsidR="00702D7B" w:rsidRDefault="00B146AA" w:rsidP="00B146AA">
      <w:r>
        <w:t xml:space="preserve">There were no clinically significant, treatment-related mean changes in any haematology parameter over time in either Phase </w:t>
      </w:r>
      <w:r w:rsidR="00F2768E">
        <w:t>II</w:t>
      </w:r>
      <w:r>
        <w:t xml:space="preserve"> study. One subject treated with </w:t>
      </w:r>
      <w:r w:rsidR="001D63B3">
        <w:t>certolizumab pegol</w:t>
      </w:r>
      <w:r>
        <w:t xml:space="preserve"> 200</w:t>
      </w:r>
      <w:r w:rsidR="00F2768E">
        <w:t xml:space="preserve"> </w:t>
      </w:r>
      <w:r>
        <w:t>mg Q2W in Study C87040 developed transient grade 3 neutropenia, which normalised under treatment, and no explanation was identified.</w:t>
      </w:r>
    </w:p>
    <w:p w:rsidR="00B146AA" w:rsidRDefault="00B146AA" w:rsidP="00AD6D2A">
      <w:pPr>
        <w:pStyle w:val="Heading6"/>
      </w:pPr>
      <w:r>
        <w:t xml:space="preserve">Long </w:t>
      </w:r>
      <w:r w:rsidR="00BD6F96">
        <w:t xml:space="preserve">term safety </w:t>
      </w:r>
      <w:r>
        <w:t>(Pool S3)</w:t>
      </w:r>
    </w:p>
    <w:p w:rsidR="00702D7B" w:rsidRDefault="00B146AA" w:rsidP="00B146AA">
      <w:r>
        <w:t xml:space="preserve">During the open label treatment phase, an additional 3 </w:t>
      </w:r>
      <w:r w:rsidR="001D63B3">
        <w:t>certolizumab pegol</w:t>
      </w:r>
      <w:r>
        <w:t xml:space="preserve"> treated subjects reported markedly low haemoglobin values, all of which were transient and returned to the normal range at a subsequent visit. One subject treated with </w:t>
      </w:r>
      <w:r w:rsidR="001D63B3">
        <w:t>certolizumab pegol</w:t>
      </w:r>
      <w:r>
        <w:t xml:space="preserve"> 400</w:t>
      </w:r>
      <w:r w:rsidR="00F2768E">
        <w:t xml:space="preserve"> </w:t>
      </w:r>
      <w:r>
        <w:t>mg Q2W therapy recorded leucocytosis with neutrophilia and lymphopenia during the</w:t>
      </w:r>
      <w:r w:rsidR="00F2768E">
        <w:t xml:space="preserve"> open label treatment period.</w:t>
      </w:r>
    </w:p>
    <w:p w:rsidR="00B146AA" w:rsidRDefault="00B146AA" w:rsidP="00AD6D2A">
      <w:pPr>
        <w:pStyle w:val="Heading5"/>
      </w:pPr>
      <w:r>
        <w:t xml:space="preserve">Lipid </w:t>
      </w:r>
      <w:r w:rsidR="00BD6F96">
        <w:t>a</w:t>
      </w:r>
      <w:r>
        <w:t>bnormalities</w:t>
      </w:r>
    </w:p>
    <w:p w:rsidR="00702D7B" w:rsidRDefault="00B146AA" w:rsidP="00B146AA">
      <w:r>
        <w:t xml:space="preserve">Increased serum cholesterol levels following suppression of systemic inflammation in patients with active inflammatory autoimmune arthritis (such as </w:t>
      </w:r>
      <w:r w:rsidR="00F2768E">
        <w:t>rheumatoid arthritis</w:t>
      </w:r>
      <w:r>
        <w:t xml:space="preserve"> and </w:t>
      </w:r>
      <w:r w:rsidR="00A567C2">
        <w:t>psoriatic arthritis</w:t>
      </w:r>
      <w:r>
        <w:t>)</w:t>
      </w:r>
      <w:r w:rsidR="00AD6D2A">
        <w:t>,</w:t>
      </w:r>
      <w:r>
        <w:t xml:space="preserve"> has been noted with various biologic therapies including anti-TNF drugs.</w:t>
      </w:r>
    </w:p>
    <w:p w:rsidR="00B146AA" w:rsidRDefault="00B146AA" w:rsidP="00AD6D2A">
      <w:pPr>
        <w:pStyle w:val="Heading6"/>
      </w:pPr>
      <w:r>
        <w:t xml:space="preserve">Initial </w:t>
      </w:r>
      <w:r w:rsidR="00BD6F96">
        <w:t>treatment p</w:t>
      </w:r>
      <w:r>
        <w:t>eriod (Pool S1)</w:t>
      </w:r>
    </w:p>
    <w:p w:rsidR="00702D7B" w:rsidRDefault="00B146AA" w:rsidP="00B146AA">
      <w:r>
        <w:t xml:space="preserve">During the initial treatment periods of the Phase </w:t>
      </w:r>
      <w:r w:rsidR="00F2768E">
        <w:t>III</w:t>
      </w:r>
      <w:r>
        <w:t xml:space="preserve"> studies, a noticeably higher proportion of </w:t>
      </w:r>
      <w:r w:rsidR="001D63B3">
        <w:t>certolizumab pegol</w:t>
      </w:r>
      <w:r>
        <w:t xml:space="preserve"> treated subjects (18.0% [63</w:t>
      </w:r>
      <w:r w:rsidR="00F2768E">
        <w:t xml:space="preserve"> of </w:t>
      </w:r>
      <w:r>
        <w:t>350] of patients with 200</w:t>
      </w:r>
      <w:r w:rsidR="00F2768E">
        <w:t xml:space="preserve"> </w:t>
      </w:r>
      <w:r>
        <w:t>mg Q2W and 20.8% [71</w:t>
      </w:r>
      <w:r w:rsidR="00F2768E">
        <w:t xml:space="preserve"> of </w:t>
      </w:r>
      <w:r>
        <w:t>342] with 400</w:t>
      </w:r>
      <w:r w:rsidR="00F2768E">
        <w:t xml:space="preserve"> </w:t>
      </w:r>
      <w:r>
        <w:t xml:space="preserve">mg Q2W) recorded post-treatment increases in serum cholesterol compared with </w:t>
      </w:r>
      <w:r w:rsidR="00A316C5">
        <w:t>placebo</w:t>
      </w:r>
      <w:r>
        <w:t xml:space="preserve"> subjects (11.5%; 18</w:t>
      </w:r>
      <w:r w:rsidR="00F2768E">
        <w:t xml:space="preserve"> of </w:t>
      </w:r>
      <w:r>
        <w:t>157). However, most post-baseline increases in serum cholesterol were fluctuating and transient.</w:t>
      </w:r>
    </w:p>
    <w:p w:rsidR="00B146AA" w:rsidRDefault="00B146AA" w:rsidP="00AD6D2A">
      <w:pPr>
        <w:pStyle w:val="Heading6"/>
      </w:pPr>
      <w:r>
        <w:t xml:space="preserve">Maintenance </w:t>
      </w:r>
      <w:r w:rsidR="00BD6F96">
        <w:t>treatment p</w:t>
      </w:r>
      <w:r>
        <w:t>eriod (Pool S4)</w:t>
      </w:r>
    </w:p>
    <w:p w:rsidR="00B146AA" w:rsidRDefault="00B146AA" w:rsidP="00B146AA">
      <w:r>
        <w:t xml:space="preserve">In Pool S4, markedly increased levels of serum cholesterol or triglycerides were reported for approximately 1% of subjects in each </w:t>
      </w:r>
      <w:r w:rsidR="001D63B3">
        <w:t>certolizumab pegol</w:t>
      </w:r>
      <w:r>
        <w:t xml:space="preserve"> dose group versus no such reports in </w:t>
      </w:r>
      <w:r w:rsidR="00A316C5">
        <w:t>placebo</w:t>
      </w:r>
      <w:r>
        <w:t xml:space="preserve"> subjects.</w:t>
      </w:r>
    </w:p>
    <w:p w:rsidR="00B146AA" w:rsidRDefault="00B146AA" w:rsidP="00AD6D2A">
      <w:pPr>
        <w:pStyle w:val="Heading6"/>
      </w:pPr>
      <w:r>
        <w:t xml:space="preserve">Phase </w:t>
      </w:r>
      <w:r w:rsidR="00F2768E">
        <w:t>II</w:t>
      </w:r>
      <w:r>
        <w:t xml:space="preserve"> </w:t>
      </w:r>
      <w:r w:rsidR="001A0B08">
        <w:t>s</w:t>
      </w:r>
      <w:r>
        <w:t>tudies</w:t>
      </w:r>
    </w:p>
    <w:p w:rsidR="00702D7B" w:rsidRDefault="00B146AA" w:rsidP="00B146AA">
      <w:r>
        <w:t xml:space="preserve">This outcome was not specifically reported in the Phase </w:t>
      </w:r>
      <w:r w:rsidR="002676AF">
        <w:t>II</w:t>
      </w:r>
      <w:r>
        <w:t xml:space="preserve"> trials.</w:t>
      </w:r>
    </w:p>
    <w:p w:rsidR="00B146AA" w:rsidRDefault="00B146AA" w:rsidP="00AD6D2A">
      <w:pPr>
        <w:pStyle w:val="Heading6"/>
      </w:pPr>
      <w:r>
        <w:t xml:space="preserve">Long </w:t>
      </w:r>
      <w:r w:rsidR="00BD6F96">
        <w:t>term s</w:t>
      </w:r>
      <w:r>
        <w:t>afety</w:t>
      </w:r>
    </w:p>
    <w:p w:rsidR="00702D7B" w:rsidRDefault="00B146AA" w:rsidP="00B146AA">
      <w:r>
        <w:t>In the open label treatment period, an additiona</w:t>
      </w:r>
      <w:r w:rsidR="00F2768E">
        <w:t xml:space="preserve">l 2 subjects (both treated with </w:t>
      </w:r>
      <w:r w:rsidR="001D63B3">
        <w:t>certolizumab</w:t>
      </w:r>
      <w:r w:rsidR="00F2768E">
        <w:t xml:space="preserve"> </w:t>
      </w:r>
      <w:r w:rsidR="001D63B3">
        <w:t>pegol</w:t>
      </w:r>
      <w:r>
        <w:t xml:space="preserve"> 200</w:t>
      </w:r>
      <w:r w:rsidR="00F2768E">
        <w:t xml:space="preserve"> </w:t>
      </w:r>
      <w:r>
        <w:t>mg Q2W therapy</w:t>
      </w:r>
      <w:r w:rsidR="00272B46">
        <w:t xml:space="preserve">) had AEs of hyperlipidaemia or hypercholesterolaemia </w:t>
      </w:r>
      <w:r>
        <w:t>recorded in the database.</w:t>
      </w:r>
    </w:p>
    <w:p w:rsidR="00B146AA" w:rsidRDefault="00B146AA" w:rsidP="00AD6D2A">
      <w:pPr>
        <w:pStyle w:val="Heading5"/>
      </w:pPr>
      <w:r>
        <w:t>Cardiovascular safety</w:t>
      </w:r>
    </w:p>
    <w:p w:rsidR="00702D7B" w:rsidRDefault="00B146AA" w:rsidP="00B146AA">
      <w:r>
        <w:t xml:space="preserve">In Pool S1, 1 subject (0.3%; </w:t>
      </w:r>
      <w:r w:rsidR="00EE730D">
        <w:t>incident rate</w:t>
      </w:r>
      <w:r>
        <w:t xml:space="preserve"> of 0.96 per 100 </w:t>
      </w:r>
      <w:r w:rsidR="00EE730D">
        <w:t>patient-years</w:t>
      </w:r>
      <w:r>
        <w:t xml:space="preserve">) treated with </w:t>
      </w:r>
      <w:r w:rsidR="001D63B3">
        <w:t>certolizumab pegol</w:t>
      </w:r>
      <w:r>
        <w:t xml:space="preserve"> 400</w:t>
      </w:r>
      <w:r w:rsidR="00F2768E">
        <w:t xml:space="preserve"> </w:t>
      </w:r>
      <w:r>
        <w:t xml:space="preserve">mg Q2W group experienced acute coronary syndrome. In Pool S3, 5 subjects (0.5% overall) treated with </w:t>
      </w:r>
      <w:r w:rsidR="001D63B3">
        <w:t>certolizumab pegol</w:t>
      </w:r>
      <w:r>
        <w:t xml:space="preserve"> in the Phase </w:t>
      </w:r>
      <w:r w:rsidR="00F2768E">
        <w:t>III</w:t>
      </w:r>
      <w:r>
        <w:t xml:space="preserve"> studies reported 5 Major Adverse Cardiovascular Events (MACE). In addition to the case of acute coronary syndrome reported in Pool S1, there was 1 report of congestive cardiac failure in the maintenance treatment period of the CIMPASI-2 Study (subject was receiving </w:t>
      </w:r>
      <w:r w:rsidR="001D63B3">
        <w:t>certolizumab pegol</w:t>
      </w:r>
      <w:r>
        <w:t xml:space="preserve"> 400</w:t>
      </w:r>
      <w:r w:rsidR="00F2768E">
        <w:t xml:space="preserve"> </w:t>
      </w:r>
      <w:r>
        <w:t xml:space="preserve">mg Q2W for 204 days resulted in treatment discontinuation), another report of cardiac failure, and 2 subjects in the </w:t>
      </w:r>
      <w:r w:rsidR="001D63B3">
        <w:t>certolizumab pegol</w:t>
      </w:r>
      <w:r>
        <w:t xml:space="preserve"> 200</w:t>
      </w:r>
      <w:r w:rsidR="00F2768E">
        <w:t xml:space="preserve"> </w:t>
      </w:r>
      <w:r>
        <w:t xml:space="preserve">mg Q2W cohort recorded cerebrovascular accident and transient ischaemic attack. The </w:t>
      </w:r>
      <w:r w:rsidR="00EE730D">
        <w:t>incident rate</w:t>
      </w:r>
      <w:r>
        <w:t xml:space="preserve"> for MACE in Pool S3 (all </w:t>
      </w:r>
      <w:r w:rsidR="001D63B3">
        <w:t>certolizumab pegol</w:t>
      </w:r>
      <w:r>
        <w:t xml:space="preserve"> treated subjects) was within expectations for the treatment population at 0.53 per 100 </w:t>
      </w:r>
      <w:r w:rsidR="00EE730D">
        <w:t>patient-years</w:t>
      </w:r>
      <w:r>
        <w:t>.</w:t>
      </w:r>
    </w:p>
    <w:p w:rsidR="00B146AA" w:rsidRDefault="00B146AA" w:rsidP="00AD6D2A">
      <w:pPr>
        <w:pStyle w:val="Heading5"/>
      </w:pPr>
      <w:r>
        <w:lastRenderedPageBreak/>
        <w:t>Vital signs and physical examination findings</w:t>
      </w:r>
    </w:p>
    <w:p w:rsidR="00702D7B" w:rsidRDefault="00B146AA" w:rsidP="00B146AA">
      <w:r>
        <w:t xml:space="preserve">In Pool S1, no clinically meaningful changes from baseline in vital signs (blood pressure and weight) were observed during the initial treatment period. Mean changes from baseline pre-treatment values for systolic and diastolic blood pressure were small and clinically insignificant at all visits up to and including </w:t>
      </w:r>
      <w:r w:rsidR="00F2768E">
        <w:t>W</w:t>
      </w:r>
      <w:r>
        <w:t xml:space="preserve">eek 16. For systolic blood pressure readings, the mean change from baseline ranged between -2.2 and +0.9 mmHg and for diastolic blood pressure the mean values ranged between -1.2 and +0.8 mmHg. The mean changes from baseline to </w:t>
      </w:r>
      <w:r w:rsidR="00F2768E">
        <w:t>W</w:t>
      </w:r>
      <w:r>
        <w:t xml:space="preserve">eek 16 in subject weight were minimal across all treatment groups, ranging from -0.11 to +1.0 kg. At </w:t>
      </w:r>
      <w:r w:rsidR="00F2768E">
        <w:t>W</w:t>
      </w:r>
      <w:r>
        <w:t xml:space="preserve">eek 16, the incidence of new onset of hypertension was 2.6% in </w:t>
      </w:r>
      <w:r w:rsidR="001D63B3">
        <w:t>certolizumab pegol</w:t>
      </w:r>
      <w:r>
        <w:t xml:space="preserve"> treated subjects and 3.2% in the </w:t>
      </w:r>
      <w:r w:rsidR="00A316C5">
        <w:t>placebo</w:t>
      </w:r>
      <w:r>
        <w:t xml:space="preserve"> arm.</w:t>
      </w:r>
    </w:p>
    <w:p w:rsidR="00B146AA" w:rsidRDefault="00B146AA" w:rsidP="00AD6D2A">
      <w:pPr>
        <w:pStyle w:val="Heading5"/>
      </w:pPr>
      <w:r>
        <w:t>Immunogenicity and immunological events</w:t>
      </w:r>
    </w:p>
    <w:p w:rsidR="00702D7B" w:rsidRDefault="00B146AA" w:rsidP="00B146AA">
      <w:r>
        <w:t xml:space="preserve">The formation of antibodies in response to treatment with protein therapeutics (known as immunogenicity), including immunoglobulin derived antibody drugs, is of importance for any potential effects upon the </w:t>
      </w:r>
      <w:r w:rsidR="00F63AEF">
        <w:t>pharmacokinetic</w:t>
      </w:r>
      <w:r>
        <w:t xml:space="preserve">, efficacy or safety of the drug. The presence of antidrug antibodies has been extensively studied with </w:t>
      </w:r>
      <w:r w:rsidR="001D63B3">
        <w:t>certolizumab pegol</w:t>
      </w:r>
      <w:r>
        <w:t xml:space="preserve"> in the other approved treatment indications. Previous experience indicates that over the tested </w:t>
      </w:r>
      <w:r w:rsidR="001D63B3">
        <w:t>certolizumab pegol</w:t>
      </w:r>
      <w:r>
        <w:t xml:space="preserve"> dose range (and particularly evident with the </w:t>
      </w:r>
      <w:r w:rsidR="001D63B3">
        <w:t>certolizumab pegol</w:t>
      </w:r>
      <w:r>
        <w:t xml:space="preserve"> 200</w:t>
      </w:r>
      <w:r w:rsidR="00F2768E">
        <w:t xml:space="preserve"> </w:t>
      </w:r>
      <w:r>
        <w:t>mg Q2W versus 400</w:t>
      </w:r>
      <w:r w:rsidR="00F2768E">
        <w:t xml:space="preserve"> </w:t>
      </w:r>
      <w:r>
        <w:t xml:space="preserve">mg Q2W regimens) there appears to be an inverse relationship between the incidence of positive </w:t>
      </w:r>
      <w:r w:rsidR="00F2768E">
        <w:t>antidrug antibodies</w:t>
      </w:r>
      <w:r>
        <w:t xml:space="preserve"> and </w:t>
      </w:r>
      <w:r w:rsidR="001D63B3">
        <w:t>certolizumab pegol</w:t>
      </w:r>
      <w:r>
        <w:t xml:space="preserve"> dose regardless of several other variables including disease indication, single versus multiple doses and route of administration.</w:t>
      </w:r>
    </w:p>
    <w:p w:rsidR="00702D7B" w:rsidRDefault="00B146AA" w:rsidP="00B146AA">
      <w:r>
        <w:t xml:space="preserve">In the Phase </w:t>
      </w:r>
      <w:r w:rsidR="00F2768E">
        <w:t>III rheumatoid arthritis</w:t>
      </w:r>
      <w:r>
        <w:t xml:space="preserve"> studies, approximately 7% of all </w:t>
      </w:r>
      <w:r w:rsidR="001D63B3">
        <w:t>certolizumab pegol</w:t>
      </w:r>
      <w:r>
        <w:t xml:space="preserve"> treated subjects recorded positive </w:t>
      </w:r>
      <w:r w:rsidR="00F2768E">
        <w:t>antidrug antibodies</w:t>
      </w:r>
      <w:r>
        <w:t xml:space="preserve"> (at any assay level) on at least 1 occasion with concomitant </w:t>
      </w:r>
      <w:r w:rsidR="00F2768E">
        <w:t>methotrexate</w:t>
      </w:r>
      <w:r>
        <w:t xml:space="preserve"> found to have a significant influence. When </w:t>
      </w:r>
      <w:r w:rsidR="001D63B3">
        <w:t>certolizumab pegol</w:t>
      </w:r>
      <w:r>
        <w:t xml:space="preserve"> 400</w:t>
      </w:r>
      <w:r w:rsidR="00AD6D2A">
        <w:t xml:space="preserve"> </w:t>
      </w:r>
      <w:r>
        <w:t xml:space="preserve">mg Q4W therapy was given as monotherapy in </w:t>
      </w:r>
      <w:r w:rsidR="00F2768E">
        <w:t>rheumatoid arthritis</w:t>
      </w:r>
      <w:r>
        <w:t xml:space="preserve">, the incidence of positive </w:t>
      </w:r>
      <w:r w:rsidR="00F2768E">
        <w:t>antidrug antibodies</w:t>
      </w:r>
      <w:r>
        <w:t xml:space="preserve"> was 22.5% versus 4.0% in subjects receiving the same </w:t>
      </w:r>
      <w:r w:rsidR="001D63B3">
        <w:t>certolizumab pegol</w:t>
      </w:r>
      <w:r>
        <w:t xml:space="preserve"> dose with </w:t>
      </w:r>
      <w:r w:rsidR="00F2768E">
        <w:t>methotrexate</w:t>
      </w:r>
      <w:r>
        <w:t>.</w:t>
      </w:r>
    </w:p>
    <w:p w:rsidR="00702D7B" w:rsidRDefault="00B146AA" w:rsidP="00B146AA">
      <w:r>
        <w:t xml:space="preserve">During the </w:t>
      </w:r>
      <w:r w:rsidR="00A567C2">
        <w:t>psoriasis</w:t>
      </w:r>
      <w:r>
        <w:t xml:space="preserve"> clinical development program, a validated screening ELISA method based on a double antigen sandwich (bridge) format was used to detect </w:t>
      </w:r>
      <w:r w:rsidR="00F2768E">
        <w:t>antidrug antibodies</w:t>
      </w:r>
      <w:r>
        <w:t xml:space="preserve"> to </w:t>
      </w:r>
      <w:r w:rsidR="001D63B3">
        <w:t>certolizumab pegol</w:t>
      </w:r>
      <w:r>
        <w:t xml:space="preserve">. The ELISA method was developed, validated and used to detect </w:t>
      </w:r>
      <w:r w:rsidR="00F2768E">
        <w:t>antidrug antibodies</w:t>
      </w:r>
      <w:r>
        <w:t xml:space="preserve"> to </w:t>
      </w:r>
      <w:r w:rsidR="001D63B3">
        <w:t>certolizumab pegol</w:t>
      </w:r>
      <w:r>
        <w:t xml:space="preserve"> in the </w:t>
      </w:r>
      <w:r w:rsidR="00F2768E">
        <w:t>rheumatoid arthritis</w:t>
      </w:r>
      <w:r>
        <w:t xml:space="preserve"> and other </w:t>
      </w:r>
      <w:r w:rsidR="001D63B3">
        <w:t>certolizumab pegol</w:t>
      </w:r>
      <w:r>
        <w:t xml:space="preserve"> treatment indication programs. The screening ELISA had a cut-off value of &gt;</w:t>
      </w:r>
      <w:r w:rsidR="00F2768E">
        <w:t xml:space="preserve"> </w:t>
      </w:r>
      <w:r>
        <w:t xml:space="preserve">2.4 units/mL to detect </w:t>
      </w:r>
      <w:r w:rsidR="00F2768E">
        <w:t>antidrug antibodies</w:t>
      </w:r>
      <w:r>
        <w:t xml:space="preserve">. Furthermore, the assay was considered to have adequate drug-tolerance for the detection of the </w:t>
      </w:r>
      <w:r w:rsidR="00F2768E">
        <w:t>antidrug antibodies</w:t>
      </w:r>
      <w:r>
        <w:t xml:space="preserve"> to </w:t>
      </w:r>
      <w:r w:rsidR="001D63B3">
        <w:t>certolizumab pegol</w:t>
      </w:r>
      <w:r>
        <w:t xml:space="preserve">. During the Phase </w:t>
      </w:r>
      <w:r w:rsidR="00F2768E">
        <w:t>III</w:t>
      </w:r>
      <w:r>
        <w:t xml:space="preserve"> </w:t>
      </w:r>
      <w:r w:rsidR="00A567C2">
        <w:t>psoriasis</w:t>
      </w:r>
      <w:r>
        <w:t xml:space="preserve"> studies, the screening ELISA method was modified and validated to contain 3 testing tiers: screening, confirmation and titration assay. In addition, a validated cell-based HeLa assay was used to detect neutralising antibodies to </w:t>
      </w:r>
      <w:r w:rsidR="001D63B3">
        <w:t>certolizumab pegol</w:t>
      </w:r>
      <w:r>
        <w:t xml:space="preserve">. </w:t>
      </w:r>
      <w:r w:rsidR="00F2768E">
        <w:t>Neutralising antibodie</w:t>
      </w:r>
      <w:r>
        <w:t xml:space="preserve">s were only characterised in subjects who tested positive for </w:t>
      </w:r>
      <w:r w:rsidR="00F2768E">
        <w:t>antidrug antibodies</w:t>
      </w:r>
      <w:r>
        <w:t xml:space="preserve"> (</w:t>
      </w:r>
      <w:r w:rsidR="00A567C2">
        <w:t>that is,</w:t>
      </w:r>
      <w:r>
        <w:t xml:space="preserve"> second line procedure only).</w:t>
      </w:r>
    </w:p>
    <w:p w:rsidR="00B146AA" w:rsidRDefault="00B146AA" w:rsidP="003F730B">
      <w:pPr>
        <w:pStyle w:val="Heading6"/>
      </w:pPr>
      <w:r>
        <w:t xml:space="preserve">Integrated Phase </w:t>
      </w:r>
      <w:r w:rsidR="00F2768E">
        <w:t>III</w:t>
      </w:r>
      <w:r>
        <w:t xml:space="preserve"> safety analyses</w:t>
      </w:r>
    </w:p>
    <w:p w:rsidR="00702D7B" w:rsidRDefault="00B146AA" w:rsidP="00B146AA">
      <w:r>
        <w:t xml:space="preserve">In the Phase </w:t>
      </w:r>
      <w:r w:rsidR="00F2768E">
        <w:t>III</w:t>
      </w:r>
      <w:r>
        <w:t xml:space="preserve"> trials, a subject was considered </w:t>
      </w:r>
      <w:r w:rsidR="00F2768E">
        <w:t>antibody</w:t>
      </w:r>
      <w:r>
        <w:t xml:space="preserve"> positive if the </w:t>
      </w:r>
      <w:r w:rsidR="00F2768E">
        <w:t xml:space="preserve">antidrug antibodies </w:t>
      </w:r>
      <w:r>
        <w:t>level was &gt;</w:t>
      </w:r>
      <w:r w:rsidR="00F2768E">
        <w:t xml:space="preserve"> </w:t>
      </w:r>
      <w:r>
        <w:t xml:space="preserve">2.4 units/mL on at least 1 assessment while on </w:t>
      </w:r>
      <w:r w:rsidR="001D63B3">
        <w:t>certolizumab pegol</w:t>
      </w:r>
      <w:r>
        <w:t xml:space="preserve"> treatment. Samples collected at baseline, at the safety follow-up visit, and at any visit &gt;</w:t>
      </w:r>
      <w:r w:rsidR="00F2768E">
        <w:t xml:space="preserve"> </w:t>
      </w:r>
      <w:r>
        <w:t xml:space="preserve">70 days after the last </w:t>
      </w:r>
      <w:r w:rsidR="001D63B3">
        <w:t>certolizumab pegol</w:t>
      </w:r>
      <w:r>
        <w:t xml:space="preserve"> dose were excluded. A summary of </w:t>
      </w:r>
      <w:r w:rsidR="00F2768E">
        <w:t>antidrug antibodies</w:t>
      </w:r>
      <w:r>
        <w:t xml:space="preserve"> status by visit during the combined initial and maintenance treatment periods for the Phase </w:t>
      </w:r>
      <w:r w:rsidR="00F2768E">
        <w:t>III</w:t>
      </w:r>
      <w:r>
        <w:t xml:space="preserve"> studies (Pool S3 dataset) is presented </w:t>
      </w:r>
      <w:r w:rsidRPr="009C2FAC">
        <w:t xml:space="preserve">in Table </w:t>
      </w:r>
      <w:r w:rsidR="00272B46" w:rsidRPr="009C2FAC">
        <w:t>1</w:t>
      </w:r>
      <w:r w:rsidR="009C2FAC">
        <w:t>2</w:t>
      </w:r>
      <w:r>
        <w:t>.</w:t>
      </w:r>
    </w:p>
    <w:p w:rsidR="00B146AA" w:rsidRDefault="00B146AA" w:rsidP="00B146AA">
      <w:r>
        <w:t xml:space="preserve">Expectedly, the incidence of </w:t>
      </w:r>
      <w:r w:rsidR="00F2768E">
        <w:t>antidrug antibodies</w:t>
      </w:r>
      <w:r>
        <w:t xml:space="preserve"> positivity was low across all groups at </w:t>
      </w:r>
      <w:r w:rsidR="002676AF">
        <w:t>W</w:t>
      </w:r>
      <w:r>
        <w:t>eeks 2 and 4 (&lt;</w:t>
      </w:r>
      <w:r w:rsidR="00F2768E">
        <w:t xml:space="preserve"> </w:t>
      </w:r>
      <w:r>
        <w:t xml:space="preserve">2.1%). Among those subjects who were PASI responders at </w:t>
      </w:r>
      <w:r w:rsidR="002676AF">
        <w:t>W</w:t>
      </w:r>
      <w:r>
        <w:t xml:space="preserve">eek 16 (and therefore were going to remain on their randomised </w:t>
      </w:r>
      <w:r w:rsidR="001D63B3">
        <w:t>certolizumab pegol</w:t>
      </w:r>
      <w:r>
        <w:t xml:space="preserve"> treatment </w:t>
      </w:r>
      <w:r>
        <w:lastRenderedPageBreak/>
        <w:t xml:space="preserve">during the maintenance treatment phase), the incidence of </w:t>
      </w:r>
      <w:r w:rsidR="00F2768E">
        <w:t>antidrug antibody</w:t>
      </w:r>
      <w:r>
        <w:t xml:space="preserve"> positivity at </w:t>
      </w:r>
      <w:r w:rsidR="00F2768E">
        <w:t>W</w:t>
      </w:r>
      <w:r>
        <w:t xml:space="preserve">eek 16 was low overall but higher in the </w:t>
      </w:r>
      <w:r w:rsidR="001D63B3">
        <w:t>certolizumab pegol</w:t>
      </w:r>
      <w:r>
        <w:t xml:space="preserve"> 200</w:t>
      </w:r>
      <w:r w:rsidR="00F2768E">
        <w:t xml:space="preserve"> </w:t>
      </w:r>
      <w:r>
        <w:t>mg Q2W group (8.1%; 16</w:t>
      </w:r>
      <w:r w:rsidR="00F2768E">
        <w:t xml:space="preserve"> of </w:t>
      </w:r>
      <w:r>
        <w:t xml:space="preserve">209) compared with the blinded </w:t>
      </w:r>
      <w:r w:rsidR="001D63B3">
        <w:t>certolizumab pegol</w:t>
      </w:r>
      <w:r>
        <w:t xml:space="preserve"> 400</w:t>
      </w:r>
      <w:r w:rsidR="00F2768E">
        <w:t xml:space="preserve"> </w:t>
      </w:r>
      <w:r>
        <w:t>mg Q2W arm (2.5%; 5</w:t>
      </w:r>
      <w:r w:rsidR="00F2768E">
        <w:t xml:space="preserve"> of </w:t>
      </w:r>
      <w:r>
        <w:t xml:space="preserve">210). At </w:t>
      </w:r>
      <w:r w:rsidR="00F2768E">
        <w:t>W</w:t>
      </w:r>
      <w:r>
        <w:t xml:space="preserve">eek 16, the highest incidence of positive </w:t>
      </w:r>
      <w:r w:rsidR="00F2768E">
        <w:t>antidrug antibodies</w:t>
      </w:r>
      <w:r>
        <w:t xml:space="preserve"> was observed in subjects who were randomised to </w:t>
      </w:r>
      <w:r w:rsidR="001D63B3">
        <w:t>certolizumab pegol</w:t>
      </w:r>
      <w:r>
        <w:t xml:space="preserve"> 200</w:t>
      </w:r>
      <w:r w:rsidR="00F2768E">
        <w:t xml:space="preserve"> </w:t>
      </w:r>
      <w:r>
        <w:t xml:space="preserve">mg Q2W therapy during the initial treatment period and who subsequently switched to </w:t>
      </w:r>
      <w:r w:rsidR="001D63B3">
        <w:t>certolizumab pegol</w:t>
      </w:r>
      <w:r>
        <w:t xml:space="preserve"> 400</w:t>
      </w:r>
      <w:r w:rsidR="00F2768E">
        <w:t xml:space="preserve"> </w:t>
      </w:r>
      <w:r>
        <w:t>mg Q2W during the maintenance treatment period (37.3%; 28</w:t>
      </w:r>
      <w:r w:rsidR="00F2768E">
        <w:t xml:space="preserve"> of </w:t>
      </w:r>
      <w:r>
        <w:t xml:space="preserve">75). The next 2 highest incidences of positive </w:t>
      </w:r>
      <w:r w:rsidR="00F2768E">
        <w:t>antidrug antibodies</w:t>
      </w:r>
      <w:r>
        <w:t xml:space="preserve"> result at </w:t>
      </w:r>
      <w:r w:rsidR="004615A9">
        <w:t>W</w:t>
      </w:r>
      <w:r>
        <w:t xml:space="preserve">eek 16 were observed in the blinded </w:t>
      </w:r>
      <w:r w:rsidR="001D63B3">
        <w:t>certolizumab pegol</w:t>
      </w:r>
      <w:r>
        <w:t xml:space="preserve"> 400</w:t>
      </w:r>
      <w:r w:rsidR="004615A9">
        <w:t> </w:t>
      </w:r>
      <w:r>
        <w:t xml:space="preserve">mg Q2W to escape </w:t>
      </w:r>
      <w:r w:rsidR="001D63B3">
        <w:t>certolizumab pegol</w:t>
      </w:r>
      <w:r>
        <w:t xml:space="preserve"> 400</w:t>
      </w:r>
      <w:r w:rsidR="004615A9">
        <w:t xml:space="preserve"> </w:t>
      </w:r>
      <w:r>
        <w:t>mg Q2W group (15.8%; 9</w:t>
      </w:r>
      <w:r w:rsidR="004615A9">
        <w:t xml:space="preserve"> of </w:t>
      </w:r>
      <w:r>
        <w:t xml:space="preserve">57) and the </w:t>
      </w:r>
      <w:r w:rsidR="001D63B3">
        <w:t>certolizumab pegol</w:t>
      </w:r>
      <w:r>
        <w:t xml:space="preserve"> 200</w:t>
      </w:r>
      <w:r w:rsidR="004615A9">
        <w:t xml:space="preserve"> </w:t>
      </w:r>
      <w:r>
        <w:t xml:space="preserve">mg Q2W to </w:t>
      </w:r>
      <w:r w:rsidR="001D63B3">
        <w:t>certolizumab pegol</w:t>
      </w:r>
      <w:r>
        <w:t xml:space="preserve"> 400</w:t>
      </w:r>
      <w:r w:rsidR="004615A9">
        <w:t xml:space="preserve"> </w:t>
      </w:r>
      <w:r>
        <w:t>mg Q4W cohort (11.6%; 5</w:t>
      </w:r>
      <w:r w:rsidR="004615A9">
        <w:t xml:space="preserve"> of </w:t>
      </w:r>
      <w:r>
        <w:t>44).</w:t>
      </w:r>
    </w:p>
    <w:p w:rsidR="00B146AA" w:rsidRDefault="00B146AA" w:rsidP="00B146AA">
      <w:r>
        <w:t xml:space="preserve">In the overall randomised </w:t>
      </w:r>
      <w:r w:rsidR="001D63B3">
        <w:t>certolizumab pegol</w:t>
      </w:r>
      <w:r>
        <w:t xml:space="preserve"> 200</w:t>
      </w:r>
      <w:r w:rsidR="004615A9">
        <w:t xml:space="preserve"> </w:t>
      </w:r>
      <w:r>
        <w:t xml:space="preserve">mg Q2W cohort (which includes PASI responders as well as escape subjects), the incidence of a positive </w:t>
      </w:r>
      <w:r w:rsidR="004615A9">
        <w:t>antidrug antibody</w:t>
      </w:r>
      <w:r>
        <w:t xml:space="preserve"> result at </w:t>
      </w:r>
      <w:r w:rsidR="004615A9">
        <w:t>W</w:t>
      </w:r>
      <w:r>
        <w:t xml:space="preserve">eek 16 was 2.8-fold higher than the corresponding </w:t>
      </w:r>
      <w:r w:rsidR="001D63B3">
        <w:t>certolizumab pegol</w:t>
      </w:r>
      <w:r>
        <w:t xml:space="preserve"> 400</w:t>
      </w:r>
      <w:r w:rsidR="004615A9">
        <w:t> </w:t>
      </w:r>
      <w:r>
        <w:t xml:space="preserve">mg Q2W group (14.7% versus 5.3%, respectively). Of note, in both the </w:t>
      </w:r>
      <w:r w:rsidR="001D63B3">
        <w:t>certolizumab pegol</w:t>
      </w:r>
      <w:r>
        <w:t xml:space="preserve"> treatment groups, two thirds of subjects who were </w:t>
      </w:r>
      <w:r w:rsidR="004615A9">
        <w:t>antidrug antibody</w:t>
      </w:r>
      <w:r>
        <w:t xml:space="preserve"> positive at </w:t>
      </w:r>
      <w:r w:rsidR="004615A9">
        <w:t>W</w:t>
      </w:r>
      <w:r>
        <w:t>eek 16 were PASI75 non-responders (33</w:t>
      </w:r>
      <w:r w:rsidR="004615A9">
        <w:t xml:space="preserve"> of </w:t>
      </w:r>
      <w:r>
        <w:t>51 subjects in the 200</w:t>
      </w:r>
      <w:r w:rsidR="004615A9">
        <w:t xml:space="preserve"> mg Q2W group and 12 of </w:t>
      </w:r>
      <w:r>
        <w:t>18 in the 400</w:t>
      </w:r>
      <w:r w:rsidR="004615A9">
        <w:t xml:space="preserve"> </w:t>
      </w:r>
      <w:r>
        <w:t>mg Q2W arm).</w:t>
      </w:r>
    </w:p>
    <w:p w:rsidR="00B146AA" w:rsidRDefault="00B146AA" w:rsidP="00B146AA">
      <w:r>
        <w:t>During the 32</w:t>
      </w:r>
      <w:r w:rsidR="004615A9">
        <w:t xml:space="preserve"> </w:t>
      </w:r>
      <w:r>
        <w:t xml:space="preserve">week maintenance treatment periods of the Phase </w:t>
      </w:r>
      <w:r w:rsidR="004615A9">
        <w:t>III</w:t>
      </w:r>
      <w:r>
        <w:t xml:space="preserve"> studies, the incidences of </w:t>
      </w:r>
      <w:r w:rsidR="004615A9">
        <w:t>antidrug antibody</w:t>
      </w:r>
      <w:r>
        <w:t xml:space="preserve"> positivity in the continuous </w:t>
      </w:r>
      <w:r w:rsidR="001D63B3">
        <w:t>certolizumab pegol</w:t>
      </w:r>
      <w:r>
        <w:t xml:space="preserve"> 200</w:t>
      </w:r>
      <w:r w:rsidR="004615A9">
        <w:t xml:space="preserve"> </w:t>
      </w:r>
      <w:r>
        <w:t xml:space="preserve">mg Q2W group, the blinded </w:t>
      </w:r>
      <w:r w:rsidR="001D63B3">
        <w:t>certolizumab pegol</w:t>
      </w:r>
      <w:r>
        <w:t xml:space="preserve"> 400</w:t>
      </w:r>
      <w:r w:rsidR="004615A9">
        <w:t xml:space="preserve"> </w:t>
      </w:r>
      <w:r>
        <w:t xml:space="preserve">mg Q2W arm and the combined cohort of subjects who were initially randomised to </w:t>
      </w:r>
      <w:r w:rsidR="001D63B3">
        <w:t>certolizumab pegol</w:t>
      </w:r>
      <w:r>
        <w:t xml:space="preserve"> 400</w:t>
      </w:r>
      <w:r w:rsidR="004615A9">
        <w:t xml:space="preserve"> </w:t>
      </w:r>
      <w:r>
        <w:t xml:space="preserve">mg Q2W who either remained on blinded </w:t>
      </w:r>
      <w:r w:rsidR="001D63B3">
        <w:t>certolizumab pegol</w:t>
      </w:r>
      <w:r>
        <w:t xml:space="preserve"> 400</w:t>
      </w:r>
      <w:r w:rsidR="004615A9">
        <w:t xml:space="preserve"> </w:t>
      </w:r>
      <w:r>
        <w:t xml:space="preserve">mg Q2W or escaped at </w:t>
      </w:r>
      <w:r w:rsidR="004615A9">
        <w:t>W</w:t>
      </w:r>
      <w:r>
        <w:t xml:space="preserve">eek 16 to </w:t>
      </w:r>
      <w:r w:rsidR="001D63B3">
        <w:t>certolizumab pegol</w:t>
      </w:r>
      <w:r>
        <w:t xml:space="preserve"> 400</w:t>
      </w:r>
      <w:r w:rsidR="004615A9">
        <w:t xml:space="preserve"> </w:t>
      </w:r>
      <w:r>
        <w:t xml:space="preserve">mg Q2W were low at each visit, although incidences were consistently higher in the </w:t>
      </w:r>
      <w:r w:rsidR="001D63B3">
        <w:t>certolizumab pegol</w:t>
      </w:r>
      <w:r>
        <w:t xml:space="preserve"> 200</w:t>
      </w:r>
      <w:r w:rsidR="004615A9">
        <w:t xml:space="preserve"> </w:t>
      </w:r>
      <w:r>
        <w:t xml:space="preserve">mg Q2W arm compared with the </w:t>
      </w:r>
      <w:r w:rsidR="001D63B3">
        <w:t>certolizumab pegol</w:t>
      </w:r>
      <w:r>
        <w:t xml:space="preserve"> 400</w:t>
      </w:r>
      <w:r w:rsidR="004615A9">
        <w:t xml:space="preserve"> </w:t>
      </w:r>
      <w:r>
        <w:t xml:space="preserve">mg Q2W group. In addition, the incidences of </w:t>
      </w:r>
      <w:r w:rsidR="004615A9">
        <w:t>antidrug antibody</w:t>
      </w:r>
      <w:r>
        <w:t xml:space="preserve"> positivity in both escape groups decreased over time in the maintenance treatment phase, but incidences were consistently higher at each visit in the </w:t>
      </w:r>
      <w:r w:rsidR="001D63B3">
        <w:t>certolizumab pegol</w:t>
      </w:r>
      <w:r>
        <w:t xml:space="preserve"> 200</w:t>
      </w:r>
      <w:r w:rsidR="004615A9">
        <w:t xml:space="preserve"> </w:t>
      </w:r>
      <w:r>
        <w:t>mg Q2W</w:t>
      </w:r>
      <w:r w:rsidR="004615A9">
        <w:t xml:space="preserve"> </w:t>
      </w:r>
      <w:r w:rsidR="00153A53">
        <w:t>to</w:t>
      </w:r>
      <w:r w:rsidR="004615A9">
        <w:t xml:space="preserve"> </w:t>
      </w:r>
      <w:r w:rsidR="001D63B3">
        <w:t>certolizumab pegol</w:t>
      </w:r>
      <w:r>
        <w:t xml:space="preserve"> 400</w:t>
      </w:r>
      <w:r w:rsidR="004615A9">
        <w:t xml:space="preserve"> </w:t>
      </w:r>
      <w:r>
        <w:t xml:space="preserve">mg Q2W escape arm compared with the </w:t>
      </w:r>
      <w:r w:rsidR="001D63B3">
        <w:t>certolizumab pegol</w:t>
      </w:r>
      <w:r>
        <w:t xml:space="preserve"> 400</w:t>
      </w:r>
      <w:r w:rsidR="004615A9">
        <w:t xml:space="preserve"> </w:t>
      </w:r>
      <w:r>
        <w:t>mg Q2W</w:t>
      </w:r>
      <w:r w:rsidR="004615A9">
        <w:t xml:space="preserve"> </w:t>
      </w:r>
      <w:r w:rsidR="00153A53">
        <w:t>to</w:t>
      </w:r>
      <w:r w:rsidR="004615A9">
        <w:t xml:space="preserve"> </w:t>
      </w:r>
      <w:r w:rsidR="001D63B3">
        <w:t>certolizumab pegol</w:t>
      </w:r>
      <w:r>
        <w:t xml:space="preserve"> 400</w:t>
      </w:r>
      <w:r w:rsidR="004615A9">
        <w:t xml:space="preserve"> </w:t>
      </w:r>
      <w:r>
        <w:t>mg Q2W escape group.</w:t>
      </w:r>
    </w:p>
    <w:p w:rsidR="00B146AA" w:rsidRDefault="00B146AA" w:rsidP="00B146AA">
      <w:r>
        <w:t xml:space="preserve">For CIMPACT subjects who were re-randomised from </w:t>
      </w:r>
      <w:r w:rsidR="001D63B3">
        <w:t>certolizumab pegol</w:t>
      </w:r>
      <w:r>
        <w:t xml:space="preserve"> 200</w:t>
      </w:r>
      <w:r w:rsidR="00153A53">
        <w:t xml:space="preserve"> </w:t>
      </w:r>
      <w:r>
        <w:t xml:space="preserve">mg Q2W to </w:t>
      </w:r>
      <w:r w:rsidR="001D63B3">
        <w:t>certolizumab pegol</w:t>
      </w:r>
      <w:r>
        <w:t xml:space="preserve"> 400</w:t>
      </w:r>
      <w:r w:rsidR="00153A53">
        <w:t xml:space="preserve"> </w:t>
      </w:r>
      <w:r>
        <w:t>mg Q4W (</w:t>
      </w:r>
      <w:r w:rsidR="00A567C2">
        <w:t>that is</w:t>
      </w:r>
      <w:r>
        <w:t xml:space="preserve">, the same monthly dose), the incidences of positive </w:t>
      </w:r>
      <w:r w:rsidR="00153A53">
        <w:t>antidrug antibodies</w:t>
      </w:r>
      <w:r>
        <w:t xml:space="preserve"> at each visit were comparable to or slightly lower compared with the </w:t>
      </w:r>
      <w:r w:rsidR="00153A53">
        <w:t>W</w:t>
      </w:r>
      <w:r>
        <w:t xml:space="preserve">eek 16 incidence. In comparison, for subjects re-randomised from </w:t>
      </w:r>
      <w:r w:rsidR="001D63B3">
        <w:t>certolizumab pegol</w:t>
      </w:r>
      <w:r>
        <w:t xml:space="preserve"> 400</w:t>
      </w:r>
      <w:r w:rsidR="00153A53">
        <w:t xml:space="preserve"> </w:t>
      </w:r>
      <w:r>
        <w:t xml:space="preserve">mg Q2W to </w:t>
      </w:r>
      <w:r w:rsidR="001D63B3">
        <w:t>certolizumab pegol</w:t>
      </w:r>
      <w:r>
        <w:t xml:space="preserve"> 200</w:t>
      </w:r>
      <w:r w:rsidR="00153A53">
        <w:t xml:space="preserve"> </w:t>
      </w:r>
      <w:r>
        <w:t xml:space="preserve">mg Q2W, the incidences of </w:t>
      </w:r>
      <w:r w:rsidR="00153A53">
        <w:t>antidrug antibody</w:t>
      </w:r>
      <w:r>
        <w:t xml:space="preserve"> positivity at each visit were generally low but increased over time relative to the </w:t>
      </w:r>
      <w:r w:rsidR="00153A53">
        <w:t>W</w:t>
      </w:r>
      <w:r>
        <w:t xml:space="preserve">eek 16 frequencies. Among those subjects who were initially randomised to either </w:t>
      </w:r>
      <w:r w:rsidR="00A316C5">
        <w:t>placebo</w:t>
      </w:r>
      <w:r>
        <w:t xml:space="preserve"> or </w:t>
      </w:r>
      <w:r w:rsidR="00F65747">
        <w:t>etanercept</w:t>
      </w:r>
      <w:r>
        <w:t xml:space="preserve">, those subjects re-randomised to </w:t>
      </w:r>
      <w:r w:rsidR="001D63B3">
        <w:t>certolizumab pegol</w:t>
      </w:r>
      <w:r>
        <w:t xml:space="preserve"> 200</w:t>
      </w:r>
      <w:r w:rsidR="00153A53">
        <w:t xml:space="preserve"> </w:t>
      </w:r>
      <w:r>
        <w:t xml:space="preserve">mg Q2W at </w:t>
      </w:r>
      <w:r w:rsidR="00153A53">
        <w:t>W</w:t>
      </w:r>
      <w:r>
        <w:t xml:space="preserve">eek 16 had a higher incidence of positive </w:t>
      </w:r>
      <w:r w:rsidR="00153A53">
        <w:t>antidrug antiodies</w:t>
      </w:r>
      <w:r>
        <w:t xml:space="preserve"> compared with the </w:t>
      </w:r>
      <w:r w:rsidR="00F65747">
        <w:t>etanercept</w:t>
      </w:r>
      <w:r>
        <w:t>/</w:t>
      </w:r>
      <w:r w:rsidR="00A316C5">
        <w:t>placebo</w:t>
      </w:r>
      <w:r>
        <w:t xml:space="preserve"> to escape </w:t>
      </w:r>
      <w:r w:rsidR="001D63B3">
        <w:t>certolizumab pegol</w:t>
      </w:r>
      <w:r>
        <w:t xml:space="preserve"> 400</w:t>
      </w:r>
      <w:r w:rsidR="00153A53">
        <w:t xml:space="preserve"> </w:t>
      </w:r>
      <w:r>
        <w:t xml:space="preserve">mg Q2W group at each time point during the maintenance treatment period, and particularly at </w:t>
      </w:r>
      <w:r w:rsidR="00153A53">
        <w:t>W</w:t>
      </w:r>
      <w:r>
        <w:t xml:space="preserve">eek 48 (18.2% versus 2.7%, respectively). However, the highest incidence of positive </w:t>
      </w:r>
      <w:r w:rsidR="00153A53">
        <w:t>antidrug antibodies</w:t>
      </w:r>
      <w:r>
        <w:t xml:space="preserve"> across all groups during the maintenance treatment period was observed at the </w:t>
      </w:r>
      <w:r w:rsidR="00153A53">
        <w:t>W</w:t>
      </w:r>
      <w:r>
        <w:t>eek 10 follow-up visit in those subjects who prematurely discontinued.</w:t>
      </w:r>
    </w:p>
    <w:p w:rsidR="00B146AA" w:rsidRDefault="00B146AA" w:rsidP="00272B46">
      <w:pPr>
        <w:pStyle w:val="TableTitle"/>
      </w:pPr>
      <w:r w:rsidRPr="00B146AA">
        <w:lastRenderedPageBreak/>
        <w:t xml:space="preserve">Table </w:t>
      </w:r>
      <w:r w:rsidR="009C2FAC">
        <w:t>12</w:t>
      </w:r>
      <w:r w:rsidR="00272B46">
        <w:t xml:space="preserve">: </w:t>
      </w:r>
      <w:r w:rsidR="00153A53">
        <w:t>Antidrug antibodies</w:t>
      </w:r>
      <w:r w:rsidR="009C2FAC">
        <w:t xml:space="preserve"> s</w:t>
      </w:r>
      <w:r w:rsidRPr="00B146AA">
        <w:t xml:space="preserve">tatus by Visit during the Phase </w:t>
      </w:r>
      <w:r w:rsidR="00153A53">
        <w:t>III</w:t>
      </w:r>
      <w:r w:rsidRPr="00B146AA">
        <w:t xml:space="preserve"> Studies (Pooled Dataset-S3)</w:t>
      </w:r>
    </w:p>
    <w:p w:rsidR="00272B46" w:rsidRDefault="00272B46" w:rsidP="00BE0224">
      <w:r>
        <w:rPr>
          <w:noProof/>
          <w:lang w:eastAsia="en-AU"/>
        </w:rPr>
        <w:drawing>
          <wp:inline distT="0" distB="0" distL="0" distR="0" wp14:anchorId="01763B6E" wp14:editId="2FD28BA2">
            <wp:extent cx="5400040" cy="5400040"/>
            <wp:effectExtent l="0" t="0" r="0" b="0"/>
            <wp:docPr id="9" name="Picture 9" descr="Antidrug antibodies Status by Visit during the Phase III Studies (Pooled Datase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38000"/>
                              </a14:imgEffect>
                            </a14:imgLayer>
                          </a14:imgProps>
                        </a:ext>
                      </a:extLst>
                    </a:blip>
                    <a:stretch>
                      <a:fillRect/>
                    </a:stretch>
                  </pic:blipFill>
                  <pic:spPr>
                    <a:xfrm>
                      <a:off x="0" y="0"/>
                      <a:ext cx="5400040" cy="5400040"/>
                    </a:xfrm>
                    <a:prstGeom prst="rect">
                      <a:avLst/>
                    </a:prstGeom>
                  </pic:spPr>
                </pic:pic>
              </a:graphicData>
            </a:graphic>
          </wp:inline>
        </w:drawing>
      </w:r>
    </w:p>
    <w:p w:rsidR="00702D7B" w:rsidRDefault="00B146AA" w:rsidP="00B146AA">
      <w:r>
        <w:t xml:space="preserve">The detection of </w:t>
      </w:r>
      <w:r w:rsidR="00153A53">
        <w:t>neutralising antibodies</w:t>
      </w:r>
      <w:r>
        <w:t xml:space="preserve"> was only assessed for in the </w:t>
      </w:r>
      <w:r w:rsidR="00153A53">
        <w:t>two</w:t>
      </w:r>
      <w:r>
        <w:t xml:space="preserve"> CIMPASI studies. A total of 27 of 60 </w:t>
      </w:r>
      <w:r w:rsidR="00153A53">
        <w:t>antidrug antibody</w:t>
      </w:r>
      <w:r>
        <w:t xml:space="preserve"> positive patients had plasma </w:t>
      </w:r>
      <w:r w:rsidR="001D63B3">
        <w:t>certolizumab pegol</w:t>
      </w:r>
      <w:r>
        <w:t xml:space="preserve"> concentrations low enough for the assessment of </w:t>
      </w:r>
      <w:r w:rsidR="00153A53">
        <w:t xml:space="preserve">neutralising </w:t>
      </w:r>
      <w:r w:rsidR="009C2FAC">
        <w:t>antibodies</w:t>
      </w:r>
      <w:r>
        <w:t xml:space="preserve"> (&lt;</w:t>
      </w:r>
      <w:r w:rsidR="00153A53">
        <w:t xml:space="preserve"> </w:t>
      </w:r>
      <w:r>
        <w:t>0.3 μg/mL). All 27 of these subjects demonstrated neutralising activity.</w:t>
      </w:r>
    </w:p>
    <w:p w:rsidR="00B146AA" w:rsidRDefault="00B146AA" w:rsidP="003F730B">
      <w:pPr>
        <w:pStyle w:val="Heading6"/>
      </w:pPr>
      <w:r>
        <w:t xml:space="preserve">Integrated </w:t>
      </w:r>
      <w:r w:rsidR="001A0B08">
        <w:t>p</w:t>
      </w:r>
      <w:r>
        <w:t xml:space="preserve">hase </w:t>
      </w:r>
      <w:r w:rsidR="00153A53">
        <w:t>II</w:t>
      </w:r>
      <w:r>
        <w:t xml:space="preserve"> safety analyses</w:t>
      </w:r>
    </w:p>
    <w:p w:rsidR="00B146AA" w:rsidRDefault="00B146AA" w:rsidP="00B146AA">
      <w:r>
        <w:t xml:space="preserve">The definition of </w:t>
      </w:r>
      <w:r w:rsidR="003927AD">
        <w:t>antidrug antibody</w:t>
      </w:r>
      <w:r>
        <w:t xml:space="preserve"> positivity in the Phase </w:t>
      </w:r>
      <w:r w:rsidR="003927AD">
        <w:t>II</w:t>
      </w:r>
      <w:r>
        <w:t xml:space="preserve"> studies was any post baseline visit result &gt;</w:t>
      </w:r>
      <w:r w:rsidR="003927AD">
        <w:t xml:space="preserve"> </w:t>
      </w:r>
      <w:r>
        <w:t xml:space="preserve">2.4 units/mL. Blood samples for </w:t>
      </w:r>
      <w:r w:rsidR="00866FEC">
        <w:t>antidrug antibody</w:t>
      </w:r>
      <w:r>
        <w:t xml:space="preserve"> analysis were collected at baseline (</w:t>
      </w:r>
      <w:r w:rsidR="00A567C2">
        <w:t>that is,</w:t>
      </w:r>
      <w:r>
        <w:t xml:space="preserve"> prior to any </w:t>
      </w:r>
      <w:r w:rsidR="001D63B3">
        <w:t>certolizumab pegol</w:t>
      </w:r>
      <w:r>
        <w:t xml:space="preserve">) in Study C87040; </w:t>
      </w:r>
      <w:r w:rsidR="003927AD">
        <w:t>W</w:t>
      </w:r>
      <w:r>
        <w:t xml:space="preserve">eeks 4, 8 and 12 of the treatment period of Study C87040; </w:t>
      </w:r>
      <w:r w:rsidR="003927AD">
        <w:t>W</w:t>
      </w:r>
      <w:r>
        <w:t xml:space="preserve">eeks 4, 8, 12, 16, 20 and 24 of post-treatment follow-up period of Study C87040; and at </w:t>
      </w:r>
      <w:r w:rsidR="003927AD">
        <w:t>W</w:t>
      </w:r>
      <w:r>
        <w:t>eeks 4, 8 and 12 of re-treatment in Study C87044. During the 12</w:t>
      </w:r>
      <w:r w:rsidR="003927AD">
        <w:t> </w:t>
      </w:r>
      <w:r>
        <w:t xml:space="preserve">week treatment period of Study C87040, a higher proportion of subjects treated with </w:t>
      </w:r>
      <w:r w:rsidR="001D63B3">
        <w:t>certolizumab pegol</w:t>
      </w:r>
      <w:r>
        <w:t xml:space="preserve"> 200</w:t>
      </w:r>
      <w:r w:rsidR="003927AD">
        <w:t xml:space="preserve"> </w:t>
      </w:r>
      <w:r>
        <w:t>mg Q2W (15.3%; 9</w:t>
      </w:r>
      <w:r w:rsidR="003927AD">
        <w:t xml:space="preserve"> of </w:t>
      </w:r>
      <w:r>
        <w:t xml:space="preserve">59) versus </w:t>
      </w:r>
      <w:r w:rsidR="001D63B3">
        <w:t>certolizumab pegol</w:t>
      </w:r>
      <w:r>
        <w:t xml:space="preserve"> 400</w:t>
      </w:r>
      <w:r w:rsidR="003927AD">
        <w:t xml:space="preserve"> </w:t>
      </w:r>
      <w:r>
        <w:t>mg Q2W (10.5%; 6</w:t>
      </w:r>
      <w:r w:rsidR="003927AD">
        <w:t xml:space="preserve"> of </w:t>
      </w:r>
      <w:r>
        <w:t xml:space="preserve">57) recorded at least 1 positive, post-baseline positive </w:t>
      </w:r>
      <w:r w:rsidR="003927AD">
        <w:t>antidrug antibody</w:t>
      </w:r>
      <w:r>
        <w:t xml:space="preserve"> result. The same trend was also evident during the combined 12</w:t>
      </w:r>
      <w:r w:rsidR="003927AD">
        <w:t xml:space="preserve"> </w:t>
      </w:r>
      <w:r>
        <w:t xml:space="preserve">week treatment period of both Phase </w:t>
      </w:r>
      <w:r w:rsidR="00D76459">
        <w:t>II</w:t>
      </w:r>
      <w:r>
        <w:t xml:space="preserve"> studies (23.7% [14</w:t>
      </w:r>
      <w:r w:rsidR="00D76459">
        <w:t xml:space="preserve"> of </w:t>
      </w:r>
      <w:r>
        <w:t>59] for the 200</w:t>
      </w:r>
      <w:r w:rsidR="00866FEC">
        <w:t> </w:t>
      </w:r>
      <w:r>
        <w:t>mg Q2W group and 19.3% [11</w:t>
      </w:r>
      <w:r w:rsidR="00D76459">
        <w:t xml:space="preserve"> of </w:t>
      </w:r>
      <w:r>
        <w:t>57] for the 400</w:t>
      </w:r>
      <w:r w:rsidR="00D76459">
        <w:t xml:space="preserve"> </w:t>
      </w:r>
      <w:r>
        <w:t xml:space="preserve">mg Q2W arm). However, positive </w:t>
      </w:r>
      <w:r w:rsidR="00D76459">
        <w:t>antidrug antibody</w:t>
      </w:r>
      <w:r>
        <w:t xml:space="preserve"> results can sometimes be transient (and usually at lower titres), an </w:t>
      </w:r>
      <w:r>
        <w:lastRenderedPageBreak/>
        <w:t xml:space="preserve">alternative to examine the data is by scheduled assessment. Table </w:t>
      </w:r>
      <w:r w:rsidR="009C2FAC">
        <w:t>13</w:t>
      </w:r>
      <w:r>
        <w:t xml:space="preserve"> is a summary of </w:t>
      </w:r>
      <w:r w:rsidR="00D76459">
        <w:t>antidrug antibody</w:t>
      </w:r>
      <w:r>
        <w:t xml:space="preserve"> status by visit for the Phase </w:t>
      </w:r>
      <w:r w:rsidR="00D76459">
        <w:t>II</w:t>
      </w:r>
      <w:r>
        <w:t xml:space="preserve"> studies.</w:t>
      </w:r>
    </w:p>
    <w:p w:rsidR="00B146AA" w:rsidRDefault="00B146AA" w:rsidP="00272B46">
      <w:pPr>
        <w:pStyle w:val="TableTitle"/>
      </w:pPr>
      <w:r w:rsidRPr="00B146AA">
        <w:t xml:space="preserve">Table </w:t>
      </w:r>
      <w:r w:rsidR="009C2FAC">
        <w:t>13</w:t>
      </w:r>
      <w:r w:rsidR="00272B46">
        <w:t xml:space="preserve">: </w:t>
      </w:r>
      <w:r w:rsidR="00D76459">
        <w:t>Antidrug antibody</w:t>
      </w:r>
      <w:r w:rsidRPr="00B146AA">
        <w:t xml:space="preserve"> </w:t>
      </w:r>
      <w:r w:rsidR="009C2FAC">
        <w:t>s</w:t>
      </w:r>
      <w:r w:rsidRPr="00B146AA">
        <w:t xml:space="preserve">tatus by Visit during the Phase </w:t>
      </w:r>
      <w:r w:rsidR="00D76459">
        <w:t>II</w:t>
      </w:r>
      <w:r w:rsidRPr="00B146AA">
        <w:t xml:space="preserve"> Studies (C87040 and C87044)</w:t>
      </w:r>
    </w:p>
    <w:p w:rsidR="00B146AA" w:rsidRDefault="00B146AA" w:rsidP="00B146AA">
      <w:r>
        <w:rPr>
          <w:noProof/>
          <w:lang w:eastAsia="en-AU"/>
        </w:rPr>
        <w:drawing>
          <wp:inline distT="0" distB="0" distL="0" distR="0" wp14:anchorId="3B4380D2" wp14:editId="27B1DBC2">
            <wp:extent cx="4591050" cy="3380476"/>
            <wp:effectExtent l="0" t="0" r="0" b="0"/>
            <wp:docPr id="3" name="Picture 3" descr="Antidrug antibody Status by Visit during the Phase II Studies (C87040 and C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97867" cy="3385495"/>
                    </a:xfrm>
                    <a:prstGeom prst="rect">
                      <a:avLst/>
                    </a:prstGeom>
                  </pic:spPr>
                </pic:pic>
              </a:graphicData>
            </a:graphic>
          </wp:inline>
        </w:drawing>
      </w:r>
    </w:p>
    <w:p w:rsidR="00702D7B" w:rsidRDefault="00B146AA" w:rsidP="00B146AA">
      <w:r>
        <w:t xml:space="preserve">In Study C87040, only 1 subject in each </w:t>
      </w:r>
      <w:r w:rsidR="001D63B3">
        <w:t>certolizumab pegol</w:t>
      </w:r>
      <w:r>
        <w:t xml:space="preserve"> treatment group was </w:t>
      </w:r>
      <w:r w:rsidR="00D76459">
        <w:t>antidrug antibody</w:t>
      </w:r>
      <w:r>
        <w:t xml:space="preserve"> positive at </w:t>
      </w:r>
      <w:r w:rsidR="00D76459">
        <w:t>W</w:t>
      </w:r>
      <w:r>
        <w:t xml:space="preserve">eeks 8 (1.8% in each group) and 12 (1.9% in each </w:t>
      </w:r>
      <w:r w:rsidR="001D63B3">
        <w:t>certolizumab pegol</w:t>
      </w:r>
      <w:r>
        <w:t xml:space="preserve"> arm). During the 24</w:t>
      </w:r>
      <w:r w:rsidR="00D76459">
        <w:t xml:space="preserve"> </w:t>
      </w:r>
      <w:r>
        <w:t xml:space="preserve">week follow-up phase of Study C87040, a higher proportion of subjects in the </w:t>
      </w:r>
      <w:r w:rsidR="001D63B3">
        <w:t>certolizumab pegol</w:t>
      </w:r>
      <w:r>
        <w:t xml:space="preserve"> 200</w:t>
      </w:r>
      <w:r w:rsidR="00D76459">
        <w:t xml:space="preserve"> </w:t>
      </w:r>
      <w:r>
        <w:t xml:space="preserve">mg group tested positive to </w:t>
      </w:r>
      <w:r w:rsidR="00D76459">
        <w:t>antidrug antibody</w:t>
      </w:r>
      <w:r>
        <w:t xml:space="preserve"> at each time point. The difference between the 2 </w:t>
      </w:r>
      <w:r w:rsidR="001D63B3">
        <w:t>certolizumab pegol</w:t>
      </w:r>
      <w:r>
        <w:t xml:space="preserve"> groups was most marked at 8 weeks of follow-up in Study C87040 (25.0% [12</w:t>
      </w:r>
      <w:r w:rsidR="00D76459">
        <w:t xml:space="preserve"> of </w:t>
      </w:r>
      <w:r>
        <w:t>48] in the 200</w:t>
      </w:r>
      <w:r w:rsidR="00D76459">
        <w:t xml:space="preserve"> </w:t>
      </w:r>
      <w:r>
        <w:t>mg group versus 12.8% [6</w:t>
      </w:r>
      <w:r w:rsidR="00D76459">
        <w:t xml:space="preserve"> of </w:t>
      </w:r>
      <w:r>
        <w:t>47] in the 400</w:t>
      </w:r>
      <w:r w:rsidR="00D76459">
        <w:t xml:space="preserve"> </w:t>
      </w:r>
      <w:r>
        <w:t xml:space="preserve">mg arm). The rates of </w:t>
      </w:r>
      <w:r w:rsidR="00D76459">
        <w:t>antidrug antibody</w:t>
      </w:r>
      <w:r>
        <w:t xml:space="preserve"> positivity reduced partially by </w:t>
      </w:r>
      <w:r w:rsidR="00D76459">
        <w:t>W</w:t>
      </w:r>
      <w:r>
        <w:t>eek 24 of follow-up in Study C87040 but quickly rose again (</w:t>
      </w:r>
      <w:r w:rsidR="00A567C2">
        <w:t>that is,</w:t>
      </w:r>
      <w:r>
        <w:t xml:space="preserve"> by </w:t>
      </w:r>
      <w:r w:rsidR="002676AF">
        <w:t>W</w:t>
      </w:r>
      <w:r>
        <w:t xml:space="preserve">eek 4) with re-treatment in Study C87044. In Study C87044, the percentage of subjects with positive </w:t>
      </w:r>
      <w:r w:rsidR="00D76459">
        <w:t>antidrug antibodies</w:t>
      </w:r>
      <w:r>
        <w:t xml:space="preserve"> was higher at each time point with </w:t>
      </w:r>
      <w:r w:rsidR="001D63B3">
        <w:t>certolizumab pegol</w:t>
      </w:r>
      <w:r>
        <w:t xml:space="preserve"> 200</w:t>
      </w:r>
      <w:r w:rsidR="00D76459">
        <w:t xml:space="preserve"> </w:t>
      </w:r>
      <w:r>
        <w:t>mg Q2W (range: 18.8</w:t>
      </w:r>
      <w:r w:rsidR="00D76459">
        <w:t xml:space="preserve"> to </w:t>
      </w:r>
      <w:r>
        <w:t xml:space="preserve">27.3%) compared with </w:t>
      </w:r>
      <w:r w:rsidR="001D63B3">
        <w:t>certolizumab pegol</w:t>
      </w:r>
      <w:r>
        <w:t xml:space="preserve"> 400</w:t>
      </w:r>
      <w:r w:rsidR="00D76459">
        <w:t xml:space="preserve"> </w:t>
      </w:r>
      <w:r>
        <w:t>mg Q2W therapy (range: 8.8</w:t>
      </w:r>
      <w:r w:rsidR="00D76459">
        <w:t xml:space="preserve"> to</w:t>
      </w:r>
      <w:r>
        <w:t xml:space="preserve">16.7%). Moreover, the incidences of positive </w:t>
      </w:r>
      <w:r w:rsidR="00D76459">
        <w:t>antidrug antibodies</w:t>
      </w:r>
      <w:r>
        <w:t xml:space="preserve"> at each time point upon re-treatment in Study C87044 were significantly higher than the corresponding post-treatment evaluations in Study C87040.</w:t>
      </w:r>
    </w:p>
    <w:p w:rsidR="00702D7B" w:rsidRDefault="00B146AA" w:rsidP="00B146AA">
      <w:r>
        <w:t xml:space="preserve">In the Phase </w:t>
      </w:r>
      <w:r w:rsidR="00D76459">
        <w:t>II</w:t>
      </w:r>
      <w:r>
        <w:t xml:space="preserve"> studies, of all </w:t>
      </w:r>
      <w:r w:rsidR="00D76459">
        <w:t>antidrug antibody</w:t>
      </w:r>
      <w:r>
        <w:t xml:space="preserve"> positive subjects, 52.0% (13</w:t>
      </w:r>
      <w:r w:rsidR="00D76459">
        <w:t xml:space="preserve"> of </w:t>
      </w:r>
      <w:r>
        <w:t xml:space="preserve">25) were </w:t>
      </w:r>
      <w:r w:rsidR="00D76459">
        <w:t>neutralising antibody</w:t>
      </w:r>
      <w:r>
        <w:t xml:space="preserve"> positive, including 50.0% (7</w:t>
      </w:r>
      <w:r w:rsidR="00D76459">
        <w:t xml:space="preserve"> of </w:t>
      </w:r>
      <w:r>
        <w:t xml:space="preserve">14) of subjects in the </w:t>
      </w:r>
      <w:r w:rsidR="001D63B3">
        <w:t>certolizumab pegol</w:t>
      </w:r>
      <w:r>
        <w:t xml:space="preserve"> 200</w:t>
      </w:r>
      <w:r w:rsidR="00D76459">
        <w:t xml:space="preserve"> </w:t>
      </w:r>
      <w:r>
        <w:t>mg Q2W group and 54.5% (6</w:t>
      </w:r>
      <w:r w:rsidR="00D76459">
        <w:t xml:space="preserve"> of </w:t>
      </w:r>
      <w:r>
        <w:t xml:space="preserve">11) of patients in the </w:t>
      </w:r>
      <w:r w:rsidR="001D63B3">
        <w:t>certolizumab pegol</w:t>
      </w:r>
      <w:r>
        <w:t xml:space="preserve"> 400</w:t>
      </w:r>
      <w:r w:rsidR="00D76459">
        <w:t> </w:t>
      </w:r>
      <w:r>
        <w:t>mg Q2W arm.</w:t>
      </w:r>
    </w:p>
    <w:p w:rsidR="00702D7B" w:rsidRDefault="00B146AA" w:rsidP="003F730B">
      <w:pPr>
        <w:pStyle w:val="Heading6"/>
      </w:pPr>
      <w:r>
        <w:t xml:space="preserve">Impact of </w:t>
      </w:r>
      <w:r w:rsidR="00BD6F96">
        <w:t xml:space="preserve">antidrug antibodies </w:t>
      </w:r>
      <w:r>
        <w:t>upon subject disposition and safety</w:t>
      </w:r>
    </w:p>
    <w:p w:rsidR="00702D7B" w:rsidRDefault="00B146AA" w:rsidP="00B146AA">
      <w:r>
        <w:t xml:space="preserve">The impact of </w:t>
      </w:r>
      <w:r w:rsidR="00D76459">
        <w:t>antidrug antibody</w:t>
      </w:r>
      <w:r>
        <w:t xml:space="preserve"> positivity upon the </w:t>
      </w:r>
      <w:r w:rsidR="00F63AEF">
        <w:t>pharmacokinetic</w:t>
      </w:r>
      <w:r>
        <w:t xml:space="preserve"> and clinical efficacy of </w:t>
      </w:r>
      <w:r w:rsidR="001D63B3">
        <w:t>certolizumab pegol</w:t>
      </w:r>
      <w:r>
        <w:t xml:space="preserve"> has already been considered earlier in this report. The presence of </w:t>
      </w:r>
      <w:r w:rsidR="00D76459">
        <w:t>antidrug antibodies</w:t>
      </w:r>
      <w:r>
        <w:t xml:space="preserve"> did not change the overall AE profile of </w:t>
      </w:r>
      <w:r w:rsidR="001D63B3">
        <w:t>certolizumab pegol</w:t>
      </w:r>
      <w:r>
        <w:t xml:space="preserve"> and there was no apparent association between the presence of </w:t>
      </w:r>
      <w:r w:rsidR="00D76459">
        <w:t>antidrug antibodies</w:t>
      </w:r>
      <w:r>
        <w:t xml:space="preserve"> and injection site reactions or hypersensitivity AEs. Of the 120 subjects in the Phase </w:t>
      </w:r>
      <w:r w:rsidR="00D76459">
        <w:t>III</w:t>
      </w:r>
      <w:r>
        <w:t xml:space="preserve"> studies who tested </w:t>
      </w:r>
      <w:r w:rsidR="00D76459">
        <w:t>antidrug antibody</w:t>
      </w:r>
      <w:r>
        <w:t xml:space="preserve"> positive, a lower percentage of subjects completed the combined initial and maintenance treatment periods (70.8%; 85</w:t>
      </w:r>
      <w:r w:rsidR="00D76459">
        <w:t xml:space="preserve"> of </w:t>
      </w:r>
      <w:r>
        <w:t xml:space="preserve">120) compared to </w:t>
      </w:r>
      <w:r w:rsidR="00D76459">
        <w:t>antidrug antibody</w:t>
      </w:r>
      <w:r>
        <w:t xml:space="preserve"> negative patients (87.5%; 696</w:t>
      </w:r>
      <w:r w:rsidR="00D76459">
        <w:t xml:space="preserve"> of </w:t>
      </w:r>
      <w:r>
        <w:t>795).</w:t>
      </w:r>
    </w:p>
    <w:p w:rsidR="00702D7B" w:rsidRDefault="00B146AA" w:rsidP="00B146AA">
      <w:r>
        <w:lastRenderedPageBreak/>
        <w:t xml:space="preserve">The most frequent reason for premature discontinuation in </w:t>
      </w:r>
      <w:r w:rsidR="00D76459">
        <w:t>antidrug antibody</w:t>
      </w:r>
      <w:r>
        <w:t xml:space="preserve"> positive subjects was insufficient efficacy (14.2%; 17</w:t>
      </w:r>
      <w:r w:rsidR="00D76459">
        <w:t xml:space="preserve"> of </w:t>
      </w:r>
      <w:r>
        <w:t xml:space="preserve">120), including failure to meet the mandatory PASI response requirement for ongoing treatment. AEs were a minor reason for early cessation from the studies in </w:t>
      </w:r>
      <w:r w:rsidR="00D76459">
        <w:t>antidrug antibody</w:t>
      </w:r>
      <w:r>
        <w:t xml:space="preserve"> positive subjects and were not significantly higher than that observed in </w:t>
      </w:r>
      <w:r w:rsidR="00D76459">
        <w:t xml:space="preserve">antidrug antibody </w:t>
      </w:r>
      <w:r>
        <w:t>negative patients.</w:t>
      </w:r>
    </w:p>
    <w:p w:rsidR="00B146AA" w:rsidRDefault="00B146AA" w:rsidP="003F730B">
      <w:pPr>
        <w:pStyle w:val="Heading5"/>
      </w:pPr>
      <w:r>
        <w:t>Serious skin reactions</w:t>
      </w:r>
    </w:p>
    <w:p w:rsidR="00702D7B" w:rsidRDefault="00B146AA" w:rsidP="00B146AA">
      <w:r>
        <w:t xml:space="preserve">No serious skin reactions were reported in any of the Phase </w:t>
      </w:r>
      <w:r w:rsidR="00D76459">
        <w:t>II</w:t>
      </w:r>
      <w:r>
        <w:t xml:space="preserve"> and </w:t>
      </w:r>
      <w:r w:rsidR="00D76459">
        <w:t>III</w:t>
      </w:r>
      <w:r>
        <w:t xml:space="preserve"> </w:t>
      </w:r>
      <w:r w:rsidR="00A567C2">
        <w:t>psoriasis</w:t>
      </w:r>
      <w:r>
        <w:t xml:space="preserve"> studies with </w:t>
      </w:r>
      <w:r w:rsidR="001D63B3">
        <w:t>certolizumab pegol</w:t>
      </w:r>
      <w:r>
        <w:t>.</w:t>
      </w:r>
    </w:p>
    <w:p w:rsidR="00B146AA" w:rsidRDefault="00B146AA" w:rsidP="003F730B">
      <w:pPr>
        <w:pStyle w:val="Heading5"/>
      </w:pPr>
      <w:r>
        <w:t>Demyelinating-like disorders</w:t>
      </w:r>
    </w:p>
    <w:p w:rsidR="00702D7B" w:rsidRDefault="00B146AA" w:rsidP="00B146AA">
      <w:r>
        <w:t xml:space="preserve">Two subjects reported demyelinating AEs during the Phase </w:t>
      </w:r>
      <w:r w:rsidR="00D76459">
        <w:t>III</w:t>
      </w:r>
      <w:r>
        <w:t xml:space="preserve"> study program. In the CIMPASI-2 trial, a patient treated with </w:t>
      </w:r>
      <w:r w:rsidR="001D63B3">
        <w:t>certolizumab pegol</w:t>
      </w:r>
      <w:r>
        <w:t xml:space="preserve"> 200</w:t>
      </w:r>
      <w:r w:rsidR="00D76459">
        <w:t xml:space="preserve"> </w:t>
      </w:r>
      <w:r>
        <w:t xml:space="preserve">mg Q2W recorded an SAE of multiple sclerosis 15 days after their last dose of </w:t>
      </w:r>
      <w:r w:rsidR="001D63B3">
        <w:t>certolizumab pegol</w:t>
      </w:r>
      <w:r>
        <w:t xml:space="preserve"> and 348 days after their first dose.</w:t>
      </w:r>
    </w:p>
    <w:p w:rsidR="00702D7B" w:rsidRDefault="00B146AA" w:rsidP="00B146AA">
      <w:r>
        <w:t xml:space="preserve">The SAE resulted in discontinuation of </w:t>
      </w:r>
      <w:r w:rsidR="001D63B3">
        <w:t>certolizumab pegol</w:t>
      </w:r>
      <w:r>
        <w:t xml:space="preserve"> and was deemed related to </w:t>
      </w:r>
      <w:r w:rsidR="001D63B3">
        <w:t>certolizumab pegol</w:t>
      </w:r>
      <w:r>
        <w:t xml:space="preserve"> by the investigator. The patient had also previously received adalimumab. Another subject in the CIMPACT Study recorded an SAE of primary progressive multiple sclerosis after 157 days of treatment with </w:t>
      </w:r>
      <w:r w:rsidR="001D63B3">
        <w:t>certolizumab pegol</w:t>
      </w:r>
      <w:r>
        <w:t xml:space="preserve"> 400</w:t>
      </w:r>
      <w:r w:rsidR="00D76459">
        <w:t> </w:t>
      </w:r>
      <w:r>
        <w:t xml:space="preserve">mg Q2W. The patient had received secukinumab previously for </w:t>
      </w:r>
      <w:r w:rsidR="00A567C2">
        <w:t>psoriasis</w:t>
      </w:r>
      <w:r>
        <w:t xml:space="preserve">. The SAE resulted in discontinuation of </w:t>
      </w:r>
      <w:r w:rsidR="001D63B3">
        <w:t>certolizumab pegol</w:t>
      </w:r>
      <w:r>
        <w:t xml:space="preserve">. However, the SAE was not considered to be related to </w:t>
      </w:r>
      <w:r w:rsidR="001D63B3">
        <w:t>certolizumab pegol</w:t>
      </w:r>
      <w:r>
        <w:t xml:space="preserve"> by the investigator because they had symptoms of gait disturbance and recurrent falls prior to study entry. A neurologist assessed the subject and </w:t>
      </w:r>
      <w:r w:rsidR="00757BB2">
        <w:t>magnetic resonance imaging c</w:t>
      </w:r>
      <w:r>
        <w:t>onfirmed the diagnosis.</w:t>
      </w:r>
    </w:p>
    <w:p w:rsidR="00B146AA" w:rsidRDefault="00B146AA" w:rsidP="003F730B">
      <w:pPr>
        <w:pStyle w:val="Heading5"/>
      </w:pPr>
      <w:r>
        <w:t>Safety in special populations</w:t>
      </w:r>
    </w:p>
    <w:p w:rsidR="00702D7B" w:rsidRDefault="00B146AA" w:rsidP="00B146AA">
      <w:r>
        <w:t xml:space="preserve">A total of 7 pregnancies were reported in 6 female subjects in the </w:t>
      </w:r>
      <w:r w:rsidR="00A567C2">
        <w:t>psoriasis</w:t>
      </w:r>
      <w:r>
        <w:t xml:space="preserve"> study program (1 in CIMPASI-1, 2 in CIMPASI-2 and 3 in Study C87040). Of the 3 pregnancies recorded in Study C87040, 2 occurred in 1 subject (1 was treatment emergent and the second pregnancy was post-treatment). The outcomes of these pregnancies were: 1 healthy delivered baby, 3 induced terminations (all in Study C87040) and 3 unknown outcomes as of database lock. Between the clinical and safety data cut-off dates, another 2 pregnancies were reported in the CIMPACT study with 1 resulting in an induced abortion and the other pregnancy outcome remains unknown.</w:t>
      </w:r>
    </w:p>
    <w:p w:rsidR="00B146AA" w:rsidRDefault="00B146AA" w:rsidP="00757BB2">
      <w:pPr>
        <w:pStyle w:val="Heading5"/>
      </w:pPr>
      <w:r>
        <w:t>Safety related to drug-drug interactions and other interactions</w:t>
      </w:r>
    </w:p>
    <w:p w:rsidR="00702D7B" w:rsidRDefault="00B146AA" w:rsidP="00B146AA">
      <w:r>
        <w:t xml:space="preserve">No new drug interaction studies have been submitted with this application. The sponsor states that the original </w:t>
      </w:r>
      <w:r w:rsidR="001D63B3">
        <w:t>certolizumab pegol</w:t>
      </w:r>
      <w:r>
        <w:t xml:space="preserve"> registration application contained analyses showing that there is no drug interaction with modification of </w:t>
      </w:r>
      <w:r w:rsidR="00F63AEF">
        <w:t>pharmacokinetic</w:t>
      </w:r>
      <w:r>
        <w:t xml:space="preserve"> parameters between </w:t>
      </w:r>
      <w:r w:rsidR="001D63B3">
        <w:t>certolizumab pegol</w:t>
      </w:r>
      <w:r>
        <w:t xml:space="preserve"> and </w:t>
      </w:r>
      <w:r w:rsidR="00D76459">
        <w:t>methotrexate</w:t>
      </w:r>
      <w:r>
        <w:t xml:space="preserve"> (5</w:t>
      </w:r>
      <w:r w:rsidR="00D76459">
        <w:t xml:space="preserve"> </w:t>
      </w:r>
      <w:r w:rsidR="00866FEC">
        <w:t>to</w:t>
      </w:r>
      <w:r w:rsidR="00D76459">
        <w:t xml:space="preserve"> </w:t>
      </w:r>
      <w:r>
        <w:t xml:space="preserve">17.5 mg/week) in patients with </w:t>
      </w:r>
      <w:r w:rsidR="00D76459">
        <w:t>rheumatoid arthritis</w:t>
      </w:r>
      <w:r>
        <w:t>, or other common concurrent therapies such as NSAID, glucocorticoids, analgesics, 5-aminosalicylic acid analogues or anti-infective drugs.</w:t>
      </w:r>
    </w:p>
    <w:p w:rsidR="00605AD4" w:rsidRDefault="00605AD4" w:rsidP="00605AD4">
      <w:pPr>
        <w:pStyle w:val="Heading4"/>
      </w:pPr>
      <w:r w:rsidRPr="00605AD4">
        <w:t>Post</w:t>
      </w:r>
      <w:r w:rsidR="007B4FFB">
        <w:t>-</w:t>
      </w:r>
      <w:r w:rsidRPr="00605AD4">
        <w:t>marketing data</w:t>
      </w:r>
    </w:p>
    <w:p w:rsidR="00702D7B" w:rsidRDefault="00D76459" w:rsidP="00500337">
      <w:r>
        <w:t>C</w:t>
      </w:r>
      <w:r w:rsidR="001D63B3">
        <w:t>ertolizumab pegol</w:t>
      </w:r>
      <w:r w:rsidR="00B0427D" w:rsidRPr="00B0427D">
        <w:t xml:space="preserve"> received its first marketing authorisation in September 2007 in Switzerland, and its initial marketing approval in the European Union in October 2009 and in the USA in April 2008. Over the last 10 years since its launch, the overall safety of </w:t>
      </w:r>
      <w:r w:rsidR="001D63B3">
        <w:t>certolizumab pegol</w:t>
      </w:r>
      <w:r w:rsidR="00B0427D" w:rsidRPr="00B0427D">
        <w:t xml:space="preserve"> has remained consistent with the expectations of the anti-TNF medicine class. As of 6 March 2017 (the most recent Periodic Safety Update Report; PSUR), an estimated 12,364 subjects worldwide have been exposed to </w:t>
      </w:r>
      <w:r w:rsidR="001D63B3">
        <w:t>certolizumab pegol</w:t>
      </w:r>
      <w:r w:rsidR="00B0427D" w:rsidRPr="00B0427D">
        <w:t xml:space="preserve"> in completed and ongoing clinical studies. Based on marketing data across all approved treatment indications, exposure to </w:t>
      </w:r>
      <w:r w:rsidR="001D63B3">
        <w:t>certolizumab pegol</w:t>
      </w:r>
      <w:r w:rsidR="00B0427D" w:rsidRPr="00B0427D">
        <w:t xml:space="preserve"> has been estimated to reach </w:t>
      </w:r>
      <w:r w:rsidR="00B0427D" w:rsidRPr="00B0427D">
        <w:lastRenderedPageBreak/>
        <w:t xml:space="preserve">256,112 </w:t>
      </w:r>
      <w:r w:rsidR="00EE730D">
        <w:t>patient-years</w:t>
      </w:r>
      <w:r w:rsidR="00B0427D" w:rsidRPr="00B0427D">
        <w:t xml:space="preserve"> during the last 3</w:t>
      </w:r>
      <w:r>
        <w:t xml:space="preserve"> </w:t>
      </w:r>
      <w:r w:rsidR="00B0427D" w:rsidRPr="00B0427D">
        <w:t>year reporting interval of the PSUR and 420,451</w:t>
      </w:r>
      <w:r w:rsidR="002676AF">
        <w:t> </w:t>
      </w:r>
      <w:r w:rsidR="00EE730D">
        <w:t>patient-years</w:t>
      </w:r>
      <w:r w:rsidR="00B0427D" w:rsidRPr="00B0427D">
        <w:t xml:space="preserve"> cumulatively.</w:t>
      </w:r>
    </w:p>
    <w:p w:rsidR="00500337" w:rsidRPr="00500337" w:rsidRDefault="00B0427D" w:rsidP="00500337">
      <w:r w:rsidRPr="00B0427D">
        <w:t xml:space="preserve">During the last reporting interval, 6 potential clinical safety signals were evaluated and 5 of those were refuted. The closed clinical safety signals included overall mortality rate in </w:t>
      </w:r>
      <w:r w:rsidR="00023593">
        <w:t>rheumatoid arthritis</w:t>
      </w:r>
      <w:r w:rsidRPr="00B0427D">
        <w:t>, cervical cancer, long</w:t>
      </w:r>
      <w:r w:rsidR="00D76459">
        <w:t xml:space="preserve"> </w:t>
      </w:r>
      <w:r w:rsidRPr="00B0427D">
        <w:t xml:space="preserve">term immunogenicity in patients with </w:t>
      </w:r>
      <w:r w:rsidR="00D76459">
        <w:t>rheumatoid arthritis</w:t>
      </w:r>
      <w:r w:rsidRPr="00B0427D">
        <w:t xml:space="preserve"> and Crohn’s disease, increased serum </w:t>
      </w:r>
      <w:r w:rsidR="00EF53A2">
        <w:t xml:space="preserve">creatine phosphokinase </w:t>
      </w:r>
      <w:r w:rsidRPr="00B0427D">
        <w:t xml:space="preserve">levels, and autoimmune hepatitis. The safety concern of development of </w:t>
      </w:r>
      <w:r w:rsidR="00EE730D">
        <w:t>tuberculosis</w:t>
      </w:r>
      <w:r w:rsidRPr="00B0427D">
        <w:t xml:space="preserve"> (despite prior or concurrent chemoprophylaxis) was confirmed as a signal with </w:t>
      </w:r>
      <w:r w:rsidR="001D63B3">
        <w:t>certolizumab pegol</w:t>
      </w:r>
      <w:r w:rsidRPr="00B0427D">
        <w:t xml:space="preserve"> therapy.</w:t>
      </w:r>
    </w:p>
    <w:p w:rsidR="00605AD4" w:rsidRPr="00605AD4" w:rsidRDefault="00605AD4" w:rsidP="00605AD4">
      <w:pPr>
        <w:pStyle w:val="Heading4"/>
      </w:pPr>
      <w:r w:rsidRPr="00605AD4">
        <w:t>Evaluator’s conclusions on safety</w:t>
      </w:r>
    </w:p>
    <w:p w:rsidR="00702D7B" w:rsidRDefault="00B0427D" w:rsidP="00B0427D">
      <w:r>
        <w:t xml:space="preserve">The safety of </w:t>
      </w:r>
      <w:r w:rsidR="001D63B3">
        <w:t>certolizumab pegol</w:t>
      </w:r>
      <w:r>
        <w:t xml:space="preserve"> in </w:t>
      </w:r>
      <w:r w:rsidR="00A567C2">
        <w:t>psoriasis</w:t>
      </w:r>
      <w:r>
        <w:t xml:space="preserve"> has been assessed in a total of 1112 adult subjects with moderate to severe </w:t>
      </w:r>
      <w:r w:rsidR="00A567C2">
        <w:t>psoriasis</w:t>
      </w:r>
      <w:r>
        <w:t xml:space="preserve">, who participated in 5 Phase </w:t>
      </w:r>
      <w:r w:rsidR="00D76459">
        <w:t>II and III</w:t>
      </w:r>
      <w:r>
        <w:t xml:space="preserve"> clinical studies (C87040, C87044, CIMPASI-1, CIMPASI-2 and CIMPACT) with a median duration of exposure to </w:t>
      </w:r>
      <w:r w:rsidR="001D63B3">
        <w:t>certolizumab pegol</w:t>
      </w:r>
      <w:r>
        <w:t xml:space="preserve"> of 343 days. As of safety data cut-off dates (between October 2016 and March 2017), the total subject exposure is 951.7 </w:t>
      </w:r>
      <w:r w:rsidR="00EE730D">
        <w:t>patient-year</w:t>
      </w:r>
      <w:r>
        <w:t>s.</w:t>
      </w:r>
    </w:p>
    <w:p w:rsidR="00B0427D" w:rsidRDefault="00B0427D" w:rsidP="00B0427D">
      <w:r>
        <w:t xml:space="preserve">In the </w:t>
      </w:r>
      <w:r w:rsidR="00866FEC">
        <w:t>three</w:t>
      </w:r>
      <w:r>
        <w:t xml:space="preserve"> Phase </w:t>
      </w:r>
      <w:r w:rsidR="00D76459">
        <w:t>III</w:t>
      </w:r>
      <w:r>
        <w:t xml:space="preserve"> studies, 487 subjects with </w:t>
      </w:r>
      <w:r w:rsidR="00A567C2">
        <w:t>psoriasis</w:t>
      </w:r>
      <w:r>
        <w:t xml:space="preserve"> have received continuous </w:t>
      </w:r>
      <w:r w:rsidR="001D63B3">
        <w:t>certolizumab pegol</w:t>
      </w:r>
      <w:r>
        <w:t xml:space="preserve"> therapy for between 48 and 64 weeks and 75 patients have an exposure of &gt;</w:t>
      </w:r>
      <w:r w:rsidR="00D76459">
        <w:t xml:space="preserve"> </w:t>
      </w:r>
      <w:r>
        <w:t xml:space="preserve">64 weeks. In the Phase </w:t>
      </w:r>
      <w:r w:rsidR="00D76459">
        <w:t>III</w:t>
      </w:r>
      <w:r>
        <w:t xml:space="preserve"> trials, 703 have received </w:t>
      </w:r>
      <w:r w:rsidR="001D63B3">
        <w:t>certolizumab pegol</w:t>
      </w:r>
      <w:r>
        <w:t xml:space="preserve"> 200</w:t>
      </w:r>
      <w:r w:rsidR="00023593">
        <w:t> </w:t>
      </w:r>
      <w:r>
        <w:t xml:space="preserve">mg Q2W treatment and 677 subjects have received </w:t>
      </w:r>
      <w:r w:rsidR="001D63B3">
        <w:t>certolizumab pegol</w:t>
      </w:r>
      <w:r>
        <w:t xml:space="preserve"> 400</w:t>
      </w:r>
      <w:r w:rsidR="00D76459">
        <w:t xml:space="preserve"> </w:t>
      </w:r>
      <w:r>
        <w:t xml:space="preserve">mg Q2W therapy. The study populations in the Phase </w:t>
      </w:r>
      <w:r w:rsidR="00D76459">
        <w:t>II and III</w:t>
      </w:r>
      <w:r>
        <w:t xml:space="preserve"> trials often had long-standing </w:t>
      </w:r>
      <w:r w:rsidR="00A567C2">
        <w:t>psoriasis</w:t>
      </w:r>
      <w:r>
        <w:t xml:space="preserve">, but were heterogeneous with respect to prior therapies for </w:t>
      </w:r>
      <w:r w:rsidR="00A567C2">
        <w:t>psoriasis</w:t>
      </w:r>
      <w:r>
        <w:t xml:space="preserve"> (</w:t>
      </w:r>
      <w:r w:rsidR="00A567C2">
        <w:t>for example,</w:t>
      </w:r>
      <w:r>
        <w:t xml:space="preserve"> 70% of patients were naïve to prior biological therapies and almost 60% had never used a systemic, non-biologic treatment for </w:t>
      </w:r>
      <w:r w:rsidR="00A567C2">
        <w:t>psoriasis</w:t>
      </w:r>
      <w:r>
        <w:t xml:space="preserve">). Overall, there is a sufficient volume of safety data in this submission to make a meaningful assessment of </w:t>
      </w:r>
      <w:r w:rsidR="001D63B3">
        <w:t>certolizumab pegol</w:t>
      </w:r>
      <w:r>
        <w:t xml:space="preserve"> safety for up to 1 year of treatment in the newly proposed treatment indication of moderate to severe </w:t>
      </w:r>
      <w:r w:rsidR="00A567C2">
        <w:t>psoriasis</w:t>
      </w:r>
      <w:r>
        <w:t xml:space="preserve"> in adult patients.</w:t>
      </w:r>
    </w:p>
    <w:p w:rsidR="00702D7B" w:rsidRDefault="00B0427D" w:rsidP="00B0427D">
      <w:r>
        <w:t xml:space="preserve">The primary trial cohort nominated by the sponsor to evaluate safety was Pool S1, which looked at safety during the initial treatment period (between </w:t>
      </w:r>
      <w:r w:rsidR="00866FEC">
        <w:t>W</w:t>
      </w:r>
      <w:r>
        <w:t xml:space="preserve">eeks 0 and 16) of the Phase </w:t>
      </w:r>
      <w:r w:rsidR="00D76459">
        <w:t>III</w:t>
      </w:r>
      <w:r>
        <w:t xml:space="preserve"> studies and each of the trials had a common </w:t>
      </w:r>
      <w:r w:rsidR="00A316C5">
        <w:t>placebo</w:t>
      </w:r>
      <w:r>
        <w:t xml:space="preserve"> controlled period. The incidences of overall AEs in Pool S1 were similar between the </w:t>
      </w:r>
      <w:r w:rsidR="001D63B3">
        <w:t>certolizumab pegol</w:t>
      </w:r>
      <w:r>
        <w:t xml:space="preserve"> 400</w:t>
      </w:r>
      <w:r w:rsidR="00D76459">
        <w:t> </w:t>
      </w:r>
      <w:r>
        <w:t xml:space="preserve">mg Q2W (63.5%) and </w:t>
      </w:r>
      <w:r w:rsidR="00A316C5">
        <w:t>placebo</w:t>
      </w:r>
      <w:r>
        <w:t xml:space="preserve"> groups (61.8%), but lower in the </w:t>
      </w:r>
      <w:r w:rsidR="001D63B3">
        <w:t>certolizumab pegol</w:t>
      </w:r>
      <w:r>
        <w:t xml:space="preserve"> 200</w:t>
      </w:r>
      <w:r w:rsidR="00D76459">
        <w:t> </w:t>
      </w:r>
      <w:r>
        <w:t xml:space="preserve">mg Q2W arm (56.3%). However, treatment related AEs were reported at a higher frequency in the </w:t>
      </w:r>
      <w:r w:rsidR="001D63B3">
        <w:t>certolizumab pegol</w:t>
      </w:r>
      <w:r>
        <w:t xml:space="preserve"> 400</w:t>
      </w:r>
      <w:r w:rsidR="00D76459">
        <w:t xml:space="preserve"> </w:t>
      </w:r>
      <w:r>
        <w:t xml:space="preserve">mg group (15.8%) compared with the </w:t>
      </w:r>
      <w:r w:rsidR="001D63B3">
        <w:t>certolizumab pegol</w:t>
      </w:r>
      <w:r>
        <w:t xml:space="preserve"> 200</w:t>
      </w:r>
      <w:r w:rsidR="00D76459">
        <w:t> </w:t>
      </w:r>
      <w:r>
        <w:t xml:space="preserve">mg arm (12.9%) and </w:t>
      </w:r>
      <w:r w:rsidR="00A316C5">
        <w:t>placebo</w:t>
      </w:r>
      <w:r>
        <w:t xml:space="preserve"> group (12.7%). For overall and treatment related AEs, the SOC with the highest incidence of AEs was infections (&gt;</w:t>
      </w:r>
      <w:r w:rsidR="00D76459">
        <w:t xml:space="preserve"> </w:t>
      </w:r>
      <w:r>
        <w:t>30% incidence) followed by skin and subcutaneous disorders (10</w:t>
      </w:r>
      <w:r w:rsidR="00D76459">
        <w:t xml:space="preserve"> to</w:t>
      </w:r>
      <w:r>
        <w:t>14%).</w:t>
      </w:r>
    </w:p>
    <w:p w:rsidR="00702D7B" w:rsidRDefault="00B0427D" w:rsidP="00B0427D">
      <w:r>
        <w:t xml:space="preserve">There was a trend toward a </w:t>
      </w:r>
      <w:r w:rsidR="001D63B3">
        <w:t>certolizumab pegol</w:t>
      </w:r>
      <w:r>
        <w:t xml:space="preserve"> dose response effect in the SOC of general disorders and administration site conditions, with the main explanation for the difference being a higher incidence of </w:t>
      </w:r>
      <w:r w:rsidR="002C4EA8">
        <w:t>injection site reactions</w:t>
      </w:r>
      <w:r>
        <w:t xml:space="preserve"> in the </w:t>
      </w:r>
      <w:r w:rsidR="001D63B3">
        <w:t>certolizumab pegol</w:t>
      </w:r>
      <w:r>
        <w:t xml:space="preserve"> 400</w:t>
      </w:r>
      <w:r w:rsidR="00B72FA2">
        <w:t xml:space="preserve"> </w:t>
      </w:r>
      <w:r>
        <w:t xml:space="preserve">mg Q2W group. In Pool S1, the most frequently reported AEs by </w:t>
      </w:r>
      <w:r w:rsidR="002C4EA8">
        <w:t>preferred term</w:t>
      </w:r>
      <w:r>
        <w:t xml:space="preserve"> were nasopharyngitis (around 12% incidence in each of the 3 treatment groups) and upper respiratory tract infection (5</w:t>
      </w:r>
      <w:r w:rsidR="00B72FA2">
        <w:t xml:space="preserve"> to </w:t>
      </w:r>
      <w:r>
        <w:t xml:space="preserve">7% incidence across the 3 treatment arms). In Pool S4 (Phase </w:t>
      </w:r>
      <w:r w:rsidR="00B72FA2">
        <w:t>III</w:t>
      </w:r>
      <w:r>
        <w:t xml:space="preserve"> maintenance treatment periods), the incidences and exposure adjusted </w:t>
      </w:r>
      <w:r w:rsidR="00EE730D">
        <w:t>incident rate</w:t>
      </w:r>
      <w:r>
        <w:t xml:space="preserve">s for AEs between the 2 </w:t>
      </w:r>
      <w:r w:rsidR="001D63B3">
        <w:t>certolizumab pegol</w:t>
      </w:r>
      <w:r>
        <w:t xml:space="preserve"> dose groups as well as </w:t>
      </w:r>
      <w:r w:rsidR="00A316C5">
        <w:t>placebo</w:t>
      </w:r>
      <w:r>
        <w:t>, and were lower than that observed in the first 16 weeks of therapy. However, the most frequently reported type of AE by SOC in Pool S4 was infections, which occurred at a higher incidence (almost 37</w:t>
      </w:r>
      <w:r w:rsidR="00B72FA2">
        <w:t xml:space="preserve"> to </w:t>
      </w:r>
      <w:r>
        <w:t xml:space="preserve">40% with </w:t>
      </w:r>
      <w:r w:rsidR="001D63B3">
        <w:t>certolizumab pegol</w:t>
      </w:r>
      <w:r>
        <w:t xml:space="preserve"> versus 29% with </w:t>
      </w:r>
      <w:r w:rsidR="00A316C5">
        <w:t>placebo</w:t>
      </w:r>
      <w:r>
        <w:t xml:space="preserve">) and also exposure adjusted </w:t>
      </w:r>
      <w:r w:rsidR="00EE730D">
        <w:t>incident rate</w:t>
      </w:r>
      <w:r>
        <w:t xml:space="preserve"> compared with </w:t>
      </w:r>
      <w:r w:rsidR="00A316C5">
        <w:t>placebo</w:t>
      </w:r>
      <w:r>
        <w:t xml:space="preserve"> (</w:t>
      </w:r>
      <w:r w:rsidR="00EE730D">
        <w:t>incident rate</w:t>
      </w:r>
      <w:r>
        <w:t xml:space="preserve"> of 224 per 100 </w:t>
      </w:r>
      <w:r w:rsidR="00EE730D">
        <w:t>patient-years</w:t>
      </w:r>
      <w:r>
        <w:t xml:space="preserve"> with </w:t>
      </w:r>
      <w:r w:rsidR="001D63B3">
        <w:t>certolizumab pegol</w:t>
      </w:r>
      <w:r>
        <w:t xml:space="preserve"> 200</w:t>
      </w:r>
      <w:r w:rsidR="00B72FA2">
        <w:t xml:space="preserve"> </w:t>
      </w:r>
      <w:r>
        <w:t>mg and 314 per 100</w:t>
      </w:r>
      <w:r w:rsidR="002C4EA8">
        <w:t> </w:t>
      </w:r>
      <w:r w:rsidR="00EE730D">
        <w:t>patient-years</w:t>
      </w:r>
      <w:r>
        <w:t xml:space="preserve"> with </w:t>
      </w:r>
      <w:r w:rsidR="001D63B3">
        <w:t>certolizumab pegol</w:t>
      </w:r>
      <w:r>
        <w:t xml:space="preserve"> 400</w:t>
      </w:r>
      <w:r w:rsidR="00B72FA2">
        <w:t xml:space="preserve"> </w:t>
      </w:r>
      <w:r>
        <w:t xml:space="preserve">mg therapy versus 80 per 100 </w:t>
      </w:r>
      <w:r w:rsidR="00EE730D">
        <w:t>patient-years</w:t>
      </w:r>
      <w:r>
        <w:t xml:space="preserve"> with </w:t>
      </w:r>
      <w:r w:rsidR="00A316C5">
        <w:t>placebo</w:t>
      </w:r>
      <w:r>
        <w:t xml:space="preserve">). Again, the most frequent </w:t>
      </w:r>
      <w:r>
        <w:lastRenderedPageBreak/>
        <w:t>type of infections in Pool S4 by PT was nasopharyngitis (14</w:t>
      </w:r>
      <w:r w:rsidR="00B72FA2">
        <w:t xml:space="preserve"> to</w:t>
      </w:r>
      <w:r>
        <w:t xml:space="preserve">15% incidence with </w:t>
      </w:r>
      <w:r w:rsidR="001D63B3">
        <w:t>certolizumab pegol</w:t>
      </w:r>
      <w:r>
        <w:t xml:space="preserve">) and </w:t>
      </w:r>
      <w:r w:rsidR="002C4EA8">
        <w:t>upper respiratory tract infection</w:t>
      </w:r>
      <w:r>
        <w:t xml:space="preserve"> (around 7% incidence with </w:t>
      </w:r>
      <w:r w:rsidR="001D63B3">
        <w:t>certolizumab pegol</w:t>
      </w:r>
      <w:r>
        <w:t>).</w:t>
      </w:r>
    </w:p>
    <w:p w:rsidR="00702D7B" w:rsidRDefault="00B0427D" w:rsidP="00B0427D">
      <w:r>
        <w:t xml:space="preserve">The Phase </w:t>
      </w:r>
      <w:r w:rsidR="00B72FA2">
        <w:t>II</w:t>
      </w:r>
      <w:r>
        <w:t xml:space="preserve"> and Pool S3 long-term safety datasets showed a similar pattern of findings with respect to infections overall and the most common types of infection by </w:t>
      </w:r>
      <w:r w:rsidR="002C4EA8">
        <w:t>preferred term</w:t>
      </w:r>
      <w:r>
        <w:t>.</w:t>
      </w:r>
    </w:p>
    <w:p w:rsidR="00702D7B" w:rsidRDefault="00B0427D" w:rsidP="00B0427D">
      <w:r>
        <w:t xml:space="preserve">In Pool S1, the incidence of SAEs was similar between the </w:t>
      </w:r>
      <w:r w:rsidR="00A316C5">
        <w:t>placebo</w:t>
      </w:r>
      <w:r>
        <w:t xml:space="preserve"> (4.5%) and </w:t>
      </w:r>
      <w:r w:rsidR="001D63B3">
        <w:t>certolizumab pegol</w:t>
      </w:r>
      <w:r>
        <w:t xml:space="preserve"> 400</w:t>
      </w:r>
      <w:r w:rsidR="00B72FA2">
        <w:t xml:space="preserve"> </w:t>
      </w:r>
      <w:r>
        <w:t xml:space="preserve">mg groups (4.7%), but lower in the </w:t>
      </w:r>
      <w:r w:rsidR="001D63B3">
        <w:t>certolizumab pegol</w:t>
      </w:r>
      <w:r>
        <w:t xml:space="preserve"> 200</w:t>
      </w:r>
      <w:r w:rsidR="00B72FA2">
        <w:t> </w:t>
      </w:r>
      <w:r>
        <w:t xml:space="preserve">mg Q2W cohort (1.4%). Three treatment related SAEs were reported in subjects receiving </w:t>
      </w:r>
      <w:r w:rsidR="001D63B3">
        <w:t>certolizumab pegol</w:t>
      </w:r>
      <w:r>
        <w:t xml:space="preserve"> 400</w:t>
      </w:r>
      <w:r w:rsidR="00866FEC">
        <w:t xml:space="preserve"> </w:t>
      </w:r>
      <w:r>
        <w:t xml:space="preserve">mg injections – lymphadenitis, </w:t>
      </w:r>
      <w:r w:rsidR="002C4EA8">
        <w:t>injection site reaction</w:t>
      </w:r>
      <w:r>
        <w:t xml:space="preserve"> and anaphylactoid reaction (with first dose of treatment). One subject treated with </w:t>
      </w:r>
      <w:r w:rsidR="001D63B3">
        <w:t>certolizumab pegol</w:t>
      </w:r>
      <w:r>
        <w:t xml:space="preserve"> 200</w:t>
      </w:r>
      <w:r w:rsidR="009B54F7">
        <w:t xml:space="preserve"> </w:t>
      </w:r>
      <w:r>
        <w:t>mg Q2W (in Pool S1) had a treatment related SAE of depression with suicide attempt.</w:t>
      </w:r>
    </w:p>
    <w:p w:rsidR="00702D7B" w:rsidRDefault="00B0427D" w:rsidP="00B0427D">
      <w:r>
        <w:t xml:space="preserve">The overall incidence of SAEs in the maintenance treatment periods (Pool S4) was relatively low with </w:t>
      </w:r>
      <w:r w:rsidR="001D63B3">
        <w:t>certolizumab pegol</w:t>
      </w:r>
      <w:r>
        <w:t xml:space="preserve"> (4.6% [25</w:t>
      </w:r>
      <w:r w:rsidR="009B54F7">
        <w:t xml:space="preserve"> of </w:t>
      </w:r>
      <w:r>
        <w:t xml:space="preserve">540] in the </w:t>
      </w:r>
      <w:r w:rsidR="001D63B3">
        <w:t>certolizumab pegol</w:t>
      </w:r>
      <w:r>
        <w:t xml:space="preserve"> 400</w:t>
      </w:r>
      <w:r w:rsidR="00023593">
        <w:t> </w:t>
      </w:r>
      <w:r>
        <w:t>mg Q2W arm and 5.2% [18</w:t>
      </w:r>
      <w:r w:rsidR="009B54F7">
        <w:t xml:space="preserve"> of </w:t>
      </w:r>
      <w:r>
        <w:t xml:space="preserve">348] in the </w:t>
      </w:r>
      <w:r w:rsidR="001D63B3">
        <w:t>certolizumab pegol</w:t>
      </w:r>
      <w:r>
        <w:t xml:space="preserve"> 200</w:t>
      </w:r>
      <w:r w:rsidR="002C4EA8">
        <w:t> </w:t>
      </w:r>
      <w:r>
        <w:t xml:space="preserve">mg Q2W group), but lower in the </w:t>
      </w:r>
      <w:r w:rsidR="00A316C5">
        <w:t>placebo</w:t>
      </w:r>
      <w:r>
        <w:t xml:space="preserve"> group (2.4%; 2</w:t>
      </w:r>
      <w:r w:rsidR="009B54F7">
        <w:t xml:space="preserve"> of </w:t>
      </w:r>
      <w:r>
        <w:t xml:space="preserve">82). Furthermore, the </w:t>
      </w:r>
      <w:r w:rsidR="00EE730D">
        <w:t>incident rate</w:t>
      </w:r>
      <w:r>
        <w:t xml:space="preserve">s for SAEs was almost </w:t>
      </w:r>
      <w:r w:rsidR="00BC7159">
        <w:t>2 fold</w:t>
      </w:r>
      <w:r>
        <w:t xml:space="preserve"> in the </w:t>
      </w:r>
      <w:r w:rsidR="001D63B3">
        <w:t>certolizumab pegol</w:t>
      </w:r>
      <w:r>
        <w:t xml:space="preserve"> groups (</w:t>
      </w:r>
      <w:r w:rsidR="00EE730D">
        <w:t>incident rate</w:t>
      </w:r>
      <w:r>
        <w:t xml:space="preserve"> of 9.07 per 100 </w:t>
      </w:r>
      <w:r w:rsidR="00EE730D">
        <w:t>patient-years</w:t>
      </w:r>
      <w:r>
        <w:t xml:space="preserve"> with 200</w:t>
      </w:r>
      <w:r w:rsidR="009B54F7">
        <w:t xml:space="preserve"> </w:t>
      </w:r>
      <w:r>
        <w:t xml:space="preserve">mg therapy and </w:t>
      </w:r>
      <w:r w:rsidR="00EE730D">
        <w:t>incident rate</w:t>
      </w:r>
      <w:r>
        <w:t xml:space="preserve"> of 8.15 per 100</w:t>
      </w:r>
      <w:r w:rsidR="002C4EA8">
        <w:t> </w:t>
      </w:r>
      <w:r w:rsidR="00EE730D">
        <w:t>patient-years</w:t>
      </w:r>
      <w:r>
        <w:t xml:space="preserve"> with 400</w:t>
      </w:r>
      <w:r w:rsidR="009B54F7">
        <w:t xml:space="preserve"> </w:t>
      </w:r>
      <w:r>
        <w:t xml:space="preserve">mg) compared with the </w:t>
      </w:r>
      <w:r w:rsidR="00A316C5">
        <w:t>placebo</w:t>
      </w:r>
      <w:r>
        <w:t xml:space="preserve"> arm (5.2 per 100 </w:t>
      </w:r>
      <w:r w:rsidR="00EE730D">
        <w:t>patient-years</w:t>
      </w:r>
      <w:r>
        <w:t xml:space="preserve">). There were no noticeable differences in between the 2 </w:t>
      </w:r>
      <w:r w:rsidR="001D63B3">
        <w:t>certolizumab pegol</w:t>
      </w:r>
      <w:r>
        <w:t xml:space="preserve"> groups for the types and pattern of SAEs. Pool S3 revealed an incidence and pattern of SAEs consistent with the known side effects of </w:t>
      </w:r>
      <w:r w:rsidR="001D63B3">
        <w:t>certolizumab pegol</w:t>
      </w:r>
      <w:r>
        <w:t xml:space="preserve"> in other treatment indications.</w:t>
      </w:r>
    </w:p>
    <w:p w:rsidR="00702D7B" w:rsidRDefault="00B0427D" w:rsidP="00B0427D">
      <w:r>
        <w:t xml:space="preserve">Few subjects (4 in each </w:t>
      </w:r>
      <w:r w:rsidR="001D63B3">
        <w:t>certolizumab pegol</w:t>
      </w:r>
      <w:r>
        <w:t xml:space="preserve"> treatment cohort) experienced AEs resulting in permanent treatment discontinuation in Pool S1. The 4 patients in the </w:t>
      </w:r>
      <w:r w:rsidR="001D63B3">
        <w:t>certolizumab pegol</w:t>
      </w:r>
      <w:r>
        <w:t xml:space="preserve"> 400</w:t>
      </w:r>
      <w:r w:rsidR="009B54F7">
        <w:t xml:space="preserve"> </w:t>
      </w:r>
      <w:r>
        <w:t xml:space="preserve">mg arm withdrew because of the following AEs: anaphylactoid reaction, eczema, papular rash and neck pain. In the </w:t>
      </w:r>
      <w:r w:rsidR="001D63B3">
        <w:t>certolizumab pegol</w:t>
      </w:r>
      <w:r>
        <w:t xml:space="preserve"> 200</w:t>
      </w:r>
      <w:r w:rsidR="009B54F7">
        <w:t xml:space="preserve"> </w:t>
      </w:r>
      <w:r>
        <w:t xml:space="preserve">mg treatment group the 4 subject withdrawals due to AEs were generalised pruritus and dizziness in 1 patient, raised serum transaminases in 2 subjects, and depression. No </w:t>
      </w:r>
      <w:r w:rsidR="00A316C5">
        <w:t>placebo</w:t>
      </w:r>
      <w:r>
        <w:t xml:space="preserve"> subject withdrew in Pool S1 due to an AE. In Pool S4, the incidence of withdrawal due to AEs remained with both dose regimens of </w:t>
      </w:r>
      <w:r w:rsidR="001D63B3">
        <w:t>certolizumab pegol</w:t>
      </w:r>
      <w:r>
        <w:t xml:space="preserve"> (3.7% with </w:t>
      </w:r>
      <w:r w:rsidR="001D63B3">
        <w:t>certolizumab pegol</w:t>
      </w:r>
      <w:r>
        <w:t xml:space="preserve"> 400</w:t>
      </w:r>
      <w:r w:rsidR="009B54F7">
        <w:t xml:space="preserve"> </w:t>
      </w:r>
      <w:r>
        <w:t xml:space="preserve">mg Q2W and 2.6% with </w:t>
      </w:r>
      <w:r w:rsidR="001D63B3">
        <w:t>certolizumab pegol</w:t>
      </w:r>
      <w:r>
        <w:t xml:space="preserve"> 200</w:t>
      </w:r>
      <w:r w:rsidR="009B54F7">
        <w:t xml:space="preserve"> </w:t>
      </w:r>
      <w:r>
        <w:t>mg Q2W therapy).</w:t>
      </w:r>
    </w:p>
    <w:p w:rsidR="00B0427D" w:rsidRDefault="00B0427D" w:rsidP="00B0427D">
      <w:r>
        <w:t xml:space="preserve">For </w:t>
      </w:r>
      <w:r w:rsidR="001D63B3">
        <w:t>certolizumab pegol</w:t>
      </w:r>
      <w:r>
        <w:t xml:space="preserve"> treated subjects, the most frequently reported AEs leading to permanent discontinuation of drug were in the SOCs of infection (7 subjects overall [0.8% of 888]; sepsis in 2 subjects in the </w:t>
      </w:r>
      <w:r w:rsidR="001D63B3">
        <w:t>certolizumab pegol</w:t>
      </w:r>
      <w:r>
        <w:t xml:space="preserve"> 400</w:t>
      </w:r>
      <w:r w:rsidR="009B54F7">
        <w:t xml:space="preserve"> </w:t>
      </w:r>
      <w:r>
        <w:t xml:space="preserve">mg Q2W group, latent </w:t>
      </w:r>
      <w:r w:rsidR="00EE730D">
        <w:t>tuberculosis</w:t>
      </w:r>
      <w:r>
        <w:t xml:space="preserve"> in 1 subject in the </w:t>
      </w:r>
      <w:r w:rsidR="001D63B3">
        <w:t>certolizumab pegol</w:t>
      </w:r>
      <w:r>
        <w:t xml:space="preserve"> 400</w:t>
      </w:r>
      <w:r w:rsidR="00040F84">
        <w:t xml:space="preserve"> </w:t>
      </w:r>
      <w:r>
        <w:t xml:space="preserve">mg Q2W group and 1 subject in the </w:t>
      </w:r>
      <w:r w:rsidR="001D63B3">
        <w:t>certolizumab pegol</w:t>
      </w:r>
      <w:r>
        <w:t xml:space="preserve"> 200</w:t>
      </w:r>
      <w:r w:rsidR="00040F84">
        <w:t> </w:t>
      </w:r>
      <w:r>
        <w:t xml:space="preserve">mg Q2W group, E. coli sepsis and </w:t>
      </w:r>
      <w:r w:rsidR="00EE730D">
        <w:t>tuberculosis</w:t>
      </w:r>
      <w:r>
        <w:t xml:space="preserve"> in 1 subject each in the </w:t>
      </w:r>
      <w:r w:rsidR="001D63B3">
        <w:t>certolizumab pegol</w:t>
      </w:r>
      <w:r>
        <w:t xml:space="preserve"> 400</w:t>
      </w:r>
      <w:r w:rsidR="00040F84">
        <w:t> </w:t>
      </w:r>
      <w:r>
        <w:t xml:space="preserve">mg Q2W group, and urinary tract infection in 1 subject in the </w:t>
      </w:r>
      <w:r w:rsidR="001D63B3">
        <w:t>certolizumab pegol</w:t>
      </w:r>
      <w:r>
        <w:t xml:space="preserve"> 200</w:t>
      </w:r>
      <w:r w:rsidR="00040F84">
        <w:t> </w:t>
      </w:r>
      <w:r>
        <w:t>mg Q2W group); and skin and subcutaneous tissue disorders (6</w:t>
      </w:r>
      <w:r w:rsidR="008F3EAE">
        <w:t> </w:t>
      </w:r>
      <w:r>
        <w:t xml:space="preserve">subjects overall [0.7%]; dermatitis, guttate </w:t>
      </w:r>
      <w:r w:rsidR="00A567C2">
        <w:t>psoriasis</w:t>
      </w:r>
      <w:r>
        <w:t xml:space="preserve">, plaque </w:t>
      </w:r>
      <w:r w:rsidR="00A567C2">
        <w:t>psoriasis</w:t>
      </w:r>
      <w:r>
        <w:t xml:space="preserve">, pustular </w:t>
      </w:r>
      <w:r w:rsidR="00A567C2">
        <w:t>psoriasis</w:t>
      </w:r>
      <w:r>
        <w:t xml:space="preserve"> and urticaria in 1 subject each in the </w:t>
      </w:r>
      <w:r w:rsidR="001D63B3">
        <w:t>certolizumab pegol</w:t>
      </w:r>
      <w:r>
        <w:t xml:space="preserve"> 400</w:t>
      </w:r>
      <w:r w:rsidR="00040F84">
        <w:t xml:space="preserve"> </w:t>
      </w:r>
      <w:r>
        <w:t xml:space="preserve">mg Q2W group, and atopic dermatitis in 1 subject in the </w:t>
      </w:r>
      <w:r w:rsidR="001D63B3">
        <w:t>certolizumab pegol</w:t>
      </w:r>
      <w:r>
        <w:t xml:space="preserve"> 200</w:t>
      </w:r>
      <w:r w:rsidR="00040F84">
        <w:t xml:space="preserve"> </w:t>
      </w:r>
      <w:r>
        <w:t>mg Q2W group).</w:t>
      </w:r>
    </w:p>
    <w:p w:rsidR="00702D7B" w:rsidRDefault="00B0427D" w:rsidP="00B0427D">
      <w:r>
        <w:t xml:space="preserve">The incidence of serious infection in Pool S3 was low at approximately 1.0% in each </w:t>
      </w:r>
      <w:r w:rsidR="001D63B3">
        <w:t>certolizumab pegol</w:t>
      </w:r>
      <w:r>
        <w:t xml:space="preserve"> treatment group (</w:t>
      </w:r>
      <w:r w:rsidR="00EE730D">
        <w:t>incident rate</w:t>
      </w:r>
      <w:r>
        <w:t xml:space="preserve"> of 1.68 per 100 </w:t>
      </w:r>
      <w:r w:rsidR="00EE730D">
        <w:t>patient-years</w:t>
      </w:r>
      <w:r>
        <w:t xml:space="preserve"> in the </w:t>
      </w:r>
      <w:r w:rsidR="001D63B3">
        <w:t>certolizumab pegol</w:t>
      </w:r>
      <w:r>
        <w:t xml:space="preserve"> 400mg group and 0.99 per 100 </w:t>
      </w:r>
      <w:r w:rsidR="00EE730D">
        <w:t>patient-years</w:t>
      </w:r>
      <w:r>
        <w:t xml:space="preserve"> in the </w:t>
      </w:r>
      <w:r w:rsidR="001D63B3">
        <w:t>certolizumab pegol</w:t>
      </w:r>
      <w:r>
        <w:t xml:space="preserve"> 200</w:t>
      </w:r>
      <w:r w:rsidR="00040F84">
        <w:t> </w:t>
      </w:r>
      <w:r>
        <w:t xml:space="preserve">mg arm). In addition, 3 subjects reported serious infections in the Phase </w:t>
      </w:r>
      <w:r w:rsidR="00040F84">
        <w:t>II</w:t>
      </w:r>
      <w:r>
        <w:t xml:space="preserve"> studies. Two cases of </w:t>
      </w:r>
      <w:r w:rsidR="00EE730D">
        <w:t>tuberculosis</w:t>
      </w:r>
      <w:r>
        <w:t xml:space="preserve"> were reported with </w:t>
      </w:r>
      <w:r w:rsidR="001D63B3">
        <w:t>certolizumab pegol</w:t>
      </w:r>
      <w:r>
        <w:t xml:space="preserve"> 400</w:t>
      </w:r>
      <w:r w:rsidR="00040F84">
        <w:t xml:space="preserve"> </w:t>
      </w:r>
      <w:r>
        <w:t xml:space="preserve">mg Q2W treatment (1 each in Phase </w:t>
      </w:r>
      <w:r w:rsidR="00040F84">
        <w:t>II</w:t>
      </w:r>
      <w:r>
        <w:t xml:space="preserve"> and </w:t>
      </w:r>
      <w:r w:rsidR="00040F84">
        <w:t>III</w:t>
      </w:r>
      <w:r>
        <w:t>). No other significant opportunistic infections were identified.</w:t>
      </w:r>
    </w:p>
    <w:p w:rsidR="00B0427D" w:rsidRDefault="00B0427D" w:rsidP="00B0427D">
      <w:r>
        <w:t xml:space="preserve">Injection site reactions were an AE of special interest in the </w:t>
      </w:r>
      <w:r w:rsidR="00A567C2">
        <w:t>psoriasis</w:t>
      </w:r>
      <w:r>
        <w:t xml:space="preserve"> program. In Pool S1, the incidence and </w:t>
      </w:r>
      <w:r w:rsidR="00EE730D">
        <w:t>incident rate</w:t>
      </w:r>
      <w:r>
        <w:t xml:space="preserve"> of </w:t>
      </w:r>
      <w:r w:rsidR="00040F84">
        <w:t>injection site reaction</w:t>
      </w:r>
      <w:r>
        <w:t xml:space="preserve">s was higher in the </w:t>
      </w:r>
      <w:r w:rsidR="001D63B3">
        <w:t>certolizumab pegol</w:t>
      </w:r>
      <w:r>
        <w:t xml:space="preserve"> 400</w:t>
      </w:r>
      <w:r w:rsidR="00040F84">
        <w:t xml:space="preserve"> </w:t>
      </w:r>
      <w:r>
        <w:t>mg group (3.5% [12</w:t>
      </w:r>
      <w:r w:rsidR="00040F84">
        <w:t xml:space="preserve"> of </w:t>
      </w:r>
      <w:r>
        <w:t xml:space="preserve">342]; 7 AEs with </w:t>
      </w:r>
      <w:r w:rsidR="00EE730D">
        <w:t>incident rate</w:t>
      </w:r>
      <w:r>
        <w:t xml:space="preserve"> of 11.84 per 100 </w:t>
      </w:r>
      <w:r w:rsidR="00EE730D">
        <w:t>patient-</w:t>
      </w:r>
      <w:r w:rsidR="00EE730D">
        <w:lastRenderedPageBreak/>
        <w:t>years</w:t>
      </w:r>
      <w:r>
        <w:t xml:space="preserve">) than the </w:t>
      </w:r>
      <w:r w:rsidR="001D63B3">
        <w:t>certolizumab pegol</w:t>
      </w:r>
      <w:r>
        <w:t xml:space="preserve"> 200</w:t>
      </w:r>
      <w:r w:rsidR="00040F84">
        <w:t xml:space="preserve"> </w:t>
      </w:r>
      <w:r>
        <w:t>mg arm (1.7% [6</w:t>
      </w:r>
      <w:r w:rsidR="00040F84">
        <w:t xml:space="preserve"> of </w:t>
      </w:r>
      <w:r>
        <w:t xml:space="preserve">350]; 18 AEs with </w:t>
      </w:r>
      <w:r w:rsidR="00EE730D">
        <w:t>incident rate</w:t>
      </w:r>
      <w:r>
        <w:t xml:space="preserve"> of 5.72 per 100 </w:t>
      </w:r>
      <w:r w:rsidR="00EE730D">
        <w:t>patient-years</w:t>
      </w:r>
      <w:r>
        <w:t xml:space="preserve">). The incidence and </w:t>
      </w:r>
      <w:r w:rsidR="00EE730D">
        <w:t>incident rate</w:t>
      </w:r>
      <w:r>
        <w:t xml:space="preserve"> of </w:t>
      </w:r>
      <w:r w:rsidR="008F3EAE">
        <w:t>injection site reaction</w:t>
      </w:r>
      <w:r>
        <w:t xml:space="preserve">s in the </w:t>
      </w:r>
      <w:r w:rsidR="00A316C5">
        <w:t>placebo</w:t>
      </w:r>
      <w:r>
        <w:t xml:space="preserve"> group were lowest at 0.6% (1</w:t>
      </w:r>
      <w:r w:rsidR="00040F84">
        <w:t xml:space="preserve"> of </w:t>
      </w:r>
      <w:r>
        <w:t xml:space="preserve">157) and 2.14 per 100 </w:t>
      </w:r>
      <w:r w:rsidR="00EE730D">
        <w:t>patient-years</w:t>
      </w:r>
      <w:r>
        <w:t xml:space="preserve"> (1 AE). One subject treated with </w:t>
      </w:r>
      <w:r w:rsidR="001D63B3">
        <w:t>certolizumab pegol</w:t>
      </w:r>
      <w:r>
        <w:t xml:space="preserve"> 400</w:t>
      </w:r>
      <w:r w:rsidR="00040F84">
        <w:t xml:space="preserve"> </w:t>
      </w:r>
      <w:r>
        <w:t xml:space="preserve">mg Q2W in the CIMPASI-1 study had an SAE of </w:t>
      </w:r>
      <w:r w:rsidR="00040F84">
        <w:t>injection site reaction</w:t>
      </w:r>
      <w:r>
        <w:t xml:space="preserve"> – anaphylactoid reaction occurring after their first dose. In Pool S4, 11 subjects (2.0%) in the </w:t>
      </w:r>
      <w:r w:rsidR="001D63B3">
        <w:t>certolizumab pegol</w:t>
      </w:r>
      <w:r>
        <w:t xml:space="preserve"> 400</w:t>
      </w:r>
      <w:r w:rsidR="00040F84">
        <w:t xml:space="preserve"> </w:t>
      </w:r>
      <w:r>
        <w:t xml:space="preserve">mg arm (including 8 escape treatment subjects) reported </w:t>
      </w:r>
      <w:r w:rsidR="00040F84">
        <w:t>injection site reactions</w:t>
      </w:r>
      <w:r>
        <w:t xml:space="preserve"> compared with 1 patient in the </w:t>
      </w:r>
      <w:r w:rsidR="001D63B3">
        <w:t>certolizumab pegol</w:t>
      </w:r>
      <w:r>
        <w:t xml:space="preserve"> 200</w:t>
      </w:r>
      <w:r w:rsidR="00040F84">
        <w:t xml:space="preserve"> </w:t>
      </w:r>
      <w:r>
        <w:t xml:space="preserve">mg group (0.3%). None of the </w:t>
      </w:r>
      <w:r w:rsidR="002C4EA8">
        <w:t>injection site reaction</w:t>
      </w:r>
      <w:r>
        <w:t>s in Pool S4 were considered to be serious.</w:t>
      </w:r>
    </w:p>
    <w:p w:rsidR="00B0427D" w:rsidRDefault="00B0427D" w:rsidP="00B0427D">
      <w:r>
        <w:t xml:space="preserve">The incidence rate of death, malignancy (solid organ as well skin cancers) and </w:t>
      </w:r>
      <w:r w:rsidR="00023593">
        <w:t>major adverse cardiac events</w:t>
      </w:r>
      <w:r>
        <w:t xml:space="preserve"> in the </w:t>
      </w:r>
      <w:r w:rsidR="001D63B3">
        <w:t>certolizumab pegol</w:t>
      </w:r>
      <w:r>
        <w:t xml:space="preserve"> </w:t>
      </w:r>
      <w:r w:rsidR="00A567C2">
        <w:t>psoriasis</w:t>
      </w:r>
      <w:r>
        <w:t xml:space="preserve"> dataset is within expectations of the treatment population. Two fatalities were recorded in subjects treated with </w:t>
      </w:r>
      <w:r w:rsidR="001D63B3">
        <w:t>certolizumab pegol</w:t>
      </w:r>
      <w:r>
        <w:t xml:space="preserve"> 400</w:t>
      </w:r>
      <w:r w:rsidR="00040F84">
        <w:t xml:space="preserve"> </w:t>
      </w:r>
      <w:r>
        <w:t xml:space="preserve">mg Q2W as of the clinical cut-off dates. Both were the result of trauma and were not related to </w:t>
      </w:r>
      <w:r w:rsidR="001D63B3">
        <w:t>certolizumab pegol</w:t>
      </w:r>
      <w:r>
        <w:t xml:space="preserve">. In addition, the types of cancer and MACE observed were low and did not identify any specific safety signals with </w:t>
      </w:r>
      <w:r w:rsidR="001D63B3">
        <w:t>certolizumab pegol</w:t>
      </w:r>
      <w:r>
        <w:t xml:space="preserve">. However, longer periods of treatment follow-up are required to inform about these potential safety concerns. In Pool S3, 2 cases of multiple sclerosis were reported in the Phase </w:t>
      </w:r>
      <w:r w:rsidR="00040F84">
        <w:t>II and III</w:t>
      </w:r>
      <w:r>
        <w:t xml:space="preserve"> studies (1 case with each </w:t>
      </w:r>
      <w:r w:rsidR="001D63B3">
        <w:t>certolizumab pegol</w:t>
      </w:r>
      <w:r>
        <w:t xml:space="preserve"> dose).</w:t>
      </w:r>
    </w:p>
    <w:p w:rsidR="00702D7B" w:rsidRDefault="00B0427D" w:rsidP="00B0427D">
      <w:r>
        <w:t xml:space="preserve">A total of 75 subjects (6.7%) treated with </w:t>
      </w:r>
      <w:r w:rsidR="001D63B3">
        <w:t>certolizumab pegol</w:t>
      </w:r>
      <w:r>
        <w:t xml:space="preserve"> recorded hepatic AEs in the Phase </w:t>
      </w:r>
      <w:r w:rsidR="00040F84">
        <w:t>II and III</w:t>
      </w:r>
      <w:r>
        <w:t xml:space="preserve"> studies. The incidence and exposure adjusted </w:t>
      </w:r>
      <w:r w:rsidR="00EE730D">
        <w:t>incident rate</w:t>
      </w:r>
      <w:r>
        <w:t xml:space="preserve">s across the treatment groups in the Phase 3 trials was slightly higher with </w:t>
      </w:r>
      <w:r w:rsidR="001D63B3">
        <w:t>certolizumab pegol</w:t>
      </w:r>
      <w:r>
        <w:t xml:space="preserve"> 400</w:t>
      </w:r>
      <w:r w:rsidR="00040F84">
        <w:t> </w:t>
      </w:r>
      <w:r>
        <w:t xml:space="preserve">mg Q2W (6.4% with </w:t>
      </w:r>
      <w:r w:rsidR="00EE730D">
        <w:t>incident rate</w:t>
      </w:r>
      <w:r>
        <w:t xml:space="preserve"> of 9.3 per 100 </w:t>
      </w:r>
      <w:r w:rsidR="00EE730D">
        <w:t>patient-years</w:t>
      </w:r>
      <w:r>
        <w:t xml:space="preserve">) compared to </w:t>
      </w:r>
      <w:r w:rsidR="001D63B3">
        <w:t>certolizumab pegol</w:t>
      </w:r>
      <w:r>
        <w:t xml:space="preserve"> 200</w:t>
      </w:r>
      <w:r w:rsidR="00040F84">
        <w:t xml:space="preserve"> </w:t>
      </w:r>
      <w:r>
        <w:t xml:space="preserve">mg Q2W ((4.6% with </w:t>
      </w:r>
      <w:r w:rsidR="00EE730D">
        <w:t>incident rate</w:t>
      </w:r>
      <w:r>
        <w:t xml:space="preserve"> of 8.2 per 100 </w:t>
      </w:r>
      <w:r w:rsidR="00EE730D">
        <w:t>patient-years</w:t>
      </w:r>
      <w:r>
        <w:t>). When comparing the safety pools (</w:t>
      </w:r>
      <w:r w:rsidR="00A567C2">
        <w:t>that is,</w:t>
      </w:r>
      <w:r>
        <w:t xml:space="preserve"> S1 with S4), the rates of hepatic AEs did not increase over time on </w:t>
      </w:r>
      <w:r w:rsidR="001D63B3">
        <w:t>certolizumab pegol</w:t>
      </w:r>
      <w:r>
        <w:t xml:space="preserve">. In Pool S3, three additional hepatic related AEs were reported including 2 cases of drug-induced hepatitis or liver injury with </w:t>
      </w:r>
      <w:r w:rsidR="001D63B3">
        <w:t>certolizumab pegol</w:t>
      </w:r>
      <w:r>
        <w:t xml:space="preserve"> 200</w:t>
      </w:r>
      <w:r w:rsidR="00040F84">
        <w:t xml:space="preserve"> </w:t>
      </w:r>
      <w:r>
        <w:t xml:space="preserve">mg Q2W therapy. Regarding haematology parameters, Pool S1 identified </w:t>
      </w:r>
      <w:r w:rsidR="002C4EA8">
        <w:t>two</w:t>
      </w:r>
      <w:r>
        <w:t xml:space="preserve"> trends with </w:t>
      </w:r>
      <w:r w:rsidR="001D63B3">
        <w:t>certolizumab pegol</w:t>
      </w:r>
      <w:r>
        <w:t xml:space="preserve"> therapy versus </w:t>
      </w:r>
      <w:r w:rsidR="00A316C5">
        <w:t>placebo</w:t>
      </w:r>
      <w:r>
        <w:t>:</w:t>
      </w:r>
    </w:p>
    <w:p w:rsidR="00702D7B" w:rsidRDefault="00B0427D" w:rsidP="002C4EA8">
      <w:pPr>
        <w:pStyle w:val="ListBullet"/>
      </w:pPr>
      <w:r>
        <w:t xml:space="preserve">a slightly higher frequency of subjects with their platelet count going from normal at baseline to low post-treatment (1.3% with </w:t>
      </w:r>
      <w:r w:rsidR="00A316C5">
        <w:t>placebo</w:t>
      </w:r>
      <w:r>
        <w:t xml:space="preserve"> compared with 2.6% with </w:t>
      </w:r>
      <w:r w:rsidR="001D63B3">
        <w:t>certolizumab pegol</w:t>
      </w:r>
      <w:r>
        <w:t xml:space="preserve"> 200</w:t>
      </w:r>
      <w:r w:rsidR="00040F84">
        <w:t xml:space="preserve"> </w:t>
      </w:r>
      <w:r>
        <w:t xml:space="preserve">mg Q2W and 1.8% with </w:t>
      </w:r>
      <w:r w:rsidR="001D63B3">
        <w:t>certolizumab pegol</w:t>
      </w:r>
      <w:r>
        <w:t xml:space="preserve"> 400</w:t>
      </w:r>
      <w:r w:rsidR="00040F84">
        <w:t xml:space="preserve"> </w:t>
      </w:r>
      <w:r>
        <w:t>mg Q2W); and</w:t>
      </w:r>
    </w:p>
    <w:p w:rsidR="00702D7B" w:rsidRDefault="00B0427D" w:rsidP="002C4EA8">
      <w:pPr>
        <w:pStyle w:val="ListBullet"/>
      </w:pPr>
      <w:r>
        <w:t xml:space="preserve">a higher incidence of markedly low haemoglobin level with </w:t>
      </w:r>
      <w:r w:rsidR="001D63B3">
        <w:t>certolizumab pegol</w:t>
      </w:r>
      <w:r>
        <w:t xml:space="preserve"> 400</w:t>
      </w:r>
      <w:r w:rsidR="00040F84">
        <w:t xml:space="preserve"> </w:t>
      </w:r>
      <w:r>
        <w:t xml:space="preserve">mg therapy (1.2% compared with 0.6% in the </w:t>
      </w:r>
      <w:r w:rsidR="00A316C5">
        <w:t>placebo</w:t>
      </w:r>
      <w:r>
        <w:t xml:space="preserve"> arm and 0.3% in the </w:t>
      </w:r>
      <w:r w:rsidR="001D63B3">
        <w:t>certolizumab pegol</w:t>
      </w:r>
      <w:r>
        <w:t xml:space="preserve"> 200</w:t>
      </w:r>
      <w:r w:rsidR="00040F84">
        <w:t xml:space="preserve"> </w:t>
      </w:r>
      <w:r>
        <w:t>mg group).</w:t>
      </w:r>
    </w:p>
    <w:p w:rsidR="00702D7B" w:rsidRDefault="00B0427D" w:rsidP="00B0427D">
      <w:r>
        <w:t xml:space="preserve">In the all </w:t>
      </w:r>
      <w:r w:rsidR="001D63B3">
        <w:t>certolizumab pegol</w:t>
      </w:r>
      <w:r>
        <w:t xml:space="preserve"> treated cohort of Pool S4, a total of 7 subjects (0.8%) reported low haemoglobin, 2 subjects (0.2%) recorded lymphopenia and 1 subject receiving </w:t>
      </w:r>
      <w:r w:rsidR="001D63B3">
        <w:t>certolizumab pegol</w:t>
      </w:r>
      <w:r>
        <w:t xml:space="preserve"> 200</w:t>
      </w:r>
      <w:r w:rsidR="00040F84">
        <w:t xml:space="preserve"> </w:t>
      </w:r>
      <w:r>
        <w:t>mg Q2W therapy in the CIMPACT Study experienced both neutropenia and thrombocytopenia.</w:t>
      </w:r>
    </w:p>
    <w:p w:rsidR="00702D7B" w:rsidRDefault="00B0427D" w:rsidP="00B0427D">
      <w:r>
        <w:t xml:space="preserve">The safety dataset also identified 3 other abnormalities of laboratory values that occurred at a numerically higher frequency in the </w:t>
      </w:r>
      <w:r w:rsidR="001D63B3">
        <w:t>certolizumab pegol</w:t>
      </w:r>
      <w:r>
        <w:t xml:space="preserve"> treatment cohorts compared with </w:t>
      </w:r>
      <w:r w:rsidR="00A316C5">
        <w:t>placebo</w:t>
      </w:r>
      <w:r>
        <w:t xml:space="preserve">. Elevations in hepatic transaminases, serum </w:t>
      </w:r>
      <w:r w:rsidR="00EF53A2">
        <w:t>creatine phosphokinase</w:t>
      </w:r>
      <w:r w:rsidR="00702D7B">
        <w:t xml:space="preserve"> </w:t>
      </w:r>
      <w:r>
        <w:t xml:space="preserve">levels and possibly dyslipidaemia have been associated with </w:t>
      </w:r>
      <w:r w:rsidR="001D63B3">
        <w:t>certolizumab pegol</w:t>
      </w:r>
      <w:r>
        <w:t xml:space="preserve">. None of these laboratory abnormalities displayed a clear </w:t>
      </w:r>
      <w:r w:rsidR="001D63B3">
        <w:t>certolizumab pegol</w:t>
      </w:r>
      <w:r>
        <w:t xml:space="preserve"> dose response relationship. In general, patients who developed increases in liver function tests and serum </w:t>
      </w:r>
      <w:r w:rsidR="00EF53A2">
        <w:t xml:space="preserve">creatine phosphokinase </w:t>
      </w:r>
      <w:r>
        <w:t xml:space="preserve">levels had changes of mild-moderate severity that were transient in nature and without associated clinical sequelae. The clinical impact of potentially atherogenic lipid profiles induced by biologic therapies, including </w:t>
      </w:r>
      <w:r w:rsidR="001D63B3">
        <w:t>certolizumab pegol</w:t>
      </w:r>
      <w:r>
        <w:t xml:space="preserve"> and other anti-TNF treatments, in patients with </w:t>
      </w:r>
      <w:r w:rsidR="00A567C2">
        <w:t>psoriasis</w:t>
      </w:r>
      <w:r>
        <w:t xml:space="preserve"> is unclear, but in short term follow-up, </w:t>
      </w:r>
      <w:r w:rsidR="001D63B3">
        <w:t>certolizumab pegol</w:t>
      </w:r>
      <w:r>
        <w:t xml:space="preserve"> was not associated with an increased rate of </w:t>
      </w:r>
      <w:r w:rsidR="00203E2A">
        <w:t>major adverse cardiac events</w:t>
      </w:r>
      <w:r>
        <w:t>.</w:t>
      </w:r>
    </w:p>
    <w:p w:rsidR="00702D7B" w:rsidRDefault="00B0427D" w:rsidP="00B0427D">
      <w:r>
        <w:lastRenderedPageBreak/>
        <w:t xml:space="preserve">In the Phase </w:t>
      </w:r>
      <w:r w:rsidR="00040F84">
        <w:t>III</w:t>
      </w:r>
      <w:r>
        <w:t xml:space="preserve"> studies, the incidence of positive </w:t>
      </w:r>
      <w:r w:rsidR="002C4EA8">
        <w:t>antidrug antibody</w:t>
      </w:r>
      <w:r>
        <w:t xml:space="preserve"> was consistently more than </w:t>
      </w:r>
      <w:r w:rsidR="00BC7159">
        <w:t>2 fold</w:t>
      </w:r>
      <w:r>
        <w:t xml:space="preserve"> higher in the </w:t>
      </w:r>
      <w:r w:rsidR="001D63B3">
        <w:t>certolizumab pegol</w:t>
      </w:r>
      <w:r>
        <w:t xml:space="preserve"> 200</w:t>
      </w:r>
      <w:r w:rsidR="00040F84">
        <w:t xml:space="preserve"> </w:t>
      </w:r>
      <w:r>
        <w:t xml:space="preserve">mg Q2W group compared to subjects treated with </w:t>
      </w:r>
      <w:r w:rsidR="001D63B3">
        <w:t>certolizumab pegol</w:t>
      </w:r>
      <w:r>
        <w:t xml:space="preserve"> 400</w:t>
      </w:r>
      <w:r w:rsidR="00040F84">
        <w:t xml:space="preserve"> </w:t>
      </w:r>
      <w:r>
        <w:t xml:space="preserve">mg Q2W. In the initial treatment period of the Phase </w:t>
      </w:r>
      <w:r w:rsidR="00040F84">
        <w:t>III</w:t>
      </w:r>
      <w:r>
        <w:t xml:space="preserve"> trials, the overall frequency of </w:t>
      </w:r>
      <w:r w:rsidR="00040F84">
        <w:t>antidrug antibody</w:t>
      </w:r>
      <w:r>
        <w:t xml:space="preserve"> positivity was 14.7% (51</w:t>
      </w:r>
      <w:r w:rsidR="00040F84">
        <w:t xml:space="preserve"> of </w:t>
      </w:r>
      <w:r>
        <w:t xml:space="preserve">347) with </w:t>
      </w:r>
      <w:r w:rsidR="001D63B3">
        <w:t>certolizumab pegol</w:t>
      </w:r>
      <w:r>
        <w:t xml:space="preserve"> 200</w:t>
      </w:r>
      <w:r w:rsidR="00040F84">
        <w:t xml:space="preserve"> </w:t>
      </w:r>
      <w:r>
        <w:t>mg Q2W therapy compared with 5.3% (18</w:t>
      </w:r>
      <w:r w:rsidR="00040F84">
        <w:t xml:space="preserve"> of </w:t>
      </w:r>
      <w:r>
        <w:t xml:space="preserve">340) in those treated with </w:t>
      </w:r>
      <w:r w:rsidR="001D63B3">
        <w:t>certolizumab pegol</w:t>
      </w:r>
      <w:r>
        <w:t xml:space="preserve"> 400</w:t>
      </w:r>
      <w:r w:rsidR="00040F84">
        <w:t xml:space="preserve"> </w:t>
      </w:r>
      <w:r>
        <w:t xml:space="preserve">mg Q2W. In the combined initial and maintenance treatment periods of the Phase </w:t>
      </w:r>
      <w:r w:rsidR="00040F84">
        <w:t>III</w:t>
      </w:r>
      <w:r>
        <w:t xml:space="preserve"> studies, the incidence of positive </w:t>
      </w:r>
      <w:r w:rsidR="00040F84">
        <w:t xml:space="preserve">antidrug antibodies </w:t>
      </w:r>
      <w:r>
        <w:t>was 19.2% (54</w:t>
      </w:r>
      <w:r w:rsidR="00040F84">
        <w:t xml:space="preserve"> of </w:t>
      </w:r>
      <w:r>
        <w:t xml:space="preserve">281) with </w:t>
      </w:r>
      <w:r w:rsidR="001D63B3">
        <w:t>certolizumab pegol</w:t>
      </w:r>
      <w:r>
        <w:t xml:space="preserve"> 200</w:t>
      </w:r>
      <w:r w:rsidR="00040F84">
        <w:t xml:space="preserve"> </w:t>
      </w:r>
      <w:r>
        <w:t>mg Q2W therapy compared with 8.3% (22</w:t>
      </w:r>
      <w:r w:rsidR="00040F84">
        <w:t xml:space="preserve"> of </w:t>
      </w:r>
      <w:r>
        <w:t xml:space="preserve">265) in those treated with </w:t>
      </w:r>
      <w:r w:rsidR="001D63B3">
        <w:t>certolizumab pegol</w:t>
      </w:r>
      <w:r>
        <w:t xml:space="preserve"> 400</w:t>
      </w:r>
      <w:r w:rsidR="00040F84">
        <w:t xml:space="preserve"> </w:t>
      </w:r>
      <w:r>
        <w:t>mg Q2W.</w:t>
      </w:r>
    </w:p>
    <w:p w:rsidR="00702D7B" w:rsidRDefault="00B0427D" w:rsidP="00B0427D">
      <w:r>
        <w:t xml:space="preserve">In the CIMPACT Study, subjects initially randomised to </w:t>
      </w:r>
      <w:r w:rsidR="00F65747">
        <w:t>etanercept</w:t>
      </w:r>
      <w:r>
        <w:t xml:space="preserve"> or </w:t>
      </w:r>
      <w:r w:rsidR="00A316C5">
        <w:t>placebo</w:t>
      </w:r>
      <w:r>
        <w:t xml:space="preserve">, and who were re-randomised to </w:t>
      </w:r>
      <w:r w:rsidR="001D63B3">
        <w:t>certolizumab pegol</w:t>
      </w:r>
      <w:r>
        <w:t>, the same observation was recorded (20.3% [12</w:t>
      </w:r>
      <w:r w:rsidR="00040F84">
        <w:t xml:space="preserve"> of </w:t>
      </w:r>
      <w:r>
        <w:t xml:space="preserve">59] treated with </w:t>
      </w:r>
      <w:r w:rsidR="001D63B3">
        <w:t>certolizumab pegol</w:t>
      </w:r>
      <w:r>
        <w:t xml:space="preserve"> 200</w:t>
      </w:r>
      <w:r w:rsidR="00040F84">
        <w:t xml:space="preserve"> </w:t>
      </w:r>
      <w:r>
        <w:t xml:space="preserve">mg Q2W recorded positive </w:t>
      </w:r>
      <w:r w:rsidR="00040F84">
        <w:t>antidrug antibodies</w:t>
      </w:r>
      <w:r>
        <w:t xml:space="preserve"> versus 7.7% [16</w:t>
      </w:r>
      <w:r w:rsidR="00040F84">
        <w:t xml:space="preserve"> of </w:t>
      </w:r>
      <w:r>
        <w:t xml:space="preserve">209] given </w:t>
      </w:r>
      <w:r w:rsidR="001D63B3">
        <w:t>certolizumab pegol</w:t>
      </w:r>
      <w:r>
        <w:t xml:space="preserve"> 400</w:t>
      </w:r>
      <w:r w:rsidR="00040F84">
        <w:t xml:space="preserve"> </w:t>
      </w:r>
      <w:r>
        <w:t xml:space="preserve">mg Q2W). As expected, the frequency of </w:t>
      </w:r>
      <w:r w:rsidR="00040F84">
        <w:t>antidrug antibod</w:t>
      </w:r>
      <w:r w:rsidR="002C4EA8">
        <w:t>y</w:t>
      </w:r>
      <w:r>
        <w:t xml:space="preserve"> positivity was considerably higher in subjects who escaped their initial </w:t>
      </w:r>
      <w:r w:rsidR="001D63B3">
        <w:t>certolizumab pegol</w:t>
      </w:r>
      <w:r>
        <w:t xml:space="preserve"> treatment at </w:t>
      </w:r>
      <w:r w:rsidR="002C4EA8">
        <w:t>W</w:t>
      </w:r>
      <w:r>
        <w:t xml:space="preserve">eek 16 because of insufficient clinical response (versus PASI responders). In the Phase </w:t>
      </w:r>
      <w:r w:rsidR="00040F84">
        <w:t>II</w:t>
      </w:r>
      <w:r>
        <w:t xml:space="preserve"> trials (C87040 and C87044), the difference in incidence of </w:t>
      </w:r>
      <w:r w:rsidR="00040F84">
        <w:t>antidrug antibody</w:t>
      </w:r>
      <w:r>
        <w:t xml:space="preserve"> positivity between the 2 </w:t>
      </w:r>
      <w:r w:rsidR="001D63B3">
        <w:t>certolizumab pegol</w:t>
      </w:r>
      <w:r>
        <w:t xml:space="preserve"> dose regimens was much less marked than the Phase </w:t>
      </w:r>
      <w:r w:rsidR="00040F84">
        <w:t>III</w:t>
      </w:r>
      <w:r>
        <w:t xml:space="preserve"> program.</w:t>
      </w:r>
    </w:p>
    <w:p w:rsidR="00702D7B" w:rsidRDefault="00B0427D" w:rsidP="00B0427D">
      <w:r>
        <w:t xml:space="preserve">The incidence of </w:t>
      </w:r>
      <w:r w:rsidR="00040F84">
        <w:t>antidrug antibody</w:t>
      </w:r>
      <w:r>
        <w:t xml:space="preserve"> positivity was higher in the </w:t>
      </w:r>
      <w:r w:rsidR="001D63B3">
        <w:t>certolizumab pegol</w:t>
      </w:r>
      <w:r>
        <w:t xml:space="preserve"> 200</w:t>
      </w:r>
      <w:r w:rsidR="00040F84">
        <w:t xml:space="preserve"> </w:t>
      </w:r>
      <w:r>
        <w:t xml:space="preserve">mg Q2W group compared with the </w:t>
      </w:r>
      <w:r w:rsidR="001D63B3">
        <w:t>certolizumab pegol</w:t>
      </w:r>
      <w:r>
        <w:t xml:space="preserve"> 400</w:t>
      </w:r>
      <w:r w:rsidR="00040F84">
        <w:t xml:space="preserve"> </w:t>
      </w:r>
      <w:r>
        <w:t>mg Q2W group during the 12</w:t>
      </w:r>
      <w:r w:rsidR="002C4EA8">
        <w:t xml:space="preserve"> </w:t>
      </w:r>
      <w:r>
        <w:t>week initial treatment period of Study C87040 (15.3% [9</w:t>
      </w:r>
      <w:r w:rsidR="00040F84">
        <w:t xml:space="preserve"> of </w:t>
      </w:r>
      <w:r>
        <w:t>59] versus 10.5% [6</w:t>
      </w:r>
      <w:r w:rsidR="00040F84">
        <w:t xml:space="preserve"> of </w:t>
      </w:r>
      <w:r>
        <w:t>57], respectively) as well as during the combined 12</w:t>
      </w:r>
      <w:r w:rsidR="008A7DD9">
        <w:t> </w:t>
      </w:r>
      <w:r>
        <w:t>week treatment periods of Studies C87040 and C87044 (23.7% [14</w:t>
      </w:r>
      <w:r w:rsidR="00040F84">
        <w:t xml:space="preserve"> of </w:t>
      </w:r>
      <w:r>
        <w:t>59] versus 19.3% [11</w:t>
      </w:r>
      <w:r w:rsidR="00040F84">
        <w:t xml:space="preserve"> of </w:t>
      </w:r>
      <w:r>
        <w:t>57], respectively), but during the 24</w:t>
      </w:r>
      <w:r w:rsidR="008A7DD9">
        <w:t xml:space="preserve"> </w:t>
      </w:r>
      <w:r>
        <w:t>week follow-up period in Study C87040, 30.0% (15</w:t>
      </w:r>
      <w:r w:rsidR="00040F84">
        <w:t xml:space="preserve"> of </w:t>
      </w:r>
      <w:r>
        <w:t xml:space="preserve">50) in both the </w:t>
      </w:r>
      <w:r w:rsidR="001D63B3">
        <w:t>certolizumab pegol</w:t>
      </w:r>
      <w:r>
        <w:t xml:space="preserve"> 200</w:t>
      </w:r>
      <w:r w:rsidR="00040F84">
        <w:t xml:space="preserve"> </w:t>
      </w:r>
      <w:r>
        <w:t xml:space="preserve">mg Q2W and </w:t>
      </w:r>
      <w:r w:rsidR="001D63B3">
        <w:t>certolizumab pegol</w:t>
      </w:r>
      <w:r>
        <w:t xml:space="preserve"> 400</w:t>
      </w:r>
      <w:r w:rsidR="008A7DD9">
        <w:t> </w:t>
      </w:r>
      <w:r>
        <w:t xml:space="preserve">mg Q2W groups were </w:t>
      </w:r>
      <w:r w:rsidR="00040F84">
        <w:t>antidrug antibody</w:t>
      </w:r>
      <w:r>
        <w:t xml:space="preserve"> positive.</w:t>
      </w:r>
    </w:p>
    <w:p w:rsidR="00702D7B" w:rsidRDefault="00B0427D" w:rsidP="00B0427D">
      <w:r>
        <w:t xml:space="preserve">In addition, the appearance of </w:t>
      </w:r>
      <w:r w:rsidR="008A7DD9">
        <w:t>antidrug antibodies</w:t>
      </w:r>
      <w:r>
        <w:t xml:space="preserve"> during the follow-up period occurred earlier in the </w:t>
      </w:r>
      <w:r w:rsidR="001D63B3">
        <w:t>certolizumab pegol</w:t>
      </w:r>
      <w:r>
        <w:t xml:space="preserve"> 200</w:t>
      </w:r>
      <w:r w:rsidR="008A7DD9">
        <w:t> </w:t>
      </w:r>
      <w:r>
        <w:t xml:space="preserve">mg Q2W group (at follow-up </w:t>
      </w:r>
      <w:r w:rsidR="008A7DD9">
        <w:t>W</w:t>
      </w:r>
      <w:r>
        <w:t xml:space="preserve">eeks 4 and 8) compared with the </w:t>
      </w:r>
      <w:r w:rsidR="001D63B3">
        <w:t>certolizumab pegol</w:t>
      </w:r>
      <w:r>
        <w:t xml:space="preserve"> 400</w:t>
      </w:r>
      <w:r w:rsidR="008A7DD9">
        <w:t> </w:t>
      </w:r>
      <w:r>
        <w:t xml:space="preserve">mg Q2W arm (at </w:t>
      </w:r>
      <w:r w:rsidR="008A7DD9">
        <w:t>W</w:t>
      </w:r>
      <w:r>
        <w:t xml:space="preserve">eek 12). The design of these Phase </w:t>
      </w:r>
      <w:r w:rsidR="008A7DD9">
        <w:t>II</w:t>
      </w:r>
      <w:r>
        <w:t xml:space="preserve"> studies differed from the Phase </w:t>
      </w:r>
      <w:r w:rsidR="008A7DD9">
        <w:t>III</w:t>
      </w:r>
      <w:r>
        <w:t xml:space="preserve"> trials with small numbers of subjects in each treatment group, a single </w:t>
      </w:r>
      <w:r w:rsidR="001D63B3">
        <w:t>certolizumab pegol</w:t>
      </w:r>
      <w:r>
        <w:t xml:space="preserve"> 400</w:t>
      </w:r>
      <w:r w:rsidR="008A7DD9">
        <w:t xml:space="preserve"> </w:t>
      </w:r>
      <w:r>
        <w:t>mg loading dose and relatively short treatment period of only 12</w:t>
      </w:r>
      <w:r w:rsidR="008A7DD9">
        <w:t> </w:t>
      </w:r>
      <w:r>
        <w:t xml:space="preserve">weeks. It is possible that the duration of treatment was too short for the difference in </w:t>
      </w:r>
      <w:r w:rsidR="008A7DD9">
        <w:t>antidrug antibody</w:t>
      </w:r>
      <w:r>
        <w:t xml:space="preserve"> incidence between the 2 </w:t>
      </w:r>
      <w:r w:rsidR="001D63B3">
        <w:t>certolizumab pegol</w:t>
      </w:r>
      <w:r>
        <w:t xml:space="preserve"> dose groups to manifest itself. In all the studies, there was identifiable relationship between the occurrence of </w:t>
      </w:r>
      <w:r w:rsidR="008A7DD9">
        <w:t>antidrug antibody</w:t>
      </w:r>
      <w:r>
        <w:t xml:space="preserve"> positivity and safety concerns (overall and specific AEs).</w:t>
      </w:r>
    </w:p>
    <w:p w:rsidR="00702D7B" w:rsidRDefault="00B0427D" w:rsidP="00B0427D">
      <w:r>
        <w:t xml:space="preserve">In summary, the safety data indicates that </w:t>
      </w:r>
      <w:r w:rsidR="001D63B3">
        <w:t>certolizumab pegol</w:t>
      </w:r>
      <w:r>
        <w:t xml:space="preserve"> has an acceptable overall safety profile up to 48 weeks of therapy in the treatment of adult patients with moderate to severe </w:t>
      </w:r>
      <w:r w:rsidR="00A567C2">
        <w:t>psoriasis</w:t>
      </w:r>
      <w:r>
        <w:t xml:space="preserve">. However, there is limited, direct, long-term safety data in the </w:t>
      </w:r>
      <w:r w:rsidR="00A567C2">
        <w:t>psoriasis</w:t>
      </w:r>
      <w:r>
        <w:t xml:space="preserve"> population to assess the risk of some types of AEs such as malignancy and </w:t>
      </w:r>
      <w:r w:rsidR="00D57A48">
        <w:t>major adverse cardiac events,</w:t>
      </w:r>
      <w:r>
        <w:t xml:space="preserve"> which will require additional longitudinal safety follow-up. From my assessment of the safety dataset, there are some significant safety concerns with </w:t>
      </w:r>
      <w:r w:rsidR="001D63B3">
        <w:t>certolizumab pegol</w:t>
      </w:r>
      <w:r>
        <w:t xml:space="preserve"> therapy including the risk of serious infection, opportunistic infection (including new or reactivated </w:t>
      </w:r>
      <w:r w:rsidR="00EE730D">
        <w:t>tuberculosis</w:t>
      </w:r>
      <w:r>
        <w:t xml:space="preserve">), injection site and rare hypersensitivity reactions, demyelinating conditions, thrombocytopenia, liver function test abnormalities and dyslipidaemia. These safety concerns are consistent with the known profile of </w:t>
      </w:r>
      <w:r w:rsidR="001D63B3">
        <w:t>certolizumab pegol</w:t>
      </w:r>
      <w:r>
        <w:t xml:space="preserve"> and other anti-TNF therapies in adult patients with other autoimmune conditions such as </w:t>
      </w:r>
      <w:r w:rsidR="008A7DD9">
        <w:t>rheumatoid arthritis</w:t>
      </w:r>
      <w:r>
        <w:t>.</w:t>
      </w:r>
    </w:p>
    <w:p w:rsidR="00605AD4" w:rsidRPr="00605AD4" w:rsidRDefault="00B0427D" w:rsidP="00B0427D">
      <w:r>
        <w:t xml:space="preserve">Significant pharmacovigilance will be required if approval is granted for registration of </w:t>
      </w:r>
      <w:r w:rsidR="001D63B3">
        <w:t>certolizumab pegol</w:t>
      </w:r>
      <w:r>
        <w:t xml:space="preserve"> for the treatment of </w:t>
      </w:r>
      <w:r w:rsidR="00A567C2">
        <w:t>psoriasis</w:t>
      </w:r>
      <w:r>
        <w:t>. This would include vigilance for serious and opportunistic infections, MACE and malignancy (particularly, non-melanoma skin cancers).</w:t>
      </w:r>
    </w:p>
    <w:p w:rsidR="00605AD4" w:rsidRPr="00605AD4" w:rsidRDefault="00605AD4" w:rsidP="00605AD4">
      <w:pPr>
        <w:pStyle w:val="Heading3"/>
        <w:rPr>
          <w:rFonts w:eastAsia="Cambria"/>
        </w:rPr>
      </w:pPr>
      <w:bookmarkStart w:id="73" w:name="_Toc21525662"/>
      <w:r w:rsidRPr="00605AD4">
        <w:rPr>
          <w:rFonts w:eastAsia="Cambria"/>
        </w:rPr>
        <w:lastRenderedPageBreak/>
        <w:t xml:space="preserve">First </w:t>
      </w:r>
      <w:r w:rsidR="001A0B08" w:rsidRPr="00605AD4">
        <w:rPr>
          <w:rFonts w:eastAsia="Cambria"/>
        </w:rPr>
        <w:t>round benefit-risk assessment</w:t>
      </w:r>
      <w:bookmarkEnd w:id="73"/>
    </w:p>
    <w:p w:rsidR="00BE0224" w:rsidRDefault="00BE0224" w:rsidP="00BE0224">
      <w:pPr>
        <w:pStyle w:val="Heading4"/>
      </w:pPr>
      <w:r w:rsidRPr="00605AD4">
        <w:t>First round assessment of benefits</w:t>
      </w:r>
    </w:p>
    <w:p w:rsidR="00605AD4" w:rsidRDefault="002C4EA8" w:rsidP="00BE0224">
      <w:pPr>
        <w:pStyle w:val="TableTitle"/>
      </w:pPr>
      <w:r>
        <w:t xml:space="preserve">Table </w:t>
      </w:r>
      <w:r w:rsidR="009C2FAC">
        <w:t>14</w:t>
      </w:r>
      <w:r>
        <w:t>:</w:t>
      </w:r>
      <w:r w:rsidR="00702D7B">
        <w:t xml:space="preserve"> </w:t>
      </w:r>
      <w:r w:rsidR="00605AD4" w:rsidRPr="00605AD4">
        <w:t>First round assessment of benefits</w:t>
      </w:r>
    </w:p>
    <w:tbl>
      <w:tblPr>
        <w:tblStyle w:val="TableGrid"/>
        <w:tblW w:w="0" w:type="auto"/>
        <w:tblInd w:w="108" w:type="dxa"/>
        <w:tblLook w:val="04A0" w:firstRow="1" w:lastRow="0" w:firstColumn="1" w:lastColumn="0" w:noHBand="0" w:noVBand="1"/>
      </w:tblPr>
      <w:tblGrid>
        <w:gridCol w:w="4415"/>
        <w:gridCol w:w="4197"/>
      </w:tblGrid>
      <w:tr w:rsidR="00B146AA" w:rsidRPr="0013182D" w:rsidTr="00BE0224">
        <w:trPr>
          <w:tblHeader/>
        </w:trPr>
        <w:tc>
          <w:tcPr>
            <w:tcW w:w="8612" w:type="dxa"/>
            <w:gridSpan w:val="2"/>
            <w:shd w:val="clear" w:color="auto" w:fill="006DA7" w:themeFill="accent3"/>
          </w:tcPr>
          <w:p w:rsidR="00B146AA" w:rsidRPr="0013182D" w:rsidRDefault="00B146AA" w:rsidP="00A567C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w:t>
            </w:r>
            <w:r w:rsidRPr="00CA3875">
              <w:rPr>
                <w:rFonts w:asciiTheme="minorHAnsi" w:hAnsiTheme="minorHAnsi"/>
                <w:b/>
                <w:color w:val="FFFFFF" w:themeColor="background1"/>
                <w:sz w:val="22"/>
                <w:szCs w:val="22"/>
              </w:rPr>
              <w:t>Treatment of adult patients with moderate to severe plaque psoriasis</w:t>
            </w:r>
          </w:p>
        </w:tc>
      </w:tr>
      <w:tr w:rsidR="00B146AA" w:rsidRPr="0013182D" w:rsidTr="00BE0224">
        <w:trPr>
          <w:tblHeader/>
        </w:trPr>
        <w:tc>
          <w:tcPr>
            <w:tcW w:w="4415" w:type="dxa"/>
            <w:shd w:val="clear" w:color="auto" w:fill="00517D" w:themeFill="accent3" w:themeFillShade="BF"/>
          </w:tcPr>
          <w:p w:rsidR="00B146AA" w:rsidRPr="0013182D" w:rsidRDefault="00B146AA" w:rsidP="00A567C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197" w:type="dxa"/>
            <w:shd w:val="clear" w:color="auto" w:fill="00517D" w:themeFill="accent3" w:themeFillShade="BF"/>
          </w:tcPr>
          <w:p w:rsidR="00B146AA" w:rsidRPr="0013182D" w:rsidRDefault="00B146AA" w:rsidP="00A567C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B146AA" w:rsidRPr="00111D0E" w:rsidTr="00BE0224">
        <w:tc>
          <w:tcPr>
            <w:tcW w:w="4415" w:type="dxa"/>
          </w:tcPr>
          <w:p w:rsidR="00B146AA" w:rsidRPr="00111D0E" w:rsidRDefault="00B146AA" w:rsidP="00F161AA">
            <w:pPr>
              <w:rPr>
                <w:rFonts w:asciiTheme="minorHAnsi" w:hAnsiTheme="minorHAnsi" w:cstheme="minorHAnsi"/>
                <w:i/>
                <w:sz w:val="22"/>
                <w:szCs w:val="22"/>
              </w:rPr>
            </w:pPr>
            <w:r>
              <w:rPr>
                <w:rFonts w:cs="Cambria"/>
              </w:rPr>
              <w:t xml:space="preserve">Both doses of </w:t>
            </w:r>
            <w:r w:rsidR="001D63B3">
              <w:rPr>
                <w:rFonts w:cs="Cambria"/>
              </w:rPr>
              <w:t>certolizumab pegol</w:t>
            </w:r>
            <w:r>
              <w:rPr>
                <w:rFonts w:cs="Cambria"/>
              </w:rPr>
              <w:t xml:space="preserve"> produce high rates of clinically significant response (PASI75 response in </w:t>
            </w:r>
            <w:r w:rsidR="008A7DD9">
              <w:rPr>
                <w:rFonts w:cs="Cambria"/>
              </w:rPr>
              <w:t xml:space="preserve">≥ </w:t>
            </w:r>
            <w:r>
              <w:rPr>
                <w:rFonts w:cs="Cambria"/>
              </w:rPr>
              <w:t>68% of subjects at 16</w:t>
            </w:r>
            <w:r w:rsidR="00CA3875">
              <w:rPr>
                <w:rFonts w:cs="Cambria"/>
              </w:rPr>
              <w:t> </w:t>
            </w:r>
            <w:r>
              <w:rPr>
                <w:rFonts w:cs="Cambria"/>
              </w:rPr>
              <w:t xml:space="preserve">weeks) that </w:t>
            </w:r>
            <w:r w:rsidR="00F161AA">
              <w:rPr>
                <w:rFonts w:cs="Cambria"/>
              </w:rPr>
              <w:t>is</w:t>
            </w:r>
            <w:r>
              <w:rPr>
                <w:rFonts w:cs="Cambria"/>
              </w:rPr>
              <w:t xml:space="preserve"> superior to </w:t>
            </w:r>
            <w:r w:rsidR="00A316C5">
              <w:rPr>
                <w:rFonts w:cs="Cambria"/>
              </w:rPr>
              <w:t>placebo</w:t>
            </w:r>
            <w:r>
              <w:rPr>
                <w:rFonts w:cs="Cambria"/>
              </w:rPr>
              <w:t>, and non-inferior (200</w:t>
            </w:r>
            <w:r w:rsidR="008A7DD9">
              <w:rPr>
                <w:rFonts w:cs="Cambria"/>
              </w:rPr>
              <w:t xml:space="preserve"> </w:t>
            </w:r>
            <w:r>
              <w:rPr>
                <w:rFonts w:cs="Cambria"/>
              </w:rPr>
              <w:t>mg Q2W) or superior to etanercept (400</w:t>
            </w:r>
            <w:r w:rsidR="008A7DD9">
              <w:rPr>
                <w:rFonts w:cs="Cambria"/>
              </w:rPr>
              <w:t xml:space="preserve"> </w:t>
            </w:r>
            <w:r>
              <w:rPr>
                <w:rFonts w:cs="Cambria"/>
              </w:rPr>
              <w:t>mg Q2W).</w:t>
            </w:r>
          </w:p>
        </w:tc>
        <w:tc>
          <w:tcPr>
            <w:tcW w:w="4197" w:type="dxa"/>
          </w:tcPr>
          <w:p w:rsidR="00B146AA" w:rsidRPr="00111D0E"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sz w:val="22"/>
                <w:szCs w:val="22"/>
              </w:rPr>
            </w:pPr>
            <w:r>
              <w:rPr>
                <w:rFonts w:cs="Cambria"/>
              </w:rPr>
              <w:t xml:space="preserve">Consistently observed versus </w:t>
            </w:r>
            <w:r w:rsidR="00A316C5">
              <w:rPr>
                <w:rFonts w:cs="Cambria"/>
              </w:rPr>
              <w:t>placebo</w:t>
            </w:r>
            <w:r>
              <w:rPr>
                <w:rFonts w:cs="Cambria"/>
              </w:rPr>
              <w:t xml:space="preserve"> in the Phase </w:t>
            </w:r>
            <w:r w:rsidR="008A7DD9">
              <w:rPr>
                <w:rFonts w:cs="Cambria"/>
              </w:rPr>
              <w:t>II</w:t>
            </w:r>
            <w:r>
              <w:rPr>
                <w:rFonts w:cs="Cambria"/>
              </w:rPr>
              <w:t xml:space="preserve"> and </w:t>
            </w:r>
            <w:r w:rsidR="008A7DD9">
              <w:rPr>
                <w:rFonts w:cs="Cambria"/>
              </w:rPr>
              <w:t>III</w:t>
            </w:r>
            <w:r>
              <w:rPr>
                <w:rFonts w:cs="Cambria"/>
              </w:rPr>
              <w:t xml:space="preserve"> trials. The comparison between </w:t>
            </w:r>
            <w:r w:rsidR="001D63B3">
              <w:rPr>
                <w:rFonts w:cs="Cambria"/>
              </w:rPr>
              <w:t>certolizumab pegol</w:t>
            </w:r>
            <w:r>
              <w:rPr>
                <w:rFonts w:cs="Cambria"/>
              </w:rPr>
              <w:t xml:space="preserve"> and etanercept was examined in the Phase </w:t>
            </w:r>
            <w:r w:rsidR="008A7DD9">
              <w:rPr>
                <w:rFonts w:cs="Cambria"/>
              </w:rPr>
              <w:t>III</w:t>
            </w:r>
            <w:r w:rsidR="00BE0224">
              <w:rPr>
                <w:rFonts w:cs="Cambria"/>
              </w:rPr>
              <w:t xml:space="preserve"> study (CIMPACT</w:t>
            </w:r>
            <w:r w:rsidR="00CA3875">
              <w:rPr>
                <w:rFonts w:cs="Cambria"/>
              </w:rPr>
              <w:t xml:space="preserve"> trial</w:t>
            </w:r>
            <w:r w:rsidR="00BE0224">
              <w:rPr>
                <w:rFonts w:cs="Cambria"/>
              </w:rPr>
              <w:t>).</w:t>
            </w:r>
          </w:p>
        </w:tc>
      </w:tr>
      <w:tr w:rsidR="00B146AA" w:rsidRPr="00111D0E" w:rsidTr="00BE0224">
        <w:tc>
          <w:tcPr>
            <w:tcW w:w="4415" w:type="dxa"/>
          </w:tcPr>
          <w:p w:rsidR="00B146AA" w:rsidRPr="00111D0E" w:rsidRDefault="00B146AA" w:rsidP="008A7DD9">
            <w:pPr>
              <w:rPr>
                <w:rFonts w:asciiTheme="minorHAnsi" w:hAnsiTheme="minorHAnsi" w:cstheme="minorHAnsi"/>
                <w:i/>
              </w:rPr>
            </w:pPr>
            <w:r>
              <w:rPr>
                <w:rFonts w:cs="Cambria"/>
              </w:rPr>
              <w:t xml:space="preserve">Both doses of </w:t>
            </w:r>
            <w:r w:rsidR="001D63B3">
              <w:rPr>
                <w:rFonts w:cs="Cambria"/>
              </w:rPr>
              <w:t>certolizumab pegol</w:t>
            </w:r>
            <w:r>
              <w:rPr>
                <w:rFonts w:cs="Cambria"/>
              </w:rPr>
              <w:t xml:space="preserve"> result in high rates of PGA response (</w:t>
            </w:r>
            <w:r w:rsidR="008A7DD9">
              <w:rPr>
                <w:rFonts w:cs="Cambria"/>
              </w:rPr>
              <w:t xml:space="preserve">≥ </w:t>
            </w:r>
            <w:r>
              <w:rPr>
                <w:rFonts w:cs="Cambria"/>
              </w:rPr>
              <w:t xml:space="preserve">48% subjects at 16 weeks), which are superior to </w:t>
            </w:r>
            <w:r w:rsidR="00A316C5">
              <w:rPr>
                <w:rFonts w:cs="Cambria"/>
              </w:rPr>
              <w:t>placebo</w:t>
            </w:r>
            <w:r>
              <w:rPr>
                <w:rFonts w:cs="Cambria"/>
              </w:rPr>
              <w:t>.</w:t>
            </w:r>
          </w:p>
        </w:tc>
        <w:tc>
          <w:tcPr>
            <w:tcW w:w="4197" w:type="dxa"/>
          </w:tcPr>
          <w:p w:rsidR="00B146AA" w:rsidRPr="00111D0E"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i/>
              </w:rPr>
            </w:pPr>
            <w:r>
              <w:rPr>
                <w:rFonts w:cs="Cambria"/>
              </w:rPr>
              <w:t xml:space="preserve">Consistently observed versus </w:t>
            </w:r>
            <w:r w:rsidR="00A316C5">
              <w:rPr>
                <w:rFonts w:cs="Cambria"/>
              </w:rPr>
              <w:t>placebo</w:t>
            </w:r>
            <w:r>
              <w:rPr>
                <w:rFonts w:cs="Cambria"/>
              </w:rPr>
              <w:t xml:space="preserve"> in the Phase </w:t>
            </w:r>
            <w:r w:rsidR="008A7DD9">
              <w:rPr>
                <w:rFonts w:cs="Cambria"/>
              </w:rPr>
              <w:t>II</w:t>
            </w:r>
            <w:r>
              <w:rPr>
                <w:rFonts w:cs="Cambria"/>
              </w:rPr>
              <w:t xml:space="preserve"> and </w:t>
            </w:r>
            <w:r w:rsidR="008A7DD9">
              <w:rPr>
                <w:rFonts w:cs="Cambria"/>
              </w:rPr>
              <w:t>III</w:t>
            </w:r>
            <w:r w:rsidR="00BE0224">
              <w:rPr>
                <w:rFonts w:cs="Cambria"/>
              </w:rPr>
              <w:t xml:space="preserve"> trials.</w:t>
            </w:r>
          </w:p>
        </w:tc>
      </w:tr>
      <w:tr w:rsidR="00B146AA" w:rsidTr="00BE0224">
        <w:tc>
          <w:tcPr>
            <w:tcW w:w="4415" w:type="dxa"/>
          </w:tcPr>
          <w:p w:rsidR="00B146AA" w:rsidRDefault="00BE0224" w:rsidP="00A567C2">
            <w:pPr>
              <w:rPr>
                <w:rFonts w:cs="Cambria"/>
              </w:rPr>
            </w:pPr>
            <w:r>
              <w:rPr>
                <w:rFonts w:cs="Cambria"/>
              </w:rPr>
              <w:t>Certolizumab</w:t>
            </w:r>
            <w:r w:rsidR="001D63B3">
              <w:rPr>
                <w:rFonts w:cs="Cambria"/>
              </w:rPr>
              <w:t xml:space="preserve"> pegol</w:t>
            </w:r>
            <w:r w:rsidR="00B146AA">
              <w:rPr>
                <w:rFonts w:cs="Cambria"/>
              </w:rPr>
              <w:t xml:space="preserve"> results in improvements in several patient reported outcomes, such as changes in health related quality of </w:t>
            </w:r>
            <w:r w:rsidR="001A0B08">
              <w:rPr>
                <w:rFonts w:cs="Cambria"/>
              </w:rPr>
              <w:t>life that</w:t>
            </w:r>
            <w:r w:rsidR="00B146AA">
              <w:rPr>
                <w:rFonts w:cs="Cambria"/>
              </w:rPr>
              <w:t xml:space="preserve"> are superior to </w:t>
            </w:r>
            <w:r w:rsidR="00A316C5">
              <w:rPr>
                <w:rFonts w:cs="Cambria"/>
              </w:rPr>
              <w:t>placebo</w:t>
            </w:r>
            <w:r>
              <w:rPr>
                <w:rFonts w:cs="Cambria"/>
              </w:rPr>
              <w:t>.</w:t>
            </w:r>
          </w:p>
        </w:tc>
        <w:tc>
          <w:tcPr>
            <w:tcW w:w="4197" w:type="dxa"/>
          </w:tcPr>
          <w:p w:rsidR="00B146AA"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Consistently observed in Phase </w:t>
            </w:r>
            <w:r w:rsidR="008A7DD9">
              <w:rPr>
                <w:rFonts w:cs="Cambria"/>
              </w:rPr>
              <w:t>III</w:t>
            </w:r>
            <w:r>
              <w:rPr>
                <w:rFonts w:cs="Cambria"/>
              </w:rPr>
              <w:t xml:space="preserve"> trials.</w:t>
            </w:r>
          </w:p>
        </w:tc>
      </w:tr>
      <w:tr w:rsidR="00B146AA" w:rsidTr="00BE0224">
        <w:tc>
          <w:tcPr>
            <w:tcW w:w="4415" w:type="dxa"/>
          </w:tcPr>
          <w:p w:rsidR="00B146AA" w:rsidRDefault="00B146AA" w:rsidP="00A567C2">
            <w:pPr>
              <w:rPr>
                <w:rFonts w:cs="Cambria"/>
              </w:rPr>
            </w:pPr>
            <w:r>
              <w:rPr>
                <w:rFonts w:cs="Cambria"/>
              </w:rPr>
              <w:t xml:space="preserve">Treatment with </w:t>
            </w:r>
            <w:r w:rsidR="001D63B3">
              <w:rPr>
                <w:rFonts w:cs="Cambria"/>
              </w:rPr>
              <w:t>certolizumab pegol</w:t>
            </w:r>
            <w:r>
              <w:rPr>
                <w:rFonts w:cs="Cambria"/>
              </w:rPr>
              <w:t xml:space="preserve"> 400</w:t>
            </w:r>
            <w:r w:rsidR="008A7DD9">
              <w:rPr>
                <w:rFonts w:cs="Cambria"/>
              </w:rPr>
              <w:t> </w:t>
            </w:r>
            <w:r>
              <w:rPr>
                <w:rFonts w:cs="Cambria"/>
              </w:rPr>
              <w:t xml:space="preserve">mg Q2W produced numerically greater responses at 16 weeks (PASI and PGA response) compared to </w:t>
            </w:r>
            <w:r w:rsidR="001D63B3">
              <w:rPr>
                <w:rFonts w:cs="Cambria"/>
              </w:rPr>
              <w:t>certolizumab pegol</w:t>
            </w:r>
            <w:r>
              <w:rPr>
                <w:rFonts w:cs="Cambria"/>
              </w:rPr>
              <w:t xml:space="preserve"> 200</w:t>
            </w:r>
            <w:r w:rsidR="008A7DD9">
              <w:rPr>
                <w:rFonts w:cs="Cambria"/>
              </w:rPr>
              <w:t> </w:t>
            </w:r>
            <w:r>
              <w:rPr>
                <w:rFonts w:cs="Cambria"/>
              </w:rPr>
              <w:t>mg Q2W.</w:t>
            </w:r>
          </w:p>
        </w:tc>
        <w:tc>
          <w:tcPr>
            <w:tcW w:w="4197" w:type="dxa"/>
          </w:tcPr>
          <w:p w:rsidR="00B146AA"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Data from two of the pivotal Phase </w:t>
            </w:r>
            <w:r w:rsidR="008A7DD9">
              <w:rPr>
                <w:rFonts w:cs="Cambria"/>
              </w:rPr>
              <w:t>III</w:t>
            </w:r>
            <w:r>
              <w:rPr>
                <w:rFonts w:cs="Cambria"/>
              </w:rPr>
              <w:t xml:space="preserve"> studies (CIMPASI-1 and CIMPACT</w:t>
            </w:r>
            <w:r w:rsidR="00CA3875">
              <w:rPr>
                <w:rFonts w:cs="Cambria"/>
              </w:rPr>
              <w:t xml:space="preserve"> trials</w:t>
            </w:r>
            <w:r>
              <w:rPr>
                <w:rFonts w:cs="Cambria"/>
              </w:rPr>
              <w:t xml:space="preserve">) supported and the dose response effect with </w:t>
            </w:r>
            <w:r w:rsidR="001D63B3">
              <w:rPr>
                <w:rFonts w:cs="Cambria"/>
              </w:rPr>
              <w:t>certolizumab pegol</w:t>
            </w:r>
            <w:r>
              <w:rPr>
                <w:rFonts w:cs="Cambria"/>
              </w:rPr>
              <w:t xml:space="preserve">. However, studies were not powered to make statistical efficacy comparison between the 2 </w:t>
            </w:r>
            <w:r w:rsidR="001D63B3">
              <w:rPr>
                <w:rFonts w:cs="Cambria"/>
              </w:rPr>
              <w:t>certolizumab pegol</w:t>
            </w:r>
            <w:r w:rsidR="00BE0224">
              <w:rPr>
                <w:rFonts w:cs="Cambria"/>
              </w:rPr>
              <w:t xml:space="preserve"> dose regimens.</w:t>
            </w:r>
          </w:p>
        </w:tc>
      </w:tr>
      <w:tr w:rsidR="00B146AA" w:rsidTr="00BE0224">
        <w:tc>
          <w:tcPr>
            <w:tcW w:w="4415" w:type="dxa"/>
          </w:tcPr>
          <w:p w:rsidR="00B146AA" w:rsidRDefault="00B146AA" w:rsidP="008A7DD9">
            <w:pPr>
              <w:rPr>
                <w:rFonts w:cs="Cambria"/>
              </w:rPr>
            </w:pPr>
            <w:r>
              <w:rPr>
                <w:rFonts w:cs="Cambria"/>
              </w:rPr>
              <w:t>Persistence of clinical response for up to 48</w:t>
            </w:r>
            <w:r w:rsidR="008A7DD9">
              <w:rPr>
                <w:rFonts w:cs="Cambria"/>
              </w:rPr>
              <w:t> </w:t>
            </w:r>
            <w:r>
              <w:rPr>
                <w:rFonts w:cs="Cambria"/>
              </w:rPr>
              <w:t xml:space="preserve">weeks in the subgroup of patients who are tolerating and responding to </w:t>
            </w:r>
            <w:r w:rsidR="001D63B3">
              <w:rPr>
                <w:rFonts w:cs="Cambria"/>
              </w:rPr>
              <w:t>certolizumab pegol</w:t>
            </w:r>
            <w:r>
              <w:rPr>
                <w:rFonts w:cs="Cambria"/>
              </w:rPr>
              <w:t xml:space="preserve"> 200</w:t>
            </w:r>
            <w:r w:rsidR="008A7DD9">
              <w:rPr>
                <w:rFonts w:cs="Cambria"/>
              </w:rPr>
              <w:t xml:space="preserve"> </w:t>
            </w:r>
            <w:r>
              <w:rPr>
                <w:rFonts w:cs="Cambria"/>
              </w:rPr>
              <w:t>mg Q2W or 400</w:t>
            </w:r>
            <w:r w:rsidR="008A7DD9">
              <w:rPr>
                <w:rFonts w:cs="Cambria"/>
              </w:rPr>
              <w:t xml:space="preserve"> </w:t>
            </w:r>
            <w:r>
              <w:rPr>
                <w:rFonts w:cs="Cambria"/>
              </w:rPr>
              <w:t>mg Q2W therapy.</w:t>
            </w:r>
          </w:p>
        </w:tc>
        <w:tc>
          <w:tcPr>
            <w:tcW w:w="4197" w:type="dxa"/>
          </w:tcPr>
          <w:p w:rsidR="00B146AA"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Supported by the efficacy outcomes reported in the pivotal Phase </w:t>
            </w:r>
            <w:r w:rsidR="008A7DD9">
              <w:rPr>
                <w:rFonts w:cs="Cambria"/>
              </w:rPr>
              <w:t>III</w:t>
            </w:r>
            <w:r>
              <w:rPr>
                <w:rFonts w:cs="Cambria"/>
              </w:rPr>
              <w:t xml:space="preserve"> studies. </w:t>
            </w:r>
          </w:p>
        </w:tc>
      </w:tr>
      <w:tr w:rsidR="00B146AA" w:rsidTr="00BE0224">
        <w:tc>
          <w:tcPr>
            <w:tcW w:w="4415" w:type="dxa"/>
          </w:tcPr>
          <w:p w:rsidR="00B146AA" w:rsidRDefault="00B146AA" w:rsidP="00A567C2">
            <w:pPr>
              <w:rPr>
                <w:rFonts w:cs="Cambria"/>
              </w:rPr>
            </w:pPr>
            <w:r>
              <w:rPr>
                <w:rFonts w:cs="Cambria"/>
              </w:rPr>
              <w:t xml:space="preserve">Significant clinical response was observed in patients escaping to </w:t>
            </w:r>
            <w:r w:rsidR="001D63B3">
              <w:rPr>
                <w:rFonts w:cs="Cambria"/>
              </w:rPr>
              <w:t>certolizumab pegol</w:t>
            </w:r>
            <w:r>
              <w:rPr>
                <w:rFonts w:cs="Cambria"/>
              </w:rPr>
              <w:t xml:space="preserve"> therapy after receiving control/</w:t>
            </w:r>
            <w:r w:rsidR="00A316C5">
              <w:rPr>
                <w:rFonts w:cs="Cambria"/>
              </w:rPr>
              <w:t>placebo</w:t>
            </w:r>
            <w:r>
              <w:rPr>
                <w:rFonts w:cs="Cambria"/>
              </w:rPr>
              <w:t xml:space="preserve"> therapy, with responses no different to that seen with initial </w:t>
            </w:r>
            <w:r w:rsidR="001D63B3">
              <w:rPr>
                <w:rFonts w:cs="Cambria"/>
              </w:rPr>
              <w:t>certolizumab pegol</w:t>
            </w:r>
            <w:r w:rsidR="00BE0224">
              <w:rPr>
                <w:rFonts w:cs="Cambria"/>
              </w:rPr>
              <w:t>.</w:t>
            </w:r>
          </w:p>
        </w:tc>
        <w:tc>
          <w:tcPr>
            <w:tcW w:w="4197" w:type="dxa"/>
          </w:tcPr>
          <w:p w:rsidR="00B146AA"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Phase </w:t>
            </w:r>
            <w:r w:rsidR="008A7DD9">
              <w:rPr>
                <w:rFonts w:cs="Cambria"/>
              </w:rPr>
              <w:t>II</w:t>
            </w:r>
            <w:r>
              <w:rPr>
                <w:rFonts w:cs="Cambria"/>
              </w:rPr>
              <w:t xml:space="preserve"> and </w:t>
            </w:r>
            <w:r w:rsidR="008A7DD9">
              <w:rPr>
                <w:rFonts w:cs="Cambria"/>
              </w:rPr>
              <w:t>III</w:t>
            </w:r>
            <w:r>
              <w:rPr>
                <w:rFonts w:cs="Cambria"/>
              </w:rPr>
              <w:t xml:space="preserve"> Studies.</w:t>
            </w:r>
          </w:p>
        </w:tc>
      </w:tr>
      <w:tr w:rsidR="00B146AA" w:rsidTr="00BE0224">
        <w:tc>
          <w:tcPr>
            <w:tcW w:w="4415" w:type="dxa"/>
          </w:tcPr>
          <w:p w:rsidR="00B146AA" w:rsidRDefault="00B146AA" w:rsidP="00A567C2">
            <w:pPr>
              <w:rPr>
                <w:rFonts w:cs="Cambria"/>
              </w:rPr>
            </w:pPr>
            <w:r>
              <w:rPr>
                <w:rFonts w:cs="Cambria"/>
              </w:rPr>
              <w:t>Convenient schedule and administration mode</w:t>
            </w:r>
            <w:r w:rsidR="00BE0224">
              <w:rPr>
                <w:rFonts w:cs="Cambria"/>
              </w:rPr>
              <w:t>;</w:t>
            </w:r>
            <w:r>
              <w:rPr>
                <w:rFonts w:cs="Cambria"/>
              </w:rPr>
              <w:t xml:space="preserve"> SC injection fortnightly with choice of 2 dose regimens.</w:t>
            </w:r>
          </w:p>
        </w:tc>
        <w:tc>
          <w:tcPr>
            <w:tcW w:w="4197" w:type="dxa"/>
          </w:tcPr>
          <w:p w:rsidR="00B146AA" w:rsidRDefault="00B146AA" w:rsidP="00A567C2">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Supported by </w:t>
            </w:r>
            <w:r w:rsidR="00F63AEF">
              <w:rPr>
                <w:rFonts w:cs="Cambria"/>
              </w:rPr>
              <w:t>pharmacokinetic</w:t>
            </w:r>
            <w:r>
              <w:rPr>
                <w:rFonts w:cs="Cambria"/>
              </w:rPr>
              <w:t xml:space="preserve"> and clinical data for </w:t>
            </w:r>
            <w:r w:rsidR="001D63B3">
              <w:rPr>
                <w:rFonts w:cs="Cambria"/>
              </w:rPr>
              <w:t>certolizumab pegol</w:t>
            </w:r>
            <w:r>
              <w:rPr>
                <w:rFonts w:cs="Cambria"/>
              </w:rPr>
              <w:t>. Alternative biologic therapy may require IV drug administration.</w:t>
            </w:r>
          </w:p>
        </w:tc>
      </w:tr>
      <w:tr w:rsidR="00B146AA" w:rsidTr="00BE0224">
        <w:tc>
          <w:tcPr>
            <w:tcW w:w="4415" w:type="dxa"/>
          </w:tcPr>
          <w:p w:rsidR="00B146AA" w:rsidRPr="007F3DBC" w:rsidRDefault="00B146AA" w:rsidP="00A567C2">
            <w:pPr>
              <w:rPr>
                <w:rFonts w:cs="Cambria"/>
                <w:i/>
              </w:rPr>
            </w:pPr>
            <w:r>
              <w:rPr>
                <w:rFonts w:cs="Cambria"/>
              </w:rPr>
              <w:t xml:space="preserve">Clinical efficacy response with </w:t>
            </w:r>
            <w:r w:rsidR="001D63B3">
              <w:rPr>
                <w:rFonts w:cs="Cambria"/>
              </w:rPr>
              <w:t>certolizumab pegol</w:t>
            </w:r>
            <w:r>
              <w:rPr>
                <w:rFonts w:cs="Cambria"/>
              </w:rPr>
              <w:t xml:space="preserve"> therapy observed across a diverse patient spectrum and in all patient subgroups (including those who had received prior biologic treatment).</w:t>
            </w:r>
          </w:p>
        </w:tc>
        <w:tc>
          <w:tcPr>
            <w:tcW w:w="4197" w:type="dxa"/>
          </w:tcPr>
          <w:p w:rsidR="00B146AA"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Supported by the Phase </w:t>
            </w:r>
            <w:r w:rsidR="008A7DD9">
              <w:rPr>
                <w:rFonts w:cs="Cambria"/>
              </w:rPr>
              <w:t>II or III</w:t>
            </w:r>
            <w:r>
              <w:rPr>
                <w:rFonts w:cs="Cambria"/>
              </w:rPr>
              <w:t xml:space="preserve"> clinical study program and the int</w:t>
            </w:r>
            <w:r w:rsidR="00BE0224">
              <w:rPr>
                <w:rFonts w:cs="Cambria"/>
              </w:rPr>
              <w:t>egrated efficacy analysis sets.</w:t>
            </w:r>
          </w:p>
        </w:tc>
      </w:tr>
      <w:tr w:rsidR="00B146AA" w:rsidTr="00BE0224">
        <w:tc>
          <w:tcPr>
            <w:tcW w:w="4415" w:type="dxa"/>
          </w:tcPr>
          <w:p w:rsidR="00B146AA" w:rsidRDefault="00B146AA" w:rsidP="00A567C2">
            <w:pPr>
              <w:rPr>
                <w:rFonts w:cs="Cambria"/>
              </w:rPr>
            </w:pPr>
            <w:r>
              <w:rPr>
                <w:rFonts w:cs="Cambria"/>
              </w:rPr>
              <w:lastRenderedPageBreak/>
              <w:t xml:space="preserve">Diminished likelihood of achieving clinical response in subjects who develop anti-drug antibodies to </w:t>
            </w:r>
            <w:r w:rsidR="001D63B3">
              <w:rPr>
                <w:rFonts w:cs="Cambria"/>
              </w:rPr>
              <w:t>certolizumab pegol</w:t>
            </w:r>
            <w:r w:rsidR="00BE0224">
              <w:rPr>
                <w:rFonts w:cs="Cambria"/>
              </w:rPr>
              <w:t>.</w:t>
            </w:r>
          </w:p>
        </w:tc>
        <w:tc>
          <w:tcPr>
            <w:tcW w:w="4197" w:type="dxa"/>
          </w:tcPr>
          <w:p w:rsidR="00B146AA" w:rsidRDefault="00B146AA" w:rsidP="008A7DD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rPr>
            </w:pPr>
            <w:r>
              <w:rPr>
                <w:rFonts w:cs="Cambria"/>
              </w:rPr>
              <w:t xml:space="preserve">Examined in Phase </w:t>
            </w:r>
            <w:r w:rsidR="008A7DD9">
              <w:rPr>
                <w:rFonts w:cs="Cambria"/>
              </w:rPr>
              <w:t>II</w:t>
            </w:r>
            <w:r>
              <w:rPr>
                <w:rFonts w:cs="Cambria"/>
              </w:rPr>
              <w:t xml:space="preserve"> and </w:t>
            </w:r>
            <w:r w:rsidR="008A7DD9">
              <w:rPr>
                <w:rFonts w:cs="Cambria"/>
              </w:rPr>
              <w:t>III</w:t>
            </w:r>
            <w:r>
              <w:rPr>
                <w:rFonts w:cs="Cambria"/>
              </w:rPr>
              <w:t xml:space="preserve"> studies; and supported by Population </w:t>
            </w:r>
            <w:r w:rsidR="00F63AEF">
              <w:rPr>
                <w:rFonts w:cs="Cambria"/>
              </w:rPr>
              <w:t>pharmacokinetic</w:t>
            </w:r>
            <w:r>
              <w:rPr>
                <w:rFonts w:cs="Cambria"/>
              </w:rPr>
              <w:t>-</w:t>
            </w:r>
            <w:r w:rsidR="008A7DD9">
              <w:rPr>
                <w:rFonts w:cs="Cambria"/>
              </w:rPr>
              <w:t>pharmacodynamic</w:t>
            </w:r>
            <w:r w:rsidR="00BE0224">
              <w:rPr>
                <w:rFonts w:cs="Cambria"/>
              </w:rPr>
              <w:t xml:space="preserve"> analysis.</w:t>
            </w:r>
          </w:p>
        </w:tc>
      </w:tr>
    </w:tbl>
    <w:p w:rsidR="00BE0224" w:rsidRDefault="00BE0224" w:rsidP="00BE0224">
      <w:pPr>
        <w:pStyle w:val="Heading4"/>
      </w:pPr>
      <w:r w:rsidRPr="00605AD4">
        <w:t>First round assessment of risks</w:t>
      </w:r>
    </w:p>
    <w:p w:rsidR="00605AD4" w:rsidRDefault="009C2FAC" w:rsidP="00BE0224">
      <w:pPr>
        <w:pStyle w:val="TableTitle"/>
      </w:pPr>
      <w:r>
        <w:t>Table 15</w:t>
      </w:r>
      <w:r w:rsidR="00272B46">
        <w:t xml:space="preserve">: </w:t>
      </w:r>
      <w:r w:rsidR="00605AD4" w:rsidRPr="00605AD4">
        <w:t>First round assessment of risks</w:t>
      </w:r>
    </w:p>
    <w:tbl>
      <w:tblPr>
        <w:tblStyle w:val="TableGrid"/>
        <w:tblW w:w="0" w:type="auto"/>
        <w:tblInd w:w="108" w:type="dxa"/>
        <w:tblLook w:val="04A0" w:firstRow="1" w:lastRow="0" w:firstColumn="1" w:lastColumn="0" w:noHBand="0" w:noVBand="1"/>
      </w:tblPr>
      <w:tblGrid>
        <w:gridCol w:w="4309"/>
        <w:gridCol w:w="4303"/>
      </w:tblGrid>
      <w:tr w:rsidR="00B146AA" w:rsidRPr="0013182D" w:rsidTr="00A567C2">
        <w:trPr>
          <w:tblHeader/>
        </w:trPr>
        <w:tc>
          <w:tcPr>
            <w:tcW w:w="4395" w:type="dxa"/>
            <w:shd w:val="clear" w:color="auto" w:fill="006DA7" w:themeFill="accent3"/>
          </w:tcPr>
          <w:p w:rsidR="00B146AA" w:rsidRPr="0013182D" w:rsidRDefault="00B146AA" w:rsidP="00A567C2">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rsidR="00B146AA" w:rsidRPr="0013182D" w:rsidRDefault="00B146AA" w:rsidP="00A567C2">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B146AA" w:rsidRPr="00111D0E" w:rsidTr="00A567C2">
        <w:tc>
          <w:tcPr>
            <w:tcW w:w="4395" w:type="dxa"/>
          </w:tcPr>
          <w:p w:rsidR="00B146AA" w:rsidRPr="00111D0E" w:rsidRDefault="00B146AA" w:rsidP="00A567C2">
            <w:pPr>
              <w:rPr>
                <w:rFonts w:asciiTheme="minorHAnsi" w:hAnsiTheme="minorHAnsi" w:cstheme="minorHAnsi"/>
                <w:i/>
                <w:sz w:val="22"/>
                <w:szCs w:val="22"/>
              </w:rPr>
            </w:pPr>
            <w:r>
              <w:t xml:space="preserve">Increased incidence of serious infection with </w:t>
            </w:r>
            <w:r w:rsidR="001D63B3">
              <w:t>certolizumab pegol</w:t>
            </w:r>
            <w:r>
              <w:t xml:space="preserve"> versus </w:t>
            </w:r>
            <w:r w:rsidR="00A316C5">
              <w:t>placebo</w:t>
            </w:r>
            <w:r>
              <w:t xml:space="preserve">, and including 2 cases of </w:t>
            </w:r>
            <w:r w:rsidR="00EE730D">
              <w:t>tuberculosis</w:t>
            </w:r>
          </w:p>
        </w:tc>
        <w:tc>
          <w:tcPr>
            <w:tcW w:w="4394" w:type="dxa"/>
          </w:tcPr>
          <w:p w:rsidR="00B146AA" w:rsidRPr="00111D0E" w:rsidRDefault="00B146AA" w:rsidP="008A7DD9">
            <w:pPr>
              <w:rPr>
                <w:rFonts w:cstheme="minorHAnsi"/>
                <w:i/>
                <w:sz w:val="22"/>
                <w:szCs w:val="22"/>
                <w:u w:val="single"/>
              </w:rPr>
            </w:pPr>
            <w:r>
              <w:rPr>
                <w:rFonts w:cs="Cambria"/>
              </w:rPr>
              <w:t xml:space="preserve">Phase </w:t>
            </w:r>
            <w:r w:rsidR="008A7DD9">
              <w:rPr>
                <w:rFonts w:cs="Cambria"/>
              </w:rPr>
              <w:t>II or III</w:t>
            </w:r>
            <w:r>
              <w:rPr>
                <w:rFonts w:cs="Cambria"/>
              </w:rPr>
              <w:t xml:space="preserve"> studies.</w:t>
            </w:r>
          </w:p>
        </w:tc>
      </w:tr>
      <w:tr w:rsidR="00B146AA" w:rsidTr="00A567C2">
        <w:tc>
          <w:tcPr>
            <w:tcW w:w="4395" w:type="dxa"/>
          </w:tcPr>
          <w:p w:rsidR="00B146AA" w:rsidRDefault="00B146AA" w:rsidP="007B4FFB">
            <w:r>
              <w:rPr>
                <w:rFonts w:cs="Cambria"/>
              </w:rPr>
              <w:t xml:space="preserve">Increased incidence of injection site reactions with </w:t>
            </w:r>
            <w:r w:rsidR="001D63B3">
              <w:rPr>
                <w:rFonts w:cs="Cambria"/>
              </w:rPr>
              <w:t>certolizumab pegol</w:t>
            </w:r>
            <w:r>
              <w:rPr>
                <w:rFonts w:cs="Cambria"/>
              </w:rPr>
              <w:t xml:space="preserve"> versus </w:t>
            </w:r>
            <w:r w:rsidR="00A316C5">
              <w:rPr>
                <w:rFonts w:cs="Cambria"/>
              </w:rPr>
              <w:t>placebo</w:t>
            </w:r>
            <w:r>
              <w:rPr>
                <w:rFonts w:cs="Cambria"/>
              </w:rPr>
              <w:t xml:space="preserve">, and including 1 SAE of anaphylactoid reaction following </w:t>
            </w:r>
            <w:r w:rsidR="007B4FFB">
              <w:rPr>
                <w:rFonts w:cs="Cambria"/>
              </w:rPr>
              <w:t xml:space="preserve">first </w:t>
            </w:r>
            <w:r>
              <w:rPr>
                <w:rFonts w:cs="Cambria"/>
              </w:rPr>
              <w:t>dose</w:t>
            </w:r>
          </w:p>
        </w:tc>
        <w:tc>
          <w:tcPr>
            <w:tcW w:w="4394" w:type="dxa"/>
          </w:tcPr>
          <w:p w:rsidR="00B146AA" w:rsidRDefault="00B146AA" w:rsidP="008A7DD9">
            <w:pPr>
              <w:rPr>
                <w:rFonts w:cs="Cambria"/>
              </w:rPr>
            </w:pPr>
            <w:r>
              <w:rPr>
                <w:rFonts w:cs="Cambria"/>
              </w:rPr>
              <w:t xml:space="preserve">Phase </w:t>
            </w:r>
            <w:r w:rsidR="008A7DD9">
              <w:rPr>
                <w:rFonts w:cs="Cambria"/>
              </w:rPr>
              <w:t>III</w:t>
            </w:r>
            <w:r>
              <w:rPr>
                <w:rFonts w:cs="Cambria"/>
              </w:rPr>
              <w:t xml:space="preserve"> studies (Pool S1 dataset). </w:t>
            </w:r>
            <w:r w:rsidR="008A7DD9">
              <w:rPr>
                <w:rFonts w:cs="Cambria"/>
              </w:rPr>
              <w:t>Injection site reaction</w:t>
            </w:r>
            <w:r>
              <w:rPr>
                <w:rFonts w:cs="Cambria"/>
              </w:rPr>
              <w:t xml:space="preserve">s were </w:t>
            </w:r>
            <w:r w:rsidR="001D63B3">
              <w:rPr>
                <w:rFonts w:cs="Cambria"/>
              </w:rPr>
              <w:t>certolizumab pegol</w:t>
            </w:r>
            <w:r>
              <w:rPr>
                <w:rFonts w:cs="Cambria"/>
              </w:rPr>
              <w:t xml:space="preserve"> dose related</w:t>
            </w:r>
            <w:r w:rsidR="007B4FFB">
              <w:rPr>
                <w:rFonts w:cs="Cambria"/>
              </w:rPr>
              <w:t>;</w:t>
            </w:r>
            <w:r>
              <w:rPr>
                <w:rFonts w:cs="Cambria"/>
              </w:rPr>
              <w:t xml:space="preserve"> increased risk with </w:t>
            </w:r>
            <w:r w:rsidR="001D63B3">
              <w:rPr>
                <w:rFonts w:cs="Cambria"/>
              </w:rPr>
              <w:t>certolizumab pegol</w:t>
            </w:r>
            <w:r>
              <w:rPr>
                <w:rFonts w:cs="Cambria"/>
              </w:rPr>
              <w:t xml:space="preserve"> 400</w:t>
            </w:r>
            <w:r w:rsidR="008A7DD9">
              <w:rPr>
                <w:rFonts w:cs="Cambria"/>
              </w:rPr>
              <w:t xml:space="preserve"> </w:t>
            </w:r>
            <w:r>
              <w:rPr>
                <w:rFonts w:cs="Cambria"/>
              </w:rPr>
              <w:t>mg Q2W versus 200</w:t>
            </w:r>
            <w:r w:rsidR="008A7DD9">
              <w:rPr>
                <w:rFonts w:cs="Cambria"/>
              </w:rPr>
              <w:t xml:space="preserve"> </w:t>
            </w:r>
            <w:r>
              <w:rPr>
                <w:rFonts w:cs="Cambria"/>
              </w:rPr>
              <w:t>mg Q2W.</w:t>
            </w:r>
          </w:p>
        </w:tc>
      </w:tr>
      <w:tr w:rsidR="00B146AA" w:rsidTr="00A567C2">
        <w:tc>
          <w:tcPr>
            <w:tcW w:w="4395" w:type="dxa"/>
          </w:tcPr>
          <w:p w:rsidR="00B146AA" w:rsidRDefault="00B146AA" w:rsidP="00A567C2">
            <w:pPr>
              <w:rPr>
                <w:rFonts w:cs="Cambria"/>
              </w:rPr>
            </w:pPr>
            <w:r>
              <w:rPr>
                <w:rFonts w:cs="Cambria"/>
              </w:rPr>
              <w:t xml:space="preserve">Increased incidence of permanent treatment discontinuations due to AEs with </w:t>
            </w:r>
            <w:r w:rsidR="001D63B3">
              <w:rPr>
                <w:rFonts w:cs="Cambria"/>
              </w:rPr>
              <w:t>certolizumab pegol</w:t>
            </w:r>
            <w:r>
              <w:rPr>
                <w:rFonts w:cs="Cambria"/>
              </w:rPr>
              <w:t xml:space="preserve"> versus </w:t>
            </w:r>
            <w:r w:rsidR="00A316C5">
              <w:rPr>
                <w:rFonts w:cs="Cambria"/>
              </w:rPr>
              <w:t>placebo</w:t>
            </w:r>
            <w:r>
              <w:rPr>
                <w:rFonts w:cs="Cambria"/>
              </w:rPr>
              <w:t>.</w:t>
            </w:r>
          </w:p>
        </w:tc>
        <w:tc>
          <w:tcPr>
            <w:tcW w:w="4394" w:type="dxa"/>
          </w:tcPr>
          <w:p w:rsidR="00B146AA" w:rsidRDefault="00B146AA" w:rsidP="008A7DD9">
            <w:pPr>
              <w:rPr>
                <w:rFonts w:cs="Cambria"/>
              </w:rPr>
            </w:pPr>
            <w:r>
              <w:rPr>
                <w:rFonts w:cs="Cambria"/>
              </w:rPr>
              <w:t xml:space="preserve">This was consistently observed in the Phase </w:t>
            </w:r>
            <w:r w:rsidR="008A7DD9">
              <w:rPr>
                <w:rFonts w:cs="Cambria"/>
              </w:rPr>
              <w:t>II</w:t>
            </w:r>
            <w:r>
              <w:rPr>
                <w:rFonts w:cs="Cambria"/>
              </w:rPr>
              <w:t xml:space="preserve"> and </w:t>
            </w:r>
            <w:r w:rsidR="008A7DD9">
              <w:rPr>
                <w:rFonts w:cs="Cambria"/>
              </w:rPr>
              <w:t>III</w:t>
            </w:r>
            <w:r>
              <w:rPr>
                <w:rFonts w:cs="Cambria"/>
              </w:rPr>
              <w:t xml:space="preserve"> clinical studies (Pool S1 and S4).</w:t>
            </w:r>
          </w:p>
        </w:tc>
      </w:tr>
      <w:tr w:rsidR="00B146AA" w:rsidTr="00A567C2">
        <w:tc>
          <w:tcPr>
            <w:tcW w:w="4395" w:type="dxa"/>
          </w:tcPr>
          <w:p w:rsidR="00B146AA" w:rsidRDefault="00B146AA" w:rsidP="00A567C2">
            <w:pPr>
              <w:rPr>
                <w:rFonts w:cs="Cambria"/>
              </w:rPr>
            </w:pPr>
            <w:r>
              <w:rPr>
                <w:rFonts w:cs="Cambria"/>
              </w:rPr>
              <w:t xml:space="preserve">Most common types of AE by PT were nasopharyngitis and </w:t>
            </w:r>
            <w:r w:rsidR="009C2FAC">
              <w:t>upper respiratory tract infection</w:t>
            </w:r>
            <w:r w:rsidR="009C2FAC">
              <w:rPr>
                <w:rFonts w:cs="Cambria"/>
              </w:rPr>
              <w:t xml:space="preserve"> (</w:t>
            </w:r>
            <w:r>
              <w:rPr>
                <w:rFonts w:cs="Cambria"/>
              </w:rPr>
              <w:t>URTI</w:t>
            </w:r>
            <w:r w:rsidR="009C2FAC">
              <w:rPr>
                <w:rFonts w:cs="Cambria"/>
              </w:rPr>
              <w:t>)</w:t>
            </w:r>
            <w:r>
              <w:rPr>
                <w:rFonts w:cs="Cambria"/>
              </w:rPr>
              <w:t xml:space="preserve"> with </w:t>
            </w:r>
            <w:r w:rsidR="001D63B3">
              <w:rPr>
                <w:rFonts w:cs="Cambria"/>
              </w:rPr>
              <w:t>certolizumab pegol</w:t>
            </w:r>
            <w:r w:rsidR="007B4FFB">
              <w:rPr>
                <w:rFonts w:cs="Cambria"/>
              </w:rPr>
              <w:t>;</w:t>
            </w:r>
            <w:r>
              <w:rPr>
                <w:rFonts w:cs="Cambria"/>
              </w:rPr>
              <w:t xml:space="preserve"> similar incidence to </w:t>
            </w:r>
            <w:r w:rsidR="00A316C5">
              <w:rPr>
                <w:rFonts w:cs="Cambria"/>
              </w:rPr>
              <w:t>placebo</w:t>
            </w:r>
            <w:r>
              <w:rPr>
                <w:rFonts w:cs="Cambria"/>
              </w:rPr>
              <w:t>.</w:t>
            </w:r>
          </w:p>
        </w:tc>
        <w:tc>
          <w:tcPr>
            <w:tcW w:w="4394" w:type="dxa"/>
          </w:tcPr>
          <w:p w:rsidR="00B146AA" w:rsidRDefault="00B146AA" w:rsidP="008A7DD9">
            <w:pPr>
              <w:rPr>
                <w:rFonts w:cs="Cambria"/>
              </w:rPr>
            </w:pPr>
            <w:r>
              <w:rPr>
                <w:rFonts w:cs="Cambria"/>
              </w:rPr>
              <w:t xml:space="preserve">Observed in Phase </w:t>
            </w:r>
            <w:r w:rsidR="008A7DD9">
              <w:rPr>
                <w:rFonts w:cs="Cambria"/>
              </w:rPr>
              <w:t>III</w:t>
            </w:r>
            <w:r>
              <w:rPr>
                <w:rFonts w:cs="Cambria"/>
              </w:rPr>
              <w:t xml:space="preserve"> trials.</w:t>
            </w:r>
          </w:p>
        </w:tc>
      </w:tr>
      <w:tr w:rsidR="00B146AA" w:rsidTr="00A567C2">
        <w:tc>
          <w:tcPr>
            <w:tcW w:w="4395" w:type="dxa"/>
          </w:tcPr>
          <w:p w:rsidR="00B146AA" w:rsidRDefault="00B146AA" w:rsidP="00A567C2">
            <w:pPr>
              <w:rPr>
                <w:rFonts w:cs="Cambria"/>
              </w:rPr>
            </w:pPr>
            <w:r>
              <w:rPr>
                <w:rFonts w:cs="Cambria"/>
              </w:rPr>
              <w:t xml:space="preserve">Two confirmed cases of multiple sclerosis with </w:t>
            </w:r>
            <w:r w:rsidR="001D63B3">
              <w:rPr>
                <w:rFonts w:cs="Cambria"/>
              </w:rPr>
              <w:t>certolizumab pegol</w:t>
            </w:r>
            <w:r>
              <w:rPr>
                <w:rFonts w:cs="Cambria"/>
              </w:rPr>
              <w:t xml:space="preserve"> therapy have been recorded in </w:t>
            </w:r>
            <w:r w:rsidR="00A567C2">
              <w:rPr>
                <w:rFonts w:cs="Cambria"/>
              </w:rPr>
              <w:t>psoriasis</w:t>
            </w:r>
            <w:r>
              <w:rPr>
                <w:rFonts w:cs="Cambria"/>
              </w:rPr>
              <w:t xml:space="preserve"> subjects.</w:t>
            </w:r>
          </w:p>
        </w:tc>
        <w:tc>
          <w:tcPr>
            <w:tcW w:w="4394" w:type="dxa"/>
          </w:tcPr>
          <w:p w:rsidR="00B146AA" w:rsidRDefault="00B146AA" w:rsidP="00A567C2">
            <w:pPr>
              <w:rPr>
                <w:rFonts w:cs="Cambria"/>
              </w:rPr>
            </w:pPr>
            <w:r>
              <w:rPr>
                <w:rFonts w:cs="Cambria"/>
              </w:rPr>
              <w:t>Reported in Pool S3 dataset.</w:t>
            </w:r>
          </w:p>
        </w:tc>
      </w:tr>
      <w:tr w:rsidR="00B146AA" w:rsidTr="00A567C2">
        <w:tc>
          <w:tcPr>
            <w:tcW w:w="4395" w:type="dxa"/>
          </w:tcPr>
          <w:p w:rsidR="00B146AA" w:rsidRDefault="00B146AA" w:rsidP="00A567C2">
            <w:pPr>
              <w:rPr>
                <w:rFonts w:cs="Cambria"/>
              </w:rPr>
            </w:pPr>
            <w:r>
              <w:rPr>
                <w:rFonts w:cs="Cambria"/>
              </w:rPr>
              <w:t xml:space="preserve">Increased rates of raised atherogenic lipid profiles (cholesterol) with </w:t>
            </w:r>
            <w:r w:rsidR="001D63B3">
              <w:rPr>
                <w:rFonts w:cs="Cambria"/>
              </w:rPr>
              <w:t>certolizumab pegol</w:t>
            </w:r>
            <w:r>
              <w:rPr>
                <w:rFonts w:cs="Cambria"/>
              </w:rPr>
              <w:t xml:space="preserve"> therapy versus </w:t>
            </w:r>
            <w:r w:rsidR="00A316C5">
              <w:rPr>
                <w:rFonts w:cs="Cambria"/>
              </w:rPr>
              <w:t>placebo</w:t>
            </w:r>
            <w:r>
              <w:rPr>
                <w:rFonts w:cs="Cambria"/>
              </w:rPr>
              <w:t>; however, no increased rate of MACE has been recorded in short-term follow-up.</w:t>
            </w:r>
          </w:p>
        </w:tc>
        <w:tc>
          <w:tcPr>
            <w:tcW w:w="4394" w:type="dxa"/>
          </w:tcPr>
          <w:p w:rsidR="00B146AA" w:rsidRDefault="00B146AA" w:rsidP="008A7DD9">
            <w:pPr>
              <w:rPr>
                <w:rFonts w:cs="Cambria"/>
              </w:rPr>
            </w:pPr>
            <w:r>
              <w:rPr>
                <w:rFonts w:cs="Cambria"/>
              </w:rPr>
              <w:t xml:space="preserve">This was observed in the Phase </w:t>
            </w:r>
            <w:r w:rsidR="008A7DD9">
              <w:rPr>
                <w:rFonts w:cs="Cambria"/>
              </w:rPr>
              <w:t>III</w:t>
            </w:r>
            <w:r>
              <w:rPr>
                <w:rFonts w:cs="Cambria"/>
              </w:rPr>
              <w:t xml:space="preserve"> clinical studies. In the pooled safety dataset, the incidence and type of MACE was not increased with </w:t>
            </w:r>
            <w:r w:rsidR="001D63B3">
              <w:rPr>
                <w:rFonts w:cs="Cambria"/>
              </w:rPr>
              <w:t>certolizumab pegol</w:t>
            </w:r>
            <w:r>
              <w:rPr>
                <w:rFonts w:cs="Cambria"/>
              </w:rPr>
              <w:t xml:space="preserve"> but follow-up is time limited.</w:t>
            </w:r>
          </w:p>
        </w:tc>
      </w:tr>
      <w:tr w:rsidR="00B146AA" w:rsidTr="00A567C2">
        <w:tc>
          <w:tcPr>
            <w:tcW w:w="4395" w:type="dxa"/>
          </w:tcPr>
          <w:p w:rsidR="00B146AA" w:rsidRDefault="00B146AA" w:rsidP="00A567C2">
            <w:pPr>
              <w:rPr>
                <w:rFonts w:cs="Cambria"/>
              </w:rPr>
            </w:pPr>
            <w:r>
              <w:rPr>
                <w:rFonts w:cs="Cambria"/>
              </w:rPr>
              <w:t xml:space="preserve">Increased rates of raised serum hepatic transaminases with </w:t>
            </w:r>
            <w:r w:rsidR="001D63B3">
              <w:rPr>
                <w:rFonts w:cs="Cambria"/>
              </w:rPr>
              <w:t>certolizumab pegol</w:t>
            </w:r>
            <w:r>
              <w:rPr>
                <w:rFonts w:cs="Cambria"/>
              </w:rPr>
              <w:t xml:space="preserve"> versus </w:t>
            </w:r>
            <w:r w:rsidR="00A316C5">
              <w:rPr>
                <w:rFonts w:cs="Cambria"/>
              </w:rPr>
              <w:t>placebo</w:t>
            </w:r>
            <w:r>
              <w:rPr>
                <w:rFonts w:cs="Cambria"/>
              </w:rPr>
              <w:t xml:space="preserve">, and rare cases of drug induced hepatitis with </w:t>
            </w:r>
            <w:r w:rsidR="001D63B3">
              <w:rPr>
                <w:rFonts w:cs="Cambria"/>
              </w:rPr>
              <w:t>certolizumab pegol</w:t>
            </w:r>
            <w:r>
              <w:rPr>
                <w:rFonts w:cs="Cambria"/>
              </w:rPr>
              <w:t>.</w:t>
            </w:r>
          </w:p>
        </w:tc>
        <w:tc>
          <w:tcPr>
            <w:tcW w:w="4394" w:type="dxa"/>
          </w:tcPr>
          <w:p w:rsidR="00B146AA" w:rsidRDefault="00B146AA" w:rsidP="008A7DD9">
            <w:pPr>
              <w:rPr>
                <w:rFonts w:cs="Cambria"/>
              </w:rPr>
            </w:pPr>
            <w:r>
              <w:rPr>
                <w:rFonts w:cs="Cambria"/>
              </w:rPr>
              <w:t xml:space="preserve">This was observed in the Phase </w:t>
            </w:r>
            <w:r w:rsidR="008A7DD9">
              <w:rPr>
                <w:rFonts w:cs="Cambria"/>
              </w:rPr>
              <w:t>III</w:t>
            </w:r>
            <w:r>
              <w:rPr>
                <w:rFonts w:cs="Cambria"/>
              </w:rPr>
              <w:t xml:space="preserve"> clinical studies (Pool S1).</w:t>
            </w:r>
          </w:p>
        </w:tc>
      </w:tr>
      <w:tr w:rsidR="00B146AA" w:rsidTr="00A567C2">
        <w:tc>
          <w:tcPr>
            <w:tcW w:w="4395" w:type="dxa"/>
          </w:tcPr>
          <w:p w:rsidR="00B146AA" w:rsidRDefault="00B146AA" w:rsidP="00A567C2">
            <w:pPr>
              <w:rPr>
                <w:rFonts w:cs="Cambria"/>
              </w:rPr>
            </w:pPr>
            <w:r>
              <w:t xml:space="preserve">Live vaccines cannot be given concurrently with </w:t>
            </w:r>
            <w:r w:rsidR="001D63B3">
              <w:t>certolizumab pegol</w:t>
            </w:r>
            <w:r>
              <w:t>.</w:t>
            </w:r>
          </w:p>
        </w:tc>
        <w:tc>
          <w:tcPr>
            <w:tcW w:w="4394" w:type="dxa"/>
          </w:tcPr>
          <w:p w:rsidR="00B146AA" w:rsidRDefault="00B146AA" w:rsidP="00A567C2">
            <w:pPr>
              <w:rPr>
                <w:rFonts w:cs="Cambria"/>
              </w:rPr>
            </w:pPr>
            <w:r>
              <w:rPr>
                <w:rFonts w:cs="Cambria"/>
              </w:rPr>
              <w:t>The sponsor has not provided any studies specifically examining this issue.</w:t>
            </w:r>
          </w:p>
        </w:tc>
      </w:tr>
      <w:tr w:rsidR="00B146AA" w:rsidTr="00A567C2">
        <w:tc>
          <w:tcPr>
            <w:tcW w:w="4395" w:type="dxa"/>
          </w:tcPr>
          <w:p w:rsidR="00B146AA" w:rsidRDefault="00B146AA" w:rsidP="008A7DD9">
            <w:r>
              <w:rPr>
                <w:rFonts w:cs="Cambria"/>
              </w:rPr>
              <w:t>Consistently higher rates (</w:t>
            </w:r>
            <w:r w:rsidR="00BC7159">
              <w:rPr>
                <w:rFonts w:cs="Cambria"/>
              </w:rPr>
              <w:t>2 fold</w:t>
            </w:r>
            <w:r>
              <w:rPr>
                <w:rFonts w:cs="Cambria"/>
              </w:rPr>
              <w:t xml:space="preserve">) of </w:t>
            </w:r>
            <w:r w:rsidR="008A7DD9">
              <w:rPr>
                <w:rFonts w:cs="Cambria"/>
              </w:rPr>
              <w:t>antidrug antibody</w:t>
            </w:r>
            <w:r w:rsidR="00702D7B">
              <w:rPr>
                <w:rFonts w:cs="Cambria"/>
              </w:rPr>
              <w:t xml:space="preserve"> </w:t>
            </w:r>
            <w:r>
              <w:rPr>
                <w:rFonts w:cs="Cambria"/>
              </w:rPr>
              <w:t xml:space="preserve">formation with </w:t>
            </w:r>
            <w:r w:rsidR="001D63B3">
              <w:rPr>
                <w:rFonts w:cs="Cambria"/>
              </w:rPr>
              <w:t>certolizumab pegol</w:t>
            </w:r>
            <w:r>
              <w:rPr>
                <w:rFonts w:cs="Cambria"/>
              </w:rPr>
              <w:t xml:space="preserve"> 200</w:t>
            </w:r>
            <w:r w:rsidR="008A7DD9">
              <w:rPr>
                <w:rFonts w:cs="Cambria"/>
              </w:rPr>
              <w:t xml:space="preserve"> </w:t>
            </w:r>
            <w:r>
              <w:rPr>
                <w:rFonts w:cs="Cambria"/>
              </w:rPr>
              <w:t xml:space="preserve">mg Q2W therapy compared to </w:t>
            </w:r>
            <w:r w:rsidR="001D63B3">
              <w:rPr>
                <w:rFonts w:cs="Cambria"/>
              </w:rPr>
              <w:t>certolizumab pegol</w:t>
            </w:r>
            <w:r>
              <w:rPr>
                <w:rFonts w:cs="Cambria"/>
              </w:rPr>
              <w:t xml:space="preserve"> 400</w:t>
            </w:r>
            <w:r w:rsidR="008A7DD9">
              <w:rPr>
                <w:rFonts w:cs="Cambria"/>
              </w:rPr>
              <w:t xml:space="preserve"> </w:t>
            </w:r>
            <w:r>
              <w:rPr>
                <w:rFonts w:cs="Cambria"/>
              </w:rPr>
              <w:t xml:space="preserve">mg Q2W. Positive </w:t>
            </w:r>
            <w:r w:rsidR="008A7DD9">
              <w:rPr>
                <w:rFonts w:cs="Cambria"/>
              </w:rPr>
              <w:t>antidrug antibody</w:t>
            </w:r>
            <w:r>
              <w:rPr>
                <w:rFonts w:cs="Cambria"/>
              </w:rPr>
              <w:t xml:space="preserve"> results in increased drug </w:t>
            </w:r>
            <w:r>
              <w:rPr>
                <w:rFonts w:cs="Cambria"/>
              </w:rPr>
              <w:lastRenderedPageBreak/>
              <w:t>clearance and a lower likelihood of achieving clinical response.</w:t>
            </w:r>
          </w:p>
        </w:tc>
        <w:tc>
          <w:tcPr>
            <w:tcW w:w="4394" w:type="dxa"/>
          </w:tcPr>
          <w:p w:rsidR="00B146AA" w:rsidRDefault="00B146AA" w:rsidP="008A7DD9">
            <w:pPr>
              <w:rPr>
                <w:rFonts w:cs="Cambria"/>
              </w:rPr>
            </w:pPr>
            <w:r>
              <w:rPr>
                <w:rFonts w:cs="Cambria"/>
              </w:rPr>
              <w:lastRenderedPageBreak/>
              <w:t xml:space="preserve">The sponsor has conducted extensive analysis of the Phase </w:t>
            </w:r>
            <w:r w:rsidR="008A7DD9">
              <w:rPr>
                <w:rFonts w:cs="Cambria"/>
              </w:rPr>
              <w:t>II</w:t>
            </w:r>
            <w:r>
              <w:rPr>
                <w:rFonts w:cs="Cambria"/>
              </w:rPr>
              <w:t xml:space="preserve"> and </w:t>
            </w:r>
            <w:r w:rsidR="008A7DD9">
              <w:rPr>
                <w:rFonts w:cs="Cambria"/>
              </w:rPr>
              <w:t>III</w:t>
            </w:r>
            <w:r>
              <w:rPr>
                <w:rFonts w:cs="Cambria"/>
              </w:rPr>
              <w:t xml:space="preserve"> clinical studies to ascertain the risk.</w:t>
            </w:r>
          </w:p>
        </w:tc>
      </w:tr>
      <w:tr w:rsidR="00B146AA" w:rsidTr="00A567C2">
        <w:tc>
          <w:tcPr>
            <w:tcW w:w="4395" w:type="dxa"/>
          </w:tcPr>
          <w:p w:rsidR="00B146AA" w:rsidRDefault="00B146AA" w:rsidP="00A567C2">
            <w:pPr>
              <w:rPr>
                <w:rFonts w:cs="Cambria"/>
              </w:rPr>
            </w:pPr>
            <w:r>
              <w:rPr>
                <w:rFonts w:cs="Cambria"/>
              </w:rPr>
              <w:t xml:space="preserve">Higher incidence of anaemia and mild decrease in platelet count with </w:t>
            </w:r>
            <w:r w:rsidR="001D63B3">
              <w:rPr>
                <w:rFonts w:cs="Cambria"/>
              </w:rPr>
              <w:t>certolizumab pegol</w:t>
            </w:r>
            <w:r>
              <w:rPr>
                <w:rFonts w:cs="Cambria"/>
              </w:rPr>
              <w:t xml:space="preserve"> versus </w:t>
            </w:r>
            <w:r w:rsidR="00A316C5">
              <w:rPr>
                <w:rFonts w:cs="Cambria"/>
              </w:rPr>
              <w:t>placebo</w:t>
            </w:r>
            <w:r w:rsidR="007B4FFB">
              <w:rPr>
                <w:rFonts w:cs="Cambria"/>
              </w:rPr>
              <w:t>.</w:t>
            </w:r>
          </w:p>
        </w:tc>
        <w:tc>
          <w:tcPr>
            <w:tcW w:w="4394" w:type="dxa"/>
          </w:tcPr>
          <w:p w:rsidR="00B146AA" w:rsidRDefault="00B146AA" w:rsidP="00A567C2">
            <w:pPr>
              <w:rPr>
                <w:rFonts w:cs="Cambria"/>
              </w:rPr>
            </w:pPr>
            <w:r>
              <w:rPr>
                <w:rFonts w:cs="Cambria"/>
              </w:rPr>
              <w:t>Reported in Pools S1 and S4.</w:t>
            </w:r>
          </w:p>
        </w:tc>
      </w:tr>
      <w:tr w:rsidR="00B146AA" w:rsidTr="00A567C2">
        <w:tc>
          <w:tcPr>
            <w:tcW w:w="4395" w:type="dxa"/>
          </w:tcPr>
          <w:p w:rsidR="00B146AA" w:rsidRDefault="00CA3875" w:rsidP="00A567C2">
            <w:pPr>
              <w:rPr>
                <w:rFonts w:cs="Cambria"/>
              </w:rPr>
            </w:pPr>
            <w:r>
              <w:rPr>
                <w:rFonts w:cs="Cambria"/>
              </w:rPr>
              <w:t xml:space="preserve">Certolizumab </w:t>
            </w:r>
            <w:r w:rsidR="001D63B3">
              <w:rPr>
                <w:rFonts w:cs="Cambria"/>
              </w:rPr>
              <w:t>pegol</w:t>
            </w:r>
            <w:r w:rsidR="00B146AA">
              <w:rPr>
                <w:rFonts w:cs="Cambria"/>
              </w:rPr>
              <w:t xml:space="preserve"> has not been studied in patients &lt;</w:t>
            </w:r>
            <w:r w:rsidR="008A7DD9">
              <w:rPr>
                <w:rFonts w:cs="Cambria"/>
              </w:rPr>
              <w:t xml:space="preserve"> </w:t>
            </w:r>
            <w:r w:rsidR="00B146AA">
              <w:rPr>
                <w:rFonts w:cs="Cambria"/>
              </w:rPr>
              <w:t>18 years of age, in subjects with significant organ dysfunction, and in those with concurrent Hepatitis B or C virus or HIV.</w:t>
            </w:r>
          </w:p>
        </w:tc>
        <w:tc>
          <w:tcPr>
            <w:tcW w:w="4394" w:type="dxa"/>
          </w:tcPr>
          <w:p w:rsidR="00B146AA" w:rsidRDefault="00B146AA" w:rsidP="00A567C2">
            <w:pPr>
              <w:rPr>
                <w:rFonts w:cs="Cambria"/>
              </w:rPr>
            </w:pPr>
            <w:r>
              <w:rPr>
                <w:rFonts w:cs="Cambria"/>
              </w:rPr>
              <w:t xml:space="preserve">The populations with inadequate clinical data regarding </w:t>
            </w:r>
            <w:r w:rsidR="001D63B3">
              <w:rPr>
                <w:rFonts w:cs="Cambria"/>
              </w:rPr>
              <w:t>certolizumab pegol</w:t>
            </w:r>
            <w:r>
              <w:rPr>
                <w:rFonts w:cs="Cambria"/>
              </w:rPr>
              <w:t xml:space="preserve"> therapy are identified in the proposed RMP.</w:t>
            </w:r>
          </w:p>
        </w:tc>
      </w:tr>
    </w:tbl>
    <w:p w:rsidR="00605AD4" w:rsidRPr="00605AD4" w:rsidRDefault="00605AD4" w:rsidP="00605AD4">
      <w:pPr>
        <w:pStyle w:val="Heading4"/>
      </w:pPr>
      <w:r w:rsidRPr="00605AD4">
        <w:t>First round assessment of benefit-risk balance</w:t>
      </w:r>
    </w:p>
    <w:p w:rsidR="00702D7B" w:rsidRDefault="00B146AA" w:rsidP="00B146AA">
      <w:r>
        <w:t xml:space="preserve">The overall benefit-risk balance of </w:t>
      </w:r>
      <w:r w:rsidR="001D63B3">
        <w:t>certolizumab pegol</w:t>
      </w:r>
      <w:r>
        <w:t xml:space="preserve"> in adult patients with moderate to severe chronic plaque </w:t>
      </w:r>
      <w:r w:rsidR="00A567C2">
        <w:t>psoriasis</w:t>
      </w:r>
      <w:r>
        <w:t xml:space="preserve"> is favourable. Although there are several biologic therapies approved for the treatment of </w:t>
      </w:r>
      <w:r w:rsidR="00A567C2">
        <w:t>psoriasis</w:t>
      </w:r>
      <w:r>
        <w:t xml:space="preserve">, including 3 alternative anti-TNF drugs, a significant proportion of patients still do not achieve optimal or adequate efficacy when clinically meaningful measures of improvement, such as the rates of PASI75 and PGA response. Other limitations to currently available therapies in Australia include diminished efficacy over time and drug related safety concerns such as opportunistic infection (including </w:t>
      </w:r>
      <w:r w:rsidR="00EE730D">
        <w:t>tuberculosis</w:t>
      </w:r>
      <w:r>
        <w:t xml:space="preserve"> and invasive fungal infections), malignancy (</w:t>
      </w:r>
      <w:r w:rsidR="00A567C2">
        <w:t>for example,</w:t>
      </w:r>
      <w:r>
        <w:t xml:space="preserve"> skin cancers and lymphoma) and various laboratory test abnormalities (</w:t>
      </w:r>
      <w:r w:rsidR="00A567C2">
        <w:t>for example,</w:t>
      </w:r>
      <w:r>
        <w:t xml:space="preserve"> abnormal liver function tests and cytop</w:t>
      </w:r>
      <w:r w:rsidR="00CA3875">
        <w:t>a</w:t>
      </w:r>
      <w:r>
        <w:t>enia). Thus, there remains a significant unmet need for new drugs with unique properties that can provide a rapid onset of effect, as well as improved and sustained symptom improvement and a safety profile that allows for long-term (multi-year) use.</w:t>
      </w:r>
    </w:p>
    <w:p w:rsidR="00702D7B" w:rsidRDefault="008A7DD9" w:rsidP="00B146AA">
      <w:r>
        <w:t>C</w:t>
      </w:r>
      <w:r w:rsidR="001D63B3">
        <w:t>ertolizumab pegol</w:t>
      </w:r>
      <w:r w:rsidR="00B146AA">
        <w:t xml:space="preserve"> is a recombinant engineered, humanised, fragment antigen-binding prime that binds with high affinity to TNF alpha, thereby neutralising membrane associated and soluble human TNF alpha in a dose dependent manner. TNF alpha is a naturally occurring cytokine that is involved in normal inflammatory and immune responses, but the cytokine also plays a key role in the pathogenesis of </w:t>
      </w:r>
      <w:r w:rsidR="00A567C2">
        <w:t>psoriasis</w:t>
      </w:r>
      <w:r w:rsidR="00B146AA">
        <w:t xml:space="preserve">. In this submission, </w:t>
      </w:r>
      <w:r w:rsidR="001D63B3">
        <w:t>certolizumab pegol</w:t>
      </w:r>
      <w:r w:rsidR="00B146AA">
        <w:t xml:space="preserve"> has been evaluated in a moderate sized clinical program, which complied with </w:t>
      </w:r>
      <w:r w:rsidR="00CA3875">
        <w:t>the EMA’s Committee for Medicinal Products for Human Use (</w:t>
      </w:r>
      <w:r w:rsidR="00B146AA">
        <w:t>CHMP</w:t>
      </w:r>
      <w:r w:rsidR="00CA3875">
        <w:t>)</w:t>
      </w:r>
      <w:r w:rsidR="00B146AA">
        <w:t xml:space="preserve"> guidelines for evaluation of treatment in </w:t>
      </w:r>
      <w:r w:rsidR="00A567C2">
        <w:t>psoriasis</w:t>
      </w:r>
      <w:r w:rsidR="00B146AA">
        <w:t xml:space="preserve">. The clinical studies have evaluated an adequate number of subjects in the target patient population and demonstrated that </w:t>
      </w:r>
      <w:r w:rsidR="001D63B3">
        <w:t>certolizumab pegol</w:t>
      </w:r>
      <w:r w:rsidR="00B146AA">
        <w:t xml:space="preserve"> is an effective versus </w:t>
      </w:r>
      <w:r w:rsidR="00A316C5">
        <w:t>placebo</w:t>
      </w:r>
      <w:r w:rsidR="00B146AA">
        <w:t xml:space="preserve"> in the treatment of moderate to severe plaque </w:t>
      </w:r>
      <w:r w:rsidR="00A567C2">
        <w:t>psoriasis</w:t>
      </w:r>
      <w:r w:rsidR="00B146AA">
        <w:t>, and produces clinical responses similar to (</w:t>
      </w:r>
      <w:r w:rsidR="001D63B3">
        <w:t>certolizumab pegol</w:t>
      </w:r>
      <w:r w:rsidR="00B146AA">
        <w:t xml:space="preserve"> 200</w:t>
      </w:r>
      <w:r>
        <w:t xml:space="preserve"> </w:t>
      </w:r>
      <w:r w:rsidR="00B146AA">
        <w:t>mg Q2W) or superior to (</w:t>
      </w:r>
      <w:r w:rsidR="001D63B3">
        <w:t>certolizumab pegol</w:t>
      </w:r>
      <w:r w:rsidR="00B146AA">
        <w:t xml:space="preserve"> 400</w:t>
      </w:r>
      <w:r>
        <w:t xml:space="preserve"> </w:t>
      </w:r>
      <w:r w:rsidR="00B146AA">
        <w:t xml:space="preserve">mg Q2W) that of a commonly used active comparator therapy (etanercept). The dataset indicates that the most effective dose of </w:t>
      </w:r>
      <w:r w:rsidR="001D63B3">
        <w:t>certolizumab pegol</w:t>
      </w:r>
      <w:r w:rsidR="00B146AA">
        <w:t xml:space="preserve"> therapy is 400</w:t>
      </w:r>
      <w:r>
        <w:t xml:space="preserve"> </w:t>
      </w:r>
      <w:r w:rsidR="00B146AA">
        <w:t>mg Q2W by SC injection. In addition, the trials demonstrate that clinical efficacy responses are robust in subjects receiving the proposed 200 mg Q2W (following loading with 400</w:t>
      </w:r>
      <w:r>
        <w:t xml:space="preserve"> </w:t>
      </w:r>
      <w:r w:rsidR="00B146AA">
        <w:t xml:space="preserve">mg at </w:t>
      </w:r>
      <w:r>
        <w:t>W</w:t>
      </w:r>
      <w:r w:rsidR="00B146AA">
        <w:t xml:space="preserve">eeks 0, 2 and 4) as the alternate posology tested in the Phase </w:t>
      </w:r>
      <w:r>
        <w:t>II and III</w:t>
      </w:r>
      <w:r w:rsidR="00B146AA">
        <w:t xml:space="preserve"> </w:t>
      </w:r>
      <w:r w:rsidR="00CA3875">
        <w:t xml:space="preserve">study </w:t>
      </w:r>
      <w:r w:rsidR="00B146AA">
        <w:t xml:space="preserve">program. The superior efficacy of </w:t>
      </w:r>
      <w:r w:rsidR="001D63B3">
        <w:t>certolizumab pegol</w:t>
      </w:r>
      <w:r w:rsidR="00B146AA">
        <w:t xml:space="preserve"> versus </w:t>
      </w:r>
      <w:r w:rsidR="00A316C5">
        <w:t>placebo</w:t>
      </w:r>
      <w:r w:rsidR="00B146AA">
        <w:t xml:space="preserve"> was consistently seen across patient subgroups, including with prior exposure to biologic and anti-TNF therapies.</w:t>
      </w:r>
    </w:p>
    <w:p w:rsidR="00702D7B" w:rsidRDefault="00B146AA" w:rsidP="00B146AA">
      <w:r>
        <w:t xml:space="preserve">The safety profile of </w:t>
      </w:r>
      <w:r w:rsidR="001D63B3">
        <w:t>certolizumab pegol</w:t>
      </w:r>
      <w:r>
        <w:t xml:space="preserve"> observed in the </w:t>
      </w:r>
      <w:r w:rsidR="00A567C2">
        <w:t>psoriasis</w:t>
      </w:r>
      <w:r>
        <w:t xml:space="preserve"> clinical study program is consistent with that known for the drug, based on the anticipated effects of TNF inhibition, including an increased risk of serious infection (in particular, </w:t>
      </w:r>
      <w:r w:rsidR="00EE730D">
        <w:t>tuberculosis</w:t>
      </w:r>
      <w:r>
        <w:t xml:space="preserve">), cases of multiple sclerosis and </w:t>
      </w:r>
      <w:r w:rsidR="008A7DD9">
        <w:t>injection site reaction</w:t>
      </w:r>
      <w:r>
        <w:t xml:space="preserve">s (some of which can be serious and associated with systemic hypersensitivity reactions). The risk profile of </w:t>
      </w:r>
      <w:r w:rsidR="001D63B3">
        <w:t xml:space="preserve">certolizumab </w:t>
      </w:r>
      <w:r w:rsidR="001D63B3">
        <w:lastRenderedPageBreak/>
        <w:t>pegol</w:t>
      </w:r>
      <w:r>
        <w:t xml:space="preserve"> is based on a total of 1112 </w:t>
      </w:r>
      <w:r w:rsidR="001D63B3">
        <w:t>certolizumab pegol</w:t>
      </w:r>
      <w:r>
        <w:t xml:space="preserve">-treated patients with </w:t>
      </w:r>
      <w:r w:rsidR="00A567C2">
        <w:t>psoriasis</w:t>
      </w:r>
      <w:r>
        <w:t xml:space="preserve"> involved in the </w:t>
      </w:r>
      <w:r w:rsidR="00BE0224">
        <w:t>three</w:t>
      </w:r>
      <w:r>
        <w:t xml:space="preserve"> pivotal Phase </w:t>
      </w:r>
      <w:r w:rsidR="008A7DD9">
        <w:t>III</w:t>
      </w:r>
      <w:r>
        <w:t xml:space="preserve"> studies as well as the Phase </w:t>
      </w:r>
      <w:r w:rsidR="008A7DD9">
        <w:t>II</w:t>
      </w:r>
      <w:r>
        <w:t xml:space="preserve"> </w:t>
      </w:r>
      <w:r w:rsidR="00CA3875">
        <w:t xml:space="preserve">study </w:t>
      </w:r>
      <w:r>
        <w:t xml:space="preserve">program. </w:t>
      </w:r>
      <w:r w:rsidR="002C4EA8">
        <w:t>C</w:t>
      </w:r>
      <w:r w:rsidR="001D63B3">
        <w:t>ertolizumab pegol</w:t>
      </w:r>
      <w:r>
        <w:t xml:space="preserve"> is a biologic therapy given by SC injection, thus the occurrence of </w:t>
      </w:r>
      <w:r w:rsidR="008A7DD9">
        <w:t>antidrug antibodies</w:t>
      </w:r>
      <w:r>
        <w:t xml:space="preserve"> was also expected. There was a </w:t>
      </w:r>
      <w:r w:rsidR="00BC7159">
        <w:t>2 fold</w:t>
      </w:r>
      <w:r>
        <w:t xml:space="preserve"> increased frequency of developing </w:t>
      </w:r>
      <w:r w:rsidR="008A7DD9">
        <w:t>antidrug antibodies</w:t>
      </w:r>
      <w:r>
        <w:t xml:space="preserve"> with the lower </w:t>
      </w:r>
      <w:r w:rsidR="001D63B3">
        <w:t>certolizumab pegol</w:t>
      </w:r>
      <w:r>
        <w:t xml:space="preserve"> dose regimen of 200</w:t>
      </w:r>
      <w:r w:rsidR="008A7DD9">
        <w:t> </w:t>
      </w:r>
      <w:r>
        <w:t xml:space="preserve">mg Q2W compared with </w:t>
      </w:r>
      <w:r w:rsidR="001D63B3">
        <w:t>certolizumab pegol</w:t>
      </w:r>
      <w:r>
        <w:t xml:space="preserve"> 400</w:t>
      </w:r>
      <w:r w:rsidR="008A7DD9">
        <w:t xml:space="preserve"> </w:t>
      </w:r>
      <w:r>
        <w:t xml:space="preserve">mg Q2W. The main impact of a subject becoming </w:t>
      </w:r>
      <w:r w:rsidR="008A7DD9">
        <w:t>antidrug antibody</w:t>
      </w:r>
      <w:r>
        <w:t xml:space="preserve"> positive was significantly increased drug clearance with a lower likelihood of developing sufficient clinical response. No safety concerns were associated with the development of </w:t>
      </w:r>
      <w:r w:rsidR="008A7DD9">
        <w:t>antidrug antibodies</w:t>
      </w:r>
      <w:r>
        <w:t>.</w:t>
      </w:r>
    </w:p>
    <w:p w:rsidR="00B146AA" w:rsidRDefault="00B146AA" w:rsidP="00B146AA">
      <w:r>
        <w:t xml:space="preserve">In the </w:t>
      </w:r>
      <w:r w:rsidR="00A567C2">
        <w:t>psoriasis</w:t>
      </w:r>
      <w:r>
        <w:t xml:space="preserve"> trials, there was an increased incidence in serious infection in the 2</w:t>
      </w:r>
      <w:r w:rsidR="00CA3875">
        <w:t> </w:t>
      </w:r>
      <w:r w:rsidR="001D63B3">
        <w:t>certolizumab pegol</w:t>
      </w:r>
      <w:r>
        <w:t xml:space="preserve"> dose groups compared to </w:t>
      </w:r>
      <w:r w:rsidR="00A316C5">
        <w:t>placebo</w:t>
      </w:r>
      <w:r>
        <w:t xml:space="preserve">, with a slightly increased frequency and </w:t>
      </w:r>
      <w:r w:rsidR="00EE730D">
        <w:t>incident rate</w:t>
      </w:r>
      <w:r>
        <w:t xml:space="preserve"> of serious infection with the highest dose of </w:t>
      </w:r>
      <w:r w:rsidR="001D63B3">
        <w:t>certolizumab pegol</w:t>
      </w:r>
      <w:r>
        <w:t xml:space="preserve">. Furthermore, 2 patients in the Phase </w:t>
      </w:r>
      <w:r w:rsidR="003E4BE9">
        <w:t>II and III</w:t>
      </w:r>
      <w:r>
        <w:t xml:space="preserve"> </w:t>
      </w:r>
      <w:r w:rsidR="00A567C2">
        <w:t>psoriasis</w:t>
      </w:r>
      <w:r>
        <w:t xml:space="preserve"> program developed </w:t>
      </w:r>
      <w:r w:rsidR="00EE730D">
        <w:t>tuberculosis</w:t>
      </w:r>
      <w:r>
        <w:t xml:space="preserve"> while receiving </w:t>
      </w:r>
      <w:r w:rsidR="001D63B3">
        <w:t>certolizumab pegol</w:t>
      </w:r>
      <w:r>
        <w:t xml:space="preserve">. No other serious opportunistic infections were reported with </w:t>
      </w:r>
      <w:r w:rsidR="001D63B3">
        <w:t>certolizumab pegol</w:t>
      </w:r>
      <w:r>
        <w:t xml:space="preserve">. There was also an increased incidence of mild-moderate hepatic AEs or liver function abnormalities and dyslipidaemia with </w:t>
      </w:r>
      <w:r w:rsidR="001D63B3">
        <w:t>certolizumab pegol</w:t>
      </w:r>
      <w:r>
        <w:t xml:space="preserve"> versus </w:t>
      </w:r>
      <w:r w:rsidR="00A316C5">
        <w:t>placebo</w:t>
      </w:r>
      <w:r>
        <w:t>, which was not clearly dose related.</w:t>
      </w:r>
    </w:p>
    <w:p w:rsidR="00605AD4" w:rsidRPr="00605AD4" w:rsidRDefault="00B146AA" w:rsidP="00B146AA">
      <w:r>
        <w:t xml:space="preserve">Malignancy represents a theoretical risk with any immunosuppressive therapy, but there is no evidence that </w:t>
      </w:r>
      <w:r w:rsidR="001D63B3">
        <w:t>certolizumab pegol</w:t>
      </w:r>
      <w:r>
        <w:t xml:space="preserve"> confers an increased risk for malignancy in the current dataset of short-term drug exposure. In the submitted trials, </w:t>
      </w:r>
      <w:r w:rsidR="001D63B3">
        <w:t>certolizumab pegol</w:t>
      </w:r>
      <w:r>
        <w:t xml:space="preserve"> treatment (particularly, the higher dose of 400</w:t>
      </w:r>
      <w:r w:rsidR="003E4BE9">
        <w:t xml:space="preserve"> </w:t>
      </w:r>
      <w:r>
        <w:t xml:space="preserve">mg Q2W) was associated with a higher incidence of injection site reactions compared to </w:t>
      </w:r>
      <w:r w:rsidR="00A316C5">
        <w:t>placebo</w:t>
      </w:r>
      <w:r>
        <w:t xml:space="preserve">, but these were generally mild, localised and self-limiting. There was 1 case of serious anaphylactoid reaction following the first dose of </w:t>
      </w:r>
      <w:r w:rsidR="001D63B3">
        <w:t>certolizumab pegol</w:t>
      </w:r>
      <w:r>
        <w:t xml:space="preserve"> in the </w:t>
      </w:r>
      <w:r w:rsidR="00A567C2">
        <w:t>psoriasis</w:t>
      </w:r>
      <w:r>
        <w:t xml:space="preserve"> program.</w:t>
      </w:r>
    </w:p>
    <w:p w:rsidR="00605AD4" w:rsidRPr="00605AD4" w:rsidRDefault="00605AD4" w:rsidP="00605AD4">
      <w:pPr>
        <w:pStyle w:val="Heading3"/>
        <w:rPr>
          <w:rFonts w:eastAsia="Cambria"/>
        </w:rPr>
      </w:pPr>
      <w:bookmarkStart w:id="74" w:name="_Toc21525663"/>
      <w:r w:rsidRPr="00605AD4">
        <w:rPr>
          <w:rFonts w:eastAsia="Cambria"/>
        </w:rPr>
        <w:t xml:space="preserve">First </w:t>
      </w:r>
      <w:r w:rsidR="001A0B08" w:rsidRPr="00605AD4">
        <w:rPr>
          <w:rFonts w:eastAsia="Cambria"/>
        </w:rPr>
        <w:t>round recommendation regarding authorisation</w:t>
      </w:r>
      <w:bookmarkEnd w:id="74"/>
    </w:p>
    <w:p w:rsidR="00702D7B" w:rsidRDefault="002C4EA8" w:rsidP="001A0B08">
      <w:r>
        <w:t xml:space="preserve">The clinical reviewer </w:t>
      </w:r>
      <w:r w:rsidR="00B146AA">
        <w:t>recommend</w:t>
      </w:r>
      <w:r>
        <w:t>ed</w:t>
      </w:r>
      <w:r w:rsidR="00B146AA">
        <w:t xml:space="preserve"> acceptance of the sponsor’s request for the registration of </w:t>
      </w:r>
      <w:r w:rsidR="001D63B3">
        <w:t>certolizumab pegol</w:t>
      </w:r>
      <w:r w:rsidR="00B146AA">
        <w:t xml:space="preserve"> for the treatment of moderate to severe, chronic plaque </w:t>
      </w:r>
      <w:r w:rsidR="00A567C2">
        <w:t>psoriasis</w:t>
      </w:r>
      <w:r w:rsidR="00B146AA">
        <w:t xml:space="preserve"> in adult patients who are candidates for systemic therapy or phototherapy. The treatment indication reflects the populations studied in the submitted trials. The current submission provides robust evidence that </w:t>
      </w:r>
      <w:r w:rsidR="001D63B3">
        <w:t>certolizumab pegol</w:t>
      </w:r>
      <w:r w:rsidR="00B146AA">
        <w:t xml:space="preserve"> is effective in improving the clinical extent and severity of </w:t>
      </w:r>
      <w:r w:rsidR="00A567C2">
        <w:t>psoriasis</w:t>
      </w:r>
      <w:r w:rsidR="00B146AA">
        <w:t xml:space="preserve">, as well as improving health related quality of life. The safety profile of </w:t>
      </w:r>
      <w:r w:rsidR="001D63B3">
        <w:t>certolizumab pegol</w:t>
      </w:r>
      <w:r w:rsidR="00B146AA">
        <w:t xml:space="preserve"> in patients with </w:t>
      </w:r>
      <w:r w:rsidR="00A567C2">
        <w:t>psoriasis</w:t>
      </w:r>
      <w:r w:rsidR="00B146AA">
        <w:t xml:space="preserve"> is consistent with the known characterisation of </w:t>
      </w:r>
      <w:r w:rsidR="001D63B3">
        <w:t>certolizumab pegol</w:t>
      </w:r>
      <w:r w:rsidR="00B146AA">
        <w:t xml:space="preserve"> in other autoimmune disease treatment indications, and represents an acceptable level of potential toxicity given the impact (clinical and quality of life outcomes) of affected individuals with moderate to severe </w:t>
      </w:r>
      <w:r w:rsidR="00A567C2">
        <w:t>psoriasis</w:t>
      </w:r>
      <w:r w:rsidR="007B4FFB">
        <w:t>.</w:t>
      </w:r>
    </w:p>
    <w:p w:rsidR="00702D7B" w:rsidRDefault="002C4EA8" w:rsidP="00B146AA">
      <w:r>
        <w:t>The clinical reviewer agr</w:t>
      </w:r>
      <w:r w:rsidR="00B146AA">
        <w:t>ee</w:t>
      </w:r>
      <w:r>
        <w:t>s</w:t>
      </w:r>
      <w:r w:rsidR="00B146AA">
        <w:t xml:space="preserve"> with the sponsor proposed posology for </w:t>
      </w:r>
      <w:r w:rsidR="001D63B3">
        <w:t>certolizumab pegol</w:t>
      </w:r>
      <w:r w:rsidR="00B146AA">
        <w:t xml:space="preserve"> therapy of 400</w:t>
      </w:r>
      <w:r w:rsidR="003E4BE9">
        <w:t xml:space="preserve"> </w:t>
      </w:r>
      <w:r w:rsidR="00B146AA">
        <w:t>mg Q2W as the totality of the clinical dataset indicates that this is the most clinically effective regimen, which carries no clear additional risk of toxicity over the lower dose regimen of 200</w:t>
      </w:r>
      <w:r w:rsidR="003E4BE9">
        <w:t xml:space="preserve"> </w:t>
      </w:r>
      <w:r w:rsidR="00B146AA">
        <w:t xml:space="preserve">mg Q2W apart from an increased risk of </w:t>
      </w:r>
      <w:r>
        <w:t>injection site reaction</w:t>
      </w:r>
      <w:r w:rsidR="00B146AA">
        <w:t xml:space="preserve">s. Regarding justification for the sponsor proposed </w:t>
      </w:r>
      <w:r w:rsidR="001D63B3">
        <w:t>certolizumab pegol</w:t>
      </w:r>
      <w:r w:rsidR="00B146AA">
        <w:t xml:space="preserve"> posology, 2 dose regimens (</w:t>
      </w:r>
      <w:r w:rsidR="001D63B3">
        <w:t>certolizumab pegol</w:t>
      </w:r>
      <w:r w:rsidR="00B146AA">
        <w:t xml:space="preserve"> 200 mg Q2W </w:t>
      </w:r>
      <w:r w:rsidR="00CA3875">
        <w:t>(</w:t>
      </w:r>
      <w:r w:rsidR="00B146AA">
        <w:t>with loading doses of 400</w:t>
      </w:r>
      <w:r w:rsidR="003E4BE9">
        <w:t xml:space="preserve"> </w:t>
      </w:r>
      <w:r w:rsidR="00B146AA">
        <w:t xml:space="preserve">mg at </w:t>
      </w:r>
      <w:r w:rsidR="003E4BE9">
        <w:t>W</w:t>
      </w:r>
      <w:r w:rsidR="00B146AA">
        <w:t>eeks 0, 2 and 4</w:t>
      </w:r>
      <w:r w:rsidR="00CA3875">
        <w:t>)</w:t>
      </w:r>
      <w:r w:rsidR="00B146AA">
        <w:t xml:space="preserve"> and </w:t>
      </w:r>
      <w:r w:rsidR="001D63B3">
        <w:t>certolizumab pegol</w:t>
      </w:r>
      <w:r w:rsidR="00B146AA">
        <w:t xml:space="preserve"> 400</w:t>
      </w:r>
      <w:r w:rsidR="003E4BE9">
        <w:t xml:space="preserve"> </w:t>
      </w:r>
      <w:r w:rsidR="00B146AA">
        <w:t xml:space="preserve">mg Q2W by SC injection) were selected for investigation in the Phase </w:t>
      </w:r>
      <w:r w:rsidR="003E4BE9">
        <w:t>III</w:t>
      </w:r>
      <w:r w:rsidR="00B146AA">
        <w:t xml:space="preserve"> studies. Both doses achieved higher, clinically significant rates of PASI and PGA response at 16 weeks of therapy compared to </w:t>
      </w:r>
      <w:r w:rsidR="00A316C5">
        <w:t>placebo</w:t>
      </w:r>
      <w:r w:rsidR="00B146AA">
        <w:t>. The lower dose regimen has been included in the PI as alternative posology, which is appropriate for selected individuals and clinical circumstances.</w:t>
      </w:r>
    </w:p>
    <w:p w:rsidR="00B146AA" w:rsidRDefault="00B146AA" w:rsidP="00B146AA">
      <w:r>
        <w:t xml:space="preserve">Should approval of the sponsor’s proposed registration of </w:t>
      </w:r>
      <w:r w:rsidR="001D63B3">
        <w:t>certolizumab pegol</w:t>
      </w:r>
      <w:r>
        <w:t xml:space="preserve"> for the treatment of moderate to severe </w:t>
      </w:r>
      <w:r w:rsidR="00A567C2">
        <w:t>psoriasis</w:t>
      </w:r>
      <w:r>
        <w:t xml:space="preserve"> be granted, </w:t>
      </w:r>
      <w:r w:rsidR="00CA3875">
        <w:t>the clinical evaluator</w:t>
      </w:r>
      <w:r>
        <w:t xml:space="preserve"> also recommen</w:t>
      </w:r>
      <w:r w:rsidR="00BE0224">
        <w:t>d</w:t>
      </w:r>
      <w:r w:rsidR="001D6F74">
        <w:t>ed</w:t>
      </w:r>
      <w:r w:rsidR="00BE0224">
        <w:t xml:space="preserve"> that approval be subject to:</w:t>
      </w:r>
    </w:p>
    <w:p w:rsidR="00702D7B" w:rsidRDefault="00CA3875" w:rsidP="003E4BE9">
      <w:pPr>
        <w:pStyle w:val="ListBullet"/>
      </w:pPr>
      <w:r>
        <w:lastRenderedPageBreak/>
        <w:t>s</w:t>
      </w:r>
      <w:r w:rsidR="00B146AA">
        <w:t xml:space="preserve">atisfactory response to the </w:t>
      </w:r>
      <w:r>
        <w:t xml:space="preserve">clinical </w:t>
      </w:r>
      <w:r w:rsidR="00B146AA">
        <w:t xml:space="preserve">questions </w:t>
      </w:r>
      <w:r>
        <w:t>(see following section);</w:t>
      </w:r>
    </w:p>
    <w:p w:rsidR="00702D7B" w:rsidRDefault="00CA3875" w:rsidP="003E4BE9">
      <w:pPr>
        <w:pStyle w:val="ListBullet"/>
      </w:pPr>
      <w:r>
        <w:t>r</w:t>
      </w:r>
      <w:r w:rsidR="00B146AA">
        <w:t>egular periodic safety update reports</w:t>
      </w:r>
      <w:r>
        <w:t>;</w:t>
      </w:r>
      <w:r w:rsidR="00B146AA">
        <w:t xml:space="preserve"> and</w:t>
      </w:r>
    </w:p>
    <w:p w:rsidR="00702D7B" w:rsidRDefault="00CA3875" w:rsidP="003E4BE9">
      <w:pPr>
        <w:pStyle w:val="ListBullet"/>
      </w:pPr>
      <w:r>
        <w:t xml:space="preserve">when </w:t>
      </w:r>
      <w:r w:rsidR="00B146AA">
        <w:t xml:space="preserve">available, the sponsor provides the TGA with the final clinical study reports for the </w:t>
      </w:r>
      <w:r w:rsidR="00BE0224">
        <w:t>three</w:t>
      </w:r>
      <w:r w:rsidR="00B146AA">
        <w:t xml:space="preserve"> ongoing Phase </w:t>
      </w:r>
      <w:r w:rsidR="003E4BE9">
        <w:t>III</w:t>
      </w:r>
      <w:r w:rsidR="00B146AA">
        <w:t xml:space="preserve"> studies.</w:t>
      </w:r>
    </w:p>
    <w:p w:rsidR="00605AD4" w:rsidRPr="00605AD4" w:rsidRDefault="002F5122" w:rsidP="00605AD4">
      <w:pPr>
        <w:pStyle w:val="Heading3"/>
        <w:rPr>
          <w:rFonts w:eastAsia="Cambria"/>
        </w:rPr>
      </w:pPr>
      <w:bookmarkStart w:id="75" w:name="_Toc21525664"/>
      <w:r w:rsidRPr="002F5122">
        <w:t xml:space="preserve">Clinical </w:t>
      </w:r>
      <w:r w:rsidR="001A0B08" w:rsidRPr="002F5122">
        <w:t>questions</w:t>
      </w:r>
      <w:r w:rsidR="001A0B08">
        <w:t xml:space="preserve"> and </w:t>
      </w:r>
      <w:r w:rsidR="001A0B08" w:rsidRPr="00605AD4">
        <w:rPr>
          <w:rFonts w:eastAsia="Cambria"/>
        </w:rPr>
        <w:t>second round evaluation</w:t>
      </w:r>
      <w:bookmarkEnd w:id="75"/>
    </w:p>
    <w:p w:rsidR="00BE0224" w:rsidRDefault="003E4BE9" w:rsidP="00BE0224">
      <w:pPr>
        <w:pStyle w:val="Heading4"/>
      </w:pPr>
      <w:r w:rsidRPr="003E4BE9">
        <w:t xml:space="preserve">Question </w:t>
      </w:r>
      <w:r w:rsidR="00BE0224">
        <w:t>1</w:t>
      </w:r>
    </w:p>
    <w:p w:rsidR="00B146AA" w:rsidRPr="001D6F74" w:rsidRDefault="00B146AA" w:rsidP="001D6F74">
      <w:pPr>
        <w:rPr>
          <w:b/>
          <w:i/>
        </w:rPr>
      </w:pPr>
      <w:r w:rsidRPr="001D6F74">
        <w:rPr>
          <w:b/>
          <w:i/>
        </w:rPr>
        <w:t>Given that positive anti-drug antibody status to Cimzia is associated with markedly lower trough drug concentrations, what can be done to reduce the likelihood of developing of anti-drug antibodies? Are there any concomitant medications that may be effective in reducing the likelihood of developing anti-drug antibodies? If so, were they explored in the psoriasis clinical trials?</w:t>
      </w:r>
    </w:p>
    <w:p w:rsidR="00BE0224" w:rsidRDefault="00895246" w:rsidP="00BE0224">
      <w:pPr>
        <w:pStyle w:val="Heading5"/>
      </w:pPr>
      <w:r w:rsidRPr="003E4BE9">
        <w:t xml:space="preserve">Sponsor </w:t>
      </w:r>
      <w:r w:rsidR="007B4FFB" w:rsidRPr="003E4BE9">
        <w:t>re</w:t>
      </w:r>
      <w:r w:rsidRPr="003E4BE9">
        <w:t>sponse</w:t>
      </w:r>
    </w:p>
    <w:p w:rsidR="00702D7B" w:rsidRDefault="003E4BE9" w:rsidP="00895246">
      <w:r>
        <w:t>T</w:t>
      </w:r>
      <w:r w:rsidR="00895246">
        <w:t xml:space="preserve">he sponsor acknowledges that further work is needed to evaluate the role of concomitant medicines (in particular, </w:t>
      </w:r>
      <w:r>
        <w:t>methotrexate</w:t>
      </w:r>
      <w:r w:rsidR="00895246">
        <w:t xml:space="preserve">) with anti-TNF therapies on the rate of immunogenicity and drug survival in patients with </w:t>
      </w:r>
      <w:r w:rsidR="00A567C2">
        <w:t>psoriasis</w:t>
      </w:r>
      <w:r w:rsidR="00895246">
        <w:t xml:space="preserve">. Some small patient number </w:t>
      </w:r>
      <w:r w:rsidR="00A567C2">
        <w:t>psoriasis</w:t>
      </w:r>
      <w:r w:rsidR="00895246">
        <w:t xml:space="preserve"> studies have shown a trend in favour of concurrent </w:t>
      </w:r>
      <w:r>
        <w:t>methotrexate</w:t>
      </w:r>
      <w:r w:rsidR="00895246">
        <w:t xml:space="preserve"> in reducing the formation of </w:t>
      </w:r>
      <w:r>
        <w:t>antidrug antibodies</w:t>
      </w:r>
      <w:r w:rsidR="00895246">
        <w:t xml:space="preserve"> with anti-TNF drugs, and data in other treatment indications (in particular, </w:t>
      </w:r>
      <w:r>
        <w:t>rheumatic arthritis</w:t>
      </w:r>
      <w:r w:rsidR="00895246">
        <w:t xml:space="preserve">) show the practice results in a beneficial effect. However, the sponsor states that concomitant </w:t>
      </w:r>
      <w:r>
        <w:t>methotrexate</w:t>
      </w:r>
      <w:r w:rsidR="00895246">
        <w:t xml:space="preserve"> or other immunosuppressant drugs such as azathioprine are not routinely co-prescribed with biologic therapies in patients with </w:t>
      </w:r>
      <w:r w:rsidR="00A567C2">
        <w:t>psoriasis</w:t>
      </w:r>
      <w:r w:rsidR="00895246">
        <w:t xml:space="preserve">. Furthermore, in the </w:t>
      </w:r>
      <w:r w:rsidR="001D63B3">
        <w:t>certolizumab pegol</w:t>
      </w:r>
      <w:r w:rsidR="00895246">
        <w:t xml:space="preserve"> </w:t>
      </w:r>
      <w:r w:rsidR="00A567C2">
        <w:t>psoriasis</w:t>
      </w:r>
      <w:r w:rsidR="00895246">
        <w:t xml:space="preserve"> study program, the use of concomitant systemic immunosuppressant drugs such as </w:t>
      </w:r>
      <w:r>
        <w:t>methotrexate</w:t>
      </w:r>
      <w:r w:rsidR="00895246">
        <w:t xml:space="preserve"> was prohibited and enrolled subjects were not to have such treatments for at least 4 weeks prior to their baseline visit.</w:t>
      </w:r>
    </w:p>
    <w:p w:rsidR="00BE0224" w:rsidRDefault="00BE0224" w:rsidP="00BE0224">
      <w:pPr>
        <w:pStyle w:val="Heading5"/>
      </w:pPr>
      <w:r>
        <w:t>Evaluation of response</w:t>
      </w:r>
    </w:p>
    <w:p w:rsidR="00895246" w:rsidRDefault="00895246" w:rsidP="00895246">
      <w:r>
        <w:t xml:space="preserve">The formation of </w:t>
      </w:r>
      <w:r w:rsidR="003E4BE9">
        <w:t xml:space="preserve">antidrug </w:t>
      </w:r>
      <w:r w:rsidR="00BE0224">
        <w:t>antibodies</w:t>
      </w:r>
      <w:r>
        <w:t xml:space="preserve"> with biologic therapies (including </w:t>
      </w:r>
      <w:r w:rsidR="001D63B3">
        <w:t>certolizumab pegol</w:t>
      </w:r>
      <w:r>
        <w:t xml:space="preserve">) is associated with lowered drug plasma concentration and exposure, which for some patients becomes clinically relevant through reduced efficacy or a secondary loss of treatment response. There is no association between </w:t>
      </w:r>
      <w:r w:rsidR="003E4BE9">
        <w:t>antidrug antibody</w:t>
      </w:r>
      <w:r>
        <w:t xml:space="preserve"> development with </w:t>
      </w:r>
      <w:r w:rsidR="001D63B3">
        <w:t>certolizumab pegol</w:t>
      </w:r>
      <w:r>
        <w:t xml:space="preserve"> therapy and the occurrence of specific safety concerns. Given that the prevention of </w:t>
      </w:r>
      <w:r w:rsidR="003E4BE9">
        <w:t>antidrug antibody</w:t>
      </w:r>
      <w:r>
        <w:t xml:space="preserve"> formation has a probable clinical impact on efficacy, </w:t>
      </w:r>
      <w:r w:rsidR="001D6F74">
        <w:t xml:space="preserve">the clinical evaluator </w:t>
      </w:r>
      <w:r>
        <w:t>encourage</w:t>
      </w:r>
      <w:r w:rsidR="00CA3875">
        <w:t>s</w:t>
      </w:r>
      <w:r>
        <w:t xml:space="preserve"> the sponsor to actively investigate the use of concomitant immunosuppressive drugs such as </w:t>
      </w:r>
      <w:r w:rsidR="003E4BE9">
        <w:t xml:space="preserve">methotrexate </w:t>
      </w:r>
      <w:r>
        <w:t xml:space="preserve">in adult patients with </w:t>
      </w:r>
      <w:r w:rsidR="00A567C2">
        <w:t>psoriasis</w:t>
      </w:r>
      <w:r>
        <w:t>. Nonetheless, this issue should not be a condition of registration as comparator therapies (</w:t>
      </w:r>
      <w:r w:rsidR="00A567C2">
        <w:t>that is,</w:t>
      </w:r>
      <w:r>
        <w:t xml:space="preserve"> other anti-TNF drugs) have been approved with similar concerns about </w:t>
      </w:r>
      <w:r w:rsidR="003E4BE9">
        <w:t>antidrug antibody</w:t>
      </w:r>
      <w:r>
        <w:t xml:space="preserve"> development and drug survival.</w:t>
      </w:r>
    </w:p>
    <w:p w:rsidR="00BE0224" w:rsidRDefault="00B146AA" w:rsidP="00BE0224">
      <w:pPr>
        <w:pStyle w:val="Heading4"/>
      </w:pPr>
      <w:r w:rsidRPr="003E4BE9">
        <w:t>Q</w:t>
      </w:r>
      <w:r w:rsidR="003E4BE9" w:rsidRPr="003E4BE9">
        <w:t xml:space="preserve">uestion </w:t>
      </w:r>
      <w:r w:rsidR="00BE0224">
        <w:t>2</w:t>
      </w:r>
    </w:p>
    <w:p w:rsidR="00702D7B" w:rsidRPr="001D6F74" w:rsidRDefault="00B146AA" w:rsidP="001D6F74">
      <w:pPr>
        <w:rPr>
          <w:b/>
          <w:i/>
        </w:rPr>
      </w:pPr>
      <w:r w:rsidRPr="001D6F74">
        <w:rPr>
          <w:b/>
          <w:i/>
        </w:rPr>
        <w:t>High subject weight (such as &gt;</w:t>
      </w:r>
      <w:r w:rsidR="003E4BE9" w:rsidRPr="001D6F74">
        <w:rPr>
          <w:b/>
          <w:i/>
        </w:rPr>
        <w:t xml:space="preserve"> </w:t>
      </w:r>
      <w:r w:rsidRPr="001D6F74">
        <w:rPr>
          <w:b/>
          <w:i/>
        </w:rPr>
        <w:t>108</w:t>
      </w:r>
      <w:r w:rsidR="003E4BE9" w:rsidRPr="001D6F74">
        <w:rPr>
          <w:b/>
          <w:i/>
        </w:rPr>
        <w:t xml:space="preserve"> </w:t>
      </w:r>
      <w:r w:rsidRPr="001D6F74">
        <w:rPr>
          <w:b/>
          <w:i/>
        </w:rPr>
        <w:t>kg) also significantly reduces drug exposure. Patients with psoriasis have a tendency to be of increased weight (mean body mass index of 31 kg/m</w:t>
      </w:r>
      <w:r w:rsidRPr="001D6F74">
        <w:rPr>
          <w:b/>
          <w:i/>
          <w:vertAlign w:val="superscript"/>
        </w:rPr>
        <w:t>2</w:t>
      </w:r>
      <w:r w:rsidRPr="001D6F74">
        <w:rPr>
          <w:b/>
          <w:i/>
        </w:rPr>
        <w:t xml:space="preserve"> in the CIMPASI studies). Should the dose regimen information with Cimzia use in psoriasis have flexibility for the higher dose regimen in subjects with increased body weight?</w:t>
      </w:r>
    </w:p>
    <w:p w:rsidR="00BE0224" w:rsidRDefault="00895246" w:rsidP="00BE0224">
      <w:pPr>
        <w:pStyle w:val="Heading5"/>
      </w:pPr>
      <w:r w:rsidRPr="003E4BE9">
        <w:t xml:space="preserve">Sponsor </w:t>
      </w:r>
      <w:r w:rsidR="007B4FFB" w:rsidRPr="003E4BE9">
        <w:t>res</w:t>
      </w:r>
      <w:r w:rsidRPr="003E4BE9">
        <w:t>ponse</w:t>
      </w:r>
    </w:p>
    <w:p w:rsidR="00895246" w:rsidRDefault="00895246" w:rsidP="00895246">
      <w:r>
        <w:t xml:space="preserve">The sponsor does not support the proposal of a weight based dose regimen for </w:t>
      </w:r>
      <w:r w:rsidR="001D63B3">
        <w:t>certolizumab pegol</w:t>
      </w:r>
      <w:r>
        <w:t xml:space="preserve"> in </w:t>
      </w:r>
      <w:r w:rsidR="00A567C2">
        <w:t>psoriasis</w:t>
      </w:r>
      <w:r>
        <w:t xml:space="preserve"> and has provided a response to this issue in the population </w:t>
      </w:r>
      <w:r w:rsidR="00F63AEF">
        <w:lastRenderedPageBreak/>
        <w:t>pharmacokinetic</w:t>
      </w:r>
      <w:r>
        <w:t>/</w:t>
      </w:r>
      <w:r w:rsidR="003E4BE9">
        <w:t>pharmacodynamic</w:t>
      </w:r>
      <w:r>
        <w:t xml:space="preserve"> </w:t>
      </w:r>
      <w:r w:rsidR="006611F6">
        <w:t>in response to Q</w:t>
      </w:r>
      <w:r w:rsidR="00CA3875">
        <w:t xml:space="preserve">uestion </w:t>
      </w:r>
      <w:r w:rsidR="006611F6">
        <w:t>4</w:t>
      </w:r>
      <w:r w:rsidR="00CA3875">
        <w:t>,</w:t>
      </w:r>
      <w:r w:rsidR="006611F6">
        <w:t xml:space="preserve"> below</w:t>
      </w:r>
      <w:r>
        <w:t xml:space="preserve">. The sponsor concurs that the population </w:t>
      </w:r>
      <w:r w:rsidR="00F63AEF">
        <w:t>pharmacokinetic</w:t>
      </w:r>
      <w:r>
        <w:t xml:space="preserve"> and </w:t>
      </w:r>
      <w:r w:rsidR="00F63AEF">
        <w:t>pharmacokinetic</w:t>
      </w:r>
      <w:r>
        <w:t>/</w:t>
      </w:r>
      <w:r w:rsidR="006611F6">
        <w:t>pharmacodynamic</w:t>
      </w:r>
      <w:r>
        <w:t xml:space="preserve"> models conclude that subject body weight significantly impacts upon drug clearance, apparent volume of distribution and time to achieve maximal PASI response. However, the sponsor asserts that both </w:t>
      </w:r>
      <w:r w:rsidR="001D63B3">
        <w:t>certolizumab pegol</w:t>
      </w:r>
      <w:r>
        <w:t xml:space="preserve"> maintenance dose regimens being requested for registration in </w:t>
      </w:r>
      <w:r w:rsidR="00A567C2">
        <w:t>psoriasis</w:t>
      </w:r>
      <w:r>
        <w:t xml:space="preserve"> (200</w:t>
      </w:r>
      <w:r w:rsidR="003E4BE9">
        <w:t xml:space="preserve"> </w:t>
      </w:r>
      <w:r>
        <w:t>mg Q2W and 400</w:t>
      </w:r>
      <w:r w:rsidR="003E4BE9">
        <w:t xml:space="preserve"> </w:t>
      </w:r>
      <w:r>
        <w:t>mg Q2W) have similar exposure-response curves and achieve similar clinical response rates (</w:t>
      </w:r>
      <w:r w:rsidR="00A567C2">
        <w:t>that is,</w:t>
      </w:r>
      <w:r>
        <w:t xml:space="preserve"> PASI and PGA responses within 5% of each other) at </w:t>
      </w:r>
      <w:r w:rsidR="003E4BE9">
        <w:t>W</w:t>
      </w:r>
      <w:r>
        <w:t>eeks 16 and 48. The sponsor also notes that subjects in the higher body weight quintiles tend to have a lower clinical response rates than patients with lower body weight, and that this outcome is not significantly influenced by the higher (400</w:t>
      </w:r>
      <w:r w:rsidR="003E4BE9">
        <w:t> </w:t>
      </w:r>
      <w:r>
        <w:t>mg Q2W) or lower (200</w:t>
      </w:r>
      <w:r w:rsidR="003E4BE9">
        <w:t xml:space="preserve"> </w:t>
      </w:r>
      <w:r>
        <w:t xml:space="preserve">mg Q2W) maintenance dose regimen of </w:t>
      </w:r>
      <w:r w:rsidR="001D63B3">
        <w:t>certolizumab pegol</w:t>
      </w:r>
      <w:r>
        <w:t>. The sponsor believes the current proposed dose regimen provides sufficient flexibility by stating “The dose of Cimzia for adult patients with plaque psoriasis is 400</w:t>
      </w:r>
      <w:r w:rsidR="00272B46">
        <w:t xml:space="preserve"> </w:t>
      </w:r>
      <w:r>
        <w:t>mg every 2 weeks. Alternatively, a dose of 400</w:t>
      </w:r>
      <w:r w:rsidR="003E4BE9">
        <w:t xml:space="preserve"> </w:t>
      </w:r>
      <w:r>
        <w:t>mg initially (</w:t>
      </w:r>
      <w:r w:rsidR="003E4BE9">
        <w:t>W</w:t>
      </w:r>
      <w:r>
        <w:t xml:space="preserve">eek 0) and at </w:t>
      </w:r>
      <w:r w:rsidR="003E4BE9">
        <w:t>W</w:t>
      </w:r>
      <w:r>
        <w:t>eeks 2 and 4 followed by 200</w:t>
      </w:r>
      <w:r w:rsidR="003E4BE9">
        <w:t xml:space="preserve"> </w:t>
      </w:r>
      <w:r>
        <w:t>mg every 2 weeks may be considered.”</w:t>
      </w:r>
    </w:p>
    <w:p w:rsidR="00BE0224" w:rsidRDefault="00BE0224" w:rsidP="00BE0224">
      <w:pPr>
        <w:pStyle w:val="Heading5"/>
      </w:pPr>
      <w:r>
        <w:t>Evaluation of response</w:t>
      </w:r>
    </w:p>
    <w:p w:rsidR="00702D7B" w:rsidRDefault="00BE0224" w:rsidP="00895246">
      <w:r>
        <w:t>T</w:t>
      </w:r>
      <w:r w:rsidR="00272B46">
        <w:t>he evaluator concurs</w:t>
      </w:r>
      <w:r w:rsidR="00895246">
        <w:t xml:space="preserve"> with the sponsor that the proposed dose regimen for </w:t>
      </w:r>
      <w:r w:rsidR="001D63B3">
        <w:t>certolizumab pegol</w:t>
      </w:r>
      <w:r w:rsidR="00895246">
        <w:t xml:space="preserve"> in patients with </w:t>
      </w:r>
      <w:r w:rsidR="00A567C2">
        <w:t>psoriasis</w:t>
      </w:r>
      <w:r w:rsidR="00895246">
        <w:t xml:space="preserve"> does not need to include a weight based recommendation. The proposed wording suggests that the higher dose regimen is the base (or default) regimen to be used in most patients, and that the lower dose maintenance regimen will be used less commonly in the clinical setting. However, it is important that the approved PI conveys the nature and magnitude of subject weight upon </w:t>
      </w:r>
      <w:r w:rsidR="00F63AEF">
        <w:t>pharmacokinetic</w:t>
      </w:r>
      <w:r w:rsidR="00895246">
        <w:t xml:space="preserve"> parameters and clinical response (</w:t>
      </w:r>
      <w:r w:rsidR="00A567C2">
        <w:t>that is,</w:t>
      </w:r>
      <w:r w:rsidR="00895246">
        <w:t xml:space="preserve"> delay to maximum clinical response) for </w:t>
      </w:r>
      <w:r w:rsidR="001D63B3">
        <w:t>certolizumab pegol</w:t>
      </w:r>
      <w:r w:rsidR="00895246">
        <w:t xml:space="preserve">. The sponsor’s proposed PI changes adequately address the impact of higher subject weight upon the </w:t>
      </w:r>
      <w:r w:rsidR="00F63AEF">
        <w:t>pharmacokinetic</w:t>
      </w:r>
      <w:r w:rsidR="00895246">
        <w:t xml:space="preserve"> of </w:t>
      </w:r>
      <w:r w:rsidR="001D63B3">
        <w:t>certolizumab pegol</w:t>
      </w:r>
      <w:r w:rsidR="00895246">
        <w:t>.</w:t>
      </w:r>
    </w:p>
    <w:p w:rsidR="00BE0224" w:rsidRDefault="00B146AA" w:rsidP="00BE0224">
      <w:pPr>
        <w:pStyle w:val="Heading4"/>
      </w:pPr>
      <w:r w:rsidRPr="003E4BE9">
        <w:t>Q</w:t>
      </w:r>
      <w:r w:rsidR="003E4BE9" w:rsidRPr="003E4BE9">
        <w:t xml:space="preserve">uestion </w:t>
      </w:r>
      <w:r w:rsidR="00BE0224">
        <w:t>3</w:t>
      </w:r>
    </w:p>
    <w:p w:rsidR="00B146AA" w:rsidRPr="001D6F74" w:rsidRDefault="00B146AA" w:rsidP="001D6F74">
      <w:pPr>
        <w:rPr>
          <w:b/>
          <w:i/>
        </w:rPr>
      </w:pPr>
      <w:r w:rsidRPr="001D6F74">
        <w:rPr>
          <w:b/>
          <w:i/>
        </w:rPr>
        <w:t xml:space="preserve">All of the Phase </w:t>
      </w:r>
      <w:r w:rsidR="003E4BE9" w:rsidRPr="001D6F74">
        <w:rPr>
          <w:b/>
          <w:i/>
        </w:rPr>
        <w:t>III</w:t>
      </w:r>
      <w:r w:rsidRPr="001D6F74">
        <w:rPr>
          <w:b/>
          <w:i/>
        </w:rPr>
        <w:t xml:space="preserve"> studies enrolled subjects with long standing psoriasis (median duration of approximately 15 years) who were relatively naïve to any systemic therapy option (</w:t>
      </w:r>
      <w:r w:rsidR="00A567C2" w:rsidRPr="001D6F74">
        <w:rPr>
          <w:b/>
          <w:i/>
        </w:rPr>
        <w:t>for example,</w:t>
      </w:r>
      <w:r w:rsidRPr="001D6F74">
        <w:rPr>
          <w:b/>
          <w:i/>
        </w:rPr>
        <w:t xml:space="preserve"> about half had no prior exposure to systemic, non-biologic therapies). Given these trial population characteristics, how generalisable are the efficacy findings to the Australian context?</w:t>
      </w:r>
    </w:p>
    <w:p w:rsidR="00BE0224" w:rsidRDefault="00895246" w:rsidP="00BE0224">
      <w:pPr>
        <w:pStyle w:val="Heading5"/>
      </w:pPr>
      <w:r w:rsidRPr="003E4BE9">
        <w:t xml:space="preserve">Sponsor </w:t>
      </w:r>
      <w:r w:rsidR="007B4FFB" w:rsidRPr="003E4BE9">
        <w:t>re</w:t>
      </w:r>
      <w:r w:rsidRPr="003E4BE9">
        <w:t>sponse</w:t>
      </w:r>
    </w:p>
    <w:p w:rsidR="00702D7B" w:rsidRDefault="003E4BE9" w:rsidP="00895246">
      <w:r>
        <w:t>T</w:t>
      </w:r>
      <w:r w:rsidR="00895246">
        <w:t xml:space="preserve">he sponsor states that there is little contemporary information available for </w:t>
      </w:r>
      <w:r w:rsidR="00A567C2">
        <w:t>psoriasis</w:t>
      </w:r>
      <w:r w:rsidR="00895246">
        <w:t xml:space="preserve"> treatment patterns and guidelines in Australia, however the Australian treatment landscape is similar to European standards. In particular, the Australasian College of Dermatologists in 2017 adopted European guidelines as treatment goals for </w:t>
      </w:r>
      <w:r w:rsidR="00A567C2">
        <w:t>psoriasis</w:t>
      </w:r>
      <w:r w:rsidR="00895246">
        <w:t>.</w:t>
      </w:r>
    </w:p>
    <w:p w:rsidR="00702D7B" w:rsidRDefault="00895246" w:rsidP="00895246">
      <w:r>
        <w:t xml:space="preserve">The sponsor highlights that 60% of subjects in the </w:t>
      </w:r>
      <w:r w:rsidR="001D63B3">
        <w:t>certolizumab pegol</w:t>
      </w:r>
      <w:r>
        <w:t xml:space="preserve"> Phase </w:t>
      </w:r>
      <w:r w:rsidR="003E4BE9">
        <w:t>III</w:t>
      </w:r>
      <w:r>
        <w:t xml:space="preserve"> </w:t>
      </w:r>
      <w:r w:rsidR="00A567C2">
        <w:t>psoriasis</w:t>
      </w:r>
      <w:r>
        <w:t xml:space="preserve"> studies were recruited from European centres. Given that contemporary Australian treatment goals closely reflect European guidelines, the sponsor has concluded that the available evidence provides support that the </w:t>
      </w:r>
      <w:r w:rsidR="001D63B3">
        <w:t>certolizumab pegol</w:t>
      </w:r>
      <w:r>
        <w:t xml:space="preserve"> Phase </w:t>
      </w:r>
      <w:r w:rsidR="003E4BE9">
        <w:t>III</w:t>
      </w:r>
      <w:r>
        <w:t xml:space="preserve"> </w:t>
      </w:r>
      <w:r w:rsidR="00A567C2">
        <w:t>psoriasis</w:t>
      </w:r>
      <w:r>
        <w:t xml:space="preserve"> trial populations are broadly generalisable to the Australian clinical setting.</w:t>
      </w:r>
    </w:p>
    <w:p w:rsidR="00BE0224" w:rsidRDefault="00BE0224" w:rsidP="00BE0224">
      <w:pPr>
        <w:pStyle w:val="Heading5"/>
      </w:pPr>
      <w:r>
        <w:t>Evaluation of response</w:t>
      </w:r>
    </w:p>
    <w:p w:rsidR="00895246" w:rsidRDefault="00895246" w:rsidP="00895246">
      <w:r>
        <w:t xml:space="preserve">While acknowledging there is a paucity of published data on </w:t>
      </w:r>
      <w:r w:rsidR="00A567C2">
        <w:t>psoriasis</w:t>
      </w:r>
      <w:r>
        <w:t xml:space="preserve"> treatment pathways for Australian patients, nearly all subjects who receive biologic therapies for moderate to severe </w:t>
      </w:r>
      <w:r w:rsidR="00A567C2">
        <w:t>psoriasis</w:t>
      </w:r>
      <w:r>
        <w:t xml:space="preserve"> in Australia do so via the </w:t>
      </w:r>
      <w:r w:rsidR="00CA3875">
        <w:t>Pharmaceutical Benefits Scheme (</w:t>
      </w:r>
      <w:r>
        <w:t>PBS</w:t>
      </w:r>
      <w:r w:rsidR="00CA3875">
        <w:t>)</w:t>
      </w:r>
      <w:r>
        <w:t xml:space="preserve"> subsidy scheme. The </w:t>
      </w:r>
      <w:r w:rsidR="007223C2">
        <w:t xml:space="preserve">Australian </w:t>
      </w:r>
      <w:r>
        <w:t>Department of Health published a post</w:t>
      </w:r>
      <w:r w:rsidR="007223C2">
        <w:noBreakHyphen/>
      </w:r>
      <w:r>
        <w:t xml:space="preserve">market review of the use of biologics in the treatment of severe chronic plaque </w:t>
      </w:r>
      <w:r w:rsidR="00A567C2">
        <w:t>psoriasis</w:t>
      </w:r>
      <w:r>
        <w:t xml:space="preserve"> in June 2014. The abridged PBS restrictions for adult patients with moderate to severe </w:t>
      </w:r>
      <w:r w:rsidR="00A567C2">
        <w:t>psoriasis</w:t>
      </w:r>
      <w:r>
        <w:t xml:space="preserve"> to qualify for treatment with a biologic therapy include a failure to achieve an adequate PASI response </w:t>
      </w:r>
      <w:r>
        <w:lastRenderedPageBreak/>
        <w:t>to at least 3 of the 4 following treatments (unless contraindicated or intolerant): phototherapy (UVB or PUVA) for 3 treatments per week for at least 6</w:t>
      </w:r>
      <w:r w:rsidR="007223C2">
        <w:t> </w:t>
      </w:r>
      <w:r>
        <w:t xml:space="preserve">weeks; </w:t>
      </w:r>
      <w:r w:rsidR="003E4BE9">
        <w:t>methotrexate</w:t>
      </w:r>
      <w:r>
        <w:t xml:space="preserve"> at a dose of at least 10 mg weekly for at least 6 weeks; cyclosporin at a dose of at least 2</w:t>
      </w:r>
      <w:r w:rsidR="003E4BE9">
        <w:t> </w:t>
      </w:r>
      <w:r>
        <w:t xml:space="preserve">mg per kg per day for at least 6 weeks; or acitretin at a dose of at least 0.4 mg per kg per day for at least 6 weeks. Furthermore, </w:t>
      </w:r>
      <w:r w:rsidRPr="00272B46">
        <w:t xml:space="preserve">the </w:t>
      </w:r>
      <w:r w:rsidR="007223C2">
        <w:t>PBS</w:t>
      </w:r>
      <w:r>
        <w:t xml:space="preserve"> restriction states that biologic treatment </w:t>
      </w:r>
      <w:r w:rsidRPr="00895246">
        <w:t xml:space="preserve">must be as given monotherapy or in combination with </w:t>
      </w:r>
      <w:r w:rsidR="003E4BE9">
        <w:t>methotrexate</w:t>
      </w:r>
      <w:r w:rsidRPr="00895246">
        <w:t xml:space="preserve">. The PBS eligibility criteria indicate a significantly greater extent of prior treatment than what was recorded in the Phase </w:t>
      </w:r>
      <w:r w:rsidR="003E4BE9">
        <w:t>III</w:t>
      </w:r>
      <w:r w:rsidRPr="00895246">
        <w:t xml:space="preserve"> </w:t>
      </w:r>
      <w:r w:rsidR="001D63B3">
        <w:t>certolizumab pegol</w:t>
      </w:r>
      <w:r w:rsidRPr="00895246">
        <w:t xml:space="preserve"> </w:t>
      </w:r>
      <w:r w:rsidR="00A567C2">
        <w:t>psoriasis</w:t>
      </w:r>
      <w:r w:rsidRPr="00895246">
        <w:t xml:space="preserve"> studies, which results in limited external validity of the trials outcomes to the Australian clinical setting. Furthermore, the </w:t>
      </w:r>
      <w:r w:rsidR="007223C2">
        <w:t xml:space="preserve">United Kingdom’s </w:t>
      </w:r>
      <w:r w:rsidR="00D73C03">
        <w:t xml:space="preserve">National Institution for Health and Care </w:t>
      </w:r>
      <w:r w:rsidR="00D73C03" w:rsidRPr="003271F7">
        <w:t>Excellence</w:t>
      </w:r>
      <w:r w:rsidRPr="003271F7">
        <w:t xml:space="preserve"> </w:t>
      </w:r>
      <w:r w:rsidR="007223C2" w:rsidRPr="003271F7">
        <w:t>G</w:t>
      </w:r>
      <w:r w:rsidRPr="003271F7">
        <w:t xml:space="preserve">uideline for the assessment and management of </w:t>
      </w:r>
      <w:r w:rsidR="00A567C2" w:rsidRPr="003271F7">
        <w:t>psoriasis</w:t>
      </w:r>
      <w:r w:rsidRPr="00895246">
        <w:t xml:space="preserve"> (published October 2012, reviewed June 2017) reports a similar extent and choice of prior phototherapy and/or systemic treatment as the PBS restrictions in </w:t>
      </w:r>
      <w:r w:rsidR="00A567C2">
        <w:t>psoriasis</w:t>
      </w:r>
      <w:r w:rsidRPr="00895246">
        <w:t xml:space="preserve"> patients before recommending access to biologic treatment options.</w:t>
      </w:r>
    </w:p>
    <w:p w:rsidR="00BE0224" w:rsidRDefault="00B146AA" w:rsidP="00BE0224">
      <w:pPr>
        <w:pStyle w:val="Heading4"/>
      </w:pPr>
      <w:r w:rsidRPr="003E4BE9">
        <w:t>Q</w:t>
      </w:r>
      <w:r w:rsidR="003E4BE9" w:rsidRPr="003E4BE9">
        <w:t xml:space="preserve">uestion </w:t>
      </w:r>
      <w:r w:rsidRPr="003E4BE9">
        <w:t>4</w:t>
      </w:r>
    </w:p>
    <w:p w:rsidR="00702D7B" w:rsidRPr="003271F7" w:rsidRDefault="00B146AA" w:rsidP="003271F7">
      <w:pPr>
        <w:rPr>
          <w:b/>
          <w:i/>
        </w:rPr>
      </w:pPr>
      <w:r w:rsidRPr="003271F7">
        <w:rPr>
          <w:b/>
          <w:i/>
        </w:rPr>
        <w:t xml:space="preserve">There are significantly higher rates of treatment response to Cimzia in the CIMPASI-2 </w:t>
      </w:r>
      <w:r w:rsidR="003271F7">
        <w:rPr>
          <w:b/>
          <w:i/>
        </w:rPr>
        <w:t xml:space="preserve">trial </w:t>
      </w:r>
      <w:r w:rsidRPr="003271F7">
        <w:rPr>
          <w:b/>
          <w:i/>
        </w:rPr>
        <w:t xml:space="preserve">versus the other 2 Phase </w:t>
      </w:r>
      <w:r w:rsidR="003E4BE9" w:rsidRPr="003271F7">
        <w:rPr>
          <w:b/>
          <w:i/>
        </w:rPr>
        <w:t>III</w:t>
      </w:r>
      <w:r w:rsidRPr="003271F7">
        <w:rPr>
          <w:b/>
          <w:i/>
        </w:rPr>
        <w:t xml:space="preserve"> studies. Please explain how this observation may have occurred?</w:t>
      </w:r>
    </w:p>
    <w:p w:rsidR="00BE0224" w:rsidRDefault="00895246" w:rsidP="00BE0224">
      <w:pPr>
        <w:pStyle w:val="Heading5"/>
      </w:pPr>
      <w:r w:rsidRPr="003E4BE9">
        <w:t xml:space="preserve">Sponsor </w:t>
      </w:r>
      <w:r w:rsidR="007B4FFB" w:rsidRPr="003E4BE9">
        <w:t>re</w:t>
      </w:r>
      <w:r w:rsidRPr="003E4BE9">
        <w:t>sponse</w:t>
      </w:r>
    </w:p>
    <w:p w:rsidR="00702D7B" w:rsidRDefault="00895246" w:rsidP="00895246">
      <w:r>
        <w:t xml:space="preserve">The sponsor concurs with the observation of a higher clinical response rates recorded in each treatment group of the CIMPASI-2 trial compared with the respective arms in the other 2 Phase </w:t>
      </w:r>
      <w:r w:rsidR="003E4BE9">
        <w:t>III</w:t>
      </w:r>
      <w:r>
        <w:t xml:space="preserve"> studies (CIMPASI-1 and CIMPACT</w:t>
      </w:r>
      <w:r w:rsidR="007223C2">
        <w:t xml:space="preserve"> trials</w:t>
      </w:r>
      <w:r>
        <w:t xml:space="preserve">). The sponsor is unable to provide a clear explanation for the observation although some baseline differences (demographic and clinical) were noted between the trials. Overall, the sponsor asserts that the clinical response rates seen in the </w:t>
      </w:r>
      <w:r w:rsidR="001D63B3">
        <w:t>certolizumab pegol</w:t>
      </w:r>
      <w:r>
        <w:t xml:space="preserve"> </w:t>
      </w:r>
      <w:r w:rsidR="00A567C2">
        <w:t>psoriasis</w:t>
      </w:r>
      <w:r>
        <w:t xml:space="preserve"> programs are within expectations, and the Phase </w:t>
      </w:r>
      <w:r w:rsidR="003E4BE9">
        <w:t>III</w:t>
      </w:r>
      <w:r>
        <w:t xml:space="preserve"> studies yielded similar results to that observed in the Phase</w:t>
      </w:r>
      <w:r w:rsidR="007223C2">
        <w:t> </w:t>
      </w:r>
      <w:r w:rsidR="003E4BE9">
        <w:t>II</w:t>
      </w:r>
      <w:r>
        <w:t xml:space="preserve"> </w:t>
      </w:r>
      <w:r w:rsidR="001D63B3">
        <w:t>certolizumab pegol</w:t>
      </w:r>
      <w:r>
        <w:t xml:space="preserve"> program. Hence, the sponsor believes the totality of the </w:t>
      </w:r>
      <w:r w:rsidR="001D63B3">
        <w:t>certolizumab pegol</w:t>
      </w:r>
      <w:r>
        <w:t xml:space="preserve"> </w:t>
      </w:r>
      <w:r w:rsidR="00A567C2">
        <w:t>psoriasis</w:t>
      </w:r>
      <w:r>
        <w:t xml:space="preserve"> program results are generalisable to the </w:t>
      </w:r>
      <w:r w:rsidR="00A567C2">
        <w:t>psoriasis</w:t>
      </w:r>
      <w:r>
        <w:t xml:space="preserve"> population in Australia.</w:t>
      </w:r>
    </w:p>
    <w:p w:rsidR="00BE0224" w:rsidRDefault="00BE0224" w:rsidP="00BE0224">
      <w:pPr>
        <w:pStyle w:val="Heading5"/>
      </w:pPr>
      <w:r>
        <w:t>Evaluation of response</w:t>
      </w:r>
    </w:p>
    <w:p w:rsidR="00702D7B" w:rsidRDefault="00895246" w:rsidP="00895246">
      <w:r>
        <w:t xml:space="preserve">Although the Phase </w:t>
      </w:r>
      <w:r w:rsidR="003E4BE9">
        <w:t>III</w:t>
      </w:r>
      <w:r>
        <w:t xml:space="preserve"> </w:t>
      </w:r>
      <w:r w:rsidR="001D63B3">
        <w:t>certolizumab pegol</w:t>
      </w:r>
      <w:r>
        <w:t xml:space="preserve"> </w:t>
      </w:r>
      <w:r w:rsidR="00A567C2">
        <w:t>psoriasis</w:t>
      </w:r>
      <w:r>
        <w:t xml:space="preserve"> study program showed some degree of heterogeneity in results, the overall program had sufficient internal consistency to indicate that the treatment responses to </w:t>
      </w:r>
      <w:r w:rsidR="001D63B3">
        <w:t>certolizumab pegol</w:t>
      </w:r>
      <w:r>
        <w:t xml:space="preserve"> therapy are reliable and clinically meaningful. The higher clinical response rates in all treatment groups of CIMPASI-2 compared to their corresponding arms in the other 2 Phase </w:t>
      </w:r>
      <w:r w:rsidR="006F25A2">
        <w:t>III</w:t>
      </w:r>
      <w:r>
        <w:t xml:space="preserve"> trials remains unclear, but does not appear to represent a significant cause for concern regarding the robustness of treatment outcome in </w:t>
      </w:r>
      <w:r w:rsidR="00A567C2">
        <w:t>psoriasis</w:t>
      </w:r>
      <w:r>
        <w:t xml:space="preserve"> with </w:t>
      </w:r>
      <w:r w:rsidR="001D63B3">
        <w:t>certolizumab pegol</w:t>
      </w:r>
      <w:r>
        <w:t>.</w:t>
      </w:r>
    </w:p>
    <w:p w:rsidR="00605AD4" w:rsidRPr="00605AD4" w:rsidRDefault="00605AD4" w:rsidP="00546154">
      <w:pPr>
        <w:pStyle w:val="Heading3"/>
        <w:rPr>
          <w:rFonts w:eastAsia="Cambria"/>
        </w:rPr>
      </w:pPr>
      <w:bookmarkStart w:id="76" w:name="_Toc21525665"/>
      <w:r w:rsidRPr="00605AD4">
        <w:rPr>
          <w:rFonts w:eastAsia="Cambria"/>
        </w:rPr>
        <w:t xml:space="preserve">Second </w:t>
      </w:r>
      <w:r w:rsidR="001A0B08" w:rsidRPr="00605AD4">
        <w:rPr>
          <w:rFonts w:eastAsia="Cambria"/>
        </w:rPr>
        <w:t>round benefit-risk assessment</w:t>
      </w:r>
      <w:bookmarkEnd w:id="76"/>
    </w:p>
    <w:p w:rsidR="00702D7B" w:rsidRDefault="00895246" w:rsidP="00895246">
      <w:r>
        <w:t xml:space="preserve">After consideration of the responses to the clinical questions, there is no change to the opinion expressed </w:t>
      </w:r>
      <w:r w:rsidR="00BE0224">
        <w:t>in the first round benefit-risk assessment</w:t>
      </w:r>
      <w:r>
        <w:t xml:space="preserve">. The overall benefit-risk balance of </w:t>
      </w:r>
      <w:r w:rsidR="001D63B3">
        <w:t>certolizumab pegol</w:t>
      </w:r>
      <w:r>
        <w:t xml:space="preserve"> treatment in the proposed treatment indication of adult patients with moderate to severe </w:t>
      </w:r>
      <w:r w:rsidR="00A567C2">
        <w:t>psoriasis</w:t>
      </w:r>
      <w:r>
        <w:t xml:space="preserve"> who are candidates for phototherapy and/or systemic drugs is favourable. Clinically relevant efficacy has been observed with </w:t>
      </w:r>
      <w:r w:rsidR="001D63B3">
        <w:t>certolizumab pegol</w:t>
      </w:r>
      <w:r>
        <w:t xml:space="preserve"> therapy in the adult </w:t>
      </w:r>
      <w:r w:rsidR="00A567C2">
        <w:t>psoriasis</w:t>
      </w:r>
      <w:r>
        <w:t xml:space="preserve"> population, and in totality the trial program’s results have sufficient external validity to contemporary Australian practice and guidelines. The major risks with </w:t>
      </w:r>
      <w:r w:rsidR="001D63B3">
        <w:t>certolizumab pegol</w:t>
      </w:r>
      <w:r>
        <w:t xml:space="preserve"> therapy (versus </w:t>
      </w:r>
      <w:r w:rsidR="00A316C5">
        <w:t>placebo</w:t>
      </w:r>
      <w:r>
        <w:t xml:space="preserve">) include an increased risk of serious infection, rare cases of multiple sclerosis, injection site </w:t>
      </w:r>
      <w:r>
        <w:lastRenderedPageBreak/>
        <w:t>reactions, raised serum transaminases, atherogenic lipid profiles and mild thrombocytop</w:t>
      </w:r>
      <w:r w:rsidR="007223C2">
        <w:t>a</w:t>
      </w:r>
      <w:r>
        <w:t>enia.</w:t>
      </w:r>
    </w:p>
    <w:p w:rsidR="008E7846" w:rsidRDefault="008E7846" w:rsidP="00546154">
      <w:pPr>
        <w:pStyle w:val="Heading2"/>
      </w:pPr>
      <w:bookmarkStart w:id="77" w:name="_Toc21525666"/>
      <w:r w:rsidRPr="00E41208">
        <w:t>V</w:t>
      </w:r>
      <w:r w:rsidR="00500337">
        <w:t>I</w:t>
      </w:r>
      <w:r w:rsidRPr="00E41208">
        <w:t xml:space="preserve">. Pharmacovigilance </w:t>
      </w:r>
      <w:r>
        <w:t>f</w:t>
      </w:r>
      <w:r w:rsidRPr="00E41208">
        <w:t>indings</w:t>
      </w:r>
      <w:bookmarkEnd w:id="69"/>
      <w:bookmarkEnd w:id="70"/>
      <w:bookmarkEnd w:id="77"/>
    </w:p>
    <w:p w:rsidR="003271F7" w:rsidRPr="003271F7" w:rsidRDefault="003271F7" w:rsidP="003271F7">
      <w:r w:rsidRPr="003271F7">
        <w:t>The most recently evaluated EU-RMP was version 8.0 (dated 14 November 2012) and ASA version 1.0. In support of the extended indications, the sponsor has submitted EU-RMP version 13.1 (dated 16 January 2018; DLP 6 March 2017) and ASA version 6.0 (dated 23 February 2018). The sponsor submitted a revised ASA version 6.0 (dated 16 October 2018) in its response</w:t>
      </w:r>
      <w:r>
        <w:t xml:space="preserve"> to the first round RMP evaluation</w:t>
      </w:r>
      <w:r w:rsidRPr="003271F7">
        <w:t>.</w:t>
      </w:r>
    </w:p>
    <w:p w:rsidR="008E7846" w:rsidRDefault="00386150" w:rsidP="008E7846">
      <w:pPr>
        <w:pStyle w:val="Heading3"/>
        <w:rPr>
          <w:lang w:eastAsia="en-AU"/>
        </w:rPr>
      </w:pPr>
      <w:bookmarkStart w:id="78" w:name="_Toc247691526"/>
      <w:bookmarkStart w:id="79" w:name="_Toc314842509"/>
      <w:bookmarkStart w:id="80" w:name="_Toc21525667"/>
      <w:r>
        <w:rPr>
          <w:lang w:eastAsia="en-AU"/>
        </w:rPr>
        <w:t>Risk m</w:t>
      </w:r>
      <w:r w:rsidR="008E7846">
        <w:rPr>
          <w:lang w:eastAsia="en-AU"/>
        </w:rPr>
        <w:t xml:space="preserve">anagement </w:t>
      </w:r>
      <w:r>
        <w:rPr>
          <w:lang w:eastAsia="en-AU"/>
        </w:rPr>
        <w:t>p</w:t>
      </w:r>
      <w:r w:rsidR="008E7846">
        <w:rPr>
          <w:lang w:eastAsia="en-AU"/>
        </w:rPr>
        <w:t>lan</w:t>
      </w:r>
      <w:bookmarkEnd w:id="78"/>
      <w:bookmarkEnd w:id="79"/>
      <w:bookmarkEnd w:id="80"/>
    </w:p>
    <w:p w:rsidR="0057051F" w:rsidRDefault="0057051F" w:rsidP="006611F6">
      <w:bookmarkStart w:id="81" w:name="_Toc247691527"/>
      <w:bookmarkStart w:id="82" w:name="_Toc314842510"/>
      <w:r w:rsidRPr="006611F6">
        <w:t>The proposed summary of safety concerns and their associated risk monitoring and mitigation strategies are summarised below</w:t>
      </w:r>
      <w:r w:rsidR="007223C2">
        <w:t>.</w:t>
      </w:r>
    </w:p>
    <w:p w:rsidR="006611F6" w:rsidRPr="006611F6" w:rsidRDefault="006611F6" w:rsidP="00D73C03">
      <w:pPr>
        <w:pStyle w:val="TableTitle"/>
      </w:pPr>
      <w:r>
        <w:t xml:space="preserve">Table </w:t>
      </w:r>
      <w:r w:rsidR="00D73C03">
        <w:t>1</w:t>
      </w:r>
      <w:r w:rsidR="009C2FAC">
        <w:t>6</w:t>
      </w:r>
      <w:r w:rsidR="00D73C03">
        <w:t>:</w:t>
      </w:r>
      <w:r w:rsidR="00702D7B">
        <w:t xml:space="preserve"> </w:t>
      </w:r>
      <w:r w:rsidR="007223C2">
        <w:t>Sponsor’s summary of safety concerns</w:t>
      </w:r>
    </w:p>
    <w:tbl>
      <w:tblPr>
        <w:tblStyle w:val="TableTGAblue"/>
        <w:tblW w:w="8613" w:type="dxa"/>
        <w:tblLayout w:type="fixed"/>
        <w:tblLook w:val="04A0" w:firstRow="1" w:lastRow="0" w:firstColumn="1" w:lastColumn="0" w:noHBand="0" w:noVBand="1"/>
      </w:tblPr>
      <w:tblGrid>
        <w:gridCol w:w="1327"/>
        <w:gridCol w:w="3601"/>
        <w:gridCol w:w="850"/>
        <w:gridCol w:w="993"/>
        <w:gridCol w:w="850"/>
        <w:gridCol w:w="992"/>
      </w:tblGrid>
      <w:tr w:rsidR="0057051F" w:rsidRPr="00BE0224" w:rsidTr="00BE0224">
        <w:trPr>
          <w:cnfStyle w:val="100000000000" w:firstRow="1" w:lastRow="0" w:firstColumn="0" w:lastColumn="0" w:oddVBand="0" w:evenVBand="0" w:oddHBand="0" w:evenHBand="0" w:firstRowFirstColumn="0" w:firstRowLastColumn="0" w:lastRowFirstColumn="0" w:lastRowLastColumn="0"/>
          <w:trHeight w:val="131"/>
        </w:trPr>
        <w:tc>
          <w:tcPr>
            <w:tcW w:w="4928" w:type="dxa"/>
            <w:gridSpan w:val="2"/>
            <w:vMerge w:val="restart"/>
          </w:tcPr>
          <w:p w:rsidR="0057051F" w:rsidRPr="00BE0224" w:rsidRDefault="0057051F" w:rsidP="005A2DDF">
            <w:pPr>
              <w:pStyle w:val="Tabletext"/>
              <w:ind w:left="0" w:right="0"/>
            </w:pPr>
            <w:r w:rsidRPr="00BE0224">
              <w:t>Summary of safety concerns</w:t>
            </w:r>
          </w:p>
        </w:tc>
        <w:tc>
          <w:tcPr>
            <w:tcW w:w="1843" w:type="dxa"/>
            <w:gridSpan w:val="2"/>
          </w:tcPr>
          <w:p w:rsidR="0057051F" w:rsidRPr="00BE0224" w:rsidRDefault="0057051F" w:rsidP="005A2DDF">
            <w:pPr>
              <w:pStyle w:val="Tabletext"/>
              <w:ind w:left="0" w:right="0"/>
              <w:rPr>
                <w:sz w:val="18"/>
              </w:rPr>
            </w:pPr>
            <w:r w:rsidRPr="00BE0224">
              <w:rPr>
                <w:sz w:val="18"/>
              </w:rPr>
              <w:t>Pharmacovigilance</w:t>
            </w:r>
          </w:p>
        </w:tc>
        <w:tc>
          <w:tcPr>
            <w:tcW w:w="1842" w:type="dxa"/>
            <w:gridSpan w:val="2"/>
          </w:tcPr>
          <w:p w:rsidR="0057051F" w:rsidRPr="00BE0224" w:rsidRDefault="0057051F" w:rsidP="005A2DDF">
            <w:pPr>
              <w:pStyle w:val="Tabletext"/>
              <w:ind w:left="0" w:right="0"/>
              <w:rPr>
                <w:sz w:val="18"/>
              </w:rPr>
            </w:pPr>
            <w:r w:rsidRPr="00BE0224">
              <w:rPr>
                <w:sz w:val="18"/>
              </w:rPr>
              <w:t>Risk Minimisation</w:t>
            </w:r>
          </w:p>
        </w:tc>
      </w:tr>
      <w:tr w:rsidR="0057051F" w:rsidRPr="00BE0224" w:rsidTr="00BE0224">
        <w:trPr>
          <w:trHeight w:val="150"/>
        </w:trPr>
        <w:tc>
          <w:tcPr>
            <w:tcW w:w="4928" w:type="dxa"/>
            <w:gridSpan w:val="2"/>
            <w:vMerge/>
          </w:tcPr>
          <w:p w:rsidR="0057051F" w:rsidRPr="00BE0224" w:rsidRDefault="0057051F" w:rsidP="005A2DDF">
            <w:pPr>
              <w:pStyle w:val="Tabletext"/>
              <w:ind w:left="0" w:right="0"/>
            </w:pPr>
          </w:p>
        </w:tc>
        <w:tc>
          <w:tcPr>
            <w:tcW w:w="850" w:type="dxa"/>
          </w:tcPr>
          <w:p w:rsidR="0057051F" w:rsidRPr="00BE0224" w:rsidRDefault="0057051F" w:rsidP="005A2DDF">
            <w:pPr>
              <w:pStyle w:val="Tabletext"/>
              <w:ind w:left="0" w:right="0"/>
              <w:rPr>
                <w:sz w:val="18"/>
              </w:rPr>
            </w:pPr>
            <w:r w:rsidRPr="003271F7">
              <w:rPr>
                <w:sz w:val="16"/>
              </w:rPr>
              <w:t>Routine</w:t>
            </w:r>
          </w:p>
        </w:tc>
        <w:tc>
          <w:tcPr>
            <w:tcW w:w="993" w:type="dxa"/>
          </w:tcPr>
          <w:p w:rsidR="0057051F" w:rsidRPr="00BE0224" w:rsidRDefault="0057051F" w:rsidP="005A2DDF">
            <w:pPr>
              <w:pStyle w:val="Tabletext"/>
              <w:ind w:left="0" w:right="0"/>
              <w:rPr>
                <w:sz w:val="18"/>
              </w:rPr>
            </w:pPr>
            <w:r w:rsidRPr="003271F7">
              <w:rPr>
                <w:sz w:val="16"/>
              </w:rPr>
              <w:t>Additional</w:t>
            </w:r>
          </w:p>
        </w:tc>
        <w:tc>
          <w:tcPr>
            <w:tcW w:w="850" w:type="dxa"/>
          </w:tcPr>
          <w:p w:rsidR="0057051F" w:rsidRPr="003271F7" w:rsidRDefault="0057051F" w:rsidP="005A2DDF">
            <w:pPr>
              <w:pStyle w:val="Tabletext"/>
              <w:ind w:left="0" w:right="0"/>
              <w:rPr>
                <w:sz w:val="16"/>
              </w:rPr>
            </w:pPr>
            <w:r w:rsidRPr="003271F7">
              <w:rPr>
                <w:sz w:val="16"/>
              </w:rPr>
              <w:t>Routine</w:t>
            </w:r>
          </w:p>
        </w:tc>
        <w:tc>
          <w:tcPr>
            <w:tcW w:w="992" w:type="dxa"/>
          </w:tcPr>
          <w:p w:rsidR="0057051F" w:rsidRPr="003271F7" w:rsidRDefault="0057051F" w:rsidP="005A2DDF">
            <w:pPr>
              <w:pStyle w:val="Tabletext"/>
              <w:ind w:left="0" w:right="0"/>
              <w:rPr>
                <w:sz w:val="16"/>
              </w:rPr>
            </w:pPr>
            <w:r w:rsidRPr="003271F7">
              <w:rPr>
                <w:sz w:val="16"/>
              </w:rPr>
              <w:t>Additional</w:t>
            </w:r>
          </w:p>
        </w:tc>
      </w:tr>
      <w:tr w:rsidR="0057051F" w:rsidRPr="004F1C07" w:rsidTr="005A2DDF">
        <w:trPr>
          <w:trHeight w:val="137"/>
        </w:trPr>
        <w:tc>
          <w:tcPr>
            <w:tcW w:w="1327" w:type="dxa"/>
            <w:vMerge w:val="restart"/>
          </w:tcPr>
          <w:p w:rsidR="0057051F" w:rsidRPr="00680101" w:rsidRDefault="0057051F" w:rsidP="005A2DDF">
            <w:pPr>
              <w:pStyle w:val="Tabletext"/>
              <w:ind w:left="0" w:right="0"/>
              <w:rPr>
                <w:b/>
              </w:rPr>
            </w:pPr>
            <w:r w:rsidRPr="00680101">
              <w:rPr>
                <w:b/>
              </w:rPr>
              <w:t>Important identified risks</w:t>
            </w:r>
          </w:p>
        </w:tc>
        <w:tc>
          <w:tcPr>
            <w:tcW w:w="3601" w:type="dxa"/>
          </w:tcPr>
          <w:p w:rsidR="0057051F" w:rsidRPr="00982C40" w:rsidRDefault="0057051F" w:rsidP="005A2DDF">
            <w:pPr>
              <w:pStyle w:val="Summaryofsafetyconcerns"/>
              <w:keepNext/>
              <w:keepLines/>
              <w:ind w:left="0" w:right="0"/>
              <w:rPr>
                <w:b w:val="0"/>
              </w:rPr>
            </w:pPr>
            <w:r w:rsidRPr="00982C40">
              <w:rPr>
                <w:b w:val="0"/>
              </w:rPr>
              <w:t xml:space="preserve">Infections including </w:t>
            </w:r>
            <w:r w:rsidR="00EE730D">
              <w:rPr>
                <w:b w:val="0"/>
              </w:rPr>
              <w:t>tuberculosis</w:t>
            </w:r>
            <w:r w:rsidRPr="00982C40">
              <w:rPr>
                <w:b w:val="0"/>
              </w:rPr>
              <w:t>, legionella, listeria, invasive fungal and serious opportunistic infections</w:t>
            </w:r>
            <w:r w:rsidRPr="00982C40">
              <w:t xml:space="preserve"> *</w:t>
            </w:r>
          </w:p>
        </w:tc>
        <w:tc>
          <w:tcPr>
            <w:tcW w:w="850" w:type="dxa"/>
          </w:tcPr>
          <w:p w:rsidR="0057051F" w:rsidRPr="0001079B" w:rsidRDefault="0057051F" w:rsidP="005A2DDF">
            <w:pPr>
              <w:pStyle w:val="Tabletext"/>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Moderate to severe congestive heart failure (NYHA class III/IV)</w:t>
            </w:r>
          </w:p>
        </w:tc>
        <w:tc>
          <w:tcPr>
            <w:tcW w:w="850" w:type="dxa"/>
          </w:tcPr>
          <w:p w:rsidR="0057051F" w:rsidRPr="0001079B" w:rsidRDefault="0057051F" w:rsidP="005A2DDF">
            <w:pPr>
              <w:pStyle w:val="Tabletext"/>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Hypersensitivity reactions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 xml:space="preserve">Malignancies including lymphoma, </w:t>
            </w:r>
            <w:r w:rsidR="007B4FFB" w:rsidRPr="00982C40">
              <w:rPr>
                <w:b w:val="0"/>
              </w:rPr>
              <w:t>leukaemia</w:t>
            </w:r>
            <w:r w:rsidRPr="00982C40">
              <w:rPr>
                <w:b w:val="0"/>
              </w:rPr>
              <w:t>, Merkel cell carcinoma, hepatosplenic T-cell lymphoma, and melanoma</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Demyelinating-like disorders including Guillain-Barre syndrome, demyelinating polyneuropathy, multifocal motor neuropathy</w:t>
            </w:r>
            <w:r w:rsidRPr="00982C40">
              <w:t xml:space="preserve"> </w:t>
            </w:r>
            <w:r w:rsidRPr="00982C40">
              <w:rPr>
                <w:b w:val="0"/>
              </w:rPr>
              <w:t>†</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ind w:left="0" w:right="0"/>
              <w:jc w:val="center"/>
            </w:pPr>
            <w:r w:rsidRPr="0001079B">
              <w:t>–</w:t>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 xml:space="preserve">Aplastic </w:t>
            </w:r>
            <w:r w:rsidR="007B4FFB" w:rsidRPr="00982C40">
              <w:rPr>
                <w:b w:val="0"/>
              </w:rPr>
              <w:t>anaemia</w:t>
            </w:r>
            <w:r w:rsidRPr="00982C40">
              <w:rPr>
                <w:b w:val="0"/>
              </w:rPr>
              <w:t>, neutrop</w:t>
            </w:r>
            <w:r w:rsidR="007223C2">
              <w:rPr>
                <w:b w:val="0"/>
              </w:rPr>
              <w:t>a</w:t>
            </w:r>
            <w:r w:rsidRPr="00982C40">
              <w:rPr>
                <w:b w:val="0"/>
              </w:rPr>
              <w:t>enia, thrombocytop</w:t>
            </w:r>
            <w:r w:rsidR="007223C2">
              <w:rPr>
                <w:b w:val="0"/>
              </w:rPr>
              <w:t>a</w:t>
            </w:r>
            <w:r w:rsidRPr="00982C40">
              <w:rPr>
                <w:b w:val="0"/>
              </w:rPr>
              <w:t>enia, pancytop</w:t>
            </w:r>
            <w:r w:rsidR="007223C2">
              <w:rPr>
                <w:b w:val="0"/>
              </w:rPr>
              <w:t>a</w:t>
            </w:r>
            <w:r w:rsidRPr="00982C40">
              <w:rPr>
                <w:b w:val="0"/>
              </w:rPr>
              <w:t>enia, and leukop</w:t>
            </w:r>
            <w:r w:rsidR="007223C2">
              <w:rPr>
                <w:b w:val="0"/>
              </w:rPr>
              <w:t>a</w:t>
            </w:r>
            <w:r w:rsidRPr="00982C40">
              <w:rPr>
                <w:b w:val="0"/>
              </w:rPr>
              <w:t>enia</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ind w:left="0" w:right="0"/>
              <w:jc w:val="center"/>
            </w:pPr>
            <w:r w:rsidRPr="0001079B">
              <w:t>–</w:t>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Lupus and lupus-like illness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ind w:left="0" w:right="0"/>
              <w:jc w:val="center"/>
            </w:pPr>
            <w:r w:rsidRPr="0001079B">
              <w:t>–</w:t>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Immunogenicity including sarcoidosis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ind w:left="0" w:right="0"/>
              <w:jc w:val="center"/>
            </w:pPr>
            <w:r w:rsidRPr="0001079B">
              <w:t>–</w:t>
            </w:r>
          </w:p>
        </w:tc>
      </w:tr>
      <w:tr w:rsidR="0057051F" w:rsidRPr="004F1C07" w:rsidTr="005A2DDF">
        <w:trPr>
          <w:trHeight w:val="94"/>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New onset or worsening of psoriasis (including palmoplantar pustular psoriasis) and related conditions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ind w:left="0" w:right="0"/>
              <w:jc w:val="center"/>
            </w:pPr>
            <w:r w:rsidRPr="0001079B">
              <w:t>–</w:t>
            </w:r>
          </w:p>
        </w:tc>
      </w:tr>
      <w:tr w:rsidR="0057051F" w:rsidRPr="004F1C07" w:rsidTr="005A2DDF">
        <w:trPr>
          <w:trHeight w:val="187"/>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Hepatobiliary events including hepatitis, hepatitis B virus reactivation, hepatic enzymes increased, and cholestasis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159"/>
        </w:trPr>
        <w:tc>
          <w:tcPr>
            <w:tcW w:w="1327" w:type="dxa"/>
            <w:vMerge w:val="restart"/>
          </w:tcPr>
          <w:p w:rsidR="0057051F" w:rsidRPr="00680101" w:rsidRDefault="0057051F" w:rsidP="005A2DDF">
            <w:pPr>
              <w:pStyle w:val="Tabletext"/>
              <w:ind w:left="0" w:right="0"/>
              <w:rPr>
                <w:b/>
              </w:rPr>
            </w:pPr>
            <w:r w:rsidRPr="00680101">
              <w:rPr>
                <w:b/>
              </w:rPr>
              <w:t xml:space="preserve">Important </w:t>
            </w:r>
            <w:r w:rsidRPr="00680101">
              <w:rPr>
                <w:b/>
              </w:rPr>
              <w:lastRenderedPageBreak/>
              <w:t>potential risks</w:t>
            </w:r>
          </w:p>
        </w:tc>
        <w:tc>
          <w:tcPr>
            <w:tcW w:w="3601" w:type="dxa"/>
          </w:tcPr>
          <w:p w:rsidR="0057051F" w:rsidRPr="00982C40" w:rsidRDefault="0057051F" w:rsidP="005A2DDF">
            <w:pPr>
              <w:pStyle w:val="Summaryofsafetyconcerns"/>
              <w:keepNext/>
              <w:keepLines/>
              <w:ind w:left="0" w:right="0"/>
              <w:rPr>
                <w:b w:val="0"/>
              </w:rPr>
            </w:pPr>
            <w:r w:rsidRPr="00982C40">
              <w:rPr>
                <w:b w:val="0"/>
              </w:rPr>
              <w:lastRenderedPageBreak/>
              <w:t>Cardiac ischemia and cerebrovascular ischemia</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t>–</w:t>
            </w:r>
          </w:p>
        </w:tc>
      </w:tr>
      <w:tr w:rsidR="0057051F" w:rsidRPr="004F1C07" w:rsidTr="005A2DDF">
        <w:trPr>
          <w:trHeight w:val="122"/>
        </w:trPr>
        <w:tc>
          <w:tcPr>
            <w:tcW w:w="1327" w:type="dxa"/>
            <w:vMerge/>
          </w:tcPr>
          <w:p w:rsidR="0057051F" w:rsidRPr="00680101"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Serious bleeding events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178"/>
        </w:trPr>
        <w:tc>
          <w:tcPr>
            <w:tcW w:w="1327" w:type="dxa"/>
            <w:vMerge w:val="restart"/>
          </w:tcPr>
          <w:p w:rsidR="0057051F" w:rsidRPr="001E0AEF" w:rsidRDefault="0057051F" w:rsidP="005A2DDF">
            <w:pPr>
              <w:pStyle w:val="Tabletext"/>
              <w:ind w:left="0" w:right="0"/>
              <w:rPr>
                <w:b/>
              </w:rPr>
            </w:pPr>
            <w:r w:rsidRPr="001E0AEF">
              <w:rPr>
                <w:b/>
              </w:rPr>
              <w:t>Missing information</w:t>
            </w:r>
          </w:p>
        </w:tc>
        <w:tc>
          <w:tcPr>
            <w:tcW w:w="3601" w:type="dxa"/>
          </w:tcPr>
          <w:p w:rsidR="0057051F" w:rsidRPr="00982C40" w:rsidRDefault="0057051F" w:rsidP="005A2DDF">
            <w:pPr>
              <w:pStyle w:val="Summaryofsafetyconcerns"/>
              <w:keepNext/>
              <w:keepLines/>
              <w:ind w:left="0" w:right="0"/>
              <w:rPr>
                <w:b w:val="0"/>
              </w:rPr>
            </w:pPr>
            <w:r w:rsidRPr="00982C40">
              <w:rPr>
                <w:b w:val="0"/>
              </w:rPr>
              <w:t>Pregnancy</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sym w:font="Wingdings" w:char="F0FC"/>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103"/>
        </w:trPr>
        <w:tc>
          <w:tcPr>
            <w:tcW w:w="1327" w:type="dxa"/>
            <w:vMerge/>
          </w:tcPr>
          <w:p w:rsidR="0057051F" w:rsidRPr="001E0AEF"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Children and adolescents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t>–</w:t>
            </w:r>
          </w:p>
        </w:tc>
      </w:tr>
      <w:tr w:rsidR="0057051F" w:rsidRPr="004F1C07" w:rsidTr="005A2DDF">
        <w:trPr>
          <w:trHeight w:val="140"/>
        </w:trPr>
        <w:tc>
          <w:tcPr>
            <w:tcW w:w="1327" w:type="dxa"/>
            <w:vMerge/>
          </w:tcPr>
          <w:p w:rsidR="0057051F" w:rsidRPr="001E0AEF"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Live vaccines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pStyle w:val="Tabletext"/>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sym w:font="Wingdings" w:char="F0FC"/>
            </w:r>
          </w:p>
        </w:tc>
      </w:tr>
      <w:tr w:rsidR="0057051F" w:rsidRPr="004F1C07" w:rsidTr="005A2DDF">
        <w:trPr>
          <w:trHeight w:val="140"/>
        </w:trPr>
        <w:tc>
          <w:tcPr>
            <w:tcW w:w="1327" w:type="dxa"/>
            <w:vMerge/>
          </w:tcPr>
          <w:p w:rsidR="0057051F" w:rsidRPr="001E0AEF"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Use in patients with hepatitis C/HIV</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t>–</w:t>
            </w:r>
          </w:p>
        </w:tc>
      </w:tr>
      <w:tr w:rsidR="0057051F" w:rsidRPr="004F1C07" w:rsidTr="005A2DDF">
        <w:trPr>
          <w:trHeight w:val="140"/>
        </w:trPr>
        <w:tc>
          <w:tcPr>
            <w:tcW w:w="1327" w:type="dxa"/>
            <w:vMerge/>
          </w:tcPr>
          <w:p w:rsidR="0057051F" w:rsidRPr="001E0AEF"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Treatment withdrawal and re-introduction in patients with early axial spondyloarthritis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t>–</w:t>
            </w:r>
          </w:p>
        </w:tc>
        <w:tc>
          <w:tcPr>
            <w:tcW w:w="992" w:type="dxa"/>
          </w:tcPr>
          <w:p w:rsidR="0057051F" w:rsidRPr="0001079B" w:rsidRDefault="0057051F" w:rsidP="005A2DDF">
            <w:pPr>
              <w:pStyle w:val="Tabletext"/>
              <w:ind w:left="0" w:right="0"/>
              <w:jc w:val="center"/>
            </w:pPr>
            <w:r w:rsidRPr="0001079B">
              <w:t>–</w:t>
            </w:r>
          </w:p>
        </w:tc>
      </w:tr>
      <w:tr w:rsidR="0057051F" w:rsidRPr="004F1C07" w:rsidTr="005A2DDF">
        <w:trPr>
          <w:trHeight w:val="140"/>
        </w:trPr>
        <w:tc>
          <w:tcPr>
            <w:tcW w:w="1327" w:type="dxa"/>
            <w:vMerge/>
          </w:tcPr>
          <w:p w:rsidR="0057051F" w:rsidRPr="001E0AEF" w:rsidRDefault="0057051F" w:rsidP="005A2DDF">
            <w:pPr>
              <w:pStyle w:val="Tabletext"/>
              <w:ind w:left="0" w:right="0"/>
              <w:rPr>
                <w:b/>
              </w:rPr>
            </w:pPr>
          </w:p>
        </w:tc>
        <w:tc>
          <w:tcPr>
            <w:tcW w:w="3601" w:type="dxa"/>
          </w:tcPr>
          <w:p w:rsidR="0057051F" w:rsidRPr="00982C40" w:rsidRDefault="0057051F" w:rsidP="005A2DDF">
            <w:pPr>
              <w:pStyle w:val="Summaryofsafetyconcerns"/>
              <w:keepNext/>
              <w:keepLines/>
              <w:ind w:left="0" w:right="0"/>
              <w:rPr>
                <w:b w:val="0"/>
              </w:rPr>
            </w:pPr>
            <w:r w:rsidRPr="00982C40">
              <w:rPr>
                <w:b w:val="0"/>
              </w:rPr>
              <w:t>Long-term use in plaque psoriasis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sym w:font="Wingdings" w:char="F0FC"/>
            </w:r>
          </w:p>
        </w:tc>
        <w:tc>
          <w:tcPr>
            <w:tcW w:w="850" w:type="dxa"/>
          </w:tcPr>
          <w:p w:rsidR="0057051F" w:rsidRPr="0001079B" w:rsidRDefault="0057051F" w:rsidP="005A2DDF">
            <w:pPr>
              <w:pStyle w:val="Tabletext"/>
              <w:ind w:left="0" w:right="0"/>
              <w:jc w:val="center"/>
            </w:pPr>
            <w:r w:rsidRPr="0001079B">
              <w:t>–</w:t>
            </w:r>
          </w:p>
        </w:tc>
        <w:tc>
          <w:tcPr>
            <w:tcW w:w="992" w:type="dxa"/>
          </w:tcPr>
          <w:p w:rsidR="0057051F" w:rsidRPr="0001079B" w:rsidRDefault="0057051F" w:rsidP="005A2DDF">
            <w:pPr>
              <w:pStyle w:val="Tabletext"/>
              <w:ind w:left="0" w:right="0"/>
              <w:jc w:val="center"/>
            </w:pPr>
            <w:r w:rsidRPr="0001079B">
              <w:t>–</w:t>
            </w:r>
          </w:p>
        </w:tc>
      </w:tr>
      <w:tr w:rsidR="0057051F" w:rsidRPr="004F1C07" w:rsidTr="005A2DDF">
        <w:trPr>
          <w:trHeight w:val="140"/>
        </w:trPr>
        <w:tc>
          <w:tcPr>
            <w:tcW w:w="1327" w:type="dxa"/>
          </w:tcPr>
          <w:p w:rsidR="0057051F" w:rsidRPr="001E0AEF" w:rsidRDefault="0057051F" w:rsidP="005A2DDF">
            <w:pPr>
              <w:pStyle w:val="Tabletext"/>
              <w:ind w:left="0" w:right="0"/>
              <w:rPr>
                <w:b/>
              </w:rPr>
            </w:pPr>
            <w:r w:rsidRPr="001E0AEF">
              <w:rPr>
                <w:b/>
              </w:rPr>
              <w:t>Australian Specific Safety Concerns</w:t>
            </w:r>
          </w:p>
        </w:tc>
        <w:tc>
          <w:tcPr>
            <w:tcW w:w="3601" w:type="dxa"/>
          </w:tcPr>
          <w:p w:rsidR="0057051F" w:rsidRPr="00982C40" w:rsidRDefault="0057051F" w:rsidP="005A2DDF">
            <w:pPr>
              <w:pStyle w:val="Summaryofsafetyconcerns"/>
              <w:keepNext/>
              <w:keepLines/>
              <w:ind w:left="0" w:right="0"/>
              <w:rPr>
                <w:b w:val="0"/>
              </w:rPr>
            </w:pPr>
            <w:r w:rsidRPr="00982C40">
              <w:rPr>
                <w:b w:val="0"/>
              </w:rPr>
              <w:t>Injection site reactions</w:t>
            </w:r>
          </w:p>
        </w:tc>
        <w:tc>
          <w:tcPr>
            <w:tcW w:w="850" w:type="dxa"/>
          </w:tcPr>
          <w:p w:rsidR="0057051F" w:rsidRPr="0001079B" w:rsidRDefault="0057051F" w:rsidP="005A2DDF">
            <w:pPr>
              <w:ind w:left="0" w:right="0"/>
              <w:jc w:val="center"/>
            </w:pPr>
            <w:r w:rsidRPr="0001079B">
              <w:sym w:font="Wingdings" w:char="F0FC"/>
            </w:r>
          </w:p>
        </w:tc>
        <w:tc>
          <w:tcPr>
            <w:tcW w:w="993" w:type="dxa"/>
          </w:tcPr>
          <w:p w:rsidR="0057051F" w:rsidRPr="0001079B" w:rsidRDefault="0057051F" w:rsidP="005A2DDF">
            <w:pPr>
              <w:ind w:left="0" w:right="0"/>
              <w:jc w:val="center"/>
            </w:pPr>
            <w:r w:rsidRPr="0001079B">
              <w:t>–</w:t>
            </w:r>
          </w:p>
        </w:tc>
        <w:tc>
          <w:tcPr>
            <w:tcW w:w="850" w:type="dxa"/>
          </w:tcPr>
          <w:p w:rsidR="0057051F" w:rsidRPr="0001079B" w:rsidRDefault="0057051F" w:rsidP="005A2DDF">
            <w:pPr>
              <w:pStyle w:val="Tabletext"/>
              <w:ind w:left="0" w:right="0"/>
              <w:jc w:val="center"/>
            </w:pPr>
            <w:r w:rsidRPr="0001079B">
              <w:sym w:font="Wingdings" w:char="F0FC"/>
            </w:r>
          </w:p>
        </w:tc>
        <w:tc>
          <w:tcPr>
            <w:tcW w:w="992" w:type="dxa"/>
          </w:tcPr>
          <w:p w:rsidR="0057051F" w:rsidRPr="0001079B" w:rsidRDefault="0057051F" w:rsidP="005A2DDF">
            <w:pPr>
              <w:pStyle w:val="Tabletext"/>
              <w:ind w:left="0" w:right="0"/>
              <w:jc w:val="center"/>
            </w:pPr>
            <w:r w:rsidRPr="0001079B">
              <w:t>–</w:t>
            </w:r>
          </w:p>
        </w:tc>
      </w:tr>
    </w:tbl>
    <w:p w:rsidR="00D73C03" w:rsidRPr="00BE0224" w:rsidRDefault="00D73C03" w:rsidP="00D73C03">
      <w:pPr>
        <w:pStyle w:val="TableDescription"/>
      </w:pPr>
      <w:r w:rsidRPr="00D73C03">
        <w:t>*The specification of legionella, listeria and invasive fungal infec</w:t>
      </w:r>
      <w:r w:rsidR="00BE0224">
        <w:t xml:space="preserve">tions is specific to Australia. </w:t>
      </w:r>
      <w:r w:rsidRPr="00D73C03">
        <w:t>†The specification of Guillain-Barre syndrome, demyelinating polyneuropathy, multifocal motor neuropathy is specific to Australia.</w:t>
      </w:r>
    </w:p>
    <w:p w:rsidR="00456765" w:rsidRDefault="00456765" w:rsidP="00D73C03">
      <w:pPr>
        <w:pStyle w:val="Heading4"/>
        <w:rPr>
          <w:lang w:eastAsia="en-AU"/>
        </w:rPr>
      </w:pPr>
      <w:r>
        <w:rPr>
          <w:lang w:eastAsia="en-AU"/>
        </w:rPr>
        <w:t>Summary of RMP evaluation</w:t>
      </w:r>
      <w:r>
        <w:rPr>
          <w:rStyle w:val="FootnoteReference"/>
          <w:lang w:eastAsia="en-AU"/>
        </w:rPr>
        <w:footnoteReference w:id="4"/>
      </w:r>
    </w:p>
    <w:p w:rsidR="0057051F" w:rsidRDefault="007223C2" w:rsidP="0057051F">
      <w:pPr>
        <w:pStyle w:val="ListBullet"/>
      </w:pPr>
      <w:r>
        <w:t>The sponsor</w:t>
      </w:r>
      <w:r w:rsidR="0057051F">
        <w:t xml:space="preserve"> has applied to extend the indications of certolizumab pegol. C</w:t>
      </w:r>
      <w:r w:rsidR="005A2DDF">
        <w:t>imzia</w:t>
      </w:r>
      <w:r w:rsidR="0057051F">
        <w:t xml:space="preserve"> is currently approved for the treatment of rheumatoid arthritis, psoriatic arthritis and ankylosing spondylitis in adults. The dosage for the currently approved indications is a loading dose of 400</w:t>
      </w:r>
      <w:r w:rsidR="005A2DDF">
        <w:t xml:space="preserve"> </w:t>
      </w:r>
      <w:r w:rsidR="0057051F">
        <w:t>mg subcutaneously every two weeks for three doses, then a subcutaneous maintenance dose of either 200</w:t>
      </w:r>
      <w:r w:rsidR="005A2DDF">
        <w:t xml:space="preserve"> </w:t>
      </w:r>
      <w:r w:rsidR="0057051F">
        <w:t>mg every two weeks or 400</w:t>
      </w:r>
      <w:r w:rsidR="005A2DDF">
        <w:t xml:space="preserve"> </w:t>
      </w:r>
      <w:r w:rsidR="0057051F">
        <w:t>mg every four weeks.</w:t>
      </w:r>
      <w:r w:rsidR="00702D7B">
        <w:t xml:space="preserve"> </w:t>
      </w:r>
      <w:r w:rsidR="0057051F">
        <w:t>The current submission seeks to extend the indications to include the treatment of moderate to severe plaque psoriasis in adults who are candidates for systemic therapy or phototherapy.</w:t>
      </w:r>
    </w:p>
    <w:p w:rsidR="00456765" w:rsidRDefault="0057051F" w:rsidP="0057051F">
      <w:pPr>
        <w:pStyle w:val="ListBullet"/>
        <w:rPr>
          <w:lang w:eastAsia="en-AU"/>
        </w:rPr>
      </w:pPr>
      <w:r>
        <w:t>The most recently evaluated EU-RMP was version 8.0 (dated 14 November 2012) and ASA version 1.0. In support of the extended indications, the sponsor has submitted EU-RMP version 13.1 (dated 16 January 2018; DLP 6 March 2017) and ASA version 6.0 (dated 23 February 2018). The sponsor submitted a revised ASA version 6.0 (dated 16 October 2018) in its response</w:t>
      </w:r>
      <w:r w:rsidR="00D73C03">
        <w:t xml:space="preserve"> to questions</w:t>
      </w:r>
      <w:r>
        <w:t>.</w:t>
      </w:r>
    </w:p>
    <w:p w:rsidR="0057051F" w:rsidRPr="00D31393" w:rsidRDefault="0057051F" w:rsidP="005A2DDF">
      <w:pPr>
        <w:pStyle w:val="ListBullet"/>
      </w:pPr>
      <w:r w:rsidRPr="00472208">
        <w:t>The sponsor’s proposed pharmacovi</w:t>
      </w:r>
      <w:r>
        <w:t>gi</w:t>
      </w:r>
      <w:r w:rsidRPr="00472208">
        <w:t>lance and risk minimisation plans are acceptable from an RMP perspective.</w:t>
      </w:r>
    </w:p>
    <w:p w:rsidR="00456765" w:rsidRDefault="00456765" w:rsidP="00456765">
      <w:pPr>
        <w:pStyle w:val="Heading4"/>
      </w:pPr>
      <w:bookmarkStart w:id="83" w:name="_Toc477354123"/>
      <w:r>
        <w:lastRenderedPageBreak/>
        <w:t>New and outstanding recommendations from second round evaluation</w:t>
      </w:r>
      <w:bookmarkEnd w:id="83"/>
    </w:p>
    <w:p w:rsidR="0057051F" w:rsidRPr="005A2DDF" w:rsidRDefault="0057051F" w:rsidP="005A2DDF">
      <w:bookmarkStart w:id="84" w:name="_Toc477354124"/>
      <w:r w:rsidRPr="005A2DDF">
        <w:t>There is one outstanding recommendation:</w:t>
      </w:r>
    </w:p>
    <w:p w:rsidR="0057051F" w:rsidRPr="005A2DDF" w:rsidRDefault="0057051F" w:rsidP="00D73C03">
      <w:pPr>
        <w:ind w:left="720"/>
      </w:pPr>
      <w:r w:rsidRPr="005A2DDF">
        <w:t>When available, the sponsor should revise the ASA to include the proportion of health professionals targeted to receive the proposed educational materials who actually received them. The revised ASA should be provided to the TGA for review as an RMP update. This may be completed after the approval of the submission and should not impede registration. Future RMP updates should be assigned a version number that is different to previous versions to avoid confusion.</w:t>
      </w:r>
    </w:p>
    <w:p w:rsidR="00456765" w:rsidRPr="00BB4B51" w:rsidRDefault="00456765" w:rsidP="00456765">
      <w:pPr>
        <w:pStyle w:val="Heading4"/>
      </w:pPr>
      <w:r>
        <w:t>Proposed wording for conditions of registration</w:t>
      </w:r>
      <w:bookmarkEnd w:id="84"/>
    </w:p>
    <w:p w:rsidR="00702D7B" w:rsidRDefault="0057051F" w:rsidP="0057051F">
      <w:r>
        <w:t>The suggested wording is:</w:t>
      </w:r>
    </w:p>
    <w:p w:rsidR="0057051F" w:rsidRDefault="0057051F" w:rsidP="00D73C03">
      <w:pPr>
        <w:ind w:left="720"/>
      </w:pPr>
      <w:r>
        <w:t>The C</w:t>
      </w:r>
      <w:r w:rsidR="005A2DDF">
        <w:t>imzia</w:t>
      </w:r>
      <w:r>
        <w:t xml:space="preserve"> EU-Risk Management Plan (RMP) (version 13.1, dated 16 January 2018; DLP 6</w:t>
      </w:r>
      <w:r w:rsidR="005A2DDF">
        <w:t> </w:t>
      </w:r>
      <w:r>
        <w:t>March 2018), with Australian Specific Annex (version 6.0, dated 16 October 2018), included with submission PM-2017-04943-1-1, and any subsequent revisions, as agreed with the TGA will be implemented in Australia.</w:t>
      </w:r>
    </w:p>
    <w:p w:rsidR="0057051F" w:rsidRDefault="0057051F" w:rsidP="0057051F">
      <w:r>
        <w:t>The following wording is recommended for the PSUR requirement:</w:t>
      </w:r>
    </w:p>
    <w:p w:rsidR="00702D7B" w:rsidRDefault="0057051F" w:rsidP="00D73C03">
      <w:pPr>
        <w:ind w:left="720"/>
      </w:pPr>
      <w:r>
        <w:t>An obligatory component of risk management plans is routine pharmacovigilance. Routine pharmacovigilance includes the submission of periodic safety update reports (PSURs).</w:t>
      </w:r>
    </w:p>
    <w:p w:rsidR="00702D7B" w:rsidRDefault="0057051F" w:rsidP="00D73C03">
      <w:pPr>
        <w:ind w:left="720"/>
      </w:pPr>
      <w:r>
        <w:t>Reports are to be provided in line with the current published list of EU reference dates and frequency of submission of PSURs until the period covered by such reports is not less than three years from the date of this approval letter.</w:t>
      </w:r>
    </w:p>
    <w:p w:rsidR="00702D7B" w:rsidRDefault="0057051F" w:rsidP="00D73C03">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rsidR="0057051F" w:rsidRDefault="0057051F" w:rsidP="00D73C03">
      <w:pPr>
        <w:pStyle w:val="Heading5"/>
      </w:pPr>
      <w:r>
        <w:t>Additional activities for compliance monitoring</w:t>
      </w:r>
    </w:p>
    <w:p w:rsidR="00456765" w:rsidRPr="00D31393" w:rsidRDefault="0057051F" w:rsidP="0057051F">
      <w:r>
        <w:t>The sponsor has been requested to submit a revised ASA which describes the proportion of health professions targeted to receive the proposed educational materials who actually receive them. The review of this information should be followed up through the RMP Compliance Program.</w:t>
      </w:r>
    </w:p>
    <w:p w:rsidR="008E7846" w:rsidRPr="00792A32" w:rsidRDefault="008E7846" w:rsidP="008E7846">
      <w:pPr>
        <w:pStyle w:val="Heading2"/>
      </w:pPr>
      <w:bookmarkStart w:id="85" w:name="_Toc2152566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1"/>
      <w:bookmarkEnd w:id="81"/>
      <w:bookmarkEnd w:id="82"/>
      <w:bookmarkEnd w:id="85"/>
    </w:p>
    <w:p w:rsidR="008E7846" w:rsidRDefault="008E7846" w:rsidP="008E7846">
      <w:bookmarkStart w:id="86" w:name="_Toc247691528"/>
      <w:r>
        <w:t xml:space="preserve">The submission was summarised in the following </w:t>
      </w:r>
      <w:r w:rsidRPr="00EF5C48">
        <w:t xml:space="preserve">Delegate’s </w:t>
      </w:r>
      <w:r>
        <w:t>overview</w:t>
      </w:r>
      <w:r w:rsidRPr="00EF5C48">
        <w:t xml:space="preserve"> and recommendation</w:t>
      </w:r>
      <w:r>
        <w:t>s</w:t>
      </w:r>
      <w:r w:rsidR="007223C2">
        <w:t>.</w:t>
      </w:r>
    </w:p>
    <w:p w:rsidR="00372731" w:rsidRDefault="00372731" w:rsidP="00372731">
      <w:pPr>
        <w:pStyle w:val="Heading3"/>
      </w:pPr>
      <w:bookmarkStart w:id="87" w:name="_Toc21525669"/>
      <w:r>
        <w:t>Background</w:t>
      </w:r>
      <w:bookmarkEnd w:id="87"/>
    </w:p>
    <w:p w:rsidR="00372731" w:rsidRPr="004F7C66" w:rsidRDefault="00372731" w:rsidP="004F7C66">
      <w:r w:rsidRPr="004F7C66">
        <w:t xml:space="preserve">Psoriasis (PSO) is a chronic inflammatory skin disorder mainly characterised by erythematous papules and plaques with a silvery scale (plaque psoriasis). However, the disease may also manifest itself as guttate psoriasis, pustular psoriasis, inverse psoriasis, erythrodermic psoriasis, or nail psoriasis. In some individuals, systemic symptoms </w:t>
      </w:r>
      <w:r w:rsidR="006304CF">
        <w:t>may occur.</w:t>
      </w:r>
    </w:p>
    <w:p w:rsidR="00372731" w:rsidRDefault="00372731" w:rsidP="001A0B08">
      <w:pPr>
        <w:pageBreakBefore/>
      </w:pPr>
      <w:r>
        <w:lastRenderedPageBreak/>
        <w:t>There is a variety of t</w:t>
      </w:r>
      <w:r w:rsidR="006304CF">
        <w:t>reatments for plaque psoriasis</w:t>
      </w:r>
      <w:r w:rsidR="00435BB9">
        <w:t>, including</w:t>
      </w:r>
      <w:r w:rsidR="006304CF">
        <w:t>:</w:t>
      </w:r>
    </w:p>
    <w:p w:rsidR="00372731" w:rsidRDefault="00435BB9" w:rsidP="004F7C66">
      <w:pPr>
        <w:pStyle w:val="ListBullet"/>
      </w:pPr>
      <w:r>
        <w:t xml:space="preserve">topical </w:t>
      </w:r>
      <w:r w:rsidR="006304CF">
        <w:t>corticosteroids and emollients</w:t>
      </w:r>
      <w:r>
        <w:t>;</w:t>
      </w:r>
    </w:p>
    <w:p w:rsidR="00372731" w:rsidRDefault="00435BB9" w:rsidP="004F7C66">
      <w:pPr>
        <w:pStyle w:val="ListBullet"/>
      </w:pPr>
      <w:r>
        <w:t xml:space="preserve">vitamin </w:t>
      </w:r>
      <w:r w:rsidR="00372731">
        <w:t>D analogues (</w:t>
      </w:r>
      <w:r w:rsidR="006304CF">
        <w:t>for example, calcipotriene, calcitriol)</w:t>
      </w:r>
      <w:r>
        <w:t>;</w:t>
      </w:r>
    </w:p>
    <w:p w:rsidR="00372731" w:rsidRDefault="00435BB9" w:rsidP="004F7C66">
      <w:pPr>
        <w:pStyle w:val="ListBullet"/>
      </w:pPr>
      <w:r>
        <w:t>topical</w:t>
      </w:r>
      <w:r w:rsidR="00372731">
        <w:t>/systemic retinoids (</w:t>
      </w:r>
      <w:r w:rsidR="006304CF">
        <w:t>for example, tazarotene)</w:t>
      </w:r>
      <w:r>
        <w:t>;</w:t>
      </w:r>
    </w:p>
    <w:p w:rsidR="00372731" w:rsidRDefault="00435BB9" w:rsidP="004F7C66">
      <w:pPr>
        <w:pStyle w:val="ListBullet"/>
      </w:pPr>
      <w:r>
        <w:t>t</w:t>
      </w:r>
      <w:r w:rsidR="00372731">
        <w:t>op</w:t>
      </w:r>
      <w:r w:rsidR="006304CF">
        <w:t>ical tacrolimus or pimecrolimus</w:t>
      </w:r>
      <w:r>
        <w:t>;</w:t>
      </w:r>
    </w:p>
    <w:p w:rsidR="004F7C66" w:rsidRDefault="004F7C66" w:rsidP="004F7C66">
      <w:pPr>
        <w:pStyle w:val="ListBullet"/>
      </w:pPr>
      <w:r>
        <w:t>UVB photothe</w:t>
      </w:r>
      <w:r w:rsidR="006304CF">
        <w:t>rapy</w:t>
      </w:r>
      <w:r w:rsidR="00435BB9">
        <w:t>;</w:t>
      </w:r>
    </w:p>
    <w:p w:rsidR="00372731" w:rsidRDefault="00435BB9" w:rsidP="004F7C66">
      <w:pPr>
        <w:pStyle w:val="ListBullet"/>
      </w:pPr>
      <w:r>
        <w:t>n</w:t>
      </w:r>
      <w:r w:rsidR="00372731">
        <w:t>on-biological agents (</w:t>
      </w:r>
      <w:r w:rsidR="006304CF">
        <w:t>for example,</w:t>
      </w:r>
      <w:r w:rsidR="00372731">
        <w:t xml:space="preserve"> methotre</w:t>
      </w:r>
      <w:r w:rsidR="006304CF">
        <w:t xml:space="preserve">xate, cyclosporine, </w:t>
      </w:r>
      <w:r>
        <w:t xml:space="preserve">or </w:t>
      </w:r>
      <w:r w:rsidR="006304CF">
        <w:t>apremilast)</w:t>
      </w:r>
      <w:r>
        <w:t>; and</w:t>
      </w:r>
    </w:p>
    <w:p w:rsidR="00372731" w:rsidRDefault="00435BB9" w:rsidP="004F7C66">
      <w:pPr>
        <w:pStyle w:val="ListBullet"/>
      </w:pPr>
      <w:r>
        <w:t>b</w:t>
      </w:r>
      <w:r w:rsidR="00372731">
        <w:t>iological immunomodulators (</w:t>
      </w:r>
      <w:r w:rsidR="006304CF">
        <w:t>for example,</w:t>
      </w:r>
      <w:r w:rsidR="00372731">
        <w:t xml:space="preserve"> infliximab, adalimumab, etanercept, ustekinumab, secukinumab,</w:t>
      </w:r>
      <w:r>
        <w:t xml:space="preserve"> or</w:t>
      </w:r>
      <w:r w:rsidR="00372731">
        <w:t xml:space="preserve"> ixekizumab)</w:t>
      </w:r>
      <w:r>
        <w:t>.</w:t>
      </w:r>
    </w:p>
    <w:p w:rsidR="004F7C66" w:rsidRDefault="004F7C66" w:rsidP="004F7C66">
      <w:pPr>
        <w:pStyle w:val="Heading4"/>
      </w:pPr>
      <w:r>
        <w:t>Drug class</w:t>
      </w:r>
    </w:p>
    <w:p w:rsidR="00372731" w:rsidRDefault="004F7C66" w:rsidP="004F7C66">
      <w:r>
        <w:t xml:space="preserve">Certolizumab pegol (CZP) is a genetically engineered, humanised, antibody fragment antigen-binding (Fab’) with specificity for human TNF, derived originally from a murine immunoglobulin G2 monoclonal antibody, expressed in an </w:t>
      </w:r>
      <w:r w:rsidRPr="006304CF">
        <w:rPr>
          <w:i/>
        </w:rPr>
        <w:t>E. coli</w:t>
      </w:r>
      <w:r>
        <w:t xml:space="preserve"> bacterial expression system. The Fab’ is purified using standard chromatographic methods and conjugated to 2 linked 20</w:t>
      </w:r>
      <w:r w:rsidR="006304CF">
        <w:t xml:space="preserve"> </w:t>
      </w:r>
      <w:r>
        <w:t>kDa polyethylene glycol (PEG) chains via a maleimide linker. CZP is the fourth anti-TNF therapy proposed for the registration of plaque psoriasis in Australia after infliximab, adalimumab, and etanercept.</w:t>
      </w:r>
    </w:p>
    <w:p w:rsidR="004F7C66" w:rsidRDefault="004F7C66" w:rsidP="004F7C66">
      <w:pPr>
        <w:pStyle w:val="Heading4"/>
      </w:pPr>
      <w:r>
        <w:t xml:space="preserve">Australian </w:t>
      </w:r>
      <w:r w:rsidR="001A0B08">
        <w:t>regulatory status</w:t>
      </w:r>
    </w:p>
    <w:p w:rsidR="004F7C66" w:rsidRDefault="004F7C66" w:rsidP="004F7C66">
      <w:r>
        <w:t>Cimzia was registered in January 2010 for treatment of rheumatoid arthritis (RA). Subsequent extensions to the indications to include psoriatic arthritis (PA) and ankylosing spondylitis (AS) have subsequently been approved.</w:t>
      </w:r>
    </w:p>
    <w:p w:rsidR="004F7C66" w:rsidRDefault="004F7C66" w:rsidP="004F7C66">
      <w:pPr>
        <w:pStyle w:val="Heading4"/>
      </w:pPr>
      <w:r>
        <w:t xml:space="preserve">Overseas </w:t>
      </w:r>
      <w:r w:rsidR="001A0B08">
        <w:t>regulatory status</w:t>
      </w:r>
    </w:p>
    <w:p w:rsidR="004F7C66" w:rsidRDefault="004F7C66" w:rsidP="004F7C66">
      <w:r>
        <w:t>The proposed plaque psoriasis indication for Cimzia was approved in the USA in May 2018 and was recommended for approval by the CHMP in April 2018. The dose regimens for plaque psoriasis differ in these jurisdictions. Even though similar, neither jurisdiction has the dose regimen proposed to the TGA.</w:t>
      </w:r>
    </w:p>
    <w:p w:rsidR="004F7C66" w:rsidRDefault="004F7C66" w:rsidP="004F7C66">
      <w:r>
        <w:t>The proposed dose regimen in the Australian PI is:</w:t>
      </w:r>
    </w:p>
    <w:p w:rsidR="004F7C66" w:rsidRPr="003271F7" w:rsidRDefault="004F7C66" w:rsidP="004F7C66">
      <w:pPr>
        <w:ind w:left="720"/>
        <w:rPr>
          <w:iCs/>
        </w:rPr>
      </w:pPr>
      <w:r w:rsidRPr="003271F7">
        <w:rPr>
          <w:iCs/>
        </w:rPr>
        <w:t>The dose of Cimzia for adult patients with plaque psoriasis is 400 mg every 2 weeks. Alternatively, a dose of 400 mg initially (Week 0) and at Weeks 2 and 4 followed by200 mg every 2 weeks may be considered (see Section 5.1 Pharmacodynamic Properties, Clinical trials).</w:t>
      </w:r>
    </w:p>
    <w:p w:rsidR="004F7C66" w:rsidRDefault="004F7C66" w:rsidP="004F7C66">
      <w:r>
        <w:t>In the USA the dose regimen is as follows:</w:t>
      </w:r>
    </w:p>
    <w:p w:rsidR="004F7C66" w:rsidRPr="003271F7" w:rsidRDefault="004F7C66" w:rsidP="004F7C66">
      <w:pPr>
        <w:ind w:left="720"/>
      </w:pPr>
      <w:r w:rsidRPr="003271F7">
        <w:rPr>
          <w:iCs/>
        </w:rPr>
        <w:t xml:space="preserve">400 mg (given as 2 subcutaneous injections of 200 mg each) every other week. For some patients (with body weight ≤ 90 kg), a dose of 400 mg (given as 2 subcutaneous injections of 200 mg each) initially and at Weeks 2 and 4, followed by 200 mg every other week may be considered. </w:t>
      </w:r>
    </w:p>
    <w:p w:rsidR="004F7C66" w:rsidRDefault="004F7C66" w:rsidP="004F7C66">
      <w:r>
        <w:t>In Canada, the dose regimen is as follows:</w:t>
      </w:r>
    </w:p>
    <w:p w:rsidR="004F7C66" w:rsidRPr="003271F7" w:rsidRDefault="004F7C66" w:rsidP="003271F7">
      <w:pPr>
        <w:ind w:left="720"/>
      </w:pPr>
      <w:r w:rsidRPr="003271F7">
        <w:t xml:space="preserve">The recommended dose of </w:t>
      </w:r>
      <w:r w:rsidR="00435BB9" w:rsidRPr="003271F7">
        <w:t>Cimzia</w:t>
      </w:r>
      <w:r w:rsidRPr="003271F7">
        <w:t xml:space="preserve"> for adult patients with plaque psoriasis is 400 mg every 2 weeks. A dose of 400 mg initially (Week 0) and at Weeks 2 and 4 followed by 200 mg every 2 weeks may be considered (see </w:t>
      </w:r>
      <w:r w:rsidR="00435BB9" w:rsidRPr="003271F7">
        <w:t>Clinical Trials</w:t>
      </w:r>
      <w:r w:rsidRPr="003271F7">
        <w:t>, Plaque Psoriasis, Study Results).</w:t>
      </w:r>
    </w:p>
    <w:p w:rsidR="004F7C66" w:rsidRDefault="004F7C66" w:rsidP="004F7C66">
      <w:r>
        <w:t>In the EU the plaque psoriasis dose regimen is as follows:</w:t>
      </w:r>
    </w:p>
    <w:p w:rsidR="004F7C66" w:rsidRPr="003271F7" w:rsidRDefault="004F7C66" w:rsidP="004F7C66">
      <w:pPr>
        <w:ind w:left="720"/>
      </w:pPr>
      <w:r w:rsidRPr="003271F7">
        <w:lastRenderedPageBreak/>
        <w:t>Loading dose</w:t>
      </w:r>
    </w:p>
    <w:p w:rsidR="004F7C66" w:rsidRPr="003271F7" w:rsidRDefault="004F7C66" w:rsidP="004F7C66">
      <w:pPr>
        <w:ind w:left="720"/>
      </w:pPr>
      <w:r w:rsidRPr="003271F7">
        <w:t>The recommended starting dose of Cimzia for adult patients is 400 mg (given as 2 subcutaneous injections of 200 mg each) at weeks 0, 2 and 4. […]</w:t>
      </w:r>
    </w:p>
    <w:p w:rsidR="004F7C66" w:rsidRPr="003271F7" w:rsidRDefault="004F7C66" w:rsidP="004F7C66">
      <w:pPr>
        <w:ind w:left="720"/>
      </w:pPr>
      <w:r w:rsidRPr="003271F7">
        <w:t xml:space="preserve">After the starting dose, the maintenance dose of Cimzia for adult patients with plaque psoriasis is 200 mg every 2 weeks. A dose of 400 mg every 2 weeks can be considered in patients with insufficient response. </w:t>
      </w:r>
    </w:p>
    <w:p w:rsidR="004F7C66" w:rsidRPr="003271F7" w:rsidRDefault="004F7C66" w:rsidP="004F7C66">
      <w:pPr>
        <w:ind w:left="720"/>
      </w:pPr>
      <w:r w:rsidRPr="003271F7">
        <w:t>Available data in adults with plaque psoriasis suggest that a clinical response is usually achieved within 16 weeks of treatment. Continued therapy should be carefully reconsidered in patients who show no evidence of therapeutic benefit within the first 16 weeks of treatment. Some patients with an initial partial response may subsequently improve with continued treatment beyond 16 weeks.</w:t>
      </w:r>
    </w:p>
    <w:p w:rsidR="004F7C66" w:rsidRDefault="004F7C66" w:rsidP="004F7C66">
      <w:pPr>
        <w:pStyle w:val="Heading4"/>
      </w:pPr>
      <w:r>
        <w:t>Guidance</w:t>
      </w:r>
    </w:p>
    <w:p w:rsidR="004F7C66" w:rsidRDefault="004F7C66" w:rsidP="004F7C66">
      <w:r>
        <w:t>The main indication-specific guidance document is:</w:t>
      </w:r>
    </w:p>
    <w:p w:rsidR="004F7C66" w:rsidRDefault="004F7C66" w:rsidP="004F7C66">
      <w:pPr>
        <w:pStyle w:val="ListBullet"/>
      </w:pPr>
      <w:r w:rsidRPr="004F7C66">
        <w:t>CHMP/EWP/2454/02 corr</w:t>
      </w:r>
      <w:r w:rsidR="00435BB9">
        <w:t>.;</w:t>
      </w:r>
      <w:r w:rsidRPr="004F7C66">
        <w:t xml:space="preserve"> </w:t>
      </w:r>
      <w:r>
        <w:t xml:space="preserve">Guideline on clinical investigation of medicinal products indicated for the treatment of </w:t>
      </w:r>
      <w:r w:rsidR="00435BB9">
        <w:t xml:space="preserve">psoriasis </w:t>
      </w:r>
      <w:r>
        <w:t>(18 November 2004)</w:t>
      </w:r>
    </w:p>
    <w:p w:rsidR="004F7C66" w:rsidRPr="004F7C66" w:rsidRDefault="004F7C66" w:rsidP="004F7C66">
      <w:r>
        <w:t>The main pharmacology-specific guidance documents are:</w:t>
      </w:r>
    </w:p>
    <w:p w:rsidR="004F7C66" w:rsidRPr="004F7C66" w:rsidRDefault="004F7C66" w:rsidP="004F7C66">
      <w:pPr>
        <w:pStyle w:val="ListBullet"/>
      </w:pPr>
      <w:r w:rsidRPr="004F7C66">
        <w:t>CHMP/EWP/14327/2004</w:t>
      </w:r>
      <w:r w:rsidR="00435BB9">
        <w:t>;</w:t>
      </w:r>
      <w:r w:rsidRPr="004F7C66">
        <w:t xml:space="preserve"> Guideline on the </w:t>
      </w:r>
      <w:r w:rsidR="00435BB9" w:rsidRPr="004F7C66">
        <w:t>clinical investigation of the pharmacokinetics of therape</w:t>
      </w:r>
      <w:r w:rsidR="00435BB9">
        <w:t xml:space="preserve">utic proteins </w:t>
      </w:r>
      <w:r>
        <w:t>(24 January 2007)</w:t>
      </w:r>
    </w:p>
    <w:p w:rsidR="004F7C66" w:rsidRPr="004F7C66" w:rsidRDefault="004F7C66" w:rsidP="004F7C66">
      <w:pPr>
        <w:pStyle w:val="ListBullet"/>
      </w:pPr>
      <w:r w:rsidRPr="004F7C66">
        <w:t xml:space="preserve">CHMP/EWP/185990/06 Guideline on </w:t>
      </w:r>
      <w:r w:rsidR="00435BB9">
        <w:t>r</w:t>
      </w:r>
      <w:r w:rsidRPr="004F7C66">
        <w:t xml:space="preserve">eporting the results of </w:t>
      </w:r>
      <w:r w:rsidR="00435BB9">
        <w:t>p</w:t>
      </w:r>
      <w:r w:rsidRPr="004F7C66">
        <w:t xml:space="preserve">opulation </w:t>
      </w:r>
      <w:r w:rsidR="00435BB9">
        <w:t>p</w:t>
      </w:r>
      <w:r w:rsidR="00435BB9" w:rsidRPr="004F7C66">
        <w:t>harmaco</w:t>
      </w:r>
      <w:r w:rsidR="00435BB9">
        <w:t xml:space="preserve">kinetic analyses </w:t>
      </w:r>
      <w:r>
        <w:t>(21 June 2007).</w:t>
      </w:r>
    </w:p>
    <w:p w:rsidR="008E7846" w:rsidRDefault="008E7846" w:rsidP="008E7846">
      <w:pPr>
        <w:pStyle w:val="Heading3"/>
      </w:pPr>
      <w:bookmarkStart w:id="88" w:name="_Toc314842511"/>
      <w:bookmarkStart w:id="89" w:name="_Toc21525670"/>
      <w:r>
        <w:t>Quality</w:t>
      </w:r>
      <w:bookmarkEnd w:id="86"/>
      <w:bookmarkEnd w:id="88"/>
      <w:bookmarkEnd w:id="89"/>
    </w:p>
    <w:p w:rsidR="00E45619" w:rsidRDefault="008E7846" w:rsidP="003A7F6C">
      <w:r>
        <w:t>There was no requirement for a quality evaluation in a submission of this type.</w:t>
      </w:r>
    </w:p>
    <w:p w:rsidR="008E7846" w:rsidRDefault="008E7846" w:rsidP="008E7846">
      <w:pPr>
        <w:pStyle w:val="Heading3"/>
      </w:pPr>
      <w:bookmarkStart w:id="90" w:name="_Toc314842512"/>
      <w:bookmarkStart w:id="91" w:name="_Toc21525671"/>
      <w:r>
        <w:t>Nonclinical</w:t>
      </w:r>
      <w:bookmarkEnd w:id="90"/>
      <w:bookmarkEnd w:id="91"/>
    </w:p>
    <w:p w:rsidR="008E7846" w:rsidRDefault="008E7846" w:rsidP="008E7846">
      <w:r>
        <w:t>There was no requirement for a nonclinical evaluation in a submission of this type.</w:t>
      </w:r>
    </w:p>
    <w:p w:rsidR="008E7846" w:rsidRDefault="008E7846" w:rsidP="008E7846">
      <w:pPr>
        <w:pStyle w:val="Heading3"/>
      </w:pPr>
      <w:bookmarkStart w:id="92" w:name="_Toc247691530"/>
      <w:bookmarkStart w:id="93" w:name="_Toc314842513"/>
      <w:bookmarkStart w:id="94" w:name="_Toc21525672"/>
      <w:r>
        <w:t>Clinical</w:t>
      </w:r>
      <w:bookmarkEnd w:id="92"/>
      <w:bookmarkEnd w:id="93"/>
      <w:bookmarkEnd w:id="94"/>
    </w:p>
    <w:p w:rsidR="006D6A6E" w:rsidRDefault="006D6A6E" w:rsidP="006D6A6E">
      <w:r>
        <w:t xml:space="preserve">Five efficacy and safety studies pertaining to the proposed indication were submitted. Of those, the main efficacy studies were three </w:t>
      </w:r>
      <w:r w:rsidR="005A2DDF">
        <w:t>P</w:t>
      </w:r>
      <w:r>
        <w:t xml:space="preserve">hase </w:t>
      </w:r>
      <w:r w:rsidR="005A2DDF">
        <w:t>III</w:t>
      </w:r>
      <w:r>
        <w:t xml:space="preserve"> trials, and two supporting </w:t>
      </w:r>
      <w:r w:rsidR="005A2DDF">
        <w:t>P</w:t>
      </w:r>
      <w:r>
        <w:t xml:space="preserve">hase </w:t>
      </w:r>
      <w:r w:rsidR="005A2DDF">
        <w:t>II</w:t>
      </w:r>
      <w:r>
        <w:t xml:space="preserve"> trials. There were no studies in this submission that were primarily to assess </w:t>
      </w:r>
      <w:r w:rsidR="00F63AEF">
        <w:t>pharmacokinetic</w:t>
      </w:r>
      <w:r>
        <w:t xml:space="preserve"> and </w:t>
      </w:r>
      <w:r w:rsidR="005A2DDF">
        <w:t>pharmacodynamic</w:t>
      </w:r>
      <w:r>
        <w:t xml:space="preserve"> data. However, two population pharmacokinetic/pharmacodynamic analyses were performed on the existing studies.</w:t>
      </w:r>
    </w:p>
    <w:p w:rsidR="006D6A6E" w:rsidRDefault="006D6A6E" w:rsidP="00D73C03">
      <w:pPr>
        <w:pStyle w:val="Heading4"/>
      </w:pPr>
      <w:r>
        <w:t>Pharmacology</w:t>
      </w:r>
    </w:p>
    <w:p w:rsidR="006D6A6E" w:rsidRDefault="006D6A6E" w:rsidP="006D6A6E">
      <w:r>
        <w:t xml:space="preserve">The </w:t>
      </w:r>
      <w:r w:rsidR="00435BB9">
        <w:t xml:space="preserve">PK </w:t>
      </w:r>
      <w:r>
        <w:t xml:space="preserve">of </w:t>
      </w:r>
      <w:r w:rsidR="001D63B3">
        <w:t>certolizumab pegol</w:t>
      </w:r>
      <w:r>
        <w:t xml:space="preserve"> has been extensively exa</w:t>
      </w:r>
      <w:r w:rsidR="005A2DDF">
        <w:t>mined in previous submissions.</w:t>
      </w:r>
    </w:p>
    <w:p w:rsidR="006D6A6E" w:rsidRDefault="006D6A6E" w:rsidP="006D6A6E">
      <w:r>
        <w:t xml:space="preserve">Two </w:t>
      </w:r>
      <w:r w:rsidR="00435BB9">
        <w:t>P</w:t>
      </w:r>
      <w:r>
        <w:t xml:space="preserve">opulation </w:t>
      </w:r>
      <w:r w:rsidR="00435BB9">
        <w:t>PKPD</w:t>
      </w:r>
      <w:r w:rsidR="005A2DDF">
        <w:t xml:space="preserve"> </w:t>
      </w:r>
      <w:r>
        <w:t>analyses were conducted by the sponsor:</w:t>
      </w:r>
    </w:p>
    <w:p w:rsidR="006D6A6E" w:rsidRDefault="006D6A6E" w:rsidP="005A2DDF">
      <w:pPr>
        <w:pStyle w:val="ListBullet"/>
      </w:pPr>
      <w:r>
        <w:t>Pop</w:t>
      </w:r>
      <w:r w:rsidR="005A2DDF">
        <w:t xml:space="preserve">ulation </w:t>
      </w:r>
      <w:r w:rsidR="00435BB9">
        <w:t>PKPD</w:t>
      </w:r>
      <w:r>
        <w:t xml:space="preserve"> analysis RPCE05C0901 (based on data from Phase </w:t>
      </w:r>
      <w:r w:rsidR="005A2DDF">
        <w:t>II</w:t>
      </w:r>
      <w:r w:rsidR="006304CF">
        <w:t xml:space="preserve"> S</w:t>
      </w:r>
      <w:r>
        <w:t>tudy C87040)</w:t>
      </w:r>
    </w:p>
    <w:p w:rsidR="006D6A6E" w:rsidRDefault="005A2DDF" w:rsidP="005A2DDF">
      <w:pPr>
        <w:pStyle w:val="ListBullet"/>
      </w:pPr>
      <w:r>
        <w:t xml:space="preserve">Population </w:t>
      </w:r>
      <w:r w:rsidR="00435BB9">
        <w:t>PKPD</w:t>
      </w:r>
      <w:r>
        <w:t xml:space="preserve"> </w:t>
      </w:r>
      <w:r w:rsidR="006D6A6E">
        <w:t xml:space="preserve">analysis CL0264 (based on data from the three Phase </w:t>
      </w:r>
      <w:r>
        <w:t>III</w:t>
      </w:r>
      <w:r w:rsidR="006D6A6E">
        <w:t xml:space="preserve"> studies)</w:t>
      </w:r>
    </w:p>
    <w:p w:rsidR="006D6A6E" w:rsidRPr="00BE0224" w:rsidRDefault="006D6A6E" w:rsidP="006D6A6E">
      <w:r>
        <w:t xml:space="preserve">The </w:t>
      </w:r>
      <w:r w:rsidR="00435BB9">
        <w:t>P</w:t>
      </w:r>
      <w:r w:rsidR="005A2DDF">
        <w:t xml:space="preserve">opulation </w:t>
      </w:r>
      <w:r w:rsidR="00435BB9">
        <w:t>PKPD</w:t>
      </w:r>
      <w:r>
        <w:t xml:space="preserve"> analysis CL0264 was separately evaluated in a report by a </w:t>
      </w:r>
      <w:r w:rsidRPr="00BE0224">
        <w:t>pharmcokineticist.</w:t>
      </w:r>
    </w:p>
    <w:p w:rsidR="008E67B3" w:rsidRDefault="00435BB9" w:rsidP="00C1239E">
      <w:pPr>
        <w:pStyle w:val="Heading5"/>
      </w:pPr>
      <w:r>
        <w:lastRenderedPageBreak/>
        <w:t xml:space="preserve">Population PKPD analysis </w:t>
      </w:r>
      <w:r w:rsidR="008E67B3">
        <w:t>RPCE05C0901</w:t>
      </w:r>
    </w:p>
    <w:p w:rsidR="006D6A6E" w:rsidRPr="008E67B3" w:rsidRDefault="005A2DDF" w:rsidP="008E67B3">
      <w:r w:rsidRPr="008E67B3">
        <w:t xml:space="preserve">Population </w:t>
      </w:r>
      <w:r w:rsidR="00435BB9">
        <w:t>PKPD</w:t>
      </w:r>
      <w:r w:rsidRPr="008E67B3">
        <w:t xml:space="preserve"> </w:t>
      </w:r>
      <w:r w:rsidR="006D6A6E" w:rsidRPr="008E67B3">
        <w:t xml:space="preserve">analysis RPCE05C0901 </w:t>
      </w:r>
      <w:r w:rsidR="00435BB9" w:rsidRPr="008E67B3">
        <w:t>us</w:t>
      </w:r>
      <w:r w:rsidR="00435BB9">
        <w:t xml:space="preserve">ed </w:t>
      </w:r>
      <w:r w:rsidR="00D73C03" w:rsidRPr="008E67B3">
        <w:t>P</w:t>
      </w:r>
      <w:r w:rsidR="00BE0224" w:rsidRPr="008E67B3">
        <w:t>hase </w:t>
      </w:r>
      <w:r w:rsidR="00D73C03" w:rsidRPr="008E67B3">
        <w:t>II</w:t>
      </w:r>
      <w:r w:rsidR="006D6A6E" w:rsidRPr="008E67B3">
        <w:t xml:space="preserve"> study data</w:t>
      </w:r>
      <w:r w:rsidR="00435BB9">
        <w:t>.</w:t>
      </w:r>
    </w:p>
    <w:p w:rsidR="006D6A6E" w:rsidRDefault="006D6A6E" w:rsidP="006D6A6E">
      <w:r>
        <w:t xml:space="preserve">This </w:t>
      </w:r>
      <w:r w:rsidR="00435BB9">
        <w:t>P</w:t>
      </w:r>
      <w:r w:rsidR="005A2DDF">
        <w:t xml:space="preserve">opulation </w:t>
      </w:r>
      <w:r w:rsidR="00435BB9">
        <w:t>PKPD</w:t>
      </w:r>
      <w:r>
        <w:t xml:space="preserve"> analysis used 1</w:t>
      </w:r>
      <w:r w:rsidR="006304CF">
        <w:t>,</w:t>
      </w:r>
      <w:r>
        <w:t xml:space="preserve">315 PASI response/nonresponse records and 1490 PGA response/nonresponse records from 175 patients in </w:t>
      </w:r>
      <w:r w:rsidR="005A2DDF">
        <w:t>P</w:t>
      </w:r>
      <w:r>
        <w:t xml:space="preserve">hase </w:t>
      </w:r>
      <w:r w:rsidR="005A2DDF">
        <w:t>II</w:t>
      </w:r>
      <w:r w:rsidR="006304CF">
        <w:t xml:space="preserve"> S</w:t>
      </w:r>
      <w:r>
        <w:t xml:space="preserve">tudy C87040. The proportion of PASI75 responders was simulated for 1000 patients using </w:t>
      </w:r>
      <w:r w:rsidR="00435BB9">
        <w:t xml:space="preserve">PK </w:t>
      </w:r>
      <w:r>
        <w:t xml:space="preserve">and exposure-response models for 6 dose regimens </w:t>
      </w:r>
      <w:r w:rsidR="00435BB9">
        <w:t>plus</w:t>
      </w:r>
      <w:r>
        <w:t xml:space="preserve"> placebo.</w:t>
      </w:r>
    </w:p>
    <w:p w:rsidR="006D6A6E" w:rsidRDefault="006D6A6E" w:rsidP="006D6A6E">
      <w:r>
        <w:t xml:space="preserve">Results for the modelling of dose regimen and PASI75 up to Week 12 was obtained from the </w:t>
      </w:r>
      <w:r w:rsidR="00435BB9">
        <w:t>P</w:t>
      </w:r>
      <w:r>
        <w:t>op</w:t>
      </w:r>
      <w:r w:rsidR="005A2DDF">
        <w:t xml:space="preserve">ulation </w:t>
      </w:r>
      <w:r w:rsidR="00435BB9">
        <w:t xml:space="preserve">PK </w:t>
      </w:r>
      <w:r>
        <w:t xml:space="preserve">report are shown </w:t>
      </w:r>
      <w:r w:rsidRPr="00D11742">
        <w:t xml:space="preserve">below </w:t>
      </w:r>
      <w:r w:rsidR="00435BB9">
        <w:t xml:space="preserve">in </w:t>
      </w:r>
      <w:r w:rsidRPr="00D11742">
        <w:t xml:space="preserve">Figure </w:t>
      </w:r>
      <w:r w:rsidR="00E77D15">
        <w:t>1</w:t>
      </w:r>
      <w:r w:rsidR="00435BB9">
        <w:t xml:space="preserve"> and </w:t>
      </w:r>
      <w:r w:rsidRPr="00D11742">
        <w:t>Table 1</w:t>
      </w:r>
      <w:r w:rsidR="009C2FAC">
        <w:t>7</w:t>
      </w:r>
      <w:r w:rsidRPr="00D11742">
        <w:t>).</w:t>
      </w:r>
    </w:p>
    <w:p w:rsidR="001B52B4" w:rsidRDefault="006D6A6E" w:rsidP="00D73C03">
      <w:pPr>
        <w:pStyle w:val="TableTitle"/>
      </w:pPr>
      <w:r>
        <w:t>Table 1</w:t>
      </w:r>
      <w:r w:rsidR="009C2FAC">
        <w:t>7</w:t>
      </w:r>
      <w:r w:rsidR="00D73C03">
        <w:t>:</w:t>
      </w:r>
      <w:r>
        <w:t xml:space="preserve"> </w:t>
      </w:r>
      <w:r w:rsidR="005A2DDF">
        <w:t xml:space="preserve">Population </w:t>
      </w:r>
      <w:r w:rsidR="00435BB9">
        <w:t>PKPD</w:t>
      </w:r>
      <w:r w:rsidR="005A2DDF">
        <w:t xml:space="preserve"> </w:t>
      </w:r>
      <w:r>
        <w:t>analysis RPCE05C0901: proportion of patients with a successful PASI75 respon</w:t>
      </w:r>
      <w:r w:rsidR="004F7C66">
        <w:t>se at Week 12 by dosing regimen</w:t>
      </w:r>
    </w:p>
    <w:tbl>
      <w:tblPr>
        <w:tblStyle w:val="TableTGAblue"/>
        <w:tblW w:w="4045" w:type="pct"/>
        <w:tblLook w:val="04A0" w:firstRow="1" w:lastRow="0" w:firstColumn="1" w:lastColumn="0" w:noHBand="0" w:noVBand="1"/>
      </w:tblPr>
      <w:tblGrid>
        <w:gridCol w:w="2906"/>
        <w:gridCol w:w="4148"/>
      </w:tblGrid>
      <w:tr w:rsidR="006304CF" w:rsidRPr="00435BB9" w:rsidTr="003271F7">
        <w:trPr>
          <w:cnfStyle w:val="100000000000" w:firstRow="1" w:lastRow="0" w:firstColumn="0" w:lastColumn="0" w:oddVBand="0" w:evenVBand="0" w:oddHBand="0" w:evenHBand="0" w:firstRowFirstColumn="0" w:firstRowLastColumn="0" w:lastRowFirstColumn="0" w:lastRowLastColumn="0"/>
          <w:trHeight w:val="594"/>
        </w:trPr>
        <w:tc>
          <w:tcPr>
            <w:tcW w:w="2060" w:type="pct"/>
          </w:tcPr>
          <w:p w:rsidR="006304CF" w:rsidRPr="00435BB9" w:rsidRDefault="006304CF" w:rsidP="003271F7">
            <w:r w:rsidRPr="00435BB9">
              <w:t>Dose regimen</w:t>
            </w:r>
          </w:p>
        </w:tc>
        <w:tc>
          <w:tcPr>
            <w:tcW w:w="2940" w:type="pct"/>
          </w:tcPr>
          <w:p w:rsidR="006304CF" w:rsidRPr="00435BB9" w:rsidRDefault="006304CF" w:rsidP="003271F7">
            <w:r w:rsidRPr="00435BB9">
              <w:t>Proportion of PASI75 responders</w:t>
            </w:r>
          </w:p>
        </w:tc>
      </w:tr>
      <w:tr w:rsidR="006304CF" w:rsidRPr="00435BB9" w:rsidTr="003271F7">
        <w:tc>
          <w:tcPr>
            <w:tcW w:w="2060" w:type="pct"/>
          </w:tcPr>
          <w:p w:rsidR="006304CF" w:rsidRPr="00435BB9" w:rsidRDefault="006304CF" w:rsidP="003271F7">
            <w:r w:rsidRPr="00435BB9">
              <w:t>400 mg Q2W</w:t>
            </w:r>
          </w:p>
        </w:tc>
        <w:tc>
          <w:tcPr>
            <w:tcW w:w="2940" w:type="pct"/>
          </w:tcPr>
          <w:p w:rsidR="006304CF" w:rsidRPr="00435BB9" w:rsidRDefault="006304CF" w:rsidP="003271F7">
            <w:r w:rsidRPr="00435BB9">
              <w:t>0.87</w:t>
            </w:r>
          </w:p>
        </w:tc>
      </w:tr>
      <w:tr w:rsidR="006304CF" w:rsidRPr="00435BB9" w:rsidTr="003271F7">
        <w:tc>
          <w:tcPr>
            <w:tcW w:w="2060" w:type="pct"/>
          </w:tcPr>
          <w:p w:rsidR="006304CF" w:rsidRPr="00435BB9" w:rsidRDefault="006304CF" w:rsidP="003271F7">
            <w:pPr>
              <w:rPr>
                <w:highlight w:val="yellow"/>
              </w:rPr>
            </w:pPr>
            <w:r w:rsidRPr="00435BB9">
              <w:t>400 mg Q4W</w:t>
            </w:r>
          </w:p>
        </w:tc>
        <w:tc>
          <w:tcPr>
            <w:tcW w:w="2940" w:type="pct"/>
          </w:tcPr>
          <w:p w:rsidR="006304CF" w:rsidRPr="00435BB9" w:rsidRDefault="006304CF" w:rsidP="003271F7">
            <w:r w:rsidRPr="00435BB9">
              <w:t>0.83</w:t>
            </w:r>
          </w:p>
        </w:tc>
      </w:tr>
      <w:tr w:rsidR="006304CF" w:rsidRPr="00435BB9" w:rsidTr="003271F7">
        <w:tc>
          <w:tcPr>
            <w:tcW w:w="2060" w:type="pct"/>
          </w:tcPr>
          <w:p w:rsidR="006304CF" w:rsidRPr="00435BB9" w:rsidRDefault="006304CF" w:rsidP="003271F7">
            <w:r w:rsidRPr="00435BB9">
              <w:t>200 mg Q2W</w:t>
            </w:r>
          </w:p>
        </w:tc>
        <w:tc>
          <w:tcPr>
            <w:tcW w:w="2940" w:type="pct"/>
          </w:tcPr>
          <w:p w:rsidR="006304CF" w:rsidRPr="00435BB9" w:rsidRDefault="006304CF" w:rsidP="003271F7">
            <w:r w:rsidRPr="00435BB9">
              <w:t>0.82</w:t>
            </w:r>
          </w:p>
        </w:tc>
      </w:tr>
      <w:tr w:rsidR="006304CF" w:rsidRPr="00435BB9" w:rsidTr="003271F7">
        <w:tc>
          <w:tcPr>
            <w:tcW w:w="2060" w:type="pct"/>
          </w:tcPr>
          <w:p w:rsidR="006304CF" w:rsidRPr="00435BB9" w:rsidRDefault="006304CF" w:rsidP="003271F7">
            <w:r w:rsidRPr="00435BB9">
              <w:t>100 mg Q2W</w:t>
            </w:r>
          </w:p>
        </w:tc>
        <w:tc>
          <w:tcPr>
            <w:tcW w:w="2940" w:type="pct"/>
          </w:tcPr>
          <w:p w:rsidR="006304CF" w:rsidRPr="00435BB9" w:rsidRDefault="006304CF" w:rsidP="003271F7">
            <w:r w:rsidRPr="00435BB9">
              <w:t>0.75</w:t>
            </w:r>
          </w:p>
        </w:tc>
      </w:tr>
      <w:tr w:rsidR="006304CF" w:rsidRPr="00435BB9" w:rsidTr="003271F7">
        <w:tc>
          <w:tcPr>
            <w:tcW w:w="2060" w:type="pct"/>
          </w:tcPr>
          <w:p w:rsidR="006304CF" w:rsidRPr="00435BB9" w:rsidRDefault="006304CF" w:rsidP="003271F7">
            <w:r w:rsidRPr="00435BB9">
              <w:t>50 mg Q2W</w:t>
            </w:r>
          </w:p>
        </w:tc>
        <w:tc>
          <w:tcPr>
            <w:tcW w:w="2940" w:type="pct"/>
          </w:tcPr>
          <w:p w:rsidR="006304CF" w:rsidRPr="00435BB9" w:rsidRDefault="006304CF" w:rsidP="003271F7">
            <w:r w:rsidRPr="00435BB9">
              <w:t>0.64</w:t>
            </w:r>
          </w:p>
        </w:tc>
      </w:tr>
      <w:tr w:rsidR="006304CF" w:rsidRPr="00435BB9" w:rsidTr="003271F7">
        <w:tc>
          <w:tcPr>
            <w:tcW w:w="2060" w:type="pct"/>
          </w:tcPr>
          <w:p w:rsidR="006304CF" w:rsidRPr="00435BB9" w:rsidRDefault="006304CF" w:rsidP="003271F7">
            <w:pPr>
              <w:rPr>
                <w:highlight w:val="yellow"/>
              </w:rPr>
            </w:pPr>
            <w:r w:rsidRPr="00435BB9">
              <w:t>100 mg Q8W</w:t>
            </w:r>
          </w:p>
        </w:tc>
        <w:tc>
          <w:tcPr>
            <w:tcW w:w="2940" w:type="pct"/>
          </w:tcPr>
          <w:p w:rsidR="006304CF" w:rsidRPr="00435BB9" w:rsidRDefault="006304CF" w:rsidP="003271F7">
            <w:r w:rsidRPr="00435BB9">
              <w:t>0.57</w:t>
            </w:r>
          </w:p>
        </w:tc>
      </w:tr>
      <w:tr w:rsidR="006304CF" w:rsidRPr="00435BB9" w:rsidTr="003271F7">
        <w:tc>
          <w:tcPr>
            <w:tcW w:w="2060" w:type="pct"/>
          </w:tcPr>
          <w:p w:rsidR="006304CF" w:rsidRPr="00435BB9" w:rsidRDefault="006304CF" w:rsidP="003271F7">
            <w:r w:rsidRPr="00435BB9">
              <w:t>placebo Q2W</w:t>
            </w:r>
          </w:p>
        </w:tc>
        <w:tc>
          <w:tcPr>
            <w:tcW w:w="2940" w:type="pct"/>
          </w:tcPr>
          <w:p w:rsidR="006304CF" w:rsidRPr="00435BB9" w:rsidRDefault="006304CF" w:rsidP="003271F7">
            <w:r w:rsidRPr="00435BB9">
              <w:t>0.12</w:t>
            </w:r>
          </w:p>
        </w:tc>
      </w:tr>
    </w:tbl>
    <w:p w:rsidR="00454691" w:rsidRDefault="006D6A6E" w:rsidP="00454691">
      <w:pPr>
        <w:pStyle w:val="FigureTitle"/>
      </w:pPr>
      <w:r w:rsidRPr="006D6A6E">
        <w:t xml:space="preserve">Figure </w:t>
      </w:r>
      <w:r w:rsidR="00E77D15">
        <w:t>1</w:t>
      </w:r>
      <w:r w:rsidR="00454691">
        <w:t>:</w:t>
      </w:r>
      <w:r w:rsidRPr="006D6A6E">
        <w:t xml:space="preserve"> </w:t>
      </w:r>
      <w:r w:rsidR="005A2DDF">
        <w:t xml:space="preserve">Population </w:t>
      </w:r>
      <w:r w:rsidR="00435BB9">
        <w:t>PKPD</w:t>
      </w:r>
      <w:r w:rsidR="005A2DDF">
        <w:t xml:space="preserve"> </w:t>
      </w:r>
      <w:r w:rsidRPr="006D6A6E">
        <w:t>analysis RPCE05C0901: proportion of patients with a successful PASI75 response up to Week</w:t>
      </w:r>
      <w:r w:rsidR="00435BB9">
        <w:t> </w:t>
      </w:r>
      <w:r w:rsidRPr="006D6A6E">
        <w:t>12 by dosing regimen</w:t>
      </w:r>
    </w:p>
    <w:p w:rsidR="006D6A6E" w:rsidRDefault="006D6A6E" w:rsidP="00DE043A">
      <w:r>
        <w:rPr>
          <w:noProof/>
          <w:lang w:eastAsia="en-AU"/>
        </w:rPr>
        <w:drawing>
          <wp:inline distT="0" distB="0" distL="0" distR="0" wp14:anchorId="6D486D14" wp14:editId="0E8D7CAC">
            <wp:extent cx="4196687" cy="2904025"/>
            <wp:effectExtent l="0" t="0" r="0" b="0"/>
            <wp:docPr id="1" name="Picture 1" descr="Population pharmacokinetic/pharmacodynamic analysis RPCE05C0901: proportion of patients with a successful PASI75 response up to Week 12 by do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9261" cy="2912726"/>
                    </a:xfrm>
                    <a:prstGeom prst="rect">
                      <a:avLst/>
                    </a:prstGeom>
                    <a:noFill/>
                    <a:ln>
                      <a:noFill/>
                    </a:ln>
                  </pic:spPr>
                </pic:pic>
              </a:graphicData>
            </a:graphic>
          </wp:inline>
        </w:drawing>
      </w:r>
    </w:p>
    <w:p w:rsidR="006D6A6E" w:rsidRDefault="006D6A6E" w:rsidP="006D6A6E">
      <w:r>
        <w:t xml:space="preserve">The proportion of patients with a successful response at Week 12 were 0.87, 0.83, 0.82, 0.75, 0.64, 0.57, and 0.12 for 400 mg </w:t>
      </w:r>
      <w:r w:rsidR="005A2DDF">
        <w:t>Q2W</w:t>
      </w:r>
      <w:r>
        <w:t xml:space="preserve">, 400 </w:t>
      </w:r>
      <w:r w:rsidRPr="00454691">
        <w:t xml:space="preserve">mg </w:t>
      </w:r>
      <w:r w:rsidR="00454691" w:rsidRPr="00454691">
        <w:t>Q</w:t>
      </w:r>
      <w:r w:rsidR="00454691">
        <w:t>4W</w:t>
      </w:r>
      <w:r>
        <w:t xml:space="preserve">, 200 mg </w:t>
      </w:r>
      <w:r w:rsidR="005A2DDF">
        <w:t>Q2W</w:t>
      </w:r>
      <w:r>
        <w:t xml:space="preserve">, 100 mg </w:t>
      </w:r>
      <w:r w:rsidR="005A2DDF">
        <w:t>Q2W</w:t>
      </w:r>
      <w:r>
        <w:t>, 50</w:t>
      </w:r>
      <w:r w:rsidR="006611F6">
        <w:t> </w:t>
      </w:r>
      <w:r>
        <w:t xml:space="preserve">mg </w:t>
      </w:r>
      <w:r w:rsidR="005A2DDF">
        <w:t>Q2W</w:t>
      </w:r>
      <w:r>
        <w:t xml:space="preserve">, 100 mg </w:t>
      </w:r>
      <w:r w:rsidR="00454691">
        <w:t>Q8W</w:t>
      </w:r>
      <w:r>
        <w:t xml:space="preserve">, and placebo, respectively </w:t>
      </w:r>
      <w:r w:rsidR="00E20EBA">
        <w:t xml:space="preserve">as shown in </w:t>
      </w:r>
      <w:r>
        <w:t>Table 1</w:t>
      </w:r>
      <w:r w:rsidR="009C2FAC">
        <w:t>7</w:t>
      </w:r>
      <w:r>
        <w:t>.</w:t>
      </w:r>
    </w:p>
    <w:p w:rsidR="00DE043A" w:rsidRDefault="006D6A6E" w:rsidP="006D6A6E">
      <w:r>
        <w:lastRenderedPageBreak/>
        <w:t>The proportion of patients with a successful response was similar for dosing regimens 400</w:t>
      </w:r>
      <w:r w:rsidR="006611F6">
        <w:t> </w:t>
      </w:r>
      <w:r>
        <w:t xml:space="preserve">mg </w:t>
      </w:r>
      <w:r w:rsidR="005A2DDF">
        <w:t>Q2W</w:t>
      </w:r>
      <w:r>
        <w:t xml:space="preserve">, 400 mg </w:t>
      </w:r>
      <w:r w:rsidR="00454691">
        <w:t>Q4W</w:t>
      </w:r>
      <w:r>
        <w:t xml:space="preserve"> and 200 mg </w:t>
      </w:r>
      <w:r w:rsidR="005A2DDF">
        <w:t>Q2W</w:t>
      </w:r>
      <w:r>
        <w:t xml:space="preserve">, and lower for the other dosing regimens where the response for 100 mg </w:t>
      </w:r>
      <w:r w:rsidR="005A2DDF">
        <w:t>Q2W</w:t>
      </w:r>
      <w:r>
        <w:t xml:space="preserve"> was greater than for 50 mg </w:t>
      </w:r>
      <w:r w:rsidR="005A2DDF">
        <w:t>Q2W</w:t>
      </w:r>
      <w:r>
        <w:t xml:space="preserve"> or 100 mg </w:t>
      </w:r>
      <w:r w:rsidR="006611F6">
        <w:t>Q8W</w:t>
      </w:r>
      <w:r>
        <w:t>.</w:t>
      </w:r>
    </w:p>
    <w:p w:rsidR="008E67B3" w:rsidRDefault="008E67B3" w:rsidP="008E67B3">
      <w:pPr>
        <w:pStyle w:val="Heading6"/>
        <w:rPr>
          <w:rStyle w:val="Heading6Char"/>
          <w:bCs/>
          <w:i/>
        </w:rPr>
      </w:pPr>
      <w:r>
        <w:rPr>
          <w:rStyle w:val="Heading6Char"/>
          <w:bCs/>
          <w:i/>
        </w:rPr>
        <w:t>Covariates</w:t>
      </w:r>
    </w:p>
    <w:p w:rsidR="006D6A6E" w:rsidRPr="008E67B3" w:rsidRDefault="008E67B3" w:rsidP="008E67B3">
      <w:r w:rsidRPr="008E67B3">
        <w:t xml:space="preserve">Covariates assessed were </w:t>
      </w:r>
      <w:r w:rsidR="006D6A6E" w:rsidRPr="008E67B3">
        <w:t xml:space="preserve">weight, </w:t>
      </w:r>
      <w:r w:rsidR="00A567C2" w:rsidRPr="008E67B3">
        <w:t>psoriasis</w:t>
      </w:r>
      <w:r w:rsidR="006D6A6E" w:rsidRPr="008E67B3">
        <w:t xml:space="preserve"> duration</w:t>
      </w:r>
      <w:r w:rsidR="00F34A6B">
        <w:t xml:space="preserve"> and</w:t>
      </w:r>
      <w:r w:rsidR="006D6A6E" w:rsidRPr="008E67B3">
        <w:t xml:space="preserve"> </w:t>
      </w:r>
      <w:r w:rsidR="00F34A6B">
        <w:t xml:space="preserve">use of </w:t>
      </w:r>
      <w:r w:rsidR="006D6A6E" w:rsidRPr="008E67B3">
        <w:t>immunosuppressants</w:t>
      </w:r>
      <w:r w:rsidR="00F34A6B">
        <w:t>.</w:t>
      </w:r>
    </w:p>
    <w:p w:rsidR="006D6A6E" w:rsidRDefault="006D6A6E" w:rsidP="006D6A6E">
      <w:r>
        <w:t xml:space="preserve">In the </w:t>
      </w:r>
      <w:r w:rsidR="00F63AEF">
        <w:t>pharmacokinetic</w:t>
      </w:r>
      <w:r>
        <w:t xml:space="preserve"> model, the exposure required to achieve half of the maximum drug effect (EC</w:t>
      </w:r>
      <w:r w:rsidRPr="003271F7">
        <w:rPr>
          <w:vertAlign w:val="subscript"/>
        </w:rPr>
        <w:t>50</w:t>
      </w:r>
      <w:r>
        <w:t xml:space="preserve">) increased as weight increased, decreased as the duration of the psoriasis increased, and was higher for patients who have had systemic immunosuppressant agents as a previous medication. The inter-patient variance was relatively high, estimated at 2.40 </w:t>
      </w:r>
      <w:r w:rsidR="00454691">
        <w:t>standard deviations</w:t>
      </w:r>
      <w:r>
        <w:t>.</w:t>
      </w:r>
    </w:p>
    <w:p w:rsidR="006D6A6E" w:rsidRDefault="006D6A6E" w:rsidP="003271F7">
      <w:pPr>
        <w:pStyle w:val="Heading6"/>
      </w:pPr>
      <w:r>
        <w:t>Weight</w:t>
      </w:r>
    </w:p>
    <w:p w:rsidR="006D6A6E" w:rsidRPr="00ED4801" w:rsidRDefault="006D6A6E" w:rsidP="006D6A6E">
      <w:r>
        <w:t>In this model, an increase in EC</w:t>
      </w:r>
      <w:r w:rsidRPr="003271F7">
        <w:rPr>
          <w:vertAlign w:val="subscript"/>
        </w:rPr>
        <w:t>50</w:t>
      </w:r>
      <w:r>
        <w:t xml:space="preserve"> with body weight was estimated to be 2.86 pg.day/mL per kg. </w:t>
      </w:r>
      <w:r w:rsidR="00F34A6B">
        <w:t>An e</w:t>
      </w:r>
      <w:r>
        <w:t xml:space="preserve">xample using the model: </w:t>
      </w:r>
      <w:r w:rsidR="00F34A6B">
        <w:t>a</w:t>
      </w:r>
      <w:r>
        <w:t xml:space="preserve"> 90 kg subject has a 25% smaller chance of responding by Week 6 compared to a 70 kg subject where the subjects had </w:t>
      </w:r>
      <w:r w:rsidR="00A567C2">
        <w:t>psoriasis</w:t>
      </w:r>
      <w:r>
        <w:t xml:space="preserve"> for 20 years, had not had systemic immunosuppressant agents as a previous medication, and have a median </w:t>
      </w:r>
      <w:r w:rsidR="00ED4801">
        <w:t xml:space="preserve">cumulative area under the </w:t>
      </w:r>
      <w:r w:rsidR="00ED4801" w:rsidRPr="00ED4801">
        <w:t>curve (</w:t>
      </w:r>
      <w:r w:rsidRPr="00ED4801">
        <w:t>C</w:t>
      </w:r>
      <w:r w:rsidRPr="00ED4801">
        <w:rPr>
          <w:vertAlign w:val="subscript"/>
        </w:rPr>
        <w:t>AUC</w:t>
      </w:r>
      <w:r w:rsidR="00ED4801" w:rsidRPr="00ED4801">
        <w:t>)</w:t>
      </w:r>
      <w:r w:rsidRPr="00ED4801">
        <w:t xml:space="preserve"> for regimen 1 (400 mg initial dose at Week 0 with 200 mg </w:t>
      </w:r>
      <w:r w:rsidR="005A2DDF" w:rsidRPr="00ED4801">
        <w:t>Q2W</w:t>
      </w:r>
      <w:r w:rsidRPr="00ED4801">
        <w:t xml:space="preserve"> thereafter) at Week 6 (1464 pg.day/mL).</w:t>
      </w:r>
    </w:p>
    <w:p w:rsidR="006D6A6E" w:rsidRPr="00ED4801" w:rsidRDefault="006611F6" w:rsidP="003271F7">
      <w:pPr>
        <w:pStyle w:val="Heading6"/>
      </w:pPr>
      <w:r w:rsidRPr="00ED4801">
        <w:t>P</w:t>
      </w:r>
      <w:r w:rsidR="00A567C2" w:rsidRPr="00ED4801">
        <w:t>soriasis</w:t>
      </w:r>
      <w:r w:rsidR="006D6A6E" w:rsidRPr="00ED4801">
        <w:t xml:space="preserve"> duration</w:t>
      </w:r>
    </w:p>
    <w:p w:rsidR="006D6A6E" w:rsidRDefault="006D6A6E" w:rsidP="006D6A6E">
      <w:r w:rsidRPr="00ED4801">
        <w:t>In this model, a decrease in EC</w:t>
      </w:r>
      <w:r w:rsidRPr="003271F7">
        <w:rPr>
          <w:vertAlign w:val="subscript"/>
        </w:rPr>
        <w:t>50</w:t>
      </w:r>
      <w:r w:rsidRPr="00ED4801">
        <w:t xml:space="preserve"> with duration of </w:t>
      </w:r>
      <w:r w:rsidR="00A567C2" w:rsidRPr="00ED4801">
        <w:t>psoriasis</w:t>
      </w:r>
      <w:r w:rsidRPr="00ED4801">
        <w:t xml:space="preserve"> was estimated to be 0.786</w:t>
      </w:r>
      <w:r w:rsidR="006611F6" w:rsidRPr="00ED4801">
        <w:t> </w:t>
      </w:r>
      <w:r w:rsidRPr="00ED4801">
        <w:t xml:space="preserve">pg.day/mL per year. Example using the model: a subject with </w:t>
      </w:r>
      <w:r w:rsidR="00A567C2" w:rsidRPr="00ED4801">
        <w:t>psoriasis</w:t>
      </w:r>
      <w:r w:rsidRPr="00ED4801">
        <w:t xml:space="preserve"> for 5 years has a 46% less chance of responding by Week 6 than a subject with </w:t>
      </w:r>
      <w:r w:rsidR="00A567C2" w:rsidRPr="00ED4801">
        <w:t>psoriasis</w:t>
      </w:r>
      <w:r w:rsidRPr="00ED4801">
        <w:t xml:space="preserve"> for 20 years, where the subject is 80 kg, has not had systemic immunosuppressant agents as a previous medication, and has a median C</w:t>
      </w:r>
      <w:r w:rsidRPr="00ED4801">
        <w:rPr>
          <w:vertAlign w:val="subscript"/>
        </w:rPr>
        <w:t>AUC</w:t>
      </w:r>
      <w:r w:rsidRPr="00ED4801">
        <w:t xml:space="preserve"> of</w:t>
      </w:r>
      <w:r>
        <w:t xml:space="preserve"> </w:t>
      </w:r>
      <w:r w:rsidR="00853B25">
        <w:t>R</w:t>
      </w:r>
      <w:r>
        <w:t>egimen 1 by Week 6.</w:t>
      </w:r>
    </w:p>
    <w:p w:rsidR="006D6A6E" w:rsidRDefault="006D6A6E" w:rsidP="003271F7">
      <w:pPr>
        <w:pStyle w:val="Heading6"/>
      </w:pPr>
      <w:r>
        <w:t>Previous use of immunosuppressants</w:t>
      </w:r>
    </w:p>
    <w:p w:rsidR="006D6A6E" w:rsidRDefault="006D6A6E" w:rsidP="006D6A6E">
      <w:r>
        <w:t>The fractional change in EC</w:t>
      </w:r>
      <w:r w:rsidRPr="003271F7">
        <w:rPr>
          <w:vertAlign w:val="subscript"/>
        </w:rPr>
        <w:t>50</w:t>
      </w:r>
      <w:r>
        <w:t xml:space="preserve"> for patients who had systemic immunosuppressant agents as a previous medication was estimated to be 2.69 (EC</w:t>
      </w:r>
      <w:r w:rsidRPr="003271F7">
        <w:rPr>
          <w:vertAlign w:val="subscript"/>
        </w:rPr>
        <w:t>50</w:t>
      </w:r>
      <w:r w:rsidR="00702D7B">
        <w:t xml:space="preserve"> = </w:t>
      </w:r>
      <w:r>
        <w:t xml:space="preserve">592 pg.day/mL). Example using the model: a subject who has had systemic immunosuppressant agents previously has a 43% less chance of responding by Week 6 compared to a subject who has not had systemic immunosuppressant agents where the subject has </w:t>
      </w:r>
      <w:r w:rsidR="00A567C2">
        <w:t>psoriasis</w:t>
      </w:r>
      <w:r>
        <w:t xml:space="preserve"> for 20 years and </w:t>
      </w:r>
      <w:r w:rsidRPr="00ED4801">
        <w:t>median C</w:t>
      </w:r>
      <w:r w:rsidRPr="00ED4801">
        <w:rPr>
          <w:vertAlign w:val="subscript"/>
        </w:rPr>
        <w:t>AUC</w:t>
      </w:r>
      <w:r w:rsidRPr="00ED4801">
        <w:t xml:space="preserve"> for </w:t>
      </w:r>
      <w:r w:rsidR="00853B25">
        <w:t>R</w:t>
      </w:r>
      <w:r w:rsidRPr="00ED4801">
        <w:t>egimen</w:t>
      </w:r>
      <w:r>
        <w:t xml:space="preserve"> 1 at Week 6.</w:t>
      </w:r>
    </w:p>
    <w:p w:rsidR="006D6A6E" w:rsidRDefault="006D6A6E" w:rsidP="00C1239E">
      <w:pPr>
        <w:pStyle w:val="Heading6"/>
      </w:pPr>
      <w:r>
        <w:t>Main limitations</w:t>
      </w:r>
    </w:p>
    <w:p w:rsidR="00702D7B" w:rsidRDefault="006D6A6E" w:rsidP="006D6A6E">
      <w:r>
        <w:t>The sponsor has provided some limitations of their study</w:t>
      </w:r>
      <w:r w:rsidR="007508C7">
        <w:t>,</w:t>
      </w:r>
      <w:r>
        <w:t xml:space="preserve"> </w:t>
      </w:r>
      <w:r w:rsidR="007508C7">
        <w:t xml:space="preserve">in </w:t>
      </w:r>
      <w:r>
        <w:t>particular, the poor precision of EC</w:t>
      </w:r>
      <w:r w:rsidRPr="003271F7">
        <w:rPr>
          <w:vertAlign w:val="subscript"/>
        </w:rPr>
        <w:t>50</w:t>
      </w:r>
      <w:r>
        <w:t xml:space="preserve"> and high inter-individual variability require caution when interpreting the results. The </w:t>
      </w:r>
      <w:r w:rsidR="00853B25">
        <w:t>PK</w:t>
      </w:r>
      <w:r>
        <w:t>PD modelling in this study was drawn from Week 6 and Week 12 data.</w:t>
      </w:r>
    </w:p>
    <w:p w:rsidR="006D6A6E" w:rsidRDefault="006D6A6E" w:rsidP="006D6A6E">
      <w:r>
        <w:t xml:space="preserve">The data source was only one Phase </w:t>
      </w:r>
      <w:r w:rsidR="007508C7">
        <w:t>II</w:t>
      </w:r>
      <w:r>
        <w:t xml:space="preserve"> study. Only 9 (5%) patients did not have prior systemic or phototherapy and only 2 patients were antibody positive on or after </w:t>
      </w:r>
      <w:r w:rsidR="007508C7">
        <w:t>W</w:t>
      </w:r>
      <w:r>
        <w:t>eek 8 and consequently, these covariates were not evaluated.</w:t>
      </w:r>
    </w:p>
    <w:p w:rsidR="008E67B3" w:rsidRDefault="00853B25" w:rsidP="00C1239E">
      <w:pPr>
        <w:pStyle w:val="Heading5"/>
      </w:pPr>
      <w:r>
        <w:t xml:space="preserve">Population PKPD analysis </w:t>
      </w:r>
      <w:r w:rsidR="008E67B3">
        <w:t>CL0264</w:t>
      </w:r>
    </w:p>
    <w:p w:rsidR="006D6A6E" w:rsidRPr="008E67B3" w:rsidRDefault="00853B25" w:rsidP="008E67B3">
      <w:r>
        <w:t>This was a P</w:t>
      </w:r>
      <w:r w:rsidR="006D6A6E" w:rsidRPr="008E67B3">
        <w:t>op</w:t>
      </w:r>
      <w:r w:rsidR="007508C7" w:rsidRPr="008E67B3">
        <w:t xml:space="preserve">ulation </w:t>
      </w:r>
      <w:r>
        <w:t>PKPD</w:t>
      </w:r>
      <w:r w:rsidR="006D6A6E" w:rsidRPr="008E67B3">
        <w:t xml:space="preserve"> analysis </w:t>
      </w:r>
      <w:r>
        <w:t>(</w:t>
      </w:r>
      <w:r w:rsidR="006D6A6E" w:rsidRPr="008E67B3">
        <w:t>CL0264</w:t>
      </w:r>
      <w:r>
        <w:t>)</w:t>
      </w:r>
      <w:r w:rsidR="006D6A6E" w:rsidRPr="008E67B3">
        <w:t xml:space="preserve"> using </w:t>
      </w:r>
      <w:r w:rsidR="007508C7" w:rsidRPr="008E67B3">
        <w:t>P</w:t>
      </w:r>
      <w:r w:rsidR="006D6A6E" w:rsidRPr="008E67B3">
        <w:t xml:space="preserve">hase </w:t>
      </w:r>
      <w:r w:rsidR="007508C7" w:rsidRPr="008E67B3">
        <w:t>III</w:t>
      </w:r>
      <w:r w:rsidR="006D6A6E" w:rsidRPr="008E67B3">
        <w:t xml:space="preserve"> study data</w:t>
      </w:r>
      <w:r>
        <w:t>.</w:t>
      </w:r>
    </w:p>
    <w:p w:rsidR="006D6A6E" w:rsidRDefault="00CA154A" w:rsidP="00C1239E">
      <w:pPr>
        <w:pStyle w:val="Heading6"/>
      </w:pPr>
      <w:r>
        <w:t>Study</w:t>
      </w:r>
      <w:r w:rsidR="006D6A6E">
        <w:t xml:space="preserve"> data</w:t>
      </w:r>
    </w:p>
    <w:p w:rsidR="006D6A6E" w:rsidRDefault="006D6A6E" w:rsidP="006D6A6E">
      <w:r>
        <w:t xml:space="preserve">A </w:t>
      </w:r>
      <w:r w:rsidR="007508C7">
        <w:t>p</w:t>
      </w:r>
      <w:r>
        <w:t>op</w:t>
      </w:r>
      <w:r w:rsidR="007508C7">
        <w:t xml:space="preserve">ulation </w:t>
      </w:r>
      <w:r w:rsidR="00F63AEF">
        <w:t>pharmacokinetic</w:t>
      </w:r>
      <w:r>
        <w:t xml:space="preserve"> analysis using integrated data from all three Phase </w:t>
      </w:r>
      <w:r w:rsidR="007508C7">
        <w:t>III</w:t>
      </w:r>
      <w:r>
        <w:t xml:space="preserve"> trials in this submission was performed (CIMPASI-1, CIMPASI-2 and CIMPACT study data up to Week 16 for PASI and PGA; up to Week 48 for plasma concentration). Data from the Phase</w:t>
      </w:r>
      <w:r w:rsidR="00BA49C1">
        <w:t> </w:t>
      </w:r>
      <w:r w:rsidR="007508C7">
        <w:t>II</w:t>
      </w:r>
      <w:r>
        <w:t xml:space="preserve"> trials was not included as the assay method for determining plasma </w:t>
      </w:r>
      <w:r w:rsidR="001D63B3">
        <w:t>certolizumab pegol</w:t>
      </w:r>
      <w:r>
        <w:t xml:space="preserve"> concentrations was different and the sample size of the combined Phase </w:t>
      </w:r>
      <w:r w:rsidR="007508C7">
        <w:t>III</w:t>
      </w:r>
      <w:r>
        <w:t xml:space="preserve"> studies was deemed sufficient.</w:t>
      </w:r>
    </w:p>
    <w:p w:rsidR="006D6A6E" w:rsidRDefault="006D6A6E" w:rsidP="00C1239E">
      <w:pPr>
        <w:pStyle w:val="Heading6"/>
      </w:pPr>
      <w:r>
        <w:lastRenderedPageBreak/>
        <w:t>Objectives</w:t>
      </w:r>
    </w:p>
    <w:p w:rsidR="006D6A6E" w:rsidRDefault="006D6A6E" w:rsidP="006D6A6E">
      <w:r>
        <w:t>The overall objectives of the Pop</w:t>
      </w:r>
      <w:r w:rsidR="00BA49C1">
        <w:t xml:space="preserve">ulation </w:t>
      </w:r>
      <w:r w:rsidR="00981167">
        <w:t>PK</w:t>
      </w:r>
      <w:r w:rsidR="00BA49C1">
        <w:t>PD</w:t>
      </w:r>
      <w:r>
        <w:t xml:space="preserve"> analysis were to describe the </w:t>
      </w:r>
      <w:r w:rsidR="00F63AEF">
        <w:t>pharmacokinetic</w:t>
      </w:r>
      <w:r>
        <w:t xml:space="preserve"> of </w:t>
      </w:r>
      <w:r w:rsidR="001D63B3">
        <w:t>certolizumab pegol</w:t>
      </w:r>
      <w:r>
        <w:t xml:space="preserve"> in subjects with moderate to severe chronic plaque </w:t>
      </w:r>
      <w:r w:rsidR="00A567C2">
        <w:t>psoriasis</w:t>
      </w:r>
      <w:r>
        <w:t>, and to identify and quantify the covariate-parameter relationships in the developed models.</w:t>
      </w:r>
    </w:p>
    <w:p w:rsidR="006D6A6E" w:rsidRDefault="006D6A6E" w:rsidP="00C1239E">
      <w:pPr>
        <w:pStyle w:val="Heading6"/>
      </w:pPr>
      <w:r>
        <w:t>Modelling</w:t>
      </w:r>
    </w:p>
    <w:p w:rsidR="006D6A6E" w:rsidRDefault="006D6A6E" w:rsidP="006D6A6E">
      <w:r>
        <w:t xml:space="preserve">This was achieved through population </w:t>
      </w:r>
      <w:r w:rsidR="00F63AEF">
        <w:t>pharmacokinetic</w:t>
      </w:r>
      <w:r>
        <w:t xml:space="preserve"> modelling of the </w:t>
      </w:r>
      <w:r w:rsidR="001D63B3">
        <w:t>certolizumab pegol</w:t>
      </w:r>
      <w:r w:rsidR="00981167">
        <w:t xml:space="preserve"> concentration time data using a non-linear</w:t>
      </w:r>
      <w:r>
        <w:t xml:space="preserve">, mixed effects approach using 4361 data records collected from 820 subjects. A previously developed </w:t>
      </w:r>
      <w:r w:rsidR="001D63B3">
        <w:t>certolizumab pegol</w:t>
      </w:r>
      <w:r>
        <w:t xml:space="preserve"> population </w:t>
      </w:r>
      <w:r w:rsidR="00F63AEF">
        <w:t>pharmacokinetic</w:t>
      </w:r>
      <w:r>
        <w:t xml:space="preserve"> model in </w:t>
      </w:r>
      <w:r w:rsidR="00C1239E">
        <w:t>rheumatoid arthritis</w:t>
      </w:r>
      <w:r>
        <w:t xml:space="preserve"> patients was refined for this purpose.</w:t>
      </w:r>
    </w:p>
    <w:p w:rsidR="006D6A6E" w:rsidRDefault="006D6A6E" w:rsidP="006D6A6E">
      <w:r>
        <w:t>The impact of the covariates age, body weight, baseline PASI, sex, disease duration, geographical region, prior biologic therapy, and occurrence of at least one anti-</w:t>
      </w:r>
      <w:r w:rsidR="001D63B3">
        <w:t>certolizumab pegol</w:t>
      </w:r>
      <w:r>
        <w:t xml:space="preserve"> antibodies event (&gt;</w:t>
      </w:r>
      <w:r w:rsidR="007508C7">
        <w:t xml:space="preserve"> </w:t>
      </w:r>
      <w:r>
        <w:t>2.4 U/mL) in the first 16 weeks (</w:t>
      </w:r>
      <w:r w:rsidR="00CA154A">
        <w:t>ADA</w:t>
      </w:r>
      <w:r w:rsidR="00BA49C1">
        <w:t> </w:t>
      </w:r>
      <w:r>
        <w:t>16</w:t>
      </w:r>
      <w:r w:rsidR="00BA49C1">
        <w:t> </w:t>
      </w:r>
      <w:r>
        <w:t xml:space="preserve">positive), were evaluated in the PASI covariate analysis of the </w:t>
      </w:r>
      <w:r w:rsidR="00F63AEF">
        <w:t>pharmacokinetic</w:t>
      </w:r>
      <w:r>
        <w:t xml:space="preserve"> model.</w:t>
      </w:r>
    </w:p>
    <w:p w:rsidR="006D6A6E" w:rsidRDefault="006D6A6E" w:rsidP="00C1239E">
      <w:pPr>
        <w:pStyle w:val="Heading6"/>
      </w:pPr>
      <w:r>
        <w:t>Assumptions</w:t>
      </w:r>
    </w:p>
    <w:p w:rsidR="006D6A6E" w:rsidRDefault="006D6A6E" w:rsidP="006D6A6E">
      <w:r>
        <w:t xml:space="preserve">Consistent with the current knowledge about the </w:t>
      </w:r>
      <w:r w:rsidR="00F63AEF">
        <w:t>pharmacokinetic</w:t>
      </w:r>
      <w:r>
        <w:t xml:space="preserve"> of SC administered </w:t>
      </w:r>
      <w:r w:rsidR="001D63B3">
        <w:t>certolizumab pegol</w:t>
      </w:r>
      <w:r>
        <w:t xml:space="preserve">, the </w:t>
      </w:r>
      <w:r w:rsidR="00F63AEF">
        <w:t>pharmacokinetic</w:t>
      </w:r>
      <w:r>
        <w:t xml:space="preserve"> of </w:t>
      </w:r>
      <w:r w:rsidR="001D63B3">
        <w:t>certolizumab pegol</w:t>
      </w:r>
      <w:r>
        <w:t xml:space="preserve"> in subjects with </w:t>
      </w:r>
      <w:r w:rsidR="00A567C2">
        <w:t>psoriasis</w:t>
      </w:r>
      <w:r>
        <w:t xml:space="preserve"> was best described by a one-compartment model</w:t>
      </w:r>
      <w:r w:rsidR="00C1239E">
        <w:t>,</w:t>
      </w:r>
      <w:r>
        <w:t xml:space="preserve"> with first order absorption and first order elimination from the central compartment.</w:t>
      </w:r>
    </w:p>
    <w:p w:rsidR="006D6A6E" w:rsidRDefault="006D6A6E" w:rsidP="006D6A6E">
      <w:r>
        <w:t xml:space="preserve">Covariates based on current knowledge for other indications were expected to be major predictors for the variability in the elimination or disposition of </w:t>
      </w:r>
      <w:r w:rsidR="001D63B3">
        <w:t>certolizumab pegol</w:t>
      </w:r>
      <w:r>
        <w:t xml:space="preserve"> (structural covariates) and were included at an early stage of the model development.</w:t>
      </w:r>
    </w:p>
    <w:p w:rsidR="006D6A6E" w:rsidRDefault="006D6A6E" w:rsidP="006D6A6E">
      <w:r>
        <w:t xml:space="preserve">The presence of </w:t>
      </w:r>
      <w:r w:rsidR="007508C7">
        <w:t>antidrug antibodies</w:t>
      </w:r>
      <w:r>
        <w:t xml:space="preserve"> was expected to have a substantial impact on the </w:t>
      </w:r>
      <w:r w:rsidR="001D63B3">
        <w:t>certolizumab pegol</w:t>
      </w:r>
      <w:r>
        <w:t xml:space="preserve"> plasma concentrations and as such, </w:t>
      </w:r>
      <w:r w:rsidR="00C1239E">
        <w:t>antidrug antibody</w:t>
      </w:r>
      <w:r>
        <w:t xml:space="preserve"> status was assessed as a structural covariate on CL/F at an early stage of the model building. Presence of </w:t>
      </w:r>
      <w:r w:rsidR="007508C7">
        <w:t>antidrug antibodies</w:t>
      </w:r>
      <w:r>
        <w:t xml:space="preserve"> was also included as a categorical time-varying covariate.</w:t>
      </w:r>
    </w:p>
    <w:p w:rsidR="00702D7B" w:rsidRDefault="006D6A6E" w:rsidP="006D6A6E">
      <w:r>
        <w:t>Body weight was identified as the best body size predictor of CL/F and as a good predictor of V/F. No further significant covariates were identified during the search for further covariate-parameter relationships.</w:t>
      </w:r>
    </w:p>
    <w:p w:rsidR="00537761" w:rsidRDefault="00537761" w:rsidP="00C1239E">
      <w:pPr>
        <w:pStyle w:val="Heading6"/>
      </w:pPr>
      <w:r>
        <w:t>Results</w:t>
      </w:r>
    </w:p>
    <w:p w:rsidR="006D6A6E" w:rsidRDefault="00CA154A" w:rsidP="00537761">
      <w:pPr>
        <w:pStyle w:val="Heading7"/>
      </w:pPr>
      <w:r>
        <w:t>PK</w:t>
      </w:r>
      <w:r w:rsidR="006D6A6E">
        <w:t xml:space="preserve"> parameters</w:t>
      </w:r>
    </w:p>
    <w:p w:rsidR="006D6A6E" w:rsidRDefault="006D6A6E" w:rsidP="006D6A6E">
      <w:r>
        <w:t xml:space="preserve">The estimated CL/F for the final model was 0.338L/day and the V/F was 4.71L. Inter-individual variability (IIV) was moderate with the </w:t>
      </w:r>
      <w:r w:rsidR="004F4D77">
        <w:t>coefficient of variation (</w:t>
      </w:r>
      <w:r>
        <w:t>CV</w:t>
      </w:r>
      <w:r w:rsidR="004F4D77">
        <w:t>)</w:t>
      </w:r>
      <w:r>
        <w:t xml:space="preserve">% being 22.2% for CL/F and 15.2% for V/F. Absorption and distribution phase modelling was limited as most </w:t>
      </w:r>
      <w:r w:rsidR="001D63B3">
        <w:t>certolizumab pegol</w:t>
      </w:r>
      <w:r>
        <w:t xml:space="preserve"> concentrations were trough concentrations.</w:t>
      </w:r>
    </w:p>
    <w:p w:rsidR="006D6A6E" w:rsidRDefault="006D6A6E" w:rsidP="006D6A6E">
      <w:r>
        <w:t xml:space="preserve">Consistent with the impact quantified in subjects with </w:t>
      </w:r>
      <w:r w:rsidR="007508C7">
        <w:t>rheumatoid arthritis</w:t>
      </w:r>
      <w:r>
        <w:t xml:space="preserve">, the presence of </w:t>
      </w:r>
      <w:r w:rsidR="00C1239E">
        <w:t>antidrug antibodies</w:t>
      </w:r>
      <w:r>
        <w:t xml:space="preserve"> lead to a CL/F impact factor of 2.31, resulting in a decrease in </w:t>
      </w:r>
      <w:r w:rsidR="001D63B3">
        <w:t>certolizumab pegol</w:t>
      </w:r>
      <w:r>
        <w:t xml:space="preserve"> trough</w:t>
      </w:r>
      <w:r w:rsidR="00C1239E">
        <w:t xml:space="preserve"> levels</w:t>
      </w:r>
      <w:r>
        <w:t xml:space="preserve"> of about 85%. Limited </w:t>
      </w:r>
      <w:r w:rsidR="007508C7">
        <w:t>antidrug antibody</w:t>
      </w:r>
      <w:r>
        <w:t xml:space="preserve"> data prevented further investigations.</w:t>
      </w:r>
    </w:p>
    <w:p w:rsidR="006D6A6E" w:rsidRDefault="006D6A6E" w:rsidP="00CA154A">
      <w:r>
        <w:t xml:space="preserve">Body weight was identified as best body size descriptor. Both CL/F and V/F increase with body weight, leading to lower </w:t>
      </w:r>
      <w:r w:rsidR="001D63B3">
        <w:t>certolizumab pegol</w:t>
      </w:r>
      <w:r>
        <w:t xml:space="preserve"> plasma concentrations in heavier subjects. </w:t>
      </w:r>
      <w:r w:rsidR="00CA154A">
        <w:t>C</w:t>
      </w:r>
      <w:r w:rsidR="001D63B3">
        <w:t>ertolizumab pegol</w:t>
      </w:r>
      <w:r>
        <w:t xml:space="preserve"> C</w:t>
      </w:r>
      <w:r w:rsidRPr="00CA154A">
        <w:rPr>
          <w:vertAlign w:val="subscript"/>
        </w:rPr>
        <w:t>trough</w:t>
      </w:r>
      <w:r>
        <w:t xml:space="preserve"> predicted values for the different body weight quintiles are shown </w:t>
      </w:r>
      <w:r w:rsidRPr="009C2FAC">
        <w:t xml:space="preserve">in Table </w:t>
      </w:r>
      <w:r w:rsidR="00C1239E" w:rsidRPr="009C2FAC">
        <w:t>1</w:t>
      </w:r>
      <w:r w:rsidR="009C2FAC">
        <w:t>8</w:t>
      </w:r>
      <w:r>
        <w:t xml:space="preserve">. Within the same dose level, the variation in </w:t>
      </w:r>
      <w:r w:rsidR="001D63B3">
        <w:t>certolizumab pegol</w:t>
      </w:r>
      <w:r>
        <w:t xml:space="preserve"> trough</w:t>
      </w:r>
      <w:r w:rsidR="007508C7">
        <w:t xml:space="preserve"> levels are</w:t>
      </w:r>
      <w:r w:rsidR="00CA154A">
        <w:t xml:space="preserve"> predicted to be about 2 </w:t>
      </w:r>
      <w:r>
        <w:t xml:space="preserve">fold between the highest and lowest body weight quintiles. Subjects with a body weight lower than 75 kg at a dose of </w:t>
      </w:r>
      <w:r w:rsidR="001D63B3">
        <w:t>certolizumab pegol</w:t>
      </w:r>
      <w:r>
        <w:t xml:space="preserve"> 200</w:t>
      </w:r>
      <w:r w:rsidR="00C1239E">
        <w:t xml:space="preserve"> </w:t>
      </w:r>
      <w:r>
        <w:t xml:space="preserve">mg Q2W are predicted to have similar </w:t>
      </w:r>
      <w:r w:rsidR="001D63B3">
        <w:t>certolizumab pegol</w:t>
      </w:r>
      <w:r>
        <w:t xml:space="preserve"> trough</w:t>
      </w:r>
      <w:r w:rsidR="007508C7">
        <w:t xml:space="preserve"> levels</w:t>
      </w:r>
      <w:r>
        <w:t xml:space="preserve"> as subjects with body weight higher than 108 kg at a dose of </w:t>
      </w:r>
      <w:r w:rsidR="001D63B3">
        <w:t>certolizumab pegol</w:t>
      </w:r>
      <w:r>
        <w:t xml:space="preserve"> 400</w:t>
      </w:r>
      <w:r w:rsidR="007508C7">
        <w:t xml:space="preserve"> </w:t>
      </w:r>
      <w:r>
        <w:t>mg Q2W.</w:t>
      </w:r>
    </w:p>
    <w:p w:rsidR="006D6A6E" w:rsidRDefault="006D6A6E" w:rsidP="00C1239E">
      <w:pPr>
        <w:pStyle w:val="TableTitle"/>
      </w:pPr>
      <w:r>
        <w:lastRenderedPageBreak/>
        <w:t xml:space="preserve">Table </w:t>
      </w:r>
      <w:r w:rsidR="009C2FAC">
        <w:t>18</w:t>
      </w:r>
      <w:r w:rsidR="00C1239E">
        <w:t>:</w:t>
      </w:r>
      <w:r>
        <w:t xml:space="preserve"> Pop</w:t>
      </w:r>
      <w:r w:rsidR="00BA49C1">
        <w:t>ulation</w:t>
      </w:r>
      <w:r w:rsidR="007508C7">
        <w:t xml:space="preserve"> </w:t>
      </w:r>
      <w:r w:rsidR="00CA154A">
        <w:t>PKPD</w:t>
      </w:r>
      <w:r>
        <w:t xml:space="preserve"> analysis CL0264</w:t>
      </w:r>
      <w:r w:rsidR="00BA49C1">
        <w:t>:</w:t>
      </w:r>
      <w:r>
        <w:t xml:space="preserve"> </w:t>
      </w:r>
      <w:r w:rsidR="00BA49C1">
        <w:t>p</w:t>
      </w:r>
      <w:r>
        <w:t>redicted</w:t>
      </w:r>
      <w:r w:rsidR="00702D7B">
        <w:t xml:space="preserve"> </w:t>
      </w:r>
      <w:r w:rsidR="001D63B3">
        <w:t>certolizumab pegol</w:t>
      </w:r>
      <w:r w:rsidRPr="006D6A6E">
        <w:t xml:space="preserve"> trough concentrations at Week 16 stra</w:t>
      </w:r>
      <w:r w:rsidR="00CA154A">
        <w:t>tified by body weight quintiles</w:t>
      </w:r>
    </w:p>
    <w:p w:rsidR="006D6A6E" w:rsidRDefault="006D6A6E" w:rsidP="006D6A6E">
      <w:r>
        <w:rPr>
          <w:rFonts w:cs="TimesNewRoman"/>
          <w:noProof/>
          <w:lang w:eastAsia="en-AU"/>
        </w:rPr>
        <w:drawing>
          <wp:inline distT="0" distB="0" distL="0" distR="0" wp14:anchorId="64F4953E" wp14:editId="160E65A9">
            <wp:extent cx="4994476" cy="2584495"/>
            <wp:effectExtent l="0" t="0" r="0" b="6350"/>
            <wp:docPr id="30" name="Picture 30" descr="Population pharmacokinetic/pharmacodynamic analysis CL0264. Predicted  certolizumab pegol trough concentrations at Week 16 stratified by body weight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4892" cy="2584710"/>
                    </a:xfrm>
                    <a:prstGeom prst="rect">
                      <a:avLst/>
                    </a:prstGeom>
                    <a:noFill/>
                    <a:ln>
                      <a:noFill/>
                    </a:ln>
                  </pic:spPr>
                </pic:pic>
              </a:graphicData>
            </a:graphic>
          </wp:inline>
        </w:drawing>
      </w:r>
    </w:p>
    <w:p w:rsidR="006D6A6E" w:rsidRDefault="00537761" w:rsidP="00537761">
      <w:pPr>
        <w:pStyle w:val="Heading7"/>
      </w:pPr>
      <w:r>
        <w:t>C</w:t>
      </w:r>
      <w:r w:rsidR="006D6A6E">
        <w:t>ovariates</w:t>
      </w:r>
    </w:p>
    <w:p w:rsidR="006D6A6E" w:rsidRDefault="006D6A6E" w:rsidP="006D6A6E">
      <w:r>
        <w:t>The following covariates had a statistically significant association to PASI scores:</w:t>
      </w:r>
    </w:p>
    <w:p w:rsidR="006D6A6E" w:rsidRDefault="00BA49C1" w:rsidP="007508C7">
      <w:pPr>
        <w:pStyle w:val="ListBullet"/>
      </w:pPr>
      <w:r>
        <w:t>p</w:t>
      </w:r>
      <w:r w:rsidR="006D6A6E">
        <w:t>rior biologic therapy (higher PASI at baseline)</w:t>
      </w:r>
      <w:r>
        <w:t>;</w:t>
      </w:r>
    </w:p>
    <w:p w:rsidR="006D6A6E" w:rsidRDefault="00BA49C1" w:rsidP="007508C7">
      <w:pPr>
        <w:pStyle w:val="ListBullet"/>
      </w:pPr>
      <w:r>
        <w:t xml:space="preserve">geographical </w:t>
      </w:r>
      <w:r w:rsidR="006D6A6E">
        <w:t>region (North American subjects had lower baseline PASI and a more rapid onset of the effect than Western European and Central/Eastern European subjects)</w:t>
      </w:r>
      <w:r>
        <w:t>;</w:t>
      </w:r>
    </w:p>
    <w:p w:rsidR="006D6A6E" w:rsidRDefault="00BA49C1" w:rsidP="007508C7">
      <w:pPr>
        <w:pStyle w:val="ListBullet"/>
      </w:pPr>
      <w:r>
        <w:t xml:space="preserve">high </w:t>
      </w:r>
      <w:r w:rsidR="006D6A6E">
        <w:t>body weight (slower onset of the PASI response and smaller placebo effect)</w:t>
      </w:r>
      <w:r>
        <w:t>;</w:t>
      </w:r>
    </w:p>
    <w:p w:rsidR="006D6A6E" w:rsidRDefault="00BA49C1" w:rsidP="007508C7">
      <w:pPr>
        <w:pStyle w:val="ListBullet"/>
      </w:pPr>
      <w:r>
        <w:t xml:space="preserve">low </w:t>
      </w:r>
      <w:r w:rsidR="006D6A6E">
        <w:t xml:space="preserve">baseline PASI (smaller </w:t>
      </w:r>
      <w:r w:rsidR="001D63B3">
        <w:t>certolizumab pegol</w:t>
      </w:r>
      <w:r w:rsidR="006D6A6E">
        <w:t xml:space="preserve"> induced decrease in PASI compared to subjects with high baseline PASI; the effect magnitude was directly proportional to baseline before this covariate was included in the model)</w:t>
      </w:r>
      <w:r>
        <w:t>; and</w:t>
      </w:r>
    </w:p>
    <w:p w:rsidR="006D6A6E" w:rsidRDefault="00BA49C1" w:rsidP="007508C7">
      <w:pPr>
        <w:pStyle w:val="ListBullet"/>
      </w:pPr>
      <w:r>
        <w:t>ADA</w:t>
      </w:r>
      <w:r w:rsidR="006D6A6E">
        <w:t xml:space="preserve"> positive subjects (at Week 16) (higher EC</w:t>
      </w:r>
      <w:r w:rsidR="006D6A6E" w:rsidRPr="003271F7">
        <w:rPr>
          <w:vertAlign w:val="subscript"/>
        </w:rPr>
        <w:t>90</w:t>
      </w:r>
      <w:r w:rsidR="006D6A6E">
        <w:t xml:space="preserve"> resulting in a reduced PASI response)</w:t>
      </w:r>
    </w:p>
    <w:p w:rsidR="006D6A6E" w:rsidRDefault="006D6A6E" w:rsidP="008E67B3">
      <w:pPr>
        <w:pStyle w:val="Heading6"/>
      </w:pPr>
      <w:r>
        <w:t>PASI model</w:t>
      </w:r>
    </w:p>
    <w:p w:rsidR="00537761" w:rsidRDefault="006D6A6E" w:rsidP="00537761">
      <w:r>
        <w:t xml:space="preserve">At Week 16, the impact of </w:t>
      </w:r>
      <w:r w:rsidR="001D63B3">
        <w:t>certolizumab pegol</w:t>
      </w:r>
      <w:r>
        <w:t xml:space="preserve"> on PASI was close to the maximal PASI response observed in the studies (for both the 200 mg Q2W and 400 mg Q2W groups, with the 400 mg Q2W being closer to</w:t>
      </w:r>
      <w:r w:rsidR="00E77D15">
        <w:t xml:space="preserve"> the maximum response) (</w:t>
      </w:r>
      <w:r w:rsidR="00BA49C1">
        <w:t xml:space="preserve">see </w:t>
      </w:r>
      <w:r w:rsidR="00E77D15">
        <w:t>Figure 2</w:t>
      </w:r>
      <w:r>
        <w:t xml:space="preserve">). Nevertheless, even though close to the maximum, the maximum was not reached and further differentiation between the 2 dose levels </w:t>
      </w:r>
      <w:r w:rsidR="00537761">
        <w:t>may occur at later time points.</w:t>
      </w:r>
    </w:p>
    <w:p w:rsidR="006D6A6E" w:rsidRPr="004A4807" w:rsidRDefault="00537761" w:rsidP="00537761">
      <w:pPr>
        <w:pStyle w:val="Heading7"/>
      </w:pPr>
      <w:r>
        <w:t>C</w:t>
      </w:r>
      <w:r w:rsidR="006D6A6E">
        <w:t>ovariates</w:t>
      </w:r>
    </w:p>
    <w:p w:rsidR="006D6A6E" w:rsidRDefault="006D6A6E" w:rsidP="006D6A6E">
      <w:r>
        <w:t>The following covariates had a statistically significant association to PASI scores:</w:t>
      </w:r>
    </w:p>
    <w:p w:rsidR="006D6A6E" w:rsidRPr="007508C7" w:rsidRDefault="00BA49C1" w:rsidP="007508C7">
      <w:pPr>
        <w:pStyle w:val="ListBullet"/>
      </w:pPr>
      <w:r>
        <w:t>p</w:t>
      </w:r>
      <w:r w:rsidRPr="007508C7">
        <w:t xml:space="preserve">rior </w:t>
      </w:r>
      <w:r w:rsidR="006D6A6E" w:rsidRPr="007508C7">
        <w:t>biologic therapy (higher PASI at baseline)</w:t>
      </w:r>
      <w:r>
        <w:t>;</w:t>
      </w:r>
    </w:p>
    <w:p w:rsidR="006D6A6E" w:rsidRPr="007508C7" w:rsidRDefault="00BA49C1" w:rsidP="007508C7">
      <w:pPr>
        <w:pStyle w:val="ListBullet"/>
      </w:pPr>
      <w:r>
        <w:t>g</w:t>
      </w:r>
      <w:r w:rsidRPr="007508C7">
        <w:t xml:space="preserve">eographical </w:t>
      </w:r>
      <w:r w:rsidR="006D6A6E" w:rsidRPr="007508C7">
        <w:t>region (North American subjects had lower baseline PASI and a more rapid onset of the effect than Western European and Central/Eastern European subjects)</w:t>
      </w:r>
      <w:r>
        <w:t>;</w:t>
      </w:r>
    </w:p>
    <w:p w:rsidR="006D6A6E" w:rsidRPr="007508C7" w:rsidRDefault="00BA49C1" w:rsidP="007508C7">
      <w:pPr>
        <w:pStyle w:val="ListBullet"/>
      </w:pPr>
      <w:r>
        <w:t>h</w:t>
      </w:r>
      <w:r w:rsidRPr="007508C7">
        <w:t xml:space="preserve">igh </w:t>
      </w:r>
      <w:r w:rsidR="006D6A6E" w:rsidRPr="007508C7">
        <w:t>body weight (slower onset of the PASI response and smaller placebo effect)</w:t>
      </w:r>
      <w:r>
        <w:t>;</w:t>
      </w:r>
    </w:p>
    <w:p w:rsidR="006D6A6E" w:rsidRPr="007508C7" w:rsidRDefault="00BA49C1" w:rsidP="007508C7">
      <w:pPr>
        <w:pStyle w:val="ListBullet"/>
      </w:pPr>
      <w:r>
        <w:t>l</w:t>
      </w:r>
      <w:r w:rsidRPr="007508C7">
        <w:t xml:space="preserve">ow </w:t>
      </w:r>
      <w:r w:rsidR="006D6A6E" w:rsidRPr="007508C7">
        <w:t xml:space="preserve">baseline PASI (smaller </w:t>
      </w:r>
      <w:r w:rsidR="001D63B3" w:rsidRPr="007508C7">
        <w:t>certolizumab pegol</w:t>
      </w:r>
      <w:r w:rsidR="006D6A6E" w:rsidRPr="007508C7">
        <w:t xml:space="preserve"> induced decrease in PASI compared to subjects with high baseline PASI; the effect magnitude was directly proportional to baseline before this covariate was included in the model)</w:t>
      </w:r>
      <w:r>
        <w:t>; and</w:t>
      </w:r>
    </w:p>
    <w:p w:rsidR="006D6A6E" w:rsidRDefault="00BA49C1" w:rsidP="007508C7">
      <w:pPr>
        <w:pStyle w:val="ListBullet"/>
      </w:pPr>
      <w:r>
        <w:t>ADA</w:t>
      </w:r>
      <w:r w:rsidR="006D6A6E" w:rsidRPr="007508C7">
        <w:t xml:space="preserve"> positive subjects (at Week 16) (higher EC</w:t>
      </w:r>
      <w:r w:rsidR="006D6A6E" w:rsidRPr="003271F7">
        <w:rPr>
          <w:vertAlign w:val="subscript"/>
        </w:rPr>
        <w:t>90</w:t>
      </w:r>
      <w:r w:rsidR="006D6A6E" w:rsidRPr="007508C7">
        <w:t xml:space="preserve"> resulting in a reduced PASI response</w:t>
      </w:r>
      <w:r w:rsidR="006D6A6E">
        <w:t>)</w:t>
      </w:r>
    </w:p>
    <w:p w:rsidR="006D6A6E" w:rsidRPr="007508C7" w:rsidRDefault="008E67B3" w:rsidP="00537761">
      <w:pPr>
        <w:pStyle w:val="Heading7"/>
      </w:pPr>
      <w:r>
        <w:lastRenderedPageBreak/>
        <w:t>Results</w:t>
      </w:r>
    </w:p>
    <w:p w:rsidR="006D6A6E" w:rsidRDefault="006D6A6E" w:rsidP="006D6A6E">
      <w:r>
        <w:t xml:space="preserve">At Week 16, the impact of </w:t>
      </w:r>
      <w:r w:rsidR="001D63B3">
        <w:t>certolizumab pegol</w:t>
      </w:r>
      <w:r>
        <w:t xml:space="preserve"> on PASI was close to the maximal PASI response observed in the studies (for both the 200 mg Q2W and 400 mg Q2W groups, with the 400 mg Q2W being closer to the maximum response)</w:t>
      </w:r>
      <w:r w:rsidR="004B2442">
        <w:t>.</w:t>
      </w:r>
      <w:r>
        <w:t xml:space="preserve"> Nevertheless, even though close to the maximum, the maximum was not reached and </w:t>
      </w:r>
      <w:r w:rsidRPr="00A50FF8">
        <w:t>furthe</w:t>
      </w:r>
      <w:r w:rsidR="008E67B3">
        <w:t>r differentiation between the 2 </w:t>
      </w:r>
      <w:r w:rsidRPr="00A50FF8">
        <w:t>dose levels may occur at later time points.</w:t>
      </w:r>
    </w:p>
    <w:p w:rsidR="006D6A6E" w:rsidRDefault="006D6A6E" w:rsidP="004B2442">
      <w:pPr>
        <w:pStyle w:val="FigureTitle"/>
      </w:pPr>
      <w:r w:rsidRPr="006D6A6E">
        <w:t xml:space="preserve">Figure </w:t>
      </w:r>
      <w:r w:rsidR="00E77D15">
        <w:t>2</w:t>
      </w:r>
      <w:r w:rsidR="004B2442">
        <w:t>:</w:t>
      </w:r>
      <w:r w:rsidRPr="006D6A6E">
        <w:t xml:space="preserve"> </w:t>
      </w:r>
      <w:r w:rsidR="00CA154A">
        <w:t xml:space="preserve">Pop PKPD </w:t>
      </w:r>
      <w:r w:rsidR="00E77D15">
        <w:t xml:space="preserve">analysis CL0264. Model </w:t>
      </w:r>
      <w:r w:rsidRPr="006D6A6E">
        <w:t xml:space="preserve">predicted and observed PASI scores versus </w:t>
      </w:r>
      <w:r w:rsidR="001D63B3">
        <w:t>certolizumab pegol</w:t>
      </w:r>
      <w:r w:rsidRPr="006D6A6E">
        <w:t xml:space="preserve"> </w:t>
      </w:r>
      <w:r w:rsidR="00E77D15">
        <w:t>plasma concentration at Week 16</w:t>
      </w:r>
    </w:p>
    <w:p w:rsidR="006D6A6E" w:rsidRDefault="006D6A6E" w:rsidP="006D6A6E">
      <w:r>
        <w:rPr>
          <w:noProof/>
          <w:lang w:eastAsia="en-AU"/>
        </w:rPr>
        <w:drawing>
          <wp:inline distT="0" distB="0" distL="0" distR="0" wp14:anchorId="415EBAB8" wp14:editId="6A2DF2C4">
            <wp:extent cx="5400040" cy="3222625"/>
            <wp:effectExtent l="0" t="0" r="0" b="0"/>
            <wp:docPr id="5" name="Picture 5" descr="Population pharmacokinetic/pharmacodynamic analysis CL0264. Model-predicted and observed PASI scores versus certolizumab pegol plasma concentration at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222625"/>
                    </a:xfrm>
                    <a:prstGeom prst="rect">
                      <a:avLst/>
                    </a:prstGeom>
                    <a:noFill/>
                    <a:ln>
                      <a:noFill/>
                    </a:ln>
                  </pic:spPr>
                </pic:pic>
              </a:graphicData>
            </a:graphic>
          </wp:inline>
        </w:drawing>
      </w:r>
    </w:p>
    <w:p w:rsidR="00CC006D" w:rsidRDefault="007508C7" w:rsidP="008E67B3">
      <w:pPr>
        <w:pStyle w:val="Heading7"/>
      </w:pPr>
      <w:r>
        <w:t>Antidrug antibodies</w:t>
      </w:r>
    </w:p>
    <w:p w:rsidR="00CC006D" w:rsidRDefault="00CC006D" w:rsidP="00CC006D">
      <w:r>
        <w:t xml:space="preserve">The </w:t>
      </w:r>
      <w:r w:rsidR="004B2442">
        <w:t>antidrug antibody</w:t>
      </w:r>
      <w:r>
        <w:t xml:space="preserve"> sampling was very limited (in the pooled source data 8.3% were </w:t>
      </w:r>
      <w:r w:rsidR="00CA154A">
        <w:t>ADA</w:t>
      </w:r>
      <w:r w:rsidR="00BA49C1">
        <w:t xml:space="preserve"> </w:t>
      </w:r>
      <w:r>
        <w:t xml:space="preserve">16 positive; 16.5% had an </w:t>
      </w:r>
      <w:r w:rsidR="007508C7">
        <w:t>antidrug antibody</w:t>
      </w:r>
      <w:r>
        <w:t xml:space="preserve"> event), and the sponsor has stated that, therefore, it was not possible to develop more complex models to capture a more detailed effect of </w:t>
      </w:r>
      <w:r w:rsidR="007508C7">
        <w:t>antidrug antibody</w:t>
      </w:r>
      <w:r>
        <w:t xml:space="preserve"> on </w:t>
      </w:r>
      <w:r w:rsidR="001D63B3">
        <w:t>certolizumab pegol</w:t>
      </w:r>
      <w:r>
        <w:t xml:space="preserve"> </w:t>
      </w:r>
      <w:r w:rsidR="00F63AEF">
        <w:t>pharmacokinetic</w:t>
      </w:r>
      <w:r>
        <w:t xml:space="preserve">. Limited data is presented in Table </w:t>
      </w:r>
      <w:r w:rsidR="009C2FAC">
        <w:t>19</w:t>
      </w:r>
      <w:r>
        <w:t>.</w:t>
      </w:r>
    </w:p>
    <w:p w:rsidR="00CC006D" w:rsidRDefault="00CC006D" w:rsidP="00CC006D">
      <w:r>
        <w:t>At Week 16, the differences in PASI75 response between 200 mg Q2W and 400 mg Q2W are predicted to be &lt;</w:t>
      </w:r>
      <w:r w:rsidR="009C2FAC">
        <w:t xml:space="preserve"> </w:t>
      </w:r>
      <w:r>
        <w:t>4% (</w:t>
      </w:r>
      <w:r w:rsidR="008E67B3">
        <w:t>ADA</w:t>
      </w:r>
      <w:r w:rsidR="00BA49C1">
        <w:t xml:space="preserve"> </w:t>
      </w:r>
      <w:r>
        <w:t>16 negative subjects) and &lt;</w:t>
      </w:r>
      <w:r w:rsidR="004B2442">
        <w:t xml:space="preserve"> </w:t>
      </w:r>
      <w:r>
        <w:t>5% (</w:t>
      </w:r>
      <w:r w:rsidR="00CA154A">
        <w:t>ADA</w:t>
      </w:r>
      <w:r w:rsidR="00BA49C1">
        <w:t xml:space="preserve"> </w:t>
      </w:r>
      <w:r>
        <w:t xml:space="preserve">16 positive subjects), regardless of the </w:t>
      </w:r>
      <w:r w:rsidR="004B2442">
        <w:t>weight</w:t>
      </w:r>
      <w:r>
        <w:t xml:space="preserve"> category.</w:t>
      </w:r>
    </w:p>
    <w:p w:rsidR="00CC006D" w:rsidRDefault="00CC006D" w:rsidP="004B2442">
      <w:pPr>
        <w:pStyle w:val="TableTitle"/>
      </w:pPr>
      <w:r>
        <w:lastRenderedPageBreak/>
        <w:t xml:space="preserve">Table </w:t>
      </w:r>
      <w:r w:rsidR="009C2FAC">
        <w:t>19</w:t>
      </w:r>
      <w:r w:rsidR="004B2442">
        <w:t>:</w:t>
      </w:r>
      <w:r>
        <w:t xml:space="preserve"> </w:t>
      </w:r>
      <w:r w:rsidR="00CA154A">
        <w:t xml:space="preserve">Pop PK/PD </w:t>
      </w:r>
      <w:r>
        <w:t xml:space="preserve">analysis CL0264. Predicted proportion of PASI75 responders at Week 16, based on the final PASI model, stratified by dose at randomisation and by </w:t>
      </w:r>
      <w:r w:rsidR="00BA49C1">
        <w:t>ADA</w:t>
      </w:r>
      <w:r w:rsidR="00CA154A">
        <w:t xml:space="preserve"> status</w:t>
      </w:r>
    </w:p>
    <w:p w:rsidR="00BA49C1" w:rsidRDefault="00CC006D" w:rsidP="00CC006D">
      <w:r>
        <w:rPr>
          <w:noProof/>
          <w:lang w:eastAsia="en-AU"/>
        </w:rPr>
        <w:drawing>
          <wp:inline distT="0" distB="0" distL="0" distR="0" wp14:anchorId="7FC745CE" wp14:editId="1ACDF2AA">
            <wp:extent cx="3889495" cy="2051437"/>
            <wp:effectExtent l="0" t="0" r="0" b="6350"/>
            <wp:docPr id="7" name="Picture 7" descr="Population pharmacokinetic/pharmacodynamt analysis CL0264. Predicted proportion of PASI75 responders at Week 16, based on the final PASI model, stratified by dose at randomisation and by antidrug antibod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8645" cy="2050989"/>
                    </a:xfrm>
                    <a:prstGeom prst="rect">
                      <a:avLst/>
                    </a:prstGeom>
                    <a:noFill/>
                    <a:ln>
                      <a:noFill/>
                    </a:ln>
                  </pic:spPr>
                </pic:pic>
              </a:graphicData>
            </a:graphic>
          </wp:inline>
        </w:drawing>
      </w:r>
    </w:p>
    <w:p w:rsidR="00CC006D" w:rsidRDefault="00CC006D" w:rsidP="008E67B3">
      <w:pPr>
        <w:pStyle w:val="Heading7"/>
      </w:pPr>
      <w:r>
        <w:t>Body weight</w:t>
      </w:r>
    </w:p>
    <w:p w:rsidR="00CC006D" w:rsidRDefault="00CC006D" w:rsidP="00CC006D">
      <w:r>
        <w:t xml:space="preserve">Heavier patients have lower </w:t>
      </w:r>
      <w:r w:rsidR="001D63B3">
        <w:t>certolizumab pegol</w:t>
      </w:r>
      <w:r>
        <w:t xml:space="preserve"> plasma concentrations than lower body weight patients (range in the source studies: 42</w:t>
      </w:r>
      <w:r w:rsidR="007508C7">
        <w:t xml:space="preserve"> to </w:t>
      </w:r>
      <w:r>
        <w:t xml:space="preserve">198 kg), and heavier patients appear to reach steady-state clinical response later (16 weeks for a 90 kg subject </w:t>
      </w:r>
      <w:r w:rsidR="00A567C2">
        <w:t>versus</w:t>
      </w:r>
      <w:r>
        <w:t xml:space="preserve"> 21 weeks for a 150 kg subject).</w:t>
      </w:r>
    </w:p>
    <w:p w:rsidR="00CC006D" w:rsidRDefault="00CC006D" w:rsidP="00CC006D">
      <w:r>
        <w:t>For lower weight patients, the time to maximum PASI effect would be ≤</w:t>
      </w:r>
      <w:r w:rsidR="007508C7">
        <w:t xml:space="preserve"> </w:t>
      </w:r>
      <w:r>
        <w:t xml:space="preserve">16 weeks and an assessment of their status at Week 16 would be appropriate (in both a clinical context, as well as a study context to assess which dosage regimen would be more suitable: 200 mg Q2W, or 400 mg Q2W, or cessation of </w:t>
      </w:r>
      <w:r w:rsidR="001D63B3">
        <w:t>certolizumab pegol</w:t>
      </w:r>
      <w:r>
        <w:t>.</w:t>
      </w:r>
    </w:p>
    <w:p w:rsidR="00CC006D" w:rsidRDefault="00CC006D" w:rsidP="00CC006D">
      <w:r>
        <w:t>For larger weight patients, in whom the maximum effect is not reached at Week 16, Week</w:t>
      </w:r>
      <w:r w:rsidR="00BA49C1">
        <w:t> </w:t>
      </w:r>
      <w:r>
        <w:t>48 may be a more appropriate time point for evaluation (in a study setting). However, the appropriateness of a Week 48 evaluation in a clinical context is uncertain, and an earlier time point for assessment may be more suitable.</w:t>
      </w:r>
    </w:p>
    <w:p w:rsidR="00CC006D" w:rsidRDefault="00CC006D" w:rsidP="00CC006D">
      <w:r>
        <w:t xml:space="preserve">Figure </w:t>
      </w:r>
      <w:r w:rsidR="00E77D15">
        <w:t>3</w:t>
      </w:r>
      <w:r>
        <w:t xml:space="preserve"> shows the relationship of PASI75 responder proportion </w:t>
      </w:r>
      <w:r w:rsidR="00A567C2">
        <w:t>versus</w:t>
      </w:r>
      <w:r>
        <w:t xml:space="preserve"> body weight (at Weeks 16 and 48, and by </w:t>
      </w:r>
      <w:r w:rsidR="007508C7">
        <w:t>antidrug antibody</w:t>
      </w:r>
      <w:r>
        <w:t xml:space="preserve"> status).</w:t>
      </w:r>
    </w:p>
    <w:p w:rsidR="00CC006D" w:rsidRDefault="00CC006D" w:rsidP="004B2442">
      <w:pPr>
        <w:pStyle w:val="FigureTitle"/>
      </w:pPr>
      <w:r w:rsidRPr="00CC006D">
        <w:lastRenderedPageBreak/>
        <w:t xml:space="preserve">Figure </w:t>
      </w:r>
      <w:r w:rsidR="00E77D15">
        <w:t>3</w:t>
      </w:r>
      <w:r w:rsidR="004B2442">
        <w:t>:</w:t>
      </w:r>
      <w:r w:rsidRPr="00CC006D">
        <w:t xml:space="preserve"> </w:t>
      </w:r>
      <w:r w:rsidR="00513E72">
        <w:t>Pop</w:t>
      </w:r>
      <w:r w:rsidR="00BA49C1">
        <w:t>ulation</w:t>
      </w:r>
      <w:r w:rsidR="00513E72">
        <w:t xml:space="preserve"> PKPD </w:t>
      </w:r>
      <w:r w:rsidRPr="00CC006D">
        <w:t xml:space="preserve">analysis CL0264. Relationship of PASI75 responder proportion </w:t>
      </w:r>
      <w:r w:rsidR="00A567C2">
        <w:t xml:space="preserve">versus </w:t>
      </w:r>
      <w:r w:rsidRPr="00CC006D">
        <w:t xml:space="preserve">body weight (at Weeks 16 and 48, and by </w:t>
      </w:r>
      <w:r w:rsidR="00BA49C1">
        <w:t>ADA</w:t>
      </w:r>
      <w:r w:rsidR="00513E72">
        <w:t xml:space="preserve"> status)</w:t>
      </w:r>
    </w:p>
    <w:p w:rsidR="00CC006D" w:rsidRDefault="00CC006D" w:rsidP="00CC006D">
      <w:r>
        <w:rPr>
          <w:noProof/>
          <w:lang w:eastAsia="en-AU"/>
        </w:rPr>
        <w:drawing>
          <wp:inline distT="0" distB="0" distL="0" distR="0" wp14:anchorId="69E31CC7" wp14:editId="48D3E0E6">
            <wp:extent cx="4279527" cy="3970117"/>
            <wp:effectExtent l="0" t="0" r="6985" b="0"/>
            <wp:docPr id="8" name="Picture 8" descr="Population pharmacokinetic/pharmacodynamic analysis CL0264. Relationship of PASI75 responder proportion versus body weight (at Weeks 16 and 48, and by antidrug antibod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884" cy="3970448"/>
                    </a:xfrm>
                    <a:prstGeom prst="rect">
                      <a:avLst/>
                    </a:prstGeom>
                    <a:noFill/>
                    <a:ln>
                      <a:noFill/>
                    </a:ln>
                  </pic:spPr>
                </pic:pic>
              </a:graphicData>
            </a:graphic>
          </wp:inline>
        </w:drawing>
      </w:r>
    </w:p>
    <w:p w:rsidR="00CC006D" w:rsidRDefault="00CC006D" w:rsidP="00CC006D">
      <w:r>
        <w:t xml:space="preserve">In response to the request to provide arguments for a non-weight based dosing of </w:t>
      </w:r>
      <w:r w:rsidR="001D63B3">
        <w:t>certolizumab pegol</w:t>
      </w:r>
      <w:r>
        <w:t xml:space="preserve"> (given the effect of weight shown in the pop</w:t>
      </w:r>
      <w:r w:rsidR="007508C7">
        <w:t xml:space="preserve">ulation </w:t>
      </w:r>
      <w:r w:rsidR="00F63AEF">
        <w:t>pharmacokinetic</w:t>
      </w:r>
      <w:r>
        <w:t xml:space="preserve"> analysis), the sponsor provided the following:</w:t>
      </w:r>
    </w:p>
    <w:p w:rsidR="00702D7B" w:rsidRPr="00BA49C1" w:rsidRDefault="00CC006D" w:rsidP="004B2442">
      <w:pPr>
        <w:ind w:left="720"/>
      </w:pPr>
      <w:r w:rsidRPr="00BA49C1">
        <w:t xml:space="preserve">The </w:t>
      </w:r>
      <w:r w:rsidR="008E67B3" w:rsidRPr="00FF1ABC">
        <w:t>s</w:t>
      </w:r>
      <w:r w:rsidRPr="00BA49C1">
        <w:t xml:space="preserve">ponsor considers non-weight based dosing of </w:t>
      </w:r>
      <w:r w:rsidR="001D63B3" w:rsidRPr="00BA49C1">
        <w:t>certolizumab pegol</w:t>
      </w:r>
      <w:r w:rsidRPr="00BA49C1">
        <w:t xml:space="preserve"> to be appropriate based on the available data including the analysis by body weight and body mass index (BMI) by quintiles. For both doses the analysis by body weight quintiles at Week 16 and Week 48 showed that subjects in the higher body weight quintiles tend to have lower response rates than subjects in the lower weight categories.</w:t>
      </w:r>
    </w:p>
    <w:p w:rsidR="00CC006D" w:rsidRPr="00BA49C1" w:rsidRDefault="00CC006D" w:rsidP="004B2442">
      <w:pPr>
        <w:ind w:left="720"/>
      </w:pPr>
      <w:r w:rsidRPr="00BA49C1">
        <w:t>From both the pop</w:t>
      </w:r>
      <w:r w:rsidR="004B2442" w:rsidRPr="00BA49C1">
        <w:t xml:space="preserve">ulation </w:t>
      </w:r>
      <w:r w:rsidR="00F63AEF" w:rsidRPr="00BA49C1">
        <w:t>pharmacokinetic</w:t>
      </w:r>
      <w:r w:rsidRPr="00BA49C1">
        <w:t xml:space="preserve"> and the </w:t>
      </w:r>
      <w:r w:rsidR="00F63AEF" w:rsidRPr="00BA49C1">
        <w:t>pharmacokinetic</w:t>
      </w:r>
      <w:r w:rsidR="007508C7" w:rsidRPr="00BA49C1">
        <w:t>/ pharmacodynamic</w:t>
      </w:r>
      <w:r w:rsidRPr="00BA49C1">
        <w:t xml:space="preserve"> model it was concluded that body weight affects both CL and volume and it also affects the time to achieve maximum response. However, both doses were at the upper end of the exposure-response curve and therefore, changes in plasma concentrations do not results in relevant response differences. At Week 16, the differences in PASI response (PASI75 or PASI90) between </w:t>
      </w:r>
      <w:r w:rsidR="001D63B3" w:rsidRPr="00BA49C1">
        <w:t>certolizumab pegol</w:t>
      </w:r>
      <w:r w:rsidRPr="00BA49C1">
        <w:t xml:space="preserve"> 200</w:t>
      </w:r>
      <w:r w:rsidR="00790EEF" w:rsidRPr="00BA49C1">
        <w:t xml:space="preserve"> </w:t>
      </w:r>
      <w:r w:rsidRPr="00BA49C1">
        <w:t xml:space="preserve">mg Q2W and </w:t>
      </w:r>
      <w:r w:rsidR="001D63B3" w:rsidRPr="00BA49C1">
        <w:t>certolizumab pegol</w:t>
      </w:r>
      <w:r w:rsidRPr="00BA49C1">
        <w:t xml:space="preserve"> 400</w:t>
      </w:r>
      <w:r w:rsidR="00790EEF" w:rsidRPr="00BA49C1">
        <w:t xml:space="preserve"> </w:t>
      </w:r>
      <w:r w:rsidRPr="00BA49C1">
        <w:t>mg Q2W are predicted to be less than 5% regardless of the body weight</w:t>
      </w:r>
      <w:r w:rsidR="00790EEF" w:rsidRPr="00BA49C1">
        <w:t>.</w:t>
      </w:r>
      <w:r w:rsidRPr="00BA49C1">
        <w:t xml:space="preserve"> Both doses of </w:t>
      </w:r>
      <w:r w:rsidR="001D63B3" w:rsidRPr="00BA49C1">
        <w:t>certolizumab pegol</w:t>
      </w:r>
      <w:r w:rsidRPr="00BA49C1">
        <w:t xml:space="preserve"> demonstrated superior efficacy compared to placebo regardless of body weight or BMI and there was no apparent difference in responses between doses at the higher body weight quintiles. For these reasons the </w:t>
      </w:r>
      <w:r w:rsidR="008E67B3" w:rsidRPr="00BA49C1">
        <w:t>s</w:t>
      </w:r>
      <w:r w:rsidRPr="00BA49C1">
        <w:t>ponsor considers the data supports a non-weight based dose regimen.</w:t>
      </w:r>
    </w:p>
    <w:p w:rsidR="00CC006D" w:rsidRDefault="00CC006D" w:rsidP="004B2442">
      <w:pPr>
        <w:pStyle w:val="Heading6"/>
      </w:pPr>
      <w:r>
        <w:t>PGA model</w:t>
      </w:r>
    </w:p>
    <w:p w:rsidR="00702D7B" w:rsidRDefault="00CC006D" w:rsidP="00CC006D">
      <w:r>
        <w:t xml:space="preserve">The final PGA model evaluation showed that the model tended to under-predict the ‘clear’ state of the observed PGA response. Due to this, the PGA </w:t>
      </w:r>
      <w:r w:rsidR="00BA49C1">
        <w:t>PKPD</w:t>
      </w:r>
      <w:r>
        <w:t xml:space="preserve"> model was not used for further simulations and no conclusions on covariate effects resulted from it.</w:t>
      </w:r>
    </w:p>
    <w:p w:rsidR="00CC006D" w:rsidRDefault="00CC006D" w:rsidP="00E73898">
      <w:pPr>
        <w:pStyle w:val="Heading7"/>
      </w:pPr>
      <w:r>
        <w:lastRenderedPageBreak/>
        <w:t>Main limitations</w:t>
      </w:r>
    </w:p>
    <w:p w:rsidR="00CC006D" w:rsidRDefault="00CC006D" w:rsidP="00CC006D">
      <w:r>
        <w:t>In the pop</w:t>
      </w:r>
      <w:r w:rsidR="00790EEF">
        <w:t xml:space="preserve">ulation </w:t>
      </w:r>
      <w:r w:rsidR="00F63AEF">
        <w:t>pharmacokinetic</w:t>
      </w:r>
      <w:r>
        <w:t xml:space="preserve"> evaluation report, comments on limitations were made. Additionally, it is noted that the PGA model was not used. Only limited </w:t>
      </w:r>
      <w:r w:rsidR="00790EEF">
        <w:t>antidrug antibody</w:t>
      </w:r>
      <w:r>
        <w:t xml:space="preserve"> data was available, and its relation on PASI should have been explored further. The PASI/PGA models should have been based on data until Week 48, and not only on data until Week 16, even though some results were extrapolated into the maintenance phase until Week 48. The concentration modelling was based on data until Week 48, but the effect on concentration has limited clinical relevance. Consequently, the pop</w:t>
      </w:r>
      <w:r w:rsidR="00790EEF">
        <w:t xml:space="preserve">ulation </w:t>
      </w:r>
      <w:r w:rsidR="00F63AEF">
        <w:t>pharmacokinetic</w:t>
      </w:r>
      <w:r>
        <w:t xml:space="preserve"> report does not necessarily provide complete data to help decide on an appropriate dosage regimen, in particular for certain subgroups, </w:t>
      </w:r>
      <w:r w:rsidR="00A567C2">
        <w:t>for example,</w:t>
      </w:r>
      <w:r>
        <w:t xml:space="preserve"> those in whom a later onset of response is expected.</w:t>
      </w:r>
    </w:p>
    <w:p w:rsidR="00CC006D" w:rsidRDefault="00CC006D" w:rsidP="00E73898">
      <w:pPr>
        <w:pStyle w:val="Heading5"/>
      </w:pPr>
      <w:r>
        <w:t xml:space="preserve">Overall </w:t>
      </w:r>
      <w:r w:rsidR="00E73898">
        <w:t xml:space="preserve">PopPK </w:t>
      </w:r>
      <w:r>
        <w:t>conclusion</w:t>
      </w:r>
    </w:p>
    <w:p w:rsidR="00CC006D" w:rsidRDefault="00CC006D" w:rsidP="00CC006D">
      <w:r>
        <w:t xml:space="preserve">An evaluation of the sponsor’s </w:t>
      </w:r>
      <w:r w:rsidR="00790EEF">
        <w:t xml:space="preserve">population </w:t>
      </w:r>
      <w:r w:rsidR="00F63AEF">
        <w:t>pharmacokinetic</w:t>
      </w:r>
      <w:r>
        <w:t xml:space="preserve"> analysis was obtained. The Pop</w:t>
      </w:r>
      <w:r w:rsidR="00790EEF">
        <w:t xml:space="preserve">ulation </w:t>
      </w:r>
      <w:r w:rsidR="00BA49C1">
        <w:t xml:space="preserve">PK </w:t>
      </w:r>
      <w:r>
        <w:t xml:space="preserve">evaluator considered that information given in the proposed Australian </w:t>
      </w:r>
      <w:r w:rsidR="00BA49C1">
        <w:t>PI</w:t>
      </w:r>
      <w:r>
        <w:t xml:space="preserve"> is in keeping with results of the </w:t>
      </w:r>
      <w:r w:rsidR="00BA49C1">
        <w:t>Population PK</w:t>
      </w:r>
      <w:r w:rsidR="00636F70">
        <w:t xml:space="preserve"> </w:t>
      </w:r>
      <w:r>
        <w:t xml:space="preserve">and </w:t>
      </w:r>
      <w:r w:rsidR="00BA49C1">
        <w:t>PKPD</w:t>
      </w:r>
      <w:r>
        <w:t xml:space="preserve"> analyses. References to the analysis in the Australian </w:t>
      </w:r>
      <w:r w:rsidR="00BA49C1">
        <w:t>PI</w:t>
      </w:r>
      <w:r>
        <w:t xml:space="preserve"> were deemed to accurately reflect the findings of this evaluation.</w:t>
      </w:r>
    </w:p>
    <w:p w:rsidR="00CC006D" w:rsidRDefault="00CC006D" w:rsidP="004B2442">
      <w:pPr>
        <w:pStyle w:val="Heading5"/>
      </w:pPr>
      <w:r>
        <w:t>Clinical evaluator conclusions on pharmacology</w:t>
      </w:r>
    </w:p>
    <w:p w:rsidR="00CC006D" w:rsidRDefault="00CC006D" w:rsidP="004B2442">
      <w:pPr>
        <w:pStyle w:val="Heading6"/>
      </w:pPr>
      <w:r>
        <w:t>Similarity compared to other indications</w:t>
      </w:r>
    </w:p>
    <w:p w:rsidR="00CC006D" w:rsidRDefault="00CC006D" w:rsidP="00CC006D">
      <w:r>
        <w:t xml:space="preserve">The </w:t>
      </w:r>
      <w:r w:rsidR="00F63AEF">
        <w:t>pharmacokinetic</w:t>
      </w:r>
      <w:r>
        <w:t xml:space="preserve"> characteristics of </w:t>
      </w:r>
      <w:r w:rsidR="001D63B3">
        <w:t>certolizumab pegol</w:t>
      </w:r>
      <w:r>
        <w:t xml:space="preserve"> in adult patients with </w:t>
      </w:r>
      <w:r w:rsidR="00BA49C1">
        <w:t>rheumatoid arthritis</w:t>
      </w:r>
      <w:r>
        <w:t xml:space="preserve">, </w:t>
      </w:r>
      <w:r w:rsidR="00A567C2">
        <w:t>psoriatic arthritis</w:t>
      </w:r>
      <w:r>
        <w:t xml:space="preserve"> and </w:t>
      </w:r>
      <w:r w:rsidR="004F4D77">
        <w:t xml:space="preserve">ankylosing spondylitis </w:t>
      </w:r>
      <w:r>
        <w:t xml:space="preserve">are well characterised, and patients with </w:t>
      </w:r>
      <w:r w:rsidR="00A567C2">
        <w:t>psoriasis</w:t>
      </w:r>
      <w:r>
        <w:t xml:space="preserve"> have similar </w:t>
      </w:r>
      <w:r w:rsidR="00BA49C1">
        <w:t xml:space="preserve">PK </w:t>
      </w:r>
      <w:r>
        <w:t xml:space="preserve">responses to </w:t>
      </w:r>
      <w:r w:rsidR="001D63B3">
        <w:t>certolizumab pegol</w:t>
      </w:r>
      <w:r>
        <w:t xml:space="preserve"> exposure.</w:t>
      </w:r>
    </w:p>
    <w:p w:rsidR="00CC006D" w:rsidRDefault="00CC006D" w:rsidP="004B2442">
      <w:pPr>
        <w:pStyle w:val="Heading6"/>
      </w:pPr>
      <w:r>
        <w:t>Steady-state concentration and dose proportionality</w:t>
      </w:r>
    </w:p>
    <w:p w:rsidR="00CC006D" w:rsidRDefault="00CC006D" w:rsidP="00CC006D">
      <w:r>
        <w:t xml:space="preserve">Across the Phase </w:t>
      </w:r>
      <w:r w:rsidR="00790EEF">
        <w:t>III</w:t>
      </w:r>
      <w:r>
        <w:t xml:space="preserve"> studies following multiple SC doses of </w:t>
      </w:r>
      <w:r w:rsidR="001D63B3">
        <w:t>certolizumab pegol</w:t>
      </w:r>
      <w:r>
        <w:t xml:space="preserve"> 200</w:t>
      </w:r>
      <w:r w:rsidR="00790EEF">
        <w:t xml:space="preserve"> </w:t>
      </w:r>
      <w:r>
        <w:t>mg Q2W or 400</w:t>
      </w:r>
      <w:r w:rsidR="00790EEF">
        <w:t xml:space="preserve"> </w:t>
      </w:r>
      <w:r>
        <w:t xml:space="preserve">mg Q2W, steady state drug concentrations were reached by Week 16 and remained relatively stable through to Week 48 in those who did not develop </w:t>
      </w:r>
      <w:r w:rsidR="0003432E">
        <w:t>ADA</w:t>
      </w:r>
      <w:r>
        <w:t>.</w:t>
      </w:r>
    </w:p>
    <w:p w:rsidR="00CC006D" w:rsidRDefault="00CC006D" w:rsidP="00CC006D">
      <w:r>
        <w:t xml:space="preserve">Plasma </w:t>
      </w:r>
      <w:r w:rsidR="001D63B3">
        <w:t>certolizumab pegol</w:t>
      </w:r>
      <w:r>
        <w:t xml:space="preserve"> trough concentrations increase in a dose proportional manner. Trough serum </w:t>
      </w:r>
      <w:r w:rsidR="001D63B3">
        <w:t>certolizumab pegol</w:t>
      </w:r>
      <w:r>
        <w:t xml:space="preserve"> concentrations at steady state are approximately </w:t>
      </w:r>
      <w:r w:rsidR="00BC7159">
        <w:t>2 fold</w:t>
      </w:r>
      <w:r>
        <w:t xml:space="preserve"> higher following administration of </w:t>
      </w:r>
      <w:r w:rsidR="001D63B3">
        <w:t>certolizumab pegol</w:t>
      </w:r>
      <w:r>
        <w:t xml:space="preserve"> 400</w:t>
      </w:r>
      <w:r w:rsidR="00790EEF">
        <w:t xml:space="preserve"> </w:t>
      </w:r>
      <w:r>
        <w:t>mg Q2W therapy compared to 200</w:t>
      </w:r>
      <w:r w:rsidR="00790EEF">
        <w:t xml:space="preserve"> </w:t>
      </w:r>
      <w:r>
        <w:t xml:space="preserve">mg Q2W. The sponsor is proposing both dose regimens for </w:t>
      </w:r>
      <w:r w:rsidR="001D63B3">
        <w:t>certolizumab pegol</w:t>
      </w:r>
      <w:r>
        <w:t xml:space="preserve"> therapy in </w:t>
      </w:r>
      <w:r w:rsidR="00A567C2">
        <w:t>psoriasis</w:t>
      </w:r>
      <w:r>
        <w:t>.</w:t>
      </w:r>
    </w:p>
    <w:p w:rsidR="00CC006D" w:rsidRDefault="004B2442" w:rsidP="004B2442">
      <w:pPr>
        <w:pStyle w:val="Heading6"/>
      </w:pPr>
      <w:r>
        <w:t>P</w:t>
      </w:r>
      <w:r w:rsidR="00F63AEF">
        <w:t>harmacokinetic</w:t>
      </w:r>
      <w:r w:rsidR="00CC006D">
        <w:t xml:space="preserve"> variability</w:t>
      </w:r>
    </w:p>
    <w:p w:rsidR="00CC006D" w:rsidRDefault="00CC006D" w:rsidP="00CC006D">
      <w:r>
        <w:t xml:space="preserve">The two main sources of </w:t>
      </w:r>
      <w:r w:rsidR="0003432E">
        <w:t xml:space="preserve">PK </w:t>
      </w:r>
      <w:r>
        <w:t xml:space="preserve">variability identified in patients using the primary Phase </w:t>
      </w:r>
      <w:r w:rsidR="00790EEF">
        <w:t>III</w:t>
      </w:r>
      <w:r>
        <w:t xml:space="preserve"> </w:t>
      </w:r>
      <w:r w:rsidR="0003432E">
        <w:t xml:space="preserve">PK </w:t>
      </w:r>
      <w:r>
        <w:t xml:space="preserve">data and the population </w:t>
      </w:r>
      <w:r w:rsidR="00F63AEF">
        <w:t>pharmacokinetic</w:t>
      </w:r>
      <w:r>
        <w:t xml:space="preserve"> analysis were body </w:t>
      </w:r>
      <w:r w:rsidR="00790EEF">
        <w:t xml:space="preserve">weight and the presence of </w:t>
      </w:r>
      <w:r w:rsidR="00513E72">
        <w:t>ADAs</w:t>
      </w:r>
      <w:r>
        <w:t>.</w:t>
      </w:r>
    </w:p>
    <w:p w:rsidR="00702D7B" w:rsidRDefault="00CC006D" w:rsidP="004B2442">
      <w:pPr>
        <w:pStyle w:val="Heading4"/>
      </w:pPr>
      <w:r>
        <w:t>Efficacy</w:t>
      </w:r>
    </w:p>
    <w:p w:rsidR="00CC006D" w:rsidRDefault="00CC006D" w:rsidP="00CC006D">
      <w:r>
        <w:t xml:space="preserve">The efficacy of </w:t>
      </w:r>
      <w:r w:rsidR="001D63B3">
        <w:t>certolizumab pegol</w:t>
      </w:r>
      <w:r>
        <w:t xml:space="preserve"> in patients with moderate to severe plaque </w:t>
      </w:r>
      <w:r w:rsidR="00A567C2">
        <w:t>psoriasis</w:t>
      </w:r>
      <w:r>
        <w:t xml:space="preserve"> has been evaluated in 3 ongoing Phase </w:t>
      </w:r>
      <w:r w:rsidR="00790EEF">
        <w:t>III</w:t>
      </w:r>
      <w:r>
        <w:t xml:space="preserve"> studies (Studies PS0003 (CIMPACT</w:t>
      </w:r>
      <w:r w:rsidR="0003432E">
        <w:t xml:space="preserve"> trial</w:t>
      </w:r>
      <w:r>
        <w:t>), PS0002 (CIMPASI-2</w:t>
      </w:r>
      <w:r w:rsidR="0003432E">
        <w:t xml:space="preserve"> trial</w:t>
      </w:r>
      <w:r>
        <w:t>) and PS0005 (CIMPASI-1</w:t>
      </w:r>
      <w:r w:rsidR="0003432E">
        <w:t xml:space="preserve"> trial</w:t>
      </w:r>
      <w:r>
        <w:t xml:space="preserve">)) as well as 2 completed Phase </w:t>
      </w:r>
      <w:r w:rsidR="00790EEF">
        <w:t>II</w:t>
      </w:r>
      <w:r w:rsidR="00E73898">
        <w:t xml:space="preserve"> S</w:t>
      </w:r>
      <w:r>
        <w:t>tudies (C87040 and C87044).</w:t>
      </w:r>
    </w:p>
    <w:p w:rsidR="00702D7B" w:rsidRDefault="00CC006D" w:rsidP="00CC006D">
      <w:r>
        <w:t xml:space="preserve">There were 3 pivotal studies: </w:t>
      </w:r>
      <w:r w:rsidR="00FE65DE">
        <w:t xml:space="preserve">the </w:t>
      </w:r>
      <w:r>
        <w:t xml:space="preserve">CIMPASI-1 and CIMPASI-2 </w:t>
      </w:r>
      <w:r w:rsidR="00FE65DE">
        <w:t xml:space="preserve">trials </w:t>
      </w:r>
      <w:r>
        <w:t xml:space="preserve">had an identical design, </w:t>
      </w:r>
      <w:r w:rsidR="00FE65DE">
        <w:t xml:space="preserve">and the </w:t>
      </w:r>
      <w:r>
        <w:t xml:space="preserve">CIMPACT </w:t>
      </w:r>
      <w:r w:rsidR="00FE65DE">
        <w:t xml:space="preserve">trial </w:t>
      </w:r>
      <w:r>
        <w:t>had a similar design but with the addition of an active control (etanercept 50 mg twice weekly) and patients were eligible to be re-randomised to placebo or active treatment at Week 16.</w:t>
      </w:r>
      <w:r w:rsidR="00702D7B">
        <w:t xml:space="preserve"> </w:t>
      </w:r>
      <w:r>
        <w:t>These studies are briefly summarised below.</w:t>
      </w:r>
    </w:p>
    <w:p w:rsidR="00CC006D" w:rsidRDefault="00CC006D" w:rsidP="004B2442">
      <w:pPr>
        <w:pStyle w:val="Heading5"/>
      </w:pPr>
      <w:r>
        <w:lastRenderedPageBreak/>
        <w:t>CIMPASI-1 and CIMPASI-2</w:t>
      </w:r>
      <w:r w:rsidR="0003432E">
        <w:t xml:space="preserve"> trials</w:t>
      </w:r>
    </w:p>
    <w:p w:rsidR="00CC006D" w:rsidRDefault="00CC006D" w:rsidP="004B2442">
      <w:pPr>
        <w:pStyle w:val="Heading6"/>
      </w:pPr>
      <w:r>
        <w:t>Design</w:t>
      </w:r>
    </w:p>
    <w:p w:rsidR="00CC006D" w:rsidRDefault="00CC006D" w:rsidP="00CC006D">
      <w:r>
        <w:t>These were randomised, double</w:t>
      </w:r>
      <w:r w:rsidR="00790EEF">
        <w:t xml:space="preserve"> </w:t>
      </w:r>
      <w:r>
        <w:t>blind, placebo</w:t>
      </w:r>
      <w:r w:rsidR="00790EEF">
        <w:t xml:space="preserve"> </w:t>
      </w:r>
      <w:r>
        <w:t xml:space="preserve">controlled, multicentre studies to demonstrate the efficacy and safety of </w:t>
      </w:r>
      <w:r w:rsidR="001D63B3">
        <w:t>certolizumab pegol</w:t>
      </w:r>
      <w:r>
        <w:t xml:space="preserve"> over placebo. Each study included 5 periods: </w:t>
      </w:r>
      <w:r w:rsidR="00FE65DE">
        <w:t>screening, initial treatment (double blind, placebo controlled), maintenance treatment (dose-blind), open label treatment, and safety follow-up</w:t>
      </w:r>
      <w:r>
        <w:t>. The double</w:t>
      </w:r>
      <w:r w:rsidR="00790EEF">
        <w:t xml:space="preserve"> </w:t>
      </w:r>
      <w:r>
        <w:t xml:space="preserve">blind treatment period of 16 weeks was used to demonstrate the efficacy of </w:t>
      </w:r>
      <w:r w:rsidR="001D63B3">
        <w:t>certolizumab pegol</w:t>
      </w:r>
      <w:r>
        <w:t xml:space="preserve"> over placebo. Further dose</w:t>
      </w:r>
      <w:r w:rsidR="009E6CD4">
        <w:t xml:space="preserve"> </w:t>
      </w:r>
      <w:r>
        <w:t>blind treatment from Weeks 16 to 48 was intended to collect information on maintenance dosing.</w:t>
      </w:r>
    </w:p>
    <w:p w:rsidR="00702D7B" w:rsidRDefault="00CC006D" w:rsidP="00CC006D">
      <w:r>
        <w:t xml:space="preserve">Subjects had to be at least 18 years of age (no upper age limit) with a diagnosis of chronic plaque </w:t>
      </w:r>
      <w:r w:rsidR="00A567C2">
        <w:t>psoriasis</w:t>
      </w:r>
      <w:r>
        <w:t xml:space="preserve"> for at least 6 months prior to screening. Patients were required to have at least moderately active disease at baseline with a PASI score ≥</w:t>
      </w:r>
      <w:r w:rsidR="009E6CD4">
        <w:t xml:space="preserve"> </w:t>
      </w:r>
      <w:r>
        <w:t xml:space="preserve">12, affected </w:t>
      </w:r>
      <w:r w:rsidR="004B2442">
        <w:t>body surface area</w:t>
      </w:r>
      <w:r>
        <w:t xml:space="preserve"> ≥</w:t>
      </w:r>
      <w:r w:rsidR="009E6CD4">
        <w:t xml:space="preserve"> </w:t>
      </w:r>
      <w:r>
        <w:t>10% and a PGA score of ≥</w:t>
      </w:r>
      <w:r w:rsidR="009E6CD4">
        <w:t xml:space="preserve"> </w:t>
      </w:r>
      <w:r>
        <w:t xml:space="preserve">3. Subjects were also required to be candidates for systemic </w:t>
      </w:r>
      <w:r w:rsidR="00A567C2">
        <w:t>psoriasis</w:t>
      </w:r>
      <w:r>
        <w:t xml:space="preserve"> therapy and/or phototherapy and/or chemo-phototherapy. Subjects with other non-plaque types of </w:t>
      </w:r>
      <w:r w:rsidR="00A567C2">
        <w:t>psoriasis</w:t>
      </w:r>
      <w:r>
        <w:t xml:space="preserve"> (guttate, erythrodermic or pustular forms) were ineligible.</w:t>
      </w:r>
    </w:p>
    <w:p w:rsidR="00702D7B" w:rsidRDefault="00CC006D" w:rsidP="00CC006D">
      <w:r>
        <w:t>During the initial 16</w:t>
      </w:r>
      <w:r w:rsidR="009E6CD4">
        <w:t xml:space="preserve"> </w:t>
      </w:r>
      <w:r>
        <w:t xml:space="preserve">week treatment period subjects were randomised in a 2:2:1 ratio to receive either </w:t>
      </w:r>
      <w:r w:rsidR="001D63B3">
        <w:t>certolizumab pegol</w:t>
      </w:r>
      <w:r>
        <w:t xml:space="preserve"> 400</w:t>
      </w:r>
      <w:r w:rsidR="009E6CD4">
        <w:t xml:space="preserve"> </w:t>
      </w:r>
      <w:r>
        <w:t xml:space="preserve">mg </w:t>
      </w:r>
      <w:r w:rsidR="005A2DDF">
        <w:t>Q2W</w:t>
      </w:r>
      <w:r>
        <w:t xml:space="preserve">, </w:t>
      </w:r>
      <w:r w:rsidR="001D63B3">
        <w:t>certolizumab pegol</w:t>
      </w:r>
      <w:r>
        <w:t xml:space="preserve"> 200</w:t>
      </w:r>
      <w:r w:rsidR="009E6CD4">
        <w:t xml:space="preserve"> </w:t>
      </w:r>
      <w:r>
        <w:t xml:space="preserve">mg </w:t>
      </w:r>
      <w:r w:rsidR="005A2DDF">
        <w:t>Q2W</w:t>
      </w:r>
      <w:r>
        <w:t xml:space="preserve"> (both after a loading regimen of 400</w:t>
      </w:r>
      <w:r w:rsidR="009E6CD4">
        <w:t xml:space="preserve"> </w:t>
      </w:r>
      <w:r>
        <w:t xml:space="preserve">mg at </w:t>
      </w:r>
      <w:r w:rsidR="009E6CD4">
        <w:t>W</w:t>
      </w:r>
      <w:r>
        <w:t xml:space="preserve">eeks 0, 2 and 4), or </w:t>
      </w:r>
      <w:r w:rsidR="00A316C5">
        <w:t>placebo</w:t>
      </w:r>
      <w:r>
        <w:t xml:space="preserve"> SC injections </w:t>
      </w:r>
      <w:r w:rsidR="005A2DDF">
        <w:t>Q2W</w:t>
      </w:r>
      <w:r>
        <w:t xml:space="preserve">. Subjects were assessed at Week 16. Subjects who achieved at least a 50% reduction from baseline in their </w:t>
      </w:r>
      <w:r w:rsidR="00E73898">
        <w:t>PASI</w:t>
      </w:r>
      <w:r>
        <w:t xml:space="preserve"> response (PASI50) at Week 16, continued therapy.</w:t>
      </w:r>
      <w:r w:rsidR="00702D7B">
        <w:t xml:space="preserve"> </w:t>
      </w:r>
      <w:r>
        <w:t xml:space="preserve">Those on active treatment continued their assigned </w:t>
      </w:r>
      <w:r w:rsidR="001D63B3">
        <w:t>certolizumab pegol</w:t>
      </w:r>
      <w:r>
        <w:t xml:space="preserve"> treatment regimen.</w:t>
      </w:r>
    </w:p>
    <w:p w:rsidR="00CC006D" w:rsidRDefault="00CC006D" w:rsidP="00CC006D">
      <w:r>
        <w:t xml:space="preserve">Subjects initially randomised to placebo continued on placebo past Week 16, if they were PASI75 responders. Subjects given placebo who were PASI50 but not PASI75 responders received </w:t>
      </w:r>
      <w:r w:rsidR="001D63B3">
        <w:t>certolizumab pegol</w:t>
      </w:r>
      <w:r>
        <w:t xml:space="preserve"> 400</w:t>
      </w:r>
      <w:r w:rsidR="009E6CD4">
        <w:t xml:space="preserve"> </w:t>
      </w:r>
      <w:r>
        <w:t xml:space="preserve">mg at Weeks 16, 18 and 20 (loading dose regimen) followed by </w:t>
      </w:r>
      <w:r w:rsidR="001D63B3">
        <w:t>certolizumab pegol</w:t>
      </w:r>
      <w:r>
        <w:t xml:space="preserve"> 200</w:t>
      </w:r>
      <w:r w:rsidR="009E6CD4">
        <w:t xml:space="preserve"> </w:t>
      </w:r>
      <w:r>
        <w:t>mg Q2W starting at Week 22. Subjects who did not achieve a PASI50 response at Week 16 escaped blinded treatment and received open</w:t>
      </w:r>
      <w:r w:rsidR="009E6CD4">
        <w:t xml:space="preserve"> </w:t>
      </w:r>
      <w:r>
        <w:t xml:space="preserve">label </w:t>
      </w:r>
      <w:r w:rsidR="001D63B3">
        <w:t>certolizumab pegol</w:t>
      </w:r>
      <w:r>
        <w:t xml:space="preserve"> 400 mg </w:t>
      </w:r>
      <w:r w:rsidR="005A2DDF">
        <w:t>Q2W</w:t>
      </w:r>
      <w:r>
        <w:t>.</w:t>
      </w:r>
      <w:r w:rsidR="00702D7B">
        <w:t xml:space="preserve"> </w:t>
      </w:r>
      <w:r>
        <w:t xml:space="preserve">After 16 weeks of unblinded </w:t>
      </w:r>
      <w:r w:rsidR="001D63B3">
        <w:t>certolizumab pegol</w:t>
      </w:r>
      <w:r>
        <w:t xml:space="preserve"> 400 mg </w:t>
      </w:r>
      <w:r w:rsidR="005A2DDF">
        <w:t>Q2W</w:t>
      </w:r>
      <w:r>
        <w:t xml:space="preserve"> subjects who did not achieve a PASI50 were withdrawn from the study. During the dose</w:t>
      </w:r>
      <w:r w:rsidR="009E6CD4">
        <w:t xml:space="preserve"> </w:t>
      </w:r>
      <w:r>
        <w:t xml:space="preserve">blind Maintenance Treatment Period, subjects continued to receive study medication in a dose-blind fashion and were assessed at Weeks 32 through Week 48 for continued PASI50 response. Subjects who did not achieve a PASI50 response at Week 32 or a later </w:t>
      </w:r>
      <w:r w:rsidR="00513E72">
        <w:t>time point</w:t>
      </w:r>
      <w:r>
        <w:t xml:space="preserve"> were withdrawn from the study.</w:t>
      </w:r>
    </w:p>
    <w:p w:rsidR="00CC006D" w:rsidRDefault="00CC006D" w:rsidP="00A56E9A">
      <w:pPr>
        <w:pStyle w:val="Heading6"/>
      </w:pPr>
      <w:r>
        <w:t>Efficacy variables and analysis</w:t>
      </w:r>
    </w:p>
    <w:p w:rsidR="00702D7B" w:rsidRDefault="00CC006D" w:rsidP="00CC006D">
      <w:r>
        <w:t xml:space="preserve">The co-primary efficacy variables were PASI score and PGA Clear or Almost clear (with at least 2-category improvement) at Week 16. The </w:t>
      </w:r>
      <w:r w:rsidR="00E73898">
        <w:t>PASI</w:t>
      </w:r>
      <w:r>
        <w:t xml:space="preserve"> and PGA are described </w:t>
      </w:r>
      <w:r w:rsidR="009E6CD4">
        <w:t>in</w:t>
      </w:r>
      <w:r>
        <w:t xml:space="preserve"> brief</w:t>
      </w:r>
      <w:r w:rsidR="009E6CD4">
        <w:t>:</w:t>
      </w:r>
      <w:r w:rsidR="00702D7B">
        <w:t xml:space="preserve"> </w:t>
      </w:r>
      <w:r>
        <w:t>the PASI combines the assessment of the severity of lesions and the area affected into a single score in the range 0 (no disease) to 72 (maximal disease). The PGA was a 0 (clear) to 4 (severe) point scale. The PASI component of the co</w:t>
      </w:r>
      <w:r w:rsidR="00FE65DE">
        <w:noBreakHyphen/>
      </w:r>
      <w:r>
        <w:t>primary variable was PASI75 response/non-response with PASI75 response defined as a ≥</w:t>
      </w:r>
      <w:r w:rsidR="00FE65DE">
        <w:t> </w:t>
      </w:r>
      <w:r>
        <w:t>75% improvement in PASI score from baseline). Other PASI response rates were also determined (≥</w:t>
      </w:r>
      <w:r w:rsidR="009E6CD4">
        <w:t xml:space="preserve"> </w:t>
      </w:r>
      <w:r>
        <w:t>50%, ≥</w:t>
      </w:r>
      <w:r w:rsidR="009E6CD4">
        <w:t xml:space="preserve"> </w:t>
      </w:r>
      <w:r>
        <w:t>90%, and 100%) but these were not included in the primary efficacy variable.</w:t>
      </w:r>
    </w:p>
    <w:p w:rsidR="00CC006D" w:rsidRDefault="00CC006D" w:rsidP="00CC006D">
      <w:r>
        <w:t xml:space="preserve">For each </w:t>
      </w:r>
      <w:r w:rsidR="001A0B08">
        <w:t>study,</w:t>
      </w:r>
      <w:r>
        <w:t xml:space="preserve"> the statistical analysis of the co-primary and secondary efficacy variables accounted for multiplicity and controlled the type I error rate at a 2-sided alpha level of 0.05 by using a fixed-sequence testing procedure. The type I error was split equally between the 2 </w:t>
      </w:r>
      <w:r w:rsidR="001D63B3">
        <w:t>certolizumab pegol</w:t>
      </w:r>
      <w:r>
        <w:t xml:space="preserve"> dose groups so that each dose was tested at a 2-sided alpha level of 0.025.</w:t>
      </w:r>
    </w:p>
    <w:p w:rsidR="00CC006D" w:rsidRDefault="00CC006D" w:rsidP="00A56E9A">
      <w:pPr>
        <w:pStyle w:val="Heading6"/>
      </w:pPr>
      <w:r>
        <w:t>Demographic characteristics</w:t>
      </w:r>
    </w:p>
    <w:p w:rsidR="00CC006D" w:rsidRDefault="00CC006D" w:rsidP="00CC006D">
      <w:r>
        <w:t>A total of 234 subjects in CIMPASI-1 and 227 subjects in CIMPASI-2 were assessed for efficacy. In CIMPASI-1 the mean age was 44.9 years (range: 21</w:t>
      </w:r>
      <w:r w:rsidR="009E6CD4">
        <w:t xml:space="preserve"> to </w:t>
      </w:r>
      <w:r>
        <w:t xml:space="preserve">76 years), 69.2% were </w:t>
      </w:r>
      <w:r>
        <w:lastRenderedPageBreak/>
        <w:t>male, 90.2% were Caucasian and the mean BMI was 31.2 kg/m</w:t>
      </w:r>
      <w:r w:rsidRPr="00636F70">
        <w:rPr>
          <w:vertAlign w:val="superscript"/>
        </w:rPr>
        <w:t>2</w:t>
      </w:r>
      <w:r>
        <w:t xml:space="preserve"> (range: 18.8</w:t>
      </w:r>
      <w:r w:rsidR="009E6CD4">
        <w:t xml:space="preserve"> to </w:t>
      </w:r>
      <w:r>
        <w:t>59.4</w:t>
      </w:r>
      <w:r w:rsidR="009E6CD4">
        <w:t> </w:t>
      </w:r>
      <w:r>
        <w:t>kg/m</w:t>
      </w:r>
      <w:r w:rsidRPr="009E6CD4">
        <w:rPr>
          <w:vertAlign w:val="superscript"/>
        </w:rPr>
        <w:t>2</w:t>
      </w:r>
      <w:r>
        <w:t>).</w:t>
      </w:r>
      <w:r w:rsidR="00702D7B">
        <w:t xml:space="preserve"> </w:t>
      </w:r>
      <w:r>
        <w:t xml:space="preserve">68.4% of subjects had never used a biologic therapy for </w:t>
      </w:r>
      <w:r w:rsidR="00A567C2">
        <w:t>psoriasis</w:t>
      </w:r>
      <w:r>
        <w:t xml:space="preserve"> and 80.3% (188</w:t>
      </w:r>
      <w:r w:rsidR="009E6CD4">
        <w:t xml:space="preserve"> of </w:t>
      </w:r>
      <w:r>
        <w:t xml:space="preserve">234) were naïve to anti-TNF therapy. The mean </w:t>
      </w:r>
      <w:r w:rsidR="009C2FAC">
        <w:t xml:space="preserve">standard deviation </w:t>
      </w:r>
      <w:r>
        <w:t>(SD) PASI score at baseline was 19.82 (7.94). In CIMPASI-2 the mean age was 45.9 years (range: 20</w:t>
      </w:r>
      <w:r w:rsidR="009E6CD4">
        <w:t xml:space="preserve"> to </w:t>
      </w:r>
      <w:r>
        <w:t xml:space="preserve">75 years), 55.9% were male, 93.0% were Caucasian and the mean </w:t>
      </w:r>
      <w:r w:rsidR="00FE65DE">
        <w:t>body mass index (</w:t>
      </w:r>
      <w:r>
        <w:t>BMI</w:t>
      </w:r>
      <w:r w:rsidR="00FE65DE">
        <w:t>)</w:t>
      </w:r>
      <w:r>
        <w:t xml:space="preserve"> was 31.8 kg/m</w:t>
      </w:r>
      <w:r w:rsidRPr="009E6CD4">
        <w:rPr>
          <w:vertAlign w:val="superscript"/>
        </w:rPr>
        <w:t>2</w:t>
      </w:r>
      <w:r>
        <w:t xml:space="preserve"> (range: 15.8</w:t>
      </w:r>
      <w:r w:rsidR="009E6CD4">
        <w:t xml:space="preserve"> to </w:t>
      </w:r>
      <w:r>
        <w:t>66.1</w:t>
      </w:r>
      <w:r w:rsidR="009E6CD4">
        <w:t> </w:t>
      </w:r>
      <w:r>
        <w:t>kg/m</w:t>
      </w:r>
      <w:r w:rsidRPr="009E6CD4">
        <w:rPr>
          <w:vertAlign w:val="superscript"/>
        </w:rPr>
        <w:t>2</w:t>
      </w:r>
      <w:r>
        <w:t xml:space="preserve">). 66.5% of subjects had never used a biologic therapy for </w:t>
      </w:r>
      <w:r w:rsidR="00A567C2">
        <w:t>psoriasis</w:t>
      </w:r>
      <w:r>
        <w:t xml:space="preserve"> and 76.7% were naïve to anti-TNF therapy. The mean (SD) PASI score at baseline was 18.60 (6.15). Subjects in both studies were appropriately selected with no major differences in selection characteristics between study groups in either study.</w:t>
      </w:r>
    </w:p>
    <w:p w:rsidR="00CC006D" w:rsidRDefault="00CC006D" w:rsidP="00A56E9A">
      <w:pPr>
        <w:pStyle w:val="Heading6"/>
      </w:pPr>
      <w:r>
        <w:t>Week 16 results</w:t>
      </w:r>
    </w:p>
    <w:p w:rsidR="00CC006D" w:rsidRDefault="00CC006D" w:rsidP="00CC006D">
      <w:r>
        <w:t>While there were co-primary efficacy endpoints, these were assessed independently.</w:t>
      </w:r>
    </w:p>
    <w:p w:rsidR="00CC006D" w:rsidRDefault="00CC006D" w:rsidP="00CC006D">
      <w:r>
        <w:t xml:space="preserve">In CIMPASI-1, a PASI75 response at Week 16 was achieved by 6.5%, 66.5% and 75.8% of subjects given </w:t>
      </w:r>
      <w:r w:rsidR="00A316C5">
        <w:t>placebo</w:t>
      </w:r>
      <w:r>
        <w:t xml:space="preserve">, </w:t>
      </w:r>
      <w:r w:rsidR="001D63B3">
        <w:t>certolizumab pegol</w:t>
      </w:r>
      <w:r>
        <w:t xml:space="preserve"> 200 mg </w:t>
      </w:r>
      <w:r w:rsidR="005A2DDF">
        <w:t>Q2W</w:t>
      </w:r>
      <w:r>
        <w:t xml:space="preserve"> and </w:t>
      </w:r>
      <w:r w:rsidR="001D63B3">
        <w:t>certolizumab pegol</w:t>
      </w:r>
      <w:r>
        <w:t xml:space="preserve"> 400 mg </w:t>
      </w:r>
      <w:r w:rsidR="005A2DDF">
        <w:t>Q2W</w:t>
      </w:r>
      <w:r>
        <w:t xml:space="preserve"> respectively.</w:t>
      </w:r>
      <w:r w:rsidR="00702D7B">
        <w:t xml:space="preserve"> </w:t>
      </w:r>
      <w:r>
        <w:t xml:space="preserve">Both doses of </w:t>
      </w:r>
      <w:r w:rsidR="001D63B3">
        <w:t>certolizumab pegol</w:t>
      </w:r>
      <w:r>
        <w:t xml:space="preserve"> were superior to </w:t>
      </w:r>
      <w:r w:rsidR="00A316C5">
        <w:t>placebo</w:t>
      </w:r>
      <w:r>
        <w:t xml:space="preserve"> for PASI75 response at Week 16.</w:t>
      </w:r>
      <w:r w:rsidR="00702D7B">
        <w:t xml:space="preserve"> </w:t>
      </w:r>
      <w:r>
        <w:t xml:space="preserve">PGA response at Week 16 was achieved by 4.2%, 47.0% and 57.9% of subjects given </w:t>
      </w:r>
      <w:r w:rsidR="00A316C5">
        <w:t>placebo</w:t>
      </w:r>
      <w:r>
        <w:t xml:space="preserve">, </w:t>
      </w:r>
      <w:r w:rsidR="001D63B3">
        <w:t>certolizumab pegol</w:t>
      </w:r>
      <w:r>
        <w:t xml:space="preserve"> 200 mg </w:t>
      </w:r>
      <w:r w:rsidR="005A2DDF">
        <w:t>Q2W</w:t>
      </w:r>
      <w:r>
        <w:t xml:space="preserve"> and </w:t>
      </w:r>
      <w:r w:rsidR="001D63B3">
        <w:t>certolizumab pegol</w:t>
      </w:r>
      <w:r>
        <w:t xml:space="preserve"> 400</w:t>
      </w:r>
      <w:r w:rsidR="009E6CD4">
        <w:t> </w:t>
      </w:r>
      <w:r>
        <w:t xml:space="preserve">mg </w:t>
      </w:r>
      <w:r w:rsidR="005A2DDF">
        <w:t>Q2W</w:t>
      </w:r>
      <w:r>
        <w:t xml:space="preserve"> respectively.</w:t>
      </w:r>
      <w:r w:rsidR="00702D7B">
        <w:t xml:space="preserve"> </w:t>
      </w:r>
      <w:r>
        <w:t xml:space="preserve">Both </w:t>
      </w:r>
      <w:r w:rsidR="001D63B3">
        <w:t>certolizumab pegol</w:t>
      </w:r>
      <w:r>
        <w:t xml:space="preserve"> dose regimens were superior to </w:t>
      </w:r>
      <w:r w:rsidR="00A316C5">
        <w:t>placebo</w:t>
      </w:r>
      <w:r>
        <w:t>.</w:t>
      </w:r>
    </w:p>
    <w:p w:rsidR="00702D7B" w:rsidRDefault="00CC006D" w:rsidP="00CC006D">
      <w:r>
        <w:t xml:space="preserve">In CIMPASI-2, a PASI75 response at Week 16 was achieved by 11.6%, 81.4% and 82.6% of subjects given </w:t>
      </w:r>
      <w:r w:rsidR="00A316C5">
        <w:t>placebo</w:t>
      </w:r>
      <w:r>
        <w:t xml:space="preserve">, </w:t>
      </w:r>
      <w:r w:rsidR="001D63B3">
        <w:t>certolizumab pegol</w:t>
      </w:r>
      <w:r>
        <w:t xml:space="preserve"> 200 mg </w:t>
      </w:r>
      <w:r w:rsidR="005A2DDF">
        <w:t>Q2W</w:t>
      </w:r>
      <w:r>
        <w:t xml:space="preserve"> and </w:t>
      </w:r>
      <w:r w:rsidR="001D63B3">
        <w:t>certolizumab pegol</w:t>
      </w:r>
      <w:r>
        <w:t xml:space="preserve"> 400 mg </w:t>
      </w:r>
      <w:r w:rsidR="005A2DDF">
        <w:t>Q2W</w:t>
      </w:r>
      <w:r>
        <w:t xml:space="preserve"> respectively.</w:t>
      </w:r>
      <w:r w:rsidR="00702D7B">
        <w:t xml:space="preserve"> </w:t>
      </w:r>
      <w:r>
        <w:t xml:space="preserve">Both doses of </w:t>
      </w:r>
      <w:r w:rsidR="001D63B3">
        <w:t>certolizumab pegol</w:t>
      </w:r>
      <w:r>
        <w:t xml:space="preserve"> were superior to </w:t>
      </w:r>
      <w:r w:rsidR="00A316C5">
        <w:t>placebo</w:t>
      </w:r>
      <w:r>
        <w:t xml:space="preserve"> for PASI75 response at Week 16.</w:t>
      </w:r>
      <w:r w:rsidR="00702D7B">
        <w:t xml:space="preserve"> </w:t>
      </w:r>
      <w:r>
        <w:t xml:space="preserve">PGA response at Week 16 was achieved by 2%, 66.8% and 71.6% of subjects given </w:t>
      </w:r>
      <w:r w:rsidR="00A316C5">
        <w:t>placebo</w:t>
      </w:r>
      <w:r>
        <w:t xml:space="preserve">, </w:t>
      </w:r>
      <w:r w:rsidR="001D63B3">
        <w:t>certolizumab pegol</w:t>
      </w:r>
      <w:r>
        <w:t xml:space="preserve"> 200 mg </w:t>
      </w:r>
      <w:r w:rsidR="005A2DDF">
        <w:t>Q2W</w:t>
      </w:r>
      <w:r>
        <w:t xml:space="preserve"> and </w:t>
      </w:r>
      <w:r w:rsidR="001D63B3">
        <w:t>certolizumab pegol</w:t>
      </w:r>
      <w:r>
        <w:t xml:space="preserve"> 400 mg </w:t>
      </w:r>
      <w:r w:rsidR="005A2DDF">
        <w:t>Q2W</w:t>
      </w:r>
      <w:r>
        <w:t xml:space="preserve"> respectively.</w:t>
      </w:r>
      <w:r w:rsidR="00702D7B">
        <w:t xml:space="preserve"> </w:t>
      </w:r>
      <w:r>
        <w:t xml:space="preserve">Both </w:t>
      </w:r>
      <w:r w:rsidR="001D63B3">
        <w:t>certolizumab pegol</w:t>
      </w:r>
      <w:r>
        <w:t xml:space="preserve"> dose regimens were superior to </w:t>
      </w:r>
      <w:r w:rsidR="00A316C5">
        <w:t>placebo</w:t>
      </w:r>
      <w:r>
        <w:t>.</w:t>
      </w:r>
    </w:p>
    <w:p w:rsidR="00CC006D" w:rsidRDefault="00CC006D" w:rsidP="00CC006D">
      <w:r>
        <w:t xml:space="preserve">In both studies the results of the primary analysis using the </w:t>
      </w:r>
      <w:r w:rsidR="00A56E9A">
        <w:t>Markov chain Monte Carlo</w:t>
      </w:r>
      <w:r>
        <w:t xml:space="preserve"> method for multiple imputation were supported and confirmed by similar findings from sensitivity analyses using </w:t>
      </w:r>
      <w:r w:rsidR="00A56E9A">
        <w:t>non-responder imputation</w:t>
      </w:r>
      <w:r>
        <w:t xml:space="preserve"> and model-based multiple imputation. There were no statistical comparisons between the 2 </w:t>
      </w:r>
      <w:r w:rsidR="001D63B3">
        <w:t>certolizumab pegol</w:t>
      </w:r>
      <w:r>
        <w:t xml:space="preserve"> dose groups.</w:t>
      </w:r>
      <w:r w:rsidR="00702D7B">
        <w:t xml:space="preserve"> </w:t>
      </w:r>
      <w:r>
        <w:t>PASI and PGA were assessed at Weeks 2, 4, 8 and 12 as well as Week 16.</w:t>
      </w:r>
    </w:p>
    <w:p w:rsidR="00CC006D" w:rsidRDefault="00CC006D" w:rsidP="00A56E9A">
      <w:pPr>
        <w:pStyle w:val="Heading6"/>
      </w:pPr>
      <w:r>
        <w:t>Week 48 results</w:t>
      </w:r>
    </w:p>
    <w:p w:rsidR="00CC006D" w:rsidRDefault="00CC006D" w:rsidP="00CC006D">
      <w:r>
        <w:t xml:space="preserve">At Week 48 there was a larger separation of primary efficacy measures between the </w:t>
      </w:r>
      <w:r w:rsidR="005A2DDF">
        <w:t>Q2W</w:t>
      </w:r>
      <w:r>
        <w:t xml:space="preserve"> and </w:t>
      </w:r>
      <w:r w:rsidR="00C611A9">
        <w:t>Q4W</w:t>
      </w:r>
      <w:r>
        <w:t xml:space="preserve"> </w:t>
      </w:r>
      <w:r w:rsidR="001D63B3">
        <w:t>certolizumab pegol</w:t>
      </w:r>
      <w:r>
        <w:t xml:space="preserve"> dose regimens in CIMPASI-1, but not in CIMPASI-2.</w:t>
      </w:r>
      <w:r w:rsidR="00702D7B">
        <w:t xml:space="preserve"> </w:t>
      </w:r>
      <w:r>
        <w:t xml:space="preserve">There were no statistical comparisons between the two </w:t>
      </w:r>
      <w:r w:rsidR="001D63B3">
        <w:t>certolizumab pegol</w:t>
      </w:r>
      <w:r>
        <w:t xml:space="preserve"> dose regimens.</w:t>
      </w:r>
    </w:p>
    <w:p w:rsidR="00CC006D" w:rsidRDefault="00CC006D" w:rsidP="00CC006D">
      <w:r>
        <w:t xml:space="preserve">In CIMPASI-1, the Week 48 PASI75 responder proportion was 67.2% for the </w:t>
      </w:r>
      <w:r w:rsidR="001D63B3">
        <w:t>certolizumab pegol</w:t>
      </w:r>
      <w:r>
        <w:t xml:space="preserve"> 200 mg </w:t>
      </w:r>
      <w:r w:rsidR="005A2DDF">
        <w:t>Q2W</w:t>
      </w:r>
      <w:r>
        <w:t xml:space="preserve"> dose group and 87.1% for the </w:t>
      </w:r>
      <w:r w:rsidR="001D63B3">
        <w:t>certolizumab pegol</w:t>
      </w:r>
      <w:r>
        <w:t xml:space="preserve"> 400 mg </w:t>
      </w:r>
      <w:r w:rsidR="005A2DDF">
        <w:t>Q2W</w:t>
      </w:r>
      <w:r>
        <w:t xml:space="preserve"> dose group.</w:t>
      </w:r>
      <w:r w:rsidR="00702D7B">
        <w:t xml:space="preserve"> </w:t>
      </w:r>
      <w:r>
        <w:t xml:space="preserve">The Week 48 PGA responder proportion was 52.7% for the </w:t>
      </w:r>
      <w:r w:rsidR="001D63B3">
        <w:t>certolizumab pegol</w:t>
      </w:r>
      <w:r>
        <w:t xml:space="preserve"> 200</w:t>
      </w:r>
      <w:r w:rsidR="00C611A9">
        <w:t> </w:t>
      </w:r>
      <w:r>
        <w:t xml:space="preserve">mg </w:t>
      </w:r>
      <w:r w:rsidR="005A2DDF">
        <w:t>Q2W</w:t>
      </w:r>
      <w:r>
        <w:t xml:space="preserve"> and 69.5% for the </w:t>
      </w:r>
      <w:r w:rsidR="001D63B3">
        <w:t>certolizumab pegol</w:t>
      </w:r>
      <w:r>
        <w:t xml:space="preserve"> 400 mg </w:t>
      </w:r>
      <w:r w:rsidR="005A2DDF">
        <w:t>Q2W</w:t>
      </w:r>
      <w:r>
        <w:t xml:space="preserve"> group.</w:t>
      </w:r>
    </w:p>
    <w:p w:rsidR="00CC006D" w:rsidRDefault="00CC006D" w:rsidP="00CC006D">
      <w:r>
        <w:t xml:space="preserve">In CIMPASI-2 the Week 48 PASI75 responder proportion was 78.7% for the </w:t>
      </w:r>
      <w:r w:rsidR="001D63B3">
        <w:t>certolizumab pegol</w:t>
      </w:r>
      <w:r>
        <w:t xml:space="preserve"> 200 mg </w:t>
      </w:r>
      <w:r w:rsidR="005A2DDF">
        <w:t>Q2W</w:t>
      </w:r>
      <w:r>
        <w:t xml:space="preserve"> dose group and 81.3% for the </w:t>
      </w:r>
      <w:r w:rsidR="001D63B3">
        <w:t>certolizumab pegol</w:t>
      </w:r>
      <w:r>
        <w:t xml:space="preserve"> 400 mg </w:t>
      </w:r>
      <w:r w:rsidR="005A2DDF">
        <w:t>Q2W</w:t>
      </w:r>
      <w:r>
        <w:t xml:space="preserve"> dose group.</w:t>
      </w:r>
      <w:r w:rsidR="00702D7B">
        <w:t xml:space="preserve"> </w:t>
      </w:r>
      <w:r>
        <w:t xml:space="preserve">The Week 48 PGA responder proportion was 71.1% for the </w:t>
      </w:r>
      <w:r w:rsidR="001D63B3">
        <w:t>certolizumab pegol</w:t>
      </w:r>
      <w:r>
        <w:t xml:space="preserve"> 200</w:t>
      </w:r>
      <w:r w:rsidR="00C611A9">
        <w:t> </w:t>
      </w:r>
      <w:r>
        <w:t xml:space="preserve">mg </w:t>
      </w:r>
      <w:r w:rsidR="005A2DDF">
        <w:t>Q2W</w:t>
      </w:r>
      <w:r>
        <w:t xml:space="preserve"> and 70.3% for the </w:t>
      </w:r>
      <w:r w:rsidR="001D63B3">
        <w:t>certolizumab pegol</w:t>
      </w:r>
      <w:r>
        <w:t xml:space="preserve"> 400 mg </w:t>
      </w:r>
      <w:r w:rsidR="005A2DDF">
        <w:t>Q2W</w:t>
      </w:r>
      <w:r>
        <w:t xml:space="preserve"> group.</w:t>
      </w:r>
    </w:p>
    <w:p w:rsidR="00CC006D" w:rsidRDefault="00CC006D" w:rsidP="00A56E9A">
      <w:pPr>
        <w:pStyle w:val="Heading6"/>
      </w:pPr>
      <w:r>
        <w:t>Other analyses</w:t>
      </w:r>
    </w:p>
    <w:p w:rsidR="00CC006D" w:rsidRDefault="00CC006D" w:rsidP="00CC006D">
      <w:r>
        <w:t>Various subgroup and time to effect analyses were also performed.</w:t>
      </w:r>
      <w:r w:rsidR="00702D7B">
        <w:t xml:space="preserve"> </w:t>
      </w:r>
      <w:r>
        <w:t xml:space="preserve">In general, the 400 mg </w:t>
      </w:r>
      <w:r w:rsidR="005A2DDF">
        <w:t>Q2W</w:t>
      </w:r>
      <w:r>
        <w:t xml:space="preserve"> </w:t>
      </w:r>
      <w:r w:rsidR="001D63B3">
        <w:t>certolizumab pegol</w:t>
      </w:r>
      <w:r>
        <w:t xml:space="preserve"> dose group had better outcomes at Week 16 and Week 48 than the 200 mg </w:t>
      </w:r>
      <w:r w:rsidR="005A2DDF">
        <w:t>Q2W</w:t>
      </w:r>
      <w:r>
        <w:t xml:space="preserve"> dose group.</w:t>
      </w:r>
      <w:r w:rsidR="00702D7B">
        <w:t xml:space="preserve"> </w:t>
      </w:r>
      <w:r>
        <w:t xml:space="preserve">PASI and PGA generally increased to Week 16 and were stable through to Week 48. The placebo response rate was higher in CIMPASI-2 (11.6% </w:t>
      </w:r>
      <w:r w:rsidR="00A567C2">
        <w:t>versus</w:t>
      </w:r>
      <w:r>
        <w:t xml:space="preserve"> 4.2% in CIMPASI-1).</w:t>
      </w:r>
    </w:p>
    <w:p w:rsidR="00CC006D" w:rsidRDefault="00CC006D" w:rsidP="00A56E9A">
      <w:pPr>
        <w:pStyle w:val="Heading5"/>
      </w:pPr>
      <w:r>
        <w:lastRenderedPageBreak/>
        <w:t>CIMPACT</w:t>
      </w:r>
      <w:r w:rsidR="00FE65DE">
        <w:t xml:space="preserve"> trial</w:t>
      </w:r>
    </w:p>
    <w:p w:rsidR="00CC006D" w:rsidRDefault="00CC006D" w:rsidP="00A56E9A">
      <w:pPr>
        <w:pStyle w:val="Heading6"/>
      </w:pPr>
      <w:r>
        <w:t>Design</w:t>
      </w:r>
    </w:p>
    <w:p w:rsidR="00702D7B" w:rsidRDefault="00CC006D" w:rsidP="00CC006D">
      <w:r>
        <w:t>This study was double</w:t>
      </w:r>
      <w:r w:rsidR="00A56E9A">
        <w:t xml:space="preserve"> </w:t>
      </w:r>
      <w:r>
        <w:t>blind, randomised, placebo and active</w:t>
      </w:r>
      <w:r w:rsidR="00C611A9">
        <w:t xml:space="preserve"> </w:t>
      </w:r>
      <w:r>
        <w:t>controlled followed by a double</w:t>
      </w:r>
      <w:r w:rsidR="00C611A9">
        <w:t xml:space="preserve"> </w:t>
      </w:r>
      <w:r>
        <w:t>blind, placebo</w:t>
      </w:r>
      <w:r w:rsidR="00C611A9">
        <w:t xml:space="preserve"> </w:t>
      </w:r>
      <w:r>
        <w:t>controlled maintenance period. As in the CIMPASI studies there were 5 study periods: Screening, Initial Treatment Period (double</w:t>
      </w:r>
      <w:r w:rsidR="00C611A9">
        <w:t xml:space="preserve"> </w:t>
      </w:r>
      <w:r>
        <w:t>blind, placebo and active</w:t>
      </w:r>
      <w:r w:rsidR="00C611A9">
        <w:t xml:space="preserve"> </w:t>
      </w:r>
      <w:r>
        <w:t>controlled), Maintenance Treatment Period (double</w:t>
      </w:r>
      <w:r w:rsidR="00C611A9">
        <w:t xml:space="preserve"> </w:t>
      </w:r>
      <w:r>
        <w:t>blind, placebo</w:t>
      </w:r>
      <w:r w:rsidR="00C611A9">
        <w:t xml:space="preserve"> </w:t>
      </w:r>
      <w:r>
        <w:t>controlled), Open</w:t>
      </w:r>
      <w:r w:rsidR="00C611A9">
        <w:t xml:space="preserve"> </w:t>
      </w:r>
      <w:r>
        <w:t>label Extension (OLE) Treatment Period and a Safety Follow-up Period. During the 16</w:t>
      </w:r>
      <w:r w:rsidR="00C611A9">
        <w:t xml:space="preserve"> </w:t>
      </w:r>
      <w:r>
        <w:t xml:space="preserve">week Initial Treatment Period, subjects were randomised in a 3:3:3:1 ratio to receive: </w:t>
      </w:r>
      <w:r w:rsidR="001D63B3">
        <w:t>certolizumab pegol</w:t>
      </w:r>
      <w:r>
        <w:t xml:space="preserve"> 200 mg </w:t>
      </w:r>
      <w:r w:rsidR="005A2DDF">
        <w:t>Q2W</w:t>
      </w:r>
      <w:r>
        <w:t xml:space="preserve"> with the same loading dose as in the CIMPASI studies; </w:t>
      </w:r>
      <w:r w:rsidR="001D63B3">
        <w:t>certolizumab pegol</w:t>
      </w:r>
      <w:r>
        <w:t xml:space="preserve"> 400 mg </w:t>
      </w:r>
      <w:r w:rsidR="005A2DDF">
        <w:t>Q2W</w:t>
      </w:r>
      <w:r>
        <w:t xml:space="preserve"> with no loading dose; etanercept 50 mg twice weekly (last dose at Week 11.5); or placebo.</w:t>
      </w:r>
    </w:p>
    <w:p w:rsidR="00CC006D" w:rsidRDefault="00CC006D" w:rsidP="00CC006D">
      <w:r>
        <w:t>At Week 16, subjects who were PASI75 responders continued to the maintenance treatment period as follows:</w:t>
      </w:r>
    </w:p>
    <w:p w:rsidR="00CC006D" w:rsidRDefault="00CC006D" w:rsidP="00C611A9">
      <w:pPr>
        <w:pStyle w:val="ListBullet"/>
      </w:pPr>
      <w:r>
        <w:t xml:space="preserve">Subjects initially randomised to </w:t>
      </w:r>
      <w:r w:rsidR="00A316C5">
        <w:t>placebo</w:t>
      </w:r>
      <w:r>
        <w:t xml:space="preserve"> continued on </w:t>
      </w:r>
      <w:r w:rsidR="00A316C5">
        <w:t>placebo</w:t>
      </w:r>
      <w:r w:rsidR="001749BF">
        <w:t>.</w:t>
      </w:r>
    </w:p>
    <w:p w:rsidR="00CC006D" w:rsidRDefault="00CC006D" w:rsidP="00C611A9">
      <w:pPr>
        <w:pStyle w:val="ListBullet"/>
      </w:pPr>
      <w:r>
        <w:t xml:space="preserve">Subjects initially randomised to etanercept were re-randomised (2:1) to either </w:t>
      </w:r>
      <w:r w:rsidR="001D63B3">
        <w:t>certolizumab pegol</w:t>
      </w:r>
      <w:r>
        <w:t xml:space="preserve"> 200 mg </w:t>
      </w:r>
      <w:r w:rsidR="005A2DDF">
        <w:t>Q2W</w:t>
      </w:r>
      <w:r>
        <w:t xml:space="preserve"> (with loading dose of 400</w:t>
      </w:r>
      <w:r w:rsidR="00C611A9">
        <w:t xml:space="preserve"> </w:t>
      </w:r>
      <w:r>
        <w:t>mg at Weeks 16, 18, and 20) or placebo</w:t>
      </w:r>
      <w:r w:rsidR="001749BF">
        <w:t>.</w:t>
      </w:r>
    </w:p>
    <w:p w:rsidR="00CC006D" w:rsidRDefault="00CC006D" w:rsidP="00C611A9">
      <w:pPr>
        <w:pStyle w:val="ListBullet"/>
      </w:pPr>
      <w:r>
        <w:t xml:space="preserve">Subjects initially randomised to </w:t>
      </w:r>
      <w:r w:rsidR="001D63B3">
        <w:t>certolizumab pegol</w:t>
      </w:r>
      <w:r>
        <w:t xml:space="preserve"> 200</w:t>
      </w:r>
      <w:r w:rsidR="00C611A9">
        <w:t xml:space="preserve"> </w:t>
      </w:r>
      <w:r>
        <w:t xml:space="preserve">mg </w:t>
      </w:r>
      <w:r w:rsidR="005A2DDF">
        <w:t>Q2W</w:t>
      </w:r>
      <w:r>
        <w:t xml:space="preserve"> were re-randomised (2:2:1) to receive either </w:t>
      </w:r>
      <w:r w:rsidR="001D63B3">
        <w:t>certolizumab pegol</w:t>
      </w:r>
      <w:r>
        <w:t xml:space="preserve"> 200</w:t>
      </w:r>
      <w:r w:rsidR="00C611A9">
        <w:t xml:space="preserve"> </w:t>
      </w:r>
      <w:r>
        <w:t xml:space="preserve">mg </w:t>
      </w:r>
      <w:r w:rsidR="005A2DDF">
        <w:t>Q2W</w:t>
      </w:r>
      <w:r>
        <w:t xml:space="preserve"> or </w:t>
      </w:r>
      <w:r w:rsidR="001D63B3">
        <w:t>certolizumab pegol</w:t>
      </w:r>
      <w:r>
        <w:t xml:space="preserve"> 400</w:t>
      </w:r>
      <w:r w:rsidR="00C611A9">
        <w:t> </w:t>
      </w:r>
      <w:r>
        <w:t xml:space="preserve">mg </w:t>
      </w:r>
      <w:r w:rsidR="00C611A9">
        <w:t>Q4W</w:t>
      </w:r>
      <w:r>
        <w:t xml:space="preserve"> or </w:t>
      </w:r>
      <w:r w:rsidR="00A316C5">
        <w:t>placebo</w:t>
      </w:r>
      <w:r w:rsidR="001749BF">
        <w:t>.</w:t>
      </w:r>
    </w:p>
    <w:p w:rsidR="00CC006D" w:rsidRDefault="00CC006D" w:rsidP="00C611A9">
      <w:pPr>
        <w:pStyle w:val="ListBullet"/>
      </w:pPr>
      <w:r>
        <w:t xml:space="preserve">Subjects initially randomised to </w:t>
      </w:r>
      <w:r w:rsidR="001D63B3">
        <w:t>certolizumab pegol</w:t>
      </w:r>
      <w:r>
        <w:t xml:space="preserve"> 400</w:t>
      </w:r>
      <w:r w:rsidR="00C611A9">
        <w:t xml:space="preserve"> </w:t>
      </w:r>
      <w:r>
        <w:t xml:space="preserve">mg </w:t>
      </w:r>
      <w:r w:rsidR="005A2DDF">
        <w:t>Q2W</w:t>
      </w:r>
      <w:r>
        <w:t xml:space="preserve"> were re-</w:t>
      </w:r>
      <w:r w:rsidR="001749BF">
        <w:t xml:space="preserve">randomised </w:t>
      </w:r>
      <w:r>
        <w:t xml:space="preserve">(2:2:1) to </w:t>
      </w:r>
      <w:r w:rsidR="001D63B3">
        <w:t>certolizumab pegol</w:t>
      </w:r>
      <w:r>
        <w:t xml:space="preserve"> 200</w:t>
      </w:r>
      <w:r w:rsidR="00C611A9">
        <w:t xml:space="preserve"> </w:t>
      </w:r>
      <w:r>
        <w:t xml:space="preserve">mg </w:t>
      </w:r>
      <w:r w:rsidR="005A2DDF">
        <w:t>Q2W</w:t>
      </w:r>
      <w:r>
        <w:t xml:space="preserve"> or </w:t>
      </w:r>
      <w:r w:rsidR="001D63B3">
        <w:t>certolizumab pegol</w:t>
      </w:r>
      <w:r>
        <w:t xml:space="preserve"> 400 mg </w:t>
      </w:r>
      <w:r w:rsidR="005A2DDF">
        <w:t>Q2W</w:t>
      </w:r>
      <w:r>
        <w:t xml:space="preserve"> or placebo</w:t>
      </w:r>
      <w:r w:rsidR="001749BF">
        <w:t>.</w:t>
      </w:r>
    </w:p>
    <w:p w:rsidR="00702D7B" w:rsidRDefault="00CC006D" w:rsidP="00CC006D">
      <w:r>
        <w:t xml:space="preserve">All subjects who did not achieve a PASI75 at Week 16 were not randomised and were given open-label </w:t>
      </w:r>
      <w:r w:rsidR="001D63B3">
        <w:t>certolizumab pegol</w:t>
      </w:r>
      <w:r>
        <w:t xml:space="preserve"> 400 mg </w:t>
      </w:r>
      <w:r w:rsidR="005A2DDF">
        <w:t>Q2W</w:t>
      </w:r>
      <w:r>
        <w:t xml:space="preserve"> (the escape group). During the </w:t>
      </w:r>
      <w:r w:rsidR="001749BF">
        <w:t xml:space="preserve">maintenance </w:t>
      </w:r>
      <w:r>
        <w:t>period subjects who relapsed, defined as &lt; PASI50 response, were withdrawn from double</w:t>
      </w:r>
      <w:r w:rsidR="00C611A9">
        <w:t xml:space="preserve"> </w:t>
      </w:r>
      <w:r>
        <w:t xml:space="preserve">blind treatment and given open-label </w:t>
      </w:r>
      <w:r w:rsidR="001D63B3">
        <w:t>certolizumab pegol</w:t>
      </w:r>
      <w:r>
        <w:t xml:space="preserve"> 400 mg </w:t>
      </w:r>
      <w:r w:rsidR="005A2DDF">
        <w:t>Q2W</w:t>
      </w:r>
      <w:r>
        <w:t xml:space="preserve"> (the escape group). If a subject in the escape group did not achieve a PASI50 at Week</w:t>
      </w:r>
      <w:r w:rsidR="00C611A9">
        <w:t> </w:t>
      </w:r>
      <w:r>
        <w:t>32, that subject was withdrawn from the study. A subject who achieved a PASI50 at Week 32, but did not achieve a PASI50 at a later visit was withdrawn from the study at that time.</w:t>
      </w:r>
    </w:p>
    <w:p w:rsidR="00702D7B" w:rsidRDefault="00CC006D" w:rsidP="00CC006D">
      <w:r>
        <w:t>The selection criteria were near identical to those of the CIMPASI studies. Subjects were required to have at least moderately active disease at baseline with a PASI score &gt;</w:t>
      </w:r>
      <w:r w:rsidR="00E73898">
        <w:t xml:space="preserve"> </w:t>
      </w:r>
      <w:r>
        <w:t xml:space="preserve">12, affected </w:t>
      </w:r>
      <w:r w:rsidR="004F4D77">
        <w:t>body surface area (</w:t>
      </w:r>
      <w:r>
        <w:t>BSA</w:t>
      </w:r>
      <w:r w:rsidR="004F4D77">
        <w:t>)</w:t>
      </w:r>
      <w:r>
        <w:t xml:space="preserve"> &gt;</w:t>
      </w:r>
      <w:r w:rsidR="00E73898">
        <w:t xml:space="preserve"> </w:t>
      </w:r>
      <w:r>
        <w:t>10% and a PGA score of &gt;</w:t>
      </w:r>
      <w:r w:rsidR="00C611A9">
        <w:t xml:space="preserve"> </w:t>
      </w:r>
      <w:r>
        <w:t xml:space="preserve">3 and be candidates for systemic </w:t>
      </w:r>
      <w:r w:rsidR="00A567C2">
        <w:t>psoriasis</w:t>
      </w:r>
      <w:r>
        <w:t xml:space="preserve"> therapy and/or phototherapy and/or chemo-phototherapy.</w:t>
      </w:r>
    </w:p>
    <w:p w:rsidR="00CC006D" w:rsidRDefault="00CC006D" w:rsidP="00A56E9A">
      <w:pPr>
        <w:pStyle w:val="Heading6"/>
      </w:pPr>
      <w:r>
        <w:t>Efficacy variables and analysis</w:t>
      </w:r>
    </w:p>
    <w:p w:rsidR="00CC006D" w:rsidRDefault="00CC006D" w:rsidP="00CC006D">
      <w:r>
        <w:t>The primary endpoint was a PASI75 response at Week 12. The primary analysis was based on logistic regression for the Randomised Set. The odds ratio of the responder rate at Week 12 was estimated and tested between randomised treatment groups using a logistic regression model with factors of treatment group, pooled centre, and prior biologic exposure (yes/no).</w:t>
      </w:r>
    </w:p>
    <w:p w:rsidR="00CC006D" w:rsidRDefault="00CC006D" w:rsidP="00A56E9A">
      <w:pPr>
        <w:pStyle w:val="Heading6"/>
      </w:pPr>
      <w:r>
        <w:t>Demographic characteristics</w:t>
      </w:r>
    </w:p>
    <w:p w:rsidR="00CC006D" w:rsidRDefault="00CC006D" w:rsidP="00CC006D">
      <w:r>
        <w:t>A total of 559 subjects commenced initial treatment.</w:t>
      </w:r>
      <w:r w:rsidR="00702D7B">
        <w:t xml:space="preserve"> </w:t>
      </w:r>
      <w:r>
        <w:t>Of these, 533 entered the Maintenance phase and 310</w:t>
      </w:r>
      <w:r w:rsidR="00C611A9">
        <w:t xml:space="preserve"> of </w:t>
      </w:r>
      <w:r>
        <w:t>533 (58.2%) achieved a PASI75 response at Week 16 and were re-randomised into blinded treatments and 223 entered the escape groups.</w:t>
      </w:r>
    </w:p>
    <w:p w:rsidR="00CC006D" w:rsidRDefault="00CC006D" w:rsidP="00CC006D">
      <w:r>
        <w:t>The 4 treatment groups recruited into CIMPACT were generally well balanced with respect to demographic characteristics. Overall, the mean age of subjects was 45.7 years (range: 18</w:t>
      </w:r>
      <w:r w:rsidR="00C611A9">
        <w:t xml:space="preserve"> to </w:t>
      </w:r>
      <w:r>
        <w:t xml:space="preserve">80 years), 68.2% were male, 96.6% were Caucasian and mean BMI was </w:t>
      </w:r>
      <w:r>
        <w:lastRenderedPageBreak/>
        <w:t>29.6</w:t>
      </w:r>
      <w:r w:rsidR="00C611A9">
        <w:t> </w:t>
      </w:r>
      <w:r>
        <w:t>kg/m</w:t>
      </w:r>
      <w:r w:rsidRPr="00C611A9">
        <w:rPr>
          <w:vertAlign w:val="superscript"/>
        </w:rPr>
        <w:t>2</w:t>
      </w:r>
      <w:r>
        <w:t xml:space="preserve">. The mean (SD) PASI score at baseline was 20.89 (8.14). 72.5% of subjects had never used a biological therapy for </w:t>
      </w:r>
      <w:r w:rsidR="00A567C2">
        <w:t>psoriasis</w:t>
      </w:r>
      <w:r>
        <w:t xml:space="preserve"> and 96.2% were naive to anti-TNF therapy.</w:t>
      </w:r>
    </w:p>
    <w:p w:rsidR="00CC006D" w:rsidRDefault="00CC006D" w:rsidP="00A56E9A">
      <w:pPr>
        <w:pStyle w:val="Heading6"/>
      </w:pPr>
      <w:r>
        <w:t>Week 12 results</w:t>
      </w:r>
    </w:p>
    <w:p w:rsidR="00CC006D" w:rsidRDefault="00CC006D" w:rsidP="00CC006D">
      <w:r>
        <w:t xml:space="preserve">A Week 12 of induction phase PASI75 response was achieved by 5.0%, 61.3%, 66.7% of the </w:t>
      </w:r>
      <w:r w:rsidR="00A316C5">
        <w:t>placebo</w:t>
      </w:r>
      <w:r>
        <w:t xml:space="preserve">, </w:t>
      </w:r>
      <w:r w:rsidR="001D63B3">
        <w:t>certolizumab pegol</w:t>
      </w:r>
      <w:r>
        <w:t xml:space="preserve"> 200 mg </w:t>
      </w:r>
      <w:r w:rsidR="005A2DDF">
        <w:t>Q2W</w:t>
      </w:r>
      <w:r>
        <w:t xml:space="preserve"> and </w:t>
      </w:r>
      <w:r w:rsidR="001D63B3">
        <w:t>certolizumab pegol</w:t>
      </w:r>
      <w:r>
        <w:t xml:space="preserve"> 400 mg </w:t>
      </w:r>
      <w:r w:rsidR="005A2DDF">
        <w:t>Q2W</w:t>
      </w:r>
      <w:r>
        <w:t xml:space="preserve"> respectively.</w:t>
      </w:r>
      <w:r w:rsidR="00702D7B">
        <w:t xml:space="preserve"> </w:t>
      </w:r>
      <w:r>
        <w:t xml:space="preserve">These differences were statistically significant for both </w:t>
      </w:r>
      <w:r w:rsidR="001D63B3">
        <w:t>certolizumab pegol</w:t>
      </w:r>
      <w:r>
        <w:t xml:space="preserve"> dose regimens.</w:t>
      </w:r>
      <w:r w:rsidR="00702D7B">
        <w:t xml:space="preserve"> </w:t>
      </w:r>
      <w:r>
        <w:t>Additionally a Week 12 PASI75 response was achieved by 53.3% of subjects given etanercept.</w:t>
      </w:r>
      <w:r w:rsidR="00702D7B">
        <w:t xml:space="preserve"> </w:t>
      </w:r>
      <w:r>
        <w:t xml:space="preserve">The PASI75 increased in both </w:t>
      </w:r>
      <w:r w:rsidR="001D63B3">
        <w:t>certolizumab pegol</w:t>
      </w:r>
      <w:r>
        <w:t xml:space="preserve"> dose groups at Week 16 compared to Week 12 and was 68.2% in the 200 mg </w:t>
      </w:r>
      <w:r w:rsidR="005A2DDF">
        <w:t>Q2W</w:t>
      </w:r>
      <w:r>
        <w:t xml:space="preserve"> group and 74.7% in the 400 mg </w:t>
      </w:r>
      <w:r w:rsidR="005A2DDF">
        <w:t>Q2W</w:t>
      </w:r>
      <w:r>
        <w:t xml:space="preserve"> dose group.</w:t>
      </w:r>
    </w:p>
    <w:p w:rsidR="00702D7B" w:rsidRPr="00E73898" w:rsidRDefault="00CC006D" w:rsidP="00A56E9A">
      <w:pPr>
        <w:pStyle w:val="Heading6"/>
      </w:pPr>
      <w:r>
        <w:t xml:space="preserve">Week </w:t>
      </w:r>
      <w:r w:rsidRPr="00E73898">
        <w:t>48 results</w:t>
      </w:r>
    </w:p>
    <w:p w:rsidR="00A56E9A" w:rsidRDefault="00E77D15" w:rsidP="00A56E9A">
      <w:pPr>
        <w:pStyle w:val="TableTitle"/>
      </w:pPr>
      <w:r>
        <w:t>Table 20</w:t>
      </w:r>
      <w:r w:rsidR="00A56E9A">
        <w:t>:</w:t>
      </w:r>
      <w:r w:rsidR="00702D7B">
        <w:t xml:space="preserve"> </w:t>
      </w:r>
      <w:r w:rsidR="00A56E9A" w:rsidRPr="00A56E9A">
        <w:t xml:space="preserve">PASI75 </w:t>
      </w:r>
      <w:r w:rsidR="001749BF">
        <w:t>r</w:t>
      </w:r>
      <w:r w:rsidR="001749BF" w:rsidRPr="00A56E9A">
        <w:t xml:space="preserve">esponder </w:t>
      </w:r>
      <w:r>
        <w:t>r</w:t>
      </w:r>
      <w:r w:rsidR="00A56E9A" w:rsidRPr="00A56E9A">
        <w:t xml:space="preserve">ate at Week 48 by </w:t>
      </w:r>
      <w:r w:rsidRPr="00A56E9A">
        <w:t>treatment a</w:t>
      </w:r>
      <w:r w:rsidR="00A56E9A" w:rsidRPr="00A56E9A">
        <w:t xml:space="preserve">rm in CIMPACT (Week 16 </w:t>
      </w:r>
      <w:r w:rsidR="001749BF">
        <w:t>r</w:t>
      </w:r>
      <w:r w:rsidR="009C2FAC">
        <w:t>andomi</w:t>
      </w:r>
      <w:r w:rsidR="001749BF">
        <w:t>s</w:t>
      </w:r>
      <w:r w:rsidR="009C2FAC">
        <w:t xml:space="preserve">ed </w:t>
      </w:r>
      <w:r w:rsidR="001749BF">
        <w:t>set</w:t>
      </w:r>
      <w:r w:rsidR="00A56E9A" w:rsidRPr="00A56E9A">
        <w:t>)</w:t>
      </w:r>
    </w:p>
    <w:p w:rsidR="00A56E9A" w:rsidRDefault="00A56E9A" w:rsidP="00CC006D">
      <w:r>
        <w:rPr>
          <w:noProof/>
          <w:lang w:eastAsia="en-AU"/>
        </w:rPr>
        <w:drawing>
          <wp:inline distT="0" distB="0" distL="0" distR="0" wp14:anchorId="0367B2E5" wp14:editId="3C46BEC7">
            <wp:extent cx="5400040" cy="1743108"/>
            <wp:effectExtent l="0" t="0" r="0" b="9525"/>
            <wp:docPr id="24" name="Picture 24" descr="PASI75 Responder Rate at Week 48 by Treatment Arm in CIMPACT (Week 16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743108"/>
                    </a:xfrm>
                    <a:prstGeom prst="rect">
                      <a:avLst/>
                    </a:prstGeom>
                    <a:noFill/>
                    <a:ln>
                      <a:noFill/>
                    </a:ln>
                  </pic:spPr>
                </pic:pic>
              </a:graphicData>
            </a:graphic>
          </wp:inline>
        </w:drawing>
      </w:r>
    </w:p>
    <w:p w:rsidR="00CC006D" w:rsidRDefault="00CC006D" w:rsidP="00CC006D">
      <w:r>
        <w:t>In the blinded maintenance treatment groups (</w:t>
      </w:r>
      <w:r w:rsidR="00A567C2">
        <w:t>that is,</w:t>
      </w:r>
      <w:r>
        <w:t xml:space="preserve"> subjects who were PASI75 responders at Week 16), ≥</w:t>
      </w:r>
      <w:r w:rsidR="00C611A9">
        <w:t xml:space="preserve"> </w:t>
      </w:r>
      <w:r>
        <w:t xml:space="preserve">79.5%of subjects in each group that received </w:t>
      </w:r>
      <w:r w:rsidR="001D63B3">
        <w:t>certolizumab pegol</w:t>
      </w:r>
      <w:r>
        <w:t xml:space="preserve"> treatment continued to be PASI75 responders at Week 48. Subjects initially treated with </w:t>
      </w:r>
      <w:r w:rsidR="001D63B3">
        <w:t>certolizumab pegol</w:t>
      </w:r>
      <w:r>
        <w:t xml:space="preserve"> and re-randomised to </w:t>
      </w:r>
      <w:r w:rsidR="00A316C5">
        <w:t>placebo</w:t>
      </w:r>
      <w:r>
        <w:t xml:space="preserve"> for maintenance treatment had a considerable loss of efficacy response over time, but no subjects experienced a rebound effect (defined as a &gt;125% increase from baseline in PASI score within 14 weeks after the final dose of </w:t>
      </w:r>
      <w:r w:rsidR="001D63B3">
        <w:t>certolizumab pegol</w:t>
      </w:r>
      <w:r>
        <w:t xml:space="preserve"> treatment).</w:t>
      </w:r>
    </w:p>
    <w:p w:rsidR="00CC006D" w:rsidRDefault="00CC006D" w:rsidP="00E73898">
      <w:pPr>
        <w:pStyle w:val="Heading5"/>
      </w:pPr>
      <w:r>
        <w:t xml:space="preserve">Pooled efficacy analyses across Phase </w:t>
      </w:r>
      <w:r w:rsidR="00C611A9">
        <w:t>III</w:t>
      </w:r>
      <w:r>
        <w:t xml:space="preserve"> studies</w:t>
      </w:r>
    </w:p>
    <w:p w:rsidR="00CC006D" w:rsidRDefault="00CC006D" w:rsidP="00CC006D">
      <w:r>
        <w:t xml:space="preserve">Efficacy analyses using pooled data from the Phase </w:t>
      </w:r>
      <w:r w:rsidR="00C611A9">
        <w:t>III</w:t>
      </w:r>
      <w:r>
        <w:t xml:space="preserve"> studies allow for an estimation of dose effects in various subgroups.</w:t>
      </w:r>
      <w:r w:rsidR="00702D7B">
        <w:t xml:space="preserve"> </w:t>
      </w:r>
      <w:r>
        <w:t>Some trends were noted in some patient subgroups.</w:t>
      </w:r>
      <w:r w:rsidR="00702D7B">
        <w:t xml:space="preserve"> </w:t>
      </w:r>
      <w:r>
        <w:t xml:space="preserve">For both dose regimens of </w:t>
      </w:r>
      <w:r w:rsidR="001D63B3">
        <w:t>certolizumab pegol</w:t>
      </w:r>
      <w:r>
        <w:t xml:space="preserve">, </w:t>
      </w:r>
      <w:r w:rsidR="00A567C2">
        <w:t>psoriasis</w:t>
      </w:r>
      <w:r>
        <w:t xml:space="preserve"> responder rates at Week 16 were generally lower in subjects in the </w:t>
      </w:r>
      <w:r w:rsidR="001749BF">
        <w:t xml:space="preserve">two </w:t>
      </w:r>
      <w:r>
        <w:t xml:space="preserve">highest quintiles of BMI at baseline, patients with baseline PASI scores greater than the study population median, and in subjects who tested positive for anti-drug antibodies. The Week 48 data showed the same </w:t>
      </w:r>
      <w:r w:rsidR="00A567C2">
        <w:t>psoriasis</w:t>
      </w:r>
      <w:r>
        <w:t xml:space="preserve"> response outcomes for those patient subgroup interactions.</w:t>
      </w:r>
    </w:p>
    <w:p w:rsidR="00555D01" w:rsidRDefault="00555D01" w:rsidP="00555D01">
      <w:r>
        <w:t>The sponsor has provided pooled analyses of efficacy data obtained in the 3 Phase III trials (for the certolizumab pegol and placebo arms only) mainly to investigate efficacy in selected patient subgroups and to yield more precise treatment effect data. An overview of the eff</w:t>
      </w:r>
      <w:r w:rsidR="00E77D15">
        <w:t>icacy pools is shown in Table 21</w:t>
      </w:r>
      <w:r>
        <w:t>.</w:t>
      </w:r>
    </w:p>
    <w:p w:rsidR="00CC006D" w:rsidRDefault="00CC006D" w:rsidP="00A56E9A">
      <w:pPr>
        <w:pStyle w:val="TableTitle"/>
      </w:pPr>
      <w:r w:rsidRPr="00CC006D">
        <w:lastRenderedPageBreak/>
        <w:t xml:space="preserve">Table </w:t>
      </w:r>
      <w:r w:rsidR="00E77D15">
        <w:t>21</w:t>
      </w:r>
      <w:r w:rsidR="00A56E9A">
        <w:t>:</w:t>
      </w:r>
      <w:r w:rsidRPr="00CC006D">
        <w:t xml:space="preserve"> </w:t>
      </w:r>
      <w:r w:rsidR="00BC7159">
        <w:t>Overview of efficacy pools</w:t>
      </w:r>
    </w:p>
    <w:p w:rsidR="00CC006D" w:rsidRDefault="00CC006D" w:rsidP="00CC006D">
      <w:r>
        <w:rPr>
          <w:noProof/>
          <w:lang w:eastAsia="en-AU"/>
        </w:rPr>
        <w:drawing>
          <wp:inline distT="0" distB="0" distL="0" distR="0" wp14:anchorId="0111ABFE" wp14:editId="1DFFDEA1">
            <wp:extent cx="5400040" cy="2324735"/>
            <wp:effectExtent l="0" t="0" r="0" b="0"/>
            <wp:docPr id="2" name="Picture 2" descr="Overview of efficacy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324735"/>
                    </a:xfrm>
                    <a:prstGeom prst="rect">
                      <a:avLst/>
                    </a:prstGeom>
                    <a:noFill/>
                    <a:ln>
                      <a:noFill/>
                    </a:ln>
                  </pic:spPr>
                </pic:pic>
              </a:graphicData>
            </a:graphic>
          </wp:inline>
        </w:drawing>
      </w:r>
    </w:p>
    <w:p w:rsidR="00CC006D" w:rsidRDefault="00CC006D" w:rsidP="00CC006D">
      <w:r>
        <w:t>The three main significant additional efficacy observations are:</w:t>
      </w:r>
    </w:p>
    <w:p w:rsidR="00CC006D" w:rsidRDefault="00CC006D" w:rsidP="00CC006D">
      <w:r>
        <w:t xml:space="preserve">Firstly, for the patient subgroup analyses of Pool E1, the key outcome measures of PASI75, PASI90 and PGA response were evaluated at the primary time point of 16 weeks for the following baseline characteristics: gender, age, body weight, BMI quintiles, race, ethnicity, geographic region, prior biologic drug exposure, prior anti-TNF exposure, prior systemic therapy (non-biologic) and baseline BSA affected by </w:t>
      </w:r>
      <w:r w:rsidR="00A567C2">
        <w:t>psoriasis</w:t>
      </w:r>
      <w:r>
        <w:t xml:space="preserve">. All patient subgroups had a clinically meaningful difference in the above </w:t>
      </w:r>
      <w:r w:rsidR="00A567C2">
        <w:t>psoriasis</w:t>
      </w:r>
      <w:r>
        <w:t xml:space="preserve"> response measures with both doses of </w:t>
      </w:r>
      <w:r w:rsidR="001D63B3">
        <w:t>certolizumab pegol</w:t>
      </w:r>
      <w:r>
        <w:t xml:space="preserve"> compared to </w:t>
      </w:r>
      <w:r w:rsidR="00A316C5">
        <w:t>placebo</w:t>
      </w:r>
      <w:r>
        <w:t xml:space="preserve">. No consistent, clinically meaningful differences were seen for </w:t>
      </w:r>
      <w:r w:rsidR="00A567C2">
        <w:t>psoriasis</w:t>
      </w:r>
      <w:r>
        <w:t xml:space="preserve"> response based on the above characteristics. The rates of PASI75/90 and PGA response with </w:t>
      </w:r>
      <w:r w:rsidR="001D63B3">
        <w:t>certolizumab pegol</w:t>
      </w:r>
      <w:r>
        <w:t xml:space="preserve"> were similar in subjects with or without a history of prior systemic treatment for </w:t>
      </w:r>
      <w:r w:rsidR="00A567C2">
        <w:t>psoriasis</w:t>
      </w:r>
      <w:r>
        <w:t>. This is supportive of the proposed first line treatment indication (after topical therapies) in patients who are candidates for systemic therapy or phototherapy.</w:t>
      </w:r>
    </w:p>
    <w:p w:rsidR="00702D7B" w:rsidRDefault="00CC006D" w:rsidP="00CC006D">
      <w:r>
        <w:t>However, some trends were noted in some patient subgroups.</w:t>
      </w:r>
      <w:r w:rsidR="00702D7B">
        <w:t xml:space="preserve"> </w:t>
      </w:r>
      <w:r>
        <w:t xml:space="preserve">For both dose regimens of </w:t>
      </w:r>
      <w:r w:rsidR="001D63B3">
        <w:t>certolizumab pegol</w:t>
      </w:r>
      <w:r>
        <w:t xml:space="preserve">, </w:t>
      </w:r>
      <w:r w:rsidR="00A567C2">
        <w:t>psoriasis</w:t>
      </w:r>
      <w:r>
        <w:t xml:space="preserve"> responder rates at weeks 16 were generally lower in subjects in the 2 highest quintiles of BMI at baseline, patients with baseline PASI scores greater than the study population median, and in subjects who tested positive for anti-drug antibodies. The </w:t>
      </w:r>
      <w:r w:rsidR="00C611A9">
        <w:t>W</w:t>
      </w:r>
      <w:r>
        <w:t xml:space="preserve">eek 48 data (using the Pool E3 data) showed the same </w:t>
      </w:r>
      <w:r w:rsidR="00A567C2">
        <w:t>psoriasis</w:t>
      </w:r>
      <w:r>
        <w:t xml:space="preserve"> response outcomes for the above stated patient subgroup interactions.</w:t>
      </w:r>
    </w:p>
    <w:p w:rsidR="00702D7B" w:rsidRDefault="00CC006D" w:rsidP="00CC006D">
      <w:r>
        <w:t xml:space="preserve">The second observation relates to replication of efficacy findings across the 3 Phase </w:t>
      </w:r>
      <w:r w:rsidR="00363269">
        <w:t>III</w:t>
      </w:r>
      <w:r>
        <w:t xml:space="preserve"> studies, which had identical initial treatment periods. In all 3 trials, both dose regimens of </w:t>
      </w:r>
      <w:r w:rsidR="001D63B3">
        <w:t>certolizumab pegol</w:t>
      </w:r>
      <w:r>
        <w:t xml:space="preserve"> achieved statistically significant and clinically meaningful responses over </w:t>
      </w:r>
      <w:r w:rsidR="00A316C5">
        <w:t>placebo</w:t>
      </w:r>
      <w:r>
        <w:t xml:space="preserve"> for PASI75, PASI90 and PGA response at </w:t>
      </w:r>
      <w:r w:rsidR="00363269">
        <w:t>W</w:t>
      </w:r>
      <w:r>
        <w:t xml:space="preserve">eek 16. Furthermore, while the maintenance period design in CIMPACT was dissimilar compared to the CIMPASI studies, all 3 studies showed maintenance of response to </w:t>
      </w:r>
      <w:r w:rsidR="001D63B3">
        <w:t>certolizumab pegol</w:t>
      </w:r>
      <w:r>
        <w:t xml:space="preserve"> through to 48 weeks. However, in 2 of the 3 studies (CIMPASI-1 and CIMPACT), very similar result trends across the key efficacy outcomes at </w:t>
      </w:r>
      <w:r w:rsidR="00555D01">
        <w:t>W</w:t>
      </w:r>
      <w:r>
        <w:t xml:space="preserve">eeks 16 and 48 were observed, and there was a clear dose response with </w:t>
      </w:r>
      <w:r w:rsidR="001D63B3">
        <w:t>certolizumab pegol</w:t>
      </w:r>
      <w:r>
        <w:t>. In the CIMPASI-2 Study, all 3 treatment groups had much higher clinical response rates (</w:t>
      </w:r>
      <w:r w:rsidR="00A567C2">
        <w:t>for example,</w:t>
      </w:r>
      <w:r>
        <w:t xml:space="preserve"> 14</w:t>
      </w:r>
      <w:r w:rsidR="00363269">
        <w:t xml:space="preserve"> to</w:t>
      </w:r>
      <w:r>
        <w:t xml:space="preserve">18% higher for the rate of PGA response at </w:t>
      </w:r>
      <w:r w:rsidR="00363269">
        <w:t>W</w:t>
      </w:r>
      <w:r>
        <w:t xml:space="preserve">eek 16) compared to the other 2 Phase </w:t>
      </w:r>
      <w:r w:rsidR="00363269">
        <w:t>III</w:t>
      </w:r>
      <w:r>
        <w:t xml:space="preserve"> trials, and a dose response effect with </w:t>
      </w:r>
      <w:r w:rsidR="001D63B3">
        <w:t>certolizumab pegol</w:t>
      </w:r>
      <w:r>
        <w:t xml:space="preserve"> was not reported. There were some minor differences in baseline patient characteristics between the 2 sets of trials (</w:t>
      </w:r>
      <w:r w:rsidR="00A567C2">
        <w:t>for example,</w:t>
      </w:r>
      <w:r>
        <w:t xml:space="preserve"> a slightly higher proportion of subjects recruited into the CIMPASI-2 Study had prior anti-TNF exposure and considerably less were recruited from European sites), but none of these differences would be expected to explain the difference in clinical response. The lack of consistency across the 3 pivotal Phase </w:t>
      </w:r>
      <w:r w:rsidR="00363269">
        <w:t>III</w:t>
      </w:r>
      <w:r>
        <w:t xml:space="preserve"> studies remains unexplained and casts doubt of the overall results integrity.</w:t>
      </w:r>
    </w:p>
    <w:p w:rsidR="00702D7B" w:rsidRDefault="00CC006D" w:rsidP="00CC006D">
      <w:r>
        <w:lastRenderedPageBreak/>
        <w:t xml:space="preserve">The third observation relates to the magnitude of treatment response at 16 and 48 weeks according to the </w:t>
      </w:r>
      <w:r w:rsidR="001D63B3">
        <w:t>certolizumab pegol</w:t>
      </w:r>
      <w:r>
        <w:t xml:space="preserve"> dose regimen. While the studies were not powered to make formal statistical comparisons between the 2 </w:t>
      </w:r>
      <w:r w:rsidR="001D63B3">
        <w:t>certolizumab pegol</w:t>
      </w:r>
      <w:r>
        <w:t xml:space="preserve"> dose regimens, 2 of the 3 Phase </w:t>
      </w:r>
      <w:r w:rsidR="00363269">
        <w:t>III</w:t>
      </w:r>
      <w:r>
        <w:t xml:space="preserve"> studies (CIMPASI-1 and CIMPACT) as well as the pooled E2 dataset indicated that </w:t>
      </w:r>
      <w:r w:rsidR="001D63B3">
        <w:t>certolizumab pegol</w:t>
      </w:r>
      <w:r>
        <w:t xml:space="preserve"> 400</w:t>
      </w:r>
      <w:r w:rsidR="00363269">
        <w:t xml:space="preserve"> </w:t>
      </w:r>
      <w:r>
        <w:t xml:space="preserve">mg Q2W provided numerically greater responses than </w:t>
      </w:r>
      <w:r w:rsidR="001D63B3">
        <w:t>certolizumab pegol</w:t>
      </w:r>
      <w:r>
        <w:t xml:space="preserve"> 200</w:t>
      </w:r>
      <w:r w:rsidR="00363269">
        <w:t xml:space="preserve"> </w:t>
      </w:r>
      <w:r>
        <w:t xml:space="preserve">mg Q2W therapy at </w:t>
      </w:r>
      <w:r w:rsidR="00363269">
        <w:t>W</w:t>
      </w:r>
      <w:r>
        <w:t xml:space="preserve">eek 16 and 48 (Table </w:t>
      </w:r>
      <w:r w:rsidR="00E77D15">
        <w:t>22</w:t>
      </w:r>
      <w:r>
        <w:t xml:space="preserve">). The difference in treatment response according to </w:t>
      </w:r>
      <w:r w:rsidR="001D63B3">
        <w:t>certolizumab pegol</w:t>
      </w:r>
      <w:r>
        <w:t xml:space="preserve"> dose was more evident with the more stringent outcome of PASI90 response, but inconsistent and not so overt with PASI100.</w:t>
      </w:r>
    </w:p>
    <w:p w:rsidR="00CC006D" w:rsidRDefault="00CC006D" w:rsidP="00555D01">
      <w:pPr>
        <w:pStyle w:val="TableTitle"/>
      </w:pPr>
      <w:r>
        <w:t xml:space="preserve">Table </w:t>
      </w:r>
      <w:r w:rsidR="00E77D15">
        <w:t>22</w:t>
      </w:r>
      <w:r w:rsidR="00555D01">
        <w:t>:</w:t>
      </w:r>
      <w:r>
        <w:t xml:space="preserve"> Major efficacy outcomes at Week 16 and 48 by randomised </w:t>
      </w:r>
      <w:r w:rsidR="001D63B3">
        <w:t>certolizumab pegol</w:t>
      </w:r>
      <w:r w:rsidR="00BC7159">
        <w:t xml:space="preserve"> treatment</w:t>
      </w:r>
    </w:p>
    <w:p w:rsidR="006D6A6E" w:rsidRDefault="00CC006D" w:rsidP="006D6A6E">
      <w:r>
        <w:rPr>
          <w:noProof/>
          <w:lang w:eastAsia="en-AU"/>
        </w:rPr>
        <w:drawing>
          <wp:inline distT="0" distB="0" distL="0" distR="0" wp14:anchorId="7C0C9888" wp14:editId="0A44A124">
            <wp:extent cx="5400040" cy="3413760"/>
            <wp:effectExtent l="0" t="0" r="0" b="0"/>
            <wp:docPr id="37" name="Picture 37" descr="Major efficacy outcomes at Week 16 and 48 by randomised certolizumab pego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413760"/>
                    </a:xfrm>
                    <a:prstGeom prst="rect">
                      <a:avLst/>
                    </a:prstGeom>
                    <a:noFill/>
                    <a:ln>
                      <a:noFill/>
                    </a:ln>
                  </pic:spPr>
                </pic:pic>
              </a:graphicData>
            </a:graphic>
          </wp:inline>
        </w:drawing>
      </w:r>
    </w:p>
    <w:p w:rsidR="00CC006D" w:rsidRDefault="00CC006D" w:rsidP="00555D01">
      <w:pPr>
        <w:pStyle w:val="Heading4"/>
      </w:pPr>
      <w:r>
        <w:t>Safety</w:t>
      </w:r>
    </w:p>
    <w:p w:rsidR="00CC006D" w:rsidRDefault="00CC006D" w:rsidP="00CC006D">
      <w:r>
        <w:t xml:space="preserve">The clinical evaluator stated that there was a sufficient volume of safety data in this submission to make a meaningful assessment of </w:t>
      </w:r>
      <w:r w:rsidR="001D63B3">
        <w:t>certolizumab pegol</w:t>
      </w:r>
      <w:r>
        <w:t xml:space="preserve"> safety for up to 1 year of treatment in the newly proposed treatment indication of moderate to severe </w:t>
      </w:r>
      <w:r w:rsidR="00A567C2">
        <w:t>psoriasis</w:t>
      </w:r>
      <w:r>
        <w:t xml:space="preserve"> in adult patients.</w:t>
      </w:r>
    </w:p>
    <w:p w:rsidR="00CC006D" w:rsidRDefault="00CC006D" w:rsidP="00555D01">
      <w:pPr>
        <w:pStyle w:val="Heading5"/>
      </w:pPr>
      <w:r>
        <w:t>Exposure</w:t>
      </w:r>
    </w:p>
    <w:p w:rsidR="00CC006D" w:rsidRDefault="00CC006D" w:rsidP="00CC006D">
      <w:r>
        <w:t xml:space="preserve">1112 adult patients with moderate to severe </w:t>
      </w:r>
      <w:r w:rsidR="00A567C2">
        <w:t>psoriasis</w:t>
      </w:r>
      <w:r>
        <w:t xml:space="preserve"> were exposed to </w:t>
      </w:r>
      <w:r w:rsidR="001D63B3">
        <w:t>certolizumab pegol</w:t>
      </w:r>
      <w:r>
        <w:t xml:space="preserve"> in 5 Phase </w:t>
      </w:r>
      <w:r w:rsidR="00363269">
        <w:t>II</w:t>
      </w:r>
      <w:r>
        <w:t xml:space="preserve"> </w:t>
      </w:r>
      <w:r w:rsidR="00363269">
        <w:t xml:space="preserve">and III </w:t>
      </w:r>
      <w:r>
        <w:t>clinical studies</w:t>
      </w:r>
      <w:r w:rsidR="001749BF">
        <w:t>/trials</w:t>
      </w:r>
      <w:r>
        <w:t xml:space="preserve"> (C87040, C87044, CIMPASI-1, CIMPASI-2 and CIMPACT), with a median exposure of 343 days. Total exposure was 951.7 </w:t>
      </w:r>
      <w:r w:rsidR="00EE730D">
        <w:t>patient-year</w:t>
      </w:r>
      <w:r>
        <w:t>s (</w:t>
      </w:r>
      <w:r w:rsidR="001749BF">
        <w:t>data lock point</w:t>
      </w:r>
      <w:r>
        <w:t>: between October 2016 and March 2017).</w:t>
      </w:r>
    </w:p>
    <w:p w:rsidR="00CC006D" w:rsidRDefault="00CC006D" w:rsidP="00CC006D">
      <w:r>
        <w:t xml:space="preserve">In the </w:t>
      </w:r>
      <w:r w:rsidR="00BC7159">
        <w:t>three</w:t>
      </w:r>
      <w:r>
        <w:t xml:space="preserve"> Phase </w:t>
      </w:r>
      <w:r w:rsidR="00363269">
        <w:t>III</w:t>
      </w:r>
      <w:r>
        <w:t xml:space="preserve"> studies, 487 patients had continuous </w:t>
      </w:r>
      <w:r w:rsidR="001D63B3">
        <w:t>certolizumab pegol</w:t>
      </w:r>
      <w:r>
        <w:t xml:space="preserve"> exposure for 48</w:t>
      </w:r>
      <w:r w:rsidR="00363269">
        <w:t xml:space="preserve"> to </w:t>
      </w:r>
      <w:r>
        <w:t>64 weeks and 75 patients for &gt;</w:t>
      </w:r>
      <w:r w:rsidR="00363269">
        <w:t xml:space="preserve"> </w:t>
      </w:r>
      <w:r>
        <w:t xml:space="preserve">64 weeks. In the Phase </w:t>
      </w:r>
      <w:r w:rsidR="00363269">
        <w:t>III</w:t>
      </w:r>
      <w:r>
        <w:t xml:space="preserve"> trials, 703 received </w:t>
      </w:r>
      <w:r w:rsidR="001D63B3">
        <w:t>certolizumab pegol</w:t>
      </w:r>
      <w:r>
        <w:t xml:space="preserve"> 200mg Q2W treatment and 677 received </w:t>
      </w:r>
      <w:r w:rsidR="001D63B3">
        <w:t>certolizumab pegol</w:t>
      </w:r>
      <w:r>
        <w:t xml:space="preserve"> 400</w:t>
      </w:r>
      <w:r w:rsidR="00363269">
        <w:t> </w:t>
      </w:r>
      <w:r>
        <w:t>mg Q2W.</w:t>
      </w:r>
    </w:p>
    <w:p w:rsidR="00CC006D" w:rsidRDefault="00CC006D" w:rsidP="00555D01">
      <w:pPr>
        <w:pStyle w:val="Heading5"/>
      </w:pPr>
      <w:r>
        <w:t>Prior therapies</w:t>
      </w:r>
    </w:p>
    <w:p w:rsidR="00702D7B" w:rsidRDefault="00CC006D" w:rsidP="00CC006D">
      <w:r>
        <w:t xml:space="preserve">The study populations in the Phase </w:t>
      </w:r>
      <w:r w:rsidR="00BC7159">
        <w:t>II/III</w:t>
      </w:r>
      <w:r>
        <w:t xml:space="preserve"> trials often had long-standing </w:t>
      </w:r>
      <w:r w:rsidR="00A567C2">
        <w:t>psoriasis</w:t>
      </w:r>
      <w:r>
        <w:t xml:space="preserve">, but were heterogeneous with respect to prior therapies for </w:t>
      </w:r>
      <w:r w:rsidR="00A567C2">
        <w:t>psoriasis</w:t>
      </w:r>
      <w:r>
        <w:t xml:space="preserve"> (</w:t>
      </w:r>
      <w:r w:rsidR="00A567C2">
        <w:t>for example,</w:t>
      </w:r>
      <w:r>
        <w:t xml:space="preserve"> 70% were naïve </w:t>
      </w:r>
      <w:r>
        <w:lastRenderedPageBreak/>
        <w:t>to prior biological therapies and almost 60% had never used a systemic, non-biologic treatment).</w:t>
      </w:r>
    </w:p>
    <w:p w:rsidR="00CC006D" w:rsidRDefault="00CC006D" w:rsidP="00555D01">
      <w:pPr>
        <w:pStyle w:val="Heading5"/>
      </w:pPr>
      <w:r>
        <w:t>Safety cohorts</w:t>
      </w:r>
    </w:p>
    <w:p w:rsidR="00CC006D" w:rsidRDefault="00CC006D" w:rsidP="00CC006D">
      <w:r>
        <w:t>The trial safety cohorts were:</w:t>
      </w:r>
    </w:p>
    <w:p w:rsidR="00CC006D" w:rsidRDefault="00CC006D" w:rsidP="00CA38DF">
      <w:pPr>
        <w:pStyle w:val="ListBullet"/>
      </w:pPr>
      <w:r>
        <w:t>Pool S1 (primary trial cohort): initial treatment periods (</w:t>
      </w:r>
      <w:r w:rsidR="00CA38DF">
        <w:t>W</w:t>
      </w:r>
      <w:r>
        <w:t xml:space="preserve">eeks 0 to 16) of the Phase </w:t>
      </w:r>
      <w:r w:rsidR="00CA38DF">
        <w:t>III</w:t>
      </w:r>
      <w:r>
        <w:t xml:space="preserve"> studies; each of the trials had a common </w:t>
      </w:r>
      <w:r w:rsidR="00A316C5">
        <w:t>placebo</w:t>
      </w:r>
      <w:r>
        <w:t xml:space="preserve"> controlled period.</w:t>
      </w:r>
    </w:p>
    <w:p w:rsidR="00CC006D" w:rsidRDefault="00CC006D" w:rsidP="00CA38DF">
      <w:pPr>
        <w:pStyle w:val="ListBullet"/>
      </w:pPr>
      <w:r>
        <w:t>Pool S4: maintenance treatment periods (</w:t>
      </w:r>
      <w:r w:rsidR="00555D01">
        <w:t>W</w:t>
      </w:r>
      <w:r>
        <w:t xml:space="preserve">eeks 16 to 48) of the 3 Phase </w:t>
      </w:r>
      <w:r w:rsidR="00CA38DF">
        <w:t>III</w:t>
      </w:r>
      <w:r>
        <w:t xml:space="preserve"> studies.</w:t>
      </w:r>
    </w:p>
    <w:p w:rsidR="00CC006D" w:rsidRDefault="00CC006D" w:rsidP="00CA38DF">
      <w:pPr>
        <w:pStyle w:val="ListBullet"/>
      </w:pPr>
      <w:r>
        <w:t>Pool S2: identical to Pool S1 apart from the addition of safety data (</w:t>
      </w:r>
      <w:r w:rsidR="00CA38DF">
        <w:t>W</w:t>
      </w:r>
      <w:r>
        <w:t>eeks 0</w:t>
      </w:r>
      <w:r w:rsidR="00CA38DF">
        <w:t xml:space="preserve"> to</w:t>
      </w:r>
      <w:r>
        <w:t xml:space="preserve">16) from the Phase </w:t>
      </w:r>
      <w:r w:rsidR="00CA38DF">
        <w:t>II</w:t>
      </w:r>
      <w:r>
        <w:t xml:space="preserve"> Study C87040. However, in the </w:t>
      </w:r>
      <w:r w:rsidR="00CA38DF">
        <w:t>clinical evaluation report</w:t>
      </w:r>
      <w:r>
        <w:t xml:space="preserve"> Phase </w:t>
      </w:r>
      <w:r w:rsidR="00CA38DF">
        <w:t>II</w:t>
      </w:r>
      <w:r>
        <w:t xml:space="preserve"> safety data was considered separately.</w:t>
      </w:r>
    </w:p>
    <w:p w:rsidR="00CC006D" w:rsidRDefault="00CC006D" w:rsidP="00CA38DF">
      <w:pPr>
        <w:pStyle w:val="ListBullet"/>
      </w:pPr>
      <w:r>
        <w:t xml:space="preserve">Pool S3: safety data from all patients exposed to </w:t>
      </w:r>
      <w:r w:rsidR="001D63B3">
        <w:t>certolizumab pegol</w:t>
      </w:r>
      <w:r w:rsidR="00BC7159">
        <w:t xml:space="preserve"> (3 dose regimens;</w:t>
      </w:r>
      <w:r>
        <w:t xml:space="preserve"> 200</w:t>
      </w:r>
      <w:r w:rsidR="00CA38DF">
        <w:t xml:space="preserve"> </w:t>
      </w:r>
      <w:r>
        <w:t>mg Q2W, 400</w:t>
      </w:r>
      <w:r w:rsidR="00CA38DF">
        <w:t xml:space="preserve"> </w:t>
      </w:r>
      <w:r>
        <w:t>mg Q2W and 400</w:t>
      </w:r>
      <w:r w:rsidR="00CA38DF">
        <w:t xml:space="preserve"> </w:t>
      </w:r>
      <w:r>
        <w:t xml:space="preserve">mg Q4W) in all 5 of the Phase </w:t>
      </w:r>
      <w:r w:rsidR="00CA38DF">
        <w:t>II and III</w:t>
      </w:r>
      <w:r>
        <w:t xml:space="preserve"> studies, and contains information up to 144 weeks of treatment exposure (including initial, maintenance and open label treatment periods). However, due to the limitations of Pool S3, the sponsor has restricted presentation and discussion of Pool S3 data to AEs of special interest.</w:t>
      </w:r>
    </w:p>
    <w:p w:rsidR="00CC006D" w:rsidRDefault="00CC006D" w:rsidP="00555D01">
      <w:pPr>
        <w:pStyle w:val="Heading6"/>
      </w:pPr>
      <w:r>
        <w:t>Pool S1 AEs</w:t>
      </w:r>
    </w:p>
    <w:p w:rsidR="00702D7B" w:rsidRDefault="00CC006D" w:rsidP="00CC006D">
      <w:r>
        <w:t xml:space="preserve">The overall AE incidences were similar between the </w:t>
      </w:r>
      <w:r w:rsidR="001D63B3">
        <w:t>certolizumab pegol</w:t>
      </w:r>
      <w:r>
        <w:t xml:space="preserve"> 400</w:t>
      </w:r>
      <w:r w:rsidR="00CA38DF">
        <w:t xml:space="preserve"> </w:t>
      </w:r>
      <w:r>
        <w:t xml:space="preserve">mg Q2W (63.5%) and </w:t>
      </w:r>
      <w:r w:rsidR="00A316C5">
        <w:t>placebo</w:t>
      </w:r>
      <w:r>
        <w:t xml:space="preserve"> groups (61.8%), but lower in the </w:t>
      </w:r>
      <w:r w:rsidR="001D63B3">
        <w:t>certolizumab pegol</w:t>
      </w:r>
      <w:r>
        <w:t xml:space="preserve"> 200</w:t>
      </w:r>
      <w:r w:rsidR="00CA38DF">
        <w:t xml:space="preserve"> </w:t>
      </w:r>
      <w:r>
        <w:t xml:space="preserve">mg Q2W arm (56.3%). However, treatment related AEs were higher in the </w:t>
      </w:r>
      <w:r w:rsidR="001D63B3">
        <w:t>certolizumab pegol</w:t>
      </w:r>
      <w:r>
        <w:t xml:space="preserve"> 400</w:t>
      </w:r>
      <w:r w:rsidR="00555D01">
        <w:t> </w:t>
      </w:r>
      <w:r>
        <w:t xml:space="preserve">mg group (15.8%) compared with the </w:t>
      </w:r>
      <w:r w:rsidR="001D63B3">
        <w:t>certolizumab pegol</w:t>
      </w:r>
      <w:r>
        <w:t xml:space="preserve"> 200</w:t>
      </w:r>
      <w:r w:rsidR="00CA38DF">
        <w:t xml:space="preserve"> </w:t>
      </w:r>
      <w:r>
        <w:t xml:space="preserve">mg arm (12.9%) and </w:t>
      </w:r>
      <w:r w:rsidR="00A316C5">
        <w:t>placebo</w:t>
      </w:r>
      <w:r>
        <w:t xml:space="preserve"> group (12.7%).</w:t>
      </w:r>
      <w:r w:rsidR="00702D7B">
        <w:t xml:space="preserve"> </w:t>
      </w:r>
      <w:r>
        <w:t>For overall and treatment related AEs, the SOC with the highest incidence of AEs was infections (&gt;</w:t>
      </w:r>
      <w:r w:rsidR="00CA38DF">
        <w:t xml:space="preserve"> </w:t>
      </w:r>
      <w:r>
        <w:t>30% incidence), followed by skin and subcutaneous disorders (10</w:t>
      </w:r>
      <w:r w:rsidR="00CA38DF">
        <w:t xml:space="preserve"> to</w:t>
      </w:r>
      <w:r>
        <w:t>14%).</w:t>
      </w:r>
    </w:p>
    <w:p w:rsidR="00CC006D" w:rsidRDefault="00CC006D" w:rsidP="00CC006D">
      <w:r>
        <w:t xml:space="preserve">There was a trend toward a </w:t>
      </w:r>
      <w:r w:rsidR="001D63B3">
        <w:t>certolizumab pegol</w:t>
      </w:r>
      <w:r>
        <w:t xml:space="preserve"> dose response effect in the SOC of general disorders and administration site conditions, with the main explanation for the difference being a higher incidence of </w:t>
      </w:r>
      <w:r w:rsidR="00CA38DF">
        <w:t>injection site reaction</w:t>
      </w:r>
      <w:r>
        <w:t xml:space="preserve">s in the </w:t>
      </w:r>
      <w:r w:rsidR="001D63B3">
        <w:t>certolizumab pegol</w:t>
      </w:r>
      <w:r>
        <w:t xml:space="preserve"> 400</w:t>
      </w:r>
      <w:r w:rsidR="00CA38DF">
        <w:t xml:space="preserve"> </w:t>
      </w:r>
      <w:r>
        <w:t xml:space="preserve">mg Q2W group. In Pool S1, the most frequently reported AEs by </w:t>
      </w:r>
      <w:r w:rsidR="00555D01">
        <w:t>preferred term</w:t>
      </w:r>
      <w:r>
        <w:t xml:space="preserve"> were nasopharyngitis (approximately 12% incidence in each of the 3 groups) and upper respiratory tract infection (5</w:t>
      </w:r>
      <w:r w:rsidR="00CA38DF">
        <w:t xml:space="preserve"> to</w:t>
      </w:r>
      <w:r>
        <w:t>7% incidence across the 3 groups).</w:t>
      </w:r>
    </w:p>
    <w:p w:rsidR="00CC006D" w:rsidRDefault="00CC006D" w:rsidP="00555D01">
      <w:pPr>
        <w:pStyle w:val="Heading6"/>
      </w:pPr>
      <w:r>
        <w:t>Pool S4 AEs</w:t>
      </w:r>
    </w:p>
    <w:p w:rsidR="00CC006D" w:rsidRDefault="00CC006D" w:rsidP="00CC006D">
      <w:r>
        <w:t xml:space="preserve">In Pool S4 (Phase </w:t>
      </w:r>
      <w:r w:rsidR="00CA38DF">
        <w:t>III</w:t>
      </w:r>
      <w:r>
        <w:t xml:space="preserve"> maintenance treatment periods), the incidences and exposure adjusted </w:t>
      </w:r>
      <w:r w:rsidR="00EE730D">
        <w:t>incident rate</w:t>
      </w:r>
      <w:r>
        <w:t xml:space="preserve">s for AEs between the 2 </w:t>
      </w:r>
      <w:r w:rsidR="001D63B3">
        <w:t>certolizumab pegol</w:t>
      </w:r>
      <w:r>
        <w:t xml:space="preserve"> dose groups as well as </w:t>
      </w:r>
      <w:r w:rsidR="00A316C5">
        <w:t>placebo</w:t>
      </w:r>
      <w:r>
        <w:t xml:space="preserve"> were lower than those observed in the first 16 weeks of therapy.</w:t>
      </w:r>
    </w:p>
    <w:p w:rsidR="00CC006D" w:rsidRDefault="00CC006D" w:rsidP="00CC006D">
      <w:r>
        <w:t>However, the most frequently reported type of AE by SOC was infections, which occurred at a higher incidence (almost 37</w:t>
      </w:r>
      <w:r w:rsidR="00CA38DF">
        <w:t xml:space="preserve"> to </w:t>
      </w:r>
      <w:r>
        <w:t xml:space="preserve">40% with </w:t>
      </w:r>
      <w:r w:rsidR="001D63B3">
        <w:t>certolizumab pegol</w:t>
      </w:r>
      <w:r>
        <w:t xml:space="preserve"> </w:t>
      </w:r>
      <w:r w:rsidR="00A567C2">
        <w:t>versus</w:t>
      </w:r>
      <w:r>
        <w:t xml:space="preserve"> 29% with </w:t>
      </w:r>
      <w:r w:rsidR="00A316C5">
        <w:t>placebo</w:t>
      </w:r>
      <w:r>
        <w:t xml:space="preserve">) and also exposure adjusted </w:t>
      </w:r>
      <w:r w:rsidR="00EE730D">
        <w:t>incident rate</w:t>
      </w:r>
      <w:r>
        <w:t xml:space="preserve"> compared with </w:t>
      </w:r>
      <w:r w:rsidR="00A316C5">
        <w:t>placebo</w:t>
      </w:r>
      <w:r>
        <w:t xml:space="preserve"> (</w:t>
      </w:r>
      <w:r w:rsidR="00EE730D">
        <w:t>incident rate</w:t>
      </w:r>
      <w:r>
        <w:t xml:space="preserve"> of 224 per 100 </w:t>
      </w:r>
      <w:r w:rsidR="00EE730D">
        <w:t>patient-years</w:t>
      </w:r>
      <w:r>
        <w:t xml:space="preserve"> with </w:t>
      </w:r>
      <w:r w:rsidR="001D63B3">
        <w:t>certolizumab pegol</w:t>
      </w:r>
      <w:r>
        <w:t xml:space="preserve"> 200</w:t>
      </w:r>
      <w:r w:rsidR="00CA38DF">
        <w:t xml:space="preserve"> </w:t>
      </w:r>
      <w:r>
        <w:t xml:space="preserve">mg </w:t>
      </w:r>
      <w:r w:rsidR="00A567C2">
        <w:t>versus</w:t>
      </w:r>
      <w:r>
        <w:t xml:space="preserve"> 314 per 100 </w:t>
      </w:r>
      <w:r w:rsidR="00EE730D">
        <w:t>patient-years</w:t>
      </w:r>
      <w:r>
        <w:t xml:space="preserve"> with </w:t>
      </w:r>
      <w:r w:rsidR="001D63B3">
        <w:t>certolizumab pegol</w:t>
      </w:r>
      <w:r>
        <w:t xml:space="preserve"> 400</w:t>
      </w:r>
      <w:r w:rsidR="00CA38DF">
        <w:t xml:space="preserve"> </w:t>
      </w:r>
      <w:r>
        <w:t xml:space="preserve">mg therapy </w:t>
      </w:r>
      <w:r w:rsidR="00A567C2">
        <w:t>versus</w:t>
      </w:r>
      <w:r>
        <w:t xml:space="preserve"> 80 per 100 </w:t>
      </w:r>
      <w:r w:rsidR="00EE730D">
        <w:t>patient-years</w:t>
      </w:r>
      <w:r>
        <w:t xml:space="preserve"> with </w:t>
      </w:r>
      <w:r w:rsidR="00A316C5">
        <w:t>placebo</w:t>
      </w:r>
      <w:r>
        <w:t xml:space="preserve">). Again, the most frequent type of infections in Pool S4 by </w:t>
      </w:r>
      <w:r w:rsidR="00555D01">
        <w:t>preferred term</w:t>
      </w:r>
      <w:r>
        <w:t xml:space="preserve"> was nasopharyngitis (14</w:t>
      </w:r>
      <w:r w:rsidR="00CA38DF">
        <w:t xml:space="preserve"> to</w:t>
      </w:r>
      <w:r>
        <w:t xml:space="preserve">15% incidence with </w:t>
      </w:r>
      <w:r w:rsidR="001D63B3">
        <w:t>certolizumab pegol</w:t>
      </w:r>
      <w:r>
        <w:t xml:space="preserve">) and URTI (approximately 7% incidence with </w:t>
      </w:r>
      <w:r w:rsidR="001D63B3">
        <w:t>certolizumab pegol</w:t>
      </w:r>
      <w:r>
        <w:t>).</w:t>
      </w:r>
    </w:p>
    <w:p w:rsidR="00702D7B" w:rsidRDefault="00CC006D" w:rsidP="00555D01">
      <w:pPr>
        <w:pStyle w:val="Heading6"/>
      </w:pPr>
      <w:r>
        <w:t>Pool 1 SAEs and withdrawals</w:t>
      </w:r>
    </w:p>
    <w:p w:rsidR="00CC006D" w:rsidRDefault="00CC006D" w:rsidP="00CC006D">
      <w:r>
        <w:t xml:space="preserve">In Pool S1, the incidence of SAEs was similar between the </w:t>
      </w:r>
      <w:r w:rsidR="00A316C5">
        <w:t>placebo</w:t>
      </w:r>
      <w:r>
        <w:t xml:space="preserve"> (4.5%) and </w:t>
      </w:r>
      <w:r w:rsidR="001D63B3">
        <w:t>certolizumab pegol</w:t>
      </w:r>
      <w:r>
        <w:t xml:space="preserve"> 400mg groups (4.7%), but lower in the </w:t>
      </w:r>
      <w:r w:rsidR="001D63B3">
        <w:t>certolizumab pegol</w:t>
      </w:r>
      <w:r>
        <w:t xml:space="preserve"> 200</w:t>
      </w:r>
      <w:r w:rsidR="00CA38DF">
        <w:t> </w:t>
      </w:r>
      <w:r>
        <w:t>mg Q2W cohort (1.4%).</w:t>
      </w:r>
      <w:r w:rsidR="00702D7B">
        <w:t xml:space="preserve"> </w:t>
      </w:r>
      <w:r w:rsidR="00555D01">
        <w:t>Three</w:t>
      </w:r>
      <w:r>
        <w:t xml:space="preserve"> treatment related SAEs were reported in patients receiving </w:t>
      </w:r>
      <w:r w:rsidR="001D63B3">
        <w:t>certolizumab pegol</w:t>
      </w:r>
      <w:r>
        <w:t xml:space="preserve"> 400</w:t>
      </w:r>
      <w:r w:rsidR="00555D01">
        <w:t xml:space="preserve"> </w:t>
      </w:r>
      <w:r>
        <w:t>mg injections</w:t>
      </w:r>
      <w:r w:rsidR="001749BF">
        <w:t>; 1 each of</w:t>
      </w:r>
      <w:r>
        <w:t xml:space="preserve">lymphadenitis, </w:t>
      </w:r>
      <w:r w:rsidR="00CA38DF">
        <w:t>injection site reaction</w:t>
      </w:r>
      <w:r>
        <w:t xml:space="preserve"> and anaphylactoid reaction (with first dose of treatment). 1 patient treated with </w:t>
      </w:r>
      <w:r w:rsidR="001D63B3">
        <w:t xml:space="preserve">certolizumab </w:t>
      </w:r>
      <w:r w:rsidR="001D63B3">
        <w:lastRenderedPageBreak/>
        <w:t>pegol</w:t>
      </w:r>
      <w:r>
        <w:t xml:space="preserve"> 200</w:t>
      </w:r>
      <w:r w:rsidR="00CA38DF">
        <w:t xml:space="preserve"> </w:t>
      </w:r>
      <w:r>
        <w:t>mg Q2W (in Pool S1) had a treatment related SAE of depression with suicide attempt.</w:t>
      </w:r>
    </w:p>
    <w:p w:rsidR="00CC006D" w:rsidRDefault="00CC006D" w:rsidP="00CC006D">
      <w:r>
        <w:t xml:space="preserve">Few subjects (4 in each </w:t>
      </w:r>
      <w:r w:rsidR="001D63B3">
        <w:t>certolizumab pegol</w:t>
      </w:r>
      <w:r>
        <w:t xml:space="preserve"> treatment cohort) experienced AEs resulting in permanent treatment discontinuation. The 4 patients in the </w:t>
      </w:r>
      <w:r w:rsidR="001D63B3">
        <w:t>certolizumab pegol</w:t>
      </w:r>
      <w:r>
        <w:t xml:space="preserve"> 400</w:t>
      </w:r>
      <w:r w:rsidR="00CA38DF">
        <w:t xml:space="preserve"> </w:t>
      </w:r>
      <w:r>
        <w:t xml:space="preserve">mg arm withdrew due to anaphylactoid reaction, eczema, papular rash and neck pain. In the </w:t>
      </w:r>
      <w:r w:rsidR="001D63B3">
        <w:t>certolizumab pegol</w:t>
      </w:r>
      <w:r>
        <w:t xml:space="preserve"> 200</w:t>
      </w:r>
      <w:r w:rsidR="00CA38DF">
        <w:t xml:space="preserve"> </w:t>
      </w:r>
      <w:r>
        <w:t xml:space="preserve">mg treatment group the 4 subject withdrawals due to AEs were generalised pruritus and dizziness in 1 patient, raised serum transaminases in 2 subjects, and depression. No </w:t>
      </w:r>
      <w:r w:rsidR="00A316C5">
        <w:t>placebo</w:t>
      </w:r>
      <w:r>
        <w:t xml:space="preserve"> subject withdrew in Pool S1 due to an AE.</w:t>
      </w:r>
    </w:p>
    <w:p w:rsidR="00702D7B" w:rsidRDefault="00CC006D" w:rsidP="00555D01">
      <w:pPr>
        <w:pStyle w:val="Heading6"/>
      </w:pPr>
      <w:r>
        <w:t>Pool 4 SAEs and withdrawals</w:t>
      </w:r>
    </w:p>
    <w:p w:rsidR="00CC006D" w:rsidRDefault="00CC006D" w:rsidP="00CC006D">
      <w:r>
        <w:t xml:space="preserve">The incidence of SAEs was relatively low with </w:t>
      </w:r>
      <w:r w:rsidR="001D63B3">
        <w:t>certolizumab pegol</w:t>
      </w:r>
      <w:r>
        <w:t xml:space="preserve"> (4.6% [25</w:t>
      </w:r>
      <w:r w:rsidR="00CB25E9">
        <w:t xml:space="preserve"> of </w:t>
      </w:r>
      <w:r>
        <w:t xml:space="preserve">540] in the </w:t>
      </w:r>
      <w:r w:rsidR="001D63B3">
        <w:t>certolizumab pegol</w:t>
      </w:r>
      <w:r>
        <w:t xml:space="preserve"> 400</w:t>
      </w:r>
      <w:r w:rsidR="00CB25E9">
        <w:t xml:space="preserve"> </w:t>
      </w:r>
      <w:r>
        <w:t xml:space="preserve">mg Q2W arm and 5.2% </w:t>
      </w:r>
      <w:r w:rsidR="001749BF">
        <w:t>(</w:t>
      </w:r>
      <w:r>
        <w:t>18</w:t>
      </w:r>
      <w:r w:rsidR="00CB25E9">
        <w:t xml:space="preserve"> of </w:t>
      </w:r>
      <w:r>
        <w:t>348</w:t>
      </w:r>
      <w:r w:rsidR="001749BF">
        <w:t>)</w:t>
      </w:r>
      <w:r>
        <w:t xml:space="preserve"> in the </w:t>
      </w:r>
      <w:r w:rsidR="001D63B3">
        <w:t>certolizumab pegol</w:t>
      </w:r>
      <w:r>
        <w:t xml:space="preserve"> 200</w:t>
      </w:r>
      <w:r w:rsidR="00CB25E9">
        <w:t> </w:t>
      </w:r>
      <w:r>
        <w:t xml:space="preserve">mg Q2W group), but lower in the </w:t>
      </w:r>
      <w:r w:rsidR="00A316C5">
        <w:t>placebo</w:t>
      </w:r>
      <w:r>
        <w:t xml:space="preserve"> group (2.4% </w:t>
      </w:r>
      <w:r w:rsidR="001749BF">
        <w:t>(</w:t>
      </w:r>
      <w:r>
        <w:t>2</w:t>
      </w:r>
      <w:r w:rsidR="00CB25E9">
        <w:t xml:space="preserve"> of </w:t>
      </w:r>
      <w:r>
        <w:t>82</w:t>
      </w:r>
      <w:r w:rsidR="001749BF">
        <w:t>)</w:t>
      </w:r>
      <w:r>
        <w:t xml:space="preserve">). Furthermore, the </w:t>
      </w:r>
      <w:r w:rsidR="00EE730D">
        <w:t>incident rate</w:t>
      </w:r>
      <w:r>
        <w:t xml:space="preserve">s for SAEs were almost </w:t>
      </w:r>
      <w:r w:rsidR="00BC7159">
        <w:t>2 fold</w:t>
      </w:r>
      <w:r>
        <w:t xml:space="preserve"> in the </w:t>
      </w:r>
      <w:r w:rsidR="001D63B3">
        <w:t>certolizumab pegol</w:t>
      </w:r>
      <w:r>
        <w:t xml:space="preserve"> groups (</w:t>
      </w:r>
      <w:r w:rsidR="00EE730D">
        <w:t>incident rate</w:t>
      </w:r>
      <w:r>
        <w:t xml:space="preserve"> of 9.07 per 100 </w:t>
      </w:r>
      <w:r w:rsidR="00EE730D">
        <w:t>patient-years</w:t>
      </w:r>
      <w:r>
        <w:t xml:space="preserve"> with 200</w:t>
      </w:r>
      <w:r w:rsidR="00CB25E9">
        <w:t xml:space="preserve"> </w:t>
      </w:r>
      <w:r>
        <w:t xml:space="preserve">mg therapy and </w:t>
      </w:r>
      <w:r w:rsidR="00EE730D">
        <w:t>incident rate</w:t>
      </w:r>
      <w:r>
        <w:t xml:space="preserve"> of 8.15 per 100</w:t>
      </w:r>
      <w:r w:rsidR="00CB25E9">
        <w:t> </w:t>
      </w:r>
      <w:r w:rsidR="00EE730D">
        <w:t>patient-years</w:t>
      </w:r>
      <w:r>
        <w:t xml:space="preserve"> with 400mg) compared with the </w:t>
      </w:r>
      <w:r w:rsidR="00A316C5">
        <w:t>placebo</w:t>
      </w:r>
      <w:r>
        <w:t xml:space="preserve"> arm (5.2 per 100 </w:t>
      </w:r>
      <w:r w:rsidR="00EE730D">
        <w:t>patient-years</w:t>
      </w:r>
      <w:r>
        <w:t xml:space="preserve">). There were no noticeable differences in between the 2 </w:t>
      </w:r>
      <w:r w:rsidR="001D63B3">
        <w:t>certolizumab pegol</w:t>
      </w:r>
      <w:r>
        <w:t xml:space="preserve"> groups for the types and pattern of SAEs.</w:t>
      </w:r>
    </w:p>
    <w:p w:rsidR="00CC006D" w:rsidRDefault="00CC006D" w:rsidP="00CC006D">
      <w:r>
        <w:t xml:space="preserve">The incidence of withdrawal due to AEs remained relatively low with both dose regimens of </w:t>
      </w:r>
      <w:r w:rsidR="001D63B3">
        <w:t>certolizumab pegol</w:t>
      </w:r>
      <w:r>
        <w:t xml:space="preserve"> (3.7% with </w:t>
      </w:r>
      <w:r w:rsidR="001D63B3">
        <w:t>certolizumab pegol</w:t>
      </w:r>
      <w:r>
        <w:t xml:space="preserve"> 400</w:t>
      </w:r>
      <w:r w:rsidR="00CB25E9">
        <w:t xml:space="preserve"> </w:t>
      </w:r>
      <w:r>
        <w:t xml:space="preserve">mg Q2W and 2.6% with </w:t>
      </w:r>
      <w:r w:rsidR="001D63B3">
        <w:t>certolizumab pegol</w:t>
      </w:r>
      <w:r>
        <w:t xml:space="preserve"> 200</w:t>
      </w:r>
      <w:r w:rsidR="00CB25E9">
        <w:t xml:space="preserve"> </w:t>
      </w:r>
      <w:r>
        <w:t xml:space="preserve">mg Q2W therapy). For </w:t>
      </w:r>
      <w:r w:rsidR="001D63B3">
        <w:t>certolizumab pegol</w:t>
      </w:r>
      <w:r>
        <w:t xml:space="preserve"> treated patients, the most frequently reported AEs leading to permanent discontinuation were in the SOCs of infection (7 subjects overall </w:t>
      </w:r>
      <w:r w:rsidR="001749BF">
        <w:t>(</w:t>
      </w:r>
      <w:r>
        <w:t>0.8% of 888</w:t>
      </w:r>
      <w:r w:rsidR="001749BF">
        <w:t>)</w:t>
      </w:r>
      <w:r>
        <w:t xml:space="preserve">; sepsis in 2 </w:t>
      </w:r>
      <w:r w:rsidR="001D63B3">
        <w:t>certolizumab pegol</w:t>
      </w:r>
      <w:r>
        <w:t xml:space="preserve"> 400</w:t>
      </w:r>
      <w:r w:rsidR="00CB25E9">
        <w:t xml:space="preserve"> </w:t>
      </w:r>
      <w:r>
        <w:t xml:space="preserve">mg Q2W patients, latent </w:t>
      </w:r>
      <w:r w:rsidR="00EE730D">
        <w:t>tuberculosis</w:t>
      </w:r>
      <w:r>
        <w:t xml:space="preserve"> in 1 patient (</w:t>
      </w:r>
      <w:r w:rsidR="001D63B3">
        <w:t>certolizumab pegol</w:t>
      </w:r>
      <w:r>
        <w:t xml:space="preserve"> 400mg Q2W) and 1 patient (</w:t>
      </w:r>
      <w:r w:rsidR="001D63B3">
        <w:t>certolizumab pegol</w:t>
      </w:r>
      <w:r>
        <w:t xml:space="preserve"> 200</w:t>
      </w:r>
      <w:r w:rsidR="00CB25E9">
        <w:t xml:space="preserve"> </w:t>
      </w:r>
      <w:r>
        <w:t xml:space="preserve">mg Q2W), </w:t>
      </w:r>
      <w:r w:rsidRPr="00636F70">
        <w:rPr>
          <w:i/>
        </w:rPr>
        <w:t>E. coli</w:t>
      </w:r>
      <w:r>
        <w:t xml:space="preserve"> sepsis and </w:t>
      </w:r>
      <w:r w:rsidR="00EE730D">
        <w:t>tuberculosis</w:t>
      </w:r>
      <w:r>
        <w:t xml:space="preserve"> in 1 patient each in the </w:t>
      </w:r>
      <w:r w:rsidR="001D63B3">
        <w:t>certolizumab pegol</w:t>
      </w:r>
      <w:r>
        <w:t xml:space="preserve"> 400</w:t>
      </w:r>
      <w:r w:rsidR="00CB25E9">
        <w:t xml:space="preserve"> </w:t>
      </w:r>
      <w:r>
        <w:t xml:space="preserve">mg Q2W group, and urinary tract infection in 1 patient in the </w:t>
      </w:r>
      <w:r w:rsidR="001D63B3">
        <w:t>certolizumab pegol</w:t>
      </w:r>
      <w:r>
        <w:t xml:space="preserve"> 200</w:t>
      </w:r>
      <w:r w:rsidR="00CB25E9">
        <w:t xml:space="preserve"> </w:t>
      </w:r>
      <w:r>
        <w:t>mg Q2W group); and skin and subcutaneous tissue disorders (6</w:t>
      </w:r>
      <w:r w:rsidR="00CB25E9">
        <w:t> </w:t>
      </w:r>
      <w:r>
        <w:t xml:space="preserve">patient overall </w:t>
      </w:r>
      <w:r w:rsidR="001749BF">
        <w:t>(</w:t>
      </w:r>
      <w:r>
        <w:t>0.7%</w:t>
      </w:r>
      <w:r w:rsidR="001749BF">
        <w:t>)</w:t>
      </w:r>
      <w:r>
        <w:t xml:space="preserve">; dermatitis, guttate </w:t>
      </w:r>
      <w:r w:rsidR="00A567C2">
        <w:t>psoriasis</w:t>
      </w:r>
      <w:r>
        <w:t xml:space="preserve">, plaque </w:t>
      </w:r>
      <w:r w:rsidR="00A567C2">
        <w:t>psoriasis</w:t>
      </w:r>
      <w:r>
        <w:t xml:space="preserve">, pustular </w:t>
      </w:r>
      <w:r w:rsidR="00A567C2">
        <w:t>psoriasis</w:t>
      </w:r>
      <w:r>
        <w:t xml:space="preserve"> and urticaria in 1 patient each in the </w:t>
      </w:r>
      <w:r w:rsidR="001D63B3">
        <w:t>certolizumab pegol</w:t>
      </w:r>
      <w:r>
        <w:t xml:space="preserve"> 400</w:t>
      </w:r>
      <w:r w:rsidR="00CB25E9">
        <w:t xml:space="preserve"> </w:t>
      </w:r>
      <w:r>
        <w:t xml:space="preserve">mg Q2W group, and atopic dermatitis in 1 subject in the </w:t>
      </w:r>
      <w:r w:rsidR="001D63B3">
        <w:t>certolizumab pegol</w:t>
      </w:r>
      <w:r>
        <w:t xml:space="preserve"> 200</w:t>
      </w:r>
      <w:r w:rsidR="00CB25E9">
        <w:t xml:space="preserve"> </w:t>
      </w:r>
      <w:r>
        <w:t>mg Q2W group).</w:t>
      </w:r>
    </w:p>
    <w:p w:rsidR="00CC006D" w:rsidRDefault="00CC006D" w:rsidP="00555D01">
      <w:pPr>
        <w:pStyle w:val="Heading6"/>
      </w:pPr>
      <w:r>
        <w:t xml:space="preserve">Phase </w:t>
      </w:r>
      <w:r w:rsidR="00CB25E9">
        <w:t>II</w:t>
      </w:r>
      <w:r>
        <w:t xml:space="preserve"> studies and Pool S3</w:t>
      </w:r>
    </w:p>
    <w:p w:rsidR="00702D7B" w:rsidRDefault="00CC006D" w:rsidP="00CC006D">
      <w:r>
        <w:t xml:space="preserve">The Phase </w:t>
      </w:r>
      <w:r w:rsidR="00CB25E9">
        <w:t>II</w:t>
      </w:r>
      <w:r>
        <w:t xml:space="preserve"> and Pool S3 long-term safety datasets showed a similar pattern of findings with respect to infections overall and the most common types of infection by </w:t>
      </w:r>
      <w:r w:rsidR="001749BF">
        <w:t>P</w:t>
      </w:r>
      <w:r w:rsidR="00555D01">
        <w:t xml:space="preserve">referred </w:t>
      </w:r>
      <w:r w:rsidR="001749BF">
        <w:t>T</w:t>
      </w:r>
      <w:r w:rsidR="00555D01">
        <w:t>erm</w:t>
      </w:r>
      <w:r>
        <w:t xml:space="preserve">. Pool S3 revealed an incidence and pattern of SAEs consistent with the known side effects of </w:t>
      </w:r>
      <w:r w:rsidR="001D63B3">
        <w:t>certolizumab pegol</w:t>
      </w:r>
      <w:r>
        <w:t xml:space="preserve"> in other treatment indications.</w:t>
      </w:r>
    </w:p>
    <w:p w:rsidR="00CC006D" w:rsidRDefault="00CC006D" w:rsidP="00555D01">
      <w:pPr>
        <w:pStyle w:val="Heading5"/>
      </w:pPr>
      <w:r>
        <w:t>AEs of special interest</w:t>
      </w:r>
    </w:p>
    <w:p w:rsidR="00CC006D" w:rsidRDefault="00CC006D" w:rsidP="00555D01">
      <w:pPr>
        <w:pStyle w:val="Heading6"/>
      </w:pPr>
      <w:r>
        <w:t>Infections</w:t>
      </w:r>
    </w:p>
    <w:p w:rsidR="00702D7B" w:rsidRDefault="00CC006D" w:rsidP="00CC006D">
      <w:r>
        <w:t xml:space="preserve">The incidence of serious infection in Pool S3 was low at approximately 1.0% in each </w:t>
      </w:r>
      <w:r w:rsidR="001D63B3">
        <w:t>certolizumab pegol</w:t>
      </w:r>
      <w:r>
        <w:t xml:space="preserve"> treatment group (</w:t>
      </w:r>
      <w:r w:rsidR="00EE730D">
        <w:t>incident rate</w:t>
      </w:r>
      <w:r>
        <w:t xml:space="preserve"> of 1.68 per 100 </w:t>
      </w:r>
      <w:r w:rsidR="00EE730D">
        <w:t>patient-years</w:t>
      </w:r>
      <w:r>
        <w:t xml:space="preserve"> in the </w:t>
      </w:r>
      <w:r w:rsidR="001D63B3">
        <w:t>certolizumab pegol</w:t>
      </w:r>
      <w:r>
        <w:t xml:space="preserve"> 400</w:t>
      </w:r>
      <w:r w:rsidR="00CB25E9">
        <w:t xml:space="preserve"> </w:t>
      </w:r>
      <w:r>
        <w:t xml:space="preserve">mg group and 0.99 per 100 </w:t>
      </w:r>
      <w:r w:rsidR="00EE730D">
        <w:t>patient-years</w:t>
      </w:r>
      <w:r>
        <w:t xml:space="preserve"> in the </w:t>
      </w:r>
      <w:r w:rsidR="001D63B3">
        <w:t>certolizumab pegol</w:t>
      </w:r>
      <w:r>
        <w:t xml:space="preserve"> 200</w:t>
      </w:r>
      <w:r w:rsidR="00555D01">
        <w:t xml:space="preserve"> </w:t>
      </w:r>
      <w:r>
        <w:t xml:space="preserve">mg arm). In addition, 3 subjects reported serious infections in the Phase </w:t>
      </w:r>
      <w:r w:rsidR="00CB25E9">
        <w:t>II</w:t>
      </w:r>
      <w:r>
        <w:t xml:space="preserve"> studies. Two cases of </w:t>
      </w:r>
      <w:r w:rsidR="00EE730D">
        <w:t>tuberculosis</w:t>
      </w:r>
      <w:r>
        <w:t xml:space="preserve"> were reported with </w:t>
      </w:r>
      <w:r w:rsidR="001D63B3">
        <w:t>certolizumab pegol</w:t>
      </w:r>
      <w:r>
        <w:t xml:space="preserve"> 400</w:t>
      </w:r>
      <w:r w:rsidR="00555D01">
        <w:t xml:space="preserve"> </w:t>
      </w:r>
      <w:r>
        <w:t xml:space="preserve">mg Q2W treatment (1 each in Phase </w:t>
      </w:r>
      <w:r w:rsidR="00CB25E9">
        <w:t>II</w:t>
      </w:r>
      <w:r>
        <w:t xml:space="preserve"> and </w:t>
      </w:r>
      <w:r w:rsidR="00CB25E9">
        <w:t>III</w:t>
      </w:r>
      <w:r>
        <w:t>). No other significant opportunistic infections were identified.</w:t>
      </w:r>
    </w:p>
    <w:p w:rsidR="00CC006D" w:rsidRDefault="00CB25E9" w:rsidP="00555D01">
      <w:pPr>
        <w:pStyle w:val="Heading6"/>
      </w:pPr>
      <w:r>
        <w:t>Injection site reactions</w:t>
      </w:r>
    </w:p>
    <w:p w:rsidR="00CC006D" w:rsidRDefault="00CC006D" w:rsidP="00CC006D">
      <w:r>
        <w:t xml:space="preserve">In Pool S1, the incidence and </w:t>
      </w:r>
      <w:r w:rsidR="00EE730D">
        <w:t>incident rate</w:t>
      </w:r>
      <w:r>
        <w:t xml:space="preserve"> of </w:t>
      </w:r>
      <w:r w:rsidR="00555D01">
        <w:t>injection site reaction</w:t>
      </w:r>
      <w:r>
        <w:t xml:space="preserve">s was higher in the </w:t>
      </w:r>
      <w:r w:rsidR="001D63B3">
        <w:t>certolizumab pegol</w:t>
      </w:r>
      <w:r>
        <w:t xml:space="preserve"> 400</w:t>
      </w:r>
      <w:r w:rsidR="00CB25E9">
        <w:t xml:space="preserve"> </w:t>
      </w:r>
      <w:r>
        <w:t>mg group (3.5% [12</w:t>
      </w:r>
      <w:r w:rsidR="00CB25E9">
        <w:t xml:space="preserve"> of </w:t>
      </w:r>
      <w:r>
        <w:t xml:space="preserve">342]; 7 AEs with </w:t>
      </w:r>
      <w:r w:rsidR="00EE730D">
        <w:t>incident rate</w:t>
      </w:r>
      <w:r>
        <w:t xml:space="preserve"> of 11.84 per 100 </w:t>
      </w:r>
      <w:r w:rsidR="00EE730D">
        <w:t>patient-years</w:t>
      </w:r>
      <w:r>
        <w:t xml:space="preserve">) than the </w:t>
      </w:r>
      <w:r w:rsidR="001D63B3">
        <w:t>certolizumab pegol</w:t>
      </w:r>
      <w:r>
        <w:t xml:space="preserve"> 200</w:t>
      </w:r>
      <w:r w:rsidR="00CB25E9">
        <w:t xml:space="preserve"> </w:t>
      </w:r>
      <w:r>
        <w:t xml:space="preserve">mg arm (1.7% </w:t>
      </w:r>
      <w:r w:rsidR="001749BF">
        <w:t>(</w:t>
      </w:r>
      <w:r>
        <w:t>6</w:t>
      </w:r>
      <w:r w:rsidR="00CB25E9">
        <w:t xml:space="preserve"> of </w:t>
      </w:r>
      <w:r>
        <w:t>350</w:t>
      </w:r>
      <w:r w:rsidR="001749BF">
        <w:t>)</w:t>
      </w:r>
      <w:r>
        <w:t xml:space="preserve">; 18 AEs with </w:t>
      </w:r>
      <w:r w:rsidR="00EE730D">
        <w:t>incident rate</w:t>
      </w:r>
      <w:r>
        <w:t xml:space="preserve"> of 5.72 per 100 </w:t>
      </w:r>
      <w:r w:rsidR="00EE730D">
        <w:t>patient-years</w:t>
      </w:r>
      <w:r>
        <w:t xml:space="preserve">). The incidence and </w:t>
      </w:r>
      <w:r w:rsidR="00EE730D">
        <w:t>incident rate</w:t>
      </w:r>
      <w:r>
        <w:t xml:space="preserve"> of </w:t>
      </w:r>
      <w:r w:rsidR="00CB25E9">
        <w:t>injection site reaction</w:t>
      </w:r>
      <w:r>
        <w:t xml:space="preserve">s in the </w:t>
      </w:r>
      <w:r w:rsidR="00A316C5">
        <w:t>placebo</w:t>
      </w:r>
      <w:r>
        <w:t xml:space="preserve"> group were lowest at 0.6% (1</w:t>
      </w:r>
      <w:r w:rsidR="00CB25E9">
        <w:t xml:space="preserve"> of </w:t>
      </w:r>
      <w:r>
        <w:t xml:space="preserve">157) and 2.14 per 100 </w:t>
      </w:r>
      <w:r w:rsidR="00EE730D">
        <w:lastRenderedPageBreak/>
        <w:t>patient-years</w:t>
      </w:r>
      <w:r>
        <w:t xml:space="preserve"> (1 AE). One subject treated with </w:t>
      </w:r>
      <w:r w:rsidR="001D63B3">
        <w:t>certolizumab pegol</w:t>
      </w:r>
      <w:r>
        <w:t xml:space="preserve"> 400</w:t>
      </w:r>
      <w:r w:rsidR="00CB25E9">
        <w:t xml:space="preserve"> </w:t>
      </w:r>
      <w:r>
        <w:t xml:space="preserve">mg Q2W in the CIMPASI-1 study had an SAE of </w:t>
      </w:r>
      <w:r w:rsidR="00CB25E9">
        <w:t>injection site reaction</w:t>
      </w:r>
      <w:r>
        <w:t xml:space="preserve"> – anaphylactoid reaction occurring after their first dose. In Pool S4, 11 subjects (2.0%) in the </w:t>
      </w:r>
      <w:r w:rsidR="001D63B3">
        <w:t>certolizumab pegol</w:t>
      </w:r>
      <w:r>
        <w:t xml:space="preserve"> 400</w:t>
      </w:r>
      <w:r w:rsidR="00CB25E9">
        <w:t xml:space="preserve"> </w:t>
      </w:r>
      <w:r>
        <w:t xml:space="preserve">mg arm (including 8 escape treatment subjects) reported </w:t>
      </w:r>
      <w:r w:rsidR="00CB25E9">
        <w:t>injection site reaction</w:t>
      </w:r>
      <w:r>
        <w:t xml:space="preserve"> compared with 1</w:t>
      </w:r>
      <w:r w:rsidR="001749BF">
        <w:t> </w:t>
      </w:r>
      <w:r>
        <w:t xml:space="preserve">patient in the </w:t>
      </w:r>
      <w:r w:rsidR="001D63B3">
        <w:t>certolizumab pegol</w:t>
      </w:r>
      <w:r>
        <w:t xml:space="preserve"> 200</w:t>
      </w:r>
      <w:r w:rsidR="00CB25E9">
        <w:t xml:space="preserve"> </w:t>
      </w:r>
      <w:r>
        <w:t xml:space="preserve">mg group (0.3%). None of the </w:t>
      </w:r>
      <w:r w:rsidR="00CB25E9">
        <w:t>injection site reaction</w:t>
      </w:r>
      <w:r>
        <w:t>s in Pool S4 were considered to be serious.</w:t>
      </w:r>
    </w:p>
    <w:p w:rsidR="00CC006D" w:rsidRDefault="00CC006D" w:rsidP="008812B0">
      <w:pPr>
        <w:pStyle w:val="Heading5"/>
      </w:pPr>
      <w:r>
        <w:t xml:space="preserve">Deaths, malignancy and </w:t>
      </w:r>
      <w:r w:rsidR="00203E2A">
        <w:t>major adverse cardiac event</w:t>
      </w:r>
      <w:r>
        <w:t>s</w:t>
      </w:r>
    </w:p>
    <w:p w:rsidR="00CC006D" w:rsidRDefault="00CC006D" w:rsidP="00CC006D">
      <w:r>
        <w:t xml:space="preserve">The incidence rate of death, malignancy (solid organ as well skin cancers) and </w:t>
      </w:r>
      <w:r w:rsidR="004B098F">
        <w:t>major adverse cardiac event</w:t>
      </w:r>
      <w:r>
        <w:t xml:space="preserve">s </w:t>
      </w:r>
      <w:r w:rsidR="004B098F">
        <w:t>(MACE)</w:t>
      </w:r>
      <w:r w:rsidR="001749BF">
        <w:t xml:space="preserve"> </w:t>
      </w:r>
      <w:r>
        <w:t xml:space="preserve">in the </w:t>
      </w:r>
      <w:r w:rsidR="001D63B3">
        <w:t>certolizumab pegol</w:t>
      </w:r>
      <w:r>
        <w:t xml:space="preserve"> </w:t>
      </w:r>
      <w:r w:rsidR="00A567C2">
        <w:t>psoriasis</w:t>
      </w:r>
      <w:r>
        <w:t xml:space="preserve"> dataset was within expectations of the treatment population. Two fatalities in </w:t>
      </w:r>
      <w:r w:rsidR="001D63B3">
        <w:t>certolizumab pegol</w:t>
      </w:r>
      <w:r>
        <w:t xml:space="preserve"> 400</w:t>
      </w:r>
      <w:r w:rsidR="00CB25E9">
        <w:t xml:space="preserve"> </w:t>
      </w:r>
      <w:r>
        <w:t xml:space="preserve">mg Q2W patients were not related to </w:t>
      </w:r>
      <w:r w:rsidR="001D63B3">
        <w:t>certolizumab pegol</w:t>
      </w:r>
      <w:r>
        <w:t xml:space="preserve">. In addition, the types of cancer and MACE observed were low and did not identify any specific safety signals with </w:t>
      </w:r>
      <w:r w:rsidR="001D63B3">
        <w:t>certolizumab pegol</w:t>
      </w:r>
      <w:r>
        <w:t xml:space="preserve">. However, longer periods of treatment follow-up are required to inform about these potential safety concerns. In Pool S3, 2 cases of multiple sclerosis were reported in the Phase </w:t>
      </w:r>
      <w:r w:rsidR="00CB25E9">
        <w:t>II and III</w:t>
      </w:r>
      <w:r>
        <w:t xml:space="preserve"> studies (1 case with each </w:t>
      </w:r>
      <w:r w:rsidR="001D63B3">
        <w:t>certolizumab pegol</w:t>
      </w:r>
      <w:r>
        <w:t xml:space="preserve"> dose).</w:t>
      </w:r>
    </w:p>
    <w:p w:rsidR="00CC006D" w:rsidRDefault="00CC006D" w:rsidP="004B098F">
      <w:pPr>
        <w:pStyle w:val="Heading5"/>
      </w:pPr>
      <w:r>
        <w:t>Hepatic AEs</w:t>
      </w:r>
    </w:p>
    <w:p w:rsidR="00CC006D" w:rsidRDefault="00CC006D" w:rsidP="00CC006D">
      <w:r>
        <w:t xml:space="preserve">A total of 75 patients (6.7%) treated with </w:t>
      </w:r>
      <w:r w:rsidR="001D63B3">
        <w:t>certolizumab pegol</w:t>
      </w:r>
      <w:r>
        <w:t xml:space="preserve"> recorded hepatic AEs in the Phase </w:t>
      </w:r>
      <w:r w:rsidR="00CB25E9">
        <w:t>II and III</w:t>
      </w:r>
      <w:r>
        <w:t xml:space="preserve"> studies. The incidence and exposure adjusted </w:t>
      </w:r>
      <w:r w:rsidR="00EE730D">
        <w:t>incident rate</w:t>
      </w:r>
      <w:r>
        <w:t xml:space="preserve">s across the treatment groups in the Phase </w:t>
      </w:r>
      <w:r w:rsidR="00CB25E9">
        <w:t>III</w:t>
      </w:r>
      <w:r>
        <w:t xml:space="preserve"> trials was slightly higher with </w:t>
      </w:r>
      <w:r w:rsidR="001D63B3">
        <w:t>certolizumab pegol</w:t>
      </w:r>
      <w:r>
        <w:t xml:space="preserve"> 400</w:t>
      </w:r>
      <w:r w:rsidR="00CB25E9">
        <w:t> </w:t>
      </w:r>
      <w:r>
        <w:t xml:space="preserve">mg Q2W (6.4% with </w:t>
      </w:r>
      <w:r w:rsidR="00EE730D">
        <w:t>incident rate</w:t>
      </w:r>
      <w:r>
        <w:t xml:space="preserve"> of 9.3 per 100 </w:t>
      </w:r>
      <w:r w:rsidR="00EE730D">
        <w:t>patient-years</w:t>
      </w:r>
      <w:r>
        <w:t xml:space="preserve">) compared to </w:t>
      </w:r>
      <w:r w:rsidR="001D63B3">
        <w:t>certolizumab pegol</w:t>
      </w:r>
      <w:r>
        <w:t xml:space="preserve"> 200</w:t>
      </w:r>
      <w:r w:rsidR="00CB25E9">
        <w:t xml:space="preserve"> mg Q2W (</w:t>
      </w:r>
      <w:r>
        <w:t xml:space="preserve">4.6% with </w:t>
      </w:r>
      <w:r w:rsidR="00EE730D">
        <w:t>incident rate</w:t>
      </w:r>
      <w:r>
        <w:t xml:space="preserve"> of 8.2 per 100 </w:t>
      </w:r>
      <w:r w:rsidR="00EE730D">
        <w:t>patient-years</w:t>
      </w:r>
      <w:r>
        <w:t>). When comparing the safety pools (</w:t>
      </w:r>
      <w:r w:rsidR="00A567C2">
        <w:t>that is,</w:t>
      </w:r>
      <w:r>
        <w:t xml:space="preserve"> S1 with S4), the rates of hepatic AEs did not increase over time on </w:t>
      </w:r>
      <w:r w:rsidR="001D63B3">
        <w:t>certolizumab pegol</w:t>
      </w:r>
      <w:r>
        <w:t>.</w:t>
      </w:r>
    </w:p>
    <w:p w:rsidR="00CC006D" w:rsidRDefault="00CC006D" w:rsidP="00CC006D">
      <w:r>
        <w:t xml:space="preserve">In Pool S3, three additional hepatic related AEs were reported including 2 cases of drug-induced hepatitis or liver injury with </w:t>
      </w:r>
      <w:r w:rsidR="001D63B3">
        <w:t>certolizumab pegol</w:t>
      </w:r>
      <w:r>
        <w:t xml:space="preserve"> 200</w:t>
      </w:r>
      <w:r w:rsidR="00CB25E9">
        <w:t xml:space="preserve"> </w:t>
      </w:r>
      <w:r>
        <w:t>mg Q2W therapy.</w:t>
      </w:r>
    </w:p>
    <w:p w:rsidR="00CC006D" w:rsidRDefault="00CC006D" w:rsidP="004B098F">
      <w:pPr>
        <w:pStyle w:val="Heading5"/>
      </w:pPr>
      <w:r>
        <w:t>Haematological AEs</w:t>
      </w:r>
    </w:p>
    <w:p w:rsidR="00702D7B" w:rsidRDefault="00CC006D" w:rsidP="00CC006D">
      <w:r>
        <w:t xml:space="preserve">Regarding haematology parameters, Pool S1 identified 2 trends with </w:t>
      </w:r>
      <w:r w:rsidR="001D63B3">
        <w:t>certolizumab pegol</w:t>
      </w:r>
      <w:r>
        <w:t xml:space="preserve"> therapy </w:t>
      </w:r>
      <w:r w:rsidR="00A567C2">
        <w:t>versus</w:t>
      </w:r>
      <w:r>
        <w:t xml:space="preserve"> </w:t>
      </w:r>
      <w:r w:rsidR="00A316C5">
        <w:t>placebo</w:t>
      </w:r>
      <w:r>
        <w:t>:</w:t>
      </w:r>
    </w:p>
    <w:p w:rsidR="00CC006D" w:rsidRDefault="00CC006D" w:rsidP="00CB25E9">
      <w:pPr>
        <w:pStyle w:val="ListBullet"/>
      </w:pPr>
      <w:r>
        <w:t xml:space="preserve">a slightly higher frequency of subjects with their platelet count going from normal at baseline to low post-treatment (1.3% with </w:t>
      </w:r>
      <w:r w:rsidR="00A316C5">
        <w:t>placebo</w:t>
      </w:r>
      <w:r>
        <w:t xml:space="preserve"> compared with 2.6% with </w:t>
      </w:r>
      <w:r w:rsidR="001D63B3">
        <w:t>certolizumab pegol</w:t>
      </w:r>
      <w:r>
        <w:t xml:space="preserve"> 200</w:t>
      </w:r>
      <w:r w:rsidR="00CB25E9">
        <w:t xml:space="preserve"> </w:t>
      </w:r>
      <w:r>
        <w:t xml:space="preserve">mg Q2W and 1.8% with </w:t>
      </w:r>
      <w:r w:rsidR="001D63B3">
        <w:t>certolizumab pegol</w:t>
      </w:r>
      <w:r>
        <w:t xml:space="preserve"> 400</w:t>
      </w:r>
      <w:r w:rsidR="00CB25E9">
        <w:t> </w:t>
      </w:r>
      <w:r>
        <w:t>mg Q2W); and</w:t>
      </w:r>
    </w:p>
    <w:p w:rsidR="00CC006D" w:rsidRDefault="00CC006D" w:rsidP="00CB25E9">
      <w:pPr>
        <w:pStyle w:val="ListBullet"/>
      </w:pPr>
      <w:r>
        <w:t xml:space="preserve">a higher incidence of markedly low haemoglobin level with </w:t>
      </w:r>
      <w:r w:rsidR="001D63B3">
        <w:t>certolizumab pegol</w:t>
      </w:r>
      <w:r>
        <w:t xml:space="preserve"> 400</w:t>
      </w:r>
      <w:r w:rsidR="00CB25E9">
        <w:t xml:space="preserve"> </w:t>
      </w:r>
      <w:r>
        <w:t xml:space="preserve">mg therapy (1.2% compared with 0.6% in the </w:t>
      </w:r>
      <w:r w:rsidR="00A316C5">
        <w:t>placebo</w:t>
      </w:r>
      <w:r>
        <w:t xml:space="preserve"> arm and 0.3% in the </w:t>
      </w:r>
      <w:r w:rsidR="001D63B3">
        <w:t>certolizumab pegol</w:t>
      </w:r>
      <w:r>
        <w:t xml:space="preserve"> 200</w:t>
      </w:r>
      <w:r w:rsidR="00CB25E9">
        <w:t xml:space="preserve"> </w:t>
      </w:r>
      <w:r>
        <w:t xml:space="preserve">mg group). In the all </w:t>
      </w:r>
      <w:r w:rsidR="001D63B3">
        <w:t>certolizumab pegol</w:t>
      </w:r>
      <w:r>
        <w:t xml:space="preserve"> treated cohort of Pool S4, a total of 7 subjects (0.8%) reported low haemoglobin, 2 subjects (0.2%) recorded lymphop</w:t>
      </w:r>
      <w:r w:rsidR="001749BF">
        <w:t>a</w:t>
      </w:r>
      <w:r>
        <w:t xml:space="preserve">enia and 1 subject receiving </w:t>
      </w:r>
      <w:r w:rsidR="001D63B3">
        <w:t>certolizumab pegol</w:t>
      </w:r>
      <w:r>
        <w:t xml:space="preserve"> 200</w:t>
      </w:r>
      <w:r w:rsidR="00CB25E9">
        <w:t xml:space="preserve"> </w:t>
      </w:r>
      <w:r>
        <w:t xml:space="preserve">mg Q2W therapy in the CIMPACT </w:t>
      </w:r>
      <w:r w:rsidR="001749BF">
        <w:t xml:space="preserve">study </w:t>
      </w:r>
      <w:r>
        <w:t>experienced both neutrop</w:t>
      </w:r>
      <w:r w:rsidR="001749BF">
        <w:t>a</w:t>
      </w:r>
      <w:r>
        <w:t>enia and thrombocytop</w:t>
      </w:r>
      <w:r w:rsidR="001749BF">
        <w:t>a</w:t>
      </w:r>
      <w:r>
        <w:t>enia.</w:t>
      </w:r>
    </w:p>
    <w:p w:rsidR="00CC006D" w:rsidRDefault="00CC006D" w:rsidP="004B098F">
      <w:pPr>
        <w:pStyle w:val="Heading5"/>
      </w:pPr>
      <w:r>
        <w:t>Laboratory abnormalities</w:t>
      </w:r>
    </w:p>
    <w:p w:rsidR="00702D7B" w:rsidRDefault="00CC006D" w:rsidP="00CC006D">
      <w:r>
        <w:t xml:space="preserve">The safety dataset also identified 3 other abnormalities of laboratory values that occurred at a numerically higher frequency in the </w:t>
      </w:r>
      <w:r w:rsidR="001D63B3">
        <w:t>certolizumab pegol</w:t>
      </w:r>
      <w:r>
        <w:t xml:space="preserve"> treatment cohorts compared with </w:t>
      </w:r>
      <w:r w:rsidR="00A316C5">
        <w:t>placebo</w:t>
      </w:r>
      <w:r>
        <w:t xml:space="preserve">. Elevations in hepatic transaminases, serum </w:t>
      </w:r>
      <w:r w:rsidR="00EF53A2">
        <w:t>creatine phosphokinase</w:t>
      </w:r>
      <w:r w:rsidR="00702D7B">
        <w:t xml:space="preserve"> </w:t>
      </w:r>
      <w:r>
        <w:t xml:space="preserve">levels and possibly dyslipidaemia have been associated with </w:t>
      </w:r>
      <w:r w:rsidR="001D63B3">
        <w:t>certolizumab pegol</w:t>
      </w:r>
      <w:r>
        <w:t xml:space="preserve">. None of these laboratory abnormalities displayed a clear </w:t>
      </w:r>
      <w:r w:rsidR="001D63B3">
        <w:t>certolizumab pegol</w:t>
      </w:r>
      <w:r>
        <w:t xml:space="preserve"> dose response relationship. In general, patients who developed increases in liver function tests and serum </w:t>
      </w:r>
      <w:r w:rsidR="00EF53A2">
        <w:t>creatine phosphokinase</w:t>
      </w:r>
      <w:r w:rsidR="00702D7B">
        <w:t xml:space="preserve"> </w:t>
      </w:r>
      <w:r>
        <w:t xml:space="preserve">levels had changes of mild-moderate severity that were transient in nature and without associated clinical sequelae. The clinical impact of potentially atherogenic lipid profiles induced by biologic therapies, including </w:t>
      </w:r>
      <w:r w:rsidR="001D63B3">
        <w:t>certolizumab pegol</w:t>
      </w:r>
      <w:r>
        <w:t xml:space="preserve"> and other anti-TNF treatments, in patients with </w:t>
      </w:r>
      <w:r w:rsidR="00A567C2">
        <w:t>psoriasis</w:t>
      </w:r>
      <w:r>
        <w:t xml:space="preserve"> is unclear, but in short term follow-up, </w:t>
      </w:r>
      <w:r w:rsidR="001D63B3">
        <w:lastRenderedPageBreak/>
        <w:t>certolizumab pegol</w:t>
      </w:r>
      <w:r>
        <w:t xml:space="preserve"> was not associated with an increased rate of </w:t>
      </w:r>
      <w:r w:rsidR="00203E2A">
        <w:t>major adverse cardiac events</w:t>
      </w:r>
      <w:r>
        <w:t>.</w:t>
      </w:r>
    </w:p>
    <w:p w:rsidR="00CC006D" w:rsidRDefault="00CB25E9" w:rsidP="004B098F">
      <w:pPr>
        <w:pStyle w:val="Heading5"/>
      </w:pPr>
      <w:r>
        <w:t>Antidrug antibodie</w:t>
      </w:r>
      <w:r w:rsidR="00CC006D">
        <w:t>s</w:t>
      </w:r>
    </w:p>
    <w:p w:rsidR="00CC006D" w:rsidRDefault="00CC006D" w:rsidP="00CC006D">
      <w:r>
        <w:t xml:space="preserve">In the Phase </w:t>
      </w:r>
      <w:r w:rsidR="00CB25E9">
        <w:t>III</w:t>
      </w:r>
      <w:r>
        <w:t xml:space="preserve"> studies, the incidence of positive </w:t>
      </w:r>
      <w:r w:rsidR="00CB25E9">
        <w:t>antidrug antibodies</w:t>
      </w:r>
      <w:r>
        <w:t xml:space="preserve"> was consistently more than </w:t>
      </w:r>
      <w:r w:rsidR="00BC7159">
        <w:t>2 fold</w:t>
      </w:r>
      <w:r>
        <w:t xml:space="preserve"> higher in the </w:t>
      </w:r>
      <w:r w:rsidR="001D63B3">
        <w:t>certolizumab pegol</w:t>
      </w:r>
      <w:r>
        <w:t xml:space="preserve"> 200</w:t>
      </w:r>
      <w:r w:rsidR="00CB25E9">
        <w:t xml:space="preserve"> </w:t>
      </w:r>
      <w:r>
        <w:t xml:space="preserve">mg Q2W group compared to patients treated with </w:t>
      </w:r>
      <w:r w:rsidR="001D63B3">
        <w:t>certolizumab pegol</w:t>
      </w:r>
      <w:r>
        <w:t xml:space="preserve"> 400</w:t>
      </w:r>
      <w:r w:rsidR="00CB25E9">
        <w:t xml:space="preserve"> </w:t>
      </w:r>
      <w:r>
        <w:t xml:space="preserve">mg Q2W. In the initial treatment period of the Phase </w:t>
      </w:r>
      <w:r w:rsidR="00CB25E9">
        <w:t>III</w:t>
      </w:r>
      <w:r>
        <w:t xml:space="preserve"> trials, the overall frequency of </w:t>
      </w:r>
      <w:r w:rsidR="00CB25E9">
        <w:t>antidrug antibody</w:t>
      </w:r>
      <w:r>
        <w:t xml:space="preserve"> positivity was 14.7% (51</w:t>
      </w:r>
      <w:r w:rsidR="00CB25E9">
        <w:t xml:space="preserve"> of </w:t>
      </w:r>
      <w:r>
        <w:t xml:space="preserve">347) with </w:t>
      </w:r>
      <w:r w:rsidR="001D63B3">
        <w:t>certolizumab pegol</w:t>
      </w:r>
      <w:r>
        <w:t xml:space="preserve"> 200</w:t>
      </w:r>
      <w:r w:rsidR="00CB25E9">
        <w:t xml:space="preserve"> </w:t>
      </w:r>
      <w:r>
        <w:t>mg Q2W therapy compared with 5.3% (18</w:t>
      </w:r>
      <w:r w:rsidR="00CB25E9">
        <w:t xml:space="preserve"> of </w:t>
      </w:r>
      <w:r>
        <w:t xml:space="preserve">340) in those treated with </w:t>
      </w:r>
      <w:r w:rsidR="001D63B3">
        <w:t>certolizumab pegol</w:t>
      </w:r>
      <w:r>
        <w:t xml:space="preserve"> 400</w:t>
      </w:r>
      <w:r w:rsidR="00CB25E9">
        <w:t xml:space="preserve"> </w:t>
      </w:r>
      <w:r>
        <w:t xml:space="preserve">mg Q2W. In the combined initial and maintenance treatment periods of the Phase </w:t>
      </w:r>
      <w:r w:rsidR="00CB25E9">
        <w:t>III</w:t>
      </w:r>
      <w:r>
        <w:t xml:space="preserve"> studies, the incidence of positive </w:t>
      </w:r>
      <w:r w:rsidR="00CB25E9">
        <w:t>antidrug antibodies</w:t>
      </w:r>
      <w:r>
        <w:t xml:space="preserve"> was 19.2% (54</w:t>
      </w:r>
      <w:r w:rsidR="00CB25E9">
        <w:t xml:space="preserve"> of </w:t>
      </w:r>
      <w:r>
        <w:t xml:space="preserve">281) with </w:t>
      </w:r>
      <w:r w:rsidR="001D63B3">
        <w:t>certolizumab pegol</w:t>
      </w:r>
      <w:r>
        <w:t xml:space="preserve"> 200</w:t>
      </w:r>
      <w:r w:rsidR="00CB25E9">
        <w:t xml:space="preserve"> </w:t>
      </w:r>
      <w:r>
        <w:t>mg Q2W therapy compared with 8.3% (22</w:t>
      </w:r>
      <w:r w:rsidR="00CB25E9">
        <w:t xml:space="preserve"> of </w:t>
      </w:r>
      <w:r>
        <w:t xml:space="preserve">265) in those treated with </w:t>
      </w:r>
      <w:r w:rsidR="001D63B3">
        <w:t>certolizumab pegol</w:t>
      </w:r>
      <w:r>
        <w:t xml:space="preserve"> 400</w:t>
      </w:r>
      <w:r w:rsidR="00CB25E9">
        <w:t xml:space="preserve"> </w:t>
      </w:r>
      <w:r>
        <w:t xml:space="preserve">mg Q2W. Of the subjects who developed antibodies to </w:t>
      </w:r>
      <w:r w:rsidR="001D63B3">
        <w:t>certolizumab pegol</w:t>
      </w:r>
      <w:r>
        <w:t xml:space="preserve"> (CIMPASI studies only), 45% (27</w:t>
      </w:r>
      <w:r w:rsidR="00CB25E9">
        <w:t xml:space="preserve"> of </w:t>
      </w:r>
      <w:r>
        <w:t>60) had antibodies that were classified as neutralising. Antibody formation was associated with lowered drug plasma concentration and reduced efficacy.</w:t>
      </w:r>
    </w:p>
    <w:p w:rsidR="00CC006D" w:rsidRDefault="00CC006D" w:rsidP="00CC006D">
      <w:r>
        <w:t xml:space="preserve">In the CIMPACT Study, subjects initially randomised to </w:t>
      </w:r>
      <w:r w:rsidR="00F65747">
        <w:t>etanercept</w:t>
      </w:r>
      <w:r>
        <w:t xml:space="preserve"> or </w:t>
      </w:r>
      <w:r w:rsidR="00A316C5">
        <w:t>placebo</w:t>
      </w:r>
      <w:r>
        <w:t xml:space="preserve">, and who were re-randomised to </w:t>
      </w:r>
      <w:r w:rsidR="001D63B3">
        <w:t>certolizumab pegol</w:t>
      </w:r>
      <w:r>
        <w:t xml:space="preserve">, the same observation was recorded (20.3% </w:t>
      </w:r>
      <w:r w:rsidR="00ED6F86">
        <w:t>(</w:t>
      </w:r>
      <w:r>
        <w:t>12</w:t>
      </w:r>
      <w:r w:rsidR="00CB25E9">
        <w:t xml:space="preserve"> of </w:t>
      </w:r>
      <w:r>
        <w:t>59</w:t>
      </w:r>
      <w:r w:rsidR="00ED6F86">
        <w:t>)</w:t>
      </w:r>
      <w:r>
        <w:t xml:space="preserve"> treated with </w:t>
      </w:r>
      <w:r w:rsidR="001D63B3">
        <w:t>certolizumab pegol</w:t>
      </w:r>
      <w:r>
        <w:t xml:space="preserve"> 200</w:t>
      </w:r>
      <w:r w:rsidR="00CB25E9">
        <w:t xml:space="preserve"> </w:t>
      </w:r>
      <w:r>
        <w:t xml:space="preserve">mg Q2W recorded positive </w:t>
      </w:r>
      <w:r w:rsidR="00CB25E9">
        <w:t>antidrug antibodies</w:t>
      </w:r>
      <w:r>
        <w:t xml:space="preserve"> versus 7.7% </w:t>
      </w:r>
      <w:r w:rsidR="00ED6F86">
        <w:t>(</w:t>
      </w:r>
      <w:r>
        <w:t>16</w:t>
      </w:r>
      <w:r w:rsidR="00CB25E9">
        <w:t xml:space="preserve"> of </w:t>
      </w:r>
      <w:r>
        <w:t>209</w:t>
      </w:r>
      <w:r w:rsidR="00ED6F86">
        <w:t>)</w:t>
      </w:r>
      <w:r>
        <w:t xml:space="preserve"> given </w:t>
      </w:r>
      <w:r w:rsidR="001D63B3">
        <w:t>certolizumab pegol</w:t>
      </w:r>
      <w:r>
        <w:t xml:space="preserve"> 400</w:t>
      </w:r>
      <w:r w:rsidR="00CB25E9">
        <w:t xml:space="preserve"> </w:t>
      </w:r>
      <w:r>
        <w:t xml:space="preserve">mg Q2W). As expected, the frequency of </w:t>
      </w:r>
      <w:r w:rsidR="00CB25E9">
        <w:t>antidrug antibody</w:t>
      </w:r>
      <w:r>
        <w:t xml:space="preserve"> positivity was considerably higher in subjects who escaped their initial </w:t>
      </w:r>
      <w:r w:rsidR="001D63B3">
        <w:t>certolizumab pegol</w:t>
      </w:r>
      <w:r>
        <w:t xml:space="preserve"> treatment at </w:t>
      </w:r>
      <w:r w:rsidR="00CB25E9">
        <w:t>W</w:t>
      </w:r>
      <w:r>
        <w:t>eek 16 because of insufficient clinical response (versus PASI responders).</w:t>
      </w:r>
    </w:p>
    <w:p w:rsidR="00702D7B" w:rsidRDefault="00CC006D" w:rsidP="00CC006D">
      <w:r>
        <w:t xml:space="preserve">In the Phase </w:t>
      </w:r>
      <w:r w:rsidR="00CB25E9">
        <w:t>II</w:t>
      </w:r>
      <w:r>
        <w:t xml:space="preserve"> trials (</w:t>
      </w:r>
      <w:r w:rsidR="00ED6F86">
        <w:t xml:space="preserve">Studies </w:t>
      </w:r>
      <w:r>
        <w:t xml:space="preserve">C87040 and C87044), the difference in incidence of </w:t>
      </w:r>
      <w:r w:rsidR="00CB25E9">
        <w:t>antidrug antibody</w:t>
      </w:r>
      <w:r>
        <w:t xml:space="preserve"> positivity between the </w:t>
      </w:r>
      <w:r w:rsidR="004B098F">
        <w:t>two</w:t>
      </w:r>
      <w:r>
        <w:t xml:space="preserve"> </w:t>
      </w:r>
      <w:r w:rsidR="001D63B3">
        <w:t>certolizumab pegol</w:t>
      </w:r>
      <w:r>
        <w:t xml:space="preserve"> dose regimens was much less marked than the Phase </w:t>
      </w:r>
      <w:r w:rsidR="00CB25E9">
        <w:t>III</w:t>
      </w:r>
      <w:r>
        <w:t xml:space="preserve"> program. The incidence of </w:t>
      </w:r>
      <w:r w:rsidR="00CB25E9">
        <w:t>antidrug antibody</w:t>
      </w:r>
      <w:r>
        <w:t xml:space="preserve"> positivity was higher in the </w:t>
      </w:r>
      <w:r w:rsidR="001D63B3">
        <w:t>certolizumab pegol</w:t>
      </w:r>
      <w:r>
        <w:t xml:space="preserve"> 200</w:t>
      </w:r>
      <w:r w:rsidR="00CB25E9">
        <w:t xml:space="preserve"> </w:t>
      </w:r>
      <w:r>
        <w:t xml:space="preserve">mg Q2W group compared with the </w:t>
      </w:r>
      <w:r w:rsidR="001D63B3">
        <w:t>certolizumab pegol</w:t>
      </w:r>
      <w:r>
        <w:t xml:space="preserve"> 400</w:t>
      </w:r>
      <w:r w:rsidR="00CB25E9">
        <w:t xml:space="preserve"> </w:t>
      </w:r>
      <w:r>
        <w:t>mg Q2W group during the 12</w:t>
      </w:r>
      <w:r w:rsidR="00CB25E9">
        <w:t xml:space="preserve"> </w:t>
      </w:r>
      <w:r>
        <w:t xml:space="preserve">week initial treatment period of Study C87040 (15.3% </w:t>
      </w:r>
      <w:r w:rsidR="00ED6F86">
        <w:t>(</w:t>
      </w:r>
      <w:r>
        <w:t>9</w:t>
      </w:r>
      <w:r w:rsidR="00CB25E9">
        <w:t xml:space="preserve"> of </w:t>
      </w:r>
      <w:r>
        <w:t>59</w:t>
      </w:r>
      <w:r w:rsidR="00ED6F86">
        <w:t>)</w:t>
      </w:r>
      <w:r>
        <w:t xml:space="preserve"> </w:t>
      </w:r>
      <w:r w:rsidR="00A567C2">
        <w:t>versus</w:t>
      </w:r>
      <w:r>
        <w:t xml:space="preserve"> 10.5% </w:t>
      </w:r>
      <w:r w:rsidR="00ED6F86">
        <w:t>(</w:t>
      </w:r>
      <w:r>
        <w:t>6</w:t>
      </w:r>
      <w:r w:rsidR="00CB25E9">
        <w:t xml:space="preserve"> of </w:t>
      </w:r>
      <w:r>
        <w:t>57</w:t>
      </w:r>
      <w:r w:rsidR="00ED6F86">
        <w:t>)</w:t>
      </w:r>
      <w:r>
        <w:t>, respectively) as well as during the combined 12</w:t>
      </w:r>
      <w:r w:rsidR="00CB25E9">
        <w:t> </w:t>
      </w:r>
      <w:r>
        <w:t xml:space="preserve">week treatment periods of Studies C87040 and C87044 (23.7% </w:t>
      </w:r>
      <w:r w:rsidR="00ED6F86">
        <w:t>(</w:t>
      </w:r>
      <w:r>
        <w:t>14</w:t>
      </w:r>
      <w:r w:rsidR="00CB25E9">
        <w:t xml:space="preserve"> of </w:t>
      </w:r>
      <w:r>
        <w:t>59</w:t>
      </w:r>
      <w:r w:rsidR="00ED6F86">
        <w:t>)</w:t>
      </w:r>
      <w:r>
        <w:t xml:space="preserve"> </w:t>
      </w:r>
      <w:r w:rsidR="00A567C2">
        <w:t>versus</w:t>
      </w:r>
      <w:r>
        <w:t xml:space="preserve"> 19.3% </w:t>
      </w:r>
      <w:r w:rsidR="00ED6F86">
        <w:t>(</w:t>
      </w:r>
      <w:r>
        <w:t>11</w:t>
      </w:r>
      <w:r w:rsidR="00CB25E9">
        <w:t xml:space="preserve"> of </w:t>
      </w:r>
      <w:r>
        <w:t>57</w:t>
      </w:r>
      <w:r w:rsidR="00ED6F86">
        <w:t>)</w:t>
      </w:r>
      <w:r>
        <w:t>, respectively), but during the 24</w:t>
      </w:r>
      <w:r w:rsidR="00CB25E9">
        <w:t xml:space="preserve"> </w:t>
      </w:r>
      <w:r>
        <w:t>week follow-up period in Study</w:t>
      </w:r>
      <w:r w:rsidR="00ED6F86">
        <w:t> </w:t>
      </w:r>
      <w:r>
        <w:t>C87040, 30.0% (15</w:t>
      </w:r>
      <w:r w:rsidR="00CB25E9">
        <w:t xml:space="preserve"> of </w:t>
      </w:r>
      <w:r>
        <w:t xml:space="preserve">50) in both the </w:t>
      </w:r>
      <w:r w:rsidR="001D63B3">
        <w:t>certolizumab pegol</w:t>
      </w:r>
      <w:r>
        <w:t xml:space="preserve"> 200</w:t>
      </w:r>
      <w:r w:rsidR="00CB25E9">
        <w:t xml:space="preserve"> </w:t>
      </w:r>
      <w:r>
        <w:t xml:space="preserve">mg Q2W and </w:t>
      </w:r>
      <w:r w:rsidR="001D63B3">
        <w:t>certolizumab pegol</w:t>
      </w:r>
      <w:r>
        <w:t xml:space="preserve"> 400</w:t>
      </w:r>
      <w:r w:rsidR="00CB25E9">
        <w:t> </w:t>
      </w:r>
      <w:r>
        <w:t xml:space="preserve">mg Q2W groups were </w:t>
      </w:r>
      <w:r w:rsidR="00CB25E9">
        <w:t>antidrug antibody</w:t>
      </w:r>
      <w:r>
        <w:t xml:space="preserve"> positive. </w:t>
      </w:r>
      <w:r w:rsidR="00CB25E9">
        <w:t>In addition, the appearance of antidrug antibodies</w:t>
      </w:r>
      <w:r>
        <w:t xml:space="preserve"> during the follow-up period occurred earlier in the </w:t>
      </w:r>
      <w:r w:rsidR="001D63B3">
        <w:t>certolizumab pegol</w:t>
      </w:r>
      <w:r>
        <w:t xml:space="preserve"> 200</w:t>
      </w:r>
      <w:r w:rsidR="00CB25E9">
        <w:t> </w:t>
      </w:r>
      <w:r>
        <w:t xml:space="preserve">mg Q2W group (at follow-up </w:t>
      </w:r>
      <w:r w:rsidR="00CB25E9">
        <w:t>W</w:t>
      </w:r>
      <w:r>
        <w:t xml:space="preserve">eeks 4 and 8) compared with the </w:t>
      </w:r>
      <w:r w:rsidR="001D63B3">
        <w:t>certolizumab pegol</w:t>
      </w:r>
      <w:r>
        <w:t xml:space="preserve"> 400</w:t>
      </w:r>
      <w:r w:rsidR="00C1015F">
        <w:t> </w:t>
      </w:r>
      <w:r>
        <w:t xml:space="preserve">mg Q2W arm (at </w:t>
      </w:r>
      <w:r w:rsidR="00C1015F">
        <w:t>W</w:t>
      </w:r>
      <w:r>
        <w:t xml:space="preserve">eek 12). The design of these Phase </w:t>
      </w:r>
      <w:r w:rsidR="00C1015F">
        <w:t>II</w:t>
      </w:r>
      <w:r>
        <w:t xml:space="preserve"> studies differed from the Phase </w:t>
      </w:r>
      <w:r w:rsidR="00ED6F86">
        <w:t>III</w:t>
      </w:r>
      <w:r>
        <w:t xml:space="preserve"> trials with small numbers of subjects in each treatment group, a single </w:t>
      </w:r>
      <w:r w:rsidR="001D63B3">
        <w:t>certolizumab pegol</w:t>
      </w:r>
      <w:r>
        <w:t xml:space="preserve"> 400</w:t>
      </w:r>
      <w:r w:rsidR="00C1015F">
        <w:t xml:space="preserve"> </w:t>
      </w:r>
      <w:r>
        <w:t>mg loading dose and relatively short treatment period of only 12</w:t>
      </w:r>
      <w:r w:rsidR="00C1015F">
        <w:t> </w:t>
      </w:r>
      <w:r>
        <w:t xml:space="preserve">weeks. It is possible that the duration of treatment was too short for the difference in </w:t>
      </w:r>
      <w:r w:rsidR="00C1015F">
        <w:t>antidrug antibody</w:t>
      </w:r>
      <w:r>
        <w:t xml:space="preserve"> incidence between the </w:t>
      </w:r>
      <w:r w:rsidR="004B098F">
        <w:t>two</w:t>
      </w:r>
      <w:r>
        <w:t xml:space="preserve"> </w:t>
      </w:r>
      <w:r w:rsidR="001D63B3">
        <w:t>certolizumab pegol</w:t>
      </w:r>
      <w:r>
        <w:t xml:space="preserve"> dose groups to manifest itself.</w:t>
      </w:r>
    </w:p>
    <w:p w:rsidR="00CC006D" w:rsidRDefault="00CC006D" w:rsidP="00CC006D">
      <w:r>
        <w:t xml:space="preserve">In all the studies, there was identifiable relationship between the occurrence of </w:t>
      </w:r>
      <w:r w:rsidR="00C1015F">
        <w:t>antidrug antibody</w:t>
      </w:r>
      <w:r>
        <w:t xml:space="preserve"> positivity and safety concerns (overall and specific AEs).</w:t>
      </w:r>
    </w:p>
    <w:p w:rsidR="00CC006D" w:rsidRDefault="00CC006D" w:rsidP="004B098F">
      <w:pPr>
        <w:pStyle w:val="Heading5"/>
      </w:pPr>
      <w:r>
        <w:t>Evaluator’s summary on safety</w:t>
      </w:r>
    </w:p>
    <w:p w:rsidR="00702D7B" w:rsidRDefault="00CC006D" w:rsidP="00CC006D">
      <w:r>
        <w:t xml:space="preserve">In summary, the safety data indicates that </w:t>
      </w:r>
      <w:r w:rsidR="001D63B3">
        <w:t>certolizumab pegol</w:t>
      </w:r>
      <w:r>
        <w:t xml:space="preserve"> has an acceptable overall safety profile up to 48 weeks of therapy in the treatment of adult patients with moderate to severe </w:t>
      </w:r>
      <w:r w:rsidR="00A567C2">
        <w:t>psoriasis</w:t>
      </w:r>
      <w:r>
        <w:t xml:space="preserve">. However, there is limited, direct, long-term safety data in the </w:t>
      </w:r>
      <w:r w:rsidR="00A567C2">
        <w:t>psoriasis</w:t>
      </w:r>
      <w:r>
        <w:t xml:space="preserve"> population to assess the risk of some types of AEs such as malignancy and MACE, which will require additional longitudinal safety follow-up. From my assessment of the safety dataset, there are some significant safety concerns with </w:t>
      </w:r>
      <w:r w:rsidR="001D63B3">
        <w:t>certolizumab pegol</w:t>
      </w:r>
      <w:r>
        <w:t xml:space="preserve"> therapy including the risk of serious infection, opportunistic infection (including new or reactivated </w:t>
      </w:r>
      <w:r w:rsidR="00EE730D">
        <w:t>tuberculosis</w:t>
      </w:r>
      <w:r>
        <w:t xml:space="preserve">), injection site and rare hypersensitivity reactions, demyelinating </w:t>
      </w:r>
      <w:r>
        <w:lastRenderedPageBreak/>
        <w:t>conditions, thrombocytop</w:t>
      </w:r>
      <w:r w:rsidR="00ED6F86">
        <w:t>a</w:t>
      </w:r>
      <w:r>
        <w:t xml:space="preserve">enia, liver function test abnormalities and dyslipidaemia. These safety concerns are consistent with the known profile of </w:t>
      </w:r>
      <w:r w:rsidR="001D63B3">
        <w:t>certolizumab pegol</w:t>
      </w:r>
      <w:r>
        <w:t xml:space="preserve"> and other anti-TNF therapies in adult patients with other autoimmune conditions such as </w:t>
      </w:r>
      <w:r w:rsidR="00B92752">
        <w:t xml:space="preserve">rheumatoid </w:t>
      </w:r>
      <w:r w:rsidR="00BC7159">
        <w:t>arthritis</w:t>
      </w:r>
      <w:r>
        <w:t xml:space="preserve">. Significant pharmacovigilance will be required if approval is granted for registration of </w:t>
      </w:r>
      <w:r w:rsidR="001D63B3">
        <w:t>certolizumab pegol</w:t>
      </w:r>
      <w:r>
        <w:t xml:space="preserve"> for the treatment of </w:t>
      </w:r>
      <w:r w:rsidR="00A567C2">
        <w:t>psoriasis</w:t>
      </w:r>
      <w:r>
        <w:t>. This would include vigilance for serious and opportunistic infections, MACE and malignancy (particularly, non-melanoma skin cancers).</w:t>
      </w:r>
    </w:p>
    <w:p w:rsidR="007B6132" w:rsidRDefault="007B6132" w:rsidP="00555280">
      <w:pPr>
        <w:pStyle w:val="Heading4"/>
      </w:pPr>
      <w:bookmarkStart w:id="95" w:name="_Toc314842514"/>
      <w:r w:rsidRPr="007B6132">
        <w:t>Clinical evaluator’s recommendation</w:t>
      </w:r>
    </w:p>
    <w:p w:rsidR="00702D7B" w:rsidRDefault="0013729B" w:rsidP="00456765">
      <w:r>
        <w:t xml:space="preserve">The clinical evaluator deemed the overall benefit-risk balance of </w:t>
      </w:r>
      <w:r w:rsidR="001D63B3">
        <w:t>certolizumab pegol</w:t>
      </w:r>
      <w:r>
        <w:t xml:space="preserve"> in adult patients with moderate to severe chronic plaque </w:t>
      </w:r>
      <w:r w:rsidR="00A567C2">
        <w:t>psoriasis</w:t>
      </w:r>
      <w:r>
        <w:t xml:space="preserve"> to be favourable and recommend registration (subject to some conditions outlined in the </w:t>
      </w:r>
      <w:r w:rsidR="00B92752">
        <w:t>clinical evaluation report</w:t>
      </w:r>
      <w:r>
        <w:t xml:space="preserve">). The clinical evaluator agreed with the sponsor proposed posology for </w:t>
      </w:r>
      <w:r w:rsidR="001D63B3">
        <w:t>certolizumab pegol</w:t>
      </w:r>
      <w:r>
        <w:t xml:space="preserve"> therapy of 400</w:t>
      </w:r>
      <w:r w:rsidR="00B92752">
        <w:t xml:space="preserve"> </w:t>
      </w:r>
      <w:r>
        <w:t>mg Q2W as the most clinically effective regimen, with no clear additional risk of toxicity over the 200</w:t>
      </w:r>
      <w:r w:rsidR="00B92752">
        <w:t xml:space="preserve"> </w:t>
      </w:r>
      <w:r>
        <w:t xml:space="preserve">mg Q2W regimen apart from an increased risk of </w:t>
      </w:r>
      <w:r w:rsidR="00B92752">
        <w:t>injection site reaction</w:t>
      </w:r>
      <w:r>
        <w:t>s. The lower dose regimen was deemed appropriate for selected individuals and clinical circumstances.</w:t>
      </w:r>
    </w:p>
    <w:p w:rsidR="008E7846" w:rsidRDefault="00386150" w:rsidP="007B6132">
      <w:pPr>
        <w:pStyle w:val="Heading3"/>
        <w:rPr>
          <w:lang w:eastAsia="en-AU"/>
        </w:rPr>
      </w:pPr>
      <w:bookmarkStart w:id="96" w:name="_Toc21525673"/>
      <w:r>
        <w:rPr>
          <w:lang w:eastAsia="en-AU"/>
        </w:rPr>
        <w:t>Risk m</w:t>
      </w:r>
      <w:r w:rsidR="008E7846">
        <w:rPr>
          <w:lang w:eastAsia="en-AU"/>
        </w:rPr>
        <w:t xml:space="preserve">anagement </w:t>
      </w:r>
      <w:r>
        <w:rPr>
          <w:lang w:eastAsia="en-AU"/>
        </w:rPr>
        <w:t>p</w:t>
      </w:r>
      <w:r w:rsidR="008E7846">
        <w:rPr>
          <w:lang w:eastAsia="en-AU"/>
        </w:rPr>
        <w:t>lan</w:t>
      </w:r>
      <w:bookmarkEnd w:id="95"/>
      <w:bookmarkEnd w:id="96"/>
    </w:p>
    <w:p w:rsidR="00702D7B" w:rsidRDefault="00CC006D" w:rsidP="00CC006D">
      <w:r>
        <w:t xml:space="preserve">The safety specification in the proposed RMP is satisfactory in content. The RMP outlines several important identified safety concerns with </w:t>
      </w:r>
      <w:r w:rsidR="001D63B3">
        <w:t>certolizumab pegol</w:t>
      </w:r>
      <w:r>
        <w:t xml:space="preserve"> therapy, which is consistent with the adverse event profiles reported in the current submission. The RMP reports the following important risks with </w:t>
      </w:r>
      <w:r w:rsidR="001D63B3">
        <w:t>certolizumab pegol</w:t>
      </w:r>
      <w:r>
        <w:t xml:space="preserve"> such as risk of serious infection including </w:t>
      </w:r>
      <w:r w:rsidR="00EE730D">
        <w:t>tuberculosis</w:t>
      </w:r>
      <w:r>
        <w:t xml:space="preserve">, moderate to severe congestive heart failure, serious systemic hypersensitivity reactions, malignancy potential, demyelinating disorders, hepatobiliary AEs, aplastic anaemia, serious thrombocytopenia and neutropenia, new onset or worsening of </w:t>
      </w:r>
      <w:r w:rsidR="00A567C2">
        <w:t>psoriasis</w:t>
      </w:r>
      <w:r>
        <w:t xml:space="preserve">, lupus like syndromes, immunogenicity and the potential risk of MACE. In addition, the sponsor proposed plan for pharmacovigilance is appropriate for the identified and potential safety concerns. The long-term safety of treatment with </w:t>
      </w:r>
      <w:r w:rsidR="001D63B3">
        <w:t>certolizumab pegol</w:t>
      </w:r>
      <w:r>
        <w:t xml:space="preserve"> in </w:t>
      </w:r>
      <w:r w:rsidR="00A567C2">
        <w:t>psoriasis</w:t>
      </w:r>
      <w:r>
        <w:t xml:space="preserve"> will be monitored in the long-term extension phases of the </w:t>
      </w:r>
      <w:r w:rsidR="00203E2A">
        <w:t>three</w:t>
      </w:r>
      <w:r>
        <w:t xml:space="preserve"> Phase </w:t>
      </w:r>
      <w:r w:rsidR="00B92752">
        <w:t>III</w:t>
      </w:r>
      <w:r>
        <w:t xml:space="preserve"> studies, which plan to collect safety data from patients for total treatment duration of up to 144 weeks.</w:t>
      </w:r>
    </w:p>
    <w:p w:rsidR="00702D7B" w:rsidRDefault="00CC006D" w:rsidP="00CC006D">
      <w:r>
        <w:t>The suggested wording for registration is:</w:t>
      </w:r>
    </w:p>
    <w:p w:rsidR="008E7846" w:rsidRDefault="00CC006D" w:rsidP="004B098F">
      <w:pPr>
        <w:ind w:left="720"/>
      </w:pPr>
      <w:r>
        <w:t>The C</w:t>
      </w:r>
      <w:r w:rsidR="00ED6F86">
        <w:t>imzia</w:t>
      </w:r>
      <w:r>
        <w:t xml:space="preserve"> EU-Risk Management Plan (RMP) (version 13.1, dated 16</w:t>
      </w:r>
      <w:r w:rsidR="00ED6F86">
        <w:t> </w:t>
      </w:r>
      <w:r>
        <w:t>January 2018; DLP 6 March 2018), with Australian Specific Annex (version 6.0, dated 16 October 2018), included with submission PM-2017-04943-1-1, and any subsequent revisions, as agreed with the TGA will be implemented in Australia.</w:t>
      </w:r>
    </w:p>
    <w:p w:rsidR="008E7846" w:rsidRDefault="00AA0ED0" w:rsidP="008E7846">
      <w:pPr>
        <w:pStyle w:val="Heading3"/>
      </w:pPr>
      <w:bookmarkStart w:id="97" w:name="_Toc247691531"/>
      <w:bookmarkStart w:id="98" w:name="_Toc314842515"/>
      <w:bookmarkStart w:id="99" w:name="_Toc21525674"/>
      <w:bookmarkStart w:id="100" w:name="_Toc196046505"/>
      <w:bookmarkStart w:id="101" w:name="_Toc196046949"/>
      <w:r>
        <w:t>Risk-benefit a</w:t>
      </w:r>
      <w:r w:rsidR="008E7846">
        <w:t>nalysis</w:t>
      </w:r>
      <w:bookmarkEnd w:id="97"/>
      <w:bookmarkEnd w:id="98"/>
      <w:bookmarkEnd w:id="99"/>
    </w:p>
    <w:p w:rsidR="00702D7B" w:rsidRDefault="00D23139" w:rsidP="00D23139">
      <w:pPr>
        <w:pStyle w:val="Heading4"/>
      </w:pPr>
      <w:r w:rsidRPr="00D23139">
        <w:t>Delegate’s considerations</w:t>
      </w:r>
    </w:p>
    <w:p w:rsidR="00CC006D" w:rsidRDefault="00CC006D" w:rsidP="00CC006D">
      <w:r>
        <w:t>The main issues arising in this submission are the issues centred on dosing:</w:t>
      </w:r>
    </w:p>
    <w:p w:rsidR="00CC006D" w:rsidRDefault="00ED6F86" w:rsidP="00B92752">
      <w:pPr>
        <w:pStyle w:val="ListBullet"/>
      </w:pPr>
      <w:r>
        <w:t>o</w:t>
      </w:r>
      <w:r w:rsidR="00CC006D">
        <w:t>verall maintenance dosing (</w:t>
      </w:r>
      <w:r w:rsidR="00A567C2">
        <w:t>that is,</w:t>
      </w:r>
      <w:r w:rsidR="00CC006D">
        <w:t xml:space="preserve"> which dosing regimen is the most appropriate as a maintenance dose in most patients);</w:t>
      </w:r>
    </w:p>
    <w:p w:rsidR="00CC006D" w:rsidRDefault="00ED6F86" w:rsidP="00B92752">
      <w:pPr>
        <w:pStyle w:val="ListBullet"/>
      </w:pPr>
      <w:r>
        <w:t xml:space="preserve">dose </w:t>
      </w:r>
      <w:r w:rsidR="00CC006D">
        <w:t>adjustments based on individual patient circumstance (</w:t>
      </w:r>
      <w:r w:rsidR="00A567C2">
        <w:t>for example,</w:t>
      </w:r>
      <w:r w:rsidR="00CC006D">
        <w:t xml:space="preserve"> based on known covariate data: weight, low baseline PASI); and</w:t>
      </w:r>
    </w:p>
    <w:p w:rsidR="00CC006D" w:rsidRDefault="00ED6F86" w:rsidP="00B92752">
      <w:pPr>
        <w:pStyle w:val="ListBullet"/>
      </w:pPr>
      <w:r>
        <w:t xml:space="preserve">timing </w:t>
      </w:r>
      <w:r w:rsidR="00CC006D">
        <w:t>of assessment for response.</w:t>
      </w:r>
    </w:p>
    <w:p w:rsidR="00CC006D" w:rsidRDefault="00CC006D" w:rsidP="00CC006D">
      <w:r>
        <w:lastRenderedPageBreak/>
        <w:t>The sponsor proposes dosing the following dosing:</w:t>
      </w:r>
    </w:p>
    <w:p w:rsidR="00CC006D" w:rsidRPr="00636F70" w:rsidRDefault="00203E2A" w:rsidP="00203E2A">
      <w:pPr>
        <w:ind w:left="720"/>
      </w:pPr>
      <w:r w:rsidRPr="00636F70">
        <w:t>t</w:t>
      </w:r>
      <w:r w:rsidR="00CC006D" w:rsidRPr="00636F70">
        <w:t xml:space="preserve">he dose of Cimzia for adult patients with plaque psoriasis is 400 mg every </w:t>
      </w:r>
      <w:r w:rsidRPr="00636F70">
        <w:t>2 </w:t>
      </w:r>
      <w:r w:rsidR="00CC006D" w:rsidRPr="00636F70">
        <w:t>weeks. Alternatively, a dose of 400 mg initially (Week 0) and at Weeks 2 and 4 followed by 200</w:t>
      </w:r>
      <w:r w:rsidR="00B92752" w:rsidRPr="00636F70">
        <w:t> </w:t>
      </w:r>
      <w:r w:rsidR="00CC006D" w:rsidRPr="00636F70">
        <w:t>mg every 2 weeks may be considered.</w:t>
      </w:r>
    </w:p>
    <w:p w:rsidR="00CC006D" w:rsidRDefault="00CC006D" w:rsidP="00CC006D">
      <w:r>
        <w:t>In the USA, the dose regimen is as follows:</w:t>
      </w:r>
    </w:p>
    <w:p w:rsidR="00CC006D" w:rsidRPr="00636F70" w:rsidRDefault="00CC006D" w:rsidP="004B098F">
      <w:pPr>
        <w:ind w:left="720"/>
      </w:pPr>
      <w:r w:rsidRPr="00636F70">
        <w:t>400 mg (given as 2 subcutaneous injections o</w:t>
      </w:r>
      <w:r w:rsidR="00203E2A" w:rsidRPr="00636F70">
        <w:t>f 200 mg each) every other week.</w:t>
      </w:r>
      <w:r w:rsidRPr="00636F70">
        <w:t xml:space="preserve"> For some patients (with body weight ≤ 90 kg), a dose of 400 mg (given as 2 subcutaneous injections of 200 mg each) initially and at Weeks 2 and 4, followed by 200 mg every other week may be considered.</w:t>
      </w:r>
    </w:p>
    <w:p w:rsidR="00CC006D" w:rsidRDefault="00CC006D" w:rsidP="00CC006D">
      <w:r>
        <w:t>In Canada, the dose regimen is as follows:</w:t>
      </w:r>
    </w:p>
    <w:p w:rsidR="00CC006D" w:rsidRPr="00636F70" w:rsidRDefault="00CC006D" w:rsidP="004B098F">
      <w:pPr>
        <w:ind w:left="720"/>
      </w:pPr>
      <w:r w:rsidRPr="00636F70">
        <w:t>The recommended dose of C</w:t>
      </w:r>
      <w:r w:rsidR="00B92752" w:rsidRPr="00636F70">
        <w:t>imzia</w:t>
      </w:r>
      <w:r w:rsidRPr="00636F70">
        <w:t xml:space="preserve"> for adult patients with plaque psoriasis is 400</w:t>
      </w:r>
      <w:r w:rsidR="004B098F" w:rsidRPr="00636F70">
        <w:t> </w:t>
      </w:r>
      <w:r w:rsidRPr="00636F70">
        <w:t xml:space="preserve">mg every 2 weeks. A dose of 400 mg initially (Week 0) and at Weeks 2 and 4 followed by 200 mg every 2 weeks may be considered (see </w:t>
      </w:r>
      <w:r w:rsidR="00ED6F86" w:rsidRPr="00636F70">
        <w:t>Clinical Trials</w:t>
      </w:r>
      <w:r w:rsidRPr="00636F70">
        <w:t>, Plaque Psoriasis, Study Results).</w:t>
      </w:r>
    </w:p>
    <w:p w:rsidR="00702D7B" w:rsidRDefault="00CC006D" w:rsidP="00CC006D">
      <w:r>
        <w:t>In the EU, the plaque psoriasis dose regimen is as follows:</w:t>
      </w:r>
    </w:p>
    <w:p w:rsidR="00CC006D" w:rsidRPr="00636F70" w:rsidRDefault="00CC006D" w:rsidP="004B098F">
      <w:pPr>
        <w:ind w:left="720"/>
      </w:pPr>
      <w:r w:rsidRPr="00636F70">
        <w:t>Loading dose</w:t>
      </w:r>
    </w:p>
    <w:p w:rsidR="00CC006D" w:rsidRPr="00636F70" w:rsidRDefault="00CC006D" w:rsidP="004B098F">
      <w:pPr>
        <w:ind w:left="720"/>
      </w:pPr>
      <w:r w:rsidRPr="00636F70">
        <w:t xml:space="preserve">The recommended starting dose of Cimzia for adult patients is 400 mg (given as 2 subcutaneous injections of 200 mg each) at </w:t>
      </w:r>
      <w:r w:rsidR="00B92752" w:rsidRPr="00636F70">
        <w:t>W</w:t>
      </w:r>
      <w:r w:rsidRPr="00636F70">
        <w:t>eeks 0, 2 and 4. […]</w:t>
      </w:r>
    </w:p>
    <w:p w:rsidR="00702D7B" w:rsidRPr="00636F70" w:rsidRDefault="00CC006D" w:rsidP="004B098F">
      <w:pPr>
        <w:ind w:left="720"/>
      </w:pPr>
      <w:r w:rsidRPr="00636F70">
        <w:t>After the starting dose, the maintenance dose of Cimzia for adult patients with plaque psoriasis is 200 mg every 2 weeks. A dose of 400 mg every 2 weeks can be considered in patients with insufficient response.</w:t>
      </w:r>
    </w:p>
    <w:p w:rsidR="00CC006D" w:rsidRPr="00636F70" w:rsidRDefault="00CC006D" w:rsidP="004B098F">
      <w:pPr>
        <w:ind w:left="720"/>
      </w:pPr>
      <w:r w:rsidRPr="00636F70">
        <w:t>Available data in adults with plaque psoriasis suggest that a clinical response is usually achieved within 16 weeks of treatment. Continued therapy should be carefully reconsidered in patients who show no evidence of therapeutic benefit within the first 16</w:t>
      </w:r>
      <w:r w:rsidR="00B92752" w:rsidRPr="00636F70">
        <w:t> </w:t>
      </w:r>
      <w:r w:rsidRPr="00636F70">
        <w:t>weeks of treatment. Some patients with an initial partial response may subsequently improve with continued treatment beyond 16 weeks.</w:t>
      </w:r>
    </w:p>
    <w:p w:rsidR="00CC006D" w:rsidRDefault="00CC006D" w:rsidP="00CC006D">
      <w:r>
        <w:t xml:space="preserve">All of the above regimens have the same loading/starting doses of 400 mg at Weeks 0, 2, and 4. But then, the dosing diverges: the EU maintenance dosing is 200 mg </w:t>
      </w:r>
      <w:r w:rsidR="005A2DDF">
        <w:t>Q2W</w:t>
      </w:r>
      <w:r>
        <w:t xml:space="preserve"> with the option to increase to 400 mg </w:t>
      </w:r>
      <w:r w:rsidR="005A2DDF">
        <w:t>Q2W</w:t>
      </w:r>
      <w:r>
        <w:t xml:space="preserve"> where there is an insufficient response; the US maintenance dosing is 400 mg </w:t>
      </w:r>
      <w:r w:rsidR="005A2DDF">
        <w:t>Q2W</w:t>
      </w:r>
      <w:r>
        <w:t xml:space="preserve"> with the option to reduce to 200 </w:t>
      </w:r>
      <w:r w:rsidR="005A2DDF">
        <w:t>Q2W</w:t>
      </w:r>
      <w:r>
        <w:t xml:space="preserve"> in some patients (with body weight ≤ 90 kg); the proposed Australian dosing is similar to the US dosing, except it does not specify particular patient groups in whom the dose should be reduced; the Canadian dosing is essentially identical to the proposed Australian dose.</w:t>
      </w:r>
    </w:p>
    <w:p w:rsidR="00CC006D" w:rsidRDefault="00CC006D" w:rsidP="00CC006D">
      <w:r>
        <w:t>The US dosing is peculiar, given the sponsor’s preference for non-weight based doing in the Australian context, and given the response to evaluator queries. Only the EU dosing specifies a recommendation for a time point to assess the response.</w:t>
      </w:r>
    </w:p>
    <w:p w:rsidR="00CC006D" w:rsidRDefault="00CC006D" w:rsidP="00CC006D">
      <w:r>
        <w:t xml:space="preserve">The sponsor has provided their rationale for the proposed </w:t>
      </w:r>
      <w:r w:rsidR="002D65A9">
        <w:t xml:space="preserve">is </w:t>
      </w:r>
      <w:r>
        <w:t>summarised below:</w:t>
      </w:r>
    </w:p>
    <w:p w:rsidR="00CC006D" w:rsidRDefault="00CC006D" w:rsidP="002D65A9">
      <w:pPr>
        <w:pStyle w:val="ListBullet"/>
      </w:pPr>
      <w:r>
        <w:t xml:space="preserve">Claimed greater efficacy response for </w:t>
      </w:r>
      <w:r w:rsidR="00A567C2">
        <w:t>psoriasis</w:t>
      </w:r>
      <w:r>
        <w:t xml:space="preserve"> in the 400</w:t>
      </w:r>
      <w:r w:rsidR="00B92752">
        <w:t xml:space="preserve"> </w:t>
      </w:r>
      <w:r>
        <w:t xml:space="preserve">mg </w:t>
      </w:r>
      <w:r w:rsidR="005A2DDF">
        <w:t>Q2W</w:t>
      </w:r>
      <w:r>
        <w:t xml:space="preserve"> group (</w:t>
      </w:r>
      <w:r w:rsidR="002D65A9">
        <w:t>versus</w:t>
      </w:r>
      <w:r>
        <w:t xml:space="preserve"> 200</w:t>
      </w:r>
      <w:r w:rsidR="00B92752">
        <w:t> </w:t>
      </w:r>
      <w:r>
        <w:t xml:space="preserve">mg </w:t>
      </w:r>
      <w:r w:rsidR="005A2DDF">
        <w:t>Q2W</w:t>
      </w:r>
      <w:r>
        <w:t xml:space="preserve">) across the spectrum of efficacy endpoints in the </w:t>
      </w:r>
      <w:r w:rsidR="002D65A9">
        <w:t>P</w:t>
      </w:r>
      <w:r>
        <w:t xml:space="preserve">hase </w:t>
      </w:r>
      <w:r w:rsidR="002D65A9">
        <w:t>III</w:t>
      </w:r>
      <w:r>
        <w:t xml:space="preserve"> trials assessed at Week 16 and Week 48 (most pronounced at Week 48). However, the studies were not sufficiently powered to show this statistically.</w:t>
      </w:r>
    </w:p>
    <w:p w:rsidR="00CC006D" w:rsidRDefault="00CC006D" w:rsidP="002D65A9">
      <w:pPr>
        <w:pStyle w:val="ListBullet"/>
      </w:pPr>
      <w:r>
        <w:t>Claimed no need for specific dosing recommendation for patient subgroups based on multiple pre-specified and post hoc analyses were conducted [the analyses were not specified and seem to not have been provided].</w:t>
      </w:r>
    </w:p>
    <w:p w:rsidR="00CC006D" w:rsidRDefault="00CC006D" w:rsidP="002D65A9">
      <w:pPr>
        <w:pStyle w:val="ListBullet"/>
      </w:pPr>
      <w:r>
        <w:t xml:space="preserve">Lower proportion of </w:t>
      </w:r>
      <w:r w:rsidR="00B92752">
        <w:t>antidrug antibodies</w:t>
      </w:r>
      <w:r>
        <w:t xml:space="preserve"> in the 400</w:t>
      </w:r>
      <w:r w:rsidR="00B92752">
        <w:t xml:space="preserve"> </w:t>
      </w:r>
      <w:r>
        <w:t xml:space="preserve">mg </w:t>
      </w:r>
      <w:r w:rsidR="005A2DDF">
        <w:t>Q2W</w:t>
      </w:r>
      <w:r>
        <w:t xml:space="preserve"> group (approximately half compared to 200</w:t>
      </w:r>
      <w:r w:rsidR="00B92752">
        <w:t xml:space="preserve"> </w:t>
      </w:r>
      <w:r>
        <w:t xml:space="preserve">mg </w:t>
      </w:r>
      <w:r w:rsidR="005A2DDF">
        <w:t>Q2W</w:t>
      </w:r>
      <w:r>
        <w:t>).</w:t>
      </w:r>
    </w:p>
    <w:p w:rsidR="00CC006D" w:rsidRDefault="00CC006D" w:rsidP="002D65A9">
      <w:pPr>
        <w:pStyle w:val="ListBullet"/>
      </w:pPr>
      <w:r>
        <w:lastRenderedPageBreak/>
        <w:t>Claimed greatest clinical benefit to patients in the 400</w:t>
      </w:r>
      <w:r w:rsidR="00B92752">
        <w:t xml:space="preserve"> </w:t>
      </w:r>
      <w:r>
        <w:t xml:space="preserve">mg </w:t>
      </w:r>
      <w:r w:rsidR="005A2DDF">
        <w:t>Q2W</w:t>
      </w:r>
      <w:r>
        <w:t xml:space="preserve"> dose.</w:t>
      </w:r>
    </w:p>
    <w:p w:rsidR="00CC006D" w:rsidRDefault="00CC006D" w:rsidP="00CC006D">
      <w:r>
        <w:t xml:space="preserve">It appears that a dose between the two </w:t>
      </w:r>
      <w:r w:rsidR="002D65A9">
        <w:t>P</w:t>
      </w:r>
      <w:r>
        <w:t xml:space="preserve">hase </w:t>
      </w:r>
      <w:r w:rsidR="002D65A9">
        <w:t xml:space="preserve">III </w:t>
      </w:r>
      <w:r>
        <w:t>trial tested dosing regimens (</w:t>
      </w:r>
      <w:r w:rsidR="002D65A9">
        <w:t>for example,</w:t>
      </w:r>
      <w:r>
        <w:t xml:space="preserve"> 300 mg </w:t>
      </w:r>
      <w:r w:rsidR="005A2DDF">
        <w:t>Q2W</w:t>
      </w:r>
      <w:r>
        <w:t xml:space="preserve">, or alternating 200 mg </w:t>
      </w:r>
      <w:r w:rsidR="005A2DDF">
        <w:t>Q2W</w:t>
      </w:r>
      <w:r>
        <w:t xml:space="preserve"> and 400 mg </w:t>
      </w:r>
      <w:r w:rsidR="005A2DDF">
        <w:t>Q2W</w:t>
      </w:r>
      <w:r>
        <w:t>) was</w:t>
      </w:r>
      <w:r w:rsidR="000B222F">
        <w:t xml:space="preserve"> not considered by the sponsor.</w:t>
      </w:r>
    </w:p>
    <w:p w:rsidR="00CC006D" w:rsidRDefault="00CC006D" w:rsidP="004B098F">
      <w:pPr>
        <w:pStyle w:val="Heading5"/>
      </w:pPr>
      <w:r>
        <w:t>Efficacy</w:t>
      </w:r>
    </w:p>
    <w:p w:rsidR="00702D7B" w:rsidRDefault="00CC006D" w:rsidP="00CC006D">
      <w:r>
        <w:t>Both doses (</w:t>
      </w:r>
      <w:r w:rsidR="001D63B3">
        <w:t>certolizumab pegol</w:t>
      </w:r>
      <w:r>
        <w:t xml:space="preserve"> 200 mg </w:t>
      </w:r>
      <w:r w:rsidR="005A2DDF">
        <w:t>Q2W</w:t>
      </w:r>
      <w:r>
        <w:t xml:space="preserve"> and 400 mg </w:t>
      </w:r>
      <w:r w:rsidR="005A2DDF">
        <w:t>Q2W</w:t>
      </w:r>
      <w:r>
        <w:t xml:space="preserve">) have shown efficacy over placebo (statistically significant). However, none of the studies or the pooled data was powered sufficiently to statistically compare between the two </w:t>
      </w:r>
      <w:r w:rsidR="001D63B3">
        <w:t>certolizumab pegol</w:t>
      </w:r>
      <w:r>
        <w:t xml:space="preserve"> dosing regimens. The absolute values appear to favour the 400 mg dosing (</w:t>
      </w:r>
      <w:r w:rsidRPr="006154FF">
        <w:t xml:space="preserve">Table </w:t>
      </w:r>
      <w:r w:rsidR="00E77D15">
        <w:t>22</w:t>
      </w:r>
      <w:r>
        <w:t xml:space="preserve">), but this is unlikely statistically significant. The numerical difference in treatment response according to </w:t>
      </w:r>
      <w:r w:rsidR="001D63B3">
        <w:t>certolizumab pegol</w:t>
      </w:r>
      <w:r>
        <w:t xml:space="preserve"> dose was more evident with the more stringent outcome of PASI90 response, but inconsistent and not so overt with PASI100.</w:t>
      </w:r>
    </w:p>
    <w:p w:rsidR="00CC006D" w:rsidRDefault="00CC006D" w:rsidP="00CC006D">
      <w:r>
        <w:t>The sponsor has conducted a further analysis on stratified groups</w:t>
      </w:r>
      <w:r w:rsidR="00B92752">
        <w:t>,</w:t>
      </w:r>
      <w:r>
        <w:t xml:space="preserve"> and for some subgroups, there appeared to favour 400 mg </w:t>
      </w:r>
      <w:r w:rsidR="005A2DDF">
        <w:t>Q2W</w:t>
      </w:r>
      <w:r>
        <w:t xml:space="preserve"> (even statistically significant). However, these results were based on 90% CIs and would unlikely be significant at 95% CIs.</w:t>
      </w:r>
    </w:p>
    <w:p w:rsidR="00CC006D" w:rsidRDefault="00CC006D" w:rsidP="004B098F">
      <w:pPr>
        <w:pStyle w:val="Heading5"/>
      </w:pPr>
      <w:r>
        <w:t>Safety</w:t>
      </w:r>
    </w:p>
    <w:p w:rsidR="00CC006D" w:rsidRDefault="00CC006D" w:rsidP="00CC006D">
      <w:r>
        <w:t xml:space="preserve">The proposed dosing regimen for </w:t>
      </w:r>
      <w:r w:rsidR="00A567C2">
        <w:t>psoriasis</w:t>
      </w:r>
      <w:r>
        <w:t xml:space="preserve"> (if 400 mg </w:t>
      </w:r>
      <w:r w:rsidR="005A2DDF">
        <w:t>Q2W</w:t>
      </w:r>
      <w:r>
        <w:t xml:space="preserve"> are used) will effectively double the exposure in </w:t>
      </w:r>
      <w:r w:rsidR="00A567C2">
        <w:t>psoriasis</w:t>
      </w:r>
      <w:r>
        <w:t xml:space="preserve"> patients when compared to the other indications (maintenance dose: 200 mg </w:t>
      </w:r>
      <w:r w:rsidR="005A2DDF">
        <w:t>Q2W</w:t>
      </w:r>
      <w:r>
        <w:t>).</w:t>
      </w:r>
    </w:p>
    <w:p w:rsidR="00CC006D" w:rsidRDefault="00CC006D" w:rsidP="00CC006D">
      <w:r>
        <w:t xml:space="preserve">The overall AE incidences were similar between the </w:t>
      </w:r>
      <w:r w:rsidR="001D63B3">
        <w:t>certolizumab pegol</w:t>
      </w:r>
      <w:r>
        <w:t xml:space="preserve"> 400</w:t>
      </w:r>
      <w:r w:rsidR="00B92752">
        <w:t xml:space="preserve"> </w:t>
      </w:r>
      <w:r>
        <w:t xml:space="preserve">mg Q2W (63.5%) and </w:t>
      </w:r>
      <w:r w:rsidR="00A316C5">
        <w:t>placebo</w:t>
      </w:r>
      <w:r>
        <w:t xml:space="preserve"> groups (61.8%), but lower in the </w:t>
      </w:r>
      <w:r w:rsidR="001D63B3">
        <w:t>certolizumab pegol</w:t>
      </w:r>
      <w:r>
        <w:t xml:space="preserve"> 200</w:t>
      </w:r>
      <w:r w:rsidR="00B92752">
        <w:t xml:space="preserve"> </w:t>
      </w:r>
      <w:r>
        <w:t>mg Q2W arm (56.3%). Overall, there seems to be a dose-response relationship with regard to safety with patients 400mg Q2W dosing attracting a larger proportion of AEs and SAEs, even though in some of the safety pools there was no such trend.</w:t>
      </w:r>
    </w:p>
    <w:p w:rsidR="00CC006D" w:rsidRDefault="00CC006D" w:rsidP="00CC006D">
      <w:r>
        <w:t xml:space="preserve">In the Phase </w:t>
      </w:r>
      <w:r w:rsidR="00B92752">
        <w:t>III</w:t>
      </w:r>
      <w:r>
        <w:t xml:space="preserve"> studies, the incidence of positive ADA was consistently more than </w:t>
      </w:r>
      <w:r w:rsidR="00BC7159">
        <w:t>2 fold</w:t>
      </w:r>
      <w:r>
        <w:t xml:space="preserve"> higher in the </w:t>
      </w:r>
      <w:r w:rsidR="001D63B3">
        <w:t>certolizumab pegol</w:t>
      </w:r>
      <w:r>
        <w:t xml:space="preserve"> 200</w:t>
      </w:r>
      <w:r w:rsidR="00B92752">
        <w:t xml:space="preserve"> </w:t>
      </w:r>
      <w:r>
        <w:t xml:space="preserve">mg Q2W group compared to patients treated with </w:t>
      </w:r>
      <w:r w:rsidR="001D63B3">
        <w:t>certolizumab pegol</w:t>
      </w:r>
      <w:r>
        <w:t xml:space="preserve"> 400</w:t>
      </w:r>
      <w:r w:rsidR="00B92752">
        <w:t xml:space="preserve"> </w:t>
      </w:r>
      <w:r>
        <w:t xml:space="preserve">mg Q2W. The aetiology remains uncertain, but </w:t>
      </w:r>
      <w:r w:rsidR="00B92752">
        <w:t>antidrug antibody</w:t>
      </w:r>
      <w:r>
        <w:t xml:space="preserve"> presence has shown to affect efficacy.</w:t>
      </w:r>
    </w:p>
    <w:p w:rsidR="00CC006D" w:rsidRDefault="00CC006D" w:rsidP="00CC006D">
      <w:r>
        <w:t xml:space="preserve">There appears to be sufficient safety data for adult patients with moderate to severe </w:t>
      </w:r>
      <w:r w:rsidR="00A567C2">
        <w:t>psoriasis</w:t>
      </w:r>
      <w:r>
        <w:t xml:space="preserve"> up to one year and the safety profile is acceptable overall. Data beyond one year (up to 144 weeks) will become available from the extension of the efficacy studies. The clinical evaluator has recommended significant pharmacovigilance activities, in particular to monitor for serious and opportunistic infections, MACE and malignancy (particularly, non-melanoma skin cancers). It would be rather important to follow up that data to establish any potential differences between the dosing regimens.</w:t>
      </w:r>
    </w:p>
    <w:p w:rsidR="00CC006D" w:rsidRDefault="00CC006D" w:rsidP="004B098F">
      <w:pPr>
        <w:pStyle w:val="Heading5"/>
      </w:pPr>
      <w:r>
        <w:t>Dosing</w:t>
      </w:r>
    </w:p>
    <w:p w:rsidR="00CC006D" w:rsidRDefault="00CC006D" w:rsidP="004B098F">
      <w:pPr>
        <w:pStyle w:val="Heading6"/>
      </w:pPr>
      <w:r>
        <w:t>Maintenance dosing</w:t>
      </w:r>
    </w:p>
    <w:p w:rsidR="00CC006D" w:rsidRDefault="00CC006D" w:rsidP="00CC006D">
      <w:r>
        <w:t xml:space="preserve">If only efficacy and </w:t>
      </w:r>
      <w:r w:rsidR="00ED6F86">
        <w:t>PKPD</w:t>
      </w:r>
      <w:r>
        <w:t xml:space="preserve"> data from trials were considered, the 400 mg </w:t>
      </w:r>
      <w:r w:rsidR="005A2DDF">
        <w:t>Q2W</w:t>
      </w:r>
      <w:r>
        <w:t xml:space="preserve"> appears to be favourable compared to 200 mg </w:t>
      </w:r>
      <w:r w:rsidR="005A2DDF">
        <w:t>Q2W</w:t>
      </w:r>
      <w:r>
        <w:t>. This was consistent in all studies and more pronounced at Week 48 (compared to Week 16), but with the caveat that this was not statistically tested.</w:t>
      </w:r>
    </w:p>
    <w:p w:rsidR="00CC006D" w:rsidRDefault="00CC006D" w:rsidP="00CC006D">
      <w:r>
        <w:t>However, this does not take into account potential individual clinical circumstances, and was mainly based on responder proportions of PASI and PGA scores.</w:t>
      </w:r>
      <w:r w:rsidR="00702D7B">
        <w:t xml:space="preserve"> </w:t>
      </w:r>
      <w:r>
        <w:t xml:space="preserve">Using responder proportions of PASI and PGA scores is compliant with current guidance. However, improvement compared to baseline (as continuous variable) rather than responder proportions may have been able to provide a clearer picture on dosing comparison. Furthermore, there are many known issues with the PASI scoring system (even though </w:t>
      </w:r>
      <w:r>
        <w:lastRenderedPageBreak/>
        <w:t>validated and commonly used), and correlation with a more recent scoring system may have been advantageous.</w:t>
      </w:r>
    </w:p>
    <w:p w:rsidR="00CC006D" w:rsidRDefault="00CC006D" w:rsidP="00CC006D">
      <w:r>
        <w:t>Choosing one dose over the other may not necessarily make a significant difference in a real world setting with regard to efficacy, but may with regard to safety.</w:t>
      </w:r>
    </w:p>
    <w:p w:rsidR="00CC006D" w:rsidRDefault="00CC006D" w:rsidP="004B098F">
      <w:pPr>
        <w:pStyle w:val="Heading6"/>
      </w:pPr>
      <w:r>
        <w:t>Dose adjustments based on individual patient circumstance</w:t>
      </w:r>
    </w:p>
    <w:p w:rsidR="00CC006D" w:rsidRDefault="00CC006D" w:rsidP="00CC006D">
      <w:r>
        <w:t xml:space="preserve">Based on </w:t>
      </w:r>
      <w:r w:rsidR="00ED6F86">
        <w:t>Population PKPD</w:t>
      </w:r>
      <w:r>
        <w:t xml:space="preserve"> analysis CL0264, only the following may affect dosing in a clinical setting:</w:t>
      </w:r>
    </w:p>
    <w:p w:rsidR="00CC006D" w:rsidRDefault="00ED6F86" w:rsidP="00B92752">
      <w:pPr>
        <w:pStyle w:val="ListBullet"/>
      </w:pPr>
      <w:r>
        <w:t>h</w:t>
      </w:r>
      <w:r w:rsidR="00CC006D">
        <w:t>igh body weight (slower onset of the PASI response and smaller placebo effect)</w:t>
      </w:r>
      <w:r>
        <w:t>; and</w:t>
      </w:r>
    </w:p>
    <w:p w:rsidR="00CC006D" w:rsidRDefault="00ED6F86" w:rsidP="00B92752">
      <w:pPr>
        <w:pStyle w:val="ListBullet"/>
      </w:pPr>
      <w:r>
        <w:t xml:space="preserve">low </w:t>
      </w:r>
      <w:r w:rsidR="00CC006D">
        <w:t xml:space="preserve">baseline PASI (smaller </w:t>
      </w:r>
      <w:r w:rsidR="001D63B3">
        <w:t>certolizumab pegol</w:t>
      </w:r>
      <w:r w:rsidR="00CC006D">
        <w:t xml:space="preserve"> induced decrease in PASI compared to subjects with high baseline PASI; the effect magnitude was directly proportional to baseline before this covariate was included in the model)</w:t>
      </w:r>
    </w:p>
    <w:p w:rsidR="00CC006D" w:rsidRDefault="00CC006D" w:rsidP="00CC006D">
      <w:r>
        <w:t xml:space="preserve">Measuring </w:t>
      </w:r>
      <w:r w:rsidR="00B92752">
        <w:t>antidrug antibodie</w:t>
      </w:r>
      <w:r>
        <w:t xml:space="preserve">s may not be possible, or practical, and a decision to continue or discontinue </w:t>
      </w:r>
      <w:r w:rsidR="001D63B3">
        <w:t>certolizumab pegol</w:t>
      </w:r>
      <w:r>
        <w:t xml:space="preserve"> would likely be made on response rather than </w:t>
      </w:r>
      <w:r w:rsidR="00ED6F86">
        <w:t>ADA</w:t>
      </w:r>
      <w:r w:rsidR="00B92752">
        <w:t xml:space="preserve"> </w:t>
      </w:r>
      <w:r>
        <w:t>results.</w:t>
      </w:r>
    </w:p>
    <w:p w:rsidR="00CC006D" w:rsidRDefault="00CC006D" w:rsidP="004B098F">
      <w:pPr>
        <w:pStyle w:val="Heading5"/>
      </w:pPr>
      <w:r>
        <w:t>Timing of assessment for response</w:t>
      </w:r>
    </w:p>
    <w:p w:rsidR="00702D7B" w:rsidRDefault="00CC006D" w:rsidP="00CC006D">
      <w:r>
        <w:t xml:space="preserve">In the clinical trials, an assessment of PASI75 at Week 16 is usually one of the primary endpoints. One size does not fit all, but this allows for a comparison between different treatments for </w:t>
      </w:r>
      <w:r w:rsidR="00A567C2">
        <w:t>psoriasis</w:t>
      </w:r>
      <w:r>
        <w:t xml:space="preserve">. In the case of </w:t>
      </w:r>
      <w:r w:rsidR="001D63B3">
        <w:t>certolizumab pegol</w:t>
      </w:r>
      <w:r>
        <w:t>, this Week 16 assessment may not be that suitable in a clinical setting, as some patients (</w:t>
      </w:r>
      <w:r w:rsidR="00A567C2">
        <w:t>for example,</w:t>
      </w:r>
      <w:r>
        <w:t xml:space="preserve"> patients with high body weight) may not have reached an adequate PASI response then and may be regarded as non-responders.</w:t>
      </w:r>
    </w:p>
    <w:p w:rsidR="00CC006D" w:rsidRDefault="00CC006D" w:rsidP="0053459B">
      <w:pPr>
        <w:pStyle w:val="Heading5"/>
      </w:pPr>
      <w:r>
        <w:t>Communication of the dosing regimen</w:t>
      </w:r>
    </w:p>
    <w:p w:rsidR="00CC006D" w:rsidRDefault="00CC006D" w:rsidP="00CC006D">
      <w:r>
        <w:t>A prudent option may be to give the clinician as much information as needed to make an informed choice for dosing based on individual patient circumstances. This could be via the PI and also through appropriate additional risk minimisation activities.</w:t>
      </w:r>
    </w:p>
    <w:p w:rsidR="00CC006D" w:rsidRDefault="00CC006D" w:rsidP="0053459B">
      <w:pPr>
        <w:pStyle w:val="Heading5"/>
      </w:pPr>
      <w:r>
        <w:t>Conclusion</w:t>
      </w:r>
    </w:p>
    <w:p w:rsidR="00CC006D" w:rsidRDefault="00CC006D" w:rsidP="00CC006D">
      <w:r>
        <w:t xml:space="preserve">From the data available, there is no definite objection to the sponsor’s proposed dosing regimen. However, advice from </w:t>
      </w:r>
      <w:r w:rsidR="00ED6F86">
        <w:t>Advisory Committee on Medicines (</w:t>
      </w:r>
      <w:r>
        <w:t>ACM</w:t>
      </w:r>
      <w:r w:rsidR="00ED6F86">
        <w:t>)</w:t>
      </w:r>
      <w:r>
        <w:t xml:space="preserve"> to refine the regimen is requested.</w:t>
      </w:r>
    </w:p>
    <w:p w:rsidR="00CC006D" w:rsidRDefault="00CC006D" w:rsidP="0053459B">
      <w:pPr>
        <w:pStyle w:val="Heading5"/>
      </w:pPr>
      <w:r>
        <w:t>Questions to the sponsor</w:t>
      </w:r>
    </w:p>
    <w:p w:rsidR="00CC006D" w:rsidRDefault="00CC006D" w:rsidP="00BC7159">
      <w:pPr>
        <w:pStyle w:val="Numberbullet0"/>
      </w:pPr>
      <w:r>
        <w:t>The sponsor should provide a summary of the data that is the basis for the</w:t>
      </w:r>
      <w:r w:rsidR="006154FF">
        <w:t xml:space="preserve"> </w:t>
      </w:r>
      <w:r>
        <w:t>recommendation</w:t>
      </w:r>
      <w:r w:rsidR="006154FF">
        <w:t xml:space="preserve"> </w:t>
      </w:r>
      <w:r>
        <w:t>in the US label that for some patients (with body weight ≤ 90 kg), C</w:t>
      </w:r>
      <w:r w:rsidR="00B92752">
        <w:t>imzia</w:t>
      </w:r>
      <w:r>
        <w:t xml:space="preserve"> 400 mg (given as 2 subcutaneous injections of 200 mg each) initially and at Weeks 2 and 4, followed by 200 mg every other week can be considered.</w:t>
      </w:r>
    </w:p>
    <w:p w:rsidR="00456765" w:rsidRPr="00456765" w:rsidRDefault="00CC006D" w:rsidP="00BC7159">
      <w:pPr>
        <w:pStyle w:val="Numberbullet0"/>
      </w:pPr>
      <w:r>
        <w:t>The sponsor should provide a justification for the differing dose regimens in the EU, Canada, and the USA.</w:t>
      </w:r>
    </w:p>
    <w:p w:rsidR="00D23139" w:rsidRDefault="00D23139" w:rsidP="00D23139">
      <w:pPr>
        <w:pStyle w:val="Heading4"/>
      </w:pPr>
      <w:r w:rsidRPr="00D23139">
        <w:t>Proposed action</w:t>
      </w:r>
    </w:p>
    <w:p w:rsidR="00456765" w:rsidRPr="00456765" w:rsidRDefault="00BC7159" w:rsidP="00456765">
      <w:r>
        <w:t>The Delegate had</w:t>
      </w:r>
      <w:r w:rsidR="001B52B4" w:rsidRPr="001B52B4">
        <w:t xml:space="preserve"> no reason to say, at this time, that the application for C</w:t>
      </w:r>
      <w:r w:rsidR="001B52B4">
        <w:t>imzia</w:t>
      </w:r>
      <w:r w:rsidR="001B52B4" w:rsidRPr="001B52B4">
        <w:t xml:space="preserve"> should not be approved for the proposed extension of indications, subject to successful negotiation of the conditions of registration pertaining to plaque psoriasis.</w:t>
      </w:r>
    </w:p>
    <w:p w:rsidR="00D23139" w:rsidRDefault="00A22D57" w:rsidP="00D23139">
      <w:pPr>
        <w:pStyle w:val="Heading4"/>
      </w:pPr>
      <w:r>
        <w:t>Request for AC</w:t>
      </w:r>
      <w:r w:rsidR="00D23139" w:rsidRPr="00D23139">
        <w:t>M advice</w:t>
      </w:r>
    </w:p>
    <w:p w:rsidR="001B52B4" w:rsidRDefault="001B52B4" w:rsidP="001B52B4">
      <w:r>
        <w:t>The Committee’s advice on the optimal dose regimen, taking into consideration the available evidence is requested. Comment is specifically requested on the following proposals:</w:t>
      </w:r>
    </w:p>
    <w:p w:rsidR="001B52B4" w:rsidRPr="00BC7159" w:rsidRDefault="001B52B4" w:rsidP="00BC7159">
      <w:pPr>
        <w:pStyle w:val="Numberbullet0"/>
        <w:numPr>
          <w:ilvl w:val="0"/>
          <w:numId w:val="34"/>
        </w:numPr>
      </w:pPr>
      <w:r w:rsidRPr="00BC7159">
        <w:lastRenderedPageBreak/>
        <w:t>Overall maintenance dosing (that is, which dosing regimen is the most appropriate as a maintenance dose in most patients)</w:t>
      </w:r>
    </w:p>
    <w:p w:rsidR="001B52B4" w:rsidRPr="00BC7159" w:rsidRDefault="001B52B4" w:rsidP="00BC7159">
      <w:pPr>
        <w:pStyle w:val="Numberbullet0"/>
        <w:numPr>
          <w:ilvl w:val="0"/>
          <w:numId w:val="34"/>
        </w:numPr>
      </w:pPr>
      <w:r w:rsidRPr="00BC7159">
        <w:t>Dose adjustments based on individual patient circumstance (</w:t>
      </w:r>
      <w:r w:rsidR="00A567C2" w:rsidRPr="00BC7159">
        <w:t>for example,</w:t>
      </w:r>
      <w:r w:rsidRPr="00BC7159">
        <w:t xml:space="preserve"> based on known covariate data: weight, low baseline PASI); and</w:t>
      </w:r>
    </w:p>
    <w:p w:rsidR="001B52B4" w:rsidRPr="00BC7159" w:rsidRDefault="001B52B4" w:rsidP="00BC7159">
      <w:pPr>
        <w:pStyle w:val="Numberbullet0"/>
        <w:numPr>
          <w:ilvl w:val="0"/>
          <w:numId w:val="34"/>
        </w:numPr>
      </w:pPr>
      <w:r w:rsidRPr="00BC7159">
        <w:t xml:space="preserve">Timing of assessment for response (that is, to decide to continue or discontinue </w:t>
      </w:r>
      <w:r w:rsidR="001D63B3" w:rsidRPr="00BC7159">
        <w:t>certolizumab pegol</w:t>
      </w:r>
      <w:r w:rsidRPr="00BC7159">
        <w:t>, or to change the dose)</w:t>
      </w:r>
    </w:p>
    <w:p w:rsidR="00456765" w:rsidRPr="00BC7159" w:rsidRDefault="001B52B4" w:rsidP="00BC7159">
      <w:pPr>
        <w:pStyle w:val="Numberbullet0"/>
        <w:numPr>
          <w:ilvl w:val="0"/>
          <w:numId w:val="34"/>
        </w:numPr>
      </w:pPr>
      <w:r w:rsidRPr="00BC7159">
        <w:t>The most appropriate way to communicate the dosing regim</w:t>
      </w:r>
      <w:r w:rsidR="00086798" w:rsidRPr="00BC7159">
        <w:t xml:space="preserve">en to clinicians (for example, </w:t>
      </w:r>
      <w:r w:rsidRPr="00BC7159">
        <w:t>via PI only, or through additional risk minimisation activities).</w:t>
      </w:r>
    </w:p>
    <w:p w:rsidR="00D23139" w:rsidRDefault="00456765" w:rsidP="00D23139">
      <w:pPr>
        <w:pStyle w:val="Heading4"/>
      </w:pPr>
      <w:r>
        <w:t xml:space="preserve">Response from </w:t>
      </w:r>
      <w:r w:rsidR="00A41D98">
        <w:t>sponsor</w:t>
      </w:r>
    </w:p>
    <w:p w:rsidR="006154FF" w:rsidRDefault="006154FF" w:rsidP="001618B3">
      <w:r>
        <w:t xml:space="preserve">The </w:t>
      </w:r>
      <w:r w:rsidR="00BC7159">
        <w:t>sponsor</w:t>
      </w:r>
      <w:r w:rsidR="001618B3">
        <w:t xml:space="preserve"> confirms the same initial clinical data package was submitted to TGA and in US (and in EU and Canada) to support approval of the </w:t>
      </w:r>
      <w:r w:rsidR="004A1E30">
        <w:t>psoriasis</w:t>
      </w:r>
      <w:r w:rsidR="001618B3">
        <w:t xml:space="preserve"> indication. Furthermore, the proposed dosage regimen of 400 mg every 2 weeks, with an alternative dose of 400 mg initially (Week 0) and at Weeks 2 and 4 followed by 200 mg every 2 weeks may be considered, was submitted in the initial application in each country. The data from all </w:t>
      </w:r>
      <w:r w:rsidR="004A1E30">
        <w:t>three</w:t>
      </w:r>
      <w:r w:rsidR="001618B3">
        <w:t xml:space="preserve"> studies (CIMPASI-1, CIMPASI-2, and CIMPACT) as well as supportive data from the pooled analyses demonstrate that both </w:t>
      </w:r>
      <w:r w:rsidR="004A1E30">
        <w:t>certolizumab pegol</w:t>
      </w:r>
      <w:r w:rsidR="001618B3">
        <w:t xml:space="preserve"> doses,</w:t>
      </w:r>
      <w:r w:rsidR="00702D7B">
        <w:t xml:space="preserve"> </w:t>
      </w:r>
      <w:r w:rsidR="004A1E30">
        <w:t>certolizumab pegol</w:t>
      </w:r>
      <w:r w:rsidR="001618B3">
        <w:t xml:space="preserve"> 200</w:t>
      </w:r>
      <w:r w:rsidR="004A1E30">
        <w:t> </w:t>
      </w:r>
      <w:r w:rsidR="001618B3">
        <w:t>mg Q2W and</w:t>
      </w:r>
      <w:r w:rsidR="00702D7B">
        <w:t xml:space="preserve"> </w:t>
      </w:r>
      <w:r w:rsidR="004A1E30">
        <w:t>certolizumab pegol</w:t>
      </w:r>
      <w:r w:rsidR="001618B3">
        <w:t xml:space="preserve"> 400</w:t>
      </w:r>
      <w:r w:rsidR="004A1E30">
        <w:t xml:space="preserve"> </w:t>
      </w:r>
      <w:r w:rsidR="001618B3">
        <w:t>mg Q2W, were</w:t>
      </w:r>
      <w:r>
        <w:t xml:space="preserve"> highly efficacious at Week 16.</w:t>
      </w:r>
    </w:p>
    <w:p w:rsidR="001618B3" w:rsidRDefault="001618B3" w:rsidP="001618B3">
      <w:r>
        <w:t xml:space="preserve">Clinically meaningful and statistically significant improvements were observed </w:t>
      </w:r>
      <w:r w:rsidR="00566CE3">
        <w:t xml:space="preserve">at Week 16 </w:t>
      </w:r>
      <w:r>
        <w:t xml:space="preserve">in </w:t>
      </w:r>
      <w:r w:rsidR="004A1E30">
        <w:t>psoriasis</w:t>
      </w:r>
      <w:r>
        <w:t xml:space="preserve"> area and severity, as assessed by PASI75 and PASI90</w:t>
      </w:r>
      <w:r w:rsidR="00ED6F86">
        <w:t>;</w:t>
      </w:r>
      <w:r w:rsidR="00566CE3">
        <w:rPr>
          <w:rStyle w:val="FootnoteReference"/>
        </w:rPr>
        <w:footnoteReference w:id="5"/>
      </w:r>
      <w:r>
        <w:t xml:space="preserve"> as well as global physician assessment of disease activity via Physician’s Global Assessment (PGA). Furthermore, both </w:t>
      </w:r>
      <w:r w:rsidR="004A1E30">
        <w:t>certolizumab pegol</w:t>
      </w:r>
      <w:r>
        <w:t xml:space="preserve"> dose groups demonstrated a durable clinical response through 48 weeks that was both clinically meaningful and robust. Given th</w:t>
      </w:r>
      <w:r w:rsidR="004A1E30">
        <w:t xml:space="preserve">at both doses are effective, the </w:t>
      </w:r>
      <w:r w:rsidR="00BC7159">
        <w:t>sponsor</w:t>
      </w:r>
      <w:r>
        <w:t xml:space="preserve"> considers that it is important to give prescribing flexibility to physicians based on individual patient considerations and clinical circumstances.</w:t>
      </w:r>
    </w:p>
    <w:p w:rsidR="001618B3" w:rsidRPr="004A1E30" w:rsidRDefault="004A1E30" w:rsidP="00636F70">
      <w:pPr>
        <w:pStyle w:val="Heading5"/>
      </w:pPr>
      <w:r w:rsidRPr="004A1E30">
        <w:t>Question 1</w:t>
      </w:r>
    </w:p>
    <w:p w:rsidR="001618B3" w:rsidRPr="00636F70" w:rsidRDefault="001618B3" w:rsidP="00636F70">
      <w:pPr>
        <w:rPr>
          <w:b/>
          <w:i/>
        </w:rPr>
      </w:pPr>
      <w:r w:rsidRPr="00636F70">
        <w:rPr>
          <w:b/>
          <w:i/>
        </w:rPr>
        <w:t>The sponsor should provide a summary of the data that is the basis for the recommendation in the US label that for some patients (with body weight ≤ 90 kg), C</w:t>
      </w:r>
      <w:r w:rsidR="004A1E30" w:rsidRPr="00636F70">
        <w:rPr>
          <w:b/>
          <w:i/>
        </w:rPr>
        <w:t>imzia</w:t>
      </w:r>
      <w:r w:rsidRPr="00636F70">
        <w:rPr>
          <w:b/>
          <w:i/>
        </w:rPr>
        <w:t xml:space="preserve"> 400 mg (given as 2 subcutaneous injections of 200 mg each) initially and at Weeks 2 and 4, followed by 200 mg every other week can be considered.</w:t>
      </w:r>
    </w:p>
    <w:p w:rsidR="001618B3" w:rsidRDefault="004A1E30" w:rsidP="00636F70">
      <w:pPr>
        <w:pStyle w:val="Heading6"/>
      </w:pPr>
      <w:r>
        <w:t>Response</w:t>
      </w:r>
    </w:p>
    <w:p w:rsidR="001618B3" w:rsidRDefault="001618B3" w:rsidP="001618B3">
      <w:r>
        <w:t>During the review process FDA requested post-hoc analyses of:</w:t>
      </w:r>
    </w:p>
    <w:p w:rsidR="001618B3" w:rsidRDefault="00ED6F86" w:rsidP="004A1E30">
      <w:pPr>
        <w:pStyle w:val="ListBullet"/>
      </w:pPr>
      <w:r>
        <w:t xml:space="preserve">efficacy </w:t>
      </w:r>
      <w:r w:rsidR="001618B3">
        <w:t>endpoints (PGA, PASI75, PASI90)</w:t>
      </w:r>
    </w:p>
    <w:p w:rsidR="001618B3" w:rsidRDefault="00ED6F86" w:rsidP="004A1E30">
      <w:pPr>
        <w:pStyle w:val="ListBullet"/>
      </w:pPr>
      <w:r>
        <w:t xml:space="preserve">adverse </w:t>
      </w:r>
      <w:r w:rsidR="001618B3">
        <w:t>events, and</w:t>
      </w:r>
    </w:p>
    <w:p w:rsidR="00BF2B10" w:rsidRDefault="00636F70" w:rsidP="004A1E30">
      <w:pPr>
        <w:pStyle w:val="ListBullet"/>
      </w:pPr>
      <w:r>
        <w:t>ADA</w:t>
      </w:r>
      <w:r w:rsidR="001618B3">
        <w:t xml:space="preserve"> incidence rate stratified by dose (200</w:t>
      </w:r>
      <w:r w:rsidR="004A1E30">
        <w:t xml:space="preserve"> </w:t>
      </w:r>
      <w:r w:rsidR="001618B3">
        <w:t>mg v</w:t>
      </w:r>
      <w:r w:rsidR="004A1E30">
        <w:t>ersu</w:t>
      </w:r>
      <w:r w:rsidR="001618B3">
        <w:t>s 400</w:t>
      </w:r>
      <w:r w:rsidR="004A1E30">
        <w:t xml:space="preserve"> </w:t>
      </w:r>
      <w:r w:rsidR="001618B3">
        <w:t>mg) and body weight using low and high weight subgroups (</w:t>
      </w:r>
      <w:r w:rsidR="004A1E30">
        <w:t>body weight</w:t>
      </w:r>
      <w:r w:rsidR="001618B3">
        <w:t xml:space="preserve"> &lt;</w:t>
      </w:r>
      <w:r w:rsidR="004A1E30">
        <w:t xml:space="preserve"> </w:t>
      </w:r>
      <w:r w:rsidR="001618B3">
        <w:t>90</w:t>
      </w:r>
      <w:r w:rsidR="004A1E30">
        <w:t xml:space="preserve"> </w:t>
      </w:r>
      <w:r w:rsidR="001618B3">
        <w:t>kg v</w:t>
      </w:r>
      <w:r w:rsidR="004A1E30">
        <w:t>ersus</w:t>
      </w:r>
      <w:r w:rsidR="001618B3">
        <w:t xml:space="preserve"> ≥</w:t>
      </w:r>
      <w:r w:rsidR="004A1E30">
        <w:t> </w:t>
      </w:r>
      <w:r w:rsidR="001618B3">
        <w:t>90</w:t>
      </w:r>
      <w:r w:rsidR="004A1E30">
        <w:t> </w:t>
      </w:r>
      <w:r w:rsidR="001618B3">
        <w:t>kg for 200</w:t>
      </w:r>
      <w:r w:rsidR="004A1E30">
        <w:t xml:space="preserve"> </w:t>
      </w:r>
      <w:r w:rsidR="001618B3">
        <w:t>mg and 400</w:t>
      </w:r>
      <w:r w:rsidR="004A1E30">
        <w:t xml:space="preserve"> </w:t>
      </w:r>
      <w:r w:rsidR="001618B3">
        <w:t>mg doses) in study CIMPASI-1, CIMPASI-2, CIMPACT, and pooled studies.</w:t>
      </w:r>
    </w:p>
    <w:p w:rsidR="001618B3" w:rsidRDefault="001618B3" w:rsidP="00566CE3">
      <w:pPr>
        <w:pStyle w:val="ListBullet"/>
        <w:numPr>
          <w:ilvl w:val="0"/>
          <w:numId w:val="0"/>
        </w:numPr>
        <w:ind w:left="360"/>
      </w:pPr>
      <w:r>
        <w:t xml:space="preserve">A summary of </w:t>
      </w:r>
      <w:r w:rsidR="004A1E30">
        <w:t xml:space="preserve">the </w:t>
      </w:r>
      <w:r w:rsidR="00BC7159">
        <w:t>sponsor</w:t>
      </w:r>
      <w:r w:rsidR="004A1E30">
        <w:t>’s</w:t>
      </w:r>
      <w:r>
        <w:t xml:space="preserve"> re</w:t>
      </w:r>
      <w:r w:rsidR="00566CE3">
        <w:t>sponse to FDA is provided below</w:t>
      </w:r>
      <w:r>
        <w:t xml:space="preserve">. As a reminder, the studies were not powered to make formal statistical comparisons between </w:t>
      </w:r>
      <w:r w:rsidR="00CC125A">
        <w:t>c</w:t>
      </w:r>
      <w:r w:rsidR="004A1E30">
        <w:t>ertolizumab pegol</w:t>
      </w:r>
      <w:r>
        <w:t xml:space="preserve"> doses. In </w:t>
      </w:r>
      <w:r w:rsidR="00CC125A">
        <w:t xml:space="preserve">the </w:t>
      </w:r>
      <w:r w:rsidR="00BC7159">
        <w:t>sponsor</w:t>
      </w:r>
      <w:r w:rsidR="00CC125A">
        <w:t>’</w:t>
      </w:r>
      <w:r>
        <w:t>s view the post-hoc analyses requested by FDA stratified by dose (200</w:t>
      </w:r>
      <w:r w:rsidR="00CC125A">
        <w:t xml:space="preserve"> mg versus</w:t>
      </w:r>
      <w:r>
        <w:t xml:space="preserve"> 400</w:t>
      </w:r>
      <w:r w:rsidR="00CC125A">
        <w:t xml:space="preserve"> </w:t>
      </w:r>
      <w:r>
        <w:t xml:space="preserve">mg) and body weight confirmed the positive benefit-risk of both dose regimens and further supported the dosing recommendation initially proposed. Nevertheless, FDA requested </w:t>
      </w:r>
      <w:r w:rsidR="00CC125A">
        <w:t xml:space="preserve">the </w:t>
      </w:r>
      <w:r w:rsidR="00BC7159">
        <w:t>sponsor</w:t>
      </w:r>
      <w:r>
        <w:t xml:space="preserve"> to modify the </w:t>
      </w:r>
      <w:r w:rsidR="004A1E30">
        <w:t>psoriasis</w:t>
      </w:r>
      <w:r>
        <w:t xml:space="preserve"> dose in the US label to state that for some patients (with body </w:t>
      </w:r>
      <w:r>
        <w:lastRenderedPageBreak/>
        <w:t xml:space="preserve">weight ≤ 90 kg), a dose of 400 mg (given as 2 subcutaneous injections of 200 mg each) initially and at Weeks 2 and 4, followed by 200 mg every other week may be considered. Summary of Post-Hoc Analyses Requested by FDA (by body weight category for efficacy, safety and </w:t>
      </w:r>
      <w:r w:rsidR="00CC125A">
        <w:t>antidrug antibodie</w:t>
      </w:r>
      <w:r>
        <w:t>s)</w:t>
      </w:r>
      <w:r w:rsidR="005125DE">
        <w:t>.</w:t>
      </w:r>
    </w:p>
    <w:p w:rsidR="001618B3" w:rsidRDefault="001618B3" w:rsidP="005125DE">
      <w:pPr>
        <w:pStyle w:val="ListBullet"/>
      </w:pPr>
      <w:r>
        <w:t xml:space="preserve">The </w:t>
      </w:r>
      <w:r w:rsidR="00ED6F86">
        <w:t xml:space="preserve">initial treatment period </w:t>
      </w:r>
      <w:r>
        <w:t>post-hoc analyses for PASI75, PASI90, and PGA at Week</w:t>
      </w:r>
      <w:r w:rsidR="005125DE">
        <w:t> </w:t>
      </w:r>
      <w:r>
        <w:t>16 for Pool E1 (Initial Treatment Period of CIMPASI-1, CIMPASI-2, and CIMPACT) show responder rates were higher in the &lt;</w:t>
      </w:r>
      <w:r w:rsidR="005125DE">
        <w:t xml:space="preserve"> </w:t>
      </w:r>
      <w:r>
        <w:t>90</w:t>
      </w:r>
      <w:r w:rsidR="005125DE">
        <w:t xml:space="preserve"> </w:t>
      </w:r>
      <w:r>
        <w:t>kg category compared with the ≥</w:t>
      </w:r>
      <w:r w:rsidR="005125DE">
        <w:t xml:space="preserve"> </w:t>
      </w:r>
      <w:r>
        <w:t>90</w:t>
      </w:r>
      <w:r w:rsidR="005125DE">
        <w:t xml:space="preserve"> </w:t>
      </w:r>
      <w:r>
        <w:t xml:space="preserve">kg category, regardless of </w:t>
      </w:r>
      <w:r w:rsidR="005125DE">
        <w:t>c</w:t>
      </w:r>
      <w:r w:rsidR="004A1E30">
        <w:t>ertolizumab pegol</w:t>
      </w:r>
      <w:r>
        <w:t xml:space="preserve"> dose. For PGA and PASI90, responder rates were numerically higher in the </w:t>
      </w:r>
      <w:r w:rsidR="005125DE">
        <w:t>c</w:t>
      </w:r>
      <w:r w:rsidR="004A1E30">
        <w:t>ertolizumab pegol</w:t>
      </w:r>
      <w:r>
        <w:t xml:space="preserve"> 400</w:t>
      </w:r>
      <w:r w:rsidR="005125DE">
        <w:t xml:space="preserve"> </w:t>
      </w:r>
      <w:r>
        <w:t xml:space="preserve">mg Q2W group compared with the </w:t>
      </w:r>
      <w:r w:rsidR="005125DE">
        <w:t>c</w:t>
      </w:r>
      <w:r w:rsidR="004A1E30">
        <w:t>ertolizumab pegol</w:t>
      </w:r>
      <w:r>
        <w:t xml:space="preserve"> 200</w:t>
      </w:r>
      <w:r w:rsidR="005125DE">
        <w:t xml:space="preserve"> </w:t>
      </w:r>
      <w:r>
        <w:t xml:space="preserve">mg Q2W group, regardless of weight category. The PASI75 responder rate was numerically higher in the </w:t>
      </w:r>
      <w:r w:rsidR="005125DE">
        <w:t>c</w:t>
      </w:r>
      <w:r w:rsidR="004A1E30">
        <w:t>ertolizumab pegol</w:t>
      </w:r>
      <w:r>
        <w:t xml:space="preserve"> 400</w:t>
      </w:r>
      <w:r w:rsidR="005125DE">
        <w:t xml:space="preserve"> </w:t>
      </w:r>
      <w:r>
        <w:t xml:space="preserve">mg Q2W group compared with the </w:t>
      </w:r>
      <w:r w:rsidR="005125DE">
        <w:t>c</w:t>
      </w:r>
      <w:r w:rsidR="004A1E30">
        <w:t>ertolizumab pegol</w:t>
      </w:r>
      <w:r>
        <w:t xml:space="preserve"> 200</w:t>
      </w:r>
      <w:r w:rsidR="005125DE">
        <w:t xml:space="preserve"> </w:t>
      </w:r>
      <w:r>
        <w:t>mg Q2W group for the ≥</w:t>
      </w:r>
      <w:r w:rsidR="005125DE">
        <w:t> </w:t>
      </w:r>
      <w:r>
        <w:t>90</w:t>
      </w:r>
      <w:r w:rsidR="005125DE">
        <w:t> </w:t>
      </w:r>
      <w:r>
        <w:t>kg category, whereas for the &lt;</w:t>
      </w:r>
      <w:r w:rsidR="005125DE">
        <w:t xml:space="preserve"> </w:t>
      </w:r>
      <w:r>
        <w:t>90</w:t>
      </w:r>
      <w:r w:rsidR="005125DE">
        <w:t xml:space="preserve"> </w:t>
      </w:r>
      <w:r>
        <w:t xml:space="preserve">kg category the PASI75 the responder rates were similar for the two doses (Table </w:t>
      </w:r>
      <w:r w:rsidR="00E77D15">
        <w:t>23</w:t>
      </w:r>
      <w:r>
        <w:t>).</w:t>
      </w:r>
    </w:p>
    <w:p w:rsidR="001618B3" w:rsidRDefault="001618B3" w:rsidP="00566CE3">
      <w:pPr>
        <w:pStyle w:val="TableTitle"/>
      </w:pPr>
      <w:r>
        <w:t xml:space="preserve">Table </w:t>
      </w:r>
      <w:r w:rsidR="00E77D15">
        <w:t>23</w:t>
      </w:r>
      <w:r>
        <w:t>: Responder rates at Week 16 by body weight category for Pool E1 (</w:t>
      </w:r>
      <w:r w:rsidR="00AF4757">
        <w:t>non responder imputation</w:t>
      </w:r>
      <w:r w:rsidR="00A41D98">
        <w:t>)</w:t>
      </w:r>
    </w:p>
    <w:p w:rsidR="00241056" w:rsidRDefault="00241056" w:rsidP="00241056">
      <w:r>
        <w:rPr>
          <w:noProof/>
          <w:lang w:eastAsia="en-AU"/>
        </w:rPr>
        <w:drawing>
          <wp:inline distT="0" distB="0" distL="0" distR="0" wp14:anchorId="05E6AA63" wp14:editId="7D23564D">
            <wp:extent cx="5400040" cy="2209632"/>
            <wp:effectExtent l="0" t="0" r="0" b="635"/>
            <wp:docPr id="11" name="Picture 11" descr="Responder rates at Week 16 by body weight category for Pool E1 (non responder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209632"/>
                    </a:xfrm>
                    <a:prstGeom prst="rect">
                      <a:avLst/>
                    </a:prstGeom>
                  </pic:spPr>
                </pic:pic>
              </a:graphicData>
            </a:graphic>
          </wp:inline>
        </w:drawing>
      </w:r>
    </w:p>
    <w:p w:rsidR="001618B3" w:rsidRDefault="001618B3" w:rsidP="002F20D1">
      <w:pPr>
        <w:pStyle w:val="ListBullet"/>
      </w:pPr>
      <w:r>
        <w:t xml:space="preserve">For the </w:t>
      </w:r>
      <w:r w:rsidR="00ED6F86">
        <w:t>maintenance treatment period</w:t>
      </w:r>
      <w:r>
        <w:t>, efficacy data of CIMPASI-1 and CIMPASI-2 were combined in Pool E3 due to the fact that these 2 studies are identical in design (Table</w:t>
      </w:r>
      <w:r w:rsidR="00636F70">
        <w:t> </w:t>
      </w:r>
      <w:r w:rsidR="00E77D15">
        <w:t>24</w:t>
      </w:r>
      <w:r>
        <w:t xml:space="preserve">). CIMPACT was analysed separately (Table </w:t>
      </w:r>
      <w:r w:rsidR="00E77D15">
        <w:t>25</w:t>
      </w:r>
      <w:r>
        <w:t>).</w:t>
      </w:r>
    </w:p>
    <w:p w:rsidR="001618B3" w:rsidRDefault="001618B3" w:rsidP="002F20D1">
      <w:pPr>
        <w:pStyle w:val="ListBullet2"/>
      </w:pPr>
      <w:r>
        <w:t>In Pool E3 (CIMPASI-1 and CIMPASI-2), PGA, PASI75 and PASI90 responder rates at Week 48 were higher in the &lt;</w:t>
      </w:r>
      <w:r w:rsidR="002F20D1">
        <w:t xml:space="preserve"> </w:t>
      </w:r>
      <w:r>
        <w:t>90</w:t>
      </w:r>
      <w:r w:rsidR="002F20D1">
        <w:t xml:space="preserve"> </w:t>
      </w:r>
      <w:r>
        <w:t>kg category compared with the ≥</w:t>
      </w:r>
      <w:r w:rsidR="002F20D1">
        <w:t xml:space="preserve"> </w:t>
      </w:r>
      <w:r>
        <w:t>90</w:t>
      </w:r>
      <w:r w:rsidR="002F20D1">
        <w:t xml:space="preserve"> </w:t>
      </w:r>
      <w:r>
        <w:t xml:space="preserve">kg category, regardless of </w:t>
      </w:r>
      <w:r w:rsidR="002F20D1">
        <w:t>c</w:t>
      </w:r>
      <w:r w:rsidR="004A1E30">
        <w:t>ertolizumab pegol</w:t>
      </w:r>
      <w:r>
        <w:t xml:space="preserve"> dose. Responder rates were higher in both weight categories in the </w:t>
      </w:r>
      <w:r w:rsidR="002F20D1">
        <w:t>c</w:t>
      </w:r>
      <w:r w:rsidR="004A1E30">
        <w:t>ertolizumab pegol</w:t>
      </w:r>
      <w:r>
        <w:t xml:space="preserve"> 400</w:t>
      </w:r>
      <w:r w:rsidR="002F20D1">
        <w:t xml:space="preserve"> </w:t>
      </w:r>
      <w:r>
        <w:t xml:space="preserve">mg Q2W group compared with the </w:t>
      </w:r>
      <w:r w:rsidR="002F20D1">
        <w:t>c</w:t>
      </w:r>
      <w:r w:rsidR="004A1E30">
        <w:t>ertolizumab pegol</w:t>
      </w:r>
      <w:r>
        <w:t xml:space="preserve"> 200</w:t>
      </w:r>
      <w:r w:rsidR="002F20D1">
        <w:t xml:space="preserve"> </w:t>
      </w:r>
      <w:r>
        <w:t>mg Q2W group.</w:t>
      </w:r>
    </w:p>
    <w:p w:rsidR="001618B3" w:rsidRDefault="001618B3" w:rsidP="002F20D1">
      <w:pPr>
        <w:pStyle w:val="ListBullet2"/>
      </w:pPr>
      <w:r>
        <w:t>In CIMPACT, the PGA, PASI75 and PASI90 responder rates were higher in the</w:t>
      </w:r>
      <w:r w:rsidR="00702D7B">
        <w:t xml:space="preserve"> </w:t>
      </w:r>
      <w:r w:rsidR="002F20D1">
        <w:t>c</w:t>
      </w:r>
      <w:r w:rsidR="004A1E30">
        <w:t>ertolizumab pegol</w:t>
      </w:r>
      <w:r>
        <w:t xml:space="preserve"> 400</w:t>
      </w:r>
      <w:r w:rsidR="002F20D1">
        <w:t xml:space="preserve"> </w:t>
      </w:r>
      <w:r>
        <w:t xml:space="preserve">mg Q2W group compared with the </w:t>
      </w:r>
      <w:r w:rsidR="002F20D1">
        <w:t>c</w:t>
      </w:r>
      <w:r w:rsidR="004A1E30">
        <w:t>ertolizumab pegol</w:t>
      </w:r>
      <w:r>
        <w:t xml:space="preserve"> 200</w:t>
      </w:r>
      <w:r w:rsidR="002F20D1">
        <w:t> </w:t>
      </w:r>
      <w:r>
        <w:t>mg Q2W group, regardless of weight category. Unlike Pool E3 (CIMPASI-1 and CIMPASI-2) where the response rates were consistently greater regardless of dose in the &lt;</w:t>
      </w:r>
      <w:r w:rsidR="002F20D1">
        <w:t xml:space="preserve"> </w:t>
      </w:r>
      <w:r>
        <w:t>90</w:t>
      </w:r>
      <w:r w:rsidR="002F20D1">
        <w:t xml:space="preserve"> </w:t>
      </w:r>
      <w:r>
        <w:t>kg category, a different trend was seen in CIMPACT, likely due to the small sample size of both weight categories (due to re-</w:t>
      </w:r>
      <w:r w:rsidR="00ED6F86">
        <w:t xml:space="preserve">randomising </w:t>
      </w:r>
      <w:r>
        <w:t>of all PASI75 responders at Week 16).</w:t>
      </w:r>
    </w:p>
    <w:p w:rsidR="001618B3" w:rsidRDefault="001618B3" w:rsidP="00566CE3">
      <w:pPr>
        <w:pStyle w:val="TableTitle"/>
      </w:pPr>
      <w:r>
        <w:lastRenderedPageBreak/>
        <w:t>Table 2</w:t>
      </w:r>
      <w:r w:rsidR="00E77D15">
        <w:t>4</w:t>
      </w:r>
      <w:r>
        <w:t>: Responder rates at Week 48 by body weight category for Pool E3 (</w:t>
      </w:r>
      <w:r w:rsidR="002F20D1">
        <w:t>non</w:t>
      </w:r>
      <w:r w:rsidR="00ED6F86">
        <w:noBreakHyphen/>
      </w:r>
      <w:r w:rsidR="002F20D1">
        <w:t>responder imputation</w:t>
      </w:r>
      <w:r>
        <w:t>)</w:t>
      </w:r>
    </w:p>
    <w:p w:rsidR="00241056" w:rsidRDefault="00241056" w:rsidP="00241056">
      <w:r>
        <w:rPr>
          <w:noProof/>
          <w:lang w:eastAsia="en-AU"/>
        </w:rPr>
        <w:drawing>
          <wp:inline distT="0" distB="0" distL="0" distR="0" wp14:anchorId="4FB2CCF8" wp14:editId="196E2FD2">
            <wp:extent cx="5400040" cy="1933284"/>
            <wp:effectExtent l="0" t="0" r="0" b="0"/>
            <wp:docPr id="12" name="Picture 12" descr="Responder rates at Week 48 by body weight category for Pool E3 (non responder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1933284"/>
                    </a:xfrm>
                    <a:prstGeom prst="rect">
                      <a:avLst/>
                    </a:prstGeom>
                  </pic:spPr>
                </pic:pic>
              </a:graphicData>
            </a:graphic>
          </wp:inline>
        </w:drawing>
      </w:r>
    </w:p>
    <w:p w:rsidR="001618B3" w:rsidRDefault="001618B3" w:rsidP="00965D08">
      <w:pPr>
        <w:pStyle w:val="TableTitle"/>
      </w:pPr>
      <w:r>
        <w:t xml:space="preserve">Table </w:t>
      </w:r>
      <w:r w:rsidR="00E77D15">
        <w:t>25</w:t>
      </w:r>
      <w:r>
        <w:t>: Responder rates at Week 48 by body weight category in subjects who</w:t>
      </w:r>
      <w:r w:rsidR="00F6518D">
        <w:t xml:space="preserve"> </w:t>
      </w:r>
      <w:r>
        <w:t>were PASI75 responders at Week 16 and received the same blinded</w:t>
      </w:r>
      <w:r w:rsidR="00F6518D">
        <w:t xml:space="preserve"> c</w:t>
      </w:r>
      <w:r w:rsidR="004A1E30">
        <w:t>ertolizumab pegol</w:t>
      </w:r>
      <w:r>
        <w:t xml:space="preserve"> dose across </w:t>
      </w:r>
      <w:r w:rsidR="00ED6F86">
        <w:t xml:space="preserve">both initial and maintenance treatment period </w:t>
      </w:r>
      <w:r>
        <w:t>in</w:t>
      </w:r>
      <w:r w:rsidR="00F6518D">
        <w:t xml:space="preserve"> </w:t>
      </w:r>
      <w:r>
        <w:t>CIMPACT (</w:t>
      </w:r>
      <w:r w:rsidR="00F871F6">
        <w:t xml:space="preserve">maintenance, </w:t>
      </w:r>
      <w:r w:rsidR="00A41D98">
        <w:t>non-responder</w:t>
      </w:r>
      <w:r w:rsidR="00F871F6">
        <w:t xml:space="preserve"> imputation</w:t>
      </w:r>
      <w:r>
        <w:t>)</w:t>
      </w:r>
    </w:p>
    <w:p w:rsidR="00241056" w:rsidRDefault="00241056" w:rsidP="00241056">
      <w:r>
        <w:rPr>
          <w:noProof/>
          <w:lang w:eastAsia="en-AU"/>
        </w:rPr>
        <w:drawing>
          <wp:inline distT="0" distB="0" distL="0" distR="0" wp14:anchorId="332D4A15" wp14:editId="6B7FC358">
            <wp:extent cx="5400040" cy="2049823"/>
            <wp:effectExtent l="0" t="0" r="0" b="7620"/>
            <wp:docPr id="13" name="Picture 13" descr="Responder rates at Week 48 by body weight category in subjects who were PASI75 responders at Week 16 and received the same blinded certolizumab pegol dose across both Initial and Maintenance Treatment Period in CIMPACT (maintenance, non-responder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049823"/>
                    </a:xfrm>
                    <a:prstGeom prst="rect">
                      <a:avLst/>
                    </a:prstGeom>
                  </pic:spPr>
                </pic:pic>
              </a:graphicData>
            </a:graphic>
          </wp:inline>
        </w:drawing>
      </w:r>
    </w:p>
    <w:p w:rsidR="001618B3" w:rsidRDefault="001618B3" w:rsidP="00F871F6">
      <w:pPr>
        <w:pStyle w:val="ListBullet"/>
      </w:pPr>
      <w:r>
        <w:t>An overview of</w:t>
      </w:r>
      <w:r w:rsidR="00702D7B">
        <w:t xml:space="preserve"> </w:t>
      </w:r>
      <w:r w:rsidR="00F871F6">
        <w:t>treatment emergent AE</w:t>
      </w:r>
      <w:r>
        <w:t xml:space="preserve">s (Table </w:t>
      </w:r>
      <w:r w:rsidR="00E77D15">
        <w:t>26</w:t>
      </w:r>
      <w:r>
        <w:t>), serious</w:t>
      </w:r>
      <w:r w:rsidR="00702D7B">
        <w:t xml:space="preserve"> </w:t>
      </w:r>
      <w:r w:rsidR="00F871F6">
        <w:t>treatment emergent AE</w:t>
      </w:r>
      <w:r>
        <w:t xml:space="preserve">s (Table </w:t>
      </w:r>
      <w:r w:rsidR="00E77D15">
        <w:t>27</w:t>
      </w:r>
      <w:r>
        <w:t>), and</w:t>
      </w:r>
      <w:r w:rsidR="00702D7B">
        <w:t xml:space="preserve"> </w:t>
      </w:r>
      <w:r w:rsidR="00F871F6">
        <w:t>treatment emergent AE</w:t>
      </w:r>
      <w:r>
        <w:t xml:space="preserve">s leading to discontinuation of study drug by weight category (Table </w:t>
      </w:r>
      <w:r w:rsidR="00E77D15">
        <w:t>28</w:t>
      </w:r>
      <w:r>
        <w:t>) was provided for:</w:t>
      </w:r>
    </w:p>
    <w:p w:rsidR="001618B3" w:rsidRDefault="001618B3" w:rsidP="00F871F6">
      <w:pPr>
        <w:pStyle w:val="ListBullet2"/>
      </w:pPr>
      <w:r>
        <w:t xml:space="preserve">Pool S1 (subjects who received study medication during </w:t>
      </w:r>
      <w:r w:rsidR="00ED6F86">
        <w:t>the initial treatment period</w:t>
      </w:r>
      <w:r>
        <w:t xml:space="preserve"> </w:t>
      </w:r>
      <w:r w:rsidR="00ED6F86">
        <w:t>(</w:t>
      </w:r>
      <w:r>
        <w:t>Weeks 0 to 16</w:t>
      </w:r>
      <w:r w:rsidR="00ED6F86">
        <w:t>)</w:t>
      </w:r>
      <w:r>
        <w:t xml:space="preserve"> of the Phase </w:t>
      </w:r>
      <w:r w:rsidR="00F871F6">
        <w:t>III</w:t>
      </w:r>
      <w:r>
        <w:t xml:space="preserve"> studies: CIMPASI-1, CIMPASI-2, and CIMPACT [</w:t>
      </w:r>
      <w:r w:rsidR="00ED6F86">
        <w:t xml:space="preserve">(certolizumab </w:t>
      </w:r>
      <w:r w:rsidR="004A1E30">
        <w:t>pegol</w:t>
      </w:r>
      <w:r>
        <w:t xml:space="preserve"> and placebo arms only</w:t>
      </w:r>
      <w:r w:rsidR="00ED6F86">
        <w:t>)</w:t>
      </w:r>
      <w:r>
        <w:t>),</w:t>
      </w:r>
    </w:p>
    <w:p w:rsidR="001618B3" w:rsidRDefault="001618B3" w:rsidP="00F871F6">
      <w:pPr>
        <w:pStyle w:val="ListBullet2"/>
      </w:pPr>
      <w:r>
        <w:t xml:space="preserve">Pool S4 (subjects who received study medication during the Maintenance Treatment period </w:t>
      </w:r>
      <w:r w:rsidR="00ED6F86">
        <w:t>(</w:t>
      </w:r>
      <w:r>
        <w:t>Week 16 to Week 48</w:t>
      </w:r>
      <w:r w:rsidR="00ED6F86">
        <w:t>)</w:t>
      </w:r>
      <w:r>
        <w:t xml:space="preserve"> in CIMPASI-1, CIMPASI-2, and CIMPACT) and</w:t>
      </w:r>
    </w:p>
    <w:p w:rsidR="001618B3" w:rsidRDefault="001618B3" w:rsidP="00F871F6">
      <w:pPr>
        <w:pStyle w:val="ListBullet2"/>
      </w:pPr>
      <w:r>
        <w:t>Pool S3 (subjects treated with</w:t>
      </w:r>
      <w:r w:rsidR="00702D7B">
        <w:t xml:space="preserve"> </w:t>
      </w:r>
      <w:r w:rsidR="004A1E30">
        <w:t>Certolizumab pegol</w:t>
      </w:r>
      <w:r>
        <w:t xml:space="preserve"> during CIMPASI-1, CIMPASI-2, and CIMPACT </w:t>
      </w:r>
      <w:r w:rsidR="00ED6F86">
        <w:t xml:space="preserve">(initial, maintenance, </w:t>
      </w:r>
      <w:r>
        <w:t xml:space="preserve">and </w:t>
      </w:r>
      <w:r w:rsidR="00A41D98">
        <w:t>open label extension</w:t>
      </w:r>
      <w:r>
        <w:t xml:space="preserve"> </w:t>
      </w:r>
      <w:r w:rsidR="00ED6F86">
        <w:t xml:space="preserve">treatment periods </w:t>
      </w:r>
      <w:r>
        <w:t>up to the clinical cut date of 30 Jun 2017</w:t>
      </w:r>
      <w:r w:rsidR="00ED6F86">
        <w:t>)</w:t>
      </w:r>
      <w:r>
        <w:t xml:space="preserve"> as well as the Phase </w:t>
      </w:r>
      <w:r w:rsidR="00965D08">
        <w:t>II</w:t>
      </w:r>
      <w:r>
        <w:t xml:space="preserve"> studies C87040 and C87044).</w:t>
      </w:r>
    </w:p>
    <w:p w:rsidR="001618B3" w:rsidRDefault="001618B3" w:rsidP="00636F70">
      <w:pPr>
        <w:pStyle w:val="ListBullet"/>
      </w:pPr>
      <w:r>
        <w:t>The post-hoc analyses demonstrated:</w:t>
      </w:r>
    </w:p>
    <w:p w:rsidR="001618B3" w:rsidRDefault="001618B3" w:rsidP="00F871F6">
      <w:pPr>
        <w:pStyle w:val="ListBullet2"/>
      </w:pPr>
      <w:r>
        <w:t>Overall, regardless of weight category, the risk of</w:t>
      </w:r>
      <w:r w:rsidR="00702D7B">
        <w:t xml:space="preserve"> </w:t>
      </w:r>
      <w:r w:rsidR="00F871F6">
        <w:t>treatment emergent AE</w:t>
      </w:r>
      <w:r>
        <w:t>s does not increase with longer or higher exposure.</w:t>
      </w:r>
    </w:p>
    <w:p w:rsidR="00702D7B" w:rsidRDefault="001618B3" w:rsidP="00F871F6">
      <w:pPr>
        <w:pStyle w:val="ListBullet2"/>
      </w:pPr>
      <w:r>
        <w:t>Overall, the incidence of serious</w:t>
      </w:r>
      <w:r w:rsidR="00702D7B">
        <w:t xml:space="preserve"> </w:t>
      </w:r>
      <w:r w:rsidR="00F871F6">
        <w:t>treatment emergent AE</w:t>
      </w:r>
      <w:r>
        <w:t xml:space="preserve">s is low regardless of dose, especially in the </w:t>
      </w:r>
      <w:r w:rsidR="00F871F6">
        <w:t>c</w:t>
      </w:r>
      <w:r w:rsidR="004A1E30">
        <w:t>ertolizumab pegol</w:t>
      </w:r>
      <w:r>
        <w:t xml:space="preserve"> 200mg Q2W group in the &lt;</w:t>
      </w:r>
      <w:r w:rsidR="00F871F6">
        <w:t xml:space="preserve"> </w:t>
      </w:r>
      <w:r>
        <w:t>90</w:t>
      </w:r>
      <w:r w:rsidR="00F871F6">
        <w:t xml:space="preserve"> </w:t>
      </w:r>
      <w:r>
        <w:t>kg category in Pool S1, where there was only 1 subject with a serious</w:t>
      </w:r>
      <w:r w:rsidR="00702D7B">
        <w:t xml:space="preserve"> </w:t>
      </w:r>
      <w:r w:rsidR="00F871F6">
        <w:t>treatment emergent AE</w:t>
      </w:r>
      <w:r>
        <w:t xml:space="preserve">. </w:t>
      </w:r>
      <w:r>
        <w:lastRenderedPageBreak/>
        <w:t>Low numbers do not allow direct comparison of serious</w:t>
      </w:r>
      <w:r w:rsidR="00702D7B">
        <w:t xml:space="preserve"> </w:t>
      </w:r>
      <w:r w:rsidR="00F871F6">
        <w:t>treatment emergent AE</w:t>
      </w:r>
      <w:r>
        <w:t xml:space="preserve"> incidence between the dose and weight category, and therefore, no conclusion can be drawn. Pool S3 is the best estimation of long</w:t>
      </w:r>
      <w:r w:rsidR="00F871F6">
        <w:t xml:space="preserve"> </w:t>
      </w:r>
      <w:r>
        <w:t>term safety, and incidence rates of serious</w:t>
      </w:r>
      <w:r w:rsidR="00702D7B">
        <w:t xml:space="preserve"> </w:t>
      </w:r>
      <w:r w:rsidR="00F871F6">
        <w:t>treatment emergent AE</w:t>
      </w:r>
      <w:r>
        <w:t>s are similar when considering each dose, regardless of weight.</w:t>
      </w:r>
    </w:p>
    <w:p w:rsidR="001618B3" w:rsidRDefault="001618B3" w:rsidP="00F871F6">
      <w:pPr>
        <w:pStyle w:val="ListBullet2"/>
      </w:pPr>
      <w:r>
        <w:t>Overall, the rates of</w:t>
      </w:r>
      <w:r w:rsidR="00702D7B">
        <w:t xml:space="preserve"> </w:t>
      </w:r>
      <w:r w:rsidR="00F871F6">
        <w:t>treatment emergent AE</w:t>
      </w:r>
      <w:r>
        <w:t>s leading to discontinuation of study drug are low, and no conclusions can be drawn regarding an effect of dose or weight. Pool S3 is the best estimation of long-term safety, and incidence rates of</w:t>
      </w:r>
      <w:r w:rsidR="00702D7B">
        <w:t xml:space="preserve"> </w:t>
      </w:r>
      <w:r w:rsidR="00F871F6">
        <w:t>treatment emergent AE</w:t>
      </w:r>
      <w:r>
        <w:t>s leading to discontinuation are similar when considering each dose, regardless of weight.</w:t>
      </w:r>
    </w:p>
    <w:p w:rsidR="006D4C2B" w:rsidRDefault="001618B3" w:rsidP="00965D08">
      <w:pPr>
        <w:pStyle w:val="TableTitle"/>
      </w:pPr>
      <w:r>
        <w:t xml:space="preserve">Table </w:t>
      </w:r>
      <w:r w:rsidR="00E77D15">
        <w:t>26</w:t>
      </w:r>
      <w:r>
        <w:t xml:space="preserve">: Overview of any </w:t>
      </w:r>
      <w:r w:rsidR="00F871F6">
        <w:t>treatment emergent AE</w:t>
      </w:r>
      <w:r>
        <w:t xml:space="preserve"> in Pool S1, Pool S4, and Pool S3 by body weight</w:t>
      </w:r>
      <w:r w:rsidR="00F871F6">
        <w:t xml:space="preserve"> </w:t>
      </w:r>
      <w:r>
        <w:t>category</w:t>
      </w:r>
    </w:p>
    <w:p w:rsidR="00241056" w:rsidRPr="006D4C2B" w:rsidRDefault="00241056" w:rsidP="00241056">
      <w:r>
        <w:rPr>
          <w:noProof/>
          <w:lang w:eastAsia="en-AU"/>
        </w:rPr>
        <w:drawing>
          <wp:inline distT="0" distB="0" distL="0" distR="0" wp14:anchorId="1F75FE42" wp14:editId="0CA7E40D">
            <wp:extent cx="5400040" cy="2194055"/>
            <wp:effectExtent l="0" t="0" r="0" b="0"/>
            <wp:docPr id="14" name="Picture 14" descr="Overview of any treatment emergent AE in Pool S1, Pool S4, and Pool S3 by body weigh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194055"/>
                    </a:xfrm>
                    <a:prstGeom prst="rect">
                      <a:avLst/>
                    </a:prstGeom>
                  </pic:spPr>
                </pic:pic>
              </a:graphicData>
            </a:graphic>
          </wp:inline>
        </w:drawing>
      </w:r>
    </w:p>
    <w:p w:rsidR="001618B3" w:rsidRDefault="001618B3" w:rsidP="00965D08">
      <w:pPr>
        <w:pStyle w:val="TableTitle"/>
      </w:pPr>
      <w:r>
        <w:t xml:space="preserve">Table </w:t>
      </w:r>
      <w:r w:rsidR="00E77D15">
        <w:t>27</w:t>
      </w:r>
      <w:r>
        <w:t>: Overview of any serious</w:t>
      </w:r>
      <w:r w:rsidR="00702D7B">
        <w:t xml:space="preserve"> </w:t>
      </w:r>
      <w:r w:rsidR="00F871F6">
        <w:t>treatment emergent AE</w:t>
      </w:r>
      <w:r>
        <w:t xml:space="preserve"> in Pool S1, Pool S4, and Pool S3 by body</w:t>
      </w:r>
      <w:r w:rsidR="00152685">
        <w:t xml:space="preserve"> </w:t>
      </w:r>
      <w:r>
        <w:t>weight category</w:t>
      </w:r>
    </w:p>
    <w:p w:rsidR="00241056" w:rsidRDefault="00241056" w:rsidP="00241056">
      <w:r>
        <w:rPr>
          <w:noProof/>
          <w:lang w:eastAsia="en-AU"/>
        </w:rPr>
        <w:drawing>
          <wp:inline distT="0" distB="0" distL="0" distR="0" wp14:anchorId="1FE4716F" wp14:editId="19E07755">
            <wp:extent cx="5400040" cy="2064823"/>
            <wp:effectExtent l="0" t="0" r="0" b="0"/>
            <wp:docPr id="15" name="Picture 15" descr="Overview of any serious treatment emergent AE in Pool S1, Pool S4, and Pool S3 by body weigh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2064823"/>
                    </a:xfrm>
                    <a:prstGeom prst="rect">
                      <a:avLst/>
                    </a:prstGeom>
                  </pic:spPr>
                </pic:pic>
              </a:graphicData>
            </a:graphic>
          </wp:inline>
        </w:drawing>
      </w:r>
    </w:p>
    <w:p w:rsidR="001618B3" w:rsidRDefault="001618B3" w:rsidP="00965D08">
      <w:pPr>
        <w:pStyle w:val="TableTitle"/>
      </w:pPr>
      <w:r>
        <w:lastRenderedPageBreak/>
        <w:t xml:space="preserve">Table </w:t>
      </w:r>
      <w:r w:rsidR="00E77D15">
        <w:t>28</w:t>
      </w:r>
      <w:r>
        <w:t>: Overview of any</w:t>
      </w:r>
      <w:r w:rsidR="00702D7B">
        <w:t xml:space="preserve"> </w:t>
      </w:r>
      <w:r w:rsidR="00F871F6">
        <w:t>treatment emergent AE</w:t>
      </w:r>
      <w:r>
        <w:t xml:space="preserve"> leading to permanent discontinuation of study</w:t>
      </w:r>
      <w:r w:rsidR="00152685">
        <w:t xml:space="preserve"> </w:t>
      </w:r>
      <w:r>
        <w:t>drug in Pool S1, Pool S4, and Pool S3 by body weight category</w:t>
      </w:r>
    </w:p>
    <w:p w:rsidR="00241056" w:rsidRDefault="00241056" w:rsidP="00241056">
      <w:r>
        <w:rPr>
          <w:noProof/>
          <w:lang w:eastAsia="en-AU"/>
        </w:rPr>
        <w:drawing>
          <wp:inline distT="0" distB="0" distL="0" distR="0" wp14:anchorId="534EC0B5" wp14:editId="0F43CEE0">
            <wp:extent cx="5400040" cy="2070592"/>
            <wp:effectExtent l="0" t="0" r="0" b="6350"/>
            <wp:docPr id="16" name="Picture 16" descr="Overview of any treatment emergent AE leading to permanent discontinuation of study drug in Pool S1, Pool S4, and Pool S3 by body weigh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070592"/>
                    </a:xfrm>
                    <a:prstGeom prst="rect">
                      <a:avLst/>
                    </a:prstGeom>
                  </pic:spPr>
                </pic:pic>
              </a:graphicData>
            </a:graphic>
          </wp:inline>
        </w:drawing>
      </w:r>
    </w:p>
    <w:p w:rsidR="00BF2B10" w:rsidRDefault="001618B3" w:rsidP="00D04609">
      <w:pPr>
        <w:pStyle w:val="ListBullet"/>
      </w:pPr>
      <w:r>
        <w:t xml:space="preserve">Post-hoc analyses for </w:t>
      </w:r>
      <w:r w:rsidR="00D04609">
        <w:t>antidrug antibodie</w:t>
      </w:r>
      <w:r>
        <w:t xml:space="preserve">s stratified by dose and body weight showed the incidence of </w:t>
      </w:r>
      <w:r w:rsidR="00D04609">
        <w:t>antidrug antibody</w:t>
      </w:r>
      <w:r>
        <w:t xml:space="preserve"> positivity was higher in subjects receiving</w:t>
      </w:r>
      <w:r w:rsidR="00702D7B">
        <w:t xml:space="preserve"> </w:t>
      </w:r>
      <w:r w:rsidR="00D04609">
        <w:t>c</w:t>
      </w:r>
      <w:r w:rsidR="004A1E30">
        <w:t>ertolizumab pegol</w:t>
      </w:r>
      <w:r>
        <w:t xml:space="preserve"> 200</w:t>
      </w:r>
      <w:r w:rsidR="00D04609">
        <w:t xml:space="preserve"> </w:t>
      </w:r>
      <w:r>
        <w:t xml:space="preserve">mg Q2W than in those receiving </w:t>
      </w:r>
      <w:r w:rsidR="00D04609">
        <w:t>c</w:t>
      </w:r>
      <w:r w:rsidR="004A1E30">
        <w:t>ertolizumab pegol</w:t>
      </w:r>
      <w:r>
        <w:t xml:space="preserve"> 400</w:t>
      </w:r>
      <w:r w:rsidR="00D04609">
        <w:t> </w:t>
      </w:r>
      <w:r>
        <w:t xml:space="preserve">mg Q2W, as previously presented. In addition, the incidence of </w:t>
      </w:r>
      <w:r w:rsidR="00D04609">
        <w:t>antidrug antiobody</w:t>
      </w:r>
      <w:r>
        <w:t xml:space="preserve"> positivity was higher in subjects with body weight ≥</w:t>
      </w:r>
      <w:r w:rsidR="00D04609">
        <w:t xml:space="preserve"> </w:t>
      </w:r>
      <w:r>
        <w:t>90</w:t>
      </w:r>
      <w:r w:rsidR="00D04609">
        <w:t xml:space="preserve"> </w:t>
      </w:r>
      <w:r>
        <w:t>kg than with body weight &lt;</w:t>
      </w:r>
      <w:r w:rsidR="00D04609">
        <w:t> </w:t>
      </w:r>
      <w:r>
        <w:t>90</w:t>
      </w:r>
      <w:r w:rsidR="00D04609">
        <w:t> </w:t>
      </w:r>
      <w:r>
        <w:t>kg at both dose levels, with a greater impact of body weight being observed at</w:t>
      </w:r>
      <w:r w:rsidR="00702D7B">
        <w:t xml:space="preserve"> </w:t>
      </w:r>
      <w:r w:rsidR="00D04609">
        <w:t>c</w:t>
      </w:r>
      <w:r w:rsidR="004A1E30">
        <w:t>ertolizumab pegol</w:t>
      </w:r>
      <w:r>
        <w:t xml:space="preserve"> 400</w:t>
      </w:r>
      <w:r w:rsidR="00D04609">
        <w:t xml:space="preserve"> </w:t>
      </w:r>
      <w:r>
        <w:t xml:space="preserve">mg Q2W. Similar results were observed at the study level for CIMPASI-1, CIMPASI-2, and CIMPACT, respectively, during the </w:t>
      </w:r>
      <w:r w:rsidR="00FF1ABC">
        <w:t xml:space="preserve">initial treatment period </w:t>
      </w:r>
      <w:r>
        <w:t xml:space="preserve">and during the combined </w:t>
      </w:r>
      <w:r w:rsidR="00FF1ABC">
        <w:t>initial and maintenance treatment period.</w:t>
      </w:r>
    </w:p>
    <w:p w:rsidR="00BF2B10" w:rsidRDefault="001618B3" w:rsidP="00241056">
      <w:r>
        <w:t xml:space="preserve">In conclusion, in the original submission, it was demonstrated that both </w:t>
      </w:r>
      <w:r w:rsidR="00D04609">
        <w:t>c</w:t>
      </w:r>
      <w:r w:rsidR="004A1E30">
        <w:t>ertolizumab pegol</w:t>
      </w:r>
      <w:r>
        <w:t xml:space="preserve"> doses provide robust efficacy across the spectrum of endpoints assessed in the </w:t>
      </w:r>
      <w:r w:rsidR="004A1E30">
        <w:t>psoriasis</w:t>
      </w:r>
      <w:r>
        <w:t xml:space="preserve"> development program. Regardless of weight category, both </w:t>
      </w:r>
      <w:r w:rsidR="00D04609">
        <w:t>c</w:t>
      </w:r>
      <w:r w:rsidR="004A1E30">
        <w:t>ertolizumab pegol</w:t>
      </w:r>
      <w:r>
        <w:t xml:space="preserve"> doses continued to show robust efficacy across all endpoints and time points assessed in this response. Furthermore, in the pooled analyses, </w:t>
      </w:r>
      <w:r w:rsidR="00D04609">
        <w:t>c</w:t>
      </w:r>
      <w:r w:rsidR="004A1E30">
        <w:t>ertolizumab pegol</w:t>
      </w:r>
      <w:r>
        <w:t xml:space="preserve"> 400</w:t>
      </w:r>
      <w:r w:rsidR="00D04609">
        <w:t xml:space="preserve"> </w:t>
      </w:r>
      <w:r>
        <w:t xml:space="preserve">mg Q2W demonstrated higher response than </w:t>
      </w:r>
      <w:r w:rsidR="00D04609">
        <w:t>c</w:t>
      </w:r>
      <w:r w:rsidR="004A1E30">
        <w:t>ertolizumab pegol</w:t>
      </w:r>
      <w:r>
        <w:t xml:space="preserve"> 200</w:t>
      </w:r>
      <w:r w:rsidR="00D04609">
        <w:t xml:space="preserve"> </w:t>
      </w:r>
      <w:r>
        <w:t>mg Q2W, particularly for the more stringent endpoint of PASI90.</w:t>
      </w:r>
    </w:p>
    <w:p w:rsidR="00BF2B10" w:rsidRDefault="001618B3" w:rsidP="00241056">
      <w:r>
        <w:t xml:space="preserve">The </w:t>
      </w:r>
      <w:r w:rsidR="00D04609">
        <w:t>c</w:t>
      </w:r>
      <w:r w:rsidR="004A1E30">
        <w:t>ertolizumab pegol</w:t>
      </w:r>
      <w:r>
        <w:t xml:space="preserve"> 200</w:t>
      </w:r>
      <w:r w:rsidR="00965D08">
        <w:t> </w:t>
      </w:r>
      <w:r>
        <w:t xml:space="preserve">mg Q2W and </w:t>
      </w:r>
      <w:r w:rsidR="00D04609">
        <w:t>c</w:t>
      </w:r>
      <w:r w:rsidR="004A1E30">
        <w:t>ertolizumab pegol</w:t>
      </w:r>
      <w:r>
        <w:t xml:space="preserve"> 400</w:t>
      </w:r>
      <w:r w:rsidR="00D04609">
        <w:t xml:space="preserve"> </w:t>
      </w:r>
      <w:r>
        <w:t xml:space="preserve">mg Q2W doses, regardless of body weight category, have acceptable and similar safety profiles, with no increased risks following longer term exposure. The analysis of </w:t>
      </w:r>
      <w:r w:rsidR="00FF1ABC">
        <w:t>ADA</w:t>
      </w:r>
      <w:r>
        <w:t xml:space="preserve"> by weight category supports the original analysis, where the </w:t>
      </w:r>
      <w:r w:rsidR="00D04609">
        <w:t>c</w:t>
      </w:r>
      <w:r w:rsidR="004A1E30">
        <w:t>ertolizumab pegol</w:t>
      </w:r>
      <w:r>
        <w:t xml:space="preserve"> 200</w:t>
      </w:r>
      <w:r w:rsidR="00965D08">
        <w:t> </w:t>
      </w:r>
      <w:r>
        <w:t xml:space="preserve">mg Q2W group had consistently higher levels of </w:t>
      </w:r>
      <w:r w:rsidR="00D04609">
        <w:t>antidrug antibodies.</w:t>
      </w:r>
    </w:p>
    <w:p w:rsidR="00241056" w:rsidRDefault="00D04609" w:rsidP="00241056">
      <w:r>
        <w:t xml:space="preserve">In the </w:t>
      </w:r>
      <w:r w:rsidR="00BC7159">
        <w:t>sponsor</w:t>
      </w:r>
      <w:r>
        <w:t>’s</w:t>
      </w:r>
      <w:r w:rsidR="001618B3">
        <w:t xml:space="preserve"> opinion the additional analyses by body weigh</w:t>
      </w:r>
      <w:r>
        <w:t>t category for efficacy, safety</w:t>
      </w:r>
      <w:r w:rsidR="001618B3">
        <w:t xml:space="preserve"> and </w:t>
      </w:r>
      <w:r>
        <w:t>antidrug antibodies</w:t>
      </w:r>
      <w:r w:rsidR="001618B3">
        <w:t xml:space="preserve"> confirm the positive benefit-risk of both dose regimens and further support the original proposed dosing recommendation of</w:t>
      </w:r>
      <w:r w:rsidR="00241056">
        <w:t>:</w:t>
      </w:r>
    </w:p>
    <w:p w:rsidR="00241056" w:rsidRPr="00636F70" w:rsidRDefault="001618B3" w:rsidP="00636F70">
      <w:pPr>
        <w:ind w:left="720"/>
      </w:pPr>
      <w:r w:rsidRPr="00636F70">
        <w:t>The recommended dose is 400</w:t>
      </w:r>
      <w:r w:rsidR="00D04609" w:rsidRPr="00636F70">
        <w:t xml:space="preserve"> </w:t>
      </w:r>
      <w:r w:rsidRPr="00636F70">
        <w:t>mg every other week. A dose of 400</w:t>
      </w:r>
      <w:r w:rsidR="00D04609" w:rsidRPr="00636F70">
        <w:t xml:space="preserve"> </w:t>
      </w:r>
      <w:r w:rsidRPr="00636F70">
        <w:t>mg initially and at Weeks 2 and 4, followed by 200mg every other week may be considered</w:t>
      </w:r>
      <w:r w:rsidR="00241056" w:rsidRPr="00636F70">
        <w:t>.</w:t>
      </w:r>
    </w:p>
    <w:p w:rsidR="001618B3" w:rsidRDefault="001618B3" w:rsidP="00241056">
      <w:r>
        <w:t xml:space="preserve">However, FDA requested </w:t>
      </w:r>
      <w:r w:rsidR="00D04609">
        <w:t xml:space="preserve">the </w:t>
      </w:r>
      <w:r w:rsidR="00BC7159">
        <w:t>sponsor</w:t>
      </w:r>
      <w:r>
        <w:t xml:space="preserve"> to modify the </w:t>
      </w:r>
      <w:r w:rsidR="004A1E30">
        <w:t>psoriasis</w:t>
      </w:r>
      <w:r>
        <w:t xml:space="preserve"> dose in the US label to state that for some patients (with body weight ≤ 90 kg), a dose of 400 mg (given as 2 subcutaneous injections of 200 mg each) initially and at Weeks 2 and 4, followed by 200 mg every other week may be considered.</w:t>
      </w:r>
    </w:p>
    <w:p w:rsidR="001618B3" w:rsidRPr="00D04609" w:rsidRDefault="00D04609" w:rsidP="00636F70">
      <w:pPr>
        <w:pStyle w:val="Heading5"/>
      </w:pPr>
      <w:r w:rsidRPr="00D04609">
        <w:t>Question 2</w:t>
      </w:r>
    </w:p>
    <w:p w:rsidR="001618B3" w:rsidRPr="00FF1ABC" w:rsidRDefault="001618B3" w:rsidP="00636F70">
      <w:r w:rsidRPr="00636F70">
        <w:rPr>
          <w:b/>
          <w:i/>
        </w:rPr>
        <w:t>The sponsor should provide a justification for the differing dose regimens in the EU, Canada, and the USA</w:t>
      </w:r>
      <w:r w:rsidRPr="00FF1ABC">
        <w:t>.</w:t>
      </w:r>
    </w:p>
    <w:p w:rsidR="001618B3" w:rsidRPr="00FF1ABC" w:rsidRDefault="00D04609" w:rsidP="00636F70">
      <w:pPr>
        <w:pStyle w:val="Heading6"/>
      </w:pPr>
      <w:r w:rsidRPr="00FF1ABC">
        <w:lastRenderedPageBreak/>
        <w:t>Response</w:t>
      </w:r>
    </w:p>
    <w:p w:rsidR="001618B3" w:rsidRDefault="001618B3" w:rsidP="001618B3">
      <w:r>
        <w:t xml:space="preserve">The differences in the dose regimens approved for </w:t>
      </w:r>
      <w:r w:rsidR="004A1E30">
        <w:t>psoriasis</w:t>
      </w:r>
      <w:r>
        <w:t xml:space="preserve"> in the EU, Canada and US are based on the different Health Authority’s own interpretation of the data </w:t>
      </w:r>
      <w:r w:rsidR="00D04609">
        <w:t xml:space="preserve">the </w:t>
      </w:r>
      <w:r w:rsidR="00BC7159">
        <w:t>sponsor</w:t>
      </w:r>
      <w:r>
        <w:t xml:space="preserve"> provided during the submission. A summary of the label negotiations related to the dose regimen approved in US, Canada and EU is provided below.</w:t>
      </w:r>
    </w:p>
    <w:p w:rsidR="001618B3" w:rsidRPr="00636F70" w:rsidRDefault="001618B3" w:rsidP="001618B3">
      <w:r w:rsidRPr="00636F70">
        <w:t>US</w:t>
      </w:r>
      <w:r w:rsidR="00FF1ABC" w:rsidRPr="00636F70">
        <w:t>:</w:t>
      </w:r>
    </w:p>
    <w:p w:rsidR="00702D7B" w:rsidRDefault="001618B3" w:rsidP="001618B3">
      <w:r>
        <w:t xml:space="preserve">For the US label, a summary of the background leading to the US </w:t>
      </w:r>
      <w:r w:rsidR="004A1E30">
        <w:t>psoriasis</w:t>
      </w:r>
      <w:r>
        <w:t xml:space="preserve"> approved dose regimen is provided in response to Question 1. Canada Upon review of </w:t>
      </w:r>
      <w:r w:rsidR="00D04609">
        <w:t xml:space="preserve">the </w:t>
      </w:r>
      <w:r w:rsidR="00BC7159">
        <w:t>sponsor</w:t>
      </w:r>
      <w:r w:rsidR="00D04609">
        <w:t>’</w:t>
      </w:r>
      <w:r>
        <w:t xml:space="preserve">s application, Health Canada accepted the </w:t>
      </w:r>
      <w:r w:rsidR="004A1E30">
        <w:t>psoriasis</w:t>
      </w:r>
      <w:r>
        <w:t xml:space="preserve"> dose regimen initially proposed by </w:t>
      </w:r>
      <w:r w:rsidR="00D04609">
        <w:t xml:space="preserve">the </w:t>
      </w:r>
      <w:r w:rsidR="00BC7159">
        <w:t>sponsor</w:t>
      </w:r>
      <w:r>
        <w:t>.</w:t>
      </w:r>
    </w:p>
    <w:p w:rsidR="00702D7B" w:rsidRPr="00636F70" w:rsidRDefault="001618B3" w:rsidP="001618B3">
      <w:r w:rsidRPr="00636F70">
        <w:t>E</w:t>
      </w:r>
      <w:r w:rsidR="005D1D95" w:rsidRPr="00636F70">
        <w:t>urope</w:t>
      </w:r>
      <w:r w:rsidR="00636F70">
        <w:t>:</w:t>
      </w:r>
    </w:p>
    <w:p w:rsidR="00702D7B" w:rsidRDefault="001618B3" w:rsidP="001618B3">
      <w:r>
        <w:t xml:space="preserve">In EU, EMA agreed that both 200 mg Q2W and 400 mg Q2W doses were essentially at the upper end of the exposure-response curve and that both dose levels studied have shown efficacy </w:t>
      </w:r>
      <w:r w:rsidR="00D04609">
        <w:t>versus</w:t>
      </w:r>
      <w:r>
        <w:t xml:space="preserve"> placebo with somewhat more patients (usually 5</w:t>
      </w:r>
      <w:r w:rsidR="00D04609">
        <w:t xml:space="preserve"> to </w:t>
      </w:r>
      <w:r>
        <w:t xml:space="preserve">10%) responding to the proposed higher dose of 400 mg Q2W at Week 16. Furthermore, EMA generally agreed with </w:t>
      </w:r>
      <w:r w:rsidR="00D04609">
        <w:t xml:space="preserve">the </w:t>
      </w:r>
      <w:r w:rsidR="00BC7159">
        <w:t>sponsor</w:t>
      </w:r>
      <w:r>
        <w:t xml:space="preserve"> that initiating treatment at </w:t>
      </w:r>
      <w:r w:rsidR="00D04609">
        <w:t>c</w:t>
      </w:r>
      <w:r w:rsidR="004A1E30">
        <w:t>ertolizumab pegol</w:t>
      </w:r>
      <w:r>
        <w:t xml:space="preserve"> 400 mg Q2W provides greater benefit than switching to this dose level in case of inadequate response to </w:t>
      </w:r>
      <w:r w:rsidR="00D04609">
        <w:t>c</w:t>
      </w:r>
      <w:r w:rsidR="004A1E30">
        <w:t>ertolizumab pegol</w:t>
      </w:r>
      <w:r>
        <w:t xml:space="preserve"> 200 mg Q2W.</w:t>
      </w:r>
    </w:p>
    <w:p w:rsidR="00241056" w:rsidRDefault="001618B3" w:rsidP="001618B3">
      <w:r>
        <w:t>The dose regimen approved in EU was largely driven by the slightly higher incidence of some adverse events for the 400 mg dose compared with the 200 mg dose in some of the safety pool analyses durin</w:t>
      </w:r>
      <w:r w:rsidR="00241056">
        <w:t>g the initial treatment period.</w:t>
      </w:r>
    </w:p>
    <w:p w:rsidR="00702D7B" w:rsidRDefault="001618B3" w:rsidP="001618B3">
      <w:r>
        <w:t xml:space="preserve">EMA acknowledged that the safety profile in patients with moderate to severe plaque psoriasis is similar to that known from other indications in which </w:t>
      </w:r>
      <w:r w:rsidR="005D1D95">
        <w:t>c</w:t>
      </w:r>
      <w:r w:rsidR="004A1E30">
        <w:t>ertolizumab pegol</w:t>
      </w:r>
      <w:r>
        <w:t xml:space="preserve"> is approved. However, EMA noted a trend towards a slightly higher incidence of tr</w:t>
      </w:r>
      <w:r w:rsidR="005D1D95">
        <w:t>eatment-emergent adverse events</w:t>
      </w:r>
      <w:r>
        <w:t xml:space="preserve"> and serious adverse events (SAEs) in the 400 mg</w:t>
      </w:r>
      <w:r w:rsidR="005D1D95">
        <w:t xml:space="preserve"> Q2W group. EMA acknowledged the </w:t>
      </w:r>
      <w:r w:rsidR="00BC7159">
        <w:t>sponsor</w:t>
      </w:r>
      <w:r>
        <w:t>’s response on this observation, that the slightly higher incidence</w:t>
      </w:r>
      <w:r w:rsidR="00702D7B">
        <w:t xml:space="preserve"> </w:t>
      </w:r>
      <w:r w:rsidR="00F871F6">
        <w:t>treatment emergent AE</w:t>
      </w:r>
      <w:r>
        <w:t xml:space="preserve">s and SAEs in the </w:t>
      </w:r>
      <w:r w:rsidR="005D1D95">
        <w:t>c</w:t>
      </w:r>
      <w:r w:rsidR="004A1E30">
        <w:t>ertolizumab pegol</w:t>
      </w:r>
      <w:r>
        <w:t xml:space="preserve"> 400</w:t>
      </w:r>
      <w:r w:rsidR="005D1D95">
        <w:t xml:space="preserve"> </w:t>
      </w:r>
      <w:r>
        <w:t xml:space="preserve">mg Q2W group is mainly driven by </w:t>
      </w:r>
      <w:r w:rsidR="00FF1ABC">
        <w:t>the initial treatment period</w:t>
      </w:r>
      <w:r>
        <w:t>, where the overall</w:t>
      </w:r>
      <w:r w:rsidR="00702D7B">
        <w:t xml:space="preserve"> </w:t>
      </w:r>
      <w:r w:rsidR="00F871F6">
        <w:t>treatment emergent AE</w:t>
      </w:r>
      <w:r>
        <w:t xml:space="preserve"> and SAE rates for the </w:t>
      </w:r>
      <w:r w:rsidR="005D1D95">
        <w:t>c</w:t>
      </w:r>
      <w:r w:rsidR="004A1E30">
        <w:t>ertolizumab pegol</w:t>
      </w:r>
      <w:r>
        <w:t xml:space="preserve"> 400</w:t>
      </w:r>
      <w:r w:rsidR="005D1D95">
        <w:t xml:space="preserve"> </w:t>
      </w:r>
      <w:r>
        <w:t>mg Q2W dose were comparable to placebo, and the incidence of</w:t>
      </w:r>
      <w:r w:rsidR="00702D7B">
        <w:t xml:space="preserve"> </w:t>
      </w:r>
      <w:r w:rsidR="00F871F6">
        <w:t>treatment emergent AE</w:t>
      </w:r>
      <w:r>
        <w:t xml:space="preserve">s and SAEs at the </w:t>
      </w:r>
      <w:r w:rsidR="005D1D95">
        <w:t>c</w:t>
      </w:r>
      <w:r w:rsidR="004A1E30">
        <w:t>ertolizumab pegol</w:t>
      </w:r>
      <w:r>
        <w:t xml:space="preserve"> 200</w:t>
      </w:r>
      <w:r w:rsidR="005D1D95">
        <w:t xml:space="preserve"> </w:t>
      </w:r>
      <w:r>
        <w:t>mg Q2W dose was lower than placebo.</w:t>
      </w:r>
      <w:r w:rsidR="00241056">
        <w:t xml:space="preserve"> </w:t>
      </w:r>
      <w:r>
        <w:t>EMA agreed that the incidence rate of the total number of</w:t>
      </w:r>
      <w:r w:rsidR="00702D7B">
        <w:t xml:space="preserve"> </w:t>
      </w:r>
      <w:r w:rsidR="00F871F6">
        <w:t>treatment emergent AE</w:t>
      </w:r>
      <w:r>
        <w:t xml:space="preserve">s after an additional 32 weeks of exposure does not seem to increase. EMA commented that the risk of infections appears to be higher at the </w:t>
      </w:r>
      <w:r w:rsidR="005D1D95">
        <w:t>c</w:t>
      </w:r>
      <w:r w:rsidR="004A1E30">
        <w:t>ertolizumab pegol</w:t>
      </w:r>
      <w:r>
        <w:t xml:space="preserve"> 400</w:t>
      </w:r>
      <w:r w:rsidR="005D1D95">
        <w:t xml:space="preserve"> </w:t>
      </w:r>
      <w:r>
        <w:t xml:space="preserve">mg Q2W dose during the first 16 weeks of treatment with a trend to be slightly higher also after longer exposure duration, but they also acknowledged it is difficult to draw firm conclusions given the low number of events overall, and that there seems to be no pattern in the type of infection observed between the </w:t>
      </w:r>
      <w:r w:rsidR="005D1D95">
        <w:t>two</w:t>
      </w:r>
      <w:r>
        <w:t xml:space="preserve"> </w:t>
      </w:r>
      <w:r w:rsidR="005D1D95">
        <w:t>c</w:t>
      </w:r>
      <w:r w:rsidR="004A1E30">
        <w:t>ertolizumab pegol</w:t>
      </w:r>
      <w:r>
        <w:t xml:space="preserve"> dose regimens.</w:t>
      </w:r>
    </w:p>
    <w:p w:rsidR="00241056" w:rsidRDefault="001618B3" w:rsidP="001618B3">
      <w:r>
        <w:t xml:space="preserve">EMA concluded there was no firm evidence that the safety profile of long term dosing with </w:t>
      </w:r>
      <w:r w:rsidR="005D1D95">
        <w:t>c</w:t>
      </w:r>
      <w:r w:rsidR="004A1E30">
        <w:t>ertolizumab pegol</w:t>
      </w:r>
      <w:r>
        <w:t xml:space="preserve"> 400mg Q2W significantly differs from </w:t>
      </w:r>
      <w:r w:rsidR="005D1D95">
        <w:t>c</w:t>
      </w:r>
      <w:r w:rsidR="004A1E30">
        <w:t>ertolizumab pegol</w:t>
      </w:r>
      <w:r>
        <w:t xml:space="preserve"> 200</w:t>
      </w:r>
      <w:r w:rsidR="005D1D95">
        <w:t xml:space="preserve"> </w:t>
      </w:r>
      <w:r w:rsidR="00241056">
        <w:t>mg Q2W.</w:t>
      </w:r>
    </w:p>
    <w:p w:rsidR="00D23139" w:rsidRPr="001618B3" w:rsidRDefault="001618B3" w:rsidP="001618B3">
      <w:r>
        <w:t xml:space="preserve">Despite this assessment, EMA requested </w:t>
      </w:r>
      <w:r w:rsidR="005D1D95">
        <w:t xml:space="preserve">the </w:t>
      </w:r>
      <w:r w:rsidR="00BC7159">
        <w:t>sponsor</w:t>
      </w:r>
      <w:r>
        <w:t xml:space="preserve"> to modify the </w:t>
      </w:r>
      <w:r w:rsidR="004A1E30">
        <w:t>psoriasis</w:t>
      </w:r>
      <w:r>
        <w:t xml:space="preserve"> dose in the EU label to state: After the starting dose (of 400 mg </w:t>
      </w:r>
      <w:r w:rsidR="00FF1ABC">
        <w:t>(</w:t>
      </w:r>
      <w:r>
        <w:t>given as 2 subcutaneous injections of 200</w:t>
      </w:r>
      <w:r w:rsidR="005D1D95">
        <w:t> mg each) at W</w:t>
      </w:r>
      <w:r>
        <w:t>eeks 0, 2 and 4</w:t>
      </w:r>
      <w:r w:rsidR="00FF1ABC">
        <w:t>)</w:t>
      </w:r>
      <w:r>
        <w:t xml:space="preserve"> the maintenance dose of Cimzia for adult patients with plaque psoriasis is 200 mg every 2 weeks. A dose of 400 mg every 2 weeks can be considered in patients with insufficient response.</w:t>
      </w:r>
    </w:p>
    <w:p w:rsidR="008E7846" w:rsidRDefault="008E7846" w:rsidP="008E7846">
      <w:pPr>
        <w:pStyle w:val="Heading4"/>
      </w:pPr>
      <w:r>
        <w:lastRenderedPageBreak/>
        <w:t>Advisory Committee Considerations</w:t>
      </w:r>
      <w:r w:rsidR="00456765">
        <w:rPr>
          <w:rStyle w:val="FootnoteReference"/>
        </w:rPr>
        <w:footnoteReference w:id="6"/>
      </w:r>
    </w:p>
    <w:p w:rsidR="002D65A9" w:rsidRPr="002D65A9" w:rsidRDefault="002D65A9" w:rsidP="002D65A9">
      <w:bookmarkStart w:id="102" w:name="_Toc247691532"/>
      <w:bookmarkStart w:id="103" w:name="_Toc314842516"/>
      <w:bookmarkEnd w:id="72"/>
      <w:bookmarkEnd w:id="100"/>
      <w:bookmarkEnd w:id="101"/>
      <w:r w:rsidRPr="002D65A9">
        <w:t>The ACM, taking into account the submitted evidence of efficacy and safety, agreed that C</w:t>
      </w:r>
      <w:r w:rsidR="00B92752">
        <w:t>imzia</w:t>
      </w:r>
      <w:r w:rsidRPr="002D65A9">
        <w:t xml:space="preserve"> solution for injection syringe and solution for injection pre-filled pen (</w:t>
      </w:r>
      <w:r w:rsidR="007B4FFB" w:rsidRPr="002D65A9">
        <w:t>auto injector</w:t>
      </w:r>
      <w:r w:rsidRPr="002D65A9">
        <w:t>), containing 200 mg/mL of certolizumab pegol, with an initial loading dose of 400 mg every two weeks for three doses, then 200</w:t>
      </w:r>
      <w:r>
        <w:t xml:space="preserve"> to </w:t>
      </w:r>
      <w:r w:rsidRPr="002D65A9">
        <w:t>400 mg every two weeks thereafter, has an overall positive benefit-risk profile for the proposed indication:</w:t>
      </w:r>
    </w:p>
    <w:p w:rsidR="002D65A9" w:rsidRPr="002D65A9" w:rsidRDefault="002D65A9" w:rsidP="00B92752">
      <w:pPr>
        <w:pStyle w:val="ListBullet"/>
      </w:pPr>
      <w:r w:rsidRPr="002D65A9">
        <w:t>Treatment of adult patients with moderate to severe chronic plaque psoriasis who are candidates for systemic therapy or phototherapy.</w:t>
      </w:r>
    </w:p>
    <w:p w:rsidR="002D65A9" w:rsidRPr="002D65A9" w:rsidRDefault="002D65A9" w:rsidP="00B92752">
      <w:r w:rsidRPr="00B92752">
        <w:t>In</w:t>
      </w:r>
      <w:r w:rsidRPr="002D65A9">
        <w:t xml:space="preserve"> providing this advice the ACM noted that:</w:t>
      </w:r>
    </w:p>
    <w:p w:rsidR="002D65A9" w:rsidRPr="002D65A9" w:rsidRDefault="002D65A9" w:rsidP="00B92752">
      <w:pPr>
        <w:pStyle w:val="ListBullet"/>
      </w:pPr>
      <w:r w:rsidRPr="002D65A9">
        <w:t xml:space="preserve">The current indications for </w:t>
      </w:r>
      <w:r w:rsidR="00FF1ABC">
        <w:t>Cimzia</w:t>
      </w:r>
      <w:r w:rsidR="00FF1ABC" w:rsidRPr="002D65A9">
        <w:t xml:space="preserve"> </w:t>
      </w:r>
      <w:r w:rsidRPr="002D65A9">
        <w:t>are for the treatment of rheumatoid arthritis, psoriatic arthritis and ankylosing spondylitis, with various restrictions.</w:t>
      </w:r>
    </w:p>
    <w:p w:rsidR="002D65A9" w:rsidRPr="002D65A9" w:rsidRDefault="002D65A9" w:rsidP="00B92752">
      <w:pPr>
        <w:pStyle w:val="ListBullet"/>
      </w:pPr>
      <w:r w:rsidRPr="002D65A9">
        <w:t xml:space="preserve">The </w:t>
      </w:r>
      <w:r w:rsidR="00BC7159">
        <w:t>sponsor</w:t>
      </w:r>
      <w:r w:rsidRPr="002D65A9">
        <w:t xml:space="preserve"> has proposed a dosing regimen of 400 mg every 2 weeks, with an alternative regimen </w:t>
      </w:r>
      <w:r w:rsidR="00FF1ABC">
        <w:t>‘</w:t>
      </w:r>
      <w:r w:rsidRPr="00636F70">
        <w:rPr>
          <w:i/>
        </w:rPr>
        <w:t>which may be considered</w:t>
      </w:r>
      <w:r w:rsidR="00FF1ABC" w:rsidRPr="00636F70">
        <w:rPr>
          <w:i/>
        </w:rPr>
        <w:t>’</w:t>
      </w:r>
      <w:r w:rsidRPr="002D65A9">
        <w:t xml:space="preserve"> of 400 mg every 2 weeks for the first three doses, followed by 200 mg every 2 weeks.</w:t>
      </w:r>
    </w:p>
    <w:p w:rsidR="002D65A9" w:rsidRPr="002D65A9" w:rsidRDefault="002D65A9" w:rsidP="00B92752">
      <w:pPr>
        <w:pStyle w:val="ListBullet"/>
      </w:pPr>
      <w:r w:rsidRPr="002D65A9">
        <w:t xml:space="preserve">The alternative, lower dose regimen proposed is consistent with the dosing </w:t>
      </w:r>
      <w:r w:rsidR="00B92752">
        <w:t>re</w:t>
      </w:r>
      <w:r w:rsidRPr="002D65A9">
        <w:t>gimen in use for the other approved indications of C</w:t>
      </w:r>
      <w:r w:rsidR="00B92752">
        <w:t>imzia</w:t>
      </w:r>
      <w:r w:rsidRPr="002D65A9">
        <w:t>.</w:t>
      </w:r>
    </w:p>
    <w:p w:rsidR="002D65A9" w:rsidRPr="002D65A9" w:rsidRDefault="002D65A9" w:rsidP="00B92752">
      <w:pPr>
        <w:pStyle w:val="ListBullet"/>
      </w:pPr>
      <w:r w:rsidRPr="002D65A9">
        <w:t>The dosing regimens for C</w:t>
      </w:r>
      <w:r w:rsidR="00B92752">
        <w:t>imzia</w:t>
      </w:r>
      <w:r w:rsidRPr="002D65A9">
        <w:t xml:space="preserve"> for the psoriasis indication that have been approved in international jurisdictions all vary slightly from each other; the </w:t>
      </w:r>
      <w:r w:rsidR="00BC7159">
        <w:t>sponsor</w:t>
      </w:r>
      <w:r w:rsidRPr="002D65A9">
        <w:t xml:space="preserve"> has indicated that this is due to the different analyses and emphases placed by each regulator, based on the same data.</w:t>
      </w:r>
    </w:p>
    <w:p w:rsidR="002D65A9" w:rsidRPr="002D65A9" w:rsidRDefault="002D65A9" w:rsidP="00B92752">
      <w:pPr>
        <w:pStyle w:val="ListBullet"/>
      </w:pPr>
      <w:r w:rsidRPr="002D65A9">
        <w:t xml:space="preserve">Data provided by the </w:t>
      </w:r>
      <w:r w:rsidR="00BC7159">
        <w:t>sponsor</w:t>
      </w:r>
      <w:r w:rsidRPr="002D65A9">
        <w:t xml:space="preserve"> is not considered to be sufficient to demonstrate statistically significant superior efficacy for the higher dose of C</w:t>
      </w:r>
      <w:r w:rsidR="00086798">
        <w:t>imzia</w:t>
      </w:r>
      <w:r w:rsidRPr="002D65A9">
        <w:t xml:space="preserve"> compared to the lower, and there does appear to be a dose-response relationship with regard to patient safety, with the lower dosing regimen attracting fewer adverse events.</w:t>
      </w:r>
    </w:p>
    <w:p w:rsidR="002D65A9" w:rsidRDefault="002D65A9" w:rsidP="00B92752">
      <w:pPr>
        <w:pStyle w:val="ListBullet"/>
      </w:pPr>
      <w:r w:rsidRPr="002D65A9">
        <w:t>Given the high degree of inter-individual variability in patient response, the Committee considered it beneficial to allow a degree of flexibility in prescribing to allow clinicians to adjust dose depending on patient circumstances and apparent response. Thus, the Committee suggested specifying a dose range of 200</w:t>
      </w:r>
      <w:r w:rsidR="00086798">
        <w:t xml:space="preserve"> to </w:t>
      </w:r>
      <w:r w:rsidRPr="002D65A9">
        <w:t>400 mg for maintenance dosing.</w:t>
      </w:r>
    </w:p>
    <w:p w:rsidR="002D65A9" w:rsidRDefault="002D65A9" w:rsidP="0053459B">
      <w:pPr>
        <w:pStyle w:val="Heading5"/>
      </w:pPr>
      <w:r>
        <w:t>Specific Advice</w:t>
      </w:r>
    </w:p>
    <w:p w:rsidR="002D65A9" w:rsidRDefault="002D65A9" w:rsidP="002D65A9">
      <w:r>
        <w:t>The Delegate requested advice on specific questions on this submission. The ACM advised the following in response to the Delegate’s questions:</w:t>
      </w:r>
    </w:p>
    <w:p w:rsidR="002D65A9" w:rsidRDefault="002D65A9" w:rsidP="00086798">
      <w:r>
        <w:t>The Committee’s advice on the optimal dose regimen, taking into consideration the available evidence is requested. Comment is specifically requested on the following proposals:</w:t>
      </w:r>
    </w:p>
    <w:p w:rsidR="002D65A9" w:rsidRPr="00241056" w:rsidRDefault="002D65A9" w:rsidP="00241056">
      <w:pPr>
        <w:pStyle w:val="Numberbullet0"/>
        <w:numPr>
          <w:ilvl w:val="0"/>
          <w:numId w:val="35"/>
        </w:numPr>
        <w:rPr>
          <w:b/>
          <w:i/>
        </w:rPr>
      </w:pPr>
      <w:r w:rsidRPr="00241056">
        <w:rPr>
          <w:b/>
          <w:i/>
        </w:rPr>
        <w:t>Overall maintenance dosing (</w:t>
      </w:r>
      <w:r w:rsidR="00A567C2" w:rsidRPr="00241056">
        <w:rPr>
          <w:b/>
          <w:i/>
        </w:rPr>
        <w:t>that is,</w:t>
      </w:r>
      <w:r w:rsidRPr="00241056">
        <w:rPr>
          <w:b/>
          <w:i/>
        </w:rPr>
        <w:t xml:space="preserve"> which dosing regimen is the most appropriate as a maintenance dose in most patients)</w:t>
      </w:r>
      <w:r w:rsidR="00241056">
        <w:rPr>
          <w:b/>
          <w:i/>
        </w:rPr>
        <w:t>.</w:t>
      </w:r>
    </w:p>
    <w:p w:rsidR="002D65A9" w:rsidRDefault="002D65A9" w:rsidP="002D65A9">
      <w:r>
        <w:lastRenderedPageBreak/>
        <w:t>The ACM was of</w:t>
      </w:r>
      <w:r w:rsidR="00086798">
        <w:t xml:space="preserve"> the view that the dosing for Cimzia</w:t>
      </w:r>
      <w:r>
        <w:t xml:space="preserve"> should be set at a 400 mg loading dose every 2 weeks for the first 3 doses, followed by a maintenance dose range of 200</w:t>
      </w:r>
      <w:r w:rsidR="00086798">
        <w:t xml:space="preserve"> to </w:t>
      </w:r>
      <w:r>
        <w:t>400</w:t>
      </w:r>
      <w:r w:rsidR="00086798">
        <w:t> </w:t>
      </w:r>
      <w:r>
        <w:t xml:space="preserve">mg every 2 weeks. This dose would be guided by clinical judgement and patient response. In recommending this dose range, the ACM took into consideration the overseas dosing regimens approved by other jurisdictions and the evidence supplied by the </w:t>
      </w:r>
      <w:r w:rsidR="00A41D98">
        <w:t>sponsor</w:t>
      </w:r>
      <w:r>
        <w:t>. The ACM also noted that while it is true that the dosing for C</w:t>
      </w:r>
      <w:r w:rsidR="00086798">
        <w:t>imzia</w:t>
      </w:r>
      <w:r>
        <w:t xml:space="preserve"> for the proposed indication in plaque psoriasis is higher than the dosing for other approved indications, there is a history of TNF inhibitors underperforming when used for plaque psoriasis, which would support use at higher doses.</w:t>
      </w:r>
    </w:p>
    <w:p w:rsidR="002D65A9" w:rsidRPr="00241056" w:rsidRDefault="002D65A9" w:rsidP="00241056">
      <w:pPr>
        <w:pStyle w:val="Numberbullet0"/>
        <w:rPr>
          <w:b/>
          <w:i/>
        </w:rPr>
      </w:pPr>
      <w:r w:rsidRPr="00241056">
        <w:rPr>
          <w:b/>
          <w:i/>
        </w:rPr>
        <w:t>Dose adjustments based on individual patient circumstance (</w:t>
      </w:r>
      <w:r w:rsidR="00A567C2" w:rsidRPr="00241056">
        <w:rPr>
          <w:b/>
          <w:i/>
        </w:rPr>
        <w:t>for example,</w:t>
      </w:r>
      <w:r w:rsidRPr="00241056">
        <w:rPr>
          <w:b/>
          <w:i/>
        </w:rPr>
        <w:t xml:space="preserve"> based on known covariate data: weight, low baseline PASI)</w:t>
      </w:r>
    </w:p>
    <w:p w:rsidR="002D65A9" w:rsidRDefault="002D65A9" w:rsidP="002D65A9">
      <w:r>
        <w:t>The ACM did not support the inclusion of dose adjustments based on covariate data in the indication for C</w:t>
      </w:r>
      <w:r w:rsidR="00086798">
        <w:t>imzia</w:t>
      </w:r>
      <w:r>
        <w:t xml:space="preserve"> and felt that concerns relating to these might better be addressed through additional discussion in the PI.</w:t>
      </w:r>
    </w:p>
    <w:p w:rsidR="002D65A9" w:rsidRPr="00A21752" w:rsidRDefault="002D65A9" w:rsidP="00A21752">
      <w:pPr>
        <w:pStyle w:val="Numberbullet0"/>
        <w:rPr>
          <w:b/>
          <w:i/>
        </w:rPr>
      </w:pPr>
      <w:r w:rsidRPr="00A21752">
        <w:rPr>
          <w:b/>
          <w:i/>
        </w:rPr>
        <w:t>Timing of assessment for response (</w:t>
      </w:r>
      <w:r w:rsidR="00A567C2" w:rsidRPr="00A21752">
        <w:rPr>
          <w:b/>
          <w:i/>
        </w:rPr>
        <w:t>that is,</w:t>
      </w:r>
      <w:r w:rsidRPr="00A21752">
        <w:rPr>
          <w:b/>
          <w:i/>
        </w:rPr>
        <w:t xml:space="preserve"> to decide to continue or discontinue </w:t>
      </w:r>
      <w:r w:rsidR="001D63B3" w:rsidRPr="00A21752">
        <w:rPr>
          <w:b/>
          <w:i/>
        </w:rPr>
        <w:t>certolizumab pegol</w:t>
      </w:r>
      <w:r w:rsidRPr="00A21752">
        <w:rPr>
          <w:b/>
          <w:i/>
        </w:rPr>
        <w:t>, or to change the dose)</w:t>
      </w:r>
    </w:p>
    <w:p w:rsidR="002D65A9" w:rsidRDefault="002D65A9" w:rsidP="002D65A9">
      <w:r>
        <w:t>The ACM was of the view that 16 weeks would be the appropriate length of time to assess response, based on trial data. It was noted that this will be inconsistent with the assessment of response for similar treatments, which is typically done at 12 weeks, and that 16 weeks may be an inadequate period for assessment of response in some patient sub-groups (for example, with weights of 90 kg or greater). The ACM suggested that these concerns should be addressed through additional discussion in the PI.</w:t>
      </w:r>
    </w:p>
    <w:p w:rsidR="002D65A9" w:rsidRPr="00A21752" w:rsidRDefault="002D65A9" w:rsidP="00A21752">
      <w:pPr>
        <w:pStyle w:val="Numberbullet0"/>
        <w:rPr>
          <w:b/>
          <w:i/>
        </w:rPr>
      </w:pPr>
      <w:r w:rsidRPr="00A21752">
        <w:rPr>
          <w:b/>
          <w:i/>
        </w:rPr>
        <w:t>The most appropriate way to communicate the dosing regimen to clinicians (</w:t>
      </w:r>
      <w:r w:rsidR="00A567C2" w:rsidRPr="00A21752">
        <w:rPr>
          <w:b/>
          <w:i/>
        </w:rPr>
        <w:t>for example,</w:t>
      </w:r>
      <w:r w:rsidRPr="00A21752">
        <w:rPr>
          <w:b/>
          <w:i/>
        </w:rPr>
        <w:t xml:space="preserve"> via PI only, or through additional risk minimisation activities).</w:t>
      </w:r>
    </w:p>
    <w:p w:rsidR="002D65A9" w:rsidRDefault="002D65A9" w:rsidP="002D65A9">
      <w:r>
        <w:t>The ACM agreed that the dosing regimen should be stipulated as above.</w:t>
      </w:r>
    </w:p>
    <w:p w:rsidR="002D65A9" w:rsidRPr="002D65A9" w:rsidRDefault="002D65A9" w:rsidP="002D65A9">
      <w:r>
        <w:t>The ACM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2D65A9">
      <w:pPr>
        <w:pStyle w:val="Heading3"/>
      </w:pPr>
      <w:bookmarkStart w:id="104" w:name="_Toc21525675"/>
      <w:r>
        <w:t>Outcome</w:t>
      </w:r>
      <w:bookmarkEnd w:id="102"/>
      <w:bookmarkEnd w:id="103"/>
      <w:bookmarkEnd w:id="104"/>
    </w:p>
    <w:p w:rsidR="00D23139" w:rsidRPr="00D23139" w:rsidRDefault="00D23139" w:rsidP="00D23139">
      <w:bookmarkStart w:id="105" w:name="_Toc247691533"/>
      <w:bookmarkStart w:id="106" w:name="_Toc314842517"/>
      <w:r w:rsidRPr="00D23139">
        <w:t xml:space="preserve">Based on a review of quality, safety and efficacy, TGA approved the registration of </w:t>
      </w:r>
      <w:r w:rsidR="00423747">
        <w:t>Cimzia</w:t>
      </w:r>
      <w:r w:rsidR="00423747" w:rsidRPr="00940A89">
        <w:t xml:space="preserve"> </w:t>
      </w:r>
      <w:r w:rsidR="00423747">
        <w:t>certolizumab pegol,</w:t>
      </w:r>
      <w:r w:rsidR="00423747" w:rsidRPr="00940A89">
        <w:t xml:space="preserve"> </w:t>
      </w:r>
      <w:r w:rsidR="00423747">
        <w:t>200 mg in 1 mL</w:t>
      </w:r>
      <w:r w:rsidR="00423747" w:rsidRPr="00940A89">
        <w:t xml:space="preserve"> </w:t>
      </w:r>
      <w:r w:rsidR="00423747">
        <w:t>in prefilled pen or prefilled syringe for subcutaneous injection</w:t>
      </w:r>
      <w:r w:rsidRPr="00D23139">
        <w:t>, indicated for:</w:t>
      </w:r>
    </w:p>
    <w:p w:rsidR="00D23139" w:rsidRPr="00D23139" w:rsidRDefault="002D65A9" w:rsidP="00086798">
      <w:pPr>
        <w:ind w:left="720"/>
      </w:pPr>
      <w:r w:rsidRPr="00086798">
        <w:rPr>
          <w:i/>
        </w:rPr>
        <w:t>Cimzia is indicated for the treatment of adult patients with moderate to severe chronic plaque psoriasis who are candidates for systemic therapy or phototherapy</w:t>
      </w:r>
      <w:r>
        <w:t>.</w:t>
      </w:r>
    </w:p>
    <w:p w:rsidR="00D23139" w:rsidRPr="00D23139" w:rsidRDefault="00D23139" w:rsidP="00D23139">
      <w:pPr>
        <w:pStyle w:val="Heading4"/>
      </w:pPr>
      <w:r w:rsidRPr="00D23139">
        <w:t>Specific conditions of registration applying to these goods</w:t>
      </w:r>
    </w:p>
    <w:p w:rsidR="00702D7B" w:rsidRDefault="002D65A9" w:rsidP="00F03E34">
      <w:r w:rsidRPr="00F03E34">
        <w:t>The C</w:t>
      </w:r>
      <w:r w:rsidR="00086798">
        <w:t>imzia</w:t>
      </w:r>
      <w:r w:rsidRPr="00F03E34">
        <w:t xml:space="preserve"> EU-Risk Management Plan (RMP) (version 13.1, dated 16 January 2018;</w:t>
      </w:r>
      <w:r w:rsidR="00F03E34" w:rsidRPr="00F03E34">
        <w:t xml:space="preserve"> </w:t>
      </w:r>
      <w:r w:rsidRPr="00F03E34">
        <w:t>DLP 6 March 2018), with Australian Specific Annex (version 6.0, dated 16 October</w:t>
      </w:r>
      <w:r w:rsidR="00F03E34" w:rsidRPr="00F03E34">
        <w:t xml:space="preserve"> </w:t>
      </w:r>
      <w:r w:rsidRPr="00F03E34">
        <w:t>2018), included with submission PM-2017-04943-1-1, and any subsequent revisions,</w:t>
      </w:r>
      <w:r w:rsidR="00F03E34" w:rsidRPr="00F03E34">
        <w:t xml:space="preserve"> </w:t>
      </w:r>
      <w:r w:rsidRPr="00F03E34">
        <w:t>as agreed with the TGA will be implemented in Australia.</w:t>
      </w:r>
    </w:p>
    <w:p w:rsidR="008E7846" w:rsidRDefault="00A80B5B" w:rsidP="00D23139">
      <w:pPr>
        <w:pStyle w:val="Heading2"/>
      </w:pPr>
      <w:bookmarkStart w:id="107" w:name="_Toc21525676"/>
      <w:r>
        <w:t xml:space="preserve">Attachment 1. </w:t>
      </w:r>
      <w:r w:rsidR="008E7846">
        <w:t xml:space="preserve">Product </w:t>
      </w:r>
      <w:r w:rsidR="00AA0ED0">
        <w:t>I</w:t>
      </w:r>
      <w:r w:rsidR="008E7846">
        <w:t>nformation</w:t>
      </w:r>
      <w:bookmarkEnd w:id="105"/>
      <w:bookmarkEnd w:id="106"/>
      <w:bookmarkEnd w:id="107"/>
    </w:p>
    <w:p w:rsidR="00C80137" w:rsidRPr="001D043B" w:rsidRDefault="006136D7" w:rsidP="003A7F6C">
      <w:pPr>
        <w:pStyle w:val="TableTitle"/>
        <w:sectPr w:rsidR="00C80137" w:rsidRPr="001D043B" w:rsidSect="00B452CE">
          <w:headerReference w:type="even" r:id="rId44"/>
          <w:headerReference w:type="default" r:id="rId45"/>
          <w:headerReference w:type="first" r:id="rId46"/>
          <w:footerReference w:type="first" r:id="rId47"/>
          <w:pgSz w:w="11906" w:h="16838" w:code="9"/>
          <w:pgMar w:top="834" w:right="1701" w:bottom="1191" w:left="1701" w:header="907" w:footer="216" w:gutter="0"/>
          <w:cols w:space="708"/>
          <w:docGrid w:linePitch="360"/>
        </w:sectPr>
      </w:pPr>
      <w:r w:rsidRPr="002B3624">
        <w:t xml:space="preserve">The </w:t>
      </w:r>
      <w:r>
        <w:t>PI</w:t>
      </w:r>
      <w:r w:rsidRPr="002B3624">
        <w:t xml:space="preserve"> for </w:t>
      </w:r>
      <w:r w:rsidR="00086798">
        <w:t xml:space="preserve">CIMZIA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8" w:history="1">
        <w:r w:rsidR="007C6B9B" w:rsidRPr="007C6B9B">
          <w:rPr>
            <w:rStyle w:val="Hyperlink"/>
          </w:rPr>
          <w:t>https://www.tga.gov.au/product-information-pi</w:t>
        </w:r>
      </w:hyperlink>
      <w:r w:rsidR="007C6B9B" w:rsidRPr="007C6B9B">
        <w:t>&gt;.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9" w:history="1">
              <w:r w:rsidRPr="004C239D">
                <w:rPr>
                  <w:rStyle w:val="Hyperlink"/>
                </w:rPr>
                <w:t>info@tga.gov.au</w:t>
              </w:r>
            </w:hyperlink>
            <w:r w:rsidR="00702D7B">
              <w:t xml:space="preserve"> </w:t>
            </w:r>
            <w:r w:rsidRPr="00487162">
              <w:t>Phone: 1800 020 653</w:t>
            </w:r>
            <w:r w:rsidR="00702D7B">
              <w:t xml:space="preserve"> </w:t>
            </w:r>
            <w:r w:rsidRPr="00487162">
              <w:t>Fax: 02 6232 8605</w:t>
            </w:r>
          </w:p>
          <w:p w:rsidR="001C32CD" w:rsidRPr="004C239D" w:rsidRDefault="0028740A" w:rsidP="00A05FA4">
            <w:pPr>
              <w:pStyle w:val="Address"/>
              <w:spacing w:line="260" w:lineRule="atLeast"/>
              <w:rPr>
                <w:b/>
                <w:color w:val="0000FF"/>
                <w:u w:val="single"/>
              </w:rPr>
            </w:pPr>
            <w:hyperlink r:id="rId5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40A" w:rsidRDefault="0028740A" w:rsidP="00C40A36">
      <w:pPr>
        <w:spacing w:after="0"/>
      </w:pPr>
      <w:r>
        <w:separator/>
      </w:r>
    </w:p>
  </w:endnote>
  <w:endnote w:type="continuationSeparator" w:id="0">
    <w:p w:rsidR="0028740A" w:rsidRDefault="0028740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A1"/>
    <w:family w:val="auto"/>
    <w:notTrueType/>
    <w:pitch w:val="default"/>
    <w:sig w:usb0="00000083" w:usb1="08070000" w:usb2="00000010" w:usb3="00000000" w:csb0="00020009"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8740A" w:rsidRPr="00487162" w:rsidTr="00DB750B">
      <w:trPr>
        <w:trHeight w:val="269"/>
      </w:trPr>
      <w:tc>
        <w:tcPr>
          <w:tcW w:w="7371" w:type="dxa"/>
          <w:tcMar>
            <w:top w:w="142" w:type="dxa"/>
            <w:bottom w:w="0" w:type="dxa"/>
          </w:tcMar>
        </w:tcPr>
        <w:p w:rsidR="0028740A" w:rsidRPr="00487162" w:rsidRDefault="0028740A" w:rsidP="00636F70">
          <w:pPr>
            <w:pStyle w:val="Footer"/>
          </w:pPr>
          <w:r w:rsidRPr="00487162">
            <w:t>AusPA</w:t>
          </w:r>
          <w:r>
            <w:t>R Cimzia certolizumab UCB Australia Pty.Ltd. PM-2017-04943-1-1 FINAL</w:t>
          </w:r>
          <w:r w:rsidRPr="00487162">
            <w:t xml:space="preserve"> </w:t>
          </w:r>
          <w:r>
            <w:t>31 July 2019</w:t>
          </w:r>
        </w:p>
      </w:tc>
      <w:tc>
        <w:tcPr>
          <w:tcW w:w="1490" w:type="dxa"/>
          <w:tcMar>
            <w:top w:w="142" w:type="dxa"/>
            <w:bottom w:w="0" w:type="dxa"/>
          </w:tcMar>
        </w:tcPr>
        <w:p w:rsidR="0028740A" w:rsidRPr="00487162" w:rsidRDefault="0028740A" w:rsidP="00DB750B">
          <w:pPr>
            <w:pStyle w:val="Footer"/>
            <w:jc w:val="right"/>
          </w:pPr>
          <w:r w:rsidRPr="00487162">
            <w:t xml:space="preserve">Page </w:t>
          </w:r>
          <w:r>
            <w:fldChar w:fldCharType="begin"/>
          </w:r>
          <w:r>
            <w:instrText xml:space="preserve"> PAGE  \* Arabic </w:instrText>
          </w:r>
          <w:r>
            <w:fldChar w:fldCharType="separate"/>
          </w:r>
          <w:r w:rsidR="001D3A6B">
            <w:rPr>
              <w:noProof/>
            </w:rPr>
            <w:t>8</w:t>
          </w:r>
          <w:r>
            <w:fldChar w:fldCharType="end"/>
          </w:r>
          <w:r w:rsidRPr="00487162">
            <w:t xml:space="preserve"> of </w:t>
          </w:r>
          <w:fldSimple w:instr=" NUMPAGES  \* Arabic ">
            <w:r w:rsidR="001D3A6B">
              <w:rPr>
                <w:noProof/>
              </w:rPr>
              <w:t>83</w:t>
            </w:r>
          </w:fldSimple>
        </w:p>
      </w:tc>
    </w:tr>
  </w:tbl>
  <w:p w:rsidR="0028740A" w:rsidRDefault="0028740A"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8740A" w:rsidRPr="00487162" w:rsidTr="00E45619">
      <w:trPr>
        <w:trHeight w:val="269"/>
      </w:trPr>
      <w:tc>
        <w:tcPr>
          <w:tcW w:w="4519" w:type="dxa"/>
          <w:tcBorders>
            <w:top w:val="single" w:sz="4" w:space="0" w:color="auto"/>
          </w:tcBorders>
          <w:tcMar>
            <w:top w:w="142" w:type="dxa"/>
            <w:bottom w:w="0" w:type="dxa"/>
          </w:tcMar>
        </w:tcPr>
        <w:p w:rsidR="0028740A" w:rsidRPr="00487162" w:rsidRDefault="0028740A" w:rsidP="00FE1DEE">
          <w:pPr>
            <w:pStyle w:val="Footer"/>
          </w:pPr>
          <w:r w:rsidRPr="00487162">
            <w:t>Document title, Part #, Section # - Section title</w:t>
          </w:r>
        </w:p>
        <w:p w:rsidR="0028740A" w:rsidRPr="00487162" w:rsidRDefault="0028740A" w:rsidP="00FE1DEE">
          <w:pPr>
            <w:pStyle w:val="Footer"/>
          </w:pPr>
          <w:r w:rsidRPr="00487162">
            <w:t>V1.0 October 2010</w:t>
          </w:r>
        </w:p>
      </w:tc>
      <w:tc>
        <w:tcPr>
          <w:tcW w:w="4342" w:type="dxa"/>
          <w:tcBorders>
            <w:top w:val="single" w:sz="4" w:space="0" w:color="auto"/>
          </w:tcBorders>
          <w:tcMar>
            <w:top w:w="142" w:type="dxa"/>
            <w:bottom w:w="0" w:type="dxa"/>
          </w:tcMar>
        </w:tcPr>
        <w:p w:rsidR="0028740A" w:rsidRPr="00487162" w:rsidRDefault="0028740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72</w:t>
            </w:r>
          </w:fldSimple>
        </w:p>
      </w:tc>
    </w:tr>
  </w:tbl>
  <w:p w:rsidR="0028740A" w:rsidRDefault="002874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Pr="001C32CD" w:rsidRDefault="0028740A"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8740A" w:rsidTr="0010601F">
      <w:trPr>
        <w:trHeight w:val="108"/>
      </w:trPr>
      <w:tc>
        <w:tcPr>
          <w:tcW w:w="8875" w:type="dxa"/>
          <w:gridSpan w:val="2"/>
          <w:tcBorders>
            <w:bottom w:val="single" w:sz="4" w:space="0" w:color="auto"/>
          </w:tcBorders>
          <w:tcMar>
            <w:right w:w="284" w:type="dxa"/>
          </w:tcMar>
        </w:tcPr>
        <w:p w:rsidR="0028740A" w:rsidRDefault="0028740A" w:rsidP="006E08B3">
          <w:pPr>
            <w:pStyle w:val="Heading3"/>
          </w:pPr>
          <w:r>
            <w:t>Copyright</w:t>
          </w:r>
        </w:p>
        <w:p w:rsidR="0028740A" w:rsidRDefault="0028740A" w:rsidP="006E08B3">
          <w:r>
            <w:rPr>
              <w:rFonts w:cs="Arial"/>
            </w:rPr>
            <w:t>©</w:t>
          </w:r>
          <w:r>
            <w:t xml:space="preserve"> Commonwealth of Australia [add year]</w:t>
          </w:r>
        </w:p>
        <w:p w:rsidR="0028740A" w:rsidRDefault="0028740A" w:rsidP="006E08B3"/>
        <w:p w:rsidR="0028740A" w:rsidRDefault="0028740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8740A" w:rsidRDefault="0028740A" w:rsidP="006E08B3"/>
        <w:p w:rsidR="0028740A" w:rsidRDefault="0028740A" w:rsidP="006E08B3">
          <w:pPr>
            <w:pStyle w:val="Heading3"/>
          </w:pPr>
          <w:r>
            <w:t>Confidentiality</w:t>
          </w:r>
        </w:p>
        <w:p w:rsidR="0028740A" w:rsidRDefault="0028740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8740A" w:rsidRDefault="0028740A" w:rsidP="006E08B3"/>
        <w:p w:rsidR="0028740A" w:rsidRDefault="0028740A" w:rsidP="006E08B3">
          <w:r>
            <w:t>For submission made by individuals, all personal details, other than your name, will be removed from your submission before it is published on the TGA’s Internet site.</w:t>
          </w:r>
        </w:p>
        <w:p w:rsidR="0028740A" w:rsidRDefault="0028740A" w:rsidP="006E08B3"/>
        <w:p w:rsidR="0028740A" w:rsidRDefault="0028740A" w:rsidP="006E08B3">
          <w:r>
            <w:t>In addition, a list of parties making submissions will be published. If you do not wish to be identified with your submission you must specifically request this in the space provided ib the submission coversheet.</w:t>
          </w:r>
        </w:p>
      </w:tc>
    </w:tr>
    <w:tr w:rsidR="0028740A" w:rsidTr="0010601F">
      <w:trPr>
        <w:trHeight w:val="417"/>
      </w:trPr>
      <w:tc>
        <w:tcPr>
          <w:tcW w:w="4519" w:type="dxa"/>
          <w:tcBorders>
            <w:top w:val="single" w:sz="4" w:space="0" w:color="auto"/>
          </w:tcBorders>
          <w:tcMar>
            <w:top w:w="142" w:type="dxa"/>
            <w:bottom w:w="0" w:type="dxa"/>
          </w:tcMar>
        </w:tcPr>
        <w:p w:rsidR="0028740A" w:rsidRDefault="0028740A" w:rsidP="006E08B3">
          <w:r>
            <w:t>Document title, Part #, Section # - Section title</w:t>
          </w:r>
        </w:p>
        <w:p w:rsidR="0028740A" w:rsidRDefault="0028740A" w:rsidP="006E08B3">
          <w:r>
            <w:t>V1.0 October 2010</w:t>
          </w:r>
        </w:p>
      </w:tc>
      <w:tc>
        <w:tcPr>
          <w:tcW w:w="4356" w:type="dxa"/>
          <w:tcBorders>
            <w:top w:val="single" w:sz="4" w:space="0" w:color="auto"/>
          </w:tcBorders>
          <w:tcMar>
            <w:top w:w="142" w:type="dxa"/>
            <w:bottom w:w="0" w:type="dxa"/>
          </w:tcMar>
        </w:tcPr>
        <w:p w:rsidR="0028740A" w:rsidRDefault="0028740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72</w:t>
            </w:r>
          </w:fldSimple>
          <w:r>
            <w:t xml:space="preserve"> </w:t>
          </w:r>
        </w:p>
      </w:tc>
    </w:tr>
  </w:tbl>
  <w:p w:rsidR="0028740A" w:rsidRDefault="0028740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40A" w:rsidRDefault="0028740A" w:rsidP="00C40A36">
      <w:pPr>
        <w:spacing w:after="0"/>
      </w:pPr>
      <w:r>
        <w:separator/>
      </w:r>
    </w:p>
  </w:footnote>
  <w:footnote w:type="continuationSeparator" w:id="0">
    <w:p w:rsidR="0028740A" w:rsidRDefault="0028740A" w:rsidP="00C40A36">
      <w:pPr>
        <w:spacing w:after="0"/>
      </w:pPr>
      <w:r>
        <w:continuationSeparator/>
      </w:r>
    </w:p>
  </w:footnote>
  <w:footnote w:id="1">
    <w:p w:rsidR="0028740A" w:rsidRPr="00694CE3" w:rsidRDefault="0028740A">
      <w:pPr>
        <w:pStyle w:val="FootnoteText"/>
        <w:rPr>
          <w:lang w:val="en-US"/>
        </w:rPr>
      </w:pPr>
      <w:r>
        <w:rPr>
          <w:rStyle w:val="FootnoteReference"/>
        </w:rPr>
        <w:footnoteRef/>
      </w:r>
      <w:r>
        <w:t xml:space="preserve"> CPMP/EWP/2454/02 corr “Guideline on Clinical Investigation of Medicinal Products for the Treatment of Psoriasis” (effective 18 November 2004)</w:t>
      </w:r>
    </w:p>
  </w:footnote>
  <w:footnote w:id="2">
    <w:p w:rsidR="0028740A" w:rsidRPr="004F4D77" w:rsidRDefault="0028740A">
      <w:pPr>
        <w:pStyle w:val="FootnoteText"/>
        <w:rPr>
          <w:lang w:val="en-US"/>
        </w:rPr>
      </w:pPr>
      <w:r>
        <w:rPr>
          <w:rStyle w:val="FootnoteReference"/>
        </w:rPr>
        <w:footnoteRef/>
      </w:r>
      <w:r>
        <w:t xml:space="preserve"> EC</w:t>
      </w:r>
      <w:r w:rsidRPr="00636F70">
        <w:rPr>
          <w:vertAlign w:val="subscript"/>
        </w:rPr>
        <w:t>90</w:t>
      </w:r>
      <w:r>
        <w:t xml:space="preserve"> = the concentration at which 90% of the maximal effect is achieved</w:t>
      </w:r>
    </w:p>
  </w:footnote>
  <w:footnote w:id="3">
    <w:p w:rsidR="0028740A" w:rsidRPr="009C2FAC" w:rsidRDefault="0028740A">
      <w:pPr>
        <w:pStyle w:val="FootnoteText"/>
        <w:rPr>
          <w:lang w:val="en-US"/>
        </w:rPr>
      </w:pPr>
      <w:r>
        <w:rPr>
          <w:rStyle w:val="FootnoteReference"/>
        </w:rPr>
        <w:footnoteRef/>
      </w:r>
      <w:r>
        <w:t xml:space="preserve"> t</w:t>
      </w:r>
      <w:r>
        <w:rPr>
          <w:vertAlign w:val="subscript"/>
        </w:rPr>
        <w:t>½</w:t>
      </w:r>
      <w:r w:rsidRPr="009C2FAC">
        <w:t xml:space="preserve"> = </w:t>
      </w:r>
      <w:r>
        <w:t>time taken for half the initial dose of medicine administered to be eliminated from the body</w:t>
      </w:r>
    </w:p>
  </w:footnote>
  <w:footnote w:id="4">
    <w:p w:rsidR="0028740A" w:rsidRDefault="0028740A"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28740A" w:rsidRDefault="0028740A" w:rsidP="00456765">
      <w:pPr>
        <w:pStyle w:val="FootnoteText"/>
      </w:pPr>
      <w:r w:rsidRPr="00F12492">
        <w:rPr>
          <w:i/>
        </w:rPr>
        <w:t>Routine pharmacovigilance</w:t>
      </w:r>
      <w:r>
        <w:t xml:space="preserve"> practices involve the following activities:</w:t>
      </w:r>
    </w:p>
    <w:p w:rsidR="0028740A" w:rsidRDefault="0028740A" w:rsidP="00456765">
      <w:pPr>
        <w:pStyle w:val="FootnoteText"/>
        <w:numPr>
          <w:ilvl w:val="0"/>
          <w:numId w:val="28"/>
        </w:numPr>
      </w:pPr>
      <w:r>
        <w:t>All suspected adverse reactions that are reported to the personnel of the company are collected and collated in an accessible manner;</w:t>
      </w:r>
    </w:p>
    <w:p w:rsidR="0028740A" w:rsidRDefault="0028740A" w:rsidP="00456765">
      <w:pPr>
        <w:pStyle w:val="FootnoteText"/>
        <w:numPr>
          <w:ilvl w:val="0"/>
          <w:numId w:val="28"/>
        </w:numPr>
      </w:pPr>
      <w:r>
        <w:t>Reporting to regulatory authorities;</w:t>
      </w:r>
    </w:p>
    <w:p w:rsidR="0028740A" w:rsidRDefault="0028740A" w:rsidP="00456765">
      <w:pPr>
        <w:pStyle w:val="FootnoteText"/>
        <w:numPr>
          <w:ilvl w:val="0"/>
          <w:numId w:val="28"/>
        </w:numPr>
      </w:pPr>
      <w:r>
        <w:t>Continuous monitoring of the safety profiles of approved products including signal detection and updating of labeling;</w:t>
      </w:r>
    </w:p>
    <w:p w:rsidR="0028740A" w:rsidRDefault="0028740A" w:rsidP="00456765">
      <w:pPr>
        <w:pStyle w:val="FootnoteText"/>
        <w:numPr>
          <w:ilvl w:val="0"/>
          <w:numId w:val="28"/>
        </w:numPr>
      </w:pPr>
      <w:r>
        <w:t>Submission of PSURs;</w:t>
      </w:r>
    </w:p>
    <w:p w:rsidR="0028740A" w:rsidRPr="00F12492" w:rsidRDefault="0028740A" w:rsidP="00456765">
      <w:pPr>
        <w:pStyle w:val="FootnoteText"/>
        <w:numPr>
          <w:ilvl w:val="0"/>
          <w:numId w:val="28"/>
        </w:numPr>
        <w:rPr>
          <w:lang w:val="en-US"/>
        </w:rPr>
      </w:pPr>
      <w:r>
        <w:t>Meeting other local regulatory agency requirements.</w:t>
      </w:r>
    </w:p>
  </w:footnote>
  <w:footnote w:id="5">
    <w:p w:rsidR="0028740A" w:rsidRDefault="0028740A">
      <w:pPr>
        <w:pStyle w:val="FootnoteText"/>
      </w:pPr>
      <w:r>
        <w:rPr>
          <w:rStyle w:val="FootnoteReference"/>
        </w:rPr>
        <w:footnoteRef/>
      </w:r>
      <w:r>
        <w:t xml:space="preserve"> </w:t>
      </w:r>
      <w:r w:rsidRPr="00566CE3">
        <w:t>at least 75% and 90% reduction respectively in Psoriasis Area and Severity Index from baseline</w:t>
      </w:r>
    </w:p>
  </w:footnote>
  <w:footnote w:id="6">
    <w:p w:rsidR="0028740A" w:rsidRDefault="0028740A"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28740A" w:rsidRPr="00456765" w:rsidRDefault="0028740A"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rPr>
        <w:noProof/>
        <w:lang w:eastAsia="en-AU"/>
      </w:rPr>
    </w:pPr>
    <w:r w:rsidRPr="00347824">
      <w:rPr>
        <w:noProof/>
        <w:lang w:eastAsia="en-AU"/>
      </w:rPr>
      <w:drawing>
        <wp:anchor distT="0" distB="0" distL="114300" distR="114300" simplePos="0" relativeHeight="251659264" behindDoc="1" locked="0" layoutInCell="1" allowOverlap="1" wp14:anchorId="286ED133" wp14:editId="3E5C46F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8740A" w:rsidRDefault="0028740A" w:rsidP="00593AD1">
    <w:pPr>
      <w:pStyle w:val="HeaderNoLine"/>
    </w:pPr>
    <w:r>
      <w:rPr>
        <w:noProof/>
        <w:lang w:eastAsia="en-AU"/>
      </w:rPr>
      <w:drawing>
        <wp:inline distT="0" distB="0" distL="0" distR="0" wp14:anchorId="751AC5AB" wp14:editId="1F1E38D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40A" w:rsidRDefault="0028740A" w:rsidP="006E08B3">
    <w:r>
      <w:t>Therapeutic Goods Administration</w:t>
    </w:r>
  </w:p>
  <w:p w:rsidR="0028740A" w:rsidRDefault="0028740A"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83E4269C"/>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399003A2"/>
    <w:multiLevelType w:val="hybridMultilevel"/>
    <w:tmpl w:val="A6F0CF6A"/>
    <w:lvl w:ilvl="0" w:tplc="55B2E68A">
      <w:start w:val="1"/>
      <w:numFmt w:val="upperLetter"/>
      <w:lvlText w:val="(%1)"/>
      <w:lvlJc w:val="left"/>
      <w:pPr>
        <w:ind w:left="720" w:hanging="360"/>
      </w:pPr>
      <w:rPr>
        <w:rFonts w:hint="default"/>
      </w:rPr>
    </w:lvl>
    <w:lvl w:ilvl="1" w:tplc="D2C096CC">
      <w:numFmt w:val="bullet"/>
      <w:lvlText w:val="-"/>
      <w:lvlJc w:val="left"/>
      <w:pPr>
        <w:ind w:left="2880" w:hanging="1800"/>
      </w:pPr>
      <w:rPr>
        <w:rFonts w:asciiTheme="minorHAnsi" w:eastAsia="Times New Roman" w:hAnsiTheme="minorHAns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E150B7"/>
    <w:multiLevelType w:val="hybridMultilevel"/>
    <w:tmpl w:val="625A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47002C"/>
    <w:multiLevelType w:val="hybridMultilevel"/>
    <w:tmpl w:val="871A59AA"/>
    <w:lvl w:ilvl="0" w:tplc="0C09000F">
      <w:start w:val="1"/>
      <w:numFmt w:val="decimal"/>
      <w:lvlText w:val="%1."/>
      <w:lvlJc w:val="left"/>
      <w:pPr>
        <w:ind w:left="3468" w:hanging="360"/>
      </w:pPr>
    </w:lvl>
    <w:lvl w:ilvl="1" w:tplc="0C090019" w:tentative="1">
      <w:start w:val="1"/>
      <w:numFmt w:val="lowerLetter"/>
      <w:lvlText w:val="%2."/>
      <w:lvlJc w:val="left"/>
      <w:pPr>
        <w:ind w:left="4188" w:hanging="360"/>
      </w:pPr>
    </w:lvl>
    <w:lvl w:ilvl="2" w:tplc="0C09001B" w:tentative="1">
      <w:start w:val="1"/>
      <w:numFmt w:val="lowerRoman"/>
      <w:lvlText w:val="%3."/>
      <w:lvlJc w:val="right"/>
      <w:pPr>
        <w:ind w:left="4908" w:hanging="180"/>
      </w:pPr>
    </w:lvl>
    <w:lvl w:ilvl="3" w:tplc="0C09000F" w:tentative="1">
      <w:start w:val="1"/>
      <w:numFmt w:val="decimal"/>
      <w:lvlText w:val="%4."/>
      <w:lvlJc w:val="left"/>
      <w:pPr>
        <w:ind w:left="5628" w:hanging="360"/>
      </w:pPr>
    </w:lvl>
    <w:lvl w:ilvl="4" w:tplc="0C090019" w:tentative="1">
      <w:start w:val="1"/>
      <w:numFmt w:val="lowerLetter"/>
      <w:lvlText w:val="%5."/>
      <w:lvlJc w:val="left"/>
      <w:pPr>
        <w:ind w:left="6348" w:hanging="360"/>
      </w:pPr>
    </w:lvl>
    <w:lvl w:ilvl="5" w:tplc="0C09001B" w:tentative="1">
      <w:start w:val="1"/>
      <w:numFmt w:val="lowerRoman"/>
      <w:lvlText w:val="%6."/>
      <w:lvlJc w:val="right"/>
      <w:pPr>
        <w:ind w:left="7068" w:hanging="180"/>
      </w:pPr>
    </w:lvl>
    <w:lvl w:ilvl="6" w:tplc="0C09000F" w:tentative="1">
      <w:start w:val="1"/>
      <w:numFmt w:val="decimal"/>
      <w:lvlText w:val="%7."/>
      <w:lvlJc w:val="left"/>
      <w:pPr>
        <w:ind w:left="7788" w:hanging="360"/>
      </w:pPr>
    </w:lvl>
    <w:lvl w:ilvl="7" w:tplc="0C090019" w:tentative="1">
      <w:start w:val="1"/>
      <w:numFmt w:val="lowerLetter"/>
      <w:lvlText w:val="%8."/>
      <w:lvlJc w:val="left"/>
      <w:pPr>
        <w:ind w:left="8508" w:hanging="360"/>
      </w:pPr>
    </w:lvl>
    <w:lvl w:ilvl="8" w:tplc="0C09001B" w:tentative="1">
      <w:start w:val="1"/>
      <w:numFmt w:val="lowerRoman"/>
      <w:lvlText w:val="%9."/>
      <w:lvlJc w:val="right"/>
      <w:pPr>
        <w:ind w:left="9228" w:hanging="180"/>
      </w:pPr>
    </w:lvl>
  </w:abstractNum>
  <w:abstractNum w:abstractNumId="11" w15:restartNumberingAfterBreak="0">
    <w:nsid w:val="702D37CA"/>
    <w:multiLevelType w:val="hybridMultilevel"/>
    <w:tmpl w:val="05088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12"/>
  </w:num>
  <w:num w:numId="29">
    <w:abstractNumId w:val="9"/>
  </w:num>
  <w:num w:numId="30">
    <w:abstractNumId w:val="4"/>
  </w:num>
  <w:num w:numId="31">
    <w:abstractNumId w:val="11"/>
  </w:num>
  <w:num w:numId="32">
    <w:abstractNumId w:val="7"/>
  </w:num>
  <w:num w:numId="33">
    <w:abstractNumId w:val="10"/>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B1"/>
    <w:rsid w:val="00002031"/>
    <w:rsid w:val="00004734"/>
    <w:rsid w:val="00006B22"/>
    <w:rsid w:val="0001276A"/>
    <w:rsid w:val="00014D62"/>
    <w:rsid w:val="00023593"/>
    <w:rsid w:val="000246AE"/>
    <w:rsid w:val="00025C67"/>
    <w:rsid w:val="000301CE"/>
    <w:rsid w:val="0003432E"/>
    <w:rsid w:val="00040F84"/>
    <w:rsid w:val="00044772"/>
    <w:rsid w:val="0004541C"/>
    <w:rsid w:val="0005559E"/>
    <w:rsid w:val="000604D6"/>
    <w:rsid w:val="000734D8"/>
    <w:rsid w:val="0007429E"/>
    <w:rsid w:val="00077775"/>
    <w:rsid w:val="0008359C"/>
    <w:rsid w:val="00086798"/>
    <w:rsid w:val="00090471"/>
    <w:rsid w:val="00096AA7"/>
    <w:rsid w:val="000A3AED"/>
    <w:rsid w:val="000B222F"/>
    <w:rsid w:val="000B3532"/>
    <w:rsid w:val="000B3A75"/>
    <w:rsid w:val="000C00C2"/>
    <w:rsid w:val="000C690F"/>
    <w:rsid w:val="000D1295"/>
    <w:rsid w:val="000D391B"/>
    <w:rsid w:val="000D3D6D"/>
    <w:rsid w:val="000D4FC7"/>
    <w:rsid w:val="000E6196"/>
    <w:rsid w:val="000F4869"/>
    <w:rsid w:val="000F5B42"/>
    <w:rsid w:val="000F6E6F"/>
    <w:rsid w:val="001052C8"/>
    <w:rsid w:val="0010601F"/>
    <w:rsid w:val="0010788A"/>
    <w:rsid w:val="00107A31"/>
    <w:rsid w:val="00110EA5"/>
    <w:rsid w:val="00112F56"/>
    <w:rsid w:val="00124ACD"/>
    <w:rsid w:val="00125318"/>
    <w:rsid w:val="001305A2"/>
    <w:rsid w:val="00133238"/>
    <w:rsid w:val="00133A1B"/>
    <w:rsid w:val="0013616B"/>
    <w:rsid w:val="0013729B"/>
    <w:rsid w:val="0014197B"/>
    <w:rsid w:val="001447CD"/>
    <w:rsid w:val="00151642"/>
    <w:rsid w:val="001516B1"/>
    <w:rsid w:val="00152685"/>
    <w:rsid w:val="00153A53"/>
    <w:rsid w:val="00154EBB"/>
    <w:rsid w:val="00156316"/>
    <w:rsid w:val="00161181"/>
    <w:rsid w:val="001618B3"/>
    <w:rsid w:val="00162D14"/>
    <w:rsid w:val="00163780"/>
    <w:rsid w:val="00165389"/>
    <w:rsid w:val="001749BF"/>
    <w:rsid w:val="0017693F"/>
    <w:rsid w:val="001778C0"/>
    <w:rsid w:val="0018110E"/>
    <w:rsid w:val="00181684"/>
    <w:rsid w:val="00182A43"/>
    <w:rsid w:val="001843C6"/>
    <w:rsid w:val="001850E0"/>
    <w:rsid w:val="001A00B6"/>
    <w:rsid w:val="001A03AF"/>
    <w:rsid w:val="001A0B08"/>
    <w:rsid w:val="001A2158"/>
    <w:rsid w:val="001A525F"/>
    <w:rsid w:val="001A5EAB"/>
    <w:rsid w:val="001B09F9"/>
    <w:rsid w:val="001B52B4"/>
    <w:rsid w:val="001B5C90"/>
    <w:rsid w:val="001B6448"/>
    <w:rsid w:val="001C32CD"/>
    <w:rsid w:val="001D2984"/>
    <w:rsid w:val="001D3A6B"/>
    <w:rsid w:val="001D63B3"/>
    <w:rsid w:val="001D6F74"/>
    <w:rsid w:val="001E07CF"/>
    <w:rsid w:val="001E59F1"/>
    <w:rsid w:val="001F2CEE"/>
    <w:rsid w:val="001F49EB"/>
    <w:rsid w:val="001F6CBA"/>
    <w:rsid w:val="00201D4E"/>
    <w:rsid w:val="00203E2A"/>
    <w:rsid w:val="002076C9"/>
    <w:rsid w:val="00220B8A"/>
    <w:rsid w:val="002257F3"/>
    <w:rsid w:val="00233456"/>
    <w:rsid w:val="002339A5"/>
    <w:rsid w:val="00241056"/>
    <w:rsid w:val="00252E64"/>
    <w:rsid w:val="00257848"/>
    <w:rsid w:val="002676AF"/>
    <w:rsid w:val="0027084A"/>
    <w:rsid w:val="00272B46"/>
    <w:rsid w:val="00280265"/>
    <w:rsid w:val="00286434"/>
    <w:rsid w:val="00286C59"/>
    <w:rsid w:val="0028740A"/>
    <w:rsid w:val="00291957"/>
    <w:rsid w:val="002942D1"/>
    <w:rsid w:val="0029501A"/>
    <w:rsid w:val="002A3721"/>
    <w:rsid w:val="002B1638"/>
    <w:rsid w:val="002B3624"/>
    <w:rsid w:val="002C4EA8"/>
    <w:rsid w:val="002D0952"/>
    <w:rsid w:val="002D2E00"/>
    <w:rsid w:val="002D5C11"/>
    <w:rsid w:val="002D65A9"/>
    <w:rsid w:val="002E40B3"/>
    <w:rsid w:val="002E4C9A"/>
    <w:rsid w:val="002E72B8"/>
    <w:rsid w:val="002F11F8"/>
    <w:rsid w:val="002F20D1"/>
    <w:rsid w:val="002F3F56"/>
    <w:rsid w:val="002F44B5"/>
    <w:rsid w:val="002F5122"/>
    <w:rsid w:val="00311AC0"/>
    <w:rsid w:val="003122B1"/>
    <w:rsid w:val="003176FC"/>
    <w:rsid w:val="0032583B"/>
    <w:rsid w:val="003271F7"/>
    <w:rsid w:val="00327883"/>
    <w:rsid w:val="00335504"/>
    <w:rsid w:val="00340C18"/>
    <w:rsid w:val="003442FD"/>
    <w:rsid w:val="00347824"/>
    <w:rsid w:val="00350567"/>
    <w:rsid w:val="003521E8"/>
    <w:rsid w:val="00363269"/>
    <w:rsid w:val="00370CE3"/>
    <w:rsid w:val="00372731"/>
    <w:rsid w:val="003728F3"/>
    <w:rsid w:val="003735BC"/>
    <w:rsid w:val="0037496E"/>
    <w:rsid w:val="00380D4A"/>
    <w:rsid w:val="00383221"/>
    <w:rsid w:val="00386150"/>
    <w:rsid w:val="003874CE"/>
    <w:rsid w:val="00390900"/>
    <w:rsid w:val="003927AD"/>
    <w:rsid w:val="003A7F6C"/>
    <w:rsid w:val="003B4D60"/>
    <w:rsid w:val="003B7E39"/>
    <w:rsid w:val="003C58DC"/>
    <w:rsid w:val="003D1E62"/>
    <w:rsid w:val="003E0B99"/>
    <w:rsid w:val="003E2486"/>
    <w:rsid w:val="003E3208"/>
    <w:rsid w:val="003E4BE9"/>
    <w:rsid w:val="003F0B04"/>
    <w:rsid w:val="003F730B"/>
    <w:rsid w:val="0040134E"/>
    <w:rsid w:val="00423747"/>
    <w:rsid w:val="004334C7"/>
    <w:rsid w:val="00435BB9"/>
    <w:rsid w:val="004409AA"/>
    <w:rsid w:val="00440A2D"/>
    <w:rsid w:val="00441C3F"/>
    <w:rsid w:val="0045186A"/>
    <w:rsid w:val="00454691"/>
    <w:rsid w:val="004564A7"/>
    <w:rsid w:val="00456765"/>
    <w:rsid w:val="004615A9"/>
    <w:rsid w:val="004617BF"/>
    <w:rsid w:val="00463658"/>
    <w:rsid w:val="004637A0"/>
    <w:rsid w:val="004722CC"/>
    <w:rsid w:val="00477B4B"/>
    <w:rsid w:val="004936E4"/>
    <w:rsid w:val="00494E60"/>
    <w:rsid w:val="00497487"/>
    <w:rsid w:val="004A1E30"/>
    <w:rsid w:val="004A6189"/>
    <w:rsid w:val="004A7390"/>
    <w:rsid w:val="004B098F"/>
    <w:rsid w:val="004B2442"/>
    <w:rsid w:val="004B7B76"/>
    <w:rsid w:val="004C239D"/>
    <w:rsid w:val="004C2DCA"/>
    <w:rsid w:val="004C349D"/>
    <w:rsid w:val="004C61D2"/>
    <w:rsid w:val="004C6DDB"/>
    <w:rsid w:val="004F0C4A"/>
    <w:rsid w:val="004F0F38"/>
    <w:rsid w:val="004F40A2"/>
    <w:rsid w:val="004F47D6"/>
    <w:rsid w:val="004F4D77"/>
    <w:rsid w:val="004F7C66"/>
    <w:rsid w:val="00500337"/>
    <w:rsid w:val="00501921"/>
    <w:rsid w:val="005125DE"/>
    <w:rsid w:val="00513E72"/>
    <w:rsid w:val="00515CF5"/>
    <w:rsid w:val="00515D2E"/>
    <w:rsid w:val="00523D3F"/>
    <w:rsid w:val="00530354"/>
    <w:rsid w:val="0053459B"/>
    <w:rsid w:val="0053625B"/>
    <w:rsid w:val="00537761"/>
    <w:rsid w:val="005434C6"/>
    <w:rsid w:val="00543B39"/>
    <w:rsid w:val="00546154"/>
    <w:rsid w:val="00550096"/>
    <w:rsid w:val="00555280"/>
    <w:rsid w:val="00555D01"/>
    <w:rsid w:val="00557FF9"/>
    <w:rsid w:val="00562327"/>
    <w:rsid w:val="00566CE3"/>
    <w:rsid w:val="0057051F"/>
    <w:rsid w:val="005711D5"/>
    <w:rsid w:val="00576378"/>
    <w:rsid w:val="00577130"/>
    <w:rsid w:val="00577945"/>
    <w:rsid w:val="00577E38"/>
    <w:rsid w:val="00585322"/>
    <w:rsid w:val="005857C6"/>
    <w:rsid w:val="00592F6E"/>
    <w:rsid w:val="00593AD1"/>
    <w:rsid w:val="005A2DDF"/>
    <w:rsid w:val="005A68B6"/>
    <w:rsid w:val="005C4228"/>
    <w:rsid w:val="005C5570"/>
    <w:rsid w:val="005C79A4"/>
    <w:rsid w:val="005D1976"/>
    <w:rsid w:val="005D1D95"/>
    <w:rsid w:val="005D5442"/>
    <w:rsid w:val="00603F32"/>
    <w:rsid w:val="00605AD4"/>
    <w:rsid w:val="00612569"/>
    <w:rsid w:val="006136D7"/>
    <w:rsid w:val="006154FF"/>
    <w:rsid w:val="00625A46"/>
    <w:rsid w:val="00625A6E"/>
    <w:rsid w:val="006304CF"/>
    <w:rsid w:val="00632398"/>
    <w:rsid w:val="00636F70"/>
    <w:rsid w:val="00640FC3"/>
    <w:rsid w:val="00642020"/>
    <w:rsid w:val="0065337B"/>
    <w:rsid w:val="0065419D"/>
    <w:rsid w:val="006603BC"/>
    <w:rsid w:val="006604D8"/>
    <w:rsid w:val="006611F6"/>
    <w:rsid w:val="00664A5B"/>
    <w:rsid w:val="0066735C"/>
    <w:rsid w:val="006763D2"/>
    <w:rsid w:val="00680C08"/>
    <w:rsid w:val="006916A0"/>
    <w:rsid w:val="006931B1"/>
    <w:rsid w:val="00694CE3"/>
    <w:rsid w:val="006A15C0"/>
    <w:rsid w:val="006A58A8"/>
    <w:rsid w:val="006A627F"/>
    <w:rsid w:val="006C3E2A"/>
    <w:rsid w:val="006C642F"/>
    <w:rsid w:val="006D03E5"/>
    <w:rsid w:val="006D4C2B"/>
    <w:rsid w:val="006D5D3E"/>
    <w:rsid w:val="006D6A6E"/>
    <w:rsid w:val="006E08B3"/>
    <w:rsid w:val="006E1EBE"/>
    <w:rsid w:val="006F17AC"/>
    <w:rsid w:val="006F25A2"/>
    <w:rsid w:val="006F25B8"/>
    <w:rsid w:val="006F572E"/>
    <w:rsid w:val="00702D7B"/>
    <w:rsid w:val="007046D6"/>
    <w:rsid w:val="00705DB0"/>
    <w:rsid w:val="00721EF0"/>
    <w:rsid w:val="007223C2"/>
    <w:rsid w:val="00722B57"/>
    <w:rsid w:val="00730F8A"/>
    <w:rsid w:val="007340AD"/>
    <w:rsid w:val="00735A8C"/>
    <w:rsid w:val="0074253D"/>
    <w:rsid w:val="0074429B"/>
    <w:rsid w:val="007508C7"/>
    <w:rsid w:val="00757BB2"/>
    <w:rsid w:val="007615BC"/>
    <w:rsid w:val="00762F05"/>
    <w:rsid w:val="007641D3"/>
    <w:rsid w:val="007652FF"/>
    <w:rsid w:val="00770CAC"/>
    <w:rsid w:val="00770EF1"/>
    <w:rsid w:val="00773EF7"/>
    <w:rsid w:val="00774E1D"/>
    <w:rsid w:val="007765D8"/>
    <w:rsid w:val="0077675A"/>
    <w:rsid w:val="00780355"/>
    <w:rsid w:val="007819FD"/>
    <w:rsid w:val="00785717"/>
    <w:rsid w:val="00785721"/>
    <w:rsid w:val="00786E8F"/>
    <w:rsid w:val="00790EEF"/>
    <w:rsid w:val="007918E9"/>
    <w:rsid w:val="00793A59"/>
    <w:rsid w:val="007A46F5"/>
    <w:rsid w:val="007A6505"/>
    <w:rsid w:val="007A6A23"/>
    <w:rsid w:val="007B4FFB"/>
    <w:rsid w:val="007B6132"/>
    <w:rsid w:val="007B6E9F"/>
    <w:rsid w:val="007C0362"/>
    <w:rsid w:val="007C1216"/>
    <w:rsid w:val="007C1AF7"/>
    <w:rsid w:val="007C6B9B"/>
    <w:rsid w:val="00805D27"/>
    <w:rsid w:val="00806DCB"/>
    <w:rsid w:val="008167A3"/>
    <w:rsid w:val="00821776"/>
    <w:rsid w:val="008321F5"/>
    <w:rsid w:val="00832369"/>
    <w:rsid w:val="00834660"/>
    <w:rsid w:val="00836BC2"/>
    <w:rsid w:val="0085156D"/>
    <w:rsid w:val="00852B28"/>
    <w:rsid w:val="00853B25"/>
    <w:rsid w:val="0085641B"/>
    <w:rsid w:val="00857136"/>
    <w:rsid w:val="00866FEC"/>
    <w:rsid w:val="00875A6B"/>
    <w:rsid w:val="008773F7"/>
    <w:rsid w:val="008812B0"/>
    <w:rsid w:val="00885B11"/>
    <w:rsid w:val="00885B29"/>
    <w:rsid w:val="00886D15"/>
    <w:rsid w:val="0088772A"/>
    <w:rsid w:val="00887DD8"/>
    <w:rsid w:val="00891BA9"/>
    <w:rsid w:val="00895246"/>
    <w:rsid w:val="00896018"/>
    <w:rsid w:val="008960DD"/>
    <w:rsid w:val="0089635C"/>
    <w:rsid w:val="008A2B9D"/>
    <w:rsid w:val="008A3D9F"/>
    <w:rsid w:val="008A5E0B"/>
    <w:rsid w:val="008A6D59"/>
    <w:rsid w:val="008A7DD9"/>
    <w:rsid w:val="008B4B03"/>
    <w:rsid w:val="008B596F"/>
    <w:rsid w:val="008C159F"/>
    <w:rsid w:val="008C1623"/>
    <w:rsid w:val="008C1850"/>
    <w:rsid w:val="008C51A9"/>
    <w:rsid w:val="008E2339"/>
    <w:rsid w:val="008E67B3"/>
    <w:rsid w:val="008E7846"/>
    <w:rsid w:val="008F02E5"/>
    <w:rsid w:val="008F1CCC"/>
    <w:rsid w:val="008F2967"/>
    <w:rsid w:val="008F3EAE"/>
    <w:rsid w:val="008F5BC0"/>
    <w:rsid w:val="008F6943"/>
    <w:rsid w:val="00902A21"/>
    <w:rsid w:val="0091523F"/>
    <w:rsid w:val="00920330"/>
    <w:rsid w:val="009219D7"/>
    <w:rsid w:val="00922D53"/>
    <w:rsid w:val="00923B70"/>
    <w:rsid w:val="00924482"/>
    <w:rsid w:val="00930237"/>
    <w:rsid w:val="00937C17"/>
    <w:rsid w:val="00940A89"/>
    <w:rsid w:val="00941F77"/>
    <w:rsid w:val="00946EA5"/>
    <w:rsid w:val="00951A86"/>
    <w:rsid w:val="00956CD3"/>
    <w:rsid w:val="00963C08"/>
    <w:rsid w:val="00965D08"/>
    <w:rsid w:val="009752A5"/>
    <w:rsid w:val="00981167"/>
    <w:rsid w:val="0098585A"/>
    <w:rsid w:val="00992F5A"/>
    <w:rsid w:val="009A4CED"/>
    <w:rsid w:val="009A690D"/>
    <w:rsid w:val="009B0AA7"/>
    <w:rsid w:val="009B1D12"/>
    <w:rsid w:val="009B416B"/>
    <w:rsid w:val="009B54F7"/>
    <w:rsid w:val="009C2FAC"/>
    <w:rsid w:val="009C4BD5"/>
    <w:rsid w:val="009D7B77"/>
    <w:rsid w:val="009E0BB0"/>
    <w:rsid w:val="009E3FBB"/>
    <w:rsid w:val="009E6CD4"/>
    <w:rsid w:val="009F7353"/>
    <w:rsid w:val="00A02B57"/>
    <w:rsid w:val="00A04F85"/>
    <w:rsid w:val="00A05FA4"/>
    <w:rsid w:val="00A102E4"/>
    <w:rsid w:val="00A12C42"/>
    <w:rsid w:val="00A14DF7"/>
    <w:rsid w:val="00A21752"/>
    <w:rsid w:val="00A22D57"/>
    <w:rsid w:val="00A316C5"/>
    <w:rsid w:val="00A3246D"/>
    <w:rsid w:val="00A36FA7"/>
    <w:rsid w:val="00A41D98"/>
    <w:rsid w:val="00A44DDB"/>
    <w:rsid w:val="00A4668C"/>
    <w:rsid w:val="00A475B7"/>
    <w:rsid w:val="00A47AF7"/>
    <w:rsid w:val="00A47C3E"/>
    <w:rsid w:val="00A50226"/>
    <w:rsid w:val="00A567C2"/>
    <w:rsid w:val="00A56E9A"/>
    <w:rsid w:val="00A60BAD"/>
    <w:rsid w:val="00A77F87"/>
    <w:rsid w:val="00A80B5B"/>
    <w:rsid w:val="00A84E36"/>
    <w:rsid w:val="00A873CD"/>
    <w:rsid w:val="00A964D1"/>
    <w:rsid w:val="00AA0ED0"/>
    <w:rsid w:val="00AA6EF0"/>
    <w:rsid w:val="00AC2B40"/>
    <w:rsid w:val="00AC2BB2"/>
    <w:rsid w:val="00AC2C3C"/>
    <w:rsid w:val="00AC512D"/>
    <w:rsid w:val="00AC72C6"/>
    <w:rsid w:val="00AD0083"/>
    <w:rsid w:val="00AD3935"/>
    <w:rsid w:val="00AD6D2A"/>
    <w:rsid w:val="00AD7E2A"/>
    <w:rsid w:val="00AE65EB"/>
    <w:rsid w:val="00AE67A7"/>
    <w:rsid w:val="00AF1D94"/>
    <w:rsid w:val="00AF4757"/>
    <w:rsid w:val="00AF60C5"/>
    <w:rsid w:val="00B009C6"/>
    <w:rsid w:val="00B01470"/>
    <w:rsid w:val="00B01548"/>
    <w:rsid w:val="00B0427D"/>
    <w:rsid w:val="00B13EBD"/>
    <w:rsid w:val="00B146AA"/>
    <w:rsid w:val="00B21D29"/>
    <w:rsid w:val="00B25034"/>
    <w:rsid w:val="00B33588"/>
    <w:rsid w:val="00B33863"/>
    <w:rsid w:val="00B37D17"/>
    <w:rsid w:val="00B4175E"/>
    <w:rsid w:val="00B41C85"/>
    <w:rsid w:val="00B452CE"/>
    <w:rsid w:val="00B5353C"/>
    <w:rsid w:val="00B54C25"/>
    <w:rsid w:val="00B72FA2"/>
    <w:rsid w:val="00B76B91"/>
    <w:rsid w:val="00B77EB1"/>
    <w:rsid w:val="00B811C6"/>
    <w:rsid w:val="00B855B0"/>
    <w:rsid w:val="00B92752"/>
    <w:rsid w:val="00B92E08"/>
    <w:rsid w:val="00B976A3"/>
    <w:rsid w:val="00BA49C1"/>
    <w:rsid w:val="00BC622A"/>
    <w:rsid w:val="00BC7159"/>
    <w:rsid w:val="00BD6F96"/>
    <w:rsid w:val="00BE0224"/>
    <w:rsid w:val="00BE0A78"/>
    <w:rsid w:val="00BE79F0"/>
    <w:rsid w:val="00BF046D"/>
    <w:rsid w:val="00BF1190"/>
    <w:rsid w:val="00BF2B10"/>
    <w:rsid w:val="00BF3774"/>
    <w:rsid w:val="00BF5D04"/>
    <w:rsid w:val="00C009AA"/>
    <w:rsid w:val="00C1015F"/>
    <w:rsid w:val="00C1164D"/>
    <w:rsid w:val="00C1239E"/>
    <w:rsid w:val="00C16861"/>
    <w:rsid w:val="00C346AB"/>
    <w:rsid w:val="00C404A6"/>
    <w:rsid w:val="00C40A36"/>
    <w:rsid w:val="00C44419"/>
    <w:rsid w:val="00C45E7B"/>
    <w:rsid w:val="00C471B1"/>
    <w:rsid w:val="00C52E24"/>
    <w:rsid w:val="00C611A9"/>
    <w:rsid w:val="00C6316B"/>
    <w:rsid w:val="00C634A9"/>
    <w:rsid w:val="00C64586"/>
    <w:rsid w:val="00C70D53"/>
    <w:rsid w:val="00C73D0B"/>
    <w:rsid w:val="00C772FF"/>
    <w:rsid w:val="00C80137"/>
    <w:rsid w:val="00C801AF"/>
    <w:rsid w:val="00C80256"/>
    <w:rsid w:val="00C94CD4"/>
    <w:rsid w:val="00C9747E"/>
    <w:rsid w:val="00CA154A"/>
    <w:rsid w:val="00CA3875"/>
    <w:rsid w:val="00CA38DF"/>
    <w:rsid w:val="00CB25E9"/>
    <w:rsid w:val="00CB6BC0"/>
    <w:rsid w:val="00CC006D"/>
    <w:rsid w:val="00CC125A"/>
    <w:rsid w:val="00CC1B7C"/>
    <w:rsid w:val="00CC727F"/>
    <w:rsid w:val="00CD72BD"/>
    <w:rsid w:val="00CF15C3"/>
    <w:rsid w:val="00CF2B6F"/>
    <w:rsid w:val="00CF2F3E"/>
    <w:rsid w:val="00CF58B6"/>
    <w:rsid w:val="00D0062D"/>
    <w:rsid w:val="00D017ED"/>
    <w:rsid w:val="00D040D3"/>
    <w:rsid w:val="00D04609"/>
    <w:rsid w:val="00D04C65"/>
    <w:rsid w:val="00D11742"/>
    <w:rsid w:val="00D153D8"/>
    <w:rsid w:val="00D201D2"/>
    <w:rsid w:val="00D224FE"/>
    <w:rsid w:val="00D23139"/>
    <w:rsid w:val="00D26DDE"/>
    <w:rsid w:val="00D425BB"/>
    <w:rsid w:val="00D453FA"/>
    <w:rsid w:val="00D57A48"/>
    <w:rsid w:val="00D6493E"/>
    <w:rsid w:val="00D7195D"/>
    <w:rsid w:val="00D7301E"/>
    <w:rsid w:val="00D73C03"/>
    <w:rsid w:val="00D76459"/>
    <w:rsid w:val="00D83AE1"/>
    <w:rsid w:val="00D855D4"/>
    <w:rsid w:val="00D902C9"/>
    <w:rsid w:val="00D93466"/>
    <w:rsid w:val="00D9433C"/>
    <w:rsid w:val="00DA1124"/>
    <w:rsid w:val="00DB0403"/>
    <w:rsid w:val="00DB06B8"/>
    <w:rsid w:val="00DB6124"/>
    <w:rsid w:val="00DB750B"/>
    <w:rsid w:val="00DB75B7"/>
    <w:rsid w:val="00DC0A2F"/>
    <w:rsid w:val="00DC6E02"/>
    <w:rsid w:val="00DD28CD"/>
    <w:rsid w:val="00DD556C"/>
    <w:rsid w:val="00DE02AE"/>
    <w:rsid w:val="00DE043A"/>
    <w:rsid w:val="00DE39D1"/>
    <w:rsid w:val="00DF1D7F"/>
    <w:rsid w:val="00DF4BE4"/>
    <w:rsid w:val="00DF7F35"/>
    <w:rsid w:val="00E02382"/>
    <w:rsid w:val="00E02FB4"/>
    <w:rsid w:val="00E13FC7"/>
    <w:rsid w:val="00E20571"/>
    <w:rsid w:val="00E20EBA"/>
    <w:rsid w:val="00E235F7"/>
    <w:rsid w:val="00E23659"/>
    <w:rsid w:val="00E239D4"/>
    <w:rsid w:val="00E26130"/>
    <w:rsid w:val="00E3755D"/>
    <w:rsid w:val="00E40B22"/>
    <w:rsid w:val="00E44ED1"/>
    <w:rsid w:val="00E45619"/>
    <w:rsid w:val="00E4588F"/>
    <w:rsid w:val="00E46DA3"/>
    <w:rsid w:val="00E51BB1"/>
    <w:rsid w:val="00E55CB0"/>
    <w:rsid w:val="00E624A5"/>
    <w:rsid w:val="00E62588"/>
    <w:rsid w:val="00E64BA4"/>
    <w:rsid w:val="00E7344E"/>
    <w:rsid w:val="00E73898"/>
    <w:rsid w:val="00E7530F"/>
    <w:rsid w:val="00E77D15"/>
    <w:rsid w:val="00E82665"/>
    <w:rsid w:val="00E8302F"/>
    <w:rsid w:val="00EB0798"/>
    <w:rsid w:val="00EB40AD"/>
    <w:rsid w:val="00EB586E"/>
    <w:rsid w:val="00EB5FC8"/>
    <w:rsid w:val="00EC463D"/>
    <w:rsid w:val="00EC7A85"/>
    <w:rsid w:val="00ED2922"/>
    <w:rsid w:val="00ED3678"/>
    <w:rsid w:val="00ED3CAD"/>
    <w:rsid w:val="00ED4801"/>
    <w:rsid w:val="00ED5A41"/>
    <w:rsid w:val="00ED6F86"/>
    <w:rsid w:val="00EE1DE8"/>
    <w:rsid w:val="00EE27C2"/>
    <w:rsid w:val="00EE730D"/>
    <w:rsid w:val="00EF4BAD"/>
    <w:rsid w:val="00EF53A2"/>
    <w:rsid w:val="00EF59DC"/>
    <w:rsid w:val="00F001E6"/>
    <w:rsid w:val="00F033EC"/>
    <w:rsid w:val="00F03E34"/>
    <w:rsid w:val="00F04F68"/>
    <w:rsid w:val="00F12670"/>
    <w:rsid w:val="00F14B27"/>
    <w:rsid w:val="00F161AA"/>
    <w:rsid w:val="00F2768E"/>
    <w:rsid w:val="00F3148D"/>
    <w:rsid w:val="00F325C5"/>
    <w:rsid w:val="00F32FE0"/>
    <w:rsid w:val="00F34A6B"/>
    <w:rsid w:val="00F35298"/>
    <w:rsid w:val="00F47333"/>
    <w:rsid w:val="00F47B25"/>
    <w:rsid w:val="00F47E37"/>
    <w:rsid w:val="00F53C07"/>
    <w:rsid w:val="00F54B65"/>
    <w:rsid w:val="00F63AEF"/>
    <w:rsid w:val="00F640B6"/>
    <w:rsid w:val="00F6518D"/>
    <w:rsid w:val="00F65747"/>
    <w:rsid w:val="00F66DF2"/>
    <w:rsid w:val="00F727CB"/>
    <w:rsid w:val="00F80E40"/>
    <w:rsid w:val="00F848D9"/>
    <w:rsid w:val="00F871F6"/>
    <w:rsid w:val="00FA5069"/>
    <w:rsid w:val="00FA5B82"/>
    <w:rsid w:val="00FA639E"/>
    <w:rsid w:val="00FC1FCA"/>
    <w:rsid w:val="00FC25E4"/>
    <w:rsid w:val="00FC3AA7"/>
    <w:rsid w:val="00FC4EF7"/>
    <w:rsid w:val="00FD0824"/>
    <w:rsid w:val="00FD119B"/>
    <w:rsid w:val="00FD1EDC"/>
    <w:rsid w:val="00FD2859"/>
    <w:rsid w:val="00FE1DEE"/>
    <w:rsid w:val="00FE65DE"/>
    <w:rsid w:val="00FF1AB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AA7CC2A6-DC88-4580-911A-0EDDFF6BC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15D2E"/>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D6A6E"/>
    <w:pPr>
      <w:adjustRightInd w:val="0"/>
      <w:snapToGrid w:val="0"/>
      <w:spacing w:before="180" w:after="180" w:line="240" w:lineRule="auto"/>
      <w:ind w:left="720"/>
      <w:contextualSpacing/>
    </w:pPr>
    <w:rPr>
      <w:rFonts w:asciiTheme="minorHAnsi" w:eastAsia="MS Mincho" w:hAnsiTheme="minorHAnsi" w:cstheme="minorBidi"/>
      <w:szCs w:val="20"/>
      <w:lang w:eastAsia="ja-JP"/>
    </w:rPr>
  </w:style>
  <w:style w:type="character" w:customStyle="1" w:styleId="TabletextChar">
    <w:name w:val="Table text Char"/>
    <w:basedOn w:val="DefaultParagraphFont"/>
    <w:link w:val="Tabletext"/>
    <w:rsid w:val="0057051F"/>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7051F"/>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7051F"/>
    <w:rPr>
      <w:rFonts w:ascii="Cambria" w:eastAsia="Times New Roman" w:hAnsi="Cambria" w:cs="Times New Roman"/>
      <w:b/>
      <w:snapToGrid w:val="0"/>
      <w:kern w:val="16"/>
      <w:sz w:val="20"/>
      <w:szCs w:val="24"/>
    </w:rPr>
  </w:style>
  <w:style w:type="paragraph" w:customStyle="1" w:styleId="Bulletlist">
    <w:name w:val="Bullet list"/>
    <w:basedOn w:val="Normal"/>
    <w:link w:val="BulletlistChar"/>
    <w:qFormat/>
    <w:rsid w:val="0057051F"/>
    <w:pPr>
      <w:numPr>
        <w:numId w:val="30"/>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57051F"/>
    <w:rPr>
      <w:rFonts w:ascii="Cambria" w:eastAsia="Times New Roman" w:hAnsi="Cambria" w:cs="Times New Roman"/>
      <w:snapToGrid w:val="0"/>
      <w:kern w:val="2"/>
      <w:sz w:val="23"/>
    </w:rPr>
  </w:style>
  <w:style w:type="paragraph" w:customStyle="1" w:styleId="Ft">
    <w:name w:val="Ft"/>
    <w:basedOn w:val="Normal"/>
    <w:rsid w:val="004B2442"/>
  </w:style>
  <w:style w:type="paragraph" w:customStyle="1" w:styleId="Default">
    <w:name w:val="Default"/>
    <w:rsid w:val="00372731"/>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85914">
      <w:bodyDiv w:val="1"/>
      <w:marLeft w:val="0"/>
      <w:marRight w:val="0"/>
      <w:marTop w:val="0"/>
      <w:marBottom w:val="0"/>
      <w:divBdr>
        <w:top w:val="none" w:sz="0" w:space="0" w:color="auto"/>
        <w:left w:val="none" w:sz="0" w:space="0" w:color="auto"/>
        <w:bottom w:val="none" w:sz="0" w:space="0" w:color="auto"/>
        <w:right w:val="none" w:sz="0" w:space="0" w:color="auto"/>
      </w:divBdr>
    </w:div>
    <w:div w:id="1111246245">
      <w:bodyDiv w:val="1"/>
      <w:marLeft w:val="0"/>
      <w:marRight w:val="0"/>
      <w:marTop w:val="0"/>
      <w:marBottom w:val="0"/>
      <w:divBdr>
        <w:top w:val="none" w:sz="0" w:space="0" w:color="auto"/>
        <w:left w:val="none" w:sz="0" w:space="0" w:color="auto"/>
        <w:bottom w:val="none" w:sz="0" w:space="0" w:color="auto"/>
        <w:right w:val="none" w:sz="0" w:space="0" w:color="auto"/>
      </w:divBdr>
    </w:div>
    <w:div w:id="121326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footer" Target="footer4.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21.emf"/><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tga.gov.au/product-information-pi" TargetMode="External"/><Relationship Id="rId56" Type="http://schemas.openxmlformats.org/officeDocument/2006/relationships/fontTable" Target="fontTable.xml"/><Relationship Id="rId8" Type="http://schemas.openxmlformats.org/officeDocument/2006/relationships/hyperlink" Target="https://www.tga.gov.au" TargetMode="External"/><Relationship Id="rId51" Type="http://schemas.openxmlformats.org/officeDocument/2006/relationships/header" Target="header7.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BCB9C-5E85-444E-AD67-3C371B4F6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83</Pages>
  <Words>34464</Words>
  <Characters>188863</Characters>
  <Application>Microsoft Office Word</Application>
  <DocSecurity>0</DocSecurity>
  <Lines>3497</Lines>
  <Paragraphs>1337</Paragraphs>
  <ScaleCrop>false</ScaleCrop>
  <HeadingPairs>
    <vt:vector size="2" baseType="variant">
      <vt:variant>
        <vt:lpstr>Title</vt:lpstr>
      </vt:variant>
      <vt:variant>
        <vt:i4>1</vt:i4>
      </vt:variant>
    </vt:vector>
  </HeadingPairs>
  <TitlesOfParts>
    <vt:vector size="1" baseType="lpstr">
      <vt:lpstr>Australian Public Assessment Report for Certolizumab pegol</vt:lpstr>
    </vt:vector>
  </TitlesOfParts>
  <Company>Department of Health Therapeutic Goods Administration</Company>
  <LinksUpToDate>false</LinksUpToDate>
  <CharactersWithSpaces>221990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Certolizumab pegol</dc:title>
  <dc:subject>prescription medicines</dc:subject>
  <dc:creator>Therapeutic Goods Administration</dc:creator>
  <cp:keywords>AusPARs</cp:keywords>
  <dc:description/>
  <cp:lastPrinted>2019-06-11T05:50:00Z</cp:lastPrinted>
  <dcterms:created xsi:type="dcterms:W3CDTF">2019-10-09T03:07:00Z</dcterms:created>
  <dcterms:modified xsi:type="dcterms:W3CDTF">2019-10-09T05:47:00Z</dcterms:modified>
  <cp:category/>
</cp:coreProperties>
</file>