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4B78B81" w14:textId="77777777" w:rsidR="003D4E43" w:rsidRPr="009854C0" w:rsidRDefault="003D4E43" w:rsidP="003D4E43">
      <w:pPr>
        <w:tabs>
          <w:tab w:val="left" w:pos="284"/>
        </w:tabs>
        <w:spacing w:after="480"/>
        <w:rPr>
          <w:rFonts w:ascii="Cambria" w:hAnsi="Cambria"/>
          <w:sz w:val="22"/>
        </w:rPr>
      </w:pPr>
      <w:r>
        <w:rPr>
          <w:noProof/>
          <w:lang w:val="en-GB" w:eastAsia="en-GB"/>
        </w:rPr>
        <mc:AlternateContent>
          <mc:Choice Requires="wps">
            <w:drawing>
              <wp:inline distT="0" distB="0" distL="0" distR="0" wp14:anchorId="406FB738" wp14:editId="18D4B3CA">
                <wp:extent cx="252095" cy="252095"/>
                <wp:effectExtent l="0" t="0" r="0" b="0"/>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2095" cy="25209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D0A9A58" w14:textId="77777777" w:rsidR="003D4E43" w:rsidRPr="00BE2A26" w:rsidRDefault="003D4E43" w:rsidP="003D4E43">
                            <w:pPr>
                              <w:spacing w:after="0"/>
                              <w:rPr>
                                <w:rFonts w:ascii="Wingdings 3" w:hAnsi="Wingdings 3"/>
                              </w:rPr>
                            </w:pPr>
                            <w:r w:rsidRPr="00BE2A26">
                              <w:rPr>
                                <w:rFonts w:ascii="SimSun" w:eastAsia="SimSun" w:hAnsi="SimSun" w:cs="Arial" w:hint="eastAsia"/>
                                <w:sz w:val="40"/>
                              </w:rPr>
                              <w:t>▼</w:t>
                            </w:r>
                          </w:p>
                        </w:txbxContent>
                      </wps:txbx>
                      <wps:bodyPr rot="0" vert="horz" wrap="square" lIns="0" tIns="0" rIns="0" bIns="0" anchor="t" anchorCtr="0" upright="1">
                        <a:noAutofit/>
                      </wps:bodyPr>
                    </wps:wsp>
                  </a:graphicData>
                </a:graphic>
              </wp:inline>
            </w:drawing>
          </mc:Choice>
          <mc:Fallback>
            <w:pict>
              <v:shapetype w14:anchorId="406FB738" id="_x0000_t202" coordsize="21600,21600" o:spt="202" path="m,l,21600r21600,l21600,xe">
                <v:stroke joinstyle="miter"/>
                <v:path gradientshapeok="t" o:connecttype="rect"/>
              </v:shapetype>
              <v:shape id="Text Box 2" o:spid="_x0000_s1026" type="#_x0000_t202" style="width:19.85pt;height:19.8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" stroked="f">
                <v:textbox inset="0,0,0,0">
                  <w:txbxContent>
                    <w:p w14:paraId="3D0A9A58" w14:textId="77777777" w:rsidR="003D4E43" w:rsidRPr="00BE2A26" w:rsidRDefault="003D4E43" w:rsidP="003D4E43">
                      <w:pPr>
                        <w:spacing w:after="0"/>
                        <w:rPr>
                          <w:rFonts w:ascii="Wingdings 3" w:hAnsi="Wingdings 3"/>
                        </w:rPr>
                      </w:pPr>
                      <w:r w:rsidRPr="00BE2A26">
                        <w:rPr>
                          <w:rFonts w:ascii="SimSun" w:eastAsia="SimSun" w:hAnsi="SimSun" w:cs="Arial" w:hint="eastAsia"/>
                          <w:sz w:val="40"/>
                        </w:rPr>
                        <w:t>▼</w:t>
                      </w:r>
                    </w:p>
                  </w:txbxContent>
                </v:textbox>
                <w10:anchorlock/>
              </v:shape>
            </w:pict>
          </mc:Fallback>
        </mc:AlternateContent>
      </w:r>
      <w:r w:rsidRPr="009854C0">
        <w:rPr>
          <w:rFonts w:ascii="Cambria" w:hAnsi="Cambria"/>
          <w:sz w:val="22"/>
        </w:rPr>
        <w:t xml:space="preserve">This medicinal product is subject to additional monitoring in Australia. This will allow quick identification of new safety information. Healthcare professionals are asked to report any suspected adverse events at </w:t>
      </w:r>
      <w:hyperlink r:id="rId11" w:history="1">
        <w:r w:rsidRPr="009854C0">
          <w:rPr>
            <w:rStyle w:val="Hyperlink"/>
            <w:rFonts w:ascii="Cambria" w:hAnsi="Cambria"/>
            <w:sz w:val="22"/>
          </w:rPr>
          <w:t>www.tga.gov.au/reporting-problems</w:t>
        </w:r>
      </w:hyperlink>
      <w:r w:rsidRPr="009854C0">
        <w:rPr>
          <w:rFonts w:ascii="Cambria" w:hAnsi="Cambria"/>
          <w:sz w:val="22"/>
        </w:rPr>
        <w:t>.</w:t>
      </w:r>
    </w:p>
    <w:p w14:paraId="3344E41F" w14:textId="6957BB5C" w:rsidR="004E3E69" w:rsidRDefault="00DC608B">
      <w:pPr>
        <w:rPr>
          <w:b/>
        </w:rPr>
      </w:pPr>
      <w:r w:rsidRPr="003376BE">
        <w:rPr>
          <w:b/>
        </w:rPr>
        <w:t xml:space="preserve">AUSTRALIAN PRODUCT INFORMATION </w:t>
      </w:r>
      <w:r w:rsidR="003376BE" w:rsidRPr="003376BE">
        <w:rPr>
          <w:b/>
        </w:rPr>
        <w:t>–</w:t>
      </w:r>
      <w:r w:rsidRPr="003376BE">
        <w:rPr>
          <w:b/>
        </w:rPr>
        <w:t xml:space="preserve"> </w:t>
      </w:r>
      <w:proofErr w:type="spellStart"/>
      <w:r w:rsidR="004965D0">
        <w:rPr>
          <w:b/>
        </w:rPr>
        <w:t>Ledaga</w:t>
      </w:r>
      <w:proofErr w:type="spellEnd"/>
      <w:r w:rsidR="003376BE" w:rsidRPr="008E31F5">
        <w:rPr>
          <w:rFonts w:cs="Times New Roman"/>
          <w:b/>
          <w:vertAlign w:val="superscript"/>
        </w:rPr>
        <w:t>®</w:t>
      </w:r>
      <w:r w:rsidR="003376BE" w:rsidRPr="003376BE">
        <w:rPr>
          <w:b/>
        </w:rPr>
        <w:t xml:space="preserve"> (</w:t>
      </w:r>
      <w:r w:rsidR="00222891" w:rsidRPr="00222891">
        <w:rPr>
          <w:b/>
        </w:rPr>
        <w:t>chlormethine hydrochloride</w:t>
      </w:r>
      <w:r w:rsidR="003376BE" w:rsidRPr="003376BE">
        <w:rPr>
          <w:b/>
        </w:rPr>
        <w:t>)</w:t>
      </w:r>
    </w:p>
    <w:p w14:paraId="38DEC7C1" w14:textId="7BCE568D" w:rsidR="003376BE" w:rsidRPr="005E4ABA" w:rsidRDefault="00C30B75" w:rsidP="005E4ABA">
      <w:pPr>
        <w:pStyle w:val="Heading1"/>
      </w:pPr>
      <w:r>
        <w:t xml:space="preserve">NAME </w:t>
      </w:r>
      <w:r w:rsidRPr="005E4ABA">
        <w:t>OF THE MEDICINE</w:t>
      </w:r>
    </w:p>
    <w:p w14:paraId="35DB4726" w14:textId="18D8DD81" w:rsidR="00C30B75" w:rsidRPr="005E4ABA" w:rsidRDefault="00222891" w:rsidP="005E4ABA">
      <w:r>
        <w:rPr>
          <w:lang w:val="en-GB"/>
        </w:rPr>
        <w:t>Chlormethine hydrochloride</w:t>
      </w:r>
    </w:p>
    <w:p w14:paraId="56BDCDC0" w14:textId="33433BFC" w:rsidR="00C30B75" w:rsidRPr="005E4ABA" w:rsidRDefault="00C30B75" w:rsidP="005E4ABA">
      <w:pPr>
        <w:pStyle w:val="Heading1"/>
      </w:pPr>
      <w:r w:rsidRPr="005E4ABA">
        <w:t>QUALITIATIVE AND QUANTITATIVE COMPOSITION</w:t>
      </w:r>
    </w:p>
    <w:p w14:paraId="5AFF3E7D" w14:textId="2F627009" w:rsidR="00A76405" w:rsidRDefault="00A76405" w:rsidP="00A76405">
      <w:r>
        <w:t>Each gram of gel contains chlormethine hydrochloride equivalent to 160 micrograms of chlormethine.</w:t>
      </w:r>
    </w:p>
    <w:p w14:paraId="35610BDD" w14:textId="38C8A2D7" w:rsidR="00C30B75" w:rsidRPr="005E4ABA" w:rsidRDefault="00A76405" w:rsidP="005E4ABA">
      <w:r w:rsidRPr="00F71FA2">
        <w:t>For</w:t>
      </w:r>
      <w:r w:rsidRPr="002E0AED">
        <w:t xml:space="preserve"> </w:t>
      </w:r>
      <w:r>
        <w:t xml:space="preserve">the </w:t>
      </w:r>
      <w:r w:rsidRPr="002E0AED">
        <w:t>full list of excipients</w:t>
      </w:r>
      <w:r>
        <w:t>,</w:t>
      </w:r>
      <w:r w:rsidRPr="002E0AED">
        <w:t xml:space="preserve"> see section 6.1.</w:t>
      </w:r>
    </w:p>
    <w:p w14:paraId="0E1C785F" w14:textId="2929CC79" w:rsidR="00C30B75" w:rsidRPr="005E4ABA" w:rsidRDefault="00C30B75" w:rsidP="005E4ABA">
      <w:pPr>
        <w:pStyle w:val="Heading1"/>
      </w:pPr>
      <w:r w:rsidRPr="005E4ABA">
        <w:t>PHARMACEUTICAL FORM</w:t>
      </w:r>
    </w:p>
    <w:p w14:paraId="78BF59F3" w14:textId="77777777" w:rsidR="00C10217" w:rsidRDefault="00C10217" w:rsidP="00C10217">
      <w:r>
        <w:t>Gel.</w:t>
      </w:r>
    </w:p>
    <w:p w14:paraId="43960A62" w14:textId="5FEABDE8" w:rsidR="00C30B75" w:rsidRPr="005E4ABA" w:rsidRDefault="00C10217" w:rsidP="00C10217">
      <w:r>
        <w:t>Clear, colourless gel.</w:t>
      </w:r>
    </w:p>
    <w:p w14:paraId="62D20F90" w14:textId="63ED9B81" w:rsidR="00C30B75" w:rsidRDefault="00C30B75" w:rsidP="005E4ABA">
      <w:pPr>
        <w:pStyle w:val="Heading1"/>
      </w:pPr>
      <w:r w:rsidRPr="005E4ABA">
        <w:t>CLINICAL PARTICULARS</w:t>
      </w:r>
    </w:p>
    <w:p w14:paraId="2D738BDD" w14:textId="3565FA17" w:rsidR="00740985" w:rsidRDefault="00A736BB" w:rsidP="00A736BB">
      <w:pPr>
        <w:pStyle w:val="Heading2"/>
        <w:numPr>
          <w:ilvl w:val="1"/>
          <w:numId w:val="6"/>
        </w:numPr>
      </w:pPr>
      <w:r>
        <w:t>THERAPEUTIC INDICATIONS</w:t>
      </w:r>
    </w:p>
    <w:p w14:paraId="7128EE95" w14:textId="02A6AEDA" w:rsidR="00A736BB" w:rsidRDefault="00F03BF9" w:rsidP="00A736BB">
      <w:proofErr w:type="spellStart"/>
      <w:r w:rsidRPr="00F03BF9">
        <w:t>Ledaga</w:t>
      </w:r>
      <w:proofErr w:type="spellEnd"/>
      <w:r w:rsidRPr="00F03BF9">
        <w:t xml:space="preserve"> is indicated for the topical treatment of mycosis fungoides-type cutaneous T-cell lymphoma (MF-type CTCL) in adult patients.</w:t>
      </w:r>
    </w:p>
    <w:p w14:paraId="7944AC9B" w14:textId="5C104279" w:rsidR="00A736BB" w:rsidRDefault="00A736BB" w:rsidP="00A736BB">
      <w:pPr>
        <w:pStyle w:val="Heading2"/>
        <w:numPr>
          <w:ilvl w:val="1"/>
          <w:numId w:val="6"/>
        </w:numPr>
      </w:pPr>
      <w:r>
        <w:t>DOSE AND METHOD OF ADMINISTRATION</w:t>
      </w:r>
    </w:p>
    <w:p w14:paraId="7B4F167D" w14:textId="77777777" w:rsidR="00F03BF9" w:rsidRDefault="00F03BF9" w:rsidP="00F03BF9">
      <w:r>
        <w:t xml:space="preserve">Treatment with </w:t>
      </w:r>
      <w:proofErr w:type="spellStart"/>
      <w:r>
        <w:t>Ledaga</w:t>
      </w:r>
      <w:proofErr w:type="spellEnd"/>
      <w:r>
        <w:t xml:space="preserve"> should be initiated by an appropriately experienced physician.</w:t>
      </w:r>
    </w:p>
    <w:p w14:paraId="241EBAD0" w14:textId="77777777" w:rsidR="00F03BF9" w:rsidRPr="00F03BF9" w:rsidRDefault="00F03BF9" w:rsidP="00F03BF9">
      <w:pPr>
        <w:rPr>
          <w:b/>
          <w:bCs/>
        </w:rPr>
      </w:pPr>
      <w:r w:rsidRPr="00F03BF9">
        <w:rPr>
          <w:b/>
          <w:bCs/>
        </w:rPr>
        <w:t xml:space="preserve">Posology </w:t>
      </w:r>
    </w:p>
    <w:p w14:paraId="49F18BB6" w14:textId="77777777" w:rsidR="00F03BF9" w:rsidRDefault="00F03BF9" w:rsidP="00F03BF9">
      <w:r>
        <w:t xml:space="preserve">A thin film of </w:t>
      </w:r>
      <w:proofErr w:type="spellStart"/>
      <w:r>
        <w:t>Ledaga</w:t>
      </w:r>
      <w:proofErr w:type="spellEnd"/>
      <w:r>
        <w:t xml:space="preserve"> should be applied once daily to affected areas of the skin.</w:t>
      </w:r>
    </w:p>
    <w:p w14:paraId="5289B044" w14:textId="77777777" w:rsidR="00F03BF9" w:rsidRDefault="00F03BF9" w:rsidP="00F03BF9">
      <w:r>
        <w:t xml:space="preserve">Treatment with </w:t>
      </w:r>
      <w:proofErr w:type="spellStart"/>
      <w:r>
        <w:t>Ledaga</w:t>
      </w:r>
      <w:proofErr w:type="spellEnd"/>
      <w:r>
        <w:t xml:space="preserve"> should be stopped for any grade of skin ulceration or blistering, or moderately severe or severe dermatitis (e.g., marked skin redness with oedema). Upon improvement, treatment with </w:t>
      </w:r>
      <w:proofErr w:type="spellStart"/>
      <w:r>
        <w:t>Ledaga</w:t>
      </w:r>
      <w:proofErr w:type="spellEnd"/>
      <w:r>
        <w:t xml:space="preserve"> can be restarted at a reduced frequency of once every 3 days. If reintroduction of treatment is tolerated for at least 1 week, the frequency of application can be increased to every other day for at least 1 week and then to once-daily application if tolerated.</w:t>
      </w:r>
    </w:p>
    <w:p w14:paraId="073BF0CE" w14:textId="77777777" w:rsidR="00F03BF9" w:rsidRPr="00F03BF9" w:rsidRDefault="00F03BF9" w:rsidP="00F03BF9">
      <w:pPr>
        <w:rPr>
          <w:i/>
          <w:iCs/>
        </w:rPr>
      </w:pPr>
      <w:r w:rsidRPr="00F03BF9">
        <w:rPr>
          <w:i/>
          <w:iCs/>
        </w:rPr>
        <w:t xml:space="preserve">Elderly </w:t>
      </w:r>
    </w:p>
    <w:p w14:paraId="2191C8FC" w14:textId="77777777" w:rsidR="00F03BF9" w:rsidRDefault="00F03BF9" w:rsidP="00F03BF9">
      <w:r>
        <w:t xml:space="preserve">The dosing recommendation for elderly patients </w:t>
      </w:r>
      <w:proofErr w:type="gramStart"/>
      <w:r>
        <w:t>( ≥</w:t>
      </w:r>
      <w:proofErr w:type="gramEnd"/>
      <w:r>
        <w:t xml:space="preserve"> 65 years old) is the same as for younger adult patients (see section 4.8).</w:t>
      </w:r>
    </w:p>
    <w:p w14:paraId="70D81D39" w14:textId="77777777" w:rsidR="00F03BF9" w:rsidRPr="00F03BF9" w:rsidRDefault="00F03BF9" w:rsidP="00F03BF9">
      <w:pPr>
        <w:rPr>
          <w:i/>
          <w:iCs/>
        </w:rPr>
      </w:pPr>
      <w:r w:rsidRPr="00F03BF9">
        <w:rPr>
          <w:i/>
          <w:iCs/>
        </w:rPr>
        <w:t xml:space="preserve">Paediatric population </w:t>
      </w:r>
    </w:p>
    <w:p w14:paraId="2DE5FDF5" w14:textId="77777777" w:rsidR="00F03BF9" w:rsidRDefault="00F03BF9" w:rsidP="00F03BF9">
      <w:r>
        <w:lastRenderedPageBreak/>
        <w:t xml:space="preserve">The safety and efficacy of </w:t>
      </w:r>
      <w:proofErr w:type="spellStart"/>
      <w:r>
        <w:t>Ledaga</w:t>
      </w:r>
      <w:proofErr w:type="spellEnd"/>
      <w:r>
        <w:t xml:space="preserve"> in children aged 0 to 18 years have not been established. No data are available.</w:t>
      </w:r>
    </w:p>
    <w:p w14:paraId="1103D6AE" w14:textId="77777777" w:rsidR="00A031DB" w:rsidRDefault="00A031DB" w:rsidP="00F03BF9">
      <w:pPr>
        <w:rPr>
          <w:b/>
          <w:bCs/>
        </w:rPr>
      </w:pPr>
    </w:p>
    <w:p w14:paraId="6B4C695B" w14:textId="051BA7DF" w:rsidR="00F03BF9" w:rsidRPr="00F03BF9" w:rsidRDefault="00F03BF9" w:rsidP="00F03BF9">
      <w:pPr>
        <w:rPr>
          <w:b/>
          <w:bCs/>
        </w:rPr>
      </w:pPr>
      <w:r w:rsidRPr="00F03BF9">
        <w:rPr>
          <w:b/>
          <w:bCs/>
        </w:rPr>
        <w:t xml:space="preserve">Method of administration </w:t>
      </w:r>
    </w:p>
    <w:p w14:paraId="6D72C197" w14:textId="77777777" w:rsidR="00F03BF9" w:rsidRDefault="00F03BF9" w:rsidP="00F03BF9">
      <w:proofErr w:type="spellStart"/>
      <w:r>
        <w:t>Ledaga</w:t>
      </w:r>
      <w:proofErr w:type="spellEnd"/>
      <w:r>
        <w:t xml:space="preserve"> is for topical application to the skin.</w:t>
      </w:r>
    </w:p>
    <w:p w14:paraId="6679AFAB" w14:textId="77777777" w:rsidR="00F03BF9" w:rsidRDefault="00F03BF9" w:rsidP="00F03BF9">
      <w:r>
        <w:t xml:space="preserve">The following instructions should be followed by patients or caregivers when applying </w:t>
      </w:r>
      <w:proofErr w:type="spellStart"/>
      <w:r>
        <w:t>Ledaga</w:t>
      </w:r>
      <w:proofErr w:type="spellEnd"/>
      <w:r>
        <w:t>:</w:t>
      </w:r>
    </w:p>
    <w:p w14:paraId="65553006" w14:textId="3BDA562E" w:rsidR="00F03BF9" w:rsidRDefault="00F03BF9" w:rsidP="00F03BF9">
      <w:pPr>
        <w:pStyle w:val="ListParagraph"/>
        <w:numPr>
          <w:ilvl w:val="0"/>
          <w:numId w:val="10"/>
        </w:numPr>
      </w:pPr>
      <w:r>
        <w:t xml:space="preserve">Patients must wash hands thoroughly with soap and water immediately after handling or applying </w:t>
      </w:r>
      <w:proofErr w:type="spellStart"/>
      <w:r>
        <w:t>Ledaga</w:t>
      </w:r>
      <w:proofErr w:type="spellEnd"/>
      <w:r>
        <w:t xml:space="preserve">. Patients should apply </w:t>
      </w:r>
      <w:proofErr w:type="spellStart"/>
      <w:r>
        <w:t>Ledaga</w:t>
      </w:r>
      <w:proofErr w:type="spellEnd"/>
      <w:r>
        <w:t xml:space="preserve"> to affected areas of the skin. In case of </w:t>
      </w:r>
      <w:proofErr w:type="spellStart"/>
      <w:r>
        <w:t>Ledaga</w:t>
      </w:r>
      <w:proofErr w:type="spellEnd"/>
      <w:r>
        <w:t xml:space="preserve"> exposure to non-affected areas of the skin, patients should wash the exposed area with soap and water. </w:t>
      </w:r>
    </w:p>
    <w:p w14:paraId="10204E85" w14:textId="4228F5F5" w:rsidR="00F03BF9" w:rsidRDefault="00F03BF9" w:rsidP="00F03BF9">
      <w:pPr>
        <w:pStyle w:val="ListParagraph"/>
        <w:numPr>
          <w:ilvl w:val="0"/>
          <w:numId w:val="10"/>
        </w:numPr>
      </w:pPr>
      <w:r>
        <w:t xml:space="preserve">Caregivers must wear disposable nitrile gloves when applying </w:t>
      </w:r>
      <w:proofErr w:type="spellStart"/>
      <w:r>
        <w:t>Ledaga</w:t>
      </w:r>
      <w:proofErr w:type="spellEnd"/>
      <w:r>
        <w:t xml:space="preserve"> to patients. Caregivers should remove gloves carefully (turning them inside out during the removal to avoid contact with </w:t>
      </w:r>
      <w:proofErr w:type="spellStart"/>
      <w:r>
        <w:t>Ledaga</w:t>
      </w:r>
      <w:proofErr w:type="spellEnd"/>
      <w:r>
        <w:t xml:space="preserve">) and wash hands thoroughly with soap and water after removal of gloves. If there is accidental skin exposure to </w:t>
      </w:r>
      <w:proofErr w:type="spellStart"/>
      <w:r>
        <w:t>Ledaga</w:t>
      </w:r>
      <w:proofErr w:type="spellEnd"/>
      <w:r>
        <w:t>, caregivers must immediately wash exposed areas thoroughly with soap and water for at least 15 minutes. Remove and wash contaminated clothing.</w:t>
      </w:r>
    </w:p>
    <w:p w14:paraId="4270ECDA" w14:textId="38708A47" w:rsidR="00F03BF9" w:rsidRDefault="00F03BF9" w:rsidP="00F03BF9">
      <w:pPr>
        <w:pStyle w:val="ListParagraph"/>
        <w:numPr>
          <w:ilvl w:val="0"/>
          <w:numId w:val="10"/>
        </w:numPr>
      </w:pPr>
      <w:r>
        <w:t xml:space="preserve">The opening of the tube is covered with a foil safety seal. The cap should be used to puncture the seal. The tube should not be </w:t>
      </w:r>
      <w:proofErr w:type="gramStart"/>
      <w:r>
        <w:t>used</w:t>
      </w:r>
      <w:proofErr w:type="gramEnd"/>
      <w:r>
        <w:t xml:space="preserve"> and the pharmacist should be contacted if the seal is missing, punctured, or lifted.</w:t>
      </w:r>
    </w:p>
    <w:p w14:paraId="013B4B4E" w14:textId="50758A34" w:rsidR="00F03BF9" w:rsidRPr="008173D0" w:rsidRDefault="00F03BF9" w:rsidP="00F03BF9">
      <w:pPr>
        <w:pStyle w:val="ListParagraph"/>
        <w:numPr>
          <w:ilvl w:val="0"/>
          <w:numId w:val="10"/>
        </w:numPr>
      </w:pPr>
      <w:proofErr w:type="spellStart"/>
      <w:r w:rsidRPr="008173D0">
        <w:t>Ledaga</w:t>
      </w:r>
      <w:proofErr w:type="spellEnd"/>
      <w:r w:rsidRPr="008173D0">
        <w:t xml:space="preserve"> should be applied immediately or within 30 minutes after removal from the refrigerator. The tube should be returned to the refrigerator immediately after each use.</w:t>
      </w:r>
      <w:r>
        <w:t xml:space="preserve"> With clean hands, the tube should be placed back into the original box </w:t>
      </w:r>
      <w:r w:rsidRPr="008173D0">
        <w:t>and the box should be placed in the supplied transparent, sealable, plastic bag for storage in the refrigerator.</w:t>
      </w:r>
    </w:p>
    <w:p w14:paraId="5AC49639" w14:textId="4843C083" w:rsidR="00F03BF9" w:rsidRDefault="00F03BF9" w:rsidP="00F03BF9">
      <w:pPr>
        <w:pStyle w:val="ListParagraph"/>
        <w:numPr>
          <w:ilvl w:val="0"/>
          <w:numId w:val="10"/>
        </w:numPr>
      </w:pPr>
      <w:proofErr w:type="spellStart"/>
      <w:r>
        <w:t>Ledaga</w:t>
      </w:r>
      <w:proofErr w:type="spellEnd"/>
      <w:r>
        <w:t xml:space="preserve"> should be applied to completely dry skin at least 4 hours before or 30 minutes after showering or washing. The patient should allow treated areas to dry for 5 to 10 minutes after application before covering with clothing. Occlusive (air- or water-tight) dressings should not be used on areas of the skin where </w:t>
      </w:r>
      <w:proofErr w:type="spellStart"/>
      <w:r>
        <w:t>Ledaga</w:t>
      </w:r>
      <w:proofErr w:type="spellEnd"/>
      <w:r>
        <w:t xml:space="preserve"> was applied. </w:t>
      </w:r>
    </w:p>
    <w:p w14:paraId="42C3ECF6" w14:textId="6A3D3056" w:rsidR="00F03BF9" w:rsidRDefault="00F03BF9" w:rsidP="00F03BF9">
      <w:pPr>
        <w:pStyle w:val="ListParagraph"/>
        <w:numPr>
          <w:ilvl w:val="0"/>
          <w:numId w:val="10"/>
        </w:numPr>
      </w:pPr>
      <w:r>
        <w:t xml:space="preserve">Emollients (moisturisers) or other topical products may be applied to the treated areas 2 hours before or 2 hours after application of </w:t>
      </w:r>
      <w:proofErr w:type="spellStart"/>
      <w:r>
        <w:t>Ledaga</w:t>
      </w:r>
      <w:proofErr w:type="spellEnd"/>
      <w:r>
        <w:t>.</w:t>
      </w:r>
    </w:p>
    <w:p w14:paraId="76D2F172" w14:textId="48744FC6" w:rsidR="00EA6A6B" w:rsidRDefault="00F03BF9" w:rsidP="00F03BF9">
      <w:pPr>
        <w:pStyle w:val="ListParagraph"/>
        <w:numPr>
          <w:ilvl w:val="0"/>
          <w:numId w:val="10"/>
        </w:numPr>
      </w:pPr>
      <w:r>
        <w:t xml:space="preserve">Fire, flame, and smoking must be avoided until </w:t>
      </w:r>
      <w:proofErr w:type="spellStart"/>
      <w:r>
        <w:t>Ledaga</w:t>
      </w:r>
      <w:proofErr w:type="spellEnd"/>
      <w:r>
        <w:t xml:space="preserve"> has dried.</w:t>
      </w:r>
    </w:p>
    <w:p w14:paraId="442F2863" w14:textId="1C55F393" w:rsidR="00EA6A6B" w:rsidRPr="00EA6A6B" w:rsidRDefault="00EA6A6B" w:rsidP="00EA6A6B">
      <w:pPr>
        <w:pStyle w:val="Heading2"/>
        <w:numPr>
          <w:ilvl w:val="1"/>
          <w:numId w:val="6"/>
        </w:numPr>
      </w:pPr>
      <w:r>
        <w:t>CONTRAINDICATIONS</w:t>
      </w:r>
    </w:p>
    <w:p w14:paraId="0E52D4B1" w14:textId="288ADC7A" w:rsidR="00A736BB" w:rsidRDefault="00593ED9" w:rsidP="00A736BB">
      <w:r w:rsidRPr="00593ED9">
        <w:t>Hypersensitivity to chlormethine or to any of the excipients listed in section 6.1.</w:t>
      </w:r>
    </w:p>
    <w:p w14:paraId="5DD13CED" w14:textId="0E6EC0E7" w:rsidR="00A736BB" w:rsidRDefault="00A736BB" w:rsidP="00EA6A6B">
      <w:pPr>
        <w:pStyle w:val="Heading2"/>
        <w:numPr>
          <w:ilvl w:val="1"/>
          <w:numId w:val="6"/>
        </w:numPr>
      </w:pPr>
      <w:r>
        <w:t>SPECIAL WARNINGS AND PRECAUTIONS FOR USE</w:t>
      </w:r>
    </w:p>
    <w:p w14:paraId="5425B7B5" w14:textId="77777777" w:rsidR="00593ED9" w:rsidRPr="003D549B" w:rsidRDefault="00593ED9" w:rsidP="00593ED9">
      <w:pPr>
        <w:rPr>
          <w:rFonts w:eastAsiaTheme="majorEastAsia" w:cstheme="majorBidi"/>
          <w:b/>
          <w:szCs w:val="24"/>
        </w:rPr>
      </w:pPr>
      <w:r w:rsidRPr="003D549B">
        <w:rPr>
          <w:rFonts w:eastAsiaTheme="majorEastAsia" w:cstheme="majorBidi"/>
          <w:b/>
          <w:szCs w:val="24"/>
        </w:rPr>
        <w:t xml:space="preserve">Mucosal or eye exposure </w:t>
      </w:r>
    </w:p>
    <w:p w14:paraId="460584DA" w14:textId="77777777" w:rsidR="00593ED9" w:rsidRPr="00593ED9" w:rsidRDefault="00593ED9" w:rsidP="00593ED9">
      <w:pPr>
        <w:rPr>
          <w:rFonts w:eastAsiaTheme="majorEastAsia" w:cstheme="majorBidi"/>
          <w:bCs/>
          <w:szCs w:val="24"/>
        </w:rPr>
      </w:pPr>
      <w:r w:rsidRPr="00593ED9">
        <w:rPr>
          <w:rFonts w:eastAsiaTheme="majorEastAsia" w:cstheme="majorBidi"/>
          <w:bCs/>
          <w:szCs w:val="24"/>
        </w:rPr>
        <w:t>Contact with mucous membranes, especially those of the eyes, must be avoided. Exposure of mucous membranes such as the oral mucosa or nasal mucosa causes pain, redness, and ulceration, and these may be severe. Exposure of the eyes to chlormethine causes pain, burns, inflammation, photophobia, and blurred vision. Blindness and severe irreversible anterior eye injury may occur.</w:t>
      </w:r>
    </w:p>
    <w:p w14:paraId="5CC680D3" w14:textId="77777777" w:rsidR="00593ED9" w:rsidRPr="00593ED9" w:rsidRDefault="00593ED9" w:rsidP="00593ED9">
      <w:pPr>
        <w:rPr>
          <w:rFonts w:eastAsiaTheme="majorEastAsia" w:cstheme="majorBidi"/>
          <w:bCs/>
          <w:szCs w:val="24"/>
        </w:rPr>
      </w:pPr>
      <w:r w:rsidRPr="00593ED9">
        <w:rPr>
          <w:rFonts w:eastAsiaTheme="majorEastAsia" w:cstheme="majorBidi"/>
          <w:bCs/>
          <w:szCs w:val="24"/>
        </w:rPr>
        <w:lastRenderedPageBreak/>
        <w:t>Patients should be advised that if any mucous membrane exposure occurs:</w:t>
      </w:r>
    </w:p>
    <w:p w14:paraId="4649127E" w14:textId="05CEA45E" w:rsidR="00593ED9" w:rsidRPr="00593ED9" w:rsidRDefault="00593ED9" w:rsidP="00593ED9">
      <w:pPr>
        <w:pStyle w:val="ListParagraph"/>
        <w:numPr>
          <w:ilvl w:val="0"/>
          <w:numId w:val="11"/>
        </w:numPr>
        <w:rPr>
          <w:rFonts w:eastAsiaTheme="majorEastAsia" w:cstheme="majorBidi"/>
          <w:bCs/>
          <w:szCs w:val="24"/>
        </w:rPr>
      </w:pPr>
      <w:r w:rsidRPr="00593ED9">
        <w:rPr>
          <w:rFonts w:eastAsiaTheme="majorEastAsia" w:cstheme="majorBidi"/>
          <w:bCs/>
          <w:szCs w:val="24"/>
        </w:rPr>
        <w:t>irrigation should be performed immediately for at least 15 minutes with copious amounts of water (or sodium chloride 9 mg/ml (0.9%) solution for injection, or a balanced salt ophthalmic irrigating solution may be used if there is eye exposure), and</w:t>
      </w:r>
    </w:p>
    <w:p w14:paraId="7C573E91" w14:textId="40367FB9" w:rsidR="00593ED9" w:rsidRPr="00593ED9" w:rsidRDefault="00593ED9" w:rsidP="00593ED9">
      <w:pPr>
        <w:pStyle w:val="ListParagraph"/>
        <w:numPr>
          <w:ilvl w:val="0"/>
          <w:numId w:val="11"/>
        </w:numPr>
        <w:rPr>
          <w:rFonts w:eastAsiaTheme="majorEastAsia" w:cstheme="majorBidi"/>
          <w:bCs/>
          <w:szCs w:val="24"/>
        </w:rPr>
      </w:pPr>
      <w:r w:rsidRPr="00593ED9">
        <w:rPr>
          <w:rFonts w:eastAsiaTheme="majorEastAsia" w:cstheme="majorBidi"/>
          <w:bCs/>
          <w:szCs w:val="24"/>
        </w:rPr>
        <w:t>medical care should be obtained immediately (including ophthalmological consultation if there is eye exposure).</w:t>
      </w:r>
    </w:p>
    <w:p w14:paraId="3A0835DD" w14:textId="77777777" w:rsidR="00593ED9" w:rsidRPr="003D549B" w:rsidRDefault="00593ED9" w:rsidP="00593ED9">
      <w:pPr>
        <w:rPr>
          <w:rFonts w:eastAsiaTheme="majorEastAsia" w:cstheme="majorBidi"/>
          <w:b/>
          <w:szCs w:val="24"/>
        </w:rPr>
      </w:pPr>
      <w:r w:rsidRPr="003D549B">
        <w:rPr>
          <w:rFonts w:eastAsiaTheme="majorEastAsia" w:cstheme="majorBidi"/>
          <w:b/>
          <w:szCs w:val="24"/>
        </w:rPr>
        <w:t xml:space="preserve">Local skin reactions </w:t>
      </w:r>
    </w:p>
    <w:p w14:paraId="68073C6B" w14:textId="6C2B6A97" w:rsidR="00593ED9" w:rsidRPr="00593ED9" w:rsidRDefault="00593ED9" w:rsidP="00593ED9">
      <w:pPr>
        <w:rPr>
          <w:rFonts w:eastAsiaTheme="majorEastAsia" w:cstheme="majorBidi"/>
          <w:bCs/>
          <w:szCs w:val="24"/>
        </w:rPr>
      </w:pPr>
      <w:r w:rsidRPr="00593ED9">
        <w:rPr>
          <w:rFonts w:eastAsiaTheme="majorEastAsia" w:cstheme="majorBidi"/>
          <w:bCs/>
          <w:szCs w:val="24"/>
        </w:rPr>
        <w:t>Patients should be assessed during treatment for skin reactions such as dermatitis (e.g., redness, swelling, inflammation), pruritus, blisters, ulceration, and skin infections. The face, genitalia, anus, and intertriginous skin are at increased risk of skin reactions to topical chlormethine.</w:t>
      </w:r>
      <w:r w:rsidR="0093516C">
        <w:rPr>
          <w:rFonts w:eastAsiaTheme="majorEastAsia" w:cstheme="majorBidi"/>
          <w:bCs/>
          <w:szCs w:val="24"/>
        </w:rPr>
        <w:t xml:space="preserve"> </w:t>
      </w:r>
      <w:r w:rsidR="0093516C" w:rsidRPr="0093516C">
        <w:rPr>
          <w:rFonts w:eastAsiaTheme="majorEastAsia" w:cstheme="majorBidi"/>
          <w:bCs/>
          <w:szCs w:val="24"/>
        </w:rPr>
        <w:t xml:space="preserve">Therefore, administration of </w:t>
      </w:r>
      <w:proofErr w:type="spellStart"/>
      <w:r w:rsidR="0093516C" w:rsidRPr="0093516C">
        <w:rPr>
          <w:rFonts w:eastAsiaTheme="majorEastAsia" w:cstheme="majorBidi"/>
          <w:bCs/>
          <w:szCs w:val="24"/>
        </w:rPr>
        <w:t>Ledaga</w:t>
      </w:r>
      <w:proofErr w:type="spellEnd"/>
      <w:r w:rsidR="0093516C" w:rsidRPr="0093516C">
        <w:rPr>
          <w:rFonts w:eastAsiaTheme="majorEastAsia" w:cstheme="majorBidi"/>
          <w:bCs/>
          <w:szCs w:val="24"/>
        </w:rPr>
        <w:t xml:space="preserve"> in these areas should be avoided.</w:t>
      </w:r>
    </w:p>
    <w:p w14:paraId="78A5CC9A" w14:textId="77777777" w:rsidR="00593ED9" w:rsidRPr="00593ED9" w:rsidRDefault="00593ED9" w:rsidP="00593ED9">
      <w:pPr>
        <w:rPr>
          <w:rFonts w:eastAsiaTheme="majorEastAsia" w:cstheme="majorBidi"/>
          <w:bCs/>
          <w:szCs w:val="24"/>
        </w:rPr>
      </w:pPr>
      <w:r w:rsidRPr="00593ED9">
        <w:rPr>
          <w:rFonts w:eastAsiaTheme="majorEastAsia" w:cstheme="majorBidi"/>
          <w:bCs/>
          <w:szCs w:val="24"/>
        </w:rPr>
        <w:t>For dose modification information in case of skin reactions, see section 4.2.</w:t>
      </w:r>
    </w:p>
    <w:p w14:paraId="0BA73A31" w14:textId="77777777" w:rsidR="00593ED9" w:rsidRPr="003D549B" w:rsidRDefault="00593ED9" w:rsidP="00593ED9">
      <w:pPr>
        <w:rPr>
          <w:rFonts w:eastAsiaTheme="majorEastAsia" w:cstheme="majorBidi"/>
          <w:b/>
          <w:szCs w:val="24"/>
        </w:rPr>
      </w:pPr>
      <w:r w:rsidRPr="003D549B">
        <w:rPr>
          <w:rFonts w:eastAsiaTheme="majorEastAsia" w:cstheme="majorBidi"/>
          <w:b/>
          <w:szCs w:val="24"/>
        </w:rPr>
        <w:t xml:space="preserve">Hypersensitivity </w:t>
      </w:r>
    </w:p>
    <w:p w14:paraId="29702239" w14:textId="77777777" w:rsidR="00593ED9" w:rsidRPr="00593ED9" w:rsidRDefault="00593ED9" w:rsidP="00593ED9">
      <w:pPr>
        <w:rPr>
          <w:rFonts w:eastAsiaTheme="majorEastAsia" w:cstheme="majorBidi"/>
          <w:bCs/>
          <w:szCs w:val="24"/>
        </w:rPr>
      </w:pPr>
      <w:r w:rsidRPr="00593ED9">
        <w:rPr>
          <w:rFonts w:eastAsiaTheme="majorEastAsia" w:cstheme="majorBidi"/>
          <w:bCs/>
          <w:szCs w:val="24"/>
        </w:rPr>
        <w:t>Hypersensitivity reactions, including isolated cases of anaphylaxis, have been reported in the literature after the use of topical formulations of chlormethine (see sections 4.3 and 4.8).</w:t>
      </w:r>
    </w:p>
    <w:p w14:paraId="4DDDB5EE" w14:textId="77777777" w:rsidR="00593ED9" w:rsidRPr="003D549B" w:rsidRDefault="00593ED9" w:rsidP="00593ED9">
      <w:pPr>
        <w:rPr>
          <w:rFonts w:eastAsiaTheme="majorEastAsia" w:cstheme="majorBidi"/>
          <w:b/>
          <w:szCs w:val="24"/>
        </w:rPr>
      </w:pPr>
      <w:r w:rsidRPr="003D549B">
        <w:rPr>
          <w:rFonts w:eastAsiaTheme="majorEastAsia" w:cstheme="majorBidi"/>
          <w:b/>
          <w:szCs w:val="24"/>
        </w:rPr>
        <w:t xml:space="preserve">Skin cancer </w:t>
      </w:r>
    </w:p>
    <w:p w14:paraId="4D994167" w14:textId="77777777" w:rsidR="00593ED9" w:rsidRPr="00593ED9" w:rsidRDefault="00593ED9" w:rsidP="00593ED9">
      <w:pPr>
        <w:rPr>
          <w:rFonts w:eastAsiaTheme="majorEastAsia" w:cstheme="majorBidi"/>
          <w:bCs/>
          <w:szCs w:val="24"/>
        </w:rPr>
      </w:pPr>
      <w:r w:rsidRPr="00593ED9">
        <w:rPr>
          <w:rFonts w:eastAsiaTheme="majorEastAsia" w:cstheme="majorBidi"/>
          <w:bCs/>
          <w:szCs w:val="24"/>
        </w:rPr>
        <w:t>Skin-directed therapies for MF-type CTCL have been associated with secondary skin cancers, although the specific contribution of chlormethine has not been established. Patients should be monitored for development of skin cancers during and after discontinuation of treatment with chlormethine.</w:t>
      </w:r>
    </w:p>
    <w:p w14:paraId="0B6EF35F" w14:textId="77777777" w:rsidR="00593ED9" w:rsidRPr="003D549B" w:rsidRDefault="00593ED9" w:rsidP="00593ED9">
      <w:pPr>
        <w:rPr>
          <w:rFonts w:eastAsiaTheme="majorEastAsia" w:cstheme="majorBidi"/>
          <w:b/>
          <w:szCs w:val="24"/>
        </w:rPr>
      </w:pPr>
      <w:r w:rsidRPr="003D549B">
        <w:rPr>
          <w:rFonts w:eastAsiaTheme="majorEastAsia" w:cstheme="majorBidi"/>
          <w:b/>
          <w:szCs w:val="24"/>
        </w:rPr>
        <w:t xml:space="preserve">Secondary exposure to </w:t>
      </w:r>
      <w:proofErr w:type="spellStart"/>
      <w:r w:rsidRPr="003D549B">
        <w:rPr>
          <w:rFonts w:eastAsiaTheme="majorEastAsia" w:cstheme="majorBidi"/>
          <w:b/>
          <w:szCs w:val="24"/>
        </w:rPr>
        <w:t>Ledaga</w:t>
      </w:r>
      <w:proofErr w:type="spellEnd"/>
      <w:r w:rsidRPr="003D549B">
        <w:rPr>
          <w:rFonts w:eastAsiaTheme="majorEastAsia" w:cstheme="majorBidi"/>
          <w:b/>
          <w:szCs w:val="24"/>
        </w:rPr>
        <w:t xml:space="preserve"> </w:t>
      </w:r>
    </w:p>
    <w:p w14:paraId="57EAB6D3" w14:textId="43116CA2" w:rsidR="00D646D7" w:rsidRDefault="00593ED9" w:rsidP="00593ED9">
      <w:pPr>
        <w:rPr>
          <w:rFonts w:eastAsiaTheme="majorEastAsia" w:cstheme="majorBidi"/>
          <w:bCs/>
          <w:szCs w:val="24"/>
        </w:rPr>
      </w:pPr>
      <w:r w:rsidRPr="00593ED9">
        <w:rPr>
          <w:rFonts w:eastAsiaTheme="majorEastAsia" w:cstheme="majorBidi"/>
          <w:bCs/>
          <w:szCs w:val="24"/>
        </w:rPr>
        <w:t xml:space="preserve">Direct skin contact with </w:t>
      </w:r>
      <w:proofErr w:type="spellStart"/>
      <w:r w:rsidRPr="00593ED9">
        <w:rPr>
          <w:rFonts w:eastAsiaTheme="majorEastAsia" w:cstheme="majorBidi"/>
          <w:bCs/>
          <w:szCs w:val="24"/>
        </w:rPr>
        <w:t>Ledaga</w:t>
      </w:r>
      <w:proofErr w:type="spellEnd"/>
      <w:r w:rsidRPr="00593ED9">
        <w:rPr>
          <w:rFonts w:eastAsiaTheme="majorEastAsia" w:cstheme="majorBidi"/>
          <w:bCs/>
          <w:szCs w:val="24"/>
        </w:rPr>
        <w:t xml:space="preserve"> should be avoided in individuals other than the patient. </w:t>
      </w:r>
      <w:r w:rsidR="00D646D7" w:rsidRPr="00D646D7">
        <w:rPr>
          <w:rFonts w:eastAsiaTheme="majorEastAsia" w:cstheme="majorBidi"/>
          <w:bCs/>
          <w:szCs w:val="24"/>
        </w:rPr>
        <w:t xml:space="preserve">Direct skin contact with </w:t>
      </w:r>
      <w:proofErr w:type="spellStart"/>
      <w:r w:rsidR="00D646D7" w:rsidRPr="00D646D7">
        <w:rPr>
          <w:rFonts w:eastAsiaTheme="majorEastAsia" w:cstheme="majorBidi"/>
          <w:bCs/>
          <w:szCs w:val="24"/>
        </w:rPr>
        <w:t>Ledaga</w:t>
      </w:r>
      <w:proofErr w:type="spellEnd"/>
      <w:r w:rsidR="00D646D7" w:rsidRPr="00D646D7">
        <w:rPr>
          <w:rFonts w:eastAsiaTheme="majorEastAsia" w:cstheme="majorBidi"/>
          <w:bCs/>
          <w:szCs w:val="24"/>
        </w:rPr>
        <w:t xml:space="preserve"> should also be avoided in non-affected areas </w:t>
      </w:r>
      <w:r w:rsidR="006D109C">
        <w:rPr>
          <w:rFonts w:eastAsiaTheme="majorEastAsia" w:cstheme="majorBidi"/>
          <w:bCs/>
          <w:szCs w:val="24"/>
        </w:rPr>
        <w:t xml:space="preserve">in </w:t>
      </w:r>
      <w:r w:rsidR="00D646D7" w:rsidRPr="00D646D7">
        <w:rPr>
          <w:rFonts w:eastAsiaTheme="majorEastAsia" w:cstheme="majorBidi"/>
          <w:bCs/>
          <w:szCs w:val="24"/>
        </w:rPr>
        <w:t>patients.</w:t>
      </w:r>
    </w:p>
    <w:p w14:paraId="3A7B4D04" w14:textId="4EE590A4" w:rsidR="00593ED9" w:rsidRPr="00593ED9" w:rsidRDefault="00593ED9" w:rsidP="00593ED9">
      <w:pPr>
        <w:rPr>
          <w:rFonts w:eastAsiaTheme="majorEastAsia" w:cstheme="majorBidi"/>
          <w:bCs/>
          <w:szCs w:val="24"/>
        </w:rPr>
      </w:pPr>
      <w:r w:rsidRPr="00593ED9">
        <w:rPr>
          <w:rFonts w:eastAsiaTheme="majorEastAsia" w:cstheme="majorBidi"/>
          <w:bCs/>
          <w:szCs w:val="24"/>
        </w:rPr>
        <w:t>Risks of secondary exposure may include skin reactions, mucosal injury, and skin cancers. Recommended application instructions should be followed to prevent secondary exposure (see section 4.2).</w:t>
      </w:r>
    </w:p>
    <w:p w14:paraId="27467390" w14:textId="77777777" w:rsidR="00593ED9" w:rsidRPr="003D549B" w:rsidRDefault="00593ED9" w:rsidP="00593ED9">
      <w:pPr>
        <w:rPr>
          <w:rFonts w:eastAsiaTheme="majorEastAsia" w:cstheme="majorBidi"/>
          <w:b/>
          <w:szCs w:val="24"/>
        </w:rPr>
      </w:pPr>
      <w:r w:rsidRPr="003D549B">
        <w:rPr>
          <w:rFonts w:eastAsiaTheme="majorEastAsia" w:cstheme="majorBidi"/>
          <w:b/>
          <w:szCs w:val="24"/>
        </w:rPr>
        <w:t xml:space="preserve">Excipients </w:t>
      </w:r>
    </w:p>
    <w:p w14:paraId="2A999AA9" w14:textId="54CC1E5F" w:rsidR="006C7778" w:rsidRPr="00593ED9" w:rsidRDefault="00593ED9" w:rsidP="00593ED9">
      <w:pPr>
        <w:rPr>
          <w:bCs/>
        </w:rPr>
      </w:pPr>
      <w:r w:rsidRPr="00593ED9">
        <w:rPr>
          <w:rFonts w:eastAsiaTheme="majorEastAsia" w:cstheme="majorBidi"/>
          <w:bCs/>
          <w:szCs w:val="24"/>
        </w:rPr>
        <w:t>The medicinal product contains propylene glycol and butylhydroxytoluene, which may cause skin irritation (e.g., contact dermatitis). In addition, butylhydroxytoluene has been reported to cause irritation to the eyes and mucous membranes.</w:t>
      </w:r>
    </w:p>
    <w:p w14:paraId="24ABFC21" w14:textId="77777777" w:rsidR="00813AFE" w:rsidRPr="00813AFE" w:rsidRDefault="00813AFE" w:rsidP="00813AFE">
      <w:pPr>
        <w:pStyle w:val="Heading3"/>
      </w:pPr>
      <w:r w:rsidRPr="00813AFE">
        <w:t>Use in the Elderly</w:t>
      </w:r>
    </w:p>
    <w:p w14:paraId="74F45008" w14:textId="1AC51CAB" w:rsidR="00813AFE" w:rsidRPr="00593ED9" w:rsidRDefault="00813AFE" w:rsidP="00813AFE">
      <w:pPr>
        <w:rPr>
          <w:highlight w:val="yellow"/>
        </w:rPr>
      </w:pPr>
      <w:r>
        <w:t xml:space="preserve">The safety profile observed in elderly patients was consistent with that in the overall patient population. </w:t>
      </w:r>
      <w:r w:rsidR="00B332E7">
        <w:t>No</w:t>
      </w:r>
      <w:r>
        <w:t xml:space="preserve"> dose adjustments are required (see section 4.2). </w:t>
      </w:r>
    </w:p>
    <w:p w14:paraId="5BAF3F23" w14:textId="77777777" w:rsidR="00813AFE" w:rsidRPr="009303F6" w:rsidRDefault="00813AFE" w:rsidP="00813AFE">
      <w:pPr>
        <w:pStyle w:val="Heading3"/>
      </w:pPr>
      <w:r w:rsidRPr="009303F6">
        <w:t>Paediatric Use</w:t>
      </w:r>
    </w:p>
    <w:p w14:paraId="6D1601D8" w14:textId="77777777" w:rsidR="00813AFE" w:rsidRDefault="00813AFE" w:rsidP="00813AFE">
      <w:r>
        <w:lastRenderedPageBreak/>
        <w:t xml:space="preserve">The safety of </w:t>
      </w:r>
      <w:proofErr w:type="spellStart"/>
      <w:r>
        <w:t>Ledaga</w:t>
      </w:r>
      <w:proofErr w:type="spellEnd"/>
      <w:r>
        <w:t xml:space="preserve"> in children aged 0 to 18 years has not been established. No data are available.</w:t>
      </w:r>
    </w:p>
    <w:p w14:paraId="0051BD66" w14:textId="77777777" w:rsidR="00813AFE" w:rsidRDefault="00813AFE" w:rsidP="00813AFE">
      <w:pPr>
        <w:pStyle w:val="Heading3"/>
      </w:pPr>
      <w:r w:rsidRPr="008F6855">
        <w:t>Effects on Laboratory Tests</w:t>
      </w:r>
    </w:p>
    <w:p w14:paraId="05D061F9" w14:textId="3793FEBF" w:rsidR="00C22E18" w:rsidRPr="00C22E18" w:rsidRDefault="00D84792" w:rsidP="00C22E18">
      <w:r w:rsidRPr="00D84792">
        <w:t xml:space="preserve">Clinical laboratory safety data were monitored throughout the two </w:t>
      </w:r>
      <w:r>
        <w:t xml:space="preserve">clinical </w:t>
      </w:r>
      <w:r w:rsidRPr="00D84792">
        <w:t>studies and no trend toward abnormal values were noted</w:t>
      </w:r>
      <w:r w:rsidR="00267EFA">
        <w:t xml:space="preserve"> following topical administration</w:t>
      </w:r>
      <w:r w:rsidR="007878FF">
        <w:t xml:space="preserve">. </w:t>
      </w:r>
    </w:p>
    <w:p w14:paraId="242E22AC" w14:textId="0ABCE183" w:rsidR="00A736BB" w:rsidRDefault="00A736BB" w:rsidP="00EA6A6B">
      <w:pPr>
        <w:pStyle w:val="Heading2"/>
        <w:numPr>
          <w:ilvl w:val="1"/>
          <w:numId w:val="6"/>
        </w:numPr>
      </w:pPr>
      <w:r>
        <w:t>INTERACTIONS WITH OTHER MEDICINES AND OTHER FORMS OF INTERACTIONS</w:t>
      </w:r>
    </w:p>
    <w:p w14:paraId="414FC2B5" w14:textId="503B7423" w:rsidR="00A736BB" w:rsidRDefault="007856F6" w:rsidP="00A736BB">
      <w:r w:rsidRPr="007856F6">
        <w:t>No interaction studies have been performed</w:t>
      </w:r>
      <w:r>
        <w:t>.</w:t>
      </w:r>
    </w:p>
    <w:p w14:paraId="4CDD7DE5" w14:textId="7D29B5FC" w:rsidR="00A736BB" w:rsidRDefault="00A736BB" w:rsidP="00EA6A6B">
      <w:pPr>
        <w:pStyle w:val="Heading2"/>
        <w:numPr>
          <w:ilvl w:val="1"/>
          <w:numId w:val="6"/>
        </w:numPr>
      </w:pPr>
      <w:r>
        <w:t>FERTILITY, PREGNANCY AND LACTATION</w:t>
      </w:r>
    </w:p>
    <w:p w14:paraId="5818CD18" w14:textId="77777777" w:rsidR="007856F6" w:rsidRPr="007856F6" w:rsidRDefault="007856F6" w:rsidP="007856F6">
      <w:proofErr w:type="spellStart"/>
      <w:r w:rsidRPr="007856F6">
        <w:t>Ledaga</w:t>
      </w:r>
      <w:proofErr w:type="spellEnd"/>
      <w:r w:rsidRPr="007856F6">
        <w:t xml:space="preserve"> is not recommended in women of childbearing potential not using contraception.</w:t>
      </w:r>
    </w:p>
    <w:p w14:paraId="44377803" w14:textId="4A80EA95" w:rsidR="00C22E18" w:rsidRPr="00080901" w:rsidRDefault="00D13C8D" w:rsidP="00080901">
      <w:pPr>
        <w:pStyle w:val="Heading3"/>
      </w:pPr>
      <w:r w:rsidRPr="00080901">
        <w:t>Effects on Fertility</w:t>
      </w:r>
    </w:p>
    <w:p w14:paraId="63C9D3FB" w14:textId="3187FFD9" w:rsidR="0094188F" w:rsidRDefault="0094188F" w:rsidP="0094188F">
      <w:r>
        <w:t xml:space="preserve">Female patients of reproductive potential should be advised to use effective contraception during treatment with </w:t>
      </w:r>
      <w:proofErr w:type="spellStart"/>
      <w:r>
        <w:t>L</w:t>
      </w:r>
      <w:r w:rsidR="00331588">
        <w:t>edaga</w:t>
      </w:r>
      <w:proofErr w:type="spellEnd"/>
      <w:r>
        <w:t xml:space="preserve">. A barrier method of contraception should be used to avoid direct exposure of reproductive organs to </w:t>
      </w:r>
      <w:proofErr w:type="spellStart"/>
      <w:r>
        <w:t>L</w:t>
      </w:r>
      <w:r w:rsidR="00331588">
        <w:t>edaga</w:t>
      </w:r>
      <w:proofErr w:type="spellEnd"/>
      <w:r>
        <w:t>.</w:t>
      </w:r>
    </w:p>
    <w:p w14:paraId="26A9B5BD" w14:textId="238BA149" w:rsidR="0094188F" w:rsidRDefault="0094188F" w:rsidP="0094188F">
      <w:r>
        <w:t xml:space="preserve">Males with female partners of reproductive potential should be advised to use effective contraception during treatment with </w:t>
      </w:r>
      <w:proofErr w:type="spellStart"/>
      <w:r>
        <w:t>L</w:t>
      </w:r>
      <w:r w:rsidR="00331588">
        <w:t>edaga</w:t>
      </w:r>
      <w:proofErr w:type="spellEnd"/>
      <w:r>
        <w:t xml:space="preserve">. A barrier method of contraception should be used to avoid direct exposure of reproductive organs to </w:t>
      </w:r>
      <w:proofErr w:type="spellStart"/>
      <w:r>
        <w:t>L</w:t>
      </w:r>
      <w:r w:rsidR="00331588">
        <w:t>edaga</w:t>
      </w:r>
      <w:proofErr w:type="spellEnd"/>
      <w:r>
        <w:t>.</w:t>
      </w:r>
    </w:p>
    <w:p w14:paraId="08D93C04" w14:textId="18870802" w:rsidR="00D13C8D" w:rsidRDefault="00A10DEE" w:rsidP="0094188F">
      <w:r w:rsidRPr="00A10DEE">
        <w:t>Adverse effects on fertility have been observed with chlormethine after systemic administration in animals. Fertility was impaired in male rats with intravenous administration at doses ≥0.25 mg/kg every 2 weeks, and in mice (treated males paired with treated females) with intraperitoneal administration at 0.5 mg/kg/day for 4 days</w:t>
      </w:r>
      <w:r>
        <w:t>.</w:t>
      </w:r>
      <w:r w:rsidR="00A071D5">
        <w:t xml:space="preserve"> </w:t>
      </w:r>
      <w:r w:rsidR="00606E78" w:rsidRPr="002456B7">
        <w:t>The</w:t>
      </w:r>
      <w:r w:rsidR="00606E78" w:rsidRPr="00606E78">
        <w:t xml:space="preserve"> relevance to humans receiving topical chlormethine is unknown.</w:t>
      </w:r>
    </w:p>
    <w:p w14:paraId="0284D8FA" w14:textId="39520503" w:rsidR="00D13C8D" w:rsidRPr="00080901" w:rsidRDefault="0000563A" w:rsidP="00080901">
      <w:pPr>
        <w:pStyle w:val="Heading3"/>
      </w:pPr>
      <w:r w:rsidRPr="00080901">
        <w:t>Use in Pregnancy</w:t>
      </w:r>
      <w:r w:rsidR="007878FF">
        <w:t xml:space="preserve"> (Category </w:t>
      </w:r>
      <w:r w:rsidR="0010757D">
        <w:t>B3</w:t>
      </w:r>
      <w:r w:rsidR="007878FF">
        <w:t>)</w:t>
      </w:r>
    </w:p>
    <w:p w14:paraId="6268C900" w14:textId="16AF8C9B" w:rsidR="006B0AEF" w:rsidRDefault="006B0AEF" w:rsidP="006B0AEF">
      <w:proofErr w:type="spellStart"/>
      <w:r>
        <w:t>L</w:t>
      </w:r>
      <w:r w:rsidR="00331588">
        <w:t>edaga</w:t>
      </w:r>
      <w:proofErr w:type="spellEnd"/>
      <w:r>
        <w:t xml:space="preserve"> is not recommended during pregnancy.</w:t>
      </w:r>
      <w:r w:rsidR="00331588">
        <w:t xml:space="preserve"> </w:t>
      </w:r>
      <w:r>
        <w:t xml:space="preserve">Based on case reports in humans, findings in animal reproduction studies, its mechanism of action, and genotoxicity findings, chlormethine may cause </w:t>
      </w:r>
      <w:proofErr w:type="spellStart"/>
      <w:r>
        <w:t>fetal</w:t>
      </w:r>
      <w:proofErr w:type="spellEnd"/>
      <w:r>
        <w:t xml:space="preserve"> harm. There are case reports of</w:t>
      </w:r>
      <w:r w:rsidR="00F41A51">
        <w:t xml:space="preserve"> </w:t>
      </w:r>
      <w:r>
        <w:t>children born with malformations in pregnant women systemically administered chlormethine.</w:t>
      </w:r>
    </w:p>
    <w:p w14:paraId="5735BB0C" w14:textId="77777777" w:rsidR="00331588" w:rsidRDefault="006B0AEF" w:rsidP="006B0AEF">
      <w:r>
        <w:t>Chlormethine was teratogenic and embryo-lethal after a single subcutaneous administration to</w:t>
      </w:r>
      <w:r w:rsidR="00F41A51">
        <w:t xml:space="preserve"> </w:t>
      </w:r>
      <w:r>
        <w:t xml:space="preserve">animals. Advise women to avoid becoming pregnant while using </w:t>
      </w:r>
      <w:proofErr w:type="spellStart"/>
      <w:r>
        <w:t>L</w:t>
      </w:r>
      <w:r w:rsidR="00331588">
        <w:t>edaga</w:t>
      </w:r>
      <w:proofErr w:type="spellEnd"/>
      <w:r>
        <w:t>. If this medicine is</w:t>
      </w:r>
      <w:r w:rsidR="00F41A51">
        <w:t xml:space="preserve"> </w:t>
      </w:r>
      <w:r>
        <w:t>used during pregnancy or if the patient becomes pregnant while taking this medicine, the</w:t>
      </w:r>
      <w:r w:rsidR="00331588">
        <w:t xml:space="preserve"> </w:t>
      </w:r>
      <w:r>
        <w:t xml:space="preserve">patient should be apprised of the potential hazard to a </w:t>
      </w:r>
      <w:proofErr w:type="spellStart"/>
      <w:r>
        <w:t>fetus</w:t>
      </w:r>
      <w:proofErr w:type="spellEnd"/>
      <w:r>
        <w:t>.</w:t>
      </w:r>
    </w:p>
    <w:p w14:paraId="6D7AA448" w14:textId="366FF1B0" w:rsidR="00606E78" w:rsidRDefault="002E7C0E" w:rsidP="006B0AEF">
      <w:r>
        <w:t xml:space="preserve">Chlormethine has been shown to cause </w:t>
      </w:r>
      <w:proofErr w:type="spellStart"/>
      <w:r>
        <w:t>fetal</w:t>
      </w:r>
      <w:proofErr w:type="spellEnd"/>
      <w:r>
        <w:t xml:space="preserve"> malformations, embryofetal lethality and </w:t>
      </w:r>
      <w:proofErr w:type="spellStart"/>
      <w:r>
        <w:t>fetal</w:t>
      </w:r>
      <w:proofErr w:type="spellEnd"/>
      <w:r>
        <w:t xml:space="preserve"> growth retardation in mice and rats after a single injection at 1–2.5 mg/kg. Animal embryofetal development studies involving topical administration of chlormethine have not been performed.</w:t>
      </w:r>
    </w:p>
    <w:p w14:paraId="6272AA67" w14:textId="6952A21C" w:rsidR="0000563A" w:rsidRPr="00080901" w:rsidRDefault="0000563A" w:rsidP="00080901">
      <w:pPr>
        <w:pStyle w:val="Heading3"/>
      </w:pPr>
      <w:r w:rsidRPr="00080901">
        <w:t>Use in Lactation</w:t>
      </w:r>
    </w:p>
    <w:p w14:paraId="0E7AA0C4" w14:textId="1A1CD504" w:rsidR="00606E78" w:rsidRDefault="00A16989" w:rsidP="00A16989">
      <w:r>
        <w:lastRenderedPageBreak/>
        <w:t xml:space="preserve">Breastfeeding during treatment with </w:t>
      </w:r>
      <w:proofErr w:type="spellStart"/>
      <w:r>
        <w:t>Ledaga</w:t>
      </w:r>
      <w:proofErr w:type="spellEnd"/>
      <w:r>
        <w:t xml:space="preserve"> is not recommended because of the potential for topical or systemic exposure to </w:t>
      </w:r>
      <w:proofErr w:type="spellStart"/>
      <w:r>
        <w:t>Ledaga</w:t>
      </w:r>
      <w:proofErr w:type="spellEnd"/>
      <w:r>
        <w:t xml:space="preserve"> through exposure to the mother's skin and the potential for serious adverse reactions in the breastfed child from chlormethine. There are no data on the presence of chlormethine or its metabolites in human milk, the effects of the drug on the breastfed child, or the effects of the drug on milk production. </w:t>
      </w:r>
    </w:p>
    <w:p w14:paraId="3CFDD77D" w14:textId="5F0F1C83" w:rsidR="00A736BB" w:rsidRDefault="00EA6A6B" w:rsidP="00EA6A6B">
      <w:pPr>
        <w:pStyle w:val="Heading2"/>
        <w:numPr>
          <w:ilvl w:val="1"/>
          <w:numId w:val="6"/>
        </w:numPr>
      </w:pPr>
      <w:r>
        <w:t>EFFECTS ON ABILITY TO DRIVE AND USE MACHINES</w:t>
      </w:r>
    </w:p>
    <w:p w14:paraId="3B0AE796" w14:textId="41F9B8E9" w:rsidR="00EA6A6B" w:rsidRDefault="00080901" w:rsidP="00EA6A6B">
      <w:proofErr w:type="spellStart"/>
      <w:r w:rsidRPr="00080901">
        <w:t>Ledaga</w:t>
      </w:r>
      <w:proofErr w:type="spellEnd"/>
      <w:r w:rsidRPr="00080901">
        <w:t xml:space="preserve"> has no or negligible influence on the ability to drive or use machines.</w:t>
      </w:r>
    </w:p>
    <w:p w14:paraId="74342C0F" w14:textId="1209062A" w:rsidR="00EA6A6B" w:rsidRDefault="00EA6A6B" w:rsidP="00EA6A6B">
      <w:pPr>
        <w:pStyle w:val="Heading2"/>
        <w:numPr>
          <w:ilvl w:val="1"/>
          <w:numId w:val="6"/>
        </w:numPr>
      </w:pPr>
      <w:r>
        <w:t>ADVERSE EFFECTS (UNDESIRABLE EFFECTS)</w:t>
      </w:r>
    </w:p>
    <w:p w14:paraId="4ED9D4B9" w14:textId="77777777" w:rsidR="00080901" w:rsidRPr="00080901" w:rsidRDefault="00080901" w:rsidP="00080901">
      <w:pPr>
        <w:rPr>
          <w:b/>
          <w:bCs/>
        </w:rPr>
      </w:pPr>
      <w:r w:rsidRPr="00080901">
        <w:rPr>
          <w:b/>
          <w:bCs/>
        </w:rPr>
        <w:t xml:space="preserve">Summary of the safety profile </w:t>
      </w:r>
    </w:p>
    <w:p w14:paraId="15C29720" w14:textId="77777777" w:rsidR="00080901" w:rsidRDefault="00080901" w:rsidP="00080901">
      <w:r>
        <w:t xml:space="preserve">In a randomised-controlled trial (n=128 exposed to </w:t>
      </w:r>
      <w:proofErr w:type="spellStart"/>
      <w:r>
        <w:t>Ledaga</w:t>
      </w:r>
      <w:proofErr w:type="spellEnd"/>
      <w:r>
        <w:t xml:space="preserve"> for a median duration of 52 weeks), the most frequent adverse reactions to </w:t>
      </w:r>
      <w:proofErr w:type="spellStart"/>
      <w:r>
        <w:t>Ledaga</w:t>
      </w:r>
      <w:proofErr w:type="spellEnd"/>
      <w:r>
        <w:t xml:space="preserve"> were skin related: dermatitis (54.7%; e.g., skin irritation, erythema, rash, urticaria, skin-burning sensation, pain of the skin), pruritus (20.3%), skin infections (11.7%), skin ulceration and blistering (6.3%), and skin hyperpigmentation (5.5%). Cutaneous hypersensitivity reactions were reported in 2.3% of the treated patients.</w:t>
      </w:r>
    </w:p>
    <w:p w14:paraId="652C58E6" w14:textId="2A4F450F" w:rsidR="00080901" w:rsidRPr="00080901" w:rsidRDefault="00080901" w:rsidP="00080901">
      <w:pPr>
        <w:rPr>
          <w:b/>
          <w:bCs/>
        </w:rPr>
      </w:pPr>
      <w:r w:rsidRPr="00080901">
        <w:rPr>
          <w:b/>
          <w:bCs/>
        </w:rPr>
        <w:t xml:space="preserve">Tabulated list of </w:t>
      </w:r>
      <w:r w:rsidR="00385919" w:rsidRPr="00385919">
        <w:rPr>
          <w:b/>
          <w:bCs/>
        </w:rPr>
        <w:t>adverse events</w:t>
      </w:r>
      <w:r w:rsidR="007B3AF1">
        <w:rPr>
          <w:b/>
          <w:bCs/>
        </w:rPr>
        <w:t xml:space="preserve"> in controlled trial</w:t>
      </w:r>
    </w:p>
    <w:p w14:paraId="1DC8AE6E" w14:textId="0CE9B0CD" w:rsidR="00894013" w:rsidRDefault="007E2FCF" w:rsidP="007E2FCF">
      <w:pPr>
        <w:pStyle w:val="Caption"/>
      </w:pPr>
      <w:r>
        <w:t xml:space="preserve">Table </w:t>
      </w:r>
      <w:r w:rsidR="00B17885">
        <w:fldChar w:fldCharType="begin"/>
      </w:r>
      <w:r w:rsidR="00B17885">
        <w:instrText xml:space="preserve"> SEQ Table \* ARABIC </w:instrText>
      </w:r>
      <w:r w:rsidR="00B17885">
        <w:fldChar w:fldCharType="separate"/>
      </w:r>
      <w:r w:rsidR="00081952">
        <w:rPr>
          <w:noProof/>
        </w:rPr>
        <w:t>1</w:t>
      </w:r>
      <w:r w:rsidR="00B17885">
        <w:rPr>
          <w:noProof/>
        </w:rPr>
        <w:fldChar w:fldCharType="end"/>
      </w:r>
      <w:r>
        <w:t xml:space="preserve"> Number and Incidence of Adverse Events Occurring in ≥5% of Patients on Either Arm by SMQ and MedDRA Preferred Term</w:t>
      </w:r>
    </w:p>
    <w:tbl>
      <w:tblPr>
        <w:tblStyle w:val="TableGrid"/>
        <w:tblW w:w="0" w:type="auto"/>
        <w:tblLook w:val="04A0" w:firstRow="1" w:lastRow="0" w:firstColumn="1" w:lastColumn="0" w:noHBand="0" w:noVBand="1"/>
      </w:tblPr>
      <w:tblGrid>
        <w:gridCol w:w="4647"/>
        <w:gridCol w:w="1444"/>
        <w:gridCol w:w="1444"/>
        <w:gridCol w:w="1283"/>
      </w:tblGrid>
      <w:tr w:rsidR="00C37B1A" w:rsidRPr="009A556E" w14:paraId="09B58CBD" w14:textId="77777777" w:rsidTr="009A556E">
        <w:trPr>
          <w:trHeight w:val="1187"/>
        </w:trPr>
        <w:tc>
          <w:tcPr>
            <w:tcW w:w="4647" w:type="dxa"/>
          </w:tcPr>
          <w:p w14:paraId="4ACE4822" w14:textId="77777777" w:rsidR="00C37B1A" w:rsidRPr="009A556E" w:rsidRDefault="00C37B1A" w:rsidP="009A556E">
            <w:pPr>
              <w:spacing w:before="40" w:after="40"/>
              <w:rPr>
                <w:rFonts w:cs="Times New Roman"/>
                <w:sz w:val="22"/>
              </w:rPr>
            </w:pPr>
            <w:proofErr w:type="spellStart"/>
            <w:r w:rsidRPr="009A556E">
              <w:rPr>
                <w:rFonts w:cs="Times New Roman"/>
                <w:sz w:val="22"/>
              </w:rPr>
              <w:t>SMQ</w:t>
            </w:r>
            <w:r w:rsidRPr="009A556E">
              <w:rPr>
                <w:rFonts w:cs="Times New Roman"/>
                <w:sz w:val="22"/>
                <w:vertAlign w:val="superscript"/>
              </w:rPr>
              <w:t>b</w:t>
            </w:r>
            <w:proofErr w:type="spellEnd"/>
          </w:p>
          <w:p w14:paraId="28A1D8E8" w14:textId="66B2158B" w:rsidR="00C37B1A" w:rsidRPr="009A556E" w:rsidRDefault="00C37B1A" w:rsidP="009A556E">
            <w:pPr>
              <w:spacing w:before="40" w:after="40"/>
              <w:rPr>
                <w:rFonts w:cs="Times New Roman"/>
                <w:sz w:val="22"/>
              </w:rPr>
            </w:pPr>
            <w:r w:rsidRPr="009A556E">
              <w:rPr>
                <w:rFonts w:cs="Times New Roman"/>
                <w:sz w:val="22"/>
              </w:rPr>
              <w:t>MedDRA Preferred Term, n (%)</w:t>
            </w:r>
          </w:p>
        </w:tc>
        <w:tc>
          <w:tcPr>
            <w:tcW w:w="1444" w:type="dxa"/>
          </w:tcPr>
          <w:p w14:paraId="486DF302" w14:textId="33D93147" w:rsidR="00C37B1A" w:rsidRPr="009A556E" w:rsidRDefault="00C37B1A" w:rsidP="009A556E">
            <w:pPr>
              <w:spacing w:before="40" w:after="40"/>
              <w:rPr>
                <w:rFonts w:cs="Times New Roman"/>
                <w:sz w:val="22"/>
              </w:rPr>
            </w:pPr>
            <w:proofErr w:type="spellStart"/>
            <w:r w:rsidRPr="009A556E">
              <w:rPr>
                <w:rFonts w:cs="Times New Roman"/>
                <w:sz w:val="22"/>
              </w:rPr>
              <w:t>PG</w:t>
            </w:r>
            <w:r w:rsidR="00523F26" w:rsidRPr="00523F26">
              <w:rPr>
                <w:rFonts w:cs="Times New Roman"/>
                <w:sz w:val="22"/>
                <w:vertAlign w:val="superscript"/>
              </w:rPr>
              <w:t>d</w:t>
            </w:r>
            <w:proofErr w:type="spellEnd"/>
          </w:p>
          <w:p w14:paraId="3D106686" w14:textId="77777777" w:rsidR="00C37B1A" w:rsidRPr="009A556E" w:rsidRDefault="00C37B1A" w:rsidP="009A556E">
            <w:pPr>
              <w:spacing w:before="40" w:after="40"/>
              <w:rPr>
                <w:rFonts w:cs="Times New Roman"/>
                <w:sz w:val="22"/>
              </w:rPr>
            </w:pPr>
            <w:r w:rsidRPr="009A556E">
              <w:rPr>
                <w:rFonts w:cs="Times New Roman"/>
                <w:sz w:val="22"/>
              </w:rPr>
              <w:t>(N=128)</w:t>
            </w:r>
          </w:p>
          <w:p w14:paraId="640B008A" w14:textId="531903F8" w:rsidR="00C37B1A" w:rsidRPr="009A556E" w:rsidRDefault="00C37B1A" w:rsidP="009A556E">
            <w:pPr>
              <w:spacing w:before="40" w:after="40"/>
              <w:rPr>
                <w:rFonts w:cs="Times New Roman"/>
                <w:sz w:val="22"/>
              </w:rPr>
            </w:pPr>
            <w:r w:rsidRPr="009A556E">
              <w:rPr>
                <w:rFonts w:cs="Times New Roman"/>
                <w:sz w:val="22"/>
              </w:rPr>
              <w:t>n (%</w:t>
            </w:r>
            <w:r>
              <w:rPr>
                <w:rFonts w:cs="Times New Roman"/>
                <w:sz w:val="22"/>
              </w:rPr>
              <w:t>)</w:t>
            </w:r>
          </w:p>
        </w:tc>
        <w:tc>
          <w:tcPr>
            <w:tcW w:w="1444" w:type="dxa"/>
          </w:tcPr>
          <w:p w14:paraId="026FE293" w14:textId="239F5DAB" w:rsidR="00C37B1A" w:rsidRPr="009A556E" w:rsidRDefault="00C37B1A" w:rsidP="009A556E">
            <w:pPr>
              <w:spacing w:before="40" w:after="40"/>
              <w:rPr>
                <w:rFonts w:cs="Times New Roman"/>
                <w:sz w:val="22"/>
              </w:rPr>
            </w:pPr>
            <w:proofErr w:type="spellStart"/>
            <w:r w:rsidRPr="009A556E">
              <w:rPr>
                <w:rFonts w:cs="Times New Roman"/>
                <w:sz w:val="22"/>
              </w:rPr>
              <w:t>AP</w:t>
            </w:r>
            <w:r w:rsidR="00523F26" w:rsidRPr="00523F26">
              <w:rPr>
                <w:rFonts w:cs="Times New Roman"/>
                <w:sz w:val="22"/>
                <w:vertAlign w:val="superscript"/>
              </w:rPr>
              <w:t>c</w:t>
            </w:r>
            <w:proofErr w:type="spellEnd"/>
          </w:p>
          <w:p w14:paraId="1953E5F7" w14:textId="47FD1286" w:rsidR="00C37B1A" w:rsidRPr="009A556E" w:rsidRDefault="00C37B1A" w:rsidP="009A556E">
            <w:pPr>
              <w:spacing w:before="40" w:after="40"/>
              <w:rPr>
                <w:rFonts w:cs="Times New Roman"/>
                <w:sz w:val="22"/>
              </w:rPr>
            </w:pPr>
            <w:r w:rsidRPr="009A556E">
              <w:rPr>
                <w:rFonts w:cs="Times New Roman"/>
                <w:sz w:val="22"/>
              </w:rPr>
              <w:t>(N=127)</w:t>
            </w:r>
          </w:p>
          <w:p w14:paraId="15209A2F" w14:textId="26C79E84" w:rsidR="00C37B1A" w:rsidRPr="009A556E" w:rsidRDefault="00C37B1A" w:rsidP="009A556E">
            <w:pPr>
              <w:spacing w:before="40" w:after="40"/>
              <w:rPr>
                <w:rFonts w:cs="Times New Roman"/>
                <w:sz w:val="22"/>
              </w:rPr>
            </w:pPr>
            <w:r w:rsidRPr="009A556E">
              <w:rPr>
                <w:rFonts w:cs="Times New Roman"/>
                <w:sz w:val="22"/>
              </w:rPr>
              <w:t>n (%</w:t>
            </w:r>
            <w:r>
              <w:rPr>
                <w:rFonts w:cs="Times New Roman"/>
                <w:sz w:val="22"/>
              </w:rPr>
              <w:t>)</w:t>
            </w:r>
          </w:p>
        </w:tc>
        <w:tc>
          <w:tcPr>
            <w:tcW w:w="1283" w:type="dxa"/>
          </w:tcPr>
          <w:p w14:paraId="474234D7" w14:textId="77777777" w:rsidR="00C37B1A" w:rsidRPr="009A556E" w:rsidRDefault="00C37B1A" w:rsidP="009A556E">
            <w:pPr>
              <w:spacing w:before="40" w:after="40"/>
              <w:rPr>
                <w:rFonts w:cs="Times New Roman"/>
                <w:sz w:val="22"/>
              </w:rPr>
            </w:pPr>
            <w:r w:rsidRPr="009A556E">
              <w:rPr>
                <w:rFonts w:cs="Times New Roman"/>
                <w:sz w:val="22"/>
              </w:rPr>
              <w:t>All Subjects</w:t>
            </w:r>
          </w:p>
          <w:p w14:paraId="51F2030E" w14:textId="77777777" w:rsidR="00C37B1A" w:rsidRPr="009A556E" w:rsidRDefault="00C37B1A" w:rsidP="009A556E">
            <w:pPr>
              <w:spacing w:before="40" w:after="40"/>
              <w:rPr>
                <w:rFonts w:cs="Times New Roman"/>
                <w:sz w:val="22"/>
              </w:rPr>
            </w:pPr>
            <w:r w:rsidRPr="009A556E">
              <w:rPr>
                <w:rFonts w:cs="Times New Roman"/>
                <w:sz w:val="22"/>
              </w:rPr>
              <w:t>(N=255)</w:t>
            </w:r>
          </w:p>
          <w:p w14:paraId="1EC7ADB4" w14:textId="4C6C1FF4" w:rsidR="00C37B1A" w:rsidRPr="009A556E" w:rsidRDefault="00C37B1A" w:rsidP="009A556E">
            <w:pPr>
              <w:spacing w:before="40" w:after="40"/>
              <w:rPr>
                <w:rFonts w:cs="Times New Roman"/>
                <w:sz w:val="22"/>
              </w:rPr>
            </w:pPr>
            <w:r w:rsidRPr="009A556E">
              <w:rPr>
                <w:rFonts w:cs="Times New Roman"/>
                <w:sz w:val="22"/>
              </w:rPr>
              <w:t>n (%)</w:t>
            </w:r>
          </w:p>
        </w:tc>
      </w:tr>
      <w:tr w:rsidR="00C37B1A" w:rsidRPr="009A556E" w14:paraId="6538EBB0" w14:textId="77777777" w:rsidTr="009A556E">
        <w:trPr>
          <w:trHeight w:val="341"/>
        </w:trPr>
        <w:tc>
          <w:tcPr>
            <w:tcW w:w="4647" w:type="dxa"/>
          </w:tcPr>
          <w:p w14:paraId="14E4EEBA" w14:textId="72B7882A" w:rsidR="00C37B1A" w:rsidRPr="009A556E" w:rsidRDefault="00C37B1A" w:rsidP="009A556E">
            <w:pPr>
              <w:spacing w:before="40" w:after="40"/>
              <w:rPr>
                <w:rFonts w:cs="Times New Roman"/>
                <w:sz w:val="22"/>
              </w:rPr>
            </w:pPr>
            <w:r>
              <w:rPr>
                <w:rFonts w:ascii="TimesNewRoman" w:eastAsia="Times New Roman" w:hAnsi="TimesNewRoman" w:cs="TimesNewRoman"/>
                <w:color w:val="000000"/>
                <w:sz w:val="22"/>
                <w:szCs w:val="24"/>
                <w:lang w:val="x-none"/>
              </w:rPr>
              <w:t>Any Adverse Event</w:t>
            </w:r>
          </w:p>
        </w:tc>
        <w:tc>
          <w:tcPr>
            <w:tcW w:w="1444" w:type="dxa"/>
          </w:tcPr>
          <w:p w14:paraId="2DA714A9" w14:textId="2A908B80" w:rsidR="00C37B1A" w:rsidRPr="009A556E" w:rsidRDefault="00C37B1A" w:rsidP="009A556E">
            <w:pPr>
              <w:spacing w:before="40" w:after="40"/>
              <w:rPr>
                <w:rFonts w:cs="Times New Roman"/>
                <w:sz w:val="22"/>
              </w:rPr>
            </w:pPr>
            <w:r>
              <w:rPr>
                <w:rFonts w:cs="Times New Roman"/>
                <w:sz w:val="22"/>
              </w:rPr>
              <w:t>108 (84.4)</w:t>
            </w:r>
          </w:p>
        </w:tc>
        <w:tc>
          <w:tcPr>
            <w:tcW w:w="1444" w:type="dxa"/>
          </w:tcPr>
          <w:p w14:paraId="7DD06EFB" w14:textId="3FDFD141" w:rsidR="00C37B1A" w:rsidRPr="009A556E" w:rsidRDefault="00C37B1A" w:rsidP="009A556E">
            <w:pPr>
              <w:spacing w:before="40" w:after="40"/>
              <w:rPr>
                <w:rFonts w:cs="Times New Roman"/>
                <w:sz w:val="22"/>
              </w:rPr>
            </w:pPr>
            <w:r>
              <w:rPr>
                <w:rFonts w:cs="Times New Roman"/>
                <w:sz w:val="22"/>
              </w:rPr>
              <w:t>115 (90.6)</w:t>
            </w:r>
          </w:p>
        </w:tc>
        <w:tc>
          <w:tcPr>
            <w:tcW w:w="1283" w:type="dxa"/>
          </w:tcPr>
          <w:p w14:paraId="403EA059" w14:textId="44335192" w:rsidR="00C37B1A" w:rsidRPr="009A556E" w:rsidRDefault="00C37B1A" w:rsidP="009A556E">
            <w:pPr>
              <w:spacing w:before="40" w:after="40"/>
              <w:rPr>
                <w:rFonts w:cs="Times New Roman"/>
                <w:sz w:val="22"/>
              </w:rPr>
            </w:pPr>
            <w:r>
              <w:rPr>
                <w:rFonts w:cs="Times New Roman"/>
                <w:sz w:val="22"/>
              </w:rPr>
              <w:t>223 (87.5)</w:t>
            </w:r>
          </w:p>
        </w:tc>
      </w:tr>
      <w:tr w:rsidR="00C37B1A" w:rsidRPr="009A556E" w14:paraId="52F348C9" w14:textId="77777777" w:rsidTr="009A556E">
        <w:trPr>
          <w:trHeight w:val="341"/>
        </w:trPr>
        <w:tc>
          <w:tcPr>
            <w:tcW w:w="4647" w:type="dxa"/>
          </w:tcPr>
          <w:p w14:paraId="53B6A79D" w14:textId="77777777" w:rsidR="00C37B1A" w:rsidRPr="009A556E" w:rsidRDefault="00C37B1A" w:rsidP="009A556E">
            <w:pPr>
              <w:spacing w:before="40" w:after="40"/>
              <w:rPr>
                <w:rFonts w:cs="Times New Roman"/>
                <w:sz w:val="22"/>
              </w:rPr>
            </w:pPr>
          </w:p>
        </w:tc>
        <w:tc>
          <w:tcPr>
            <w:tcW w:w="1444" w:type="dxa"/>
          </w:tcPr>
          <w:p w14:paraId="2149025C" w14:textId="77777777" w:rsidR="00C37B1A" w:rsidRPr="009A556E" w:rsidRDefault="00C37B1A" w:rsidP="009A556E">
            <w:pPr>
              <w:spacing w:before="40" w:after="40"/>
              <w:rPr>
                <w:rFonts w:cs="Times New Roman"/>
                <w:sz w:val="22"/>
              </w:rPr>
            </w:pPr>
          </w:p>
        </w:tc>
        <w:tc>
          <w:tcPr>
            <w:tcW w:w="1444" w:type="dxa"/>
          </w:tcPr>
          <w:p w14:paraId="08EC527A" w14:textId="77777777" w:rsidR="00C37B1A" w:rsidRPr="009A556E" w:rsidRDefault="00C37B1A" w:rsidP="009A556E">
            <w:pPr>
              <w:spacing w:before="40" w:after="40"/>
              <w:rPr>
                <w:rFonts w:cs="Times New Roman"/>
                <w:sz w:val="22"/>
              </w:rPr>
            </w:pPr>
          </w:p>
        </w:tc>
        <w:tc>
          <w:tcPr>
            <w:tcW w:w="1283" w:type="dxa"/>
          </w:tcPr>
          <w:p w14:paraId="6D24B7A2" w14:textId="77777777" w:rsidR="00C37B1A" w:rsidRPr="009A556E" w:rsidRDefault="00C37B1A" w:rsidP="009A556E">
            <w:pPr>
              <w:spacing w:before="40" w:after="40"/>
              <w:rPr>
                <w:rFonts w:cs="Times New Roman"/>
                <w:sz w:val="22"/>
              </w:rPr>
            </w:pPr>
          </w:p>
        </w:tc>
      </w:tr>
      <w:tr w:rsidR="00C37B1A" w:rsidRPr="009A556E" w14:paraId="0F7A6217" w14:textId="77777777" w:rsidTr="009A556E">
        <w:trPr>
          <w:trHeight w:val="341"/>
        </w:trPr>
        <w:tc>
          <w:tcPr>
            <w:tcW w:w="4647" w:type="dxa"/>
          </w:tcPr>
          <w:p w14:paraId="5A3C2222" w14:textId="2DF6BDC8" w:rsidR="00C37B1A" w:rsidRPr="008C6C48" w:rsidRDefault="00C37B1A" w:rsidP="009A556E">
            <w:pPr>
              <w:spacing w:before="40" w:after="40"/>
              <w:rPr>
                <w:rFonts w:cs="Times New Roman"/>
                <w:b/>
                <w:bCs/>
                <w:sz w:val="22"/>
              </w:rPr>
            </w:pPr>
            <w:r w:rsidRPr="008C6C48">
              <w:rPr>
                <w:rFonts w:cs="Times New Roman"/>
                <w:b/>
                <w:bCs/>
                <w:sz w:val="22"/>
              </w:rPr>
              <w:t>Skin and subcutaneous tissue disorders</w:t>
            </w:r>
          </w:p>
        </w:tc>
        <w:tc>
          <w:tcPr>
            <w:tcW w:w="1444" w:type="dxa"/>
          </w:tcPr>
          <w:p w14:paraId="4FF64765" w14:textId="3112A5A4" w:rsidR="00C37B1A" w:rsidRPr="009A556E" w:rsidRDefault="00C37B1A" w:rsidP="009A556E">
            <w:pPr>
              <w:spacing w:before="40" w:after="40"/>
              <w:rPr>
                <w:rFonts w:cs="Times New Roman"/>
                <w:sz w:val="22"/>
              </w:rPr>
            </w:pPr>
            <w:r>
              <w:rPr>
                <w:rFonts w:cs="Times New Roman"/>
                <w:sz w:val="22"/>
              </w:rPr>
              <w:t>92 (71.9)</w:t>
            </w:r>
          </w:p>
        </w:tc>
        <w:tc>
          <w:tcPr>
            <w:tcW w:w="1444" w:type="dxa"/>
          </w:tcPr>
          <w:p w14:paraId="361DCDC0" w14:textId="488A74D7" w:rsidR="00C37B1A" w:rsidRPr="009A556E" w:rsidRDefault="00C37B1A" w:rsidP="009A556E">
            <w:pPr>
              <w:spacing w:before="40" w:after="40"/>
              <w:rPr>
                <w:rFonts w:cs="Times New Roman"/>
                <w:sz w:val="22"/>
              </w:rPr>
            </w:pPr>
            <w:r>
              <w:rPr>
                <w:rFonts w:cs="Times New Roman"/>
                <w:sz w:val="22"/>
              </w:rPr>
              <w:t>85 (66.9)</w:t>
            </w:r>
          </w:p>
        </w:tc>
        <w:tc>
          <w:tcPr>
            <w:tcW w:w="1283" w:type="dxa"/>
          </w:tcPr>
          <w:p w14:paraId="306B1358" w14:textId="7244C939" w:rsidR="00C37B1A" w:rsidRPr="009A556E" w:rsidRDefault="00C37B1A" w:rsidP="009A556E">
            <w:pPr>
              <w:spacing w:before="40" w:after="40"/>
              <w:rPr>
                <w:rFonts w:cs="Times New Roman"/>
                <w:sz w:val="22"/>
              </w:rPr>
            </w:pPr>
            <w:r>
              <w:rPr>
                <w:rFonts w:cs="Times New Roman"/>
                <w:sz w:val="22"/>
              </w:rPr>
              <w:t>177 (69.4)</w:t>
            </w:r>
          </w:p>
        </w:tc>
      </w:tr>
      <w:tr w:rsidR="00C37B1A" w:rsidRPr="009A556E" w14:paraId="6A3CCD8A" w14:textId="77777777" w:rsidTr="009A556E">
        <w:trPr>
          <w:trHeight w:val="334"/>
        </w:trPr>
        <w:tc>
          <w:tcPr>
            <w:tcW w:w="4647" w:type="dxa"/>
          </w:tcPr>
          <w:p w14:paraId="6511C05B" w14:textId="048B0308" w:rsidR="00C37B1A" w:rsidRPr="009A556E" w:rsidRDefault="00C37B1A" w:rsidP="009A556E">
            <w:pPr>
              <w:spacing w:before="40" w:after="40"/>
              <w:ind w:left="169"/>
              <w:rPr>
                <w:rFonts w:cs="Times New Roman"/>
                <w:sz w:val="22"/>
              </w:rPr>
            </w:pPr>
            <w:r>
              <w:rPr>
                <w:rFonts w:cs="Times New Roman"/>
                <w:sz w:val="22"/>
              </w:rPr>
              <w:t>Skin irritation</w:t>
            </w:r>
          </w:p>
        </w:tc>
        <w:tc>
          <w:tcPr>
            <w:tcW w:w="1444" w:type="dxa"/>
          </w:tcPr>
          <w:p w14:paraId="750D3F24" w14:textId="77EDCF4C" w:rsidR="00C37B1A" w:rsidRPr="009A556E" w:rsidRDefault="00C37B1A" w:rsidP="009A556E">
            <w:pPr>
              <w:spacing w:before="40" w:after="40"/>
              <w:rPr>
                <w:rFonts w:cs="Times New Roman"/>
                <w:sz w:val="22"/>
              </w:rPr>
            </w:pPr>
            <w:r>
              <w:rPr>
                <w:rFonts w:cs="Times New Roman"/>
                <w:sz w:val="22"/>
              </w:rPr>
              <w:t>32 (25.0)</w:t>
            </w:r>
          </w:p>
        </w:tc>
        <w:tc>
          <w:tcPr>
            <w:tcW w:w="1444" w:type="dxa"/>
          </w:tcPr>
          <w:p w14:paraId="183C5159" w14:textId="539BB2AD" w:rsidR="00C37B1A" w:rsidRPr="009A556E" w:rsidRDefault="00C37B1A" w:rsidP="009A556E">
            <w:pPr>
              <w:spacing w:before="40" w:after="40"/>
              <w:rPr>
                <w:rFonts w:cs="Times New Roman"/>
                <w:sz w:val="22"/>
              </w:rPr>
            </w:pPr>
            <w:r>
              <w:rPr>
                <w:rFonts w:cs="Times New Roman"/>
                <w:sz w:val="22"/>
              </w:rPr>
              <w:t>18 (14.2)</w:t>
            </w:r>
          </w:p>
        </w:tc>
        <w:tc>
          <w:tcPr>
            <w:tcW w:w="1283" w:type="dxa"/>
          </w:tcPr>
          <w:p w14:paraId="5D09942E" w14:textId="7C86D377" w:rsidR="00C37B1A" w:rsidRPr="009A556E" w:rsidRDefault="00C37B1A" w:rsidP="009A556E">
            <w:pPr>
              <w:spacing w:before="40" w:after="40"/>
              <w:rPr>
                <w:rFonts w:cs="Times New Roman"/>
                <w:sz w:val="22"/>
              </w:rPr>
            </w:pPr>
            <w:r>
              <w:rPr>
                <w:rFonts w:cs="Times New Roman"/>
                <w:sz w:val="22"/>
              </w:rPr>
              <w:t>50 (19.6)</w:t>
            </w:r>
          </w:p>
        </w:tc>
      </w:tr>
      <w:tr w:rsidR="00C37B1A" w:rsidRPr="009A556E" w14:paraId="1A74055C" w14:textId="77777777" w:rsidTr="009A556E">
        <w:trPr>
          <w:trHeight w:val="341"/>
        </w:trPr>
        <w:tc>
          <w:tcPr>
            <w:tcW w:w="4647" w:type="dxa"/>
          </w:tcPr>
          <w:p w14:paraId="39A61521" w14:textId="3A1970DB" w:rsidR="00C37B1A" w:rsidRPr="009A556E" w:rsidRDefault="00C37B1A" w:rsidP="009A556E">
            <w:pPr>
              <w:spacing w:before="40" w:after="40"/>
              <w:ind w:left="169"/>
              <w:rPr>
                <w:rFonts w:cs="Times New Roman"/>
                <w:sz w:val="22"/>
              </w:rPr>
            </w:pPr>
            <w:r>
              <w:rPr>
                <w:rFonts w:cs="Times New Roman"/>
                <w:sz w:val="22"/>
              </w:rPr>
              <w:t>Pruritus</w:t>
            </w:r>
          </w:p>
        </w:tc>
        <w:tc>
          <w:tcPr>
            <w:tcW w:w="1444" w:type="dxa"/>
          </w:tcPr>
          <w:p w14:paraId="33855F57" w14:textId="32C0D124" w:rsidR="00C37B1A" w:rsidRPr="009A556E" w:rsidRDefault="00C37B1A" w:rsidP="009A556E">
            <w:pPr>
              <w:spacing w:before="40" w:after="40"/>
              <w:rPr>
                <w:rFonts w:cs="Times New Roman"/>
                <w:sz w:val="22"/>
              </w:rPr>
            </w:pPr>
            <w:r>
              <w:rPr>
                <w:rFonts w:cs="Times New Roman"/>
                <w:sz w:val="22"/>
              </w:rPr>
              <w:t>25 (19.5)</w:t>
            </w:r>
          </w:p>
        </w:tc>
        <w:tc>
          <w:tcPr>
            <w:tcW w:w="1444" w:type="dxa"/>
          </w:tcPr>
          <w:p w14:paraId="1EA769F8" w14:textId="1C2094ED" w:rsidR="00C37B1A" w:rsidRPr="009A556E" w:rsidRDefault="00C37B1A" w:rsidP="009A556E">
            <w:pPr>
              <w:spacing w:before="40" w:after="40"/>
              <w:rPr>
                <w:rFonts w:cs="Times New Roman"/>
                <w:sz w:val="22"/>
              </w:rPr>
            </w:pPr>
            <w:r>
              <w:rPr>
                <w:rFonts w:cs="Times New Roman"/>
                <w:sz w:val="22"/>
              </w:rPr>
              <w:t>20 (15.7)</w:t>
            </w:r>
          </w:p>
        </w:tc>
        <w:tc>
          <w:tcPr>
            <w:tcW w:w="1283" w:type="dxa"/>
          </w:tcPr>
          <w:p w14:paraId="17990F03" w14:textId="2ED60A0A" w:rsidR="00C37B1A" w:rsidRPr="009A556E" w:rsidRDefault="00C37B1A" w:rsidP="009A556E">
            <w:pPr>
              <w:spacing w:before="40" w:after="40"/>
              <w:rPr>
                <w:rFonts w:cs="Times New Roman"/>
                <w:sz w:val="22"/>
              </w:rPr>
            </w:pPr>
            <w:r>
              <w:rPr>
                <w:rFonts w:cs="Times New Roman"/>
                <w:sz w:val="22"/>
              </w:rPr>
              <w:t>45 (17.6)</w:t>
            </w:r>
          </w:p>
        </w:tc>
      </w:tr>
      <w:tr w:rsidR="00C37B1A" w:rsidRPr="009A556E" w14:paraId="41BBE4E3" w14:textId="77777777" w:rsidTr="009A556E">
        <w:trPr>
          <w:trHeight w:val="341"/>
        </w:trPr>
        <w:tc>
          <w:tcPr>
            <w:tcW w:w="4647" w:type="dxa"/>
          </w:tcPr>
          <w:p w14:paraId="6FFE5A1C" w14:textId="7E5D1E9D" w:rsidR="00C37B1A" w:rsidRPr="009A556E" w:rsidRDefault="00C37B1A" w:rsidP="009A556E">
            <w:pPr>
              <w:spacing w:before="40" w:after="40"/>
              <w:ind w:left="169"/>
              <w:rPr>
                <w:rFonts w:cs="Times New Roman"/>
                <w:sz w:val="22"/>
              </w:rPr>
            </w:pPr>
            <w:r>
              <w:rPr>
                <w:rFonts w:cs="Times New Roman"/>
                <w:sz w:val="22"/>
              </w:rPr>
              <w:t>Erythema</w:t>
            </w:r>
          </w:p>
        </w:tc>
        <w:tc>
          <w:tcPr>
            <w:tcW w:w="1444" w:type="dxa"/>
          </w:tcPr>
          <w:p w14:paraId="0BD3CD26" w14:textId="062A2131" w:rsidR="00C37B1A" w:rsidRPr="009A556E" w:rsidRDefault="00C37B1A" w:rsidP="009A556E">
            <w:pPr>
              <w:spacing w:before="40" w:after="40"/>
              <w:rPr>
                <w:rFonts w:cs="Times New Roman"/>
                <w:sz w:val="22"/>
              </w:rPr>
            </w:pPr>
            <w:r>
              <w:rPr>
                <w:rFonts w:cs="Times New Roman"/>
                <w:sz w:val="22"/>
              </w:rPr>
              <w:t>22 (17.2)</w:t>
            </w:r>
          </w:p>
        </w:tc>
        <w:tc>
          <w:tcPr>
            <w:tcW w:w="1444" w:type="dxa"/>
          </w:tcPr>
          <w:p w14:paraId="5771F0B6" w14:textId="66F12133" w:rsidR="00C37B1A" w:rsidRPr="009A556E" w:rsidRDefault="00C37B1A" w:rsidP="009A556E">
            <w:pPr>
              <w:spacing w:before="40" w:after="40"/>
              <w:rPr>
                <w:rFonts w:cs="Times New Roman"/>
                <w:sz w:val="22"/>
              </w:rPr>
            </w:pPr>
            <w:r>
              <w:rPr>
                <w:rFonts w:cs="Times New Roman"/>
                <w:sz w:val="22"/>
              </w:rPr>
              <w:t>18 (14.2)</w:t>
            </w:r>
          </w:p>
        </w:tc>
        <w:tc>
          <w:tcPr>
            <w:tcW w:w="1283" w:type="dxa"/>
          </w:tcPr>
          <w:p w14:paraId="492C6204" w14:textId="02EB6107" w:rsidR="00C37B1A" w:rsidRPr="009A556E" w:rsidRDefault="00C37B1A" w:rsidP="009A556E">
            <w:pPr>
              <w:spacing w:before="40" w:after="40"/>
              <w:rPr>
                <w:rFonts w:cs="Times New Roman"/>
                <w:sz w:val="22"/>
              </w:rPr>
            </w:pPr>
            <w:r>
              <w:rPr>
                <w:rFonts w:cs="Times New Roman"/>
                <w:sz w:val="22"/>
              </w:rPr>
              <w:t>40 (15.7)</w:t>
            </w:r>
          </w:p>
        </w:tc>
      </w:tr>
      <w:tr w:rsidR="00C37B1A" w:rsidRPr="009A556E" w14:paraId="3D011ADC" w14:textId="77777777" w:rsidTr="009A556E">
        <w:trPr>
          <w:trHeight w:val="341"/>
        </w:trPr>
        <w:tc>
          <w:tcPr>
            <w:tcW w:w="4647" w:type="dxa"/>
          </w:tcPr>
          <w:p w14:paraId="6048B440" w14:textId="1CE93149" w:rsidR="00C37B1A" w:rsidRPr="009A556E" w:rsidRDefault="00C37B1A" w:rsidP="009A556E">
            <w:pPr>
              <w:spacing w:before="40" w:after="40"/>
              <w:ind w:left="169"/>
              <w:rPr>
                <w:rFonts w:cs="Times New Roman"/>
                <w:sz w:val="22"/>
              </w:rPr>
            </w:pPr>
            <w:r>
              <w:rPr>
                <w:rFonts w:cs="Times New Roman"/>
                <w:sz w:val="22"/>
              </w:rPr>
              <w:t>Dermatitis contact</w:t>
            </w:r>
          </w:p>
        </w:tc>
        <w:tc>
          <w:tcPr>
            <w:tcW w:w="1444" w:type="dxa"/>
          </w:tcPr>
          <w:p w14:paraId="6037E8A5" w14:textId="7179D893" w:rsidR="00C37B1A" w:rsidRPr="009A556E" w:rsidRDefault="00C37B1A" w:rsidP="009A556E">
            <w:pPr>
              <w:spacing w:before="40" w:after="40"/>
              <w:rPr>
                <w:rFonts w:cs="Times New Roman"/>
                <w:sz w:val="22"/>
              </w:rPr>
            </w:pPr>
            <w:r>
              <w:rPr>
                <w:rFonts w:cs="Times New Roman"/>
                <w:sz w:val="22"/>
              </w:rPr>
              <w:t>19 (14.8)</w:t>
            </w:r>
          </w:p>
        </w:tc>
        <w:tc>
          <w:tcPr>
            <w:tcW w:w="1444" w:type="dxa"/>
          </w:tcPr>
          <w:p w14:paraId="5BE4E346" w14:textId="1846D706" w:rsidR="00C37B1A" w:rsidRPr="009A556E" w:rsidRDefault="00C37B1A" w:rsidP="009A556E">
            <w:pPr>
              <w:spacing w:before="40" w:after="40"/>
              <w:rPr>
                <w:rFonts w:cs="Times New Roman"/>
                <w:sz w:val="22"/>
              </w:rPr>
            </w:pPr>
            <w:r>
              <w:rPr>
                <w:rFonts w:cs="Times New Roman"/>
                <w:sz w:val="22"/>
              </w:rPr>
              <w:t>19 (15.0)</w:t>
            </w:r>
          </w:p>
        </w:tc>
        <w:tc>
          <w:tcPr>
            <w:tcW w:w="1283" w:type="dxa"/>
          </w:tcPr>
          <w:p w14:paraId="76EFCC64" w14:textId="58CF18E2" w:rsidR="00C37B1A" w:rsidRPr="009A556E" w:rsidRDefault="00C37B1A" w:rsidP="009A556E">
            <w:pPr>
              <w:spacing w:before="40" w:after="40"/>
              <w:rPr>
                <w:rFonts w:cs="Times New Roman"/>
                <w:sz w:val="22"/>
              </w:rPr>
            </w:pPr>
            <w:r>
              <w:rPr>
                <w:rFonts w:cs="Times New Roman"/>
                <w:sz w:val="22"/>
              </w:rPr>
              <w:t>38 (14.9)</w:t>
            </w:r>
          </w:p>
        </w:tc>
      </w:tr>
      <w:tr w:rsidR="00C37B1A" w:rsidRPr="009A556E" w14:paraId="274BB3FE" w14:textId="77777777" w:rsidTr="009A556E">
        <w:trPr>
          <w:trHeight w:val="334"/>
        </w:trPr>
        <w:tc>
          <w:tcPr>
            <w:tcW w:w="4647" w:type="dxa"/>
          </w:tcPr>
          <w:p w14:paraId="157416A8" w14:textId="45D7893C" w:rsidR="00C37B1A" w:rsidRPr="009A556E" w:rsidRDefault="00C37B1A" w:rsidP="009A556E">
            <w:pPr>
              <w:spacing w:before="40" w:after="40"/>
              <w:ind w:left="169"/>
              <w:rPr>
                <w:rFonts w:cs="Times New Roman"/>
                <w:sz w:val="22"/>
              </w:rPr>
            </w:pPr>
            <w:r>
              <w:rPr>
                <w:rFonts w:cs="Times New Roman"/>
                <w:sz w:val="22"/>
              </w:rPr>
              <w:t>Skin hyperpigmentation</w:t>
            </w:r>
          </w:p>
        </w:tc>
        <w:tc>
          <w:tcPr>
            <w:tcW w:w="1444" w:type="dxa"/>
          </w:tcPr>
          <w:p w14:paraId="2195FA28" w14:textId="73083050" w:rsidR="00C37B1A" w:rsidRPr="009A556E" w:rsidRDefault="00C37B1A" w:rsidP="009A556E">
            <w:pPr>
              <w:spacing w:before="40" w:after="40"/>
              <w:rPr>
                <w:rFonts w:cs="Times New Roman"/>
                <w:sz w:val="22"/>
              </w:rPr>
            </w:pPr>
            <w:r>
              <w:rPr>
                <w:rFonts w:cs="Times New Roman"/>
                <w:sz w:val="22"/>
              </w:rPr>
              <w:t>7 (5.5)</w:t>
            </w:r>
          </w:p>
        </w:tc>
        <w:tc>
          <w:tcPr>
            <w:tcW w:w="1444" w:type="dxa"/>
          </w:tcPr>
          <w:p w14:paraId="11AAA32E" w14:textId="059DF8FD" w:rsidR="00C37B1A" w:rsidRPr="009A556E" w:rsidRDefault="00C37B1A" w:rsidP="009A556E">
            <w:pPr>
              <w:spacing w:before="40" w:after="40"/>
              <w:rPr>
                <w:rFonts w:cs="Times New Roman"/>
                <w:sz w:val="22"/>
              </w:rPr>
            </w:pPr>
            <w:r>
              <w:rPr>
                <w:rFonts w:cs="Times New Roman"/>
                <w:sz w:val="22"/>
              </w:rPr>
              <w:t>9 (7.1)</w:t>
            </w:r>
          </w:p>
        </w:tc>
        <w:tc>
          <w:tcPr>
            <w:tcW w:w="1283" w:type="dxa"/>
          </w:tcPr>
          <w:p w14:paraId="5A42DC99" w14:textId="5EF5FC62" w:rsidR="00C37B1A" w:rsidRPr="009A556E" w:rsidRDefault="00C37B1A" w:rsidP="009A556E">
            <w:pPr>
              <w:spacing w:before="40" w:after="40"/>
              <w:rPr>
                <w:rFonts w:cs="Times New Roman"/>
                <w:sz w:val="22"/>
              </w:rPr>
            </w:pPr>
            <w:r>
              <w:rPr>
                <w:rFonts w:cs="Times New Roman"/>
                <w:sz w:val="22"/>
              </w:rPr>
              <w:t>16 (6.3)</w:t>
            </w:r>
          </w:p>
        </w:tc>
      </w:tr>
      <w:tr w:rsidR="00C37B1A" w:rsidRPr="009A556E" w14:paraId="3BBFAC6E" w14:textId="77777777" w:rsidTr="008C6C48">
        <w:trPr>
          <w:trHeight w:val="378"/>
        </w:trPr>
        <w:tc>
          <w:tcPr>
            <w:tcW w:w="4647" w:type="dxa"/>
          </w:tcPr>
          <w:p w14:paraId="3FE23B0C" w14:textId="7EB20B4D" w:rsidR="00C37B1A" w:rsidRPr="008C6C48" w:rsidRDefault="00C37B1A" w:rsidP="009A556E">
            <w:pPr>
              <w:spacing w:before="40" w:after="40"/>
              <w:rPr>
                <w:rFonts w:cs="Times New Roman"/>
                <w:b/>
                <w:bCs/>
                <w:sz w:val="22"/>
              </w:rPr>
            </w:pPr>
            <w:r w:rsidRPr="008C6C48">
              <w:rPr>
                <w:rFonts w:cs="Times New Roman"/>
                <w:b/>
                <w:bCs/>
                <w:sz w:val="22"/>
              </w:rPr>
              <w:t xml:space="preserve">Respiratory, </w:t>
            </w:r>
            <w:proofErr w:type="gramStart"/>
            <w:r w:rsidRPr="008C6C48">
              <w:rPr>
                <w:rFonts w:cs="Times New Roman"/>
                <w:b/>
                <w:bCs/>
                <w:sz w:val="22"/>
              </w:rPr>
              <w:t>thoracic</w:t>
            </w:r>
            <w:proofErr w:type="gramEnd"/>
            <w:r w:rsidRPr="008C6C48">
              <w:rPr>
                <w:rFonts w:cs="Times New Roman"/>
                <w:b/>
                <w:bCs/>
                <w:sz w:val="22"/>
              </w:rPr>
              <w:t xml:space="preserve"> and mediastinal disorders</w:t>
            </w:r>
          </w:p>
        </w:tc>
        <w:tc>
          <w:tcPr>
            <w:tcW w:w="1444" w:type="dxa"/>
          </w:tcPr>
          <w:p w14:paraId="650013FF" w14:textId="31E6A701" w:rsidR="00C37B1A" w:rsidRPr="009A556E" w:rsidRDefault="00C37B1A" w:rsidP="009A556E">
            <w:pPr>
              <w:spacing w:before="40" w:after="40"/>
              <w:rPr>
                <w:rFonts w:cs="Times New Roman"/>
                <w:sz w:val="22"/>
              </w:rPr>
            </w:pPr>
            <w:r>
              <w:rPr>
                <w:rFonts w:cs="Times New Roman"/>
                <w:sz w:val="22"/>
              </w:rPr>
              <w:t>26 (20.3)</w:t>
            </w:r>
          </w:p>
        </w:tc>
        <w:tc>
          <w:tcPr>
            <w:tcW w:w="1444" w:type="dxa"/>
          </w:tcPr>
          <w:p w14:paraId="4F0C1945" w14:textId="46564EA2" w:rsidR="00C37B1A" w:rsidRPr="009A556E" w:rsidRDefault="00C37B1A" w:rsidP="009A556E">
            <w:pPr>
              <w:spacing w:before="40" w:after="40"/>
              <w:rPr>
                <w:rFonts w:cs="Times New Roman"/>
                <w:sz w:val="22"/>
              </w:rPr>
            </w:pPr>
            <w:r>
              <w:rPr>
                <w:rFonts w:cs="Times New Roman"/>
                <w:sz w:val="22"/>
              </w:rPr>
              <w:t>26 (20.5)</w:t>
            </w:r>
          </w:p>
        </w:tc>
        <w:tc>
          <w:tcPr>
            <w:tcW w:w="1283" w:type="dxa"/>
          </w:tcPr>
          <w:p w14:paraId="1E323AAB" w14:textId="3169C09D" w:rsidR="00C37B1A" w:rsidRPr="009A556E" w:rsidRDefault="00C37B1A" w:rsidP="009A556E">
            <w:pPr>
              <w:spacing w:before="40" w:after="40"/>
              <w:rPr>
                <w:rFonts w:cs="Times New Roman"/>
                <w:sz w:val="22"/>
              </w:rPr>
            </w:pPr>
            <w:r>
              <w:rPr>
                <w:rFonts w:cs="Times New Roman"/>
                <w:sz w:val="22"/>
              </w:rPr>
              <w:t>52 (20.4)</w:t>
            </w:r>
          </w:p>
        </w:tc>
      </w:tr>
      <w:tr w:rsidR="00C37B1A" w:rsidRPr="009A556E" w14:paraId="1B0370F7" w14:textId="77777777" w:rsidTr="009A556E">
        <w:trPr>
          <w:trHeight w:val="341"/>
        </w:trPr>
        <w:tc>
          <w:tcPr>
            <w:tcW w:w="4647" w:type="dxa"/>
          </w:tcPr>
          <w:p w14:paraId="70044CC1" w14:textId="75C34538" w:rsidR="00C37B1A" w:rsidRPr="009A556E" w:rsidRDefault="00C37B1A" w:rsidP="009A556E">
            <w:pPr>
              <w:spacing w:before="40" w:after="40"/>
              <w:ind w:left="169"/>
              <w:rPr>
                <w:rFonts w:cs="Times New Roman"/>
                <w:sz w:val="22"/>
              </w:rPr>
            </w:pPr>
            <w:r>
              <w:rPr>
                <w:rFonts w:cs="Times New Roman"/>
                <w:sz w:val="22"/>
              </w:rPr>
              <w:t>Upper respiratory tract infection</w:t>
            </w:r>
          </w:p>
        </w:tc>
        <w:tc>
          <w:tcPr>
            <w:tcW w:w="1444" w:type="dxa"/>
          </w:tcPr>
          <w:p w14:paraId="70017342" w14:textId="169F5301" w:rsidR="00C37B1A" w:rsidRPr="009A556E" w:rsidRDefault="00BA3D2F" w:rsidP="009A556E">
            <w:pPr>
              <w:spacing w:before="40" w:after="40"/>
              <w:rPr>
                <w:rFonts w:cs="Times New Roman"/>
                <w:sz w:val="22"/>
              </w:rPr>
            </w:pPr>
            <w:r>
              <w:rPr>
                <w:rFonts w:cs="Times New Roman"/>
                <w:sz w:val="22"/>
              </w:rPr>
              <w:t>11 (8.6)</w:t>
            </w:r>
          </w:p>
        </w:tc>
        <w:tc>
          <w:tcPr>
            <w:tcW w:w="1444" w:type="dxa"/>
          </w:tcPr>
          <w:p w14:paraId="02AFAFD4" w14:textId="05CA4A2D" w:rsidR="00C37B1A" w:rsidRPr="009A556E" w:rsidRDefault="00BA3D2F" w:rsidP="009A556E">
            <w:pPr>
              <w:spacing w:before="40" w:after="40"/>
              <w:rPr>
                <w:rFonts w:cs="Times New Roman"/>
                <w:sz w:val="22"/>
              </w:rPr>
            </w:pPr>
            <w:r>
              <w:rPr>
                <w:rFonts w:cs="Times New Roman"/>
                <w:sz w:val="22"/>
              </w:rPr>
              <w:t>10 (7.9)</w:t>
            </w:r>
          </w:p>
        </w:tc>
        <w:tc>
          <w:tcPr>
            <w:tcW w:w="1283" w:type="dxa"/>
          </w:tcPr>
          <w:p w14:paraId="28F90D71" w14:textId="1672348D" w:rsidR="00C37B1A" w:rsidRPr="009A556E" w:rsidRDefault="00BA3D2F" w:rsidP="009A556E">
            <w:pPr>
              <w:spacing w:before="40" w:after="40"/>
              <w:rPr>
                <w:rFonts w:cs="Times New Roman"/>
                <w:sz w:val="22"/>
              </w:rPr>
            </w:pPr>
            <w:r>
              <w:rPr>
                <w:rFonts w:cs="Times New Roman"/>
                <w:sz w:val="22"/>
              </w:rPr>
              <w:t>21 (8.2)</w:t>
            </w:r>
          </w:p>
        </w:tc>
      </w:tr>
      <w:tr w:rsidR="00C37B1A" w:rsidRPr="009A556E" w14:paraId="512FDB0D" w14:textId="77777777" w:rsidTr="009A556E">
        <w:trPr>
          <w:trHeight w:val="334"/>
        </w:trPr>
        <w:tc>
          <w:tcPr>
            <w:tcW w:w="4647" w:type="dxa"/>
          </w:tcPr>
          <w:p w14:paraId="50B172BD" w14:textId="32ADD1C4" w:rsidR="00C37B1A" w:rsidRPr="008C6C48" w:rsidRDefault="00C37B1A" w:rsidP="009A556E">
            <w:pPr>
              <w:spacing w:before="40" w:after="40"/>
              <w:rPr>
                <w:rFonts w:cs="Times New Roman"/>
                <w:b/>
                <w:bCs/>
                <w:sz w:val="22"/>
              </w:rPr>
            </w:pPr>
            <w:r w:rsidRPr="008C6C48">
              <w:rPr>
                <w:rFonts w:cs="Times New Roman"/>
                <w:b/>
                <w:bCs/>
                <w:sz w:val="22"/>
              </w:rPr>
              <w:t>Infections and infestations</w:t>
            </w:r>
          </w:p>
        </w:tc>
        <w:tc>
          <w:tcPr>
            <w:tcW w:w="1444" w:type="dxa"/>
          </w:tcPr>
          <w:p w14:paraId="428BAC9A" w14:textId="60E6152F" w:rsidR="00C37B1A" w:rsidRPr="009A556E" w:rsidRDefault="002D129D" w:rsidP="009A556E">
            <w:pPr>
              <w:spacing w:before="40" w:after="40"/>
              <w:rPr>
                <w:rFonts w:cs="Times New Roman"/>
                <w:sz w:val="22"/>
              </w:rPr>
            </w:pPr>
            <w:r>
              <w:rPr>
                <w:rFonts w:cs="Times New Roman"/>
                <w:sz w:val="22"/>
              </w:rPr>
              <w:t>23 (18.0)</w:t>
            </w:r>
          </w:p>
        </w:tc>
        <w:tc>
          <w:tcPr>
            <w:tcW w:w="1444" w:type="dxa"/>
          </w:tcPr>
          <w:p w14:paraId="03697806" w14:textId="28F66300" w:rsidR="00C37B1A" w:rsidRPr="009A556E" w:rsidRDefault="00B01881" w:rsidP="009A556E">
            <w:pPr>
              <w:spacing w:before="40" w:after="40"/>
              <w:rPr>
                <w:rFonts w:cs="Times New Roman"/>
                <w:sz w:val="22"/>
              </w:rPr>
            </w:pPr>
            <w:r>
              <w:rPr>
                <w:rFonts w:cs="Times New Roman"/>
                <w:sz w:val="22"/>
              </w:rPr>
              <w:t>25 (19.7)</w:t>
            </w:r>
          </w:p>
        </w:tc>
        <w:tc>
          <w:tcPr>
            <w:tcW w:w="1283" w:type="dxa"/>
          </w:tcPr>
          <w:p w14:paraId="002E3D20" w14:textId="23EFB6CD" w:rsidR="00C37B1A" w:rsidRPr="009A556E" w:rsidRDefault="00B01881" w:rsidP="009A556E">
            <w:pPr>
              <w:spacing w:before="40" w:after="40"/>
              <w:rPr>
                <w:rFonts w:cs="Times New Roman"/>
                <w:sz w:val="22"/>
              </w:rPr>
            </w:pPr>
            <w:r>
              <w:rPr>
                <w:rFonts w:cs="Times New Roman"/>
                <w:sz w:val="22"/>
              </w:rPr>
              <w:t>48 (18.8)</w:t>
            </w:r>
          </w:p>
        </w:tc>
      </w:tr>
      <w:tr w:rsidR="00C37B1A" w:rsidRPr="009A556E" w14:paraId="58B0815E" w14:textId="77777777" w:rsidTr="009A556E">
        <w:trPr>
          <w:trHeight w:val="341"/>
        </w:trPr>
        <w:tc>
          <w:tcPr>
            <w:tcW w:w="4647" w:type="dxa"/>
          </w:tcPr>
          <w:p w14:paraId="0E5E0DB6" w14:textId="49905FBE" w:rsidR="00C37B1A" w:rsidRPr="009A556E" w:rsidRDefault="00C37B1A" w:rsidP="009A556E">
            <w:pPr>
              <w:spacing w:before="40" w:after="40"/>
              <w:ind w:left="169"/>
              <w:rPr>
                <w:rFonts w:cs="Times New Roman"/>
                <w:sz w:val="22"/>
              </w:rPr>
            </w:pPr>
            <w:r>
              <w:rPr>
                <w:rFonts w:cs="Times New Roman"/>
                <w:sz w:val="22"/>
              </w:rPr>
              <w:t>Folliculitis</w:t>
            </w:r>
          </w:p>
        </w:tc>
        <w:tc>
          <w:tcPr>
            <w:tcW w:w="1444" w:type="dxa"/>
          </w:tcPr>
          <w:p w14:paraId="4940AB66" w14:textId="3B598DCA" w:rsidR="00C37B1A" w:rsidRPr="009A556E" w:rsidRDefault="00B01881" w:rsidP="009A556E">
            <w:pPr>
              <w:spacing w:before="40" w:after="40"/>
              <w:rPr>
                <w:rFonts w:cs="Times New Roman"/>
                <w:sz w:val="22"/>
              </w:rPr>
            </w:pPr>
            <w:r>
              <w:rPr>
                <w:rFonts w:cs="Times New Roman"/>
                <w:sz w:val="22"/>
              </w:rPr>
              <w:t>7 (5.5)</w:t>
            </w:r>
          </w:p>
        </w:tc>
        <w:tc>
          <w:tcPr>
            <w:tcW w:w="1444" w:type="dxa"/>
          </w:tcPr>
          <w:p w14:paraId="50FC4F4E" w14:textId="3DD6926B" w:rsidR="00C37B1A" w:rsidRPr="009A556E" w:rsidRDefault="00B01881" w:rsidP="009A556E">
            <w:pPr>
              <w:spacing w:before="40" w:after="40"/>
              <w:rPr>
                <w:rFonts w:cs="Times New Roman"/>
                <w:sz w:val="22"/>
              </w:rPr>
            </w:pPr>
            <w:r>
              <w:rPr>
                <w:rFonts w:cs="Times New Roman"/>
                <w:sz w:val="22"/>
              </w:rPr>
              <w:t>5 (3.9)</w:t>
            </w:r>
          </w:p>
        </w:tc>
        <w:tc>
          <w:tcPr>
            <w:tcW w:w="1283" w:type="dxa"/>
          </w:tcPr>
          <w:p w14:paraId="7A7B48B6" w14:textId="6F2FF850" w:rsidR="00C37B1A" w:rsidRPr="009A556E" w:rsidRDefault="00B01881" w:rsidP="009A556E">
            <w:pPr>
              <w:spacing w:before="40" w:after="40"/>
              <w:rPr>
                <w:rFonts w:cs="Times New Roman"/>
                <w:sz w:val="22"/>
              </w:rPr>
            </w:pPr>
            <w:r>
              <w:rPr>
                <w:rFonts w:cs="Times New Roman"/>
                <w:sz w:val="22"/>
              </w:rPr>
              <w:t>12 (4.7)</w:t>
            </w:r>
          </w:p>
        </w:tc>
      </w:tr>
    </w:tbl>
    <w:p w14:paraId="1AC47482" w14:textId="77777777" w:rsidR="009C1A2C" w:rsidRDefault="009C1A2C" w:rsidP="009C1A2C">
      <w:pPr>
        <w:autoSpaceDE w:val="0"/>
        <w:autoSpaceDN w:val="0"/>
        <w:adjustRightInd w:val="0"/>
        <w:snapToGrid w:val="0"/>
        <w:spacing w:after="0"/>
        <w:jc w:val="left"/>
        <w:rPr>
          <w:rFonts w:ascii="TimesNewRoman" w:eastAsia="Times New Roman" w:hAnsi="TimesNewRoman" w:cs="TimesNewRoman"/>
          <w:color w:val="000000"/>
          <w:sz w:val="20"/>
          <w:szCs w:val="24"/>
          <w:lang w:val="x-none"/>
        </w:rPr>
      </w:pPr>
      <w:r>
        <w:rPr>
          <w:rFonts w:ascii="TimesNewRoman" w:eastAsia="Times New Roman" w:hAnsi="TimesNewRoman" w:cs="TimesNewRoman"/>
          <w:color w:val="000000"/>
          <w:sz w:val="20"/>
          <w:szCs w:val="24"/>
          <w:lang w:val="x-none"/>
        </w:rPr>
        <w:t>a: P value from Fisher's exact test</w:t>
      </w:r>
    </w:p>
    <w:p w14:paraId="7DB66462" w14:textId="77777777" w:rsidR="009C1A2C" w:rsidRDefault="009C1A2C" w:rsidP="009C1A2C">
      <w:pPr>
        <w:autoSpaceDE w:val="0"/>
        <w:autoSpaceDN w:val="0"/>
        <w:adjustRightInd w:val="0"/>
        <w:snapToGrid w:val="0"/>
        <w:spacing w:after="0"/>
        <w:jc w:val="left"/>
        <w:rPr>
          <w:rFonts w:ascii="TimesNewRoman" w:eastAsia="Times New Roman" w:hAnsi="TimesNewRoman" w:cs="TimesNewRoman"/>
          <w:color w:val="000000"/>
          <w:sz w:val="20"/>
          <w:szCs w:val="24"/>
          <w:lang w:val="x-none"/>
        </w:rPr>
      </w:pPr>
      <w:r>
        <w:rPr>
          <w:rFonts w:ascii="TimesNewRoman" w:eastAsia="Times New Roman" w:hAnsi="TimesNewRoman" w:cs="TimesNewRoman"/>
          <w:color w:val="000000"/>
          <w:sz w:val="20"/>
          <w:szCs w:val="24"/>
          <w:lang w:val="x-none"/>
        </w:rPr>
        <w:t>b:SMQ (Standardized MedDRA Query) equates to System Organ Class with sponsor defined exceptions.</w:t>
      </w:r>
    </w:p>
    <w:p w14:paraId="6844E3AE" w14:textId="0EE58FD1" w:rsidR="007E2FCF" w:rsidRPr="00867983" w:rsidRDefault="00523F26" w:rsidP="00867983">
      <w:pPr>
        <w:autoSpaceDE w:val="0"/>
        <w:autoSpaceDN w:val="0"/>
        <w:adjustRightInd w:val="0"/>
        <w:snapToGrid w:val="0"/>
        <w:spacing w:after="0"/>
        <w:jc w:val="left"/>
        <w:rPr>
          <w:rFonts w:ascii="TimesNewRoman" w:eastAsia="Times New Roman" w:hAnsi="TimesNewRoman" w:cs="TimesNewRoman"/>
          <w:color w:val="000000"/>
          <w:sz w:val="20"/>
          <w:szCs w:val="24"/>
          <w:lang w:val="x-none"/>
        </w:rPr>
      </w:pPr>
      <w:r w:rsidRPr="00867983">
        <w:rPr>
          <w:sz w:val="20"/>
          <w:szCs w:val="20"/>
        </w:rPr>
        <w:t>C:</w:t>
      </w:r>
      <w:r w:rsidRPr="00523F26">
        <w:rPr>
          <w:rFonts w:ascii="TimesNewRoman" w:eastAsia="Times New Roman" w:hAnsi="TimesNewRoman" w:cs="TimesNewRoman"/>
          <w:color w:val="000000"/>
          <w:sz w:val="20"/>
          <w:szCs w:val="24"/>
          <w:lang w:val="x-none"/>
        </w:rPr>
        <w:t xml:space="preserve"> </w:t>
      </w:r>
      <w:r>
        <w:rPr>
          <w:rFonts w:ascii="TimesNewRoman" w:eastAsia="Times New Roman" w:hAnsi="TimesNewRoman" w:cs="TimesNewRoman"/>
          <w:color w:val="000000"/>
          <w:sz w:val="20"/>
          <w:szCs w:val="24"/>
          <w:lang w:val="x-none"/>
        </w:rPr>
        <w:t>Chlormethine HCl 0.02% compounded in Aquaphor® ointment</w:t>
      </w:r>
    </w:p>
    <w:p w14:paraId="5D296250" w14:textId="032501D3" w:rsidR="00523F26" w:rsidRPr="00867983" w:rsidRDefault="00523F26" w:rsidP="009A556E">
      <w:pPr>
        <w:rPr>
          <w:sz w:val="20"/>
          <w:szCs w:val="20"/>
        </w:rPr>
      </w:pPr>
      <w:r w:rsidRPr="00867983">
        <w:rPr>
          <w:sz w:val="20"/>
          <w:szCs w:val="20"/>
        </w:rPr>
        <w:t>D:</w:t>
      </w:r>
      <w:r>
        <w:rPr>
          <w:sz w:val="20"/>
          <w:szCs w:val="20"/>
        </w:rPr>
        <w:t xml:space="preserve"> </w:t>
      </w:r>
      <w:r w:rsidR="00867983">
        <w:rPr>
          <w:rFonts w:ascii="TimesNewRoman" w:eastAsia="Times New Roman" w:hAnsi="TimesNewRoman" w:cs="TimesNewRoman"/>
          <w:color w:val="000000"/>
          <w:sz w:val="20"/>
          <w:szCs w:val="24"/>
          <w:lang w:val="x-none"/>
        </w:rPr>
        <w:t>Chlormethine HCl 0.02%</w:t>
      </w:r>
    </w:p>
    <w:p w14:paraId="3749B8C6" w14:textId="2A230D79" w:rsidR="00B53105" w:rsidRPr="00B53105" w:rsidRDefault="00B53105" w:rsidP="00B53105">
      <w:pPr>
        <w:rPr>
          <w:b/>
          <w:bCs/>
        </w:rPr>
      </w:pPr>
      <w:r w:rsidRPr="00B53105">
        <w:rPr>
          <w:b/>
          <w:bCs/>
        </w:rPr>
        <w:lastRenderedPageBreak/>
        <w:t xml:space="preserve">Elderly population </w:t>
      </w:r>
    </w:p>
    <w:p w14:paraId="2242447C" w14:textId="74460A3F" w:rsidR="00B53105" w:rsidRDefault="00B53105" w:rsidP="00B53105">
      <w:r>
        <w:t>In the controlled clinical trial, 31% (79/255) of the study population were aged 65 years or older. The safety profile observed in elderly patients was consistent with that in the overall patient population.</w:t>
      </w:r>
    </w:p>
    <w:p w14:paraId="3E040F1E" w14:textId="6314FF0B" w:rsidR="00A20AFB" w:rsidRDefault="00A20AFB" w:rsidP="00B53105">
      <w:pPr>
        <w:rPr>
          <w:b/>
          <w:bCs/>
        </w:rPr>
      </w:pPr>
      <w:r w:rsidRPr="007E2FCF">
        <w:rPr>
          <w:b/>
          <w:bCs/>
        </w:rPr>
        <w:t>Post marketing</w:t>
      </w:r>
    </w:p>
    <w:p w14:paraId="682FF6C2" w14:textId="32D1568B" w:rsidR="00F14026" w:rsidRDefault="00C938EF" w:rsidP="0000682A">
      <w:pPr>
        <w:rPr>
          <w:rFonts w:ascii="TimesNewRoman" w:eastAsia="Times New Roman" w:hAnsi="TimesNewRoman" w:cs="TimesNewRoman"/>
          <w:color w:val="000000"/>
          <w:szCs w:val="24"/>
          <w:lang w:val="x-none"/>
        </w:rPr>
      </w:pPr>
      <w:r>
        <w:rPr>
          <w:rFonts w:ascii="TimesNewRoman" w:eastAsia="Times New Roman" w:hAnsi="TimesNewRoman" w:cs="TimesNewRoman"/>
          <w:color w:val="000000"/>
          <w:szCs w:val="24"/>
        </w:rPr>
        <w:t xml:space="preserve">An </w:t>
      </w:r>
      <w:r w:rsidR="00FF1336" w:rsidRPr="00A71BF6">
        <w:rPr>
          <w:rFonts w:ascii="TimesNewRoman" w:eastAsia="Times New Roman" w:hAnsi="TimesNewRoman" w:cs="TimesNewRoman"/>
          <w:color w:val="000000"/>
          <w:szCs w:val="24"/>
        </w:rPr>
        <w:t xml:space="preserve">observational post-marketing study </w:t>
      </w:r>
      <w:r>
        <w:rPr>
          <w:rFonts w:ascii="TimesNewRoman" w:eastAsia="Times New Roman" w:hAnsi="TimesNewRoman" w:cs="TimesNewRoman"/>
          <w:color w:val="000000"/>
          <w:szCs w:val="24"/>
        </w:rPr>
        <w:t xml:space="preserve">was </w:t>
      </w:r>
      <w:r w:rsidR="00FF1336" w:rsidRPr="00A71BF6">
        <w:rPr>
          <w:rFonts w:ascii="TimesNewRoman" w:eastAsia="Times New Roman" w:hAnsi="TimesNewRoman" w:cs="TimesNewRoman"/>
          <w:color w:val="000000"/>
          <w:szCs w:val="24"/>
        </w:rPr>
        <w:t>undertaken in the U</w:t>
      </w:r>
      <w:r w:rsidR="00A71BF6">
        <w:rPr>
          <w:rFonts w:ascii="TimesNewRoman" w:eastAsia="Times New Roman" w:hAnsi="TimesNewRoman" w:cs="TimesNewRoman"/>
          <w:color w:val="000000"/>
          <w:szCs w:val="24"/>
        </w:rPr>
        <w:t>nited States</w:t>
      </w:r>
      <w:r w:rsidR="00FF1336" w:rsidRPr="00A71BF6">
        <w:rPr>
          <w:rFonts w:ascii="TimesNewRoman" w:eastAsia="Times New Roman" w:hAnsi="TimesNewRoman" w:cs="TimesNewRoman"/>
          <w:color w:val="000000"/>
          <w:szCs w:val="24"/>
        </w:rPr>
        <w:t xml:space="preserve">. </w:t>
      </w:r>
      <w:r w:rsidR="0062094B" w:rsidRPr="00A71BF6">
        <w:rPr>
          <w:rFonts w:ascii="TimesNewRoman" w:eastAsia="Times New Roman" w:hAnsi="TimesNewRoman" w:cs="TimesNewRoman"/>
          <w:color w:val="000000"/>
          <w:szCs w:val="24"/>
          <w:lang w:val="x-none"/>
        </w:rPr>
        <w:t>Non-serious A</w:t>
      </w:r>
      <w:r w:rsidR="0062094B" w:rsidRPr="00A71BF6">
        <w:rPr>
          <w:rFonts w:ascii="TimesNewRoman" w:eastAsia="Times New Roman" w:hAnsi="TimesNewRoman" w:cs="TimesNewRoman"/>
          <w:color w:val="000000"/>
          <w:szCs w:val="24"/>
        </w:rPr>
        <w:t>E</w:t>
      </w:r>
      <w:r w:rsidR="0062094B" w:rsidRPr="00A71BF6">
        <w:rPr>
          <w:rFonts w:ascii="TimesNewRoman" w:eastAsia="Times New Roman" w:hAnsi="TimesNewRoman" w:cs="TimesNewRoman"/>
          <w:color w:val="000000"/>
          <w:szCs w:val="24"/>
          <w:lang w:val="x-none"/>
        </w:rPr>
        <w:t>s</w:t>
      </w:r>
      <w:r w:rsidR="0062094B" w:rsidRPr="00A71BF6">
        <w:rPr>
          <w:rFonts w:ascii="TimesNewRoman" w:eastAsia="Times New Roman" w:hAnsi="TimesNewRoman" w:cs="TimesNewRoman"/>
          <w:color w:val="000000"/>
          <w:szCs w:val="24"/>
        </w:rPr>
        <w:t xml:space="preserve"> </w:t>
      </w:r>
      <w:r w:rsidR="0062094B" w:rsidRPr="00A71BF6">
        <w:rPr>
          <w:rFonts w:ascii="TimesNewRoman" w:eastAsia="Times New Roman" w:hAnsi="TimesNewRoman" w:cs="TimesNewRoman"/>
          <w:color w:val="000000"/>
          <w:szCs w:val="24"/>
          <w:lang w:val="x-none"/>
        </w:rPr>
        <w:t>assessed as related to Chlormethine Gel were experienced by 83</w:t>
      </w:r>
      <w:r>
        <w:rPr>
          <w:rFonts w:ascii="TimesNewRoman" w:eastAsia="Times New Roman" w:hAnsi="TimesNewRoman" w:cs="TimesNewRoman"/>
          <w:color w:val="000000"/>
          <w:szCs w:val="24"/>
        </w:rPr>
        <w:t xml:space="preserve"> or 298</w:t>
      </w:r>
      <w:r w:rsidR="0062094B" w:rsidRPr="00A71BF6">
        <w:rPr>
          <w:rFonts w:ascii="TimesNewRoman" w:eastAsia="Times New Roman" w:hAnsi="TimesNewRoman" w:cs="TimesNewRoman"/>
          <w:color w:val="000000"/>
          <w:szCs w:val="24"/>
          <w:lang w:val="x-none"/>
        </w:rPr>
        <w:t xml:space="preserve"> patients (27.9%) in the Chlormethine Gel </w:t>
      </w:r>
      <w:r w:rsidR="00784773" w:rsidRPr="00A71BF6">
        <w:rPr>
          <w:rFonts w:ascii="TimesNewRoman" w:eastAsia="Times New Roman" w:hAnsi="TimesNewRoman" w:cs="TimesNewRoman"/>
          <w:color w:val="000000"/>
          <w:szCs w:val="24"/>
        </w:rPr>
        <w:t xml:space="preserve">plus any other treatment </w:t>
      </w:r>
      <w:r w:rsidR="0062094B" w:rsidRPr="00A71BF6">
        <w:rPr>
          <w:rFonts w:ascii="TimesNewRoman" w:eastAsia="Times New Roman" w:hAnsi="TimesNewRoman" w:cs="TimesNewRoman"/>
          <w:color w:val="000000"/>
          <w:szCs w:val="24"/>
          <w:lang w:val="x-none"/>
        </w:rPr>
        <w:t xml:space="preserve">group. </w:t>
      </w:r>
      <w:r w:rsidR="0000682A" w:rsidRPr="0000682A">
        <w:rPr>
          <w:rFonts w:ascii="TimesNewRoman" w:eastAsia="Times New Roman" w:hAnsi="TimesNewRoman" w:cs="TimesNewRoman"/>
          <w:color w:val="000000"/>
          <w:szCs w:val="24"/>
          <w:lang w:val="x-none"/>
        </w:rPr>
        <w:t xml:space="preserve">No </w:t>
      </w:r>
      <w:r w:rsidR="0000682A">
        <w:rPr>
          <w:rFonts w:ascii="TimesNewRoman" w:eastAsia="Times New Roman" w:hAnsi="TimesNewRoman" w:cs="TimesNewRoman"/>
          <w:color w:val="000000"/>
          <w:szCs w:val="24"/>
        </w:rPr>
        <w:t xml:space="preserve">serious adverse events were </w:t>
      </w:r>
      <w:r w:rsidR="0000682A" w:rsidRPr="0000682A">
        <w:rPr>
          <w:rFonts w:ascii="TimesNewRoman" w:eastAsia="Times New Roman" w:hAnsi="TimesNewRoman" w:cs="TimesNewRoman"/>
          <w:color w:val="000000"/>
          <w:szCs w:val="24"/>
          <w:lang w:val="x-none"/>
        </w:rPr>
        <w:t>assessed to be related to chlormethine gel.</w:t>
      </w:r>
    </w:p>
    <w:p w14:paraId="63330D6A" w14:textId="1BBB3862" w:rsidR="00A031DB" w:rsidRPr="005F39AC" w:rsidRDefault="005F39AC" w:rsidP="005F39AC">
      <w:pPr>
        <w:rPr>
          <w:rFonts w:ascii="TimesNewRoman" w:eastAsia="Times New Roman" w:hAnsi="TimesNewRoman" w:cs="TimesNewRoman"/>
          <w:color w:val="000000"/>
          <w:szCs w:val="24"/>
        </w:rPr>
      </w:pPr>
      <w:r>
        <w:rPr>
          <w:rFonts w:ascii="TimesNewRoman" w:eastAsia="Times New Roman" w:hAnsi="TimesNewRoman" w:cs="TimesNewRoman"/>
          <w:color w:val="000000"/>
          <w:szCs w:val="24"/>
        </w:rPr>
        <w:t>O</w:t>
      </w:r>
      <w:r w:rsidR="00B35FC5" w:rsidRPr="005F39AC">
        <w:rPr>
          <w:rFonts w:ascii="TimesNewRoman" w:eastAsia="Times New Roman" w:hAnsi="TimesNewRoman" w:cs="TimesNewRoman"/>
          <w:color w:val="000000"/>
          <w:szCs w:val="24"/>
        </w:rPr>
        <w:t xml:space="preserve">f </w:t>
      </w:r>
      <w:r w:rsidR="00E75887" w:rsidRPr="005F39AC">
        <w:rPr>
          <w:rFonts w:ascii="TimesNewRoman" w:eastAsia="Times New Roman" w:hAnsi="TimesNewRoman" w:cs="TimesNewRoman"/>
          <w:color w:val="000000"/>
          <w:szCs w:val="24"/>
        </w:rPr>
        <w:t>the s</w:t>
      </w:r>
      <w:r w:rsidR="0017288F" w:rsidRPr="005F39AC">
        <w:rPr>
          <w:rFonts w:ascii="TimesNewRoman" w:eastAsia="Times New Roman" w:hAnsi="TimesNewRoman" w:cs="TimesNewRoman"/>
          <w:color w:val="000000"/>
          <w:szCs w:val="24"/>
        </w:rPr>
        <w:t>kin and subcutaneous tissue disorder</w:t>
      </w:r>
      <w:r w:rsidR="00B35FC5" w:rsidRPr="005F39AC">
        <w:rPr>
          <w:rFonts w:ascii="TimesNewRoman" w:eastAsia="Times New Roman" w:hAnsi="TimesNewRoman" w:cs="TimesNewRoman"/>
          <w:color w:val="000000"/>
          <w:szCs w:val="24"/>
        </w:rPr>
        <w:t xml:space="preserve"> AEs </w:t>
      </w:r>
      <w:r w:rsidR="007F78A7" w:rsidRPr="005F39AC">
        <w:rPr>
          <w:rFonts w:ascii="TimesNewRoman" w:eastAsia="Times New Roman" w:hAnsi="TimesNewRoman" w:cs="TimesNewRoman"/>
          <w:color w:val="000000"/>
          <w:szCs w:val="24"/>
          <w:lang w:val="x-none"/>
        </w:rPr>
        <w:t xml:space="preserve">related to </w:t>
      </w:r>
      <w:r w:rsidR="00C938EF" w:rsidRPr="005F39AC">
        <w:rPr>
          <w:rFonts w:ascii="TimesNewRoman" w:eastAsia="Times New Roman" w:hAnsi="TimesNewRoman" w:cs="TimesNewRoman"/>
          <w:color w:val="000000"/>
          <w:szCs w:val="24"/>
          <w:lang w:val="x-none"/>
        </w:rPr>
        <w:t>Chlormethine Gel</w:t>
      </w:r>
      <w:r w:rsidR="007F78A7" w:rsidRPr="005F39AC">
        <w:rPr>
          <w:rFonts w:ascii="TimesNewRoman" w:eastAsia="Times New Roman" w:hAnsi="TimesNewRoman" w:cs="TimesNewRoman"/>
          <w:color w:val="000000"/>
          <w:szCs w:val="24"/>
          <w:lang w:val="x-none"/>
        </w:rPr>
        <w:t xml:space="preserve">, dermatitis </w:t>
      </w:r>
      <w:r w:rsidR="00B35FC5" w:rsidRPr="005F39AC">
        <w:rPr>
          <w:rFonts w:ascii="TimesNewRoman" w:eastAsia="Times New Roman" w:hAnsi="TimesNewRoman" w:cs="TimesNewRoman"/>
          <w:color w:val="000000"/>
          <w:szCs w:val="24"/>
        </w:rPr>
        <w:t xml:space="preserve">was </w:t>
      </w:r>
      <w:r w:rsidR="007F78A7" w:rsidRPr="005F39AC">
        <w:rPr>
          <w:rFonts w:ascii="TimesNewRoman" w:eastAsia="Times New Roman" w:hAnsi="TimesNewRoman" w:cs="TimesNewRoman"/>
          <w:color w:val="000000"/>
          <w:szCs w:val="24"/>
          <w:lang w:val="x-none"/>
        </w:rPr>
        <w:t>assessed to be related in 37 patients (12.4%), pruritus in 22 patients (7.4%) and skin</w:t>
      </w:r>
      <w:r w:rsidR="007F78A7" w:rsidRPr="005F39AC">
        <w:rPr>
          <w:rFonts w:ascii="TimesNewRoman" w:eastAsia="Times New Roman" w:hAnsi="TimesNewRoman" w:cs="TimesNewRoman"/>
          <w:color w:val="000000"/>
          <w:szCs w:val="24"/>
        </w:rPr>
        <w:t xml:space="preserve"> </w:t>
      </w:r>
      <w:r w:rsidR="007F78A7" w:rsidRPr="005F39AC">
        <w:rPr>
          <w:rFonts w:ascii="TimesNewRoman" w:eastAsia="Times New Roman" w:hAnsi="TimesNewRoman" w:cs="TimesNewRoman"/>
          <w:color w:val="000000"/>
          <w:szCs w:val="24"/>
          <w:lang w:val="x-none"/>
        </w:rPr>
        <w:t>irritation in 21 patients (7.0%)</w:t>
      </w:r>
      <w:r w:rsidR="00B35FC5" w:rsidRPr="005F39AC">
        <w:rPr>
          <w:rFonts w:ascii="TimesNewRoman" w:eastAsia="Times New Roman" w:hAnsi="TimesNewRoman" w:cs="TimesNewRoman"/>
          <w:color w:val="000000"/>
          <w:szCs w:val="24"/>
        </w:rPr>
        <w:t xml:space="preserve">. </w:t>
      </w:r>
      <w:r w:rsidR="0055403D" w:rsidRPr="005F39AC">
        <w:rPr>
          <w:rFonts w:ascii="TimesNewRoman" w:eastAsia="Times New Roman" w:hAnsi="TimesNewRoman" w:cs="TimesNewRoman"/>
          <w:color w:val="000000"/>
          <w:szCs w:val="24"/>
        </w:rPr>
        <w:t xml:space="preserve">These rates are lower than in the </w:t>
      </w:r>
      <w:r w:rsidR="00C938EF" w:rsidRPr="005F39AC">
        <w:rPr>
          <w:rFonts w:ascii="TimesNewRoman" w:eastAsia="Times New Roman" w:hAnsi="TimesNewRoman" w:cs="TimesNewRoman"/>
          <w:color w:val="000000"/>
          <w:szCs w:val="24"/>
        </w:rPr>
        <w:t>registration</w:t>
      </w:r>
      <w:r w:rsidR="0055403D" w:rsidRPr="005F39AC">
        <w:rPr>
          <w:rFonts w:ascii="TimesNewRoman" w:eastAsia="Times New Roman" w:hAnsi="TimesNewRoman" w:cs="TimesNewRoman"/>
          <w:color w:val="000000"/>
          <w:szCs w:val="24"/>
        </w:rPr>
        <w:t xml:space="preserve"> study and </w:t>
      </w:r>
      <w:r w:rsidR="00C938EF" w:rsidRPr="005F39AC">
        <w:rPr>
          <w:rFonts w:ascii="TimesNewRoman" w:eastAsia="Times New Roman" w:hAnsi="TimesNewRoman" w:cs="TimesNewRoman"/>
          <w:color w:val="000000"/>
          <w:szCs w:val="24"/>
        </w:rPr>
        <w:t xml:space="preserve">which </w:t>
      </w:r>
      <w:r w:rsidR="00670F13" w:rsidRPr="005F39AC">
        <w:rPr>
          <w:rFonts w:ascii="TimesNewRoman" w:eastAsia="Times New Roman" w:hAnsi="TimesNewRoman" w:cs="TimesNewRoman"/>
          <w:color w:val="000000"/>
          <w:szCs w:val="24"/>
        </w:rPr>
        <w:t>may be due to:</w:t>
      </w:r>
    </w:p>
    <w:p w14:paraId="2E118665" w14:textId="6C0DA9AC" w:rsidR="00670F13" w:rsidRPr="00C938EF" w:rsidRDefault="00670F13" w:rsidP="00C938EF">
      <w:pPr>
        <w:pStyle w:val="ListParagraph"/>
        <w:numPr>
          <w:ilvl w:val="0"/>
          <w:numId w:val="12"/>
        </w:numPr>
        <w:rPr>
          <w:rFonts w:ascii="TimesNewRoman" w:eastAsia="Times New Roman" w:hAnsi="TimesNewRoman" w:cs="TimesNewRoman"/>
          <w:color w:val="000000"/>
          <w:szCs w:val="24"/>
        </w:rPr>
      </w:pPr>
      <w:r w:rsidRPr="00C938EF">
        <w:rPr>
          <w:rFonts w:ascii="TimesNewRoman" w:eastAsia="Times New Roman" w:hAnsi="TimesNewRoman" w:cs="TimesNewRoman"/>
          <w:color w:val="000000"/>
          <w:szCs w:val="24"/>
        </w:rPr>
        <w:t>widespread concomitant use of topical corticosteroids</w:t>
      </w:r>
    </w:p>
    <w:p w14:paraId="2A231BC8" w14:textId="5FB7CDE7" w:rsidR="00670F13" w:rsidRPr="00C938EF" w:rsidRDefault="00670F13" w:rsidP="00C938EF">
      <w:pPr>
        <w:pStyle w:val="ListParagraph"/>
        <w:numPr>
          <w:ilvl w:val="0"/>
          <w:numId w:val="12"/>
        </w:numPr>
        <w:rPr>
          <w:rFonts w:ascii="TimesNewRoman" w:eastAsia="Times New Roman" w:hAnsi="TimesNewRoman" w:cs="TimesNewRoman"/>
          <w:color w:val="000000"/>
          <w:szCs w:val="24"/>
        </w:rPr>
      </w:pPr>
      <w:r w:rsidRPr="00C938EF">
        <w:rPr>
          <w:rFonts w:ascii="TimesNewRoman" w:eastAsia="Times New Roman" w:hAnsi="TimesNewRoman" w:cs="TimesNewRoman"/>
          <w:color w:val="000000"/>
          <w:szCs w:val="24"/>
        </w:rPr>
        <w:t>periods of less frequent dosing</w:t>
      </w:r>
    </w:p>
    <w:p w14:paraId="3EBAFB2C" w14:textId="4AF1E11A" w:rsidR="00C938EF" w:rsidRPr="00C938EF" w:rsidRDefault="00C938EF" w:rsidP="00C938EF">
      <w:pPr>
        <w:pStyle w:val="ListParagraph"/>
        <w:numPr>
          <w:ilvl w:val="0"/>
          <w:numId w:val="12"/>
        </w:numPr>
        <w:rPr>
          <w:rFonts w:ascii="TimesNewRoman" w:eastAsia="Times New Roman" w:hAnsi="TimesNewRoman" w:cs="TimesNewRoman"/>
          <w:color w:val="000000"/>
          <w:szCs w:val="24"/>
          <w:lang w:val="x-none"/>
        </w:rPr>
      </w:pPr>
      <w:r w:rsidRPr="00C938EF">
        <w:rPr>
          <w:rFonts w:ascii="TimesNewRoman" w:eastAsia="Times New Roman" w:hAnsi="TimesNewRoman" w:cs="TimesNewRoman"/>
          <w:color w:val="000000"/>
          <w:szCs w:val="24"/>
        </w:rPr>
        <w:t xml:space="preserve">most patients (254/298=85.2%) were already using mechlorethamine gel for &gt;30 days at </w:t>
      </w:r>
      <w:r w:rsidR="005F39AC" w:rsidRPr="00C938EF">
        <w:rPr>
          <w:rFonts w:ascii="TimesNewRoman" w:eastAsia="Times New Roman" w:hAnsi="TimesNewRoman" w:cs="TimesNewRoman"/>
          <w:color w:val="000000"/>
          <w:szCs w:val="24"/>
        </w:rPr>
        <w:t>enrolment</w:t>
      </w:r>
      <w:r w:rsidRPr="00C938EF">
        <w:rPr>
          <w:rFonts w:ascii="TimesNewRoman" w:eastAsia="Times New Roman" w:hAnsi="TimesNewRoman" w:cs="TimesNewRoman"/>
          <w:color w:val="000000"/>
          <w:szCs w:val="24"/>
        </w:rPr>
        <w:t>. Dermatitis reactions are known to occur more frequently early in treatment.</w:t>
      </w:r>
      <w:r w:rsidRPr="00C938EF">
        <w:rPr>
          <w:rFonts w:ascii="TimesNewRoman" w:eastAsia="Times New Roman" w:hAnsi="TimesNewRoman" w:cs="TimesNewRoman"/>
          <w:color w:val="000000"/>
          <w:szCs w:val="24"/>
          <w:lang w:val="x-none"/>
        </w:rPr>
        <w:t xml:space="preserve"> </w:t>
      </w:r>
    </w:p>
    <w:p w14:paraId="7E988BF7" w14:textId="154CCF57" w:rsidR="00A71BF6" w:rsidRPr="00A71BF6" w:rsidRDefault="00A71BF6" w:rsidP="00C938EF">
      <w:pPr>
        <w:rPr>
          <w:rFonts w:ascii="TimesNewRoman" w:eastAsia="Times New Roman" w:hAnsi="TimesNewRoman" w:cs="TimesNewRoman"/>
          <w:color w:val="000000"/>
          <w:szCs w:val="24"/>
          <w:lang w:val="x-none"/>
        </w:rPr>
      </w:pPr>
      <w:r w:rsidRPr="00A71BF6">
        <w:rPr>
          <w:rFonts w:ascii="TimesNewRoman" w:eastAsia="Times New Roman" w:hAnsi="TimesNewRoman" w:cs="TimesNewRoman"/>
          <w:color w:val="000000"/>
          <w:szCs w:val="24"/>
          <w:lang w:val="x-none"/>
        </w:rPr>
        <w:t xml:space="preserve">Based on the evaluation of the cumulative safety data from all </w:t>
      </w:r>
      <w:r>
        <w:rPr>
          <w:rFonts w:ascii="TimesNewRoman" w:eastAsia="Times New Roman" w:hAnsi="TimesNewRoman" w:cs="TimesNewRoman"/>
          <w:color w:val="000000"/>
          <w:szCs w:val="24"/>
        </w:rPr>
        <w:t xml:space="preserve">global </w:t>
      </w:r>
      <w:r w:rsidRPr="00A71BF6">
        <w:rPr>
          <w:rFonts w:ascii="TimesNewRoman" w:eastAsia="Times New Roman" w:hAnsi="TimesNewRoman" w:cs="TimesNewRoman"/>
          <w:color w:val="000000"/>
          <w:szCs w:val="24"/>
          <w:lang w:val="x-none"/>
        </w:rPr>
        <w:t>post-marketing sources, no new risks or signals have been identified with the chlormethine gel formulation.</w:t>
      </w:r>
    </w:p>
    <w:p w14:paraId="3D184AF0" w14:textId="60AB0864" w:rsidR="00080901" w:rsidRPr="00B53105" w:rsidRDefault="00B53105" w:rsidP="00B53105">
      <w:pPr>
        <w:rPr>
          <w:b/>
          <w:bCs/>
        </w:rPr>
      </w:pPr>
      <w:r w:rsidRPr="00B53105">
        <w:rPr>
          <w:b/>
          <w:bCs/>
        </w:rPr>
        <w:t>Reporting of suspected adverse reactions</w:t>
      </w:r>
    </w:p>
    <w:p w14:paraId="211CCFF2" w14:textId="4B36C2CB" w:rsidR="00B53105" w:rsidRDefault="003D549B" w:rsidP="003D549B">
      <w:r>
        <w:t>Reporting suspected adverse reactions after registration of the medicinal product is important. It allows continued monitoring of the benefit-risk balance of the medicinal product. Healthcare professionals are asked to report any suspected adverse reactions at www.tga.gov.au/reporting-problems.</w:t>
      </w:r>
    </w:p>
    <w:p w14:paraId="0AE05892" w14:textId="3D9AD4CC" w:rsidR="00EA6A6B" w:rsidRDefault="00EA6A6B" w:rsidP="00EA6A6B">
      <w:pPr>
        <w:pStyle w:val="Heading2"/>
        <w:numPr>
          <w:ilvl w:val="1"/>
          <w:numId w:val="6"/>
        </w:numPr>
      </w:pPr>
      <w:r>
        <w:t>OVERDOSE</w:t>
      </w:r>
    </w:p>
    <w:p w14:paraId="77E26FF2" w14:textId="38080A9C" w:rsidR="00EA6A6B" w:rsidRDefault="00FE7114" w:rsidP="00EA6A6B">
      <w:r w:rsidRPr="00FE7114">
        <w:t xml:space="preserve">No cases of overdose after cutaneous use of </w:t>
      </w:r>
      <w:proofErr w:type="spellStart"/>
      <w:r w:rsidRPr="00FE7114">
        <w:t>Ledaga</w:t>
      </w:r>
      <w:proofErr w:type="spellEnd"/>
      <w:r w:rsidRPr="00FE7114">
        <w:t xml:space="preserve"> were reported during the clinical development programme or post-marketing period. Management of overdose should consist of washing the exposed area with water.</w:t>
      </w:r>
    </w:p>
    <w:p w14:paraId="6891D9D1" w14:textId="1AE6DD05" w:rsidR="00EA6A6B" w:rsidRDefault="00EA6A6B" w:rsidP="00EA6A6B">
      <w:pPr>
        <w:pStyle w:val="Heading1"/>
      </w:pPr>
      <w:r>
        <w:t>PHARMACOLOGICAL PROPERTIES</w:t>
      </w:r>
    </w:p>
    <w:p w14:paraId="25B9C91B" w14:textId="1DF8FA91" w:rsidR="00EA6A6B" w:rsidRDefault="00EA6A6B" w:rsidP="00EA6A6B">
      <w:pPr>
        <w:pStyle w:val="Heading2"/>
        <w:numPr>
          <w:ilvl w:val="1"/>
          <w:numId w:val="6"/>
        </w:numPr>
      </w:pPr>
      <w:r>
        <w:t>PHARMACODYNAMIC PROPERTIES</w:t>
      </w:r>
    </w:p>
    <w:p w14:paraId="11A86AD0" w14:textId="77777777" w:rsidR="00FE7114" w:rsidRDefault="00FE7114" w:rsidP="00FE7114">
      <w:r w:rsidRPr="00FE7114">
        <w:t xml:space="preserve">Pharmacotherapeutic group: Antineoplastic agents, nitrogen mustard analogues, ATC code: L01AA05. </w:t>
      </w:r>
    </w:p>
    <w:p w14:paraId="57860816" w14:textId="05167439" w:rsidR="00EA6A6B" w:rsidRDefault="001C1BB4" w:rsidP="00080901">
      <w:pPr>
        <w:pStyle w:val="Heading3"/>
      </w:pPr>
      <w:r>
        <w:t>Mechanism of Action</w:t>
      </w:r>
    </w:p>
    <w:p w14:paraId="0DD83DBE" w14:textId="067107FB" w:rsidR="001C1BB4" w:rsidRDefault="003508F4" w:rsidP="00073AEA">
      <w:r w:rsidRPr="003508F4">
        <w:t xml:space="preserve">Chlormethine is a bifunctional alkylating agent that </w:t>
      </w:r>
      <w:r w:rsidR="00073AEA">
        <w:t>reacts with DNA to form cross-links, inducing the death of</w:t>
      </w:r>
      <w:r w:rsidRPr="003508F4">
        <w:t xml:space="preserve"> rapidly proliferating cells.</w:t>
      </w:r>
    </w:p>
    <w:p w14:paraId="1B8DAB43" w14:textId="703A2563" w:rsidR="001C1BB4" w:rsidRDefault="001C1BB4" w:rsidP="00080901">
      <w:pPr>
        <w:pStyle w:val="Heading3"/>
      </w:pPr>
      <w:r>
        <w:lastRenderedPageBreak/>
        <w:t>Clinical Trials</w:t>
      </w:r>
    </w:p>
    <w:p w14:paraId="22FFB292" w14:textId="77777777" w:rsidR="003508F4" w:rsidRDefault="003508F4" w:rsidP="003508F4">
      <w:r>
        <w:t xml:space="preserve">The efficacy and safety of </w:t>
      </w:r>
      <w:proofErr w:type="spellStart"/>
      <w:r>
        <w:t>Ledaga</w:t>
      </w:r>
      <w:proofErr w:type="spellEnd"/>
      <w:r>
        <w:t xml:space="preserve"> were assessed in a randomised, multicentre, observer-blinded, active-controlled, non-inferiority clinical trial (Study 201) of 260 adult patients with Stage IA (141), IB (115), and IIA (4) MF-type CTCL who had received at least one prior skin-directed therapy. Qualifying prior therapies included topical corticosteroids, phototherapy, topical bexarotene, and topical nitrogen mustard. Patients were not required to be refractory to or intolerant of prior therapies. Patients were stratified based on stage (IA vs IB and IIA) and then randomised to receive either </w:t>
      </w:r>
      <w:proofErr w:type="spellStart"/>
      <w:r>
        <w:t>Ledaga</w:t>
      </w:r>
      <w:proofErr w:type="spellEnd"/>
      <w:r>
        <w:t xml:space="preserve"> (equivalent to 0.02% chlormethine HCl) or the comparator (a petroleum-based 0.02% chlormethine HCl ointment).</w:t>
      </w:r>
    </w:p>
    <w:p w14:paraId="46724688" w14:textId="77777777" w:rsidR="003508F4" w:rsidRDefault="003508F4" w:rsidP="003508F4">
      <w:r>
        <w:t xml:space="preserve">Study medicinal product was to be applied topically once daily for 12 months. Dosing could be suspended or continued at reduced frequency in the case of skin reactions. The median daily usage of </w:t>
      </w:r>
      <w:proofErr w:type="spellStart"/>
      <w:r>
        <w:t>Ledaga</w:t>
      </w:r>
      <w:proofErr w:type="spellEnd"/>
      <w:r>
        <w:t xml:space="preserve"> was 1.8 g. The maximum individual daily usage in the trial was 10.5 g of gel (i.e., 2.1 mg of chlormethine HCl).</w:t>
      </w:r>
    </w:p>
    <w:p w14:paraId="2908B1CA" w14:textId="102D905F" w:rsidR="003508F4" w:rsidRDefault="003508F4" w:rsidP="00116AFE">
      <w:r>
        <w:t xml:space="preserve">The primary efficacy endpoint in Study 201 was the Composite Assessment of Index Lesion Severity (CAILS) response rate. </w:t>
      </w:r>
      <w:r w:rsidR="00116AFE">
        <w:t xml:space="preserve">The CAILS score is obtained by adding the severity score of each of the following categories for up to 5 index lesions: erythema, scaling, plaque elevation, and surface area. Severity was graded from 0 (none) to 8 (severe) for erythema and scaling; 0 to 3 for plaque elevation; and 0 to 9 for surface area. </w:t>
      </w:r>
      <w:r>
        <w:t>Assessment was undertaken by a blinded observer. A response was defined as an at least 50% improvement in the baseline CAILS score, confirmed at a subsequent visit at least 4 weeks later. A complete response was defined as a confirmed CAILS score of 0. A partial response was defined as an at least 50% reduction in the baseline CAILS score. Non-inferiority was considered to have been demonstrated if the lower bound of the 95% confidence interval around the ratio of response rates (</w:t>
      </w:r>
      <w:proofErr w:type="spellStart"/>
      <w:r>
        <w:t>Ledaga</w:t>
      </w:r>
      <w:proofErr w:type="spellEnd"/>
      <w:r>
        <w:t>/comparator) was greater than or equal to 0.75. The CAILS score was adjusted by removal of the pigmentation score and simplification of the plaque elevation scale.</w:t>
      </w:r>
    </w:p>
    <w:p w14:paraId="4D9958D1" w14:textId="75B88140" w:rsidR="003508F4" w:rsidRDefault="003508F4" w:rsidP="00134F3F">
      <w:r>
        <w:t xml:space="preserve">As the main secondary endpoint, patients were also evaluated using the Severity Weighted Assessment Tool (SWAT), which was based on an assessment of all lesions. </w:t>
      </w:r>
      <w:r w:rsidR="00134F3F">
        <w:t xml:space="preserve">The SWAT score is derived by measuring each involved area as a percentage of total body surface area (%BSA) and multiplying it by a severity weighting factor (1=patch, 2=plaque, 3=tumour or ulcer). </w:t>
      </w:r>
      <w:r>
        <w:t>The response criteria were the same as for CAILS.</w:t>
      </w:r>
    </w:p>
    <w:p w14:paraId="01B92E12" w14:textId="3C557AA3" w:rsidR="001C1BB4" w:rsidRPr="00424BCC" w:rsidRDefault="003508F4" w:rsidP="003508F4">
      <w:r>
        <w:t xml:space="preserve">Efficacy was evaluated in the </w:t>
      </w:r>
      <w:r w:rsidR="00F71C6E" w:rsidRPr="00424BCC">
        <w:t xml:space="preserve">Intent-To-Treat (ITT) </w:t>
      </w:r>
      <w:r>
        <w:t xml:space="preserve">population, which included all </w:t>
      </w:r>
      <w:r w:rsidR="00F71C6E">
        <w:t xml:space="preserve">260 randomised </w:t>
      </w:r>
      <w:r>
        <w:t xml:space="preserve">patients [Table </w:t>
      </w:r>
      <w:r w:rsidR="00E22F55">
        <w:t>2</w:t>
      </w:r>
      <w:r>
        <w:t xml:space="preserve">], and in the </w:t>
      </w:r>
      <w:r w:rsidR="00F71C6E" w:rsidRPr="00F71C6E">
        <w:t xml:space="preserve">Efficacy Evaluable (EE) </w:t>
      </w:r>
      <w:r w:rsidRPr="00424BCC">
        <w:t xml:space="preserve">population, which included </w:t>
      </w:r>
      <w:r w:rsidR="00F71C6E">
        <w:t>185</w:t>
      </w:r>
      <w:r w:rsidR="00F71C6E" w:rsidRPr="00424BCC">
        <w:t xml:space="preserve"> </w:t>
      </w:r>
      <w:r w:rsidRPr="00424BCC">
        <w:t>patients</w:t>
      </w:r>
      <w:r w:rsidR="00F71C6E">
        <w:t xml:space="preserve"> who were treated for at least 6 months with no major protocol deviations</w:t>
      </w:r>
      <w:r w:rsidRPr="00424BCC">
        <w:t>.</w:t>
      </w:r>
    </w:p>
    <w:p w14:paraId="13E13314" w14:textId="648C7A54" w:rsidR="007A05B3" w:rsidRPr="00424BCC" w:rsidRDefault="002E48E3" w:rsidP="00B17885">
      <w:pPr>
        <w:pStyle w:val="Caption"/>
        <w:keepNext/>
        <w:pageBreakBefore/>
      </w:pPr>
      <w:r w:rsidRPr="00424BCC">
        <w:lastRenderedPageBreak/>
        <w:t xml:space="preserve">Table </w:t>
      </w:r>
      <w:r w:rsidR="00B17885">
        <w:fldChar w:fldCharType="begin"/>
      </w:r>
      <w:r w:rsidR="00B17885">
        <w:instrText xml:space="preserve"> SEQ Table </w:instrText>
      </w:r>
      <w:r w:rsidR="00B17885">
        <w:instrText xml:space="preserve">\* ARABIC </w:instrText>
      </w:r>
      <w:r w:rsidR="00B17885">
        <w:fldChar w:fldCharType="separate"/>
      </w:r>
      <w:r w:rsidR="00081952">
        <w:rPr>
          <w:noProof/>
        </w:rPr>
        <w:t>2</w:t>
      </w:r>
      <w:r w:rsidR="00B17885">
        <w:rPr>
          <w:noProof/>
        </w:rPr>
        <w:fldChar w:fldCharType="end"/>
      </w:r>
      <w:r w:rsidRPr="00424BCC">
        <w:t xml:space="preserve"> </w:t>
      </w:r>
      <w:r w:rsidR="007A05B3" w:rsidRPr="00424BCC">
        <w:rPr>
          <w:bCs/>
        </w:rPr>
        <w:t>CAILS and SWAT-confirmed response rates by 12 months in Study 201 (</w:t>
      </w:r>
      <w:r w:rsidRPr="00424BCC">
        <w:rPr>
          <w:bCs/>
        </w:rPr>
        <w:t>intention-to-treat</w:t>
      </w:r>
      <w:r w:rsidR="007A05B3" w:rsidRPr="00424BCC">
        <w:rPr>
          <w:bCs/>
        </w:rPr>
        <w:t xml:space="preserve"> population)</w:t>
      </w:r>
    </w:p>
    <w:tbl>
      <w:tblPr>
        <w:tblStyle w:val="TableGrid"/>
        <w:tblW w:w="0" w:type="auto"/>
        <w:tblLook w:val="04A0" w:firstRow="1" w:lastRow="0" w:firstColumn="1" w:lastColumn="0" w:noHBand="0" w:noVBand="1"/>
      </w:tblPr>
      <w:tblGrid>
        <w:gridCol w:w="4046"/>
        <w:gridCol w:w="1686"/>
        <w:gridCol w:w="1496"/>
        <w:gridCol w:w="848"/>
        <w:gridCol w:w="940"/>
      </w:tblGrid>
      <w:tr w:rsidR="0049729D" w:rsidRPr="00424BCC" w14:paraId="3B97AF85" w14:textId="77777777" w:rsidTr="00CC5C76">
        <w:tc>
          <w:tcPr>
            <w:tcW w:w="4046" w:type="dxa"/>
          </w:tcPr>
          <w:p w14:paraId="19993117" w14:textId="77777777" w:rsidR="0049729D" w:rsidRPr="00424BCC" w:rsidRDefault="0049729D" w:rsidP="00252A54">
            <w:pPr>
              <w:spacing w:before="40" w:after="40"/>
            </w:pPr>
          </w:p>
        </w:tc>
        <w:tc>
          <w:tcPr>
            <w:tcW w:w="3182" w:type="dxa"/>
            <w:gridSpan w:val="2"/>
          </w:tcPr>
          <w:p w14:paraId="1797E012" w14:textId="7A9CE1D6" w:rsidR="0049729D" w:rsidRPr="00424BCC" w:rsidRDefault="004B2AD9" w:rsidP="00252A54">
            <w:pPr>
              <w:spacing w:before="40" w:after="40"/>
              <w:rPr>
                <w:b/>
                <w:bCs/>
              </w:rPr>
            </w:pPr>
            <w:r w:rsidRPr="00424BCC">
              <w:rPr>
                <w:b/>
                <w:bCs/>
              </w:rPr>
              <w:t>Response rates (%)</w:t>
            </w:r>
          </w:p>
        </w:tc>
        <w:tc>
          <w:tcPr>
            <w:tcW w:w="848" w:type="dxa"/>
            <w:vMerge w:val="restart"/>
          </w:tcPr>
          <w:p w14:paraId="387BCD35" w14:textId="10E0E602" w:rsidR="0049729D" w:rsidRPr="00424BCC" w:rsidRDefault="001D041B" w:rsidP="00252A54">
            <w:pPr>
              <w:spacing w:before="40" w:after="40"/>
              <w:rPr>
                <w:b/>
                <w:bCs/>
              </w:rPr>
            </w:pPr>
            <w:r w:rsidRPr="00424BCC">
              <w:rPr>
                <w:b/>
                <w:bCs/>
              </w:rPr>
              <w:t>Ratio</w:t>
            </w:r>
          </w:p>
        </w:tc>
        <w:tc>
          <w:tcPr>
            <w:tcW w:w="940" w:type="dxa"/>
            <w:vMerge w:val="restart"/>
          </w:tcPr>
          <w:p w14:paraId="007C4CB7" w14:textId="4F6A0BB2" w:rsidR="0049729D" w:rsidRPr="00424BCC" w:rsidRDefault="001D041B" w:rsidP="00252A54">
            <w:pPr>
              <w:spacing w:before="40" w:after="40"/>
              <w:rPr>
                <w:b/>
                <w:bCs/>
              </w:rPr>
            </w:pPr>
            <w:r w:rsidRPr="00424BCC">
              <w:rPr>
                <w:b/>
                <w:bCs/>
              </w:rPr>
              <w:t>95% CI</w:t>
            </w:r>
          </w:p>
        </w:tc>
      </w:tr>
      <w:tr w:rsidR="0049729D" w:rsidRPr="00424BCC" w14:paraId="4F5090FD" w14:textId="77777777" w:rsidTr="00CC5C76">
        <w:tc>
          <w:tcPr>
            <w:tcW w:w="4046" w:type="dxa"/>
          </w:tcPr>
          <w:p w14:paraId="45354D25" w14:textId="77777777" w:rsidR="0049729D" w:rsidRPr="00424BCC" w:rsidRDefault="0049729D" w:rsidP="00252A54">
            <w:pPr>
              <w:spacing w:before="40" w:after="40"/>
            </w:pPr>
          </w:p>
        </w:tc>
        <w:tc>
          <w:tcPr>
            <w:tcW w:w="1686" w:type="dxa"/>
          </w:tcPr>
          <w:p w14:paraId="111C2300" w14:textId="77777777" w:rsidR="004B2AD9" w:rsidRPr="00424BCC" w:rsidRDefault="004B2AD9" w:rsidP="00252A54">
            <w:pPr>
              <w:spacing w:before="40" w:after="40"/>
              <w:rPr>
                <w:b/>
                <w:bCs/>
              </w:rPr>
            </w:pPr>
            <w:proofErr w:type="spellStart"/>
            <w:r w:rsidRPr="00424BCC">
              <w:rPr>
                <w:b/>
                <w:bCs/>
              </w:rPr>
              <w:t>Ledaga</w:t>
            </w:r>
            <w:proofErr w:type="spellEnd"/>
            <w:r w:rsidRPr="00424BCC">
              <w:rPr>
                <w:b/>
                <w:bCs/>
              </w:rPr>
              <w:t xml:space="preserve"> </w:t>
            </w:r>
          </w:p>
          <w:p w14:paraId="28DD62DA" w14:textId="2145120B" w:rsidR="0049729D" w:rsidRPr="00424BCC" w:rsidRDefault="004B2AD9" w:rsidP="00252A54">
            <w:pPr>
              <w:spacing w:before="40" w:after="40"/>
              <w:rPr>
                <w:b/>
                <w:bCs/>
              </w:rPr>
            </w:pPr>
            <w:r w:rsidRPr="00424BCC">
              <w:rPr>
                <w:b/>
                <w:bCs/>
              </w:rPr>
              <w:t>N=</w:t>
            </w:r>
            <w:r w:rsidR="002E48E3" w:rsidRPr="00424BCC">
              <w:rPr>
                <w:b/>
                <w:bCs/>
              </w:rPr>
              <w:t>130</w:t>
            </w:r>
          </w:p>
        </w:tc>
        <w:tc>
          <w:tcPr>
            <w:tcW w:w="1496" w:type="dxa"/>
          </w:tcPr>
          <w:p w14:paraId="50FB3EC7" w14:textId="77777777" w:rsidR="001D041B" w:rsidRPr="00424BCC" w:rsidRDefault="001D041B" w:rsidP="00252A54">
            <w:pPr>
              <w:spacing w:before="40" w:after="40"/>
              <w:rPr>
                <w:b/>
                <w:bCs/>
              </w:rPr>
            </w:pPr>
            <w:r w:rsidRPr="00424BCC">
              <w:rPr>
                <w:b/>
                <w:bCs/>
              </w:rPr>
              <w:t xml:space="preserve">Comparator </w:t>
            </w:r>
          </w:p>
          <w:p w14:paraId="502619F0" w14:textId="71D1F9F3" w:rsidR="0049729D" w:rsidRPr="00424BCC" w:rsidRDefault="001D041B" w:rsidP="00252A54">
            <w:pPr>
              <w:spacing w:before="40" w:after="40"/>
              <w:rPr>
                <w:b/>
                <w:bCs/>
              </w:rPr>
            </w:pPr>
            <w:r w:rsidRPr="00424BCC">
              <w:rPr>
                <w:b/>
                <w:bCs/>
              </w:rPr>
              <w:t>N=</w:t>
            </w:r>
            <w:r w:rsidR="002E48E3" w:rsidRPr="00424BCC">
              <w:rPr>
                <w:b/>
                <w:bCs/>
              </w:rPr>
              <w:t>130</w:t>
            </w:r>
          </w:p>
        </w:tc>
        <w:tc>
          <w:tcPr>
            <w:tcW w:w="848" w:type="dxa"/>
            <w:vMerge/>
          </w:tcPr>
          <w:p w14:paraId="60BDF6BC" w14:textId="77777777" w:rsidR="0049729D" w:rsidRPr="00424BCC" w:rsidRDefault="0049729D" w:rsidP="00252A54">
            <w:pPr>
              <w:spacing w:before="40" w:after="40"/>
            </w:pPr>
          </w:p>
        </w:tc>
        <w:tc>
          <w:tcPr>
            <w:tcW w:w="940" w:type="dxa"/>
            <w:vMerge/>
          </w:tcPr>
          <w:p w14:paraId="72AF6F5F" w14:textId="77777777" w:rsidR="0049729D" w:rsidRPr="00424BCC" w:rsidRDefault="0049729D" w:rsidP="00252A54">
            <w:pPr>
              <w:spacing w:before="40" w:after="40"/>
            </w:pPr>
          </w:p>
        </w:tc>
      </w:tr>
      <w:tr w:rsidR="00CC5C76" w:rsidRPr="00424BCC" w14:paraId="09E983BF" w14:textId="77777777" w:rsidTr="00CC5C76">
        <w:tc>
          <w:tcPr>
            <w:tcW w:w="4046" w:type="dxa"/>
          </w:tcPr>
          <w:p w14:paraId="60D70EF4" w14:textId="1F10BF62" w:rsidR="00CC5C76" w:rsidRPr="00424BCC" w:rsidRDefault="00CC5C76" w:rsidP="00CC5C76">
            <w:pPr>
              <w:spacing w:before="40" w:after="40"/>
              <w:rPr>
                <w:b/>
                <w:bCs/>
              </w:rPr>
            </w:pPr>
            <w:r w:rsidRPr="00424BCC">
              <w:rPr>
                <w:b/>
                <w:bCs/>
              </w:rPr>
              <w:t>CAILS Overall Response (CR+PR)</w:t>
            </w:r>
          </w:p>
        </w:tc>
        <w:tc>
          <w:tcPr>
            <w:tcW w:w="1686" w:type="dxa"/>
          </w:tcPr>
          <w:p w14:paraId="356586B3" w14:textId="775B9339" w:rsidR="00CC5C76" w:rsidRPr="00424BCC" w:rsidRDefault="002E48E3" w:rsidP="00CC5C76">
            <w:pPr>
              <w:spacing w:before="40" w:after="40"/>
              <w:rPr>
                <w:b/>
                <w:bCs/>
              </w:rPr>
            </w:pPr>
            <w:r w:rsidRPr="00424BCC">
              <w:rPr>
                <w:b/>
                <w:bCs/>
              </w:rPr>
              <w:t>58.5</w:t>
            </w:r>
            <w:r w:rsidR="00CC5C76" w:rsidRPr="00424BCC">
              <w:rPr>
                <w:b/>
                <w:bCs/>
              </w:rPr>
              <w:t>%</w:t>
            </w:r>
          </w:p>
        </w:tc>
        <w:tc>
          <w:tcPr>
            <w:tcW w:w="1496" w:type="dxa"/>
          </w:tcPr>
          <w:p w14:paraId="12ED55A0" w14:textId="0F2BF18A" w:rsidR="00CC5C76" w:rsidRPr="00424BCC" w:rsidRDefault="002E48E3" w:rsidP="00CC5C76">
            <w:pPr>
              <w:spacing w:before="40" w:after="40"/>
            </w:pPr>
            <w:r w:rsidRPr="00424BCC">
              <w:rPr>
                <w:b/>
                <w:bCs/>
              </w:rPr>
              <w:t>47.7</w:t>
            </w:r>
            <w:r w:rsidR="00CC5C76" w:rsidRPr="00424BCC">
              <w:rPr>
                <w:b/>
                <w:bCs/>
              </w:rPr>
              <w:t>%</w:t>
            </w:r>
          </w:p>
        </w:tc>
        <w:tc>
          <w:tcPr>
            <w:tcW w:w="848" w:type="dxa"/>
          </w:tcPr>
          <w:p w14:paraId="35FA9160" w14:textId="23DDEA1D" w:rsidR="00CC5C76" w:rsidRPr="00424BCC" w:rsidRDefault="002E48E3" w:rsidP="00CC5C76">
            <w:pPr>
              <w:spacing w:before="40" w:after="40"/>
              <w:rPr>
                <w:b/>
                <w:bCs/>
              </w:rPr>
            </w:pPr>
            <w:r w:rsidRPr="00424BCC">
              <w:rPr>
                <w:b/>
                <w:bCs/>
              </w:rPr>
              <w:t>1.226</w:t>
            </w:r>
          </w:p>
        </w:tc>
        <w:tc>
          <w:tcPr>
            <w:tcW w:w="940" w:type="dxa"/>
          </w:tcPr>
          <w:p w14:paraId="68A7D6D4" w14:textId="136B301B" w:rsidR="00CC5C76" w:rsidRPr="00424BCC" w:rsidRDefault="002E48E3" w:rsidP="00CC5C76">
            <w:pPr>
              <w:spacing w:before="40" w:after="40"/>
              <w:rPr>
                <w:b/>
                <w:bCs/>
              </w:rPr>
            </w:pPr>
            <w:r w:rsidRPr="00424BCC">
              <w:rPr>
                <w:b/>
                <w:bCs/>
              </w:rPr>
              <w:t>0.974-1.552</w:t>
            </w:r>
          </w:p>
        </w:tc>
      </w:tr>
      <w:tr w:rsidR="00CC5C76" w:rsidRPr="00424BCC" w14:paraId="07E799CD" w14:textId="77777777" w:rsidTr="00CC5C76">
        <w:tc>
          <w:tcPr>
            <w:tcW w:w="4046" w:type="dxa"/>
          </w:tcPr>
          <w:p w14:paraId="5E6FEC1C" w14:textId="72436D4E" w:rsidR="00CC5C76" w:rsidRPr="00424BCC" w:rsidRDefault="00CC5C76" w:rsidP="00CC5C76">
            <w:pPr>
              <w:spacing w:before="40" w:after="40"/>
            </w:pPr>
            <w:r w:rsidRPr="00424BCC">
              <w:t>Complete Response (CR)</w:t>
            </w:r>
          </w:p>
        </w:tc>
        <w:tc>
          <w:tcPr>
            <w:tcW w:w="1686" w:type="dxa"/>
          </w:tcPr>
          <w:p w14:paraId="06C1D115" w14:textId="12213FEC" w:rsidR="00CC5C76" w:rsidRPr="00424BCC" w:rsidRDefault="002E48E3" w:rsidP="00CC5C76">
            <w:pPr>
              <w:spacing w:before="40" w:after="40"/>
            </w:pPr>
            <w:r w:rsidRPr="00424BCC">
              <w:t>13.8</w:t>
            </w:r>
            <w:r w:rsidR="00CC5C76" w:rsidRPr="00424BCC">
              <w:t>%</w:t>
            </w:r>
          </w:p>
        </w:tc>
        <w:tc>
          <w:tcPr>
            <w:tcW w:w="1496" w:type="dxa"/>
          </w:tcPr>
          <w:p w14:paraId="547EBD1D" w14:textId="209DF87C" w:rsidR="00CC5C76" w:rsidRPr="00424BCC" w:rsidRDefault="002E48E3" w:rsidP="00CC5C76">
            <w:pPr>
              <w:spacing w:before="40" w:after="40"/>
            </w:pPr>
            <w:r w:rsidRPr="00424BCC">
              <w:t>11.5</w:t>
            </w:r>
            <w:r w:rsidR="00CC5C76" w:rsidRPr="00424BCC">
              <w:t>%</w:t>
            </w:r>
          </w:p>
        </w:tc>
        <w:tc>
          <w:tcPr>
            <w:tcW w:w="848" w:type="dxa"/>
          </w:tcPr>
          <w:p w14:paraId="1D29DB01" w14:textId="77777777" w:rsidR="00CC5C76" w:rsidRPr="00424BCC" w:rsidRDefault="00CC5C76" w:rsidP="00CC5C76">
            <w:pPr>
              <w:spacing w:before="40" w:after="40"/>
            </w:pPr>
          </w:p>
        </w:tc>
        <w:tc>
          <w:tcPr>
            <w:tcW w:w="940" w:type="dxa"/>
          </w:tcPr>
          <w:p w14:paraId="69C36431" w14:textId="77777777" w:rsidR="00CC5C76" w:rsidRPr="00424BCC" w:rsidRDefault="00CC5C76" w:rsidP="00CC5C76">
            <w:pPr>
              <w:spacing w:before="40" w:after="40"/>
            </w:pPr>
          </w:p>
        </w:tc>
      </w:tr>
      <w:tr w:rsidR="00CC5C76" w:rsidRPr="00424BCC" w14:paraId="01063ED0" w14:textId="77777777" w:rsidTr="00CC5C76">
        <w:tc>
          <w:tcPr>
            <w:tcW w:w="4046" w:type="dxa"/>
          </w:tcPr>
          <w:p w14:paraId="5B03F376" w14:textId="51BC759F" w:rsidR="00CC5C76" w:rsidRPr="00424BCC" w:rsidRDefault="00CC5C76" w:rsidP="00CC5C76">
            <w:pPr>
              <w:spacing w:before="40" w:after="40"/>
            </w:pPr>
            <w:r w:rsidRPr="00424BCC">
              <w:t>Partial Response (PR)</w:t>
            </w:r>
          </w:p>
        </w:tc>
        <w:tc>
          <w:tcPr>
            <w:tcW w:w="1686" w:type="dxa"/>
          </w:tcPr>
          <w:p w14:paraId="419FD33A" w14:textId="675265EA" w:rsidR="00CC5C76" w:rsidRPr="00424BCC" w:rsidRDefault="002E48E3" w:rsidP="00CC5C76">
            <w:pPr>
              <w:spacing w:before="40" w:after="40"/>
            </w:pPr>
            <w:r w:rsidRPr="00424BCC">
              <w:t>44.6</w:t>
            </w:r>
            <w:r w:rsidR="00CC5C76" w:rsidRPr="00424BCC">
              <w:t>%</w:t>
            </w:r>
          </w:p>
        </w:tc>
        <w:tc>
          <w:tcPr>
            <w:tcW w:w="1496" w:type="dxa"/>
          </w:tcPr>
          <w:p w14:paraId="2B773E59" w14:textId="5F1CBD0A" w:rsidR="00CC5C76" w:rsidRPr="00424BCC" w:rsidRDefault="002E48E3" w:rsidP="00CC5C76">
            <w:pPr>
              <w:spacing w:before="40" w:after="40"/>
            </w:pPr>
            <w:r w:rsidRPr="00424BCC">
              <w:t>36.2</w:t>
            </w:r>
            <w:r w:rsidR="00CC5C76" w:rsidRPr="00424BCC">
              <w:t>%</w:t>
            </w:r>
          </w:p>
        </w:tc>
        <w:tc>
          <w:tcPr>
            <w:tcW w:w="848" w:type="dxa"/>
          </w:tcPr>
          <w:p w14:paraId="189FB3DA" w14:textId="77777777" w:rsidR="00CC5C76" w:rsidRPr="00424BCC" w:rsidRDefault="00CC5C76" w:rsidP="00CC5C76">
            <w:pPr>
              <w:spacing w:before="40" w:after="40"/>
            </w:pPr>
          </w:p>
        </w:tc>
        <w:tc>
          <w:tcPr>
            <w:tcW w:w="940" w:type="dxa"/>
          </w:tcPr>
          <w:p w14:paraId="41C36BAA" w14:textId="77777777" w:rsidR="00CC5C76" w:rsidRPr="00424BCC" w:rsidRDefault="00CC5C76" w:rsidP="00CC5C76">
            <w:pPr>
              <w:spacing w:before="40" w:after="40"/>
            </w:pPr>
          </w:p>
        </w:tc>
      </w:tr>
      <w:tr w:rsidR="00CC5C76" w:rsidRPr="00424BCC" w14:paraId="5AD99163" w14:textId="77777777" w:rsidTr="00CC5C76">
        <w:tc>
          <w:tcPr>
            <w:tcW w:w="4046" w:type="dxa"/>
          </w:tcPr>
          <w:p w14:paraId="67A4742C" w14:textId="61CFB558" w:rsidR="00CC5C76" w:rsidRPr="00424BCC" w:rsidRDefault="00CC5C76" w:rsidP="00CC5C76">
            <w:pPr>
              <w:spacing w:before="40" w:after="40"/>
              <w:rPr>
                <w:b/>
                <w:bCs/>
              </w:rPr>
            </w:pPr>
            <w:r w:rsidRPr="00424BCC">
              <w:rPr>
                <w:b/>
                <w:bCs/>
              </w:rPr>
              <w:t>SWAT Overall Response (CR+PR)</w:t>
            </w:r>
          </w:p>
        </w:tc>
        <w:tc>
          <w:tcPr>
            <w:tcW w:w="1686" w:type="dxa"/>
          </w:tcPr>
          <w:p w14:paraId="2B09A82F" w14:textId="6C8D0C36" w:rsidR="00CC5C76" w:rsidRPr="00424BCC" w:rsidRDefault="00652260" w:rsidP="00CC5C76">
            <w:pPr>
              <w:spacing w:before="40" w:after="40"/>
              <w:rPr>
                <w:b/>
                <w:bCs/>
              </w:rPr>
            </w:pPr>
            <w:r w:rsidRPr="00424BCC">
              <w:rPr>
                <w:b/>
                <w:bCs/>
              </w:rPr>
              <w:t>46.9</w:t>
            </w:r>
            <w:r w:rsidR="00CC5C76" w:rsidRPr="00424BCC">
              <w:rPr>
                <w:b/>
                <w:bCs/>
              </w:rPr>
              <w:t>%</w:t>
            </w:r>
          </w:p>
        </w:tc>
        <w:tc>
          <w:tcPr>
            <w:tcW w:w="1496" w:type="dxa"/>
          </w:tcPr>
          <w:p w14:paraId="2C85DD1B" w14:textId="606798AA" w:rsidR="00CC5C76" w:rsidRPr="00424BCC" w:rsidRDefault="00652260" w:rsidP="00CC5C76">
            <w:pPr>
              <w:spacing w:before="40" w:after="40"/>
            </w:pPr>
            <w:r w:rsidRPr="00424BCC">
              <w:rPr>
                <w:b/>
                <w:bCs/>
              </w:rPr>
              <w:t>46.2</w:t>
            </w:r>
            <w:r w:rsidR="00CC5C76" w:rsidRPr="00424BCC">
              <w:rPr>
                <w:b/>
                <w:bCs/>
              </w:rPr>
              <w:t>%</w:t>
            </w:r>
          </w:p>
        </w:tc>
        <w:tc>
          <w:tcPr>
            <w:tcW w:w="848" w:type="dxa"/>
          </w:tcPr>
          <w:p w14:paraId="268019F8" w14:textId="01588A67" w:rsidR="00CC5C76" w:rsidRPr="00424BCC" w:rsidRDefault="00CC5C76" w:rsidP="00CC5C76">
            <w:pPr>
              <w:spacing w:before="40" w:after="40"/>
              <w:rPr>
                <w:b/>
                <w:bCs/>
              </w:rPr>
            </w:pPr>
            <w:r w:rsidRPr="00424BCC">
              <w:rPr>
                <w:b/>
                <w:bCs/>
              </w:rPr>
              <w:t>1.</w:t>
            </w:r>
            <w:r w:rsidR="00652260" w:rsidRPr="00424BCC">
              <w:rPr>
                <w:b/>
                <w:bCs/>
              </w:rPr>
              <w:t>017</w:t>
            </w:r>
          </w:p>
        </w:tc>
        <w:tc>
          <w:tcPr>
            <w:tcW w:w="940" w:type="dxa"/>
          </w:tcPr>
          <w:p w14:paraId="1B710BAC" w14:textId="3CC24053" w:rsidR="00CC5C76" w:rsidRPr="00424BCC" w:rsidRDefault="00652260" w:rsidP="00CC5C76">
            <w:pPr>
              <w:spacing w:before="40" w:after="40"/>
              <w:rPr>
                <w:b/>
                <w:bCs/>
              </w:rPr>
            </w:pPr>
            <w:r w:rsidRPr="00424BCC">
              <w:rPr>
                <w:b/>
                <w:bCs/>
              </w:rPr>
              <w:t>0.783-1.321</w:t>
            </w:r>
          </w:p>
        </w:tc>
      </w:tr>
      <w:tr w:rsidR="00CC5C76" w:rsidRPr="00424BCC" w14:paraId="59954A7E" w14:textId="77777777" w:rsidTr="00CC5C76">
        <w:tc>
          <w:tcPr>
            <w:tcW w:w="4046" w:type="dxa"/>
          </w:tcPr>
          <w:p w14:paraId="67AB5CE0" w14:textId="325291B7" w:rsidR="00CC5C76" w:rsidRPr="00424BCC" w:rsidRDefault="00CC5C76" w:rsidP="00CC5C76">
            <w:pPr>
              <w:spacing w:before="40" w:after="40"/>
            </w:pPr>
            <w:r w:rsidRPr="00424BCC">
              <w:t>Complete Response (CR)</w:t>
            </w:r>
          </w:p>
        </w:tc>
        <w:tc>
          <w:tcPr>
            <w:tcW w:w="1686" w:type="dxa"/>
          </w:tcPr>
          <w:p w14:paraId="3416FC61" w14:textId="032A7EC2" w:rsidR="00CC5C76" w:rsidRPr="00424BCC" w:rsidRDefault="00652260" w:rsidP="00CC5C76">
            <w:pPr>
              <w:spacing w:before="40" w:after="40"/>
            </w:pPr>
            <w:r w:rsidRPr="00424BCC">
              <w:t>6</w:t>
            </w:r>
            <w:r w:rsidR="00CC5C76" w:rsidRPr="00424BCC">
              <w:t>.9%</w:t>
            </w:r>
          </w:p>
        </w:tc>
        <w:tc>
          <w:tcPr>
            <w:tcW w:w="1496" w:type="dxa"/>
          </w:tcPr>
          <w:p w14:paraId="70DCEA81" w14:textId="104D85D0" w:rsidR="00CC5C76" w:rsidRPr="00424BCC" w:rsidRDefault="00652260" w:rsidP="00CC5C76">
            <w:pPr>
              <w:spacing w:before="40" w:after="40"/>
            </w:pPr>
            <w:r w:rsidRPr="00424BCC">
              <w:t>3.1</w:t>
            </w:r>
            <w:r w:rsidR="00CC5C76" w:rsidRPr="00424BCC">
              <w:t>%</w:t>
            </w:r>
          </w:p>
        </w:tc>
        <w:tc>
          <w:tcPr>
            <w:tcW w:w="848" w:type="dxa"/>
          </w:tcPr>
          <w:p w14:paraId="661D4BD3" w14:textId="77777777" w:rsidR="00CC5C76" w:rsidRPr="00424BCC" w:rsidRDefault="00CC5C76" w:rsidP="00CC5C76">
            <w:pPr>
              <w:spacing w:before="40" w:after="40"/>
            </w:pPr>
          </w:p>
        </w:tc>
        <w:tc>
          <w:tcPr>
            <w:tcW w:w="940" w:type="dxa"/>
          </w:tcPr>
          <w:p w14:paraId="0CF2CC53" w14:textId="77777777" w:rsidR="00CC5C76" w:rsidRPr="00424BCC" w:rsidRDefault="00CC5C76" w:rsidP="00CC5C76">
            <w:pPr>
              <w:spacing w:before="40" w:after="40"/>
            </w:pPr>
          </w:p>
        </w:tc>
      </w:tr>
      <w:tr w:rsidR="00CC5C76" w14:paraId="2EC54F42" w14:textId="77777777" w:rsidTr="00CC5C76">
        <w:tc>
          <w:tcPr>
            <w:tcW w:w="4046" w:type="dxa"/>
          </w:tcPr>
          <w:p w14:paraId="4F57A268" w14:textId="24ACF6EB" w:rsidR="00CC5C76" w:rsidRPr="00424BCC" w:rsidRDefault="00CC5C76" w:rsidP="00CC5C76">
            <w:pPr>
              <w:spacing w:before="40" w:after="40"/>
            </w:pPr>
            <w:r w:rsidRPr="00424BCC">
              <w:t>Partial Response (PR)</w:t>
            </w:r>
          </w:p>
        </w:tc>
        <w:tc>
          <w:tcPr>
            <w:tcW w:w="1686" w:type="dxa"/>
          </w:tcPr>
          <w:p w14:paraId="6FFE596D" w14:textId="09132BEC" w:rsidR="00CC5C76" w:rsidRPr="00424BCC" w:rsidRDefault="00652260" w:rsidP="00CC5C76">
            <w:pPr>
              <w:spacing w:before="40" w:after="40"/>
            </w:pPr>
            <w:r w:rsidRPr="00424BCC">
              <w:t>40.0</w:t>
            </w:r>
            <w:r w:rsidR="00CC5C76" w:rsidRPr="00424BCC">
              <w:t>%</w:t>
            </w:r>
          </w:p>
        </w:tc>
        <w:tc>
          <w:tcPr>
            <w:tcW w:w="1496" w:type="dxa"/>
          </w:tcPr>
          <w:p w14:paraId="0BB9AF26" w14:textId="3F88BF6C" w:rsidR="00CC5C76" w:rsidRDefault="00652260" w:rsidP="00CC5C76">
            <w:pPr>
              <w:spacing w:before="40" w:after="40"/>
            </w:pPr>
            <w:r w:rsidRPr="00424BCC">
              <w:t>43.1</w:t>
            </w:r>
            <w:r w:rsidR="00CC5C76" w:rsidRPr="00424BCC">
              <w:t>%</w:t>
            </w:r>
          </w:p>
        </w:tc>
        <w:tc>
          <w:tcPr>
            <w:tcW w:w="848" w:type="dxa"/>
          </w:tcPr>
          <w:p w14:paraId="6D8104B7" w14:textId="77777777" w:rsidR="00CC5C76" w:rsidRDefault="00CC5C76" w:rsidP="00CC5C76">
            <w:pPr>
              <w:spacing w:before="40" w:after="40"/>
            </w:pPr>
          </w:p>
        </w:tc>
        <w:tc>
          <w:tcPr>
            <w:tcW w:w="940" w:type="dxa"/>
          </w:tcPr>
          <w:p w14:paraId="099EDE5D" w14:textId="77777777" w:rsidR="00CC5C76" w:rsidRDefault="00CC5C76" w:rsidP="00CC5C76">
            <w:pPr>
              <w:spacing w:before="40" w:after="40"/>
            </w:pPr>
          </w:p>
        </w:tc>
      </w:tr>
    </w:tbl>
    <w:p w14:paraId="593C956C" w14:textId="77777777" w:rsidR="003508F4" w:rsidRPr="00EF3E2D" w:rsidRDefault="003508F4" w:rsidP="003508F4">
      <w:pPr>
        <w:rPr>
          <w:sz w:val="20"/>
          <w:szCs w:val="20"/>
        </w:rPr>
      </w:pPr>
      <w:r w:rsidRPr="00EF3E2D">
        <w:rPr>
          <w:sz w:val="20"/>
          <w:szCs w:val="20"/>
        </w:rPr>
        <w:t>CAILS = Composite Assessment of Index Lesion Severity; CI = confidence interval; CR = Complete Response; PR = Partial Response; SWAT = Severity Weighted Assessment Tool.</w:t>
      </w:r>
    </w:p>
    <w:p w14:paraId="043D3A69" w14:textId="3F8875D1" w:rsidR="003508F4" w:rsidRDefault="003508F4" w:rsidP="003508F4">
      <w:r>
        <w:t xml:space="preserve">The ratio of response and the 95% confidence interval in the ITT population were 1.226 (0.974–1.552) for CAILS and 1.017 (0.783–1.321) for SWAT and </w:t>
      </w:r>
      <w:r w:rsidR="00EF3E2D">
        <w:t>w</w:t>
      </w:r>
      <w:r w:rsidR="00DC3AC3">
        <w:t>ere</w:t>
      </w:r>
      <w:r w:rsidR="00EF3E2D">
        <w:t xml:space="preserve"> </w:t>
      </w:r>
      <w:r>
        <w:t>consistent with those in the EE population for both the overall CAILS and SWAT responses.</w:t>
      </w:r>
    </w:p>
    <w:p w14:paraId="3BF69062" w14:textId="77777777" w:rsidR="003508F4" w:rsidRDefault="003508F4" w:rsidP="003508F4">
      <w:r>
        <w:t>Reductions in mean CAILS scores were observed as early as at 4 weeks, with further reductions observed with continuing therapy.</w:t>
      </w:r>
    </w:p>
    <w:p w14:paraId="7D0DC8F4" w14:textId="77777777" w:rsidR="003508F4" w:rsidRDefault="003508F4" w:rsidP="003508F4">
      <w:r>
        <w:t>In the EE population, the percentage of patients who achieved a confirmed response by CAILS was similar between disease stages IA (79.6 %) and IB–IIA (73.2%).</w:t>
      </w:r>
    </w:p>
    <w:p w14:paraId="14E3322D" w14:textId="77777777" w:rsidR="003508F4" w:rsidRDefault="003508F4" w:rsidP="003508F4">
      <w:r>
        <w:t>Results in other secondary endpoints (response in percentage of body surface area affected, time to first confirmed CAILS response, duration of first confirmed CAILS response and time to disease progression) were consistent with those for CAILS and SWAT.</w:t>
      </w:r>
    </w:p>
    <w:p w14:paraId="6B08B3CC" w14:textId="77777777" w:rsidR="003508F4" w:rsidRDefault="003508F4" w:rsidP="003508F4">
      <w:r>
        <w:t xml:space="preserve">A small number of subjects (6.3%, 8/128) treated with </w:t>
      </w:r>
      <w:proofErr w:type="spellStart"/>
      <w:r>
        <w:t>Ledaga</w:t>
      </w:r>
      <w:proofErr w:type="spellEnd"/>
      <w:r>
        <w:t xml:space="preserve"> utilised topical corticosteroids. Thus, the safety of the concomitant use of </w:t>
      </w:r>
      <w:proofErr w:type="spellStart"/>
      <w:r>
        <w:t>Ledaga</w:t>
      </w:r>
      <w:proofErr w:type="spellEnd"/>
      <w:r>
        <w:t xml:space="preserve"> with topical corticosteroids has not yet been established. </w:t>
      </w:r>
    </w:p>
    <w:p w14:paraId="7D330D70" w14:textId="7148F346" w:rsidR="00EA6A6B" w:rsidRDefault="00EA6A6B" w:rsidP="00EA6A6B">
      <w:pPr>
        <w:pStyle w:val="Heading2"/>
        <w:numPr>
          <w:ilvl w:val="1"/>
          <w:numId w:val="6"/>
        </w:numPr>
      </w:pPr>
      <w:r>
        <w:t>PHARMACOKINETIC PROPERTIES</w:t>
      </w:r>
    </w:p>
    <w:p w14:paraId="0CFA9A0A" w14:textId="7A3C8D1D" w:rsidR="00A041E9" w:rsidRDefault="00A041E9" w:rsidP="00A041E9">
      <w:r>
        <w:t xml:space="preserve">Patients who received </w:t>
      </w:r>
      <w:proofErr w:type="spellStart"/>
      <w:r>
        <w:t>Ledaga</w:t>
      </w:r>
      <w:proofErr w:type="spellEnd"/>
      <w:r>
        <w:t xml:space="preserve"> in Study 201 had no measurable concentrations of chlormethine in blood </w:t>
      </w:r>
      <w:r w:rsidR="002E5C62">
        <w:t xml:space="preserve">samples </w:t>
      </w:r>
      <w:r>
        <w:t xml:space="preserve">collected 1, </w:t>
      </w:r>
      <w:proofErr w:type="gramStart"/>
      <w:r>
        <w:t>3 and 6 hours</w:t>
      </w:r>
      <w:proofErr w:type="gramEnd"/>
      <w:r>
        <w:t xml:space="preserve"> post-application on Day 1, and at the first month visit. </w:t>
      </w:r>
    </w:p>
    <w:p w14:paraId="1BC89B45" w14:textId="04F416A7" w:rsidR="001C1BB4" w:rsidRDefault="00A041E9" w:rsidP="00A041E9">
      <w:r>
        <w:t>Similarly, patients who received chlormethine gel 0.04% in a follow-up study (Study 202) had no measurable concentrations of chlormethine or its degradation product (half-mustard) in blood collected 1 hour post-application on Day 1 or after 2, 4, or 6 months of treatment.</w:t>
      </w:r>
    </w:p>
    <w:p w14:paraId="24F752C5" w14:textId="626D9C7F" w:rsidR="00EA6A6B" w:rsidRPr="00EA6A6B" w:rsidRDefault="00EA6A6B" w:rsidP="00EA6A6B">
      <w:pPr>
        <w:pStyle w:val="Heading2"/>
        <w:numPr>
          <w:ilvl w:val="1"/>
          <w:numId w:val="6"/>
        </w:numPr>
      </w:pPr>
      <w:r>
        <w:t>PRECLINICAL SAFETY DATA</w:t>
      </w:r>
    </w:p>
    <w:p w14:paraId="5B8A4F97" w14:textId="4E07B7D0" w:rsidR="00A736BB" w:rsidRDefault="00863195" w:rsidP="00080901">
      <w:pPr>
        <w:pStyle w:val="Heading3"/>
      </w:pPr>
      <w:r>
        <w:t>Gen</w:t>
      </w:r>
      <w:r w:rsidR="00227B42">
        <w:t>o</w:t>
      </w:r>
      <w:r>
        <w:t>toxicity</w:t>
      </w:r>
    </w:p>
    <w:p w14:paraId="40871544" w14:textId="364E910A" w:rsidR="00863195" w:rsidRDefault="00E32212" w:rsidP="00E77AE6">
      <w:r>
        <w:lastRenderedPageBreak/>
        <w:t xml:space="preserve">Chlormethine was shown to be genotoxic in </w:t>
      </w:r>
      <w:r w:rsidR="00E77AE6">
        <w:t xml:space="preserve">multiple assays, including for mutagenicity in bacteria (Ames test), chromosomal aberrations in vitro (in cultured human lymphocytes) and for </w:t>
      </w:r>
      <w:proofErr w:type="spellStart"/>
      <w:r w:rsidR="00E77AE6">
        <w:t>clastogenicity</w:t>
      </w:r>
      <w:proofErr w:type="spellEnd"/>
      <w:r w:rsidR="00E77AE6">
        <w:t xml:space="preserve"> in vivo (mouse bone marrow micronucleus test). Covalent binding to DNA is the key mechanism for the desired cytotoxic action of chlormethine.</w:t>
      </w:r>
    </w:p>
    <w:p w14:paraId="6AD24498" w14:textId="12921DE6" w:rsidR="00863195" w:rsidRDefault="00863195" w:rsidP="00080901">
      <w:pPr>
        <w:pStyle w:val="Heading3"/>
      </w:pPr>
      <w:r>
        <w:t>Carcinogenicity</w:t>
      </w:r>
    </w:p>
    <w:p w14:paraId="580FC83C" w14:textId="686D2676" w:rsidR="001C77A7" w:rsidRDefault="004430EE" w:rsidP="00E32212">
      <w:r>
        <w:t xml:space="preserve">Chlormethine has been shown to be carcinogenic in rodents after subcutaneous and intravenous injection, and with topical dermal administration. </w:t>
      </w:r>
      <w:r w:rsidR="00E32212">
        <w:t xml:space="preserve">Dermal application of chlormethine to mice at a dose of </w:t>
      </w:r>
      <w:r w:rsidR="00D73DE4">
        <w:t xml:space="preserve">12 to </w:t>
      </w:r>
      <w:r w:rsidR="00E32212">
        <w:t>15</w:t>
      </w:r>
      <w:r w:rsidR="00641831">
        <w:t xml:space="preserve"> </w:t>
      </w:r>
      <w:r w:rsidR="00E32212">
        <w:t>mg/kg</w:t>
      </w:r>
      <w:r w:rsidR="00D73DE4">
        <w:t>/week</w:t>
      </w:r>
      <w:r w:rsidR="00E32212">
        <w:t xml:space="preserve"> for </w:t>
      </w:r>
      <w:r w:rsidR="00D73DE4">
        <w:t xml:space="preserve">20 </w:t>
      </w:r>
      <w:r w:rsidR="00E32212">
        <w:t xml:space="preserve">weeks resulted in skin tumours (squamous cell carcinomas and skin </w:t>
      </w:r>
      <w:proofErr w:type="spellStart"/>
      <w:r w:rsidR="00E32212">
        <w:t>papilloma</w:t>
      </w:r>
      <w:r w:rsidR="000A7078">
        <w:t>s</w:t>
      </w:r>
      <w:proofErr w:type="spellEnd"/>
      <w:r w:rsidR="00E32212">
        <w:t>). There were no reports of systemic tumours after topical administration of chlormethine.</w:t>
      </w:r>
    </w:p>
    <w:p w14:paraId="4CAA1BFD" w14:textId="1AB6DC96" w:rsidR="00EA6A6B" w:rsidRDefault="00EA6A6B" w:rsidP="00EA6A6B">
      <w:pPr>
        <w:pStyle w:val="Heading1"/>
      </w:pPr>
      <w:r>
        <w:t>PHARMACEUTICAL PARTICULARS</w:t>
      </w:r>
    </w:p>
    <w:p w14:paraId="74393191" w14:textId="05DED0A1" w:rsidR="00EA6A6B" w:rsidRDefault="00EA6A6B" w:rsidP="00EA6A6B">
      <w:pPr>
        <w:pStyle w:val="Heading2"/>
        <w:numPr>
          <w:ilvl w:val="1"/>
          <w:numId w:val="6"/>
        </w:numPr>
      </w:pPr>
      <w:r>
        <w:t>LIST OF EXIPIENTS</w:t>
      </w:r>
    </w:p>
    <w:p w14:paraId="0A59D86E" w14:textId="77777777" w:rsidR="00380886" w:rsidRDefault="00380886" w:rsidP="006A3E09">
      <w:pPr>
        <w:spacing w:after="0"/>
      </w:pPr>
      <w:r>
        <w:t xml:space="preserve">Diethylene glycol </w:t>
      </w:r>
      <w:proofErr w:type="spellStart"/>
      <w:r>
        <w:t>monoethyl</w:t>
      </w:r>
      <w:proofErr w:type="spellEnd"/>
      <w:r>
        <w:t xml:space="preserve"> ether</w:t>
      </w:r>
    </w:p>
    <w:p w14:paraId="33D0AB09" w14:textId="77777777" w:rsidR="00380886" w:rsidRDefault="00380886" w:rsidP="006A3E09">
      <w:pPr>
        <w:spacing w:after="0"/>
      </w:pPr>
      <w:r>
        <w:t>Propylene glycol</w:t>
      </w:r>
    </w:p>
    <w:p w14:paraId="673E3F26" w14:textId="77777777" w:rsidR="00380886" w:rsidRDefault="00380886" w:rsidP="006A3E09">
      <w:pPr>
        <w:spacing w:after="0"/>
      </w:pPr>
      <w:r>
        <w:t>Isopropyl alcohol</w:t>
      </w:r>
    </w:p>
    <w:p w14:paraId="5A098E90" w14:textId="77777777" w:rsidR="00380886" w:rsidRDefault="00380886" w:rsidP="006A3E09">
      <w:pPr>
        <w:spacing w:after="0"/>
      </w:pPr>
      <w:r>
        <w:t>Glycerol</w:t>
      </w:r>
    </w:p>
    <w:p w14:paraId="3BAF0A85" w14:textId="77777777" w:rsidR="00380886" w:rsidRDefault="00380886" w:rsidP="006A3E09">
      <w:pPr>
        <w:spacing w:after="0"/>
      </w:pPr>
      <w:r>
        <w:t>Lactic acid</w:t>
      </w:r>
    </w:p>
    <w:p w14:paraId="453372D9" w14:textId="3724431E" w:rsidR="00380886" w:rsidRDefault="00380886" w:rsidP="006A3E09">
      <w:pPr>
        <w:spacing w:after="0"/>
      </w:pPr>
      <w:proofErr w:type="spellStart"/>
      <w:r>
        <w:t>Hy</w:t>
      </w:r>
      <w:r w:rsidR="009B6CC2">
        <w:t>prolose</w:t>
      </w:r>
      <w:proofErr w:type="spellEnd"/>
    </w:p>
    <w:p w14:paraId="61C9C333" w14:textId="77777777" w:rsidR="00380886" w:rsidRDefault="00380886" w:rsidP="006A3E09">
      <w:pPr>
        <w:spacing w:after="0"/>
      </w:pPr>
      <w:r>
        <w:t>Sodium chloride</w:t>
      </w:r>
    </w:p>
    <w:p w14:paraId="1452699A" w14:textId="12BA88B9" w:rsidR="00380886" w:rsidRDefault="00380886" w:rsidP="006A3E09">
      <w:pPr>
        <w:spacing w:after="0"/>
      </w:pPr>
      <w:r>
        <w:t>Menthol</w:t>
      </w:r>
    </w:p>
    <w:p w14:paraId="38A9E5E7" w14:textId="77777777" w:rsidR="00380886" w:rsidRDefault="00380886" w:rsidP="006A3E09">
      <w:pPr>
        <w:spacing w:after="0"/>
      </w:pPr>
      <w:r>
        <w:t>Disodium edetate</w:t>
      </w:r>
    </w:p>
    <w:p w14:paraId="4FF66AA2" w14:textId="0AFAD176" w:rsidR="00EA6A6B" w:rsidRDefault="00380886" w:rsidP="006A3E09">
      <w:pPr>
        <w:spacing w:after="0"/>
      </w:pPr>
      <w:r>
        <w:t>Butylhydroxytoluene</w:t>
      </w:r>
    </w:p>
    <w:p w14:paraId="534241C8" w14:textId="77777777" w:rsidR="00540593" w:rsidRDefault="00540593" w:rsidP="006A3E09">
      <w:pPr>
        <w:spacing w:after="0"/>
      </w:pPr>
    </w:p>
    <w:p w14:paraId="25A09201" w14:textId="3B65A0E5" w:rsidR="00EA6A6B" w:rsidRDefault="00EA6A6B" w:rsidP="00EA6A6B">
      <w:pPr>
        <w:pStyle w:val="Heading2"/>
        <w:numPr>
          <w:ilvl w:val="1"/>
          <w:numId w:val="6"/>
        </w:numPr>
      </w:pPr>
      <w:r>
        <w:t>INCOMPATIBILITIES</w:t>
      </w:r>
    </w:p>
    <w:p w14:paraId="44DA3514" w14:textId="7F1EED98" w:rsidR="00EA6A6B" w:rsidRDefault="0099666E" w:rsidP="00EA6A6B">
      <w:r w:rsidRPr="0099666E">
        <w:t>Not applicable.</w:t>
      </w:r>
    </w:p>
    <w:p w14:paraId="608DCC90" w14:textId="77777777" w:rsidR="005F39AC" w:rsidRPr="00EA6A6B" w:rsidRDefault="005F39AC" w:rsidP="00EA6A6B"/>
    <w:p w14:paraId="74CC9D1A" w14:textId="0233097A" w:rsidR="00EA6A6B" w:rsidRDefault="00EA6A6B" w:rsidP="00EA6A6B">
      <w:pPr>
        <w:pStyle w:val="Heading2"/>
        <w:numPr>
          <w:ilvl w:val="1"/>
          <w:numId w:val="6"/>
        </w:numPr>
      </w:pPr>
      <w:r>
        <w:t>SHELF LIFE</w:t>
      </w:r>
    </w:p>
    <w:p w14:paraId="191456E7" w14:textId="77777777" w:rsidR="0099666E" w:rsidRPr="0099666E" w:rsidRDefault="0099666E" w:rsidP="0099666E">
      <w:pPr>
        <w:rPr>
          <w:b/>
          <w:bCs/>
        </w:rPr>
      </w:pPr>
      <w:r w:rsidRPr="0099666E">
        <w:rPr>
          <w:b/>
          <w:bCs/>
        </w:rPr>
        <w:t xml:space="preserve">Unopened tube </w:t>
      </w:r>
    </w:p>
    <w:p w14:paraId="3C56A280" w14:textId="77777777" w:rsidR="0099666E" w:rsidRDefault="0099666E" w:rsidP="0099666E">
      <w:r>
        <w:t>3 years in the freezer (–15 °C to –25 °C).</w:t>
      </w:r>
    </w:p>
    <w:p w14:paraId="62A4E662" w14:textId="77777777" w:rsidR="0099666E" w:rsidRPr="0099666E" w:rsidRDefault="0099666E" w:rsidP="0099666E">
      <w:pPr>
        <w:rPr>
          <w:b/>
          <w:bCs/>
        </w:rPr>
      </w:pPr>
      <w:r w:rsidRPr="0099666E">
        <w:rPr>
          <w:b/>
          <w:bCs/>
        </w:rPr>
        <w:t xml:space="preserve">After defrosting </w:t>
      </w:r>
    </w:p>
    <w:p w14:paraId="6B272E4B" w14:textId="6BF58471" w:rsidR="0099666E" w:rsidRDefault="003B3D80" w:rsidP="0099666E">
      <w:r>
        <w:rPr>
          <w:rFonts w:eastAsia="Times New Roman" w:cs="Times New Roman"/>
          <w:color w:val="000000"/>
          <w:szCs w:val="24"/>
          <w:lang w:val="x-none"/>
        </w:rPr>
        <w:t>Store at 2</w:t>
      </w:r>
      <w:r>
        <w:rPr>
          <w:rFonts w:eastAsia="Times New Roman" w:cs="Times New Roman"/>
          <w:color w:val="000000"/>
          <w:szCs w:val="24"/>
        </w:rPr>
        <w:t xml:space="preserve"> </w:t>
      </w:r>
      <w:r>
        <w:t>°</w:t>
      </w:r>
      <w:r>
        <w:rPr>
          <w:rFonts w:eastAsia="Times New Roman" w:cs="Times New Roman"/>
          <w:color w:val="000000"/>
          <w:szCs w:val="24"/>
          <w:lang w:val="x-none"/>
        </w:rPr>
        <w:t>C to 8</w:t>
      </w:r>
      <w:r>
        <w:rPr>
          <w:rFonts w:eastAsia="Times New Roman" w:cs="Times New Roman"/>
          <w:color w:val="000000"/>
          <w:szCs w:val="24"/>
        </w:rPr>
        <w:t xml:space="preserve"> </w:t>
      </w:r>
      <w:r>
        <w:t>°</w:t>
      </w:r>
      <w:r>
        <w:rPr>
          <w:rFonts w:eastAsia="Times New Roman" w:cs="Times New Roman"/>
          <w:color w:val="000000"/>
          <w:szCs w:val="24"/>
          <w:lang w:val="x-none"/>
        </w:rPr>
        <w:t xml:space="preserve">C </w:t>
      </w:r>
      <w:r w:rsidR="00AD01DC">
        <w:rPr>
          <w:rFonts w:eastAsia="Times New Roman" w:cs="Times New Roman"/>
          <w:color w:val="000000"/>
          <w:szCs w:val="24"/>
        </w:rPr>
        <w:t>for up to</w:t>
      </w:r>
      <w:r w:rsidR="00AD01DC">
        <w:t xml:space="preserve"> 60 days</w:t>
      </w:r>
      <w:r w:rsidR="00AD01DC">
        <w:rPr>
          <w:rFonts w:eastAsia="Times New Roman" w:cs="Times New Roman"/>
          <w:color w:val="000000"/>
          <w:szCs w:val="24"/>
          <w:lang w:val="x-none"/>
        </w:rPr>
        <w:t xml:space="preserve"> </w:t>
      </w:r>
      <w:r>
        <w:rPr>
          <w:rFonts w:eastAsia="Times New Roman" w:cs="Times New Roman"/>
          <w:color w:val="000000"/>
          <w:szCs w:val="24"/>
          <w:lang w:val="x-none"/>
        </w:rPr>
        <w:t>(Refrigerate. Do not freeze)</w:t>
      </w:r>
      <w:r w:rsidR="0099666E">
        <w:t>.</w:t>
      </w:r>
    </w:p>
    <w:p w14:paraId="7AFF2C30" w14:textId="5927D447" w:rsidR="00EA6A6B" w:rsidRPr="00EA6A6B" w:rsidRDefault="0099666E" w:rsidP="0099666E">
      <w:proofErr w:type="spellStart"/>
      <w:r>
        <w:t>Ledaga</w:t>
      </w:r>
      <w:proofErr w:type="spellEnd"/>
      <w:r>
        <w:t xml:space="preserve"> should be removed from the refrigerator just prior to application and returned to the </w:t>
      </w:r>
      <w:r w:rsidRPr="00755D56">
        <w:t>refrigerator immediately after each use in its box inside the child-resistant, transparent, sealable, plastic bag.</w:t>
      </w:r>
    </w:p>
    <w:p w14:paraId="5C08CD81" w14:textId="2A4F275A" w:rsidR="00EA6A6B" w:rsidRDefault="00EA6A6B" w:rsidP="00EA6A6B">
      <w:pPr>
        <w:pStyle w:val="Heading2"/>
        <w:numPr>
          <w:ilvl w:val="1"/>
          <w:numId w:val="6"/>
        </w:numPr>
      </w:pPr>
      <w:r>
        <w:t>SPECIAL PRECAUTIONS FOR STORAGE</w:t>
      </w:r>
    </w:p>
    <w:p w14:paraId="525C058F" w14:textId="308EBA77" w:rsidR="0099666E" w:rsidRDefault="0099666E" w:rsidP="0099666E">
      <w:r>
        <w:t xml:space="preserve">Store and transport </w:t>
      </w:r>
      <w:r w:rsidR="0000796B">
        <w:t xml:space="preserve">at </w:t>
      </w:r>
      <w:r>
        <w:t>-15 °C to -25 °C</w:t>
      </w:r>
      <w:r w:rsidR="0000796B">
        <w:t xml:space="preserve"> (deep freeze)</w:t>
      </w:r>
      <w:r>
        <w:t>.</w:t>
      </w:r>
    </w:p>
    <w:p w14:paraId="39A5601E" w14:textId="6538EB1A" w:rsidR="00EA6A6B" w:rsidRPr="00EA6A6B" w:rsidRDefault="0099666E" w:rsidP="0099666E">
      <w:r>
        <w:t xml:space="preserve">For storage conditions after defrosting </w:t>
      </w:r>
      <w:proofErr w:type="spellStart"/>
      <w:r>
        <w:t>Ledaga</w:t>
      </w:r>
      <w:proofErr w:type="spellEnd"/>
      <w:r>
        <w:t>, see section 6.3.</w:t>
      </w:r>
    </w:p>
    <w:p w14:paraId="1822A6E3" w14:textId="18653020" w:rsidR="00EA6A6B" w:rsidRDefault="00EA6A6B" w:rsidP="00EA6A6B">
      <w:pPr>
        <w:pStyle w:val="Heading2"/>
        <w:numPr>
          <w:ilvl w:val="1"/>
          <w:numId w:val="6"/>
        </w:numPr>
      </w:pPr>
      <w:r>
        <w:lastRenderedPageBreak/>
        <w:t>NATURE AND CONTENTS OF CONTAINER</w:t>
      </w:r>
    </w:p>
    <w:p w14:paraId="7CF3EB33" w14:textId="20CA1448" w:rsidR="00EA6A6B" w:rsidRPr="00EA6A6B" w:rsidRDefault="00AE0CAD" w:rsidP="00EA6A6B">
      <w:proofErr w:type="spellStart"/>
      <w:r w:rsidRPr="00AE0CAD">
        <w:t>Ledaga</w:t>
      </w:r>
      <w:proofErr w:type="spellEnd"/>
      <w:r w:rsidRPr="00AE0CAD">
        <w:t xml:space="preserve"> is provided in a white aluminium tube with an inner lacquer and an aluminium seal and a white polypropylene screw cap. Each tube contains 60 g of gel.</w:t>
      </w:r>
    </w:p>
    <w:p w14:paraId="4FBA2300" w14:textId="349310D8" w:rsidR="00EA6A6B" w:rsidRDefault="00EA6A6B" w:rsidP="00EA6A6B">
      <w:pPr>
        <w:pStyle w:val="Heading2"/>
        <w:numPr>
          <w:ilvl w:val="1"/>
          <w:numId w:val="6"/>
        </w:numPr>
      </w:pPr>
      <w:r>
        <w:t>SPECIAL PRECAUTIONS FOR DISPOSAL</w:t>
      </w:r>
    </w:p>
    <w:p w14:paraId="0AD97134" w14:textId="77777777" w:rsidR="00AE0CAD" w:rsidRDefault="00AE0CAD" w:rsidP="00AE0CAD">
      <w:proofErr w:type="spellStart"/>
      <w:r>
        <w:t>Ledaga</w:t>
      </w:r>
      <w:proofErr w:type="spellEnd"/>
      <w:r>
        <w:t xml:space="preserve"> is a cytotoxic medicinal product. </w:t>
      </w:r>
    </w:p>
    <w:p w14:paraId="52D89E19" w14:textId="77777777" w:rsidR="00AE0CAD" w:rsidRDefault="00AE0CAD" w:rsidP="00AE0CAD">
      <w:r>
        <w:t xml:space="preserve">Caregivers must wear nitrile gloves when handling </w:t>
      </w:r>
      <w:proofErr w:type="spellStart"/>
      <w:r>
        <w:t>Ledaga</w:t>
      </w:r>
      <w:proofErr w:type="spellEnd"/>
      <w:r>
        <w:t xml:space="preserve">. Patients and caregivers must wash hands after handling </w:t>
      </w:r>
      <w:proofErr w:type="spellStart"/>
      <w:r>
        <w:t>Ledaga</w:t>
      </w:r>
      <w:proofErr w:type="spellEnd"/>
      <w:r>
        <w:t>.</w:t>
      </w:r>
    </w:p>
    <w:p w14:paraId="5B36067D" w14:textId="77777777" w:rsidR="00AE0CAD" w:rsidRDefault="00AE0CAD" w:rsidP="00AE0CAD">
      <w:proofErr w:type="spellStart"/>
      <w:r>
        <w:t>Ledaga</w:t>
      </w:r>
      <w:proofErr w:type="spellEnd"/>
      <w:r>
        <w:t xml:space="preserve"> is an alcohol-based product and is flammable. The recommended application instructions should be followed (see section 4.2).</w:t>
      </w:r>
    </w:p>
    <w:p w14:paraId="42A3C858" w14:textId="77777777" w:rsidR="00AE0CAD" w:rsidRPr="00755D56" w:rsidRDefault="00AE0CAD" w:rsidP="00AE0CAD">
      <w:r>
        <w:t xml:space="preserve">Unused refrigerated </w:t>
      </w:r>
      <w:proofErr w:type="spellStart"/>
      <w:r>
        <w:t>Ledaga</w:t>
      </w:r>
      <w:proofErr w:type="spellEnd"/>
      <w:r>
        <w:t xml:space="preserve"> should be discarded after 60 days, </w:t>
      </w:r>
      <w:r w:rsidRPr="00755D56">
        <w:t>together with the plastic bag.</w:t>
      </w:r>
    </w:p>
    <w:p w14:paraId="08F9F820" w14:textId="2049B721" w:rsidR="00EA6A6B" w:rsidRPr="00EA6A6B" w:rsidRDefault="00AE0CAD" w:rsidP="00AE0CAD">
      <w:r w:rsidRPr="00755D56">
        <w:t>Any unused medicinal product or waste material, including the plastic bag and the nitrile gloves used for application, must be disposed of in accordance with local requirements</w:t>
      </w:r>
      <w:r>
        <w:t>.</w:t>
      </w:r>
    </w:p>
    <w:p w14:paraId="2967E6C9" w14:textId="41160C33" w:rsidR="00EA6A6B" w:rsidRDefault="00EA6A6B" w:rsidP="00EA6A6B">
      <w:pPr>
        <w:pStyle w:val="Heading2"/>
        <w:numPr>
          <w:ilvl w:val="0"/>
          <w:numId w:val="0"/>
        </w:numPr>
        <w:ind w:left="360"/>
      </w:pPr>
      <w:r>
        <w:t>6.7</w:t>
      </w:r>
      <w:r>
        <w:tab/>
        <w:t>PHYSICOCHEMICAL PROPERTIES</w:t>
      </w:r>
    </w:p>
    <w:p w14:paraId="717A06C1" w14:textId="144CFB6E" w:rsidR="00EA6A6B" w:rsidRDefault="00F7506D" w:rsidP="00080901">
      <w:pPr>
        <w:pStyle w:val="Heading3"/>
      </w:pPr>
      <w:r>
        <w:t>Chemical Structure</w:t>
      </w:r>
    </w:p>
    <w:p w14:paraId="6856621B" w14:textId="2A250962" w:rsidR="00F7506D" w:rsidRDefault="00F81635" w:rsidP="00F7506D">
      <w:r>
        <w:rPr>
          <w:noProof/>
          <w:lang w:val="en-GB" w:eastAsia="en-GB"/>
        </w:rPr>
        <w:drawing>
          <wp:inline distT="0" distB="0" distL="0" distR="0" wp14:anchorId="69E5AFCB" wp14:editId="4BE604C3">
            <wp:extent cx="3085817" cy="977900"/>
            <wp:effectExtent l="0" t="0" r="63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3101064" cy="982732"/>
                    </a:xfrm>
                    <a:prstGeom prst="rect">
                      <a:avLst/>
                    </a:prstGeom>
                  </pic:spPr>
                </pic:pic>
              </a:graphicData>
            </a:graphic>
          </wp:inline>
        </w:drawing>
      </w:r>
    </w:p>
    <w:p w14:paraId="2C903D77" w14:textId="77777777" w:rsidR="00681E05" w:rsidRPr="00681E05" w:rsidRDefault="00681E05" w:rsidP="00681E05">
      <w:pPr>
        <w:pStyle w:val="Heading3"/>
        <w:rPr>
          <w:b w:val="0"/>
          <w:bCs/>
        </w:rPr>
      </w:pPr>
      <w:r w:rsidRPr="00681E05">
        <w:rPr>
          <w:b w:val="0"/>
          <w:bCs/>
        </w:rPr>
        <w:t>Molecular Formula: C</w:t>
      </w:r>
      <w:r w:rsidRPr="00681E05">
        <w:rPr>
          <w:b w:val="0"/>
          <w:bCs/>
          <w:vertAlign w:val="subscript"/>
        </w:rPr>
        <w:t>5</w:t>
      </w:r>
      <w:r w:rsidRPr="00681E05">
        <w:rPr>
          <w:b w:val="0"/>
          <w:bCs/>
        </w:rPr>
        <w:t>H</w:t>
      </w:r>
      <w:r w:rsidRPr="00681E05">
        <w:rPr>
          <w:b w:val="0"/>
          <w:bCs/>
          <w:vertAlign w:val="subscript"/>
        </w:rPr>
        <w:t>11</w:t>
      </w:r>
      <w:r w:rsidRPr="00681E05">
        <w:rPr>
          <w:b w:val="0"/>
          <w:bCs/>
        </w:rPr>
        <w:t>C</w:t>
      </w:r>
      <w:r w:rsidRPr="00681E05">
        <w:rPr>
          <w:b w:val="0"/>
          <w:bCs/>
          <w:vertAlign w:val="subscript"/>
        </w:rPr>
        <w:t>l2</w:t>
      </w:r>
      <w:r w:rsidRPr="00681E05">
        <w:rPr>
          <w:b w:val="0"/>
          <w:bCs/>
        </w:rPr>
        <w:t>N</w:t>
      </w:r>
      <w:r w:rsidRPr="00681E05">
        <w:rPr>
          <w:rFonts w:ascii="Cambria Math" w:hAnsi="Cambria Math" w:cs="Cambria Math"/>
          <w:b w:val="0"/>
          <w:bCs/>
        </w:rPr>
        <w:t>⋅</w:t>
      </w:r>
      <w:r w:rsidRPr="00681E05">
        <w:rPr>
          <w:b w:val="0"/>
          <w:bCs/>
        </w:rPr>
        <w:t>HCl</w:t>
      </w:r>
    </w:p>
    <w:p w14:paraId="632AF610" w14:textId="77777777" w:rsidR="00681E05" w:rsidRPr="00681E05" w:rsidRDefault="00681E05" w:rsidP="00681E05">
      <w:pPr>
        <w:pStyle w:val="Heading3"/>
        <w:rPr>
          <w:b w:val="0"/>
          <w:bCs/>
        </w:rPr>
      </w:pPr>
      <w:r w:rsidRPr="00681E05">
        <w:rPr>
          <w:b w:val="0"/>
          <w:bCs/>
        </w:rPr>
        <w:t>Molecular Weight: 192.51</w:t>
      </w:r>
    </w:p>
    <w:p w14:paraId="09D48916" w14:textId="77777777" w:rsidR="00F94EB0" w:rsidRDefault="00F7506D" w:rsidP="00681E05">
      <w:pPr>
        <w:pStyle w:val="Heading3"/>
      </w:pPr>
      <w:r>
        <w:t>CAS Number</w:t>
      </w:r>
    </w:p>
    <w:p w14:paraId="4667A774" w14:textId="14E9F89F" w:rsidR="00F7506D" w:rsidRDefault="00E3575C" w:rsidP="00F94EB0">
      <w:r>
        <w:t>55-86-7</w:t>
      </w:r>
    </w:p>
    <w:p w14:paraId="2CCF0D85" w14:textId="3F256A6C" w:rsidR="00EA6A6B" w:rsidRDefault="00EA6A6B" w:rsidP="00EA6A6B">
      <w:pPr>
        <w:pStyle w:val="Heading1"/>
      </w:pPr>
      <w:r>
        <w:t>MEDICINE SCHEDULE (POISONS STANDARD)</w:t>
      </w:r>
    </w:p>
    <w:p w14:paraId="19709245" w14:textId="6CB6C327" w:rsidR="00EA6A6B" w:rsidRDefault="00AE0CAD" w:rsidP="00EA6A6B">
      <w:r>
        <w:t>Schedule 4 – Prescription Only Medicine</w:t>
      </w:r>
    </w:p>
    <w:p w14:paraId="62737B4B" w14:textId="1AF30700" w:rsidR="00EA6A6B" w:rsidRDefault="00EA6A6B" w:rsidP="00EA6A6B">
      <w:pPr>
        <w:pStyle w:val="Heading1"/>
      </w:pPr>
      <w:r>
        <w:t>SPONSOR</w:t>
      </w:r>
    </w:p>
    <w:p w14:paraId="226B9BEA" w14:textId="77777777" w:rsidR="00AD370F" w:rsidRDefault="00AD370F" w:rsidP="00AD370F">
      <w:pPr>
        <w:jc w:val="left"/>
      </w:pPr>
      <w:proofErr w:type="spellStart"/>
      <w:r>
        <w:t>Recordati</w:t>
      </w:r>
      <w:proofErr w:type="spellEnd"/>
      <w:r>
        <w:t xml:space="preserve"> Rare Diseases Australia Pty Ltd</w:t>
      </w:r>
      <w:r>
        <w:br/>
        <w:t xml:space="preserve">Level 6, 69 Reservoir St </w:t>
      </w:r>
      <w:r>
        <w:br/>
        <w:t>Surry Hills</w:t>
      </w:r>
      <w:r>
        <w:br/>
        <w:t xml:space="preserve">Sydney NSW </w:t>
      </w:r>
      <w:r w:rsidRPr="006A3E09">
        <w:t>2010</w:t>
      </w:r>
      <w:r>
        <w:br/>
        <w:t>Australia</w:t>
      </w:r>
    </w:p>
    <w:p w14:paraId="574A191E" w14:textId="068A9687" w:rsidR="00EA6A6B" w:rsidRDefault="00EA6A6B" w:rsidP="00EA6A6B">
      <w:pPr>
        <w:pStyle w:val="Heading1"/>
      </w:pPr>
      <w:r>
        <w:t>DATE OF FIRST APPROVAL</w:t>
      </w:r>
    </w:p>
    <w:p w14:paraId="0DBD6E8C" w14:textId="33E6AB74" w:rsidR="00EA6A6B" w:rsidRDefault="009C4554" w:rsidP="00EA6A6B">
      <w:r>
        <w:t>22</w:t>
      </w:r>
      <w:r w:rsidR="003E2169">
        <w:t xml:space="preserve"> June 2021</w:t>
      </w:r>
    </w:p>
    <w:p w14:paraId="2A551D59" w14:textId="5E94B0AA" w:rsidR="00EA6A6B" w:rsidRDefault="00EA6A6B" w:rsidP="00EA6A6B">
      <w:pPr>
        <w:pStyle w:val="Heading1"/>
      </w:pPr>
      <w:r>
        <w:t>DATE OF REVISION</w:t>
      </w:r>
    </w:p>
    <w:p w14:paraId="094A58E1" w14:textId="04407187" w:rsidR="00AE7E8C" w:rsidRDefault="00AE7E8C" w:rsidP="00AE7E8C"/>
    <w:tbl>
      <w:tblPr>
        <w:tblStyle w:val="TableGrid"/>
        <w:tblW w:w="0" w:type="auto"/>
        <w:tblLook w:val="04A0" w:firstRow="1" w:lastRow="0" w:firstColumn="1" w:lastColumn="0" w:noHBand="0" w:noVBand="1"/>
      </w:tblPr>
      <w:tblGrid>
        <w:gridCol w:w="1396"/>
        <w:gridCol w:w="7620"/>
      </w:tblGrid>
      <w:tr w:rsidR="00AE7E8C" w:rsidRPr="00FE3922" w14:paraId="1D311F15" w14:textId="77777777" w:rsidTr="001372AD">
        <w:tc>
          <w:tcPr>
            <w:tcW w:w="1413" w:type="dxa"/>
          </w:tcPr>
          <w:p w14:paraId="15340F2D" w14:textId="77777777" w:rsidR="00AE7E8C" w:rsidRPr="000B6E59" w:rsidRDefault="00AE7E8C" w:rsidP="001372AD">
            <w:r w:rsidRPr="000B6E59">
              <w:lastRenderedPageBreak/>
              <w:t>Section Changed</w:t>
            </w:r>
          </w:p>
        </w:tc>
        <w:tc>
          <w:tcPr>
            <w:tcW w:w="7937" w:type="dxa"/>
          </w:tcPr>
          <w:p w14:paraId="0936FA68" w14:textId="77777777" w:rsidR="00AE7E8C" w:rsidRPr="00FE3922" w:rsidRDefault="00AE7E8C" w:rsidP="001372AD">
            <w:r w:rsidRPr="000B6E59">
              <w:t>Summary of new information</w:t>
            </w:r>
          </w:p>
        </w:tc>
      </w:tr>
      <w:tr w:rsidR="00AE7E8C" w:rsidRPr="00FE3922" w14:paraId="7D084E3A" w14:textId="77777777" w:rsidTr="001372AD">
        <w:tc>
          <w:tcPr>
            <w:tcW w:w="1413" w:type="dxa"/>
          </w:tcPr>
          <w:p w14:paraId="00821E0F" w14:textId="77777777" w:rsidR="00AE7E8C" w:rsidRPr="00FE3922" w:rsidRDefault="00AE7E8C" w:rsidP="001372AD"/>
        </w:tc>
        <w:tc>
          <w:tcPr>
            <w:tcW w:w="7937" w:type="dxa"/>
          </w:tcPr>
          <w:p w14:paraId="1AC7C61F" w14:textId="77777777" w:rsidR="00AE7E8C" w:rsidRPr="00FE3922" w:rsidRDefault="00AE7E8C" w:rsidP="001372AD"/>
        </w:tc>
      </w:tr>
      <w:tr w:rsidR="00AE7E8C" w:rsidRPr="00FE3922" w14:paraId="516A87B8" w14:textId="77777777" w:rsidTr="001372AD">
        <w:tc>
          <w:tcPr>
            <w:tcW w:w="1413" w:type="dxa"/>
          </w:tcPr>
          <w:p w14:paraId="42AE10E7" w14:textId="77777777" w:rsidR="00AE7E8C" w:rsidRPr="00FE3922" w:rsidRDefault="00AE7E8C" w:rsidP="001372AD"/>
        </w:tc>
        <w:tc>
          <w:tcPr>
            <w:tcW w:w="7937" w:type="dxa"/>
          </w:tcPr>
          <w:p w14:paraId="2ACB3986" w14:textId="77777777" w:rsidR="00AE7E8C" w:rsidRPr="00FE3922" w:rsidRDefault="00AE7E8C" w:rsidP="001372AD"/>
        </w:tc>
      </w:tr>
      <w:tr w:rsidR="00AE7E8C" w:rsidRPr="00FE3922" w14:paraId="78091A1E" w14:textId="77777777" w:rsidTr="001372AD">
        <w:tc>
          <w:tcPr>
            <w:tcW w:w="1413" w:type="dxa"/>
          </w:tcPr>
          <w:p w14:paraId="7EE586F7" w14:textId="77777777" w:rsidR="00AE7E8C" w:rsidRPr="00FE3922" w:rsidRDefault="00AE7E8C" w:rsidP="001372AD"/>
        </w:tc>
        <w:tc>
          <w:tcPr>
            <w:tcW w:w="7937" w:type="dxa"/>
          </w:tcPr>
          <w:p w14:paraId="4677ABDD" w14:textId="77777777" w:rsidR="00AE7E8C" w:rsidRPr="00FE3922" w:rsidRDefault="00AE7E8C" w:rsidP="001372AD"/>
        </w:tc>
      </w:tr>
    </w:tbl>
    <w:p w14:paraId="34DC6C41" w14:textId="7A2C783C" w:rsidR="00805353" w:rsidRPr="00AE7E8C" w:rsidRDefault="00805353" w:rsidP="00AE7E8C"/>
    <w:sectPr w:rsidR="00805353" w:rsidRPr="00AE7E8C">
      <w:headerReference w:type="even" r:id="rId13"/>
      <w:headerReference w:type="default" r:id="rId14"/>
      <w:footerReference w:type="even" r:id="rId15"/>
      <w:footerReference w:type="default" r:id="rId16"/>
      <w:headerReference w:type="first" r:id="rId17"/>
      <w:footerReference w:type="first" r:id="rId1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945185A" w14:textId="77777777" w:rsidR="003A58EA" w:rsidRDefault="003A58EA" w:rsidP="00AE7E8C">
      <w:pPr>
        <w:spacing w:after="0"/>
      </w:pPr>
      <w:r>
        <w:separator/>
      </w:r>
    </w:p>
  </w:endnote>
  <w:endnote w:type="continuationSeparator" w:id="0">
    <w:p w14:paraId="2D2C7DED" w14:textId="77777777" w:rsidR="003A58EA" w:rsidRDefault="003A58EA" w:rsidP="00AE7E8C">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2AFF" w:usb1="4000ACFF"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Wingdings 3">
    <w:panose1 w:val="050401020108070707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TimesNewRoman">
    <w:altName w:val="Times New Roman"/>
    <w:panose1 w:val="00000000000000000000"/>
    <w:charset w:val="00"/>
    <w:family w:val="auto"/>
    <w:notTrueType/>
    <w:pitch w:val="default"/>
    <w:sig w:usb0="00000003" w:usb1="00000000" w:usb2="00000000" w:usb3="00000000" w:csb0="00000001" w:csb1="00000000"/>
  </w:font>
  <w:font w:name="Cambria Math">
    <w:panose1 w:val="02040503050406030204"/>
    <w:charset w:val="00"/>
    <w:family w:val="roman"/>
    <w:pitch w:val="variable"/>
    <w:sig w:usb0="E00002FF" w:usb1="420024FF" w:usb2="00000000" w:usb3="00000000" w:csb0="0000019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DA64090" w14:textId="77777777" w:rsidR="00B17885" w:rsidRDefault="00B1788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2127458914"/>
      <w:docPartObj>
        <w:docPartGallery w:val="Page Numbers (Bottom of Page)"/>
        <w:docPartUnique/>
      </w:docPartObj>
    </w:sdtPr>
    <w:sdtEndPr>
      <w:rPr>
        <w:noProof/>
      </w:rPr>
    </w:sdtEndPr>
    <w:sdtContent>
      <w:p w14:paraId="0248974D" w14:textId="0912E736" w:rsidR="00952229" w:rsidRDefault="006A3E09">
        <w:pPr>
          <w:pStyle w:val="Footer"/>
          <w:jc w:val="right"/>
        </w:pPr>
        <w:r>
          <w:t>LEDAGA</w:t>
        </w:r>
        <w:r w:rsidR="00952229">
          <w:t xml:space="preserve"> PI Ver </w:t>
        </w:r>
        <w:r w:rsidR="009C4554">
          <w:t>1.0</w:t>
        </w:r>
        <w:r w:rsidR="00805353">
          <w:tab/>
        </w:r>
        <w:r w:rsidR="00805353">
          <w:tab/>
        </w:r>
        <w:r w:rsidR="00952229">
          <w:fldChar w:fldCharType="begin"/>
        </w:r>
        <w:r w:rsidR="00952229">
          <w:instrText xml:space="preserve"> PAGE   \* MERGEFORMAT </w:instrText>
        </w:r>
        <w:r w:rsidR="00952229">
          <w:fldChar w:fldCharType="separate"/>
        </w:r>
        <w:r w:rsidR="00385919">
          <w:rPr>
            <w:noProof/>
          </w:rPr>
          <w:t>5</w:t>
        </w:r>
        <w:r w:rsidR="00952229">
          <w:rPr>
            <w:noProof/>
          </w:rPr>
          <w:fldChar w:fldCharType="end"/>
        </w:r>
      </w:p>
    </w:sdtContent>
  </w:sdt>
  <w:p w14:paraId="7ADA294D" w14:textId="0DF16F54" w:rsidR="00AE7E8C" w:rsidRDefault="00AE7E8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153620D" w14:textId="77777777" w:rsidR="00B17885" w:rsidRDefault="00B1788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A7E690A" w14:textId="77777777" w:rsidR="003A58EA" w:rsidRDefault="003A58EA" w:rsidP="00AE7E8C">
      <w:pPr>
        <w:spacing w:after="0"/>
      </w:pPr>
      <w:r>
        <w:separator/>
      </w:r>
    </w:p>
  </w:footnote>
  <w:footnote w:type="continuationSeparator" w:id="0">
    <w:p w14:paraId="49E32786" w14:textId="77777777" w:rsidR="003A58EA" w:rsidRDefault="003A58EA" w:rsidP="00AE7E8C">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0935676" w14:textId="77777777" w:rsidR="00B17885" w:rsidRDefault="00B1788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leGrid"/>
      <w:tblW w:w="0" w:type="auto"/>
      <w:shd w:val="clear" w:color="auto" w:fill="E4F2E0"/>
      <w:tblLook w:val="04A0" w:firstRow="1" w:lastRow="0" w:firstColumn="1" w:lastColumn="0" w:noHBand="0" w:noVBand="1"/>
    </w:tblPr>
    <w:tblGrid>
      <w:gridCol w:w="8472"/>
    </w:tblGrid>
    <w:tr w:rsidR="00B17885" w:rsidRPr="000B2145" w14:paraId="31848C0C" w14:textId="77777777" w:rsidTr="003417F1">
      <w:trPr>
        <w:trHeight w:val="590"/>
      </w:trPr>
      <w:tc>
        <w:tcPr>
          <w:tcW w:w="8472" w:type="dxa"/>
          <w:shd w:val="clear" w:color="auto" w:fill="E4F2E0"/>
        </w:tcPr>
        <w:p w14:paraId="632C31EF" w14:textId="77777777" w:rsidR="00B17885" w:rsidRPr="000B2145" w:rsidRDefault="00B17885" w:rsidP="00B17885">
          <w:pPr>
            <w:pStyle w:val="Footer"/>
            <w:rPr>
              <w:b/>
              <w:sz w:val="18"/>
              <w:szCs w:val="18"/>
            </w:rPr>
          </w:pPr>
          <w:bookmarkStart w:id="0" w:name="_Hlk80614836"/>
          <w:r w:rsidRPr="000E7E13">
            <w:rPr>
              <w:b/>
              <w:sz w:val="18"/>
              <w:szCs w:val="18"/>
            </w:rPr>
            <w:t>Attachment 1:</w:t>
          </w:r>
          <w:r w:rsidRPr="006064DD">
            <w:rPr>
              <w:b/>
            </w:rPr>
            <w:t xml:space="preserve"> </w:t>
          </w:r>
          <w:proofErr w:type="spellStart"/>
          <w:r w:rsidRPr="00C13BBD">
            <w:rPr>
              <w:b/>
            </w:rPr>
            <w:t>AusPAR</w:t>
          </w:r>
          <w:proofErr w:type="spellEnd"/>
          <w:r w:rsidRPr="00C13BBD">
            <w:rPr>
              <w:b/>
            </w:rPr>
            <w:t xml:space="preserve"> – </w:t>
          </w:r>
          <w:proofErr w:type="spellStart"/>
          <w:r w:rsidRPr="00C13BBD">
            <w:rPr>
              <w:b/>
            </w:rPr>
            <w:t>Ledaga</w:t>
          </w:r>
          <w:proofErr w:type="spellEnd"/>
          <w:r w:rsidRPr="00C13BBD">
            <w:rPr>
              <w:b/>
            </w:rPr>
            <w:t xml:space="preserve"> - chlormethine hydrochloride - </w:t>
          </w:r>
          <w:proofErr w:type="spellStart"/>
          <w:r w:rsidRPr="00C13BBD">
            <w:rPr>
              <w:b/>
            </w:rPr>
            <w:t>Recordati</w:t>
          </w:r>
          <w:proofErr w:type="spellEnd"/>
          <w:r w:rsidRPr="00C13BBD">
            <w:rPr>
              <w:b/>
            </w:rPr>
            <w:t xml:space="preserve"> Rare Diseases Australia Pty Ltd - PM-2020-03014-1-6 FINAL 2 September 2021</w:t>
          </w:r>
          <w:r w:rsidRPr="00D256F8">
            <w:rPr>
              <w:b/>
              <w:sz w:val="18"/>
              <w:szCs w:val="18"/>
            </w:rPr>
            <w:t>.</w:t>
          </w:r>
          <w:r>
            <w:rPr>
              <w:b/>
              <w:sz w:val="18"/>
              <w:szCs w:val="18"/>
            </w:rPr>
            <w:t xml:space="preserve"> </w:t>
          </w:r>
          <w:r w:rsidRPr="000B2145">
            <w:rPr>
              <w:b/>
              <w:sz w:val="18"/>
              <w:szCs w:val="18"/>
            </w:rPr>
            <w:t xml:space="preserve">This is the Product Information that was approved with the submission described in this </w:t>
          </w:r>
          <w:proofErr w:type="spellStart"/>
          <w:r w:rsidRPr="000B2145">
            <w:rPr>
              <w:b/>
              <w:sz w:val="18"/>
              <w:szCs w:val="18"/>
            </w:rPr>
            <w:t>AusPAR</w:t>
          </w:r>
          <w:proofErr w:type="spellEnd"/>
          <w:r w:rsidRPr="000B2145">
            <w:rPr>
              <w:b/>
              <w:sz w:val="18"/>
              <w:szCs w:val="18"/>
            </w:rPr>
            <w:t>. It may have been superseded. For the most recent PI, please refer to the TGA website at &lt;</w:t>
          </w:r>
          <w:hyperlink r:id="rId1" w:history="1">
            <w:r w:rsidRPr="000B2145">
              <w:rPr>
                <w:rStyle w:val="Hyperlink"/>
                <w:b/>
                <w:sz w:val="18"/>
                <w:szCs w:val="18"/>
              </w:rPr>
              <w:t>https://www.tga.gov.au/product-information-pi</w:t>
            </w:r>
          </w:hyperlink>
          <w:r w:rsidRPr="000B2145">
            <w:rPr>
              <w:b/>
              <w:sz w:val="18"/>
              <w:szCs w:val="18"/>
              <w:u w:val="single"/>
            </w:rPr>
            <w:t>&gt;</w:t>
          </w:r>
        </w:p>
      </w:tc>
    </w:tr>
    <w:bookmarkEnd w:id="0"/>
  </w:tbl>
  <w:p w14:paraId="223FB80E" w14:textId="77777777" w:rsidR="00B17885" w:rsidRDefault="00B1788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96017E8" w14:textId="77777777" w:rsidR="00B17885" w:rsidRDefault="00B1788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67E345B"/>
    <w:multiLevelType w:val="multilevel"/>
    <w:tmpl w:val="8E689C9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10623D77"/>
    <w:multiLevelType w:val="hybridMultilevel"/>
    <w:tmpl w:val="7A00B59C"/>
    <w:lvl w:ilvl="0" w:tplc="A2CE622E">
      <w:start w:val="1"/>
      <w:numFmt w:val="decimal"/>
      <w:pStyle w:val="Heading2"/>
      <w:lvlText w:val="%1.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178342B0"/>
    <w:multiLevelType w:val="multilevel"/>
    <w:tmpl w:val="A8DED390"/>
    <w:lvl w:ilvl="0">
      <w:start w:val="1"/>
      <w:numFmt w:val="decimal"/>
      <w:lvlText w:val="%1.1"/>
      <w:lvlJc w:val="left"/>
      <w:pPr>
        <w:ind w:left="717"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 w15:restartNumberingAfterBreak="0">
    <w:nsid w:val="26426339"/>
    <w:multiLevelType w:val="hybridMultilevel"/>
    <w:tmpl w:val="C1A0CF4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30892386"/>
    <w:multiLevelType w:val="multilevel"/>
    <w:tmpl w:val="0C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31247B58"/>
    <w:multiLevelType w:val="hybridMultilevel"/>
    <w:tmpl w:val="3DFC4EA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33FB686D"/>
    <w:multiLevelType w:val="hybridMultilevel"/>
    <w:tmpl w:val="35BAA286"/>
    <w:lvl w:ilvl="0" w:tplc="AE0A30B0">
      <w:start w:val="3"/>
      <w:numFmt w:val="decimal"/>
      <w:lvlText w:val="%1"/>
      <w:lvlJc w:val="left"/>
      <w:pPr>
        <w:ind w:left="108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15:restartNumberingAfterBreak="0">
    <w:nsid w:val="34F67978"/>
    <w:multiLevelType w:val="multilevel"/>
    <w:tmpl w:val="A8DED390"/>
    <w:lvl w:ilvl="0">
      <w:start w:val="1"/>
      <w:numFmt w:val="decimal"/>
      <w:lvlText w:val="%1.1"/>
      <w:lvlJc w:val="left"/>
      <w:pPr>
        <w:ind w:left="717"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8" w15:restartNumberingAfterBreak="0">
    <w:nsid w:val="37190895"/>
    <w:multiLevelType w:val="multilevel"/>
    <w:tmpl w:val="0C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4E001DF8"/>
    <w:multiLevelType w:val="multilevel"/>
    <w:tmpl w:val="EF9E1658"/>
    <w:lvl w:ilvl="0">
      <w:start w:val="1"/>
      <w:numFmt w:val="decimal"/>
      <w:pStyle w:val="Heading1"/>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 w15:restartNumberingAfterBreak="0">
    <w:nsid w:val="531B6750"/>
    <w:multiLevelType w:val="hybridMultilevel"/>
    <w:tmpl w:val="B9BAB796"/>
    <w:lvl w:ilvl="0" w:tplc="39EC76B6">
      <w:start w:val="4"/>
      <w:numFmt w:val="decimal"/>
      <w:lvlText w:val="%1"/>
      <w:lvlJc w:val="left"/>
      <w:pPr>
        <w:ind w:left="717" w:hanging="360"/>
      </w:pPr>
      <w:rPr>
        <w:rFonts w:hint="default"/>
      </w:rPr>
    </w:lvl>
    <w:lvl w:ilvl="1" w:tplc="0C090019" w:tentative="1">
      <w:start w:val="1"/>
      <w:numFmt w:val="lowerLetter"/>
      <w:lvlText w:val="%2."/>
      <w:lvlJc w:val="left"/>
      <w:pPr>
        <w:ind w:left="1437" w:hanging="360"/>
      </w:pPr>
    </w:lvl>
    <w:lvl w:ilvl="2" w:tplc="0C09001B" w:tentative="1">
      <w:start w:val="1"/>
      <w:numFmt w:val="lowerRoman"/>
      <w:lvlText w:val="%3."/>
      <w:lvlJc w:val="right"/>
      <w:pPr>
        <w:ind w:left="2157" w:hanging="180"/>
      </w:pPr>
    </w:lvl>
    <w:lvl w:ilvl="3" w:tplc="0C09000F" w:tentative="1">
      <w:start w:val="1"/>
      <w:numFmt w:val="decimal"/>
      <w:lvlText w:val="%4."/>
      <w:lvlJc w:val="left"/>
      <w:pPr>
        <w:ind w:left="2877" w:hanging="360"/>
      </w:pPr>
    </w:lvl>
    <w:lvl w:ilvl="4" w:tplc="0C090019" w:tentative="1">
      <w:start w:val="1"/>
      <w:numFmt w:val="lowerLetter"/>
      <w:lvlText w:val="%5."/>
      <w:lvlJc w:val="left"/>
      <w:pPr>
        <w:ind w:left="3597" w:hanging="360"/>
      </w:pPr>
    </w:lvl>
    <w:lvl w:ilvl="5" w:tplc="0C09001B" w:tentative="1">
      <w:start w:val="1"/>
      <w:numFmt w:val="lowerRoman"/>
      <w:lvlText w:val="%6."/>
      <w:lvlJc w:val="right"/>
      <w:pPr>
        <w:ind w:left="4317" w:hanging="180"/>
      </w:pPr>
    </w:lvl>
    <w:lvl w:ilvl="6" w:tplc="0C09000F" w:tentative="1">
      <w:start w:val="1"/>
      <w:numFmt w:val="decimal"/>
      <w:lvlText w:val="%7."/>
      <w:lvlJc w:val="left"/>
      <w:pPr>
        <w:ind w:left="5037" w:hanging="360"/>
      </w:pPr>
    </w:lvl>
    <w:lvl w:ilvl="7" w:tplc="0C090019" w:tentative="1">
      <w:start w:val="1"/>
      <w:numFmt w:val="lowerLetter"/>
      <w:lvlText w:val="%8."/>
      <w:lvlJc w:val="left"/>
      <w:pPr>
        <w:ind w:left="5757" w:hanging="360"/>
      </w:pPr>
    </w:lvl>
    <w:lvl w:ilvl="8" w:tplc="0C09001B" w:tentative="1">
      <w:start w:val="1"/>
      <w:numFmt w:val="lowerRoman"/>
      <w:lvlText w:val="%9."/>
      <w:lvlJc w:val="right"/>
      <w:pPr>
        <w:ind w:left="6477" w:hanging="180"/>
      </w:pPr>
    </w:lvl>
  </w:abstractNum>
  <w:abstractNum w:abstractNumId="11" w15:restartNumberingAfterBreak="0">
    <w:nsid w:val="63836791"/>
    <w:multiLevelType w:val="hybridMultilevel"/>
    <w:tmpl w:val="05F4A91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6"/>
  </w:num>
  <w:num w:numId="2">
    <w:abstractNumId w:val="0"/>
  </w:num>
  <w:num w:numId="3">
    <w:abstractNumId w:val="8"/>
  </w:num>
  <w:num w:numId="4">
    <w:abstractNumId w:val="2"/>
  </w:num>
  <w:num w:numId="5">
    <w:abstractNumId w:val="4"/>
  </w:num>
  <w:num w:numId="6">
    <w:abstractNumId w:val="9"/>
  </w:num>
  <w:num w:numId="7">
    <w:abstractNumId w:val="7"/>
  </w:num>
  <w:num w:numId="8">
    <w:abstractNumId w:val="10"/>
  </w:num>
  <w:num w:numId="9">
    <w:abstractNumId w:val="1"/>
  </w:num>
  <w:num w:numId="10">
    <w:abstractNumId w:val="5"/>
  </w:num>
  <w:num w:numId="11">
    <w:abstractNumId w:val="11"/>
  </w:num>
  <w:num w:numId="1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proofState w:spelling="clean" w:grammar="clean"/>
  <w:defaultTabStop w:val="720"/>
  <w:hyphenationZone w:val="283"/>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14728"/>
    <w:rsid w:val="00004555"/>
    <w:rsid w:val="0000563A"/>
    <w:rsid w:val="0000682A"/>
    <w:rsid w:val="0000796B"/>
    <w:rsid w:val="00015B80"/>
    <w:rsid w:val="00063411"/>
    <w:rsid w:val="00073AEA"/>
    <w:rsid w:val="00080901"/>
    <w:rsid w:val="00081952"/>
    <w:rsid w:val="00091039"/>
    <w:rsid w:val="00094509"/>
    <w:rsid w:val="00097EFE"/>
    <w:rsid w:val="000A65E7"/>
    <w:rsid w:val="000A7078"/>
    <w:rsid w:val="000E7F71"/>
    <w:rsid w:val="000F1B4C"/>
    <w:rsid w:val="0010757D"/>
    <w:rsid w:val="0011151D"/>
    <w:rsid w:val="0011160F"/>
    <w:rsid w:val="00116AFE"/>
    <w:rsid w:val="001245A9"/>
    <w:rsid w:val="00134F3F"/>
    <w:rsid w:val="00155C21"/>
    <w:rsid w:val="0017288F"/>
    <w:rsid w:val="0018395A"/>
    <w:rsid w:val="00195F35"/>
    <w:rsid w:val="001A7515"/>
    <w:rsid w:val="001A772A"/>
    <w:rsid w:val="001C1BB4"/>
    <w:rsid w:val="001C77A7"/>
    <w:rsid w:val="001D041B"/>
    <w:rsid w:val="00205129"/>
    <w:rsid w:val="00215323"/>
    <w:rsid w:val="00222891"/>
    <w:rsid w:val="0022631B"/>
    <w:rsid w:val="00227B42"/>
    <w:rsid w:val="002456B7"/>
    <w:rsid w:val="00245EA4"/>
    <w:rsid w:val="00252662"/>
    <w:rsid w:val="00252A54"/>
    <w:rsid w:val="00266C61"/>
    <w:rsid w:val="00267EFA"/>
    <w:rsid w:val="002C0128"/>
    <w:rsid w:val="002C3DF7"/>
    <w:rsid w:val="002D129D"/>
    <w:rsid w:val="002E0495"/>
    <w:rsid w:val="002E48E3"/>
    <w:rsid w:val="002E5C62"/>
    <w:rsid w:val="002E62DD"/>
    <w:rsid w:val="002E754A"/>
    <w:rsid w:val="002E7C0E"/>
    <w:rsid w:val="00314728"/>
    <w:rsid w:val="00315A07"/>
    <w:rsid w:val="00331588"/>
    <w:rsid w:val="0033337A"/>
    <w:rsid w:val="003376BE"/>
    <w:rsid w:val="00342FCD"/>
    <w:rsid w:val="003508F4"/>
    <w:rsid w:val="003557EC"/>
    <w:rsid w:val="00357857"/>
    <w:rsid w:val="00367325"/>
    <w:rsid w:val="00376EFF"/>
    <w:rsid w:val="00380886"/>
    <w:rsid w:val="00385919"/>
    <w:rsid w:val="003A58EA"/>
    <w:rsid w:val="003B3D80"/>
    <w:rsid w:val="003C10B9"/>
    <w:rsid w:val="003C3C71"/>
    <w:rsid w:val="003C6E4D"/>
    <w:rsid w:val="003D4E43"/>
    <w:rsid w:val="003D549B"/>
    <w:rsid w:val="003E2169"/>
    <w:rsid w:val="00415701"/>
    <w:rsid w:val="00424BCC"/>
    <w:rsid w:val="00430EF5"/>
    <w:rsid w:val="00442665"/>
    <w:rsid w:val="004430EE"/>
    <w:rsid w:val="00484AC0"/>
    <w:rsid w:val="0049231C"/>
    <w:rsid w:val="004965D0"/>
    <w:rsid w:val="0049729D"/>
    <w:rsid w:val="004B2AD9"/>
    <w:rsid w:val="004B71F0"/>
    <w:rsid w:val="004C461F"/>
    <w:rsid w:val="004E3E69"/>
    <w:rsid w:val="004E7E18"/>
    <w:rsid w:val="00500BD9"/>
    <w:rsid w:val="00514C85"/>
    <w:rsid w:val="00523F26"/>
    <w:rsid w:val="00540593"/>
    <w:rsid w:val="0055403D"/>
    <w:rsid w:val="00555D0E"/>
    <w:rsid w:val="005635A9"/>
    <w:rsid w:val="00563C8E"/>
    <w:rsid w:val="00570474"/>
    <w:rsid w:val="005801FB"/>
    <w:rsid w:val="00592385"/>
    <w:rsid w:val="00593ED9"/>
    <w:rsid w:val="005C2022"/>
    <w:rsid w:val="005C2BB4"/>
    <w:rsid w:val="005C36B5"/>
    <w:rsid w:val="005E4ABA"/>
    <w:rsid w:val="005F0BA4"/>
    <w:rsid w:val="005F39AC"/>
    <w:rsid w:val="00606E78"/>
    <w:rsid w:val="0061646A"/>
    <w:rsid w:val="006167BD"/>
    <w:rsid w:val="0062094B"/>
    <w:rsid w:val="00625CA0"/>
    <w:rsid w:val="00641831"/>
    <w:rsid w:val="00652260"/>
    <w:rsid w:val="00652639"/>
    <w:rsid w:val="00656386"/>
    <w:rsid w:val="00670F13"/>
    <w:rsid w:val="00680B19"/>
    <w:rsid w:val="00681E05"/>
    <w:rsid w:val="006957B2"/>
    <w:rsid w:val="00695F32"/>
    <w:rsid w:val="006A3E09"/>
    <w:rsid w:val="006B0AEF"/>
    <w:rsid w:val="006B4D9E"/>
    <w:rsid w:val="006C7778"/>
    <w:rsid w:val="006D109C"/>
    <w:rsid w:val="006D6365"/>
    <w:rsid w:val="006F23A2"/>
    <w:rsid w:val="006F2680"/>
    <w:rsid w:val="007206E6"/>
    <w:rsid w:val="00740985"/>
    <w:rsid w:val="0074359B"/>
    <w:rsid w:val="00755D56"/>
    <w:rsid w:val="00784773"/>
    <w:rsid w:val="007856F6"/>
    <w:rsid w:val="007878FF"/>
    <w:rsid w:val="007A05B3"/>
    <w:rsid w:val="007A3A90"/>
    <w:rsid w:val="007B3AF1"/>
    <w:rsid w:val="007C112F"/>
    <w:rsid w:val="007D3B03"/>
    <w:rsid w:val="007D5801"/>
    <w:rsid w:val="007E2FCF"/>
    <w:rsid w:val="007F0099"/>
    <w:rsid w:val="007F2B9E"/>
    <w:rsid w:val="007F78A7"/>
    <w:rsid w:val="00805353"/>
    <w:rsid w:val="00813AFE"/>
    <w:rsid w:val="008173D0"/>
    <w:rsid w:val="00862F1E"/>
    <w:rsid w:val="00863195"/>
    <w:rsid w:val="00867983"/>
    <w:rsid w:val="00877EA5"/>
    <w:rsid w:val="008826D2"/>
    <w:rsid w:val="00893BA9"/>
    <w:rsid w:val="00894013"/>
    <w:rsid w:val="008B6EE6"/>
    <w:rsid w:val="008C6C48"/>
    <w:rsid w:val="008C70E4"/>
    <w:rsid w:val="008E31F5"/>
    <w:rsid w:val="008F4DB0"/>
    <w:rsid w:val="008F6855"/>
    <w:rsid w:val="009154E8"/>
    <w:rsid w:val="00922D71"/>
    <w:rsid w:val="009303F6"/>
    <w:rsid w:val="0093516C"/>
    <w:rsid w:val="0094188F"/>
    <w:rsid w:val="00952229"/>
    <w:rsid w:val="009854C0"/>
    <w:rsid w:val="00986AA9"/>
    <w:rsid w:val="0099122F"/>
    <w:rsid w:val="0099666E"/>
    <w:rsid w:val="009A491F"/>
    <w:rsid w:val="009A556E"/>
    <w:rsid w:val="009A571F"/>
    <w:rsid w:val="009B6CC2"/>
    <w:rsid w:val="009C1A2C"/>
    <w:rsid w:val="009C44C1"/>
    <w:rsid w:val="009C4554"/>
    <w:rsid w:val="009C5F2D"/>
    <w:rsid w:val="009F2D6E"/>
    <w:rsid w:val="00A031DB"/>
    <w:rsid w:val="00A041E9"/>
    <w:rsid w:val="00A071D5"/>
    <w:rsid w:val="00A10DEE"/>
    <w:rsid w:val="00A16989"/>
    <w:rsid w:val="00A20AFB"/>
    <w:rsid w:val="00A23196"/>
    <w:rsid w:val="00A2649F"/>
    <w:rsid w:val="00A33F12"/>
    <w:rsid w:val="00A42A36"/>
    <w:rsid w:val="00A46033"/>
    <w:rsid w:val="00A6267C"/>
    <w:rsid w:val="00A64F8B"/>
    <w:rsid w:val="00A71BF6"/>
    <w:rsid w:val="00A736BB"/>
    <w:rsid w:val="00A76405"/>
    <w:rsid w:val="00A827E2"/>
    <w:rsid w:val="00A87132"/>
    <w:rsid w:val="00AC19D9"/>
    <w:rsid w:val="00AD01DC"/>
    <w:rsid w:val="00AD370F"/>
    <w:rsid w:val="00AE0CAD"/>
    <w:rsid w:val="00AE7E8C"/>
    <w:rsid w:val="00AF7954"/>
    <w:rsid w:val="00B01881"/>
    <w:rsid w:val="00B03407"/>
    <w:rsid w:val="00B17885"/>
    <w:rsid w:val="00B332E7"/>
    <w:rsid w:val="00B35FC5"/>
    <w:rsid w:val="00B53105"/>
    <w:rsid w:val="00B64655"/>
    <w:rsid w:val="00B950E8"/>
    <w:rsid w:val="00BA3D2F"/>
    <w:rsid w:val="00BB2C38"/>
    <w:rsid w:val="00BC0C55"/>
    <w:rsid w:val="00BC1CD5"/>
    <w:rsid w:val="00BC4429"/>
    <w:rsid w:val="00BF6093"/>
    <w:rsid w:val="00C026AF"/>
    <w:rsid w:val="00C10217"/>
    <w:rsid w:val="00C22E18"/>
    <w:rsid w:val="00C30B75"/>
    <w:rsid w:val="00C37B1A"/>
    <w:rsid w:val="00C42BA7"/>
    <w:rsid w:val="00C55828"/>
    <w:rsid w:val="00C65461"/>
    <w:rsid w:val="00C938EF"/>
    <w:rsid w:val="00CC5C76"/>
    <w:rsid w:val="00CD6611"/>
    <w:rsid w:val="00CE05DE"/>
    <w:rsid w:val="00CE7BEE"/>
    <w:rsid w:val="00D002FC"/>
    <w:rsid w:val="00D12291"/>
    <w:rsid w:val="00D13C8D"/>
    <w:rsid w:val="00D4572C"/>
    <w:rsid w:val="00D646D7"/>
    <w:rsid w:val="00D73DE4"/>
    <w:rsid w:val="00D77AF6"/>
    <w:rsid w:val="00D82E36"/>
    <w:rsid w:val="00D84792"/>
    <w:rsid w:val="00D91C8F"/>
    <w:rsid w:val="00D91F2F"/>
    <w:rsid w:val="00DA0CC7"/>
    <w:rsid w:val="00DA2F48"/>
    <w:rsid w:val="00DC0EEE"/>
    <w:rsid w:val="00DC3AC3"/>
    <w:rsid w:val="00DC608B"/>
    <w:rsid w:val="00DF2374"/>
    <w:rsid w:val="00DF2925"/>
    <w:rsid w:val="00E22F55"/>
    <w:rsid w:val="00E32212"/>
    <w:rsid w:val="00E34580"/>
    <w:rsid w:val="00E3575C"/>
    <w:rsid w:val="00E47C6E"/>
    <w:rsid w:val="00E56862"/>
    <w:rsid w:val="00E75887"/>
    <w:rsid w:val="00E77AE6"/>
    <w:rsid w:val="00E86DCF"/>
    <w:rsid w:val="00E93752"/>
    <w:rsid w:val="00E9434A"/>
    <w:rsid w:val="00EA6A6B"/>
    <w:rsid w:val="00EA6FD4"/>
    <w:rsid w:val="00EB0D2F"/>
    <w:rsid w:val="00EF3E2D"/>
    <w:rsid w:val="00EF5158"/>
    <w:rsid w:val="00F03BF9"/>
    <w:rsid w:val="00F077B5"/>
    <w:rsid w:val="00F14026"/>
    <w:rsid w:val="00F41A51"/>
    <w:rsid w:val="00F529C5"/>
    <w:rsid w:val="00F71C6E"/>
    <w:rsid w:val="00F737B2"/>
    <w:rsid w:val="00F7506D"/>
    <w:rsid w:val="00F81635"/>
    <w:rsid w:val="00F94EB0"/>
    <w:rsid w:val="00FE7114"/>
    <w:rsid w:val="00FF0274"/>
    <w:rsid w:val="00FF1336"/>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145F1A60"/>
  <w15:chartTrackingRefBased/>
  <w15:docId w15:val="{6BCFAA8E-1B2C-48D4-BC1C-FBE1951C9C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uiPriority="4"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lsdException w:name="toc 2" w:semiHidden="1" w:uiPriority="39"/>
    <w:lsdException w:name="toc 3" w:semiHidden="1" w:uiPriority="39"/>
    <w:lsdException w:name="toc 4" w:semiHidden="1" w:uiPriority="39"/>
    <w:lsdException w:name="toc 5" w:semiHidden="1" w:uiPriority="39"/>
    <w:lsdException w:name="toc 6" w:semiHidden="1" w:uiPriority="39"/>
    <w:lsdException w:name="toc 7" w:semiHidden="1" w:uiPriority="39"/>
    <w:lsdException w:name="toc 8" w:semiHidden="1" w:uiPriority="39"/>
    <w:lsdException w:name="toc 9" w:semiHidden="1" w:uiPriority="39"/>
    <w:lsdException w:name="Normal Indent" w:semiHidden="1"/>
    <w:lsdException w:name="footnote text" w:semiHidden="1"/>
    <w:lsdException w:name="annotation text" w:semiHidden="1"/>
    <w:lsdException w:name="header" w:semiHidden="1"/>
    <w:lsdException w:name="footer" w:semiHidden="1" w:uiPriority="0"/>
    <w:lsdException w:name="index heading" w:semiHidden="1"/>
    <w:lsdException w:name="caption" w:semiHidden="1" w:uiPriority="35"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qFormat="1"/>
    <w:lsdException w:name="Closing" w:semiHidden="1"/>
    <w:lsdException w:name="Signature" w:semiHidden="1"/>
    <w:lsdException w:name="Default Paragraph Font"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qFormat="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qFormat="1"/>
    <w:lsdException w:name="Emphasis" w:semiHidden="1" w:uiPriority="20" w:qFormat="1"/>
    <w:lsdException w:name="Document Map" w:semiHidden="1"/>
    <w:lsdException w:name="Plain Text" w:semiHidden="1"/>
    <w:lsdException w:name="E-mail Signature" w:semiHidden="1"/>
    <w:lsdException w:name="HTML Top of Form" w:semiHidden="1" w:unhideWhenUsed="1"/>
    <w:lsdException w:name="HTML Bottom of Form"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unhideWhenUsed="1"/>
    <w:lsdException w:name="HTML Preformatted" w:semiHidden="1"/>
    <w:lsdException w:name="HTML Sample" w:semiHidden="1"/>
    <w:lsdException w:name="HTML Typewriter" w:semiHidden="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6"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F6093"/>
    <w:pPr>
      <w:spacing w:after="240" w:line="240" w:lineRule="auto"/>
      <w:jc w:val="both"/>
    </w:pPr>
    <w:rPr>
      <w:rFonts w:ascii="Times New Roman" w:hAnsi="Times New Roman"/>
      <w:sz w:val="24"/>
    </w:rPr>
  </w:style>
  <w:style w:type="paragraph" w:styleId="Heading1">
    <w:name w:val="heading 1"/>
    <w:aliases w:val="Main Sections"/>
    <w:basedOn w:val="Normal"/>
    <w:next w:val="Normal"/>
    <w:link w:val="Heading1Char"/>
    <w:uiPriority w:val="1"/>
    <w:qFormat/>
    <w:rsid w:val="005E4ABA"/>
    <w:pPr>
      <w:keepNext/>
      <w:keepLines/>
      <w:numPr>
        <w:numId w:val="6"/>
      </w:numPr>
      <w:spacing w:after="60"/>
      <w:ind w:left="0" w:firstLine="0"/>
      <w:outlineLvl w:val="0"/>
    </w:pPr>
    <w:rPr>
      <w:rFonts w:eastAsiaTheme="majorEastAsia" w:cstheme="majorBidi"/>
      <w:b/>
      <w:szCs w:val="32"/>
    </w:rPr>
  </w:style>
  <w:style w:type="paragraph" w:styleId="Heading2">
    <w:name w:val="heading 2"/>
    <w:aliases w:val="Sub-Sections"/>
    <w:basedOn w:val="Normal"/>
    <w:next w:val="Normal"/>
    <w:link w:val="Heading2Char"/>
    <w:uiPriority w:val="2"/>
    <w:qFormat/>
    <w:rsid w:val="00740985"/>
    <w:pPr>
      <w:keepNext/>
      <w:keepLines/>
      <w:numPr>
        <w:numId w:val="9"/>
      </w:numPr>
      <w:spacing w:after="60"/>
      <w:outlineLvl w:val="1"/>
    </w:pPr>
    <w:rPr>
      <w:rFonts w:eastAsiaTheme="majorEastAsia" w:cstheme="majorBidi"/>
      <w:b/>
      <w:szCs w:val="26"/>
    </w:rPr>
  </w:style>
  <w:style w:type="paragraph" w:styleId="Heading3">
    <w:name w:val="heading 3"/>
    <w:aliases w:val="Text Body Heading"/>
    <w:basedOn w:val="Normal"/>
    <w:next w:val="Normal"/>
    <w:link w:val="Heading3Char"/>
    <w:autoRedefine/>
    <w:uiPriority w:val="3"/>
    <w:qFormat/>
    <w:rsid w:val="00080901"/>
    <w:pPr>
      <w:spacing w:after="60"/>
      <w:outlineLvl w:val="2"/>
    </w:pPr>
    <w:rPr>
      <w:rFonts w:eastAsiaTheme="majorEastAsia" w:cstheme="majorBidi"/>
      <w:b/>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aliases w:val="Text Body Heading Char"/>
    <w:basedOn w:val="DefaultParagraphFont"/>
    <w:link w:val="Heading3"/>
    <w:uiPriority w:val="3"/>
    <w:rsid w:val="00080901"/>
    <w:rPr>
      <w:rFonts w:ascii="Times New Roman" w:eastAsiaTheme="majorEastAsia" w:hAnsi="Times New Roman" w:cstheme="majorBidi"/>
      <w:b/>
      <w:sz w:val="24"/>
      <w:szCs w:val="24"/>
    </w:rPr>
  </w:style>
  <w:style w:type="character" w:customStyle="1" w:styleId="Heading1Char">
    <w:name w:val="Heading 1 Char"/>
    <w:aliases w:val="Main Sections Char"/>
    <w:basedOn w:val="DefaultParagraphFont"/>
    <w:link w:val="Heading1"/>
    <w:uiPriority w:val="1"/>
    <w:rsid w:val="005E4ABA"/>
    <w:rPr>
      <w:rFonts w:ascii="Times New Roman" w:eastAsiaTheme="majorEastAsia" w:hAnsi="Times New Roman" w:cstheme="majorBidi"/>
      <w:b/>
      <w:sz w:val="24"/>
      <w:szCs w:val="32"/>
    </w:rPr>
  </w:style>
  <w:style w:type="character" w:customStyle="1" w:styleId="Heading2Char">
    <w:name w:val="Heading 2 Char"/>
    <w:aliases w:val="Sub-Sections Char"/>
    <w:basedOn w:val="DefaultParagraphFont"/>
    <w:link w:val="Heading2"/>
    <w:uiPriority w:val="2"/>
    <w:rsid w:val="005E4ABA"/>
    <w:rPr>
      <w:rFonts w:ascii="Times New Roman" w:eastAsiaTheme="majorEastAsia" w:hAnsi="Times New Roman" w:cstheme="majorBidi"/>
      <w:b/>
      <w:sz w:val="24"/>
      <w:szCs w:val="26"/>
    </w:rPr>
  </w:style>
  <w:style w:type="paragraph" w:styleId="ListParagraph">
    <w:name w:val="List Paragraph"/>
    <w:basedOn w:val="Normal"/>
    <w:uiPriority w:val="34"/>
    <w:semiHidden/>
    <w:qFormat/>
    <w:rsid w:val="005E4ABA"/>
    <w:pPr>
      <w:ind w:left="720"/>
      <w:contextualSpacing/>
    </w:pPr>
  </w:style>
  <w:style w:type="table" w:styleId="TableGrid">
    <w:name w:val="Table Grid"/>
    <w:basedOn w:val="TableNormal"/>
    <w:uiPriority w:val="59"/>
    <w:rsid w:val="00AE7E8C"/>
    <w:pPr>
      <w:spacing w:after="0" w:line="240" w:lineRule="auto"/>
    </w:pPr>
    <w:rPr>
      <w:rFonts w:eastAsiaTheme="minorEastAsia"/>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semiHidden/>
    <w:rsid w:val="00AE7E8C"/>
    <w:pPr>
      <w:tabs>
        <w:tab w:val="center" w:pos="4513"/>
        <w:tab w:val="right" w:pos="9026"/>
      </w:tabs>
      <w:spacing w:after="0"/>
    </w:pPr>
  </w:style>
  <w:style w:type="character" w:customStyle="1" w:styleId="HeaderChar">
    <w:name w:val="Header Char"/>
    <w:basedOn w:val="DefaultParagraphFont"/>
    <w:link w:val="Header"/>
    <w:uiPriority w:val="99"/>
    <w:semiHidden/>
    <w:rsid w:val="00AE7E8C"/>
    <w:rPr>
      <w:rFonts w:ascii="Times New Roman" w:hAnsi="Times New Roman"/>
      <w:sz w:val="24"/>
    </w:rPr>
  </w:style>
  <w:style w:type="paragraph" w:styleId="Footer">
    <w:name w:val="footer"/>
    <w:basedOn w:val="Normal"/>
    <w:link w:val="FooterChar"/>
    <w:rsid w:val="00AE7E8C"/>
    <w:pPr>
      <w:tabs>
        <w:tab w:val="center" w:pos="4513"/>
        <w:tab w:val="right" w:pos="9026"/>
      </w:tabs>
      <w:spacing w:after="0"/>
    </w:pPr>
  </w:style>
  <w:style w:type="character" w:customStyle="1" w:styleId="FooterChar">
    <w:name w:val="Footer Char"/>
    <w:basedOn w:val="DefaultParagraphFont"/>
    <w:link w:val="Footer"/>
    <w:rsid w:val="00AE7E8C"/>
    <w:rPr>
      <w:rFonts w:ascii="Times New Roman" w:hAnsi="Times New Roman"/>
      <w:sz w:val="24"/>
    </w:rPr>
  </w:style>
  <w:style w:type="paragraph" w:styleId="Caption">
    <w:name w:val="caption"/>
    <w:basedOn w:val="Normal"/>
    <w:next w:val="Normal"/>
    <w:uiPriority w:val="5"/>
    <w:qFormat/>
    <w:rsid w:val="00BF6093"/>
    <w:pPr>
      <w:spacing w:after="200"/>
    </w:pPr>
    <w:rPr>
      <w:b/>
      <w:iCs/>
      <w:szCs w:val="18"/>
    </w:rPr>
  </w:style>
  <w:style w:type="paragraph" w:styleId="BalloonText">
    <w:name w:val="Balloon Text"/>
    <w:basedOn w:val="Normal"/>
    <w:link w:val="BalloonTextChar"/>
    <w:uiPriority w:val="99"/>
    <w:semiHidden/>
    <w:unhideWhenUsed/>
    <w:rsid w:val="00681E05"/>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81E05"/>
    <w:rPr>
      <w:rFonts w:ascii="Segoe UI" w:hAnsi="Segoe UI" w:cs="Segoe UI"/>
      <w:sz w:val="18"/>
      <w:szCs w:val="18"/>
    </w:rPr>
  </w:style>
  <w:style w:type="character" w:styleId="CommentReference">
    <w:name w:val="annotation reference"/>
    <w:basedOn w:val="DefaultParagraphFont"/>
    <w:uiPriority w:val="99"/>
    <w:semiHidden/>
    <w:rsid w:val="00893BA9"/>
    <w:rPr>
      <w:sz w:val="16"/>
      <w:szCs w:val="16"/>
    </w:rPr>
  </w:style>
  <w:style w:type="paragraph" w:styleId="CommentText">
    <w:name w:val="annotation text"/>
    <w:basedOn w:val="Normal"/>
    <w:link w:val="CommentTextChar"/>
    <w:uiPriority w:val="99"/>
    <w:semiHidden/>
    <w:rsid w:val="00893BA9"/>
    <w:rPr>
      <w:sz w:val="20"/>
      <w:szCs w:val="20"/>
    </w:rPr>
  </w:style>
  <w:style w:type="character" w:customStyle="1" w:styleId="CommentTextChar">
    <w:name w:val="Comment Text Char"/>
    <w:basedOn w:val="DefaultParagraphFont"/>
    <w:link w:val="CommentText"/>
    <w:uiPriority w:val="99"/>
    <w:semiHidden/>
    <w:rsid w:val="00893BA9"/>
    <w:rPr>
      <w:rFonts w:ascii="Times New Roman" w:hAnsi="Times New Roman"/>
      <w:sz w:val="20"/>
      <w:szCs w:val="20"/>
    </w:rPr>
  </w:style>
  <w:style w:type="paragraph" w:styleId="CommentSubject">
    <w:name w:val="annotation subject"/>
    <w:basedOn w:val="CommentText"/>
    <w:next w:val="CommentText"/>
    <w:link w:val="CommentSubjectChar"/>
    <w:uiPriority w:val="99"/>
    <w:semiHidden/>
    <w:rsid w:val="00893BA9"/>
    <w:rPr>
      <w:b/>
      <w:bCs/>
    </w:rPr>
  </w:style>
  <w:style w:type="character" w:customStyle="1" w:styleId="CommentSubjectChar">
    <w:name w:val="Comment Subject Char"/>
    <w:basedOn w:val="CommentTextChar"/>
    <w:link w:val="CommentSubject"/>
    <w:uiPriority w:val="99"/>
    <w:semiHidden/>
    <w:rsid w:val="00893BA9"/>
    <w:rPr>
      <w:rFonts w:ascii="Times New Roman" w:hAnsi="Times New Roman"/>
      <w:b/>
      <w:bCs/>
      <w:sz w:val="20"/>
      <w:szCs w:val="20"/>
    </w:rPr>
  </w:style>
  <w:style w:type="character" w:styleId="Hyperlink">
    <w:name w:val="Hyperlink"/>
    <w:basedOn w:val="DefaultParagraphFont"/>
    <w:uiPriority w:val="99"/>
    <w:semiHidden/>
    <w:rsid w:val="008C70E4"/>
    <w:rPr>
      <w:color w:val="0563C1" w:themeColor="hyperlink"/>
      <w:u w:val="single"/>
    </w:rPr>
  </w:style>
  <w:style w:type="character" w:customStyle="1" w:styleId="UnresolvedMention1">
    <w:name w:val="Unresolved Mention1"/>
    <w:basedOn w:val="DefaultParagraphFont"/>
    <w:uiPriority w:val="99"/>
    <w:semiHidden/>
    <w:rsid w:val="008C70E4"/>
    <w:rPr>
      <w:color w:val="605E5C"/>
      <w:shd w:val="clear" w:color="auto" w:fill="E1DFDD"/>
    </w:rPr>
  </w:style>
  <w:style w:type="character" w:customStyle="1" w:styleId="jlqj4b">
    <w:name w:val="jlqj4b"/>
    <w:basedOn w:val="DefaultParagraphFont"/>
    <w:rsid w:val="000F1B4C"/>
  </w:style>
  <w:style w:type="paragraph" w:styleId="Revision">
    <w:name w:val="Revision"/>
    <w:hidden/>
    <w:uiPriority w:val="99"/>
    <w:semiHidden/>
    <w:rsid w:val="00205129"/>
    <w:pPr>
      <w:spacing w:after="0" w:line="240" w:lineRule="auto"/>
    </w:pPr>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23427986">
      <w:bodyDiv w:val="1"/>
      <w:marLeft w:val="0"/>
      <w:marRight w:val="0"/>
      <w:marTop w:val="0"/>
      <w:marBottom w:val="0"/>
      <w:divBdr>
        <w:top w:val="none" w:sz="0" w:space="0" w:color="auto"/>
        <w:left w:val="none" w:sz="0" w:space="0" w:color="auto"/>
        <w:bottom w:val="none" w:sz="0" w:space="0" w:color="auto"/>
        <w:right w:val="none" w:sz="0" w:space="0" w:color="auto"/>
      </w:divBdr>
    </w:div>
    <w:div w:id="298919213">
      <w:bodyDiv w:val="1"/>
      <w:marLeft w:val="0"/>
      <w:marRight w:val="0"/>
      <w:marTop w:val="0"/>
      <w:marBottom w:val="0"/>
      <w:divBdr>
        <w:top w:val="none" w:sz="0" w:space="0" w:color="auto"/>
        <w:left w:val="none" w:sz="0" w:space="0" w:color="auto"/>
        <w:bottom w:val="none" w:sz="0" w:space="0" w:color="auto"/>
        <w:right w:val="none" w:sz="0" w:space="0" w:color="auto"/>
      </w:divBdr>
    </w:div>
    <w:div w:id="314341764">
      <w:bodyDiv w:val="1"/>
      <w:marLeft w:val="0"/>
      <w:marRight w:val="0"/>
      <w:marTop w:val="0"/>
      <w:marBottom w:val="0"/>
      <w:divBdr>
        <w:top w:val="none" w:sz="0" w:space="0" w:color="auto"/>
        <w:left w:val="none" w:sz="0" w:space="0" w:color="auto"/>
        <w:bottom w:val="none" w:sz="0" w:space="0" w:color="auto"/>
        <w:right w:val="none" w:sz="0" w:space="0" w:color="auto"/>
      </w:divBdr>
    </w:div>
    <w:div w:id="335813038">
      <w:bodyDiv w:val="1"/>
      <w:marLeft w:val="0"/>
      <w:marRight w:val="0"/>
      <w:marTop w:val="0"/>
      <w:marBottom w:val="0"/>
      <w:divBdr>
        <w:top w:val="none" w:sz="0" w:space="0" w:color="auto"/>
        <w:left w:val="none" w:sz="0" w:space="0" w:color="auto"/>
        <w:bottom w:val="none" w:sz="0" w:space="0" w:color="auto"/>
        <w:right w:val="none" w:sz="0" w:space="0" w:color="auto"/>
      </w:divBdr>
    </w:div>
    <w:div w:id="371657641">
      <w:bodyDiv w:val="1"/>
      <w:marLeft w:val="0"/>
      <w:marRight w:val="0"/>
      <w:marTop w:val="0"/>
      <w:marBottom w:val="0"/>
      <w:divBdr>
        <w:top w:val="none" w:sz="0" w:space="0" w:color="auto"/>
        <w:left w:val="none" w:sz="0" w:space="0" w:color="auto"/>
        <w:bottom w:val="none" w:sz="0" w:space="0" w:color="auto"/>
        <w:right w:val="none" w:sz="0" w:space="0" w:color="auto"/>
      </w:divBdr>
    </w:div>
    <w:div w:id="388191458">
      <w:bodyDiv w:val="1"/>
      <w:marLeft w:val="0"/>
      <w:marRight w:val="0"/>
      <w:marTop w:val="0"/>
      <w:marBottom w:val="0"/>
      <w:divBdr>
        <w:top w:val="none" w:sz="0" w:space="0" w:color="auto"/>
        <w:left w:val="none" w:sz="0" w:space="0" w:color="auto"/>
        <w:bottom w:val="none" w:sz="0" w:space="0" w:color="auto"/>
        <w:right w:val="none" w:sz="0" w:space="0" w:color="auto"/>
      </w:divBdr>
    </w:div>
    <w:div w:id="418335610">
      <w:bodyDiv w:val="1"/>
      <w:marLeft w:val="0"/>
      <w:marRight w:val="0"/>
      <w:marTop w:val="0"/>
      <w:marBottom w:val="0"/>
      <w:divBdr>
        <w:top w:val="none" w:sz="0" w:space="0" w:color="auto"/>
        <w:left w:val="none" w:sz="0" w:space="0" w:color="auto"/>
        <w:bottom w:val="none" w:sz="0" w:space="0" w:color="auto"/>
        <w:right w:val="none" w:sz="0" w:space="0" w:color="auto"/>
      </w:divBdr>
    </w:div>
    <w:div w:id="475412661">
      <w:bodyDiv w:val="1"/>
      <w:marLeft w:val="0"/>
      <w:marRight w:val="0"/>
      <w:marTop w:val="0"/>
      <w:marBottom w:val="0"/>
      <w:divBdr>
        <w:top w:val="none" w:sz="0" w:space="0" w:color="auto"/>
        <w:left w:val="none" w:sz="0" w:space="0" w:color="auto"/>
        <w:bottom w:val="none" w:sz="0" w:space="0" w:color="auto"/>
        <w:right w:val="none" w:sz="0" w:space="0" w:color="auto"/>
      </w:divBdr>
    </w:div>
    <w:div w:id="498621880">
      <w:bodyDiv w:val="1"/>
      <w:marLeft w:val="0"/>
      <w:marRight w:val="0"/>
      <w:marTop w:val="0"/>
      <w:marBottom w:val="0"/>
      <w:divBdr>
        <w:top w:val="none" w:sz="0" w:space="0" w:color="auto"/>
        <w:left w:val="none" w:sz="0" w:space="0" w:color="auto"/>
        <w:bottom w:val="none" w:sz="0" w:space="0" w:color="auto"/>
        <w:right w:val="none" w:sz="0" w:space="0" w:color="auto"/>
      </w:divBdr>
    </w:div>
    <w:div w:id="591085028">
      <w:bodyDiv w:val="1"/>
      <w:marLeft w:val="0"/>
      <w:marRight w:val="0"/>
      <w:marTop w:val="0"/>
      <w:marBottom w:val="0"/>
      <w:divBdr>
        <w:top w:val="none" w:sz="0" w:space="0" w:color="auto"/>
        <w:left w:val="none" w:sz="0" w:space="0" w:color="auto"/>
        <w:bottom w:val="none" w:sz="0" w:space="0" w:color="auto"/>
        <w:right w:val="none" w:sz="0" w:space="0" w:color="auto"/>
      </w:divBdr>
    </w:div>
    <w:div w:id="710885149">
      <w:bodyDiv w:val="1"/>
      <w:marLeft w:val="0"/>
      <w:marRight w:val="0"/>
      <w:marTop w:val="0"/>
      <w:marBottom w:val="0"/>
      <w:divBdr>
        <w:top w:val="none" w:sz="0" w:space="0" w:color="auto"/>
        <w:left w:val="none" w:sz="0" w:space="0" w:color="auto"/>
        <w:bottom w:val="none" w:sz="0" w:space="0" w:color="auto"/>
        <w:right w:val="none" w:sz="0" w:space="0" w:color="auto"/>
      </w:divBdr>
    </w:div>
    <w:div w:id="751005043">
      <w:bodyDiv w:val="1"/>
      <w:marLeft w:val="0"/>
      <w:marRight w:val="0"/>
      <w:marTop w:val="0"/>
      <w:marBottom w:val="0"/>
      <w:divBdr>
        <w:top w:val="none" w:sz="0" w:space="0" w:color="auto"/>
        <w:left w:val="none" w:sz="0" w:space="0" w:color="auto"/>
        <w:bottom w:val="none" w:sz="0" w:space="0" w:color="auto"/>
        <w:right w:val="none" w:sz="0" w:space="0" w:color="auto"/>
      </w:divBdr>
    </w:div>
    <w:div w:id="887499920">
      <w:bodyDiv w:val="1"/>
      <w:marLeft w:val="0"/>
      <w:marRight w:val="0"/>
      <w:marTop w:val="0"/>
      <w:marBottom w:val="0"/>
      <w:divBdr>
        <w:top w:val="none" w:sz="0" w:space="0" w:color="auto"/>
        <w:left w:val="none" w:sz="0" w:space="0" w:color="auto"/>
        <w:bottom w:val="none" w:sz="0" w:space="0" w:color="auto"/>
        <w:right w:val="none" w:sz="0" w:space="0" w:color="auto"/>
      </w:divBdr>
    </w:div>
    <w:div w:id="924190083">
      <w:bodyDiv w:val="1"/>
      <w:marLeft w:val="0"/>
      <w:marRight w:val="0"/>
      <w:marTop w:val="0"/>
      <w:marBottom w:val="0"/>
      <w:divBdr>
        <w:top w:val="none" w:sz="0" w:space="0" w:color="auto"/>
        <w:left w:val="none" w:sz="0" w:space="0" w:color="auto"/>
        <w:bottom w:val="none" w:sz="0" w:space="0" w:color="auto"/>
        <w:right w:val="none" w:sz="0" w:space="0" w:color="auto"/>
      </w:divBdr>
    </w:div>
    <w:div w:id="1603295677">
      <w:bodyDiv w:val="1"/>
      <w:marLeft w:val="0"/>
      <w:marRight w:val="0"/>
      <w:marTop w:val="0"/>
      <w:marBottom w:val="0"/>
      <w:divBdr>
        <w:top w:val="none" w:sz="0" w:space="0" w:color="auto"/>
        <w:left w:val="none" w:sz="0" w:space="0" w:color="auto"/>
        <w:bottom w:val="none" w:sz="0" w:space="0" w:color="auto"/>
        <w:right w:val="none" w:sz="0" w:space="0" w:color="auto"/>
      </w:divBdr>
    </w:div>
    <w:div w:id="1748183732">
      <w:bodyDiv w:val="1"/>
      <w:marLeft w:val="0"/>
      <w:marRight w:val="0"/>
      <w:marTop w:val="0"/>
      <w:marBottom w:val="0"/>
      <w:divBdr>
        <w:top w:val="none" w:sz="0" w:space="0" w:color="auto"/>
        <w:left w:val="none" w:sz="0" w:space="0" w:color="auto"/>
        <w:bottom w:val="none" w:sz="0" w:space="0" w:color="auto"/>
        <w:right w:val="none" w:sz="0" w:space="0" w:color="auto"/>
      </w:divBdr>
    </w:div>
    <w:div w:id="17495757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1.png"/><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tga.gov.au/reporting-problems"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hyperlink" Target="https://www.tga.gov.au/product-information-p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Key_x0020_Docs xmlns="75e6f6c7-399b-4f8f-8348-4148de2611cd">true</Key_x0020_Docs>
    <PublishingExpirationDate xmlns="http://schemas.microsoft.com/sharepoint/v3" xsi:nil="true"/>
    <PublishingStartDate xmlns="http://schemas.microsoft.com/sharepoint/v3"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4BA26BBAE37D1E4A9689E2CFF262A6DD" ma:contentTypeVersion="13" ma:contentTypeDescription="Create a new document." ma:contentTypeScope="" ma:versionID="9ab9323616e343c84e880740aefb73b1">
  <xsd:schema xmlns:xsd="http://www.w3.org/2001/XMLSchema" xmlns:xs="http://www.w3.org/2001/XMLSchema" xmlns:p="http://schemas.microsoft.com/office/2006/metadata/properties" xmlns:ns1="http://schemas.microsoft.com/sharepoint/v3" xmlns:ns2="75e6f6c7-399b-4f8f-8348-4148de2611cd" xmlns:ns3="11bd01df-c60f-45a1-9d8c-b9d56758f72b" targetNamespace="http://schemas.microsoft.com/office/2006/metadata/properties" ma:root="true" ma:fieldsID="8d96248ec3908e2ba072f6f29ef16682" ns1:_="" ns2:_="" ns3:_="">
    <xsd:import namespace="http://schemas.microsoft.com/sharepoint/v3"/>
    <xsd:import namespace="75e6f6c7-399b-4f8f-8348-4148de2611cd"/>
    <xsd:import namespace="11bd01df-c60f-45a1-9d8c-b9d56758f72b"/>
    <xsd:element name="properties">
      <xsd:complexType>
        <xsd:sequence>
          <xsd:element name="documentManagement">
            <xsd:complexType>
              <xsd:all>
                <xsd:element ref="ns1:PublishingStartDate" minOccurs="0"/>
                <xsd:element ref="ns1:PublishingExpirationDate" minOccurs="0"/>
                <xsd:element ref="ns2:Key_x0020_Docs" minOccurs="0"/>
                <xsd:element ref="ns3:SharedWithUsers" minOccurs="0"/>
                <xsd:element ref="ns3:SharedWithDetails" minOccurs="0"/>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4"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5"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75e6f6c7-399b-4f8f-8348-4148de2611cd" elementFormDefault="qualified">
    <xsd:import namespace="http://schemas.microsoft.com/office/2006/documentManagement/types"/>
    <xsd:import namespace="http://schemas.microsoft.com/office/infopath/2007/PartnerControls"/>
    <xsd:element name="Key_x0020_Docs" ma:index="6" nillable="true" ma:displayName="Key Docs" ma:default="1" ma:internalName="Key_x0020_Docs" ma:readOnly="false">
      <xsd:simpleType>
        <xsd:restriction base="dms:Boolean"/>
      </xsd:simpleType>
    </xsd:element>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AutoTags" ma:index="17" nillable="true" ma:displayName="Tags" ma:internalName="MediaServiceAutoTags"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1bd01df-c60f-45a1-9d8c-b9d56758f72b" elementFormDefault="qualified">
    <xsd:import namespace="http://schemas.microsoft.com/office/2006/documentManagement/types"/>
    <xsd:import namespace="http://schemas.microsoft.com/office/infopath/2007/PartnerControls"/>
    <xsd:element name="SharedWithUsers" ma:index="11" nillable="true" ma:displayName="Shared With" ma:SearchPeopleOnly="false" ma:SharePointGroup="0" ma:internalName="SharedWithUsers" ma:readOnly="tru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7"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E7283D0-0E40-4266-A6B3-D0DC7F6CF190}">
  <ds:schemaRefs>
    <ds:schemaRef ds:uri="http://schemas.microsoft.com/office/2006/metadata/properties"/>
    <ds:schemaRef ds:uri="http://schemas.microsoft.com/office/infopath/2007/PartnerControls"/>
    <ds:schemaRef ds:uri="75e6f6c7-399b-4f8f-8348-4148de2611cd"/>
    <ds:schemaRef ds:uri="http://schemas.microsoft.com/sharepoint/v3"/>
  </ds:schemaRefs>
</ds:datastoreItem>
</file>

<file path=customXml/itemProps2.xml><?xml version="1.0" encoding="utf-8"?>
<ds:datastoreItem xmlns:ds="http://schemas.openxmlformats.org/officeDocument/2006/customXml" ds:itemID="{88217F53-3B18-4E12-83BA-7EF8F9467C6A}">
  <ds:schemaRefs>
    <ds:schemaRef ds:uri="http://schemas.openxmlformats.org/officeDocument/2006/bibliography"/>
  </ds:schemaRefs>
</ds:datastoreItem>
</file>

<file path=customXml/itemProps3.xml><?xml version="1.0" encoding="utf-8"?>
<ds:datastoreItem xmlns:ds="http://schemas.openxmlformats.org/officeDocument/2006/customXml" ds:itemID="{E38F95D1-C762-4462-AEDA-8CA72F69CAB9}">
  <ds:schemaRefs>
    <ds:schemaRef ds:uri="http://schemas.microsoft.com/sharepoint/v3/contenttype/forms"/>
  </ds:schemaRefs>
</ds:datastoreItem>
</file>

<file path=customXml/itemProps4.xml><?xml version="1.0" encoding="utf-8"?>
<ds:datastoreItem xmlns:ds="http://schemas.openxmlformats.org/officeDocument/2006/customXml" ds:itemID="{1647F4E4-3E96-48FD-A41A-19EA6D4FD95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75e6f6c7-399b-4f8f-8348-4148de2611cd"/>
    <ds:schemaRef ds:uri="11bd01df-c60f-45a1-9d8c-b9d56758f72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11</Pages>
  <Words>3185</Words>
  <Characters>17903</Characters>
  <Application>Microsoft Office Word</Application>
  <DocSecurity>0</DocSecurity>
  <Lines>389</Lines>
  <Paragraphs>195</Paragraphs>
  <ScaleCrop>false</ScaleCrop>
  <HeadingPairs>
    <vt:vector size="2" baseType="variant">
      <vt:variant>
        <vt:lpstr>Title</vt:lpstr>
      </vt:variant>
      <vt:variant>
        <vt:i4>1</vt:i4>
      </vt:variant>
    </vt:vector>
  </HeadingPairs>
  <TitlesOfParts>
    <vt:vector size="1" baseType="lpstr">
      <vt:lpstr>Attachment: Product Information for Chlormethine hydrochloride</vt:lpstr>
    </vt:vector>
  </TitlesOfParts>
  <Company>Recordati Rare Disease Australia Pty Ltd</Company>
  <LinksUpToDate>false</LinksUpToDate>
  <CharactersWithSpaces>20893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Attachment: Product Information for Chlormethine hydrochloride</dc:title>
  <dc:subject>prescription medicines</dc:subject>
  <dc:creator>Recordati Rare Disease Australia Pty Ltd</dc:creator>
  <cp:keywords/>
  <dc:description/>
  <cp:lastPrinted>2021-06-23T06:55:00Z</cp:lastPrinted>
  <dcterms:created xsi:type="dcterms:W3CDTF">2021-09-21T02:11:00Z</dcterms:created>
  <dcterms:modified xsi:type="dcterms:W3CDTF">2021-09-21T02:13:00Z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0x0101004BA26BBAE37D1E4A9689E2CFF262A6DD</vt:lpwstr>
  </property>
  <property fmtid="{D5CDD505-2E9C-101B-9397-08002B2CF9AE}" pid="3" name="Document Name">
    <vt:lpwstr>Package-Leaflet_1</vt:lpwstr>
  </property>
  <property fmtid="{D5CDD505-2E9C-101B-9397-08002B2CF9AE}" pid="4" name="Smart Content Type">
    <vt:lpwstr>Labeling Document</vt:lpwstr>
  </property>
  <property fmtid="{D5CDD505-2E9C-101B-9397-08002B2CF9AE}" pid="5" name="NDStatus">
    <vt:lpwstr/>
  </property>
  <property fmtid="{D5CDD505-2E9C-101B-9397-08002B2CF9AE}" pid="6" name="FolderPath">
    <vt:lpwstr>(RegulatoryDocuments)&gt;[Project]&gt;[CountryCode]&gt;M1&gt;03-Product-Information</vt:lpwstr>
  </property>
  <property fmtid="{D5CDD505-2E9C-101B-9397-08002B2CF9AE}" pid="7" name="Folder Path">
    <vt:lpwstr>(RegulatoryDocuments)&gt;MECH-gel&gt;AU&gt;M1&gt;03-Product-Information</vt:lpwstr>
  </property>
  <property fmtid="{D5CDD505-2E9C-101B-9397-08002B2CF9AE}" pid="8" name="Domain Name">
    <vt:lpwstr>Administrative - EU</vt:lpwstr>
  </property>
  <property fmtid="{D5CDD505-2E9C-101B-9397-08002B2CF9AE}" pid="9" name="TemplateName">
    <vt:lpwstr>1.0 EU Package Leaflet.docx</vt:lpwstr>
  </property>
  <property fmtid="{D5CDD505-2E9C-101B-9397-08002B2CF9AE}" pid="10" name="AutonameTemplate">
    <vt:lpwstr>Package-Leaflet</vt:lpwstr>
  </property>
  <property fmtid="{D5CDD505-2E9C-101B-9397-08002B2CF9AE}" pid="11" name="ParentContentType">
    <vt:lpwstr>Labeling Document</vt:lpwstr>
  </property>
  <property fmtid="{D5CDD505-2E9C-101B-9397-08002B2CF9AE}" pid="12" name="Artifact Name">
    <vt:lpwstr>m1-3-1 Package Leaflet</vt:lpwstr>
  </property>
  <property fmtid="{D5CDD505-2E9C-101B-9397-08002B2CF9AE}" pid="13" name="Template Name">
    <vt:lpwstr>1.0 EU Package Leaflet.docx</vt:lpwstr>
  </property>
  <property fmtid="{D5CDD505-2E9C-101B-9397-08002B2CF9AE}" pid="14" name="Group Name">
    <vt:lpwstr>m1-3 Product Information</vt:lpwstr>
  </property>
  <property fmtid="{D5CDD505-2E9C-101B-9397-08002B2CF9AE}" pid="15" name="DocumentAdder">
    <vt:lpwstr>Daniela Rubini</vt:lpwstr>
  </property>
  <property fmtid="{D5CDD505-2E9C-101B-9397-08002B2CF9AE}" pid="16" name="_dlc_DocIdItemGuid">
    <vt:lpwstr>b7a01871-06c8-4eb4-b9df-0e6a765f128c</vt:lpwstr>
  </property>
  <property fmtid="{D5CDD505-2E9C-101B-9397-08002B2CF9AE}" pid="17" name="CountryCode">
    <vt:lpwstr>AU</vt:lpwstr>
  </property>
  <property fmtid="{D5CDD505-2E9C-101B-9397-08002B2CF9AE}" pid="18" name="Project">
    <vt:lpwstr>MECH-gel</vt:lpwstr>
  </property>
  <property fmtid="{D5CDD505-2E9C-101B-9397-08002B2CF9AE}" pid="19" name="SubmissionType">
    <vt:lpwstr>Initial-Marketing-Authorisation-Application</vt:lpwstr>
  </property>
  <property fmtid="{D5CDD505-2E9C-101B-9397-08002B2CF9AE}" pid="20" name="Region">
    <vt:lpwstr>Oceania</vt:lpwstr>
  </property>
  <property fmtid="{D5CDD505-2E9C-101B-9397-08002B2CF9AE}" pid="21" name="ArtifactName">
    <vt:lpwstr>m1-3-1 Package Leaflet</vt:lpwstr>
  </property>
  <property fmtid="{D5CDD505-2E9C-101B-9397-08002B2CF9AE}" pid="22" name="AdministrationRoute">
    <vt:lpwstr>Topical</vt:lpwstr>
  </property>
  <property fmtid="{D5CDD505-2E9C-101B-9397-08002B2CF9AE}" pid="23" name="GroupName">
    <vt:lpwstr>m1-3 Product Information</vt:lpwstr>
  </property>
  <property fmtid="{D5CDD505-2E9C-101B-9397-08002B2CF9AE}" pid="24" name="CTDSection">
    <vt:lpwstr>m1-3-1</vt:lpwstr>
  </property>
  <property fmtid="{D5CDD505-2E9C-101B-9397-08002B2CF9AE}" pid="25" name="sql">
    <vt:lpwstr>Draft</vt:lpwstr>
  </property>
  <property fmtid="{D5CDD505-2E9C-101B-9397-08002B2CF9AE}" pid="26" name="CTDModule">
    <vt:lpwstr>M1</vt:lpwstr>
  </property>
  <property fmtid="{D5CDD505-2E9C-101B-9397-08002B2CF9AE}" pid="27" name="Country">
    <vt:lpwstr>Australia</vt:lpwstr>
  </property>
  <property fmtid="{D5CDD505-2E9C-101B-9397-08002B2CF9AE}" pid="28" name="ApplicationType">
    <vt:lpwstr>MAA</vt:lpwstr>
  </property>
  <property fmtid="{D5CDD505-2E9C-101B-9397-08002B2CF9AE}" pid="29" name="FinishedProductOrIntermediate">
    <vt:lpwstr>Chlormethine</vt:lpwstr>
  </property>
  <property fmtid="{D5CDD505-2E9C-101B-9397-08002B2CF9AE}" pid="30" name="DosageFormStrength">
    <vt:lpwstr>0.016mg</vt:lpwstr>
  </property>
  <property fmtid="{D5CDD505-2E9C-101B-9397-08002B2CF9AE}" pid="31" name="DomainName">
    <vt:lpwstr>Administrative - EU</vt:lpwstr>
  </property>
  <property fmtid="{D5CDD505-2E9C-101B-9397-08002B2CF9AE}" pid="32" name="LabelIndication">
    <vt:lpwstr>21;#</vt:lpwstr>
  </property>
</Properties>
</file>