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tblGrid>
      <w:tr w:rsidR="008E7846" w:rsidRPr="00487162" w:rsidTr="00BF1190">
        <w:trPr>
          <w:trHeight w:val="1863"/>
        </w:trPr>
        <w:tc>
          <w:tcPr>
            <w:tcW w:w="3652" w:type="dxa"/>
            <w:tcBorders>
              <w:top w:val="nil"/>
              <w:left w:val="nil"/>
              <w:bottom w:val="nil"/>
              <w:right w:val="nil"/>
            </w:tcBorders>
          </w:tcPr>
          <w:p w:rsidR="008E7846" w:rsidRPr="0017078F" w:rsidRDefault="00EF0BE4" w:rsidP="0017078F">
            <w:pPr>
              <w:rPr>
                <w:rFonts w:ascii="Arial" w:hAnsi="Arial" w:cs="Arial"/>
                <w:b/>
                <w:color w:val="002C47"/>
                <w:sz w:val="36"/>
                <w:szCs w:val="36"/>
              </w:rPr>
            </w:pPr>
            <w:r>
              <w:rPr>
                <w:rFonts w:ascii="Arial" w:hAnsi="Arial" w:cs="Arial"/>
                <w:b/>
                <w:color w:val="002C47"/>
                <w:sz w:val="36"/>
                <w:szCs w:val="36"/>
              </w:rPr>
              <w:t>July 2012</w:t>
            </w:r>
            <w:r w:rsidR="0017078F">
              <w:rPr>
                <w:rFonts w:ascii="Arial" w:hAnsi="Arial" w:cs="Arial"/>
                <w:b/>
                <w:color w:val="002C47"/>
                <w:sz w:val="36"/>
                <w:szCs w:val="36"/>
              </w:rPr>
              <w:t xml:space="preserve"> of CER</w:t>
            </w:r>
          </w:p>
        </w:tc>
      </w:tr>
    </w:tbl>
    <w:tbl>
      <w:tblPr>
        <w:tblpPr w:leftFromText="180" w:rightFromText="180" w:vertAnchor="page" w:tblpY="3316"/>
        <w:tblW w:w="9079" w:type="dxa"/>
        <w:tblLayout w:type="fixed"/>
        <w:tblLook w:val="04A0"/>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E07F15">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proofErr w:type="spellStart"/>
            <w:r w:rsidR="00A50C03">
              <w:rPr>
                <w:color w:val="FFFFFF" w:themeColor="background1"/>
              </w:rPr>
              <w:t>c</w:t>
            </w:r>
            <w:r w:rsidR="009C5954" w:rsidRPr="009C5954">
              <w:rPr>
                <w:color w:val="FFFFFF" w:themeColor="background1"/>
              </w:rPr>
              <w:t>lobazam</w:t>
            </w:r>
            <w:proofErr w:type="spellEnd"/>
          </w:p>
        </w:tc>
      </w:tr>
      <w:tr w:rsidR="00E07F15" w:rsidRPr="00B64760" w:rsidTr="00E07F15">
        <w:tc>
          <w:tcPr>
            <w:tcW w:w="9079" w:type="dxa"/>
          </w:tcPr>
          <w:p w:rsidR="00E07F15" w:rsidRPr="008E7846" w:rsidRDefault="00E07F15" w:rsidP="00E07F15">
            <w:pPr>
              <w:pStyle w:val="Subtitle"/>
              <w:rPr>
                <w:color w:val="FFFFFF" w:themeColor="background1"/>
              </w:rPr>
            </w:pPr>
            <w:r w:rsidRPr="008E7846">
              <w:rPr>
                <w:color w:val="FFFFFF" w:themeColor="background1"/>
              </w:rPr>
              <w:t xml:space="preserve">Proprietary Product Name: </w:t>
            </w:r>
            <w:proofErr w:type="spellStart"/>
            <w:r w:rsidR="009C5954" w:rsidRPr="009C5954">
              <w:rPr>
                <w:color w:val="FFFFFF" w:themeColor="background1"/>
              </w:rPr>
              <w:t>Frisium</w:t>
            </w:r>
            <w:proofErr w:type="spellEnd"/>
          </w:p>
        </w:tc>
      </w:tr>
      <w:tr w:rsidR="00E07F15" w:rsidRPr="00B64760" w:rsidTr="00E07F15">
        <w:trPr>
          <w:trHeight w:val="486"/>
        </w:trPr>
        <w:tc>
          <w:tcPr>
            <w:tcW w:w="9079" w:type="dxa"/>
          </w:tcPr>
          <w:p w:rsidR="00E07F15" w:rsidRPr="008E7846" w:rsidRDefault="00E07F15" w:rsidP="00E07F15">
            <w:pPr>
              <w:pStyle w:val="Subtitle"/>
              <w:rPr>
                <w:color w:val="FFFFFF" w:themeColor="background1"/>
              </w:rPr>
            </w:pPr>
            <w:r w:rsidRPr="008E7846">
              <w:rPr>
                <w:color w:val="FFFFFF" w:themeColor="background1"/>
              </w:rPr>
              <w:t xml:space="preserve">Sponsor: </w:t>
            </w:r>
            <w:proofErr w:type="spellStart"/>
            <w:r w:rsidR="009C5954" w:rsidRPr="009C5954">
              <w:rPr>
                <w:color w:val="FFFFFF" w:themeColor="background1"/>
              </w:rPr>
              <w:t>Sanofi</w:t>
            </w:r>
            <w:proofErr w:type="spellEnd"/>
            <w:r w:rsidR="009C5954" w:rsidRPr="009C5954">
              <w:rPr>
                <w:color w:val="FFFFFF" w:themeColor="background1"/>
              </w:rPr>
              <w:t>-Aventis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w:t>
      </w:r>
      <w:r w:rsidR="00A329E6">
        <w:t xml:space="preserve"> Government Department of Health</w:t>
      </w:r>
      <w:r>
        <w:t>,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8"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9"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F62481" w:rsidRDefault="000B67D1">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70902542" w:history="1">
            <w:r w:rsidR="00F62481" w:rsidRPr="006058FF">
              <w:rPr>
                <w:rStyle w:val="Hyperlink"/>
                <w:noProof/>
              </w:rPr>
              <w:t>List of abbreviations</w:t>
            </w:r>
            <w:r w:rsidR="00F62481">
              <w:rPr>
                <w:noProof/>
                <w:webHidden/>
              </w:rPr>
              <w:tab/>
            </w:r>
            <w:r w:rsidR="00F62481">
              <w:rPr>
                <w:noProof/>
                <w:webHidden/>
              </w:rPr>
              <w:fldChar w:fldCharType="begin"/>
            </w:r>
            <w:r w:rsidR="00F62481">
              <w:rPr>
                <w:noProof/>
                <w:webHidden/>
              </w:rPr>
              <w:instrText xml:space="preserve"> PAGEREF _Toc370902542 \h </w:instrText>
            </w:r>
            <w:r w:rsidR="00F62481">
              <w:rPr>
                <w:noProof/>
                <w:webHidden/>
              </w:rPr>
            </w:r>
            <w:r w:rsidR="00F62481">
              <w:rPr>
                <w:noProof/>
                <w:webHidden/>
              </w:rPr>
              <w:fldChar w:fldCharType="separate"/>
            </w:r>
            <w:r w:rsidR="00F62481">
              <w:rPr>
                <w:noProof/>
                <w:webHidden/>
              </w:rPr>
              <w:t>4</w:t>
            </w:r>
            <w:r w:rsidR="00F62481">
              <w:rPr>
                <w:noProof/>
                <w:webHidden/>
              </w:rPr>
              <w:fldChar w:fldCharType="end"/>
            </w:r>
          </w:hyperlink>
        </w:p>
        <w:p w:rsidR="00F62481" w:rsidRDefault="00F62481">
          <w:pPr>
            <w:pStyle w:val="TOC2"/>
            <w:tabs>
              <w:tab w:val="left" w:pos="1100"/>
            </w:tabs>
            <w:rPr>
              <w:rFonts w:asciiTheme="minorHAnsi" w:eastAsiaTheme="minorEastAsia" w:hAnsiTheme="minorHAnsi" w:cstheme="minorBidi"/>
              <w:b w:val="0"/>
              <w:noProof/>
              <w:sz w:val="22"/>
              <w:lang w:eastAsia="en-AU"/>
            </w:rPr>
          </w:pPr>
          <w:hyperlink w:anchor="_Toc370902543" w:history="1">
            <w:r w:rsidRPr="006058FF">
              <w:rPr>
                <w:rStyle w:val="Hyperlink"/>
                <w:noProof/>
              </w:rPr>
              <w:t>1.</w:t>
            </w:r>
            <w:r>
              <w:rPr>
                <w:rFonts w:asciiTheme="minorHAnsi" w:eastAsiaTheme="minorEastAsia" w:hAnsiTheme="minorHAnsi" w:cstheme="minorBidi"/>
                <w:b w:val="0"/>
                <w:noProof/>
                <w:sz w:val="22"/>
                <w:lang w:eastAsia="en-AU"/>
              </w:rPr>
              <w:tab/>
            </w:r>
            <w:r w:rsidRPr="006058FF">
              <w:rPr>
                <w:rStyle w:val="Hyperlink"/>
                <w:noProof/>
              </w:rPr>
              <w:t>Clinical rationale</w:t>
            </w:r>
            <w:r>
              <w:rPr>
                <w:noProof/>
                <w:webHidden/>
              </w:rPr>
              <w:tab/>
            </w:r>
            <w:r>
              <w:rPr>
                <w:noProof/>
                <w:webHidden/>
              </w:rPr>
              <w:fldChar w:fldCharType="begin"/>
            </w:r>
            <w:r>
              <w:rPr>
                <w:noProof/>
                <w:webHidden/>
              </w:rPr>
              <w:instrText xml:space="preserve"> PAGEREF _Toc370902543 \h </w:instrText>
            </w:r>
            <w:r>
              <w:rPr>
                <w:noProof/>
                <w:webHidden/>
              </w:rPr>
            </w:r>
            <w:r>
              <w:rPr>
                <w:noProof/>
                <w:webHidden/>
              </w:rPr>
              <w:fldChar w:fldCharType="separate"/>
            </w:r>
            <w:r>
              <w:rPr>
                <w:noProof/>
                <w:webHidden/>
              </w:rPr>
              <w:t>5</w:t>
            </w:r>
            <w:r>
              <w:rPr>
                <w:noProof/>
                <w:webHidden/>
              </w:rPr>
              <w:fldChar w:fldCharType="end"/>
            </w:r>
          </w:hyperlink>
        </w:p>
        <w:p w:rsidR="00F62481" w:rsidRDefault="00F62481">
          <w:pPr>
            <w:pStyle w:val="TOC2"/>
            <w:tabs>
              <w:tab w:val="left" w:pos="1100"/>
            </w:tabs>
            <w:rPr>
              <w:rFonts w:asciiTheme="minorHAnsi" w:eastAsiaTheme="minorEastAsia" w:hAnsiTheme="minorHAnsi" w:cstheme="minorBidi"/>
              <w:b w:val="0"/>
              <w:noProof/>
              <w:sz w:val="22"/>
              <w:lang w:eastAsia="en-AU"/>
            </w:rPr>
          </w:pPr>
          <w:hyperlink w:anchor="_Toc370902544" w:history="1">
            <w:r w:rsidRPr="006058FF">
              <w:rPr>
                <w:rStyle w:val="Hyperlink"/>
                <w:noProof/>
              </w:rPr>
              <w:t>2.</w:t>
            </w:r>
            <w:r>
              <w:rPr>
                <w:rFonts w:asciiTheme="minorHAnsi" w:eastAsiaTheme="minorEastAsia" w:hAnsiTheme="minorHAnsi" w:cstheme="minorBidi"/>
                <w:b w:val="0"/>
                <w:noProof/>
                <w:sz w:val="22"/>
                <w:lang w:eastAsia="en-AU"/>
              </w:rPr>
              <w:tab/>
            </w:r>
            <w:r w:rsidRPr="006058FF">
              <w:rPr>
                <w:rStyle w:val="Hyperlink"/>
                <w:noProof/>
              </w:rPr>
              <w:t>Contents of the clinical dossier</w:t>
            </w:r>
            <w:r>
              <w:rPr>
                <w:noProof/>
                <w:webHidden/>
              </w:rPr>
              <w:tab/>
            </w:r>
            <w:r>
              <w:rPr>
                <w:noProof/>
                <w:webHidden/>
              </w:rPr>
              <w:fldChar w:fldCharType="begin"/>
            </w:r>
            <w:r>
              <w:rPr>
                <w:noProof/>
                <w:webHidden/>
              </w:rPr>
              <w:instrText xml:space="preserve"> PAGEREF _Toc370902544 \h </w:instrText>
            </w:r>
            <w:r>
              <w:rPr>
                <w:noProof/>
                <w:webHidden/>
              </w:rPr>
            </w:r>
            <w:r>
              <w:rPr>
                <w:noProof/>
                <w:webHidden/>
              </w:rPr>
              <w:fldChar w:fldCharType="separate"/>
            </w:r>
            <w:r>
              <w:rPr>
                <w:noProof/>
                <w:webHidden/>
              </w:rPr>
              <w:t>7</w:t>
            </w:r>
            <w:r>
              <w:rPr>
                <w:noProof/>
                <w:webHidden/>
              </w:rPr>
              <w:fldChar w:fldCharType="end"/>
            </w:r>
          </w:hyperlink>
        </w:p>
        <w:p w:rsidR="00F62481" w:rsidRDefault="00F62481">
          <w:pPr>
            <w:pStyle w:val="TOC3"/>
            <w:tabs>
              <w:tab w:val="left" w:pos="1760"/>
            </w:tabs>
            <w:rPr>
              <w:rFonts w:asciiTheme="minorHAnsi" w:eastAsiaTheme="minorEastAsia" w:hAnsiTheme="minorHAnsi" w:cstheme="minorBidi"/>
              <w:noProof/>
              <w:lang w:eastAsia="en-AU"/>
            </w:rPr>
          </w:pPr>
          <w:hyperlink w:anchor="_Toc370902545" w:history="1">
            <w:r w:rsidRPr="006058FF">
              <w:rPr>
                <w:rStyle w:val="Hyperlink"/>
                <w:noProof/>
              </w:rPr>
              <w:t>2.1.</w:t>
            </w:r>
            <w:r>
              <w:rPr>
                <w:rFonts w:asciiTheme="minorHAnsi" w:eastAsiaTheme="minorEastAsia" w:hAnsiTheme="minorHAnsi" w:cstheme="minorBidi"/>
                <w:noProof/>
                <w:lang w:eastAsia="en-AU"/>
              </w:rPr>
              <w:tab/>
            </w:r>
            <w:r w:rsidRPr="006058FF">
              <w:rPr>
                <w:rStyle w:val="Hyperlink"/>
                <w:noProof/>
              </w:rPr>
              <w:t>Scope of the clinical dossier</w:t>
            </w:r>
            <w:r>
              <w:rPr>
                <w:noProof/>
                <w:webHidden/>
              </w:rPr>
              <w:tab/>
            </w:r>
            <w:r>
              <w:rPr>
                <w:noProof/>
                <w:webHidden/>
              </w:rPr>
              <w:fldChar w:fldCharType="begin"/>
            </w:r>
            <w:r>
              <w:rPr>
                <w:noProof/>
                <w:webHidden/>
              </w:rPr>
              <w:instrText xml:space="preserve"> PAGEREF _Toc370902545 \h </w:instrText>
            </w:r>
            <w:r>
              <w:rPr>
                <w:noProof/>
                <w:webHidden/>
              </w:rPr>
            </w:r>
            <w:r>
              <w:rPr>
                <w:noProof/>
                <w:webHidden/>
              </w:rPr>
              <w:fldChar w:fldCharType="separate"/>
            </w:r>
            <w:r>
              <w:rPr>
                <w:noProof/>
                <w:webHidden/>
              </w:rPr>
              <w:t>7</w:t>
            </w:r>
            <w:r>
              <w:rPr>
                <w:noProof/>
                <w:webHidden/>
              </w:rPr>
              <w:fldChar w:fldCharType="end"/>
            </w:r>
          </w:hyperlink>
        </w:p>
        <w:p w:rsidR="00F62481" w:rsidRDefault="00F62481">
          <w:pPr>
            <w:pStyle w:val="TOC3"/>
            <w:tabs>
              <w:tab w:val="left" w:pos="1760"/>
            </w:tabs>
            <w:rPr>
              <w:rFonts w:asciiTheme="minorHAnsi" w:eastAsiaTheme="minorEastAsia" w:hAnsiTheme="minorHAnsi" w:cstheme="minorBidi"/>
              <w:noProof/>
              <w:lang w:eastAsia="en-AU"/>
            </w:rPr>
          </w:pPr>
          <w:hyperlink w:anchor="_Toc370902546" w:history="1">
            <w:r w:rsidRPr="006058FF">
              <w:rPr>
                <w:rStyle w:val="Hyperlink"/>
                <w:noProof/>
              </w:rPr>
              <w:t>2.2.</w:t>
            </w:r>
            <w:r>
              <w:rPr>
                <w:rFonts w:asciiTheme="minorHAnsi" w:eastAsiaTheme="minorEastAsia" w:hAnsiTheme="minorHAnsi" w:cstheme="minorBidi"/>
                <w:noProof/>
                <w:lang w:eastAsia="en-AU"/>
              </w:rPr>
              <w:tab/>
            </w:r>
            <w:r w:rsidRPr="006058FF">
              <w:rPr>
                <w:rStyle w:val="Hyperlink"/>
                <w:noProof/>
              </w:rPr>
              <w:t>Paediatric data</w:t>
            </w:r>
            <w:r>
              <w:rPr>
                <w:noProof/>
                <w:webHidden/>
              </w:rPr>
              <w:tab/>
            </w:r>
            <w:r>
              <w:rPr>
                <w:noProof/>
                <w:webHidden/>
              </w:rPr>
              <w:fldChar w:fldCharType="begin"/>
            </w:r>
            <w:r>
              <w:rPr>
                <w:noProof/>
                <w:webHidden/>
              </w:rPr>
              <w:instrText xml:space="preserve"> PAGEREF _Toc370902546 \h </w:instrText>
            </w:r>
            <w:r>
              <w:rPr>
                <w:noProof/>
                <w:webHidden/>
              </w:rPr>
            </w:r>
            <w:r>
              <w:rPr>
                <w:noProof/>
                <w:webHidden/>
              </w:rPr>
              <w:fldChar w:fldCharType="separate"/>
            </w:r>
            <w:r>
              <w:rPr>
                <w:noProof/>
                <w:webHidden/>
              </w:rPr>
              <w:t>10</w:t>
            </w:r>
            <w:r>
              <w:rPr>
                <w:noProof/>
                <w:webHidden/>
              </w:rPr>
              <w:fldChar w:fldCharType="end"/>
            </w:r>
          </w:hyperlink>
        </w:p>
        <w:p w:rsidR="00F62481" w:rsidRDefault="00F62481">
          <w:pPr>
            <w:pStyle w:val="TOC3"/>
            <w:tabs>
              <w:tab w:val="left" w:pos="1760"/>
            </w:tabs>
            <w:rPr>
              <w:rFonts w:asciiTheme="minorHAnsi" w:eastAsiaTheme="minorEastAsia" w:hAnsiTheme="minorHAnsi" w:cstheme="minorBidi"/>
              <w:noProof/>
              <w:lang w:eastAsia="en-AU"/>
            </w:rPr>
          </w:pPr>
          <w:hyperlink w:anchor="_Toc370902547" w:history="1">
            <w:r w:rsidRPr="006058FF">
              <w:rPr>
                <w:rStyle w:val="Hyperlink"/>
                <w:noProof/>
              </w:rPr>
              <w:t>2.3.</w:t>
            </w:r>
            <w:r>
              <w:rPr>
                <w:rFonts w:asciiTheme="minorHAnsi" w:eastAsiaTheme="minorEastAsia" w:hAnsiTheme="minorHAnsi" w:cstheme="minorBidi"/>
                <w:noProof/>
                <w:lang w:eastAsia="en-AU"/>
              </w:rPr>
              <w:tab/>
            </w:r>
            <w:r w:rsidRPr="006058FF">
              <w:rPr>
                <w:rStyle w:val="Hyperlink"/>
                <w:noProof/>
              </w:rPr>
              <w:t>Good clinical practice</w:t>
            </w:r>
            <w:r>
              <w:rPr>
                <w:noProof/>
                <w:webHidden/>
              </w:rPr>
              <w:tab/>
            </w:r>
            <w:r>
              <w:rPr>
                <w:noProof/>
                <w:webHidden/>
              </w:rPr>
              <w:fldChar w:fldCharType="begin"/>
            </w:r>
            <w:r>
              <w:rPr>
                <w:noProof/>
                <w:webHidden/>
              </w:rPr>
              <w:instrText xml:space="preserve"> PAGEREF _Toc370902547 \h </w:instrText>
            </w:r>
            <w:r>
              <w:rPr>
                <w:noProof/>
                <w:webHidden/>
              </w:rPr>
            </w:r>
            <w:r>
              <w:rPr>
                <w:noProof/>
                <w:webHidden/>
              </w:rPr>
              <w:fldChar w:fldCharType="separate"/>
            </w:r>
            <w:r>
              <w:rPr>
                <w:noProof/>
                <w:webHidden/>
              </w:rPr>
              <w:t>10</w:t>
            </w:r>
            <w:r>
              <w:rPr>
                <w:noProof/>
                <w:webHidden/>
              </w:rPr>
              <w:fldChar w:fldCharType="end"/>
            </w:r>
          </w:hyperlink>
        </w:p>
        <w:p w:rsidR="00F62481" w:rsidRDefault="00F62481">
          <w:pPr>
            <w:pStyle w:val="TOC2"/>
            <w:tabs>
              <w:tab w:val="left" w:pos="1100"/>
            </w:tabs>
            <w:rPr>
              <w:rFonts w:asciiTheme="minorHAnsi" w:eastAsiaTheme="minorEastAsia" w:hAnsiTheme="minorHAnsi" w:cstheme="minorBidi"/>
              <w:b w:val="0"/>
              <w:noProof/>
              <w:sz w:val="22"/>
              <w:lang w:eastAsia="en-AU"/>
            </w:rPr>
          </w:pPr>
          <w:hyperlink w:anchor="_Toc370902548" w:history="1">
            <w:r w:rsidRPr="006058FF">
              <w:rPr>
                <w:rStyle w:val="Hyperlink"/>
                <w:noProof/>
              </w:rPr>
              <w:t>3.</w:t>
            </w:r>
            <w:r>
              <w:rPr>
                <w:rFonts w:asciiTheme="minorHAnsi" w:eastAsiaTheme="minorEastAsia" w:hAnsiTheme="minorHAnsi" w:cstheme="minorBidi"/>
                <w:b w:val="0"/>
                <w:noProof/>
                <w:sz w:val="22"/>
                <w:lang w:eastAsia="en-AU"/>
              </w:rPr>
              <w:tab/>
            </w:r>
            <w:r w:rsidRPr="006058FF">
              <w:rPr>
                <w:rStyle w:val="Hyperlink"/>
                <w:noProof/>
              </w:rPr>
              <w:t>Pharmacokinetics</w:t>
            </w:r>
            <w:r>
              <w:rPr>
                <w:noProof/>
                <w:webHidden/>
              </w:rPr>
              <w:tab/>
            </w:r>
            <w:r>
              <w:rPr>
                <w:noProof/>
                <w:webHidden/>
              </w:rPr>
              <w:fldChar w:fldCharType="begin"/>
            </w:r>
            <w:r>
              <w:rPr>
                <w:noProof/>
                <w:webHidden/>
              </w:rPr>
              <w:instrText xml:space="preserve"> PAGEREF _Toc370902548 \h </w:instrText>
            </w:r>
            <w:r>
              <w:rPr>
                <w:noProof/>
                <w:webHidden/>
              </w:rPr>
            </w:r>
            <w:r>
              <w:rPr>
                <w:noProof/>
                <w:webHidden/>
              </w:rPr>
              <w:fldChar w:fldCharType="separate"/>
            </w:r>
            <w:r>
              <w:rPr>
                <w:noProof/>
                <w:webHidden/>
              </w:rPr>
              <w:t>10</w:t>
            </w:r>
            <w:r>
              <w:rPr>
                <w:noProof/>
                <w:webHidden/>
              </w:rPr>
              <w:fldChar w:fldCharType="end"/>
            </w:r>
          </w:hyperlink>
        </w:p>
        <w:p w:rsidR="00F62481" w:rsidRDefault="00F62481">
          <w:pPr>
            <w:pStyle w:val="TOC2"/>
            <w:tabs>
              <w:tab w:val="left" w:pos="1100"/>
            </w:tabs>
            <w:rPr>
              <w:rFonts w:asciiTheme="minorHAnsi" w:eastAsiaTheme="minorEastAsia" w:hAnsiTheme="minorHAnsi" w:cstheme="minorBidi"/>
              <w:b w:val="0"/>
              <w:noProof/>
              <w:sz w:val="22"/>
              <w:lang w:eastAsia="en-AU"/>
            </w:rPr>
          </w:pPr>
          <w:hyperlink w:anchor="_Toc370902549" w:history="1">
            <w:r w:rsidRPr="006058FF">
              <w:rPr>
                <w:rStyle w:val="Hyperlink"/>
                <w:noProof/>
              </w:rPr>
              <w:t>4.</w:t>
            </w:r>
            <w:r>
              <w:rPr>
                <w:rFonts w:asciiTheme="minorHAnsi" w:eastAsiaTheme="minorEastAsia" w:hAnsiTheme="minorHAnsi" w:cstheme="minorBidi"/>
                <w:b w:val="0"/>
                <w:noProof/>
                <w:sz w:val="22"/>
                <w:lang w:eastAsia="en-AU"/>
              </w:rPr>
              <w:tab/>
            </w:r>
            <w:r w:rsidRPr="006058FF">
              <w:rPr>
                <w:rStyle w:val="Hyperlink"/>
                <w:noProof/>
              </w:rPr>
              <w:t>Pharmacodynamics</w:t>
            </w:r>
            <w:r>
              <w:rPr>
                <w:noProof/>
                <w:webHidden/>
              </w:rPr>
              <w:tab/>
            </w:r>
            <w:r>
              <w:rPr>
                <w:noProof/>
                <w:webHidden/>
              </w:rPr>
              <w:fldChar w:fldCharType="begin"/>
            </w:r>
            <w:r>
              <w:rPr>
                <w:noProof/>
                <w:webHidden/>
              </w:rPr>
              <w:instrText xml:space="preserve"> PAGEREF _Toc370902549 \h </w:instrText>
            </w:r>
            <w:r>
              <w:rPr>
                <w:noProof/>
                <w:webHidden/>
              </w:rPr>
            </w:r>
            <w:r>
              <w:rPr>
                <w:noProof/>
                <w:webHidden/>
              </w:rPr>
              <w:fldChar w:fldCharType="separate"/>
            </w:r>
            <w:r>
              <w:rPr>
                <w:noProof/>
                <w:webHidden/>
              </w:rPr>
              <w:t>11</w:t>
            </w:r>
            <w:r>
              <w:rPr>
                <w:noProof/>
                <w:webHidden/>
              </w:rPr>
              <w:fldChar w:fldCharType="end"/>
            </w:r>
          </w:hyperlink>
        </w:p>
        <w:p w:rsidR="00F62481" w:rsidRDefault="00F62481">
          <w:pPr>
            <w:pStyle w:val="TOC2"/>
            <w:tabs>
              <w:tab w:val="left" w:pos="1100"/>
            </w:tabs>
            <w:rPr>
              <w:rFonts w:asciiTheme="minorHAnsi" w:eastAsiaTheme="minorEastAsia" w:hAnsiTheme="minorHAnsi" w:cstheme="minorBidi"/>
              <w:b w:val="0"/>
              <w:noProof/>
              <w:sz w:val="22"/>
              <w:lang w:eastAsia="en-AU"/>
            </w:rPr>
          </w:pPr>
          <w:hyperlink w:anchor="_Toc370902550" w:history="1">
            <w:r w:rsidRPr="006058FF">
              <w:rPr>
                <w:rStyle w:val="Hyperlink"/>
                <w:noProof/>
              </w:rPr>
              <w:t>5.</w:t>
            </w:r>
            <w:r>
              <w:rPr>
                <w:rFonts w:asciiTheme="minorHAnsi" w:eastAsiaTheme="minorEastAsia" w:hAnsiTheme="minorHAnsi" w:cstheme="minorBidi"/>
                <w:b w:val="0"/>
                <w:noProof/>
                <w:sz w:val="22"/>
                <w:lang w:eastAsia="en-AU"/>
              </w:rPr>
              <w:tab/>
            </w:r>
            <w:r w:rsidRPr="006058FF">
              <w:rPr>
                <w:rStyle w:val="Hyperlink"/>
                <w:noProof/>
              </w:rPr>
              <w:t>Dosage selection for the pivotal studies</w:t>
            </w:r>
            <w:r>
              <w:rPr>
                <w:noProof/>
                <w:webHidden/>
              </w:rPr>
              <w:tab/>
            </w:r>
            <w:r>
              <w:rPr>
                <w:noProof/>
                <w:webHidden/>
              </w:rPr>
              <w:fldChar w:fldCharType="begin"/>
            </w:r>
            <w:r>
              <w:rPr>
                <w:noProof/>
                <w:webHidden/>
              </w:rPr>
              <w:instrText xml:space="preserve"> PAGEREF _Toc370902550 \h </w:instrText>
            </w:r>
            <w:r>
              <w:rPr>
                <w:noProof/>
                <w:webHidden/>
              </w:rPr>
            </w:r>
            <w:r>
              <w:rPr>
                <w:noProof/>
                <w:webHidden/>
              </w:rPr>
              <w:fldChar w:fldCharType="separate"/>
            </w:r>
            <w:r>
              <w:rPr>
                <w:noProof/>
                <w:webHidden/>
              </w:rPr>
              <w:t>11</w:t>
            </w:r>
            <w:r>
              <w:rPr>
                <w:noProof/>
                <w:webHidden/>
              </w:rPr>
              <w:fldChar w:fldCharType="end"/>
            </w:r>
          </w:hyperlink>
        </w:p>
        <w:p w:rsidR="00F62481" w:rsidRDefault="00F62481">
          <w:pPr>
            <w:pStyle w:val="TOC2"/>
            <w:tabs>
              <w:tab w:val="left" w:pos="1100"/>
            </w:tabs>
            <w:rPr>
              <w:rFonts w:asciiTheme="minorHAnsi" w:eastAsiaTheme="minorEastAsia" w:hAnsiTheme="minorHAnsi" w:cstheme="minorBidi"/>
              <w:b w:val="0"/>
              <w:noProof/>
              <w:sz w:val="22"/>
              <w:lang w:eastAsia="en-AU"/>
            </w:rPr>
          </w:pPr>
          <w:hyperlink w:anchor="_Toc370902551" w:history="1">
            <w:r w:rsidRPr="006058FF">
              <w:rPr>
                <w:rStyle w:val="Hyperlink"/>
                <w:noProof/>
              </w:rPr>
              <w:t>6.</w:t>
            </w:r>
            <w:r>
              <w:rPr>
                <w:rFonts w:asciiTheme="minorHAnsi" w:eastAsiaTheme="minorEastAsia" w:hAnsiTheme="minorHAnsi" w:cstheme="minorBidi"/>
                <w:b w:val="0"/>
                <w:noProof/>
                <w:sz w:val="22"/>
                <w:lang w:eastAsia="en-AU"/>
              </w:rPr>
              <w:tab/>
            </w:r>
            <w:r w:rsidRPr="006058FF">
              <w:rPr>
                <w:rStyle w:val="Hyperlink"/>
                <w:noProof/>
              </w:rPr>
              <w:t>Clinical efficacy</w:t>
            </w:r>
            <w:r>
              <w:rPr>
                <w:noProof/>
                <w:webHidden/>
              </w:rPr>
              <w:tab/>
            </w:r>
            <w:r>
              <w:rPr>
                <w:noProof/>
                <w:webHidden/>
              </w:rPr>
              <w:fldChar w:fldCharType="begin"/>
            </w:r>
            <w:r>
              <w:rPr>
                <w:noProof/>
                <w:webHidden/>
              </w:rPr>
              <w:instrText xml:space="preserve"> PAGEREF _Toc370902551 \h </w:instrText>
            </w:r>
            <w:r>
              <w:rPr>
                <w:noProof/>
                <w:webHidden/>
              </w:rPr>
            </w:r>
            <w:r>
              <w:rPr>
                <w:noProof/>
                <w:webHidden/>
              </w:rPr>
              <w:fldChar w:fldCharType="separate"/>
            </w:r>
            <w:r>
              <w:rPr>
                <w:noProof/>
                <w:webHidden/>
              </w:rPr>
              <w:t>11</w:t>
            </w:r>
            <w:r>
              <w:rPr>
                <w:noProof/>
                <w:webHidden/>
              </w:rPr>
              <w:fldChar w:fldCharType="end"/>
            </w:r>
          </w:hyperlink>
        </w:p>
        <w:p w:rsidR="00F62481" w:rsidRDefault="00F62481">
          <w:pPr>
            <w:pStyle w:val="TOC3"/>
            <w:tabs>
              <w:tab w:val="left" w:pos="1760"/>
            </w:tabs>
            <w:rPr>
              <w:rFonts w:asciiTheme="minorHAnsi" w:eastAsiaTheme="minorEastAsia" w:hAnsiTheme="minorHAnsi" w:cstheme="minorBidi"/>
              <w:noProof/>
              <w:lang w:eastAsia="en-AU"/>
            </w:rPr>
          </w:pPr>
          <w:hyperlink w:anchor="_Toc370902552" w:history="1">
            <w:r w:rsidRPr="006058FF">
              <w:rPr>
                <w:rStyle w:val="Hyperlink"/>
                <w:noProof/>
              </w:rPr>
              <w:t>6.1.</w:t>
            </w:r>
            <w:r>
              <w:rPr>
                <w:rFonts w:asciiTheme="minorHAnsi" w:eastAsiaTheme="minorEastAsia" w:hAnsiTheme="minorHAnsi" w:cstheme="minorBidi"/>
                <w:noProof/>
                <w:lang w:eastAsia="en-AU"/>
              </w:rPr>
              <w:tab/>
            </w:r>
            <w:r w:rsidRPr="006058FF">
              <w:rPr>
                <w:rStyle w:val="Hyperlink"/>
                <w:noProof/>
              </w:rPr>
              <w:t>Indication</w:t>
            </w:r>
            <w:r>
              <w:rPr>
                <w:noProof/>
                <w:webHidden/>
              </w:rPr>
              <w:tab/>
            </w:r>
            <w:r>
              <w:rPr>
                <w:noProof/>
                <w:webHidden/>
              </w:rPr>
              <w:fldChar w:fldCharType="begin"/>
            </w:r>
            <w:r>
              <w:rPr>
                <w:noProof/>
                <w:webHidden/>
              </w:rPr>
              <w:instrText xml:space="preserve"> PAGEREF _Toc370902552 \h </w:instrText>
            </w:r>
            <w:r>
              <w:rPr>
                <w:noProof/>
                <w:webHidden/>
              </w:rPr>
            </w:r>
            <w:r>
              <w:rPr>
                <w:noProof/>
                <w:webHidden/>
              </w:rPr>
              <w:fldChar w:fldCharType="separate"/>
            </w:r>
            <w:r>
              <w:rPr>
                <w:noProof/>
                <w:webHidden/>
              </w:rPr>
              <w:t>11</w:t>
            </w:r>
            <w:r>
              <w:rPr>
                <w:noProof/>
                <w:webHidden/>
              </w:rPr>
              <w:fldChar w:fldCharType="end"/>
            </w:r>
          </w:hyperlink>
        </w:p>
        <w:p w:rsidR="00F62481" w:rsidRDefault="00F62481">
          <w:pPr>
            <w:pStyle w:val="TOC3"/>
            <w:tabs>
              <w:tab w:val="left" w:pos="1760"/>
            </w:tabs>
            <w:rPr>
              <w:rFonts w:asciiTheme="minorHAnsi" w:eastAsiaTheme="minorEastAsia" w:hAnsiTheme="minorHAnsi" w:cstheme="minorBidi"/>
              <w:noProof/>
              <w:lang w:eastAsia="en-AU"/>
            </w:rPr>
          </w:pPr>
          <w:hyperlink w:anchor="_Toc370902553" w:history="1">
            <w:r w:rsidRPr="006058FF">
              <w:rPr>
                <w:rStyle w:val="Hyperlink"/>
                <w:noProof/>
              </w:rPr>
              <w:t>6.2.</w:t>
            </w:r>
            <w:r>
              <w:rPr>
                <w:rFonts w:asciiTheme="minorHAnsi" w:eastAsiaTheme="minorEastAsia" w:hAnsiTheme="minorHAnsi" w:cstheme="minorBidi"/>
                <w:noProof/>
                <w:lang w:eastAsia="en-AU"/>
              </w:rPr>
              <w:tab/>
            </w:r>
            <w:r w:rsidRPr="006058FF">
              <w:rPr>
                <w:rStyle w:val="Hyperlink"/>
                <w:noProof/>
              </w:rPr>
              <w:t>Pivotal efficacy studies</w:t>
            </w:r>
            <w:r>
              <w:rPr>
                <w:noProof/>
                <w:webHidden/>
              </w:rPr>
              <w:tab/>
            </w:r>
            <w:r>
              <w:rPr>
                <w:noProof/>
                <w:webHidden/>
              </w:rPr>
              <w:fldChar w:fldCharType="begin"/>
            </w:r>
            <w:r>
              <w:rPr>
                <w:noProof/>
                <w:webHidden/>
              </w:rPr>
              <w:instrText xml:space="preserve"> PAGEREF _Toc370902553 \h </w:instrText>
            </w:r>
            <w:r>
              <w:rPr>
                <w:noProof/>
                <w:webHidden/>
              </w:rPr>
            </w:r>
            <w:r>
              <w:rPr>
                <w:noProof/>
                <w:webHidden/>
              </w:rPr>
              <w:fldChar w:fldCharType="separate"/>
            </w:r>
            <w:r>
              <w:rPr>
                <w:noProof/>
                <w:webHidden/>
              </w:rPr>
              <w:t>11</w:t>
            </w:r>
            <w:r>
              <w:rPr>
                <w:noProof/>
                <w:webHidden/>
              </w:rPr>
              <w:fldChar w:fldCharType="end"/>
            </w:r>
          </w:hyperlink>
        </w:p>
        <w:p w:rsidR="00F62481" w:rsidRDefault="00F62481">
          <w:pPr>
            <w:pStyle w:val="TOC3"/>
            <w:tabs>
              <w:tab w:val="left" w:pos="1760"/>
            </w:tabs>
            <w:rPr>
              <w:rFonts w:asciiTheme="minorHAnsi" w:eastAsiaTheme="minorEastAsia" w:hAnsiTheme="minorHAnsi" w:cstheme="minorBidi"/>
              <w:noProof/>
              <w:lang w:eastAsia="en-AU"/>
            </w:rPr>
          </w:pPr>
          <w:hyperlink w:anchor="_Toc370902554" w:history="1">
            <w:r w:rsidRPr="006058FF">
              <w:rPr>
                <w:rStyle w:val="Hyperlink"/>
                <w:noProof/>
              </w:rPr>
              <w:t>6.3.</w:t>
            </w:r>
            <w:r>
              <w:rPr>
                <w:rFonts w:asciiTheme="minorHAnsi" w:eastAsiaTheme="minorEastAsia" w:hAnsiTheme="minorHAnsi" w:cstheme="minorBidi"/>
                <w:noProof/>
                <w:lang w:eastAsia="en-AU"/>
              </w:rPr>
              <w:tab/>
            </w:r>
            <w:r w:rsidRPr="006058FF">
              <w:rPr>
                <w:rStyle w:val="Hyperlink"/>
                <w:noProof/>
              </w:rPr>
              <w:t>Other efficacy studies</w:t>
            </w:r>
            <w:r>
              <w:rPr>
                <w:noProof/>
                <w:webHidden/>
              </w:rPr>
              <w:tab/>
            </w:r>
            <w:r>
              <w:rPr>
                <w:noProof/>
                <w:webHidden/>
              </w:rPr>
              <w:fldChar w:fldCharType="begin"/>
            </w:r>
            <w:r>
              <w:rPr>
                <w:noProof/>
                <w:webHidden/>
              </w:rPr>
              <w:instrText xml:space="preserve"> PAGEREF _Toc370902554 \h </w:instrText>
            </w:r>
            <w:r>
              <w:rPr>
                <w:noProof/>
                <w:webHidden/>
              </w:rPr>
            </w:r>
            <w:r>
              <w:rPr>
                <w:noProof/>
                <w:webHidden/>
              </w:rPr>
              <w:fldChar w:fldCharType="separate"/>
            </w:r>
            <w:r>
              <w:rPr>
                <w:noProof/>
                <w:webHidden/>
              </w:rPr>
              <w:t>27</w:t>
            </w:r>
            <w:r>
              <w:rPr>
                <w:noProof/>
                <w:webHidden/>
              </w:rPr>
              <w:fldChar w:fldCharType="end"/>
            </w:r>
          </w:hyperlink>
        </w:p>
        <w:p w:rsidR="00F62481" w:rsidRDefault="00F62481">
          <w:pPr>
            <w:pStyle w:val="TOC3"/>
            <w:tabs>
              <w:tab w:val="left" w:pos="1760"/>
            </w:tabs>
            <w:rPr>
              <w:rFonts w:asciiTheme="minorHAnsi" w:eastAsiaTheme="minorEastAsia" w:hAnsiTheme="minorHAnsi" w:cstheme="minorBidi"/>
              <w:noProof/>
              <w:lang w:eastAsia="en-AU"/>
            </w:rPr>
          </w:pPr>
          <w:hyperlink w:anchor="_Toc370902555" w:history="1">
            <w:r w:rsidRPr="006058FF">
              <w:rPr>
                <w:rStyle w:val="Hyperlink"/>
                <w:noProof/>
              </w:rPr>
              <w:t>6.4.</w:t>
            </w:r>
            <w:r>
              <w:rPr>
                <w:rFonts w:asciiTheme="minorHAnsi" w:eastAsiaTheme="minorEastAsia" w:hAnsiTheme="minorHAnsi" w:cstheme="minorBidi"/>
                <w:noProof/>
                <w:lang w:eastAsia="en-AU"/>
              </w:rPr>
              <w:tab/>
            </w:r>
            <w:r w:rsidRPr="006058FF">
              <w:rPr>
                <w:rStyle w:val="Hyperlink"/>
                <w:noProof/>
              </w:rPr>
              <w:t>Analyses performed across trials (pooled and meta analyses)</w:t>
            </w:r>
            <w:r>
              <w:rPr>
                <w:noProof/>
                <w:webHidden/>
              </w:rPr>
              <w:tab/>
            </w:r>
            <w:r>
              <w:rPr>
                <w:noProof/>
                <w:webHidden/>
              </w:rPr>
              <w:fldChar w:fldCharType="begin"/>
            </w:r>
            <w:r>
              <w:rPr>
                <w:noProof/>
                <w:webHidden/>
              </w:rPr>
              <w:instrText xml:space="preserve"> PAGEREF _Toc370902555 \h </w:instrText>
            </w:r>
            <w:r>
              <w:rPr>
                <w:noProof/>
                <w:webHidden/>
              </w:rPr>
            </w:r>
            <w:r>
              <w:rPr>
                <w:noProof/>
                <w:webHidden/>
              </w:rPr>
              <w:fldChar w:fldCharType="separate"/>
            </w:r>
            <w:r>
              <w:rPr>
                <w:noProof/>
                <w:webHidden/>
              </w:rPr>
              <w:t>28</w:t>
            </w:r>
            <w:r>
              <w:rPr>
                <w:noProof/>
                <w:webHidden/>
              </w:rPr>
              <w:fldChar w:fldCharType="end"/>
            </w:r>
          </w:hyperlink>
        </w:p>
        <w:p w:rsidR="00F62481" w:rsidRDefault="00F62481">
          <w:pPr>
            <w:pStyle w:val="TOC3"/>
            <w:tabs>
              <w:tab w:val="left" w:pos="1760"/>
            </w:tabs>
            <w:rPr>
              <w:rFonts w:asciiTheme="minorHAnsi" w:eastAsiaTheme="minorEastAsia" w:hAnsiTheme="minorHAnsi" w:cstheme="minorBidi"/>
              <w:noProof/>
              <w:lang w:eastAsia="en-AU"/>
            </w:rPr>
          </w:pPr>
          <w:hyperlink w:anchor="_Toc370902556" w:history="1">
            <w:r w:rsidRPr="006058FF">
              <w:rPr>
                <w:rStyle w:val="Hyperlink"/>
                <w:noProof/>
              </w:rPr>
              <w:t>6.5.</w:t>
            </w:r>
            <w:r>
              <w:rPr>
                <w:rFonts w:asciiTheme="minorHAnsi" w:eastAsiaTheme="minorEastAsia" w:hAnsiTheme="minorHAnsi" w:cstheme="minorBidi"/>
                <w:noProof/>
                <w:lang w:eastAsia="en-AU"/>
              </w:rPr>
              <w:tab/>
            </w:r>
            <w:r w:rsidRPr="006058FF">
              <w:rPr>
                <w:rStyle w:val="Hyperlink"/>
                <w:noProof/>
              </w:rPr>
              <w:t>Evaluator’s overall conclusions on clinical efficacy</w:t>
            </w:r>
            <w:r>
              <w:rPr>
                <w:noProof/>
                <w:webHidden/>
              </w:rPr>
              <w:tab/>
            </w:r>
            <w:r>
              <w:rPr>
                <w:noProof/>
                <w:webHidden/>
              </w:rPr>
              <w:fldChar w:fldCharType="begin"/>
            </w:r>
            <w:r>
              <w:rPr>
                <w:noProof/>
                <w:webHidden/>
              </w:rPr>
              <w:instrText xml:space="preserve"> PAGEREF _Toc370902556 \h </w:instrText>
            </w:r>
            <w:r>
              <w:rPr>
                <w:noProof/>
                <w:webHidden/>
              </w:rPr>
            </w:r>
            <w:r>
              <w:rPr>
                <w:noProof/>
                <w:webHidden/>
              </w:rPr>
              <w:fldChar w:fldCharType="separate"/>
            </w:r>
            <w:r>
              <w:rPr>
                <w:noProof/>
                <w:webHidden/>
              </w:rPr>
              <w:t>32</w:t>
            </w:r>
            <w:r>
              <w:rPr>
                <w:noProof/>
                <w:webHidden/>
              </w:rPr>
              <w:fldChar w:fldCharType="end"/>
            </w:r>
          </w:hyperlink>
        </w:p>
        <w:p w:rsidR="00F62481" w:rsidRDefault="00F62481">
          <w:pPr>
            <w:pStyle w:val="TOC2"/>
            <w:tabs>
              <w:tab w:val="left" w:pos="1100"/>
            </w:tabs>
            <w:rPr>
              <w:rFonts w:asciiTheme="minorHAnsi" w:eastAsiaTheme="minorEastAsia" w:hAnsiTheme="minorHAnsi" w:cstheme="minorBidi"/>
              <w:b w:val="0"/>
              <w:noProof/>
              <w:sz w:val="22"/>
              <w:lang w:eastAsia="en-AU"/>
            </w:rPr>
          </w:pPr>
          <w:hyperlink w:anchor="_Toc370902557" w:history="1">
            <w:r w:rsidRPr="006058FF">
              <w:rPr>
                <w:rStyle w:val="Hyperlink"/>
                <w:noProof/>
              </w:rPr>
              <w:t>7.</w:t>
            </w:r>
            <w:r>
              <w:rPr>
                <w:rFonts w:asciiTheme="minorHAnsi" w:eastAsiaTheme="minorEastAsia" w:hAnsiTheme="minorHAnsi" w:cstheme="minorBidi"/>
                <w:b w:val="0"/>
                <w:noProof/>
                <w:sz w:val="22"/>
                <w:lang w:eastAsia="en-AU"/>
              </w:rPr>
              <w:tab/>
            </w:r>
            <w:r w:rsidRPr="006058FF">
              <w:rPr>
                <w:rStyle w:val="Hyperlink"/>
                <w:noProof/>
              </w:rPr>
              <w:t>Clinical safety</w:t>
            </w:r>
            <w:r>
              <w:rPr>
                <w:noProof/>
                <w:webHidden/>
              </w:rPr>
              <w:tab/>
            </w:r>
            <w:r>
              <w:rPr>
                <w:noProof/>
                <w:webHidden/>
              </w:rPr>
              <w:fldChar w:fldCharType="begin"/>
            </w:r>
            <w:r>
              <w:rPr>
                <w:noProof/>
                <w:webHidden/>
              </w:rPr>
              <w:instrText xml:space="preserve"> PAGEREF _Toc370902557 \h </w:instrText>
            </w:r>
            <w:r>
              <w:rPr>
                <w:noProof/>
                <w:webHidden/>
              </w:rPr>
            </w:r>
            <w:r>
              <w:rPr>
                <w:noProof/>
                <w:webHidden/>
              </w:rPr>
              <w:fldChar w:fldCharType="separate"/>
            </w:r>
            <w:r>
              <w:rPr>
                <w:noProof/>
                <w:webHidden/>
              </w:rPr>
              <w:t>34</w:t>
            </w:r>
            <w:r>
              <w:rPr>
                <w:noProof/>
                <w:webHidden/>
              </w:rPr>
              <w:fldChar w:fldCharType="end"/>
            </w:r>
          </w:hyperlink>
        </w:p>
        <w:p w:rsidR="00F62481" w:rsidRDefault="00F62481">
          <w:pPr>
            <w:pStyle w:val="TOC3"/>
            <w:tabs>
              <w:tab w:val="left" w:pos="1760"/>
            </w:tabs>
            <w:rPr>
              <w:rFonts w:asciiTheme="minorHAnsi" w:eastAsiaTheme="minorEastAsia" w:hAnsiTheme="minorHAnsi" w:cstheme="minorBidi"/>
              <w:noProof/>
              <w:lang w:eastAsia="en-AU"/>
            </w:rPr>
          </w:pPr>
          <w:hyperlink w:anchor="_Toc370902558" w:history="1">
            <w:r w:rsidRPr="006058FF">
              <w:rPr>
                <w:rStyle w:val="Hyperlink"/>
                <w:noProof/>
              </w:rPr>
              <w:t>7.1.</w:t>
            </w:r>
            <w:r>
              <w:rPr>
                <w:rFonts w:asciiTheme="minorHAnsi" w:eastAsiaTheme="minorEastAsia" w:hAnsiTheme="minorHAnsi" w:cstheme="minorBidi"/>
                <w:noProof/>
                <w:lang w:eastAsia="en-AU"/>
              </w:rPr>
              <w:tab/>
            </w:r>
            <w:r w:rsidRPr="006058FF">
              <w:rPr>
                <w:rStyle w:val="Hyperlink"/>
                <w:noProof/>
              </w:rPr>
              <w:t>Studies providing evaluable safety data</w:t>
            </w:r>
            <w:r>
              <w:rPr>
                <w:noProof/>
                <w:webHidden/>
              </w:rPr>
              <w:tab/>
            </w:r>
            <w:r>
              <w:rPr>
                <w:noProof/>
                <w:webHidden/>
              </w:rPr>
              <w:fldChar w:fldCharType="begin"/>
            </w:r>
            <w:r>
              <w:rPr>
                <w:noProof/>
                <w:webHidden/>
              </w:rPr>
              <w:instrText xml:space="preserve"> PAGEREF _Toc370902558 \h </w:instrText>
            </w:r>
            <w:r>
              <w:rPr>
                <w:noProof/>
                <w:webHidden/>
              </w:rPr>
            </w:r>
            <w:r>
              <w:rPr>
                <w:noProof/>
                <w:webHidden/>
              </w:rPr>
              <w:fldChar w:fldCharType="separate"/>
            </w:r>
            <w:r>
              <w:rPr>
                <w:noProof/>
                <w:webHidden/>
              </w:rPr>
              <w:t>34</w:t>
            </w:r>
            <w:r>
              <w:rPr>
                <w:noProof/>
                <w:webHidden/>
              </w:rPr>
              <w:fldChar w:fldCharType="end"/>
            </w:r>
          </w:hyperlink>
        </w:p>
        <w:p w:rsidR="00F62481" w:rsidRDefault="00F62481">
          <w:pPr>
            <w:pStyle w:val="TOC3"/>
            <w:tabs>
              <w:tab w:val="left" w:pos="1760"/>
            </w:tabs>
            <w:rPr>
              <w:rFonts w:asciiTheme="minorHAnsi" w:eastAsiaTheme="minorEastAsia" w:hAnsiTheme="minorHAnsi" w:cstheme="minorBidi"/>
              <w:noProof/>
              <w:lang w:eastAsia="en-AU"/>
            </w:rPr>
          </w:pPr>
          <w:hyperlink w:anchor="_Toc370902559" w:history="1">
            <w:r w:rsidRPr="006058FF">
              <w:rPr>
                <w:rStyle w:val="Hyperlink"/>
                <w:noProof/>
              </w:rPr>
              <w:t>7.2.</w:t>
            </w:r>
            <w:r>
              <w:rPr>
                <w:rFonts w:asciiTheme="minorHAnsi" w:eastAsiaTheme="minorEastAsia" w:hAnsiTheme="minorHAnsi" w:cstheme="minorBidi"/>
                <w:noProof/>
                <w:lang w:eastAsia="en-AU"/>
              </w:rPr>
              <w:tab/>
            </w:r>
            <w:r w:rsidRPr="006058FF">
              <w:rPr>
                <w:rStyle w:val="Hyperlink"/>
                <w:noProof/>
              </w:rPr>
              <w:t>Patient exposure</w:t>
            </w:r>
            <w:r>
              <w:rPr>
                <w:noProof/>
                <w:webHidden/>
              </w:rPr>
              <w:tab/>
            </w:r>
            <w:r>
              <w:rPr>
                <w:noProof/>
                <w:webHidden/>
              </w:rPr>
              <w:fldChar w:fldCharType="begin"/>
            </w:r>
            <w:r>
              <w:rPr>
                <w:noProof/>
                <w:webHidden/>
              </w:rPr>
              <w:instrText xml:space="preserve"> PAGEREF _Toc370902559 \h </w:instrText>
            </w:r>
            <w:r>
              <w:rPr>
                <w:noProof/>
                <w:webHidden/>
              </w:rPr>
            </w:r>
            <w:r>
              <w:rPr>
                <w:noProof/>
                <w:webHidden/>
              </w:rPr>
              <w:fldChar w:fldCharType="separate"/>
            </w:r>
            <w:r>
              <w:rPr>
                <w:noProof/>
                <w:webHidden/>
              </w:rPr>
              <w:t>37</w:t>
            </w:r>
            <w:r>
              <w:rPr>
                <w:noProof/>
                <w:webHidden/>
              </w:rPr>
              <w:fldChar w:fldCharType="end"/>
            </w:r>
          </w:hyperlink>
        </w:p>
        <w:p w:rsidR="00F62481" w:rsidRDefault="00F62481">
          <w:pPr>
            <w:pStyle w:val="TOC3"/>
            <w:tabs>
              <w:tab w:val="left" w:pos="1760"/>
            </w:tabs>
            <w:rPr>
              <w:rFonts w:asciiTheme="minorHAnsi" w:eastAsiaTheme="minorEastAsia" w:hAnsiTheme="minorHAnsi" w:cstheme="minorBidi"/>
              <w:noProof/>
              <w:lang w:eastAsia="en-AU"/>
            </w:rPr>
          </w:pPr>
          <w:hyperlink w:anchor="_Toc370902560" w:history="1">
            <w:r w:rsidRPr="006058FF">
              <w:rPr>
                <w:rStyle w:val="Hyperlink"/>
                <w:rFonts w:ascii="Arial" w:eastAsia="Times New Roman" w:hAnsi="Arial"/>
                <w:b/>
                <w:bCs/>
                <w:noProof/>
                <w:lang w:eastAsia="ja-JP"/>
              </w:rPr>
              <w:t>7.3.</w:t>
            </w:r>
            <w:r>
              <w:rPr>
                <w:rFonts w:asciiTheme="minorHAnsi" w:eastAsiaTheme="minorEastAsia" w:hAnsiTheme="minorHAnsi" w:cstheme="minorBidi"/>
                <w:noProof/>
                <w:lang w:eastAsia="en-AU"/>
              </w:rPr>
              <w:tab/>
            </w:r>
            <w:r w:rsidRPr="006058FF">
              <w:rPr>
                <w:rStyle w:val="Hyperlink"/>
                <w:rFonts w:ascii="Arial" w:eastAsia="Times New Roman" w:hAnsi="Arial"/>
                <w:b/>
                <w:bCs/>
                <w:noProof/>
                <w:lang w:eastAsia="ja-JP"/>
              </w:rPr>
              <w:t>Adverse events</w:t>
            </w:r>
            <w:r>
              <w:rPr>
                <w:noProof/>
                <w:webHidden/>
              </w:rPr>
              <w:tab/>
            </w:r>
            <w:r>
              <w:rPr>
                <w:noProof/>
                <w:webHidden/>
              </w:rPr>
              <w:fldChar w:fldCharType="begin"/>
            </w:r>
            <w:r>
              <w:rPr>
                <w:noProof/>
                <w:webHidden/>
              </w:rPr>
              <w:instrText xml:space="preserve"> PAGEREF _Toc370902560 \h </w:instrText>
            </w:r>
            <w:r>
              <w:rPr>
                <w:noProof/>
                <w:webHidden/>
              </w:rPr>
            </w:r>
            <w:r>
              <w:rPr>
                <w:noProof/>
                <w:webHidden/>
              </w:rPr>
              <w:fldChar w:fldCharType="separate"/>
            </w:r>
            <w:r>
              <w:rPr>
                <w:noProof/>
                <w:webHidden/>
              </w:rPr>
              <w:t>38</w:t>
            </w:r>
            <w:r>
              <w:rPr>
                <w:noProof/>
                <w:webHidden/>
              </w:rPr>
              <w:fldChar w:fldCharType="end"/>
            </w:r>
          </w:hyperlink>
        </w:p>
        <w:p w:rsidR="00F62481" w:rsidRDefault="00F62481">
          <w:pPr>
            <w:pStyle w:val="TOC3"/>
            <w:tabs>
              <w:tab w:val="left" w:pos="1760"/>
            </w:tabs>
            <w:rPr>
              <w:rFonts w:asciiTheme="minorHAnsi" w:eastAsiaTheme="minorEastAsia" w:hAnsiTheme="minorHAnsi" w:cstheme="minorBidi"/>
              <w:noProof/>
              <w:lang w:eastAsia="en-AU"/>
            </w:rPr>
          </w:pPr>
          <w:hyperlink w:anchor="_Toc370902561" w:history="1">
            <w:r w:rsidRPr="006058FF">
              <w:rPr>
                <w:rStyle w:val="Hyperlink"/>
                <w:noProof/>
              </w:rPr>
              <w:t>7.4.</w:t>
            </w:r>
            <w:r>
              <w:rPr>
                <w:rFonts w:asciiTheme="minorHAnsi" w:eastAsiaTheme="minorEastAsia" w:hAnsiTheme="minorHAnsi" w:cstheme="minorBidi"/>
                <w:noProof/>
                <w:lang w:eastAsia="en-AU"/>
              </w:rPr>
              <w:tab/>
            </w:r>
            <w:r w:rsidRPr="006058FF">
              <w:rPr>
                <w:rStyle w:val="Hyperlink"/>
                <w:noProof/>
              </w:rPr>
              <w:t>Laboratory tests</w:t>
            </w:r>
            <w:r>
              <w:rPr>
                <w:noProof/>
                <w:webHidden/>
              </w:rPr>
              <w:tab/>
            </w:r>
            <w:r>
              <w:rPr>
                <w:noProof/>
                <w:webHidden/>
              </w:rPr>
              <w:fldChar w:fldCharType="begin"/>
            </w:r>
            <w:r>
              <w:rPr>
                <w:noProof/>
                <w:webHidden/>
              </w:rPr>
              <w:instrText xml:space="preserve"> PAGEREF _Toc370902561 \h </w:instrText>
            </w:r>
            <w:r>
              <w:rPr>
                <w:noProof/>
                <w:webHidden/>
              </w:rPr>
            </w:r>
            <w:r>
              <w:rPr>
                <w:noProof/>
                <w:webHidden/>
              </w:rPr>
              <w:fldChar w:fldCharType="separate"/>
            </w:r>
            <w:r>
              <w:rPr>
                <w:noProof/>
                <w:webHidden/>
              </w:rPr>
              <w:t>45</w:t>
            </w:r>
            <w:r>
              <w:rPr>
                <w:noProof/>
                <w:webHidden/>
              </w:rPr>
              <w:fldChar w:fldCharType="end"/>
            </w:r>
          </w:hyperlink>
        </w:p>
        <w:p w:rsidR="00F62481" w:rsidRDefault="00F62481">
          <w:pPr>
            <w:pStyle w:val="TOC3"/>
            <w:tabs>
              <w:tab w:val="left" w:pos="1760"/>
            </w:tabs>
            <w:rPr>
              <w:rFonts w:asciiTheme="minorHAnsi" w:eastAsiaTheme="minorEastAsia" w:hAnsiTheme="minorHAnsi" w:cstheme="minorBidi"/>
              <w:noProof/>
              <w:lang w:eastAsia="en-AU"/>
            </w:rPr>
          </w:pPr>
          <w:hyperlink w:anchor="_Toc370902562" w:history="1">
            <w:r w:rsidRPr="006058FF">
              <w:rPr>
                <w:rStyle w:val="Hyperlink"/>
                <w:noProof/>
              </w:rPr>
              <w:t>7.5.</w:t>
            </w:r>
            <w:r>
              <w:rPr>
                <w:rFonts w:asciiTheme="minorHAnsi" w:eastAsiaTheme="minorEastAsia" w:hAnsiTheme="minorHAnsi" w:cstheme="minorBidi"/>
                <w:noProof/>
                <w:lang w:eastAsia="en-AU"/>
              </w:rPr>
              <w:tab/>
            </w:r>
            <w:r w:rsidRPr="006058FF">
              <w:rPr>
                <w:rStyle w:val="Hyperlink"/>
                <w:noProof/>
              </w:rPr>
              <w:t>Post-marketing experience</w:t>
            </w:r>
            <w:r>
              <w:rPr>
                <w:noProof/>
                <w:webHidden/>
              </w:rPr>
              <w:tab/>
            </w:r>
            <w:r>
              <w:rPr>
                <w:noProof/>
                <w:webHidden/>
              </w:rPr>
              <w:fldChar w:fldCharType="begin"/>
            </w:r>
            <w:r>
              <w:rPr>
                <w:noProof/>
                <w:webHidden/>
              </w:rPr>
              <w:instrText xml:space="preserve"> PAGEREF _Toc370902562 \h </w:instrText>
            </w:r>
            <w:r>
              <w:rPr>
                <w:noProof/>
                <w:webHidden/>
              </w:rPr>
            </w:r>
            <w:r>
              <w:rPr>
                <w:noProof/>
                <w:webHidden/>
              </w:rPr>
              <w:fldChar w:fldCharType="separate"/>
            </w:r>
            <w:r>
              <w:rPr>
                <w:noProof/>
                <w:webHidden/>
              </w:rPr>
              <w:t>46</w:t>
            </w:r>
            <w:r>
              <w:rPr>
                <w:noProof/>
                <w:webHidden/>
              </w:rPr>
              <w:fldChar w:fldCharType="end"/>
            </w:r>
          </w:hyperlink>
        </w:p>
        <w:p w:rsidR="00F62481" w:rsidRDefault="00F62481">
          <w:pPr>
            <w:pStyle w:val="TOC3"/>
            <w:tabs>
              <w:tab w:val="left" w:pos="1760"/>
            </w:tabs>
            <w:rPr>
              <w:rFonts w:asciiTheme="minorHAnsi" w:eastAsiaTheme="minorEastAsia" w:hAnsiTheme="minorHAnsi" w:cstheme="minorBidi"/>
              <w:noProof/>
              <w:lang w:eastAsia="en-AU"/>
            </w:rPr>
          </w:pPr>
          <w:hyperlink w:anchor="_Toc370902563" w:history="1">
            <w:r w:rsidRPr="006058FF">
              <w:rPr>
                <w:rStyle w:val="Hyperlink"/>
                <w:noProof/>
              </w:rPr>
              <w:t>7.6.</w:t>
            </w:r>
            <w:r>
              <w:rPr>
                <w:rFonts w:asciiTheme="minorHAnsi" w:eastAsiaTheme="minorEastAsia" w:hAnsiTheme="minorHAnsi" w:cstheme="minorBidi"/>
                <w:noProof/>
                <w:lang w:eastAsia="en-AU"/>
              </w:rPr>
              <w:tab/>
            </w:r>
            <w:r w:rsidRPr="006058FF">
              <w:rPr>
                <w:rStyle w:val="Hyperlink"/>
                <w:noProof/>
              </w:rPr>
              <w:t>Evaluator’s overall conclusions on clinical safety</w:t>
            </w:r>
            <w:r>
              <w:rPr>
                <w:noProof/>
                <w:webHidden/>
              </w:rPr>
              <w:tab/>
            </w:r>
            <w:r>
              <w:rPr>
                <w:noProof/>
                <w:webHidden/>
              </w:rPr>
              <w:fldChar w:fldCharType="begin"/>
            </w:r>
            <w:r>
              <w:rPr>
                <w:noProof/>
                <w:webHidden/>
              </w:rPr>
              <w:instrText xml:space="preserve"> PAGEREF _Toc370902563 \h </w:instrText>
            </w:r>
            <w:r>
              <w:rPr>
                <w:noProof/>
                <w:webHidden/>
              </w:rPr>
            </w:r>
            <w:r>
              <w:rPr>
                <w:noProof/>
                <w:webHidden/>
              </w:rPr>
              <w:fldChar w:fldCharType="separate"/>
            </w:r>
            <w:r>
              <w:rPr>
                <w:noProof/>
                <w:webHidden/>
              </w:rPr>
              <w:t>46</w:t>
            </w:r>
            <w:r>
              <w:rPr>
                <w:noProof/>
                <w:webHidden/>
              </w:rPr>
              <w:fldChar w:fldCharType="end"/>
            </w:r>
          </w:hyperlink>
        </w:p>
        <w:p w:rsidR="00F62481" w:rsidRDefault="00F62481">
          <w:pPr>
            <w:pStyle w:val="TOC2"/>
            <w:tabs>
              <w:tab w:val="left" w:pos="1100"/>
            </w:tabs>
            <w:rPr>
              <w:rFonts w:asciiTheme="minorHAnsi" w:eastAsiaTheme="minorEastAsia" w:hAnsiTheme="minorHAnsi" w:cstheme="minorBidi"/>
              <w:b w:val="0"/>
              <w:noProof/>
              <w:sz w:val="22"/>
              <w:lang w:eastAsia="en-AU"/>
            </w:rPr>
          </w:pPr>
          <w:hyperlink w:anchor="_Toc370902564" w:history="1">
            <w:r w:rsidRPr="006058FF">
              <w:rPr>
                <w:rStyle w:val="Hyperlink"/>
                <w:noProof/>
              </w:rPr>
              <w:t>8.</w:t>
            </w:r>
            <w:r>
              <w:rPr>
                <w:rFonts w:asciiTheme="minorHAnsi" w:eastAsiaTheme="minorEastAsia" w:hAnsiTheme="minorHAnsi" w:cstheme="minorBidi"/>
                <w:b w:val="0"/>
                <w:noProof/>
                <w:sz w:val="22"/>
                <w:lang w:eastAsia="en-AU"/>
              </w:rPr>
              <w:tab/>
            </w:r>
            <w:r w:rsidRPr="006058FF">
              <w:rPr>
                <w:rStyle w:val="Hyperlink"/>
                <w:noProof/>
              </w:rPr>
              <w:t>First round benefit-risk assessment</w:t>
            </w:r>
            <w:r>
              <w:rPr>
                <w:noProof/>
                <w:webHidden/>
              </w:rPr>
              <w:tab/>
            </w:r>
            <w:r>
              <w:rPr>
                <w:noProof/>
                <w:webHidden/>
              </w:rPr>
              <w:fldChar w:fldCharType="begin"/>
            </w:r>
            <w:r>
              <w:rPr>
                <w:noProof/>
                <w:webHidden/>
              </w:rPr>
              <w:instrText xml:space="preserve"> PAGEREF _Toc370902564 \h </w:instrText>
            </w:r>
            <w:r>
              <w:rPr>
                <w:noProof/>
                <w:webHidden/>
              </w:rPr>
            </w:r>
            <w:r>
              <w:rPr>
                <w:noProof/>
                <w:webHidden/>
              </w:rPr>
              <w:fldChar w:fldCharType="separate"/>
            </w:r>
            <w:r>
              <w:rPr>
                <w:noProof/>
                <w:webHidden/>
              </w:rPr>
              <w:t>47</w:t>
            </w:r>
            <w:r>
              <w:rPr>
                <w:noProof/>
                <w:webHidden/>
              </w:rPr>
              <w:fldChar w:fldCharType="end"/>
            </w:r>
          </w:hyperlink>
        </w:p>
        <w:p w:rsidR="00F62481" w:rsidRDefault="00F62481">
          <w:pPr>
            <w:pStyle w:val="TOC3"/>
            <w:tabs>
              <w:tab w:val="left" w:pos="1760"/>
            </w:tabs>
            <w:rPr>
              <w:rFonts w:asciiTheme="minorHAnsi" w:eastAsiaTheme="minorEastAsia" w:hAnsiTheme="minorHAnsi" w:cstheme="minorBidi"/>
              <w:noProof/>
              <w:lang w:eastAsia="en-AU"/>
            </w:rPr>
          </w:pPr>
          <w:hyperlink w:anchor="_Toc370902565" w:history="1">
            <w:r w:rsidRPr="006058FF">
              <w:rPr>
                <w:rStyle w:val="Hyperlink"/>
                <w:noProof/>
              </w:rPr>
              <w:t>8.1.</w:t>
            </w:r>
            <w:r>
              <w:rPr>
                <w:rFonts w:asciiTheme="minorHAnsi" w:eastAsiaTheme="minorEastAsia" w:hAnsiTheme="minorHAnsi" w:cstheme="minorBidi"/>
                <w:noProof/>
                <w:lang w:eastAsia="en-AU"/>
              </w:rPr>
              <w:tab/>
            </w:r>
            <w:r w:rsidRPr="006058FF">
              <w:rPr>
                <w:rStyle w:val="Hyperlink"/>
                <w:noProof/>
              </w:rPr>
              <w:t>First round assessment of benefits</w:t>
            </w:r>
            <w:r>
              <w:rPr>
                <w:noProof/>
                <w:webHidden/>
              </w:rPr>
              <w:tab/>
            </w:r>
            <w:r>
              <w:rPr>
                <w:noProof/>
                <w:webHidden/>
              </w:rPr>
              <w:fldChar w:fldCharType="begin"/>
            </w:r>
            <w:r>
              <w:rPr>
                <w:noProof/>
                <w:webHidden/>
              </w:rPr>
              <w:instrText xml:space="preserve"> PAGEREF _Toc370902565 \h </w:instrText>
            </w:r>
            <w:r>
              <w:rPr>
                <w:noProof/>
                <w:webHidden/>
              </w:rPr>
            </w:r>
            <w:r>
              <w:rPr>
                <w:noProof/>
                <w:webHidden/>
              </w:rPr>
              <w:fldChar w:fldCharType="separate"/>
            </w:r>
            <w:r>
              <w:rPr>
                <w:noProof/>
                <w:webHidden/>
              </w:rPr>
              <w:t>47</w:t>
            </w:r>
            <w:r>
              <w:rPr>
                <w:noProof/>
                <w:webHidden/>
              </w:rPr>
              <w:fldChar w:fldCharType="end"/>
            </w:r>
          </w:hyperlink>
        </w:p>
        <w:p w:rsidR="00F62481" w:rsidRDefault="00F62481">
          <w:pPr>
            <w:pStyle w:val="TOC3"/>
            <w:tabs>
              <w:tab w:val="left" w:pos="1760"/>
            </w:tabs>
            <w:rPr>
              <w:rFonts w:asciiTheme="minorHAnsi" w:eastAsiaTheme="minorEastAsia" w:hAnsiTheme="minorHAnsi" w:cstheme="minorBidi"/>
              <w:noProof/>
              <w:lang w:eastAsia="en-AU"/>
            </w:rPr>
          </w:pPr>
          <w:hyperlink w:anchor="_Toc370902566" w:history="1">
            <w:r w:rsidRPr="006058FF">
              <w:rPr>
                <w:rStyle w:val="Hyperlink"/>
                <w:noProof/>
              </w:rPr>
              <w:t>8.2.</w:t>
            </w:r>
            <w:r>
              <w:rPr>
                <w:rFonts w:asciiTheme="minorHAnsi" w:eastAsiaTheme="minorEastAsia" w:hAnsiTheme="minorHAnsi" w:cstheme="minorBidi"/>
                <w:noProof/>
                <w:lang w:eastAsia="en-AU"/>
              </w:rPr>
              <w:tab/>
            </w:r>
            <w:r w:rsidRPr="006058FF">
              <w:rPr>
                <w:rStyle w:val="Hyperlink"/>
                <w:noProof/>
              </w:rPr>
              <w:t>First round assessment of risks</w:t>
            </w:r>
            <w:r>
              <w:rPr>
                <w:noProof/>
                <w:webHidden/>
              </w:rPr>
              <w:tab/>
            </w:r>
            <w:r>
              <w:rPr>
                <w:noProof/>
                <w:webHidden/>
              </w:rPr>
              <w:fldChar w:fldCharType="begin"/>
            </w:r>
            <w:r>
              <w:rPr>
                <w:noProof/>
                <w:webHidden/>
              </w:rPr>
              <w:instrText xml:space="preserve"> PAGEREF _Toc370902566 \h </w:instrText>
            </w:r>
            <w:r>
              <w:rPr>
                <w:noProof/>
                <w:webHidden/>
              </w:rPr>
            </w:r>
            <w:r>
              <w:rPr>
                <w:noProof/>
                <w:webHidden/>
              </w:rPr>
              <w:fldChar w:fldCharType="separate"/>
            </w:r>
            <w:r>
              <w:rPr>
                <w:noProof/>
                <w:webHidden/>
              </w:rPr>
              <w:t>47</w:t>
            </w:r>
            <w:r>
              <w:rPr>
                <w:noProof/>
                <w:webHidden/>
              </w:rPr>
              <w:fldChar w:fldCharType="end"/>
            </w:r>
          </w:hyperlink>
        </w:p>
        <w:p w:rsidR="00F62481" w:rsidRDefault="00F62481">
          <w:pPr>
            <w:pStyle w:val="TOC3"/>
            <w:tabs>
              <w:tab w:val="left" w:pos="1760"/>
            </w:tabs>
            <w:rPr>
              <w:rFonts w:asciiTheme="minorHAnsi" w:eastAsiaTheme="minorEastAsia" w:hAnsiTheme="minorHAnsi" w:cstheme="minorBidi"/>
              <w:noProof/>
              <w:lang w:eastAsia="en-AU"/>
            </w:rPr>
          </w:pPr>
          <w:hyperlink w:anchor="_Toc370902567" w:history="1">
            <w:r w:rsidRPr="006058FF">
              <w:rPr>
                <w:rStyle w:val="Hyperlink"/>
                <w:noProof/>
              </w:rPr>
              <w:t>8.3.</w:t>
            </w:r>
            <w:r>
              <w:rPr>
                <w:rFonts w:asciiTheme="minorHAnsi" w:eastAsiaTheme="minorEastAsia" w:hAnsiTheme="minorHAnsi" w:cstheme="minorBidi"/>
                <w:noProof/>
                <w:lang w:eastAsia="en-AU"/>
              </w:rPr>
              <w:tab/>
            </w:r>
            <w:r w:rsidRPr="006058FF">
              <w:rPr>
                <w:rStyle w:val="Hyperlink"/>
                <w:noProof/>
              </w:rPr>
              <w:t>First round assessment of benefit-risk balance</w:t>
            </w:r>
            <w:r>
              <w:rPr>
                <w:noProof/>
                <w:webHidden/>
              </w:rPr>
              <w:tab/>
            </w:r>
            <w:r>
              <w:rPr>
                <w:noProof/>
                <w:webHidden/>
              </w:rPr>
              <w:fldChar w:fldCharType="begin"/>
            </w:r>
            <w:r>
              <w:rPr>
                <w:noProof/>
                <w:webHidden/>
              </w:rPr>
              <w:instrText xml:space="preserve"> PAGEREF _Toc370902567 \h </w:instrText>
            </w:r>
            <w:r>
              <w:rPr>
                <w:noProof/>
                <w:webHidden/>
              </w:rPr>
            </w:r>
            <w:r>
              <w:rPr>
                <w:noProof/>
                <w:webHidden/>
              </w:rPr>
              <w:fldChar w:fldCharType="separate"/>
            </w:r>
            <w:r>
              <w:rPr>
                <w:noProof/>
                <w:webHidden/>
              </w:rPr>
              <w:t>48</w:t>
            </w:r>
            <w:r>
              <w:rPr>
                <w:noProof/>
                <w:webHidden/>
              </w:rPr>
              <w:fldChar w:fldCharType="end"/>
            </w:r>
          </w:hyperlink>
        </w:p>
        <w:p w:rsidR="00F62481" w:rsidRDefault="00F62481">
          <w:pPr>
            <w:pStyle w:val="TOC2"/>
            <w:tabs>
              <w:tab w:val="left" w:pos="1100"/>
            </w:tabs>
            <w:rPr>
              <w:rFonts w:asciiTheme="minorHAnsi" w:eastAsiaTheme="minorEastAsia" w:hAnsiTheme="minorHAnsi" w:cstheme="minorBidi"/>
              <w:b w:val="0"/>
              <w:noProof/>
              <w:sz w:val="22"/>
              <w:lang w:eastAsia="en-AU"/>
            </w:rPr>
          </w:pPr>
          <w:hyperlink w:anchor="_Toc370902568" w:history="1">
            <w:r w:rsidRPr="006058FF">
              <w:rPr>
                <w:rStyle w:val="Hyperlink"/>
                <w:noProof/>
              </w:rPr>
              <w:t>9.</w:t>
            </w:r>
            <w:r>
              <w:rPr>
                <w:rFonts w:asciiTheme="minorHAnsi" w:eastAsiaTheme="minorEastAsia" w:hAnsiTheme="minorHAnsi" w:cstheme="minorBidi"/>
                <w:b w:val="0"/>
                <w:noProof/>
                <w:sz w:val="22"/>
                <w:lang w:eastAsia="en-AU"/>
              </w:rPr>
              <w:tab/>
            </w:r>
            <w:r w:rsidRPr="006058FF">
              <w:rPr>
                <w:rStyle w:val="Hyperlink"/>
                <w:noProof/>
              </w:rPr>
              <w:t>First round recommendation regarding authorisation</w:t>
            </w:r>
            <w:r>
              <w:rPr>
                <w:noProof/>
                <w:webHidden/>
              </w:rPr>
              <w:tab/>
            </w:r>
            <w:r>
              <w:rPr>
                <w:noProof/>
                <w:webHidden/>
              </w:rPr>
              <w:fldChar w:fldCharType="begin"/>
            </w:r>
            <w:r>
              <w:rPr>
                <w:noProof/>
                <w:webHidden/>
              </w:rPr>
              <w:instrText xml:space="preserve"> PAGEREF _Toc370902568 \h </w:instrText>
            </w:r>
            <w:r>
              <w:rPr>
                <w:noProof/>
                <w:webHidden/>
              </w:rPr>
            </w:r>
            <w:r>
              <w:rPr>
                <w:noProof/>
                <w:webHidden/>
              </w:rPr>
              <w:fldChar w:fldCharType="separate"/>
            </w:r>
            <w:r>
              <w:rPr>
                <w:noProof/>
                <w:webHidden/>
              </w:rPr>
              <w:t>48</w:t>
            </w:r>
            <w:r>
              <w:rPr>
                <w:noProof/>
                <w:webHidden/>
              </w:rPr>
              <w:fldChar w:fldCharType="end"/>
            </w:r>
          </w:hyperlink>
        </w:p>
        <w:p w:rsidR="00F62481" w:rsidRDefault="00F62481">
          <w:pPr>
            <w:pStyle w:val="TOC2"/>
            <w:tabs>
              <w:tab w:val="left" w:pos="1320"/>
            </w:tabs>
            <w:rPr>
              <w:rFonts w:asciiTheme="minorHAnsi" w:eastAsiaTheme="minorEastAsia" w:hAnsiTheme="minorHAnsi" w:cstheme="minorBidi"/>
              <w:b w:val="0"/>
              <w:noProof/>
              <w:sz w:val="22"/>
              <w:lang w:eastAsia="en-AU"/>
            </w:rPr>
          </w:pPr>
          <w:hyperlink w:anchor="_Toc370902569" w:history="1">
            <w:r w:rsidRPr="006058FF">
              <w:rPr>
                <w:rStyle w:val="Hyperlink"/>
                <w:noProof/>
              </w:rPr>
              <w:t>10.</w:t>
            </w:r>
            <w:r>
              <w:rPr>
                <w:rFonts w:asciiTheme="minorHAnsi" w:eastAsiaTheme="minorEastAsia" w:hAnsiTheme="minorHAnsi" w:cstheme="minorBidi"/>
                <w:b w:val="0"/>
                <w:noProof/>
                <w:sz w:val="22"/>
                <w:lang w:eastAsia="en-AU"/>
              </w:rPr>
              <w:tab/>
            </w:r>
            <w:r w:rsidRPr="006058FF">
              <w:rPr>
                <w:rStyle w:val="Hyperlink"/>
                <w:noProof/>
              </w:rPr>
              <w:t>Clinical questions</w:t>
            </w:r>
            <w:r>
              <w:rPr>
                <w:noProof/>
                <w:webHidden/>
              </w:rPr>
              <w:tab/>
            </w:r>
            <w:r>
              <w:rPr>
                <w:noProof/>
                <w:webHidden/>
              </w:rPr>
              <w:fldChar w:fldCharType="begin"/>
            </w:r>
            <w:r>
              <w:rPr>
                <w:noProof/>
                <w:webHidden/>
              </w:rPr>
              <w:instrText xml:space="preserve"> PAGEREF _Toc370902569 \h </w:instrText>
            </w:r>
            <w:r>
              <w:rPr>
                <w:noProof/>
                <w:webHidden/>
              </w:rPr>
            </w:r>
            <w:r>
              <w:rPr>
                <w:noProof/>
                <w:webHidden/>
              </w:rPr>
              <w:fldChar w:fldCharType="separate"/>
            </w:r>
            <w:r>
              <w:rPr>
                <w:noProof/>
                <w:webHidden/>
              </w:rPr>
              <w:t>49</w:t>
            </w:r>
            <w:r>
              <w:rPr>
                <w:noProof/>
                <w:webHidden/>
              </w:rPr>
              <w:fldChar w:fldCharType="end"/>
            </w:r>
          </w:hyperlink>
        </w:p>
        <w:p w:rsidR="00F62481" w:rsidRDefault="00F62481">
          <w:pPr>
            <w:pStyle w:val="TOC2"/>
            <w:tabs>
              <w:tab w:val="left" w:pos="1320"/>
            </w:tabs>
            <w:rPr>
              <w:rFonts w:asciiTheme="minorHAnsi" w:eastAsiaTheme="minorEastAsia" w:hAnsiTheme="minorHAnsi" w:cstheme="minorBidi"/>
              <w:b w:val="0"/>
              <w:noProof/>
              <w:sz w:val="22"/>
              <w:lang w:eastAsia="en-AU"/>
            </w:rPr>
          </w:pPr>
          <w:hyperlink w:anchor="_Toc370902570" w:history="1">
            <w:r w:rsidRPr="006058FF">
              <w:rPr>
                <w:rStyle w:val="Hyperlink"/>
                <w:noProof/>
              </w:rPr>
              <w:t>11.</w:t>
            </w:r>
            <w:r>
              <w:rPr>
                <w:rFonts w:asciiTheme="minorHAnsi" w:eastAsiaTheme="minorEastAsia" w:hAnsiTheme="minorHAnsi" w:cstheme="minorBidi"/>
                <w:b w:val="0"/>
                <w:noProof/>
                <w:sz w:val="22"/>
                <w:lang w:eastAsia="en-AU"/>
              </w:rPr>
              <w:tab/>
            </w:r>
            <w:r w:rsidRPr="006058FF">
              <w:rPr>
                <w:rStyle w:val="Hyperlink"/>
                <w:noProof/>
              </w:rPr>
              <w:t>References</w:t>
            </w:r>
            <w:r>
              <w:rPr>
                <w:noProof/>
                <w:webHidden/>
              </w:rPr>
              <w:tab/>
            </w:r>
            <w:r>
              <w:rPr>
                <w:noProof/>
                <w:webHidden/>
              </w:rPr>
              <w:fldChar w:fldCharType="begin"/>
            </w:r>
            <w:r>
              <w:rPr>
                <w:noProof/>
                <w:webHidden/>
              </w:rPr>
              <w:instrText xml:space="preserve"> PAGEREF _Toc370902570 \h </w:instrText>
            </w:r>
            <w:r>
              <w:rPr>
                <w:noProof/>
                <w:webHidden/>
              </w:rPr>
            </w:r>
            <w:r>
              <w:rPr>
                <w:noProof/>
                <w:webHidden/>
              </w:rPr>
              <w:fldChar w:fldCharType="separate"/>
            </w:r>
            <w:r>
              <w:rPr>
                <w:noProof/>
                <w:webHidden/>
              </w:rPr>
              <w:t>49</w:t>
            </w:r>
            <w:r>
              <w:rPr>
                <w:noProof/>
                <w:webHidden/>
              </w:rPr>
              <w:fldChar w:fldCharType="end"/>
            </w:r>
          </w:hyperlink>
        </w:p>
        <w:p w:rsidR="003A7F6C" w:rsidRPr="00B811C6" w:rsidRDefault="000B67D1" w:rsidP="00B811C6">
          <w:pPr>
            <w:pStyle w:val="TOC2"/>
          </w:pPr>
          <w:r>
            <w:fldChar w:fldCharType="end"/>
          </w:r>
        </w:p>
      </w:sdtContent>
    </w:sdt>
    <w:bookmarkStart w:id="2" w:name="_Toc314842482" w:displacedByCustomXml="prev"/>
    <w:p w:rsidR="00E91D7F" w:rsidRDefault="00E91D7F" w:rsidP="00E91D7F">
      <w:pPr>
        <w:rPr>
          <w:lang w:eastAsia="ja-JP"/>
        </w:rPr>
      </w:pPr>
      <w:bookmarkStart w:id="3" w:name="_Toc351716269"/>
      <w:bookmarkStart w:id="4" w:name="_Toc351718881"/>
      <w:bookmarkStart w:id="5" w:name="_Toc355338616"/>
      <w:r>
        <w:br w:type="page"/>
      </w:r>
    </w:p>
    <w:p w:rsidR="00586F98" w:rsidRDefault="00586F98" w:rsidP="00A50C03">
      <w:pPr>
        <w:pStyle w:val="Heading2"/>
        <w:numPr>
          <w:ilvl w:val="0"/>
          <w:numId w:val="0"/>
        </w:numPr>
        <w:ind w:left="567" w:hanging="567"/>
      </w:pPr>
      <w:bookmarkStart w:id="6" w:name="_Toc370902542"/>
      <w:r>
        <w:t>List of abbreviations</w:t>
      </w:r>
      <w:bookmarkEnd w:id="3"/>
      <w:bookmarkEnd w:id="4"/>
      <w:bookmarkEnd w:id="5"/>
      <w:bookmarkEnd w:id="6"/>
    </w:p>
    <w:tbl>
      <w:tblPr>
        <w:tblStyle w:val="TableTGAblue"/>
        <w:tblW w:w="0" w:type="auto"/>
        <w:tblLook w:val="04A0"/>
      </w:tblPr>
      <w:tblGrid>
        <w:gridCol w:w="1890"/>
        <w:gridCol w:w="6911"/>
      </w:tblGrid>
      <w:tr w:rsidR="00A50C03" w:rsidTr="00A50C03">
        <w:trPr>
          <w:cnfStyle w:val="100000000000"/>
          <w:tblHeader/>
        </w:trPr>
        <w:tc>
          <w:tcPr>
            <w:cnfStyle w:val="001000000000"/>
            <w:tcW w:w="1890" w:type="dxa"/>
          </w:tcPr>
          <w:p w:rsidR="00A50C03" w:rsidRPr="009A6272" w:rsidRDefault="00A50C03" w:rsidP="00A50C03">
            <w:r w:rsidRPr="009A6272">
              <w:t>Abbreviation</w:t>
            </w:r>
          </w:p>
        </w:tc>
        <w:tc>
          <w:tcPr>
            <w:tcW w:w="6911" w:type="dxa"/>
          </w:tcPr>
          <w:p w:rsidR="00A50C03" w:rsidRPr="009A6272" w:rsidRDefault="00A50C03" w:rsidP="00A50C03">
            <w:pPr>
              <w:cnfStyle w:val="100000000000"/>
            </w:pPr>
            <w:r w:rsidRPr="009A6272">
              <w:t>Meaning</w:t>
            </w:r>
          </w:p>
        </w:tc>
      </w:tr>
      <w:tr w:rsidR="00A50C03" w:rsidRPr="0060667E" w:rsidTr="00A50C03">
        <w:tc>
          <w:tcPr>
            <w:cnfStyle w:val="001000000000"/>
            <w:tcW w:w="1890" w:type="dxa"/>
          </w:tcPr>
          <w:p w:rsidR="00A50C03" w:rsidRPr="0060667E" w:rsidRDefault="00A50C03" w:rsidP="00A50C03">
            <w:pPr>
              <w:rPr>
                <w:color w:val="000000"/>
              </w:rPr>
            </w:pPr>
            <w:r w:rsidRPr="0060667E">
              <w:rPr>
                <w:rFonts w:cs="TimesNewRomanPSMT"/>
              </w:rPr>
              <w:t>AE</w:t>
            </w:r>
          </w:p>
        </w:tc>
        <w:tc>
          <w:tcPr>
            <w:tcW w:w="6911" w:type="dxa"/>
          </w:tcPr>
          <w:p w:rsidR="00A50C03" w:rsidRPr="0060667E" w:rsidRDefault="00A50C03" w:rsidP="00A50C03">
            <w:pPr>
              <w:cnfStyle w:val="000000000000"/>
              <w:rPr>
                <w:color w:val="000000"/>
              </w:rPr>
            </w:pPr>
            <w:r>
              <w:rPr>
                <w:rFonts w:cs="TimesNewRomanPSMT"/>
              </w:rPr>
              <w:t>a</w:t>
            </w:r>
            <w:r w:rsidRPr="0060667E">
              <w:rPr>
                <w:rFonts w:cs="TimesNewRomanPSMT"/>
              </w:rPr>
              <w:t>dverse event</w:t>
            </w:r>
          </w:p>
        </w:tc>
      </w:tr>
      <w:tr w:rsidR="00A50C03" w:rsidRPr="0060667E" w:rsidTr="00A50C03">
        <w:tc>
          <w:tcPr>
            <w:cnfStyle w:val="001000000000"/>
            <w:tcW w:w="1890" w:type="dxa"/>
          </w:tcPr>
          <w:p w:rsidR="00A50C03" w:rsidRPr="0060667E" w:rsidRDefault="00A50C03" w:rsidP="00A50C03">
            <w:pPr>
              <w:rPr>
                <w:color w:val="000000"/>
              </w:rPr>
            </w:pPr>
            <w:r w:rsidRPr="0060667E">
              <w:rPr>
                <w:rFonts w:cs="TimesNewRomanPSMT"/>
              </w:rPr>
              <w:t>AED</w:t>
            </w:r>
          </w:p>
        </w:tc>
        <w:tc>
          <w:tcPr>
            <w:tcW w:w="6911" w:type="dxa"/>
          </w:tcPr>
          <w:p w:rsidR="00A50C03" w:rsidRPr="0060667E" w:rsidRDefault="00A50C03" w:rsidP="00A50C03">
            <w:pPr>
              <w:cnfStyle w:val="000000000000"/>
              <w:rPr>
                <w:color w:val="000000"/>
              </w:rPr>
            </w:pPr>
            <w:r>
              <w:rPr>
                <w:rFonts w:cs="TimesNewRomanPSMT"/>
              </w:rPr>
              <w:t xml:space="preserve">anti </w:t>
            </w:r>
            <w:r w:rsidRPr="0060667E">
              <w:rPr>
                <w:rFonts w:cs="TimesNewRomanPSMT"/>
              </w:rPr>
              <w:t>epileptic drug</w:t>
            </w:r>
          </w:p>
        </w:tc>
      </w:tr>
      <w:tr w:rsidR="00A50C03" w:rsidRPr="0060667E" w:rsidTr="00A50C03">
        <w:tc>
          <w:tcPr>
            <w:cnfStyle w:val="001000000000"/>
            <w:tcW w:w="1890" w:type="dxa"/>
          </w:tcPr>
          <w:p w:rsidR="00A50C03" w:rsidRPr="0060667E" w:rsidRDefault="00A50C03" w:rsidP="00A50C03">
            <w:pPr>
              <w:rPr>
                <w:color w:val="000000"/>
              </w:rPr>
            </w:pPr>
            <w:r w:rsidRPr="0060667E">
              <w:rPr>
                <w:rFonts w:cs="TimesNewRomanPSMT"/>
              </w:rPr>
              <w:t>ALT</w:t>
            </w:r>
          </w:p>
        </w:tc>
        <w:tc>
          <w:tcPr>
            <w:tcW w:w="6911" w:type="dxa"/>
          </w:tcPr>
          <w:p w:rsidR="00A50C03" w:rsidRPr="0060667E" w:rsidRDefault="00A50C03" w:rsidP="00A50C03">
            <w:pPr>
              <w:cnfStyle w:val="000000000000"/>
              <w:rPr>
                <w:color w:val="000000"/>
              </w:rPr>
            </w:pPr>
            <w:proofErr w:type="spellStart"/>
            <w:r w:rsidRPr="0060667E">
              <w:rPr>
                <w:rFonts w:cs="TimesNewRomanPSMT"/>
              </w:rPr>
              <w:t>alanine</w:t>
            </w:r>
            <w:proofErr w:type="spellEnd"/>
            <w:r w:rsidRPr="0060667E">
              <w:rPr>
                <w:rFonts w:cs="TimesNewRomanPSMT"/>
              </w:rPr>
              <w:t xml:space="preserve"> </w:t>
            </w:r>
            <w:proofErr w:type="spellStart"/>
            <w:r w:rsidRPr="0060667E">
              <w:rPr>
                <w:rFonts w:cs="TimesNewRomanPSMT"/>
              </w:rPr>
              <w:t>transaminase</w:t>
            </w:r>
            <w:proofErr w:type="spellEnd"/>
          </w:p>
        </w:tc>
      </w:tr>
      <w:tr w:rsidR="00A50C03" w:rsidRPr="0060667E" w:rsidTr="00A50C03">
        <w:tc>
          <w:tcPr>
            <w:cnfStyle w:val="001000000000"/>
            <w:tcW w:w="1890" w:type="dxa"/>
          </w:tcPr>
          <w:p w:rsidR="00A50C03" w:rsidRPr="0060667E" w:rsidRDefault="00A50C03" w:rsidP="00A50C03">
            <w:pPr>
              <w:rPr>
                <w:color w:val="000000"/>
              </w:rPr>
            </w:pPr>
            <w:r w:rsidRPr="0060667E">
              <w:rPr>
                <w:rFonts w:cs="TimesNewRomanPSMT"/>
              </w:rPr>
              <w:t>ANCOVA</w:t>
            </w:r>
          </w:p>
        </w:tc>
        <w:tc>
          <w:tcPr>
            <w:tcW w:w="6911" w:type="dxa"/>
          </w:tcPr>
          <w:p w:rsidR="00A50C03" w:rsidRPr="0060667E" w:rsidRDefault="00A50C03" w:rsidP="00A50C03">
            <w:pPr>
              <w:cnfStyle w:val="000000000000"/>
              <w:rPr>
                <w:color w:val="000000"/>
              </w:rPr>
            </w:pPr>
            <w:r w:rsidRPr="0060667E">
              <w:rPr>
                <w:rFonts w:cs="TimesNewRomanPSMT"/>
              </w:rPr>
              <w:t>analysis of covariance</w:t>
            </w:r>
          </w:p>
        </w:tc>
      </w:tr>
      <w:tr w:rsidR="00A50C03" w:rsidRPr="0060667E" w:rsidTr="00A50C03">
        <w:tc>
          <w:tcPr>
            <w:cnfStyle w:val="001000000000"/>
            <w:tcW w:w="1890" w:type="dxa"/>
          </w:tcPr>
          <w:p w:rsidR="00A50C03" w:rsidRPr="0060667E" w:rsidRDefault="00A50C03" w:rsidP="00A50C03">
            <w:pPr>
              <w:rPr>
                <w:color w:val="000000"/>
              </w:rPr>
            </w:pPr>
            <w:r w:rsidRPr="0060667E">
              <w:rPr>
                <w:rFonts w:cs="TimesNewRomanPSMT"/>
              </w:rPr>
              <w:t>AST</w:t>
            </w:r>
          </w:p>
        </w:tc>
        <w:tc>
          <w:tcPr>
            <w:tcW w:w="6911" w:type="dxa"/>
          </w:tcPr>
          <w:p w:rsidR="00A50C03" w:rsidRPr="0060667E" w:rsidRDefault="00A50C03" w:rsidP="00A50C03">
            <w:pPr>
              <w:cnfStyle w:val="000000000000"/>
              <w:rPr>
                <w:color w:val="000000"/>
              </w:rPr>
            </w:pPr>
            <w:proofErr w:type="spellStart"/>
            <w:r w:rsidRPr="0060667E">
              <w:rPr>
                <w:rFonts w:cs="TimesNewRomanPSMT"/>
              </w:rPr>
              <w:t>aspartate</w:t>
            </w:r>
            <w:proofErr w:type="spellEnd"/>
            <w:r w:rsidRPr="0060667E">
              <w:rPr>
                <w:rFonts w:cs="TimesNewRomanPSMT"/>
              </w:rPr>
              <w:t xml:space="preserve"> </w:t>
            </w:r>
            <w:proofErr w:type="spellStart"/>
            <w:r w:rsidRPr="0060667E">
              <w:rPr>
                <w:rFonts w:cs="TimesNewRomanPSMT"/>
              </w:rPr>
              <w:t>transaminase</w:t>
            </w:r>
            <w:proofErr w:type="spellEnd"/>
          </w:p>
        </w:tc>
      </w:tr>
      <w:tr w:rsidR="00A50C03" w:rsidRPr="0060667E" w:rsidTr="00A50C03">
        <w:tc>
          <w:tcPr>
            <w:cnfStyle w:val="001000000000"/>
            <w:tcW w:w="1890" w:type="dxa"/>
          </w:tcPr>
          <w:p w:rsidR="00A50C03" w:rsidRPr="0060667E" w:rsidRDefault="00A50C03" w:rsidP="00A50C03">
            <w:pPr>
              <w:rPr>
                <w:color w:val="000000"/>
              </w:rPr>
            </w:pPr>
            <w:r w:rsidRPr="0060667E">
              <w:rPr>
                <w:color w:val="000000"/>
              </w:rPr>
              <w:t>BUN</w:t>
            </w:r>
          </w:p>
        </w:tc>
        <w:tc>
          <w:tcPr>
            <w:tcW w:w="6911" w:type="dxa"/>
          </w:tcPr>
          <w:p w:rsidR="00A50C03" w:rsidRPr="0060667E" w:rsidRDefault="00A50C03" w:rsidP="00A50C03">
            <w:pPr>
              <w:cnfStyle w:val="000000000000"/>
              <w:rPr>
                <w:color w:val="000000"/>
              </w:rPr>
            </w:pPr>
            <w:r w:rsidRPr="0060667E">
              <w:rPr>
                <w:rFonts w:cs="TimesNewRomanPSMT"/>
              </w:rPr>
              <w:t>blood urea nitrogen</w:t>
            </w:r>
          </w:p>
        </w:tc>
      </w:tr>
      <w:tr w:rsidR="00A50C03" w:rsidRPr="0060667E" w:rsidTr="00A50C03">
        <w:tc>
          <w:tcPr>
            <w:cnfStyle w:val="001000000000"/>
            <w:tcW w:w="1890" w:type="dxa"/>
          </w:tcPr>
          <w:p w:rsidR="00A50C03" w:rsidRPr="0060667E" w:rsidRDefault="00A50C03" w:rsidP="00A50C03">
            <w:pPr>
              <w:rPr>
                <w:color w:val="000000"/>
              </w:rPr>
            </w:pPr>
            <w:r w:rsidRPr="0060667E">
              <w:rPr>
                <w:rFonts w:cs="TimesNewRomanPSMT"/>
              </w:rPr>
              <w:t>CBC</w:t>
            </w:r>
          </w:p>
        </w:tc>
        <w:tc>
          <w:tcPr>
            <w:tcW w:w="6911" w:type="dxa"/>
          </w:tcPr>
          <w:p w:rsidR="00A50C03" w:rsidRPr="0060667E" w:rsidRDefault="00A50C03" w:rsidP="00A50C03">
            <w:pPr>
              <w:cnfStyle w:val="000000000000"/>
              <w:rPr>
                <w:color w:val="000000"/>
              </w:rPr>
            </w:pPr>
            <w:r w:rsidRPr="0060667E">
              <w:rPr>
                <w:rFonts w:cs="TimesNewRomanPSMT"/>
              </w:rPr>
              <w:t>complete blood count</w:t>
            </w:r>
          </w:p>
        </w:tc>
      </w:tr>
      <w:tr w:rsidR="00A50C03" w:rsidRPr="0060667E" w:rsidTr="00A50C03">
        <w:tc>
          <w:tcPr>
            <w:cnfStyle w:val="001000000000"/>
            <w:tcW w:w="1890" w:type="dxa"/>
          </w:tcPr>
          <w:p w:rsidR="00A50C03" w:rsidRPr="0060667E" w:rsidRDefault="00A50C03" w:rsidP="00A50C03">
            <w:pPr>
              <w:rPr>
                <w:color w:val="000000"/>
              </w:rPr>
            </w:pPr>
            <w:r w:rsidRPr="0060667E">
              <w:rPr>
                <w:rFonts w:cs="TimesNewRomanPSMT"/>
              </w:rPr>
              <w:t>CZP</w:t>
            </w:r>
          </w:p>
        </w:tc>
        <w:tc>
          <w:tcPr>
            <w:tcW w:w="6911" w:type="dxa"/>
          </w:tcPr>
          <w:p w:rsidR="00A50C03" w:rsidRPr="0060667E" w:rsidRDefault="00A50C03" w:rsidP="00A50C03">
            <w:pPr>
              <w:cnfStyle w:val="000000000000"/>
              <w:rPr>
                <w:color w:val="000000"/>
              </w:rPr>
            </w:pPr>
            <w:proofErr w:type="spellStart"/>
            <w:r>
              <w:rPr>
                <w:rFonts w:cs="TimesNewRomanPSMT"/>
              </w:rPr>
              <w:t>c</w:t>
            </w:r>
            <w:r w:rsidRPr="0060667E">
              <w:rPr>
                <w:rFonts w:cs="TimesNewRomanPSMT"/>
              </w:rPr>
              <w:t>arbamazepine</w:t>
            </w:r>
            <w:proofErr w:type="spellEnd"/>
          </w:p>
        </w:tc>
      </w:tr>
      <w:tr w:rsidR="00A50C03" w:rsidRPr="0060667E" w:rsidTr="00A50C03">
        <w:tc>
          <w:tcPr>
            <w:cnfStyle w:val="001000000000"/>
            <w:tcW w:w="1890" w:type="dxa"/>
          </w:tcPr>
          <w:p w:rsidR="00A50C03" w:rsidRPr="0060667E" w:rsidRDefault="00A50C03" w:rsidP="00A50C03">
            <w:pPr>
              <w:rPr>
                <w:color w:val="000000"/>
              </w:rPr>
            </w:pPr>
            <w:r w:rsidRPr="0060667E">
              <w:rPr>
                <w:rFonts w:cs="TimesNewRomanPSMT"/>
              </w:rPr>
              <w:t>CO</w:t>
            </w:r>
          </w:p>
        </w:tc>
        <w:tc>
          <w:tcPr>
            <w:tcW w:w="6911" w:type="dxa"/>
          </w:tcPr>
          <w:p w:rsidR="00A50C03" w:rsidRPr="0060667E" w:rsidRDefault="00A50C03" w:rsidP="00A50C03">
            <w:pPr>
              <w:cnfStyle w:val="000000000000"/>
              <w:rPr>
                <w:color w:val="000000"/>
              </w:rPr>
            </w:pPr>
            <w:r w:rsidRPr="0060667E">
              <w:rPr>
                <w:rFonts w:cs="TimesNewRomanPSMT"/>
              </w:rPr>
              <w:t>cross-over</w:t>
            </w:r>
          </w:p>
        </w:tc>
      </w:tr>
      <w:tr w:rsidR="00A50C03" w:rsidRPr="0060667E" w:rsidTr="00A50C03">
        <w:tc>
          <w:tcPr>
            <w:cnfStyle w:val="001000000000"/>
            <w:tcW w:w="1890" w:type="dxa"/>
          </w:tcPr>
          <w:p w:rsidR="00A50C03" w:rsidRPr="0060667E" w:rsidRDefault="00A50C03" w:rsidP="00A50C03">
            <w:pPr>
              <w:rPr>
                <w:color w:val="000000"/>
              </w:rPr>
            </w:pPr>
            <w:r w:rsidRPr="0060667E">
              <w:rPr>
                <w:rFonts w:cs="TimesNewRomanPSMT"/>
              </w:rPr>
              <w:t>CPS</w:t>
            </w:r>
          </w:p>
        </w:tc>
        <w:tc>
          <w:tcPr>
            <w:tcW w:w="6911" w:type="dxa"/>
          </w:tcPr>
          <w:p w:rsidR="00A50C03" w:rsidRPr="0060667E" w:rsidRDefault="00A50C03" w:rsidP="00A50C03">
            <w:pPr>
              <w:cnfStyle w:val="000000000000"/>
              <w:rPr>
                <w:color w:val="000000"/>
              </w:rPr>
            </w:pPr>
            <w:r>
              <w:rPr>
                <w:rFonts w:cs="TimesNewRomanPSMT"/>
              </w:rPr>
              <w:t>c</w:t>
            </w:r>
            <w:r w:rsidRPr="0060667E">
              <w:rPr>
                <w:rFonts w:cs="TimesNewRomanPSMT"/>
              </w:rPr>
              <w:t xml:space="preserve">omplex </w:t>
            </w:r>
            <w:r>
              <w:rPr>
                <w:rFonts w:cs="TimesNewRomanPSMT"/>
              </w:rPr>
              <w:t>p</w:t>
            </w:r>
            <w:r w:rsidRPr="0060667E">
              <w:rPr>
                <w:rFonts w:cs="TimesNewRomanPSMT"/>
              </w:rPr>
              <w:t xml:space="preserve">artial </w:t>
            </w:r>
            <w:r>
              <w:rPr>
                <w:rFonts w:cs="TimesNewRomanPSMT"/>
              </w:rPr>
              <w:t>s</w:t>
            </w:r>
            <w:r w:rsidRPr="0060667E">
              <w:rPr>
                <w:rFonts w:cs="TimesNewRomanPSMT"/>
              </w:rPr>
              <w:t>eizure</w:t>
            </w:r>
          </w:p>
        </w:tc>
      </w:tr>
      <w:tr w:rsidR="00A50C03" w:rsidRPr="0060667E" w:rsidTr="00A50C03">
        <w:tc>
          <w:tcPr>
            <w:cnfStyle w:val="001000000000"/>
            <w:tcW w:w="1890" w:type="dxa"/>
          </w:tcPr>
          <w:p w:rsidR="00A50C03" w:rsidRPr="0060667E" w:rsidRDefault="00A50C03" w:rsidP="00A50C03">
            <w:pPr>
              <w:rPr>
                <w:color w:val="000000"/>
              </w:rPr>
            </w:pPr>
            <w:r w:rsidRPr="0060667E">
              <w:rPr>
                <w:rFonts w:cs="TimesNewRomanPSMT"/>
              </w:rPr>
              <w:t>DB</w:t>
            </w:r>
          </w:p>
        </w:tc>
        <w:tc>
          <w:tcPr>
            <w:tcW w:w="6911" w:type="dxa"/>
          </w:tcPr>
          <w:p w:rsidR="00A50C03" w:rsidRPr="0060667E" w:rsidRDefault="00A50C03" w:rsidP="00A50C03">
            <w:pPr>
              <w:cnfStyle w:val="000000000000"/>
              <w:rPr>
                <w:color w:val="000000"/>
              </w:rPr>
            </w:pPr>
            <w:r>
              <w:rPr>
                <w:rFonts w:cs="TimesNewRomanPSMT"/>
              </w:rPr>
              <w:t>d</w:t>
            </w:r>
            <w:r w:rsidRPr="0060667E">
              <w:rPr>
                <w:rFonts w:cs="TimesNewRomanPSMT"/>
              </w:rPr>
              <w:t>ouble blind</w:t>
            </w:r>
          </w:p>
        </w:tc>
      </w:tr>
      <w:tr w:rsidR="00A50C03" w:rsidRPr="0060667E" w:rsidTr="00A50C03">
        <w:tc>
          <w:tcPr>
            <w:cnfStyle w:val="001000000000"/>
            <w:tcW w:w="1890" w:type="dxa"/>
          </w:tcPr>
          <w:p w:rsidR="00A50C03" w:rsidRPr="0060667E" w:rsidRDefault="00A50C03" w:rsidP="00A50C03">
            <w:pPr>
              <w:rPr>
                <w:color w:val="000000"/>
              </w:rPr>
            </w:pPr>
            <w:r w:rsidRPr="0060667E">
              <w:rPr>
                <w:rFonts w:cs="TimesNewRomanPSMT"/>
              </w:rPr>
              <w:t>DD</w:t>
            </w:r>
          </w:p>
        </w:tc>
        <w:tc>
          <w:tcPr>
            <w:tcW w:w="6911" w:type="dxa"/>
          </w:tcPr>
          <w:p w:rsidR="00A50C03" w:rsidRPr="0060667E" w:rsidRDefault="00A50C03" w:rsidP="00A50C03">
            <w:pPr>
              <w:cnfStyle w:val="000000000000"/>
              <w:rPr>
                <w:color w:val="000000"/>
              </w:rPr>
            </w:pPr>
            <w:r>
              <w:rPr>
                <w:rFonts w:cs="TimesNewRomanPSMT"/>
              </w:rPr>
              <w:t>d</w:t>
            </w:r>
            <w:r w:rsidRPr="0060667E">
              <w:rPr>
                <w:rFonts w:cs="TimesNewRomanPSMT"/>
              </w:rPr>
              <w:t>ouble dummy</w:t>
            </w:r>
          </w:p>
        </w:tc>
      </w:tr>
      <w:tr w:rsidR="00A50C03" w:rsidRPr="0060667E" w:rsidTr="00A50C03">
        <w:tc>
          <w:tcPr>
            <w:cnfStyle w:val="001000000000"/>
            <w:tcW w:w="1890" w:type="dxa"/>
          </w:tcPr>
          <w:p w:rsidR="00A50C03" w:rsidRPr="0060667E" w:rsidRDefault="00A50C03" w:rsidP="00A50C03">
            <w:pPr>
              <w:rPr>
                <w:color w:val="000000"/>
              </w:rPr>
            </w:pPr>
            <w:r w:rsidRPr="0060667E">
              <w:rPr>
                <w:rFonts w:cs="TimesNewRomanPSMT"/>
              </w:rPr>
              <w:t>ECG</w:t>
            </w:r>
          </w:p>
        </w:tc>
        <w:tc>
          <w:tcPr>
            <w:tcW w:w="6911" w:type="dxa"/>
          </w:tcPr>
          <w:p w:rsidR="00A50C03" w:rsidRPr="0060667E" w:rsidRDefault="00A50C03" w:rsidP="00A50C03">
            <w:pPr>
              <w:cnfStyle w:val="000000000000"/>
              <w:rPr>
                <w:color w:val="000000"/>
              </w:rPr>
            </w:pPr>
            <w:r>
              <w:rPr>
                <w:rFonts w:cs="TimesNewRomanPSMT"/>
              </w:rPr>
              <w:t>e</w:t>
            </w:r>
            <w:r w:rsidRPr="0060667E">
              <w:rPr>
                <w:rFonts w:cs="TimesNewRomanPSMT"/>
              </w:rPr>
              <w:t>lectrocardiogram</w:t>
            </w:r>
          </w:p>
        </w:tc>
      </w:tr>
      <w:tr w:rsidR="00A50C03" w:rsidRPr="0060667E" w:rsidTr="00A50C03">
        <w:tc>
          <w:tcPr>
            <w:cnfStyle w:val="001000000000"/>
            <w:tcW w:w="1890" w:type="dxa"/>
          </w:tcPr>
          <w:p w:rsidR="00A50C03" w:rsidRPr="0060667E" w:rsidRDefault="00A50C03" w:rsidP="00A50C03">
            <w:pPr>
              <w:rPr>
                <w:color w:val="000000"/>
              </w:rPr>
            </w:pPr>
            <w:r w:rsidRPr="0060667E">
              <w:rPr>
                <w:rFonts w:cs="TimesNewRomanPSMT"/>
              </w:rPr>
              <w:t>EEG</w:t>
            </w:r>
          </w:p>
        </w:tc>
        <w:tc>
          <w:tcPr>
            <w:tcW w:w="6911" w:type="dxa"/>
          </w:tcPr>
          <w:p w:rsidR="00A50C03" w:rsidRPr="0060667E" w:rsidRDefault="00A50C03" w:rsidP="00A50C03">
            <w:pPr>
              <w:cnfStyle w:val="000000000000"/>
              <w:rPr>
                <w:color w:val="000000"/>
              </w:rPr>
            </w:pPr>
            <w:r>
              <w:rPr>
                <w:rFonts w:cs="TimesNewRomanPSMT"/>
              </w:rPr>
              <w:t>e</w:t>
            </w:r>
            <w:r w:rsidRPr="0060667E">
              <w:rPr>
                <w:rFonts w:cs="TimesNewRomanPSMT"/>
              </w:rPr>
              <w:t>lectroencephalogram</w:t>
            </w:r>
          </w:p>
        </w:tc>
      </w:tr>
      <w:tr w:rsidR="00A50C03" w:rsidRPr="0060667E" w:rsidTr="00A50C03">
        <w:tc>
          <w:tcPr>
            <w:cnfStyle w:val="001000000000"/>
            <w:tcW w:w="1890" w:type="dxa"/>
          </w:tcPr>
          <w:p w:rsidR="00A50C03" w:rsidRPr="0060667E" w:rsidRDefault="00A50C03" w:rsidP="00A50C03">
            <w:pPr>
              <w:rPr>
                <w:color w:val="000000"/>
              </w:rPr>
            </w:pPr>
            <w:r>
              <w:t>EMA</w:t>
            </w:r>
          </w:p>
        </w:tc>
        <w:tc>
          <w:tcPr>
            <w:tcW w:w="6911" w:type="dxa"/>
          </w:tcPr>
          <w:p w:rsidR="00A50C03" w:rsidRPr="0060667E" w:rsidRDefault="00A50C03" w:rsidP="00A50C03">
            <w:pPr>
              <w:cnfStyle w:val="000000000000"/>
              <w:rPr>
                <w:color w:val="000000"/>
              </w:rPr>
            </w:pPr>
            <w:r>
              <w:t>European Medicines Agency</w:t>
            </w:r>
          </w:p>
        </w:tc>
      </w:tr>
      <w:tr w:rsidR="00A50C03" w:rsidRPr="0060667E" w:rsidTr="00A50C03">
        <w:tc>
          <w:tcPr>
            <w:cnfStyle w:val="001000000000"/>
            <w:tcW w:w="1890" w:type="dxa"/>
          </w:tcPr>
          <w:p w:rsidR="00A50C03" w:rsidRPr="0060667E" w:rsidRDefault="00A50C03" w:rsidP="00A50C03">
            <w:pPr>
              <w:rPr>
                <w:color w:val="000000"/>
              </w:rPr>
            </w:pPr>
            <w:r w:rsidRPr="0060667E">
              <w:rPr>
                <w:color w:val="000000"/>
              </w:rPr>
              <w:t>FDA</w:t>
            </w:r>
          </w:p>
        </w:tc>
        <w:tc>
          <w:tcPr>
            <w:tcW w:w="6911" w:type="dxa"/>
          </w:tcPr>
          <w:p w:rsidR="00A50C03" w:rsidRPr="0060667E" w:rsidRDefault="00A50C03" w:rsidP="00A50C03">
            <w:pPr>
              <w:cnfStyle w:val="000000000000"/>
              <w:rPr>
                <w:color w:val="000000"/>
              </w:rPr>
            </w:pPr>
            <w:r w:rsidRPr="0060667E">
              <w:rPr>
                <w:color w:val="000000"/>
              </w:rPr>
              <w:t>Food and Drug Administration</w:t>
            </w:r>
          </w:p>
        </w:tc>
      </w:tr>
      <w:tr w:rsidR="00A50C03" w:rsidRPr="0060667E" w:rsidTr="00A50C03">
        <w:tc>
          <w:tcPr>
            <w:cnfStyle w:val="001000000000"/>
            <w:tcW w:w="1890" w:type="dxa"/>
          </w:tcPr>
          <w:p w:rsidR="00A50C03" w:rsidRPr="0060667E" w:rsidRDefault="00A50C03" w:rsidP="00A50C03">
            <w:pPr>
              <w:rPr>
                <w:color w:val="000000"/>
              </w:rPr>
            </w:pPr>
            <w:r w:rsidRPr="0060667E">
              <w:rPr>
                <w:rFonts w:cs="TimesNewRomanPSMT"/>
              </w:rPr>
              <w:t>GCP</w:t>
            </w:r>
          </w:p>
        </w:tc>
        <w:tc>
          <w:tcPr>
            <w:tcW w:w="6911" w:type="dxa"/>
          </w:tcPr>
          <w:p w:rsidR="00A50C03" w:rsidRPr="0060667E" w:rsidRDefault="00A50C03" w:rsidP="00A50C03">
            <w:pPr>
              <w:cnfStyle w:val="000000000000"/>
              <w:rPr>
                <w:color w:val="000000"/>
              </w:rPr>
            </w:pPr>
            <w:r w:rsidRPr="0060667E">
              <w:rPr>
                <w:rFonts w:cs="TimesNewRomanPSMT"/>
              </w:rPr>
              <w:t xml:space="preserve">Good </w:t>
            </w:r>
            <w:r>
              <w:rPr>
                <w:rFonts w:cs="TimesNewRomanPSMT"/>
              </w:rPr>
              <w:t>C</w:t>
            </w:r>
            <w:r w:rsidRPr="0060667E">
              <w:rPr>
                <w:rFonts w:cs="TimesNewRomanPSMT"/>
              </w:rPr>
              <w:t xml:space="preserve">linical </w:t>
            </w:r>
            <w:r>
              <w:rPr>
                <w:rFonts w:cs="TimesNewRomanPSMT"/>
              </w:rPr>
              <w:t>P</w:t>
            </w:r>
            <w:r w:rsidRPr="0060667E">
              <w:rPr>
                <w:rFonts w:cs="TimesNewRomanPSMT"/>
              </w:rPr>
              <w:t>ractice</w:t>
            </w:r>
          </w:p>
        </w:tc>
      </w:tr>
      <w:tr w:rsidR="00A50C03" w:rsidRPr="0060667E" w:rsidTr="00A50C03">
        <w:tc>
          <w:tcPr>
            <w:cnfStyle w:val="001000000000"/>
            <w:tcW w:w="1890" w:type="dxa"/>
          </w:tcPr>
          <w:p w:rsidR="00A50C03" w:rsidRPr="0060667E" w:rsidRDefault="00A50C03" w:rsidP="00A50C03">
            <w:pPr>
              <w:rPr>
                <w:color w:val="000000"/>
              </w:rPr>
            </w:pPr>
            <w:r w:rsidRPr="0060667E">
              <w:rPr>
                <w:rFonts w:cs="TimesNewRomanPSMT"/>
              </w:rPr>
              <w:t>GTCS</w:t>
            </w:r>
          </w:p>
        </w:tc>
        <w:tc>
          <w:tcPr>
            <w:tcW w:w="6911" w:type="dxa"/>
          </w:tcPr>
          <w:p w:rsidR="00A50C03" w:rsidRPr="0060667E" w:rsidRDefault="00A50C03" w:rsidP="00A50C03">
            <w:pPr>
              <w:cnfStyle w:val="000000000000"/>
              <w:rPr>
                <w:color w:val="000000"/>
              </w:rPr>
            </w:pPr>
            <w:r w:rsidRPr="0060667E">
              <w:rPr>
                <w:rFonts w:cs="TimesNewRomanPSMT"/>
              </w:rPr>
              <w:t xml:space="preserve">Generalised Tonic </w:t>
            </w:r>
            <w:proofErr w:type="spellStart"/>
            <w:r w:rsidRPr="0060667E">
              <w:rPr>
                <w:rFonts w:cs="TimesNewRomanPSMT"/>
              </w:rPr>
              <w:t>Clonic</w:t>
            </w:r>
            <w:proofErr w:type="spellEnd"/>
            <w:r w:rsidRPr="0060667E">
              <w:rPr>
                <w:rFonts w:cs="TimesNewRomanPSMT"/>
              </w:rPr>
              <w:t xml:space="preserve"> Seizure</w:t>
            </w:r>
          </w:p>
        </w:tc>
      </w:tr>
      <w:tr w:rsidR="00A50C03" w:rsidRPr="0060667E" w:rsidTr="00A50C03">
        <w:tc>
          <w:tcPr>
            <w:cnfStyle w:val="001000000000"/>
            <w:tcW w:w="1890" w:type="dxa"/>
          </w:tcPr>
          <w:p w:rsidR="00A50C03" w:rsidRPr="0060667E" w:rsidRDefault="00A50C03" w:rsidP="00A50C03">
            <w:pPr>
              <w:rPr>
                <w:color w:val="000000"/>
              </w:rPr>
            </w:pPr>
            <w:r w:rsidRPr="0060667E">
              <w:rPr>
                <w:rFonts w:cs="TimesNewRomanPSMT"/>
              </w:rPr>
              <w:t>LBS</w:t>
            </w:r>
          </w:p>
        </w:tc>
        <w:tc>
          <w:tcPr>
            <w:tcW w:w="6911" w:type="dxa"/>
          </w:tcPr>
          <w:p w:rsidR="00A50C03" w:rsidRPr="0060667E" w:rsidRDefault="00A50C03" w:rsidP="00A50C03">
            <w:pPr>
              <w:cnfStyle w:val="000000000000"/>
              <w:rPr>
                <w:color w:val="000000"/>
              </w:rPr>
            </w:pPr>
            <w:r>
              <w:rPr>
                <w:rFonts w:cs="TimesNewRomanPSMT"/>
              </w:rPr>
              <w:t>l</w:t>
            </w:r>
            <w:r w:rsidRPr="0060667E">
              <w:rPr>
                <w:rFonts w:cs="TimesNewRomanPSMT"/>
              </w:rPr>
              <w:t>iterature based submission</w:t>
            </w:r>
          </w:p>
        </w:tc>
      </w:tr>
      <w:tr w:rsidR="00A50C03" w:rsidRPr="0060667E" w:rsidTr="00A50C03">
        <w:tc>
          <w:tcPr>
            <w:cnfStyle w:val="001000000000"/>
            <w:tcW w:w="1890" w:type="dxa"/>
          </w:tcPr>
          <w:p w:rsidR="00A50C03" w:rsidRPr="0060667E" w:rsidRDefault="00A50C03" w:rsidP="00A50C03">
            <w:pPr>
              <w:rPr>
                <w:color w:val="000000"/>
              </w:rPr>
            </w:pPr>
            <w:r w:rsidRPr="0060667E">
              <w:rPr>
                <w:rFonts w:cs="TimesNewRomanPSMT"/>
              </w:rPr>
              <w:t>LGS</w:t>
            </w:r>
          </w:p>
        </w:tc>
        <w:tc>
          <w:tcPr>
            <w:tcW w:w="6911" w:type="dxa"/>
          </w:tcPr>
          <w:p w:rsidR="00A50C03" w:rsidRPr="0060667E" w:rsidRDefault="00A50C03" w:rsidP="00A50C03">
            <w:pPr>
              <w:cnfStyle w:val="000000000000"/>
              <w:rPr>
                <w:color w:val="000000"/>
              </w:rPr>
            </w:pPr>
            <w:r w:rsidRPr="0060667E">
              <w:rPr>
                <w:rFonts w:cs="TimesNewRomanPSMT"/>
              </w:rPr>
              <w:t xml:space="preserve">Lennox </w:t>
            </w:r>
            <w:proofErr w:type="spellStart"/>
            <w:r w:rsidRPr="0060667E">
              <w:rPr>
                <w:rFonts w:cs="TimesNewRomanPSMT"/>
              </w:rPr>
              <w:t>Gastaut</w:t>
            </w:r>
            <w:proofErr w:type="spellEnd"/>
            <w:r w:rsidRPr="0060667E">
              <w:rPr>
                <w:rFonts w:cs="TimesNewRomanPSMT"/>
              </w:rPr>
              <w:t xml:space="preserve"> Syndrome</w:t>
            </w:r>
          </w:p>
        </w:tc>
      </w:tr>
      <w:tr w:rsidR="00A50C03" w:rsidRPr="0060667E" w:rsidTr="00A50C03">
        <w:tc>
          <w:tcPr>
            <w:cnfStyle w:val="001000000000"/>
            <w:tcW w:w="1890" w:type="dxa"/>
          </w:tcPr>
          <w:p w:rsidR="00A50C03" w:rsidRPr="0060667E" w:rsidRDefault="00A50C03" w:rsidP="00A50C03">
            <w:pPr>
              <w:rPr>
                <w:color w:val="000000"/>
              </w:rPr>
            </w:pPr>
            <w:r w:rsidRPr="0060667E">
              <w:rPr>
                <w:color w:val="000000"/>
              </w:rPr>
              <w:t>LOCF</w:t>
            </w:r>
          </w:p>
        </w:tc>
        <w:tc>
          <w:tcPr>
            <w:tcW w:w="6911" w:type="dxa"/>
          </w:tcPr>
          <w:p w:rsidR="00A50C03" w:rsidRPr="0060667E" w:rsidRDefault="00A50C03" w:rsidP="00A50C03">
            <w:pPr>
              <w:cnfStyle w:val="000000000000"/>
              <w:rPr>
                <w:color w:val="000000"/>
              </w:rPr>
            </w:pPr>
            <w:r w:rsidRPr="0060667E">
              <w:rPr>
                <w:rFonts w:cs="TimesNewRomanPSMT"/>
              </w:rPr>
              <w:t xml:space="preserve">Last </w:t>
            </w:r>
            <w:r>
              <w:rPr>
                <w:rFonts w:cs="TimesNewRomanPSMT"/>
              </w:rPr>
              <w:t>O</w:t>
            </w:r>
            <w:r w:rsidRPr="0060667E">
              <w:rPr>
                <w:rFonts w:cs="TimesNewRomanPSMT"/>
              </w:rPr>
              <w:t xml:space="preserve">bservation </w:t>
            </w:r>
            <w:r>
              <w:rPr>
                <w:rFonts w:cs="TimesNewRomanPSMT"/>
              </w:rPr>
              <w:t>C</w:t>
            </w:r>
            <w:r w:rsidRPr="0060667E">
              <w:rPr>
                <w:rFonts w:cs="TimesNewRomanPSMT"/>
              </w:rPr>
              <w:t xml:space="preserve">arried </w:t>
            </w:r>
            <w:r>
              <w:rPr>
                <w:rFonts w:cs="TimesNewRomanPSMT"/>
              </w:rPr>
              <w:t>F</w:t>
            </w:r>
            <w:r w:rsidRPr="0060667E">
              <w:rPr>
                <w:rFonts w:cs="TimesNewRomanPSMT"/>
              </w:rPr>
              <w:t>orward</w:t>
            </w:r>
          </w:p>
        </w:tc>
      </w:tr>
      <w:tr w:rsidR="00A50C03" w:rsidRPr="0060667E" w:rsidTr="00A50C03">
        <w:tc>
          <w:tcPr>
            <w:cnfStyle w:val="001000000000"/>
            <w:tcW w:w="1890" w:type="dxa"/>
          </w:tcPr>
          <w:p w:rsidR="00A50C03" w:rsidRPr="0060667E" w:rsidRDefault="00A50C03" w:rsidP="00A50C03">
            <w:pPr>
              <w:rPr>
                <w:color w:val="000000"/>
              </w:rPr>
            </w:pPr>
            <w:proofErr w:type="spellStart"/>
            <w:r w:rsidRPr="0060667E">
              <w:rPr>
                <w:rFonts w:cs="TimesNewRomanPSMT"/>
              </w:rPr>
              <w:t>mITT</w:t>
            </w:r>
            <w:proofErr w:type="spellEnd"/>
          </w:p>
        </w:tc>
        <w:tc>
          <w:tcPr>
            <w:tcW w:w="6911" w:type="dxa"/>
          </w:tcPr>
          <w:p w:rsidR="00A50C03" w:rsidRPr="0060667E" w:rsidRDefault="00A50C03" w:rsidP="00A50C03">
            <w:pPr>
              <w:cnfStyle w:val="000000000000"/>
              <w:rPr>
                <w:color w:val="000000"/>
              </w:rPr>
            </w:pPr>
            <w:r w:rsidRPr="0060667E">
              <w:rPr>
                <w:rFonts w:cs="TimesNewRomanPSMT"/>
              </w:rPr>
              <w:t xml:space="preserve">modified </w:t>
            </w:r>
            <w:r>
              <w:rPr>
                <w:rFonts w:cs="TimesNewRomanPSMT"/>
              </w:rPr>
              <w:t>I</w:t>
            </w:r>
            <w:r w:rsidRPr="0060667E">
              <w:rPr>
                <w:rFonts w:cs="TimesNewRomanPSMT"/>
              </w:rPr>
              <w:t xml:space="preserve">ntention </w:t>
            </w:r>
            <w:r>
              <w:rPr>
                <w:rFonts w:cs="TimesNewRomanPSMT"/>
              </w:rPr>
              <w:t>T</w:t>
            </w:r>
            <w:r w:rsidRPr="0060667E">
              <w:rPr>
                <w:rFonts w:cs="TimesNewRomanPSMT"/>
              </w:rPr>
              <w:t xml:space="preserve">o </w:t>
            </w:r>
            <w:r>
              <w:rPr>
                <w:rFonts w:cs="TimesNewRomanPSMT"/>
              </w:rPr>
              <w:t>T</w:t>
            </w:r>
            <w:r w:rsidRPr="0060667E">
              <w:rPr>
                <w:rFonts w:cs="TimesNewRomanPSMT"/>
              </w:rPr>
              <w:t>reat</w:t>
            </w:r>
          </w:p>
        </w:tc>
      </w:tr>
      <w:tr w:rsidR="00A50C03" w:rsidRPr="0060667E" w:rsidTr="00A50C03">
        <w:tc>
          <w:tcPr>
            <w:cnfStyle w:val="001000000000"/>
            <w:tcW w:w="1890" w:type="dxa"/>
          </w:tcPr>
          <w:p w:rsidR="00A50C03" w:rsidRPr="0060667E" w:rsidRDefault="00A50C03" w:rsidP="00A50C03">
            <w:pPr>
              <w:rPr>
                <w:color w:val="000000"/>
              </w:rPr>
            </w:pPr>
            <w:r w:rsidRPr="0060667E">
              <w:rPr>
                <w:rFonts w:cs="TimesNewRomanPSMT"/>
              </w:rPr>
              <w:t>NNH</w:t>
            </w:r>
          </w:p>
        </w:tc>
        <w:tc>
          <w:tcPr>
            <w:tcW w:w="6911" w:type="dxa"/>
          </w:tcPr>
          <w:p w:rsidR="00A50C03" w:rsidRPr="0060667E" w:rsidRDefault="00A50C03" w:rsidP="00A50C03">
            <w:pPr>
              <w:cnfStyle w:val="000000000000"/>
              <w:rPr>
                <w:color w:val="000000"/>
              </w:rPr>
            </w:pPr>
            <w:r w:rsidRPr="0060667E">
              <w:rPr>
                <w:rFonts w:cs="TimesNewRomanPSMT"/>
              </w:rPr>
              <w:t xml:space="preserve">Number </w:t>
            </w:r>
            <w:r>
              <w:rPr>
                <w:rFonts w:cs="TimesNewRomanPSMT"/>
              </w:rPr>
              <w:t>N</w:t>
            </w:r>
            <w:r w:rsidRPr="0060667E">
              <w:rPr>
                <w:rFonts w:cs="TimesNewRomanPSMT"/>
              </w:rPr>
              <w:t xml:space="preserve">eeded to </w:t>
            </w:r>
            <w:r>
              <w:rPr>
                <w:rFonts w:cs="TimesNewRomanPSMT"/>
              </w:rPr>
              <w:t>H</w:t>
            </w:r>
            <w:r w:rsidRPr="0060667E">
              <w:rPr>
                <w:rFonts w:cs="TimesNewRomanPSMT"/>
              </w:rPr>
              <w:t>arm</w:t>
            </w:r>
          </w:p>
        </w:tc>
      </w:tr>
      <w:tr w:rsidR="00A50C03" w:rsidRPr="0060667E" w:rsidTr="00A50C03">
        <w:tc>
          <w:tcPr>
            <w:cnfStyle w:val="001000000000"/>
            <w:tcW w:w="1890" w:type="dxa"/>
          </w:tcPr>
          <w:p w:rsidR="00A50C03" w:rsidRPr="0060667E" w:rsidRDefault="00A50C03" w:rsidP="00A50C03">
            <w:pPr>
              <w:rPr>
                <w:color w:val="000000"/>
              </w:rPr>
            </w:pPr>
            <w:r w:rsidRPr="0060667E">
              <w:rPr>
                <w:rFonts w:cs="TimesNewRomanPSMT"/>
              </w:rPr>
              <w:t>NNT</w:t>
            </w:r>
          </w:p>
        </w:tc>
        <w:tc>
          <w:tcPr>
            <w:tcW w:w="6911" w:type="dxa"/>
          </w:tcPr>
          <w:p w:rsidR="00A50C03" w:rsidRPr="0060667E" w:rsidRDefault="00A50C03" w:rsidP="00A50C03">
            <w:pPr>
              <w:cnfStyle w:val="000000000000"/>
              <w:rPr>
                <w:color w:val="000000"/>
              </w:rPr>
            </w:pPr>
            <w:r w:rsidRPr="0060667E">
              <w:rPr>
                <w:rFonts w:cs="TimesNewRomanPSMT"/>
              </w:rPr>
              <w:t xml:space="preserve">Number </w:t>
            </w:r>
            <w:r>
              <w:rPr>
                <w:rFonts w:cs="TimesNewRomanPSMT"/>
              </w:rPr>
              <w:t>N</w:t>
            </w:r>
            <w:r w:rsidRPr="0060667E">
              <w:rPr>
                <w:rFonts w:cs="TimesNewRomanPSMT"/>
              </w:rPr>
              <w:t xml:space="preserve">eeded to </w:t>
            </w:r>
            <w:r>
              <w:rPr>
                <w:rFonts w:cs="TimesNewRomanPSMT"/>
              </w:rPr>
              <w:t>T</w:t>
            </w:r>
            <w:r w:rsidRPr="0060667E">
              <w:rPr>
                <w:rFonts w:cs="TimesNewRomanPSMT"/>
              </w:rPr>
              <w:t>reat</w:t>
            </w:r>
          </w:p>
        </w:tc>
      </w:tr>
      <w:tr w:rsidR="00A50C03" w:rsidRPr="0060667E" w:rsidTr="00A50C03">
        <w:tc>
          <w:tcPr>
            <w:cnfStyle w:val="001000000000"/>
            <w:tcW w:w="1890" w:type="dxa"/>
          </w:tcPr>
          <w:p w:rsidR="00A50C03" w:rsidRPr="0060667E" w:rsidRDefault="00A50C03" w:rsidP="00A50C03">
            <w:pPr>
              <w:rPr>
                <w:color w:val="000000"/>
              </w:rPr>
            </w:pPr>
            <w:r w:rsidRPr="0060667E">
              <w:rPr>
                <w:rFonts w:cs="TimesNewRomanPSMT"/>
              </w:rPr>
              <w:t>P</w:t>
            </w:r>
          </w:p>
        </w:tc>
        <w:tc>
          <w:tcPr>
            <w:tcW w:w="6911" w:type="dxa"/>
          </w:tcPr>
          <w:p w:rsidR="00A50C03" w:rsidRPr="0060667E" w:rsidRDefault="00A50C03" w:rsidP="00A50C03">
            <w:pPr>
              <w:cnfStyle w:val="000000000000"/>
              <w:rPr>
                <w:color w:val="000000"/>
              </w:rPr>
            </w:pPr>
            <w:r w:rsidRPr="0060667E">
              <w:rPr>
                <w:color w:val="000000"/>
              </w:rPr>
              <w:t>placebo</w:t>
            </w:r>
          </w:p>
        </w:tc>
      </w:tr>
      <w:tr w:rsidR="00A50C03" w:rsidRPr="0060667E" w:rsidTr="00A50C03">
        <w:tc>
          <w:tcPr>
            <w:cnfStyle w:val="001000000000"/>
            <w:tcW w:w="1890" w:type="dxa"/>
          </w:tcPr>
          <w:p w:rsidR="00A50C03" w:rsidRPr="0060667E" w:rsidRDefault="00A50C03" w:rsidP="00A50C03">
            <w:pPr>
              <w:rPr>
                <w:color w:val="000000"/>
              </w:rPr>
            </w:pPr>
            <w:r w:rsidRPr="0060667E">
              <w:rPr>
                <w:rFonts w:cs="TimesNewRomanPSMT"/>
              </w:rPr>
              <w:t>PC</w:t>
            </w:r>
          </w:p>
        </w:tc>
        <w:tc>
          <w:tcPr>
            <w:tcW w:w="6911" w:type="dxa"/>
          </w:tcPr>
          <w:p w:rsidR="00A50C03" w:rsidRPr="0060667E" w:rsidRDefault="00A50C03" w:rsidP="00A50C03">
            <w:pPr>
              <w:cnfStyle w:val="000000000000"/>
              <w:rPr>
                <w:color w:val="000000"/>
              </w:rPr>
            </w:pPr>
            <w:r>
              <w:rPr>
                <w:rFonts w:cs="TimesNewRomanPSMT"/>
              </w:rPr>
              <w:t>p</w:t>
            </w:r>
            <w:r w:rsidRPr="0060667E">
              <w:rPr>
                <w:rFonts w:cs="TimesNewRomanPSMT"/>
              </w:rPr>
              <w:t>lacebo controlled</w:t>
            </w:r>
          </w:p>
        </w:tc>
      </w:tr>
      <w:tr w:rsidR="00A50C03" w:rsidRPr="0060667E" w:rsidTr="00A50C03">
        <w:tc>
          <w:tcPr>
            <w:cnfStyle w:val="001000000000"/>
            <w:tcW w:w="1890" w:type="dxa"/>
          </w:tcPr>
          <w:p w:rsidR="00A50C03" w:rsidRPr="0060667E" w:rsidRDefault="00A50C03" w:rsidP="00A50C03">
            <w:pPr>
              <w:rPr>
                <w:color w:val="000000"/>
              </w:rPr>
            </w:pPr>
            <w:r w:rsidRPr="0060667E">
              <w:rPr>
                <w:rFonts w:cs="TimesNewRomanPSMT"/>
              </w:rPr>
              <w:t>PG</w:t>
            </w:r>
          </w:p>
        </w:tc>
        <w:tc>
          <w:tcPr>
            <w:tcW w:w="6911" w:type="dxa"/>
          </w:tcPr>
          <w:p w:rsidR="00A50C03" w:rsidRPr="0060667E" w:rsidRDefault="00A50C03" w:rsidP="00A50C03">
            <w:pPr>
              <w:cnfStyle w:val="000000000000"/>
              <w:rPr>
                <w:color w:val="000000"/>
              </w:rPr>
            </w:pPr>
            <w:r>
              <w:rPr>
                <w:rFonts w:cs="TimesNewRomanPSMT"/>
              </w:rPr>
              <w:t>p</w:t>
            </w:r>
            <w:r w:rsidRPr="0060667E">
              <w:rPr>
                <w:rFonts w:cs="TimesNewRomanPSMT"/>
              </w:rPr>
              <w:t>arallel group</w:t>
            </w:r>
          </w:p>
        </w:tc>
      </w:tr>
      <w:tr w:rsidR="00A50C03" w:rsidRPr="0060667E" w:rsidTr="00A50C03">
        <w:tc>
          <w:tcPr>
            <w:cnfStyle w:val="001000000000"/>
            <w:tcW w:w="1890" w:type="dxa"/>
          </w:tcPr>
          <w:p w:rsidR="00A50C03" w:rsidRPr="0060667E" w:rsidRDefault="00A50C03" w:rsidP="00A50C03">
            <w:pPr>
              <w:rPr>
                <w:color w:val="000000"/>
              </w:rPr>
            </w:pPr>
            <w:r w:rsidRPr="0060667E">
              <w:rPr>
                <w:rFonts w:cs="TimesNewRomanPSMT"/>
              </w:rPr>
              <w:t>PHE</w:t>
            </w:r>
          </w:p>
        </w:tc>
        <w:tc>
          <w:tcPr>
            <w:tcW w:w="6911" w:type="dxa"/>
          </w:tcPr>
          <w:p w:rsidR="00A50C03" w:rsidRPr="0060667E" w:rsidRDefault="00A50C03" w:rsidP="00A50C03">
            <w:pPr>
              <w:cnfStyle w:val="000000000000"/>
              <w:rPr>
                <w:color w:val="000000"/>
              </w:rPr>
            </w:pPr>
            <w:proofErr w:type="spellStart"/>
            <w:r>
              <w:rPr>
                <w:rFonts w:cs="TimesNewRomanPSMT"/>
              </w:rPr>
              <w:t>p</w:t>
            </w:r>
            <w:r w:rsidRPr="0060667E">
              <w:rPr>
                <w:rFonts w:cs="TimesNewRomanPSMT"/>
              </w:rPr>
              <w:t>henytoin</w:t>
            </w:r>
            <w:proofErr w:type="spellEnd"/>
          </w:p>
        </w:tc>
      </w:tr>
      <w:tr w:rsidR="00A50C03" w:rsidRPr="0060667E" w:rsidTr="00A50C03">
        <w:tc>
          <w:tcPr>
            <w:cnfStyle w:val="001000000000"/>
            <w:tcW w:w="1890" w:type="dxa"/>
          </w:tcPr>
          <w:p w:rsidR="00A50C03" w:rsidRPr="0060667E" w:rsidRDefault="00A50C03" w:rsidP="00A50C03">
            <w:pPr>
              <w:rPr>
                <w:color w:val="000000"/>
              </w:rPr>
            </w:pPr>
            <w:r w:rsidRPr="0060667E">
              <w:rPr>
                <w:rFonts w:cs="TimesNewRomanPSMT"/>
              </w:rPr>
              <w:t>RCT</w:t>
            </w:r>
          </w:p>
        </w:tc>
        <w:tc>
          <w:tcPr>
            <w:tcW w:w="6911" w:type="dxa"/>
          </w:tcPr>
          <w:p w:rsidR="00A50C03" w:rsidRPr="0060667E" w:rsidRDefault="00A50C03" w:rsidP="00A50C03">
            <w:pPr>
              <w:cnfStyle w:val="000000000000"/>
              <w:rPr>
                <w:color w:val="000000"/>
              </w:rPr>
            </w:pPr>
            <w:r w:rsidRPr="0060667E">
              <w:rPr>
                <w:rFonts w:cs="TimesNewRomanPSMT"/>
              </w:rPr>
              <w:t xml:space="preserve">Randomised </w:t>
            </w:r>
            <w:r>
              <w:rPr>
                <w:rFonts w:cs="TimesNewRomanPSMT"/>
              </w:rPr>
              <w:t>C</w:t>
            </w:r>
            <w:r w:rsidRPr="0060667E">
              <w:rPr>
                <w:rFonts w:cs="TimesNewRomanPSMT"/>
              </w:rPr>
              <w:t xml:space="preserve">ontrolled </w:t>
            </w:r>
            <w:r>
              <w:rPr>
                <w:rFonts w:cs="TimesNewRomanPSMT"/>
              </w:rPr>
              <w:t>T</w:t>
            </w:r>
            <w:r w:rsidRPr="0060667E">
              <w:rPr>
                <w:rFonts w:cs="TimesNewRomanPSMT"/>
              </w:rPr>
              <w:t>rial</w:t>
            </w:r>
          </w:p>
        </w:tc>
      </w:tr>
      <w:tr w:rsidR="00A50C03" w:rsidRPr="0060667E" w:rsidTr="00A50C03">
        <w:tc>
          <w:tcPr>
            <w:cnfStyle w:val="001000000000"/>
            <w:tcW w:w="1890" w:type="dxa"/>
          </w:tcPr>
          <w:p w:rsidR="00A50C03" w:rsidRPr="0060667E" w:rsidRDefault="00A50C03" w:rsidP="00A50C03">
            <w:pPr>
              <w:rPr>
                <w:color w:val="000000"/>
              </w:rPr>
            </w:pPr>
            <w:r w:rsidRPr="0060667E">
              <w:rPr>
                <w:rFonts w:cs="TimesNewRomanPSMT"/>
              </w:rPr>
              <w:t>SAE</w:t>
            </w:r>
          </w:p>
        </w:tc>
        <w:tc>
          <w:tcPr>
            <w:tcW w:w="6911" w:type="dxa"/>
          </w:tcPr>
          <w:p w:rsidR="00A50C03" w:rsidRPr="0060667E" w:rsidRDefault="00A50C03" w:rsidP="00A50C03">
            <w:pPr>
              <w:cnfStyle w:val="000000000000"/>
              <w:rPr>
                <w:color w:val="000000"/>
              </w:rPr>
            </w:pPr>
            <w:r>
              <w:rPr>
                <w:rFonts w:cs="TimesNewRomanPSMT"/>
              </w:rPr>
              <w:t>s</w:t>
            </w:r>
            <w:r w:rsidRPr="0060667E">
              <w:rPr>
                <w:rFonts w:cs="TimesNewRomanPSMT"/>
              </w:rPr>
              <w:t>erious adverse event</w:t>
            </w:r>
          </w:p>
        </w:tc>
      </w:tr>
      <w:tr w:rsidR="00A50C03" w:rsidRPr="0060667E" w:rsidTr="00A50C03">
        <w:tc>
          <w:tcPr>
            <w:cnfStyle w:val="001000000000"/>
            <w:tcW w:w="1890" w:type="dxa"/>
          </w:tcPr>
          <w:p w:rsidR="00A50C03" w:rsidRPr="0060667E" w:rsidRDefault="00A50C03" w:rsidP="00A50C03">
            <w:pPr>
              <w:rPr>
                <w:color w:val="000000"/>
              </w:rPr>
            </w:pPr>
            <w:r w:rsidRPr="0060667E">
              <w:t>SD</w:t>
            </w:r>
          </w:p>
        </w:tc>
        <w:tc>
          <w:tcPr>
            <w:tcW w:w="6911" w:type="dxa"/>
          </w:tcPr>
          <w:p w:rsidR="00A50C03" w:rsidRPr="0060667E" w:rsidRDefault="00A50C03" w:rsidP="00A50C03">
            <w:pPr>
              <w:cnfStyle w:val="000000000000"/>
              <w:rPr>
                <w:color w:val="000000"/>
              </w:rPr>
            </w:pPr>
            <w:r>
              <w:t>s</w:t>
            </w:r>
            <w:r w:rsidRPr="0060667E">
              <w:t>tandard deviation</w:t>
            </w:r>
          </w:p>
        </w:tc>
      </w:tr>
      <w:tr w:rsidR="00A50C03" w:rsidRPr="0060667E" w:rsidTr="00A50C03">
        <w:tc>
          <w:tcPr>
            <w:cnfStyle w:val="001000000000"/>
            <w:tcW w:w="1890" w:type="dxa"/>
          </w:tcPr>
          <w:p w:rsidR="00A50C03" w:rsidRPr="0060667E" w:rsidRDefault="00A50C03" w:rsidP="00A50C03">
            <w:pPr>
              <w:rPr>
                <w:color w:val="000000"/>
              </w:rPr>
            </w:pPr>
            <w:r w:rsidRPr="0060667E">
              <w:t>SPS</w:t>
            </w:r>
          </w:p>
        </w:tc>
        <w:tc>
          <w:tcPr>
            <w:tcW w:w="6911" w:type="dxa"/>
          </w:tcPr>
          <w:p w:rsidR="00A50C03" w:rsidRPr="0060667E" w:rsidRDefault="00A50C03" w:rsidP="00A50C03">
            <w:pPr>
              <w:cnfStyle w:val="000000000000"/>
              <w:rPr>
                <w:color w:val="000000"/>
              </w:rPr>
            </w:pPr>
            <w:r w:rsidRPr="0060667E">
              <w:t>simple partial seizure</w:t>
            </w:r>
          </w:p>
        </w:tc>
      </w:tr>
      <w:tr w:rsidR="00A50C03" w:rsidRPr="0060667E" w:rsidTr="00A50C03">
        <w:tc>
          <w:tcPr>
            <w:cnfStyle w:val="001000000000"/>
            <w:tcW w:w="1890" w:type="dxa"/>
          </w:tcPr>
          <w:p w:rsidR="00A50C03" w:rsidRPr="0060667E" w:rsidRDefault="00A50C03" w:rsidP="00A50C03">
            <w:pPr>
              <w:rPr>
                <w:color w:val="000000"/>
              </w:rPr>
            </w:pPr>
            <w:r w:rsidRPr="0060667E">
              <w:t>TLE</w:t>
            </w:r>
          </w:p>
        </w:tc>
        <w:tc>
          <w:tcPr>
            <w:tcW w:w="6911" w:type="dxa"/>
          </w:tcPr>
          <w:p w:rsidR="00A50C03" w:rsidRPr="0060667E" w:rsidRDefault="00A50C03" w:rsidP="00A50C03">
            <w:pPr>
              <w:cnfStyle w:val="000000000000"/>
              <w:rPr>
                <w:color w:val="000000"/>
              </w:rPr>
            </w:pPr>
            <w:r w:rsidRPr="0060667E">
              <w:t>temporal lobe epilepsy</w:t>
            </w:r>
          </w:p>
        </w:tc>
      </w:tr>
      <w:tr w:rsidR="00A50C03" w:rsidRPr="0060667E" w:rsidTr="00A50C03">
        <w:tc>
          <w:tcPr>
            <w:cnfStyle w:val="001000000000"/>
            <w:tcW w:w="1890" w:type="dxa"/>
          </w:tcPr>
          <w:p w:rsidR="00A50C03" w:rsidRPr="0060667E" w:rsidRDefault="00A50C03" w:rsidP="00A50C03">
            <w:pPr>
              <w:rPr>
                <w:color w:val="000000"/>
              </w:rPr>
            </w:pPr>
            <w:r w:rsidRPr="0060667E">
              <w:t>TA</w:t>
            </w:r>
          </w:p>
        </w:tc>
        <w:tc>
          <w:tcPr>
            <w:tcW w:w="6911" w:type="dxa"/>
          </w:tcPr>
          <w:p w:rsidR="00A50C03" w:rsidRPr="0060667E" w:rsidRDefault="00A50C03" w:rsidP="00A50C03">
            <w:pPr>
              <w:cnfStyle w:val="000000000000"/>
              <w:rPr>
                <w:color w:val="000000"/>
              </w:rPr>
            </w:pPr>
            <w:r w:rsidRPr="0060667E">
              <w:t>total albumin</w:t>
            </w:r>
          </w:p>
        </w:tc>
      </w:tr>
      <w:tr w:rsidR="00A50C03" w:rsidRPr="0060667E" w:rsidTr="00A50C03">
        <w:tc>
          <w:tcPr>
            <w:cnfStyle w:val="001000000000"/>
            <w:tcW w:w="1890" w:type="dxa"/>
          </w:tcPr>
          <w:p w:rsidR="00A50C03" w:rsidRPr="0060667E" w:rsidRDefault="00A50C03" w:rsidP="00A50C03">
            <w:pPr>
              <w:rPr>
                <w:color w:val="000000"/>
              </w:rPr>
            </w:pPr>
            <w:r w:rsidRPr="0060667E">
              <w:t>T-3, T-4</w:t>
            </w:r>
          </w:p>
        </w:tc>
        <w:tc>
          <w:tcPr>
            <w:tcW w:w="6911" w:type="dxa"/>
          </w:tcPr>
          <w:p w:rsidR="00A50C03" w:rsidRPr="0060667E" w:rsidRDefault="00A50C03" w:rsidP="00A50C03">
            <w:pPr>
              <w:cnfStyle w:val="000000000000"/>
              <w:rPr>
                <w:color w:val="000000"/>
              </w:rPr>
            </w:pPr>
            <w:proofErr w:type="spellStart"/>
            <w:r w:rsidRPr="0060667E">
              <w:t>thyroxine</w:t>
            </w:r>
            <w:proofErr w:type="spellEnd"/>
          </w:p>
        </w:tc>
      </w:tr>
      <w:tr w:rsidR="00A50C03" w:rsidRPr="0060667E" w:rsidTr="00A50C03">
        <w:tc>
          <w:tcPr>
            <w:cnfStyle w:val="001000000000"/>
            <w:tcW w:w="1890" w:type="dxa"/>
          </w:tcPr>
          <w:p w:rsidR="00A50C03" w:rsidRPr="0060667E" w:rsidRDefault="00A50C03" w:rsidP="00A50C03">
            <w:pPr>
              <w:rPr>
                <w:color w:val="000000"/>
              </w:rPr>
            </w:pPr>
            <w:r w:rsidRPr="0060667E">
              <w:t>TSH</w:t>
            </w:r>
          </w:p>
        </w:tc>
        <w:tc>
          <w:tcPr>
            <w:tcW w:w="6911" w:type="dxa"/>
          </w:tcPr>
          <w:p w:rsidR="00A50C03" w:rsidRPr="0060667E" w:rsidRDefault="00A50C03" w:rsidP="00A50C03">
            <w:pPr>
              <w:cnfStyle w:val="000000000000"/>
              <w:rPr>
                <w:color w:val="000000"/>
              </w:rPr>
            </w:pPr>
            <w:r w:rsidRPr="0060667E">
              <w:t>thyroid stimulating hormone</w:t>
            </w:r>
          </w:p>
        </w:tc>
      </w:tr>
      <w:tr w:rsidR="00A50C03" w:rsidRPr="0060667E" w:rsidTr="00A50C03">
        <w:tc>
          <w:tcPr>
            <w:cnfStyle w:val="001000000000"/>
            <w:tcW w:w="1890" w:type="dxa"/>
          </w:tcPr>
          <w:p w:rsidR="00A50C03" w:rsidRPr="0060667E" w:rsidRDefault="00A50C03" w:rsidP="00A50C03">
            <w:pPr>
              <w:rPr>
                <w:color w:val="000000"/>
              </w:rPr>
            </w:pPr>
            <w:r w:rsidRPr="0060667E">
              <w:t>WISC-R</w:t>
            </w:r>
          </w:p>
        </w:tc>
        <w:tc>
          <w:tcPr>
            <w:tcW w:w="6911" w:type="dxa"/>
          </w:tcPr>
          <w:p w:rsidR="00A50C03" w:rsidRPr="0060667E" w:rsidRDefault="00A50C03" w:rsidP="00A50C03">
            <w:pPr>
              <w:cnfStyle w:val="000000000000"/>
              <w:rPr>
                <w:color w:val="000000"/>
              </w:rPr>
            </w:pPr>
            <w:r w:rsidRPr="0060667E">
              <w:t>Wechsler Intelligence Scale for Children-Revised</w:t>
            </w:r>
          </w:p>
        </w:tc>
      </w:tr>
    </w:tbl>
    <w:p w:rsidR="00A50C03" w:rsidRPr="00A50C03" w:rsidRDefault="00A50C03" w:rsidP="00A50C03">
      <w:pPr>
        <w:pStyle w:val="Heading2"/>
      </w:pPr>
      <w:bookmarkStart w:id="7" w:name="_Toc365022504"/>
      <w:bookmarkStart w:id="8" w:name="_Toc351718900"/>
      <w:bookmarkStart w:id="9" w:name="_Toc355338635"/>
      <w:bookmarkStart w:id="10" w:name="_Toc370902543"/>
      <w:bookmarkEnd w:id="2"/>
      <w:bookmarkEnd w:id="1"/>
      <w:bookmarkEnd w:id="0"/>
      <w:r w:rsidRPr="00A50C03">
        <w:t>Clinical rationale</w:t>
      </w:r>
      <w:bookmarkEnd w:id="7"/>
      <w:bookmarkEnd w:id="10"/>
    </w:p>
    <w:p w:rsidR="00A50C03" w:rsidRPr="00A50C03" w:rsidRDefault="00A50C03" w:rsidP="00821A2C">
      <w:r w:rsidRPr="00A50C03">
        <w:t>Epilepsy which is defined by the recurrence of spontaneous/unprovoked seizures – i.e. seizures not provoked by transient systemic, metabolic or toxic disorders – constitutes a vast ensemble of diverse clinical situations which differ by age of onset, type of seizures (only one or several type(s) in an individual patient), aetiological background, resulting handicap, prognosis and response to treatment.</w:t>
      </w:r>
    </w:p>
    <w:p w:rsidR="00A50C03" w:rsidRPr="00A50C03" w:rsidRDefault="00A50C03" w:rsidP="00821A2C">
      <w:r w:rsidRPr="00A50C03">
        <w:t>More than 50 million adults and children suffer from epilepsy world-wide. The two highest peaks of incidence are in children and in the elderly population (above 65 years). Prevalence estimates of epilepsy in the total population vary from 4 to 8 per l000 subjects.</w:t>
      </w:r>
    </w:p>
    <w:p w:rsidR="00A50C03" w:rsidRPr="00A50C03" w:rsidRDefault="00A50C03" w:rsidP="00821A2C">
      <w:r w:rsidRPr="00A50C03">
        <w:t xml:space="preserve">Clinical recurrent seizures are the primary marker of the condition. They are of several types as classified in the International Classification of Epileptic Seizures, mainly: generalised onset, focal onset, which may become secondarily generalised and unclassified seizures. </w:t>
      </w:r>
    </w:p>
    <w:p w:rsidR="00A50C03" w:rsidRPr="00A50C03" w:rsidRDefault="00A50C03" w:rsidP="00821A2C">
      <w:r w:rsidRPr="00A50C03">
        <w:t>In addition to the type of the seizures, electroencephalographic monitoring allows a definition of specific epilepsy syndromes which are listed in the International Classification of Epilepsies and Epilepsy syndromes. Many are age-dependent. Brain imaging may add to the aetiological diagnosis. Focal onset seizures, related to a focal brain dysfunction, occur in approximately 60% of cases and include symptomatic (lesion defined), cryptogenic (no lesion detected but probably symptomatic), and idiopathic forms. Generalised seizures represent approximately 30% of cases. They occur often in a non-</w:t>
      </w:r>
      <w:proofErr w:type="spellStart"/>
      <w:r w:rsidRPr="00A50C03">
        <w:t>lesional</w:t>
      </w:r>
      <w:proofErr w:type="spellEnd"/>
      <w:r w:rsidRPr="00A50C03">
        <w:t xml:space="preserve"> and genetic context; other cases are symptomatic or cryptogenic. In the remaining 10%, the classification is uncertain.</w:t>
      </w:r>
    </w:p>
    <w:p w:rsidR="00A50C03" w:rsidRPr="00A50C03" w:rsidRDefault="00A50C03" w:rsidP="00821A2C">
      <w:r w:rsidRPr="00A50C03">
        <w:t xml:space="preserve">The majority of paediatric epilepsies consist of age-dependent epilepsy syndromes whose manifestations are affected by ongoing brain maturation. That is the case for the most frequent paediatric idiopathic partial epilepsies (e.g. benign epilepsy with </w:t>
      </w:r>
      <w:proofErr w:type="spellStart"/>
      <w:r w:rsidRPr="00A50C03">
        <w:t>centrotemporal</w:t>
      </w:r>
      <w:proofErr w:type="spellEnd"/>
      <w:r w:rsidRPr="00A50C03">
        <w:t xml:space="preserve"> spikes) and for epilepsy syndromes (e.g. West syndrome/Infantile spasms, </w:t>
      </w:r>
      <w:proofErr w:type="spellStart"/>
      <w:r w:rsidRPr="00A50C03">
        <w:t>Dravet</w:t>
      </w:r>
      <w:proofErr w:type="spellEnd"/>
      <w:r w:rsidRPr="00A50C03">
        <w:t xml:space="preserve"> syndrome, Lennox- </w:t>
      </w:r>
      <w:proofErr w:type="spellStart"/>
      <w:r w:rsidRPr="00A50C03">
        <w:t>Gastaut</w:t>
      </w:r>
      <w:proofErr w:type="spellEnd"/>
      <w:r w:rsidRPr="00A50C03">
        <w:t xml:space="preserve"> syndrome, </w:t>
      </w:r>
      <w:proofErr w:type="spellStart"/>
      <w:r w:rsidRPr="00A50C03">
        <w:t>myoclonic-astatic</w:t>
      </w:r>
      <w:proofErr w:type="spellEnd"/>
      <w:r w:rsidRPr="00A50C03">
        <w:t xml:space="preserve"> epilepsy and Continuous Slow Waves during Sleep). Another major difference in paediatric and adult epilepsies is that some syndromes carry a grave prognosis for cognitive outcome due to the impact of epilepsy, the so-called epileptic </w:t>
      </w:r>
      <w:proofErr w:type="spellStart"/>
      <w:r w:rsidRPr="00A50C03">
        <w:t>encephalopathies</w:t>
      </w:r>
      <w:proofErr w:type="spellEnd"/>
      <w:r w:rsidRPr="00A50C03">
        <w:t xml:space="preserve">. Focal non-idiopathic epilepsies in childhood may also have an important impact on cognitive development if not treated early and appropriately. Some age-dependent epilepsy syndromes do not persist in adulthood (e.g. West syndrome or Benign epilepsy with </w:t>
      </w:r>
      <w:proofErr w:type="spellStart"/>
      <w:r w:rsidRPr="00A50C03">
        <w:t>centrotemporal</w:t>
      </w:r>
      <w:proofErr w:type="spellEnd"/>
      <w:r w:rsidRPr="00A50C03">
        <w:t xml:space="preserve"> spikes).</w:t>
      </w:r>
    </w:p>
    <w:p w:rsidR="00A50C03" w:rsidRPr="00A50C03" w:rsidRDefault="00A50C03" w:rsidP="00821A2C">
      <w:r w:rsidRPr="00A50C03">
        <w:t>Antiepileptic drugs (AEDs) are the main treatment option. Approximately 60% of newly diagnosed patients are seizure-free on a single AED (</w:t>
      </w:r>
      <w:proofErr w:type="spellStart"/>
      <w:r w:rsidRPr="00A50C03">
        <w:t>monotherapy</w:t>
      </w:r>
      <w:proofErr w:type="spellEnd"/>
      <w:r w:rsidRPr="00A50C03">
        <w:t xml:space="preserve">). An additional 10%-20% achieve freedom of seizure with </w:t>
      </w:r>
      <w:proofErr w:type="spellStart"/>
      <w:r w:rsidRPr="00A50C03">
        <w:t>polytherapy</w:t>
      </w:r>
      <w:proofErr w:type="spellEnd"/>
      <w:r w:rsidRPr="00A50C03">
        <w:t>. It follows that about 30% of patients are not satisfactorily controlled. In addition many patients suffer from significant adverse effects.</w:t>
      </w:r>
    </w:p>
    <w:p w:rsidR="00A50C03" w:rsidRPr="00A50C03" w:rsidRDefault="00A50C03" w:rsidP="00821A2C">
      <w:r w:rsidRPr="00A50C03">
        <w:t>Most AEDs have been evaluated in add-on studies in patients refractory to previous therapies. Typically, in these studies 20 to 40 percent of patients with focal epilepsy obtain a 50% or greater reduction in the frequency of seizures, compared to 2 to 25% of patients given placebo. However, very few patients become seizure-free, which is the ultimate goal.</w:t>
      </w:r>
      <w:r w:rsidRPr="00A50C03">
        <w:rPr>
          <w:vertAlign w:val="superscript"/>
        </w:rPr>
        <w:footnoteReference w:id="1"/>
      </w:r>
    </w:p>
    <w:p w:rsidR="00A50C03" w:rsidRPr="00A50C03" w:rsidRDefault="00A50C03" w:rsidP="00821A2C">
      <w:r w:rsidRPr="00A50C03">
        <w:t xml:space="preserve">Lennox </w:t>
      </w:r>
      <w:proofErr w:type="spellStart"/>
      <w:r w:rsidRPr="00A50C03">
        <w:t>Gastaut</w:t>
      </w:r>
      <w:proofErr w:type="spellEnd"/>
      <w:r w:rsidRPr="00A50C03">
        <w:t xml:space="preserve"> syndrome (LGS) is relatively uncommon but remains a significant management challenge. It is intractable, and has severe social and cognitive consequences. Lennox-</w:t>
      </w:r>
      <w:proofErr w:type="spellStart"/>
      <w:r w:rsidRPr="00A50C03">
        <w:t>Gastaut</w:t>
      </w:r>
      <w:proofErr w:type="spellEnd"/>
      <w:r w:rsidRPr="00A50C03">
        <w:t xml:space="preserve"> syndrome occurs in 3% of children with epilepsy and is characterized by multiple seizure types, slow spike-and-wave discharges and a poor prognosis for seizure control and cognitive development. The age of onset is usually between 2 and 8 years, with later onset being usually seen in those in whom an underlying cause is not demonstrated. Seizures causing falls are also very dangerous aspect of this disorder. Such events can lead to serious head injury and requires the wearing of protective helmets. These are referred to as “drop attacks” and are associated with tonic, </w:t>
      </w:r>
      <w:proofErr w:type="spellStart"/>
      <w:r w:rsidRPr="00A50C03">
        <w:t>atonic</w:t>
      </w:r>
      <w:proofErr w:type="spellEnd"/>
      <w:r w:rsidRPr="00A50C03">
        <w:t xml:space="preserve"> or </w:t>
      </w:r>
      <w:proofErr w:type="spellStart"/>
      <w:r w:rsidRPr="00A50C03">
        <w:t>myoclonic</w:t>
      </w:r>
      <w:proofErr w:type="spellEnd"/>
      <w:r w:rsidRPr="00A50C03">
        <w:t xml:space="preserve"> seizures. Seizures in LGS are considered to be intractable and are largely generalized in nature. LGS is associated with an encephalopathy in 78 to 96 percent of patients. LGS is associated with a distinctive EEG pattern, which helps in its diagnoses. LGS is frequently preceded by infantile spasms. Although it is a single syndrome entity, it may be associated with a number of causal aetiologies (e.g. </w:t>
      </w:r>
      <w:proofErr w:type="spellStart"/>
      <w:r w:rsidRPr="00A50C03">
        <w:t>perinatal</w:t>
      </w:r>
      <w:proofErr w:type="spellEnd"/>
      <w:r w:rsidRPr="00A50C03">
        <w:t xml:space="preserve"> hypoxia or ischemia, cerebral infections tuberous sclerosis etc.) or it may be cryptogenic, without any identifiable aetiology.</w:t>
      </w:r>
    </w:p>
    <w:p w:rsidR="00A50C03" w:rsidRPr="00A50C03" w:rsidRDefault="00A50C03" w:rsidP="00821A2C">
      <w:r w:rsidRPr="00A50C03">
        <w:t xml:space="preserve">Randomised controlled trials of adjunctive </w:t>
      </w:r>
      <w:proofErr w:type="spellStart"/>
      <w:r w:rsidRPr="00A50C03">
        <w:t>felbamate</w:t>
      </w:r>
      <w:proofErr w:type="spellEnd"/>
      <w:r w:rsidRPr="00A50C03">
        <w:t xml:space="preserve">, </w:t>
      </w:r>
      <w:proofErr w:type="spellStart"/>
      <w:r w:rsidRPr="00A50C03">
        <w:t>lamotrigine</w:t>
      </w:r>
      <w:proofErr w:type="spellEnd"/>
      <w:r w:rsidRPr="00A50C03">
        <w:t xml:space="preserve">, </w:t>
      </w:r>
      <w:proofErr w:type="spellStart"/>
      <w:r w:rsidRPr="00A50C03">
        <w:t>topiramate</w:t>
      </w:r>
      <w:proofErr w:type="spellEnd"/>
      <w:r w:rsidRPr="00A50C03">
        <w:t xml:space="preserve"> and </w:t>
      </w:r>
      <w:proofErr w:type="spellStart"/>
      <w:r w:rsidRPr="00A50C03">
        <w:t>rufinamide</w:t>
      </w:r>
      <w:proofErr w:type="spellEnd"/>
      <w:r w:rsidRPr="00A50C03">
        <w:t xml:space="preserve"> have demonstrated a &gt;50% reduction in seizure frequency, but very few children achieve complete seizure control and rarely, drugs that may be effective in the treatment of LGS may exacerbate certain epileptic syndromes such as </w:t>
      </w:r>
      <w:proofErr w:type="spellStart"/>
      <w:r w:rsidRPr="00A50C03">
        <w:t>myoclonic</w:t>
      </w:r>
      <w:proofErr w:type="spellEnd"/>
      <w:r w:rsidRPr="00A50C03">
        <w:t xml:space="preserve"> seizures in children with </w:t>
      </w:r>
      <w:proofErr w:type="spellStart"/>
      <w:r w:rsidRPr="00A50C03">
        <w:t>myoclonic</w:t>
      </w:r>
      <w:proofErr w:type="spellEnd"/>
      <w:r w:rsidRPr="00A50C03">
        <w:t xml:space="preserve"> </w:t>
      </w:r>
      <w:proofErr w:type="spellStart"/>
      <w:r w:rsidRPr="00A50C03">
        <w:t>astatic</w:t>
      </w:r>
      <w:proofErr w:type="spellEnd"/>
      <w:r w:rsidRPr="00A50C03">
        <w:t xml:space="preserve"> epilepsy.</w:t>
      </w:r>
      <w:r w:rsidRPr="00A50C03">
        <w:rPr>
          <w:vertAlign w:val="superscript"/>
        </w:rPr>
        <w:footnoteReference w:id="2"/>
      </w:r>
      <w:r w:rsidRPr="00A50C03">
        <w:t xml:space="preserve"> </w:t>
      </w:r>
    </w:p>
    <w:p w:rsidR="00A50C03" w:rsidRPr="00A50C03" w:rsidRDefault="00A50C03" w:rsidP="00821A2C">
      <w:r w:rsidRPr="00A50C03">
        <w:t>A Cochrane review of the treatment LGS concluded that the optimum treatment was uncertain and that no drug has been shown to be highly efficacious. Prognosis for complete seizure freedom is poor, with greater than 80% of patients suffering with seizures despite “optimal treatment.” Patients may maintain characteristics of the LGS as they mature into adulthood, but others may develop other sorts of seizure disorders. Also, the occurrence of seizures in a structurally and functionally maturing brain, can affect the normal development of children in the broadest sense.</w:t>
      </w:r>
    </w:p>
    <w:p w:rsidR="00A50C03" w:rsidRPr="00A50C03" w:rsidRDefault="00A50C03" w:rsidP="00821A2C">
      <w:r w:rsidRPr="00A50C03">
        <w:t xml:space="preserve">Benzodiazepines enhance GABA-A inhibition resulting in </w:t>
      </w:r>
      <w:proofErr w:type="spellStart"/>
      <w:r w:rsidRPr="00A50C03">
        <w:t>pharmacodynamic</w:t>
      </w:r>
      <w:proofErr w:type="spellEnd"/>
      <w:r w:rsidRPr="00A50C03">
        <w:t xml:space="preserve"> activity against a seizure final common pathway. The 1,4-benzodiazepines, such as diazepam, have an established role in the acute management of epileptic seizures, however the 1,5-benzodiazepine </w:t>
      </w:r>
      <w:proofErr w:type="spellStart"/>
      <w:r w:rsidRPr="00A50C03">
        <w:t>clobazam</w:t>
      </w:r>
      <w:proofErr w:type="spellEnd"/>
      <w:r w:rsidRPr="00A50C03">
        <w:t xml:space="preserve"> has a unique chemical structure which results in a broader spectrum of antiepileptic activity, inhibiting the spread of seizures and increasing the seizure threshold, compared to the 1,4-benzodiazepines. The 1,4-benzodiazepines have other disadvantages such as the retention of diazepam in fat stores and the short half-life of </w:t>
      </w:r>
      <w:proofErr w:type="spellStart"/>
      <w:r w:rsidRPr="00A50C03">
        <w:t>lorazepam</w:t>
      </w:r>
      <w:proofErr w:type="spellEnd"/>
      <w:r w:rsidRPr="00A50C03">
        <w:t xml:space="preserve">. </w:t>
      </w:r>
      <w:proofErr w:type="spellStart"/>
      <w:r w:rsidRPr="00A50C03">
        <w:t>Clobazam</w:t>
      </w:r>
      <w:proofErr w:type="spellEnd"/>
      <w:r w:rsidRPr="00A50C03">
        <w:t xml:space="preserve"> is a 1,5-benzodiazepine licensed as an </w:t>
      </w:r>
      <w:proofErr w:type="spellStart"/>
      <w:r w:rsidRPr="00A50C03">
        <w:t>anxiolytic</w:t>
      </w:r>
      <w:proofErr w:type="spellEnd"/>
      <w:r w:rsidRPr="00A50C03">
        <w:t xml:space="preserve"> in Australia and world-wide since the 1970s. The problems with 1,4-benzodiazepines are not encountered with </w:t>
      </w:r>
      <w:proofErr w:type="spellStart"/>
      <w:r w:rsidRPr="00A50C03">
        <w:t>clobazam</w:t>
      </w:r>
      <w:proofErr w:type="spellEnd"/>
      <w:r w:rsidRPr="00A50C03">
        <w:t xml:space="preserve"> as the half-life of the active metabolite is between 35 and 133 hours, resulting in a steady state relative concentration of </w:t>
      </w:r>
      <w:proofErr w:type="spellStart"/>
      <w:r w:rsidRPr="00A50C03">
        <w:t>clobazam</w:t>
      </w:r>
      <w:proofErr w:type="spellEnd"/>
      <w:r w:rsidRPr="00A50C03">
        <w:t xml:space="preserve">. </w:t>
      </w:r>
    </w:p>
    <w:p w:rsidR="00A50C03" w:rsidRPr="00A50C03" w:rsidRDefault="00A50C03" w:rsidP="00821A2C">
      <w:r w:rsidRPr="00A50C03">
        <w:t xml:space="preserve">Concerning the clinical efficacy of </w:t>
      </w:r>
      <w:proofErr w:type="spellStart"/>
      <w:r w:rsidRPr="00A50C03">
        <w:t>clobazam</w:t>
      </w:r>
      <w:proofErr w:type="spellEnd"/>
      <w:r w:rsidRPr="00A50C03">
        <w:t xml:space="preserve">, the short-term efficacy has been widely studied but drug tolerance may be reported after long-term administration. </w:t>
      </w:r>
    </w:p>
    <w:p w:rsidR="00A50C03" w:rsidRPr="00A50C03" w:rsidRDefault="00A50C03" w:rsidP="00821A2C">
      <w:pPr>
        <w:pStyle w:val="Heading2"/>
      </w:pPr>
      <w:bookmarkStart w:id="11" w:name="_Toc365022505"/>
      <w:bookmarkStart w:id="12" w:name="_Toc370902544"/>
      <w:r w:rsidRPr="00A50C03">
        <w:t>Contents of the clinical dossier</w:t>
      </w:r>
      <w:bookmarkEnd w:id="8"/>
      <w:bookmarkEnd w:id="9"/>
      <w:bookmarkEnd w:id="11"/>
      <w:bookmarkEnd w:id="12"/>
    </w:p>
    <w:p w:rsidR="00A50C03" w:rsidRPr="00A50C03" w:rsidRDefault="00A50C03" w:rsidP="00821A2C">
      <w:pPr>
        <w:pStyle w:val="Heading3"/>
      </w:pPr>
      <w:bookmarkStart w:id="13" w:name="_Toc365022506"/>
      <w:bookmarkStart w:id="14" w:name="_Toc370902545"/>
      <w:r w:rsidRPr="00A50C03">
        <w:t>Scope of the clinical dossier</w:t>
      </w:r>
      <w:bookmarkEnd w:id="13"/>
      <w:bookmarkEnd w:id="14"/>
    </w:p>
    <w:p w:rsidR="00A50C03" w:rsidRPr="00A50C03" w:rsidRDefault="00A50C03" w:rsidP="00821A2C">
      <w:r w:rsidRPr="00A50C03">
        <w:t>The clinical overview references data from a wide variety of clinical trials of variable quality from the 1970s to the present. The clinical development strategy relates to a post hoc selection of appropriate data. Supportive data from adult studies are also used.</w:t>
      </w:r>
    </w:p>
    <w:p w:rsidR="00A50C03" w:rsidRPr="00A50C03" w:rsidRDefault="00A50C03" w:rsidP="00821A2C">
      <w:r w:rsidRPr="00A50C03">
        <w:t>The submission contains the following clinical information:</w:t>
      </w:r>
    </w:p>
    <w:p w:rsidR="00A50C03" w:rsidRPr="00A50C03" w:rsidRDefault="00A50C03" w:rsidP="00821A2C">
      <w:pPr>
        <w:pStyle w:val="ListBullet"/>
      </w:pPr>
      <w:r w:rsidRPr="00A50C03">
        <w:t xml:space="preserve">Early studies where </w:t>
      </w:r>
      <w:proofErr w:type="spellStart"/>
      <w:r w:rsidRPr="00A50C03">
        <w:t>clobazam</w:t>
      </w:r>
      <w:proofErr w:type="spellEnd"/>
      <w:r w:rsidRPr="00A50C03">
        <w:t xml:space="preserve"> was used as an </w:t>
      </w:r>
      <w:proofErr w:type="spellStart"/>
      <w:r w:rsidRPr="00A50C03">
        <w:t>anxiolytic</w:t>
      </w:r>
      <w:proofErr w:type="spellEnd"/>
      <w:r w:rsidRPr="00A50C03">
        <w:t xml:space="preserve">: </w:t>
      </w:r>
    </w:p>
    <w:p w:rsidR="00A50C03" w:rsidRPr="00A50C03" w:rsidRDefault="00A50C03" w:rsidP="00821A2C">
      <w:pPr>
        <w:pStyle w:val="ListBullet2"/>
      </w:pPr>
      <w:proofErr w:type="spellStart"/>
      <w:r w:rsidRPr="00A50C03">
        <w:t>Clobazam</w:t>
      </w:r>
      <w:proofErr w:type="spellEnd"/>
      <w:r w:rsidRPr="00A50C03">
        <w:t xml:space="preserve"> was initially developed and licensed as an </w:t>
      </w:r>
      <w:proofErr w:type="spellStart"/>
      <w:r w:rsidRPr="00A50C03">
        <w:t>anxiolytic</w:t>
      </w:r>
      <w:proofErr w:type="spellEnd"/>
      <w:r w:rsidRPr="00A50C03">
        <w:t xml:space="preserve"> in the 1970s-80s. The original registration studies were performed to the practice standards of the time, but included 11 RCTs of parallel group, double blind design. These included three pivotal studies versus placebo and 7 comparative studies versus either placebo and/or diazepam. Approximately 1527 patients aged 17-77 were involved. The efficacy and safety profile as an </w:t>
      </w:r>
      <w:proofErr w:type="spellStart"/>
      <w:r w:rsidRPr="00A50C03">
        <w:t>anxiolytic</w:t>
      </w:r>
      <w:proofErr w:type="spellEnd"/>
      <w:r w:rsidRPr="00A50C03">
        <w:t xml:space="preserve"> and antiepileptic drug (AED) relate to the </w:t>
      </w:r>
      <w:proofErr w:type="spellStart"/>
      <w:r w:rsidRPr="00A50C03">
        <w:t>pharmacodynamic</w:t>
      </w:r>
      <w:proofErr w:type="spellEnd"/>
      <w:r w:rsidRPr="00A50C03">
        <w:t xml:space="preserve"> effects on enhancing GABA-A inhibition. Some data from the </w:t>
      </w:r>
      <w:proofErr w:type="spellStart"/>
      <w:r w:rsidRPr="00A50C03">
        <w:t>anxiolytic</w:t>
      </w:r>
      <w:proofErr w:type="spellEnd"/>
      <w:r w:rsidRPr="00A50C03">
        <w:t xml:space="preserve"> studies are therefore referred to in support of this application, in particular where they involved infants and children.</w:t>
      </w:r>
    </w:p>
    <w:p w:rsidR="00A50C03" w:rsidRPr="00A50C03" w:rsidRDefault="00A50C03" w:rsidP="00821A2C">
      <w:pPr>
        <w:pStyle w:val="ListBullet"/>
      </w:pPr>
      <w:r w:rsidRPr="00A50C03">
        <w:t>Early Development in epilepsy:</w:t>
      </w:r>
    </w:p>
    <w:p w:rsidR="00A50C03" w:rsidRPr="00A50C03" w:rsidRDefault="00A50C03" w:rsidP="00821A2C">
      <w:pPr>
        <w:pStyle w:val="ListBullet2"/>
      </w:pPr>
      <w:r w:rsidRPr="00A50C03">
        <w:t>Including many open and retrospective studies which provide some supportive safety data.</w:t>
      </w:r>
    </w:p>
    <w:p w:rsidR="00A50C03" w:rsidRPr="00A50C03" w:rsidRDefault="00A50C03" w:rsidP="00821A2C">
      <w:pPr>
        <w:pStyle w:val="ListBullet"/>
      </w:pPr>
      <w:r w:rsidRPr="00A50C03">
        <w:t>Data included in the 1995 submission:</w:t>
      </w:r>
    </w:p>
    <w:p w:rsidR="00A50C03" w:rsidRPr="00A50C03" w:rsidRDefault="00A50C03" w:rsidP="00821A2C">
      <w:pPr>
        <w:pStyle w:val="ListBullet2"/>
      </w:pPr>
      <w:r w:rsidRPr="00A50C03">
        <w:t xml:space="preserve">Eight placebo controlled RCTs were included in the 1995 submission, but only 2 involved children. 15 open studies were also included, 10 of which involved children. Reference is made to the previous 1995 submission for a detailed overview of these studies. The relevant studies from the previous submission have been re-assessed to provide a mixture of pivotal and supportive data for this application. </w:t>
      </w:r>
    </w:p>
    <w:p w:rsidR="00A50C03" w:rsidRPr="00A50C03" w:rsidRDefault="00A50C03" w:rsidP="00821A2C">
      <w:pPr>
        <w:pStyle w:val="ListBullet"/>
      </w:pPr>
      <w:r w:rsidRPr="00A50C03">
        <w:t>New Data:</w:t>
      </w:r>
    </w:p>
    <w:p w:rsidR="00A50C03" w:rsidRPr="00A50C03" w:rsidRDefault="00A50C03" w:rsidP="00821A2C">
      <w:pPr>
        <w:pStyle w:val="ListBullet2"/>
      </w:pPr>
      <w:r w:rsidRPr="00A50C03">
        <w:t>Data from three new RCTs in paediatric patients are included in the Clinical Overview.</w:t>
      </w:r>
    </w:p>
    <w:p w:rsidR="00A50C03" w:rsidRPr="00A50C03" w:rsidRDefault="00A50C03" w:rsidP="00821A2C">
      <w:pPr>
        <w:pStyle w:val="ListBullet2"/>
      </w:pPr>
      <w:r w:rsidRPr="00A50C03">
        <w:t>Data from several recent non controlled clinical trials, some in refractory partial epilepsy are provided.</w:t>
      </w:r>
    </w:p>
    <w:p w:rsidR="00A50C03" w:rsidRPr="00A50C03" w:rsidRDefault="00A50C03" w:rsidP="00821A2C">
      <w:pPr>
        <w:pStyle w:val="ListBullet2"/>
      </w:pPr>
      <w:r w:rsidRPr="00A50C03">
        <w:t>Data derived from reviews and meta analyses.</w:t>
      </w:r>
    </w:p>
    <w:p w:rsidR="00A50C03" w:rsidRPr="00A50C03" w:rsidRDefault="00A50C03" w:rsidP="00821A2C">
      <w:pPr>
        <w:pStyle w:val="ListBullet"/>
      </w:pPr>
      <w:r w:rsidRPr="00A50C03">
        <w:t>Safety Data:</w:t>
      </w:r>
    </w:p>
    <w:p w:rsidR="00A50C03" w:rsidRPr="00A50C03" w:rsidRDefault="00A50C03" w:rsidP="00821A2C">
      <w:pPr>
        <w:pStyle w:val="ListBullet2"/>
      </w:pPr>
      <w:r w:rsidRPr="00A50C03">
        <w:t>Safety data from the clinical trials outlined above have been supplemented by data from the worldwide safety database of the sponsor company. A targeted literature search related to thyroid adenomas is presented.</w:t>
      </w:r>
    </w:p>
    <w:p w:rsidR="00A50C03" w:rsidRPr="00A50C03" w:rsidRDefault="00A50C03" w:rsidP="00821A2C">
      <w:pPr>
        <w:pStyle w:val="ListBullet"/>
      </w:pPr>
      <w:r w:rsidRPr="00A50C03">
        <w:t>Additional supportive data:</w:t>
      </w:r>
    </w:p>
    <w:p w:rsidR="00A50C03" w:rsidRPr="00A50C03" w:rsidRDefault="00A50C03" w:rsidP="00821A2C">
      <w:pPr>
        <w:pStyle w:val="ListBullet2"/>
      </w:pPr>
      <w:r w:rsidRPr="00A50C03">
        <w:t>Reference is made to appropriate best practice guidelines and the endorsement of Australian expert opinions</w:t>
      </w:r>
    </w:p>
    <w:p w:rsidR="00A50C03" w:rsidRPr="00821A2C" w:rsidRDefault="00A50C03" w:rsidP="00821A2C">
      <w:pPr>
        <w:ind w:left="360"/>
        <w:rPr>
          <w:i/>
        </w:rPr>
      </w:pPr>
      <w:r w:rsidRPr="00821A2C">
        <w:rPr>
          <w:i/>
        </w:rPr>
        <w:t xml:space="preserve">Comment: The evaluator considered the appropriateness of designating the </w:t>
      </w:r>
      <w:proofErr w:type="spellStart"/>
      <w:r w:rsidRPr="00821A2C">
        <w:rPr>
          <w:i/>
        </w:rPr>
        <w:t>monotherapy</w:t>
      </w:r>
      <w:proofErr w:type="spellEnd"/>
      <w:r w:rsidRPr="00821A2C">
        <w:rPr>
          <w:i/>
        </w:rPr>
        <w:t xml:space="preserve"> study</w:t>
      </w:r>
      <w:r w:rsidRPr="00821A2C">
        <w:rPr>
          <w:i/>
          <w:vertAlign w:val="superscript"/>
        </w:rPr>
        <w:footnoteReference w:id="3"/>
      </w:r>
      <w:r w:rsidRPr="00821A2C">
        <w:rPr>
          <w:i/>
        </w:rPr>
        <w:t xml:space="preserve"> as pivotal. The specific indication sought by the sponsor in this submission is to include adjunctive therapy in paediatric patients with refractory epilepsy who are not adequately stabilized with their current anticonvulsant therapy. The study was a </w:t>
      </w:r>
      <w:proofErr w:type="spellStart"/>
      <w:r w:rsidRPr="00821A2C">
        <w:rPr>
          <w:i/>
        </w:rPr>
        <w:t>monotherapy</w:t>
      </w:r>
      <w:proofErr w:type="spellEnd"/>
      <w:r w:rsidRPr="00821A2C">
        <w:rPr>
          <w:i/>
        </w:rPr>
        <w:t xml:space="preserve"> study with two parts: a </w:t>
      </w:r>
      <w:proofErr w:type="spellStart"/>
      <w:r w:rsidRPr="00821A2C">
        <w:rPr>
          <w:i/>
        </w:rPr>
        <w:t>monotherapy</w:t>
      </w:r>
      <w:proofErr w:type="spellEnd"/>
      <w:r w:rsidRPr="00821A2C">
        <w:rPr>
          <w:i/>
        </w:rPr>
        <w:t xml:space="preserve"> study in a heterogeneous group of patients with drug naive epilepsy, and another form of </w:t>
      </w:r>
      <w:proofErr w:type="spellStart"/>
      <w:r w:rsidRPr="00821A2C">
        <w:rPr>
          <w:i/>
        </w:rPr>
        <w:t>monotherapy</w:t>
      </w:r>
      <w:proofErr w:type="spellEnd"/>
      <w:r w:rsidRPr="00821A2C">
        <w:rPr>
          <w:i/>
        </w:rPr>
        <w:t xml:space="preserve"> conversion study with two arms. The </w:t>
      </w:r>
      <w:proofErr w:type="spellStart"/>
      <w:r w:rsidRPr="00821A2C">
        <w:rPr>
          <w:i/>
        </w:rPr>
        <w:t>monotherapy</w:t>
      </w:r>
      <w:proofErr w:type="spellEnd"/>
      <w:r w:rsidRPr="00821A2C">
        <w:rPr>
          <w:i/>
        </w:rPr>
        <w:t xml:space="preserve"> conversion group included patients with previous treatment failure with one AED because of poor seizure control or patients with one or two previous AEDs due to side effects. Those in the previously treated group were assigned to one of two study arms previous failure with </w:t>
      </w:r>
      <w:proofErr w:type="spellStart"/>
      <w:r w:rsidRPr="00821A2C">
        <w:rPr>
          <w:i/>
        </w:rPr>
        <w:t>carbamazepine</w:t>
      </w:r>
      <w:proofErr w:type="spellEnd"/>
      <w:r w:rsidRPr="00821A2C">
        <w:rPr>
          <w:i/>
        </w:rPr>
        <w:t xml:space="preserve"> (CZP) or with other AEDs. Those in the CZP failure group were randomised to receive </w:t>
      </w:r>
      <w:proofErr w:type="spellStart"/>
      <w:r w:rsidRPr="00821A2C">
        <w:rPr>
          <w:i/>
        </w:rPr>
        <w:t>clobazam</w:t>
      </w:r>
      <w:proofErr w:type="spellEnd"/>
      <w:r w:rsidRPr="00821A2C">
        <w:rPr>
          <w:i/>
        </w:rPr>
        <w:t xml:space="preserve"> versus </w:t>
      </w:r>
      <w:proofErr w:type="spellStart"/>
      <w:r w:rsidRPr="00821A2C">
        <w:rPr>
          <w:i/>
        </w:rPr>
        <w:t>phenytoin</w:t>
      </w:r>
      <w:proofErr w:type="spellEnd"/>
      <w:r w:rsidRPr="00821A2C">
        <w:rPr>
          <w:i/>
        </w:rPr>
        <w:t xml:space="preserve"> (PHE). Those in the “other” failure group were randomised to receive </w:t>
      </w:r>
      <w:proofErr w:type="spellStart"/>
      <w:r w:rsidRPr="00821A2C">
        <w:rPr>
          <w:i/>
        </w:rPr>
        <w:t>clobazam</w:t>
      </w:r>
      <w:proofErr w:type="spellEnd"/>
      <w:r w:rsidRPr="00821A2C">
        <w:rPr>
          <w:i/>
        </w:rPr>
        <w:t xml:space="preserve"> versus CZP. </w:t>
      </w:r>
    </w:p>
    <w:p w:rsidR="00A50C03" w:rsidRPr="00821A2C" w:rsidRDefault="00A50C03" w:rsidP="00821A2C">
      <w:pPr>
        <w:ind w:left="360"/>
        <w:rPr>
          <w:i/>
        </w:rPr>
      </w:pPr>
      <w:r w:rsidRPr="00821A2C">
        <w:rPr>
          <w:i/>
        </w:rPr>
        <w:t xml:space="preserve">For a </w:t>
      </w:r>
      <w:proofErr w:type="spellStart"/>
      <w:r w:rsidRPr="00821A2C">
        <w:rPr>
          <w:i/>
        </w:rPr>
        <w:t>monotherapy</w:t>
      </w:r>
      <w:proofErr w:type="spellEnd"/>
      <w:r w:rsidRPr="00821A2C">
        <w:rPr>
          <w:i/>
        </w:rPr>
        <w:t xml:space="preserve"> study there are a number of methodological issues according to the European Medicines Agency (EMA) Guideline on clinical investigation of medicinal products in the treatment of epileptic disorders.</w:t>
      </w:r>
      <w:r w:rsidRPr="00821A2C">
        <w:rPr>
          <w:i/>
          <w:vertAlign w:val="superscript"/>
        </w:rPr>
        <w:footnoteReference w:id="4"/>
      </w:r>
    </w:p>
    <w:p w:rsidR="00A50C03" w:rsidRPr="00821A2C" w:rsidRDefault="00A50C03" w:rsidP="00821A2C">
      <w:pPr>
        <w:ind w:left="360"/>
        <w:rPr>
          <w:i/>
        </w:rPr>
      </w:pPr>
      <w:r w:rsidRPr="00821A2C">
        <w:rPr>
          <w:i/>
        </w:rPr>
        <w:t>It is recommended that idiopathic generalised epilepsies should be explored separately (primary generalised epilepsies accounted for 11.2% overall).</w:t>
      </w:r>
    </w:p>
    <w:p w:rsidR="00A50C03" w:rsidRPr="00821A2C" w:rsidRDefault="00A50C03" w:rsidP="00821A2C">
      <w:pPr>
        <w:ind w:left="360"/>
        <w:rPr>
          <w:i/>
        </w:rPr>
      </w:pPr>
      <w:r w:rsidRPr="00821A2C">
        <w:rPr>
          <w:i/>
        </w:rPr>
        <w:t xml:space="preserve">In </w:t>
      </w:r>
      <w:proofErr w:type="spellStart"/>
      <w:r w:rsidRPr="00821A2C">
        <w:rPr>
          <w:i/>
        </w:rPr>
        <w:t>monotherapy</w:t>
      </w:r>
      <w:proofErr w:type="spellEnd"/>
      <w:r w:rsidRPr="00821A2C">
        <w:rPr>
          <w:i/>
        </w:rPr>
        <w:t xml:space="preserve"> studies, the primary efficacy variable should be based on the proportion of patients remaining seizure free for at least 6 months. The </w:t>
      </w:r>
      <w:proofErr w:type="spellStart"/>
      <w:r w:rsidRPr="00821A2C">
        <w:rPr>
          <w:i/>
        </w:rPr>
        <w:t>monotherapy</w:t>
      </w:r>
      <w:proofErr w:type="spellEnd"/>
      <w:r w:rsidRPr="00821A2C">
        <w:rPr>
          <w:i/>
        </w:rPr>
        <w:t xml:space="preserve"> study</w:t>
      </w:r>
      <w:r w:rsidRPr="00821A2C">
        <w:rPr>
          <w:i/>
          <w:vertAlign w:val="superscript"/>
        </w:rPr>
        <w:footnoteReference w:id="5"/>
      </w:r>
      <w:r w:rsidRPr="00821A2C">
        <w:rPr>
          <w:i/>
        </w:rPr>
        <w:t xml:space="preserve"> included idiosyncratic endpoints of retention on the study medication for 12 months or discontinuation of the medication for any reason, including side effects or inadequate seizure control. Although it is suggested that in </w:t>
      </w:r>
      <w:proofErr w:type="spellStart"/>
      <w:r w:rsidRPr="00821A2C">
        <w:rPr>
          <w:i/>
        </w:rPr>
        <w:t>monotherapy</w:t>
      </w:r>
      <w:proofErr w:type="spellEnd"/>
      <w:r w:rsidRPr="00821A2C">
        <w:rPr>
          <w:i/>
        </w:rPr>
        <w:t xml:space="preserve"> conversion, a treatment retention time may be an acceptable primary outcome variable.</w:t>
      </w:r>
    </w:p>
    <w:p w:rsidR="00A50C03" w:rsidRPr="00821A2C" w:rsidRDefault="00A50C03" w:rsidP="00821A2C">
      <w:pPr>
        <w:ind w:left="360"/>
        <w:rPr>
          <w:i/>
        </w:rPr>
      </w:pPr>
      <w:r w:rsidRPr="00821A2C">
        <w:rPr>
          <w:i/>
        </w:rPr>
        <w:t xml:space="preserve">Given that the study is not a typical study and does not conform to EMA guidelines, it may not be considered pivotal but is very strongly supportive of the antiepileptic effect of </w:t>
      </w:r>
      <w:proofErr w:type="spellStart"/>
      <w:r w:rsidRPr="00821A2C">
        <w:rPr>
          <w:i/>
        </w:rPr>
        <w:t>clobazam</w:t>
      </w:r>
      <w:proofErr w:type="spellEnd"/>
      <w:r w:rsidRPr="00821A2C">
        <w:rPr>
          <w:i/>
        </w:rPr>
        <w:t xml:space="preserve"> in medium term use:</w:t>
      </w:r>
    </w:p>
    <w:p w:rsidR="00A50C03" w:rsidRPr="00821A2C" w:rsidRDefault="00A50C03" w:rsidP="00821A2C">
      <w:pPr>
        <w:ind w:left="360"/>
        <w:rPr>
          <w:i/>
        </w:rPr>
      </w:pPr>
      <w:r w:rsidRPr="00821A2C">
        <w:rPr>
          <w:i/>
        </w:rPr>
        <w:t xml:space="preserve">Patients were children and the majority had partial epilepsy syndromes, not LGS. More than half of the conversion to </w:t>
      </w:r>
      <w:proofErr w:type="spellStart"/>
      <w:r w:rsidRPr="00821A2C">
        <w:rPr>
          <w:i/>
        </w:rPr>
        <w:t>monotherapy</w:t>
      </w:r>
      <w:proofErr w:type="spellEnd"/>
      <w:r w:rsidRPr="00821A2C">
        <w:rPr>
          <w:i/>
        </w:rPr>
        <w:t xml:space="preserve"> group included patients who were refractory to one previous AED treatment.</w:t>
      </w:r>
    </w:p>
    <w:p w:rsidR="00A50C03" w:rsidRPr="00821A2C" w:rsidRDefault="00A50C03" w:rsidP="00821A2C">
      <w:pPr>
        <w:ind w:left="360"/>
        <w:rPr>
          <w:i/>
        </w:rPr>
      </w:pPr>
      <w:r w:rsidRPr="00821A2C">
        <w:rPr>
          <w:i/>
        </w:rPr>
        <w:t xml:space="preserve">A measure of drug tolerance to the antiepileptic effect of </w:t>
      </w:r>
      <w:proofErr w:type="spellStart"/>
      <w:r w:rsidRPr="00821A2C">
        <w:rPr>
          <w:i/>
        </w:rPr>
        <w:t>clobazam</w:t>
      </w:r>
      <w:proofErr w:type="spellEnd"/>
      <w:r w:rsidRPr="00821A2C">
        <w:rPr>
          <w:i/>
        </w:rPr>
        <w:t xml:space="preserve"> is measured and reported</w:t>
      </w:r>
    </w:p>
    <w:p w:rsidR="00A50C03" w:rsidRPr="00821A2C" w:rsidRDefault="00A50C03" w:rsidP="00821A2C">
      <w:pPr>
        <w:ind w:left="360"/>
        <w:rPr>
          <w:i/>
        </w:rPr>
      </w:pPr>
      <w:r w:rsidRPr="00821A2C">
        <w:rPr>
          <w:i/>
        </w:rPr>
        <w:t>The study is of sufficient duration (12 months).</w:t>
      </w:r>
    </w:p>
    <w:p w:rsidR="00A50C03" w:rsidRPr="00821A2C" w:rsidRDefault="00A50C03" w:rsidP="00821A2C">
      <w:pPr>
        <w:ind w:left="360"/>
        <w:rPr>
          <w:i/>
        </w:rPr>
      </w:pPr>
      <w:r w:rsidRPr="00821A2C">
        <w:rPr>
          <w:i/>
        </w:rPr>
        <w:t>The pivotal add on study by Ng and colleagues</w:t>
      </w:r>
      <w:r w:rsidRPr="00821A2C">
        <w:rPr>
          <w:i/>
          <w:vertAlign w:val="superscript"/>
        </w:rPr>
        <w:footnoteReference w:id="6"/>
      </w:r>
      <w:r w:rsidRPr="00821A2C">
        <w:rPr>
          <w:i/>
        </w:rPr>
        <w:t xml:space="preserve"> is highly relevant to the case for use of </w:t>
      </w:r>
      <w:proofErr w:type="spellStart"/>
      <w:r w:rsidRPr="00821A2C">
        <w:rPr>
          <w:i/>
        </w:rPr>
        <w:t>clobazam</w:t>
      </w:r>
      <w:proofErr w:type="spellEnd"/>
      <w:r w:rsidRPr="00821A2C">
        <w:rPr>
          <w:i/>
        </w:rPr>
        <w:t xml:space="preserve"> LGS epilepsy. This study does provide strong evidence for efficacy, dosing and safety in this very difficult rare form of childhood refractory epilepsy.</w:t>
      </w:r>
    </w:p>
    <w:p w:rsidR="00A50C03" w:rsidRPr="00821A2C" w:rsidRDefault="00A50C03" w:rsidP="00821A2C">
      <w:pPr>
        <w:ind w:left="360"/>
        <w:rPr>
          <w:i/>
        </w:rPr>
      </w:pPr>
      <w:r w:rsidRPr="00821A2C">
        <w:rPr>
          <w:i/>
        </w:rPr>
        <w:t xml:space="preserve">The study by </w:t>
      </w:r>
      <w:proofErr w:type="spellStart"/>
      <w:r w:rsidRPr="00821A2C">
        <w:rPr>
          <w:i/>
        </w:rPr>
        <w:t>Conry</w:t>
      </w:r>
      <w:proofErr w:type="spellEnd"/>
      <w:r w:rsidRPr="00821A2C">
        <w:rPr>
          <w:i/>
        </w:rPr>
        <w:t xml:space="preserve"> and colleagues</w:t>
      </w:r>
      <w:r w:rsidRPr="00821A2C">
        <w:rPr>
          <w:i/>
          <w:vertAlign w:val="superscript"/>
        </w:rPr>
        <w:footnoteReference w:id="7"/>
      </w:r>
      <w:r w:rsidRPr="00821A2C">
        <w:rPr>
          <w:i/>
        </w:rPr>
        <w:t xml:space="preserve"> was considered by the sponsor as a pivotal. However, it is not of typical design; that is, the study is of very short duration (the maintenance period was only 4 weeks) and uses an active LD control rather than placebo. It was designed as a “Phase II” multicentre, randomised, double blind, HD/LD comparison, parallel group study. According to EMA guidelines,</w:t>
      </w:r>
      <w:r w:rsidRPr="00821A2C">
        <w:rPr>
          <w:i/>
          <w:vertAlign w:val="superscript"/>
        </w:rPr>
        <w:footnoteReference w:id="8"/>
      </w:r>
      <w:r w:rsidRPr="00821A2C">
        <w:rPr>
          <w:i/>
        </w:rPr>
        <w:t xml:space="preserve"> a maintenance period should last at least 12 weeks in order to establish that “the efficacy is not short lasting” – a potential concern for </w:t>
      </w:r>
      <w:proofErr w:type="spellStart"/>
      <w:r w:rsidRPr="00821A2C">
        <w:rPr>
          <w:i/>
        </w:rPr>
        <w:t>clobazam</w:t>
      </w:r>
      <w:proofErr w:type="spellEnd"/>
      <w:r w:rsidRPr="00821A2C">
        <w:rPr>
          <w:i/>
        </w:rPr>
        <w:t xml:space="preserve"> especially. No data concerning potential rebound effects were generated. This study should also be considered strongly supportive. </w:t>
      </w:r>
    </w:p>
    <w:p w:rsidR="00A50C03" w:rsidRDefault="00A50C03" w:rsidP="00821A2C">
      <w:pPr>
        <w:ind w:left="360"/>
        <w:rPr>
          <w:i/>
        </w:rPr>
      </w:pPr>
      <w:r w:rsidRPr="00821A2C">
        <w:rPr>
          <w:i/>
        </w:rPr>
        <w:t xml:space="preserve">Comment: The most significant shortcoming in the development program is the absence of a study specifically examining the effects of add on </w:t>
      </w:r>
      <w:proofErr w:type="spellStart"/>
      <w:r w:rsidRPr="00821A2C">
        <w:rPr>
          <w:i/>
        </w:rPr>
        <w:t>clobazam</w:t>
      </w:r>
      <w:proofErr w:type="spellEnd"/>
      <w:r w:rsidRPr="00821A2C">
        <w:rPr>
          <w:i/>
        </w:rPr>
        <w:t xml:space="preserve"> for treatment of childhood refractory partial epilepsy compared to placebo – the indication for which is primarily being sought by the sponsor. The justification for extension of the indication to include childhood refractory epilepsy given by the sponsor is that LGS is a “worst case” test model for epilepsy therapies. This will be discussed later.</w:t>
      </w:r>
    </w:p>
    <w:p w:rsidR="00E91D7F" w:rsidRDefault="00E91D7F">
      <w:pPr>
        <w:spacing w:before="0" w:after="200" w:line="0" w:lineRule="auto"/>
        <w:rPr>
          <w:i/>
        </w:rPr>
      </w:pPr>
      <w:r>
        <w:rPr>
          <w:i/>
        </w:rPr>
        <w:br w:type="page"/>
      </w:r>
    </w:p>
    <w:p w:rsidR="00A50C03" w:rsidRPr="00A50C03" w:rsidRDefault="00A50C03" w:rsidP="00821A2C">
      <w:pPr>
        <w:pStyle w:val="TableTitle"/>
        <w:rPr>
          <w:lang w:val="en-GB"/>
        </w:rPr>
      </w:pPr>
      <w:r w:rsidRPr="00A50C03">
        <w:t xml:space="preserve">Table 1: Randomised Controlled Trials of </w:t>
      </w:r>
      <w:proofErr w:type="spellStart"/>
      <w:r w:rsidRPr="00A50C03">
        <w:t>clobazam</w:t>
      </w:r>
      <w:proofErr w:type="spellEnd"/>
      <w:r w:rsidRPr="00A50C03">
        <w:t xml:space="preserve"> in children providing evidence of </w:t>
      </w:r>
      <w:proofErr w:type="spellStart"/>
      <w:r w:rsidRPr="00A50C03">
        <w:t>clobazam</w:t>
      </w:r>
      <w:proofErr w:type="spellEnd"/>
      <w:r w:rsidRPr="00A50C03">
        <w:t xml:space="preserve"> efficacy (pivotal or strong supportive).</w:t>
      </w:r>
    </w:p>
    <w:p w:rsidR="00A50C03" w:rsidRPr="00A50C03" w:rsidRDefault="00A50C03" w:rsidP="00821A2C">
      <w:r>
        <w:rPr>
          <w:noProof/>
          <w:lang w:eastAsia="en-AU"/>
        </w:rPr>
        <w:drawing>
          <wp:inline distT="0" distB="0" distL="0" distR="0">
            <wp:extent cx="5727700" cy="3818255"/>
            <wp:effectExtent l="19050" t="0" r="6350" b="0"/>
            <wp:docPr id="170" name="Picture 170" descr="Table 1: Randomised Controlled Trials of clobazam in children providing evidence of clobazam efficacy (pivotal or strong suppor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Table 1: Randomised Controlled Trials of clobazam in children providing evidence of clobazam efficacy (pivotal or strong supportive)."/>
                    <pic:cNvPicPr>
                      <a:picLocks noChangeAspect="1" noChangeArrowheads="1"/>
                    </pic:cNvPicPr>
                  </pic:nvPicPr>
                  <pic:blipFill>
                    <a:blip r:embed="rId14" cstate="print"/>
                    <a:srcRect/>
                    <a:stretch>
                      <a:fillRect/>
                    </a:stretch>
                  </pic:blipFill>
                  <pic:spPr bwMode="auto">
                    <a:xfrm>
                      <a:off x="0" y="0"/>
                      <a:ext cx="5727700" cy="3818255"/>
                    </a:xfrm>
                    <a:prstGeom prst="rect">
                      <a:avLst/>
                    </a:prstGeom>
                    <a:noFill/>
                    <a:ln w="9525">
                      <a:noFill/>
                      <a:miter lim="800000"/>
                      <a:headEnd/>
                      <a:tailEnd/>
                    </a:ln>
                  </pic:spPr>
                </pic:pic>
              </a:graphicData>
            </a:graphic>
          </wp:inline>
        </w:drawing>
      </w:r>
    </w:p>
    <w:p w:rsidR="00A50C03" w:rsidRPr="00A50C03" w:rsidRDefault="00A50C03" w:rsidP="00821A2C">
      <w:r>
        <w:rPr>
          <w:noProof/>
          <w:lang w:eastAsia="en-AU"/>
        </w:rPr>
        <w:drawing>
          <wp:inline distT="0" distB="0" distL="0" distR="0">
            <wp:extent cx="5727700" cy="1002030"/>
            <wp:effectExtent l="19050" t="0" r="6350" b="0"/>
            <wp:docPr id="171" name="Picture 171" descr="Table 1: Randomised Controlled Trials of clobazam in children providing evidence of clobazam efficacy (pivotal or strong suppor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Table 1: Randomised Controlled Trials of clobazam in children providing evidence of clobazam efficacy (pivotal or strong supportive)."/>
                    <pic:cNvPicPr>
                      <a:picLocks noChangeAspect="1" noChangeArrowheads="1"/>
                    </pic:cNvPicPr>
                  </pic:nvPicPr>
                  <pic:blipFill>
                    <a:blip r:embed="rId15" cstate="print"/>
                    <a:srcRect/>
                    <a:stretch>
                      <a:fillRect/>
                    </a:stretch>
                  </pic:blipFill>
                  <pic:spPr bwMode="auto">
                    <a:xfrm>
                      <a:off x="0" y="0"/>
                      <a:ext cx="5727700" cy="1002030"/>
                    </a:xfrm>
                    <a:prstGeom prst="rect">
                      <a:avLst/>
                    </a:prstGeom>
                    <a:noFill/>
                    <a:ln w="9525">
                      <a:noFill/>
                      <a:miter lim="800000"/>
                      <a:headEnd/>
                      <a:tailEnd/>
                    </a:ln>
                  </pic:spPr>
                </pic:pic>
              </a:graphicData>
            </a:graphic>
          </wp:inline>
        </w:drawing>
      </w:r>
    </w:p>
    <w:p w:rsidR="00A50C03" w:rsidRPr="00E91D7F" w:rsidRDefault="00A50C03" w:rsidP="00E91D7F">
      <w:pPr>
        <w:pStyle w:val="TableDescription"/>
      </w:pPr>
      <w:r w:rsidRPr="00E91D7F">
        <w:t>CLB=</w:t>
      </w:r>
      <w:proofErr w:type="spellStart"/>
      <w:r w:rsidRPr="00E91D7F">
        <w:t>Clobazam</w:t>
      </w:r>
      <w:proofErr w:type="spellEnd"/>
      <w:r w:rsidRPr="00E91D7F">
        <w:t>. DB=Double blind. PC=placebo controlled. CO=cross-over. PG=parallel group. P=placebo. CZP=</w:t>
      </w:r>
      <w:proofErr w:type="spellStart"/>
      <w:r w:rsidRPr="00E91D7F">
        <w:t>Carbamazepine</w:t>
      </w:r>
      <w:proofErr w:type="spellEnd"/>
      <w:r w:rsidRPr="00E91D7F">
        <w:t>. PHE=</w:t>
      </w:r>
      <w:proofErr w:type="spellStart"/>
      <w:r w:rsidRPr="00E91D7F">
        <w:t>Phenytoin</w:t>
      </w:r>
      <w:proofErr w:type="spellEnd"/>
      <w:r w:rsidRPr="00E91D7F">
        <w:t>.</w:t>
      </w:r>
    </w:p>
    <w:p w:rsidR="00A50C03" w:rsidRPr="00A50C03" w:rsidRDefault="00A50C03" w:rsidP="004A6FD2">
      <w:pPr>
        <w:pStyle w:val="Heading3"/>
      </w:pPr>
      <w:bookmarkStart w:id="15" w:name="_Toc365022507"/>
      <w:bookmarkStart w:id="16" w:name="_Toc370902546"/>
      <w:r w:rsidRPr="00A50C03">
        <w:t>Paediatric data</w:t>
      </w:r>
      <w:bookmarkEnd w:id="15"/>
      <w:bookmarkEnd w:id="16"/>
    </w:p>
    <w:p w:rsidR="00A50C03" w:rsidRPr="00A50C03" w:rsidRDefault="00A50C03" w:rsidP="004A6FD2">
      <w:r w:rsidRPr="00A50C03">
        <w:t>The submission included paediatric efficacy/safety data.</w:t>
      </w:r>
    </w:p>
    <w:p w:rsidR="00A50C03" w:rsidRPr="00A50C03" w:rsidRDefault="00A50C03" w:rsidP="004A6FD2">
      <w:pPr>
        <w:pStyle w:val="Heading3"/>
      </w:pPr>
      <w:bookmarkStart w:id="17" w:name="_Toc365022508"/>
      <w:bookmarkStart w:id="18" w:name="_Toc370902547"/>
      <w:r w:rsidRPr="00A50C03">
        <w:t>Good clinical practice</w:t>
      </w:r>
      <w:bookmarkEnd w:id="17"/>
      <w:bookmarkEnd w:id="18"/>
    </w:p>
    <w:p w:rsidR="00A50C03" w:rsidRPr="00A50C03" w:rsidRDefault="00A50C03" w:rsidP="004A6FD2">
      <w:bookmarkStart w:id="19" w:name="_Toc241374282"/>
      <w:r w:rsidRPr="00A50C03">
        <w:t>The clinical studies in the submission complied with published guidelines CPMP/ICH/135/95 Note for Guidance on Good Clinical Practice (as annotated with TGA comments),</w:t>
      </w:r>
      <w:r w:rsidRPr="00A50C03">
        <w:rPr>
          <w:vertAlign w:val="superscript"/>
        </w:rPr>
        <w:footnoteReference w:id="9"/>
      </w:r>
      <w:r w:rsidRPr="00A50C03">
        <w:t xml:space="preserve"> including appropriate ethical standards.</w:t>
      </w:r>
    </w:p>
    <w:p w:rsidR="00A50C03" w:rsidRPr="00A50C03" w:rsidRDefault="00A50C03" w:rsidP="004A6FD2">
      <w:pPr>
        <w:pStyle w:val="Heading2"/>
      </w:pPr>
      <w:bookmarkStart w:id="20" w:name="_Toc355338639"/>
      <w:bookmarkStart w:id="21" w:name="_Toc365022509"/>
      <w:bookmarkStart w:id="22" w:name="_Toc370902548"/>
      <w:bookmarkEnd w:id="19"/>
      <w:r w:rsidRPr="00A50C03">
        <w:t>Pharmacokinetics</w:t>
      </w:r>
      <w:bookmarkEnd w:id="20"/>
      <w:bookmarkEnd w:id="21"/>
      <w:bookmarkEnd w:id="22"/>
      <w:r w:rsidRPr="00A50C03">
        <w:t xml:space="preserve"> </w:t>
      </w:r>
    </w:p>
    <w:p w:rsidR="00A50C03" w:rsidRPr="00A50C03" w:rsidRDefault="00A50C03" w:rsidP="004A6FD2">
      <w:r w:rsidRPr="00A50C03">
        <w:t>Not evaluated.</w:t>
      </w:r>
    </w:p>
    <w:p w:rsidR="00A50C03" w:rsidRPr="00A50C03" w:rsidRDefault="00A50C03" w:rsidP="004A6FD2">
      <w:pPr>
        <w:pStyle w:val="Heading2"/>
      </w:pPr>
      <w:bookmarkStart w:id="23" w:name="_Toc365022510"/>
      <w:bookmarkStart w:id="24" w:name="_Toc370902549"/>
      <w:proofErr w:type="spellStart"/>
      <w:r w:rsidRPr="00A50C03">
        <w:t>Pharmacodynamics</w:t>
      </w:r>
      <w:bookmarkEnd w:id="23"/>
      <w:bookmarkEnd w:id="24"/>
      <w:proofErr w:type="spellEnd"/>
    </w:p>
    <w:p w:rsidR="00A50C03" w:rsidRPr="00A50C03" w:rsidRDefault="00A50C03" w:rsidP="004A6FD2">
      <w:r w:rsidRPr="00A50C03">
        <w:t>Not evaluated.</w:t>
      </w:r>
    </w:p>
    <w:p w:rsidR="00A50C03" w:rsidRPr="00A50C03" w:rsidRDefault="00A50C03" w:rsidP="004A6FD2">
      <w:pPr>
        <w:pStyle w:val="Heading2"/>
      </w:pPr>
      <w:bookmarkStart w:id="25" w:name="_Toc365022511"/>
      <w:bookmarkStart w:id="26" w:name="_Toc370902550"/>
      <w:r w:rsidRPr="00A50C03">
        <w:t>Dosage selection for the pivotal studies</w:t>
      </w:r>
      <w:bookmarkEnd w:id="25"/>
      <w:bookmarkEnd w:id="26"/>
    </w:p>
    <w:p w:rsidR="00A50C03" w:rsidRPr="00A50C03" w:rsidRDefault="00A50C03" w:rsidP="004A6FD2">
      <w:r w:rsidRPr="00A50C03">
        <w:t>References and doses were:</w:t>
      </w:r>
    </w:p>
    <w:p w:rsidR="00A50C03" w:rsidRPr="00A50C03" w:rsidRDefault="00A50C03" w:rsidP="004A6FD2">
      <w:pPr>
        <w:pStyle w:val="ListBullet"/>
        <w:tabs>
          <w:tab w:val="left" w:pos="2835"/>
        </w:tabs>
      </w:pPr>
      <w:r w:rsidRPr="00A50C03">
        <w:t>Keene et al.</w:t>
      </w:r>
      <w:r w:rsidRPr="00A50C03">
        <w:rPr>
          <w:vertAlign w:val="superscript"/>
        </w:rPr>
        <w:footnoteReference w:id="10"/>
      </w:r>
      <w:r w:rsidR="004A6FD2">
        <w:tab/>
      </w:r>
      <w:r w:rsidRPr="00A50C03">
        <w:t>0.5mg/kg/d</w:t>
      </w:r>
    </w:p>
    <w:p w:rsidR="00A50C03" w:rsidRPr="00A50C03" w:rsidRDefault="00A50C03" w:rsidP="004A6FD2">
      <w:pPr>
        <w:pStyle w:val="ListBullet"/>
        <w:tabs>
          <w:tab w:val="left" w:pos="2835"/>
        </w:tabs>
      </w:pPr>
      <w:proofErr w:type="spellStart"/>
      <w:r w:rsidRPr="00A50C03">
        <w:t>Conry</w:t>
      </w:r>
      <w:proofErr w:type="spellEnd"/>
      <w:r w:rsidRPr="00A50C03">
        <w:t xml:space="preserve"> et al.</w:t>
      </w:r>
      <w:r w:rsidRPr="00A50C03">
        <w:rPr>
          <w:vertAlign w:val="superscript"/>
        </w:rPr>
        <w:footnoteReference w:id="11"/>
      </w:r>
      <w:r w:rsidR="004A6FD2">
        <w:tab/>
      </w:r>
      <w:r w:rsidRPr="00A50C03">
        <w:t xml:space="preserve">0.25mg/kg/d </w:t>
      </w:r>
      <w:proofErr w:type="spellStart"/>
      <w:r w:rsidRPr="00A50C03">
        <w:t>vs</w:t>
      </w:r>
      <w:proofErr w:type="spellEnd"/>
      <w:r w:rsidRPr="00A50C03">
        <w:t xml:space="preserve"> 1.0mg/kg/d</w:t>
      </w:r>
    </w:p>
    <w:p w:rsidR="00A50C03" w:rsidRPr="00A50C03" w:rsidRDefault="00A50C03" w:rsidP="004A6FD2">
      <w:pPr>
        <w:pStyle w:val="ListBullet"/>
        <w:tabs>
          <w:tab w:val="left" w:pos="2835"/>
        </w:tabs>
      </w:pPr>
      <w:r w:rsidRPr="00A50C03">
        <w:t>Ng et al.</w:t>
      </w:r>
      <w:r w:rsidRPr="00A50C03">
        <w:rPr>
          <w:vertAlign w:val="superscript"/>
        </w:rPr>
        <w:footnoteReference w:id="12"/>
      </w:r>
      <w:r w:rsidR="004A6FD2">
        <w:tab/>
      </w:r>
      <w:r w:rsidRPr="00A50C03">
        <w:t>0.25mg/kg/d, 0.5mg/kg/d, and 1.0mg/kg/d</w:t>
      </w:r>
    </w:p>
    <w:p w:rsidR="00A50C03" w:rsidRPr="00A50C03" w:rsidRDefault="00A50C03" w:rsidP="004A6FD2">
      <w:pPr>
        <w:pStyle w:val="ListBullet"/>
        <w:tabs>
          <w:tab w:val="left" w:pos="2835"/>
        </w:tabs>
      </w:pPr>
      <w:r w:rsidRPr="00A50C03">
        <w:t>Bajaj et al.</w:t>
      </w:r>
      <w:r w:rsidRPr="00A50C03">
        <w:rPr>
          <w:vertAlign w:val="superscript"/>
        </w:rPr>
        <w:footnoteReference w:id="13"/>
      </w:r>
      <w:r w:rsidR="004A6FD2">
        <w:tab/>
      </w:r>
      <w:r w:rsidRPr="00A50C03">
        <w:t>0.75mg/kg/d intermittent</w:t>
      </w:r>
    </w:p>
    <w:p w:rsidR="00A50C03" w:rsidRPr="00A50C03" w:rsidRDefault="00A50C03" w:rsidP="004A6FD2">
      <w:pPr>
        <w:pStyle w:val="ListBullet"/>
        <w:tabs>
          <w:tab w:val="left" w:pos="2835"/>
        </w:tabs>
      </w:pPr>
      <w:r w:rsidRPr="00A50C03">
        <w:t>Rose et al.</w:t>
      </w:r>
      <w:r w:rsidRPr="00A50C03">
        <w:rPr>
          <w:vertAlign w:val="superscript"/>
        </w:rPr>
        <w:footnoteReference w:id="14"/>
      </w:r>
      <w:r w:rsidR="004A6FD2">
        <w:tab/>
      </w:r>
      <w:r w:rsidRPr="00A50C03">
        <w:t>1-1.6mg/kg/d intermittent</w:t>
      </w:r>
    </w:p>
    <w:p w:rsidR="00A50C03" w:rsidRPr="00A50C03" w:rsidRDefault="00A50C03" w:rsidP="004A6FD2">
      <w:pPr>
        <w:pStyle w:val="Heading2"/>
      </w:pPr>
      <w:bookmarkStart w:id="27" w:name="_Toc365022512"/>
      <w:bookmarkStart w:id="28" w:name="_Toc370902551"/>
      <w:r w:rsidRPr="00A50C03">
        <w:t>Clinical efficacy</w:t>
      </w:r>
      <w:bookmarkEnd w:id="27"/>
      <w:bookmarkEnd w:id="28"/>
    </w:p>
    <w:p w:rsidR="00A50C03" w:rsidRPr="00A50C03" w:rsidRDefault="00A50C03" w:rsidP="004A6FD2">
      <w:pPr>
        <w:pStyle w:val="Heading3"/>
      </w:pPr>
      <w:bookmarkStart w:id="29" w:name="_Toc332659639"/>
      <w:bookmarkStart w:id="30" w:name="_Toc365022513"/>
      <w:bookmarkStart w:id="31" w:name="_Ref271199564"/>
      <w:bookmarkStart w:id="32" w:name="_Toc272414651"/>
      <w:bookmarkStart w:id="33" w:name="_Toc290846273"/>
      <w:bookmarkStart w:id="34" w:name="_Toc370902552"/>
      <w:r w:rsidRPr="00A50C03">
        <w:t>Indication</w:t>
      </w:r>
      <w:bookmarkEnd w:id="29"/>
      <w:bookmarkEnd w:id="30"/>
      <w:bookmarkEnd w:id="34"/>
    </w:p>
    <w:p w:rsidR="00A50C03" w:rsidRPr="004A6FD2" w:rsidRDefault="00A50C03" w:rsidP="004A6FD2">
      <w:pPr>
        <w:ind w:left="113"/>
        <w:rPr>
          <w:i/>
        </w:rPr>
      </w:pPr>
      <w:bookmarkStart w:id="35" w:name="_Toc332659640"/>
      <w:r w:rsidRPr="004A6FD2">
        <w:rPr>
          <w:i/>
        </w:rPr>
        <w:t>Children (4 years of age and over):</w:t>
      </w:r>
      <w:bookmarkEnd w:id="35"/>
    </w:p>
    <w:p w:rsidR="00A50C03" w:rsidRPr="004A6FD2" w:rsidRDefault="00A50C03" w:rsidP="004A6FD2">
      <w:pPr>
        <w:ind w:left="113"/>
        <w:rPr>
          <w:i/>
        </w:rPr>
      </w:pPr>
      <w:bookmarkStart w:id="36" w:name="_Toc332659641"/>
      <w:r w:rsidRPr="004A6FD2">
        <w:rPr>
          <w:i/>
        </w:rPr>
        <w:t>As adjunctive therapy in patients with partial refractory epilepsy who are not adequately stabilised with their current anticonvulsant therapy</w:t>
      </w:r>
      <w:bookmarkEnd w:id="31"/>
      <w:bookmarkEnd w:id="32"/>
      <w:bookmarkEnd w:id="33"/>
      <w:bookmarkEnd w:id="36"/>
    </w:p>
    <w:p w:rsidR="00A50C03" w:rsidRPr="00A50C03" w:rsidRDefault="00A50C03" w:rsidP="004A6FD2">
      <w:pPr>
        <w:pStyle w:val="Heading3"/>
      </w:pPr>
      <w:bookmarkStart w:id="37" w:name="_Ref271037274"/>
      <w:bookmarkStart w:id="38" w:name="_Toc272414652"/>
      <w:bookmarkStart w:id="39" w:name="_Toc290846274"/>
      <w:bookmarkStart w:id="40" w:name="_Toc332659642"/>
      <w:bookmarkStart w:id="41" w:name="_Toc365022514"/>
      <w:bookmarkStart w:id="42" w:name="_Toc370902553"/>
      <w:r w:rsidRPr="00A50C03">
        <w:t>Pivotal efficacy studies</w:t>
      </w:r>
      <w:bookmarkEnd w:id="37"/>
      <w:bookmarkEnd w:id="38"/>
      <w:bookmarkEnd w:id="39"/>
      <w:bookmarkEnd w:id="40"/>
      <w:bookmarkEnd w:id="41"/>
      <w:bookmarkEnd w:id="42"/>
    </w:p>
    <w:p w:rsidR="00A50C03" w:rsidRPr="00A50C03" w:rsidRDefault="00A50C03" w:rsidP="004A6FD2">
      <w:pPr>
        <w:pStyle w:val="Heading4"/>
      </w:pPr>
      <w:bookmarkStart w:id="43" w:name="_Ref243301615"/>
      <w:bookmarkStart w:id="44" w:name="_Ref271040927"/>
      <w:bookmarkStart w:id="45" w:name="_Ref271040932"/>
      <w:bookmarkStart w:id="46" w:name="_Toc272414653"/>
      <w:bookmarkStart w:id="47" w:name="_Toc290846275"/>
      <w:bookmarkStart w:id="48" w:name="_Toc332659643"/>
      <w:r w:rsidRPr="00A50C03">
        <w:t xml:space="preserve">Study: </w:t>
      </w:r>
      <w:bookmarkEnd w:id="43"/>
      <w:bookmarkEnd w:id="44"/>
      <w:bookmarkEnd w:id="45"/>
      <w:bookmarkEnd w:id="46"/>
      <w:bookmarkEnd w:id="47"/>
      <w:proofErr w:type="spellStart"/>
      <w:r w:rsidRPr="00A50C03">
        <w:t>Clobazam</w:t>
      </w:r>
      <w:proofErr w:type="spellEnd"/>
      <w:r w:rsidRPr="00A50C03">
        <w:t xml:space="preserve"> as an Add-on Drug in the Treatment of Refractory Epilepsy of Childhood</w:t>
      </w:r>
      <w:bookmarkEnd w:id="48"/>
      <w:r w:rsidRPr="00A50C03">
        <w:rPr>
          <w:vertAlign w:val="superscript"/>
        </w:rPr>
        <w:footnoteReference w:id="15"/>
      </w:r>
    </w:p>
    <w:p w:rsidR="00A50C03" w:rsidRPr="00A50C03" w:rsidRDefault="00A50C03" w:rsidP="004A6FD2">
      <w:pPr>
        <w:pStyle w:val="Heading5"/>
      </w:pPr>
      <w:r w:rsidRPr="00A50C03">
        <w:t>Study design, objectives, locations and dates</w:t>
      </w:r>
    </w:p>
    <w:p w:rsidR="00A50C03" w:rsidRPr="00A50C03" w:rsidRDefault="00A50C03" w:rsidP="00F63041">
      <w:r w:rsidRPr="00A50C03">
        <w:t xml:space="preserve">A double-blind cross-over study assessing </w:t>
      </w:r>
      <w:proofErr w:type="spellStart"/>
      <w:r w:rsidRPr="00A50C03">
        <w:t>clobazam</w:t>
      </w:r>
      <w:proofErr w:type="spellEnd"/>
      <w:r w:rsidRPr="00A50C03">
        <w:t xml:space="preserve"> versus placebo for medically refractory epilepsy (defined as more than 4 seizures a month).</w:t>
      </w:r>
    </w:p>
    <w:p w:rsidR="00A50C03" w:rsidRPr="00A50C03" w:rsidRDefault="00A50C03" w:rsidP="00F63041">
      <w:r w:rsidRPr="00A50C03">
        <w:t xml:space="preserve">Total 8 months: 1 month baseline evaluation, 3 months treatment with </w:t>
      </w:r>
      <w:proofErr w:type="spellStart"/>
      <w:r w:rsidRPr="00A50C03">
        <w:t>clobazam</w:t>
      </w:r>
      <w:proofErr w:type="spellEnd"/>
      <w:r w:rsidRPr="00A50C03">
        <w:t xml:space="preserve"> or placebo, one month cross-taper, then 3 months treatment with the opposite treatment.</w:t>
      </w:r>
    </w:p>
    <w:p w:rsidR="00A50C03" w:rsidRPr="00A50C03" w:rsidRDefault="00A50C03" w:rsidP="00F63041">
      <w:pPr>
        <w:pStyle w:val="Heading5"/>
      </w:pPr>
      <w:r w:rsidRPr="00A50C03">
        <w:t>Inclusion and exclusion criteria</w:t>
      </w:r>
    </w:p>
    <w:p w:rsidR="00A50C03" w:rsidRPr="00A50C03" w:rsidRDefault="00A50C03" w:rsidP="00F63041">
      <w:r w:rsidRPr="00A50C03">
        <w:t>Inclusion criteria:</w:t>
      </w:r>
    </w:p>
    <w:p w:rsidR="00A50C03" w:rsidRPr="00A50C03" w:rsidRDefault="00A50C03" w:rsidP="00F63041">
      <w:pPr>
        <w:pStyle w:val="ListBullet"/>
      </w:pPr>
      <w:r w:rsidRPr="00A50C03">
        <w:t>age between 6 months to 18 years</w:t>
      </w:r>
    </w:p>
    <w:p w:rsidR="00A50C03" w:rsidRPr="00A50C03" w:rsidRDefault="00A50C03" w:rsidP="00F63041">
      <w:pPr>
        <w:pStyle w:val="ListBullet"/>
      </w:pPr>
      <w:r w:rsidRPr="00A50C03">
        <w:t>greater than 4 seizures per month</w:t>
      </w:r>
    </w:p>
    <w:p w:rsidR="00A50C03" w:rsidRPr="00A50C03" w:rsidRDefault="00A50C03" w:rsidP="00F63041">
      <w:pPr>
        <w:pStyle w:val="ListBullet"/>
      </w:pPr>
      <w:r w:rsidRPr="00A50C03">
        <w:t>no current benzodiazepine treatment</w:t>
      </w:r>
    </w:p>
    <w:p w:rsidR="00A50C03" w:rsidRPr="00A50C03" w:rsidRDefault="00A50C03" w:rsidP="00F63041">
      <w:r w:rsidRPr="00A50C03">
        <w:t>Exclusion criteria:</w:t>
      </w:r>
    </w:p>
    <w:p w:rsidR="00A50C03" w:rsidRPr="00A50C03" w:rsidRDefault="00A50C03" w:rsidP="00F63041">
      <w:pPr>
        <w:pStyle w:val="ListBullet"/>
      </w:pPr>
      <w:r w:rsidRPr="00A50C03">
        <w:t>underlying degenerative central nervous system</w:t>
      </w:r>
    </w:p>
    <w:p w:rsidR="00A50C03" w:rsidRPr="00A50C03" w:rsidRDefault="00A50C03" w:rsidP="00F63041">
      <w:pPr>
        <w:pStyle w:val="ListBullet"/>
      </w:pPr>
      <w:r w:rsidRPr="00A50C03">
        <w:t>brain tumour</w:t>
      </w:r>
    </w:p>
    <w:p w:rsidR="00A50C03" w:rsidRPr="00A50C03" w:rsidRDefault="00A50C03" w:rsidP="00F63041">
      <w:pPr>
        <w:pStyle w:val="ListBullet"/>
      </w:pPr>
      <w:r w:rsidRPr="00A50C03">
        <w:t>past history of poor drug compliance</w:t>
      </w:r>
    </w:p>
    <w:p w:rsidR="00A50C03" w:rsidRPr="00A50C03" w:rsidRDefault="00A50C03" w:rsidP="00F63041">
      <w:pPr>
        <w:pStyle w:val="Heading5"/>
      </w:pPr>
      <w:r w:rsidRPr="00A50C03">
        <w:t>Study treatments</w:t>
      </w:r>
    </w:p>
    <w:p w:rsidR="00A50C03" w:rsidRPr="00A50C03" w:rsidRDefault="00A50C03" w:rsidP="00F63041">
      <w:proofErr w:type="spellStart"/>
      <w:r w:rsidRPr="00A50C03">
        <w:t>Clobazam</w:t>
      </w:r>
      <w:proofErr w:type="spellEnd"/>
      <w:r w:rsidRPr="00A50C03">
        <w:t xml:space="preserve"> 0.5mg/kg/day initially. If a clinical response was not seen in the first month of phase two, the dosage was increased to 1.0 mg/kg/day providing there were no side effects.</w:t>
      </w:r>
    </w:p>
    <w:p w:rsidR="00A50C03" w:rsidRPr="00A50C03" w:rsidRDefault="00A50C03" w:rsidP="00F63041">
      <w:r w:rsidRPr="00A50C03">
        <w:t xml:space="preserve"> If there was excessive drowsiness dosage was decreased by 0.25 mg/kg/day at that time regardless of the level of seizure control. </w:t>
      </w:r>
    </w:p>
    <w:p w:rsidR="00A50C03" w:rsidRPr="00F63041" w:rsidRDefault="00A50C03" w:rsidP="00F63041">
      <w:pPr>
        <w:ind w:left="227"/>
        <w:rPr>
          <w:i/>
        </w:rPr>
      </w:pPr>
      <w:r w:rsidRPr="00F63041">
        <w:rPr>
          <w:i/>
        </w:rPr>
        <w:t>Comment: The study is generally weak because participants serve as their own control i.e. the crossover nature of the design rather than a parallel group study and it is very small. However, at the time this may have been considered acceptable practice.</w:t>
      </w:r>
    </w:p>
    <w:p w:rsidR="00A50C03" w:rsidRPr="00A50C03" w:rsidRDefault="00A50C03" w:rsidP="007879A0">
      <w:pPr>
        <w:pStyle w:val="Heading5"/>
      </w:pPr>
      <w:r w:rsidRPr="00A50C03">
        <w:t>Efficacy variables and outcomes</w:t>
      </w:r>
    </w:p>
    <w:p w:rsidR="00A50C03" w:rsidRPr="00A50C03" w:rsidRDefault="00A50C03" w:rsidP="007879A0">
      <w:r w:rsidRPr="00A50C03">
        <w:t xml:space="preserve">Seizure frequency was not reported at baseline and methods of ascertaining seizure frequency not reported. </w:t>
      </w:r>
    </w:p>
    <w:p w:rsidR="00A50C03" w:rsidRPr="00A50C03" w:rsidRDefault="00A50C03" w:rsidP="007879A0">
      <w:r w:rsidRPr="00A50C03">
        <w:t>The main efficacy variables were:</w:t>
      </w:r>
    </w:p>
    <w:p w:rsidR="00A50C03" w:rsidRPr="00A50C03" w:rsidRDefault="00A50C03" w:rsidP="007879A0">
      <w:pPr>
        <w:pStyle w:val="ListBullet"/>
      </w:pPr>
      <w:r w:rsidRPr="00A50C03">
        <w:t xml:space="preserve">A drug success was stated to have occurred if the patient had a 50% or more reduction in seizure frequency when on the </w:t>
      </w:r>
      <w:proofErr w:type="spellStart"/>
      <w:r w:rsidRPr="00A50C03">
        <w:t>clobazam</w:t>
      </w:r>
      <w:proofErr w:type="spellEnd"/>
      <w:r w:rsidRPr="00A50C03">
        <w:t xml:space="preserve"> in comparison to the baseline and placebo phases of the study</w:t>
      </w:r>
    </w:p>
    <w:p w:rsidR="00A50C03" w:rsidRPr="00A50C03" w:rsidRDefault="00A50C03" w:rsidP="007879A0">
      <w:r w:rsidRPr="00A50C03">
        <w:t xml:space="preserve">The primary efficacy outcome was 11 patients (52%) had a significant reduction (50% or greater) in their seizure frequency without significant side effects while taking </w:t>
      </w:r>
      <w:proofErr w:type="spellStart"/>
      <w:r w:rsidRPr="00A50C03">
        <w:t>clobazam</w:t>
      </w:r>
      <w:proofErr w:type="spellEnd"/>
      <w:r w:rsidRPr="00A50C03">
        <w:t>. No patients had a significant reduction in their seizure frequency when in the placebo phase.</w:t>
      </w:r>
    </w:p>
    <w:p w:rsidR="00A50C03" w:rsidRPr="00A50C03" w:rsidRDefault="00A50C03" w:rsidP="007879A0">
      <w:pPr>
        <w:pStyle w:val="ListBullet"/>
      </w:pPr>
      <w:r w:rsidRPr="00A50C03">
        <w:t xml:space="preserve">no patients had an increase in their seizure frequency while taking </w:t>
      </w:r>
      <w:proofErr w:type="spellStart"/>
      <w:r w:rsidRPr="00A50C03">
        <w:t>clobazam</w:t>
      </w:r>
      <w:proofErr w:type="spellEnd"/>
      <w:r w:rsidRPr="00A50C03">
        <w:t xml:space="preserve">. </w:t>
      </w:r>
    </w:p>
    <w:p w:rsidR="00A50C03" w:rsidRPr="00A50C03" w:rsidRDefault="00A50C03" w:rsidP="007879A0">
      <w:pPr>
        <w:pStyle w:val="ListBullet"/>
      </w:pPr>
      <w:r w:rsidRPr="00A50C03">
        <w:t xml:space="preserve">2 patients had to withdraw during the </w:t>
      </w:r>
      <w:proofErr w:type="spellStart"/>
      <w:r w:rsidRPr="00A50C03">
        <w:t>clobazam</w:t>
      </w:r>
      <w:proofErr w:type="spellEnd"/>
      <w:r w:rsidRPr="00A50C03">
        <w:t xml:space="preserve"> phase because of severe behavioural changes which did not respond to lowering the drug dosage</w:t>
      </w:r>
    </w:p>
    <w:p w:rsidR="00A50C03" w:rsidRPr="007879A0" w:rsidRDefault="00A50C03" w:rsidP="007879A0">
      <w:pPr>
        <w:ind w:left="227"/>
        <w:rPr>
          <w:i/>
        </w:rPr>
      </w:pPr>
      <w:r w:rsidRPr="007879A0">
        <w:rPr>
          <w:i/>
        </w:rPr>
        <w:t>Comment: Instruments used to ascertain seizure frequency were likely to have been appropriate for the time.</w:t>
      </w:r>
    </w:p>
    <w:p w:rsidR="00A50C03" w:rsidRPr="00A50C03" w:rsidRDefault="00A50C03" w:rsidP="007879A0">
      <w:pPr>
        <w:pStyle w:val="Heading5"/>
      </w:pPr>
      <w:r w:rsidRPr="00A50C03">
        <w:t>Randomisation and blinding methods</w:t>
      </w:r>
    </w:p>
    <w:p w:rsidR="00A50C03" w:rsidRPr="00A50C03" w:rsidRDefault="00A50C03" w:rsidP="007879A0">
      <w:r w:rsidRPr="00A50C03">
        <w:t>A master code list was kept in the pharmacy which could be broken if problems arose during the study. Breaking of the patient’s code was done by the pharmacist at the request of the treating physician. Such a patient was considered a failure and included in the analysis as such along with the reason.</w:t>
      </w:r>
    </w:p>
    <w:p w:rsidR="00A50C03" w:rsidRPr="00A50C03" w:rsidRDefault="00A50C03" w:rsidP="007879A0">
      <w:pPr>
        <w:pStyle w:val="Heading5"/>
      </w:pPr>
      <w:r w:rsidRPr="00A50C03">
        <w:t>Analysis populations</w:t>
      </w:r>
    </w:p>
    <w:p w:rsidR="00A50C03" w:rsidRPr="00A50C03" w:rsidRDefault="00A50C03" w:rsidP="007879A0">
      <w:r w:rsidRPr="00A50C03">
        <w:t xml:space="preserve">Not reported. All patients entered were implied to have been included in the analysis. </w:t>
      </w:r>
    </w:p>
    <w:p w:rsidR="00A50C03" w:rsidRPr="00A50C03" w:rsidDel="0081373E" w:rsidRDefault="00A50C03" w:rsidP="007879A0">
      <w:pPr>
        <w:pStyle w:val="Heading5"/>
      </w:pPr>
      <w:r w:rsidRPr="00A50C03" w:rsidDel="0081373E">
        <w:t>Sample size</w:t>
      </w:r>
    </w:p>
    <w:p w:rsidR="00A50C03" w:rsidRPr="00A50C03" w:rsidDel="0081373E" w:rsidRDefault="00A50C03" w:rsidP="007879A0">
      <w:r w:rsidRPr="00A50C03">
        <w:t>The calculation of patient number was based on an expected number of successes for this drug (according to the literature) of approximately 60%. The expected percentage of children with refractory seizures who might stop having seizures spontaneously during an 8-month period was assigned a 10% figure. In order to see a significant difference between the groups a p value of 0.05 was chosen. The number of patients felt necessary to confirm the study hypotheses was calculated to be twenty.</w:t>
      </w:r>
    </w:p>
    <w:p w:rsidR="00A50C03" w:rsidRPr="00A50C03" w:rsidRDefault="00A50C03" w:rsidP="007879A0">
      <w:pPr>
        <w:pStyle w:val="Heading5"/>
      </w:pPr>
      <w:r w:rsidRPr="00A50C03">
        <w:t>Statistical methods</w:t>
      </w:r>
    </w:p>
    <w:p w:rsidR="00A50C03" w:rsidRPr="00A50C03" w:rsidRDefault="00A50C03" w:rsidP="007879A0">
      <w:r w:rsidRPr="00A50C03">
        <w:t>Not reported</w:t>
      </w:r>
    </w:p>
    <w:p w:rsidR="00A50C03" w:rsidRPr="00A50C03" w:rsidRDefault="00A50C03" w:rsidP="007879A0">
      <w:pPr>
        <w:pStyle w:val="Heading5"/>
      </w:pPr>
      <w:r w:rsidRPr="00A50C03">
        <w:t>Participant flow</w:t>
      </w:r>
    </w:p>
    <w:p w:rsidR="00A50C03" w:rsidRPr="00A50C03" w:rsidRDefault="00A50C03" w:rsidP="007879A0">
      <w:r w:rsidRPr="00A50C03">
        <w:t xml:space="preserve">A total of 21 patients were recruited: 10 received </w:t>
      </w:r>
      <w:proofErr w:type="spellStart"/>
      <w:r w:rsidRPr="00A50C03">
        <w:t>clobazam</w:t>
      </w:r>
      <w:proofErr w:type="spellEnd"/>
      <w:r w:rsidRPr="00A50C03">
        <w:t xml:space="preserve"> first, 11 received placebo first.</w:t>
      </w:r>
    </w:p>
    <w:p w:rsidR="00A50C03" w:rsidRPr="00A50C03" w:rsidRDefault="00A50C03" w:rsidP="007879A0">
      <w:pPr>
        <w:pStyle w:val="Heading5"/>
      </w:pPr>
      <w:r w:rsidRPr="00A50C03">
        <w:t>Major protocol violations/deviations</w:t>
      </w:r>
    </w:p>
    <w:p w:rsidR="00A50C03" w:rsidRPr="00A50C03" w:rsidRDefault="00A50C03" w:rsidP="007879A0">
      <w:r w:rsidRPr="00A50C03">
        <w:t>None reported.</w:t>
      </w:r>
    </w:p>
    <w:p w:rsidR="00A50C03" w:rsidRPr="00A50C03" w:rsidRDefault="00A50C03" w:rsidP="007879A0">
      <w:pPr>
        <w:pStyle w:val="Heading5"/>
      </w:pPr>
      <w:r w:rsidRPr="00A50C03">
        <w:t>Baseline data</w:t>
      </w:r>
    </w:p>
    <w:p w:rsidR="00A50C03" w:rsidRPr="00A50C03" w:rsidRDefault="00A50C03" w:rsidP="007879A0">
      <w:pPr>
        <w:rPr>
          <w:lang w:eastAsia="ja-JP"/>
        </w:rPr>
      </w:pPr>
      <w:r w:rsidRPr="00A50C03">
        <w:rPr>
          <w:lang w:eastAsia="ja-JP"/>
        </w:rPr>
        <w:t>Baseline data is shown in Table 2.</w:t>
      </w:r>
    </w:p>
    <w:p w:rsidR="00A50C03" w:rsidRPr="00A50C03" w:rsidRDefault="00A50C03" w:rsidP="007879A0">
      <w:pPr>
        <w:pStyle w:val="TableTitle"/>
        <w:rPr>
          <w:lang w:val="en-GB"/>
        </w:rPr>
      </w:pPr>
      <w:r w:rsidRPr="00A50C03">
        <w:t>Table 2: Group characteristics after randomisation.</w:t>
      </w:r>
    </w:p>
    <w:p w:rsidR="00A50C03" w:rsidRPr="00A50C03" w:rsidRDefault="00A50C03" w:rsidP="007879A0">
      <w:pPr>
        <w:jc w:val="center"/>
        <w:rPr>
          <w:lang w:eastAsia="ja-JP"/>
        </w:rPr>
      </w:pPr>
      <w:r>
        <w:rPr>
          <w:noProof/>
          <w:lang w:eastAsia="en-AU"/>
        </w:rPr>
        <w:drawing>
          <wp:inline distT="0" distB="0" distL="0" distR="0">
            <wp:extent cx="2853055" cy="2816225"/>
            <wp:effectExtent l="19050" t="0" r="4445" b="0"/>
            <wp:docPr id="172" name="Picture 172" descr="Table 2: Group characteristics after random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Table 2: Group characteristics after randomisation."/>
                    <pic:cNvPicPr>
                      <a:picLocks noChangeAspect="1" noChangeArrowheads="1"/>
                    </pic:cNvPicPr>
                  </pic:nvPicPr>
                  <pic:blipFill>
                    <a:blip r:embed="rId16" cstate="print"/>
                    <a:srcRect/>
                    <a:stretch>
                      <a:fillRect/>
                    </a:stretch>
                  </pic:blipFill>
                  <pic:spPr bwMode="auto">
                    <a:xfrm>
                      <a:off x="0" y="0"/>
                      <a:ext cx="2853055" cy="2816225"/>
                    </a:xfrm>
                    <a:prstGeom prst="rect">
                      <a:avLst/>
                    </a:prstGeom>
                    <a:noFill/>
                    <a:ln w="9525">
                      <a:noFill/>
                      <a:miter lim="800000"/>
                      <a:headEnd/>
                      <a:tailEnd/>
                    </a:ln>
                  </pic:spPr>
                </pic:pic>
              </a:graphicData>
            </a:graphic>
          </wp:inline>
        </w:drawing>
      </w:r>
    </w:p>
    <w:p w:rsidR="00A50C03" w:rsidRPr="007879A0" w:rsidRDefault="00A50C03" w:rsidP="007879A0">
      <w:pPr>
        <w:ind w:left="227"/>
        <w:rPr>
          <w:i/>
        </w:rPr>
      </w:pPr>
      <w:r w:rsidRPr="007879A0">
        <w:rPr>
          <w:i/>
        </w:rPr>
        <w:t xml:space="preserve">Comment: The study participants were representative of a subset of the patient group for which the indication sought by the sponsor. Patients were children with refractory partial epilepsy. However, the </w:t>
      </w:r>
      <w:proofErr w:type="spellStart"/>
      <w:r w:rsidRPr="007879A0">
        <w:rPr>
          <w:i/>
        </w:rPr>
        <w:t>generalisability</w:t>
      </w:r>
      <w:proofErr w:type="spellEnd"/>
      <w:r w:rsidRPr="007879A0">
        <w:rPr>
          <w:i/>
        </w:rPr>
        <w:t xml:space="preserve"> of this study to the indication sought is poor because the sample size was small and the participants displayed a high prevalence of significant central nervous system abnormalities on clinical examination and most (17 of 21) had intellectual disability. On this basis, the study should be considered strongly supportive rather than pivotal.</w:t>
      </w:r>
    </w:p>
    <w:p w:rsidR="00A50C03" w:rsidRPr="00A50C03" w:rsidRDefault="00A50C03" w:rsidP="007879A0">
      <w:pPr>
        <w:pStyle w:val="Heading5"/>
      </w:pPr>
      <w:bookmarkStart w:id="49" w:name="_Ref331929114"/>
      <w:r w:rsidRPr="00A50C03">
        <w:t>Results for the primary efficacy outcome</w:t>
      </w:r>
      <w:bookmarkEnd w:id="49"/>
    </w:p>
    <w:p w:rsidR="00A50C03" w:rsidRPr="00A50C03" w:rsidRDefault="00A50C03" w:rsidP="007879A0">
      <w:r w:rsidRPr="00A50C03">
        <w:t xml:space="preserve">Increased responder rate reported with </w:t>
      </w:r>
      <w:proofErr w:type="spellStart"/>
      <w:r w:rsidRPr="00A50C03">
        <w:t>clobazam</w:t>
      </w:r>
      <w:proofErr w:type="spellEnd"/>
      <w:r w:rsidRPr="00A50C03">
        <w:t xml:space="preserve"> in 52% of 21 patients compared to none with placebo. However, no between group </w:t>
      </w:r>
      <w:r w:rsidRPr="00A50C03">
        <w:rPr>
          <w:i/>
        </w:rPr>
        <w:t>p</w:t>
      </w:r>
      <w:r w:rsidRPr="00A50C03">
        <w:t xml:space="preserve"> value was reported that the evaluator could find.</w:t>
      </w:r>
    </w:p>
    <w:p w:rsidR="00A50C03" w:rsidRPr="00A50C03" w:rsidRDefault="00A50C03" w:rsidP="007879A0">
      <w:pPr>
        <w:pStyle w:val="Heading4"/>
      </w:pPr>
      <w:bookmarkStart w:id="50" w:name="_Toc290846276"/>
      <w:bookmarkStart w:id="51" w:name="_Toc332659645"/>
      <w:r w:rsidRPr="00A50C03">
        <w:t>Study</w:t>
      </w:r>
      <w:bookmarkEnd w:id="50"/>
      <w:r w:rsidRPr="00A50C03">
        <w:t xml:space="preserve">: </w:t>
      </w:r>
      <w:proofErr w:type="spellStart"/>
      <w:r w:rsidRPr="00A50C03">
        <w:t>Clobazam</w:t>
      </w:r>
      <w:proofErr w:type="spellEnd"/>
      <w:r w:rsidRPr="00A50C03">
        <w:t xml:space="preserve"> </w:t>
      </w:r>
      <w:r w:rsidR="007879A0">
        <w:t>h</w:t>
      </w:r>
      <w:r w:rsidRPr="00A50C03">
        <w:t xml:space="preserve">as </w:t>
      </w:r>
      <w:r w:rsidR="007879A0">
        <w:t>equivalent e</w:t>
      </w:r>
      <w:r w:rsidRPr="00A50C03">
        <w:t xml:space="preserve">fficacy to </w:t>
      </w:r>
      <w:proofErr w:type="spellStart"/>
      <w:r w:rsidR="007879A0">
        <w:t>c</w:t>
      </w:r>
      <w:r w:rsidRPr="00A50C03">
        <w:t>arbamazepine</w:t>
      </w:r>
      <w:proofErr w:type="spellEnd"/>
      <w:r w:rsidRPr="00A50C03">
        <w:t xml:space="preserve"> and </w:t>
      </w:r>
      <w:proofErr w:type="spellStart"/>
      <w:r w:rsidR="007879A0">
        <w:t>p</w:t>
      </w:r>
      <w:r w:rsidRPr="00A50C03">
        <w:t>henytoin</w:t>
      </w:r>
      <w:proofErr w:type="spellEnd"/>
      <w:r w:rsidRPr="00A50C03">
        <w:t xml:space="preserve"> as </w:t>
      </w:r>
      <w:proofErr w:type="spellStart"/>
      <w:r w:rsidR="007879A0">
        <w:t>m</w:t>
      </w:r>
      <w:r w:rsidRPr="00A50C03">
        <w:t>onotherapy</w:t>
      </w:r>
      <w:proofErr w:type="spellEnd"/>
      <w:r w:rsidRPr="00A50C03">
        <w:t xml:space="preserve"> for </w:t>
      </w:r>
      <w:r w:rsidR="007879A0">
        <w:t>c</w:t>
      </w:r>
      <w:r w:rsidRPr="00A50C03">
        <w:t xml:space="preserve">hildhood </w:t>
      </w:r>
      <w:r w:rsidR="007879A0">
        <w:t>e</w:t>
      </w:r>
      <w:r w:rsidRPr="00A50C03">
        <w:t>pilepsy</w:t>
      </w:r>
      <w:bookmarkEnd w:id="51"/>
      <w:r w:rsidRPr="00A50C03">
        <w:rPr>
          <w:vertAlign w:val="superscript"/>
        </w:rPr>
        <w:footnoteReference w:id="16"/>
      </w:r>
    </w:p>
    <w:p w:rsidR="00A50C03" w:rsidRPr="00A50C03" w:rsidRDefault="00A50C03" w:rsidP="007879A0">
      <w:pPr>
        <w:pStyle w:val="Heading5"/>
      </w:pPr>
      <w:r w:rsidRPr="00A50C03">
        <w:t>Study design, objectives, locations and dates</w:t>
      </w:r>
    </w:p>
    <w:p w:rsidR="00A50C03" w:rsidRPr="00A50C03" w:rsidRDefault="00A50C03" w:rsidP="007879A0">
      <w:r w:rsidRPr="00A50C03">
        <w:t xml:space="preserve">Design: There were three study arms. One arm included only children with newly diagnosed epilepsy but no previous AED treatment (drug naive). These patients were randomised to receive either CLB or CZP. The other two arms included patients with previous AED treatment (previously treated). They had previous treatment failure with one AED because of poor seizure control or with one or two previous AEDs due to side effects. Those in the previously treated group were assigned to one of two study arms-previous failure with CZP or with other AEDs. Those in the CZP failure group were randomised to receive CLB versus PHE. Those in the “other” failure group were randomised to receive CLB versus CZP. </w:t>
      </w:r>
    </w:p>
    <w:p w:rsidR="00A50C03" w:rsidRPr="00A50C03" w:rsidRDefault="00A50C03" w:rsidP="007879A0">
      <w:r w:rsidRPr="00A50C03">
        <w:t xml:space="preserve">Objectives: The trial was designed to follow the normal routines of clinical practice for treatment of children with newly diagnosed or newly treated epilepsy and to assess 1-year retention rates, seizure control, and side effects of “standard” AED therapies versus </w:t>
      </w:r>
      <w:proofErr w:type="spellStart"/>
      <w:r w:rsidRPr="00A50C03">
        <w:t>clobazam</w:t>
      </w:r>
      <w:proofErr w:type="spellEnd"/>
      <w:r w:rsidRPr="00A50C03">
        <w:t>.</w:t>
      </w:r>
    </w:p>
    <w:p w:rsidR="00A50C03" w:rsidRPr="00A50C03" w:rsidRDefault="00A50C03" w:rsidP="007879A0">
      <w:r w:rsidRPr="00A50C03">
        <w:t>Location and dates: 14 paediatric neurologists from 14 Canadian sites 1991-6.</w:t>
      </w:r>
    </w:p>
    <w:p w:rsidR="00A50C03" w:rsidRPr="00A50C03" w:rsidRDefault="00A50C03" w:rsidP="007879A0">
      <w:pPr>
        <w:pStyle w:val="Heading5"/>
      </w:pPr>
      <w:r w:rsidRPr="00A50C03">
        <w:t>Inclusion and exclusion criteria</w:t>
      </w:r>
    </w:p>
    <w:p w:rsidR="00A50C03" w:rsidRPr="00A50C03" w:rsidRDefault="00A50C03" w:rsidP="007879A0">
      <w:r w:rsidRPr="00A50C03">
        <w:t>Patients were recruited from hospital outpatient department and neurologist’s private rooms.</w:t>
      </w:r>
    </w:p>
    <w:p w:rsidR="00A50C03" w:rsidRPr="00A50C03" w:rsidRDefault="00A50C03" w:rsidP="007879A0">
      <w:r w:rsidRPr="00A50C03">
        <w:t>Inclusion criteria:</w:t>
      </w:r>
    </w:p>
    <w:p w:rsidR="00A50C03" w:rsidRPr="00A50C03" w:rsidRDefault="00A50C03" w:rsidP="007879A0">
      <w:pPr>
        <w:pStyle w:val="ListBullet"/>
      </w:pPr>
      <w:r w:rsidRPr="00A50C03">
        <w:t>Patients aged 6 months to 17 years with simple or complex partial seizures or primary or secondary generalised epilepsy</w:t>
      </w:r>
    </w:p>
    <w:p w:rsidR="00A50C03" w:rsidRPr="00A50C03" w:rsidRDefault="00A50C03" w:rsidP="007879A0">
      <w:pPr>
        <w:pStyle w:val="ListBullet"/>
      </w:pPr>
      <w:r w:rsidRPr="00A50C03">
        <w:t>Drug naive or failing to respond to first line drug therapy for efficacy reasons or failing first or second line drug treatment for safety reasons</w:t>
      </w:r>
    </w:p>
    <w:p w:rsidR="00A50C03" w:rsidRPr="00A50C03" w:rsidRDefault="00A50C03" w:rsidP="007879A0">
      <w:r w:rsidRPr="00A50C03">
        <w:t>Exclusion criteria:</w:t>
      </w:r>
    </w:p>
    <w:p w:rsidR="00A50C03" w:rsidRPr="00A50C03" w:rsidRDefault="00A50C03" w:rsidP="007879A0">
      <w:pPr>
        <w:pStyle w:val="ListBullet"/>
      </w:pPr>
      <w:r w:rsidRPr="00A50C03">
        <w:t xml:space="preserve">LGS or </w:t>
      </w:r>
      <w:proofErr w:type="spellStart"/>
      <w:r w:rsidRPr="00A50C03">
        <w:t>myoclonic</w:t>
      </w:r>
      <w:proofErr w:type="spellEnd"/>
      <w:r w:rsidRPr="00A50C03">
        <w:t xml:space="preserve"> epilepsy</w:t>
      </w:r>
    </w:p>
    <w:p w:rsidR="00A50C03" w:rsidRPr="00A50C03" w:rsidRDefault="00A50C03" w:rsidP="007879A0">
      <w:pPr>
        <w:pStyle w:val="ListBullet"/>
      </w:pPr>
      <w:r w:rsidRPr="00A50C03">
        <w:t>Failing to respond to two drugs for efficacy reasons</w:t>
      </w:r>
    </w:p>
    <w:p w:rsidR="00A50C03" w:rsidRPr="00A50C03" w:rsidRDefault="00A50C03" w:rsidP="007879A0">
      <w:pPr>
        <w:pStyle w:val="ListBullet"/>
      </w:pPr>
      <w:r w:rsidRPr="00A50C03">
        <w:t>Seizures due to infections/neurodegenerative aetiology</w:t>
      </w:r>
    </w:p>
    <w:p w:rsidR="00A50C03" w:rsidRPr="00A50C03" w:rsidRDefault="00A50C03" w:rsidP="007879A0">
      <w:pPr>
        <w:pStyle w:val="Heading5"/>
      </w:pPr>
      <w:r w:rsidRPr="00A50C03">
        <w:t>Study treatments</w:t>
      </w:r>
    </w:p>
    <w:p w:rsidR="00A50C03" w:rsidRPr="00A50C03" w:rsidRDefault="00A50C03" w:rsidP="007879A0">
      <w:r w:rsidRPr="00A50C03">
        <w:t>Test Product:</w:t>
      </w:r>
    </w:p>
    <w:p w:rsidR="00A50C03" w:rsidRPr="00A50C03" w:rsidRDefault="00A50C03" w:rsidP="007879A0">
      <w:pPr>
        <w:pStyle w:val="ListBullet"/>
      </w:pPr>
      <w:proofErr w:type="spellStart"/>
      <w:r w:rsidRPr="00A50C03">
        <w:t>Clobazam</w:t>
      </w:r>
      <w:proofErr w:type="spellEnd"/>
      <w:r w:rsidRPr="00A50C03">
        <w:t xml:space="preserve"> 10 mg tablet, 0.5 mg/kg/day</w:t>
      </w:r>
    </w:p>
    <w:p w:rsidR="00A50C03" w:rsidRPr="00A50C03" w:rsidRDefault="00A50C03" w:rsidP="007879A0">
      <w:r w:rsidRPr="00A50C03">
        <w:t>Reference Products:</w:t>
      </w:r>
    </w:p>
    <w:p w:rsidR="00A50C03" w:rsidRPr="00A50C03" w:rsidRDefault="00A50C03" w:rsidP="007879A0">
      <w:pPr>
        <w:pStyle w:val="ListBullet"/>
      </w:pPr>
      <w:proofErr w:type="spellStart"/>
      <w:r w:rsidRPr="00A50C03">
        <w:t>Carbamazepine</w:t>
      </w:r>
      <w:proofErr w:type="spellEnd"/>
      <w:r w:rsidRPr="00A50C03">
        <w:t xml:space="preserve"> 200 mg tablet (</w:t>
      </w:r>
      <w:proofErr w:type="spellStart"/>
      <w:r w:rsidRPr="00A50C03">
        <w:t>Tegretol</w:t>
      </w:r>
      <w:proofErr w:type="spellEnd"/>
      <w:r w:rsidRPr="00A50C03">
        <w:t xml:space="preserve"> CR) 10 mg/kg/day</w:t>
      </w:r>
    </w:p>
    <w:p w:rsidR="00A50C03" w:rsidRPr="00A50C03" w:rsidRDefault="00A50C03" w:rsidP="007879A0">
      <w:pPr>
        <w:pStyle w:val="ListBullet"/>
      </w:pPr>
      <w:proofErr w:type="spellStart"/>
      <w:r w:rsidRPr="00A50C03">
        <w:t>Phenytoin</w:t>
      </w:r>
      <w:proofErr w:type="spellEnd"/>
      <w:r w:rsidRPr="00A50C03">
        <w:t xml:space="preserve"> 50 mg tablet (</w:t>
      </w:r>
      <w:proofErr w:type="spellStart"/>
      <w:r w:rsidRPr="00A50C03">
        <w:t>Dilantin</w:t>
      </w:r>
      <w:proofErr w:type="spellEnd"/>
      <w:r w:rsidRPr="00A50C03">
        <w:t xml:space="preserve"> </w:t>
      </w:r>
      <w:proofErr w:type="spellStart"/>
      <w:r w:rsidRPr="00A50C03">
        <w:t>Infatabs</w:t>
      </w:r>
      <w:proofErr w:type="spellEnd"/>
      <w:r w:rsidRPr="00A50C03">
        <w:t>) 5 mg/kg/day</w:t>
      </w:r>
    </w:p>
    <w:p w:rsidR="00A50C03" w:rsidRPr="00A50C03" w:rsidRDefault="00A50C03" w:rsidP="007879A0">
      <w:pPr>
        <w:pStyle w:val="Heading5"/>
      </w:pPr>
      <w:r w:rsidRPr="00A50C03">
        <w:t>Efficacy variables and outcomes</w:t>
      </w:r>
    </w:p>
    <w:p w:rsidR="00A50C03" w:rsidRPr="00A50C03" w:rsidRDefault="00A50C03" w:rsidP="007879A0">
      <w:r w:rsidRPr="00A50C03">
        <w:t>The main efficacy variables were:</w:t>
      </w:r>
    </w:p>
    <w:p w:rsidR="00A50C03" w:rsidRPr="00A50C03" w:rsidRDefault="00A50C03" w:rsidP="007879A0">
      <w:pPr>
        <w:pStyle w:val="ListBullet"/>
      </w:pPr>
      <w:r w:rsidRPr="00A50C03">
        <w:t>Endpoints for the study were retention on the study medication for 12 months or discontinuation of the medication for any reason, including side effects or inadequate seizure control.</w:t>
      </w:r>
    </w:p>
    <w:p w:rsidR="00A50C03" w:rsidRPr="00A50C03" w:rsidRDefault="00A50C03" w:rsidP="007879A0">
      <w:pPr>
        <w:pStyle w:val="Heading5"/>
      </w:pPr>
      <w:r w:rsidRPr="00A50C03">
        <w:t>Randomisation and blinding methods</w:t>
      </w:r>
    </w:p>
    <w:p w:rsidR="00A50C03" w:rsidRPr="00A50C03" w:rsidRDefault="00A50C03" w:rsidP="007879A0">
      <w:r w:rsidRPr="00A50C03">
        <w:t xml:space="preserve">Within each study arm, drug assignment was randomised using a permuted block technique with a depth of 6 for each study centre. The study was double blind using a modified “double dummy” technique. This meant that each patient received both an active medication and a placebo. For example, in the drug naive arm, patients randomised to CLB also received a CZP placebo, and those randomised to CZP also received a CLB placebo. </w:t>
      </w:r>
    </w:p>
    <w:p w:rsidR="00A50C03" w:rsidRPr="00A50C03" w:rsidRDefault="00A50C03" w:rsidP="007879A0">
      <w:pPr>
        <w:pStyle w:val="Heading5"/>
      </w:pPr>
      <w:r w:rsidRPr="00A50C03">
        <w:t>Analysis populations</w:t>
      </w:r>
    </w:p>
    <w:p w:rsidR="00A50C03" w:rsidRPr="00A50C03" w:rsidRDefault="00A50C03" w:rsidP="007879A0">
      <w:r w:rsidRPr="00A50C03">
        <w:t xml:space="preserve">The analysis population included a heterogeneous group of paediatric patients with epilepsy (Table 3) requiring </w:t>
      </w:r>
      <w:proofErr w:type="spellStart"/>
      <w:r w:rsidRPr="00A50C03">
        <w:t>monotherapy</w:t>
      </w:r>
      <w:proofErr w:type="spellEnd"/>
      <w:r w:rsidRPr="00A50C03">
        <w:t xml:space="preserve"> having 2 or more attacks who were either drug naive, failed one previous AED due to lack or efficacy or failed one or 2 previous AEDs due to side effects. </w:t>
      </w:r>
    </w:p>
    <w:p w:rsidR="00A50C03" w:rsidRPr="00A50C03" w:rsidRDefault="00A50C03" w:rsidP="007879A0">
      <w:pPr>
        <w:pStyle w:val="TableTitle"/>
        <w:rPr>
          <w:lang w:val="en-GB"/>
        </w:rPr>
      </w:pPr>
      <w:r w:rsidRPr="00A50C03">
        <w:t>Table 3: Characteristics of sample.</w:t>
      </w:r>
    </w:p>
    <w:p w:rsidR="00A50C03" w:rsidRPr="00A50C03" w:rsidRDefault="00A50C03" w:rsidP="007879A0">
      <w:pPr>
        <w:jc w:val="center"/>
        <w:rPr>
          <w:lang w:eastAsia="ja-JP"/>
        </w:rPr>
      </w:pPr>
      <w:r>
        <w:rPr>
          <w:noProof/>
          <w:lang w:eastAsia="en-AU"/>
        </w:rPr>
        <w:drawing>
          <wp:inline distT="0" distB="0" distL="0" distR="0">
            <wp:extent cx="3613785" cy="2765425"/>
            <wp:effectExtent l="19050" t="0" r="5715" b="0"/>
            <wp:docPr id="173" name="Picture 173" descr="Table 3: Characteristics of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Table 3: Characteristics of sample."/>
                    <pic:cNvPicPr>
                      <a:picLocks noChangeAspect="1" noChangeArrowheads="1"/>
                    </pic:cNvPicPr>
                  </pic:nvPicPr>
                  <pic:blipFill>
                    <a:blip r:embed="rId17" cstate="print"/>
                    <a:srcRect/>
                    <a:stretch>
                      <a:fillRect/>
                    </a:stretch>
                  </pic:blipFill>
                  <pic:spPr bwMode="auto">
                    <a:xfrm>
                      <a:off x="0" y="0"/>
                      <a:ext cx="3613785" cy="2765425"/>
                    </a:xfrm>
                    <a:prstGeom prst="rect">
                      <a:avLst/>
                    </a:prstGeom>
                    <a:noFill/>
                    <a:ln w="9525">
                      <a:noFill/>
                      <a:miter lim="800000"/>
                      <a:headEnd/>
                      <a:tailEnd/>
                    </a:ln>
                  </pic:spPr>
                </pic:pic>
              </a:graphicData>
            </a:graphic>
          </wp:inline>
        </w:drawing>
      </w:r>
    </w:p>
    <w:p w:rsidR="00A50C03" w:rsidRPr="007879A0" w:rsidRDefault="00A50C03" w:rsidP="007879A0">
      <w:pPr>
        <w:ind w:left="720"/>
        <w:rPr>
          <w:i/>
        </w:rPr>
      </w:pPr>
      <w:r w:rsidRPr="007879A0">
        <w:rPr>
          <w:i/>
        </w:rPr>
        <w:t xml:space="preserve">Comment: This analysis population consists of paediatric patients requiring </w:t>
      </w:r>
      <w:proofErr w:type="spellStart"/>
      <w:r w:rsidRPr="007879A0">
        <w:rPr>
          <w:i/>
        </w:rPr>
        <w:t>monotherapy</w:t>
      </w:r>
      <w:proofErr w:type="spellEnd"/>
      <w:r w:rsidRPr="007879A0">
        <w:rPr>
          <w:i/>
        </w:rPr>
        <w:t xml:space="preserve"> treatment and is broadly different to the proposed indication by the sponsor (i.e. to use </w:t>
      </w:r>
      <w:proofErr w:type="spellStart"/>
      <w:r w:rsidRPr="007879A0">
        <w:rPr>
          <w:i/>
        </w:rPr>
        <w:t>clobazam</w:t>
      </w:r>
      <w:proofErr w:type="spellEnd"/>
      <w:r w:rsidRPr="007879A0">
        <w:rPr>
          <w:i/>
        </w:rPr>
        <w:t xml:space="preserve"> as adjunctive therapy). Patients in this study may well be reflective of a broad outpatient epilepsy practice but would be generally expected to respond better to antiepileptic drug treatment compared to patients requiring add-on </w:t>
      </w:r>
      <w:proofErr w:type="spellStart"/>
      <w:r w:rsidRPr="007879A0">
        <w:rPr>
          <w:i/>
        </w:rPr>
        <w:t>clobazam</w:t>
      </w:r>
      <w:proofErr w:type="spellEnd"/>
      <w:r w:rsidRPr="007879A0">
        <w:rPr>
          <w:i/>
        </w:rPr>
        <w:t xml:space="preserve"> for refractory epilepsy. This may be particularly true in the case of development of tolerance which may be expected to be less of a problem in a population requiring </w:t>
      </w:r>
      <w:proofErr w:type="spellStart"/>
      <w:r w:rsidRPr="007879A0">
        <w:rPr>
          <w:i/>
        </w:rPr>
        <w:t>monotherapy</w:t>
      </w:r>
      <w:proofErr w:type="spellEnd"/>
      <w:r w:rsidRPr="007879A0">
        <w:rPr>
          <w:i/>
        </w:rPr>
        <w:t xml:space="preserve"> compared to patients with treatment refractory partial epilepsy. It should be noted that the study largely included patients with partial epilepsy and it could also be argued that the study included patients previously refractory to one first line AED who had a short (less than 8 days) inter seizure interval for the last 2 seizures – and therefore the study likely would have included a proportion of patients similar to the proposed indication – with partial seizures who would subsequently have developed “refractory epilepsy”.</w:t>
      </w:r>
    </w:p>
    <w:p w:rsidR="00A50C03" w:rsidRPr="007879A0" w:rsidRDefault="00A50C03" w:rsidP="007879A0">
      <w:pPr>
        <w:ind w:left="720"/>
        <w:rPr>
          <w:i/>
        </w:rPr>
      </w:pPr>
      <w:r w:rsidRPr="007879A0">
        <w:rPr>
          <w:i/>
        </w:rPr>
        <w:t>Moreover, the evaluator notes that the EMA guidelines recommend that the idiopathic generalised epilepsies “should be explored separately...”. The IGEs were lumped in with partial epilepsies and no separate analysis was done in this study.</w:t>
      </w:r>
    </w:p>
    <w:p w:rsidR="00A50C03" w:rsidRPr="00A50C03" w:rsidDel="0081373E" w:rsidRDefault="00A50C03" w:rsidP="007879A0">
      <w:pPr>
        <w:pStyle w:val="Heading5"/>
      </w:pPr>
      <w:r w:rsidRPr="00A50C03" w:rsidDel="0081373E">
        <w:t>Sample size</w:t>
      </w:r>
    </w:p>
    <w:p w:rsidR="00A50C03" w:rsidRPr="00A50C03" w:rsidRDefault="00A50C03" w:rsidP="007879A0">
      <w:r w:rsidRPr="00A50C03">
        <w:t>Sample size was determined by assuming that CLB would be compared to standard therapy (CZP and PHE) with an alpha error of 0.05 and a power of 0.8 to detect a &gt;20% difference in retention rate.</w:t>
      </w:r>
    </w:p>
    <w:p w:rsidR="00A50C03" w:rsidRPr="00A50C03" w:rsidRDefault="00A50C03" w:rsidP="007879A0">
      <w:pPr>
        <w:pStyle w:val="Heading5"/>
      </w:pPr>
      <w:r w:rsidRPr="00A50C03">
        <w:t>Statistical methods</w:t>
      </w:r>
    </w:p>
    <w:p w:rsidR="00A50C03" w:rsidRPr="00A50C03" w:rsidRDefault="00A50C03" w:rsidP="007879A0">
      <w:r w:rsidRPr="00A50C03">
        <w:t xml:space="preserve">For the primary analysis, all data were analysed according to the intention-to-treat principle, including all randomised patients. Baseline characteristics of the clinical population were investigated to determine their relationship to length of retention on the assigned study drug using Kaplan-Meier estimates and log-rank statistics. The distribution of covariates previously shown to influence seizure control was compared between the various arms of the study (age of onset, intellectual and neurologic handicap, interval between the last two seizures before randomization, and seizure type) using Mantel </w:t>
      </w:r>
      <w:proofErr w:type="spellStart"/>
      <w:r w:rsidRPr="00A50C03">
        <w:t>Haenzsel</w:t>
      </w:r>
      <w:proofErr w:type="spellEnd"/>
      <w:r w:rsidRPr="00A50C03">
        <w:t xml:space="preserve"> and chi-squared statistics. The distribution of baseline variables and the retention rates determined by these variables within study arms were compared to justify pooling of results across strata to make the </w:t>
      </w:r>
      <w:proofErr w:type="spellStart"/>
      <w:r w:rsidRPr="00A50C03">
        <w:t>clobazam</w:t>
      </w:r>
      <w:proofErr w:type="spellEnd"/>
      <w:r w:rsidRPr="00A50C03">
        <w:t xml:space="preserve"> versus standard therapy (CZP or PHE) comparison.</w:t>
      </w:r>
    </w:p>
    <w:p w:rsidR="00A50C03" w:rsidRPr="00A50C03" w:rsidRDefault="00A50C03" w:rsidP="007879A0">
      <w:pPr>
        <w:pStyle w:val="Heading5"/>
      </w:pPr>
      <w:r w:rsidRPr="00A50C03">
        <w:t>Participant flow</w:t>
      </w:r>
    </w:p>
    <w:p w:rsidR="00A50C03" w:rsidRPr="00A50C03" w:rsidRDefault="00A50C03" w:rsidP="007879A0">
      <w:r w:rsidRPr="00A50C03">
        <w:t>Fifteen Canadian study centres enrolled 236 subjects between August 1991 and February 1995. One family withdrew their consent before the child received any medication. All other 235 subjects were considered in this intention to treat analysis; however, 10 did not meet the exact entry criteria (two had only one seizure before treatment, seven had previous efficacy failure with two drugs, and one had a brain tumour). Inclusion of these 10 subjects in the analysis did not significantly alter the results.</w:t>
      </w:r>
    </w:p>
    <w:p w:rsidR="00A50C03" w:rsidRPr="00A50C03" w:rsidRDefault="00A50C03" w:rsidP="007879A0">
      <w:r w:rsidRPr="00A50C03">
        <w:t xml:space="preserve">Medication assignments were: </w:t>
      </w:r>
      <w:proofErr w:type="spellStart"/>
      <w:r w:rsidRPr="00A50C03">
        <w:t>clobazam</w:t>
      </w:r>
      <w:proofErr w:type="spellEnd"/>
      <w:r w:rsidRPr="00A50C03">
        <w:t xml:space="preserve"> 119, CZP 78, and PHE 38. One hundred fifteen patients were drug naive and randomised to </w:t>
      </w:r>
      <w:proofErr w:type="spellStart"/>
      <w:r w:rsidRPr="00A50C03">
        <w:t>clobazam</w:t>
      </w:r>
      <w:proofErr w:type="spellEnd"/>
      <w:r w:rsidRPr="00A50C03">
        <w:t xml:space="preserve"> (n = 63) or CZP (n = 51). One additional patient in this study arm inadvertently received PHE. One hundred twenty children were previously treated. Seventy-six had previously failed CZP and were randomised to receive </w:t>
      </w:r>
      <w:proofErr w:type="spellStart"/>
      <w:r w:rsidRPr="00A50C03">
        <w:t>clobazam</w:t>
      </w:r>
      <w:proofErr w:type="spellEnd"/>
      <w:r w:rsidRPr="00A50C03">
        <w:t xml:space="preserve"> (n = 39) or PHE (n = 37). Forty-four had failed other AEDs and were randomised to </w:t>
      </w:r>
      <w:proofErr w:type="spellStart"/>
      <w:r w:rsidRPr="00A50C03">
        <w:t>clobazam</w:t>
      </w:r>
      <w:proofErr w:type="spellEnd"/>
      <w:r w:rsidRPr="00A50C03">
        <w:t xml:space="preserve"> (n = 17) or CZP (n = 27).</w:t>
      </w:r>
    </w:p>
    <w:p w:rsidR="00A50C03" w:rsidRPr="00A50C03" w:rsidRDefault="00A50C03" w:rsidP="007879A0">
      <w:pPr>
        <w:pStyle w:val="Heading5"/>
      </w:pPr>
      <w:r w:rsidRPr="00A50C03">
        <w:t>Major protocol violations/deviations</w:t>
      </w:r>
    </w:p>
    <w:p w:rsidR="00A50C03" w:rsidRPr="00A50C03" w:rsidRDefault="00A50C03" w:rsidP="007879A0">
      <w:r w:rsidRPr="00A50C03">
        <w:t>None.</w:t>
      </w:r>
    </w:p>
    <w:p w:rsidR="00A50C03" w:rsidRPr="00A50C03" w:rsidRDefault="00A50C03" w:rsidP="007879A0">
      <w:pPr>
        <w:pStyle w:val="Heading5"/>
      </w:pPr>
      <w:r w:rsidRPr="00A50C03">
        <w:t>Baseline data</w:t>
      </w:r>
    </w:p>
    <w:p w:rsidR="00A50C03" w:rsidRPr="00A50C03" w:rsidRDefault="00A50C03" w:rsidP="007879A0">
      <w:r w:rsidRPr="00A50C03">
        <w:t>Baseline seizure frequency is not reported.</w:t>
      </w:r>
    </w:p>
    <w:p w:rsidR="00A50C03" w:rsidRPr="00A50C03" w:rsidRDefault="00A50C03" w:rsidP="007879A0">
      <w:pPr>
        <w:pStyle w:val="Heading5"/>
      </w:pPr>
      <w:r w:rsidRPr="00A50C03">
        <w:t>Results for the primary efficacy outcome</w:t>
      </w:r>
    </w:p>
    <w:p w:rsidR="00A50C03" w:rsidRPr="00A50C03" w:rsidRDefault="00A50C03" w:rsidP="007879A0">
      <w:r w:rsidRPr="00A50C03">
        <w:t>131 (56%) patients were retained on their initial medication for 12 months.</w:t>
      </w:r>
    </w:p>
    <w:p w:rsidR="00A50C03" w:rsidRPr="00A50C03" w:rsidRDefault="00A50C03" w:rsidP="007879A0">
      <w:r w:rsidRPr="00A50C03">
        <w:t>The estimated retention rate from survival curves for patients receiving CLB versus standard therapy (CZP or PHE) was the same at 12 months (54.6% ± 4.6 SEM vs. 56.9% ± 4.6; p = 0.7) (Figure 1). Retention by treatment arm is given in Figure 2. There was no significant difference in retention rate between drug naive and previously treated children (59.1% ± 4.6 vs. 52.5% ± 4.6; p = 0.6); however, the retention rate in the group previously treated with CZP was significantly less than the retention for the “other” pre treatment failure group (44.7% ± 5.7 vs. 65.9% ± 7.15; p = 0.02).</w:t>
      </w:r>
    </w:p>
    <w:p w:rsidR="00A50C03" w:rsidRPr="00A50C03" w:rsidRDefault="00A50C03" w:rsidP="007879A0">
      <w:pPr>
        <w:pStyle w:val="FigureTitle"/>
        <w:rPr>
          <w:lang w:val="en-GB"/>
        </w:rPr>
      </w:pPr>
      <w:r w:rsidRPr="00A50C03">
        <w:t xml:space="preserve">Figure 1: Survival curve for retention on </w:t>
      </w:r>
      <w:proofErr w:type="spellStart"/>
      <w:r w:rsidRPr="00A50C03">
        <w:t>clobazam</w:t>
      </w:r>
      <w:proofErr w:type="spellEnd"/>
      <w:r w:rsidRPr="00A50C03">
        <w:t xml:space="preserve"> versus standard therapy.</w:t>
      </w:r>
    </w:p>
    <w:p w:rsidR="00A50C03" w:rsidRDefault="00A50C03" w:rsidP="007879A0">
      <w:pPr>
        <w:jc w:val="center"/>
        <w:rPr>
          <w:lang w:eastAsia="ja-JP"/>
        </w:rPr>
      </w:pPr>
      <w:r>
        <w:rPr>
          <w:noProof/>
          <w:lang w:eastAsia="en-AU"/>
        </w:rPr>
        <w:drawing>
          <wp:inline distT="0" distB="0" distL="0" distR="0">
            <wp:extent cx="3460115" cy="2670175"/>
            <wp:effectExtent l="19050" t="0" r="6985" b="0"/>
            <wp:docPr id="174" name="Picture 174" descr="Figure 1: Survival curve for retention on clobazam versus standard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Figure 1: Survival curve for retention on clobazam versus standard therapy."/>
                    <pic:cNvPicPr>
                      <a:picLocks noChangeAspect="1" noChangeArrowheads="1"/>
                    </pic:cNvPicPr>
                  </pic:nvPicPr>
                  <pic:blipFill>
                    <a:blip r:embed="rId18" cstate="print"/>
                    <a:srcRect/>
                    <a:stretch>
                      <a:fillRect/>
                    </a:stretch>
                  </pic:blipFill>
                  <pic:spPr bwMode="auto">
                    <a:xfrm>
                      <a:off x="0" y="0"/>
                      <a:ext cx="3460115" cy="2670175"/>
                    </a:xfrm>
                    <a:prstGeom prst="rect">
                      <a:avLst/>
                    </a:prstGeom>
                    <a:noFill/>
                    <a:ln w="9525">
                      <a:noFill/>
                      <a:miter lim="800000"/>
                      <a:headEnd/>
                      <a:tailEnd/>
                    </a:ln>
                  </pic:spPr>
                </pic:pic>
              </a:graphicData>
            </a:graphic>
          </wp:inline>
        </w:drawing>
      </w:r>
    </w:p>
    <w:p w:rsidR="00E91D7F" w:rsidRDefault="00E91D7F">
      <w:pPr>
        <w:spacing w:before="0" w:after="200" w:line="0" w:lineRule="auto"/>
        <w:rPr>
          <w:lang w:eastAsia="ja-JP"/>
        </w:rPr>
      </w:pPr>
      <w:r>
        <w:rPr>
          <w:lang w:eastAsia="ja-JP"/>
        </w:rPr>
        <w:br w:type="page"/>
      </w:r>
    </w:p>
    <w:p w:rsidR="00A50C03" w:rsidRPr="00A50C03" w:rsidRDefault="00A50C03" w:rsidP="007879A0">
      <w:pPr>
        <w:pStyle w:val="FigureTitle"/>
        <w:rPr>
          <w:lang w:val="en-GB"/>
        </w:rPr>
      </w:pPr>
      <w:r w:rsidRPr="00A50C03">
        <w:t xml:space="preserve">Figure 2: </w:t>
      </w:r>
      <w:proofErr w:type="spellStart"/>
      <w:r w:rsidRPr="00A50C03">
        <w:t>Clobazam</w:t>
      </w:r>
      <w:proofErr w:type="spellEnd"/>
      <w:r w:rsidRPr="00A50C03">
        <w:t xml:space="preserve"> </w:t>
      </w:r>
      <w:proofErr w:type="spellStart"/>
      <w:r w:rsidRPr="00A50C03">
        <w:t>monotherapy</w:t>
      </w:r>
      <w:proofErr w:type="spellEnd"/>
      <w:r w:rsidRPr="00A50C03">
        <w:t xml:space="preserve"> study percent of patients retained by treatment arm and study drug termination due to all reasons.</w:t>
      </w:r>
    </w:p>
    <w:p w:rsidR="00A50C03" w:rsidRPr="00A50C03" w:rsidRDefault="00A50C03" w:rsidP="007879A0">
      <w:pPr>
        <w:jc w:val="center"/>
        <w:rPr>
          <w:lang w:eastAsia="ja-JP"/>
        </w:rPr>
      </w:pPr>
      <w:r>
        <w:rPr>
          <w:noProof/>
          <w:lang w:eastAsia="en-AU"/>
        </w:rPr>
        <w:drawing>
          <wp:inline distT="0" distB="0" distL="0" distR="0">
            <wp:extent cx="4323080" cy="2392045"/>
            <wp:effectExtent l="19050" t="0" r="1270" b="0"/>
            <wp:docPr id="175" name="Picture 175" descr="Figure 2: Clobazam monotherapy study percent of patients retained by treatment arm and study drug termination due to all rea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Figure 2: Clobazam monotherapy study percent of patients retained by treatment arm and study drug termination due to all reasons."/>
                    <pic:cNvPicPr>
                      <a:picLocks noChangeAspect="1" noChangeArrowheads="1"/>
                    </pic:cNvPicPr>
                  </pic:nvPicPr>
                  <pic:blipFill>
                    <a:blip r:embed="rId19" cstate="print"/>
                    <a:srcRect/>
                    <a:stretch>
                      <a:fillRect/>
                    </a:stretch>
                  </pic:blipFill>
                  <pic:spPr bwMode="auto">
                    <a:xfrm>
                      <a:off x="0" y="0"/>
                      <a:ext cx="4323080" cy="2392045"/>
                    </a:xfrm>
                    <a:prstGeom prst="rect">
                      <a:avLst/>
                    </a:prstGeom>
                    <a:noFill/>
                    <a:ln w="9525">
                      <a:noFill/>
                      <a:miter lim="800000"/>
                      <a:headEnd/>
                      <a:tailEnd/>
                    </a:ln>
                  </pic:spPr>
                </pic:pic>
              </a:graphicData>
            </a:graphic>
          </wp:inline>
        </w:drawing>
      </w:r>
    </w:p>
    <w:p w:rsidR="00A50C03" w:rsidRPr="00A50C03" w:rsidRDefault="00A50C03" w:rsidP="007879A0">
      <w:pPr>
        <w:pStyle w:val="Heading5"/>
      </w:pPr>
      <w:bookmarkStart w:id="52" w:name="_Ref332488049"/>
      <w:r w:rsidRPr="00A50C03">
        <w:t>Results for other efficacy outcomes</w:t>
      </w:r>
      <w:bookmarkEnd w:id="52"/>
    </w:p>
    <w:p w:rsidR="00A50C03" w:rsidRPr="00A50C03" w:rsidRDefault="00A50C03" w:rsidP="007879A0">
      <w:r w:rsidRPr="00A50C03">
        <w:t>A total of 51 (39%) of the 131 patients were seizure free for the entire 12-month study period. This included 23% of those initially randomised to CLB, 25% to CZP, and 11% to PHE.</w:t>
      </w:r>
    </w:p>
    <w:p w:rsidR="00A50C03" w:rsidRPr="00A50C03" w:rsidRDefault="00A50C03" w:rsidP="007879A0">
      <w:r w:rsidRPr="00A50C03">
        <w:t>Tolerance:</w:t>
      </w:r>
    </w:p>
    <w:p w:rsidR="00A50C03" w:rsidRPr="00A50C03" w:rsidRDefault="00A50C03" w:rsidP="004823A8">
      <w:pPr>
        <w:pStyle w:val="Numberbullet3"/>
      </w:pPr>
      <w:r w:rsidRPr="00A50C03">
        <w:t>Definition #1- Tolerance to an AED was identified when a child had no seizures for a critical period while receiving study medication and then had “break-through” seizures sufficient to lead to discontinuation of study medication, despite increases in dose. To be eligible for tolerance calculations, patients had to have an interval &lt;2 months between their last two seizures before study entry and had to be treated in the study for at least 3 months. The critical seizure-free period was defined as three times the interval between the last two seizures before study entry. If the interval was &lt;1 month, the critical period was assigned to be 3 months. In essence, tolerance occurred if there were no seizures for 3-6 months, then sufficient seizures to consider the medication a failure.</w:t>
      </w:r>
    </w:p>
    <w:p w:rsidR="00A50C03" w:rsidRPr="00A50C03" w:rsidRDefault="00A50C03" w:rsidP="004823A8">
      <w:r w:rsidRPr="00A50C03">
        <w:t>Analysis: 116 patients were therefore eligible for assessment of possible tolerance</w:t>
      </w:r>
    </w:p>
    <w:p w:rsidR="00A50C03" w:rsidRPr="00A50C03" w:rsidRDefault="00A50C03" w:rsidP="004823A8">
      <w:r w:rsidRPr="00A50C03">
        <w:t>Tolerance was noted in 7.5% (4 of 53) patients receiving CLB, 4.2% (2 of 48) receiving CZP, and 6.7% (1 of 15) receiving PHE (p = not significant).</w:t>
      </w:r>
    </w:p>
    <w:p w:rsidR="00A50C03" w:rsidRPr="00A50C03" w:rsidRDefault="00A50C03" w:rsidP="004823A8">
      <w:pPr>
        <w:pStyle w:val="Numberbullet3"/>
      </w:pPr>
      <w:r w:rsidRPr="00A50C03">
        <w:t xml:space="preserve">Definition #2 – the second definition was the occurrence of any seizure during the study. Using the second definition of escape, the overall percentage of patients exhibiting tolerance was 30.2%. There was no evidence of any difference in the percentages between the </w:t>
      </w:r>
      <w:proofErr w:type="spellStart"/>
      <w:r w:rsidRPr="00A50C03">
        <w:t>clobazam</w:t>
      </w:r>
      <w:proofErr w:type="spellEnd"/>
      <w:r w:rsidRPr="00A50C03">
        <w:t xml:space="preserve"> treated patient and the patients treated with standard therapy both within and across the strata (Table 4).</w:t>
      </w:r>
    </w:p>
    <w:p w:rsidR="00A50C03" w:rsidRPr="00A50C03" w:rsidRDefault="00A50C03" w:rsidP="004823A8">
      <w:pPr>
        <w:pStyle w:val="TableTitle"/>
        <w:rPr>
          <w:lang w:val="en-GB"/>
        </w:rPr>
      </w:pPr>
      <w:r w:rsidRPr="00A50C03">
        <w:t>Table 4: Percent of patients (n) exhibiting tolerance by pre treatment and treatment group escape defined as any seizure.</w:t>
      </w:r>
    </w:p>
    <w:p w:rsidR="00A50C03" w:rsidRPr="00A50C03" w:rsidRDefault="00A50C03" w:rsidP="004823A8">
      <w:pPr>
        <w:jc w:val="center"/>
        <w:rPr>
          <w:lang w:eastAsia="ja-JP"/>
        </w:rPr>
      </w:pPr>
      <w:r>
        <w:rPr>
          <w:noProof/>
          <w:lang w:eastAsia="en-AU"/>
        </w:rPr>
        <w:drawing>
          <wp:inline distT="0" distB="0" distL="0" distR="0">
            <wp:extent cx="3679825" cy="3189605"/>
            <wp:effectExtent l="19050" t="0" r="0" b="0"/>
            <wp:docPr id="176" name="Picture 176" descr="Table 4: Percent of patients (n) exhibiting tolerance by pre treatment and treatment group escape defined as any seiz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Table 4: Percent of patients (n) exhibiting tolerance by pre treatment and treatment group escape defined as any seizure."/>
                    <pic:cNvPicPr>
                      <a:picLocks noChangeAspect="1" noChangeArrowheads="1"/>
                    </pic:cNvPicPr>
                  </pic:nvPicPr>
                  <pic:blipFill>
                    <a:blip r:embed="rId20" cstate="print"/>
                    <a:srcRect/>
                    <a:stretch>
                      <a:fillRect/>
                    </a:stretch>
                  </pic:blipFill>
                  <pic:spPr bwMode="auto">
                    <a:xfrm>
                      <a:off x="0" y="0"/>
                      <a:ext cx="3679825" cy="3189605"/>
                    </a:xfrm>
                    <a:prstGeom prst="rect">
                      <a:avLst/>
                    </a:prstGeom>
                    <a:noFill/>
                    <a:ln w="9525">
                      <a:noFill/>
                      <a:miter lim="800000"/>
                      <a:headEnd/>
                      <a:tailEnd/>
                    </a:ln>
                  </pic:spPr>
                </pic:pic>
              </a:graphicData>
            </a:graphic>
          </wp:inline>
        </w:drawing>
      </w:r>
    </w:p>
    <w:p w:rsidR="00A50C03" w:rsidRPr="00A50C03" w:rsidRDefault="00A50C03" w:rsidP="004823A8">
      <w:pPr>
        <w:pStyle w:val="Numberbullet3"/>
      </w:pPr>
      <w:r w:rsidRPr="00A50C03">
        <w:t xml:space="preserve">Definition #3 – Tolerance as defined by termination from the study for reasons related to efficacy. The overall percentage was 6.9%. There was no evidence of any difference in the percentages between the </w:t>
      </w:r>
      <w:proofErr w:type="spellStart"/>
      <w:r w:rsidRPr="00A50C03">
        <w:t>clobazam</w:t>
      </w:r>
      <w:proofErr w:type="spellEnd"/>
      <w:r w:rsidRPr="00A50C03">
        <w:t xml:space="preserve"> treated patient and the patients treated with standard therapy both within and across the strata (Table 5).</w:t>
      </w:r>
    </w:p>
    <w:p w:rsidR="00A50C03" w:rsidRPr="00A50C03" w:rsidRDefault="00A50C03" w:rsidP="004823A8">
      <w:pPr>
        <w:pStyle w:val="TableTitle"/>
        <w:rPr>
          <w:lang w:val="en-GB"/>
        </w:rPr>
      </w:pPr>
      <w:r w:rsidRPr="00A50C03">
        <w:t>Table 5: Percent of patients (n) exhibiting tolerance by pre treatment and treatment group escape defined as terminated for reasons of no efficacy.</w:t>
      </w:r>
    </w:p>
    <w:p w:rsidR="00A50C03" w:rsidRPr="00A50C03" w:rsidRDefault="00A50C03" w:rsidP="004823A8">
      <w:pPr>
        <w:jc w:val="center"/>
        <w:rPr>
          <w:lang w:eastAsia="ja-JP"/>
        </w:rPr>
      </w:pPr>
      <w:r>
        <w:rPr>
          <w:noProof/>
          <w:lang w:eastAsia="en-AU"/>
        </w:rPr>
        <w:drawing>
          <wp:inline distT="0" distB="0" distL="0" distR="0">
            <wp:extent cx="3635375" cy="3131185"/>
            <wp:effectExtent l="19050" t="0" r="3175" b="0"/>
            <wp:docPr id="177" name="Picture 177" descr="Table 5: Percent of patients (n) exhibiting tolerance by pre treatment and treatment group escape defined as terminated for reasons of no effic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Table 5: Percent of patients (n) exhibiting tolerance by pre treatment and treatment group escape defined as terminated for reasons of no efficacy."/>
                    <pic:cNvPicPr>
                      <a:picLocks noChangeAspect="1" noChangeArrowheads="1"/>
                    </pic:cNvPicPr>
                  </pic:nvPicPr>
                  <pic:blipFill>
                    <a:blip r:embed="rId21" cstate="print"/>
                    <a:srcRect/>
                    <a:stretch>
                      <a:fillRect/>
                    </a:stretch>
                  </pic:blipFill>
                  <pic:spPr bwMode="auto">
                    <a:xfrm>
                      <a:off x="0" y="0"/>
                      <a:ext cx="3635375" cy="3131185"/>
                    </a:xfrm>
                    <a:prstGeom prst="rect">
                      <a:avLst/>
                    </a:prstGeom>
                    <a:noFill/>
                    <a:ln w="9525">
                      <a:noFill/>
                      <a:miter lim="800000"/>
                      <a:headEnd/>
                      <a:tailEnd/>
                    </a:ln>
                  </pic:spPr>
                </pic:pic>
              </a:graphicData>
            </a:graphic>
          </wp:inline>
        </w:drawing>
      </w:r>
    </w:p>
    <w:p w:rsidR="00A50C03" w:rsidRPr="00A50C03" w:rsidRDefault="00A50C03" w:rsidP="004823A8">
      <w:pPr>
        <w:pStyle w:val="Heading4"/>
      </w:pPr>
      <w:bookmarkStart w:id="53" w:name="_Toc332659648"/>
      <w:r w:rsidRPr="00A50C03">
        <w:t xml:space="preserve">Study: </w:t>
      </w:r>
      <w:proofErr w:type="spellStart"/>
      <w:r w:rsidRPr="00A50C03">
        <w:t>Conry</w:t>
      </w:r>
      <w:proofErr w:type="spellEnd"/>
      <w:r w:rsidRPr="00A50C03">
        <w:t xml:space="preserve"> et al, </w:t>
      </w:r>
      <w:proofErr w:type="spellStart"/>
      <w:r w:rsidRPr="00A50C03">
        <w:t>clobazam</w:t>
      </w:r>
      <w:proofErr w:type="spellEnd"/>
      <w:r w:rsidRPr="00A50C03">
        <w:t xml:space="preserve"> in the treatment of Lennox-</w:t>
      </w:r>
      <w:proofErr w:type="spellStart"/>
      <w:r w:rsidRPr="00A50C03">
        <w:t>Gastaut</w:t>
      </w:r>
      <w:proofErr w:type="spellEnd"/>
      <w:r w:rsidRPr="00A50C03">
        <w:t xml:space="preserve"> syndrome</w:t>
      </w:r>
      <w:bookmarkEnd w:id="53"/>
      <w:r w:rsidRPr="00A50C03">
        <w:rPr>
          <w:vertAlign w:val="superscript"/>
        </w:rPr>
        <w:footnoteReference w:id="17"/>
      </w:r>
    </w:p>
    <w:p w:rsidR="00A50C03" w:rsidRPr="00A50C03" w:rsidRDefault="00A50C03" w:rsidP="004823A8">
      <w:pPr>
        <w:pStyle w:val="Heading5"/>
      </w:pPr>
      <w:r w:rsidRPr="00A50C03">
        <w:t>Study design, objectives, locations and dates</w:t>
      </w:r>
    </w:p>
    <w:p w:rsidR="00A50C03" w:rsidRPr="00A50C03" w:rsidRDefault="00A50C03" w:rsidP="004823A8">
      <w:r w:rsidRPr="00A50C03">
        <w:t>This study was designed as a “Phase II” multicentre, randomised, double-blind, high/low dose comparison, parallel-group study conducted at 14 US sites. The study compared two arms, low and high CLB dose as adjunctive therapy for drop seizures in patients with LGS.</w:t>
      </w:r>
    </w:p>
    <w:p w:rsidR="00A50C03" w:rsidRPr="00A50C03" w:rsidRDefault="00A50C03" w:rsidP="004823A8">
      <w:pPr>
        <w:pStyle w:val="Heading5"/>
      </w:pPr>
      <w:r w:rsidRPr="00A50C03">
        <w:t>Inclusion and exclusion criteria</w:t>
      </w:r>
    </w:p>
    <w:p w:rsidR="00A50C03" w:rsidRPr="00A50C03" w:rsidRDefault="00A50C03" w:rsidP="004823A8">
      <w:r w:rsidRPr="00A50C03">
        <w:t>Inclusion criteria:</w:t>
      </w:r>
    </w:p>
    <w:p w:rsidR="00A50C03" w:rsidRPr="00A50C03" w:rsidRDefault="00A50C03" w:rsidP="004823A8">
      <w:pPr>
        <w:pStyle w:val="ListBullet"/>
      </w:pPr>
      <w:r w:rsidRPr="00A50C03">
        <w:t xml:space="preserve">patients fulfilling criteria for LGS with onset age less than 11 years </w:t>
      </w:r>
    </w:p>
    <w:p w:rsidR="00A50C03" w:rsidRPr="00A50C03" w:rsidRDefault="00A50C03" w:rsidP="004823A8">
      <w:pPr>
        <w:pStyle w:val="ListBullet"/>
      </w:pPr>
      <w:r w:rsidRPr="00A50C03">
        <w:t>more than one type of generalised seizure including more than 2 drop seizures a week</w:t>
      </w:r>
    </w:p>
    <w:p w:rsidR="00A50C03" w:rsidRPr="00A50C03" w:rsidRDefault="00A50C03" w:rsidP="004823A8">
      <w:pPr>
        <w:pStyle w:val="ListBullet"/>
      </w:pPr>
      <w:r w:rsidRPr="00A50C03">
        <w:t>on 1-3 AEDs</w:t>
      </w:r>
    </w:p>
    <w:p w:rsidR="00A50C03" w:rsidRPr="00A50C03" w:rsidRDefault="00A50C03" w:rsidP="004823A8">
      <w:r w:rsidRPr="00A50C03">
        <w:t>Exclusion criteria:</w:t>
      </w:r>
    </w:p>
    <w:p w:rsidR="00A50C03" w:rsidRPr="00A50C03" w:rsidRDefault="00A50C03" w:rsidP="004823A8">
      <w:pPr>
        <w:pStyle w:val="ListBullet"/>
      </w:pPr>
      <w:r w:rsidRPr="00A50C03">
        <w:t>progressive neurological disease (except tuberous sclerosis)</w:t>
      </w:r>
    </w:p>
    <w:p w:rsidR="00A50C03" w:rsidRPr="004823A8" w:rsidRDefault="00A50C03" w:rsidP="004823A8">
      <w:pPr>
        <w:ind w:left="227"/>
        <w:rPr>
          <w:i/>
        </w:rPr>
      </w:pPr>
      <w:r w:rsidRPr="004823A8">
        <w:rPr>
          <w:i/>
        </w:rPr>
        <w:t>Comment: The study is limited to LGS and does not include refractory partial epilepsy patients.</w:t>
      </w:r>
    </w:p>
    <w:p w:rsidR="00A50C03" w:rsidRPr="00A50C03" w:rsidRDefault="00A50C03" w:rsidP="004823A8">
      <w:pPr>
        <w:pStyle w:val="Heading5"/>
      </w:pPr>
      <w:r w:rsidRPr="00A50C03">
        <w:t>Study treatments</w:t>
      </w:r>
    </w:p>
    <w:p w:rsidR="00A50C03" w:rsidRPr="00A50C03" w:rsidRDefault="00A50C03" w:rsidP="004823A8">
      <w:r w:rsidRPr="00A50C03">
        <w:t xml:space="preserve">Patients with two or more drop seizures per week during the baseline period were placed in one of six weight groups and randomly assigned to either low-dose CLB (target dose of 0.25 mg/kg/day; maximum 10 mg/day) or high-dose CLB (target dose of 1.0 mg/kg/day; maximum 40 mg/day) treatment groups. Dosing was based on body weight up to a weight of 37.6 kg; at greater weights dosing was fixed at a maximum of 10 mg/day (low dose group) or 40 mg/day (high dose group) to provide a range of efficacious doses in the paediatric population with LGS. </w:t>
      </w:r>
    </w:p>
    <w:p w:rsidR="00A50C03" w:rsidRPr="00A50C03" w:rsidRDefault="00A50C03" w:rsidP="004823A8">
      <w:r w:rsidRPr="00A50C03">
        <w:t>During the titration period, patients started with either 5 or 10 mg CLB in divided (two) daily doses, increasing the dose every 7 days until reaching the target dose. Upon reaching the target dose, patients maintained the blinded dose for a 4-week maintenance period. Patients with low body weight in the low-dose group received 5 mg CLB as one of two daily doses, with placebo for the second dose.</w:t>
      </w:r>
    </w:p>
    <w:p w:rsidR="00A50C03" w:rsidRPr="004823A8" w:rsidRDefault="00A50C03" w:rsidP="004823A8">
      <w:pPr>
        <w:ind w:left="720"/>
        <w:rPr>
          <w:i/>
        </w:rPr>
      </w:pPr>
      <w:r w:rsidRPr="004823A8">
        <w:rPr>
          <w:i/>
        </w:rPr>
        <w:t>Comment: The lack of placebo comparator is unusual in a study of this nature. According the EMA guidelines “The pivotal add-on studies should have a randomised, double-blind, placebo-controlled parallel group study design.” However, use of more than one dose arm in this study provides some evidence for the clinically effective dose range as well as the optimal effective dose.</w:t>
      </w:r>
    </w:p>
    <w:p w:rsidR="00A50C03" w:rsidRPr="004823A8" w:rsidRDefault="00A50C03" w:rsidP="004823A8">
      <w:pPr>
        <w:ind w:left="720"/>
        <w:rPr>
          <w:i/>
        </w:rPr>
      </w:pPr>
      <w:r w:rsidRPr="004823A8">
        <w:rPr>
          <w:i/>
        </w:rPr>
        <w:t>Also, it should be noted that no the maintenance period was shorter than the recommended 12 weeks (EMA guideline). So from this study it cannot be concluded that efficacy is not short lasting. Its principal limitations were its inability to examine habituation because of its short duration and lack of a complete examination of the dose response relationship. In this regard, I would consider the study strongly supportive rather than pivotal.</w:t>
      </w:r>
    </w:p>
    <w:p w:rsidR="00A50C03" w:rsidRPr="004823A8" w:rsidRDefault="00A50C03" w:rsidP="004823A8">
      <w:pPr>
        <w:ind w:left="720"/>
        <w:rPr>
          <w:i/>
        </w:rPr>
      </w:pPr>
      <w:r w:rsidRPr="004823A8">
        <w:rPr>
          <w:i/>
        </w:rPr>
        <w:t xml:space="preserve">Data concerning potential withdrawal and/or rebound effects were also not generated at end of maintenance period as most patients entered the open-label extension study (61 of 68). </w:t>
      </w:r>
    </w:p>
    <w:p w:rsidR="00A50C03" w:rsidRPr="00A50C03" w:rsidRDefault="00A50C03" w:rsidP="004823A8">
      <w:pPr>
        <w:pStyle w:val="Heading5"/>
      </w:pPr>
      <w:bookmarkStart w:id="54" w:name="_Ref331713420"/>
      <w:r w:rsidRPr="00A50C03">
        <w:t>Efficacy variables and outcomes</w:t>
      </w:r>
      <w:bookmarkEnd w:id="54"/>
    </w:p>
    <w:p w:rsidR="00A50C03" w:rsidRPr="00A50C03" w:rsidRDefault="00A50C03" w:rsidP="004823A8">
      <w:r w:rsidRPr="00A50C03">
        <w:t>Throughout the study, the patient’s parent/caregiver maintained a daily seizure diary to record the number of seizures; specifically, any drop seizures.</w:t>
      </w:r>
    </w:p>
    <w:p w:rsidR="00A50C03" w:rsidRPr="00A50C03" w:rsidRDefault="00A50C03" w:rsidP="004823A8">
      <w:pPr>
        <w:pStyle w:val="ListBullet"/>
      </w:pPr>
      <w:r w:rsidRPr="00A50C03">
        <w:t>The primary efficacy analysis was the percent reduction in drop seizure rates (average per week) from the 4-week baseline period compared to the 4-week maintenance period within each treatment group.</w:t>
      </w:r>
    </w:p>
    <w:p w:rsidR="00A50C03" w:rsidRPr="004823A8" w:rsidRDefault="00A50C03" w:rsidP="004823A8">
      <w:pPr>
        <w:ind w:left="360"/>
        <w:rPr>
          <w:i/>
        </w:rPr>
      </w:pPr>
      <w:r w:rsidRPr="004823A8">
        <w:rPr>
          <w:i/>
        </w:rPr>
        <w:t>Comment: The primary efficacy variable accords with TGA-adopted guidelines.</w:t>
      </w:r>
    </w:p>
    <w:p w:rsidR="00A50C03" w:rsidRPr="00A50C03" w:rsidRDefault="00A50C03" w:rsidP="004823A8">
      <w:pPr>
        <w:pStyle w:val="ListBullet"/>
      </w:pPr>
      <w:r w:rsidRPr="00A50C03">
        <w:t>Efficacy was also assessed as the proportion of patients in each treatment group considered treatment responders (patients with a ≥25%, ≥50%, ≥75%, and 100% reduction in drop seizures) using a one-sided Fisher’s exact test.</w:t>
      </w:r>
    </w:p>
    <w:p w:rsidR="00A50C03" w:rsidRPr="00A50C03" w:rsidRDefault="00A50C03" w:rsidP="004823A8">
      <w:pPr>
        <w:pStyle w:val="ListBullet"/>
      </w:pPr>
      <w:r w:rsidRPr="00A50C03">
        <w:t xml:space="preserve">The percent reduction in weekly </w:t>
      </w:r>
      <w:proofErr w:type="spellStart"/>
      <w:r w:rsidRPr="00A50C03">
        <w:t>nondrop</w:t>
      </w:r>
      <w:proofErr w:type="spellEnd"/>
      <w:r w:rsidRPr="00A50C03">
        <w:t xml:space="preserve"> seizures within treatment groups (</w:t>
      </w:r>
      <w:proofErr w:type="spellStart"/>
      <w:r w:rsidRPr="00A50C03">
        <w:t>Wilcoxon</w:t>
      </w:r>
      <w:proofErr w:type="spellEnd"/>
      <w:r w:rsidRPr="00A50C03">
        <w:t xml:space="preserve"> signed-rank tests) and between treatment groups (</w:t>
      </w:r>
      <w:proofErr w:type="spellStart"/>
      <w:r w:rsidRPr="00A50C03">
        <w:t>Wilcoxon</w:t>
      </w:r>
      <w:proofErr w:type="spellEnd"/>
      <w:r w:rsidRPr="00A50C03">
        <w:t xml:space="preserve"> rank-sum test) was also analysed.</w:t>
      </w:r>
    </w:p>
    <w:p w:rsidR="00A50C03" w:rsidRPr="00A50C03" w:rsidRDefault="00A50C03" w:rsidP="004823A8">
      <w:pPr>
        <w:pStyle w:val="ListBullet"/>
      </w:pPr>
      <w:r w:rsidRPr="00A50C03">
        <w:t>Responses on the investigator and parent/caregiver global evaluations were assessed and treated as continuous variables, and differences between the treatment groups were analysed using a one-sided t-test using the MITT population.</w:t>
      </w:r>
    </w:p>
    <w:p w:rsidR="00A50C03" w:rsidRPr="00A50C03" w:rsidRDefault="00A50C03" w:rsidP="004823A8">
      <w:pPr>
        <w:pStyle w:val="Heading5"/>
      </w:pPr>
      <w:r w:rsidRPr="00A50C03">
        <w:t>Randomisation and blinding methods</w:t>
      </w:r>
    </w:p>
    <w:p w:rsidR="00A50C03" w:rsidRPr="00A50C03" w:rsidRDefault="00A50C03" w:rsidP="004823A8">
      <w:r w:rsidRPr="00A50C03">
        <w:t xml:space="preserve">CLB was supplied in 5 mg tablets in blister cards for the titration period and open-label bottles during the taper period. Placebo was provided to ensure identical tablets and packaging across weight groups. An </w:t>
      </w:r>
      <w:proofErr w:type="spellStart"/>
      <w:r w:rsidRPr="00A50C03">
        <w:t>unblinded</w:t>
      </w:r>
      <w:proofErr w:type="spellEnd"/>
      <w:r w:rsidRPr="00A50C03">
        <w:t xml:space="preserve"> physician adjusted the patient’s dose during the taper period, upon transition to the open-label extension study, and during the open-label study.</w:t>
      </w:r>
    </w:p>
    <w:p w:rsidR="00A50C03" w:rsidRPr="00A50C03" w:rsidRDefault="00A50C03" w:rsidP="004823A8">
      <w:pPr>
        <w:pStyle w:val="Heading5"/>
      </w:pPr>
      <w:r w:rsidRPr="00A50C03">
        <w:t>Analysis populations</w:t>
      </w:r>
    </w:p>
    <w:p w:rsidR="00A50C03" w:rsidRPr="00A50C03" w:rsidRDefault="00A50C03" w:rsidP="004823A8">
      <w:r w:rsidRPr="00A50C03">
        <w:t xml:space="preserve">The intent-to-treat (ITT) population were appropriate and consisted of all randomised subjects who received study drug and had both a baseline and </w:t>
      </w:r>
      <w:proofErr w:type="spellStart"/>
      <w:r w:rsidRPr="00A50C03">
        <w:t>postbaseline</w:t>
      </w:r>
      <w:proofErr w:type="spellEnd"/>
      <w:r w:rsidRPr="00A50C03">
        <w:t xml:space="preserve"> measurement; the efficacy analyses were conducted using the modified intent-to-treat (MITT) population, which consisted of all randomised subjects who provided informed consent, took at least one dose of study drug, and had at least one efficacy measurement during the maintenance period.</w:t>
      </w:r>
    </w:p>
    <w:p w:rsidR="00A50C03" w:rsidRPr="00A50C03" w:rsidDel="0081373E" w:rsidRDefault="00A50C03" w:rsidP="004823A8">
      <w:pPr>
        <w:pStyle w:val="Heading5"/>
      </w:pPr>
      <w:r w:rsidRPr="00A50C03" w:rsidDel="0081373E">
        <w:t>Sample size</w:t>
      </w:r>
    </w:p>
    <w:p w:rsidR="00A50C03" w:rsidRPr="00A50C03" w:rsidRDefault="00A50C03" w:rsidP="004823A8">
      <w:r w:rsidRPr="00A50C03">
        <w:t xml:space="preserve">Not reported. </w:t>
      </w:r>
    </w:p>
    <w:p w:rsidR="00A50C03" w:rsidRPr="00A50C03" w:rsidRDefault="00A50C03" w:rsidP="004823A8">
      <w:pPr>
        <w:pStyle w:val="Heading5"/>
      </w:pPr>
      <w:r w:rsidRPr="00A50C03">
        <w:t>Statistical methods</w:t>
      </w:r>
    </w:p>
    <w:p w:rsidR="00A50C03" w:rsidRPr="00A50C03" w:rsidRDefault="00A50C03" w:rsidP="004823A8">
      <w:r w:rsidRPr="00A50C03">
        <w:t xml:space="preserve">The percent reduction in drop seizure rate (primary efficacy outcome) for each patient was calculated as: [(baseline drop seizure rate) maintenance drop seizure rate)/baseline drop seizure rate] * 100. The percent change in drop seizure rates from baseline to maintenance was analysed within each treatment group using one-sided </w:t>
      </w:r>
      <w:proofErr w:type="spellStart"/>
      <w:r w:rsidRPr="00A50C03">
        <w:t>Wilcoxon</w:t>
      </w:r>
      <w:proofErr w:type="spellEnd"/>
      <w:r w:rsidRPr="00A50C03">
        <w:t xml:space="preserve"> signed-rank tests, and between treatment groups using a one-sided </w:t>
      </w:r>
      <w:proofErr w:type="spellStart"/>
      <w:r w:rsidRPr="00A50C03">
        <w:t>Wilcoxon</w:t>
      </w:r>
      <w:proofErr w:type="spellEnd"/>
      <w:r w:rsidRPr="00A50C03">
        <w:t xml:space="preserve"> rank-sum test.</w:t>
      </w:r>
    </w:p>
    <w:p w:rsidR="00A50C03" w:rsidRPr="00A50C03" w:rsidRDefault="00A50C03" w:rsidP="004823A8">
      <w:pPr>
        <w:pStyle w:val="Heading5"/>
      </w:pPr>
      <w:r w:rsidRPr="00A50C03">
        <w:t>Major protocol violations/deviations</w:t>
      </w:r>
    </w:p>
    <w:p w:rsidR="00A50C03" w:rsidRPr="00A50C03" w:rsidRDefault="00A50C03" w:rsidP="004823A8">
      <w:r w:rsidRPr="00A50C03">
        <w:t>None reported.</w:t>
      </w:r>
    </w:p>
    <w:p w:rsidR="00A50C03" w:rsidRPr="00A50C03" w:rsidRDefault="00A50C03" w:rsidP="004823A8">
      <w:pPr>
        <w:pStyle w:val="Heading5"/>
      </w:pPr>
      <w:bookmarkStart w:id="55" w:name="_Ref331712929"/>
      <w:r w:rsidRPr="00A50C03">
        <w:t>Baseline data</w:t>
      </w:r>
      <w:bookmarkEnd w:id="55"/>
    </w:p>
    <w:p w:rsidR="00A50C03" w:rsidRPr="00A50C03" w:rsidRDefault="00A50C03" w:rsidP="004823A8">
      <w:r w:rsidRPr="00A50C03">
        <w:t>Patients entering the study were diagnosed with LGS with median age of 7.4 years. Demographics were well matched between groups. Demographics were generally well matched between groups. Baseline seizure activity was somewhat higher in the high dose group. Only US patients were studied and there was a preponderance of Caucasians.</w:t>
      </w:r>
    </w:p>
    <w:p w:rsidR="00A50C03" w:rsidRPr="004823A8" w:rsidRDefault="00A50C03" w:rsidP="004823A8">
      <w:pPr>
        <w:ind w:left="227"/>
        <w:rPr>
          <w:i/>
        </w:rPr>
      </w:pPr>
      <w:r w:rsidRPr="004823A8">
        <w:rPr>
          <w:i/>
        </w:rPr>
        <w:t xml:space="preserve">Comment: The study involves patients with LGS. The sponsor states that for extension of the indication to include childhood refractory epilepsy is that LGS is a “worst case” test model for epilepsy therapies. With regards to short term use of </w:t>
      </w:r>
      <w:proofErr w:type="spellStart"/>
      <w:r w:rsidRPr="004823A8">
        <w:rPr>
          <w:i/>
        </w:rPr>
        <w:t>clobazam</w:t>
      </w:r>
      <w:proofErr w:type="spellEnd"/>
      <w:r w:rsidRPr="004823A8">
        <w:rPr>
          <w:i/>
        </w:rPr>
        <w:t xml:space="preserve"> in LGS, in addition to the current understanding of the role of benzodiazepines in seizure suppression</w:t>
      </w:r>
      <w:r w:rsidRPr="004823A8">
        <w:rPr>
          <w:i/>
          <w:vertAlign w:val="superscript"/>
        </w:rPr>
        <w:footnoteReference w:id="18"/>
      </w:r>
      <w:r w:rsidRPr="004823A8">
        <w:rPr>
          <w:i/>
        </w:rPr>
        <w:t xml:space="preserve"> and the large amount of preclinical and open label data available, this contention is considered supported by the evaluator. </w:t>
      </w:r>
    </w:p>
    <w:p w:rsidR="00A50C03" w:rsidRPr="00A50C03" w:rsidRDefault="00A50C03" w:rsidP="004823A8">
      <w:pPr>
        <w:pStyle w:val="Heading5"/>
      </w:pPr>
      <w:r w:rsidRPr="00A50C03">
        <w:t>Results for the primary efficacy outcome</w:t>
      </w:r>
    </w:p>
    <w:p w:rsidR="00A50C03" w:rsidRPr="00A50C03" w:rsidRDefault="00A50C03" w:rsidP="004823A8">
      <w:pPr>
        <w:pStyle w:val="ListBullet"/>
      </w:pPr>
      <w:r w:rsidRPr="00A50C03">
        <w:t>The primary efficacy analysis was the percent reduction in drop seizure rates (average per week) from the 4-week baseline period compared to the 4-week maintenance period within each treatment group.</w:t>
      </w:r>
    </w:p>
    <w:p w:rsidR="00A50C03" w:rsidRPr="00A50C03" w:rsidRDefault="00A50C03" w:rsidP="004823A8">
      <w:pPr>
        <w:pStyle w:val="ListBullet"/>
      </w:pPr>
      <w:r w:rsidRPr="00A50C03">
        <w:t>Outcome: Baseline seizure activity was somewhat higher in the high dose group. Only US patients were studied and there was a preponderance of Caucasians. Results of the primary endpoint analysis are presented in the table below (transcribed from the statistical review). The high-dose group exhibited statistically significant greater seizure control than did the low-dose group (Table 6).</w:t>
      </w:r>
    </w:p>
    <w:p w:rsidR="00A50C03" w:rsidRPr="00A50C03" w:rsidRDefault="00A50C03" w:rsidP="004823A8">
      <w:pPr>
        <w:pStyle w:val="TableTitle"/>
        <w:rPr>
          <w:lang w:val="en-GB"/>
        </w:rPr>
      </w:pPr>
      <w:r w:rsidRPr="00A50C03">
        <w:t>Table 6: Primary endpoint analysis: maintenance period percent change form baseline in drop seizures.</w:t>
      </w:r>
    </w:p>
    <w:p w:rsidR="00A50C03" w:rsidRPr="00A50C03" w:rsidRDefault="00A50C03" w:rsidP="004823A8">
      <w:pPr>
        <w:jc w:val="center"/>
        <w:rPr>
          <w:lang w:eastAsia="ja-JP"/>
        </w:rPr>
      </w:pPr>
      <w:r>
        <w:rPr>
          <w:noProof/>
          <w:lang w:eastAsia="en-AU"/>
        </w:rPr>
        <w:drawing>
          <wp:inline distT="0" distB="0" distL="0" distR="0">
            <wp:extent cx="4366895" cy="1521460"/>
            <wp:effectExtent l="19050" t="0" r="0" b="0"/>
            <wp:docPr id="178" name="Picture 178" descr="Table 6: Primary endpoint analysis: maintenance period percent change form baseline in drop seiz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Table 6: Primary endpoint analysis: maintenance period percent change form baseline in drop seizures."/>
                    <pic:cNvPicPr>
                      <a:picLocks noChangeAspect="1" noChangeArrowheads="1"/>
                    </pic:cNvPicPr>
                  </pic:nvPicPr>
                  <pic:blipFill>
                    <a:blip r:embed="rId22" cstate="print"/>
                    <a:srcRect/>
                    <a:stretch>
                      <a:fillRect/>
                    </a:stretch>
                  </pic:blipFill>
                  <pic:spPr bwMode="auto">
                    <a:xfrm>
                      <a:off x="0" y="0"/>
                      <a:ext cx="4366895" cy="1521460"/>
                    </a:xfrm>
                    <a:prstGeom prst="rect">
                      <a:avLst/>
                    </a:prstGeom>
                    <a:noFill/>
                    <a:ln w="9525">
                      <a:noFill/>
                      <a:miter lim="800000"/>
                      <a:headEnd/>
                      <a:tailEnd/>
                    </a:ln>
                  </pic:spPr>
                </pic:pic>
              </a:graphicData>
            </a:graphic>
          </wp:inline>
        </w:drawing>
      </w:r>
    </w:p>
    <w:p w:rsidR="00A50C03" w:rsidRPr="00A50C03" w:rsidRDefault="00A50C03" w:rsidP="004823A8">
      <w:pPr>
        <w:pStyle w:val="Heading5"/>
      </w:pPr>
      <w:r w:rsidRPr="00A50C03">
        <w:t>Results for other efficacy outcomes</w:t>
      </w:r>
    </w:p>
    <w:p w:rsidR="00A50C03" w:rsidRPr="00A50C03" w:rsidRDefault="00A50C03" w:rsidP="004823A8">
      <w:pPr>
        <w:pStyle w:val="ListBullet"/>
      </w:pPr>
      <w:r w:rsidRPr="00A50C03">
        <w:t>Efficacy was also assessed as the proportion of patients in each treatment group considered treatment responders (patients with a ≥25%, ≥50%, ≥75%, and 100% reduction in drop seizures) using a one-sided Fisher’s exact test.</w:t>
      </w:r>
    </w:p>
    <w:p w:rsidR="00A50C03" w:rsidRPr="00A50C03" w:rsidRDefault="00A50C03" w:rsidP="004823A8">
      <w:pPr>
        <w:pStyle w:val="ListBullet"/>
      </w:pPr>
      <w:r w:rsidRPr="00A50C03">
        <w:t>Outcome: Percentage of treatment responders in weekly drop seizures was higher within each classification (Figure 3).</w:t>
      </w:r>
    </w:p>
    <w:p w:rsidR="00A50C03" w:rsidRPr="00A50C03" w:rsidRDefault="00A50C03" w:rsidP="004823A8">
      <w:pPr>
        <w:pStyle w:val="FigureTitle"/>
        <w:rPr>
          <w:lang w:val="en-GB"/>
        </w:rPr>
      </w:pPr>
      <w:r w:rsidRPr="00A50C03">
        <w:t>Figure 3: Percentage of treatment responders in weekly drop seizures by classification.</w:t>
      </w:r>
    </w:p>
    <w:p w:rsidR="00A50C03" w:rsidRPr="00A50C03" w:rsidRDefault="00A50C03" w:rsidP="004823A8">
      <w:pPr>
        <w:jc w:val="center"/>
        <w:rPr>
          <w:lang w:eastAsia="ja-JP"/>
        </w:rPr>
      </w:pPr>
      <w:r>
        <w:rPr>
          <w:noProof/>
          <w:lang w:eastAsia="en-AU"/>
        </w:rPr>
        <w:drawing>
          <wp:inline distT="0" distB="0" distL="0" distR="0">
            <wp:extent cx="2750820" cy="2252980"/>
            <wp:effectExtent l="19050" t="0" r="0" b="0"/>
            <wp:docPr id="179" name="Picture 179" descr="Figure 3: Percentage of treatment responders in weekly drop seizures by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Figure 3: Percentage of treatment responders in weekly drop seizures by classification."/>
                    <pic:cNvPicPr>
                      <a:picLocks noChangeAspect="1" noChangeArrowheads="1"/>
                    </pic:cNvPicPr>
                  </pic:nvPicPr>
                  <pic:blipFill>
                    <a:blip r:embed="rId23" cstate="print"/>
                    <a:srcRect/>
                    <a:stretch>
                      <a:fillRect/>
                    </a:stretch>
                  </pic:blipFill>
                  <pic:spPr bwMode="auto">
                    <a:xfrm>
                      <a:off x="0" y="0"/>
                      <a:ext cx="2750820" cy="2252980"/>
                    </a:xfrm>
                    <a:prstGeom prst="rect">
                      <a:avLst/>
                    </a:prstGeom>
                    <a:noFill/>
                    <a:ln w="9525">
                      <a:noFill/>
                      <a:miter lim="800000"/>
                      <a:headEnd/>
                      <a:tailEnd/>
                    </a:ln>
                  </pic:spPr>
                </pic:pic>
              </a:graphicData>
            </a:graphic>
          </wp:inline>
        </w:drawing>
      </w:r>
    </w:p>
    <w:p w:rsidR="00A50C03" w:rsidRPr="004823A8" w:rsidRDefault="00A50C03" w:rsidP="004823A8">
      <w:pPr>
        <w:pStyle w:val="FigureDescription"/>
      </w:pPr>
      <w:r w:rsidRPr="004823A8">
        <w:t xml:space="preserve">One-sided Fisher’s exact test: *p = 0.0025, **p = 0.0006, ***p = 0.0001. Low-dose (0.25 mg/kg/day </w:t>
      </w:r>
      <w:proofErr w:type="spellStart"/>
      <w:r w:rsidRPr="004823A8">
        <w:t>clobazam</w:t>
      </w:r>
      <w:proofErr w:type="spellEnd"/>
      <w:r w:rsidRPr="004823A8">
        <w:t xml:space="preserve">), n = 32; high-dose (1.0 mg/kg/day </w:t>
      </w:r>
      <w:proofErr w:type="spellStart"/>
      <w:r w:rsidRPr="004823A8">
        <w:t>clobazam</w:t>
      </w:r>
      <w:proofErr w:type="spellEnd"/>
      <w:r w:rsidRPr="004823A8">
        <w:t>), n = 36.</w:t>
      </w:r>
    </w:p>
    <w:p w:rsidR="00A50C03" w:rsidRPr="00A50C03" w:rsidRDefault="00A50C03" w:rsidP="004823A8">
      <w:pPr>
        <w:pStyle w:val="ListBullet"/>
      </w:pPr>
      <w:r w:rsidRPr="00A50C03">
        <w:t xml:space="preserve">The percent reduction in weekly </w:t>
      </w:r>
      <w:proofErr w:type="spellStart"/>
      <w:r w:rsidRPr="00A50C03">
        <w:t>nondrop</w:t>
      </w:r>
      <w:proofErr w:type="spellEnd"/>
      <w:r w:rsidRPr="00A50C03">
        <w:t xml:space="preserve"> seizures within treatment groups (</w:t>
      </w:r>
      <w:proofErr w:type="spellStart"/>
      <w:r w:rsidRPr="00A50C03">
        <w:t>Wilcoxon</w:t>
      </w:r>
      <w:proofErr w:type="spellEnd"/>
      <w:r w:rsidRPr="00A50C03">
        <w:t xml:space="preserve"> signed-rank tests) and between treatment groups (</w:t>
      </w:r>
      <w:proofErr w:type="spellStart"/>
      <w:r w:rsidRPr="00A50C03">
        <w:t>Wilcoxon</w:t>
      </w:r>
      <w:proofErr w:type="spellEnd"/>
      <w:r w:rsidRPr="00A50C03">
        <w:t xml:space="preserve"> rank-sum test) was also analysed.</w:t>
      </w:r>
    </w:p>
    <w:p w:rsidR="00A50C03" w:rsidRPr="00A50C03" w:rsidRDefault="00A50C03" w:rsidP="004823A8">
      <w:pPr>
        <w:pStyle w:val="ListBullet"/>
      </w:pPr>
      <w:r w:rsidRPr="00A50C03">
        <w:t xml:space="preserve">Outcome: In the low-dose group, the percent change in </w:t>
      </w:r>
      <w:proofErr w:type="spellStart"/>
      <w:r w:rsidRPr="00A50C03">
        <w:t>nondrop</w:t>
      </w:r>
      <w:proofErr w:type="spellEnd"/>
      <w:r w:rsidRPr="00A50C03">
        <w:t xml:space="preserve"> seizures from baseline (9 ± 92%, n = 19) was not significant (p = 0.1466), whereas in the high-dose group, the percent change in </w:t>
      </w:r>
      <w:proofErr w:type="spellStart"/>
      <w:r w:rsidRPr="00A50C03">
        <w:t>nondrop</w:t>
      </w:r>
      <w:proofErr w:type="spellEnd"/>
      <w:r w:rsidRPr="00A50C03">
        <w:t xml:space="preserve"> seizures from baseline (59 ± 55%, n = 22) was significant (p &lt; 0.0001).</w:t>
      </w:r>
    </w:p>
    <w:p w:rsidR="00A50C03" w:rsidRPr="00A50C03" w:rsidRDefault="00A50C03" w:rsidP="004823A8">
      <w:pPr>
        <w:pStyle w:val="ListBullet"/>
      </w:pPr>
      <w:r w:rsidRPr="00A50C03">
        <w:t xml:space="preserve">Responses on the investigator and parent/caregiver global evaluations were assessed and treated as continuous variables, and differences between the treatment groups were analysed using a one-sided t-test using the </w:t>
      </w:r>
      <w:proofErr w:type="spellStart"/>
      <w:r w:rsidRPr="00A50C03">
        <w:t>mITT</w:t>
      </w:r>
      <w:proofErr w:type="spellEnd"/>
      <w:r w:rsidRPr="00A50C03">
        <w:t xml:space="preserve"> population.</w:t>
      </w:r>
    </w:p>
    <w:p w:rsidR="00A50C03" w:rsidRPr="00A50C03" w:rsidRDefault="00A50C03" w:rsidP="004823A8">
      <w:pPr>
        <w:pStyle w:val="ListBullet"/>
      </w:pPr>
      <w:r w:rsidRPr="00A50C03">
        <w:t>Outcome: In the parent/caregiver global evaluations, patients in the high-dose group were more likely to show significant improvements in overall symptoms compared with the low-dose group. At end of maintenance period, the percentage of patients considered to be much improved or very much improved increased in the high-dose group (27 of 29, 93%), but decreased in the low-dose group (12 of 28, 43%). Similarly, the high-dose group showed significantly lower scores (i.e., greater improvement) than the low-dose group at the end of the maintenance period (1.8 vs. 2.8, p &lt; 0.0001).</w:t>
      </w:r>
    </w:p>
    <w:p w:rsidR="00A50C03" w:rsidRPr="004823A8" w:rsidRDefault="00A50C03" w:rsidP="004823A8">
      <w:pPr>
        <w:ind w:left="360"/>
        <w:rPr>
          <w:i/>
        </w:rPr>
      </w:pPr>
      <w:r w:rsidRPr="004823A8">
        <w:rPr>
          <w:i/>
        </w:rPr>
        <w:t>Comment: This study strongly supports the results of the pivotal study</w:t>
      </w:r>
      <w:r w:rsidRPr="004823A8">
        <w:rPr>
          <w:i/>
          <w:vertAlign w:val="superscript"/>
        </w:rPr>
        <w:footnoteReference w:id="19"/>
      </w:r>
      <w:r w:rsidRPr="004823A8">
        <w:rPr>
          <w:i/>
        </w:rPr>
        <w:t xml:space="preserve"> and provides further evidence for the efficacy of </w:t>
      </w:r>
      <w:proofErr w:type="spellStart"/>
      <w:r w:rsidRPr="004823A8">
        <w:rPr>
          <w:i/>
        </w:rPr>
        <w:t>clobazam</w:t>
      </w:r>
      <w:proofErr w:type="spellEnd"/>
      <w:r w:rsidRPr="004823A8">
        <w:rPr>
          <w:i/>
        </w:rPr>
        <w:t xml:space="preserve"> in the adjunctive treatment of seizure types (both drop and non-drop seizures) associated with LGS. The maintenance period is too short to address the issue of tolerance (as addressed in the pivotal study</w:t>
      </w:r>
      <w:r w:rsidRPr="004823A8">
        <w:rPr>
          <w:i/>
          <w:vertAlign w:val="superscript"/>
        </w:rPr>
        <w:footnoteReference w:id="20"/>
      </w:r>
      <w:r w:rsidRPr="004823A8">
        <w:rPr>
          <w:i/>
        </w:rPr>
        <w:t>). This study supports the proposed dosing by showing superior efficacy of the high dose arm over the low dose arm.</w:t>
      </w:r>
    </w:p>
    <w:p w:rsidR="00A50C03" w:rsidRPr="00A50C03" w:rsidRDefault="00A50C03" w:rsidP="009F1213">
      <w:pPr>
        <w:pStyle w:val="Heading4"/>
      </w:pPr>
      <w:bookmarkStart w:id="56" w:name="_Toc332659649"/>
      <w:r w:rsidRPr="00A50C03">
        <w:t xml:space="preserve">Study: Ng et al, Randomised, phase III study results of </w:t>
      </w:r>
      <w:proofErr w:type="spellStart"/>
      <w:r w:rsidRPr="00A50C03">
        <w:t>clobazam</w:t>
      </w:r>
      <w:proofErr w:type="spellEnd"/>
      <w:r w:rsidRPr="00A50C03">
        <w:t xml:space="preserve"> in Lennox-</w:t>
      </w:r>
      <w:proofErr w:type="spellStart"/>
      <w:r w:rsidRPr="00A50C03">
        <w:t>Gastaut</w:t>
      </w:r>
      <w:proofErr w:type="spellEnd"/>
      <w:r w:rsidRPr="00A50C03">
        <w:t xml:space="preserve"> syndrome</w:t>
      </w:r>
      <w:bookmarkEnd w:id="56"/>
      <w:r w:rsidRPr="00A50C03">
        <w:rPr>
          <w:vertAlign w:val="superscript"/>
        </w:rPr>
        <w:footnoteReference w:id="21"/>
      </w:r>
    </w:p>
    <w:p w:rsidR="00A50C03" w:rsidRPr="00A50C03" w:rsidRDefault="00A50C03" w:rsidP="009F1213">
      <w:pPr>
        <w:pStyle w:val="Heading5"/>
      </w:pPr>
      <w:r w:rsidRPr="00A50C03">
        <w:t>Study design, objectives, locations and dates</w:t>
      </w:r>
    </w:p>
    <w:p w:rsidR="00A50C03" w:rsidRPr="00A50C03" w:rsidRDefault="00A50C03" w:rsidP="009F1213">
      <w:r w:rsidRPr="00A50C03">
        <w:t xml:space="preserve">A Phase III, Double-Blind, Placebo-Controlled, Efficacy and Safety Study of </w:t>
      </w:r>
      <w:proofErr w:type="spellStart"/>
      <w:r w:rsidRPr="00A50C03">
        <w:t>clobazam</w:t>
      </w:r>
      <w:proofErr w:type="spellEnd"/>
      <w:r w:rsidRPr="00A50C03">
        <w:t xml:space="preserve"> as adjunctive therapy in patients with Lennox-</w:t>
      </w:r>
      <w:proofErr w:type="spellStart"/>
      <w:r w:rsidRPr="00A50C03">
        <w:t>Gastaut</w:t>
      </w:r>
      <w:proofErr w:type="spellEnd"/>
      <w:r w:rsidRPr="00A50C03">
        <w:t xml:space="preserve"> Syndrome (CONTAIN). A total of 238 patients were randomised, including 165 patients at 33 sites in the United States, 55 patients at 13 sites in India, and 18 patients at 5 sites in Europe and Australia; 177 patients (74.4%) completed the study.</w:t>
      </w:r>
    </w:p>
    <w:p w:rsidR="00A50C03" w:rsidRPr="00A50C03" w:rsidRDefault="00A50C03" w:rsidP="009F1213">
      <w:pPr>
        <w:pStyle w:val="Heading5"/>
      </w:pPr>
      <w:r w:rsidRPr="00A50C03">
        <w:t>Inclusion and exclusion criteria</w:t>
      </w:r>
    </w:p>
    <w:p w:rsidR="00A50C03" w:rsidRPr="00A50C03" w:rsidRDefault="00A50C03" w:rsidP="009F1213">
      <w:r w:rsidRPr="00A50C03">
        <w:t>Patients aged 2-60 years weighing ≥12.5 kg were eligible to participate in the CONTAIN trial if they had onset of LGS before 11 years of age. A clinical diagnosis of LGS was evidenced by ≥1 type of generalized seizure (including drop seizures) for ≥6 months and a previous EEG report documenting generalized, slow spike-and-wave (≤2.5 Hz) patterns. Patients had to have ≥2 drop seizures a week during the 4 week baseline period.</w:t>
      </w:r>
    </w:p>
    <w:p w:rsidR="00A50C03" w:rsidRPr="009F1213" w:rsidRDefault="00A50C03" w:rsidP="009F1213">
      <w:pPr>
        <w:ind w:left="227"/>
        <w:rPr>
          <w:i/>
        </w:rPr>
      </w:pPr>
      <w:r w:rsidRPr="009F1213">
        <w:rPr>
          <w:i/>
        </w:rPr>
        <w:t>Comment: This study focuses specifically on LGS patients with ≥2 drop seizures a week.</w:t>
      </w:r>
    </w:p>
    <w:p w:rsidR="00A50C03" w:rsidRPr="00A50C03" w:rsidRDefault="00A50C03" w:rsidP="009F1213">
      <w:pPr>
        <w:pStyle w:val="Heading5"/>
      </w:pPr>
      <w:r w:rsidRPr="00A50C03">
        <w:t>Study treatments</w:t>
      </w:r>
    </w:p>
    <w:p w:rsidR="00A50C03" w:rsidRPr="00A50C03" w:rsidRDefault="00A50C03" w:rsidP="009F1213">
      <w:r w:rsidRPr="00A50C03">
        <w:t xml:space="preserve">The study included 4-week baseline, 3-week titration, and 12-week maintenance periods, followed by either continuation in an open-label study or a 2- or 3-week taper period, depending on weight, with a follow-up visit 1 week after last dose. </w:t>
      </w:r>
    </w:p>
    <w:p w:rsidR="00A50C03" w:rsidRPr="00A50C03" w:rsidRDefault="00A50C03" w:rsidP="009F1213">
      <w:r w:rsidRPr="00A50C03">
        <w:t xml:space="preserve">On day-1, patients were stratified by weight (12.5 kg to ≤30 kg, &gt;30 kg) and </w:t>
      </w:r>
      <w:proofErr w:type="spellStart"/>
      <w:r w:rsidRPr="00A50C03">
        <w:t>Clobazam</w:t>
      </w:r>
      <w:proofErr w:type="spellEnd"/>
      <w:r w:rsidRPr="00A50C03">
        <w:t xml:space="preserve"> 5-mg tablets and matching placebo tablets were supplied. During titration, </w:t>
      </w:r>
      <w:proofErr w:type="spellStart"/>
      <w:r w:rsidRPr="00A50C03">
        <w:t>clobazam</w:t>
      </w:r>
      <w:proofErr w:type="spellEnd"/>
      <w:r w:rsidRPr="00A50C03">
        <w:t xml:space="preserve"> 5 mg/day or 10 mg/day or placebo (in divided doses) was initiated, and dosage was increased per schedule every 7 days until the assigned target dosage was attained. At any time beginning with week 1 during titration, investigators could decrease daily dosages by a single tablet (placebo or </w:t>
      </w:r>
      <w:proofErr w:type="spellStart"/>
      <w:r w:rsidRPr="00A50C03">
        <w:t>clobazam</w:t>
      </w:r>
      <w:proofErr w:type="spellEnd"/>
      <w:r w:rsidRPr="00A50C03">
        <w:t xml:space="preserve"> 5 mg/day) if patients developed any signs or symptoms representing difficulty tolerating study drug.</w:t>
      </w:r>
    </w:p>
    <w:p w:rsidR="00A50C03" w:rsidRPr="009F1213" w:rsidRDefault="00A50C03" w:rsidP="009F1213">
      <w:pPr>
        <w:ind w:left="227"/>
        <w:rPr>
          <w:i/>
        </w:rPr>
      </w:pPr>
      <w:r w:rsidRPr="009F1213">
        <w:rPr>
          <w:i/>
        </w:rPr>
        <w:t>Comment: Data concerning potential withdrawal and/or rebound effects were also not generated at end of maintenance period as most patients entered the open-label extension study (206 of 238).</w:t>
      </w:r>
    </w:p>
    <w:p w:rsidR="00A50C03" w:rsidRPr="00A50C03" w:rsidRDefault="00A50C03" w:rsidP="009F1213">
      <w:pPr>
        <w:pStyle w:val="Heading5"/>
      </w:pPr>
      <w:r w:rsidRPr="00A50C03">
        <w:t>Efficacy variables and outcomes</w:t>
      </w:r>
    </w:p>
    <w:p w:rsidR="00A50C03" w:rsidRPr="00A50C03" w:rsidRDefault="00A50C03" w:rsidP="009F1213">
      <w:pPr>
        <w:pStyle w:val="ListBullet"/>
      </w:pPr>
      <w:r w:rsidRPr="00A50C03">
        <w:t xml:space="preserve">The primary efficacy endpoint was percentage decrease in the average weekly rate of drop seizures from the 4-week baseline period to the 12-week maintenance period. A secondary efficacy assessment included percentage decreases in average weekly rate of </w:t>
      </w:r>
      <w:proofErr w:type="spellStart"/>
      <w:r w:rsidRPr="00A50C03">
        <w:t>nondrop</w:t>
      </w:r>
      <w:proofErr w:type="spellEnd"/>
      <w:r w:rsidRPr="00A50C03">
        <w:t xml:space="preserve"> seizures.</w:t>
      </w:r>
    </w:p>
    <w:p w:rsidR="00A50C03" w:rsidRPr="009F1213" w:rsidRDefault="00A50C03" w:rsidP="009F1213">
      <w:pPr>
        <w:ind w:left="360"/>
        <w:rPr>
          <w:i/>
        </w:rPr>
      </w:pPr>
      <w:r w:rsidRPr="009F1213">
        <w:rPr>
          <w:i/>
        </w:rPr>
        <w:t>Comment: The primary efficacy variable accords with TGA-adopted guidelines.</w:t>
      </w:r>
    </w:p>
    <w:p w:rsidR="00A50C03" w:rsidRPr="00A50C03" w:rsidRDefault="00A50C03" w:rsidP="009F1213">
      <w:pPr>
        <w:pStyle w:val="ListBullet"/>
      </w:pPr>
      <w:r w:rsidRPr="00A50C03">
        <w:t>Responder rates (percentages with ≥25%, ≥50%, ≥75%, and 100% decreases in drop seizures from baseline to maintenance period)</w:t>
      </w:r>
    </w:p>
    <w:p w:rsidR="00A50C03" w:rsidRPr="00A50C03" w:rsidRDefault="00A50C03" w:rsidP="009F1213">
      <w:pPr>
        <w:pStyle w:val="ListBullet"/>
      </w:pPr>
      <w:r w:rsidRPr="00A50C03">
        <w:t>Physicians’ and caregivers’ global evaluations of the patients’ overall changes in symptoms over time</w:t>
      </w:r>
    </w:p>
    <w:p w:rsidR="00A50C03" w:rsidRPr="00A50C03" w:rsidRDefault="00A50C03" w:rsidP="009F1213">
      <w:pPr>
        <w:pStyle w:val="Heading5"/>
      </w:pPr>
      <w:r w:rsidRPr="00A50C03">
        <w:t>Randomisation and blinding methods</w:t>
      </w:r>
    </w:p>
    <w:p w:rsidR="00A50C03" w:rsidRPr="00A50C03" w:rsidRDefault="00A50C03" w:rsidP="009F1213">
      <w:r w:rsidRPr="00A50C03">
        <w:t>Patients were randomly assigned (through central randomization via interactive voice response system) to one of 4 groups:</w:t>
      </w:r>
    </w:p>
    <w:p w:rsidR="00A50C03" w:rsidRPr="00A50C03" w:rsidRDefault="00A50C03" w:rsidP="009F1213">
      <w:pPr>
        <w:pStyle w:val="Numberbullet0"/>
        <w:numPr>
          <w:ilvl w:val="0"/>
          <w:numId w:val="44"/>
        </w:numPr>
      </w:pPr>
      <w:r w:rsidRPr="00A50C03">
        <w:t>placebo;</w:t>
      </w:r>
    </w:p>
    <w:p w:rsidR="00A50C03" w:rsidRPr="00A50C03" w:rsidRDefault="00A50C03" w:rsidP="009F1213">
      <w:pPr>
        <w:pStyle w:val="Numberbullet0"/>
        <w:numPr>
          <w:ilvl w:val="0"/>
          <w:numId w:val="44"/>
        </w:numPr>
      </w:pPr>
      <w:r w:rsidRPr="00A50C03">
        <w:t xml:space="preserve">low-dosage </w:t>
      </w:r>
      <w:proofErr w:type="spellStart"/>
      <w:r w:rsidRPr="00A50C03">
        <w:t>clobazam</w:t>
      </w:r>
      <w:proofErr w:type="spellEnd"/>
      <w:r w:rsidRPr="00A50C03">
        <w:t>: target of 0.25 mg/ kg/day (maximum, 10 mg/day);</w:t>
      </w:r>
    </w:p>
    <w:p w:rsidR="00A50C03" w:rsidRPr="00A50C03" w:rsidRDefault="00A50C03" w:rsidP="009F1213">
      <w:pPr>
        <w:pStyle w:val="Numberbullet0"/>
        <w:numPr>
          <w:ilvl w:val="0"/>
          <w:numId w:val="44"/>
        </w:numPr>
      </w:pPr>
      <w:r w:rsidRPr="00A50C03">
        <w:t xml:space="preserve">medium-dosage </w:t>
      </w:r>
      <w:proofErr w:type="spellStart"/>
      <w:r w:rsidRPr="00A50C03">
        <w:t>clobazam</w:t>
      </w:r>
      <w:proofErr w:type="spellEnd"/>
      <w:r w:rsidRPr="00A50C03">
        <w:t>: target of 0.5 mg/kg/day (maximum, 20 mg/day); or</w:t>
      </w:r>
    </w:p>
    <w:p w:rsidR="00A50C03" w:rsidRPr="00A50C03" w:rsidRDefault="00A50C03" w:rsidP="009F1213">
      <w:pPr>
        <w:pStyle w:val="Numberbullet0"/>
        <w:numPr>
          <w:ilvl w:val="0"/>
          <w:numId w:val="44"/>
        </w:numPr>
      </w:pPr>
      <w:r w:rsidRPr="00A50C03">
        <w:t xml:space="preserve">high-dosage </w:t>
      </w:r>
      <w:proofErr w:type="spellStart"/>
      <w:r w:rsidRPr="00A50C03">
        <w:t>clobazam</w:t>
      </w:r>
      <w:proofErr w:type="spellEnd"/>
      <w:r w:rsidRPr="00A50C03">
        <w:t>: target of 1.0 mg/kg/day (maximum, 40 mg/day).</w:t>
      </w:r>
    </w:p>
    <w:p w:rsidR="00A50C03" w:rsidRPr="00A50C03" w:rsidRDefault="00A50C03" w:rsidP="009F1213">
      <w:pPr>
        <w:pStyle w:val="Heading5"/>
      </w:pPr>
      <w:r w:rsidRPr="00A50C03">
        <w:t>Analysis populations</w:t>
      </w:r>
    </w:p>
    <w:p w:rsidR="00A50C03" w:rsidRPr="00A50C03" w:rsidRDefault="00A50C03" w:rsidP="009F1213">
      <w:r w:rsidRPr="00A50C03">
        <w:t xml:space="preserve">All 238 randomised patients were included in the safety population. As </w:t>
      </w:r>
      <w:proofErr w:type="spellStart"/>
      <w:r w:rsidRPr="00A50C03">
        <w:t>prespecified</w:t>
      </w:r>
      <w:proofErr w:type="spellEnd"/>
      <w:r w:rsidRPr="00A50C03">
        <w:t xml:space="preserve"> following discussions between </w:t>
      </w:r>
      <w:proofErr w:type="spellStart"/>
      <w:r w:rsidRPr="00A50C03">
        <w:t>Lundbeck</w:t>
      </w:r>
      <w:proofErr w:type="spellEnd"/>
      <w:r w:rsidRPr="00A50C03">
        <w:t xml:space="preserve"> Inc. and the FDA, efficacy analyses were performed for the </w:t>
      </w:r>
      <w:proofErr w:type="spellStart"/>
      <w:r w:rsidRPr="00A50C03">
        <w:t>mITT</w:t>
      </w:r>
      <w:proofErr w:type="spellEnd"/>
      <w:r w:rsidRPr="00A50C03">
        <w:t xml:space="preserve"> population, which included all randomised patients who had baseline data, ≥1 dose of study drug, and ≥1 daily seizure measurement during the maintenance period.</w:t>
      </w:r>
    </w:p>
    <w:p w:rsidR="00A50C03" w:rsidRPr="00A50C03" w:rsidRDefault="00A50C03" w:rsidP="009F1213">
      <w:r w:rsidRPr="00A50C03">
        <w:t xml:space="preserve">The </w:t>
      </w:r>
      <w:proofErr w:type="spellStart"/>
      <w:r w:rsidRPr="00A50C03">
        <w:t>mITT</w:t>
      </w:r>
      <w:proofErr w:type="spellEnd"/>
      <w:r w:rsidRPr="00A50C03">
        <w:t xml:space="preserve"> population excluded 21 patients who did not have≥1 daily seizure measurement during the maintenance period. Thus, efficacy analyses included 217 patients (57 for placebo and 53, 58, and 49 for the low-, medium-, and high-dosage </w:t>
      </w:r>
      <w:proofErr w:type="spellStart"/>
      <w:r w:rsidRPr="00A50C03">
        <w:t>clobazam</w:t>
      </w:r>
      <w:proofErr w:type="spellEnd"/>
      <w:r w:rsidRPr="00A50C03">
        <w:t xml:space="preserve"> groups).</w:t>
      </w:r>
    </w:p>
    <w:p w:rsidR="00A50C03" w:rsidRPr="00A50C03" w:rsidDel="0081373E" w:rsidRDefault="00A50C03" w:rsidP="009F1213">
      <w:pPr>
        <w:pStyle w:val="Heading5"/>
      </w:pPr>
      <w:r w:rsidRPr="00A50C03" w:rsidDel="0081373E">
        <w:t>Sample size</w:t>
      </w:r>
    </w:p>
    <w:p w:rsidR="00A50C03" w:rsidRPr="00A50C03" w:rsidRDefault="00A50C03" w:rsidP="009F1213">
      <w:r w:rsidRPr="00A50C03">
        <w:t xml:space="preserve">Sample size calculations were based on percentage decreases in weekly drop seizures rates observed in the Phase II study (85.3%, </w:t>
      </w:r>
      <w:proofErr w:type="spellStart"/>
      <w:r w:rsidRPr="00A50C03">
        <w:t>clobazam</w:t>
      </w:r>
      <w:proofErr w:type="spellEnd"/>
      <w:r w:rsidRPr="00A50C03">
        <w:t xml:space="preserve"> 1.0 mg/kg/day; 12.0%, </w:t>
      </w:r>
      <w:proofErr w:type="spellStart"/>
      <w:r w:rsidRPr="00A50C03">
        <w:t>clobazam</w:t>
      </w:r>
      <w:proofErr w:type="spellEnd"/>
      <w:r w:rsidRPr="00A50C03">
        <w:t xml:space="preserve"> 0.25 mg/kg/day) and estimated decreases of 36.4% for </w:t>
      </w:r>
      <w:proofErr w:type="spellStart"/>
      <w:r w:rsidRPr="00A50C03">
        <w:t>clobazam</w:t>
      </w:r>
      <w:proofErr w:type="spellEnd"/>
      <w:r w:rsidRPr="00A50C03">
        <w:t xml:space="preserve"> 0.5 mg/kg/day and 10% for placebo. Based on an assumed overall standard deviation of 91.6% and 2-tailed significance at 0.0025, 46 patients per group (184 total) would provide 80% power to detect a significant difference from placebo, resulting in a total of 216 randomised patients (assumes 15% dropout rate), and a total of 240 enrolled patients (assumes 10% dropout rate during baseline) needed.</w:t>
      </w:r>
    </w:p>
    <w:p w:rsidR="00A50C03" w:rsidRPr="00A50C03" w:rsidRDefault="00A50C03" w:rsidP="009F1213">
      <w:pPr>
        <w:pStyle w:val="Heading5"/>
      </w:pPr>
      <w:r w:rsidRPr="00A50C03">
        <w:t>Statistical methods</w:t>
      </w:r>
    </w:p>
    <w:p w:rsidR="00A50C03" w:rsidRPr="00A50C03" w:rsidRDefault="00A50C03" w:rsidP="009F1213">
      <w:r w:rsidRPr="00A50C03">
        <w:t xml:space="preserve">The primary efficacy endpoint was evaluated by ANCOVA, with percentage decrease in drop seizures as the dependent variable and treatment, pooled centre, and baseline drop seizure rate as the independent variables. Conventional statistical significance is based on p ≤ 0.05. However, superiority of </w:t>
      </w:r>
      <w:proofErr w:type="spellStart"/>
      <w:r w:rsidRPr="00A50C03">
        <w:t>clobazam</w:t>
      </w:r>
      <w:proofErr w:type="spellEnd"/>
      <w:r w:rsidRPr="00A50C03">
        <w:t xml:space="preserve"> to placebo with p ≤ 0.01 was considered robust statistical evidence in this single multicentre study, consistent with discussions with the FDA prior to initiation of the study. For the primary efficacy variable, a test for linear dosage response was included and was based on equally spaced treatment groups in the primary ANCOVA model.</w:t>
      </w:r>
    </w:p>
    <w:p w:rsidR="00A50C03" w:rsidRPr="00A50C03" w:rsidRDefault="00A50C03" w:rsidP="009F1213">
      <w:r w:rsidRPr="00A50C03">
        <w:t xml:space="preserve">The percentage decreases in average weekly rate of </w:t>
      </w:r>
      <w:proofErr w:type="spellStart"/>
      <w:r w:rsidRPr="00A50C03">
        <w:t>nondrop</w:t>
      </w:r>
      <w:proofErr w:type="spellEnd"/>
      <w:r w:rsidRPr="00A50C03">
        <w:t xml:space="preserve"> and total (drop and </w:t>
      </w:r>
      <w:proofErr w:type="spellStart"/>
      <w:r w:rsidRPr="00A50C03">
        <w:t>nondrop</w:t>
      </w:r>
      <w:proofErr w:type="spellEnd"/>
      <w:r w:rsidRPr="00A50C03">
        <w:t xml:space="preserve">) seizures from the baseline to the maintenance period were calculated via the same ANCOVA model described for the primary endpoint. The same ANCOVA model was also employed to analyse the rank-transformed percentage decreases in weekly rates of </w:t>
      </w:r>
      <w:proofErr w:type="spellStart"/>
      <w:r w:rsidRPr="00A50C03">
        <w:t>nondrop</w:t>
      </w:r>
      <w:proofErr w:type="spellEnd"/>
      <w:r w:rsidRPr="00A50C03">
        <w:t xml:space="preserve"> seizures. Responder rates (percentages of patients with ≥25%, ≥50%, ≥75%, and 100% decrease in drop seizures) were calculated through logistic regression, with responder as the dependent variable and treatment, centre, and baseline seizure rate as independent variables. Physicians’ and caregivers’ global evaluations over time were calculated using the Cochran-Mantel-</w:t>
      </w:r>
      <w:proofErr w:type="spellStart"/>
      <w:r w:rsidRPr="00A50C03">
        <w:t>Haenszel</w:t>
      </w:r>
      <w:proofErr w:type="spellEnd"/>
      <w:r w:rsidRPr="00A50C03">
        <w:t xml:space="preserve"> test, including treatment and pooled centre as factors.</w:t>
      </w:r>
    </w:p>
    <w:p w:rsidR="00A50C03" w:rsidRPr="00A50C03" w:rsidRDefault="00A50C03" w:rsidP="009F1213">
      <w:pPr>
        <w:pStyle w:val="Heading5"/>
      </w:pPr>
      <w:r w:rsidRPr="00A50C03">
        <w:t>Participant flow</w:t>
      </w:r>
    </w:p>
    <w:p w:rsidR="00A50C03" w:rsidRPr="00A50C03" w:rsidRDefault="00A50C03" w:rsidP="009F1213">
      <w:r w:rsidRPr="00A50C03">
        <w:t>A total of 238 patients were randomised into 4 parallel treatment arms.</w:t>
      </w:r>
    </w:p>
    <w:p w:rsidR="00A50C03" w:rsidRPr="00A50C03" w:rsidRDefault="00A50C03" w:rsidP="009F1213">
      <w:pPr>
        <w:pStyle w:val="Heading5"/>
      </w:pPr>
      <w:r w:rsidRPr="00A50C03">
        <w:t>Major protocol violations/deviations</w:t>
      </w:r>
    </w:p>
    <w:p w:rsidR="00A50C03" w:rsidRPr="00A50C03" w:rsidRDefault="00A50C03" w:rsidP="009F1213">
      <w:r w:rsidRPr="00A50C03">
        <w:t>At study inception, the protocol permitted patients to easily discontinue from (CONTAIN) and enter an open-label extension. This led to many premature discontinuations within 4 weeks of starting therapy. To address this issue, the study protocol was revised in October 2008, after 81 patients had enrolled. With the amendment, patients whose seizures worsened were required to have completed week 9 of the study (i.e., after an adequate trial of study drug) before discontinuing and entering the open-label extension. At the time of the amendment, 29 (36%) of 81 enrolled patients had discontinued, 26 before the amendment went into effect and 3 after. Twenty-three of those 29 entered the open-label extension study. Following the amendment, 157 patients enrolled, of which 32 (20%) discontinued. Further, 9 of these 32 entered the open-label extension study.</w:t>
      </w:r>
    </w:p>
    <w:p w:rsidR="00A50C03" w:rsidRPr="00A50C03" w:rsidRDefault="00A50C03" w:rsidP="009F1213">
      <w:pPr>
        <w:pStyle w:val="Heading5"/>
      </w:pPr>
      <w:r w:rsidRPr="00A50C03">
        <w:t>Baseline data</w:t>
      </w:r>
    </w:p>
    <w:p w:rsidR="00A50C03" w:rsidRPr="00A50C03" w:rsidRDefault="00A50C03" w:rsidP="009F1213">
      <w:r w:rsidRPr="00A50C03">
        <w:t xml:space="preserve">Patients entering the study were diagnosed with LGS with mean age of 12.4 years. Demographics were well matched between groups. There was a preponderance of Caucasians (61.8% overall). </w:t>
      </w:r>
    </w:p>
    <w:p w:rsidR="00A50C03" w:rsidRPr="009F1213" w:rsidRDefault="00A50C03" w:rsidP="009F1213">
      <w:pPr>
        <w:ind w:left="227"/>
        <w:rPr>
          <w:i/>
        </w:rPr>
      </w:pPr>
      <w:r w:rsidRPr="009F1213">
        <w:rPr>
          <w:i/>
        </w:rPr>
        <w:t xml:space="preserve">Comment: The study involves patients with LGS. The sponsor states that for extension of the indication to include childhood refractory epilepsy is that LGS is a “worst case” test model for epilepsy therapies. With regards to short term use of </w:t>
      </w:r>
      <w:proofErr w:type="spellStart"/>
      <w:r w:rsidRPr="009F1213">
        <w:rPr>
          <w:i/>
        </w:rPr>
        <w:t>clobazam</w:t>
      </w:r>
      <w:proofErr w:type="spellEnd"/>
      <w:r w:rsidRPr="009F1213">
        <w:rPr>
          <w:i/>
        </w:rPr>
        <w:t xml:space="preserve"> in LGS, in addition to the current understanding of the role of benzodiazepines in seizure suppression</w:t>
      </w:r>
      <w:r w:rsidRPr="009F1213">
        <w:rPr>
          <w:i/>
          <w:vertAlign w:val="superscript"/>
        </w:rPr>
        <w:footnoteReference w:id="22"/>
      </w:r>
      <w:r w:rsidRPr="009F1213">
        <w:rPr>
          <w:i/>
        </w:rPr>
        <w:t xml:space="preserve"> and the large amount of preclinical and open label data available, this contention is considered to be supported by the evaluator. </w:t>
      </w:r>
    </w:p>
    <w:p w:rsidR="00A50C03" w:rsidRPr="00A50C03" w:rsidRDefault="00A50C03" w:rsidP="009F1213">
      <w:pPr>
        <w:pStyle w:val="Heading5"/>
      </w:pPr>
      <w:r w:rsidRPr="00A50C03">
        <w:t>Results for the primary efficacy outcome</w:t>
      </w:r>
    </w:p>
    <w:p w:rsidR="00A50C03" w:rsidRPr="00A50C03" w:rsidRDefault="00A50C03" w:rsidP="009F1213">
      <w:pPr>
        <w:pStyle w:val="ListBullet"/>
      </w:pPr>
      <w:r w:rsidRPr="00A50C03">
        <w:t xml:space="preserve">The primary efficacy endpoint was percentage decrease in the average weekly rate of drop seizures from the 4-week baseline period to the 12-week maintenance period. A secondary efficacy assessment included percentage decreases in average weekly rate of </w:t>
      </w:r>
      <w:proofErr w:type="spellStart"/>
      <w:r w:rsidRPr="00A50C03">
        <w:t>nondrop</w:t>
      </w:r>
      <w:proofErr w:type="spellEnd"/>
      <w:r w:rsidRPr="00A50C03">
        <w:t xml:space="preserve"> seizures.</w:t>
      </w:r>
    </w:p>
    <w:p w:rsidR="00A50C03" w:rsidRPr="00A50C03" w:rsidRDefault="00A50C03" w:rsidP="009F1213">
      <w:pPr>
        <w:pStyle w:val="ListBullet"/>
      </w:pPr>
      <w:r w:rsidRPr="00A50C03">
        <w:t xml:space="preserve">Outcome: Significant mean percentage decrease in drop and </w:t>
      </w:r>
      <w:proofErr w:type="spellStart"/>
      <w:r w:rsidRPr="00A50C03">
        <w:t>nondrop</w:t>
      </w:r>
      <w:proofErr w:type="spellEnd"/>
      <w:r w:rsidRPr="00A50C03">
        <w:t xml:space="preserve"> seizures from baseline to maintenance period in all treatment groups with </w:t>
      </w:r>
      <w:proofErr w:type="spellStart"/>
      <w:r w:rsidRPr="00A50C03">
        <w:t>clobazam</w:t>
      </w:r>
      <w:proofErr w:type="spellEnd"/>
      <w:r w:rsidRPr="00A50C03">
        <w:t xml:space="preserve"> but not placebo. There was a linear trend (p ≤ 0.0001) of increasing efficacy with increasing dosage in drop seizures. For </w:t>
      </w:r>
      <w:proofErr w:type="spellStart"/>
      <w:r w:rsidRPr="00A50C03">
        <w:t>nondrop</w:t>
      </w:r>
      <w:proofErr w:type="spellEnd"/>
      <w:r w:rsidRPr="00A50C03">
        <w:t xml:space="preserve"> seizures, the rank-transformed percentage decrease in weekly seizure rates was greater for the high-dosage group vs. placebo (p = 0.0070) (Figure 4).</w:t>
      </w:r>
    </w:p>
    <w:p w:rsidR="00A50C03" w:rsidRPr="00A50C03" w:rsidRDefault="00A50C03" w:rsidP="009F1213">
      <w:pPr>
        <w:pStyle w:val="FigureTitle"/>
        <w:rPr>
          <w:lang w:val="en-GB"/>
        </w:rPr>
      </w:pPr>
      <w:r w:rsidRPr="00A50C03">
        <w:t>Figure 4: Mean percentage decreases (95% CI) in weekly rate of seizures from the baseline to maintenance period.</w:t>
      </w:r>
    </w:p>
    <w:p w:rsidR="00A50C03" w:rsidRPr="00A50C03" w:rsidRDefault="00A50C03" w:rsidP="009F1213">
      <w:r>
        <w:rPr>
          <w:noProof/>
          <w:lang w:eastAsia="en-AU"/>
        </w:rPr>
        <w:drawing>
          <wp:inline distT="0" distB="0" distL="0" distR="0">
            <wp:extent cx="4528185" cy="2640965"/>
            <wp:effectExtent l="19050" t="0" r="5715" b="0"/>
            <wp:docPr id="180" name="Picture 180" descr="Figure 4: Mean percentage decreases (95% CI) in weekly rate of seizures from the baseline to maintenanc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Figure 4: Mean percentage decreases (95% CI) in weekly rate of seizures from the baseline to maintenance period."/>
                    <pic:cNvPicPr>
                      <a:picLocks noChangeAspect="1" noChangeArrowheads="1"/>
                    </pic:cNvPicPr>
                  </pic:nvPicPr>
                  <pic:blipFill>
                    <a:blip r:embed="rId24" cstate="print"/>
                    <a:srcRect/>
                    <a:stretch>
                      <a:fillRect/>
                    </a:stretch>
                  </pic:blipFill>
                  <pic:spPr bwMode="auto">
                    <a:xfrm>
                      <a:off x="0" y="0"/>
                      <a:ext cx="4528185" cy="2640965"/>
                    </a:xfrm>
                    <a:prstGeom prst="rect">
                      <a:avLst/>
                    </a:prstGeom>
                    <a:noFill/>
                    <a:ln w="9525">
                      <a:noFill/>
                      <a:miter lim="800000"/>
                      <a:headEnd/>
                      <a:tailEnd/>
                    </a:ln>
                  </pic:spPr>
                </pic:pic>
              </a:graphicData>
            </a:graphic>
          </wp:inline>
        </w:drawing>
      </w:r>
    </w:p>
    <w:p w:rsidR="00A50C03" w:rsidRPr="00A50C03" w:rsidRDefault="00A50C03" w:rsidP="009F1213">
      <w:pPr>
        <w:pStyle w:val="Heading5"/>
      </w:pPr>
      <w:bookmarkStart w:id="57" w:name="_Ref332488060"/>
      <w:r w:rsidRPr="00A50C03">
        <w:t>Results for other efficacy outcomes</w:t>
      </w:r>
      <w:bookmarkEnd w:id="57"/>
    </w:p>
    <w:p w:rsidR="00A50C03" w:rsidRPr="00A50C03" w:rsidRDefault="00A50C03" w:rsidP="009F1213">
      <w:pPr>
        <w:pStyle w:val="ListBullet"/>
      </w:pPr>
      <w:r w:rsidRPr="00A50C03">
        <w:t>Responder rates (percentages with ≥25%, ≥50%, ≥75%, and 100% decreases in drop seizures from baseline to maintenance period)</w:t>
      </w:r>
    </w:p>
    <w:p w:rsidR="00A50C03" w:rsidRPr="00A50C03" w:rsidRDefault="00A50C03" w:rsidP="009F1213">
      <w:pPr>
        <w:pStyle w:val="ListBullet"/>
      </w:pPr>
      <w:r w:rsidRPr="00A50C03">
        <w:t xml:space="preserve">Outcome: Percentages of patients with ≥25%, ≥50%, ≥75%, and 100% decreases from baseline to maintenance period in average weekly rate of drop seizures increased with increasing </w:t>
      </w:r>
      <w:proofErr w:type="spellStart"/>
      <w:r w:rsidRPr="00A50C03">
        <w:t>clobazam</w:t>
      </w:r>
      <w:proofErr w:type="spellEnd"/>
      <w:r w:rsidRPr="00A50C03">
        <w:t xml:space="preserve"> dosage. The logistic regression model was unable to provide valid estimates of statistical significance for the 100% response threshold. *p &lt;0.01 vs. placebo. **p &lt;0.05 vs. placebo (Figure 5).</w:t>
      </w:r>
    </w:p>
    <w:p w:rsidR="00A50C03" w:rsidRPr="00A50C03" w:rsidRDefault="00A50C03" w:rsidP="009F1213">
      <w:pPr>
        <w:pStyle w:val="FigureTitle"/>
        <w:rPr>
          <w:lang w:val="en-GB"/>
        </w:rPr>
      </w:pPr>
      <w:r w:rsidRPr="00A50C03">
        <w:t>Figure 5: Responder rates.</w:t>
      </w:r>
    </w:p>
    <w:p w:rsidR="00A50C03" w:rsidRPr="00A50C03" w:rsidRDefault="00A50C03" w:rsidP="009F1213">
      <w:r>
        <w:rPr>
          <w:noProof/>
          <w:lang w:eastAsia="en-AU"/>
        </w:rPr>
        <w:drawing>
          <wp:inline distT="0" distB="0" distL="0" distR="0">
            <wp:extent cx="4272280" cy="2552700"/>
            <wp:effectExtent l="19050" t="0" r="0" b="0"/>
            <wp:docPr id="181" name="Picture 181" descr="Figure 5: Responder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Figure 5: Responder rates."/>
                    <pic:cNvPicPr>
                      <a:picLocks noChangeAspect="1" noChangeArrowheads="1"/>
                    </pic:cNvPicPr>
                  </pic:nvPicPr>
                  <pic:blipFill>
                    <a:blip r:embed="rId25" cstate="print"/>
                    <a:srcRect/>
                    <a:stretch>
                      <a:fillRect/>
                    </a:stretch>
                  </pic:blipFill>
                  <pic:spPr bwMode="auto">
                    <a:xfrm>
                      <a:off x="0" y="0"/>
                      <a:ext cx="4272280" cy="2552700"/>
                    </a:xfrm>
                    <a:prstGeom prst="rect">
                      <a:avLst/>
                    </a:prstGeom>
                    <a:noFill/>
                    <a:ln w="9525">
                      <a:noFill/>
                      <a:miter lim="800000"/>
                      <a:headEnd/>
                      <a:tailEnd/>
                    </a:ln>
                  </pic:spPr>
                </pic:pic>
              </a:graphicData>
            </a:graphic>
          </wp:inline>
        </w:drawing>
      </w:r>
    </w:p>
    <w:p w:rsidR="00A50C03" w:rsidRPr="00A50C03" w:rsidRDefault="00A50C03" w:rsidP="009F1213">
      <w:pPr>
        <w:pStyle w:val="ListBullet"/>
      </w:pPr>
      <w:r w:rsidRPr="00A50C03">
        <w:t>Physicians’ and caregivers’ global evaluations of the patients’ overall changes in symptoms over time.</w:t>
      </w:r>
    </w:p>
    <w:p w:rsidR="00A50C03" w:rsidRDefault="00A50C03" w:rsidP="009F1213">
      <w:pPr>
        <w:pStyle w:val="ListBullet"/>
      </w:pPr>
      <w:r w:rsidRPr="00A50C03">
        <w:t xml:space="preserve">Outcome: All 3 </w:t>
      </w:r>
      <w:proofErr w:type="spellStart"/>
      <w:r w:rsidRPr="00A50C03">
        <w:t>clobazam</w:t>
      </w:r>
      <w:proofErr w:type="spellEnd"/>
      <w:r w:rsidRPr="00A50C03">
        <w:t xml:space="preserve"> dosages led to significant improvements in clinician and caregiver’s global evaluations (Figure 6).</w:t>
      </w:r>
    </w:p>
    <w:p w:rsidR="00E91D7F" w:rsidRDefault="00E91D7F">
      <w:pPr>
        <w:spacing w:before="0" w:after="200" w:line="0" w:lineRule="auto"/>
      </w:pPr>
      <w:r>
        <w:br w:type="page"/>
      </w:r>
    </w:p>
    <w:p w:rsidR="00A50C03" w:rsidRPr="00A50C03" w:rsidRDefault="00A50C03" w:rsidP="009F1213">
      <w:pPr>
        <w:pStyle w:val="FigureTitle"/>
        <w:rPr>
          <w:lang w:val="en-GB"/>
        </w:rPr>
      </w:pPr>
      <w:r w:rsidRPr="00A50C03">
        <w:t>Figure 6: Physicians and caregivers’ global evaluations.</w:t>
      </w:r>
    </w:p>
    <w:p w:rsidR="00A50C03" w:rsidRPr="00A50C03" w:rsidRDefault="00A50C03" w:rsidP="009F1213">
      <w:r>
        <w:rPr>
          <w:noProof/>
          <w:lang w:eastAsia="en-AU"/>
        </w:rPr>
        <w:drawing>
          <wp:inline distT="0" distB="0" distL="0" distR="0">
            <wp:extent cx="4937760" cy="3006725"/>
            <wp:effectExtent l="19050" t="0" r="0" b="0"/>
            <wp:docPr id="182" name="Picture 182" descr="Figure 6: Physicians and caregivers’ global evalu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Figure 6: Physicians and caregivers’ global evaluations."/>
                    <pic:cNvPicPr>
                      <a:picLocks noChangeAspect="1" noChangeArrowheads="1"/>
                    </pic:cNvPicPr>
                  </pic:nvPicPr>
                  <pic:blipFill>
                    <a:blip r:embed="rId26" cstate="print"/>
                    <a:srcRect/>
                    <a:stretch>
                      <a:fillRect/>
                    </a:stretch>
                  </pic:blipFill>
                  <pic:spPr bwMode="auto">
                    <a:xfrm>
                      <a:off x="0" y="0"/>
                      <a:ext cx="4937760" cy="3006725"/>
                    </a:xfrm>
                    <a:prstGeom prst="rect">
                      <a:avLst/>
                    </a:prstGeom>
                    <a:noFill/>
                    <a:ln w="9525">
                      <a:noFill/>
                      <a:miter lim="800000"/>
                      <a:headEnd/>
                      <a:tailEnd/>
                    </a:ln>
                  </pic:spPr>
                </pic:pic>
              </a:graphicData>
            </a:graphic>
          </wp:inline>
        </w:drawing>
      </w:r>
    </w:p>
    <w:p w:rsidR="00A50C03" w:rsidRPr="00A50C03" w:rsidRDefault="00A50C03" w:rsidP="009F1213">
      <w:r w:rsidRPr="00A50C03">
        <w:t xml:space="preserve">Tolerance: Examination of tolerance was a particularly important secondary endpoint. This was analysed by comparing the percent of patients achieving a ≥ 50% reduction in average weekly rate of drop seizures from baseline to the first 4 weeks of the maintenance period who then experienced a return to baseline seizure during the last 4 weeks of the maintenance period or discontinuation due to a lack of efficacy. The percent of patients fulfilling this criterion were then compared amongst groups. According to this analysis, 5.3% to 9.5% of patients in the different drug treatment groups fulfilled the definition of tolerance as compared to 5.6% patients in the placebo groups. An additional analysis of tolerance based on responder analyses showed that the percent of CLB subjects with no change or improvement from the first 4 weeks to the last 4 weeks of the maintenance period in this study was greater than the percent of CLB subjects who worsened or withdrew in each treatment group. </w:t>
      </w:r>
    </w:p>
    <w:p w:rsidR="00A50C03" w:rsidRPr="009F1213" w:rsidRDefault="00A50C03" w:rsidP="009F1213">
      <w:pPr>
        <w:ind w:left="720"/>
        <w:rPr>
          <w:i/>
        </w:rPr>
      </w:pPr>
      <w:r w:rsidRPr="009F1213">
        <w:rPr>
          <w:i/>
        </w:rPr>
        <w:t>Comment: These data are suggest that no obvious significant tolerance over the studied period. The evaluator contends that there may be two problems with the first analysis to allow the conclusion of no tolerance: 1) the sponsor is limiting themselves to selecting only patients who responded with a 50% or greater reduction in seizures during the first 4 weeks, 2) the sponsor’s criteria for a complete return to baseline during the last 4 weeks to define tolerance is too strict. Furthermore, this analysis does not provide a simple quantitative measure of tolerance.</w:t>
      </w:r>
    </w:p>
    <w:p w:rsidR="00A50C03" w:rsidRPr="009F1213" w:rsidRDefault="00A50C03" w:rsidP="009F1213">
      <w:pPr>
        <w:ind w:left="720"/>
        <w:rPr>
          <w:i/>
        </w:rPr>
      </w:pPr>
      <w:r w:rsidRPr="009F1213">
        <w:rPr>
          <w:i/>
        </w:rPr>
        <w:t xml:space="preserve">According to the FDA evaluation for </w:t>
      </w:r>
      <w:proofErr w:type="spellStart"/>
      <w:r w:rsidRPr="009F1213">
        <w:rPr>
          <w:i/>
        </w:rPr>
        <w:t>clobazam</w:t>
      </w:r>
      <w:proofErr w:type="spellEnd"/>
      <w:r w:rsidRPr="009F1213">
        <w:rPr>
          <w:i/>
        </w:rPr>
        <w:t xml:space="preserve"> in LGS,</w:t>
      </w:r>
      <w:r w:rsidRPr="009F1213">
        <w:rPr>
          <w:i/>
          <w:vertAlign w:val="superscript"/>
        </w:rPr>
        <w:footnoteReference w:id="23"/>
      </w:r>
      <w:r w:rsidRPr="009F1213">
        <w:rPr>
          <w:i/>
        </w:rPr>
        <w:t xml:space="preserve"> a further analysis performed to evaluate for missing data, however, partially addresses this issue. The percent reduction for patients in the first and last 4 weeks of the maintenance period to the baseline was compared and no pertinent decrement was observed. This, of course, may be subject to the effect of dropouts, which was about was about 6 to 20% in different groups. However, this analysis was supportive of minimal or no tolerance. To further explore tolerance, a primary endpoint last observation carried forward analysis of the modified intent-to treat set, comparing the percent reduction seizure frequency from baseline to the first 4 week and to the last 4 weeks. In this analysis, patients who dropped out before the last 4 weeks had their last 4 weeks carried forward. This analysis is presented in the table below as a difference from placebo (Table 7). </w:t>
      </w:r>
    </w:p>
    <w:p w:rsidR="00A50C03" w:rsidRPr="00A50C03" w:rsidRDefault="00A50C03" w:rsidP="009F1213">
      <w:pPr>
        <w:pStyle w:val="TableTitle"/>
        <w:rPr>
          <w:lang w:val="en-GB"/>
        </w:rPr>
      </w:pPr>
      <w:r w:rsidRPr="00A50C03">
        <w:t>Table 7: Percent reduction in seizure frequency (change from baseline), as compared to placebo, during the first 4 and last 4 weeks of the maintenance period – an LOCF analysis of the MITT set.</w:t>
      </w:r>
    </w:p>
    <w:p w:rsidR="00A50C03" w:rsidRPr="00A50C03" w:rsidRDefault="00A50C03" w:rsidP="009F1213">
      <w:r>
        <w:rPr>
          <w:noProof/>
          <w:lang w:eastAsia="en-AU"/>
        </w:rPr>
        <w:drawing>
          <wp:inline distT="0" distB="0" distL="0" distR="0">
            <wp:extent cx="5266690" cy="1338580"/>
            <wp:effectExtent l="19050" t="0" r="0" b="0"/>
            <wp:docPr id="183" name="Picture 183" descr="Table 7: Percent reduction in seizure frequency (change from baseline), as compared to placebo, during the first 4 and last 4 weeks of the maintenance period – an LOCF analysis of the MITT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Table 7: Percent reduction in seizure frequency (change from baseline), as compared to placebo, during the first 4 and last 4 weeks of the maintenance period – an LOCF analysis of the MITT set."/>
                    <pic:cNvPicPr>
                      <a:picLocks noChangeAspect="1" noChangeArrowheads="1"/>
                    </pic:cNvPicPr>
                  </pic:nvPicPr>
                  <pic:blipFill>
                    <a:blip r:embed="rId27" cstate="print"/>
                    <a:srcRect/>
                    <a:stretch>
                      <a:fillRect/>
                    </a:stretch>
                  </pic:blipFill>
                  <pic:spPr bwMode="auto">
                    <a:xfrm>
                      <a:off x="0" y="0"/>
                      <a:ext cx="5266690" cy="1338580"/>
                    </a:xfrm>
                    <a:prstGeom prst="rect">
                      <a:avLst/>
                    </a:prstGeom>
                    <a:noFill/>
                    <a:ln w="9525">
                      <a:noFill/>
                      <a:miter lim="800000"/>
                      <a:headEnd/>
                      <a:tailEnd/>
                    </a:ln>
                  </pic:spPr>
                </pic:pic>
              </a:graphicData>
            </a:graphic>
          </wp:inline>
        </w:drawing>
      </w:r>
    </w:p>
    <w:p w:rsidR="00A50C03" w:rsidRPr="009F1213" w:rsidRDefault="00A50C03" w:rsidP="009F1213">
      <w:pPr>
        <w:ind w:left="113"/>
        <w:rPr>
          <w:i/>
        </w:rPr>
      </w:pPr>
      <w:r w:rsidRPr="009F1213">
        <w:rPr>
          <w:i/>
        </w:rPr>
        <w:t xml:space="preserve">Comment: Although it appears that there was a mild desensitization effect in the low dose, none were appreciated in the higher doses. Benzodiazepine tolerance may often be observed within the time period studied although the evidence for the development of tolerance in open label studies will be presented later by the evaluator. In that case, the present study should be adequate to demonstrate the phenomena. Moreover, an analysis of an extension open label study (OV-1004) was presented to the FDA for the purposes of registration of </w:t>
      </w:r>
      <w:proofErr w:type="spellStart"/>
      <w:r w:rsidRPr="009F1213">
        <w:rPr>
          <w:i/>
        </w:rPr>
        <w:t>clobazam</w:t>
      </w:r>
      <w:proofErr w:type="spellEnd"/>
      <w:r w:rsidRPr="009F1213">
        <w:rPr>
          <w:i/>
        </w:rPr>
        <w:t xml:space="preserve"> in LGS in the US.</w:t>
      </w:r>
      <w:r w:rsidRPr="009F1213">
        <w:rPr>
          <w:i/>
          <w:vertAlign w:val="superscript"/>
        </w:rPr>
        <w:footnoteReference w:id="24"/>
      </w:r>
      <w:r w:rsidRPr="009F1213">
        <w:rPr>
          <w:i/>
        </w:rPr>
        <w:t xml:space="preserve"> The persistence of therapeutic effect was demonstrated in the open label extension study for up to periods greater the one year. This latter data is not presented in the literature based submission to the TGA so could not be assessed by the evaluator. </w:t>
      </w:r>
    </w:p>
    <w:p w:rsidR="00A50C03" w:rsidRPr="00A50C03" w:rsidRDefault="00A50C03" w:rsidP="009F1213">
      <w:pPr>
        <w:pStyle w:val="Heading3"/>
      </w:pPr>
      <w:bookmarkStart w:id="58" w:name="_Ref271037188"/>
      <w:bookmarkStart w:id="59" w:name="_Ref271037210"/>
      <w:bookmarkStart w:id="60" w:name="_Toc272414655"/>
      <w:bookmarkStart w:id="61" w:name="_Toc290846277"/>
      <w:bookmarkStart w:id="62" w:name="_Toc241374311"/>
      <w:bookmarkStart w:id="63" w:name="_Ref243294291"/>
      <w:bookmarkStart w:id="64" w:name="_Toc332659650"/>
      <w:bookmarkStart w:id="65" w:name="_Toc365022515"/>
      <w:bookmarkStart w:id="66" w:name="_Toc370902554"/>
      <w:r w:rsidRPr="00A50C03">
        <w:t>Other efficacy studies</w:t>
      </w:r>
      <w:bookmarkEnd w:id="58"/>
      <w:bookmarkEnd w:id="59"/>
      <w:bookmarkEnd w:id="60"/>
      <w:bookmarkEnd w:id="61"/>
      <w:bookmarkEnd w:id="62"/>
      <w:bookmarkEnd w:id="63"/>
      <w:bookmarkEnd w:id="64"/>
      <w:bookmarkEnd w:id="65"/>
      <w:bookmarkEnd w:id="66"/>
    </w:p>
    <w:p w:rsidR="00A50C03" w:rsidRPr="00A50C03" w:rsidRDefault="00A50C03" w:rsidP="009F1213">
      <w:pPr>
        <w:pStyle w:val="Heading4"/>
      </w:pPr>
      <w:bookmarkStart w:id="67" w:name="_Toc332659651"/>
      <w:r w:rsidRPr="00A50C03">
        <w:t>Rose et al</w:t>
      </w:r>
      <w:bookmarkEnd w:id="67"/>
      <w:r w:rsidRPr="00A50C03">
        <w:t>.</w:t>
      </w:r>
      <w:r w:rsidRPr="00A50C03">
        <w:rPr>
          <w:vertAlign w:val="superscript"/>
        </w:rPr>
        <w:footnoteReference w:id="25"/>
      </w:r>
    </w:p>
    <w:p w:rsidR="00A50C03" w:rsidRPr="00A50C03" w:rsidRDefault="00A50C03" w:rsidP="009F1213">
      <w:r w:rsidRPr="00A50C03">
        <w:t>In 2005, Rose and colleagues</w:t>
      </w:r>
      <w:r w:rsidRPr="00A50C03">
        <w:rPr>
          <w:vertAlign w:val="superscript"/>
        </w:rPr>
        <w:footnoteReference w:id="26"/>
      </w:r>
      <w:r w:rsidRPr="00A50C03">
        <w:t xml:space="preserve"> reported the results of a prospective, randomised, double-blind placebo- controlled study evaluating the efficacy of intermittent </w:t>
      </w:r>
      <w:proofErr w:type="spellStart"/>
      <w:r w:rsidRPr="00A50C03">
        <w:t>clobazam</w:t>
      </w:r>
      <w:proofErr w:type="spellEnd"/>
      <w:r w:rsidRPr="00A50C03">
        <w:t xml:space="preserve"> therapy in preventing the recurrence of febrile seizures. Neurologically normal children between 6 months and 3 years of age with a history of febrile seizures and no evidence of acute CNS infection or EEG abnormality were included into the study; 19 children in a </w:t>
      </w:r>
      <w:proofErr w:type="spellStart"/>
      <w:r w:rsidRPr="00A50C03">
        <w:t>clobazam</w:t>
      </w:r>
      <w:proofErr w:type="spellEnd"/>
      <w:r w:rsidRPr="00A50C03">
        <w:t xml:space="preserve"> group and 20 in the placebo group were randomly allocated. The dispensed medication was administered at the onset of fever and continued for 48 hours irrespective of the duration of fever. The children were then monitored for seizures and adverse effects of </w:t>
      </w:r>
      <w:proofErr w:type="spellStart"/>
      <w:r w:rsidRPr="00A50C03">
        <w:t>clobazam</w:t>
      </w:r>
      <w:proofErr w:type="spellEnd"/>
      <w:r w:rsidRPr="00A50C03">
        <w:t xml:space="preserve">. The children were followed up for a mean period of 9.9 months. Mean number of febrile episodes in the </w:t>
      </w:r>
      <w:proofErr w:type="spellStart"/>
      <w:r w:rsidRPr="00A50C03">
        <w:t>clobazam</w:t>
      </w:r>
      <w:proofErr w:type="spellEnd"/>
      <w:r w:rsidRPr="00A50C03">
        <w:t xml:space="preserve"> group was 3.1 and in placebo group 2.56. Six (12.5%) of the 48 episodes in placebo group and one (1.7%) of 60 episodes in </w:t>
      </w:r>
      <w:proofErr w:type="spellStart"/>
      <w:r w:rsidRPr="00A50C03">
        <w:t>clobazam</w:t>
      </w:r>
      <w:proofErr w:type="spellEnd"/>
      <w:r w:rsidRPr="00A50C03">
        <w:t xml:space="preserve"> group had seizure recurrence which is statistically significant (p=0.04) providing evidence that intermittent </w:t>
      </w:r>
      <w:proofErr w:type="spellStart"/>
      <w:r w:rsidRPr="00A50C03">
        <w:t>clobazam</w:t>
      </w:r>
      <w:proofErr w:type="spellEnd"/>
      <w:r w:rsidRPr="00A50C03">
        <w:t xml:space="preserve"> therapy is an effective measure in the prevention of recurrence of febrile seizures.</w:t>
      </w:r>
    </w:p>
    <w:p w:rsidR="00A50C03" w:rsidRPr="009F1213" w:rsidRDefault="00A50C03" w:rsidP="009F1213">
      <w:pPr>
        <w:ind w:left="170"/>
        <w:rPr>
          <w:i/>
        </w:rPr>
      </w:pPr>
      <w:r w:rsidRPr="009F1213">
        <w:rPr>
          <w:i/>
        </w:rPr>
        <w:t>Comment: This study was largely conducted to modern GCP standards although some weaknesses are noted – such as the lack of systematic evaluation of AEs. Although this study involved intermittent therapy in febrile seizures, it provides relevant supportive evidence of efficacy in partial epilepsy for short-term use.</w:t>
      </w:r>
    </w:p>
    <w:p w:rsidR="00A50C03" w:rsidRPr="00A50C03" w:rsidRDefault="00A50C03" w:rsidP="009F1213">
      <w:pPr>
        <w:pStyle w:val="Heading4"/>
        <w:rPr>
          <w:lang w:val="nl-NL"/>
        </w:rPr>
      </w:pPr>
      <w:bookmarkStart w:id="68" w:name="_Toc332659652"/>
      <w:r w:rsidRPr="00A50C03">
        <w:rPr>
          <w:lang w:val="nl-NL"/>
        </w:rPr>
        <w:t>Bajaj et al</w:t>
      </w:r>
      <w:bookmarkEnd w:id="68"/>
      <w:r w:rsidRPr="00A50C03">
        <w:rPr>
          <w:lang w:val="nl-NL"/>
        </w:rPr>
        <w:t>.</w:t>
      </w:r>
      <w:r w:rsidRPr="00A50C03">
        <w:rPr>
          <w:vertAlign w:val="superscript"/>
          <w:lang w:val="nl-NL"/>
        </w:rPr>
        <w:footnoteReference w:id="27"/>
      </w:r>
    </w:p>
    <w:p w:rsidR="00A50C03" w:rsidRPr="00A50C03" w:rsidRDefault="00A50C03" w:rsidP="009F1213">
      <w:r w:rsidRPr="00A50C03">
        <w:t>In 2005, Bajaj and colleagues</w:t>
      </w:r>
      <w:r w:rsidRPr="00A50C03">
        <w:rPr>
          <w:vertAlign w:val="superscript"/>
        </w:rPr>
        <w:footnoteReference w:id="28"/>
      </w:r>
      <w:r w:rsidRPr="00A50C03">
        <w:t xml:space="preserve"> reported the results of a double blind placebo controlled trial involving sixty patients aged 6 months to five years presenting with febrile seizures. The patients in the treatment group (group A) were given intermittent prophylactic </w:t>
      </w:r>
      <w:proofErr w:type="spellStart"/>
      <w:r w:rsidRPr="00A50C03">
        <w:t>clobazam</w:t>
      </w:r>
      <w:proofErr w:type="spellEnd"/>
      <w:r w:rsidRPr="00A50C03">
        <w:t xml:space="preserve"> at 0.75 mg/kg body weight twice daily and the placebo group (group B) were given placebo tablets during the course of fever. After treatment with </w:t>
      </w:r>
      <w:proofErr w:type="spellStart"/>
      <w:r w:rsidRPr="00A50C03">
        <w:t>clobazam</w:t>
      </w:r>
      <w:proofErr w:type="spellEnd"/>
      <w:r w:rsidRPr="00A50C03">
        <w:t xml:space="preserve"> seven and two patients had generalized and partial seizures, respectively while 23 and two patients had generalized and partial seizures for group B, respectively. Thus, recurrence of FS was observed in 30% (nine) patients in group A and 83.3% (25) in group B. The average number of seizures preceding six months was 4.33 ± 2.78 in the </w:t>
      </w:r>
      <w:proofErr w:type="spellStart"/>
      <w:r w:rsidRPr="00A50C03">
        <w:t>clobazam</w:t>
      </w:r>
      <w:proofErr w:type="spellEnd"/>
      <w:r w:rsidRPr="00A50C03">
        <w:t xml:space="preserve"> group and, this declined significantly to 0.7 ± 1.37 (p &lt;0.001), while in the placebo group no decline in seizure frequency was observed.</w:t>
      </w:r>
    </w:p>
    <w:p w:rsidR="00A50C03" w:rsidRPr="009F1213" w:rsidRDefault="00A50C03" w:rsidP="009F1213">
      <w:pPr>
        <w:ind w:left="113"/>
        <w:rPr>
          <w:i/>
        </w:rPr>
      </w:pPr>
      <w:r w:rsidRPr="009F1213">
        <w:rPr>
          <w:i/>
        </w:rPr>
        <w:t>Comment: This study is considered to provide similar supportive evidence as the study from Rose et al.</w:t>
      </w:r>
    </w:p>
    <w:p w:rsidR="00A50C03" w:rsidRPr="00A50C03" w:rsidRDefault="00A50C03" w:rsidP="009F1213">
      <w:pPr>
        <w:pStyle w:val="Heading3"/>
      </w:pPr>
      <w:bookmarkStart w:id="69" w:name="_Toc241374312"/>
      <w:bookmarkStart w:id="70" w:name="_Toc272414656"/>
      <w:bookmarkStart w:id="71" w:name="_Toc290846281"/>
      <w:bookmarkStart w:id="72" w:name="_Ref331936956"/>
      <w:bookmarkStart w:id="73" w:name="_Ref332488076"/>
      <w:bookmarkStart w:id="74" w:name="_Toc332659653"/>
      <w:bookmarkStart w:id="75" w:name="_Toc365022516"/>
      <w:bookmarkStart w:id="76" w:name="_Toc370902555"/>
      <w:r w:rsidRPr="00A50C03">
        <w:t>Analyses performed across trials (pooled and meta analyses)</w:t>
      </w:r>
      <w:bookmarkEnd w:id="69"/>
      <w:bookmarkEnd w:id="70"/>
      <w:bookmarkEnd w:id="71"/>
      <w:bookmarkEnd w:id="72"/>
      <w:bookmarkEnd w:id="73"/>
      <w:bookmarkEnd w:id="74"/>
      <w:bookmarkEnd w:id="75"/>
      <w:bookmarkEnd w:id="76"/>
    </w:p>
    <w:p w:rsidR="00A50C03" w:rsidRPr="00A50C03" w:rsidRDefault="00A50C03" w:rsidP="009F1213">
      <w:r w:rsidRPr="00A50C03">
        <w:t>Table 8 summarises previously submitted randomised controlled data in adults. Tables 9 and 10 summarise open label studies in children and adults.</w:t>
      </w:r>
    </w:p>
    <w:p w:rsidR="00A50C03" w:rsidRPr="00A50C03" w:rsidRDefault="00A50C03" w:rsidP="009F1213">
      <w:pPr>
        <w:pStyle w:val="TableTitle"/>
        <w:rPr>
          <w:lang w:val="en-GB"/>
        </w:rPr>
      </w:pPr>
      <w:r w:rsidRPr="00A50C03">
        <w:t>Table 8: Randomised controlled trials in adults (presented in 1995 literature based submission).</w:t>
      </w:r>
    </w:p>
    <w:p w:rsidR="00A50C03" w:rsidRPr="00A50C03" w:rsidRDefault="00A50C03" w:rsidP="009F1213">
      <w:r>
        <w:rPr>
          <w:noProof/>
          <w:lang w:eastAsia="en-AU"/>
        </w:rPr>
        <w:drawing>
          <wp:inline distT="0" distB="0" distL="0" distR="0">
            <wp:extent cx="5025390" cy="1791970"/>
            <wp:effectExtent l="19050" t="0" r="3810" b="0"/>
            <wp:docPr id="184" name="Picture 184" descr="Table 8: Randomised controlled trials in adults (presented in 1995 literature based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Table 8: Randomised controlled trials in adults (presented in 1995 literature based submission)."/>
                    <pic:cNvPicPr>
                      <a:picLocks noChangeAspect="1" noChangeArrowheads="1"/>
                    </pic:cNvPicPr>
                  </pic:nvPicPr>
                  <pic:blipFill>
                    <a:blip r:embed="rId28" cstate="print"/>
                    <a:srcRect/>
                    <a:stretch>
                      <a:fillRect/>
                    </a:stretch>
                  </pic:blipFill>
                  <pic:spPr bwMode="auto">
                    <a:xfrm>
                      <a:off x="0" y="0"/>
                      <a:ext cx="5025390" cy="1791970"/>
                    </a:xfrm>
                    <a:prstGeom prst="rect">
                      <a:avLst/>
                    </a:prstGeom>
                    <a:noFill/>
                    <a:ln w="9525">
                      <a:noFill/>
                      <a:miter lim="800000"/>
                      <a:headEnd/>
                      <a:tailEnd/>
                    </a:ln>
                  </pic:spPr>
                </pic:pic>
              </a:graphicData>
            </a:graphic>
          </wp:inline>
        </w:drawing>
      </w:r>
    </w:p>
    <w:p w:rsidR="00A50C03" w:rsidRPr="00A50C03" w:rsidRDefault="00A50C03" w:rsidP="009F1213">
      <w:pPr>
        <w:pStyle w:val="TableTitle"/>
        <w:rPr>
          <w:lang w:val="en-GB"/>
        </w:rPr>
      </w:pPr>
      <w:r w:rsidRPr="00A50C03">
        <w:t>Table 9: Open studies in children.</w:t>
      </w:r>
    </w:p>
    <w:p w:rsidR="00A50C03" w:rsidRPr="00A50C03" w:rsidRDefault="00A50C03" w:rsidP="009F1213">
      <w:r>
        <w:rPr>
          <w:noProof/>
          <w:lang w:eastAsia="en-AU"/>
        </w:rPr>
        <w:drawing>
          <wp:inline distT="0" distB="0" distL="0" distR="0">
            <wp:extent cx="4966970" cy="2406650"/>
            <wp:effectExtent l="19050" t="0" r="5080" b="0"/>
            <wp:docPr id="185" name="Picture 185" descr="Table 9: Open studies in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Table 9: Open studies in children."/>
                    <pic:cNvPicPr>
                      <a:picLocks noChangeAspect="1" noChangeArrowheads="1"/>
                    </pic:cNvPicPr>
                  </pic:nvPicPr>
                  <pic:blipFill>
                    <a:blip r:embed="rId29" cstate="print"/>
                    <a:srcRect/>
                    <a:stretch>
                      <a:fillRect/>
                    </a:stretch>
                  </pic:blipFill>
                  <pic:spPr bwMode="auto">
                    <a:xfrm>
                      <a:off x="0" y="0"/>
                      <a:ext cx="4966970" cy="2406650"/>
                    </a:xfrm>
                    <a:prstGeom prst="rect">
                      <a:avLst/>
                    </a:prstGeom>
                    <a:noFill/>
                    <a:ln w="9525">
                      <a:noFill/>
                      <a:miter lim="800000"/>
                      <a:headEnd/>
                      <a:tailEnd/>
                    </a:ln>
                  </pic:spPr>
                </pic:pic>
              </a:graphicData>
            </a:graphic>
          </wp:inline>
        </w:drawing>
      </w:r>
    </w:p>
    <w:p w:rsidR="00A50C03" w:rsidRPr="00A50C03" w:rsidRDefault="00A50C03" w:rsidP="009F1213">
      <w:pPr>
        <w:pStyle w:val="TableTitle"/>
        <w:rPr>
          <w:lang w:val="en-GB"/>
        </w:rPr>
      </w:pPr>
      <w:r w:rsidRPr="00A50C03">
        <w:t>Table 10: Open studies in children and adults.</w:t>
      </w:r>
    </w:p>
    <w:p w:rsidR="00A50C03" w:rsidRPr="00A50C03" w:rsidRDefault="00A50C03" w:rsidP="009F1213">
      <w:r>
        <w:rPr>
          <w:noProof/>
          <w:lang w:eastAsia="en-AU"/>
        </w:rPr>
        <w:drawing>
          <wp:inline distT="0" distB="0" distL="0" distR="0">
            <wp:extent cx="5727700" cy="3496945"/>
            <wp:effectExtent l="19050" t="0" r="6350" b="0"/>
            <wp:docPr id="186" name="Picture 186" descr="Table 10: Open studies in children and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Table 10: Open studies in children and adults."/>
                    <pic:cNvPicPr>
                      <a:picLocks noChangeAspect="1" noChangeArrowheads="1"/>
                    </pic:cNvPicPr>
                  </pic:nvPicPr>
                  <pic:blipFill>
                    <a:blip r:embed="rId30" cstate="print"/>
                    <a:srcRect/>
                    <a:stretch>
                      <a:fillRect/>
                    </a:stretch>
                  </pic:blipFill>
                  <pic:spPr bwMode="auto">
                    <a:xfrm>
                      <a:off x="0" y="0"/>
                      <a:ext cx="5727700" cy="3496945"/>
                    </a:xfrm>
                    <a:prstGeom prst="rect">
                      <a:avLst/>
                    </a:prstGeom>
                    <a:noFill/>
                    <a:ln w="9525">
                      <a:noFill/>
                      <a:miter lim="800000"/>
                      <a:headEnd/>
                      <a:tailEnd/>
                    </a:ln>
                  </pic:spPr>
                </pic:pic>
              </a:graphicData>
            </a:graphic>
          </wp:inline>
        </w:drawing>
      </w:r>
    </w:p>
    <w:p w:rsidR="00A50C03" w:rsidRPr="00A50C03" w:rsidRDefault="00A50C03" w:rsidP="009F1213">
      <w:r w:rsidRPr="00A50C03">
        <w:t xml:space="preserve">The sponsor reports that the five non-comparative studies provide consistent supportive evidence of </w:t>
      </w:r>
      <w:proofErr w:type="spellStart"/>
      <w:r w:rsidRPr="00A50C03">
        <w:t>clobazam</w:t>
      </w:r>
      <w:proofErr w:type="spellEnd"/>
      <w:r w:rsidRPr="00A50C03">
        <w:t xml:space="preserve"> as an add-on therapy in intractable epilepsy in 427 children; the seizure free rate reached between 9 and 60.2% and improvement (reduction by 50 or 75% of seizure frequency) was observed in 11 to 41% further patients. The large Canadian retrospective analysis collected data for up to 440 children and the consistency of the results from these studies would support a consistent effect. </w:t>
      </w:r>
    </w:p>
    <w:p w:rsidR="00A50C03" w:rsidRPr="009F1213" w:rsidRDefault="00A50C03" w:rsidP="009F1213">
      <w:pPr>
        <w:ind w:left="720"/>
        <w:rPr>
          <w:i/>
        </w:rPr>
      </w:pPr>
      <w:r w:rsidRPr="009F1213">
        <w:rPr>
          <w:i/>
        </w:rPr>
        <w:t xml:space="preserve">Comment: the evaluator agrees that taken overall, the open label data is consistent and provides supportive evidence for the efficacy of </w:t>
      </w:r>
      <w:proofErr w:type="spellStart"/>
      <w:r w:rsidRPr="009F1213">
        <w:rPr>
          <w:i/>
        </w:rPr>
        <w:t>clobazam</w:t>
      </w:r>
      <w:proofErr w:type="spellEnd"/>
      <w:r w:rsidRPr="009F1213">
        <w:rPr>
          <w:i/>
        </w:rPr>
        <w:t xml:space="preserve"> as an add-on therapy in epilepsy but evaluation of tolerance in open label studies appears less consistent even allowing for markedly differing methodologies.</w:t>
      </w:r>
    </w:p>
    <w:p w:rsidR="00A50C03" w:rsidRPr="009F1213" w:rsidRDefault="00A50C03" w:rsidP="009F1213">
      <w:pPr>
        <w:ind w:left="720"/>
        <w:rPr>
          <w:i/>
        </w:rPr>
      </w:pPr>
      <w:r w:rsidRPr="009F1213">
        <w:rPr>
          <w:i/>
        </w:rPr>
        <w:t>Discussion of Persistence of Efficacy and/or Tolerance Effects in open label literature:</w:t>
      </w:r>
    </w:p>
    <w:p w:rsidR="00A50C03" w:rsidRPr="009F1213" w:rsidRDefault="00A50C03" w:rsidP="009F1213">
      <w:pPr>
        <w:ind w:left="720"/>
        <w:rPr>
          <w:i/>
        </w:rPr>
      </w:pPr>
      <w:r w:rsidRPr="009F1213">
        <w:rPr>
          <w:i/>
        </w:rPr>
        <w:t xml:space="preserve">In approximately 40% of patients who respond initially to </w:t>
      </w:r>
      <w:proofErr w:type="spellStart"/>
      <w:r w:rsidRPr="009F1213">
        <w:rPr>
          <w:i/>
        </w:rPr>
        <w:t>clobazam</w:t>
      </w:r>
      <w:proofErr w:type="spellEnd"/>
      <w:r w:rsidRPr="009F1213">
        <w:rPr>
          <w:i/>
        </w:rPr>
        <w:t>, it has been reported that there is a relative or absolute loss of efficacy. This may occur from a few days up to 27 months after starting therapy.</w:t>
      </w:r>
    </w:p>
    <w:p w:rsidR="00A50C03" w:rsidRPr="009F1213" w:rsidRDefault="00A50C03" w:rsidP="009F1213">
      <w:pPr>
        <w:ind w:left="720"/>
        <w:rPr>
          <w:i/>
        </w:rPr>
      </w:pPr>
      <w:r w:rsidRPr="009F1213">
        <w:rPr>
          <w:i/>
        </w:rPr>
        <w:t>In open label studies:</w:t>
      </w:r>
    </w:p>
    <w:p w:rsidR="00A50C03" w:rsidRPr="00A50C03" w:rsidRDefault="00A50C03" w:rsidP="009F1213">
      <w:pPr>
        <w:pStyle w:val="ListBullet3"/>
      </w:pPr>
      <w:proofErr w:type="spellStart"/>
      <w:r w:rsidRPr="00A50C03">
        <w:t>Gastaut</w:t>
      </w:r>
      <w:proofErr w:type="spellEnd"/>
      <w:r w:rsidRPr="00A50C03">
        <w:t xml:space="preserve"> reported good results were seen in 75% in 140 epilepsy patients treated with add on therapy with </w:t>
      </w:r>
      <w:proofErr w:type="spellStart"/>
      <w:r w:rsidRPr="00A50C03">
        <w:t>clobazam</w:t>
      </w:r>
      <w:proofErr w:type="spellEnd"/>
      <w:r w:rsidRPr="00A50C03">
        <w:t xml:space="preserve">. However, in only 50% of the cases at the end of the treatment period. In 45 of the 107 patients who experienced an initial benefit there was a reduction in the anticonvulsant properties of </w:t>
      </w:r>
      <w:proofErr w:type="spellStart"/>
      <w:r w:rsidRPr="00A50C03">
        <w:t>clobazam</w:t>
      </w:r>
      <w:proofErr w:type="spellEnd"/>
      <w:r w:rsidRPr="00A50C03">
        <w:t xml:space="preserve"> during the course of the trial. In 17 cases, this phenomenon of exhaustion was partial and </w:t>
      </w:r>
      <w:proofErr w:type="spellStart"/>
      <w:r w:rsidRPr="00A50C03">
        <w:t>clobazam</w:t>
      </w:r>
      <w:proofErr w:type="spellEnd"/>
      <w:r w:rsidRPr="00A50C03">
        <w:t xml:space="preserve"> treatment was continued but loss of effect was total in 28 cases. In these patients </w:t>
      </w:r>
      <w:proofErr w:type="spellStart"/>
      <w:r w:rsidRPr="00A50C03">
        <w:t>clobazam</w:t>
      </w:r>
      <w:proofErr w:type="spellEnd"/>
      <w:r w:rsidRPr="00A50C03">
        <w:t xml:space="preserve"> treatment was withdrawn. It was observed that the reduction in anti-epileptic effect occurred in general before month 3 of treatment (around day 45 in 50% of the patients) but was sometimes very early, developing during the first weeks or even the first days.</w:t>
      </w:r>
      <w:r w:rsidRPr="00A50C03">
        <w:rPr>
          <w:vertAlign w:val="superscript"/>
        </w:rPr>
        <w:footnoteReference w:id="29"/>
      </w:r>
      <w:r w:rsidRPr="00A50C03">
        <w:t xml:space="preserve"> </w:t>
      </w:r>
    </w:p>
    <w:p w:rsidR="00A50C03" w:rsidRPr="00A50C03" w:rsidRDefault="00A50C03" w:rsidP="009F1213">
      <w:pPr>
        <w:pStyle w:val="ListBullet3"/>
      </w:pPr>
      <w:r w:rsidRPr="00A50C03">
        <w:t>In the study by Allen and colleagues, there was no evidence of tolerance in a 9 week treatment period. (Tolerance was assessed by noting the frequency of seizures in the first and last halves of the active treatment period.)</w:t>
      </w:r>
      <w:r w:rsidRPr="00A50C03">
        <w:rPr>
          <w:vertAlign w:val="superscript"/>
        </w:rPr>
        <w:footnoteReference w:id="30"/>
      </w:r>
      <w:r w:rsidRPr="00A50C03">
        <w:t xml:space="preserve"> </w:t>
      </w:r>
    </w:p>
    <w:p w:rsidR="00A50C03" w:rsidRPr="00A50C03" w:rsidRDefault="00A50C03" w:rsidP="009F1213">
      <w:pPr>
        <w:pStyle w:val="ListBullet3"/>
      </w:pPr>
      <w:r w:rsidRPr="00A50C03">
        <w:t xml:space="preserve">Schmidt and colleagues assessed in a double-blind add-on trial in 20 patients with chronic complex partial seizures uncontrolled by maximally tolerable daily dosage of standard antiepileptic drug therapy. They reported only four (56%) of nine patients maintained the good initial therapeutic response of more than 75% reduction in seizure frequency to </w:t>
      </w:r>
      <w:proofErr w:type="spellStart"/>
      <w:r w:rsidRPr="00A50C03">
        <w:t>clobazam</w:t>
      </w:r>
      <w:proofErr w:type="spellEnd"/>
      <w:r w:rsidRPr="00A50C03">
        <w:t xml:space="preserve"> reached at months 1 or 2 when re-examined at month. However, during month 3 of the active treatment, four other patients became completely controlled or improved by more than 75%.</w:t>
      </w:r>
      <w:r w:rsidRPr="00A50C03">
        <w:rPr>
          <w:vertAlign w:val="superscript"/>
        </w:rPr>
        <w:footnoteReference w:id="31"/>
      </w:r>
    </w:p>
    <w:p w:rsidR="00A50C03" w:rsidRPr="00A50C03" w:rsidRDefault="00A50C03" w:rsidP="009F1213">
      <w:pPr>
        <w:pStyle w:val="ListBullet3"/>
      </w:pPr>
      <w:r w:rsidRPr="00A50C03">
        <w:t xml:space="preserve">In an open label study of </w:t>
      </w:r>
      <w:proofErr w:type="spellStart"/>
      <w:r w:rsidRPr="00A50C03">
        <w:t>clobazam</w:t>
      </w:r>
      <w:proofErr w:type="spellEnd"/>
      <w:r w:rsidRPr="00A50C03">
        <w:t xml:space="preserve"> in children with resistant seizures in 17 patients (34%), seizures increased again in frequency after responding initially to </w:t>
      </w:r>
      <w:proofErr w:type="spellStart"/>
      <w:r w:rsidRPr="00A50C03">
        <w:t>clobazam</w:t>
      </w:r>
      <w:proofErr w:type="spellEnd"/>
      <w:r w:rsidRPr="00A50C03">
        <w:t xml:space="preserve">. This exhaustion of effect occurred usually within 4 months of starting </w:t>
      </w:r>
      <w:proofErr w:type="spellStart"/>
      <w:r w:rsidRPr="00A50C03">
        <w:t>clobazam</w:t>
      </w:r>
      <w:proofErr w:type="spellEnd"/>
      <w:r w:rsidRPr="00A50C03">
        <w:t>. In 11 of these 17 patients, there was only a partial relapse.</w:t>
      </w:r>
      <w:r w:rsidRPr="00A50C03">
        <w:rPr>
          <w:vertAlign w:val="superscript"/>
        </w:rPr>
        <w:footnoteReference w:id="32"/>
      </w:r>
      <w:r w:rsidRPr="00A50C03">
        <w:t xml:space="preserve"> </w:t>
      </w:r>
    </w:p>
    <w:p w:rsidR="00A50C03" w:rsidRPr="00A50C03" w:rsidRDefault="00A50C03" w:rsidP="009F1213">
      <w:pPr>
        <w:pStyle w:val="ListBullet3"/>
      </w:pPr>
      <w:r w:rsidRPr="00A50C03">
        <w:t xml:space="preserve">A retrospective study by Singh and colleagues of patients with intractable epilepsy found 50 of 173 patients who were very good responders (&gt;74% seizure reduction). 25 of these at a sustained response and 25 developed tolerance which was defined as a relapse greater than 50% of pre </w:t>
      </w:r>
      <w:proofErr w:type="spellStart"/>
      <w:r w:rsidRPr="00A50C03">
        <w:t>clobazam</w:t>
      </w:r>
      <w:proofErr w:type="spellEnd"/>
      <w:r w:rsidRPr="00A50C03">
        <w:t xml:space="preserve"> seizure frequency. The mean interval to development of tolerance was reported 8.9 plus minus 7.9 months.</w:t>
      </w:r>
      <w:r w:rsidRPr="00A50C03">
        <w:rPr>
          <w:vertAlign w:val="superscript"/>
        </w:rPr>
        <w:footnoteReference w:id="33"/>
      </w:r>
      <w:r w:rsidRPr="00A50C03">
        <w:t xml:space="preserve"> </w:t>
      </w:r>
    </w:p>
    <w:p w:rsidR="00A50C03" w:rsidRPr="00A50C03" w:rsidRDefault="00A50C03" w:rsidP="009F1213">
      <w:pPr>
        <w:pStyle w:val="ListBullet3"/>
      </w:pPr>
      <w:r w:rsidRPr="00A50C03">
        <w:t xml:space="preserve">The Canadian </w:t>
      </w:r>
      <w:proofErr w:type="spellStart"/>
      <w:r w:rsidRPr="00A50C03">
        <w:t>Clobazam</w:t>
      </w:r>
      <w:proofErr w:type="spellEnd"/>
      <w:r w:rsidRPr="00A50C03">
        <w:t xml:space="preserve"> Cooperative group report of 1991. Using a standard case report, 32 neurologists, who had each treated greater than or equal to 10 patients, provided retrospective data for 877 patients. 20% stopped </w:t>
      </w:r>
      <w:proofErr w:type="spellStart"/>
      <w:r w:rsidRPr="00A50C03">
        <w:t>Clobazam</w:t>
      </w:r>
      <w:proofErr w:type="spellEnd"/>
      <w:r w:rsidRPr="00A50C03">
        <w:t xml:space="preserve"> for poor efficacy 4% for safety reasons and 8% for both. Tolerance was given as a reason for discontinuation in 9.2% of 877 patients.</w:t>
      </w:r>
      <w:r w:rsidRPr="00A50C03">
        <w:rPr>
          <w:vertAlign w:val="superscript"/>
        </w:rPr>
        <w:footnoteReference w:id="34"/>
      </w:r>
      <w:r w:rsidRPr="00A50C03">
        <w:t xml:space="preserve"> In 43 patients, treatment was terminated within 1 year. In 102 patients, intermittent </w:t>
      </w:r>
      <w:proofErr w:type="spellStart"/>
      <w:r w:rsidRPr="00A50C03">
        <w:t>clobazam</w:t>
      </w:r>
      <w:proofErr w:type="spellEnd"/>
      <w:r w:rsidRPr="00A50C03">
        <w:t xml:space="preserve"> treatment was used in an attempt to prevent the development of tolerance. Fifty one (50%) of these patients continued </w:t>
      </w:r>
      <w:proofErr w:type="spellStart"/>
      <w:r w:rsidRPr="00A50C03">
        <w:t>clobazam</w:t>
      </w:r>
      <w:proofErr w:type="spellEnd"/>
      <w:r w:rsidRPr="00A50C03">
        <w:t xml:space="preserve"> therapy as drug effect was maintained. For 13 patients (12.8%), intermittent therapy was discontinued because of tolerance. This suggested tolerance to occur equally frequently whether </w:t>
      </w:r>
      <w:proofErr w:type="spellStart"/>
      <w:r w:rsidRPr="00A50C03">
        <w:t>clobazam</w:t>
      </w:r>
      <w:proofErr w:type="spellEnd"/>
      <w:r w:rsidRPr="00A50C03">
        <w:t xml:space="preserve"> was used intermittently or as regular maintenance therapy.</w:t>
      </w:r>
    </w:p>
    <w:p w:rsidR="00A50C03" w:rsidRPr="00A50C03" w:rsidRDefault="00A50C03" w:rsidP="009F1213">
      <w:pPr>
        <w:pStyle w:val="ListBullet3"/>
      </w:pPr>
      <w:r w:rsidRPr="00A50C03">
        <w:t xml:space="preserve">In an open label study of add on therapy with </w:t>
      </w:r>
      <w:proofErr w:type="spellStart"/>
      <w:r w:rsidRPr="00A50C03">
        <w:t>clobazam</w:t>
      </w:r>
      <w:proofErr w:type="spellEnd"/>
      <w:r w:rsidRPr="00A50C03">
        <w:t xml:space="preserve"> in patients who did not respond to 3 or more conventional anti-epileptic drugs, tolerance (defined as when the efficacy was initially greater than 50% reduction - or better and later became worse than the initial efficacy) occurred in 24% mean 4.5 months (2 -12 months).</w:t>
      </w:r>
      <w:r w:rsidRPr="00A50C03">
        <w:rPr>
          <w:vertAlign w:val="superscript"/>
        </w:rPr>
        <w:footnoteReference w:id="35"/>
      </w:r>
      <w:r w:rsidRPr="00A50C03">
        <w:t xml:space="preserve"> </w:t>
      </w:r>
    </w:p>
    <w:p w:rsidR="00A50C03" w:rsidRPr="00A50C03" w:rsidRDefault="00A50C03" w:rsidP="009F1213">
      <w:pPr>
        <w:pStyle w:val="ListBullet3"/>
      </w:pPr>
      <w:r w:rsidRPr="00A50C03">
        <w:t>Munn reported experience with 27 patients with severe intractable epilepsy disorders,</w:t>
      </w:r>
      <w:r w:rsidRPr="00A50C03">
        <w:rPr>
          <w:vertAlign w:val="superscript"/>
        </w:rPr>
        <w:footnoteReference w:id="36"/>
      </w:r>
      <w:r w:rsidRPr="00A50C03">
        <w:t xml:space="preserve"> 25 with intellectual disability treated in an open label fashion with </w:t>
      </w:r>
      <w:proofErr w:type="spellStart"/>
      <w:r w:rsidRPr="00A50C03">
        <w:t>clobazam</w:t>
      </w:r>
      <w:proofErr w:type="spellEnd"/>
      <w:r w:rsidRPr="00A50C03">
        <w:t xml:space="preserve">. 11 patients experienced greater than 75% reduction seizure frequency treated with </w:t>
      </w:r>
      <w:proofErr w:type="spellStart"/>
      <w:r w:rsidRPr="00A50C03">
        <w:t>clobazam</w:t>
      </w:r>
      <w:proofErr w:type="spellEnd"/>
      <w:r w:rsidRPr="00A50C03">
        <w:t xml:space="preserve"> for mean 44 weeks. 16 patients were non responders (7 were secondary </w:t>
      </w:r>
      <w:proofErr w:type="spellStart"/>
      <w:r w:rsidRPr="00A50C03">
        <w:t>nonresponders</w:t>
      </w:r>
      <w:proofErr w:type="spellEnd"/>
      <w:r w:rsidRPr="00A50C03">
        <w:t xml:space="preserve"> due to tolerance).</w:t>
      </w:r>
    </w:p>
    <w:p w:rsidR="00A50C03" w:rsidRPr="00A50C03" w:rsidRDefault="00A50C03" w:rsidP="009F1213">
      <w:pPr>
        <w:pStyle w:val="ListBullet3"/>
      </w:pPr>
      <w:r w:rsidRPr="00A50C03">
        <w:t xml:space="preserve">In another report, Munn examined the effect of </w:t>
      </w:r>
      <w:proofErr w:type="spellStart"/>
      <w:r w:rsidRPr="00A50C03">
        <w:t>clobazam</w:t>
      </w:r>
      <w:proofErr w:type="spellEnd"/>
      <w:r w:rsidRPr="00A50C03">
        <w:t xml:space="preserve"> on seizure control in 115 children with intractable seizures average age 8.4 years.</w:t>
      </w:r>
      <w:r w:rsidRPr="00A50C03">
        <w:rPr>
          <w:vertAlign w:val="superscript"/>
        </w:rPr>
        <w:footnoteReference w:id="37"/>
      </w:r>
      <w:r w:rsidRPr="00A50C03">
        <w:t xml:space="preserve"> Tolerance: defined as an increase in seizure frequency after an initial improvement in seizure control was seen in 30 of 79 patients who initially exhibited a greater than 50% improvement in seizure control (38%). Tolerance occurred two weeks to 24 months after </w:t>
      </w:r>
      <w:proofErr w:type="spellStart"/>
      <w:r w:rsidRPr="00A50C03">
        <w:t>clobazam</w:t>
      </w:r>
      <w:proofErr w:type="spellEnd"/>
      <w:r w:rsidRPr="00A50C03">
        <w:t xml:space="preserve"> was added mean time to tolerance 7 months median 3 months.</w:t>
      </w:r>
      <w:r w:rsidRPr="00A50C03">
        <w:rPr>
          <w:vertAlign w:val="superscript"/>
        </w:rPr>
        <w:footnoteReference w:id="38"/>
      </w:r>
      <w:r w:rsidRPr="00A50C03">
        <w:t xml:space="preserve"> Complete tolerance was seen in 9 patients, partial tolerance in 9 and partial tolerance that responded to an increased dose of </w:t>
      </w:r>
      <w:proofErr w:type="spellStart"/>
      <w:r w:rsidRPr="00A50C03">
        <w:t>clobazam</w:t>
      </w:r>
      <w:proofErr w:type="spellEnd"/>
      <w:r w:rsidRPr="00A50C03">
        <w:t xml:space="preserve"> in 12 patients.</w:t>
      </w:r>
    </w:p>
    <w:p w:rsidR="00A50C03" w:rsidRPr="00A50C03" w:rsidRDefault="00A50C03" w:rsidP="009F1213">
      <w:pPr>
        <w:pStyle w:val="ListBullet3"/>
      </w:pPr>
      <w:r w:rsidRPr="00A50C03">
        <w:t xml:space="preserve">In a cohort of 88 children reported by </w:t>
      </w:r>
      <w:proofErr w:type="spellStart"/>
      <w:r w:rsidRPr="00A50C03">
        <w:t>Kalra</w:t>
      </w:r>
      <w:proofErr w:type="spellEnd"/>
      <w:r w:rsidRPr="00A50C03">
        <w:t xml:space="preserve"> and colleagues with ‘refractory’ epilepsy who were started on </w:t>
      </w:r>
      <w:proofErr w:type="spellStart"/>
      <w:r w:rsidRPr="00A50C03">
        <w:t>clobazam</w:t>
      </w:r>
      <w:proofErr w:type="spellEnd"/>
      <w:r w:rsidRPr="00A50C03">
        <w:t xml:space="preserve"> as add-on therapy, good seizure control was reported in 85%. Tolerance developed in 6% at 3 months and 10.2% at 6 months.</w:t>
      </w:r>
      <w:r w:rsidRPr="00A50C03">
        <w:rPr>
          <w:vertAlign w:val="superscript"/>
        </w:rPr>
        <w:footnoteReference w:id="39"/>
      </w:r>
      <w:r w:rsidRPr="00A50C03">
        <w:t xml:space="preserve"> </w:t>
      </w:r>
    </w:p>
    <w:p w:rsidR="00A50C03" w:rsidRPr="00A50C03" w:rsidRDefault="00A50C03" w:rsidP="009F1213">
      <w:pPr>
        <w:pStyle w:val="ListBullet3"/>
      </w:pPr>
      <w:r w:rsidRPr="00A50C03">
        <w:t xml:space="preserve">In an open label extension of a double blind cross over study, 11 children had &gt;50% reduction in seizure frequency with </w:t>
      </w:r>
      <w:proofErr w:type="spellStart"/>
      <w:r w:rsidRPr="00A50C03">
        <w:t>clobazam</w:t>
      </w:r>
      <w:proofErr w:type="spellEnd"/>
      <w:r w:rsidRPr="00A50C03">
        <w:t>, and only 2 experienced an increase in seizure frequency after 2 years of treatment.</w:t>
      </w:r>
      <w:r w:rsidRPr="00A50C03">
        <w:rPr>
          <w:vertAlign w:val="superscript"/>
        </w:rPr>
        <w:footnoteReference w:id="40"/>
      </w:r>
      <w:r w:rsidRPr="00A50C03">
        <w:t xml:space="preserve"> </w:t>
      </w:r>
    </w:p>
    <w:p w:rsidR="00A50C03" w:rsidRPr="00A50C03" w:rsidRDefault="00A50C03" w:rsidP="009F1213">
      <w:pPr>
        <w:pStyle w:val="ListBullet3"/>
      </w:pPr>
      <w:r w:rsidRPr="00A50C03">
        <w:t xml:space="preserve">Martin reported evidence of "exhaustion of drug effect in 15 of 49 patients with an onset from 1-12 months (median 6.5 months) with a return to fits and the need to increase </w:t>
      </w:r>
      <w:proofErr w:type="spellStart"/>
      <w:r w:rsidRPr="00A50C03">
        <w:t>clobazam</w:t>
      </w:r>
      <w:proofErr w:type="spellEnd"/>
      <w:r w:rsidRPr="00A50C03">
        <w:t xml:space="preserve"> dosage in order to achieve control.</w:t>
      </w:r>
      <w:r w:rsidRPr="00A50C03">
        <w:rPr>
          <w:vertAlign w:val="superscript"/>
        </w:rPr>
        <w:footnoteReference w:id="41"/>
      </w:r>
      <w:r w:rsidRPr="00A50C03">
        <w:t xml:space="preserve"> </w:t>
      </w:r>
    </w:p>
    <w:p w:rsidR="00A50C03" w:rsidRPr="00A50C03" w:rsidRDefault="00A50C03" w:rsidP="009F1213">
      <w:pPr>
        <w:pStyle w:val="ListBullet3"/>
      </w:pPr>
      <w:r w:rsidRPr="00A50C03">
        <w:t xml:space="preserve">In 1990, </w:t>
      </w:r>
      <w:proofErr w:type="spellStart"/>
      <w:r w:rsidRPr="00A50C03">
        <w:t>Guberman</w:t>
      </w:r>
      <w:proofErr w:type="spellEnd"/>
      <w:r w:rsidRPr="00A50C03">
        <w:t xml:space="preserve"> and colleagues presented the results of a study involving 47 adults with intractable seizures over periods ranging from 6 months to 12 years (mean 4 years).</w:t>
      </w:r>
      <w:r w:rsidRPr="00A50C03">
        <w:rPr>
          <w:vertAlign w:val="superscript"/>
        </w:rPr>
        <w:footnoteReference w:id="42"/>
      </w:r>
      <w:r w:rsidRPr="00A50C03">
        <w:t xml:space="preserve"> Tolerance was observed in 6 patients (14%). </w:t>
      </w:r>
      <w:proofErr w:type="spellStart"/>
      <w:r w:rsidRPr="00A50C03">
        <w:t>Clobazam</w:t>
      </w:r>
      <w:proofErr w:type="spellEnd"/>
      <w:r w:rsidRPr="00A50C03">
        <w:t xml:space="preserve"> had no effect on the blood levels of other anti-epileptic drugs, except in 2 patients taking </w:t>
      </w:r>
      <w:proofErr w:type="spellStart"/>
      <w:r w:rsidRPr="00A50C03">
        <w:t>phenytoin</w:t>
      </w:r>
      <w:proofErr w:type="spellEnd"/>
      <w:r w:rsidRPr="00A50C03">
        <w:t xml:space="preserve"> which increased within days of starting </w:t>
      </w:r>
      <w:proofErr w:type="spellStart"/>
      <w:r w:rsidRPr="00A50C03">
        <w:t>clobazam</w:t>
      </w:r>
      <w:proofErr w:type="spellEnd"/>
      <w:r w:rsidRPr="00A50C03">
        <w:t xml:space="preserve">, but decreased when the </w:t>
      </w:r>
      <w:proofErr w:type="spellStart"/>
      <w:r w:rsidRPr="00A50C03">
        <w:t>clobazam</w:t>
      </w:r>
      <w:proofErr w:type="spellEnd"/>
      <w:r w:rsidRPr="00A50C03">
        <w:t xml:space="preserve"> dose was lowered. </w:t>
      </w:r>
      <w:proofErr w:type="spellStart"/>
      <w:r w:rsidRPr="00A50C03">
        <w:t>Clobazam</w:t>
      </w:r>
      <w:proofErr w:type="spellEnd"/>
      <w:r w:rsidRPr="00A50C03">
        <w:t xml:space="preserve"> was discontinued in 13 of the patients (28%); 7 due to side effects at a mean dose of 18.5 mg/day, lack of efficacy in 4 cases and increased seizures in 2 patients.</w:t>
      </w:r>
    </w:p>
    <w:p w:rsidR="00A50C03" w:rsidRPr="00A50C03" w:rsidRDefault="00A50C03" w:rsidP="009F1213">
      <w:pPr>
        <w:pStyle w:val="ListBullet3"/>
      </w:pPr>
      <w:r w:rsidRPr="00A50C03">
        <w:t xml:space="preserve">In 1993, Buchanan reported the use of </w:t>
      </w:r>
      <w:proofErr w:type="spellStart"/>
      <w:r w:rsidRPr="00A50C03">
        <w:t>clobazam</w:t>
      </w:r>
      <w:proofErr w:type="spellEnd"/>
      <w:r w:rsidRPr="00A50C03">
        <w:t xml:space="preserve"> in clinical practice with protracted follow up to 8 years. A total of 56 patients, aged 6 to 59 years (mean 29 years) with 34 having partial seizures (18 CPS + GTCS, 14 CPS and 2 SPS, 15 primary generalised epilepsy and 7 patients had generalised seizures with handicap were studied. Of the 56 patients, 28 (50%) continued to take the drug for 3 months to 8 years (mean 3 years) after commencing it. A total of 28 patients ceased taking the drug: 11 due to tolerance, 10 due to a lack of effect, 5 due to side effects, one patient died and the final patient simply ceased taking the drug. Tolerance was therefore seen in 19.6% of patients and occurred from 3 months to 3 years (mean 1.36 years) after commencing </w:t>
      </w:r>
      <w:proofErr w:type="spellStart"/>
      <w:r w:rsidRPr="00A50C03">
        <w:t>clobazam</w:t>
      </w:r>
      <w:proofErr w:type="spellEnd"/>
      <w:r w:rsidRPr="00A50C03">
        <w:t>.</w:t>
      </w:r>
      <w:r w:rsidRPr="00A50C03">
        <w:rPr>
          <w:vertAlign w:val="superscript"/>
        </w:rPr>
        <w:footnoteReference w:id="43"/>
      </w:r>
      <w:r w:rsidRPr="00A50C03">
        <w:t xml:space="preserve"> </w:t>
      </w:r>
    </w:p>
    <w:p w:rsidR="00A50C03" w:rsidRPr="00A50C03" w:rsidRDefault="00A50C03" w:rsidP="009F1213">
      <w:pPr>
        <w:pStyle w:val="ListBullet3"/>
      </w:pPr>
      <w:r w:rsidRPr="00A50C03">
        <w:t xml:space="preserve">In 1996, </w:t>
      </w:r>
      <w:proofErr w:type="spellStart"/>
      <w:r w:rsidRPr="00A50C03">
        <w:t>Barcs</w:t>
      </w:r>
      <w:proofErr w:type="spellEnd"/>
      <w:r w:rsidRPr="00A50C03">
        <w:t xml:space="preserve"> and </w:t>
      </w:r>
      <w:proofErr w:type="spellStart"/>
      <w:r w:rsidRPr="00A50C03">
        <w:t>Halasz</w:t>
      </w:r>
      <w:proofErr w:type="spellEnd"/>
      <w:r w:rsidRPr="00A50C03">
        <w:t xml:space="preserve"> reported the results of a retrospective study exploring the loss of efficiency of </w:t>
      </w:r>
      <w:proofErr w:type="spellStart"/>
      <w:r w:rsidRPr="00A50C03">
        <w:t>clobazam</w:t>
      </w:r>
      <w:proofErr w:type="spellEnd"/>
      <w:r w:rsidRPr="00A50C03">
        <w:t xml:space="preserve"> treatment (development of tolerance) when used as an add-on therapy in the management of 55 patients &gt;18 with TLE experiencing seizures more frequently than weekly. Tolerance was defined as the development of partial or complete loss of CLB’s therapeutic effectiveness, which was indicated by the return of seizures compared to a previous improved state. The evolution of tolerance was estimated as follows. After, 1 month the total tolerance rate was 3 %. At 2.5 months the total tolerance rate increased to 11 % and the partial tolerance rate was 3%. In the 6th month the total tolerance rate was 21 % and the partial 15%. After the first year of the treatment 27% had total and 25% partial tolerance. The tolerance process seems to slow down after one year. In the 18th month of treatment the tolerance rate increased to only 32 % and the partial to 27%. At the end of the second year of the treatment total tolerance was 36% and the partial 32%.</w:t>
      </w:r>
      <w:r w:rsidRPr="00A50C03">
        <w:rPr>
          <w:vertAlign w:val="superscript"/>
        </w:rPr>
        <w:footnoteReference w:id="44"/>
      </w:r>
    </w:p>
    <w:p w:rsidR="00A50C03" w:rsidRPr="00A50C03" w:rsidRDefault="00A50C03" w:rsidP="009F1213">
      <w:pPr>
        <w:pStyle w:val="ListBullet3"/>
      </w:pPr>
      <w:r w:rsidRPr="00A50C03">
        <w:t xml:space="preserve">In 2003, Shimizu and colleagues presented the results of a study conducted on 183 patients with intractable complex partial seizures using </w:t>
      </w:r>
      <w:proofErr w:type="spellStart"/>
      <w:r w:rsidRPr="00A50C03">
        <w:t>clobazam</w:t>
      </w:r>
      <w:proofErr w:type="spellEnd"/>
      <w:r w:rsidRPr="00A50C03">
        <w:t xml:space="preserve"> on add-on therapy. Complete remission was initially achieved in 61 patients, tolerance developed in almost half (49.2%) within the first 3 months, whereas 23 out of 31 patients (74.2%) who remained seizure free for the first 3 months continued to be so over the next 3 months.</w:t>
      </w:r>
      <w:r w:rsidRPr="00A50C03">
        <w:rPr>
          <w:vertAlign w:val="superscript"/>
        </w:rPr>
        <w:footnoteReference w:id="45"/>
      </w:r>
      <w:r w:rsidRPr="00A50C03">
        <w:t xml:space="preserve"> </w:t>
      </w:r>
    </w:p>
    <w:p w:rsidR="00A50C03" w:rsidRPr="00A50C03" w:rsidRDefault="00A50C03" w:rsidP="00230452">
      <w:pPr>
        <w:pStyle w:val="Heading3"/>
      </w:pPr>
      <w:bookmarkStart w:id="77" w:name="_Toc365022517"/>
      <w:bookmarkStart w:id="78" w:name="_Toc370902556"/>
      <w:r w:rsidRPr="00A50C03">
        <w:t>Evaluator’s overall conclusions on clinical efficacy</w:t>
      </w:r>
      <w:bookmarkEnd w:id="77"/>
      <w:bookmarkEnd w:id="78"/>
    </w:p>
    <w:p w:rsidR="00A50C03" w:rsidRPr="00A50C03" w:rsidRDefault="00A50C03" w:rsidP="0079758A">
      <w:bookmarkStart w:id="79" w:name="_Toc184439992"/>
      <w:bookmarkStart w:id="80" w:name="_Toc184440279"/>
      <w:bookmarkStart w:id="81" w:name="_Toc184444657"/>
      <w:bookmarkStart w:id="82" w:name="_Toc196046487"/>
      <w:r w:rsidRPr="00A50C03">
        <w:t>Two well conducted randomised controlled studies show robust short to medium term efficacy of reduction in seizures (particularly the most disabling variety of seizures – drop seizures) in children with LGS.</w:t>
      </w:r>
      <w:r w:rsidRPr="00A50C03">
        <w:rPr>
          <w:vertAlign w:val="superscript"/>
        </w:rPr>
        <w:footnoteReference w:id="46"/>
      </w:r>
      <w:r w:rsidRPr="00A50C03">
        <w:t xml:space="preserve"> The maintenance period in one study was adequate, according to EMA guidelines, to “establish that efficacy is not short lasting”.</w:t>
      </w:r>
      <w:r w:rsidRPr="00A50C03">
        <w:rPr>
          <w:vertAlign w:val="superscript"/>
        </w:rPr>
        <w:footnoteReference w:id="47"/>
      </w:r>
      <w:r w:rsidRPr="00A50C03">
        <w:t xml:space="preserve"> These modern studies used appropriate efficacy outcomes and there were remarkably consistent results. For example, in the Phase II study the ≥50% responder rate for drop seizures was 83% at a dose of 1mg/kg/day</w:t>
      </w:r>
      <w:r w:rsidRPr="00A50C03">
        <w:rPr>
          <w:vertAlign w:val="superscript"/>
        </w:rPr>
        <w:footnoteReference w:id="48"/>
      </w:r>
      <w:r w:rsidRPr="00A50C03">
        <w:t xml:space="preserve"> whereas in the Phase III study, the ≥50% responder rate for drop seizures was 77.6% at a dose of 1mg/kg/day.</w:t>
      </w:r>
      <w:r w:rsidRPr="00A50C03">
        <w:rPr>
          <w:vertAlign w:val="superscript"/>
        </w:rPr>
        <w:footnoteReference w:id="49"/>
      </w:r>
      <w:r w:rsidRPr="00A50C03">
        <w:t xml:space="preserve"> Moreover, there was specific analysis to examine for development of tolerance in the Phase III study to suggest that there was no issue. Results of open label extension use for </w:t>
      </w:r>
      <w:proofErr w:type="spellStart"/>
      <w:r w:rsidRPr="00A50C03">
        <w:t>clobazam</w:t>
      </w:r>
      <w:proofErr w:type="spellEnd"/>
      <w:r w:rsidRPr="00A50C03">
        <w:t xml:space="preserve"> in LGS do not appear to have been included in the current submission. However, publically available efficacy evaluations in open label extension patients (a large majority of patients participating in the Phase II and III studies entered the open label extension – about 267 of 303 patients) done by the FDA looking for development of tolerance to </w:t>
      </w:r>
      <w:proofErr w:type="spellStart"/>
      <w:r w:rsidRPr="00A50C03">
        <w:t>clobazam</w:t>
      </w:r>
      <w:proofErr w:type="spellEnd"/>
      <w:r w:rsidRPr="00A50C03">
        <w:t xml:space="preserve"> in LGS patients did not suggest the development of significant issues. </w:t>
      </w:r>
    </w:p>
    <w:p w:rsidR="00A50C03" w:rsidRPr="00A50C03" w:rsidRDefault="00A50C03" w:rsidP="0079758A">
      <w:r w:rsidRPr="00A50C03">
        <w:t xml:space="preserve">Large experience with </w:t>
      </w:r>
      <w:proofErr w:type="spellStart"/>
      <w:r w:rsidRPr="00A50C03">
        <w:t>clobazam</w:t>
      </w:r>
      <w:proofErr w:type="spellEnd"/>
      <w:r w:rsidRPr="00A50C03">
        <w:t xml:space="preserve"> in epilepsy is displayed through six non comparative studies, including 867 children. These studies were prospective (n=2) or retrospective (n=2). Five of them described the use of </w:t>
      </w:r>
      <w:proofErr w:type="spellStart"/>
      <w:r w:rsidRPr="00A50C03">
        <w:t>clobazam</w:t>
      </w:r>
      <w:proofErr w:type="spellEnd"/>
      <w:r w:rsidRPr="00A50C03">
        <w:t xml:space="preserve"> as an add on therapy to AEDs. In most cases, the decision to initiate combination therapy was made after failure observed with several consecutive </w:t>
      </w:r>
      <w:proofErr w:type="spellStart"/>
      <w:r w:rsidRPr="00A50C03">
        <w:t>monotherapies</w:t>
      </w:r>
      <w:proofErr w:type="spellEnd"/>
      <w:r w:rsidRPr="00A50C03">
        <w:t xml:space="preserve"> with AEDs. Seizures for which the patients were included were mainly described as refractory or resistant to conventional AEDs.</w:t>
      </w:r>
    </w:p>
    <w:p w:rsidR="00A50C03" w:rsidRPr="00A50C03" w:rsidRDefault="00A50C03" w:rsidP="0079758A">
      <w:proofErr w:type="spellStart"/>
      <w:r w:rsidRPr="00A50C03">
        <w:t>Clobazam</w:t>
      </w:r>
      <w:proofErr w:type="spellEnd"/>
      <w:r w:rsidRPr="00A50C03">
        <w:t xml:space="preserve"> was administered at the initial daily dose of about 0.25-0.35 mg/kg/day and was then progressively increased until seizures were controlled or toxicity developed. The final dose ranged from 0.5 to 2 mg/kg/day. </w:t>
      </w:r>
      <w:proofErr w:type="spellStart"/>
      <w:r w:rsidRPr="00A50C03">
        <w:t>Clobazam</w:t>
      </w:r>
      <w:proofErr w:type="spellEnd"/>
      <w:r w:rsidRPr="00A50C03">
        <w:t xml:space="preserve"> was discontinued when the maximum tolerated dose was reached without seizure improvement or due to adverse event.</w:t>
      </w:r>
    </w:p>
    <w:p w:rsidR="00A50C03" w:rsidRPr="00A50C03" w:rsidRDefault="00A50C03" w:rsidP="0079758A">
      <w:r w:rsidRPr="00A50C03">
        <w:t>The primary endpoints were the number of seizure free patients and the rate of patients with a seizure reduction higher than 50%, 75% or 90%, with a follow up duration ranging from 3 months to &gt;4 years. Given the variety of patients’ characteristics and of types of epilepsy, the results were rather homogeneous, with a seizure free rate of 9-25% (five studies; and another one at 41%), a ≥90% seizure reduction of 31% (one study), ≥75% seizure reduction of 11-41% (four studies), and ≥50% seizure reduction of 24-46% (five studies).</w:t>
      </w:r>
    </w:p>
    <w:p w:rsidR="00A50C03" w:rsidRPr="00A50C03" w:rsidRDefault="00A50C03" w:rsidP="0079758A">
      <w:r w:rsidRPr="00A50C03">
        <w:t xml:space="preserve">In the studies where </w:t>
      </w:r>
      <w:proofErr w:type="spellStart"/>
      <w:r w:rsidRPr="00A50C03">
        <w:t>clobazam</w:t>
      </w:r>
      <w:proofErr w:type="spellEnd"/>
      <w:r w:rsidRPr="00A50C03">
        <w:t xml:space="preserve"> was used as an add on therapy in intractable epilepsy in children; the seizure free rate reached between 9 and 41% and improvement (reduction by 50 or 75% of seizure frequency) was observed in 11 to 46% further patients. Further experience was analysed through studies mixing adults and children, of which a Canadian retrospective analysis collected up to 440 children. These studies further demonstrate the usefulness of </w:t>
      </w:r>
      <w:proofErr w:type="spellStart"/>
      <w:r w:rsidRPr="00A50C03">
        <w:t>clobazam</w:t>
      </w:r>
      <w:proofErr w:type="spellEnd"/>
      <w:r w:rsidRPr="00A50C03">
        <w:t xml:space="preserve"> as an add-on therapy in epilepsy.</w:t>
      </w:r>
    </w:p>
    <w:p w:rsidR="00A50C03" w:rsidRPr="00A50C03" w:rsidRDefault="00A50C03" w:rsidP="00230452">
      <w:r w:rsidRPr="00A50C03">
        <w:t xml:space="preserve">The evaluator generally agrees with the sponsor’s conclusion that the current data suggests that for patients with drug refractory epilepsy, when used as an add-on treatment, </w:t>
      </w:r>
      <w:proofErr w:type="spellStart"/>
      <w:r w:rsidRPr="00A50C03">
        <w:t>clobazam</w:t>
      </w:r>
      <w:proofErr w:type="spellEnd"/>
      <w:r w:rsidRPr="00A50C03">
        <w:t xml:space="preserve"> may reduce the frequency of seizures although it is not possible to quantify precisely the treatment effect or perhaps duration of treatment effect.</w:t>
      </w:r>
    </w:p>
    <w:p w:rsidR="00A50C03" w:rsidRPr="00A50C03" w:rsidRDefault="00A50C03" w:rsidP="0079758A">
      <w:r w:rsidRPr="00A50C03">
        <w:t>The evaluator notes that the current submission does not fulfil the current adopted guidelines for evaluation of an AED as add on therapy for refractory partial epilepsy. The study by Keene and colleagues</w:t>
      </w:r>
      <w:r w:rsidRPr="00A50C03">
        <w:rPr>
          <w:vertAlign w:val="superscript"/>
        </w:rPr>
        <w:footnoteReference w:id="50"/>
      </w:r>
      <w:r w:rsidRPr="00A50C03">
        <w:t xml:space="preserve"> cannot be considered as providing pivotal evidence. However, the sponsor has argued that LGS represents a worst case scenario for partial epilepsy and partial seizures in LGS patients were also improved by </w:t>
      </w:r>
      <w:proofErr w:type="spellStart"/>
      <w:r w:rsidRPr="00A50C03">
        <w:t>clobazam</w:t>
      </w:r>
      <w:proofErr w:type="spellEnd"/>
      <w:r w:rsidRPr="00A50C03">
        <w:t xml:space="preserve">. This contention is supported by current preclinical models of epilepsy, long term (largely open label studies) of </w:t>
      </w:r>
      <w:proofErr w:type="spellStart"/>
      <w:r w:rsidRPr="00A50C03">
        <w:t>clobazam</w:t>
      </w:r>
      <w:proofErr w:type="spellEnd"/>
      <w:r w:rsidRPr="00A50C03">
        <w:t xml:space="preserve"> as add on therapy for partial epilepsy, and consensus expert guidelines.</w:t>
      </w:r>
      <w:r w:rsidRPr="00A50C03">
        <w:rPr>
          <w:vertAlign w:val="superscript"/>
        </w:rPr>
        <w:footnoteReference w:id="51"/>
      </w:r>
      <w:r w:rsidRPr="00A50C03">
        <w:t xml:space="preserve"> The evaluator also notes that it is recommended by the EMA guidelines that LGS and partial epilepsy be studied separately mainly due to, presumably, the notion that drugs found effective in partial epilepsy may be ineffective in LGS rather than the other way round. The evaluator notes that while the one blinded, randomised study of </w:t>
      </w:r>
      <w:proofErr w:type="spellStart"/>
      <w:r w:rsidRPr="00A50C03">
        <w:t>clobazam</w:t>
      </w:r>
      <w:proofErr w:type="spellEnd"/>
      <w:r w:rsidRPr="00A50C03">
        <w:t xml:space="preserve"> as add on for refractory childhood partial epilepsy by Keene and colleagues</w:t>
      </w:r>
      <w:r w:rsidRPr="00A50C03">
        <w:rPr>
          <w:vertAlign w:val="superscript"/>
        </w:rPr>
        <w:footnoteReference w:id="52"/>
      </w:r>
      <w:r w:rsidRPr="00A50C03">
        <w:t xml:space="preserve"> is inadequate by modern standards, it does provide supportive evidence that </w:t>
      </w:r>
      <w:proofErr w:type="spellStart"/>
      <w:r w:rsidRPr="00A50C03">
        <w:t>clobazam</w:t>
      </w:r>
      <w:proofErr w:type="spellEnd"/>
      <w:r w:rsidRPr="00A50C03">
        <w:t xml:space="preserve"> has at least short term efficacy in seizure reduction. Therefore it is reasonable to assume on the evidence presented that </w:t>
      </w:r>
      <w:proofErr w:type="spellStart"/>
      <w:r w:rsidRPr="00A50C03">
        <w:t>clobazam</w:t>
      </w:r>
      <w:proofErr w:type="spellEnd"/>
      <w:r w:rsidRPr="00A50C03">
        <w:t xml:space="preserve"> does have efficacy for the short to medium term treatment of refractory partial epilepsies. </w:t>
      </w:r>
    </w:p>
    <w:p w:rsidR="00A50C03" w:rsidRPr="00A50C03" w:rsidRDefault="00A50C03" w:rsidP="00230452">
      <w:r w:rsidRPr="00A50C03">
        <w:t xml:space="preserve">On the other hand, the development of tolerance in patients treated with </w:t>
      </w:r>
      <w:proofErr w:type="spellStart"/>
      <w:r w:rsidRPr="00A50C03">
        <w:t>clobazam</w:t>
      </w:r>
      <w:proofErr w:type="spellEnd"/>
      <w:r w:rsidRPr="00A50C03">
        <w:t xml:space="preserve"> for refractory partial epilepsy is less well studied – particularly with regards to prevalence, time to onset and management. Open label studies generally support the development of tolerance within a few months of treatment initiation in partial epilepsy although tolerance may partially improve with further treatment titration. However, there are several reports of the late emergence of clinically relevant tolerance with </w:t>
      </w:r>
      <w:proofErr w:type="spellStart"/>
      <w:r w:rsidRPr="00A50C03">
        <w:t>clobazam</w:t>
      </w:r>
      <w:proofErr w:type="spellEnd"/>
      <w:r w:rsidRPr="00A50C03">
        <w:t xml:space="preserve"> as adjunctive therapy – this evidence seems to particularly relate to patients with partial or temporal lobe epilepsy.</w:t>
      </w:r>
      <w:r w:rsidRPr="00A50C03">
        <w:rPr>
          <w:vertAlign w:val="superscript"/>
        </w:rPr>
        <w:footnoteReference w:id="53"/>
      </w:r>
    </w:p>
    <w:p w:rsidR="00A50C03" w:rsidRPr="00A50C03" w:rsidRDefault="00A50C03" w:rsidP="0079758A">
      <w:r w:rsidRPr="00A50C03">
        <w:t>The evaluator notes that it has been asserted by some that even though tolerance might develop, this aspect may have been overemphasized in view of the fact that a long-term benefit figure of 28% could be expected without tolerance.</w:t>
      </w:r>
      <w:r w:rsidRPr="00A50C03">
        <w:rPr>
          <w:vertAlign w:val="superscript"/>
        </w:rPr>
        <w:footnoteReference w:id="54"/>
      </w:r>
      <w:r w:rsidRPr="00A50C03">
        <w:t xml:space="preserve"> Moreover, the evaluator could not find any significant examples of rebound epilepsy when </w:t>
      </w:r>
      <w:proofErr w:type="spellStart"/>
      <w:r w:rsidRPr="00A50C03">
        <w:t>clobazam</w:t>
      </w:r>
      <w:proofErr w:type="spellEnd"/>
      <w:r w:rsidRPr="00A50C03">
        <w:t xml:space="preserve"> was withdrawn slowly (for example, over a period of 3 weeks).</w:t>
      </w:r>
      <w:r w:rsidRPr="00A50C03">
        <w:rPr>
          <w:vertAlign w:val="superscript"/>
        </w:rPr>
        <w:footnoteReference w:id="55"/>
      </w:r>
    </w:p>
    <w:p w:rsidR="00A50C03" w:rsidRPr="00A50C03" w:rsidRDefault="00A50C03" w:rsidP="0079758A">
      <w:r w:rsidRPr="00A50C03">
        <w:t xml:space="preserve">The evaluator notes that currently in Australia another benzodiazepine (a 1,4- benzodiazepine), </w:t>
      </w:r>
      <w:proofErr w:type="spellStart"/>
      <w:r w:rsidRPr="00A50C03">
        <w:t>clonazepam</w:t>
      </w:r>
      <w:proofErr w:type="spellEnd"/>
      <w:r w:rsidRPr="00A50C03">
        <w:t xml:space="preserve">, is approved for use in “Neurologically proven epilepsy”. </w:t>
      </w:r>
      <w:proofErr w:type="spellStart"/>
      <w:r w:rsidRPr="00A50C03">
        <w:t>Clobazam</w:t>
      </w:r>
      <w:proofErr w:type="spellEnd"/>
      <w:r w:rsidRPr="00A50C03">
        <w:t xml:space="preserve"> may have a more favourable side effect profile than </w:t>
      </w:r>
      <w:proofErr w:type="spellStart"/>
      <w:r w:rsidRPr="00A50C03">
        <w:t>clonazepam</w:t>
      </w:r>
      <w:proofErr w:type="spellEnd"/>
      <w:r w:rsidRPr="00A50C03">
        <w:t xml:space="preserve"> for use in epilepsy.</w:t>
      </w:r>
      <w:r w:rsidRPr="00A50C03">
        <w:rPr>
          <w:vertAlign w:val="superscript"/>
        </w:rPr>
        <w:footnoteReference w:id="56"/>
      </w:r>
    </w:p>
    <w:p w:rsidR="00A50C03" w:rsidRPr="00A50C03" w:rsidRDefault="00A50C03" w:rsidP="0079758A">
      <w:pPr>
        <w:pStyle w:val="Heading2"/>
      </w:pPr>
      <w:bookmarkStart w:id="83" w:name="_Toc365022518"/>
      <w:bookmarkStart w:id="84" w:name="_Toc370902557"/>
      <w:bookmarkEnd w:id="79"/>
      <w:bookmarkEnd w:id="80"/>
      <w:bookmarkEnd w:id="81"/>
      <w:bookmarkEnd w:id="82"/>
      <w:r w:rsidRPr="00A50C03">
        <w:t>Clinical safety</w:t>
      </w:r>
      <w:bookmarkEnd w:id="83"/>
      <w:bookmarkEnd w:id="84"/>
    </w:p>
    <w:p w:rsidR="00A50C03" w:rsidRPr="00A50C03" w:rsidRDefault="00A50C03" w:rsidP="0079758A">
      <w:pPr>
        <w:pStyle w:val="Heading3"/>
      </w:pPr>
      <w:bookmarkStart w:id="85" w:name="_Toc272414659"/>
      <w:bookmarkStart w:id="86" w:name="_Toc290846284"/>
      <w:bookmarkStart w:id="87" w:name="_Toc332659656"/>
      <w:bookmarkStart w:id="88" w:name="_Toc365022519"/>
      <w:bookmarkStart w:id="89" w:name="_Toc370902558"/>
      <w:r w:rsidRPr="00A50C03">
        <w:t>Studies providing evaluable safety data</w:t>
      </w:r>
      <w:bookmarkEnd w:id="85"/>
      <w:bookmarkEnd w:id="86"/>
      <w:bookmarkEnd w:id="87"/>
      <w:bookmarkEnd w:id="88"/>
      <w:bookmarkEnd w:id="89"/>
    </w:p>
    <w:p w:rsidR="00A50C03" w:rsidRPr="00A50C03" w:rsidRDefault="00A50C03" w:rsidP="0079758A">
      <w:pPr>
        <w:pStyle w:val="Heading4"/>
      </w:pPr>
      <w:r w:rsidRPr="00A50C03">
        <w:t xml:space="preserve">General adverse events (AEs) </w:t>
      </w:r>
    </w:p>
    <w:p w:rsidR="00A50C03" w:rsidRPr="00A50C03" w:rsidRDefault="00A50C03" w:rsidP="0079758A">
      <w:pPr>
        <w:pStyle w:val="Heading5"/>
      </w:pPr>
      <w:r w:rsidRPr="00A50C03">
        <w:t>Keene et al.</w:t>
      </w:r>
      <w:r w:rsidRPr="00A50C03">
        <w:rPr>
          <w:vertAlign w:val="superscript"/>
        </w:rPr>
        <w:footnoteReference w:id="57"/>
      </w:r>
    </w:p>
    <w:p w:rsidR="00A50C03" w:rsidRPr="00A50C03" w:rsidRDefault="00A50C03" w:rsidP="0079758A">
      <w:r w:rsidRPr="00A50C03">
        <w:t xml:space="preserve">A side effects record sheet was reviewed at each clinic visit. </w:t>
      </w:r>
    </w:p>
    <w:p w:rsidR="00A50C03" w:rsidRPr="00A50C03" w:rsidRDefault="00A50C03" w:rsidP="0079758A">
      <w:pPr>
        <w:pStyle w:val="Heading5"/>
      </w:pPr>
      <w:r w:rsidRPr="00A50C03">
        <w:t xml:space="preserve">Canadian </w:t>
      </w:r>
      <w:r w:rsidR="0079758A">
        <w:t>s</w:t>
      </w:r>
      <w:r w:rsidRPr="00A50C03">
        <w:t xml:space="preserve">tudy </w:t>
      </w:r>
      <w:r w:rsidR="0079758A">
        <w:t>g</w:t>
      </w:r>
      <w:r w:rsidRPr="00A50C03">
        <w:t xml:space="preserve">roup for </w:t>
      </w:r>
      <w:r w:rsidR="0079758A">
        <w:t>c</w:t>
      </w:r>
      <w:r w:rsidRPr="00A50C03">
        <w:t xml:space="preserve">hildhood </w:t>
      </w:r>
      <w:r w:rsidR="0079758A">
        <w:t>e</w:t>
      </w:r>
      <w:r w:rsidRPr="00A50C03">
        <w:t>pilepsy</w:t>
      </w:r>
      <w:r w:rsidRPr="00A50C03">
        <w:rPr>
          <w:vertAlign w:val="superscript"/>
        </w:rPr>
        <w:footnoteReference w:id="58"/>
      </w:r>
      <w:r w:rsidRPr="00A50C03">
        <w:t xml:space="preserve"> and </w:t>
      </w:r>
      <w:proofErr w:type="spellStart"/>
      <w:r w:rsidR="0079758A">
        <w:t>B</w:t>
      </w:r>
      <w:r w:rsidRPr="00A50C03">
        <w:t>awden</w:t>
      </w:r>
      <w:proofErr w:type="spellEnd"/>
      <w:r w:rsidRPr="00A50C03">
        <w:t xml:space="preserve"> et al.</w:t>
      </w:r>
      <w:r w:rsidRPr="00A50C03">
        <w:rPr>
          <w:vertAlign w:val="superscript"/>
        </w:rPr>
        <w:footnoteReference w:id="59"/>
      </w:r>
    </w:p>
    <w:p w:rsidR="00A50C03" w:rsidRPr="00A50C03" w:rsidRDefault="00A50C03" w:rsidP="0079758A">
      <w:r w:rsidRPr="00A50C03">
        <w:t>Methods of AE determination: At study entry and at each follow up visit, a checklist of systemic and behavioural side effects was completed by the attending paediatric neurologist, based on spontaneous and elicited parental reports and physical examination. Behavioural side effects were characterised as externalising (for example, restless, aggressive) or internalising (for example, depressed, withdrawn) in nature. Symptoms were assessed using four levels of severity (none, mild, moderate, and severe). Side effects from this list were used in the analyses if they were ‘emergent events’, that is, if they emerged during treatment or increased in severity from baseline and were judged to be moderate or severe.</w:t>
      </w:r>
    </w:p>
    <w:p w:rsidR="00A50C03" w:rsidRPr="00A50C03" w:rsidRDefault="00A50C03" w:rsidP="0079758A">
      <w:pPr>
        <w:pStyle w:val="Heading5"/>
      </w:pPr>
      <w:proofErr w:type="spellStart"/>
      <w:r w:rsidRPr="00A50C03">
        <w:t>Conry</w:t>
      </w:r>
      <w:proofErr w:type="spellEnd"/>
      <w:r w:rsidRPr="00A50C03">
        <w:t xml:space="preserve"> et al.</w:t>
      </w:r>
      <w:r w:rsidRPr="00A50C03">
        <w:rPr>
          <w:vertAlign w:val="superscript"/>
        </w:rPr>
        <w:footnoteReference w:id="60"/>
      </w:r>
    </w:p>
    <w:p w:rsidR="00A50C03" w:rsidRPr="00A50C03" w:rsidRDefault="00A50C03" w:rsidP="0079758A">
      <w:r w:rsidRPr="00A50C03">
        <w:t>AE and SAE methods: The safety of CLB was evaluated by laboratory assessments (chemistry, haematology, and urinalysis), vital signs, electrocardiography (ECG), physical and neurologic examinations, and AE assessment. Treatment emergent AEs and serious adverse events (SAEs) were summarised by severity and relationship to study drug. The safety population consisted of all randomised patients who took at least one dose of the study drug.</w:t>
      </w:r>
      <w:bookmarkStart w:id="90" w:name="OLE_LINK1"/>
      <w:bookmarkEnd w:id="90"/>
    </w:p>
    <w:p w:rsidR="00A50C03" w:rsidRPr="00A50C03" w:rsidRDefault="00A50C03" w:rsidP="0079758A">
      <w:pPr>
        <w:pStyle w:val="Heading5"/>
      </w:pPr>
      <w:r w:rsidRPr="00A50C03">
        <w:t>Ng et al.</w:t>
      </w:r>
      <w:r w:rsidRPr="00A50C03">
        <w:rPr>
          <w:vertAlign w:val="superscript"/>
        </w:rPr>
        <w:footnoteReference w:id="61"/>
      </w:r>
    </w:p>
    <w:p w:rsidR="00A50C03" w:rsidRPr="00A50C03" w:rsidRDefault="00A50C03" w:rsidP="0079758A">
      <w:r w:rsidRPr="00A50C03">
        <w:t xml:space="preserve">AE and SAE evaluation was done in a manner similar to </w:t>
      </w:r>
      <w:proofErr w:type="spellStart"/>
      <w:r w:rsidRPr="00A50C03">
        <w:t>Conry</w:t>
      </w:r>
      <w:proofErr w:type="spellEnd"/>
      <w:r w:rsidRPr="00A50C03">
        <w:t xml:space="preserve"> et al.</w:t>
      </w:r>
      <w:r w:rsidRPr="00A50C03">
        <w:rPr>
          <w:vertAlign w:val="superscript"/>
        </w:rPr>
        <w:footnoteReference w:id="62"/>
      </w:r>
    </w:p>
    <w:p w:rsidR="00A50C03" w:rsidRPr="00A50C03" w:rsidRDefault="00A50C03" w:rsidP="0079758A">
      <w:pPr>
        <w:pStyle w:val="Heading5"/>
      </w:pPr>
      <w:r w:rsidRPr="00A50C03">
        <w:t>Rose et al.</w:t>
      </w:r>
      <w:r w:rsidRPr="00A50C03">
        <w:rPr>
          <w:vertAlign w:val="superscript"/>
        </w:rPr>
        <w:footnoteReference w:id="63"/>
      </w:r>
      <w:r w:rsidRPr="00A50C03">
        <w:t xml:space="preserve"> and </w:t>
      </w:r>
      <w:r w:rsidR="0079758A">
        <w:t>B</w:t>
      </w:r>
      <w:r w:rsidRPr="00A50C03">
        <w:t>ajaj et al.</w:t>
      </w:r>
      <w:r w:rsidRPr="00A50C03">
        <w:rPr>
          <w:vertAlign w:val="superscript"/>
        </w:rPr>
        <w:footnoteReference w:id="64"/>
      </w:r>
    </w:p>
    <w:p w:rsidR="00A50C03" w:rsidRPr="00A50C03" w:rsidRDefault="00A50C03" w:rsidP="0079758A">
      <w:r w:rsidRPr="00A50C03">
        <w:t>Assessors enquired after adverse effects.</w:t>
      </w:r>
    </w:p>
    <w:p w:rsidR="00A50C03" w:rsidRPr="00A50C03" w:rsidRDefault="00A50C03" w:rsidP="0079758A">
      <w:pPr>
        <w:pStyle w:val="Heading4"/>
      </w:pPr>
      <w:r w:rsidRPr="00A50C03">
        <w:t>AEs of particular interest, including neuropsychological measures</w:t>
      </w:r>
    </w:p>
    <w:p w:rsidR="00A50C03" w:rsidRPr="00A50C03" w:rsidRDefault="00A50C03" w:rsidP="0079758A">
      <w:pPr>
        <w:pStyle w:val="Heading5"/>
      </w:pPr>
      <w:r w:rsidRPr="00A50C03">
        <w:t xml:space="preserve">Canadian </w:t>
      </w:r>
      <w:r w:rsidR="0079758A">
        <w:t>s</w:t>
      </w:r>
      <w:r w:rsidRPr="00A50C03">
        <w:t xml:space="preserve">tudy </w:t>
      </w:r>
      <w:r w:rsidR="0079758A">
        <w:t>g</w:t>
      </w:r>
      <w:r w:rsidRPr="00A50C03">
        <w:t xml:space="preserve">roup for </w:t>
      </w:r>
      <w:r w:rsidR="0079758A">
        <w:t>c</w:t>
      </w:r>
      <w:r w:rsidRPr="00A50C03">
        <w:t xml:space="preserve">hildhood </w:t>
      </w:r>
      <w:r w:rsidR="0079758A">
        <w:t>e</w:t>
      </w:r>
      <w:r w:rsidRPr="00A50C03">
        <w:t>pilepsy</w:t>
      </w:r>
      <w:r w:rsidRPr="00A50C03">
        <w:rPr>
          <w:vertAlign w:val="superscript"/>
        </w:rPr>
        <w:footnoteReference w:id="65"/>
      </w:r>
      <w:r w:rsidRPr="00A50C03">
        <w:t xml:space="preserve"> and </w:t>
      </w:r>
      <w:proofErr w:type="spellStart"/>
      <w:r w:rsidRPr="00A50C03">
        <w:t>Bawden</w:t>
      </w:r>
      <w:proofErr w:type="spellEnd"/>
      <w:r w:rsidRPr="00A50C03">
        <w:t xml:space="preserve"> et al.</w:t>
      </w:r>
      <w:r w:rsidRPr="00A50C03">
        <w:rPr>
          <w:vertAlign w:val="superscript"/>
        </w:rPr>
        <w:footnoteReference w:id="66"/>
      </w:r>
    </w:p>
    <w:p w:rsidR="00A50C03" w:rsidRPr="00A50C03" w:rsidRDefault="00A50C03" w:rsidP="00E86BE8">
      <w:r w:rsidRPr="00A50C03">
        <w:t>Neuropsychological assessments - methods: Neuropsychological assessments were competed at 6 weeks and 12 months after patients began to take the study medication. Areas of psychological functioning were chosen for examination on the basis of previous research showing sensitivity to AED effects. Tests were administered and scored by psychological technicians who were blind to medication status. None of the children were post-</w:t>
      </w:r>
      <w:proofErr w:type="spellStart"/>
      <w:r w:rsidRPr="00A50C03">
        <w:t>ictal</w:t>
      </w:r>
      <w:proofErr w:type="spellEnd"/>
      <w:r w:rsidRPr="00A50C03">
        <w:t xml:space="preserve"> at the time of the psychological assessments. Intelligence was assessed using the Wechsler Intelligence Scale for Children-Revised (WISC-R) Memory was assessed using the Verbal Learning subtest of the Wide Range Assessment of Memory and Learning, Nonverbal Selective Reminding Test, Continuous Recognition Memory Test, and the Digit Span subtest of the WISC-R. Psychomotor speed was assessed with the Grooved Pegboard Test, subtest 14 of the Underlining Test, and the Coding subtest of the WISC-R. Attention was examined using the Freedom from Distractibility Factor Score, obtained by averaging scores on the Arithmetic, Coding, and Digit Span subtests from the WISC-R, and by using the average number of correct items on subtests 1, 2, 3, 4, 5, and 13 from the Underlining Test. A measure of impulsivity was obtained by averaging the numbers of errors of commission on these same subtests of the Underlining Test.</w:t>
      </w:r>
    </w:p>
    <w:p w:rsidR="00A50C03" w:rsidRPr="00A50C03" w:rsidRDefault="00A50C03" w:rsidP="00E86BE8">
      <w:pPr>
        <w:pStyle w:val="Heading4"/>
      </w:pPr>
      <w:r w:rsidRPr="00A50C03">
        <w:t>Laboratory tests</w:t>
      </w:r>
    </w:p>
    <w:p w:rsidR="00A50C03" w:rsidRPr="00A50C03" w:rsidRDefault="00A50C03" w:rsidP="00E86BE8">
      <w:pPr>
        <w:pStyle w:val="Heading5"/>
      </w:pPr>
      <w:r w:rsidRPr="00A50C03">
        <w:t>Keene et al.</w:t>
      </w:r>
      <w:r w:rsidRPr="00A50C03">
        <w:rPr>
          <w:vertAlign w:val="superscript"/>
        </w:rPr>
        <w:footnoteReference w:id="67"/>
      </w:r>
    </w:p>
    <w:p w:rsidR="00A50C03" w:rsidRPr="00A50C03" w:rsidRDefault="00A50C03" w:rsidP="00E86BE8">
      <w:r w:rsidRPr="00A50C03">
        <w:t xml:space="preserve">At the end of each maintenance phase, patients had a repeat EEG, Complete Blood Count (CBC), platelet count, </w:t>
      </w:r>
      <w:proofErr w:type="spellStart"/>
      <w:r w:rsidRPr="00A50C03">
        <w:t>aspartate</w:t>
      </w:r>
      <w:proofErr w:type="spellEnd"/>
      <w:r w:rsidRPr="00A50C03">
        <w:t xml:space="preserve"> </w:t>
      </w:r>
      <w:proofErr w:type="spellStart"/>
      <w:r w:rsidRPr="00A50C03">
        <w:t>transaminase</w:t>
      </w:r>
      <w:proofErr w:type="spellEnd"/>
      <w:r w:rsidRPr="00A50C03">
        <w:t xml:space="preserve"> (AST), blood urea nitrogen (BUN), thyroid stimulating hormone (TSH), total albumin (TA), </w:t>
      </w:r>
      <w:proofErr w:type="spellStart"/>
      <w:r w:rsidRPr="00A50C03">
        <w:t>thyroxine</w:t>
      </w:r>
      <w:proofErr w:type="spellEnd"/>
      <w:r w:rsidRPr="00A50C03">
        <w:t xml:space="preserve"> (T-3 or T-4), </w:t>
      </w:r>
      <w:proofErr w:type="spellStart"/>
      <w:r w:rsidRPr="00A50C03">
        <w:t>creatinine</w:t>
      </w:r>
      <w:proofErr w:type="spellEnd"/>
      <w:r w:rsidRPr="00A50C03">
        <w:t xml:space="preserve">, blood glucose, and Serum Anticonvulsant Level determination(s). No abnormal values for complete blood count, platelet count, urea, </w:t>
      </w:r>
      <w:proofErr w:type="spellStart"/>
      <w:r w:rsidRPr="00A50C03">
        <w:t>creatinine</w:t>
      </w:r>
      <w:proofErr w:type="spellEnd"/>
      <w:r w:rsidRPr="00A50C03">
        <w:t>, glucose, ALT, TSH, T-3 or T-4 occurred.</w:t>
      </w:r>
    </w:p>
    <w:p w:rsidR="00A50C03" w:rsidRPr="00A50C03" w:rsidRDefault="00A50C03" w:rsidP="00A50C03">
      <w:pPr>
        <w:keepNext/>
        <w:keepLines/>
        <w:numPr>
          <w:ilvl w:val="3"/>
          <w:numId w:val="29"/>
        </w:numPr>
        <w:spacing w:line="220" w:lineRule="atLeast"/>
        <w:outlineLvl w:val="4"/>
        <w:rPr>
          <w:rFonts w:eastAsia="Times New Roman"/>
          <w:b/>
          <w:bCs/>
          <w:i/>
          <w:color w:val="001523"/>
          <w:szCs w:val="21"/>
        </w:rPr>
      </w:pPr>
      <w:r w:rsidRPr="00A50C03">
        <w:rPr>
          <w:rFonts w:eastAsia="Times New Roman"/>
          <w:b/>
          <w:bCs/>
          <w:i/>
          <w:color w:val="001523"/>
          <w:szCs w:val="21"/>
        </w:rPr>
        <w:t xml:space="preserve">Canadian </w:t>
      </w:r>
      <w:r w:rsidR="00E86BE8">
        <w:rPr>
          <w:rFonts w:eastAsia="Times New Roman"/>
          <w:b/>
          <w:bCs/>
          <w:i/>
          <w:color w:val="001523"/>
          <w:szCs w:val="21"/>
        </w:rPr>
        <w:t>s</w:t>
      </w:r>
      <w:r w:rsidRPr="00A50C03">
        <w:rPr>
          <w:rFonts w:eastAsia="Times New Roman"/>
          <w:b/>
          <w:bCs/>
          <w:i/>
          <w:color w:val="001523"/>
          <w:szCs w:val="21"/>
        </w:rPr>
        <w:t xml:space="preserve">tudy </w:t>
      </w:r>
      <w:r w:rsidR="00E86BE8">
        <w:rPr>
          <w:rFonts w:eastAsia="Times New Roman"/>
          <w:b/>
          <w:bCs/>
          <w:i/>
          <w:color w:val="001523"/>
          <w:szCs w:val="21"/>
        </w:rPr>
        <w:t>g</w:t>
      </w:r>
      <w:r w:rsidRPr="00A50C03">
        <w:rPr>
          <w:rFonts w:eastAsia="Times New Roman"/>
          <w:b/>
          <w:bCs/>
          <w:i/>
          <w:color w:val="001523"/>
          <w:szCs w:val="21"/>
        </w:rPr>
        <w:t xml:space="preserve">roup for </w:t>
      </w:r>
      <w:r w:rsidR="00E86BE8">
        <w:rPr>
          <w:rFonts w:eastAsia="Times New Roman"/>
          <w:b/>
          <w:bCs/>
          <w:i/>
          <w:color w:val="001523"/>
          <w:szCs w:val="21"/>
        </w:rPr>
        <w:t>c</w:t>
      </w:r>
      <w:r w:rsidRPr="00A50C03">
        <w:rPr>
          <w:rFonts w:eastAsia="Times New Roman"/>
          <w:b/>
          <w:bCs/>
          <w:i/>
          <w:color w:val="001523"/>
          <w:szCs w:val="21"/>
        </w:rPr>
        <w:t xml:space="preserve">hildhood </w:t>
      </w:r>
      <w:r w:rsidR="00E86BE8">
        <w:rPr>
          <w:rFonts w:eastAsia="Times New Roman"/>
          <w:b/>
          <w:bCs/>
          <w:i/>
          <w:color w:val="001523"/>
          <w:szCs w:val="21"/>
        </w:rPr>
        <w:t>e</w:t>
      </w:r>
      <w:r w:rsidRPr="00A50C03">
        <w:rPr>
          <w:rFonts w:eastAsia="Times New Roman"/>
          <w:b/>
          <w:bCs/>
          <w:i/>
          <w:color w:val="001523"/>
          <w:szCs w:val="21"/>
        </w:rPr>
        <w:t>pilepsy</w:t>
      </w:r>
      <w:r w:rsidRPr="00A50C03">
        <w:rPr>
          <w:rFonts w:eastAsia="Times New Roman"/>
          <w:b/>
          <w:bCs/>
          <w:i/>
          <w:color w:val="001523"/>
          <w:szCs w:val="21"/>
          <w:vertAlign w:val="superscript"/>
        </w:rPr>
        <w:footnoteReference w:id="68"/>
      </w:r>
      <w:r w:rsidRPr="00A50C03">
        <w:rPr>
          <w:rFonts w:eastAsia="Times New Roman"/>
          <w:b/>
          <w:bCs/>
          <w:i/>
          <w:color w:val="001523"/>
          <w:szCs w:val="21"/>
        </w:rPr>
        <w:t xml:space="preserve"> and </w:t>
      </w:r>
      <w:proofErr w:type="spellStart"/>
      <w:r w:rsidRPr="00A50C03">
        <w:rPr>
          <w:rFonts w:eastAsia="Times New Roman"/>
          <w:b/>
          <w:bCs/>
          <w:i/>
          <w:color w:val="001523"/>
          <w:szCs w:val="21"/>
        </w:rPr>
        <w:t>Bawden</w:t>
      </w:r>
      <w:proofErr w:type="spellEnd"/>
      <w:r w:rsidRPr="00A50C03">
        <w:rPr>
          <w:rFonts w:eastAsia="Times New Roman"/>
          <w:b/>
          <w:bCs/>
          <w:i/>
          <w:color w:val="001523"/>
          <w:szCs w:val="21"/>
        </w:rPr>
        <w:t xml:space="preserve"> et al.</w:t>
      </w:r>
      <w:r w:rsidRPr="00A50C03">
        <w:rPr>
          <w:rFonts w:eastAsia="Times New Roman"/>
          <w:b/>
          <w:bCs/>
          <w:i/>
          <w:color w:val="001523"/>
          <w:szCs w:val="21"/>
          <w:vertAlign w:val="superscript"/>
        </w:rPr>
        <w:footnoteReference w:id="69"/>
      </w:r>
    </w:p>
    <w:p w:rsidR="00A50C03" w:rsidRPr="00A50C03" w:rsidRDefault="00A50C03" w:rsidP="00E86BE8">
      <w:r w:rsidRPr="00A50C03">
        <w:t xml:space="preserve">Methods: </w:t>
      </w:r>
      <w:proofErr w:type="spellStart"/>
      <w:r w:rsidRPr="00A50C03">
        <w:t>Predose</w:t>
      </w:r>
      <w:proofErr w:type="spellEnd"/>
      <w:r w:rsidRPr="00A50C03">
        <w:t xml:space="preserve"> serum AED levels at 6 weeks, 6 and 12 months after randomisation, at the time of discontinuation of medication, and whenever levels were judged desirable by the treating physician. Patients had a complete blood count, platelet count, and BUN, </w:t>
      </w:r>
      <w:proofErr w:type="spellStart"/>
      <w:r w:rsidRPr="00A50C03">
        <w:t>creatinine</w:t>
      </w:r>
      <w:proofErr w:type="spellEnd"/>
      <w:r w:rsidRPr="00A50C03">
        <w:t>, and AST. No other routine blood or urine screening was mandated in the absence of clinical signs or symptoms.</w:t>
      </w:r>
    </w:p>
    <w:p w:rsidR="00A50C03" w:rsidRPr="00A50C03" w:rsidRDefault="00A50C03" w:rsidP="00E86BE8">
      <w:r w:rsidRPr="00A50C03">
        <w:t xml:space="preserve">Results: No patient had screening laboratory tests that lead to discontinuation of study medication. One patient died from a </w:t>
      </w:r>
      <w:proofErr w:type="spellStart"/>
      <w:r w:rsidRPr="00A50C03">
        <w:t>ventriculoperitoneal</w:t>
      </w:r>
      <w:proofErr w:type="spellEnd"/>
      <w:r w:rsidRPr="00A50C03">
        <w:t xml:space="preserve"> shunt obstruction unrelated to study medication.</w:t>
      </w:r>
    </w:p>
    <w:p w:rsidR="00A50C03" w:rsidRPr="00A50C03" w:rsidRDefault="00A50C03" w:rsidP="00E86BE8">
      <w:pPr>
        <w:pStyle w:val="Heading5"/>
      </w:pPr>
      <w:r w:rsidRPr="00A50C03">
        <w:t>Ng et al.</w:t>
      </w:r>
      <w:r w:rsidRPr="00A50C03">
        <w:rPr>
          <w:vertAlign w:val="superscript"/>
        </w:rPr>
        <w:footnoteReference w:id="70"/>
      </w:r>
    </w:p>
    <w:p w:rsidR="00A50C03" w:rsidRPr="00A50C03" w:rsidRDefault="00A50C03" w:rsidP="00E86BE8">
      <w:r w:rsidRPr="00A50C03">
        <w:t>Methods: Safety assessments included laboratory assessments (chemistry, haematology, and urinalysis), physical and neurologic examinations, vital sign monitoring, and ECG monitoring.</w:t>
      </w:r>
    </w:p>
    <w:p w:rsidR="00A50C03" w:rsidRPr="00A50C03" w:rsidRDefault="00A50C03" w:rsidP="00E86BE8">
      <w:pPr>
        <w:pStyle w:val="Heading4"/>
      </w:pPr>
      <w:r w:rsidRPr="00A50C03">
        <w:t>Pivotal studies that assessed safety as a primary outcome</w:t>
      </w:r>
    </w:p>
    <w:p w:rsidR="00A50C03" w:rsidRPr="00A50C03" w:rsidRDefault="00A50C03" w:rsidP="00E86BE8">
      <w:r w:rsidRPr="00A50C03">
        <w:t xml:space="preserve">The study by </w:t>
      </w:r>
      <w:proofErr w:type="spellStart"/>
      <w:r w:rsidRPr="00A50C03">
        <w:t>Bawden</w:t>
      </w:r>
      <w:proofErr w:type="spellEnd"/>
      <w:r w:rsidRPr="00A50C03">
        <w:t xml:space="preserve"> and colleagues</w:t>
      </w:r>
      <w:r w:rsidRPr="00A50C03">
        <w:rPr>
          <w:vertAlign w:val="superscript"/>
        </w:rPr>
        <w:footnoteReference w:id="71"/>
      </w:r>
      <w:r w:rsidRPr="00A50C03">
        <w:t xml:space="preserve"> was a pivotal study that assessed safety as a primary outcome.</w:t>
      </w:r>
    </w:p>
    <w:p w:rsidR="00A50C03" w:rsidRPr="00A50C03" w:rsidRDefault="00A50C03" w:rsidP="00E86BE8">
      <w:pPr>
        <w:pStyle w:val="Heading4"/>
      </w:pPr>
      <w:r w:rsidRPr="00A50C03">
        <w:t>Dose response and non pivotal efficacy studies</w:t>
      </w:r>
    </w:p>
    <w:p w:rsidR="00A50C03" w:rsidRPr="00A50C03" w:rsidRDefault="00A50C03" w:rsidP="00E86BE8">
      <w:r w:rsidRPr="00A50C03">
        <w:t xml:space="preserve">No dose response data available in supportive studies. </w:t>
      </w:r>
    </w:p>
    <w:p w:rsidR="00A50C03" w:rsidRPr="00A50C03" w:rsidRDefault="00A50C03" w:rsidP="00E86BE8">
      <w:pPr>
        <w:pStyle w:val="Heading4"/>
      </w:pPr>
      <w:r w:rsidRPr="00A50C03">
        <w:t>Other studies evaluable for safety only</w:t>
      </w:r>
    </w:p>
    <w:p w:rsidR="00A50C03" w:rsidRPr="00A50C03" w:rsidRDefault="00A50C03" w:rsidP="00E86BE8">
      <w:r w:rsidRPr="00A50C03">
        <w:t xml:space="preserve">These studies are not included in the efficacy analysis as they were primarily designed to assess tolerability/safety of </w:t>
      </w:r>
      <w:proofErr w:type="spellStart"/>
      <w:r w:rsidRPr="00A50C03">
        <w:t>clobazam</w:t>
      </w:r>
      <w:proofErr w:type="spellEnd"/>
      <w:r w:rsidRPr="00A50C03">
        <w:t>.</w:t>
      </w:r>
    </w:p>
    <w:p w:rsidR="00A50C03" w:rsidRPr="00A50C03" w:rsidRDefault="00A50C03" w:rsidP="00E86BE8">
      <w:pPr>
        <w:pStyle w:val="Heading5"/>
      </w:pPr>
      <w:proofErr w:type="spellStart"/>
      <w:r w:rsidRPr="00A50C03">
        <w:t>Patat</w:t>
      </w:r>
      <w:proofErr w:type="spellEnd"/>
      <w:r w:rsidRPr="00A50C03">
        <w:t xml:space="preserve"> et al.</w:t>
      </w:r>
      <w:r w:rsidRPr="00A50C03">
        <w:rPr>
          <w:vertAlign w:val="superscript"/>
        </w:rPr>
        <w:footnoteReference w:id="72"/>
      </w:r>
    </w:p>
    <w:p w:rsidR="00A50C03" w:rsidRPr="00A50C03" w:rsidRDefault="00A50C03" w:rsidP="00E86BE8">
      <w:r w:rsidRPr="00A50C03">
        <w:t xml:space="preserve">The effects on memory and psychomotor performance and the subjective effects of three </w:t>
      </w:r>
      <w:proofErr w:type="spellStart"/>
      <w:r w:rsidRPr="00A50C03">
        <w:t>anxiolytic</w:t>
      </w:r>
      <w:proofErr w:type="spellEnd"/>
      <w:r w:rsidRPr="00A50C03">
        <w:t xml:space="preserve"> benzodiazepines (</w:t>
      </w:r>
      <w:proofErr w:type="spellStart"/>
      <w:r w:rsidRPr="00A50C03">
        <w:t>lorazepam</w:t>
      </w:r>
      <w:proofErr w:type="spellEnd"/>
      <w:r w:rsidRPr="00A50C03">
        <w:t xml:space="preserve"> 2 mg, diazepam 10 mg and </w:t>
      </w:r>
      <w:proofErr w:type="spellStart"/>
      <w:r w:rsidRPr="00A50C03">
        <w:t>clobazam</w:t>
      </w:r>
      <w:proofErr w:type="spellEnd"/>
      <w:r w:rsidRPr="00A50C03">
        <w:t xml:space="preserve"> 20 mg orally) have been evaluated in a double blind, placebo controlled, crossover study in 10 healthy volunteers. At each session, measurements were made prior to and + 3.5 h after drug administration, except in the case of REY’s test, which was presented at H + 1 h (learning) and was evaluated at H + 8 h and at H + 24 h (delayed recall). Single clinical doses of diazepam and </w:t>
      </w:r>
      <w:proofErr w:type="spellStart"/>
      <w:r w:rsidRPr="00A50C03">
        <w:t>lorazepam</w:t>
      </w:r>
      <w:proofErr w:type="spellEnd"/>
      <w:r w:rsidRPr="00A50C03">
        <w:t xml:space="preserve"> caused </w:t>
      </w:r>
      <w:proofErr w:type="spellStart"/>
      <w:r w:rsidRPr="00A50C03">
        <w:t>anterograde</w:t>
      </w:r>
      <w:proofErr w:type="spellEnd"/>
      <w:r w:rsidRPr="00A50C03">
        <w:t xml:space="preserve"> amnesia by disturbing acquisition, consolidation and retrieval. </w:t>
      </w:r>
      <w:proofErr w:type="spellStart"/>
      <w:r w:rsidRPr="00A50C03">
        <w:t>Clobazam</w:t>
      </w:r>
      <w:proofErr w:type="spellEnd"/>
      <w:r w:rsidRPr="00A50C03">
        <w:t xml:space="preserve"> did not impair memory. </w:t>
      </w:r>
      <w:proofErr w:type="spellStart"/>
      <w:r w:rsidRPr="00A50C03">
        <w:t>Lorazepam</w:t>
      </w:r>
      <w:proofErr w:type="spellEnd"/>
      <w:r w:rsidRPr="00A50C03">
        <w:t xml:space="preserve"> impaired performances in all the tests used to evaluate perception, immediate memory, reaction time, psychomotor skill and intellectual capacity. Diazepam caused a decrease in cortical arousal and the speed of perception of visual stimuli, whereas </w:t>
      </w:r>
      <w:proofErr w:type="spellStart"/>
      <w:r w:rsidRPr="00A50C03">
        <w:t>clobazam</w:t>
      </w:r>
      <w:proofErr w:type="spellEnd"/>
      <w:r w:rsidRPr="00A50C03">
        <w:t xml:space="preserve"> increased reaction time and reduced cortical arousal. </w:t>
      </w:r>
      <w:proofErr w:type="spellStart"/>
      <w:r w:rsidRPr="00A50C03">
        <w:t>Lorazepam</w:t>
      </w:r>
      <w:proofErr w:type="spellEnd"/>
      <w:r w:rsidRPr="00A50C03">
        <w:t xml:space="preserve"> caused a significant degradation of performance relative to the other two treatments.</w:t>
      </w:r>
    </w:p>
    <w:p w:rsidR="00A50C03" w:rsidRPr="00A50C03" w:rsidRDefault="00A50C03" w:rsidP="00E86BE8">
      <w:pPr>
        <w:pStyle w:val="Heading5"/>
      </w:pPr>
      <w:proofErr w:type="spellStart"/>
      <w:r w:rsidRPr="00A50C03">
        <w:t>Patat</w:t>
      </w:r>
      <w:proofErr w:type="spellEnd"/>
      <w:r w:rsidRPr="00A50C03">
        <w:t xml:space="preserve"> et al.</w:t>
      </w:r>
      <w:r w:rsidRPr="00A50C03">
        <w:rPr>
          <w:vertAlign w:val="superscript"/>
        </w:rPr>
        <w:footnoteReference w:id="73"/>
      </w:r>
    </w:p>
    <w:p w:rsidR="00A50C03" w:rsidRPr="00A50C03" w:rsidRDefault="00A50C03" w:rsidP="00E86BE8">
      <w:r w:rsidRPr="00A50C03">
        <w:t>The effects of various benzodiazepine tranquillizers (</w:t>
      </w:r>
      <w:proofErr w:type="spellStart"/>
      <w:r w:rsidRPr="00A50C03">
        <w:t>clobazam</w:t>
      </w:r>
      <w:proofErr w:type="spellEnd"/>
      <w:r w:rsidRPr="00A50C03">
        <w:t xml:space="preserve"> 20 mg, </w:t>
      </w:r>
      <w:proofErr w:type="spellStart"/>
      <w:r w:rsidRPr="00A50C03">
        <w:t>bromazepam</w:t>
      </w:r>
      <w:proofErr w:type="spellEnd"/>
      <w:r w:rsidRPr="00A50C03">
        <w:t xml:space="preserve"> 6 mg and </w:t>
      </w:r>
      <w:proofErr w:type="spellStart"/>
      <w:r w:rsidRPr="00A50C03">
        <w:t>lorazepam</w:t>
      </w:r>
      <w:proofErr w:type="spellEnd"/>
      <w:r w:rsidRPr="00A50C03">
        <w:t xml:space="preserve"> 2 mg) were investigated by </w:t>
      </w:r>
      <w:proofErr w:type="spellStart"/>
      <w:r w:rsidRPr="00A50C03">
        <w:t>posturography</w:t>
      </w:r>
      <w:proofErr w:type="spellEnd"/>
      <w:r w:rsidRPr="00A50C03">
        <w:t xml:space="preserve"> in 16 subjects in a controlled trial. Twelve received each of the three </w:t>
      </w:r>
      <w:proofErr w:type="spellStart"/>
      <w:r w:rsidRPr="00A50C03">
        <w:t>anxiolytics</w:t>
      </w:r>
      <w:proofErr w:type="spellEnd"/>
      <w:r w:rsidRPr="00A50C03">
        <w:t xml:space="preserve"> for 1 week in a crossover design, four received placebo for 1 week during the three successive treatment periods. A </w:t>
      </w:r>
      <w:proofErr w:type="spellStart"/>
      <w:r w:rsidRPr="00A50C03">
        <w:t>pharmacodynamic</w:t>
      </w:r>
      <w:proofErr w:type="spellEnd"/>
      <w:r w:rsidRPr="00A50C03">
        <w:t xml:space="preserve"> study was carried out after the first administration, and another assessment was done after 1 week of treatment. The first administration of </w:t>
      </w:r>
      <w:proofErr w:type="spellStart"/>
      <w:r w:rsidRPr="00A50C03">
        <w:t>lorazepam</w:t>
      </w:r>
      <w:proofErr w:type="spellEnd"/>
      <w:r w:rsidRPr="00A50C03">
        <w:t xml:space="preserve"> caused the most marked disturbances of body sway (increase of spectral energies, length and amplitude of the </w:t>
      </w:r>
      <w:proofErr w:type="spellStart"/>
      <w:r w:rsidRPr="00A50C03">
        <w:t>stabilogram</w:t>
      </w:r>
      <w:proofErr w:type="spellEnd"/>
      <w:r w:rsidRPr="00A50C03">
        <w:t xml:space="preserve">). The first administration of </w:t>
      </w:r>
      <w:proofErr w:type="spellStart"/>
      <w:r w:rsidRPr="00A50C03">
        <w:t>lorazepam</w:t>
      </w:r>
      <w:proofErr w:type="spellEnd"/>
      <w:r w:rsidRPr="00A50C03">
        <w:t xml:space="preserve"> was also accompanied by an increase of the </w:t>
      </w:r>
      <w:proofErr w:type="spellStart"/>
      <w:r w:rsidRPr="00A50C03">
        <w:t>posturographic</w:t>
      </w:r>
      <w:proofErr w:type="spellEnd"/>
      <w:r w:rsidRPr="00A50C03">
        <w:t xml:space="preserve"> parameters, although less marked. Administration of </w:t>
      </w:r>
      <w:proofErr w:type="spellStart"/>
      <w:r w:rsidRPr="00A50C03">
        <w:t>clobazam</w:t>
      </w:r>
      <w:proofErr w:type="spellEnd"/>
      <w:r w:rsidRPr="00A50C03">
        <w:t xml:space="preserve"> did not produce any impairment of equilibrium, indicating that it is devoid of any sedative effect measurable by </w:t>
      </w:r>
      <w:proofErr w:type="spellStart"/>
      <w:r w:rsidRPr="00A50C03">
        <w:t>posturography</w:t>
      </w:r>
      <w:proofErr w:type="spellEnd"/>
      <w:r w:rsidRPr="00A50C03">
        <w:t>. No changes of the postural sway can be detected on the measurement recorded 10 h after the last dose of 1 week’s treatment.</w:t>
      </w:r>
    </w:p>
    <w:p w:rsidR="00A50C03" w:rsidRPr="00A50C03" w:rsidRDefault="00A50C03" w:rsidP="00E86BE8">
      <w:pPr>
        <w:pStyle w:val="Heading5"/>
      </w:pPr>
      <w:r w:rsidRPr="00A50C03">
        <w:t>Trimble et al.</w:t>
      </w:r>
      <w:r w:rsidRPr="00A50C03">
        <w:rPr>
          <w:vertAlign w:val="superscript"/>
        </w:rPr>
        <w:footnoteReference w:id="74"/>
      </w:r>
    </w:p>
    <w:p w:rsidR="00A50C03" w:rsidRPr="00A50C03" w:rsidRDefault="00A50C03" w:rsidP="00E86BE8">
      <w:r w:rsidRPr="00A50C03">
        <w:t xml:space="preserve">Healthy volunteers as well as patients with epilepsy were studied for 2 weeks in a double blind crossover design to determine the effect of anticonvulsant drugs on cognitive function and behaviour. The healthy volunteers experienced significant deficits in performance with the four drugs examined, </w:t>
      </w:r>
      <w:proofErr w:type="spellStart"/>
      <w:r w:rsidRPr="00A50C03">
        <w:t>phenytoin</w:t>
      </w:r>
      <w:proofErr w:type="spellEnd"/>
      <w:r w:rsidRPr="00A50C03">
        <w:t xml:space="preserve">, </w:t>
      </w:r>
      <w:proofErr w:type="spellStart"/>
      <w:r w:rsidRPr="00A50C03">
        <w:t>carbamazepine</w:t>
      </w:r>
      <w:proofErr w:type="spellEnd"/>
      <w:r w:rsidRPr="00A50C03">
        <w:t xml:space="preserve">, sodium </w:t>
      </w:r>
      <w:proofErr w:type="spellStart"/>
      <w:r w:rsidRPr="00A50C03">
        <w:t>valproate</w:t>
      </w:r>
      <w:proofErr w:type="spellEnd"/>
      <w:r w:rsidRPr="00A50C03">
        <w:t xml:space="preserve">, and </w:t>
      </w:r>
      <w:proofErr w:type="spellStart"/>
      <w:r w:rsidRPr="00A50C03">
        <w:t>clobazam</w:t>
      </w:r>
      <w:proofErr w:type="spellEnd"/>
      <w:r w:rsidRPr="00A50C03">
        <w:t xml:space="preserve">. The most wide spread changes were seen with </w:t>
      </w:r>
      <w:proofErr w:type="spellStart"/>
      <w:r w:rsidRPr="00A50C03">
        <w:t>phenytoin</w:t>
      </w:r>
      <w:proofErr w:type="spellEnd"/>
      <w:r w:rsidRPr="00A50C03">
        <w:t xml:space="preserve">, </w:t>
      </w:r>
      <w:proofErr w:type="spellStart"/>
      <w:r w:rsidRPr="00A50C03">
        <w:t>carbamazepine</w:t>
      </w:r>
      <w:proofErr w:type="spellEnd"/>
      <w:r w:rsidRPr="00A50C03">
        <w:t xml:space="preserve">, sodium </w:t>
      </w:r>
      <w:proofErr w:type="spellStart"/>
      <w:r w:rsidRPr="00A50C03">
        <w:t>valproate</w:t>
      </w:r>
      <w:proofErr w:type="spellEnd"/>
      <w:r w:rsidRPr="00A50C03">
        <w:t xml:space="preserve">, and </w:t>
      </w:r>
      <w:proofErr w:type="spellStart"/>
      <w:r w:rsidRPr="00A50C03">
        <w:t>clobazam</w:t>
      </w:r>
      <w:proofErr w:type="spellEnd"/>
      <w:r w:rsidRPr="00A50C03">
        <w:t xml:space="preserve"> did not interfere with tests of memory function. The results of the patients’ studies showed that:</w:t>
      </w:r>
    </w:p>
    <w:p w:rsidR="00A50C03" w:rsidRPr="00A50C03" w:rsidRDefault="00A50C03" w:rsidP="00E86BE8">
      <w:pPr>
        <w:pStyle w:val="Numberbullet0"/>
        <w:numPr>
          <w:ilvl w:val="0"/>
          <w:numId w:val="45"/>
        </w:numPr>
      </w:pPr>
      <w:r w:rsidRPr="00A50C03">
        <w:t xml:space="preserve">when anticonvulsants are reduced, patients receiving </w:t>
      </w:r>
      <w:proofErr w:type="spellStart"/>
      <w:r w:rsidRPr="00A50C03">
        <w:t>polytherapy</w:t>
      </w:r>
      <w:proofErr w:type="spellEnd"/>
      <w:r w:rsidRPr="00A50C03">
        <w:t xml:space="preserve"> improve their cognitive function;</w:t>
      </w:r>
    </w:p>
    <w:p w:rsidR="00A50C03" w:rsidRPr="00A50C03" w:rsidRDefault="00A50C03" w:rsidP="00E86BE8">
      <w:pPr>
        <w:pStyle w:val="Numberbullet0"/>
        <w:numPr>
          <w:ilvl w:val="0"/>
          <w:numId w:val="45"/>
        </w:numPr>
      </w:pPr>
      <w:r w:rsidRPr="00A50C03">
        <w:t>patients with high serum levels of anticonvulsant drugs demonstrated more cognitive impairment than those with low levels;</w:t>
      </w:r>
    </w:p>
    <w:p w:rsidR="00A50C03" w:rsidRPr="00A50C03" w:rsidRDefault="00A50C03" w:rsidP="00E86BE8">
      <w:pPr>
        <w:pStyle w:val="Numberbullet0"/>
        <w:numPr>
          <w:ilvl w:val="0"/>
          <w:numId w:val="45"/>
        </w:numPr>
      </w:pPr>
      <w:r w:rsidRPr="00A50C03">
        <w:t xml:space="preserve">when </w:t>
      </w:r>
      <w:proofErr w:type="spellStart"/>
      <w:r w:rsidRPr="00A50C03">
        <w:t>carbamazepine</w:t>
      </w:r>
      <w:proofErr w:type="spellEnd"/>
      <w:r w:rsidRPr="00A50C03">
        <w:t xml:space="preserve"> is substituted for another anticonvulsant, cognitive function is improved; and</w:t>
      </w:r>
    </w:p>
    <w:p w:rsidR="00A50C03" w:rsidRPr="00A50C03" w:rsidRDefault="00A50C03" w:rsidP="00E86BE8">
      <w:pPr>
        <w:pStyle w:val="Numberbullet0"/>
        <w:numPr>
          <w:ilvl w:val="0"/>
          <w:numId w:val="45"/>
        </w:numPr>
      </w:pPr>
      <w:r w:rsidRPr="00A50C03">
        <w:t xml:space="preserve">in patients receiving </w:t>
      </w:r>
      <w:proofErr w:type="spellStart"/>
      <w:r w:rsidRPr="00A50C03">
        <w:t>monotherapy</w:t>
      </w:r>
      <w:proofErr w:type="spellEnd"/>
      <w:r w:rsidRPr="00A50C03">
        <w:t>, high serum levels are linked to greater cognitive impairment than lower levels and the profile of changes differs between the drugs.</w:t>
      </w:r>
    </w:p>
    <w:p w:rsidR="00A50C03" w:rsidRPr="00A50C03" w:rsidRDefault="00A50C03" w:rsidP="00E86BE8">
      <w:pPr>
        <w:pStyle w:val="Heading3"/>
      </w:pPr>
      <w:bookmarkStart w:id="91" w:name="_Toc241374318"/>
      <w:bookmarkStart w:id="92" w:name="_Ref271196630"/>
      <w:bookmarkStart w:id="93" w:name="_Toc272414662"/>
      <w:bookmarkStart w:id="94" w:name="_Toc290846300"/>
      <w:bookmarkStart w:id="95" w:name="_Toc332659659"/>
      <w:bookmarkStart w:id="96" w:name="_Toc365022520"/>
      <w:bookmarkStart w:id="97" w:name="_Toc370902559"/>
      <w:r w:rsidRPr="00A50C03">
        <w:t>Patient exposure</w:t>
      </w:r>
      <w:bookmarkEnd w:id="91"/>
      <w:bookmarkEnd w:id="92"/>
      <w:bookmarkEnd w:id="93"/>
      <w:bookmarkEnd w:id="94"/>
      <w:bookmarkEnd w:id="95"/>
      <w:bookmarkEnd w:id="96"/>
      <w:bookmarkEnd w:id="97"/>
    </w:p>
    <w:p w:rsidR="00A50C03" w:rsidRPr="00A50C03" w:rsidRDefault="00A50C03" w:rsidP="00E86BE8">
      <w:r w:rsidRPr="00A50C03">
        <w:t xml:space="preserve">The literature review identifies 2236 subjects exposed to </w:t>
      </w:r>
      <w:proofErr w:type="spellStart"/>
      <w:r w:rsidRPr="00A50C03">
        <w:t>clobazam</w:t>
      </w:r>
      <w:proofErr w:type="spellEnd"/>
      <w:r w:rsidRPr="00A50C03">
        <w:t xml:space="preserve">. However, exposure information was unknown in the Psychiatry studies in 389/1484 patients, leaving only 1095 patients with exposure information in those studies. Exposure is shown in Table 11. </w:t>
      </w:r>
    </w:p>
    <w:p w:rsidR="00A50C03" w:rsidRPr="00A50C03" w:rsidRDefault="00A50C03" w:rsidP="00E86BE8">
      <w:pPr>
        <w:pStyle w:val="TableTitle"/>
        <w:rPr>
          <w:lang w:val="en-GB"/>
        </w:rPr>
      </w:pPr>
      <w:r w:rsidRPr="00A50C03">
        <w:t xml:space="preserve">Table 11: Estimated </w:t>
      </w:r>
      <w:proofErr w:type="spellStart"/>
      <w:r w:rsidRPr="00A50C03">
        <w:t>clobazam</w:t>
      </w:r>
      <w:proofErr w:type="spellEnd"/>
      <w:r w:rsidRPr="00A50C03">
        <w:t xml:space="preserve"> exposures in unique subjects.</w:t>
      </w:r>
    </w:p>
    <w:p w:rsidR="00A50C03" w:rsidRPr="00A50C03" w:rsidRDefault="00A50C03" w:rsidP="00E86BE8">
      <w:r>
        <w:rPr>
          <w:noProof/>
          <w:lang w:eastAsia="en-AU"/>
        </w:rPr>
        <w:drawing>
          <wp:inline distT="0" distB="0" distL="0" distR="0">
            <wp:extent cx="5340350" cy="1119505"/>
            <wp:effectExtent l="19050" t="0" r="0" b="0"/>
            <wp:docPr id="187" name="Picture 187" descr="Table 11: Estimated clobazam exposures in unique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Table 11: Estimated clobazam exposures in unique subjects."/>
                    <pic:cNvPicPr>
                      <a:picLocks noChangeAspect="1" noChangeArrowheads="1"/>
                    </pic:cNvPicPr>
                  </pic:nvPicPr>
                  <pic:blipFill>
                    <a:blip r:embed="rId31" cstate="print"/>
                    <a:srcRect/>
                    <a:stretch>
                      <a:fillRect/>
                    </a:stretch>
                  </pic:blipFill>
                  <pic:spPr bwMode="auto">
                    <a:xfrm>
                      <a:off x="0" y="0"/>
                      <a:ext cx="5340350" cy="1119505"/>
                    </a:xfrm>
                    <a:prstGeom prst="rect">
                      <a:avLst/>
                    </a:prstGeom>
                    <a:noFill/>
                    <a:ln w="9525">
                      <a:noFill/>
                      <a:miter lim="800000"/>
                      <a:headEnd/>
                      <a:tailEnd/>
                    </a:ln>
                  </pic:spPr>
                </pic:pic>
              </a:graphicData>
            </a:graphic>
          </wp:inline>
        </w:drawing>
      </w:r>
    </w:p>
    <w:p w:rsidR="00A50C03" w:rsidRPr="00A50C03" w:rsidRDefault="00A50C03" w:rsidP="00E86BE8">
      <w:r w:rsidRPr="00A50C03">
        <w:t xml:space="preserve">In the Phase II/III trials, subjects were exposed to </w:t>
      </w:r>
      <w:proofErr w:type="spellStart"/>
      <w:r w:rsidRPr="00A50C03">
        <w:t>clobazam</w:t>
      </w:r>
      <w:proofErr w:type="spellEnd"/>
      <w:r w:rsidRPr="00A50C03">
        <w:t xml:space="preserve"> at doses in the sponsor’s proposed recommended range (considering either the modal or maximum dose) and included monitoring for other AED levels. The potential clinical toxicity of </w:t>
      </w:r>
      <w:proofErr w:type="spellStart"/>
      <w:r w:rsidRPr="00A50C03">
        <w:t>clobazam</w:t>
      </w:r>
      <w:proofErr w:type="spellEnd"/>
      <w:r w:rsidRPr="00A50C03">
        <w:t xml:space="preserve"> with other AEDs has been examined</w:t>
      </w:r>
      <w:r w:rsidRPr="00A50C03">
        <w:rPr>
          <w:vertAlign w:val="superscript"/>
        </w:rPr>
        <w:footnoteReference w:id="75"/>
      </w:r>
      <w:r w:rsidRPr="00A50C03">
        <w:t xml:space="preserve"> and potential interactions between </w:t>
      </w:r>
      <w:proofErr w:type="spellStart"/>
      <w:r w:rsidRPr="00A50C03">
        <w:t>clobazam</w:t>
      </w:r>
      <w:proofErr w:type="spellEnd"/>
      <w:r w:rsidRPr="00A50C03">
        <w:t xml:space="preserve"> and </w:t>
      </w:r>
      <w:proofErr w:type="spellStart"/>
      <w:r w:rsidRPr="00A50C03">
        <w:t>phenobarbitone</w:t>
      </w:r>
      <w:proofErr w:type="spellEnd"/>
      <w:r w:rsidRPr="00A50C03">
        <w:t xml:space="preserve">, </w:t>
      </w:r>
      <w:proofErr w:type="spellStart"/>
      <w:r w:rsidRPr="00A50C03">
        <w:t>phenytoin</w:t>
      </w:r>
      <w:proofErr w:type="spellEnd"/>
      <w:r w:rsidRPr="00A50C03">
        <w:t xml:space="preserve">, </w:t>
      </w:r>
      <w:proofErr w:type="spellStart"/>
      <w:r w:rsidRPr="00A50C03">
        <w:t>felbamate</w:t>
      </w:r>
      <w:proofErr w:type="spellEnd"/>
      <w:r w:rsidRPr="00A50C03">
        <w:t xml:space="preserve">, </w:t>
      </w:r>
      <w:proofErr w:type="spellStart"/>
      <w:r w:rsidRPr="00A50C03">
        <w:t>valproate</w:t>
      </w:r>
      <w:proofErr w:type="spellEnd"/>
      <w:r w:rsidRPr="00A50C03">
        <w:t xml:space="preserve">, </w:t>
      </w:r>
      <w:proofErr w:type="spellStart"/>
      <w:r w:rsidRPr="00A50C03">
        <w:t>oxcarbazepine</w:t>
      </w:r>
      <w:proofErr w:type="spellEnd"/>
      <w:r w:rsidRPr="00A50C03">
        <w:t xml:space="preserve"> and </w:t>
      </w:r>
      <w:proofErr w:type="spellStart"/>
      <w:r w:rsidRPr="00A50C03">
        <w:t>carbamazepine</w:t>
      </w:r>
      <w:proofErr w:type="spellEnd"/>
      <w:r w:rsidRPr="00A50C03">
        <w:t xml:space="preserve"> have been reported.</w:t>
      </w:r>
      <w:r w:rsidRPr="00A50C03">
        <w:rPr>
          <w:vertAlign w:val="superscript"/>
        </w:rPr>
        <w:footnoteReference w:id="76"/>
      </w:r>
      <w:r w:rsidRPr="00A50C03">
        <w:t xml:space="preserve"> </w:t>
      </w:r>
    </w:p>
    <w:p w:rsidR="00A50C03" w:rsidRPr="00A50C03" w:rsidRDefault="00A50C03" w:rsidP="00E86BE8">
      <w:pPr>
        <w:pStyle w:val="Heading4"/>
      </w:pPr>
      <w:r w:rsidRPr="00A50C03">
        <w:t>Demographics</w:t>
      </w:r>
    </w:p>
    <w:p w:rsidR="00A50C03" w:rsidRPr="00A50C03" w:rsidRDefault="00A50C03" w:rsidP="00E86BE8">
      <w:r w:rsidRPr="00A50C03">
        <w:t xml:space="preserve">In Phase I trials, the age range was 18-74 years. In the Phase II/III trials, the age range was 1.8 to 54 years. The mean age in the study by </w:t>
      </w:r>
      <w:proofErr w:type="spellStart"/>
      <w:r w:rsidRPr="00A50C03">
        <w:t>Conry</w:t>
      </w:r>
      <w:proofErr w:type="spellEnd"/>
      <w:r w:rsidRPr="00A50C03">
        <w:t xml:space="preserve"> and colleagues</w:t>
      </w:r>
      <w:r w:rsidRPr="00A50C03">
        <w:rPr>
          <w:vertAlign w:val="superscript"/>
        </w:rPr>
        <w:footnoteReference w:id="77"/>
      </w:r>
      <w:r w:rsidRPr="00A50C03">
        <w:t xml:space="preserve"> was approximately 9 years, and in Phase III study</w:t>
      </w:r>
      <w:r w:rsidRPr="00A50C03">
        <w:rPr>
          <w:vertAlign w:val="superscript"/>
        </w:rPr>
        <w:footnoteReference w:id="78"/>
      </w:r>
      <w:r w:rsidRPr="00A50C03">
        <w:t xml:space="preserve"> the mean for each dosage was approximately 9-11 years. In the </w:t>
      </w:r>
      <w:proofErr w:type="spellStart"/>
      <w:r w:rsidRPr="00A50C03">
        <w:t>monotherapy</w:t>
      </w:r>
      <w:proofErr w:type="spellEnd"/>
      <w:r w:rsidRPr="00A50C03">
        <w:t xml:space="preserve"> study</w:t>
      </w:r>
      <w:r w:rsidRPr="00A50C03">
        <w:rPr>
          <w:vertAlign w:val="superscript"/>
        </w:rPr>
        <w:footnoteReference w:id="79"/>
      </w:r>
      <w:r w:rsidRPr="00A50C03">
        <w:t xml:space="preserve"> the average age was approximately 8 years. The percentage of males in each study was slightly higher than the percentage of females, and was 59-64%. In the Phase I-III trials, subjects were predominately white (≥ 58%). Race data was not recorded in the </w:t>
      </w:r>
      <w:proofErr w:type="spellStart"/>
      <w:r w:rsidRPr="00A50C03">
        <w:t>monotherapy</w:t>
      </w:r>
      <w:proofErr w:type="spellEnd"/>
      <w:r w:rsidRPr="00A50C03">
        <w:t xml:space="preserve"> study.</w:t>
      </w:r>
      <w:r w:rsidRPr="00A50C03">
        <w:rPr>
          <w:vertAlign w:val="superscript"/>
        </w:rPr>
        <w:footnoteReference w:id="80"/>
      </w:r>
      <w:r w:rsidRPr="00A50C03">
        <w:t xml:space="preserve"> In the Phase III study</w:t>
      </w:r>
      <w:r w:rsidRPr="00A50C03">
        <w:rPr>
          <w:vertAlign w:val="superscript"/>
        </w:rPr>
        <w:footnoteReference w:id="81"/>
      </w:r>
      <w:r w:rsidRPr="00A50C03">
        <w:t xml:space="preserve"> approximately 70% of the subjects were from the US, approximately 23% from India, and approximately 7% from the rest of the world. In the study by </w:t>
      </w:r>
      <w:proofErr w:type="spellStart"/>
      <w:r w:rsidRPr="00A50C03">
        <w:t>Conry</w:t>
      </w:r>
      <w:proofErr w:type="spellEnd"/>
      <w:r w:rsidRPr="00A50C03">
        <w:t xml:space="preserve"> and colleagues,</w:t>
      </w:r>
      <w:r w:rsidRPr="00A50C03">
        <w:rPr>
          <w:vertAlign w:val="superscript"/>
        </w:rPr>
        <w:footnoteReference w:id="82"/>
      </w:r>
      <w:r w:rsidRPr="00A50C03">
        <w:t xml:space="preserve"> all subjects were from the US.</w:t>
      </w:r>
    </w:p>
    <w:p w:rsidR="00A50C03" w:rsidRPr="00A50C03" w:rsidRDefault="00A50C03" w:rsidP="00A50C03">
      <w:pPr>
        <w:keepNext/>
        <w:keepLines/>
        <w:numPr>
          <w:ilvl w:val="1"/>
          <w:numId w:val="29"/>
        </w:numPr>
        <w:adjustRightInd w:val="0"/>
        <w:snapToGrid w:val="0"/>
        <w:spacing w:before="400" w:line="220" w:lineRule="atLeast"/>
        <w:outlineLvl w:val="2"/>
        <w:rPr>
          <w:rFonts w:ascii="Arial" w:eastAsia="Times New Roman" w:hAnsi="Arial"/>
          <w:b/>
          <w:bCs/>
          <w:szCs w:val="21"/>
          <w:lang w:eastAsia="ja-JP"/>
        </w:rPr>
      </w:pPr>
      <w:bookmarkStart w:id="98" w:name="_Toc241374319"/>
      <w:bookmarkStart w:id="99" w:name="_Ref271044764"/>
      <w:bookmarkStart w:id="100" w:name="_Toc272414663"/>
      <w:bookmarkStart w:id="101" w:name="_Toc290846301"/>
      <w:bookmarkStart w:id="102" w:name="_Toc332659660"/>
      <w:bookmarkStart w:id="103" w:name="_Toc365022521"/>
      <w:bookmarkStart w:id="104" w:name="_Toc370902560"/>
      <w:r w:rsidRPr="00A50C03">
        <w:rPr>
          <w:rFonts w:ascii="Arial" w:eastAsia="Times New Roman" w:hAnsi="Arial"/>
          <w:b/>
          <w:bCs/>
          <w:szCs w:val="21"/>
          <w:lang w:eastAsia="ja-JP"/>
        </w:rPr>
        <w:t>Adverse events</w:t>
      </w:r>
      <w:bookmarkEnd w:id="98"/>
      <w:bookmarkEnd w:id="99"/>
      <w:bookmarkEnd w:id="100"/>
      <w:bookmarkEnd w:id="101"/>
      <w:bookmarkEnd w:id="102"/>
      <w:bookmarkEnd w:id="103"/>
      <w:bookmarkEnd w:id="104"/>
    </w:p>
    <w:p w:rsidR="00A50C03" w:rsidRPr="00A50C03" w:rsidRDefault="00A50C03" w:rsidP="00A50C03">
      <w:pPr>
        <w:keepNext/>
        <w:numPr>
          <w:ilvl w:val="2"/>
          <w:numId w:val="29"/>
        </w:numPr>
        <w:adjustRightInd w:val="0"/>
        <w:snapToGrid w:val="0"/>
        <w:spacing w:line="220" w:lineRule="atLeast"/>
        <w:outlineLvl w:val="3"/>
        <w:rPr>
          <w:rFonts w:eastAsia="MS Mincho"/>
          <w:b/>
          <w:bCs/>
          <w:szCs w:val="21"/>
          <w:lang w:eastAsia="ja-JP"/>
        </w:rPr>
      </w:pPr>
      <w:bookmarkStart w:id="105" w:name="_Ref272317284"/>
      <w:bookmarkStart w:id="106" w:name="_Ref272333565"/>
      <w:bookmarkStart w:id="107" w:name="_Toc272414664"/>
      <w:bookmarkStart w:id="108" w:name="_Toc290846302"/>
      <w:bookmarkStart w:id="109" w:name="_Toc332659661"/>
      <w:r w:rsidRPr="00A50C03">
        <w:rPr>
          <w:rFonts w:eastAsia="MS Mincho"/>
          <w:b/>
          <w:bCs/>
          <w:szCs w:val="21"/>
          <w:lang w:eastAsia="ja-JP"/>
        </w:rPr>
        <w:t>All adverse events (irrespective of relationship to study treatment)</w:t>
      </w:r>
      <w:bookmarkEnd w:id="105"/>
      <w:bookmarkEnd w:id="106"/>
      <w:bookmarkEnd w:id="107"/>
      <w:bookmarkEnd w:id="108"/>
      <w:bookmarkEnd w:id="109"/>
    </w:p>
    <w:p w:rsidR="00A50C03" w:rsidRPr="00A50C03" w:rsidRDefault="00A50C03" w:rsidP="00A50C03">
      <w:pPr>
        <w:keepNext/>
        <w:keepLines/>
        <w:numPr>
          <w:ilvl w:val="3"/>
          <w:numId w:val="29"/>
        </w:numPr>
        <w:spacing w:line="220" w:lineRule="atLeast"/>
        <w:outlineLvl w:val="4"/>
        <w:rPr>
          <w:rFonts w:eastAsia="Times New Roman"/>
          <w:b/>
          <w:bCs/>
          <w:i/>
          <w:color w:val="001523"/>
          <w:szCs w:val="21"/>
        </w:rPr>
      </w:pPr>
      <w:r w:rsidRPr="00A50C03">
        <w:rPr>
          <w:rFonts w:eastAsia="Times New Roman"/>
          <w:b/>
          <w:bCs/>
          <w:i/>
          <w:color w:val="001523"/>
          <w:szCs w:val="21"/>
        </w:rPr>
        <w:t>Pivotal studies</w:t>
      </w:r>
    </w:p>
    <w:p w:rsidR="00A50C03" w:rsidRPr="00A50C03" w:rsidRDefault="00A50C03" w:rsidP="00E86BE8">
      <w:r w:rsidRPr="00A50C03">
        <w:t xml:space="preserve">Data is presented from Phase II/III studies in LGS, a </w:t>
      </w:r>
      <w:proofErr w:type="spellStart"/>
      <w:r w:rsidRPr="00A50C03">
        <w:t>monotherapy</w:t>
      </w:r>
      <w:proofErr w:type="spellEnd"/>
      <w:r w:rsidRPr="00A50C03">
        <w:t xml:space="preserve"> study comparing CLB to CZP and PHE and a small crossover study by Keene and colleagues.</w:t>
      </w:r>
      <w:r w:rsidRPr="00A50C03">
        <w:rPr>
          <w:vertAlign w:val="superscript"/>
        </w:rPr>
        <w:footnoteReference w:id="83"/>
      </w:r>
      <w:r w:rsidRPr="00A50C03">
        <w:t xml:space="preserve"> Amalgamation of data would be difficult due to differing methodologies. No specific safety or methodological issues are identified.</w:t>
      </w:r>
    </w:p>
    <w:p w:rsidR="00A50C03" w:rsidRPr="00A50C03" w:rsidRDefault="00A50C03" w:rsidP="00E86BE8">
      <w:pPr>
        <w:pStyle w:val="Heading5"/>
      </w:pPr>
      <w:r w:rsidRPr="00A50C03">
        <w:t>Other studies</w:t>
      </w:r>
    </w:p>
    <w:p w:rsidR="00A50C03" w:rsidRPr="00A50C03" w:rsidRDefault="00A50C03" w:rsidP="00E86BE8">
      <w:pPr>
        <w:pStyle w:val="Heading6"/>
      </w:pPr>
      <w:r w:rsidRPr="00A50C03">
        <w:t>Rose et al.</w:t>
      </w:r>
      <w:r w:rsidRPr="00A50C03">
        <w:rPr>
          <w:vertAlign w:val="superscript"/>
        </w:rPr>
        <w:footnoteReference w:id="84"/>
      </w:r>
    </w:p>
    <w:p w:rsidR="00A50C03" w:rsidRPr="00A50C03" w:rsidRDefault="00A50C03" w:rsidP="00E86BE8">
      <w:pPr>
        <w:rPr>
          <w:b/>
        </w:rPr>
      </w:pPr>
      <w:r w:rsidRPr="00A50C03">
        <w:t xml:space="preserve">Rose and colleagues reporting on the intermittent use of </w:t>
      </w:r>
      <w:proofErr w:type="spellStart"/>
      <w:r w:rsidRPr="00A50C03">
        <w:t>clobazam</w:t>
      </w:r>
      <w:proofErr w:type="spellEnd"/>
      <w:r w:rsidRPr="00A50C03">
        <w:t xml:space="preserve"> versus placebo for the prevention of febrile convulsions reported that the three major side effects reported were drowsiness, ataxia and weakness. Drowsiness and weakness were present almost equally in both the </w:t>
      </w:r>
      <w:proofErr w:type="spellStart"/>
      <w:r w:rsidRPr="00A50C03">
        <w:t>clobazam</w:t>
      </w:r>
      <w:proofErr w:type="spellEnd"/>
      <w:r w:rsidRPr="00A50C03">
        <w:t xml:space="preserve"> and the placebo group (drowsiness: 46.8% and 52.1% and weakness: 4.8% and 4.2%, respectively). The difference was not statistically significant. Ataxia was present in 5 (8.3%) in </w:t>
      </w:r>
      <w:proofErr w:type="spellStart"/>
      <w:r w:rsidRPr="00A50C03">
        <w:t>clobazam</w:t>
      </w:r>
      <w:proofErr w:type="spellEnd"/>
      <w:r w:rsidRPr="00A50C03">
        <w:t xml:space="preserve"> group and none in the placebo, the difference being statistically significant (p=0.04).</w:t>
      </w:r>
    </w:p>
    <w:p w:rsidR="00A50C03" w:rsidRPr="00A50C03" w:rsidRDefault="00A50C03" w:rsidP="00E86BE8">
      <w:pPr>
        <w:pStyle w:val="Heading6"/>
      </w:pPr>
      <w:r w:rsidRPr="00A50C03">
        <w:t>Bajaj et al.</w:t>
      </w:r>
      <w:r w:rsidRPr="00A50C03">
        <w:rPr>
          <w:vertAlign w:val="superscript"/>
        </w:rPr>
        <w:footnoteReference w:id="85"/>
      </w:r>
    </w:p>
    <w:p w:rsidR="00A50C03" w:rsidRPr="00A50C03" w:rsidRDefault="00A50C03" w:rsidP="00E86BE8">
      <w:r w:rsidRPr="00A50C03">
        <w:t xml:space="preserve">Bajaj and colleagues reported on the intermittent use of </w:t>
      </w:r>
      <w:proofErr w:type="spellStart"/>
      <w:r w:rsidRPr="00A50C03">
        <w:t>clobazam</w:t>
      </w:r>
      <w:proofErr w:type="spellEnd"/>
      <w:r w:rsidRPr="00A50C03">
        <w:t xml:space="preserve"> versus placebo for the prevention of febrile convulsions in children. No significant adverse effect except irritability was observed in four patients on </w:t>
      </w:r>
      <w:proofErr w:type="spellStart"/>
      <w:r w:rsidRPr="00A50C03">
        <w:t>clobazam</w:t>
      </w:r>
      <w:proofErr w:type="spellEnd"/>
      <w:r w:rsidRPr="00A50C03">
        <w:t>.</w:t>
      </w:r>
    </w:p>
    <w:p w:rsidR="00A50C03" w:rsidRPr="00A50C03" w:rsidRDefault="00A50C03" w:rsidP="00E86BE8">
      <w:r w:rsidRPr="00A50C03">
        <w:t xml:space="preserve">Other studies include a range of smaller randomised studies as well as a broad range of reported open label studies and post marketing experiences. </w:t>
      </w:r>
    </w:p>
    <w:p w:rsidR="00A50C03" w:rsidRPr="00A50C03" w:rsidRDefault="00A50C03" w:rsidP="00D04A5B">
      <w:pPr>
        <w:pStyle w:val="Heading4"/>
      </w:pPr>
      <w:bookmarkStart w:id="110" w:name="_Ref272333567"/>
      <w:bookmarkStart w:id="111" w:name="_Toc272414665"/>
      <w:bookmarkStart w:id="112" w:name="_Toc290846303"/>
      <w:bookmarkStart w:id="113" w:name="_Toc332659662"/>
      <w:r w:rsidRPr="00A50C03">
        <w:t>Treatment-related adverse events (adverse drug reactions)</w:t>
      </w:r>
      <w:bookmarkEnd w:id="110"/>
      <w:bookmarkEnd w:id="111"/>
      <w:bookmarkEnd w:id="112"/>
      <w:bookmarkEnd w:id="113"/>
    </w:p>
    <w:p w:rsidR="00A50C03" w:rsidRPr="00A50C03" w:rsidRDefault="00A50C03" w:rsidP="00D04A5B">
      <w:pPr>
        <w:pStyle w:val="Heading5"/>
      </w:pPr>
      <w:r w:rsidRPr="00A50C03">
        <w:t>Pivotal studies</w:t>
      </w:r>
    </w:p>
    <w:p w:rsidR="00A50C03" w:rsidRPr="00A50C03" w:rsidRDefault="00A50C03" w:rsidP="00D04A5B">
      <w:pPr>
        <w:pStyle w:val="Heading6"/>
      </w:pPr>
      <w:r w:rsidRPr="00A50C03">
        <w:t>Keene et al.</w:t>
      </w:r>
      <w:r w:rsidRPr="00A50C03">
        <w:rPr>
          <w:vertAlign w:val="superscript"/>
        </w:rPr>
        <w:footnoteReference w:id="86"/>
      </w:r>
    </w:p>
    <w:p w:rsidR="00A50C03" w:rsidRPr="00A50C03" w:rsidRDefault="00A50C03" w:rsidP="00D04A5B">
      <w:r w:rsidRPr="00A50C03">
        <w:t xml:space="preserve">Two patients had to withdraw during the </w:t>
      </w:r>
      <w:proofErr w:type="spellStart"/>
      <w:r w:rsidRPr="00A50C03">
        <w:t>clobazam</w:t>
      </w:r>
      <w:proofErr w:type="spellEnd"/>
      <w:r w:rsidRPr="00A50C03">
        <w:t xml:space="preserve"> phase because of severe behavioural changes which did not respond to lowering the drug dosage.</w:t>
      </w:r>
    </w:p>
    <w:p w:rsidR="00A50C03" w:rsidRPr="00A50C03" w:rsidRDefault="00A50C03" w:rsidP="00D04A5B">
      <w:pPr>
        <w:pStyle w:val="Heading6"/>
      </w:pPr>
      <w:r w:rsidRPr="00A50C03">
        <w:t xml:space="preserve">Canadian </w:t>
      </w:r>
      <w:r w:rsidR="00D04A5B">
        <w:t>s</w:t>
      </w:r>
      <w:r w:rsidRPr="00A50C03">
        <w:t xml:space="preserve">tudy </w:t>
      </w:r>
      <w:r w:rsidR="00D04A5B">
        <w:t>g</w:t>
      </w:r>
      <w:r w:rsidRPr="00A50C03">
        <w:t xml:space="preserve">roup for </w:t>
      </w:r>
      <w:r w:rsidR="00D04A5B">
        <w:t>c</w:t>
      </w:r>
      <w:r w:rsidRPr="00A50C03">
        <w:t xml:space="preserve">hildhood </w:t>
      </w:r>
      <w:r w:rsidR="00D04A5B">
        <w:t>e</w:t>
      </w:r>
      <w:r w:rsidRPr="00A50C03">
        <w:t>pilepsy</w:t>
      </w:r>
      <w:r w:rsidRPr="00A50C03">
        <w:rPr>
          <w:vertAlign w:val="superscript"/>
        </w:rPr>
        <w:footnoteReference w:id="87"/>
      </w:r>
      <w:r w:rsidRPr="00A50C03">
        <w:t xml:space="preserve"> and </w:t>
      </w:r>
      <w:proofErr w:type="spellStart"/>
      <w:r w:rsidRPr="00A50C03">
        <w:t>Bawden</w:t>
      </w:r>
      <w:proofErr w:type="spellEnd"/>
      <w:r w:rsidRPr="00A50C03">
        <w:t xml:space="preserve"> et al.</w:t>
      </w:r>
      <w:r w:rsidRPr="00A50C03">
        <w:rPr>
          <w:vertAlign w:val="superscript"/>
        </w:rPr>
        <w:footnoteReference w:id="88"/>
      </w:r>
    </w:p>
    <w:p w:rsidR="00A50C03" w:rsidRPr="00A50C03" w:rsidRDefault="00A50C03" w:rsidP="00D04A5B">
      <w:r w:rsidRPr="00A50C03">
        <w:t xml:space="preserve">Frequencies of emergent behavioural side-effects were low with three (12.5%) of the patients taking </w:t>
      </w:r>
      <w:proofErr w:type="spellStart"/>
      <w:r w:rsidRPr="00A50C03">
        <w:t>clobazam</w:t>
      </w:r>
      <w:proofErr w:type="spellEnd"/>
      <w:r w:rsidRPr="00A50C03">
        <w:t xml:space="preserve"> exhibiting externalising behavioural side-effects and three exhibiting internalising behavioural side-effects. Of the patients taking standard </w:t>
      </w:r>
      <w:proofErr w:type="spellStart"/>
      <w:r w:rsidRPr="00A50C03">
        <w:t>monotherapy</w:t>
      </w:r>
      <w:proofErr w:type="spellEnd"/>
      <w:r w:rsidRPr="00A50C03">
        <w:t xml:space="preserve">, three (17.6%) exhibited internalizing behavioural side effects and two (11.8%) exhibited externalising behavioural side-effects. There were no differences between the </w:t>
      </w:r>
      <w:proofErr w:type="spellStart"/>
      <w:r w:rsidRPr="00A50C03">
        <w:t>clobazam</w:t>
      </w:r>
      <w:proofErr w:type="spellEnd"/>
      <w:r w:rsidRPr="00A50C03">
        <w:t xml:space="preserve"> and standard </w:t>
      </w:r>
      <w:proofErr w:type="spellStart"/>
      <w:r w:rsidRPr="00A50C03">
        <w:t>monotherapy</w:t>
      </w:r>
      <w:proofErr w:type="spellEnd"/>
      <w:r w:rsidRPr="00A50C03">
        <w:t xml:space="preserve"> groups in the frequencies of externalising (x2= 0.17, P=NS) or internalising (x2=0.82, P=NS) behavioural side-effects. The number of AEs described by checklist is given in Table 12.</w:t>
      </w:r>
    </w:p>
    <w:p w:rsidR="00A50C03" w:rsidRPr="00A50C03" w:rsidRDefault="00A50C03" w:rsidP="00D04A5B">
      <w:pPr>
        <w:pStyle w:val="TableTitle"/>
        <w:rPr>
          <w:lang w:val="en-GB"/>
        </w:rPr>
      </w:pPr>
      <w:r w:rsidRPr="00A50C03">
        <w:t>Table 12: Number of adverse events described by checklist.</w:t>
      </w:r>
      <w:r w:rsidRPr="00A50C03">
        <w:rPr>
          <w:vertAlign w:val="superscript"/>
        </w:rPr>
        <w:footnoteReference w:id="89"/>
      </w:r>
    </w:p>
    <w:p w:rsidR="00A50C03" w:rsidRPr="00A50C03" w:rsidRDefault="00A50C03" w:rsidP="00D04A5B">
      <w:r>
        <w:rPr>
          <w:noProof/>
          <w:lang w:eastAsia="en-AU"/>
        </w:rPr>
        <w:drawing>
          <wp:inline distT="0" distB="0" distL="0" distR="0">
            <wp:extent cx="4791710" cy="2889250"/>
            <wp:effectExtent l="19050" t="0" r="8890" b="0"/>
            <wp:docPr id="188" name="Picture 188" descr="Table 12: Number of adverse events described by 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Table 12: Number of adverse events described by checklist."/>
                    <pic:cNvPicPr>
                      <a:picLocks noChangeAspect="1" noChangeArrowheads="1"/>
                    </pic:cNvPicPr>
                  </pic:nvPicPr>
                  <pic:blipFill>
                    <a:blip r:embed="rId32" cstate="print"/>
                    <a:srcRect/>
                    <a:stretch>
                      <a:fillRect/>
                    </a:stretch>
                  </pic:blipFill>
                  <pic:spPr bwMode="auto">
                    <a:xfrm>
                      <a:off x="0" y="0"/>
                      <a:ext cx="4791710" cy="2889250"/>
                    </a:xfrm>
                    <a:prstGeom prst="rect">
                      <a:avLst/>
                    </a:prstGeom>
                    <a:noFill/>
                    <a:ln w="9525">
                      <a:noFill/>
                      <a:miter lim="800000"/>
                      <a:headEnd/>
                      <a:tailEnd/>
                    </a:ln>
                  </pic:spPr>
                </pic:pic>
              </a:graphicData>
            </a:graphic>
          </wp:inline>
        </w:drawing>
      </w:r>
    </w:p>
    <w:p w:rsidR="00A50C03" w:rsidRPr="00A50C03" w:rsidRDefault="00A50C03" w:rsidP="00D04A5B">
      <w:pPr>
        <w:pStyle w:val="Heading6"/>
      </w:pPr>
      <w:proofErr w:type="spellStart"/>
      <w:r w:rsidRPr="00A50C03">
        <w:t>Conry</w:t>
      </w:r>
      <w:proofErr w:type="spellEnd"/>
      <w:r w:rsidRPr="00A50C03">
        <w:t xml:space="preserve"> et al</w:t>
      </w:r>
      <w:bookmarkStart w:id="114" w:name="OLE_LINK2"/>
      <w:bookmarkEnd w:id="114"/>
      <w:r w:rsidRPr="00A50C03">
        <w:t>.</w:t>
      </w:r>
      <w:r w:rsidRPr="00A50C03">
        <w:rPr>
          <w:vertAlign w:val="superscript"/>
        </w:rPr>
        <w:footnoteReference w:id="90"/>
      </w:r>
    </w:p>
    <w:p w:rsidR="00A50C03" w:rsidRPr="00A50C03" w:rsidRDefault="00A50C03" w:rsidP="00D04A5B">
      <w:r w:rsidRPr="00A50C03">
        <w:t xml:space="preserve">AEs related study drug and experienced by ≥5% patients include somnolence, lethargy, sedation, salivary </w:t>
      </w:r>
      <w:proofErr w:type="spellStart"/>
      <w:r w:rsidRPr="00A50C03">
        <w:t>hypersecretion</w:t>
      </w:r>
      <w:proofErr w:type="spellEnd"/>
      <w:r w:rsidRPr="00A50C03">
        <w:t xml:space="preserve">, constipation, aggression, hypomania, and insomnia. The incidence of treatment-emergent AEs, regardless of relation to therapy, was similar between the low-dose group (84%) and the high-dose group (86%). The low dose group and high dose group were also similar in incidence of mild (47% vs. 44%), moderate (34% vs. 36%), and severe (3% </w:t>
      </w:r>
      <w:proofErr w:type="spellStart"/>
      <w:r w:rsidRPr="00A50C03">
        <w:t>vs</w:t>
      </w:r>
      <w:proofErr w:type="spellEnd"/>
      <w:r w:rsidRPr="00A50C03">
        <w:t xml:space="preserve"> 6%) AEs.</w:t>
      </w:r>
    </w:p>
    <w:p w:rsidR="00A50C03" w:rsidRPr="00A50C03" w:rsidRDefault="00A50C03" w:rsidP="00D04A5B">
      <w:r w:rsidRPr="00A50C03">
        <w:t xml:space="preserve">A total of five SAEs in four patients were reported during the study; none resulted in premature discontinuation of CLB, and all resolved during the study. No patients experienced an SAE of status </w:t>
      </w:r>
      <w:proofErr w:type="spellStart"/>
      <w:r w:rsidRPr="00A50C03">
        <w:t>epilepticus</w:t>
      </w:r>
      <w:proofErr w:type="spellEnd"/>
      <w:r w:rsidRPr="00A50C03">
        <w:t xml:space="preserve">. One patient in the high-dose group experienced an SAE of severe aspiration with an alternative aetiology of increased saliva production or a pre-existing neurologic condition. The patient underwent a swallow study; the results were abnormal (aspiration with all textures). The SAEs of sleep apnoea syndrome (low-dose group), and constipation and pyrexia (high-dose group) were considered moderate in severity and not related to study medication. One patient in the high-dose group experienced an SAE of severe respiratory distress with an alternative aetiology of </w:t>
      </w:r>
      <w:proofErr w:type="spellStart"/>
      <w:r w:rsidRPr="00A50C03">
        <w:t>tonsillar</w:t>
      </w:r>
      <w:proofErr w:type="spellEnd"/>
      <w:r w:rsidRPr="00A50C03">
        <w:t xml:space="preserve"> hypertrophy. The patient was hospitalized, CLB was maintained, and the SAE resolved following </w:t>
      </w:r>
      <w:proofErr w:type="spellStart"/>
      <w:r w:rsidRPr="00A50C03">
        <w:t>adenotonsillectomy</w:t>
      </w:r>
      <w:proofErr w:type="spellEnd"/>
      <w:r w:rsidRPr="00A50C03">
        <w:t xml:space="preserve">. Study medication was decreased by 5 mg and the SAE resolved. One severe case of sedation was experienced by a patient in the low-dose group; the event was considered to be probably related to study medication and resulted in temporary discontinuation after 39 days of dosing, but was not considered an SAE. The AE resolved and the patient subsequently enrolled in the open-label extension study. Nine AEs related to seizures/epilepsy (i.e., newly appearing seizure types) were reported in this study; convulsions (four patients), and complex partial seizures, tonic convulsion, </w:t>
      </w:r>
      <w:proofErr w:type="spellStart"/>
      <w:r w:rsidRPr="00A50C03">
        <w:t>clonic</w:t>
      </w:r>
      <w:proofErr w:type="spellEnd"/>
      <w:r w:rsidRPr="00A50C03">
        <w:t xml:space="preserve"> convulsion, petit mal epilepsy (as recorded on the patient’s AE case report form), and </w:t>
      </w:r>
      <w:proofErr w:type="spellStart"/>
      <w:r w:rsidRPr="00A50C03">
        <w:t>myoclonus</w:t>
      </w:r>
      <w:proofErr w:type="spellEnd"/>
      <w:r w:rsidRPr="00A50C03">
        <w:t xml:space="preserve"> (one patient each). All AEs related to seizures/epilepsy were mild or moderate in severity and none were considered to be definitely related to CLB. No AEs of status </w:t>
      </w:r>
      <w:proofErr w:type="spellStart"/>
      <w:r w:rsidRPr="00A50C03">
        <w:t>epilepticus</w:t>
      </w:r>
      <w:proofErr w:type="spellEnd"/>
      <w:r w:rsidRPr="00A50C03">
        <w:t xml:space="preserve"> were reported.</w:t>
      </w:r>
    </w:p>
    <w:p w:rsidR="00A50C03" w:rsidRPr="00A50C03" w:rsidRDefault="00A50C03" w:rsidP="00D04A5B">
      <w:pPr>
        <w:pStyle w:val="Heading6"/>
      </w:pPr>
      <w:r w:rsidRPr="00A50C03">
        <w:t>Ng et al.</w:t>
      </w:r>
      <w:r w:rsidRPr="00A50C03">
        <w:rPr>
          <w:vertAlign w:val="superscript"/>
        </w:rPr>
        <w:footnoteReference w:id="91"/>
      </w:r>
    </w:p>
    <w:p w:rsidR="00A50C03" w:rsidRPr="00A50C03" w:rsidRDefault="00A50C03" w:rsidP="00D04A5B">
      <w:r w:rsidRPr="00A50C03">
        <w:t xml:space="preserve">Safety assessments included adverse event (AE) assessment (Table 13). No concerning side effects were reported by organ class (Table 14). The percentages of patients with ≥1 AE were 67.8% for placebo, 72.4% for the low-dosage group, 88.7% for the medium-dosage group, and 76.3% for the high-dosage group. AEs experienced by ≥5% of patients in any treatment group are provided in Table 13. AEs with ≥10% difference between placebo and any </w:t>
      </w:r>
      <w:proofErr w:type="spellStart"/>
      <w:r w:rsidRPr="00A50C03">
        <w:t>clobazam</w:t>
      </w:r>
      <w:proofErr w:type="spellEnd"/>
      <w:r w:rsidRPr="00A50C03">
        <w:t xml:space="preserve"> group were somnolence, pyrexia, lethargy, drooling, and constipation. Sedation was reported for 8 (4.5%) </w:t>
      </w:r>
      <w:proofErr w:type="spellStart"/>
      <w:r w:rsidRPr="00A50C03">
        <w:t>clobazam</w:t>
      </w:r>
      <w:proofErr w:type="spellEnd"/>
      <w:r w:rsidRPr="00A50C03">
        <w:t xml:space="preserve">-treated patients (1 in the low dosage group, 2 in the medium-dosage group, and 5 in the high-dosage group). Of these AEs, somnolence and drooling increased in frequency with increasing </w:t>
      </w:r>
      <w:proofErr w:type="spellStart"/>
      <w:r w:rsidRPr="00A50C03">
        <w:t>clobazam</w:t>
      </w:r>
      <w:proofErr w:type="spellEnd"/>
      <w:r w:rsidRPr="00A50C03">
        <w:t xml:space="preserve"> dosage. A dosage-related trend was observed for the overall incidence of AEs leading to discontinuation.</w:t>
      </w:r>
    </w:p>
    <w:p w:rsidR="00A50C03" w:rsidRPr="00A50C03" w:rsidRDefault="00A50C03" w:rsidP="00D04A5B">
      <w:pPr>
        <w:pStyle w:val="TableTitle"/>
        <w:rPr>
          <w:lang w:val="en-GB"/>
        </w:rPr>
      </w:pPr>
      <w:r w:rsidRPr="00A50C03">
        <w:t>Table 13: Treatment-emergent adverse events experienced by ≥5% of patients in any treatment group.</w:t>
      </w:r>
      <w:r w:rsidRPr="00A50C03">
        <w:rPr>
          <w:vertAlign w:val="superscript"/>
        </w:rPr>
        <w:footnoteReference w:id="92"/>
      </w:r>
    </w:p>
    <w:p w:rsidR="00A50C03" w:rsidRDefault="00A50C03" w:rsidP="00D04A5B">
      <w:r>
        <w:rPr>
          <w:noProof/>
          <w:lang w:eastAsia="en-AU"/>
        </w:rPr>
        <w:drawing>
          <wp:inline distT="0" distB="0" distL="0" distR="0">
            <wp:extent cx="4586605" cy="2853055"/>
            <wp:effectExtent l="19050" t="0" r="4445" b="0"/>
            <wp:docPr id="189" name="Picture 189" descr="Table 13: Treatment-emergent adverse events experienced by ≥5% of patients in any treat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Table 13: Treatment-emergent adverse events experienced by ≥5% of patients in any treatment group."/>
                    <pic:cNvPicPr>
                      <a:picLocks noChangeAspect="1" noChangeArrowheads="1"/>
                    </pic:cNvPicPr>
                  </pic:nvPicPr>
                  <pic:blipFill>
                    <a:blip r:embed="rId33" cstate="print"/>
                    <a:srcRect/>
                    <a:stretch>
                      <a:fillRect/>
                    </a:stretch>
                  </pic:blipFill>
                  <pic:spPr bwMode="auto">
                    <a:xfrm>
                      <a:off x="0" y="0"/>
                      <a:ext cx="4586605" cy="2853055"/>
                    </a:xfrm>
                    <a:prstGeom prst="rect">
                      <a:avLst/>
                    </a:prstGeom>
                    <a:noFill/>
                    <a:ln w="9525">
                      <a:noFill/>
                      <a:miter lim="800000"/>
                      <a:headEnd/>
                      <a:tailEnd/>
                    </a:ln>
                  </pic:spPr>
                </pic:pic>
              </a:graphicData>
            </a:graphic>
          </wp:inline>
        </w:drawing>
      </w:r>
    </w:p>
    <w:p w:rsidR="00EE37E6" w:rsidRPr="00A50C03" w:rsidRDefault="00EE37E6" w:rsidP="00EE37E6">
      <w:pPr>
        <w:pStyle w:val="TableTitle"/>
        <w:rPr>
          <w:lang w:val="en-GB"/>
        </w:rPr>
      </w:pPr>
      <w:r>
        <w:t xml:space="preserve">Table 13 continued: </w:t>
      </w:r>
      <w:r w:rsidRPr="00A50C03">
        <w:t>Treatment-emergent adverse events experienced by ≥5% of patients in any treatment group.</w:t>
      </w:r>
      <w:r w:rsidRPr="00A50C03">
        <w:rPr>
          <w:vertAlign w:val="superscript"/>
        </w:rPr>
        <w:footnoteReference w:id="93"/>
      </w:r>
    </w:p>
    <w:p w:rsidR="00EE37E6" w:rsidRDefault="00A50C03" w:rsidP="00D04A5B">
      <w:r>
        <w:rPr>
          <w:noProof/>
          <w:lang w:eastAsia="en-AU"/>
        </w:rPr>
        <w:drawing>
          <wp:inline distT="0" distB="0" distL="0" distR="0">
            <wp:extent cx="4586605" cy="3050540"/>
            <wp:effectExtent l="19050" t="0" r="4445" b="0"/>
            <wp:docPr id="190" name="Picture 190" descr="Table 13: Treatment-emergent adverse events experienced by ≥5% of patients in any treat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Table 13: Treatment-emergent adverse events experienced by ≥5% of patients in any treatment group."/>
                    <pic:cNvPicPr>
                      <a:picLocks noChangeAspect="1" noChangeArrowheads="1"/>
                    </pic:cNvPicPr>
                  </pic:nvPicPr>
                  <pic:blipFill>
                    <a:blip r:embed="rId34" cstate="print"/>
                    <a:srcRect/>
                    <a:stretch>
                      <a:fillRect/>
                    </a:stretch>
                  </pic:blipFill>
                  <pic:spPr bwMode="auto">
                    <a:xfrm>
                      <a:off x="0" y="0"/>
                      <a:ext cx="4586605" cy="3050540"/>
                    </a:xfrm>
                    <a:prstGeom prst="rect">
                      <a:avLst/>
                    </a:prstGeom>
                    <a:noFill/>
                    <a:ln w="9525">
                      <a:noFill/>
                      <a:miter lim="800000"/>
                      <a:headEnd/>
                      <a:tailEnd/>
                    </a:ln>
                  </pic:spPr>
                </pic:pic>
              </a:graphicData>
            </a:graphic>
          </wp:inline>
        </w:drawing>
      </w:r>
    </w:p>
    <w:p w:rsidR="00EE37E6" w:rsidRDefault="00EE37E6">
      <w:pPr>
        <w:spacing w:before="0" w:after="200" w:line="0" w:lineRule="auto"/>
      </w:pPr>
      <w:r>
        <w:br w:type="page"/>
      </w:r>
    </w:p>
    <w:p w:rsidR="00EE37E6" w:rsidRPr="00A50C03" w:rsidRDefault="00EE37E6" w:rsidP="00EE37E6">
      <w:pPr>
        <w:pStyle w:val="TableTitle"/>
        <w:rPr>
          <w:lang w:val="en-GB"/>
        </w:rPr>
      </w:pPr>
      <w:r>
        <w:t xml:space="preserve">Table 13 continued: </w:t>
      </w:r>
      <w:r w:rsidRPr="00A50C03">
        <w:t>Treatment-emergent adverse events experienced by ≥5% of patients in any treatment group.</w:t>
      </w:r>
      <w:r w:rsidRPr="00A50C03">
        <w:rPr>
          <w:vertAlign w:val="superscript"/>
        </w:rPr>
        <w:footnoteReference w:id="94"/>
      </w:r>
    </w:p>
    <w:p w:rsidR="00A50C03" w:rsidRPr="00A50C03" w:rsidRDefault="00A50C03" w:rsidP="00D04A5B">
      <w:r>
        <w:rPr>
          <w:noProof/>
          <w:lang w:eastAsia="en-AU"/>
        </w:rPr>
        <w:drawing>
          <wp:inline distT="0" distB="0" distL="0" distR="0">
            <wp:extent cx="4579620" cy="1485265"/>
            <wp:effectExtent l="19050" t="0" r="0" b="0"/>
            <wp:docPr id="191" name="Picture 191" descr="Table 13: Treatment-emergent adverse events experienced by ≥5% of patients in any treat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Table 13: Treatment-emergent adverse events experienced by ≥5% of patients in any treatment group."/>
                    <pic:cNvPicPr>
                      <a:picLocks noChangeAspect="1" noChangeArrowheads="1"/>
                    </pic:cNvPicPr>
                  </pic:nvPicPr>
                  <pic:blipFill>
                    <a:blip r:embed="rId35" cstate="print"/>
                    <a:srcRect/>
                    <a:stretch>
                      <a:fillRect/>
                    </a:stretch>
                  </pic:blipFill>
                  <pic:spPr bwMode="auto">
                    <a:xfrm>
                      <a:off x="0" y="0"/>
                      <a:ext cx="4579620" cy="1485265"/>
                    </a:xfrm>
                    <a:prstGeom prst="rect">
                      <a:avLst/>
                    </a:prstGeom>
                    <a:noFill/>
                    <a:ln w="9525">
                      <a:noFill/>
                      <a:miter lim="800000"/>
                      <a:headEnd/>
                      <a:tailEnd/>
                    </a:ln>
                  </pic:spPr>
                </pic:pic>
              </a:graphicData>
            </a:graphic>
          </wp:inline>
        </w:drawing>
      </w:r>
    </w:p>
    <w:p w:rsidR="00A50C03" w:rsidRPr="00A50C03" w:rsidRDefault="00A50C03" w:rsidP="00D04A5B">
      <w:pPr>
        <w:pStyle w:val="TableDescription"/>
      </w:pPr>
      <w:r w:rsidRPr="00A50C03">
        <w:t>a. Patients with ≥1 occurrence of the same event were counted only once. AEs are listed in descending order of frequency in the all-</w:t>
      </w:r>
      <w:proofErr w:type="spellStart"/>
      <w:r w:rsidRPr="00A50C03">
        <w:t>clobazam</w:t>
      </w:r>
      <w:proofErr w:type="spellEnd"/>
      <w:r w:rsidRPr="00A50C03">
        <w:t xml:space="preserve"> group.</w:t>
      </w:r>
    </w:p>
    <w:p w:rsidR="00A50C03" w:rsidRPr="00A50C03" w:rsidRDefault="00A50C03" w:rsidP="00D04A5B">
      <w:pPr>
        <w:pStyle w:val="TableTitle"/>
        <w:rPr>
          <w:lang w:val="en-GB"/>
        </w:rPr>
      </w:pPr>
      <w:r w:rsidRPr="00A50C03">
        <w:t>Table 14: Serious adverse events by system organ class.</w:t>
      </w:r>
      <w:r w:rsidRPr="00A50C03">
        <w:rPr>
          <w:vertAlign w:val="superscript"/>
        </w:rPr>
        <w:footnoteReference w:id="95"/>
      </w:r>
    </w:p>
    <w:p w:rsidR="00A50C03" w:rsidRDefault="00A50C03" w:rsidP="00D04A5B">
      <w:r>
        <w:rPr>
          <w:noProof/>
          <w:lang w:eastAsia="en-AU"/>
        </w:rPr>
        <w:drawing>
          <wp:inline distT="0" distB="0" distL="0" distR="0">
            <wp:extent cx="2780030" cy="4308475"/>
            <wp:effectExtent l="19050" t="0" r="1270" b="0"/>
            <wp:docPr id="192" name="Picture 192" descr="Table 14: Serious adverse events by system organ cla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Table 14: Serious adverse events by system organ class. "/>
                    <pic:cNvPicPr>
                      <a:picLocks noChangeAspect="1" noChangeArrowheads="1"/>
                    </pic:cNvPicPr>
                  </pic:nvPicPr>
                  <pic:blipFill>
                    <a:blip r:embed="rId36" cstate="print"/>
                    <a:srcRect/>
                    <a:stretch>
                      <a:fillRect/>
                    </a:stretch>
                  </pic:blipFill>
                  <pic:spPr bwMode="auto">
                    <a:xfrm>
                      <a:off x="0" y="0"/>
                      <a:ext cx="2780030" cy="4308475"/>
                    </a:xfrm>
                    <a:prstGeom prst="rect">
                      <a:avLst/>
                    </a:prstGeom>
                    <a:noFill/>
                    <a:ln w="9525">
                      <a:noFill/>
                      <a:miter lim="800000"/>
                      <a:headEnd/>
                      <a:tailEnd/>
                    </a:ln>
                  </pic:spPr>
                </pic:pic>
              </a:graphicData>
            </a:graphic>
          </wp:inline>
        </w:drawing>
      </w:r>
    </w:p>
    <w:p w:rsidR="00EE37E6" w:rsidRPr="00A50C03" w:rsidRDefault="00EE37E6" w:rsidP="00EE37E6">
      <w:pPr>
        <w:pStyle w:val="TableTitle"/>
        <w:rPr>
          <w:lang w:val="en-GB"/>
        </w:rPr>
      </w:pPr>
      <w:r w:rsidRPr="00A50C03">
        <w:t>Table 14</w:t>
      </w:r>
      <w:r>
        <w:t xml:space="preserve"> continued</w:t>
      </w:r>
      <w:r w:rsidRPr="00A50C03">
        <w:t>: Serious adverse events by system organ class.</w:t>
      </w:r>
      <w:r w:rsidRPr="00A50C03">
        <w:rPr>
          <w:vertAlign w:val="superscript"/>
        </w:rPr>
        <w:footnoteReference w:id="96"/>
      </w:r>
    </w:p>
    <w:p w:rsidR="00A50C03" w:rsidRPr="00A50C03" w:rsidRDefault="00A50C03" w:rsidP="00D04A5B">
      <w:r>
        <w:rPr>
          <w:noProof/>
          <w:lang w:eastAsia="en-AU"/>
        </w:rPr>
        <w:drawing>
          <wp:inline distT="0" distB="0" distL="0" distR="0">
            <wp:extent cx="2794635" cy="3511550"/>
            <wp:effectExtent l="19050" t="0" r="5715" b="0"/>
            <wp:docPr id="193" name="Picture 193" descr="Table 14: Serious adverse events by system organ cla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Table 14: Serious adverse events by system organ class. "/>
                    <pic:cNvPicPr>
                      <a:picLocks noChangeAspect="1" noChangeArrowheads="1"/>
                    </pic:cNvPicPr>
                  </pic:nvPicPr>
                  <pic:blipFill>
                    <a:blip r:embed="rId37" cstate="print"/>
                    <a:srcRect/>
                    <a:stretch>
                      <a:fillRect/>
                    </a:stretch>
                  </pic:blipFill>
                  <pic:spPr bwMode="auto">
                    <a:xfrm>
                      <a:off x="0" y="0"/>
                      <a:ext cx="2794635" cy="3511550"/>
                    </a:xfrm>
                    <a:prstGeom prst="rect">
                      <a:avLst/>
                    </a:prstGeom>
                    <a:noFill/>
                    <a:ln w="9525">
                      <a:noFill/>
                      <a:miter lim="800000"/>
                      <a:headEnd/>
                      <a:tailEnd/>
                    </a:ln>
                  </pic:spPr>
                </pic:pic>
              </a:graphicData>
            </a:graphic>
          </wp:inline>
        </w:drawing>
      </w:r>
    </w:p>
    <w:p w:rsidR="00A50C03" w:rsidRPr="00A50C03" w:rsidRDefault="00A50C03" w:rsidP="00D04A5B">
      <w:r w:rsidRPr="00A50C03">
        <w:t>Few patients reported new seizure types (2 in the placebo group, 1 in the low-dosage group, 2 in the medium-dosage group, and 3 in the high-dosage group). There were SAEs related to seizures (</w:t>
      </w:r>
      <w:proofErr w:type="spellStart"/>
      <w:r w:rsidRPr="00A50C03">
        <w:t>myoclonic</w:t>
      </w:r>
      <w:proofErr w:type="spellEnd"/>
      <w:r w:rsidRPr="00A50C03">
        <w:t xml:space="preserve"> epilepsy for 1 patient in the medium-dosage group and grand mal convulsion for 1 patient in the high-dosage group). </w:t>
      </w:r>
    </w:p>
    <w:p w:rsidR="00A50C03" w:rsidRPr="00A50C03" w:rsidRDefault="00A50C03" w:rsidP="00D04A5B">
      <w:r w:rsidRPr="00A50C03">
        <w:t>Sixteen patients experienced SAEs (2 in the placebo group and 3, 6, and 5 in the low-, medium-, and high-dosage groups, respectively). SAEs for ≥2 patients were lobar pneumonia (1 in the placebo group and 2 in the high-dosage group) and pneumonia (2 in the low-dosage group, 2 in the medium-dosage group, and 1 in the high-dosage group). No deaths were reported.</w:t>
      </w:r>
    </w:p>
    <w:p w:rsidR="00A50C03" w:rsidRPr="00A50C03" w:rsidRDefault="00A50C03" w:rsidP="00D04A5B">
      <w:r w:rsidRPr="00A50C03">
        <w:t>Twenty-nine patients had their dosages decreased at some point during the study because of an AE. Of these 29, 1 patient was in the placebo group, and 4, 9, and 15 patients were in the low-, medium-, and high-dosage groups, respectively. Ten of 29 discontinued because of an AE (1, 4, and 5 patients in the low-, medium-, and high-dosages groups).</w:t>
      </w:r>
    </w:p>
    <w:p w:rsidR="00A50C03" w:rsidRPr="00A50C03" w:rsidRDefault="00A50C03" w:rsidP="00D04A5B">
      <w:pPr>
        <w:pStyle w:val="Heading5"/>
      </w:pPr>
      <w:r w:rsidRPr="00A50C03">
        <w:t>Other studies</w:t>
      </w:r>
    </w:p>
    <w:p w:rsidR="00A50C03" w:rsidRPr="00A50C03" w:rsidRDefault="00A50C03" w:rsidP="00D04A5B">
      <w:r w:rsidRPr="00A50C03">
        <w:t>See review by Robertson.</w:t>
      </w:r>
      <w:r w:rsidRPr="00A50C03">
        <w:rPr>
          <w:vertAlign w:val="superscript"/>
        </w:rPr>
        <w:footnoteReference w:id="97"/>
      </w:r>
      <w:r w:rsidRPr="00A50C03">
        <w:t xml:space="preserve"> </w:t>
      </w:r>
    </w:p>
    <w:p w:rsidR="00A50C03" w:rsidRPr="00A50C03" w:rsidRDefault="00A50C03" w:rsidP="00595FCE">
      <w:pPr>
        <w:pStyle w:val="Heading4"/>
      </w:pPr>
      <w:bookmarkStart w:id="115" w:name="_Toc241374320"/>
      <w:bookmarkStart w:id="116" w:name="_Ref272333507"/>
      <w:bookmarkStart w:id="117" w:name="_Toc272414666"/>
      <w:bookmarkStart w:id="118" w:name="_Toc290846304"/>
      <w:bookmarkStart w:id="119" w:name="_Toc332659663"/>
      <w:r w:rsidRPr="00A50C03">
        <w:t>Deaths and other serious adverse events</w:t>
      </w:r>
      <w:bookmarkEnd w:id="115"/>
      <w:bookmarkEnd w:id="116"/>
      <w:bookmarkEnd w:id="117"/>
      <w:bookmarkEnd w:id="118"/>
      <w:bookmarkEnd w:id="119"/>
    </w:p>
    <w:p w:rsidR="00A50C03" w:rsidRPr="00A50C03" w:rsidRDefault="00A50C03" w:rsidP="00595FCE">
      <w:pPr>
        <w:pStyle w:val="Heading5"/>
      </w:pPr>
      <w:r w:rsidRPr="00A50C03">
        <w:t>Pivotal studies</w:t>
      </w:r>
    </w:p>
    <w:p w:rsidR="00A50C03" w:rsidRPr="00A50C03" w:rsidRDefault="00A50C03" w:rsidP="00595FCE">
      <w:r w:rsidRPr="00A50C03">
        <w:t xml:space="preserve">No deaths were reported in the pivotal studies related to </w:t>
      </w:r>
      <w:proofErr w:type="spellStart"/>
      <w:r w:rsidRPr="00A50C03">
        <w:t>clobazam</w:t>
      </w:r>
      <w:proofErr w:type="spellEnd"/>
      <w:r w:rsidRPr="00A50C03">
        <w:t xml:space="preserve">. There was 1 death in the </w:t>
      </w:r>
      <w:proofErr w:type="spellStart"/>
      <w:r w:rsidRPr="00A50C03">
        <w:t>monotherapy</w:t>
      </w:r>
      <w:proofErr w:type="spellEnd"/>
      <w:r w:rsidRPr="00A50C03">
        <w:t xml:space="preserve"> study</w:t>
      </w:r>
      <w:r w:rsidRPr="00A50C03">
        <w:rPr>
          <w:vertAlign w:val="superscript"/>
        </w:rPr>
        <w:footnoteReference w:id="98"/>
      </w:r>
      <w:r w:rsidRPr="00A50C03">
        <w:t xml:space="preserve"> in a subject on </w:t>
      </w:r>
      <w:proofErr w:type="spellStart"/>
      <w:r w:rsidRPr="00A50C03">
        <w:t>Carbamazepine</w:t>
      </w:r>
      <w:proofErr w:type="spellEnd"/>
      <w:r w:rsidRPr="00A50C03">
        <w:t>.</w:t>
      </w:r>
    </w:p>
    <w:p w:rsidR="00A50C03" w:rsidRPr="00A50C03" w:rsidRDefault="00A50C03" w:rsidP="00595FCE">
      <w:pPr>
        <w:pStyle w:val="Heading5"/>
      </w:pPr>
      <w:r w:rsidRPr="00A50C03">
        <w:t>Other studies</w:t>
      </w:r>
    </w:p>
    <w:p w:rsidR="00A50C03" w:rsidRPr="00A50C03" w:rsidRDefault="00A50C03" w:rsidP="00595FCE">
      <w:r w:rsidRPr="00A50C03">
        <w:t xml:space="preserve">There were 9 deaths in the </w:t>
      </w:r>
      <w:proofErr w:type="spellStart"/>
      <w:r w:rsidRPr="00A50C03">
        <w:t>clobazam</w:t>
      </w:r>
      <w:proofErr w:type="spellEnd"/>
      <w:r w:rsidRPr="00A50C03">
        <w:t xml:space="preserve"> exposed subjects, all during the open label extension trial of the Phase II/III studies in epilepsy.</w:t>
      </w:r>
      <w:r w:rsidRPr="00A50C03">
        <w:rPr>
          <w:vertAlign w:val="superscript"/>
        </w:rPr>
        <w:footnoteReference w:id="99"/>
      </w:r>
      <w:r w:rsidRPr="00A50C03">
        <w:t xml:space="preserve"> Of the 9 deaths in the open label extension reported in the </w:t>
      </w:r>
      <w:proofErr w:type="spellStart"/>
      <w:r w:rsidRPr="00A50C03">
        <w:t>clobazam</w:t>
      </w:r>
      <w:proofErr w:type="spellEnd"/>
      <w:r w:rsidRPr="00A50C03">
        <w:t xml:space="preserve"> submission to the FDA, 5 were male and 4 were female. The ages were 4 (n=2), 5, 7, 8, 12, 19, 22, and 36 years. The total daily doses at the time of the event were 10 mg, 20 mg, 30 mg (n=2), 35 mg (n=2), 40 mg, and 50 mg (n=2). In 3 cases the reported cause of death was pneumonia. Among those cases, 1 patient had an AE of somnolence noted approximately 1 month prior to, and was continuing at the time she developed pneumonia. The other 2 cases did not have an AE of somnolence at the time of pneumonia. One additional patient died while receiving hospice care following hospitalisation for pneumonia and dehydration. Three patients died at home and had no clearly identified cause of death (death n=2, epilepsy). One patient died during hospitalisation for seizures with reported cause of death respiratory failure. One patient died during hospitalisation for hematoma and </w:t>
      </w:r>
      <w:proofErr w:type="spellStart"/>
      <w:r w:rsidRPr="00A50C03">
        <w:t>urosepsis</w:t>
      </w:r>
      <w:proofErr w:type="spellEnd"/>
      <w:r w:rsidRPr="00A50C03">
        <w:t>. All subjects had severe neurological disabilities.</w:t>
      </w:r>
    </w:p>
    <w:p w:rsidR="00A50C03" w:rsidRPr="00A50C03" w:rsidRDefault="00A50C03" w:rsidP="00595FCE">
      <w:pPr>
        <w:pStyle w:val="Heading4"/>
      </w:pPr>
      <w:bookmarkStart w:id="120" w:name="_Toc241374325"/>
      <w:bookmarkStart w:id="121" w:name="_Ref272333477"/>
      <w:bookmarkStart w:id="122" w:name="_Toc272414667"/>
      <w:bookmarkStart w:id="123" w:name="_Toc290846305"/>
      <w:bookmarkStart w:id="124" w:name="_Toc332659664"/>
      <w:r w:rsidRPr="00A50C03">
        <w:t>Discontinuation due to adverse events</w:t>
      </w:r>
      <w:bookmarkEnd w:id="120"/>
      <w:bookmarkEnd w:id="121"/>
      <w:bookmarkEnd w:id="122"/>
      <w:bookmarkEnd w:id="123"/>
      <w:bookmarkEnd w:id="124"/>
    </w:p>
    <w:p w:rsidR="00A50C03" w:rsidRPr="00A50C03" w:rsidRDefault="00A50C03" w:rsidP="00595FCE">
      <w:pPr>
        <w:pStyle w:val="Heading5"/>
      </w:pPr>
      <w:r w:rsidRPr="00A50C03">
        <w:t>Pivotal studies</w:t>
      </w:r>
    </w:p>
    <w:p w:rsidR="00A50C03" w:rsidRPr="00A50C03" w:rsidRDefault="00A50C03" w:rsidP="00595FCE">
      <w:pPr>
        <w:pStyle w:val="Heading6"/>
      </w:pPr>
      <w:r w:rsidRPr="00A50C03">
        <w:t xml:space="preserve">Canadian </w:t>
      </w:r>
      <w:r w:rsidR="00595FCE">
        <w:t>s</w:t>
      </w:r>
      <w:r w:rsidRPr="00A50C03">
        <w:t xml:space="preserve">tudy </w:t>
      </w:r>
      <w:r w:rsidR="00595FCE">
        <w:t>g</w:t>
      </w:r>
      <w:r w:rsidRPr="00A50C03">
        <w:t xml:space="preserve">roup for </w:t>
      </w:r>
      <w:r w:rsidR="00595FCE">
        <w:t>c</w:t>
      </w:r>
      <w:r w:rsidRPr="00A50C03">
        <w:t xml:space="preserve">hildhood </w:t>
      </w:r>
      <w:r w:rsidR="00595FCE">
        <w:t>e</w:t>
      </w:r>
      <w:r w:rsidRPr="00A50C03">
        <w:t>pilepsy</w:t>
      </w:r>
      <w:r w:rsidRPr="00A50C03">
        <w:rPr>
          <w:vertAlign w:val="superscript"/>
        </w:rPr>
        <w:footnoteReference w:id="100"/>
      </w:r>
      <w:r w:rsidRPr="00A50C03">
        <w:t xml:space="preserve"> and </w:t>
      </w:r>
      <w:proofErr w:type="spellStart"/>
      <w:r w:rsidRPr="00A50C03">
        <w:t>Bawden</w:t>
      </w:r>
      <w:proofErr w:type="spellEnd"/>
      <w:r w:rsidRPr="00A50C03">
        <w:t xml:space="preserve"> et al.</w:t>
      </w:r>
      <w:r w:rsidRPr="00A50C03">
        <w:rPr>
          <w:vertAlign w:val="superscript"/>
        </w:rPr>
        <w:footnoteReference w:id="101"/>
      </w:r>
    </w:p>
    <w:p w:rsidR="00A50C03" w:rsidRPr="00A50C03" w:rsidRDefault="00A50C03" w:rsidP="00595FCE">
      <w:r w:rsidRPr="00A50C03">
        <w:t xml:space="preserve">Numerically fewer patients randomised to </w:t>
      </w:r>
      <w:proofErr w:type="spellStart"/>
      <w:r w:rsidRPr="00A50C03">
        <w:t>clobazam</w:t>
      </w:r>
      <w:proofErr w:type="spellEnd"/>
      <w:r w:rsidRPr="00A50C03">
        <w:t xml:space="preserve"> reached the end-point (i.e. stopped taking the study medication) for reasons of safety.</w:t>
      </w:r>
    </w:p>
    <w:p w:rsidR="00A50C03" w:rsidRPr="00A50C03" w:rsidRDefault="00A50C03" w:rsidP="00595FCE">
      <w:pPr>
        <w:pStyle w:val="Heading6"/>
      </w:pPr>
      <w:proofErr w:type="spellStart"/>
      <w:r w:rsidRPr="00A50C03">
        <w:t>Conry</w:t>
      </w:r>
      <w:proofErr w:type="spellEnd"/>
      <w:r w:rsidRPr="00A50C03">
        <w:t xml:space="preserve"> et al.</w:t>
      </w:r>
      <w:r w:rsidRPr="00A50C03">
        <w:rPr>
          <w:vertAlign w:val="superscript"/>
        </w:rPr>
        <w:footnoteReference w:id="102"/>
      </w:r>
    </w:p>
    <w:p w:rsidR="00A50C03" w:rsidRPr="00A50C03" w:rsidRDefault="00A50C03" w:rsidP="00595FCE">
      <w:r w:rsidRPr="00A50C03">
        <w:t>Ten of 68 patients (15%) discontinued the study. In the low-dose group, one patient (3%) discontinued at the patient/parent/caregiver request and three patients (10%) discontinued due to AEs (convulsion, aggression, and oral intake reduced as a consequence of sedation and drooling). In the high-dose group, six patients (19%) discontinued due to AEs of somnolence (two patients), chorea, abnormal (defiant) behaviour, encephalopathy, and sedation (one patient each). All of the AEs were mild or moderate and considered to be possibly or probably related to study medication. With the exception of the AE of aggression in the low-dose group, which persisted throughout the study, all of the events resolved with discontinuation of study drug. Four of the patients who discontinued prematurely because of AEs enrolled in the open-label extension study.</w:t>
      </w:r>
    </w:p>
    <w:p w:rsidR="00A50C03" w:rsidRPr="00A50C03" w:rsidRDefault="00A50C03" w:rsidP="00595FCE">
      <w:pPr>
        <w:pStyle w:val="Heading6"/>
      </w:pPr>
      <w:r w:rsidRPr="00A50C03">
        <w:t>Ng et al.</w:t>
      </w:r>
      <w:r w:rsidRPr="00A50C03">
        <w:rPr>
          <w:vertAlign w:val="superscript"/>
        </w:rPr>
        <w:footnoteReference w:id="103"/>
      </w:r>
    </w:p>
    <w:p w:rsidR="00A50C03" w:rsidRPr="00A50C03" w:rsidRDefault="00A50C03" w:rsidP="00595FCE">
      <w:r w:rsidRPr="00A50C03">
        <w:t>Twenty-seven patients (2 in the placebo group, 4 in the low-dosage group, 8 in the medium-dosage group, and 13 in the high-dosage group) discontinued because of AEs. Treatment-emergent AEs that led to premature discontinuation for ≥2 patients were lethargy, somnolence, aggression, ataxia, insomnia, and fatigue.</w:t>
      </w:r>
    </w:p>
    <w:p w:rsidR="00A50C03" w:rsidRPr="00A50C03" w:rsidRDefault="00A50C03" w:rsidP="00595FCE">
      <w:pPr>
        <w:pStyle w:val="Heading5"/>
      </w:pPr>
      <w:r w:rsidRPr="00A50C03">
        <w:t>Neuropsychological studies</w:t>
      </w:r>
    </w:p>
    <w:p w:rsidR="00A50C03" w:rsidRPr="00A50C03" w:rsidRDefault="00A50C03" w:rsidP="00595FCE">
      <w:pPr>
        <w:pStyle w:val="Heading6"/>
      </w:pPr>
      <w:r w:rsidRPr="00A50C03">
        <w:t xml:space="preserve">Canadian </w:t>
      </w:r>
      <w:r w:rsidR="00595FCE">
        <w:t>s</w:t>
      </w:r>
      <w:r w:rsidRPr="00A50C03">
        <w:t xml:space="preserve">tudy </w:t>
      </w:r>
      <w:r w:rsidR="00595FCE">
        <w:t>g</w:t>
      </w:r>
      <w:r w:rsidRPr="00A50C03">
        <w:t xml:space="preserve">roup for </w:t>
      </w:r>
      <w:r w:rsidR="00595FCE">
        <w:t>c</w:t>
      </w:r>
      <w:r w:rsidRPr="00A50C03">
        <w:t xml:space="preserve">hildhood </w:t>
      </w:r>
      <w:r w:rsidR="00595FCE">
        <w:t>e</w:t>
      </w:r>
      <w:r w:rsidRPr="00A50C03">
        <w:t>pilepsy</w:t>
      </w:r>
      <w:r w:rsidRPr="00A50C03">
        <w:rPr>
          <w:vertAlign w:val="superscript"/>
        </w:rPr>
        <w:footnoteReference w:id="104"/>
      </w:r>
      <w:r w:rsidRPr="00A50C03">
        <w:t xml:space="preserve"> and </w:t>
      </w:r>
      <w:proofErr w:type="spellStart"/>
      <w:r w:rsidRPr="00A50C03">
        <w:t>Bawden</w:t>
      </w:r>
      <w:proofErr w:type="spellEnd"/>
      <w:r w:rsidRPr="00A50C03">
        <w:t xml:space="preserve"> et al.</w:t>
      </w:r>
      <w:r w:rsidRPr="00A50C03">
        <w:rPr>
          <w:vertAlign w:val="superscript"/>
        </w:rPr>
        <w:footnoteReference w:id="105"/>
      </w:r>
    </w:p>
    <w:p w:rsidR="00A50C03" w:rsidRPr="00A50C03" w:rsidRDefault="00A50C03" w:rsidP="00595FCE">
      <w:r w:rsidRPr="00A50C03">
        <w:t xml:space="preserve">Initial neuropsychological assessments were carried out 6 weeks after the study medication was started, at which point the dosage had been stabilised. There were no statistically significant differences between the </w:t>
      </w:r>
      <w:proofErr w:type="spellStart"/>
      <w:r w:rsidRPr="00A50C03">
        <w:t>clobazam</w:t>
      </w:r>
      <w:proofErr w:type="spellEnd"/>
      <w:r w:rsidRPr="00A50C03">
        <w:t xml:space="preserve"> and standard </w:t>
      </w:r>
      <w:proofErr w:type="spellStart"/>
      <w:r w:rsidRPr="00A50C03">
        <w:t>monotherapy</w:t>
      </w:r>
      <w:proofErr w:type="spellEnd"/>
      <w:r w:rsidRPr="00A50C03">
        <w:t xml:space="preserve"> groups (</w:t>
      </w:r>
      <w:proofErr w:type="spellStart"/>
      <w:r w:rsidRPr="00A50C03">
        <w:t>Carbamazepine</w:t>
      </w:r>
      <w:proofErr w:type="spellEnd"/>
      <w:r w:rsidRPr="00A50C03">
        <w:t xml:space="preserve"> or </w:t>
      </w:r>
      <w:proofErr w:type="spellStart"/>
      <w:r w:rsidRPr="00A50C03">
        <w:t>Phenytoin</w:t>
      </w:r>
      <w:proofErr w:type="spellEnd"/>
      <w:r w:rsidRPr="00A50C03">
        <w:t>) on measures of intelligence, memory, psychomotor speed, attention, or impulsivity.</w:t>
      </w:r>
    </w:p>
    <w:p w:rsidR="00A50C03" w:rsidRPr="00A50C03" w:rsidRDefault="00A50C03" w:rsidP="00595FCE">
      <w:proofErr w:type="spellStart"/>
      <w:r w:rsidRPr="00A50C03">
        <w:t>Clobazam</w:t>
      </w:r>
      <w:proofErr w:type="spellEnd"/>
      <w:r w:rsidRPr="00A50C03">
        <w:t xml:space="preserve"> dosage was not related to measures of neuropsychological functioning with only two of 31 correlations significant at the 0.05 level. </w:t>
      </w:r>
      <w:proofErr w:type="spellStart"/>
      <w:r w:rsidRPr="00A50C03">
        <w:t>Clobazam</w:t>
      </w:r>
      <w:proofErr w:type="spellEnd"/>
      <w:r w:rsidRPr="00A50C03">
        <w:t xml:space="preserve"> serum levels tended to be negatively related with measures of neuropsychological functioning, but typically accounted for less than 10% of the variance in these measures.</w:t>
      </w:r>
    </w:p>
    <w:p w:rsidR="00A50C03" w:rsidRPr="00A50C03" w:rsidRDefault="00A50C03" w:rsidP="00595FCE">
      <w:r w:rsidRPr="00A50C03">
        <w:t xml:space="preserve">Neuropsychological assessments were repeated for those individuals who remained on the study medication for 12 months. There were no statistically significant differences between the </w:t>
      </w:r>
      <w:proofErr w:type="spellStart"/>
      <w:r w:rsidRPr="00A50C03">
        <w:t>clobazam</w:t>
      </w:r>
      <w:proofErr w:type="spellEnd"/>
      <w:r w:rsidRPr="00A50C03">
        <w:t xml:space="preserve"> and standard </w:t>
      </w:r>
      <w:proofErr w:type="spellStart"/>
      <w:r w:rsidRPr="00A50C03">
        <w:t>monotherapy</w:t>
      </w:r>
      <w:proofErr w:type="spellEnd"/>
      <w:r w:rsidRPr="00A50C03">
        <w:t xml:space="preserve"> groups on any of the neuropsychological measures. There were few group differences in the change score analyses. The only significant difference was on the Coding subtest of the WISC-R. The standard </w:t>
      </w:r>
      <w:proofErr w:type="spellStart"/>
      <w:r w:rsidRPr="00A50C03">
        <w:t>monotherapy</w:t>
      </w:r>
      <w:proofErr w:type="spellEnd"/>
      <w:r w:rsidRPr="00A50C03">
        <w:t xml:space="preserve"> group improved by 1.2 scaled score units whereas the </w:t>
      </w:r>
      <w:proofErr w:type="spellStart"/>
      <w:r w:rsidRPr="00A50C03">
        <w:t>clobazam</w:t>
      </w:r>
      <w:proofErr w:type="spellEnd"/>
      <w:r w:rsidRPr="00A50C03">
        <w:t xml:space="preserve"> group declined by 0.5 scaled score units (t</w:t>
      </w:r>
      <w:r w:rsidRPr="00A50C03">
        <w:noBreakHyphen/>
        <w:t>2.35, p &lt;0.05).</w:t>
      </w:r>
    </w:p>
    <w:p w:rsidR="00A50C03" w:rsidRPr="00A50C03" w:rsidRDefault="00A50C03" w:rsidP="00595FCE">
      <w:pPr>
        <w:pStyle w:val="Heading3"/>
      </w:pPr>
      <w:bookmarkStart w:id="125" w:name="_Toc241374321"/>
      <w:bookmarkStart w:id="126" w:name="_Ref271044780"/>
      <w:bookmarkStart w:id="127" w:name="_Ref271196640"/>
      <w:bookmarkStart w:id="128" w:name="_Ref272333085"/>
      <w:bookmarkStart w:id="129" w:name="_Toc272414668"/>
      <w:bookmarkStart w:id="130" w:name="_Toc290846306"/>
      <w:bookmarkStart w:id="131" w:name="_Toc332659665"/>
      <w:bookmarkStart w:id="132" w:name="_Toc365022522"/>
      <w:bookmarkStart w:id="133" w:name="_Toc370902561"/>
      <w:r w:rsidRPr="00A50C03">
        <w:t>Laboratory tests</w:t>
      </w:r>
      <w:bookmarkEnd w:id="125"/>
      <w:bookmarkEnd w:id="126"/>
      <w:bookmarkEnd w:id="127"/>
      <w:bookmarkEnd w:id="128"/>
      <w:bookmarkEnd w:id="129"/>
      <w:bookmarkEnd w:id="130"/>
      <w:bookmarkEnd w:id="131"/>
      <w:bookmarkEnd w:id="132"/>
      <w:bookmarkEnd w:id="133"/>
    </w:p>
    <w:p w:rsidR="00A50C03" w:rsidRPr="00A50C03" w:rsidRDefault="00A50C03" w:rsidP="00595FCE">
      <w:pPr>
        <w:pStyle w:val="Heading4"/>
      </w:pPr>
      <w:bookmarkStart w:id="134" w:name="_Toc272414669"/>
      <w:bookmarkStart w:id="135" w:name="_Toc290846307"/>
      <w:bookmarkStart w:id="136" w:name="_Toc332659666"/>
      <w:r w:rsidRPr="00A50C03">
        <w:t>Liver function</w:t>
      </w:r>
      <w:bookmarkEnd w:id="134"/>
      <w:bookmarkEnd w:id="135"/>
      <w:r w:rsidRPr="00A50C03">
        <w:t>, Kidney function, clinical chemistry, and haematology</w:t>
      </w:r>
      <w:bookmarkEnd w:id="136"/>
    </w:p>
    <w:p w:rsidR="00A50C03" w:rsidRPr="00A50C03" w:rsidRDefault="00A50C03" w:rsidP="00595FCE">
      <w:pPr>
        <w:pStyle w:val="Heading5"/>
      </w:pPr>
      <w:r w:rsidRPr="00A50C03">
        <w:t>Pivotal studies</w:t>
      </w:r>
    </w:p>
    <w:p w:rsidR="00A50C03" w:rsidRPr="00A50C03" w:rsidRDefault="00A50C03" w:rsidP="00595FCE">
      <w:pPr>
        <w:pStyle w:val="Heading6"/>
        <w:rPr>
          <w:lang w:val="nl-NL"/>
        </w:rPr>
      </w:pPr>
      <w:r w:rsidRPr="00A50C03">
        <w:rPr>
          <w:lang w:val="nl-NL"/>
        </w:rPr>
        <w:t>Keene et al.</w:t>
      </w:r>
      <w:r w:rsidRPr="00A50C03">
        <w:rPr>
          <w:vertAlign w:val="superscript"/>
          <w:lang w:val="nl-NL"/>
        </w:rPr>
        <w:footnoteReference w:id="106"/>
      </w:r>
    </w:p>
    <w:p w:rsidR="00A50C03" w:rsidRPr="00A50C03" w:rsidRDefault="00A50C03" w:rsidP="00595FCE">
      <w:r w:rsidRPr="00A50C03">
        <w:t xml:space="preserve">No abnormal values for complete blood count, platelet count, urea, </w:t>
      </w:r>
      <w:proofErr w:type="spellStart"/>
      <w:r w:rsidRPr="00A50C03">
        <w:t>creatinine</w:t>
      </w:r>
      <w:proofErr w:type="spellEnd"/>
      <w:r w:rsidRPr="00A50C03">
        <w:t>, glucose, ALT, TSH, T-4 or T-3 occurred during</w:t>
      </w:r>
    </w:p>
    <w:p w:rsidR="00A50C03" w:rsidRPr="00A50C03" w:rsidRDefault="00A50C03" w:rsidP="00595FCE">
      <w:pPr>
        <w:pStyle w:val="Heading6"/>
      </w:pPr>
      <w:r w:rsidRPr="00A50C03">
        <w:t xml:space="preserve">Canadian </w:t>
      </w:r>
      <w:r w:rsidR="00595FCE">
        <w:t>s</w:t>
      </w:r>
      <w:r w:rsidRPr="00A50C03">
        <w:t xml:space="preserve">tudy </w:t>
      </w:r>
      <w:r w:rsidR="00595FCE">
        <w:t>g</w:t>
      </w:r>
      <w:r w:rsidRPr="00A50C03">
        <w:t xml:space="preserve">roup for </w:t>
      </w:r>
      <w:r w:rsidR="00595FCE">
        <w:t>c</w:t>
      </w:r>
      <w:r w:rsidRPr="00A50C03">
        <w:t xml:space="preserve">hildhood </w:t>
      </w:r>
      <w:r w:rsidR="00595FCE">
        <w:t>e</w:t>
      </w:r>
      <w:r w:rsidRPr="00A50C03">
        <w:t>pilepsy</w:t>
      </w:r>
      <w:r w:rsidRPr="00A50C03">
        <w:rPr>
          <w:vertAlign w:val="superscript"/>
        </w:rPr>
        <w:footnoteReference w:id="107"/>
      </w:r>
      <w:r w:rsidRPr="00A50C03">
        <w:t xml:space="preserve"> and </w:t>
      </w:r>
      <w:proofErr w:type="spellStart"/>
      <w:r w:rsidRPr="00A50C03">
        <w:t>Bawden</w:t>
      </w:r>
      <w:proofErr w:type="spellEnd"/>
      <w:r w:rsidRPr="00A50C03">
        <w:t xml:space="preserve"> et al.</w:t>
      </w:r>
      <w:r w:rsidRPr="00A50C03">
        <w:rPr>
          <w:vertAlign w:val="superscript"/>
        </w:rPr>
        <w:footnoteReference w:id="108"/>
      </w:r>
    </w:p>
    <w:p w:rsidR="00A50C03" w:rsidRPr="00A50C03" w:rsidRDefault="00A50C03" w:rsidP="00595FCE">
      <w:r w:rsidRPr="00A50C03">
        <w:t xml:space="preserve">No patient had screening laboratory tests that lead to discontinuation of study medication. One patient died from a </w:t>
      </w:r>
      <w:proofErr w:type="spellStart"/>
      <w:r w:rsidRPr="00A50C03">
        <w:t>ventriculoperitoneal</w:t>
      </w:r>
      <w:proofErr w:type="spellEnd"/>
      <w:r w:rsidRPr="00A50C03">
        <w:t xml:space="preserve"> shunt obstruction unrelated to study medication.</w:t>
      </w:r>
    </w:p>
    <w:p w:rsidR="00A50C03" w:rsidRPr="00A50C03" w:rsidRDefault="00A50C03" w:rsidP="00595FCE">
      <w:pPr>
        <w:pStyle w:val="Heading6"/>
      </w:pPr>
      <w:r w:rsidRPr="00A50C03">
        <w:t>Ng et al.</w:t>
      </w:r>
      <w:r w:rsidRPr="00A50C03">
        <w:rPr>
          <w:vertAlign w:val="superscript"/>
        </w:rPr>
        <w:footnoteReference w:id="109"/>
      </w:r>
    </w:p>
    <w:p w:rsidR="00A50C03" w:rsidRPr="00A50C03" w:rsidRDefault="00A50C03" w:rsidP="00595FCE">
      <w:r w:rsidRPr="00A50C03">
        <w:t xml:space="preserve">Few treatment-emergent AEs associated with abnormal clinical laboratory results considered to be at least possibly related to study drug (thrombocytopenia and increased </w:t>
      </w:r>
      <w:proofErr w:type="spellStart"/>
      <w:r w:rsidRPr="00A50C03">
        <w:t>eosinophil</w:t>
      </w:r>
      <w:proofErr w:type="spellEnd"/>
      <w:r w:rsidRPr="00A50C03">
        <w:t xml:space="preserve"> count) were reported. No clinically meaningful trends were observed for clinical laboratory assessments, vital signs, ECG or EEG results, or in physical and neurologic examinations.</w:t>
      </w:r>
    </w:p>
    <w:p w:rsidR="00A50C03" w:rsidRPr="00A50C03" w:rsidRDefault="00A50C03" w:rsidP="00595FCE">
      <w:pPr>
        <w:pStyle w:val="Heading5"/>
      </w:pPr>
      <w:r w:rsidRPr="00A50C03">
        <w:t>Other studies</w:t>
      </w:r>
    </w:p>
    <w:p w:rsidR="00A50C03" w:rsidRPr="00A50C03" w:rsidRDefault="00A50C03" w:rsidP="00595FCE">
      <w:proofErr w:type="spellStart"/>
      <w:r w:rsidRPr="00A50C03">
        <w:t>Clobazam</w:t>
      </w:r>
      <w:proofErr w:type="spellEnd"/>
      <w:r w:rsidRPr="00A50C03">
        <w:t xml:space="preserve"> has potential interactions with </w:t>
      </w:r>
      <w:proofErr w:type="spellStart"/>
      <w:r w:rsidRPr="00A50C03">
        <w:t>phenobarbitone</w:t>
      </w:r>
      <w:proofErr w:type="spellEnd"/>
      <w:r w:rsidRPr="00A50C03">
        <w:t xml:space="preserve">, </w:t>
      </w:r>
      <w:proofErr w:type="spellStart"/>
      <w:r w:rsidRPr="00A50C03">
        <w:t>phenytoin</w:t>
      </w:r>
      <w:proofErr w:type="spellEnd"/>
      <w:r w:rsidRPr="00A50C03">
        <w:t xml:space="preserve">, </w:t>
      </w:r>
      <w:proofErr w:type="spellStart"/>
      <w:r w:rsidRPr="00A50C03">
        <w:t>felbamate</w:t>
      </w:r>
      <w:proofErr w:type="spellEnd"/>
      <w:r w:rsidRPr="00A50C03">
        <w:t xml:space="preserve">, </w:t>
      </w:r>
      <w:proofErr w:type="spellStart"/>
      <w:r w:rsidRPr="00A50C03">
        <w:t>valproate</w:t>
      </w:r>
      <w:proofErr w:type="spellEnd"/>
      <w:r w:rsidRPr="00A50C03">
        <w:t xml:space="preserve">, </w:t>
      </w:r>
      <w:proofErr w:type="spellStart"/>
      <w:r w:rsidRPr="00A50C03">
        <w:t>oxcarbazepine</w:t>
      </w:r>
      <w:proofErr w:type="spellEnd"/>
      <w:r w:rsidRPr="00A50C03">
        <w:t xml:space="preserve"> and </w:t>
      </w:r>
      <w:proofErr w:type="spellStart"/>
      <w:r w:rsidRPr="00A50C03">
        <w:t>carbamazepine</w:t>
      </w:r>
      <w:proofErr w:type="spellEnd"/>
      <w:r w:rsidRPr="00A50C03">
        <w:t xml:space="preserve"> and this is reflected in the PI.</w:t>
      </w:r>
      <w:r w:rsidRPr="00A50C03">
        <w:rPr>
          <w:vertAlign w:val="superscript"/>
        </w:rPr>
        <w:footnoteReference w:id="110"/>
      </w:r>
      <w:r w:rsidRPr="00A50C03">
        <w:t xml:space="preserve"> </w:t>
      </w:r>
    </w:p>
    <w:p w:rsidR="00A50C03" w:rsidRPr="00A50C03" w:rsidRDefault="00A50C03" w:rsidP="00595FCE">
      <w:r w:rsidRPr="00A50C03">
        <w:t xml:space="preserve">CYP2C19 genotype is responsible for </w:t>
      </w:r>
      <w:proofErr w:type="spellStart"/>
      <w:r w:rsidRPr="00A50C03">
        <w:t>interindividual</w:t>
      </w:r>
      <w:proofErr w:type="spellEnd"/>
      <w:r w:rsidRPr="00A50C03">
        <w:t xml:space="preserve"> variations in </w:t>
      </w:r>
      <w:proofErr w:type="spellStart"/>
      <w:r w:rsidRPr="00A50C03">
        <w:t>clobazam</w:t>
      </w:r>
      <w:proofErr w:type="spellEnd"/>
      <w:r w:rsidRPr="00A50C03">
        <w:t xml:space="preserve"> plasma concentrations and its metabolite and can be affected by some drugs.</w:t>
      </w:r>
      <w:r w:rsidRPr="00A50C03">
        <w:rPr>
          <w:vertAlign w:val="superscript"/>
        </w:rPr>
        <w:footnoteReference w:id="111"/>
      </w:r>
      <w:r w:rsidRPr="00A50C03">
        <w:t xml:space="preserve"> </w:t>
      </w:r>
    </w:p>
    <w:p w:rsidR="00A50C03" w:rsidRPr="00A50C03" w:rsidRDefault="00A50C03" w:rsidP="00595FCE">
      <w:pPr>
        <w:pStyle w:val="Heading3"/>
      </w:pPr>
      <w:bookmarkStart w:id="137" w:name="_Toc241374326"/>
      <w:bookmarkStart w:id="138" w:name="_Ref272333048"/>
      <w:bookmarkStart w:id="139" w:name="_Toc272414679"/>
      <w:bookmarkStart w:id="140" w:name="_Toc290846317"/>
      <w:bookmarkStart w:id="141" w:name="_Toc332659667"/>
      <w:bookmarkStart w:id="142" w:name="_Toc365022523"/>
      <w:bookmarkStart w:id="143" w:name="_Toc370902562"/>
      <w:r w:rsidRPr="00A50C03">
        <w:t>Post-marketing experience</w:t>
      </w:r>
      <w:bookmarkEnd w:id="137"/>
      <w:bookmarkEnd w:id="138"/>
      <w:bookmarkEnd w:id="139"/>
      <w:bookmarkEnd w:id="140"/>
      <w:bookmarkEnd w:id="141"/>
      <w:bookmarkEnd w:id="142"/>
      <w:bookmarkEnd w:id="143"/>
    </w:p>
    <w:p w:rsidR="00A50C03" w:rsidRPr="00A50C03" w:rsidRDefault="00A50C03" w:rsidP="00595FCE">
      <w:proofErr w:type="spellStart"/>
      <w:r w:rsidRPr="00A50C03">
        <w:t>Clobazam</w:t>
      </w:r>
      <w:proofErr w:type="spellEnd"/>
      <w:r w:rsidRPr="00A50C03">
        <w:t xml:space="preserve"> is marketed in over 80 countries by </w:t>
      </w:r>
      <w:proofErr w:type="spellStart"/>
      <w:r w:rsidRPr="00A50C03">
        <w:t>Sanofi</w:t>
      </w:r>
      <w:proofErr w:type="spellEnd"/>
      <w:r w:rsidRPr="00A50C03">
        <w:t xml:space="preserve">-Aventis and it was first approved in Australia over 40 years ago. A total of 356 cases, including 243 medically-confirmed cases and 113 medically-unconfirmed cases were presented from the </w:t>
      </w:r>
      <w:proofErr w:type="spellStart"/>
      <w:r w:rsidRPr="00A50C03">
        <w:t>Sanofi</w:t>
      </w:r>
      <w:proofErr w:type="spellEnd"/>
      <w:r w:rsidRPr="00A50C03">
        <w:t xml:space="preserve">-Aventis </w:t>
      </w:r>
      <w:proofErr w:type="spellStart"/>
      <w:r w:rsidRPr="00A50C03">
        <w:t>pharmacovigilance</w:t>
      </w:r>
      <w:proofErr w:type="spellEnd"/>
      <w:r w:rsidRPr="00A50C03">
        <w:t xml:space="preserve"> database. Among these 356 cases, 196 were </w:t>
      </w:r>
      <w:proofErr w:type="spellStart"/>
      <w:r w:rsidRPr="00A50C03">
        <w:t>non</w:t>
      </w:r>
      <w:proofErr w:type="spellEnd"/>
      <w:r w:rsidRPr="00A50C03">
        <w:t xml:space="preserve"> serious, 160 were serious. Fifty one (51) occurred in patients aged [0-3 years], 74 cases in patients aged [3-6 years], 125 cases in patients aged [7-12 years], 82 cases in patients aged [13-17 years] and 24 cases in children with not specified age. The evaluator has reviewed post-marketing experience and not identified safety issues that would preclude approval of an expanded indication for </w:t>
      </w:r>
      <w:proofErr w:type="spellStart"/>
      <w:r w:rsidRPr="00A50C03">
        <w:t>clobazam</w:t>
      </w:r>
      <w:proofErr w:type="spellEnd"/>
      <w:r w:rsidRPr="00A50C03">
        <w:t>.</w:t>
      </w:r>
    </w:p>
    <w:p w:rsidR="00A50C03" w:rsidRPr="00A50C03" w:rsidRDefault="00A50C03" w:rsidP="00595FCE">
      <w:r w:rsidRPr="00A50C03">
        <w:t xml:space="preserve">Post-marketing reports include no convincing evidence of serious skin reactions to </w:t>
      </w:r>
      <w:proofErr w:type="spellStart"/>
      <w:r w:rsidRPr="00A50C03">
        <w:t>clobazam</w:t>
      </w:r>
      <w:proofErr w:type="spellEnd"/>
      <w:r w:rsidRPr="00A50C03">
        <w:t xml:space="preserve"> including Stevens Johnson Syndrome and Toxic Epidermal </w:t>
      </w:r>
      <w:proofErr w:type="spellStart"/>
      <w:r w:rsidRPr="00A50C03">
        <w:t>Necrolysis</w:t>
      </w:r>
      <w:proofErr w:type="spellEnd"/>
      <w:r w:rsidRPr="00A50C03">
        <w:t xml:space="preserve">. </w:t>
      </w:r>
    </w:p>
    <w:p w:rsidR="00A50C03" w:rsidRPr="00A50C03" w:rsidRDefault="00A50C03" w:rsidP="00595FCE">
      <w:pPr>
        <w:pStyle w:val="Heading3"/>
      </w:pPr>
      <w:bookmarkStart w:id="144" w:name="_Toc241374328"/>
      <w:bookmarkStart w:id="145" w:name="_Toc272414691"/>
      <w:bookmarkStart w:id="146" w:name="_Toc290846329"/>
      <w:bookmarkStart w:id="147" w:name="_Toc332659668"/>
      <w:bookmarkStart w:id="148" w:name="_Toc365022524"/>
      <w:bookmarkStart w:id="149" w:name="_Toc370902563"/>
      <w:r w:rsidRPr="00A50C03">
        <w:t>Evaluator’s overall conclusions on clinical safety</w:t>
      </w:r>
      <w:bookmarkEnd w:id="144"/>
      <w:bookmarkEnd w:id="145"/>
      <w:bookmarkEnd w:id="146"/>
      <w:bookmarkEnd w:id="147"/>
      <w:bookmarkEnd w:id="148"/>
      <w:bookmarkEnd w:id="149"/>
    </w:p>
    <w:p w:rsidR="00A50C03" w:rsidRPr="00A50C03" w:rsidRDefault="00A50C03" w:rsidP="00595FCE">
      <w:r w:rsidRPr="00A50C03">
        <w:t xml:space="preserve">In the Phase II/III trials overall, 92% (277/300) of patients had one or more AEs. Those reported for at least 5% of </w:t>
      </w:r>
      <w:proofErr w:type="spellStart"/>
      <w:r w:rsidRPr="00A50C03">
        <w:t>clobazam</w:t>
      </w:r>
      <w:proofErr w:type="spellEnd"/>
      <w:r w:rsidRPr="00A50C03">
        <w:t xml:space="preserve"> trial subjects were somnolence (25%), upper respiratory infection (24%), pyrexia (19%), pneumonia (15%), lethargy (14%), </w:t>
      </w:r>
      <w:proofErr w:type="spellStart"/>
      <w:r w:rsidRPr="00A50C03">
        <w:t>nasopharyngitis</w:t>
      </w:r>
      <w:proofErr w:type="spellEnd"/>
      <w:r w:rsidRPr="00A50C03">
        <w:t xml:space="preserve">(14%), constipation (14%), aggression (13%), fall (13%), </w:t>
      </w:r>
      <w:proofErr w:type="spellStart"/>
      <w:r w:rsidRPr="00A50C03">
        <w:t>otitis</w:t>
      </w:r>
      <w:proofErr w:type="spellEnd"/>
      <w:r w:rsidRPr="00A50C03">
        <w:t xml:space="preserve"> media (13%), insomnia (12%), urinary tract infection (11%), drooling 11%), sedation (10%), skin laceration (10%), and convulsion, viral infection, diarrhoea, vomiting, contusion, irritability, ataxia, sinusitis, decreased appetite, influenza, fatigue, cough, gastroenteritis, and </w:t>
      </w:r>
      <w:proofErr w:type="spellStart"/>
      <w:r w:rsidRPr="00A50C03">
        <w:t>pharyngitis</w:t>
      </w:r>
      <w:proofErr w:type="spellEnd"/>
      <w:r w:rsidRPr="00A50C03">
        <w:t xml:space="preserve"> streptococcal (all less than 10%). There were no AEs in Phase II/III trials coded to the preferred terms </w:t>
      </w:r>
      <w:proofErr w:type="spellStart"/>
      <w:r w:rsidRPr="00A50C03">
        <w:t>aplastic</w:t>
      </w:r>
      <w:proofErr w:type="spellEnd"/>
      <w:r w:rsidRPr="00A50C03">
        <w:t xml:space="preserve"> anaemia, </w:t>
      </w:r>
      <w:proofErr w:type="spellStart"/>
      <w:r w:rsidRPr="00A50C03">
        <w:t>agranulocytosis</w:t>
      </w:r>
      <w:proofErr w:type="spellEnd"/>
      <w:r w:rsidRPr="00A50C03">
        <w:t xml:space="preserve">, Stevens Johnson Syndrome, Toxic epidermal </w:t>
      </w:r>
      <w:proofErr w:type="spellStart"/>
      <w:r w:rsidRPr="00A50C03">
        <w:t>necrolysis</w:t>
      </w:r>
      <w:proofErr w:type="spellEnd"/>
      <w:r w:rsidRPr="00A50C03">
        <w:t xml:space="preserve">, acute renal failure, acute liver failure, </w:t>
      </w:r>
      <w:proofErr w:type="spellStart"/>
      <w:r w:rsidRPr="00A50C03">
        <w:t>pancytopenia</w:t>
      </w:r>
      <w:proofErr w:type="spellEnd"/>
      <w:r w:rsidRPr="00A50C03">
        <w:t xml:space="preserve">, or </w:t>
      </w:r>
      <w:proofErr w:type="spellStart"/>
      <w:r w:rsidRPr="00A50C03">
        <w:t>rhabdomyolysis</w:t>
      </w:r>
      <w:proofErr w:type="spellEnd"/>
      <w:r w:rsidRPr="00A50C03">
        <w:t>.</w:t>
      </w:r>
    </w:p>
    <w:p w:rsidR="00A50C03" w:rsidRPr="00A50C03" w:rsidRDefault="00A50C03" w:rsidP="00595FCE">
      <w:r w:rsidRPr="00A50C03">
        <w:t xml:space="preserve">In the Phase II/III RCTs, there were small differences in overall AE risk when comparing low dose and high dose </w:t>
      </w:r>
      <w:proofErr w:type="spellStart"/>
      <w:r w:rsidRPr="00A50C03">
        <w:t>clobazam</w:t>
      </w:r>
      <w:proofErr w:type="spellEnd"/>
      <w:r w:rsidRPr="00A50C03">
        <w:t xml:space="preserve"> groups in the study by </w:t>
      </w:r>
      <w:proofErr w:type="spellStart"/>
      <w:r w:rsidRPr="00A50C03">
        <w:t>Conry</w:t>
      </w:r>
      <w:proofErr w:type="spellEnd"/>
      <w:r w:rsidRPr="00A50C03">
        <w:t xml:space="preserve"> and colleagues,</w:t>
      </w:r>
      <w:r w:rsidRPr="00A50C03">
        <w:rPr>
          <w:vertAlign w:val="superscript"/>
        </w:rPr>
        <w:footnoteReference w:id="112"/>
      </w:r>
      <w:r w:rsidRPr="00A50C03">
        <w:t xml:space="preserve"> and when comparing </w:t>
      </w:r>
      <w:proofErr w:type="spellStart"/>
      <w:r w:rsidRPr="00A50C03">
        <w:t>clobazam</w:t>
      </w:r>
      <w:proofErr w:type="spellEnd"/>
      <w:r w:rsidRPr="00A50C03">
        <w:t xml:space="preserve"> and placebo groups in Ng et al.</w:t>
      </w:r>
      <w:r w:rsidRPr="00A50C03">
        <w:rPr>
          <w:vertAlign w:val="superscript"/>
        </w:rPr>
        <w:footnoteReference w:id="113"/>
      </w:r>
      <w:r w:rsidRPr="00A50C03">
        <w:t xml:space="preserve"> In the study by </w:t>
      </w:r>
      <w:proofErr w:type="spellStart"/>
      <w:r w:rsidRPr="00A50C03">
        <w:t>Conry</w:t>
      </w:r>
      <w:proofErr w:type="spellEnd"/>
      <w:r w:rsidRPr="00A50C03">
        <w:t xml:space="preserve"> and colleagues,</w:t>
      </w:r>
      <w:r w:rsidRPr="00A50C03">
        <w:rPr>
          <w:vertAlign w:val="superscript"/>
        </w:rPr>
        <w:footnoteReference w:id="114"/>
      </w:r>
      <w:r w:rsidRPr="00A50C03">
        <w:t xml:space="preserve"> 84% (27/32) of low dose patients and 86% (31/36) of high dose patients experienced one or more AEs. In the study by Ng and colleagues,</w:t>
      </w:r>
      <w:r w:rsidRPr="00A50C03">
        <w:rPr>
          <w:vertAlign w:val="superscript"/>
        </w:rPr>
        <w:footnoteReference w:id="115"/>
      </w:r>
      <w:r w:rsidRPr="00A50C03">
        <w:t xml:space="preserve"> 68% (40/59) of placebo patients, 72% (42/58) of LD, 89% (55/62) of MD, and 76% (45/59) of HD </w:t>
      </w:r>
      <w:proofErr w:type="spellStart"/>
      <w:r w:rsidRPr="00A50C03">
        <w:t>clobazam</w:t>
      </w:r>
      <w:proofErr w:type="spellEnd"/>
      <w:r w:rsidRPr="00A50C03">
        <w:t xml:space="preserve"> patients experienced one or more AEs. A dose response was noted for somnolence and constipation with </w:t>
      </w:r>
      <w:proofErr w:type="spellStart"/>
      <w:r w:rsidRPr="00A50C03">
        <w:t>clobazam</w:t>
      </w:r>
      <w:proofErr w:type="spellEnd"/>
      <w:r w:rsidRPr="00A50C03">
        <w:t xml:space="preserve">. AEs reported for ≥ 5% of </w:t>
      </w:r>
      <w:proofErr w:type="spellStart"/>
      <w:r w:rsidRPr="00A50C03">
        <w:t>clobazam</w:t>
      </w:r>
      <w:proofErr w:type="spellEnd"/>
      <w:r w:rsidRPr="00A50C03">
        <w:t xml:space="preserve"> patients and more frequently than placebo in the study by Ng and colleagues</w:t>
      </w:r>
      <w:r w:rsidRPr="00A50C03">
        <w:rPr>
          <w:vertAlign w:val="superscript"/>
        </w:rPr>
        <w:footnoteReference w:id="116"/>
      </w:r>
      <w:r w:rsidRPr="00A50C03">
        <w:t xml:space="preserve"> were vomiting, constipation, pyrexia, irritability, fatigue, upper respiratory tract infection, somnolence, lethargy, drooling, ataxia, sedation, aggression, insomnia, and cough.</w:t>
      </w:r>
    </w:p>
    <w:p w:rsidR="00A50C03" w:rsidRPr="00A50C03" w:rsidRDefault="00A50C03" w:rsidP="00595FCE">
      <w:r w:rsidRPr="00A50C03">
        <w:t xml:space="preserve">The evaluator notes no concerning findings for AEs regarding laboratory findings, ECG abnormalities, drug disease or drug-drug interactions. There are no concerning issues identified with regards to human carcinogenicity. In Phase II/III LGS trials where some subjects who discontinued were tapered off </w:t>
      </w:r>
      <w:proofErr w:type="spellStart"/>
      <w:r w:rsidRPr="00A50C03">
        <w:t>clobazam</w:t>
      </w:r>
      <w:proofErr w:type="spellEnd"/>
      <w:r w:rsidRPr="00A50C03">
        <w:t>, no AEs were reported and there were no reports of withdrawal seizures.</w:t>
      </w:r>
    </w:p>
    <w:p w:rsidR="00A50C03" w:rsidRPr="00A50C03" w:rsidRDefault="00A50C03" w:rsidP="00595FCE">
      <w:r w:rsidRPr="00A50C03">
        <w:t xml:space="preserve">In general, the AE profile observed with CLB in studies conducted by other sponsors and during post marketing experience is consistent with events seen with other benzodiazepines, such as sedation/drowsiness, dizziness, and ataxia. In these clinical studies conducted in patients with epilepsy that reported the overall percentage of patients who experienced AEs with CLB therapy, the numbers varied, but were in general approximately 40%. The most common AEs included sedation, behavioural abnormalities, ataxia, and drooling. AEs generally increased as dose increased and were generally mild and transient. In practice, these risks may be mitigated by slow up titration of </w:t>
      </w:r>
      <w:proofErr w:type="spellStart"/>
      <w:r w:rsidRPr="00A50C03">
        <w:t>clobazam</w:t>
      </w:r>
      <w:proofErr w:type="spellEnd"/>
      <w:r w:rsidRPr="00A50C03">
        <w:t xml:space="preserve">. The evaluator has identified no safety issues that would preclude expanding the indication for </w:t>
      </w:r>
      <w:proofErr w:type="spellStart"/>
      <w:r w:rsidRPr="00A50C03">
        <w:t>clobazam</w:t>
      </w:r>
      <w:proofErr w:type="spellEnd"/>
      <w:r w:rsidRPr="00A50C03">
        <w:t>.</w:t>
      </w:r>
    </w:p>
    <w:p w:rsidR="00A50C03" w:rsidRPr="00A50C03" w:rsidRDefault="00A50C03" w:rsidP="00595FCE">
      <w:pPr>
        <w:pStyle w:val="Heading2"/>
      </w:pPr>
      <w:bookmarkStart w:id="150" w:name="_Toc365022525"/>
      <w:bookmarkStart w:id="151" w:name="_Toc370902564"/>
      <w:r w:rsidRPr="00A50C03">
        <w:t>First round benefit-risk assessment</w:t>
      </w:r>
      <w:bookmarkEnd w:id="150"/>
      <w:bookmarkEnd w:id="151"/>
    </w:p>
    <w:p w:rsidR="00A50C03" w:rsidRPr="00A50C03" w:rsidRDefault="00A50C03" w:rsidP="00595FCE">
      <w:pPr>
        <w:pStyle w:val="Heading3"/>
      </w:pPr>
      <w:bookmarkStart w:id="152" w:name="_Toc236802592"/>
      <w:bookmarkStart w:id="153" w:name="_Toc241374331"/>
      <w:bookmarkStart w:id="154" w:name="_Ref272160836"/>
      <w:bookmarkStart w:id="155" w:name="_Toc272414693"/>
      <w:bookmarkStart w:id="156" w:name="_Toc290846331"/>
      <w:bookmarkStart w:id="157" w:name="_Toc332659670"/>
      <w:bookmarkStart w:id="158" w:name="_Toc365022526"/>
      <w:bookmarkStart w:id="159" w:name="_Toc370902565"/>
      <w:r w:rsidRPr="00A50C03">
        <w:t>First round assessment of benefits</w:t>
      </w:r>
      <w:bookmarkEnd w:id="152"/>
      <w:bookmarkEnd w:id="153"/>
      <w:bookmarkEnd w:id="154"/>
      <w:bookmarkEnd w:id="155"/>
      <w:bookmarkEnd w:id="156"/>
      <w:bookmarkEnd w:id="157"/>
      <w:bookmarkEnd w:id="158"/>
      <w:bookmarkEnd w:id="159"/>
    </w:p>
    <w:p w:rsidR="00A50C03" w:rsidRPr="00A50C03" w:rsidRDefault="00A50C03" w:rsidP="008E3285">
      <w:r w:rsidRPr="00A50C03">
        <w:t xml:space="preserve">The benefits of </w:t>
      </w:r>
      <w:proofErr w:type="spellStart"/>
      <w:r w:rsidRPr="00A50C03">
        <w:t>clobazam</w:t>
      </w:r>
      <w:proofErr w:type="spellEnd"/>
      <w:r w:rsidRPr="00A50C03">
        <w:t xml:space="preserve"> in the proposed usage are:</w:t>
      </w:r>
    </w:p>
    <w:p w:rsidR="00A50C03" w:rsidRPr="00A50C03" w:rsidRDefault="00A50C03" w:rsidP="008E3285">
      <w:pPr>
        <w:pStyle w:val="ListBullet"/>
      </w:pPr>
      <w:r w:rsidRPr="00A50C03">
        <w:t>Number Needed to Treat (NNT) for ≥ 50% reduction in drop seizures in LGS according to Ng et al:</w:t>
      </w:r>
      <w:r w:rsidRPr="00A50C03">
        <w:rPr>
          <w:vertAlign w:val="superscript"/>
        </w:rPr>
        <w:footnoteReference w:id="117"/>
      </w:r>
    </w:p>
    <w:p w:rsidR="00A50C03" w:rsidRPr="008E3285" w:rsidRDefault="00A50C03" w:rsidP="008E3285">
      <w:pPr>
        <w:pStyle w:val="ListBullet2"/>
        <w:tabs>
          <w:tab w:val="left" w:pos="3544"/>
        </w:tabs>
      </w:pPr>
      <w:r w:rsidRPr="008E3285">
        <w:t>LD (0.25 mg/kg/d)</w:t>
      </w:r>
      <w:r w:rsidR="008E3285">
        <w:tab/>
      </w:r>
      <w:r w:rsidRPr="008E3285">
        <w:t>NNT 8.5</w:t>
      </w:r>
    </w:p>
    <w:p w:rsidR="00A50C03" w:rsidRPr="008E3285" w:rsidRDefault="00A50C03" w:rsidP="008E3285">
      <w:pPr>
        <w:pStyle w:val="ListBullet2"/>
        <w:tabs>
          <w:tab w:val="left" w:pos="3544"/>
        </w:tabs>
      </w:pPr>
      <w:r w:rsidRPr="008E3285">
        <w:t>MD (0.50 mg/kg/d)</w:t>
      </w:r>
      <w:r w:rsidR="008E3285">
        <w:tab/>
      </w:r>
      <w:r w:rsidRPr="008E3285">
        <w:t>NNT 3.7</w:t>
      </w:r>
    </w:p>
    <w:p w:rsidR="00A50C03" w:rsidRPr="008E3285" w:rsidRDefault="00A50C03" w:rsidP="008E3285">
      <w:pPr>
        <w:pStyle w:val="ListBullet2"/>
        <w:tabs>
          <w:tab w:val="left" w:pos="3544"/>
        </w:tabs>
      </w:pPr>
      <w:r w:rsidRPr="008E3285">
        <w:t>HD (1.00 mg/kg/d)</w:t>
      </w:r>
      <w:r w:rsidR="008E3285">
        <w:tab/>
      </w:r>
      <w:r w:rsidRPr="008E3285">
        <w:t>NNT 2.2</w:t>
      </w:r>
    </w:p>
    <w:p w:rsidR="00A50C03" w:rsidRPr="00A50C03" w:rsidRDefault="00A50C03" w:rsidP="008E3285">
      <w:pPr>
        <w:pStyle w:val="ListBullet"/>
      </w:pPr>
      <w:r w:rsidRPr="00A50C03">
        <w:t>For reduction in seizures in treatment refractory childhood partial epilepsy according to Keene et al:</w:t>
      </w:r>
      <w:r w:rsidRPr="00A50C03">
        <w:rPr>
          <w:vertAlign w:val="superscript"/>
        </w:rPr>
        <w:footnoteReference w:id="118"/>
      </w:r>
    </w:p>
    <w:p w:rsidR="00A50C03" w:rsidRPr="00A50C03" w:rsidRDefault="00A50C03" w:rsidP="008E3285">
      <w:pPr>
        <w:pStyle w:val="ListBullet2"/>
        <w:tabs>
          <w:tab w:val="left" w:pos="3544"/>
        </w:tabs>
      </w:pPr>
      <w:r w:rsidRPr="00A50C03">
        <w:t>MD (0.50 mg/kg/d)</w:t>
      </w:r>
      <w:r w:rsidR="008E3285">
        <w:tab/>
      </w:r>
      <w:r w:rsidRPr="00A50C03">
        <w:t>NNT 1.9</w:t>
      </w:r>
    </w:p>
    <w:p w:rsidR="00A50C03" w:rsidRPr="00A50C03" w:rsidRDefault="00A50C03" w:rsidP="008E3285">
      <w:pPr>
        <w:pStyle w:val="Heading3"/>
      </w:pPr>
      <w:bookmarkStart w:id="160" w:name="_Toc236802596"/>
      <w:bookmarkStart w:id="161" w:name="_Toc241374334"/>
      <w:bookmarkStart w:id="162" w:name="_Ref272160964"/>
      <w:bookmarkStart w:id="163" w:name="_Toc272414694"/>
      <w:bookmarkStart w:id="164" w:name="_Toc290846332"/>
      <w:bookmarkStart w:id="165" w:name="_Toc332659671"/>
      <w:bookmarkStart w:id="166" w:name="_Toc365022527"/>
      <w:bookmarkStart w:id="167" w:name="_Toc370902566"/>
      <w:r w:rsidRPr="00A50C03">
        <w:t>First round assessment of risks</w:t>
      </w:r>
      <w:bookmarkEnd w:id="160"/>
      <w:bookmarkEnd w:id="161"/>
      <w:bookmarkEnd w:id="162"/>
      <w:bookmarkEnd w:id="163"/>
      <w:bookmarkEnd w:id="164"/>
      <w:bookmarkEnd w:id="165"/>
      <w:bookmarkEnd w:id="166"/>
      <w:bookmarkEnd w:id="167"/>
    </w:p>
    <w:p w:rsidR="00A50C03" w:rsidRPr="00A50C03" w:rsidRDefault="00A50C03" w:rsidP="008E3285">
      <w:r w:rsidRPr="00A50C03">
        <w:t xml:space="preserve">The risks of </w:t>
      </w:r>
      <w:proofErr w:type="spellStart"/>
      <w:r w:rsidRPr="00A50C03">
        <w:t>clobazam</w:t>
      </w:r>
      <w:proofErr w:type="spellEnd"/>
      <w:r w:rsidRPr="00A50C03">
        <w:t xml:space="preserve"> in the proposed usage are:</w:t>
      </w:r>
    </w:p>
    <w:p w:rsidR="00A50C03" w:rsidRPr="00A50C03" w:rsidRDefault="00A50C03" w:rsidP="008E3285">
      <w:pPr>
        <w:pStyle w:val="ListBullet"/>
      </w:pPr>
      <w:r w:rsidRPr="00A50C03">
        <w:t>In the study by Ng and colleagues,</w:t>
      </w:r>
      <w:r w:rsidRPr="00A50C03">
        <w:rPr>
          <w:vertAlign w:val="superscript"/>
        </w:rPr>
        <w:footnoteReference w:id="119"/>
      </w:r>
      <w:r w:rsidRPr="00A50C03">
        <w:t xml:space="preserve"> Number Needed to Harm (NNH) calculated for </w:t>
      </w:r>
      <w:r w:rsidRPr="00A50C03">
        <w:rPr>
          <w:i/>
        </w:rPr>
        <w:t>any AE</w:t>
      </w:r>
      <w:r w:rsidRPr="00A50C03">
        <w:t xml:space="preserve"> compared to placebo:</w:t>
      </w:r>
    </w:p>
    <w:p w:rsidR="00A50C03" w:rsidRPr="00A50C03" w:rsidRDefault="00A50C03" w:rsidP="008E3285">
      <w:pPr>
        <w:pStyle w:val="ListBullet2"/>
        <w:tabs>
          <w:tab w:val="left" w:pos="3544"/>
        </w:tabs>
      </w:pPr>
      <w:r w:rsidRPr="00A50C03">
        <w:t>LD (0.250 mg/kg/d)</w:t>
      </w:r>
      <w:r w:rsidR="008E3285">
        <w:tab/>
      </w:r>
      <w:r w:rsidRPr="00A50C03">
        <w:t>NNH 25</w:t>
      </w:r>
    </w:p>
    <w:p w:rsidR="00A50C03" w:rsidRPr="00A50C03" w:rsidRDefault="00A50C03" w:rsidP="008E3285">
      <w:pPr>
        <w:pStyle w:val="ListBullet2"/>
        <w:tabs>
          <w:tab w:val="left" w:pos="3544"/>
        </w:tabs>
      </w:pPr>
      <w:r w:rsidRPr="00A50C03">
        <w:t>MD (0.50 mg/kg/d)</w:t>
      </w:r>
      <w:r w:rsidR="008E3285">
        <w:tab/>
      </w:r>
      <w:r w:rsidRPr="00A50C03">
        <w:t>NNH 4.8</w:t>
      </w:r>
    </w:p>
    <w:p w:rsidR="00A50C03" w:rsidRPr="00A50C03" w:rsidRDefault="00A50C03" w:rsidP="008E3285">
      <w:pPr>
        <w:pStyle w:val="ListBullet2"/>
        <w:tabs>
          <w:tab w:val="left" w:pos="3544"/>
        </w:tabs>
      </w:pPr>
      <w:r w:rsidRPr="00A50C03">
        <w:t>HD (1.00 mg/kg/d)</w:t>
      </w:r>
      <w:r w:rsidR="008E3285">
        <w:tab/>
      </w:r>
      <w:r w:rsidRPr="00A50C03">
        <w:t>NNH 12.5</w:t>
      </w:r>
    </w:p>
    <w:p w:rsidR="00A50C03" w:rsidRPr="00A50C03" w:rsidRDefault="00A50C03" w:rsidP="008E3285">
      <w:r w:rsidRPr="00A50C03">
        <w:t>However, it should be noted that AEs were generally mild and transient. No significant differences were found in SAEs in the study by Ng et al.</w:t>
      </w:r>
      <w:r w:rsidRPr="00A50C03">
        <w:rPr>
          <w:vertAlign w:val="superscript"/>
        </w:rPr>
        <w:footnoteReference w:id="120"/>
      </w:r>
    </w:p>
    <w:p w:rsidR="00A50C03" w:rsidRPr="00A50C03" w:rsidRDefault="00A50C03" w:rsidP="008E3285">
      <w:r w:rsidRPr="00A50C03">
        <w:t xml:space="preserve">The only other “risk” identified by the evaluator is the potential issue of tolerance with long term use of </w:t>
      </w:r>
      <w:proofErr w:type="spellStart"/>
      <w:r w:rsidRPr="00A50C03">
        <w:t>clobazam</w:t>
      </w:r>
      <w:proofErr w:type="spellEnd"/>
      <w:r w:rsidRPr="00A50C03">
        <w:t>. Insufficient data is available to fully evaluate this “risk”.</w:t>
      </w:r>
    </w:p>
    <w:p w:rsidR="00A50C03" w:rsidRPr="00A50C03" w:rsidRDefault="00A50C03" w:rsidP="008E3285">
      <w:r w:rsidRPr="00A50C03">
        <w:t xml:space="preserve">The potential for benzodiazepines to be abused both orally and intravenously is well recognised. However, different benzodiazepines have different abuse potential; the more rapid the increase in the plasma level following ingestion, the greater the intoxicating effect and the more open to abuse the drug becomes. The speed of onset of action of a particular benzodiazepine seems to correlate well with the ‘popularity’ of that drug for abuse. It is noted that since </w:t>
      </w:r>
      <w:proofErr w:type="spellStart"/>
      <w:r w:rsidRPr="00A50C03">
        <w:t>clobazam</w:t>
      </w:r>
      <w:proofErr w:type="spellEnd"/>
      <w:r w:rsidRPr="00A50C03">
        <w:t xml:space="preserve"> is not water soluble it would be difficult for abusers to make an </w:t>
      </w:r>
      <w:proofErr w:type="spellStart"/>
      <w:r w:rsidRPr="00A50C03">
        <w:t>injectable</w:t>
      </w:r>
      <w:proofErr w:type="spellEnd"/>
      <w:r w:rsidRPr="00A50C03">
        <w:t xml:space="preserve"> form. Moreover, in the evaluator’s opinion, the propensity for abuse would be greater for the already approved indication of anxiety (in Australia) compared to the narrower indication of refractory childhood epilepsy. Therefore, the abuse potential for expanding the indication of </w:t>
      </w:r>
      <w:proofErr w:type="spellStart"/>
      <w:r w:rsidRPr="00A50C03">
        <w:t>clobazam</w:t>
      </w:r>
      <w:proofErr w:type="spellEnd"/>
      <w:r w:rsidRPr="00A50C03">
        <w:t xml:space="preserve"> in the evaluator’s opinion would be extremely low. </w:t>
      </w:r>
    </w:p>
    <w:p w:rsidR="00A50C03" w:rsidRPr="00A50C03" w:rsidRDefault="00A50C03" w:rsidP="00F109C1">
      <w:pPr>
        <w:pStyle w:val="Heading3"/>
      </w:pPr>
      <w:bookmarkStart w:id="168" w:name="_Toc236802597"/>
      <w:bookmarkStart w:id="169" w:name="_Toc241374335"/>
      <w:bookmarkStart w:id="170" w:name="_Toc272414695"/>
      <w:bookmarkStart w:id="171" w:name="_Toc290846333"/>
      <w:bookmarkStart w:id="172" w:name="_Toc332659672"/>
      <w:bookmarkStart w:id="173" w:name="_Toc365022528"/>
      <w:bookmarkStart w:id="174" w:name="_Toc370902567"/>
      <w:r w:rsidRPr="00A50C03">
        <w:t>First round assessment of benefit-risk balance</w:t>
      </w:r>
      <w:bookmarkEnd w:id="168"/>
      <w:bookmarkEnd w:id="169"/>
      <w:bookmarkEnd w:id="170"/>
      <w:bookmarkEnd w:id="171"/>
      <w:bookmarkEnd w:id="172"/>
      <w:bookmarkEnd w:id="173"/>
      <w:bookmarkEnd w:id="174"/>
    </w:p>
    <w:p w:rsidR="00A50C03" w:rsidRPr="00A50C03" w:rsidRDefault="00A50C03" w:rsidP="00F109C1">
      <w:r w:rsidRPr="00A50C03">
        <w:t xml:space="preserve">The benefit-risk balance of </w:t>
      </w:r>
      <w:proofErr w:type="spellStart"/>
      <w:r w:rsidRPr="00A50C03">
        <w:t>clobazam</w:t>
      </w:r>
      <w:proofErr w:type="spellEnd"/>
      <w:r w:rsidRPr="00A50C03">
        <w:t xml:space="preserve"> is unfavourable given the proposed usage, but would become favourable if the changes recommended below are adopted.</w:t>
      </w:r>
    </w:p>
    <w:p w:rsidR="00A50C03" w:rsidRPr="00A50C03" w:rsidRDefault="00A50C03" w:rsidP="00F109C1">
      <w:pPr>
        <w:pStyle w:val="Heading2"/>
      </w:pPr>
      <w:bookmarkStart w:id="175" w:name="_Toc365022529"/>
      <w:bookmarkStart w:id="176" w:name="_Toc370902568"/>
      <w:r w:rsidRPr="00A50C03">
        <w:t>First round recommendation regarding authorisation</w:t>
      </w:r>
      <w:bookmarkEnd w:id="175"/>
      <w:bookmarkEnd w:id="176"/>
    </w:p>
    <w:p w:rsidR="00A50C03" w:rsidRPr="00A50C03" w:rsidRDefault="00A50C03" w:rsidP="00F109C1">
      <w:r w:rsidRPr="00A50C03">
        <w:t xml:space="preserve">In the evaluator’s opinion, the submission would have been significantly improved by the provision of data pertaining to the open label study of patients participating in the studies by </w:t>
      </w:r>
      <w:proofErr w:type="spellStart"/>
      <w:r w:rsidRPr="00A50C03">
        <w:t>Conry</w:t>
      </w:r>
      <w:proofErr w:type="spellEnd"/>
      <w:r w:rsidRPr="00A50C03">
        <w:t xml:space="preserve"> and colleagues</w:t>
      </w:r>
      <w:r w:rsidRPr="00A50C03">
        <w:rPr>
          <w:vertAlign w:val="superscript"/>
        </w:rPr>
        <w:footnoteReference w:id="121"/>
      </w:r>
      <w:r w:rsidRPr="00A50C03">
        <w:t xml:space="preserve"> and Ng and colleagues.</w:t>
      </w:r>
      <w:r w:rsidRPr="00A50C03">
        <w:rPr>
          <w:vertAlign w:val="superscript"/>
        </w:rPr>
        <w:footnoteReference w:id="122"/>
      </w:r>
      <w:r w:rsidRPr="00A50C03">
        <w:t xml:space="preserve"> </w:t>
      </w:r>
    </w:p>
    <w:p w:rsidR="00A50C03" w:rsidRPr="00A50C03" w:rsidRDefault="00A50C03" w:rsidP="008204B7">
      <w:r w:rsidRPr="00A50C03">
        <w:t>Based on the literature submission provided, the recommends approval of the submission with modification of the proposed indication:</w:t>
      </w:r>
    </w:p>
    <w:p w:rsidR="00A50C03" w:rsidRPr="00A50C03" w:rsidRDefault="00A50C03" w:rsidP="008204B7">
      <w:pPr>
        <w:ind w:left="720"/>
      </w:pPr>
      <w:r w:rsidRPr="00A50C03">
        <w:t>In Children ≥ 4years</w:t>
      </w:r>
    </w:p>
    <w:p w:rsidR="00A50C03" w:rsidRPr="008204B7" w:rsidRDefault="00A50C03" w:rsidP="008204B7">
      <w:pPr>
        <w:ind w:left="720"/>
        <w:rPr>
          <w:i/>
        </w:rPr>
      </w:pPr>
      <w:r w:rsidRPr="008204B7">
        <w:rPr>
          <w:i/>
        </w:rPr>
        <w:t xml:space="preserve">As adjunctive therapy in patients with Lennox </w:t>
      </w:r>
      <w:proofErr w:type="spellStart"/>
      <w:r w:rsidRPr="008204B7">
        <w:rPr>
          <w:i/>
        </w:rPr>
        <w:t>Gastaut</w:t>
      </w:r>
      <w:proofErr w:type="spellEnd"/>
      <w:r w:rsidRPr="008204B7">
        <w:rPr>
          <w:i/>
        </w:rPr>
        <w:t xml:space="preserve"> epilepsy who are not adequately stabilised with their current anticonvulsant therapy. </w:t>
      </w:r>
    </w:p>
    <w:p w:rsidR="00A50C03" w:rsidRPr="00A50C03" w:rsidRDefault="00A50C03" w:rsidP="008204B7">
      <w:pPr>
        <w:ind w:left="720"/>
      </w:pPr>
      <w:r w:rsidRPr="00A50C03">
        <w:t xml:space="preserve">And </w:t>
      </w:r>
    </w:p>
    <w:p w:rsidR="00A50C03" w:rsidRPr="008204B7" w:rsidRDefault="00A50C03" w:rsidP="008204B7">
      <w:pPr>
        <w:ind w:left="567"/>
        <w:rPr>
          <w:i/>
        </w:rPr>
      </w:pPr>
      <w:r w:rsidRPr="008204B7">
        <w:rPr>
          <w:i/>
        </w:rPr>
        <w:t>As short to medium term adjunctive therapy in patients with partial refractory epilepsy who are not adequately stabilised with their current anticonvulsant therapy.</w:t>
      </w:r>
    </w:p>
    <w:p w:rsidR="00A50C03" w:rsidRPr="00A50C03" w:rsidRDefault="00A50C03" w:rsidP="008204B7">
      <w:pPr>
        <w:pStyle w:val="Heading2"/>
      </w:pPr>
      <w:bookmarkStart w:id="177" w:name="_Toc365022530"/>
      <w:bookmarkStart w:id="178" w:name="_Toc370902569"/>
      <w:r w:rsidRPr="00A50C03">
        <w:t>Clinical questions</w:t>
      </w:r>
      <w:bookmarkEnd w:id="177"/>
      <w:bookmarkEnd w:id="178"/>
    </w:p>
    <w:p w:rsidR="00A50C03" w:rsidRPr="00A50C03" w:rsidRDefault="00A50C03" w:rsidP="008204B7">
      <w:pPr>
        <w:rPr>
          <w:lang w:eastAsia="ja-JP"/>
        </w:rPr>
      </w:pPr>
      <w:r w:rsidRPr="00A50C03">
        <w:rPr>
          <w:lang w:eastAsia="ja-JP"/>
        </w:rPr>
        <w:t>None.</w:t>
      </w:r>
    </w:p>
    <w:p w:rsidR="00A50C03" w:rsidRPr="00A50C03" w:rsidRDefault="00A50C03" w:rsidP="008204B7">
      <w:pPr>
        <w:pStyle w:val="Heading2"/>
      </w:pPr>
      <w:bookmarkStart w:id="179" w:name="_Toc365022531"/>
      <w:bookmarkStart w:id="180" w:name="_Toc370902570"/>
      <w:r w:rsidRPr="00A50C03">
        <w:t>References</w:t>
      </w:r>
      <w:bookmarkEnd w:id="179"/>
      <w:bookmarkEnd w:id="180"/>
    </w:p>
    <w:p w:rsidR="00A50C03" w:rsidRPr="00A50C03" w:rsidRDefault="00A50C03" w:rsidP="008204B7">
      <w:pPr>
        <w:pStyle w:val="Numberbullet0"/>
        <w:numPr>
          <w:ilvl w:val="0"/>
          <w:numId w:val="46"/>
        </w:numPr>
      </w:pPr>
      <w:r w:rsidRPr="00A50C03">
        <w:t xml:space="preserve">Committee for medicinal products for human use. Guideline on clinical investigation of medicinal products in the treatment of epileptic disorders. 2010 Jul 22. </w:t>
      </w:r>
    </w:p>
    <w:p w:rsidR="00A50C03" w:rsidRPr="00A50C03" w:rsidRDefault="00A50C03" w:rsidP="008204B7">
      <w:pPr>
        <w:pStyle w:val="Numberbullet0"/>
        <w:numPr>
          <w:ilvl w:val="0"/>
          <w:numId w:val="46"/>
        </w:numPr>
      </w:pPr>
      <w:proofErr w:type="spellStart"/>
      <w:r w:rsidRPr="00A50C03">
        <w:t>Guerrini</w:t>
      </w:r>
      <w:proofErr w:type="spellEnd"/>
      <w:r w:rsidRPr="00A50C03">
        <w:t xml:space="preserve"> R, Belmonte A, </w:t>
      </w:r>
      <w:proofErr w:type="spellStart"/>
      <w:r w:rsidRPr="00A50C03">
        <w:t>Genton</w:t>
      </w:r>
      <w:proofErr w:type="spellEnd"/>
      <w:r w:rsidRPr="00A50C03">
        <w:t xml:space="preserve"> P. Antiepileptic drug-induced worsening of seizures in children. </w:t>
      </w:r>
      <w:proofErr w:type="spellStart"/>
      <w:r w:rsidRPr="00A50C03">
        <w:t>Epilepsia</w:t>
      </w:r>
      <w:proofErr w:type="spellEnd"/>
      <w:r w:rsidRPr="00A50C03">
        <w:t xml:space="preserve"> 1998;39 </w:t>
      </w:r>
      <w:proofErr w:type="spellStart"/>
      <w:r w:rsidRPr="00A50C03">
        <w:t>Suppl</w:t>
      </w:r>
      <w:proofErr w:type="spellEnd"/>
      <w:r w:rsidRPr="00A50C03">
        <w:t xml:space="preserve"> 3:S2-10.</w:t>
      </w:r>
    </w:p>
    <w:p w:rsidR="00A50C03" w:rsidRPr="00A50C03" w:rsidRDefault="00A50C03" w:rsidP="008204B7">
      <w:pPr>
        <w:pStyle w:val="Numberbullet0"/>
        <w:numPr>
          <w:ilvl w:val="0"/>
          <w:numId w:val="46"/>
        </w:numPr>
      </w:pPr>
      <w:proofErr w:type="spellStart"/>
      <w:r w:rsidRPr="00A50C03">
        <w:t>Clobazam</w:t>
      </w:r>
      <w:proofErr w:type="spellEnd"/>
      <w:r w:rsidRPr="00A50C03">
        <w:t xml:space="preserve"> has equivalent efficacy to </w:t>
      </w:r>
      <w:proofErr w:type="spellStart"/>
      <w:r w:rsidRPr="00A50C03">
        <w:t>carbamazepine</w:t>
      </w:r>
      <w:proofErr w:type="spellEnd"/>
      <w:r w:rsidRPr="00A50C03">
        <w:t xml:space="preserve"> and </w:t>
      </w:r>
      <w:proofErr w:type="spellStart"/>
      <w:r w:rsidRPr="00A50C03">
        <w:t>phenytoin</w:t>
      </w:r>
      <w:proofErr w:type="spellEnd"/>
      <w:r w:rsidRPr="00A50C03">
        <w:t xml:space="preserve"> as </w:t>
      </w:r>
      <w:proofErr w:type="spellStart"/>
      <w:r w:rsidRPr="00A50C03">
        <w:t>monotherapy</w:t>
      </w:r>
      <w:proofErr w:type="spellEnd"/>
      <w:r w:rsidRPr="00A50C03">
        <w:t xml:space="preserve"> for childhood epilepsy. Canadian Study Group for Childhood Epilepsy. </w:t>
      </w:r>
      <w:proofErr w:type="spellStart"/>
      <w:r w:rsidRPr="00A50C03">
        <w:t>Epilepsia</w:t>
      </w:r>
      <w:proofErr w:type="spellEnd"/>
      <w:r w:rsidRPr="00A50C03">
        <w:t xml:space="preserve"> 1998 Sep;39:952-959.</w:t>
      </w:r>
    </w:p>
    <w:p w:rsidR="00A50C03" w:rsidRPr="00A50C03" w:rsidRDefault="00A50C03" w:rsidP="008204B7">
      <w:pPr>
        <w:pStyle w:val="Numberbullet0"/>
        <w:numPr>
          <w:ilvl w:val="0"/>
          <w:numId w:val="46"/>
        </w:numPr>
      </w:pPr>
      <w:r w:rsidRPr="00A50C03">
        <w:t xml:space="preserve">Ng YT, </w:t>
      </w:r>
      <w:proofErr w:type="spellStart"/>
      <w:r w:rsidRPr="00A50C03">
        <w:t>Conry</w:t>
      </w:r>
      <w:proofErr w:type="spellEnd"/>
      <w:r w:rsidRPr="00A50C03">
        <w:t xml:space="preserve"> JA, Drummond R, </w:t>
      </w:r>
      <w:proofErr w:type="spellStart"/>
      <w:r w:rsidRPr="00A50C03">
        <w:t>Stolle</w:t>
      </w:r>
      <w:proofErr w:type="spellEnd"/>
      <w:r w:rsidRPr="00A50C03">
        <w:t xml:space="preserve"> J, Weinberg MA. Randomised, phase III study results of </w:t>
      </w:r>
      <w:proofErr w:type="spellStart"/>
      <w:r w:rsidRPr="00A50C03">
        <w:t>clobazam</w:t>
      </w:r>
      <w:proofErr w:type="spellEnd"/>
      <w:r w:rsidRPr="00A50C03">
        <w:t xml:space="preserve"> in Lennox-</w:t>
      </w:r>
      <w:proofErr w:type="spellStart"/>
      <w:r w:rsidRPr="00A50C03">
        <w:t>Gastaut</w:t>
      </w:r>
      <w:proofErr w:type="spellEnd"/>
      <w:r w:rsidRPr="00A50C03">
        <w:t xml:space="preserve"> syndrome. Neurology 2011 Oct 11;77:1473-1481.</w:t>
      </w:r>
    </w:p>
    <w:p w:rsidR="00A50C03" w:rsidRPr="00A50C03" w:rsidRDefault="00A50C03" w:rsidP="008204B7">
      <w:pPr>
        <w:pStyle w:val="Numberbullet0"/>
        <w:numPr>
          <w:ilvl w:val="0"/>
          <w:numId w:val="46"/>
        </w:numPr>
      </w:pPr>
      <w:proofErr w:type="spellStart"/>
      <w:r w:rsidRPr="00A50C03">
        <w:t>Conry</w:t>
      </w:r>
      <w:proofErr w:type="spellEnd"/>
      <w:r w:rsidRPr="00A50C03">
        <w:t xml:space="preserve"> JA, Ng YT, </w:t>
      </w:r>
      <w:proofErr w:type="spellStart"/>
      <w:r w:rsidRPr="00A50C03">
        <w:t>Paolicchi</w:t>
      </w:r>
      <w:proofErr w:type="spellEnd"/>
      <w:r w:rsidRPr="00A50C03">
        <w:t xml:space="preserve"> JM, et al. </w:t>
      </w:r>
      <w:proofErr w:type="spellStart"/>
      <w:r w:rsidRPr="00A50C03">
        <w:t>Clobazam</w:t>
      </w:r>
      <w:proofErr w:type="spellEnd"/>
      <w:r w:rsidRPr="00A50C03">
        <w:t xml:space="preserve"> in the treatment of Lennox-</w:t>
      </w:r>
      <w:proofErr w:type="spellStart"/>
      <w:r w:rsidRPr="00A50C03">
        <w:t>Gastaut</w:t>
      </w:r>
      <w:proofErr w:type="spellEnd"/>
      <w:r w:rsidRPr="00A50C03">
        <w:t xml:space="preserve"> syndrome. </w:t>
      </w:r>
      <w:proofErr w:type="spellStart"/>
      <w:r w:rsidRPr="00A50C03">
        <w:t>Epilepsia</w:t>
      </w:r>
      <w:proofErr w:type="spellEnd"/>
      <w:r w:rsidRPr="00A50C03">
        <w:t xml:space="preserve"> 2009 May;50:1158-1166.</w:t>
      </w:r>
    </w:p>
    <w:p w:rsidR="00A50C03" w:rsidRPr="00A50C03" w:rsidRDefault="00A50C03" w:rsidP="008204B7">
      <w:pPr>
        <w:pStyle w:val="Numberbullet0"/>
        <w:numPr>
          <w:ilvl w:val="0"/>
          <w:numId w:val="46"/>
        </w:numPr>
      </w:pPr>
      <w:r w:rsidRPr="00A50C03">
        <w:t xml:space="preserve">Keene DL, Whiting S, Humphreys P. </w:t>
      </w:r>
      <w:proofErr w:type="spellStart"/>
      <w:r w:rsidRPr="00A50C03">
        <w:t>Clobazam</w:t>
      </w:r>
      <w:proofErr w:type="spellEnd"/>
      <w:r w:rsidRPr="00A50C03">
        <w:t xml:space="preserve"> as an add-on drug in the treatment of refractory epilepsy of childhood. Can J </w:t>
      </w:r>
      <w:proofErr w:type="spellStart"/>
      <w:r w:rsidRPr="00A50C03">
        <w:t>Neurol</w:t>
      </w:r>
      <w:proofErr w:type="spellEnd"/>
      <w:r w:rsidRPr="00A50C03">
        <w:t xml:space="preserve"> </w:t>
      </w:r>
      <w:proofErr w:type="spellStart"/>
      <w:r w:rsidRPr="00A50C03">
        <w:t>Sci</w:t>
      </w:r>
      <w:proofErr w:type="spellEnd"/>
      <w:r w:rsidRPr="00A50C03">
        <w:t xml:space="preserve"> 1990 Aug;17:317-319.</w:t>
      </w:r>
    </w:p>
    <w:p w:rsidR="00A50C03" w:rsidRPr="00A50C03" w:rsidRDefault="00A50C03" w:rsidP="008204B7">
      <w:pPr>
        <w:pStyle w:val="Numberbullet0"/>
        <w:numPr>
          <w:ilvl w:val="0"/>
          <w:numId w:val="46"/>
        </w:numPr>
      </w:pPr>
      <w:proofErr w:type="spellStart"/>
      <w:r w:rsidRPr="00A50C03">
        <w:t>Bawden</w:t>
      </w:r>
      <w:proofErr w:type="spellEnd"/>
      <w:r w:rsidRPr="00A50C03">
        <w:t xml:space="preserve"> HN, </w:t>
      </w:r>
      <w:proofErr w:type="spellStart"/>
      <w:r w:rsidRPr="00A50C03">
        <w:t>Camfield</w:t>
      </w:r>
      <w:proofErr w:type="spellEnd"/>
      <w:r w:rsidRPr="00A50C03">
        <w:t xml:space="preserve"> CS, </w:t>
      </w:r>
      <w:proofErr w:type="spellStart"/>
      <w:r w:rsidRPr="00A50C03">
        <w:t>Camfield</w:t>
      </w:r>
      <w:proofErr w:type="spellEnd"/>
      <w:r w:rsidRPr="00A50C03">
        <w:t xml:space="preserve"> PR, et al. The cognitive and behavioural effects of </w:t>
      </w:r>
      <w:proofErr w:type="spellStart"/>
      <w:r w:rsidRPr="00A50C03">
        <w:t>clobazam</w:t>
      </w:r>
      <w:proofErr w:type="spellEnd"/>
      <w:r w:rsidRPr="00A50C03">
        <w:t xml:space="preserve"> and standard </w:t>
      </w:r>
      <w:proofErr w:type="spellStart"/>
      <w:r w:rsidRPr="00A50C03">
        <w:t>monotherapy</w:t>
      </w:r>
      <w:proofErr w:type="spellEnd"/>
      <w:r w:rsidRPr="00A50C03">
        <w:t xml:space="preserve"> are comparable. Canadian Study Group for Childhood Epilepsy. Epilepsy Res 1999 Feb;33:133-143.</w:t>
      </w:r>
    </w:p>
    <w:p w:rsidR="00A50C03" w:rsidRPr="00A50C03" w:rsidRDefault="00A50C03" w:rsidP="008204B7">
      <w:pPr>
        <w:pStyle w:val="Numberbullet0"/>
      </w:pPr>
      <w:r w:rsidRPr="00A50C03">
        <w:t xml:space="preserve">Rose W, </w:t>
      </w:r>
      <w:proofErr w:type="spellStart"/>
      <w:r w:rsidRPr="00A50C03">
        <w:t>Kirubakaran</w:t>
      </w:r>
      <w:proofErr w:type="spellEnd"/>
      <w:r w:rsidRPr="00A50C03">
        <w:t xml:space="preserve"> C, Scott JX. Intermittent </w:t>
      </w:r>
      <w:proofErr w:type="spellStart"/>
      <w:r w:rsidRPr="00A50C03">
        <w:t>clobazam</w:t>
      </w:r>
      <w:proofErr w:type="spellEnd"/>
      <w:r w:rsidRPr="00A50C03">
        <w:t xml:space="preserve"> therapy in febrile seizures. Indian J </w:t>
      </w:r>
      <w:proofErr w:type="spellStart"/>
      <w:r w:rsidRPr="00A50C03">
        <w:t>Pediatr</w:t>
      </w:r>
      <w:proofErr w:type="spellEnd"/>
      <w:r w:rsidRPr="00A50C03">
        <w:t xml:space="preserve"> 2005 Jan;72:31-33.</w:t>
      </w:r>
    </w:p>
    <w:p w:rsidR="00A50C03" w:rsidRPr="00A50C03" w:rsidRDefault="00A50C03" w:rsidP="008204B7">
      <w:pPr>
        <w:pStyle w:val="Numberbullet0"/>
      </w:pPr>
      <w:r w:rsidRPr="00A50C03">
        <w:t xml:space="preserve">Bajaj AS, Bajaj BK, </w:t>
      </w:r>
      <w:proofErr w:type="spellStart"/>
      <w:r w:rsidRPr="00A50C03">
        <w:t>Puri</w:t>
      </w:r>
      <w:proofErr w:type="spellEnd"/>
      <w:r w:rsidRPr="00A50C03">
        <w:t xml:space="preserve"> V, </w:t>
      </w:r>
      <w:proofErr w:type="spellStart"/>
      <w:r w:rsidRPr="00A50C03">
        <w:t>Tayal</w:t>
      </w:r>
      <w:proofErr w:type="spellEnd"/>
      <w:r w:rsidRPr="00A50C03">
        <w:t xml:space="preserve"> G. Intermittent </w:t>
      </w:r>
      <w:proofErr w:type="spellStart"/>
      <w:r w:rsidRPr="00A50C03">
        <w:t>clobazam</w:t>
      </w:r>
      <w:proofErr w:type="spellEnd"/>
      <w:r w:rsidRPr="00A50C03">
        <w:t xml:space="preserve"> in febrile seizures: an Indian experience. J </w:t>
      </w:r>
      <w:proofErr w:type="spellStart"/>
      <w:r w:rsidRPr="00A50C03">
        <w:t>Pediatr</w:t>
      </w:r>
      <w:proofErr w:type="spellEnd"/>
      <w:r w:rsidRPr="00A50C03">
        <w:t xml:space="preserve"> </w:t>
      </w:r>
      <w:proofErr w:type="spellStart"/>
      <w:r w:rsidRPr="00A50C03">
        <w:t>Neurol</w:t>
      </w:r>
      <w:proofErr w:type="spellEnd"/>
      <w:r w:rsidRPr="00A50C03">
        <w:t xml:space="preserve"> 2005;2:19-23.</w:t>
      </w:r>
    </w:p>
    <w:p w:rsidR="00A50C03" w:rsidRPr="00A50C03" w:rsidRDefault="00A50C03" w:rsidP="008204B7">
      <w:pPr>
        <w:pStyle w:val="Numberbullet0"/>
      </w:pPr>
      <w:proofErr w:type="spellStart"/>
      <w:r w:rsidRPr="00A50C03">
        <w:t>Treiman</w:t>
      </w:r>
      <w:proofErr w:type="spellEnd"/>
      <w:r w:rsidRPr="00A50C03">
        <w:t xml:space="preserve"> DM. </w:t>
      </w:r>
      <w:proofErr w:type="spellStart"/>
      <w:r w:rsidRPr="00A50C03">
        <w:t>GABAergic</w:t>
      </w:r>
      <w:proofErr w:type="spellEnd"/>
      <w:r w:rsidRPr="00A50C03">
        <w:t xml:space="preserve"> mechanisms in epilepsy. </w:t>
      </w:r>
      <w:proofErr w:type="spellStart"/>
      <w:r w:rsidRPr="00A50C03">
        <w:t>Epilepsia</w:t>
      </w:r>
      <w:proofErr w:type="spellEnd"/>
      <w:r w:rsidRPr="00A50C03">
        <w:t xml:space="preserve"> 2001;42 </w:t>
      </w:r>
      <w:proofErr w:type="spellStart"/>
      <w:r w:rsidRPr="00A50C03">
        <w:t>Suppl</w:t>
      </w:r>
      <w:proofErr w:type="spellEnd"/>
      <w:r w:rsidRPr="00A50C03">
        <w:t xml:space="preserve"> 3:8-12.</w:t>
      </w:r>
    </w:p>
    <w:p w:rsidR="00A50C03" w:rsidRPr="00A50C03" w:rsidRDefault="00A50C03" w:rsidP="008204B7">
      <w:pPr>
        <w:pStyle w:val="Numberbullet0"/>
      </w:pPr>
      <w:r w:rsidRPr="00A50C03">
        <w:t>Cross-Discipline team leader review. APPLICATION NUMBER:202067Orig1s000 2011Available from: URL: www.accessdata.fda.gov/drugsatfda_docs/nda/2011/202067Orig1s000CrossR.pdf</w:t>
      </w:r>
    </w:p>
    <w:p w:rsidR="00A50C03" w:rsidRPr="00A50C03" w:rsidRDefault="00A50C03" w:rsidP="008204B7">
      <w:pPr>
        <w:pStyle w:val="Numberbullet0"/>
      </w:pPr>
      <w:r w:rsidRPr="00A50C03">
        <w:t>FDA APPLICATION NUMBER: 202067Orig1s000 MEDICAL REVIEW(S). FDA 2011Available from: URL: www.accessdata.fda.gov/drugsatfda_docs/nda/2011/202067Orig1s000MedR.pdf</w:t>
      </w:r>
    </w:p>
    <w:p w:rsidR="00A50C03" w:rsidRPr="00A50C03" w:rsidRDefault="00A50C03" w:rsidP="008204B7">
      <w:pPr>
        <w:pStyle w:val="Numberbullet0"/>
      </w:pPr>
      <w:r w:rsidRPr="00A50C03">
        <w:t xml:space="preserve">Allen JW, Oxley J, Robertson MM, Trimble MR, </w:t>
      </w:r>
      <w:proofErr w:type="spellStart"/>
      <w:r w:rsidRPr="00A50C03">
        <w:t>Richens</w:t>
      </w:r>
      <w:proofErr w:type="spellEnd"/>
      <w:r w:rsidRPr="00A50C03">
        <w:t xml:space="preserve"> A, </w:t>
      </w:r>
      <w:proofErr w:type="spellStart"/>
      <w:r w:rsidRPr="00A50C03">
        <w:t>Jawad</w:t>
      </w:r>
      <w:proofErr w:type="spellEnd"/>
      <w:r w:rsidRPr="00A50C03">
        <w:t xml:space="preserve"> SS. </w:t>
      </w:r>
      <w:proofErr w:type="spellStart"/>
      <w:r w:rsidRPr="00A50C03">
        <w:t>Clobazam</w:t>
      </w:r>
      <w:proofErr w:type="spellEnd"/>
      <w:r w:rsidRPr="00A50C03">
        <w:t xml:space="preserve"> as adjunctive treatment in refractory epilepsy. Br Med J (</w:t>
      </w:r>
      <w:proofErr w:type="spellStart"/>
      <w:r w:rsidRPr="00A50C03">
        <w:t>Clin</w:t>
      </w:r>
      <w:proofErr w:type="spellEnd"/>
      <w:r w:rsidRPr="00A50C03">
        <w:t xml:space="preserve"> Res Ed) 1983 Apr 16;286:1246-1247.</w:t>
      </w:r>
    </w:p>
    <w:p w:rsidR="00A50C03" w:rsidRPr="00A50C03" w:rsidRDefault="00A50C03" w:rsidP="008204B7">
      <w:pPr>
        <w:pStyle w:val="Numberbullet0"/>
      </w:pPr>
      <w:r w:rsidRPr="00A50C03">
        <w:t xml:space="preserve">Schmidt D, Rohde M, Wolf P, Roeder-Wanner U. </w:t>
      </w:r>
      <w:proofErr w:type="spellStart"/>
      <w:r w:rsidRPr="00A50C03">
        <w:t>Clobazam</w:t>
      </w:r>
      <w:proofErr w:type="spellEnd"/>
      <w:r w:rsidRPr="00A50C03">
        <w:t xml:space="preserve"> for refractory focal epilepsy. A controlled trial. Arch </w:t>
      </w:r>
      <w:proofErr w:type="spellStart"/>
      <w:r w:rsidRPr="00A50C03">
        <w:t>Neurol</w:t>
      </w:r>
      <w:proofErr w:type="spellEnd"/>
      <w:r w:rsidRPr="00A50C03">
        <w:t xml:space="preserve"> 1986 Aug;43:824-826.</w:t>
      </w:r>
    </w:p>
    <w:p w:rsidR="00A50C03" w:rsidRPr="00A50C03" w:rsidRDefault="00A50C03" w:rsidP="008204B7">
      <w:pPr>
        <w:pStyle w:val="Numberbullet0"/>
      </w:pPr>
      <w:proofErr w:type="spellStart"/>
      <w:r w:rsidRPr="00A50C03">
        <w:t>Koeppen</w:t>
      </w:r>
      <w:proofErr w:type="spellEnd"/>
      <w:r w:rsidRPr="00A50C03">
        <w:t xml:space="preserve"> D, </w:t>
      </w:r>
      <w:proofErr w:type="spellStart"/>
      <w:r w:rsidRPr="00A50C03">
        <w:t>Baruzzi</w:t>
      </w:r>
      <w:proofErr w:type="spellEnd"/>
      <w:r w:rsidRPr="00A50C03">
        <w:t xml:space="preserve"> A, </w:t>
      </w:r>
      <w:proofErr w:type="spellStart"/>
      <w:r w:rsidRPr="00A50C03">
        <w:t>Capozza</w:t>
      </w:r>
      <w:proofErr w:type="spellEnd"/>
      <w:r w:rsidRPr="00A50C03">
        <w:t xml:space="preserve"> M, et al. </w:t>
      </w:r>
      <w:proofErr w:type="spellStart"/>
      <w:r w:rsidRPr="00A50C03">
        <w:t>Clobazam</w:t>
      </w:r>
      <w:proofErr w:type="spellEnd"/>
      <w:r w:rsidRPr="00A50C03">
        <w:t xml:space="preserve"> in therapy-resistant patients with partial epilepsy: a double-blind placebo-controlled crossover study. </w:t>
      </w:r>
      <w:proofErr w:type="spellStart"/>
      <w:r w:rsidRPr="00A50C03">
        <w:t>Epilepsia</w:t>
      </w:r>
      <w:proofErr w:type="spellEnd"/>
      <w:r w:rsidRPr="00A50C03">
        <w:t xml:space="preserve"> 1987 Sep;28:495-506.</w:t>
      </w:r>
    </w:p>
    <w:p w:rsidR="00A50C03" w:rsidRPr="00A50C03" w:rsidRDefault="00A50C03" w:rsidP="008204B7">
      <w:pPr>
        <w:pStyle w:val="Numberbullet0"/>
      </w:pPr>
      <w:r w:rsidRPr="00A50C03">
        <w:t xml:space="preserve">Munn R, </w:t>
      </w:r>
      <w:proofErr w:type="spellStart"/>
      <w:r w:rsidRPr="00A50C03">
        <w:t>Camfield</w:t>
      </w:r>
      <w:proofErr w:type="spellEnd"/>
      <w:r w:rsidRPr="00A50C03">
        <w:t xml:space="preserve"> P, </w:t>
      </w:r>
      <w:proofErr w:type="spellStart"/>
      <w:r w:rsidRPr="00A50C03">
        <w:t>Camfield</w:t>
      </w:r>
      <w:proofErr w:type="spellEnd"/>
      <w:r w:rsidRPr="00A50C03">
        <w:t xml:space="preserve"> C, Dooley J. </w:t>
      </w:r>
      <w:proofErr w:type="spellStart"/>
      <w:r w:rsidRPr="00A50C03">
        <w:t>Clobazam</w:t>
      </w:r>
      <w:proofErr w:type="spellEnd"/>
      <w:r w:rsidRPr="00A50C03">
        <w:t xml:space="preserve"> for refractory childhood seizure disorders--a valuable supplementary drug. Can J </w:t>
      </w:r>
      <w:proofErr w:type="spellStart"/>
      <w:r w:rsidRPr="00A50C03">
        <w:t>Neurol</w:t>
      </w:r>
      <w:proofErr w:type="spellEnd"/>
      <w:r w:rsidRPr="00A50C03">
        <w:t xml:space="preserve"> </w:t>
      </w:r>
      <w:proofErr w:type="spellStart"/>
      <w:r w:rsidRPr="00A50C03">
        <w:t>Sci</w:t>
      </w:r>
      <w:proofErr w:type="spellEnd"/>
      <w:r w:rsidRPr="00A50C03">
        <w:t xml:space="preserve"> 1988 Nov;15:406-408.</w:t>
      </w:r>
    </w:p>
    <w:p w:rsidR="00A50C03" w:rsidRPr="00A50C03" w:rsidRDefault="00A50C03" w:rsidP="008204B7">
      <w:pPr>
        <w:pStyle w:val="Numberbullet0"/>
      </w:pPr>
      <w:r w:rsidRPr="00A50C03">
        <w:t xml:space="preserve">Munn R, Farrell K. Open study of </w:t>
      </w:r>
      <w:proofErr w:type="spellStart"/>
      <w:r w:rsidRPr="00A50C03">
        <w:t>clobazam</w:t>
      </w:r>
      <w:proofErr w:type="spellEnd"/>
      <w:r w:rsidRPr="00A50C03">
        <w:t xml:space="preserve"> in refractory epilepsy. </w:t>
      </w:r>
      <w:proofErr w:type="spellStart"/>
      <w:r w:rsidRPr="00A50C03">
        <w:t>Pediatr</w:t>
      </w:r>
      <w:proofErr w:type="spellEnd"/>
      <w:r w:rsidRPr="00A50C03">
        <w:t xml:space="preserve"> </w:t>
      </w:r>
      <w:proofErr w:type="spellStart"/>
      <w:r w:rsidRPr="00A50C03">
        <w:t>Neurol</w:t>
      </w:r>
      <w:proofErr w:type="spellEnd"/>
      <w:r w:rsidRPr="00A50C03">
        <w:t xml:space="preserve"> 1993 Nov;9:465-469.</w:t>
      </w:r>
    </w:p>
    <w:p w:rsidR="00A50C03" w:rsidRPr="00A50C03" w:rsidRDefault="00A50C03" w:rsidP="008204B7">
      <w:pPr>
        <w:pStyle w:val="Numberbullet0"/>
      </w:pPr>
      <w:proofErr w:type="spellStart"/>
      <w:r w:rsidRPr="00A50C03">
        <w:t>da</w:t>
      </w:r>
      <w:proofErr w:type="spellEnd"/>
      <w:r w:rsidRPr="00A50C03">
        <w:t xml:space="preserve"> </w:t>
      </w:r>
      <w:proofErr w:type="spellStart"/>
      <w:r w:rsidRPr="00A50C03">
        <w:t>Silveira</w:t>
      </w:r>
      <w:proofErr w:type="spellEnd"/>
      <w:r w:rsidRPr="00A50C03">
        <w:t xml:space="preserve"> MR, Montenegro MA, </w:t>
      </w:r>
      <w:proofErr w:type="spellStart"/>
      <w:r w:rsidRPr="00A50C03">
        <w:t>Franzon</w:t>
      </w:r>
      <w:proofErr w:type="spellEnd"/>
      <w:r w:rsidRPr="00A50C03">
        <w:t xml:space="preserve"> RC, </w:t>
      </w:r>
      <w:proofErr w:type="spellStart"/>
      <w:r w:rsidRPr="00A50C03">
        <w:t>Guerreiro</w:t>
      </w:r>
      <w:proofErr w:type="spellEnd"/>
      <w:r w:rsidRPr="00A50C03">
        <w:t xml:space="preserve"> CA, </w:t>
      </w:r>
      <w:proofErr w:type="spellStart"/>
      <w:r w:rsidRPr="00A50C03">
        <w:t>Guerreiro</w:t>
      </w:r>
      <w:proofErr w:type="spellEnd"/>
      <w:r w:rsidRPr="00A50C03">
        <w:t xml:space="preserve"> MM. Effectiveness of </w:t>
      </w:r>
      <w:proofErr w:type="spellStart"/>
      <w:r w:rsidRPr="00A50C03">
        <w:t>clobazam</w:t>
      </w:r>
      <w:proofErr w:type="spellEnd"/>
      <w:r w:rsidRPr="00A50C03">
        <w:t xml:space="preserve"> as add-on therapy in children with refractory focal epilepsy. </w:t>
      </w:r>
      <w:proofErr w:type="spellStart"/>
      <w:r w:rsidRPr="00A50C03">
        <w:t>Arq</w:t>
      </w:r>
      <w:proofErr w:type="spellEnd"/>
      <w:r w:rsidRPr="00A50C03">
        <w:t xml:space="preserve"> </w:t>
      </w:r>
      <w:proofErr w:type="spellStart"/>
      <w:r w:rsidRPr="00A50C03">
        <w:t>Neuropsiquiatr</w:t>
      </w:r>
      <w:proofErr w:type="spellEnd"/>
      <w:r w:rsidRPr="00A50C03">
        <w:t xml:space="preserve"> 2006 Sep;64:705-710.</w:t>
      </w:r>
    </w:p>
    <w:p w:rsidR="00A50C03" w:rsidRPr="00A50C03" w:rsidRDefault="00A50C03" w:rsidP="008204B7">
      <w:pPr>
        <w:pStyle w:val="Numberbullet0"/>
      </w:pPr>
      <w:r w:rsidRPr="00A50C03">
        <w:t xml:space="preserve">Silva RC, Montenegro MA, </w:t>
      </w:r>
      <w:proofErr w:type="spellStart"/>
      <w:r w:rsidRPr="00A50C03">
        <w:t>Guerreiro</w:t>
      </w:r>
      <w:proofErr w:type="spellEnd"/>
      <w:r w:rsidRPr="00A50C03">
        <w:t xml:space="preserve"> CA, </w:t>
      </w:r>
      <w:proofErr w:type="spellStart"/>
      <w:r w:rsidRPr="00A50C03">
        <w:t>Guerreiro</w:t>
      </w:r>
      <w:proofErr w:type="spellEnd"/>
      <w:r w:rsidRPr="00A50C03">
        <w:t xml:space="preserve"> MM. </w:t>
      </w:r>
      <w:proofErr w:type="spellStart"/>
      <w:r w:rsidRPr="00A50C03">
        <w:t>Clobazam</w:t>
      </w:r>
      <w:proofErr w:type="spellEnd"/>
      <w:r w:rsidRPr="00A50C03">
        <w:t xml:space="preserve"> as add-on therapy in children with epileptic encephalopathy. Can J </w:t>
      </w:r>
      <w:proofErr w:type="spellStart"/>
      <w:r w:rsidRPr="00A50C03">
        <w:t>Neurol</w:t>
      </w:r>
      <w:proofErr w:type="spellEnd"/>
      <w:r w:rsidRPr="00A50C03">
        <w:t xml:space="preserve"> </w:t>
      </w:r>
      <w:proofErr w:type="spellStart"/>
      <w:r w:rsidRPr="00A50C03">
        <w:t>Sci</w:t>
      </w:r>
      <w:proofErr w:type="spellEnd"/>
      <w:r w:rsidRPr="00A50C03">
        <w:t xml:space="preserve"> 2006 May;33:209-213.</w:t>
      </w:r>
    </w:p>
    <w:p w:rsidR="00A50C03" w:rsidRPr="00A50C03" w:rsidRDefault="00A50C03" w:rsidP="008204B7">
      <w:pPr>
        <w:pStyle w:val="Numberbullet0"/>
      </w:pPr>
      <w:proofErr w:type="spellStart"/>
      <w:r w:rsidRPr="00A50C03">
        <w:t>Kalra</w:t>
      </w:r>
      <w:proofErr w:type="spellEnd"/>
      <w:r w:rsidRPr="00A50C03">
        <w:t xml:space="preserve"> V, Seth R, </w:t>
      </w:r>
      <w:proofErr w:type="spellStart"/>
      <w:r w:rsidRPr="00A50C03">
        <w:t>Mishra</w:t>
      </w:r>
      <w:proofErr w:type="spellEnd"/>
      <w:r w:rsidRPr="00A50C03">
        <w:t xml:space="preserve"> D, </w:t>
      </w:r>
      <w:proofErr w:type="spellStart"/>
      <w:r w:rsidRPr="00A50C03">
        <w:t>Saha</w:t>
      </w:r>
      <w:proofErr w:type="spellEnd"/>
      <w:r w:rsidRPr="00A50C03">
        <w:t xml:space="preserve"> NC. </w:t>
      </w:r>
      <w:proofErr w:type="spellStart"/>
      <w:r w:rsidRPr="00A50C03">
        <w:t>Clobazam</w:t>
      </w:r>
      <w:proofErr w:type="spellEnd"/>
      <w:r w:rsidRPr="00A50C03">
        <w:t xml:space="preserve"> in refractory childhood epilepsy. Indian J </w:t>
      </w:r>
      <w:proofErr w:type="spellStart"/>
      <w:r w:rsidRPr="00A50C03">
        <w:t>Pediatr</w:t>
      </w:r>
      <w:proofErr w:type="spellEnd"/>
      <w:r w:rsidRPr="00A50C03">
        <w:t xml:space="preserve"> 2010 Mar;77:263-266.</w:t>
      </w:r>
    </w:p>
    <w:p w:rsidR="00A50C03" w:rsidRPr="00A50C03" w:rsidRDefault="00A50C03" w:rsidP="008204B7">
      <w:pPr>
        <w:pStyle w:val="Numberbullet0"/>
      </w:pPr>
      <w:r w:rsidRPr="00A50C03">
        <w:t xml:space="preserve">(21) </w:t>
      </w:r>
      <w:r w:rsidRPr="00A50C03">
        <w:tab/>
      </w:r>
      <w:proofErr w:type="spellStart"/>
      <w:r w:rsidRPr="00A50C03">
        <w:t>Guberman</w:t>
      </w:r>
      <w:proofErr w:type="spellEnd"/>
      <w:r w:rsidRPr="00A50C03">
        <w:t xml:space="preserve"> A, Couture M, </w:t>
      </w:r>
      <w:proofErr w:type="spellStart"/>
      <w:r w:rsidRPr="00A50C03">
        <w:t>Blaschuk</w:t>
      </w:r>
      <w:proofErr w:type="spellEnd"/>
      <w:r w:rsidRPr="00A50C03">
        <w:t xml:space="preserve"> K, Sherwin A. Add-on trial of </w:t>
      </w:r>
      <w:proofErr w:type="spellStart"/>
      <w:r w:rsidRPr="00A50C03">
        <w:t>clobazam</w:t>
      </w:r>
      <w:proofErr w:type="spellEnd"/>
      <w:r w:rsidRPr="00A50C03">
        <w:t xml:space="preserve"> in intractable adult epilepsy with plasma level correlations. Can J </w:t>
      </w:r>
      <w:proofErr w:type="spellStart"/>
      <w:r w:rsidRPr="00A50C03">
        <w:t>Neurol</w:t>
      </w:r>
      <w:proofErr w:type="spellEnd"/>
      <w:r w:rsidRPr="00A50C03">
        <w:t xml:space="preserve"> </w:t>
      </w:r>
      <w:proofErr w:type="spellStart"/>
      <w:r w:rsidRPr="00A50C03">
        <w:t>Sci</w:t>
      </w:r>
      <w:proofErr w:type="spellEnd"/>
      <w:r w:rsidRPr="00A50C03">
        <w:t xml:space="preserve"> 1990 Aug;17:311-316.</w:t>
      </w:r>
    </w:p>
    <w:p w:rsidR="00A50C03" w:rsidRPr="00A50C03" w:rsidRDefault="00A50C03" w:rsidP="008204B7">
      <w:pPr>
        <w:pStyle w:val="Numberbullet0"/>
      </w:pPr>
      <w:r w:rsidRPr="00A50C03">
        <w:t xml:space="preserve">Stewart WA, Wood EP, Gordon KE, </w:t>
      </w:r>
      <w:proofErr w:type="spellStart"/>
      <w:r w:rsidRPr="00A50C03">
        <w:t>Camfield</w:t>
      </w:r>
      <w:proofErr w:type="spellEnd"/>
      <w:r w:rsidRPr="00A50C03">
        <w:t xml:space="preserve"> PR. Successful treatment of severe infantile </w:t>
      </w:r>
      <w:proofErr w:type="spellStart"/>
      <w:r w:rsidRPr="00A50C03">
        <w:t>hyperekplexia</w:t>
      </w:r>
      <w:proofErr w:type="spellEnd"/>
      <w:r w:rsidRPr="00A50C03">
        <w:t xml:space="preserve"> with low-dose </w:t>
      </w:r>
      <w:proofErr w:type="spellStart"/>
      <w:r w:rsidRPr="00A50C03">
        <w:t>clobazam</w:t>
      </w:r>
      <w:proofErr w:type="spellEnd"/>
      <w:r w:rsidRPr="00A50C03">
        <w:t xml:space="preserve">. J Child </w:t>
      </w:r>
      <w:proofErr w:type="spellStart"/>
      <w:r w:rsidRPr="00A50C03">
        <w:t>Neurol</w:t>
      </w:r>
      <w:proofErr w:type="spellEnd"/>
      <w:r w:rsidRPr="00A50C03">
        <w:t xml:space="preserve"> 2002 Feb;17:154-156.</w:t>
      </w:r>
    </w:p>
    <w:p w:rsidR="00A50C03" w:rsidRPr="00A50C03" w:rsidRDefault="00A50C03" w:rsidP="008204B7">
      <w:pPr>
        <w:pStyle w:val="Numberbullet0"/>
      </w:pPr>
      <w:r w:rsidRPr="00A50C03">
        <w:t xml:space="preserve">Buchanan N. </w:t>
      </w:r>
      <w:proofErr w:type="spellStart"/>
      <w:r w:rsidRPr="00A50C03">
        <w:t>Clobazam</w:t>
      </w:r>
      <w:proofErr w:type="spellEnd"/>
      <w:r w:rsidRPr="00A50C03">
        <w:t xml:space="preserve"> in the treatment of epilepsy: prospective follow-up to 8 years. J R Soc Med 1993 Jul;86:378-380.</w:t>
      </w:r>
    </w:p>
    <w:p w:rsidR="00A50C03" w:rsidRPr="00A50C03" w:rsidRDefault="00A50C03" w:rsidP="008204B7">
      <w:pPr>
        <w:pStyle w:val="Numberbullet0"/>
      </w:pPr>
      <w:proofErr w:type="spellStart"/>
      <w:r w:rsidRPr="00A50C03">
        <w:t>Barcs</w:t>
      </w:r>
      <w:proofErr w:type="spellEnd"/>
      <w:r w:rsidRPr="00A50C03">
        <w:t xml:space="preserve"> G, </w:t>
      </w:r>
      <w:proofErr w:type="spellStart"/>
      <w:r w:rsidRPr="00A50C03">
        <w:t>Halasz</w:t>
      </w:r>
      <w:proofErr w:type="spellEnd"/>
      <w:r w:rsidRPr="00A50C03">
        <w:t xml:space="preserve"> P. Effectiveness and tolerance of </w:t>
      </w:r>
      <w:proofErr w:type="spellStart"/>
      <w:r w:rsidRPr="00A50C03">
        <w:t>clobazam</w:t>
      </w:r>
      <w:proofErr w:type="spellEnd"/>
      <w:r w:rsidRPr="00A50C03">
        <w:t xml:space="preserve"> in temporal lobe epilepsy. </w:t>
      </w:r>
      <w:proofErr w:type="spellStart"/>
      <w:r w:rsidRPr="00A50C03">
        <w:t>Acta</w:t>
      </w:r>
      <w:proofErr w:type="spellEnd"/>
      <w:r w:rsidRPr="00A50C03">
        <w:t xml:space="preserve"> </w:t>
      </w:r>
      <w:proofErr w:type="spellStart"/>
      <w:r w:rsidRPr="00A50C03">
        <w:t>Neurol</w:t>
      </w:r>
      <w:proofErr w:type="spellEnd"/>
      <w:r w:rsidRPr="00A50C03">
        <w:t xml:space="preserve"> Scand 1996 Feb;93:88-93.</w:t>
      </w:r>
    </w:p>
    <w:p w:rsidR="00A50C03" w:rsidRPr="00A50C03" w:rsidRDefault="00A50C03" w:rsidP="008204B7">
      <w:pPr>
        <w:pStyle w:val="Numberbullet0"/>
      </w:pPr>
      <w:proofErr w:type="spellStart"/>
      <w:r w:rsidRPr="00A50C03">
        <w:t>Mehndiratta</w:t>
      </w:r>
      <w:proofErr w:type="spellEnd"/>
      <w:r w:rsidRPr="00A50C03">
        <w:t xml:space="preserve"> MM, Krishnamurthy M, Rajesh KN, Singh G. </w:t>
      </w:r>
      <w:proofErr w:type="spellStart"/>
      <w:r w:rsidRPr="00A50C03">
        <w:t>Clobazam</w:t>
      </w:r>
      <w:proofErr w:type="spellEnd"/>
      <w:r w:rsidRPr="00A50C03">
        <w:t xml:space="preserve"> </w:t>
      </w:r>
      <w:proofErr w:type="spellStart"/>
      <w:r w:rsidRPr="00A50C03">
        <w:t>monotherapy</w:t>
      </w:r>
      <w:proofErr w:type="spellEnd"/>
      <w:r w:rsidRPr="00A50C03">
        <w:t xml:space="preserve"> in drug naive adult patients with epilepsy. Seizure 2003 Jun;12:226-228.</w:t>
      </w:r>
    </w:p>
    <w:p w:rsidR="00A50C03" w:rsidRPr="00A50C03" w:rsidRDefault="00A50C03" w:rsidP="008204B7">
      <w:pPr>
        <w:pStyle w:val="Numberbullet0"/>
      </w:pPr>
      <w:r w:rsidRPr="00A50C03">
        <w:t xml:space="preserve">Shimizu H, Kawasaki J, Yuasa S, </w:t>
      </w:r>
      <w:proofErr w:type="spellStart"/>
      <w:r w:rsidRPr="00A50C03">
        <w:t>Tarao</w:t>
      </w:r>
      <w:proofErr w:type="spellEnd"/>
      <w:r w:rsidRPr="00A50C03">
        <w:t xml:space="preserve"> Y, </w:t>
      </w:r>
      <w:proofErr w:type="spellStart"/>
      <w:r w:rsidRPr="00A50C03">
        <w:t>Kumagai</w:t>
      </w:r>
      <w:proofErr w:type="spellEnd"/>
      <w:r w:rsidRPr="00A50C03">
        <w:t xml:space="preserve"> S, </w:t>
      </w:r>
      <w:proofErr w:type="spellStart"/>
      <w:r w:rsidRPr="00A50C03">
        <w:t>Kanemoto</w:t>
      </w:r>
      <w:proofErr w:type="spellEnd"/>
      <w:r w:rsidRPr="00A50C03">
        <w:t xml:space="preserve"> K. Use of </w:t>
      </w:r>
      <w:proofErr w:type="spellStart"/>
      <w:r w:rsidRPr="00A50C03">
        <w:t>clobazam</w:t>
      </w:r>
      <w:proofErr w:type="spellEnd"/>
      <w:r w:rsidRPr="00A50C03">
        <w:t xml:space="preserve"> for the treatment of refractory complex partial seizures. Seizure 2003 Jul;12:282-286.</w:t>
      </w:r>
    </w:p>
    <w:p w:rsidR="00A50C03" w:rsidRPr="00A50C03" w:rsidRDefault="00A50C03" w:rsidP="008204B7">
      <w:pPr>
        <w:pStyle w:val="Numberbullet0"/>
      </w:pPr>
      <w:r w:rsidRPr="00A50C03">
        <w:t xml:space="preserve">Montenegro MA, Ferreira CM, </w:t>
      </w:r>
      <w:proofErr w:type="spellStart"/>
      <w:r w:rsidRPr="00A50C03">
        <w:t>Cendes</w:t>
      </w:r>
      <w:proofErr w:type="spellEnd"/>
      <w:r w:rsidRPr="00A50C03">
        <w:t xml:space="preserve"> F, Li LM, </w:t>
      </w:r>
      <w:proofErr w:type="spellStart"/>
      <w:r w:rsidRPr="00A50C03">
        <w:t>Guerreiro</w:t>
      </w:r>
      <w:proofErr w:type="spellEnd"/>
      <w:r w:rsidRPr="00A50C03">
        <w:t xml:space="preserve"> CA. </w:t>
      </w:r>
      <w:proofErr w:type="spellStart"/>
      <w:r w:rsidRPr="00A50C03">
        <w:t>Clobazam</w:t>
      </w:r>
      <w:proofErr w:type="spellEnd"/>
      <w:r w:rsidRPr="00A50C03">
        <w:t xml:space="preserve"> as add-on therapy for temporal lobe epilepsy and </w:t>
      </w:r>
      <w:proofErr w:type="spellStart"/>
      <w:r w:rsidRPr="00A50C03">
        <w:t>hippocampal</w:t>
      </w:r>
      <w:proofErr w:type="spellEnd"/>
      <w:r w:rsidRPr="00A50C03">
        <w:t xml:space="preserve"> sclerosis. Can J </w:t>
      </w:r>
      <w:proofErr w:type="spellStart"/>
      <w:r w:rsidRPr="00A50C03">
        <w:t>Neurol</w:t>
      </w:r>
      <w:proofErr w:type="spellEnd"/>
      <w:r w:rsidRPr="00A50C03">
        <w:t xml:space="preserve"> </w:t>
      </w:r>
      <w:proofErr w:type="spellStart"/>
      <w:r w:rsidRPr="00A50C03">
        <w:t>Sci</w:t>
      </w:r>
      <w:proofErr w:type="spellEnd"/>
      <w:r w:rsidRPr="00A50C03">
        <w:t xml:space="preserve"> 2005 Feb;32:93-96.</w:t>
      </w:r>
    </w:p>
    <w:p w:rsidR="00A50C03" w:rsidRPr="00A50C03" w:rsidRDefault="00A50C03" w:rsidP="008204B7">
      <w:pPr>
        <w:pStyle w:val="Numberbullet0"/>
      </w:pPr>
      <w:r w:rsidRPr="00A50C03">
        <w:t xml:space="preserve">Kinoshita M, Ikeda A, Begum T, Terada K, </w:t>
      </w:r>
      <w:proofErr w:type="spellStart"/>
      <w:r w:rsidRPr="00A50C03">
        <w:t>Shibasaki</w:t>
      </w:r>
      <w:proofErr w:type="spellEnd"/>
      <w:r w:rsidRPr="00A50C03">
        <w:t xml:space="preserve"> H. Efficacy of low-dose, add-on therapy of </w:t>
      </w:r>
      <w:proofErr w:type="spellStart"/>
      <w:r w:rsidRPr="00A50C03">
        <w:t>clobazam</w:t>
      </w:r>
      <w:proofErr w:type="spellEnd"/>
      <w:r w:rsidRPr="00A50C03">
        <w:t xml:space="preserve"> (CLB) is produced by its major metabolite, N-</w:t>
      </w:r>
      <w:proofErr w:type="spellStart"/>
      <w:r w:rsidRPr="00A50C03">
        <w:t>desmethyl</w:t>
      </w:r>
      <w:proofErr w:type="spellEnd"/>
      <w:r w:rsidRPr="00A50C03">
        <w:t xml:space="preserve">-CLB. J </w:t>
      </w:r>
      <w:proofErr w:type="spellStart"/>
      <w:r w:rsidRPr="00A50C03">
        <w:t>Neurol</w:t>
      </w:r>
      <w:proofErr w:type="spellEnd"/>
      <w:r w:rsidRPr="00A50C03">
        <w:t xml:space="preserve"> </w:t>
      </w:r>
      <w:proofErr w:type="spellStart"/>
      <w:r w:rsidRPr="00A50C03">
        <w:t>Sci</w:t>
      </w:r>
      <w:proofErr w:type="spellEnd"/>
      <w:r w:rsidRPr="00A50C03">
        <w:t xml:space="preserve"> 2007 Dec 15;263:44-48.</w:t>
      </w:r>
    </w:p>
    <w:p w:rsidR="00A50C03" w:rsidRPr="00A50C03" w:rsidRDefault="00A50C03" w:rsidP="008204B7">
      <w:pPr>
        <w:pStyle w:val="Numberbullet0"/>
      </w:pPr>
      <w:r w:rsidRPr="00A50C03">
        <w:t xml:space="preserve">Montenegro MA, </w:t>
      </w:r>
      <w:proofErr w:type="spellStart"/>
      <w:r w:rsidRPr="00A50C03">
        <w:t>Arif</w:t>
      </w:r>
      <w:proofErr w:type="spellEnd"/>
      <w:r w:rsidRPr="00A50C03">
        <w:t xml:space="preserve"> H, </w:t>
      </w:r>
      <w:proofErr w:type="spellStart"/>
      <w:r w:rsidRPr="00A50C03">
        <w:t>Nahm</w:t>
      </w:r>
      <w:proofErr w:type="spellEnd"/>
      <w:r w:rsidRPr="00A50C03">
        <w:t xml:space="preserve"> EA, </w:t>
      </w:r>
      <w:proofErr w:type="spellStart"/>
      <w:r w:rsidRPr="00A50C03">
        <w:t>Resor</w:t>
      </w:r>
      <w:proofErr w:type="spellEnd"/>
      <w:r w:rsidRPr="00A50C03">
        <w:t xml:space="preserve"> SR, Jr., Hirsch LJ. Efficacy of </w:t>
      </w:r>
      <w:proofErr w:type="spellStart"/>
      <w:r w:rsidRPr="00A50C03">
        <w:t>clobazam</w:t>
      </w:r>
      <w:proofErr w:type="spellEnd"/>
      <w:r w:rsidRPr="00A50C03">
        <w:t xml:space="preserve"> as add-on therapy for refractory epilepsy: experience at a US epilepsy </w:t>
      </w:r>
      <w:proofErr w:type="spellStart"/>
      <w:r w:rsidRPr="00A50C03">
        <w:t>center</w:t>
      </w:r>
      <w:proofErr w:type="spellEnd"/>
      <w:r w:rsidRPr="00A50C03">
        <w:t xml:space="preserve">. </w:t>
      </w:r>
      <w:proofErr w:type="spellStart"/>
      <w:r w:rsidRPr="00A50C03">
        <w:t>Clin</w:t>
      </w:r>
      <w:proofErr w:type="spellEnd"/>
      <w:r w:rsidRPr="00A50C03">
        <w:t xml:space="preserve"> </w:t>
      </w:r>
      <w:proofErr w:type="spellStart"/>
      <w:r w:rsidRPr="00A50C03">
        <w:t>Neuropharmacol</w:t>
      </w:r>
      <w:proofErr w:type="spellEnd"/>
      <w:r w:rsidRPr="00A50C03">
        <w:t xml:space="preserve"> 2008 Nov;31:333-338.</w:t>
      </w:r>
    </w:p>
    <w:p w:rsidR="00A50C03" w:rsidRPr="00A50C03" w:rsidRDefault="00A50C03" w:rsidP="008204B7">
      <w:pPr>
        <w:pStyle w:val="Numberbullet0"/>
      </w:pPr>
      <w:proofErr w:type="spellStart"/>
      <w:r w:rsidRPr="00A50C03">
        <w:t>Gastaut</w:t>
      </w:r>
      <w:proofErr w:type="spellEnd"/>
      <w:r w:rsidRPr="00A50C03">
        <w:t xml:space="preserve"> H, Low MD. Antiepileptic properties of </w:t>
      </w:r>
      <w:proofErr w:type="spellStart"/>
      <w:r w:rsidRPr="00A50C03">
        <w:t>clobazam</w:t>
      </w:r>
      <w:proofErr w:type="spellEnd"/>
      <w:r w:rsidRPr="00A50C03">
        <w:t xml:space="preserve">, a 1-5 benzodiazepine, in man. </w:t>
      </w:r>
      <w:proofErr w:type="spellStart"/>
      <w:r w:rsidRPr="00A50C03">
        <w:t>Epilepsia</w:t>
      </w:r>
      <w:proofErr w:type="spellEnd"/>
      <w:r w:rsidRPr="00A50C03">
        <w:t xml:space="preserve"> 1979 Aug;20:437-446.</w:t>
      </w:r>
    </w:p>
    <w:p w:rsidR="00A50C03" w:rsidRPr="00A50C03" w:rsidRDefault="00A50C03" w:rsidP="008204B7">
      <w:pPr>
        <w:pStyle w:val="Numberbullet0"/>
      </w:pPr>
      <w:r w:rsidRPr="00A50C03">
        <w:t xml:space="preserve">Farrell K. Benzodiazepines in the treatment of children with epilepsy. </w:t>
      </w:r>
      <w:proofErr w:type="spellStart"/>
      <w:r w:rsidRPr="00A50C03">
        <w:t>Epilepsia</w:t>
      </w:r>
      <w:proofErr w:type="spellEnd"/>
      <w:r w:rsidRPr="00A50C03">
        <w:t xml:space="preserve"> 1986;27 </w:t>
      </w:r>
      <w:proofErr w:type="spellStart"/>
      <w:r w:rsidRPr="00A50C03">
        <w:t>Suppl</w:t>
      </w:r>
      <w:proofErr w:type="spellEnd"/>
      <w:r w:rsidRPr="00A50C03">
        <w:t xml:space="preserve"> 1:S45-S52.</w:t>
      </w:r>
    </w:p>
    <w:p w:rsidR="00A50C03" w:rsidRPr="00A50C03" w:rsidRDefault="00A50C03" w:rsidP="008204B7">
      <w:pPr>
        <w:pStyle w:val="Numberbullet0"/>
      </w:pPr>
      <w:r w:rsidRPr="00A50C03">
        <w:t xml:space="preserve">Singh A, </w:t>
      </w:r>
      <w:proofErr w:type="spellStart"/>
      <w:r w:rsidRPr="00A50C03">
        <w:t>Guberman</w:t>
      </w:r>
      <w:proofErr w:type="spellEnd"/>
      <w:r w:rsidRPr="00A50C03">
        <w:t xml:space="preserve"> AH, </w:t>
      </w:r>
      <w:proofErr w:type="spellStart"/>
      <w:r w:rsidRPr="00A50C03">
        <w:t>Boisvert</w:t>
      </w:r>
      <w:proofErr w:type="spellEnd"/>
      <w:r w:rsidRPr="00A50C03">
        <w:t xml:space="preserve"> D. </w:t>
      </w:r>
      <w:proofErr w:type="spellStart"/>
      <w:r w:rsidRPr="00A50C03">
        <w:t>Clobazam</w:t>
      </w:r>
      <w:proofErr w:type="spellEnd"/>
      <w:r w:rsidRPr="00A50C03">
        <w:t xml:space="preserve"> in long-term epilepsy treatment: sustained responders versus those developing tolerance. </w:t>
      </w:r>
      <w:proofErr w:type="spellStart"/>
      <w:r w:rsidRPr="00A50C03">
        <w:t>Epilepsia</w:t>
      </w:r>
      <w:proofErr w:type="spellEnd"/>
      <w:r w:rsidRPr="00A50C03">
        <w:t xml:space="preserve"> 1995 Aug;36:798-803.</w:t>
      </w:r>
    </w:p>
    <w:p w:rsidR="00A50C03" w:rsidRPr="00A50C03" w:rsidRDefault="00A50C03" w:rsidP="008204B7">
      <w:pPr>
        <w:pStyle w:val="Numberbullet0"/>
      </w:pPr>
      <w:proofErr w:type="spellStart"/>
      <w:r w:rsidRPr="00A50C03">
        <w:t>Clobazam</w:t>
      </w:r>
      <w:proofErr w:type="spellEnd"/>
      <w:r w:rsidRPr="00A50C03">
        <w:t xml:space="preserve"> in treatment of refractory epilepsy: the Canadian experience. A retrospective study. Canadian </w:t>
      </w:r>
      <w:proofErr w:type="spellStart"/>
      <w:r w:rsidRPr="00A50C03">
        <w:t>Clobazam</w:t>
      </w:r>
      <w:proofErr w:type="spellEnd"/>
      <w:r w:rsidRPr="00A50C03">
        <w:t xml:space="preserve"> Cooperative Group. </w:t>
      </w:r>
      <w:proofErr w:type="spellStart"/>
      <w:r w:rsidRPr="00A50C03">
        <w:t>Epilepsia</w:t>
      </w:r>
      <w:proofErr w:type="spellEnd"/>
      <w:r w:rsidRPr="00A50C03">
        <w:t xml:space="preserve"> 1991 May;32:407-416.</w:t>
      </w:r>
    </w:p>
    <w:p w:rsidR="00A50C03" w:rsidRPr="00A50C03" w:rsidRDefault="00A50C03" w:rsidP="008204B7">
      <w:pPr>
        <w:pStyle w:val="Numberbullet0"/>
      </w:pPr>
      <w:proofErr w:type="spellStart"/>
      <w:r w:rsidRPr="00A50C03">
        <w:t>Sugai</w:t>
      </w:r>
      <w:proofErr w:type="spellEnd"/>
      <w:r w:rsidRPr="00A50C03">
        <w:t xml:space="preserve"> K. </w:t>
      </w:r>
      <w:proofErr w:type="spellStart"/>
      <w:r w:rsidRPr="00A50C03">
        <w:t>Clobazam</w:t>
      </w:r>
      <w:proofErr w:type="spellEnd"/>
      <w:r w:rsidRPr="00A50C03">
        <w:t xml:space="preserve"> as a new antiepileptic drug and </w:t>
      </w:r>
      <w:proofErr w:type="spellStart"/>
      <w:r w:rsidRPr="00A50C03">
        <w:t>clorazepate</w:t>
      </w:r>
      <w:proofErr w:type="spellEnd"/>
      <w:r w:rsidRPr="00A50C03">
        <w:t xml:space="preserve"> </w:t>
      </w:r>
      <w:proofErr w:type="spellStart"/>
      <w:r w:rsidRPr="00A50C03">
        <w:t>dipotassium</w:t>
      </w:r>
      <w:proofErr w:type="spellEnd"/>
      <w:r w:rsidRPr="00A50C03">
        <w:t xml:space="preserve"> as an alternative antiepileptic drug in Japan. </w:t>
      </w:r>
      <w:proofErr w:type="spellStart"/>
      <w:r w:rsidRPr="00A50C03">
        <w:t>Epilepsia</w:t>
      </w:r>
      <w:proofErr w:type="spellEnd"/>
      <w:r w:rsidRPr="00A50C03">
        <w:t xml:space="preserve"> 2004;45 </w:t>
      </w:r>
      <w:proofErr w:type="spellStart"/>
      <w:r w:rsidRPr="00A50C03">
        <w:t>Suppl</w:t>
      </w:r>
      <w:proofErr w:type="spellEnd"/>
      <w:r w:rsidRPr="00A50C03">
        <w:t xml:space="preserve"> 8:20-25.</w:t>
      </w:r>
    </w:p>
    <w:p w:rsidR="00A50C03" w:rsidRPr="00A50C03" w:rsidRDefault="00A50C03" w:rsidP="008204B7">
      <w:pPr>
        <w:pStyle w:val="Numberbullet0"/>
      </w:pPr>
      <w:r w:rsidRPr="00A50C03">
        <w:t xml:space="preserve">Munn R, </w:t>
      </w:r>
      <w:proofErr w:type="spellStart"/>
      <w:r w:rsidRPr="00A50C03">
        <w:t>Camfield</w:t>
      </w:r>
      <w:proofErr w:type="spellEnd"/>
      <w:r w:rsidRPr="00A50C03">
        <w:t xml:space="preserve"> P, </w:t>
      </w:r>
      <w:proofErr w:type="spellStart"/>
      <w:r w:rsidRPr="00A50C03">
        <w:t>Camfield</w:t>
      </w:r>
      <w:proofErr w:type="spellEnd"/>
      <w:r w:rsidRPr="00A50C03">
        <w:t xml:space="preserve"> C, Dooley J. </w:t>
      </w:r>
      <w:proofErr w:type="spellStart"/>
      <w:r w:rsidRPr="00A50C03">
        <w:t>Clobazam</w:t>
      </w:r>
      <w:proofErr w:type="spellEnd"/>
      <w:r w:rsidRPr="00A50C03">
        <w:t xml:space="preserve"> for refractory childhood seizure disorders--a valuable supplementary drug. Can J </w:t>
      </w:r>
      <w:proofErr w:type="spellStart"/>
      <w:r w:rsidRPr="00A50C03">
        <w:t>Neurol</w:t>
      </w:r>
      <w:proofErr w:type="spellEnd"/>
      <w:r w:rsidRPr="00A50C03">
        <w:t xml:space="preserve"> </w:t>
      </w:r>
      <w:proofErr w:type="spellStart"/>
      <w:r w:rsidRPr="00A50C03">
        <w:t>Sci</w:t>
      </w:r>
      <w:proofErr w:type="spellEnd"/>
      <w:r w:rsidRPr="00A50C03">
        <w:t xml:space="preserve"> 1988 Nov;15:406-408.</w:t>
      </w:r>
    </w:p>
    <w:p w:rsidR="00A50C03" w:rsidRPr="00A50C03" w:rsidRDefault="00A50C03" w:rsidP="008204B7">
      <w:pPr>
        <w:pStyle w:val="Numberbullet0"/>
      </w:pPr>
      <w:proofErr w:type="spellStart"/>
      <w:r w:rsidRPr="00A50C03">
        <w:t>Barcs</w:t>
      </w:r>
      <w:proofErr w:type="spellEnd"/>
      <w:r w:rsidRPr="00A50C03">
        <w:t xml:space="preserve"> G, </w:t>
      </w:r>
      <w:proofErr w:type="spellStart"/>
      <w:r w:rsidRPr="00A50C03">
        <w:t>Halasz</w:t>
      </w:r>
      <w:proofErr w:type="spellEnd"/>
      <w:r w:rsidRPr="00A50C03">
        <w:t xml:space="preserve"> P. Effectiveness and tolerance of </w:t>
      </w:r>
      <w:proofErr w:type="spellStart"/>
      <w:r w:rsidRPr="00A50C03">
        <w:t>clobazam</w:t>
      </w:r>
      <w:proofErr w:type="spellEnd"/>
      <w:r w:rsidRPr="00A50C03">
        <w:t xml:space="preserve"> in temporal lobe epilepsy. </w:t>
      </w:r>
      <w:proofErr w:type="spellStart"/>
      <w:r w:rsidRPr="00A50C03">
        <w:t>Acta</w:t>
      </w:r>
      <w:proofErr w:type="spellEnd"/>
      <w:r w:rsidRPr="00A50C03">
        <w:t xml:space="preserve"> </w:t>
      </w:r>
      <w:proofErr w:type="spellStart"/>
      <w:r w:rsidRPr="00A50C03">
        <w:t>Neurol</w:t>
      </w:r>
      <w:proofErr w:type="spellEnd"/>
      <w:r w:rsidRPr="00A50C03">
        <w:t xml:space="preserve"> Scand 1996 Feb;93:88-93.</w:t>
      </w:r>
    </w:p>
    <w:p w:rsidR="00A50C03" w:rsidRPr="00A50C03" w:rsidRDefault="00A50C03" w:rsidP="008204B7">
      <w:pPr>
        <w:pStyle w:val="Numberbullet0"/>
      </w:pPr>
      <w:r w:rsidRPr="00A50C03">
        <w:t xml:space="preserve">Martin AA. The Anti-epileptic Effects of </w:t>
      </w:r>
      <w:proofErr w:type="spellStart"/>
      <w:r w:rsidRPr="00A50C03">
        <w:t>Clobazam</w:t>
      </w:r>
      <w:proofErr w:type="spellEnd"/>
      <w:r w:rsidRPr="00A50C03">
        <w:t xml:space="preserve">: A Long-term Study in Resistant Epilepsy. In: </w:t>
      </w:r>
      <w:proofErr w:type="spellStart"/>
      <w:r w:rsidRPr="00A50C03">
        <w:t>Hindmarch</w:t>
      </w:r>
      <w:proofErr w:type="spellEnd"/>
      <w:r w:rsidRPr="00A50C03">
        <w:t xml:space="preserve"> I SP, ed. </w:t>
      </w:r>
      <w:proofErr w:type="spellStart"/>
      <w:r w:rsidRPr="00A50C03">
        <w:t>Clobazam</w:t>
      </w:r>
      <w:proofErr w:type="spellEnd"/>
      <w:r w:rsidRPr="00A50C03">
        <w:t xml:space="preserve">. </w:t>
      </w:r>
      <w:proofErr w:type="spellStart"/>
      <w:r w:rsidRPr="00A50C03">
        <w:t>Orlando</w:t>
      </w:r>
      <w:proofErr w:type="spellEnd"/>
      <w:r w:rsidRPr="00A50C03">
        <w:t xml:space="preserve">, </w:t>
      </w:r>
      <w:proofErr w:type="spellStart"/>
      <w:r w:rsidRPr="00A50C03">
        <w:t>Fla</w:t>
      </w:r>
      <w:proofErr w:type="spellEnd"/>
      <w:r w:rsidRPr="00A50C03">
        <w:t>: Academic Press Inc, 1981:151-157.</w:t>
      </w:r>
    </w:p>
    <w:p w:rsidR="00A50C03" w:rsidRPr="00A50C03" w:rsidRDefault="00A50C03" w:rsidP="008204B7">
      <w:pPr>
        <w:pStyle w:val="Numberbullet0"/>
      </w:pPr>
      <w:proofErr w:type="spellStart"/>
      <w:r w:rsidRPr="00A50C03">
        <w:t>Wheless</w:t>
      </w:r>
      <w:proofErr w:type="spellEnd"/>
      <w:r w:rsidRPr="00A50C03">
        <w:t xml:space="preserve"> JW, Clarke DF, </w:t>
      </w:r>
      <w:proofErr w:type="spellStart"/>
      <w:r w:rsidRPr="00A50C03">
        <w:t>Arzimanoglou</w:t>
      </w:r>
      <w:proofErr w:type="spellEnd"/>
      <w:r w:rsidRPr="00A50C03">
        <w:t xml:space="preserve"> A, Carpenter D. Treatment of </w:t>
      </w:r>
      <w:proofErr w:type="spellStart"/>
      <w:r w:rsidRPr="00A50C03">
        <w:t>pediatric</w:t>
      </w:r>
      <w:proofErr w:type="spellEnd"/>
      <w:r w:rsidRPr="00A50C03">
        <w:t xml:space="preserve"> epilepsy: European expert opinion, 2007. Epileptic </w:t>
      </w:r>
      <w:proofErr w:type="spellStart"/>
      <w:r w:rsidRPr="00A50C03">
        <w:t>Disord</w:t>
      </w:r>
      <w:proofErr w:type="spellEnd"/>
      <w:r w:rsidRPr="00A50C03">
        <w:t xml:space="preserve"> 2007 Dec;9:353-412.</w:t>
      </w:r>
    </w:p>
    <w:p w:rsidR="00A50C03" w:rsidRPr="00A50C03" w:rsidRDefault="00A50C03" w:rsidP="008204B7">
      <w:pPr>
        <w:pStyle w:val="Numberbullet0"/>
      </w:pPr>
      <w:r w:rsidRPr="00A50C03">
        <w:t xml:space="preserve">Remy C. </w:t>
      </w:r>
      <w:proofErr w:type="spellStart"/>
      <w:r w:rsidRPr="00A50C03">
        <w:t>Clobazam</w:t>
      </w:r>
      <w:proofErr w:type="spellEnd"/>
      <w:r w:rsidRPr="00A50C03">
        <w:t xml:space="preserve"> in the treatment of epilepsy: a review of the literature. </w:t>
      </w:r>
      <w:proofErr w:type="spellStart"/>
      <w:r w:rsidRPr="00A50C03">
        <w:t>Epilepsia</w:t>
      </w:r>
      <w:proofErr w:type="spellEnd"/>
      <w:r w:rsidRPr="00A50C03">
        <w:t xml:space="preserve"> 1994;35 </w:t>
      </w:r>
      <w:proofErr w:type="spellStart"/>
      <w:r w:rsidRPr="00A50C03">
        <w:t>Suppl</w:t>
      </w:r>
      <w:proofErr w:type="spellEnd"/>
      <w:r w:rsidRPr="00A50C03">
        <w:t xml:space="preserve"> 5:S88-S91.</w:t>
      </w:r>
    </w:p>
    <w:p w:rsidR="00A50C03" w:rsidRPr="00A50C03" w:rsidRDefault="00A50C03" w:rsidP="008204B7">
      <w:pPr>
        <w:pStyle w:val="Numberbullet0"/>
      </w:pPr>
      <w:r w:rsidRPr="00A50C03">
        <w:t xml:space="preserve">Robertson MM. The Place of </w:t>
      </w:r>
      <w:proofErr w:type="spellStart"/>
      <w:r w:rsidRPr="00A50C03">
        <w:t>Clobazam</w:t>
      </w:r>
      <w:proofErr w:type="spellEnd"/>
      <w:r w:rsidRPr="00A50C03">
        <w:t xml:space="preserve"> in the Treatment of Epilepsy: An Update. Hum </w:t>
      </w:r>
      <w:proofErr w:type="spellStart"/>
      <w:r w:rsidRPr="00A50C03">
        <w:t>Psychopharmacol</w:t>
      </w:r>
      <w:proofErr w:type="spellEnd"/>
      <w:r w:rsidRPr="00A50C03">
        <w:t xml:space="preserve"> 1995;10:S43-S63.</w:t>
      </w:r>
    </w:p>
    <w:p w:rsidR="00A50C03" w:rsidRPr="00A50C03" w:rsidRDefault="00A50C03" w:rsidP="008204B7">
      <w:pPr>
        <w:pStyle w:val="Numberbullet0"/>
      </w:pPr>
      <w:proofErr w:type="spellStart"/>
      <w:r w:rsidRPr="00A50C03">
        <w:t>Wildin</w:t>
      </w:r>
      <w:proofErr w:type="spellEnd"/>
      <w:r w:rsidRPr="00A50C03">
        <w:t xml:space="preserve"> JD, </w:t>
      </w:r>
      <w:proofErr w:type="spellStart"/>
      <w:r w:rsidRPr="00A50C03">
        <w:t>Pleuvry</w:t>
      </w:r>
      <w:proofErr w:type="spellEnd"/>
      <w:r w:rsidRPr="00A50C03">
        <w:t xml:space="preserve"> BJ, </w:t>
      </w:r>
      <w:proofErr w:type="spellStart"/>
      <w:r w:rsidRPr="00A50C03">
        <w:t>Mawer</w:t>
      </w:r>
      <w:proofErr w:type="spellEnd"/>
      <w:r w:rsidRPr="00A50C03">
        <w:t xml:space="preserve"> GE, </w:t>
      </w:r>
      <w:proofErr w:type="spellStart"/>
      <w:r w:rsidRPr="00A50C03">
        <w:t>Onon</w:t>
      </w:r>
      <w:proofErr w:type="spellEnd"/>
      <w:r w:rsidRPr="00A50C03">
        <w:t xml:space="preserve"> T, Millington L. Respiratory and sedative effects of </w:t>
      </w:r>
      <w:proofErr w:type="spellStart"/>
      <w:r w:rsidRPr="00A50C03">
        <w:t>clobazam</w:t>
      </w:r>
      <w:proofErr w:type="spellEnd"/>
      <w:r w:rsidRPr="00A50C03">
        <w:t xml:space="preserve"> and </w:t>
      </w:r>
      <w:proofErr w:type="spellStart"/>
      <w:r w:rsidRPr="00A50C03">
        <w:t>clonazepam</w:t>
      </w:r>
      <w:proofErr w:type="spellEnd"/>
      <w:r w:rsidRPr="00A50C03">
        <w:t xml:space="preserve"> in volunteers. Br J </w:t>
      </w:r>
      <w:proofErr w:type="spellStart"/>
      <w:r w:rsidRPr="00A50C03">
        <w:t>Clin</w:t>
      </w:r>
      <w:proofErr w:type="spellEnd"/>
      <w:r w:rsidRPr="00A50C03">
        <w:t xml:space="preserve"> </w:t>
      </w:r>
      <w:proofErr w:type="spellStart"/>
      <w:r w:rsidRPr="00A50C03">
        <w:t>Pharmacol</w:t>
      </w:r>
      <w:proofErr w:type="spellEnd"/>
      <w:r w:rsidRPr="00A50C03">
        <w:t xml:space="preserve"> 1990 Feb;29:169-177.</w:t>
      </w:r>
    </w:p>
    <w:p w:rsidR="00A50C03" w:rsidRPr="00A50C03" w:rsidRDefault="008204B7" w:rsidP="008204B7">
      <w:pPr>
        <w:pStyle w:val="Numberbullet0"/>
      </w:pPr>
      <w:r>
        <w:t>V</w:t>
      </w:r>
      <w:r w:rsidR="00A50C03" w:rsidRPr="00A50C03">
        <w:t xml:space="preserve">an </w:t>
      </w:r>
      <w:proofErr w:type="spellStart"/>
      <w:r w:rsidR="00A50C03" w:rsidRPr="00A50C03">
        <w:t>der</w:t>
      </w:r>
      <w:proofErr w:type="spellEnd"/>
      <w:r w:rsidR="00A50C03" w:rsidRPr="00A50C03">
        <w:t xml:space="preserve"> </w:t>
      </w:r>
      <w:proofErr w:type="spellStart"/>
      <w:r w:rsidR="00A50C03" w:rsidRPr="00A50C03">
        <w:t>Meyden</w:t>
      </w:r>
      <w:proofErr w:type="spellEnd"/>
      <w:r w:rsidR="00A50C03" w:rsidRPr="00A50C03">
        <w:t xml:space="preserve"> CH, </w:t>
      </w:r>
      <w:proofErr w:type="spellStart"/>
      <w:r w:rsidR="00A50C03" w:rsidRPr="00A50C03">
        <w:t>Bartel</w:t>
      </w:r>
      <w:proofErr w:type="spellEnd"/>
      <w:r w:rsidR="00A50C03" w:rsidRPr="00A50C03">
        <w:t xml:space="preserve"> PR, </w:t>
      </w:r>
      <w:proofErr w:type="spellStart"/>
      <w:r w:rsidR="00A50C03" w:rsidRPr="00A50C03">
        <w:t>Sommers</w:t>
      </w:r>
      <w:proofErr w:type="spellEnd"/>
      <w:r w:rsidR="00A50C03" w:rsidRPr="00A50C03">
        <w:t xml:space="preserve"> DK, </w:t>
      </w:r>
      <w:proofErr w:type="spellStart"/>
      <w:r w:rsidR="00A50C03" w:rsidRPr="00A50C03">
        <w:t>Blom</w:t>
      </w:r>
      <w:proofErr w:type="spellEnd"/>
      <w:r w:rsidR="00A50C03" w:rsidRPr="00A50C03">
        <w:t xml:space="preserve"> M, Pretorius LC. Effects of </w:t>
      </w:r>
      <w:proofErr w:type="spellStart"/>
      <w:r w:rsidR="00A50C03" w:rsidRPr="00A50C03">
        <w:t>clobazam</w:t>
      </w:r>
      <w:proofErr w:type="spellEnd"/>
      <w:r w:rsidR="00A50C03" w:rsidRPr="00A50C03">
        <w:t xml:space="preserve"> and </w:t>
      </w:r>
      <w:proofErr w:type="spellStart"/>
      <w:r w:rsidR="00A50C03" w:rsidRPr="00A50C03">
        <w:t>clonazepam</w:t>
      </w:r>
      <w:proofErr w:type="spellEnd"/>
      <w:r w:rsidR="00A50C03" w:rsidRPr="00A50C03">
        <w:t xml:space="preserve"> on saccadic eye movements and other parameters of psychomotor performance. Eur J </w:t>
      </w:r>
      <w:proofErr w:type="spellStart"/>
      <w:r w:rsidR="00A50C03" w:rsidRPr="00A50C03">
        <w:t>Clin</w:t>
      </w:r>
      <w:proofErr w:type="spellEnd"/>
      <w:r w:rsidR="00A50C03" w:rsidRPr="00A50C03">
        <w:t xml:space="preserve"> </w:t>
      </w:r>
      <w:proofErr w:type="spellStart"/>
      <w:r w:rsidR="00A50C03" w:rsidRPr="00A50C03">
        <w:t>Pharmacol</w:t>
      </w:r>
      <w:proofErr w:type="spellEnd"/>
      <w:r w:rsidR="00A50C03" w:rsidRPr="00A50C03">
        <w:t xml:space="preserve"> 1989;37:365-369.</w:t>
      </w:r>
    </w:p>
    <w:p w:rsidR="00A50C03" w:rsidRPr="00A50C03" w:rsidRDefault="00A50C03" w:rsidP="008204B7">
      <w:pPr>
        <w:pStyle w:val="Numberbullet0"/>
      </w:pPr>
      <w:proofErr w:type="spellStart"/>
      <w:r w:rsidRPr="00A50C03">
        <w:t>Patat</w:t>
      </w:r>
      <w:proofErr w:type="spellEnd"/>
      <w:r w:rsidRPr="00A50C03">
        <w:t xml:space="preserve"> A, Klein MJ, </w:t>
      </w:r>
      <w:proofErr w:type="spellStart"/>
      <w:r w:rsidRPr="00A50C03">
        <w:t>Hucher</w:t>
      </w:r>
      <w:proofErr w:type="spellEnd"/>
      <w:r w:rsidRPr="00A50C03">
        <w:t xml:space="preserve"> M. Effects of single oral doses of </w:t>
      </w:r>
      <w:proofErr w:type="spellStart"/>
      <w:r w:rsidRPr="00A50C03">
        <w:t>clobazam</w:t>
      </w:r>
      <w:proofErr w:type="spellEnd"/>
      <w:r w:rsidRPr="00A50C03">
        <w:t xml:space="preserve">, diazepam and </w:t>
      </w:r>
      <w:proofErr w:type="spellStart"/>
      <w:r w:rsidRPr="00A50C03">
        <w:t>lorazepam</w:t>
      </w:r>
      <w:proofErr w:type="spellEnd"/>
      <w:r w:rsidRPr="00A50C03">
        <w:t xml:space="preserve"> on performance tasks and memory. Eur J </w:t>
      </w:r>
      <w:proofErr w:type="spellStart"/>
      <w:r w:rsidRPr="00A50C03">
        <w:t>Clin</w:t>
      </w:r>
      <w:proofErr w:type="spellEnd"/>
      <w:r w:rsidRPr="00A50C03">
        <w:t xml:space="preserve"> </w:t>
      </w:r>
      <w:proofErr w:type="spellStart"/>
      <w:r w:rsidRPr="00A50C03">
        <w:t>Pharmacol</w:t>
      </w:r>
      <w:proofErr w:type="spellEnd"/>
      <w:r w:rsidRPr="00A50C03">
        <w:t xml:space="preserve"> 1987;32:461-466.</w:t>
      </w:r>
    </w:p>
    <w:p w:rsidR="00A50C03" w:rsidRPr="00A50C03" w:rsidRDefault="00A50C03" w:rsidP="008204B7">
      <w:pPr>
        <w:pStyle w:val="Numberbullet0"/>
      </w:pPr>
      <w:proofErr w:type="spellStart"/>
      <w:r w:rsidRPr="00A50C03">
        <w:t>Patat</w:t>
      </w:r>
      <w:proofErr w:type="spellEnd"/>
      <w:r w:rsidRPr="00A50C03">
        <w:t xml:space="preserve"> A, </w:t>
      </w:r>
      <w:proofErr w:type="spellStart"/>
      <w:r w:rsidRPr="00A50C03">
        <w:t>Foulhoux</w:t>
      </w:r>
      <w:proofErr w:type="spellEnd"/>
      <w:r w:rsidRPr="00A50C03">
        <w:t xml:space="preserve"> P. Effect on postural sway of various benzodiazepine tranquillizers. Br J </w:t>
      </w:r>
      <w:proofErr w:type="spellStart"/>
      <w:r w:rsidRPr="00A50C03">
        <w:t>Clin</w:t>
      </w:r>
      <w:proofErr w:type="spellEnd"/>
      <w:r w:rsidRPr="00A50C03">
        <w:t xml:space="preserve"> </w:t>
      </w:r>
      <w:proofErr w:type="spellStart"/>
      <w:r w:rsidRPr="00A50C03">
        <w:t>Pharmacol</w:t>
      </w:r>
      <w:proofErr w:type="spellEnd"/>
      <w:r w:rsidRPr="00A50C03">
        <w:t xml:space="preserve"> 1985 Jul;20:9-16.</w:t>
      </w:r>
    </w:p>
    <w:p w:rsidR="00A50C03" w:rsidRPr="00A50C03" w:rsidRDefault="00A50C03" w:rsidP="008204B7">
      <w:pPr>
        <w:pStyle w:val="Numberbullet0"/>
      </w:pPr>
      <w:r w:rsidRPr="00A50C03">
        <w:t xml:space="preserve">Trimble MR, Thompson PJ. Anticonvulsant drugs, cognitive function, and </w:t>
      </w:r>
      <w:proofErr w:type="spellStart"/>
      <w:r w:rsidRPr="00A50C03">
        <w:t>behavior</w:t>
      </w:r>
      <w:proofErr w:type="spellEnd"/>
      <w:r w:rsidRPr="00A50C03">
        <w:t xml:space="preserve">. </w:t>
      </w:r>
      <w:proofErr w:type="spellStart"/>
      <w:r w:rsidRPr="00A50C03">
        <w:t>Epilepsia</w:t>
      </w:r>
      <w:proofErr w:type="spellEnd"/>
      <w:r w:rsidRPr="00A50C03">
        <w:t xml:space="preserve"> 1983;24 </w:t>
      </w:r>
      <w:proofErr w:type="spellStart"/>
      <w:r w:rsidRPr="00A50C03">
        <w:t>Suppl</w:t>
      </w:r>
      <w:proofErr w:type="spellEnd"/>
      <w:r w:rsidRPr="00A50C03">
        <w:t xml:space="preserve"> 1:S55-S63.</w:t>
      </w:r>
    </w:p>
    <w:p w:rsidR="00A50C03" w:rsidRPr="00A50C03" w:rsidRDefault="00A50C03" w:rsidP="008204B7">
      <w:pPr>
        <w:pStyle w:val="Numberbullet0"/>
      </w:pPr>
      <w:proofErr w:type="spellStart"/>
      <w:r w:rsidRPr="00A50C03">
        <w:t>Goggin</w:t>
      </w:r>
      <w:proofErr w:type="spellEnd"/>
      <w:r w:rsidRPr="00A50C03">
        <w:t xml:space="preserve"> T, Callaghan N. Blood levels of </w:t>
      </w:r>
      <w:proofErr w:type="spellStart"/>
      <w:r w:rsidRPr="00A50C03">
        <w:t>clobazam</w:t>
      </w:r>
      <w:proofErr w:type="spellEnd"/>
      <w:r w:rsidRPr="00A50C03">
        <w:t xml:space="preserve"> and its metabolites and therapeutic effect.: Academic Press Inc; 1985 159-165.</w:t>
      </w:r>
    </w:p>
    <w:p w:rsidR="00A50C03" w:rsidRPr="00A50C03" w:rsidRDefault="00A50C03" w:rsidP="008204B7">
      <w:pPr>
        <w:pStyle w:val="Numberbullet0"/>
      </w:pPr>
      <w:proofErr w:type="spellStart"/>
      <w:r w:rsidRPr="00A50C03">
        <w:t>Vakil</w:t>
      </w:r>
      <w:proofErr w:type="spellEnd"/>
      <w:r w:rsidRPr="00A50C03">
        <w:t xml:space="preserve"> SD, </w:t>
      </w:r>
      <w:proofErr w:type="spellStart"/>
      <w:r w:rsidRPr="00A50C03">
        <w:t>Critchley</w:t>
      </w:r>
      <w:proofErr w:type="spellEnd"/>
      <w:r w:rsidRPr="00A50C03">
        <w:t xml:space="preserve"> EMR, Cocks A, Hayward HW. The effect of </w:t>
      </w:r>
      <w:proofErr w:type="spellStart"/>
      <w:r w:rsidRPr="00A50C03">
        <w:t>clobazam</w:t>
      </w:r>
      <w:proofErr w:type="spellEnd"/>
      <w:r w:rsidRPr="00A50C03">
        <w:t xml:space="preserve"> on blood levels of </w:t>
      </w:r>
      <w:proofErr w:type="spellStart"/>
      <w:r w:rsidRPr="00A50C03">
        <w:t>phenobarbitone</w:t>
      </w:r>
      <w:proofErr w:type="spellEnd"/>
      <w:r w:rsidRPr="00A50C03">
        <w:t xml:space="preserve">, </w:t>
      </w:r>
      <w:proofErr w:type="spellStart"/>
      <w:r w:rsidRPr="00A50C03">
        <w:t>phenytoin</w:t>
      </w:r>
      <w:proofErr w:type="spellEnd"/>
      <w:r w:rsidRPr="00A50C03">
        <w:t xml:space="preserve"> and </w:t>
      </w:r>
      <w:proofErr w:type="spellStart"/>
      <w:r w:rsidRPr="00A50C03">
        <w:t>carbamazepine</w:t>
      </w:r>
      <w:proofErr w:type="spellEnd"/>
      <w:r w:rsidRPr="00A50C03">
        <w:t xml:space="preserve"> (preliminary report). London: Academic Press Inc; 1981 165-167.</w:t>
      </w:r>
    </w:p>
    <w:p w:rsidR="00A50C03" w:rsidRPr="00A50C03" w:rsidRDefault="00A50C03" w:rsidP="008204B7">
      <w:pPr>
        <w:pStyle w:val="Numberbullet0"/>
      </w:pPr>
      <w:proofErr w:type="spellStart"/>
      <w:r w:rsidRPr="00A50C03">
        <w:t>Sobaniec</w:t>
      </w:r>
      <w:proofErr w:type="spellEnd"/>
      <w:r w:rsidRPr="00A50C03">
        <w:t xml:space="preserve"> W. Certain aspects of interaction between sodium </w:t>
      </w:r>
      <w:proofErr w:type="spellStart"/>
      <w:r w:rsidRPr="00A50C03">
        <w:t>valproate</w:t>
      </w:r>
      <w:proofErr w:type="spellEnd"/>
      <w:r w:rsidRPr="00A50C03">
        <w:t xml:space="preserve"> and other anticonvulsant drugs in the therapy of epilepsy in children. Mater Med </w:t>
      </w:r>
      <w:proofErr w:type="spellStart"/>
      <w:r w:rsidRPr="00A50C03">
        <w:t>Pol</w:t>
      </w:r>
      <w:proofErr w:type="spellEnd"/>
      <w:r w:rsidRPr="00A50C03">
        <w:t xml:space="preserve"> 1992 Apr;24:115-119.</w:t>
      </w:r>
    </w:p>
    <w:p w:rsidR="00A50C03" w:rsidRPr="00A50C03" w:rsidRDefault="00A50C03" w:rsidP="008204B7">
      <w:pPr>
        <w:pStyle w:val="Numberbullet0"/>
      </w:pPr>
      <w:r w:rsidRPr="00A50C03">
        <w:t xml:space="preserve">Bun H, </w:t>
      </w:r>
      <w:proofErr w:type="spellStart"/>
      <w:r w:rsidRPr="00A50C03">
        <w:t>Monjanel-Mouterde</w:t>
      </w:r>
      <w:proofErr w:type="spellEnd"/>
      <w:r w:rsidRPr="00A50C03">
        <w:t xml:space="preserve"> S, Noel F, Durand A, Cano JP. Effects of age and antiepileptic drugs on plasma levels and kinetics of </w:t>
      </w:r>
      <w:proofErr w:type="spellStart"/>
      <w:r w:rsidRPr="00A50C03">
        <w:t>clobazam</w:t>
      </w:r>
      <w:proofErr w:type="spellEnd"/>
      <w:r w:rsidRPr="00A50C03">
        <w:t xml:space="preserve"> and N-</w:t>
      </w:r>
      <w:proofErr w:type="spellStart"/>
      <w:r w:rsidRPr="00A50C03">
        <w:t>desmethylclobazam</w:t>
      </w:r>
      <w:proofErr w:type="spellEnd"/>
      <w:r w:rsidRPr="00A50C03">
        <w:t xml:space="preserve">. </w:t>
      </w:r>
      <w:proofErr w:type="spellStart"/>
      <w:r w:rsidRPr="00A50C03">
        <w:t>Pharmacol</w:t>
      </w:r>
      <w:proofErr w:type="spellEnd"/>
      <w:r w:rsidRPr="00A50C03">
        <w:t xml:space="preserve"> </w:t>
      </w:r>
      <w:proofErr w:type="spellStart"/>
      <w:r w:rsidRPr="00A50C03">
        <w:t>Toxicol</w:t>
      </w:r>
      <w:proofErr w:type="spellEnd"/>
      <w:r w:rsidRPr="00A50C03">
        <w:t xml:space="preserve"> 1990 Aug;67:136-140.</w:t>
      </w:r>
    </w:p>
    <w:p w:rsidR="00A50C03" w:rsidRPr="00A50C03" w:rsidRDefault="00A50C03" w:rsidP="008204B7">
      <w:pPr>
        <w:pStyle w:val="Numberbullet0"/>
      </w:pPr>
      <w:proofErr w:type="spellStart"/>
      <w:r w:rsidRPr="00A50C03">
        <w:t>Contin</w:t>
      </w:r>
      <w:proofErr w:type="spellEnd"/>
      <w:r w:rsidRPr="00A50C03">
        <w:t xml:space="preserve"> M, Riva R, </w:t>
      </w:r>
      <w:proofErr w:type="spellStart"/>
      <w:r w:rsidRPr="00A50C03">
        <w:t>Albani</w:t>
      </w:r>
      <w:proofErr w:type="spellEnd"/>
      <w:r w:rsidRPr="00A50C03">
        <w:t xml:space="preserve"> F, </w:t>
      </w:r>
      <w:proofErr w:type="spellStart"/>
      <w:r w:rsidRPr="00A50C03">
        <w:t>Baruzzi</w:t>
      </w:r>
      <w:proofErr w:type="spellEnd"/>
      <w:r w:rsidRPr="00A50C03">
        <w:t xml:space="preserve"> AA. Effect of </w:t>
      </w:r>
      <w:proofErr w:type="spellStart"/>
      <w:r w:rsidRPr="00A50C03">
        <w:t>felbamate</w:t>
      </w:r>
      <w:proofErr w:type="spellEnd"/>
      <w:r w:rsidRPr="00A50C03">
        <w:t xml:space="preserve"> on </w:t>
      </w:r>
      <w:proofErr w:type="spellStart"/>
      <w:r w:rsidRPr="00A50C03">
        <w:t>clobazam</w:t>
      </w:r>
      <w:proofErr w:type="spellEnd"/>
      <w:r w:rsidRPr="00A50C03">
        <w:t xml:space="preserve"> and its metabolite kinetics in patients with epilepsy. </w:t>
      </w:r>
      <w:proofErr w:type="spellStart"/>
      <w:r w:rsidRPr="00A50C03">
        <w:t>Ther</w:t>
      </w:r>
      <w:proofErr w:type="spellEnd"/>
      <w:r w:rsidRPr="00A50C03">
        <w:t xml:space="preserve"> Drug </w:t>
      </w:r>
      <w:proofErr w:type="spellStart"/>
      <w:r w:rsidRPr="00A50C03">
        <w:t>Monit</w:t>
      </w:r>
      <w:proofErr w:type="spellEnd"/>
      <w:r w:rsidRPr="00A50C03">
        <w:t xml:space="preserve"> 1999 Dec;21:604-608.</w:t>
      </w:r>
    </w:p>
    <w:p w:rsidR="00A50C03" w:rsidRPr="00A50C03" w:rsidRDefault="00A50C03" w:rsidP="008204B7">
      <w:pPr>
        <w:pStyle w:val="Numberbullet0"/>
      </w:pPr>
      <w:proofErr w:type="spellStart"/>
      <w:r w:rsidRPr="00A50C03">
        <w:t>Arnoldussen</w:t>
      </w:r>
      <w:proofErr w:type="spellEnd"/>
      <w:r w:rsidRPr="00A50C03">
        <w:t xml:space="preserve"> W, </w:t>
      </w:r>
      <w:proofErr w:type="spellStart"/>
      <w:r w:rsidRPr="00A50C03">
        <w:t>Hulsman</w:t>
      </w:r>
      <w:proofErr w:type="spellEnd"/>
      <w:r w:rsidRPr="00A50C03">
        <w:t xml:space="preserve"> P, </w:t>
      </w:r>
      <w:proofErr w:type="spellStart"/>
      <w:r w:rsidRPr="00A50C03">
        <w:t>Renteester</w:t>
      </w:r>
      <w:proofErr w:type="spellEnd"/>
      <w:r w:rsidRPr="00A50C03">
        <w:t xml:space="preserve"> TH. Interaction of </w:t>
      </w:r>
      <w:proofErr w:type="spellStart"/>
      <w:r w:rsidRPr="00A50C03">
        <w:t>Valproate</w:t>
      </w:r>
      <w:proofErr w:type="spellEnd"/>
      <w:r w:rsidRPr="00A50C03">
        <w:t xml:space="preserve"> and </w:t>
      </w:r>
      <w:proofErr w:type="spellStart"/>
      <w:r w:rsidRPr="00A50C03">
        <w:t>Clobazam</w:t>
      </w:r>
      <w:proofErr w:type="spellEnd"/>
      <w:r w:rsidRPr="00A50C03">
        <w:t xml:space="preserve"> on </w:t>
      </w:r>
      <w:proofErr w:type="spellStart"/>
      <w:r w:rsidRPr="00A50C03">
        <w:t>Oxcarbazepine</w:t>
      </w:r>
      <w:proofErr w:type="spellEnd"/>
      <w:r w:rsidRPr="00A50C03">
        <w:t xml:space="preserve">. </w:t>
      </w:r>
      <w:proofErr w:type="spellStart"/>
      <w:r w:rsidRPr="00A50C03">
        <w:t>Epilepsia</w:t>
      </w:r>
      <w:proofErr w:type="spellEnd"/>
      <w:r w:rsidRPr="00A50C03">
        <w:t xml:space="preserve"> 1993;34:160.</w:t>
      </w:r>
    </w:p>
    <w:p w:rsidR="00A50C03" w:rsidRPr="00A50C03" w:rsidRDefault="00A50C03" w:rsidP="008204B7">
      <w:pPr>
        <w:pStyle w:val="Numberbullet0"/>
      </w:pPr>
      <w:r w:rsidRPr="00A50C03">
        <w:t xml:space="preserve">Wang J, Hug D, </w:t>
      </w:r>
      <w:proofErr w:type="spellStart"/>
      <w:r w:rsidRPr="00A50C03">
        <w:t>Gautschi</w:t>
      </w:r>
      <w:proofErr w:type="spellEnd"/>
      <w:r w:rsidRPr="00A50C03">
        <w:t xml:space="preserve"> K, </w:t>
      </w:r>
      <w:proofErr w:type="spellStart"/>
      <w:r w:rsidRPr="00A50C03">
        <w:t>Wieser</w:t>
      </w:r>
      <w:proofErr w:type="spellEnd"/>
      <w:r w:rsidRPr="00A50C03">
        <w:t xml:space="preserve"> HG. </w:t>
      </w:r>
      <w:proofErr w:type="spellStart"/>
      <w:r w:rsidRPr="00A50C03">
        <w:t>Clobazam</w:t>
      </w:r>
      <w:proofErr w:type="spellEnd"/>
      <w:r w:rsidRPr="00A50C03">
        <w:t xml:space="preserve"> for treatment of Epilepsy. J Epilepsy 1993;6:180-184.</w:t>
      </w:r>
    </w:p>
    <w:p w:rsidR="00A50C03" w:rsidRPr="00A50C03" w:rsidRDefault="00A50C03" w:rsidP="008204B7">
      <w:pPr>
        <w:pStyle w:val="Numberbullet0"/>
      </w:pPr>
      <w:proofErr w:type="spellStart"/>
      <w:r w:rsidRPr="00A50C03">
        <w:t>Contin</w:t>
      </w:r>
      <w:proofErr w:type="spellEnd"/>
      <w:r w:rsidRPr="00A50C03">
        <w:t xml:space="preserve"> M, </w:t>
      </w:r>
      <w:proofErr w:type="spellStart"/>
      <w:r w:rsidRPr="00A50C03">
        <w:t>Sangiorgi</w:t>
      </w:r>
      <w:proofErr w:type="spellEnd"/>
      <w:r w:rsidRPr="00A50C03">
        <w:t xml:space="preserve"> S, Riva R, </w:t>
      </w:r>
      <w:proofErr w:type="spellStart"/>
      <w:r w:rsidRPr="00A50C03">
        <w:t>Parmeggiani</w:t>
      </w:r>
      <w:proofErr w:type="spellEnd"/>
      <w:r w:rsidRPr="00A50C03">
        <w:t xml:space="preserve"> A, </w:t>
      </w:r>
      <w:proofErr w:type="spellStart"/>
      <w:r w:rsidRPr="00A50C03">
        <w:t>Albani</w:t>
      </w:r>
      <w:proofErr w:type="spellEnd"/>
      <w:r w:rsidRPr="00A50C03">
        <w:t xml:space="preserve"> F, </w:t>
      </w:r>
      <w:proofErr w:type="spellStart"/>
      <w:r w:rsidRPr="00A50C03">
        <w:t>Baruzzi</w:t>
      </w:r>
      <w:proofErr w:type="spellEnd"/>
      <w:r w:rsidRPr="00A50C03">
        <w:t xml:space="preserve"> A. Evidence of polymorphic CYP2C19 involvement in the human metabolism of N-</w:t>
      </w:r>
      <w:proofErr w:type="spellStart"/>
      <w:r w:rsidRPr="00A50C03">
        <w:t>desmethylclobazam</w:t>
      </w:r>
      <w:proofErr w:type="spellEnd"/>
      <w:r w:rsidRPr="00A50C03">
        <w:t xml:space="preserve">. </w:t>
      </w:r>
      <w:proofErr w:type="spellStart"/>
      <w:r w:rsidRPr="00A50C03">
        <w:t>Ther</w:t>
      </w:r>
      <w:proofErr w:type="spellEnd"/>
      <w:r w:rsidRPr="00A50C03">
        <w:t xml:space="preserve"> Drug </w:t>
      </w:r>
      <w:proofErr w:type="spellStart"/>
      <w:r w:rsidRPr="00A50C03">
        <w:t>Monit</w:t>
      </w:r>
      <w:proofErr w:type="spellEnd"/>
      <w:r w:rsidRPr="00A50C03">
        <w:t xml:space="preserve"> 2002 Dec;24:737-741.</w:t>
      </w:r>
    </w:p>
    <w:p w:rsidR="00A50C03" w:rsidRPr="00A50C03" w:rsidRDefault="00A50C03" w:rsidP="008204B7">
      <w:pPr>
        <w:pStyle w:val="Numberbullet0"/>
      </w:pPr>
      <w:r w:rsidRPr="00A50C03">
        <w:t xml:space="preserve">Giraud C, Tran A, Rey E, Vincent J, </w:t>
      </w:r>
      <w:proofErr w:type="spellStart"/>
      <w:r w:rsidRPr="00A50C03">
        <w:t>Treluyer</w:t>
      </w:r>
      <w:proofErr w:type="spellEnd"/>
      <w:r w:rsidRPr="00A50C03">
        <w:t xml:space="preserve"> JM, Pons G. In vitro characterization of </w:t>
      </w:r>
      <w:proofErr w:type="spellStart"/>
      <w:r w:rsidRPr="00A50C03">
        <w:t>clobazam</w:t>
      </w:r>
      <w:proofErr w:type="spellEnd"/>
      <w:r w:rsidRPr="00A50C03">
        <w:t xml:space="preserve"> metabolism by recombinant </w:t>
      </w:r>
      <w:proofErr w:type="spellStart"/>
      <w:r w:rsidRPr="00A50C03">
        <w:t>cytochrome</w:t>
      </w:r>
      <w:proofErr w:type="spellEnd"/>
      <w:r w:rsidRPr="00A50C03">
        <w:t xml:space="preserve"> P450 enzymes: importance of CYP2C19. Drug </w:t>
      </w:r>
      <w:proofErr w:type="spellStart"/>
      <w:r w:rsidRPr="00A50C03">
        <w:t>Metab</w:t>
      </w:r>
      <w:proofErr w:type="spellEnd"/>
      <w:r w:rsidRPr="00A50C03">
        <w:t xml:space="preserve"> </w:t>
      </w:r>
      <w:proofErr w:type="spellStart"/>
      <w:r w:rsidRPr="00A50C03">
        <w:t>Dispos</w:t>
      </w:r>
      <w:proofErr w:type="spellEnd"/>
      <w:r w:rsidRPr="00A50C03">
        <w:t xml:space="preserve"> 2004 Nov;32:1279-1286.</w:t>
      </w:r>
    </w:p>
    <w:p w:rsidR="00A50C03" w:rsidRPr="00A50C03" w:rsidRDefault="00A50C03" w:rsidP="008204B7">
      <w:pPr>
        <w:pStyle w:val="Numberbullet0"/>
      </w:pPr>
      <w:r w:rsidRPr="00A50C03">
        <w:t xml:space="preserve">Giraud C, </w:t>
      </w:r>
      <w:proofErr w:type="spellStart"/>
      <w:r w:rsidRPr="00A50C03">
        <w:t>Treluyer</w:t>
      </w:r>
      <w:proofErr w:type="spellEnd"/>
      <w:r w:rsidRPr="00A50C03">
        <w:t xml:space="preserve"> JM, Rey E, et al. In vitro and in vivo inhibitory effect of </w:t>
      </w:r>
      <w:proofErr w:type="spellStart"/>
      <w:r w:rsidRPr="00A50C03">
        <w:t>stiripentol</w:t>
      </w:r>
      <w:proofErr w:type="spellEnd"/>
      <w:r w:rsidRPr="00A50C03">
        <w:t xml:space="preserve"> on </w:t>
      </w:r>
      <w:proofErr w:type="spellStart"/>
      <w:r w:rsidRPr="00A50C03">
        <w:t>clobazam</w:t>
      </w:r>
      <w:proofErr w:type="spellEnd"/>
      <w:r w:rsidRPr="00A50C03">
        <w:t xml:space="preserve"> metabolism. Drug </w:t>
      </w:r>
      <w:proofErr w:type="spellStart"/>
      <w:r w:rsidRPr="00A50C03">
        <w:t>Metab</w:t>
      </w:r>
      <w:proofErr w:type="spellEnd"/>
      <w:r w:rsidRPr="00A50C03">
        <w:t xml:space="preserve"> </w:t>
      </w:r>
      <w:proofErr w:type="spellStart"/>
      <w:r w:rsidRPr="00A50C03">
        <w:t>Dispos</w:t>
      </w:r>
      <w:proofErr w:type="spellEnd"/>
      <w:r w:rsidRPr="00A50C03">
        <w:t xml:space="preserve"> 2006 Apr;34:608-611.</w:t>
      </w:r>
    </w:p>
    <w:p w:rsidR="00A50C03" w:rsidRPr="00A50C03" w:rsidRDefault="00A50C03" w:rsidP="008204B7">
      <w:pPr>
        <w:pStyle w:val="Numberbullet0"/>
      </w:pPr>
      <w:proofErr w:type="spellStart"/>
      <w:r w:rsidRPr="00A50C03">
        <w:t>Kosaki</w:t>
      </w:r>
      <w:proofErr w:type="spellEnd"/>
      <w:r w:rsidRPr="00A50C03">
        <w:t xml:space="preserve"> K, Tamura K, Sato R, </w:t>
      </w:r>
      <w:proofErr w:type="spellStart"/>
      <w:r w:rsidRPr="00A50C03">
        <w:t>Samejima</w:t>
      </w:r>
      <w:proofErr w:type="spellEnd"/>
      <w:r w:rsidRPr="00A50C03">
        <w:t xml:space="preserve"> H, </w:t>
      </w:r>
      <w:proofErr w:type="spellStart"/>
      <w:r w:rsidRPr="00A50C03">
        <w:t>Tanigawara</w:t>
      </w:r>
      <w:proofErr w:type="spellEnd"/>
      <w:r w:rsidRPr="00A50C03">
        <w:t xml:space="preserve"> Y, Takahashi T. A major influence of CYP2C19 genotype on the steady-state concentration of N-</w:t>
      </w:r>
      <w:proofErr w:type="spellStart"/>
      <w:r w:rsidRPr="00A50C03">
        <w:t>desmethylclobazam</w:t>
      </w:r>
      <w:proofErr w:type="spellEnd"/>
      <w:r w:rsidRPr="00A50C03">
        <w:t>. Brain Dev 2004 Dec;26:530-534.</w:t>
      </w:r>
    </w:p>
    <w:p w:rsidR="00A50C03" w:rsidRPr="00A50C03" w:rsidRDefault="00A50C03" w:rsidP="008204B7">
      <w:pPr>
        <w:pStyle w:val="Numberbullet0"/>
      </w:pPr>
      <w:proofErr w:type="spellStart"/>
      <w:r w:rsidRPr="00A50C03">
        <w:t>Seo</w:t>
      </w:r>
      <w:proofErr w:type="spellEnd"/>
      <w:r w:rsidRPr="00A50C03">
        <w:t xml:space="preserve"> T, Nagata R, </w:t>
      </w:r>
      <w:proofErr w:type="spellStart"/>
      <w:r w:rsidRPr="00A50C03">
        <w:t>Ishitsu</w:t>
      </w:r>
      <w:proofErr w:type="spellEnd"/>
      <w:r w:rsidRPr="00A50C03">
        <w:t xml:space="preserve"> T, et al. Impact of CYP2C19 polymorphisms on the efficacy of </w:t>
      </w:r>
      <w:proofErr w:type="spellStart"/>
      <w:r w:rsidRPr="00A50C03">
        <w:t>clobazam</w:t>
      </w:r>
      <w:proofErr w:type="spellEnd"/>
      <w:r w:rsidRPr="00A50C03">
        <w:t xml:space="preserve"> therapy. </w:t>
      </w:r>
      <w:proofErr w:type="spellStart"/>
      <w:r w:rsidRPr="00A50C03">
        <w:t>Pharmacogenomics</w:t>
      </w:r>
      <w:proofErr w:type="spellEnd"/>
      <w:r w:rsidRPr="00A50C03">
        <w:t xml:space="preserve"> 2008 May;9:527-537.</w:t>
      </w:r>
    </w:p>
    <w:p w:rsidR="00A50C03" w:rsidRPr="00A50C03" w:rsidRDefault="00A50C03" w:rsidP="008204B7">
      <w:pPr>
        <w:pStyle w:val="Numberbullet0"/>
      </w:pPr>
      <w:proofErr w:type="spellStart"/>
      <w:r w:rsidRPr="00A50C03">
        <w:t>Walzer</w:t>
      </w:r>
      <w:proofErr w:type="spellEnd"/>
      <w:r w:rsidRPr="00A50C03">
        <w:t xml:space="preserve"> M, </w:t>
      </w:r>
      <w:proofErr w:type="spellStart"/>
      <w:r w:rsidRPr="00A50C03">
        <w:t>Bekersky</w:t>
      </w:r>
      <w:proofErr w:type="spellEnd"/>
      <w:r w:rsidRPr="00A50C03">
        <w:t xml:space="preserve"> I, Blum RA, Tolbert D. Pharmacokinetic drug interactions between </w:t>
      </w:r>
      <w:proofErr w:type="spellStart"/>
      <w:r w:rsidRPr="00A50C03">
        <w:t>clobazam</w:t>
      </w:r>
      <w:proofErr w:type="spellEnd"/>
      <w:r w:rsidRPr="00A50C03">
        <w:t xml:space="preserve"> and drugs metabolized by </w:t>
      </w:r>
      <w:proofErr w:type="spellStart"/>
      <w:r w:rsidRPr="00A50C03">
        <w:t>cytochrome</w:t>
      </w:r>
      <w:proofErr w:type="spellEnd"/>
      <w:r w:rsidRPr="00A50C03">
        <w:t xml:space="preserve"> P450 </w:t>
      </w:r>
      <w:proofErr w:type="spellStart"/>
      <w:r w:rsidRPr="00A50C03">
        <w:t>isoenzymes</w:t>
      </w:r>
      <w:proofErr w:type="spellEnd"/>
      <w:r w:rsidRPr="00A50C03">
        <w:t>. Pharmacotherapy 2012 Apr;32:340-353.</w:t>
      </w:r>
    </w:p>
    <w:p w:rsidR="003D1E62" w:rsidRPr="001D043B" w:rsidRDefault="008E7846" w:rsidP="002666AC">
      <w:pPr>
        <w:sectPr w:rsidR="003D1E62" w:rsidRPr="001D043B" w:rsidSect="008D770F">
          <w:headerReference w:type="even" r:id="rId38"/>
          <w:headerReference w:type="default" r:id="rId39"/>
          <w:footerReference w:type="default" r:id="rId40"/>
          <w:headerReference w:type="first" r:id="rId41"/>
          <w:footerReference w:type="first" r:id="rId42"/>
          <w:pgSz w:w="11906" w:h="16838" w:code="9"/>
          <w:pgMar w:top="1440" w:right="1440" w:bottom="1440" w:left="1440" w:header="907" w:footer="216" w:gutter="0"/>
          <w:cols w:space="708"/>
          <w:docGrid w:linePitch="360"/>
        </w:sectPr>
      </w:pPr>
      <w:r>
        <w:br w:type="page"/>
      </w:r>
    </w:p>
    <w:p w:rsidR="00774E1D" w:rsidRPr="008A5E0B" w:rsidRDefault="00774E1D" w:rsidP="008A5E0B"/>
    <w:sectPr w:rsidR="00774E1D" w:rsidRPr="008A5E0B" w:rsidSect="008D770F">
      <w:headerReference w:type="even" r:id="rId43"/>
      <w:headerReference w:type="default" r:id="rId44"/>
      <w:footerReference w:type="default" r:id="rId45"/>
      <w:headerReference w:type="first" r:id="rId46"/>
      <w:footerReference w:type="first" r:id="rId47"/>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1D7F" w:rsidRDefault="00E91D7F" w:rsidP="00C40A36">
      <w:pPr>
        <w:spacing w:after="0"/>
      </w:pPr>
      <w:r>
        <w:separator/>
      </w:r>
    </w:p>
  </w:endnote>
  <w:endnote w:type="continuationSeparator" w:id="0">
    <w:p w:rsidR="00E91D7F" w:rsidRDefault="00E91D7F"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NewRomanPSMT">
    <w:altName w:val="MS Mincho"/>
    <w:panose1 w:val="00000000000000000000"/>
    <w:charset w:val="00"/>
    <w:family w:val="roman"/>
    <w:notTrueType/>
    <w:pitch w:val="default"/>
    <w:sig w:usb0="00000083" w:usb1="08070000" w:usb2="00000010" w:usb3="00000000" w:csb0="0002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E91D7F" w:rsidRPr="00487162" w:rsidTr="0053625B">
      <w:trPr>
        <w:trHeight w:val="269"/>
      </w:trPr>
      <w:tc>
        <w:tcPr>
          <w:tcW w:w="7938" w:type="dxa"/>
          <w:tcMar>
            <w:top w:w="142" w:type="dxa"/>
            <w:bottom w:w="0" w:type="dxa"/>
          </w:tcMar>
        </w:tcPr>
        <w:p w:rsidR="00E91D7F" w:rsidRPr="00487162" w:rsidRDefault="00E91D7F" w:rsidP="00586F98">
          <w:pPr>
            <w:pStyle w:val="Footer"/>
          </w:pPr>
          <w:r>
            <w:t>Submission</w:t>
          </w:r>
          <w:r w:rsidRPr="00487162">
            <w:t xml:space="preserve"> </w:t>
          </w:r>
          <w:r>
            <w:t xml:space="preserve">PM-2011-04302-3-1 Extract from the Clinical Evaluation Report for </w:t>
          </w:r>
          <w:proofErr w:type="spellStart"/>
          <w:r w:rsidRPr="00A50C03">
            <w:t>Clobazam</w:t>
          </w:r>
          <w:proofErr w:type="spellEnd"/>
        </w:p>
      </w:tc>
      <w:tc>
        <w:tcPr>
          <w:tcW w:w="923" w:type="dxa"/>
          <w:tcMar>
            <w:top w:w="142" w:type="dxa"/>
            <w:bottom w:w="0" w:type="dxa"/>
          </w:tcMar>
        </w:tcPr>
        <w:p w:rsidR="00E91D7F" w:rsidRPr="00487162" w:rsidRDefault="00E91D7F" w:rsidP="00D855D4">
          <w:pPr>
            <w:pStyle w:val="Footer"/>
            <w:jc w:val="right"/>
          </w:pPr>
          <w:r w:rsidRPr="00487162">
            <w:t xml:space="preserve">Page </w:t>
          </w:r>
          <w:r>
            <w:t>2</w:t>
          </w:r>
          <w:r w:rsidRPr="00487162">
            <w:t xml:space="preserve"> of </w:t>
          </w:r>
          <w:fldSimple w:instr=" NUMPAGES  \* Arabic ">
            <w:r w:rsidR="00F62481">
              <w:rPr>
                <w:noProof/>
              </w:rPr>
              <w:t>53</w:t>
            </w:r>
          </w:fldSimple>
        </w:p>
      </w:tc>
    </w:tr>
  </w:tbl>
  <w:p w:rsidR="00E91D7F" w:rsidRDefault="00E91D7F" w:rsidP="0043797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655"/>
      <w:gridCol w:w="1206"/>
    </w:tblGrid>
    <w:tr w:rsidR="00E91D7F" w:rsidRPr="00487162" w:rsidTr="00586F98">
      <w:trPr>
        <w:trHeight w:val="269"/>
      </w:trPr>
      <w:tc>
        <w:tcPr>
          <w:tcW w:w="7655" w:type="dxa"/>
          <w:tcMar>
            <w:top w:w="142" w:type="dxa"/>
            <w:bottom w:w="0" w:type="dxa"/>
          </w:tcMar>
        </w:tcPr>
        <w:p w:rsidR="00E91D7F" w:rsidRPr="00487162" w:rsidRDefault="00E91D7F" w:rsidP="00D855D4">
          <w:pPr>
            <w:pStyle w:val="Footer"/>
          </w:pPr>
          <w:r>
            <w:t>Submission</w:t>
          </w:r>
          <w:r w:rsidRPr="00487162">
            <w:t xml:space="preserve"> </w:t>
          </w:r>
          <w:r>
            <w:t xml:space="preserve">PM-2011-04302-3-1 Extract from the Clinical Evaluation Report for </w:t>
          </w:r>
          <w:proofErr w:type="spellStart"/>
          <w:r w:rsidRPr="00A50C03">
            <w:t>Clobazam</w:t>
          </w:r>
          <w:proofErr w:type="spellEnd"/>
        </w:p>
      </w:tc>
      <w:tc>
        <w:tcPr>
          <w:tcW w:w="1206" w:type="dxa"/>
          <w:tcMar>
            <w:top w:w="142" w:type="dxa"/>
            <w:bottom w:w="0" w:type="dxa"/>
          </w:tcMar>
        </w:tcPr>
        <w:p w:rsidR="00E91D7F" w:rsidRPr="00487162" w:rsidRDefault="00E91D7F" w:rsidP="00E45619">
          <w:pPr>
            <w:pStyle w:val="Footer"/>
            <w:jc w:val="right"/>
          </w:pPr>
          <w:r w:rsidRPr="00487162">
            <w:t xml:space="preserve">Page </w:t>
          </w:r>
          <w:fldSimple w:instr="PAGE">
            <w:r w:rsidR="00F62481">
              <w:rPr>
                <w:noProof/>
              </w:rPr>
              <w:t>3</w:t>
            </w:r>
          </w:fldSimple>
          <w:r w:rsidRPr="00487162">
            <w:t xml:space="preserve"> of </w:t>
          </w:r>
          <w:fldSimple w:instr=" NUMPAGES  \* Arabic ">
            <w:r w:rsidR="00F62481">
              <w:rPr>
                <w:noProof/>
              </w:rPr>
              <w:t>53</w:t>
            </w:r>
          </w:fldSimple>
        </w:p>
      </w:tc>
    </w:tr>
  </w:tbl>
  <w:p w:rsidR="00E91D7F" w:rsidRDefault="00E91D7F"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E91D7F" w:rsidRPr="00487162" w:rsidTr="00E45619">
      <w:trPr>
        <w:trHeight w:val="269"/>
      </w:trPr>
      <w:tc>
        <w:tcPr>
          <w:tcW w:w="4519" w:type="dxa"/>
          <w:tcBorders>
            <w:top w:val="single" w:sz="4" w:space="0" w:color="auto"/>
          </w:tcBorders>
          <w:tcMar>
            <w:top w:w="142" w:type="dxa"/>
            <w:bottom w:w="0" w:type="dxa"/>
          </w:tcMar>
        </w:tcPr>
        <w:p w:rsidR="00E91D7F" w:rsidRPr="00487162" w:rsidRDefault="00E91D7F" w:rsidP="00FE1DEE">
          <w:pPr>
            <w:pStyle w:val="Footer"/>
          </w:pPr>
          <w:r w:rsidRPr="00487162">
            <w:t>Document title, Part #, Section # - Section title</w:t>
          </w:r>
        </w:p>
        <w:p w:rsidR="00E91D7F" w:rsidRPr="00487162" w:rsidRDefault="00E91D7F" w:rsidP="00FE1DEE">
          <w:pPr>
            <w:pStyle w:val="Footer"/>
          </w:pPr>
          <w:r w:rsidRPr="00487162">
            <w:t>V1.0 October 2010</w:t>
          </w:r>
        </w:p>
      </w:tc>
      <w:tc>
        <w:tcPr>
          <w:tcW w:w="4342" w:type="dxa"/>
          <w:tcBorders>
            <w:top w:val="single" w:sz="4" w:space="0" w:color="auto"/>
          </w:tcBorders>
          <w:tcMar>
            <w:top w:w="142" w:type="dxa"/>
            <w:bottom w:w="0" w:type="dxa"/>
          </w:tcMar>
        </w:tcPr>
        <w:p w:rsidR="00E91D7F" w:rsidRPr="00487162" w:rsidRDefault="00E91D7F"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3</w:t>
            </w:r>
          </w:fldSimple>
        </w:p>
      </w:tc>
    </w:tr>
  </w:tbl>
  <w:p w:rsidR="00E91D7F" w:rsidRDefault="00E91D7F">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E91D7F" w:rsidRPr="00487162" w:rsidTr="008D770F">
              <w:trPr>
                <w:trHeight w:hRule="exact" w:val="564"/>
              </w:trPr>
              <w:tc>
                <w:tcPr>
                  <w:tcW w:w="9175" w:type="dxa"/>
                </w:tcPr>
                <w:p w:rsidR="00E91D7F" w:rsidRPr="00487162" w:rsidRDefault="00E91D7F" w:rsidP="008E7846">
                  <w:pPr>
                    <w:pStyle w:val="TGASignoff"/>
                  </w:pPr>
                  <w:r w:rsidRPr="00487162">
                    <w:t>Therapeutic Goods Administration</w:t>
                  </w:r>
                </w:p>
              </w:tc>
            </w:tr>
            <w:tr w:rsidR="00E91D7F" w:rsidRPr="00487162" w:rsidTr="00E45619">
              <w:trPr>
                <w:trHeight w:val="1221"/>
              </w:trPr>
              <w:tc>
                <w:tcPr>
                  <w:tcW w:w="9175" w:type="dxa"/>
                  <w:tcMar>
                    <w:top w:w="28" w:type="dxa"/>
                  </w:tcMar>
                </w:tcPr>
                <w:p w:rsidR="00E91D7F" w:rsidRPr="00487162" w:rsidRDefault="00E91D7F" w:rsidP="00E45619">
                  <w:pPr>
                    <w:pStyle w:val="Address"/>
                  </w:pPr>
                  <w:r w:rsidRPr="00487162">
                    <w:t>PO Box 100 Woden ACT 2606 Australia</w:t>
                  </w:r>
                </w:p>
                <w:p w:rsidR="00E91D7F" w:rsidRPr="00487162" w:rsidRDefault="00E91D7F" w:rsidP="00E45619">
                  <w:pPr>
                    <w:pStyle w:val="Address"/>
                  </w:pPr>
                  <w:r w:rsidRPr="00487162">
                    <w:t xml:space="preserve">Email: </w:t>
                  </w:r>
                  <w:hyperlink r:id="rId1" w:history="1">
                    <w:r w:rsidRPr="008D770F">
                      <w:rPr>
                        <w:rStyle w:val="Hyperlink"/>
                      </w:rPr>
                      <w:t>info@tga.gov.au</w:t>
                    </w:r>
                  </w:hyperlink>
                  <w:r w:rsidRPr="00487162">
                    <w:t xml:space="preserve">  Phone: 1800 020 653  Fax: 02 6232 8605</w:t>
                  </w:r>
                </w:p>
                <w:p w:rsidR="00E91D7F" w:rsidRPr="008D770F" w:rsidRDefault="00E91D7F" w:rsidP="008D770F">
                  <w:pPr>
                    <w:pStyle w:val="Address"/>
                    <w:spacing w:line="260" w:lineRule="atLeast"/>
                    <w:rPr>
                      <w:b/>
                      <w:color w:val="0000FF"/>
                      <w:u w:val="single"/>
                    </w:rPr>
                  </w:pPr>
                  <w:hyperlink r:id="rId2" w:history="1">
                    <w:r w:rsidRPr="007C06C7">
                      <w:rPr>
                        <w:rStyle w:val="Hyperlink"/>
                        <w:b/>
                      </w:rPr>
                      <w:t>http://www.tga.gov.au</w:t>
                    </w:r>
                  </w:hyperlink>
                </w:p>
              </w:tc>
            </w:tr>
          </w:tbl>
          <w:p w:rsidR="00E91D7F" w:rsidRDefault="00E91D7F" w:rsidP="008E7846">
            <w:pPr>
              <w:pStyle w:val="Notes"/>
            </w:pPr>
          </w:p>
        </w:sdtContent>
      </w:sdt>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E91D7F" w:rsidTr="0010601F">
      <w:trPr>
        <w:trHeight w:val="108"/>
      </w:trPr>
      <w:tc>
        <w:tcPr>
          <w:tcW w:w="8875" w:type="dxa"/>
          <w:gridSpan w:val="2"/>
          <w:tcBorders>
            <w:bottom w:val="single" w:sz="4" w:space="0" w:color="auto"/>
          </w:tcBorders>
          <w:tcMar>
            <w:right w:w="284" w:type="dxa"/>
          </w:tcMar>
        </w:tcPr>
        <w:p w:rsidR="00E91D7F" w:rsidRDefault="00E91D7F" w:rsidP="006E08B3">
          <w:pPr>
            <w:pStyle w:val="Heading3"/>
          </w:pPr>
          <w:r>
            <w:t>Copyright</w:t>
          </w:r>
        </w:p>
        <w:p w:rsidR="00E91D7F" w:rsidRDefault="00E91D7F" w:rsidP="006E08B3">
          <w:r>
            <w:rPr>
              <w:rFonts w:cs="Arial"/>
            </w:rPr>
            <w:t>©</w:t>
          </w:r>
          <w:r>
            <w:t xml:space="preserve"> Commonwealth of Australia [add year]</w:t>
          </w:r>
        </w:p>
        <w:p w:rsidR="00E91D7F" w:rsidRDefault="00E91D7F" w:rsidP="006E08B3"/>
        <w:p w:rsidR="00E91D7F" w:rsidRDefault="00E91D7F"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E91D7F" w:rsidRDefault="00E91D7F" w:rsidP="006E08B3"/>
        <w:p w:rsidR="00E91D7F" w:rsidRDefault="00E91D7F" w:rsidP="006E08B3">
          <w:pPr>
            <w:pStyle w:val="Heading3"/>
          </w:pPr>
          <w:r>
            <w:t>Confidentiality</w:t>
          </w:r>
        </w:p>
        <w:p w:rsidR="00E91D7F" w:rsidRDefault="00E91D7F"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E91D7F" w:rsidRDefault="00E91D7F" w:rsidP="006E08B3"/>
        <w:p w:rsidR="00E91D7F" w:rsidRDefault="00E91D7F" w:rsidP="006E08B3">
          <w:r>
            <w:t>For submission made by individuals, all personal details, other than your name, will be removed from your submission before it is published on the TGA’s Internet site.</w:t>
          </w:r>
        </w:p>
        <w:p w:rsidR="00E91D7F" w:rsidRDefault="00E91D7F" w:rsidP="006E08B3"/>
        <w:p w:rsidR="00E91D7F" w:rsidRDefault="00E91D7F"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E91D7F" w:rsidTr="0010601F">
      <w:trPr>
        <w:trHeight w:val="417"/>
      </w:trPr>
      <w:tc>
        <w:tcPr>
          <w:tcW w:w="4519" w:type="dxa"/>
          <w:tcBorders>
            <w:top w:val="single" w:sz="4" w:space="0" w:color="auto"/>
          </w:tcBorders>
          <w:tcMar>
            <w:top w:w="142" w:type="dxa"/>
            <w:bottom w:w="0" w:type="dxa"/>
          </w:tcMar>
        </w:tcPr>
        <w:p w:rsidR="00E91D7F" w:rsidRDefault="00E91D7F" w:rsidP="006E08B3">
          <w:r>
            <w:t>Document title, Part #, Section # - Section title</w:t>
          </w:r>
        </w:p>
        <w:p w:rsidR="00E91D7F" w:rsidRDefault="00E91D7F" w:rsidP="006E08B3">
          <w:r>
            <w:t>V1.0 October 2010</w:t>
          </w:r>
        </w:p>
      </w:tc>
      <w:tc>
        <w:tcPr>
          <w:tcW w:w="4356" w:type="dxa"/>
          <w:tcBorders>
            <w:top w:val="single" w:sz="4" w:space="0" w:color="auto"/>
          </w:tcBorders>
          <w:tcMar>
            <w:top w:w="142" w:type="dxa"/>
            <w:bottom w:w="0" w:type="dxa"/>
          </w:tcMar>
        </w:tcPr>
        <w:p w:rsidR="00E91D7F" w:rsidRDefault="00E91D7F" w:rsidP="006E08B3">
          <w:pPr>
            <w:jc w:val="right"/>
          </w:pPr>
          <w:r>
            <w:t xml:space="preserve">Page </w:t>
          </w:r>
          <w:fldSimple w:instr=" PAGE   \* MERGEFORMAT ">
            <w:r>
              <w:rPr>
                <w:noProof/>
              </w:rPr>
              <w:t>1</w:t>
            </w:r>
          </w:fldSimple>
          <w:r>
            <w:t xml:space="preserve"> of </w:t>
          </w:r>
          <w:fldSimple w:instr=" NUMPAGES  \* Arabic ">
            <w:r>
              <w:rPr>
                <w:noProof/>
              </w:rPr>
              <w:t>3</w:t>
            </w:r>
          </w:fldSimple>
          <w:r>
            <w:t xml:space="preserve">  </w:t>
          </w:r>
        </w:p>
      </w:tc>
    </w:tr>
  </w:tbl>
  <w:p w:rsidR="00E91D7F" w:rsidRDefault="00E91D7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1D7F" w:rsidRDefault="00E91D7F" w:rsidP="00C40A36">
      <w:pPr>
        <w:spacing w:after="0"/>
      </w:pPr>
      <w:r>
        <w:separator/>
      </w:r>
    </w:p>
  </w:footnote>
  <w:footnote w:type="continuationSeparator" w:id="0">
    <w:p w:rsidR="00E91D7F" w:rsidRDefault="00E91D7F" w:rsidP="00C40A36">
      <w:pPr>
        <w:spacing w:after="0"/>
      </w:pPr>
      <w:r>
        <w:continuationSeparator/>
      </w:r>
    </w:p>
  </w:footnote>
  <w:footnote w:id="1">
    <w:p w:rsidR="00E91D7F" w:rsidRPr="00E91D7F" w:rsidRDefault="00E91D7F" w:rsidP="00A50C03">
      <w:pPr>
        <w:pStyle w:val="FootnoteText"/>
        <w:ind w:left="0" w:firstLine="0"/>
        <w:rPr>
          <w:rFonts w:ascii="Cambria" w:hAnsi="Cambria"/>
          <w:sz w:val="18"/>
          <w:szCs w:val="18"/>
        </w:rPr>
      </w:pPr>
      <w:r w:rsidRPr="00E91D7F">
        <w:rPr>
          <w:rStyle w:val="FootnoteReference"/>
          <w:rFonts w:ascii="Cambria" w:hAnsi="Cambria"/>
        </w:rPr>
        <w:footnoteRef/>
      </w:r>
      <w:r w:rsidRPr="00E91D7F">
        <w:rPr>
          <w:rFonts w:ascii="Cambria" w:hAnsi="Cambria"/>
        </w:rPr>
        <w:t xml:space="preserve"> </w:t>
      </w:r>
      <w:r w:rsidRPr="00E91D7F">
        <w:rPr>
          <w:rFonts w:ascii="Cambria" w:hAnsi="Cambria"/>
          <w:sz w:val="18"/>
          <w:szCs w:val="18"/>
        </w:rPr>
        <w:t>European Medicines Agency, “Guideline on clinical investigation of medicinal products in the treatment of epileptic disorders (CHMP/EWP/566/98 Rev.2/</w:t>
      </w:r>
      <w:proofErr w:type="spellStart"/>
      <w:r w:rsidRPr="00E91D7F">
        <w:rPr>
          <w:rFonts w:ascii="Cambria" w:hAnsi="Cambria"/>
          <w:sz w:val="18"/>
          <w:szCs w:val="18"/>
        </w:rPr>
        <w:t>Corr</w:t>
      </w:r>
      <w:proofErr w:type="spellEnd"/>
      <w:r w:rsidRPr="00E91D7F">
        <w:rPr>
          <w:rFonts w:ascii="Cambria" w:hAnsi="Cambria"/>
          <w:sz w:val="18"/>
          <w:szCs w:val="18"/>
        </w:rPr>
        <w:t>)”, 22 July 2010, Web, accessed 19 August 2013 &lt;http://www.ema.europa.eu/docs/en_GB/document_library/Scientific_guideline/2010/01/ WC500070043.pdf&gt;.</w:t>
      </w:r>
    </w:p>
  </w:footnote>
  <w:footnote w:id="2">
    <w:p w:rsidR="00E91D7F" w:rsidRPr="00885649" w:rsidRDefault="00E91D7F" w:rsidP="00A50C03">
      <w:pPr>
        <w:pStyle w:val="FootnoteText"/>
        <w:ind w:left="0" w:firstLine="0"/>
        <w:rPr>
          <w:rFonts w:ascii="Cambria" w:hAnsi="Cambria"/>
          <w:sz w:val="20"/>
        </w:rPr>
      </w:pPr>
      <w:r w:rsidRPr="00E91D7F">
        <w:rPr>
          <w:rStyle w:val="FootnoteReference"/>
          <w:rFonts w:ascii="Cambria" w:hAnsi="Cambria"/>
          <w:sz w:val="20"/>
        </w:rPr>
        <w:footnoteRef/>
      </w:r>
      <w:r w:rsidRPr="00E91D7F">
        <w:rPr>
          <w:rFonts w:ascii="Cambria" w:hAnsi="Cambria"/>
          <w:sz w:val="20"/>
        </w:rPr>
        <w:t xml:space="preserve"> </w:t>
      </w:r>
      <w:proofErr w:type="spellStart"/>
      <w:r w:rsidRPr="00E91D7F">
        <w:rPr>
          <w:rFonts w:ascii="Cambria" w:hAnsi="Cambria"/>
          <w:sz w:val="18"/>
          <w:szCs w:val="18"/>
        </w:rPr>
        <w:t>Guerrini</w:t>
      </w:r>
      <w:proofErr w:type="spellEnd"/>
      <w:r w:rsidRPr="00E91D7F">
        <w:rPr>
          <w:rFonts w:ascii="Cambria" w:hAnsi="Cambria"/>
          <w:sz w:val="18"/>
          <w:szCs w:val="18"/>
        </w:rPr>
        <w:t xml:space="preserve"> R, et al. (1998) Antiepileptic drug-induced worsening of seizures in children. </w:t>
      </w:r>
      <w:proofErr w:type="spellStart"/>
      <w:r w:rsidRPr="00E91D7F">
        <w:rPr>
          <w:rFonts w:ascii="Cambria" w:hAnsi="Cambria"/>
          <w:i/>
          <w:sz w:val="18"/>
          <w:szCs w:val="18"/>
        </w:rPr>
        <w:t>Epilepsia</w:t>
      </w:r>
      <w:proofErr w:type="spellEnd"/>
      <w:r w:rsidRPr="00E91D7F">
        <w:rPr>
          <w:rFonts w:ascii="Cambria" w:hAnsi="Cambria"/>
          <w:sz w:val="18"/>
          <w:szCs w:val="18"/>
        </w:rPr>
        <w:t xml:space="preserve"> 39 </w:t>
      </w:r>
      <w:proofErr w:type="spellStart"/>
      <w:r w:rsidRPr="00E91D7F">
        <w:rPr>
          <w:rFonts w:ascii="Cambria" w:hAnsi="Cambria"/>
          <w:sz w:val="18"/>
          <w:szCs w:val="18"/>
        </w:rPr>
        <w:t>Suppl</w:t>
      </w:r>
      <w:proofErr w:type="spellEnd"/>
      <w:r w:rsidRPr="00E91D7F">
        <w:rPr>
          <w:rFonts w:ascii="Cambria" w:hAnsi="Cambria"/>
          <w:sz w:val="18"/>
          <w:szCs w:val="18"/>
        </w:rPr>
        <w:t xml:space="preserve"> 3: S2-10.</w:t>
      </w:r>
    </w:p>
  </w:footnote>
  <w:footnote w:id="3">
    <w:p w:rsidR="00E91D7F" w:rsidRPr="00B16034" w:rsidRDefault="00E91D7F" w:rsidP="00A50C03">
      <w:pPr>
        <w:pStyle w:val="FootnoteText"/>
        <w:ind w:left="0" w:firstLine="0"/>
        <w:rPr>
          <w:rFonts w:ascii="Cambria" w:hAnsi="Cambria"/>
          <w:sz w:val="20"/>
        </w:rPr>
      </w:pPr>
      <w:r w:rsidRPr="00B16034">
        <w:rPr>
          <w:rStyle w:val="FootnoteReference"/>
          <w:rFonts w:ascii="Cambria" w:hAnsi="Cambria"/>
          <w:sz w:val="20"/>
        </w:rPr>
        <w:footnoteRef/>
      </w:r>
      <w:r w:rsidRPr="00821A2C">
        <w:rPr>
          <w:rFonts w:ascii="Cambria" w:hAnsi="Cambria"/>
          <w:sz w:val="18"/>
          <w:szCs w:val="18"/>
        </w:rPr>
        <w:t xml:space="preserve"> [No authors listed] (1998) </w:t>
      </w:r>
      <w:proofErr w:type="spellStart"/>
      <w:r w:rsidRPr="00821A2C">
        <w:rPr>
          <w:rFonts w:ascii="Cambria" w:hAnsi="Cambria"/>
          <w:sz w:val="18"/>
          <w:szCs w:val="18"/>
        </w:rPr>
        <w:t>Clobazam</w:t>
      </w:r>
      <w:proofErr w:type="spellEnd"/>
      <w:r w:rsidRPr="00821A2C">
        <w:rPr>
          <w:rFonts w:ascii="Cambria" w:hAnsi="Cambria"/>
          <w:sz w:val="18"/>
          <w:szCs w:val="18"/>
        </w:rPr>
        <w:t xml:space="preserve"> has equivalent efficacy to </w:t>
      </w:r>
      <w:proofErr w:type="spellStart"/>
      <w:r w:rsidRPr="00821A2C">
        <w:rPr>
          <w:rFonts w:ascii="Cambria" w:hAnsi="Cambria"/>
          <w:sz w:val="18"/>
          <w:szCs w:val="18"/>
        </w:rPr>
        <w:t>carbamazepine</w:t>
      </w:r>
      <w:proofErr w:type="spellEnd"/>
      <w:r w:rsidRPr="00821A2C">
        <w:rPr>
          <w:rFonts w:ascii="Cambria" w:hAnsi="Cambria"/>
          <w:sz w:val="18"/>
          <w:szCs w:val="18"/>
        </w:rPr>
        <w:t xml:space="preserve"> and </w:t>
      </w:r>
      <w:proofErr w:type="spellStart"/>
      <w:r w:rsidRPr="00821A2C">
        <w:rPr>
          <w:rFonts w:ascii="Cambria" w:hAnsi="Cambria"/>
          <w:sz w:val="18"/>
          <w:szCs w:val="18"/>
        </w:rPr>
        <w:t>phenytoin</w:t>
      </w:r>
      <w:proofErr w:type="spellEnd"/>
      <w:r w:rsidRPr="00821A2C">
        <w:rPr>
          <w:rFonts w:ascii="Cambria" w:hAnsi="Cambria"/>
          <w:sz w:val="18"/>
          <w:szCs w:val="18"/>
        </w:rPr>
        <w:t xml:space="preserve"> as </w:t>
      </w:r>
      <w:proofErr w:type="spellStart"/>
      <w:r w:rsidRPr="00821A2C">
        <w:rPr>
          <w:rFonts w:ascii="Cambria" w:hAnsi="Cambria"/>
          <w:sz w:val="18"/>
          <w:szCs w:val="18"/>
        </w:rPr>
        <w:t>monotherapy</w:t>
      </w:r>
      <w:proofErr w:type="spellEnd"/>
      <w:r w:rsidRPr="00821A2C">
        <w:rPr>
          <w:rFonts w:ascii="Cambria" w:hAnsi="Cambria"/>
          <w:sz w:val="18"/>
          <w:szCs w:val="18"/>
        </w:rPr>
        <w:t xml:space="preserve"> for childhood epilepsy. Canadian Study Group for Childhood Epilepsy. </w:t>
      </w:r>
      <w:proofErr w:type="spellStart"/>
      <w:r w:rsidRPr="00821A2C">
        <w:rPr>
          <w:rFonts w:ascii="Cambria" w:hAnsi="Cambria"/>
          <w:i/>
          <w:sz w:val="18"/>
          <w:szCs w:val="18"/>
        </w:rPr>
        <w:t>Epilepsia</w:t>
      </w:r>
      <w:proofErr w:type="spellEnd"/>
      <w:r w:rsidRPr="00821A2C">
        <w:rPr>
          <w:rFonts w:ascii="Cambria" w:hAnsi="Cambria"/>
          <w:sz w:val="18"/>
          <w:szCs w:val="18"/>
        </w:rPr>
        <w:t xml:space="preserve"> 39: 952-959.</w:t>
      </w:r>
    </w:p>
  </w:footnote>
  <w:footnote w:id="4">
    <w:p w:rsidR="00E91D7F" w:rsidRPr="00B16034" w:rsidRDefault="00E91D7F" w:rsidP="00A50C03">
      <w:pPr>
        <w:pStyle w:val="FootnoteText"/>
        <w:ind w:left="0" w:firstLine="0"/>
        <w:rPr>
          <w:rFonts w:ascii="Cambria" w:hAnsi="Cambria"/>
          <w:sz w:val="20"/>
        </w:rPr>
      </w:pPr>
      <w:r w:rsidRPr="00B16034">
        <w:rPr>
          <w:rStyle w:val="FootnoteReference"/>
          <w:rFonts w:ascii="Cambria" w:hAnsi="Cambria"/>
          <w:sz w:val="20"/>
        </w:rPr>
        <w:footnoteRef/>
      </w:r>
      <w:r w:rsidRPr="00821A2C">
        <w:rPr>
          <w:rFonts w:ascii="Cambria" w:hAnsi="Cambria"/>
          <w:sz w:val="18"/>
          <w:szCs w:val="18"/>
        </w:rPr>
        <w:t xml:space="preserve"> European Medicines Agency, “Guideline on clinical investigation of medicinal products in the treatment of epileptic disorders (CHMP/EWP/566/98 Rev.2/</w:t>
      </w:r>
      <w:proofErr w:type="spellStart"/>
      <w:r w:rsidRPr="00821A2C">
        <w:rPr>
          <w:rFonts w:ascii="Cambria" w:hAnsi="Cambria"/>
          <w:sz w:val="18"/>
          <w:szCs w:val="18"/>
        </w:rPr>
        <w:t>Corr</w:t>
      </w:r>
      <w:proofErr w:type="spellEnd"/>
      <w:r w:rsidRPr="00821A2C">
        <w:rPr>
          <w:rFonts w:ascii="Cambria" w:hAnsi="Cambria"/>
          <w:sz w:val="18"/>
          <w:szCs w:val="18"/>
        </w:rPr>
        <w:t>)”, 22 July 2010, Web, accessed 19 August 2013 &lt;http:///www.ema.europa.eu/docs/en_GB/document_library/Scientific_guideline/2010/ 01/ WC500070043.pdf&gt;.</w:t>
      </w:r>
    </w:p>
  </w:footnote>
  <w:footnote w:id="5">
    <w:p w:rsidR="00E91D7F" w:rsidRPr="00B16034" w:rsidRDefault="00E91D7F" w:rsidP="00A50C03">
      <w:pPr>
        <w:pStyle w:val="FootnoteText"/>
        <w:ind w:left="0" w:firstLine="0"/>
        <w:rPr>
          <w:rFonts w:ascii="Cambria" w:hAnsi="Cambria"/>
          <w:sz w:val="20"/>
        </w:rPr>
      </w:pPr>
      <w:r w:rsidRPr="00B16034">
        <w:rPr>
          <w:rStyle w:val="FootnoteReference"/>
          <w:rFonts w:ascii="Cambria" w:hAnsi="Cambria"/>
          <w:sz w:val="20"/>
        </w:rPr>
        <w:footnoteRef/>
      </w:r>
      <w:r w:rsidRPr="00821A2C">
        <w:rPr>
          <w:rFonts w:ascii="Cambria" w:hAnsi="Cambria"/>
          <w:sz w:val="18"/>
          <w:szCs w:val="18"/>
        </w:rPr>
        <w:t xml:space="preserve"> [No authors listed] (1998) </w:t>
      </w:r>
      <w:proofErr w:type="spellStart"/>
      <w:r w:rsidRPr="00821A2C">
        <w:rPr>
          <w:rFonts w:ascii="Cambria" w:hAnsi="Cambria"/>
          <w:sz w:val="18"/>
          <w:szCs w:val="18"/>
        </w:rPr>
        <w:t>Clobazam</w:t>
      </w:r>
      <w:proofErr w:type="spellEnd"/>
      <w:r w:rsidRPr="00821A2C">
        <w:rPr>
          <w:rFonts w:ascii="Cambria" w:hAnsi="Cambria"/>
          <w:sz w:val="18"/>
          <w:szCs w:val="18"/>
        </w:rPr>
        <w:t xml:space="preserve"> has equivalent efficacy to </w:t>
      </w:r>
      <w:proofErr w:type="spellStart"/>
      <w:r w:rsidRPr="00821A2C">
        <w:rPr>
          <w:rFonts w:ascii="Cambria" w:hAnsi="Cambria"/>
          <w:sz w:val="18"/>
          <w:szCs w:val="18"/>
        </w:rPr>
        <w:t>carbamazepine</w:t>
      </w:r>
      <w:proofErr w:type="spellEnd"/>
      <w:r w:rsidRPr="00821A2C">
        <w:rPr>
          <w:rFonts w:ascii="Cambria" w:hAnsi="Cambria"/>
          <w:sz w:val="18"/>
          <w:szCs w:val="18"/>
        </w:rPr>
        <w:t xml:space="preserve"> and </w:t>
      </w:r>
      <w:proofErr w:type="spellStart"/>
      <w:r w:rsidRPr="00821A2C">
        <w:rPr>
          <w:rFonts w:ascii="Cambria" w:hAnsi="Cambria"/>
          <w:sz w:val="18"/>
          <w:szCs w:val="18"/>
        </w:rPr>
        <w:t>phenytoin</w:t>
      </w:r>
      <w:proofErr w:type="spellEnd"/>
      <w:r w:rsidRPr="00821A2C">
        <w:rPr>
          <w:rFonts w:ascii="Cambria" w:hAnsi="Cambria"/>
          <w:sz w:val="18"/>
          <w:szCs w:val="18"/>
        </w:rPr>
        <w:t xml:space="preserve"> as </w:t>
      </w:r>
      <w:proofErr w:type="spellStart"/>
      <w:r w:rsidRPr="00821A2C">
        <w:rPr>
          <w:rFonts w:ascii="Cambria" w:hAnsi="Cambria"/>
          <w:sz w:val="18"/>
          <w:szCs w:val="18"/>
        </w:rPr>
        <w:t>monotherapy</w:t>
      </w:r>
      <w:proofErr w:type="spellEnd"/>
      <w:r w:rsidRPr="00821A2C">
        <w:rPr>
          <w:rFonts w:ascii="Cambria" w:hAnsi="Cambria"/>
          <w:sz w:val="18"/>
          <w:szCs w:val="18"/>
        </w:rPr>
        <w:t xml:space="preserve"> for childhood epilepsy. Canadian Study Group for Childhood Epilepsy. </w:t>
      </w:r>
      <w:proofErr w:type="spellStart"/>
      <w:r w:rsidRPr="00821A2C">
        <w:rPr>
          <w:rFonts w:ascii="Cambria" w:hAnsi="Cambria"/>
          <w:i/>
          <w:sz w:val="18"/>
          <w:szCs w:val="18"/>
        </w:rPr>
        <w:t>Epilepsia</w:t>
      </w:r>
      <w:proofErr w:type="spellEnd"/>
      <w:r w:rsidRPr="00821A2C">
        <w:rPr>
          <w:rFonts w:ascii="Cambria" w:hAnsi="Cambria"/>
          <w:sz w:val="18"/>
          <w:szCs w:val="18"/>
        </w:rPr>
        <w:t xml:space="preserve"> 39: 952-959.</w:t>
      </w:r>
    </w:p>
  </w:footnote>
  <w:footnote w:id="6">
    <w:p w:rsidR="00E91D7F" w:rsidRPr="00B16034" w:rsidRDefault="00E91D7F" w:rsidP="00A50C03">
      <w:pPr>
        <w:pStyle w:val="FootnoteText"/>
        <w:ind w:left="0" w:firstLine="0"/>
        <w:rPr>
          <w:rFonts w:ascii="Cambria" w:hAnsi="Cambria"/>
          <w:sz w:val="20"/>
        </w:rPr>
      </w:pPr>
      <w:r w:rsidRPr="00B16034">
        <w:rPr>
          <w:rStyle w:val="FootnoteReference"/>
          <w:rFonts w:ascii="Cambria" w:hAnsi="Cambria"/>
          <w:sz w:val="20"/>
        </w:rPr>
        <w:footnoteRef/>
      </w:r>
      <w:r w:rsidRPr="00821A2C">
        <w:rPr>
          <w:rFonts w:ascii="Cambria" w:hAnsi="Cambria"/>
          <w:sz w:val="18"/>
          <w:szCs w:val="18"/>
        </w:rPr>
        <w:t xml:space="preserve"> </w:t>
      </w:r>
      <w:r w:rsidRPr="00821A2C">
        <w:rPr>
          <w:rFonts w:ascii="Cambria" w:hAnsi="Cambria"/>
          <w:sz w:val="18"/>
          <w:szCs w:val="18"/>
          <w:lang w:val="nl-NL"/>
        </w:rPr>
        <w:t xml:space="preserve">Ng YT, et al. (2011) </w:t>
      </w:r>
      <w:r w:rsidRPr="00821A2C">
        <w:rPr>
          <w:rFonts w:ascii="Cambria" w:hAnsi="Cambria"/>
          <w:sz w:val="18"/>
          <w:szCs w:val="18"/>
        </w:rPr>
        <w:t xml:space="preserve">Randomised, phase III study results of </w:t>
      </w:r>
      <w:proofErr w:type="spellStart"/>
      <w:r w:rsidRPr="00821A2C">
        <w:rPr>
          <w:rFonts w:ascii="Cambria" w:hAnsi="Cambria"/>
          <w:sz w:val="18"/>
          <w:szCs w:val="18"/>
        </w:rPr>
        <w:t>clobazam</w:t>
      </w:r>
      <w:proofErr w:type="spellEnd"/>
      <w:r w:rsidRPr="00821A2C">
        <w:rPr>
          <w:rFonts w:ascii="Cambria" w:hAnsi="Cambria"/>
          <w:sz w:val="18"/>
          <w:szCs w:val="18"/>
        </w:rPr>
        <w:t xml:space="preserve"> in Lennox-</w:t>
      </w:r>
      <w:proofErr w:type="spellStart"/>
      <w:r w:rsidRPr="00821A2C">
        <w:rPr>
          <w:rFonts w:ascii="Cambria" w:hAnsi="Cambria"/>
          <w:sz w:val="18"/>
          <w:szCs w:val="18"/>
        </w:rPr>
        <w:t>Gastaut</w:t>
      </w:r>
      <w:proofErr w:type="spellEnd"/>
      <w:r w:rsidRPr="00821A2C">
        <w:rPr>
          <w:rFonts w:ascii="Cambria" w:hAnsi="Cambria"/>
          <w:sz w:val="18"/>
          <w:szCs w:val="18"/>
        </w:rPr>
        <w:t xml:space="preserve"> syndrome. </w:t>
      </w:r>
      <w:r w:rsidRPr="00821A2C">
        <w:rPr>
          <w:rFonts w:ascii="Cambria" w:hAnsi="Cambria"/>
          <w:i/>
          <w:sz w:val="18"/>
          <w:szCs w:val="18"/>
        </w:rPr>
        <w:t>Neurology</w:t>
      </w:r>
      <w:r w:rsidRPr="00821A2C">
        <w:rPr>
          <w:rFonts w:ascii="Cambria" w:hAnsi="Cambria"/>
          <w:sz w:val="18"/>
          <w:szCs w:val="18"/>
        </w:rPr>
        <w:t xml:space="preserve"> 77: 1473-1481.</w:t>
      </w:r>
    </w:p>
  </w:footnote>
  <w:footnote w:id="7">
    <w:p w:rsidR="00E91D7F" w:rsidRPr="00821A2C" w:rsidRDefault="00E91D7F" w:rsidP="00A50C03">
      <w:pPr>
        <w:pStyle w:val="FootnoteText"/>
        <w:ind w:left="0" w:firstLine="0"/>
        <w:rPr>
          <w:rFonts w:ascii="Cambria" w:hAnsi="Cambria"/>
          <w:sz w:val="18"/>
          <w:szCs w:val="18"/>
        </w:rPr>
      </w:pPr>
      <w:r w:rsidRPr="00821A2C">
        <w:rPr>
          <w:rStyle w:val="FootnoteReference"/>
          <w:rFonts w:ascii="Cambria" w:hAnsi="Cambria"/>
          <w:sz w:val="18"/>
          <w:szCs w:val="18"/>
        </w:rPr>
        <w:footnoteRef/>
      </w:r>
      <w:r w:rsidRPr="00821A2C">
        <w:rPr>
          <w:rFonts w:ascii="Cambria" w:hAnsi="Cambria"/>
          <w:sz w:val="18"/>
          <w:szCs w:val="18"/>
        </w:rPr>
        <w:t xml:space="preserve"> </w:t>
      </w:r>
      <w:r w:rsidRPr="00821A2C">
        <w:rPr>
          <w:rFonts w:ascii="Cambria" w:hAnsi="Cambria"/>
          <w:sz w:val="18"/>
          <w:szCs w:val="18"/>
          <w:lang w:val="nl-NL"/>
        </w:rPr>
        <w:t xml:space="preserve">Conry JA, et al. </w:t>
      </w:r>
      <w:r w:rsidRPr="00821A2C">
        <w:rPr>
          <w:rFonts w:ascii="Cambria" w:hAnsi="Cambria"/>
          <w:sz w:val="18"/>
          <w:szCs w:val="18"/>
          <w:lang w:val="nl-NL"/>
        </w:rPr>
        <w:t xml:space="preserve">(2009) </w:t>
      </w:r>
      <w:proofErr w:type="spellStart"/>
      <w:r w:rsidRPr="00821A2C">
        <w:rPr>
          <w:rFonts w:ascii="Cambria" w:hAnsi="Cambria"/>
          <w:sz w:val="18"/>
          <w:szCs w:val="18"/>
        </w:rPr>
        <w:t>Clobazam</w:t>
      </w:r>
      <w:proofErr w:type="spellEnd"/>
      <w:r w:rsidRPr="00821A2C">
        <w:rPr>
          <w:rFonts w:ascii="Cambria" w:hAnsi="Cambria"/>
          <w:sz w:val="18"/>
          <w:szCs w:val="18"/>
        </w:rPr>
        <w:t xml:space="preserve"> in the treatment of Lennox-</w:t>
      </w:r>
      <w:proofErr w:type="spellStart"/>
      <w:r w:rsidRPr="00821A2C">
        <w:rPr>
          <w:rFonts w:ascii="Cambria" w:hAnsi="Cambria"/>
          <w:sz w:val="18"/>
          <w:szCs w:val="18"/>
        </w:rPr>
        <w:t>Gastaut</w:t>
      </w:r>
      <w:proofErr w:type="spellEnd"/>
      <w:r w:rsidRPr="00821A2C">
        <w:rPr>
          <w:rFonts w:ascii="Cambria" w:hAnsi="Cambria"/>
          <w:sz w:val="18"/>
          <w:szCs w:val="18"/>
        </w:rPr>
        <w:t xml:space="preserve"> syndrome. </w:t>
      </w:r>
      <w:proofErr w:type="spellStart"/>
      <w:r w:rsidRPr="00821A2C">
        <w:rPr>
          <w:rFonts w:ascii="Cambria" w:hAnsi="Cambria"/>
          <w:i/>
          <w:sz w:val="18"/>
          <w:szCs w:val="18"/>
        </w:rPr>
        <w:t>Epilepsia</w:t>
      </w:r>
      <w:proofErr w:type="spellEnd"/>
      <w:r w:rsidRPr="00821A2C">
        <w:rPr>
          <w:rFonts w:ascii="Cambria" w:hAnsi="Cambria"/>
          <w:sz w:val="18"/>
          <w:szCs w:val="18"/>
        </w:rPr>
        <w:t xml:space="preserve"> 50: 1158-1166.</w:t>
      </w:r>
    </w:p>
  </w:footnote>
  <w:footnote w:id="8">
    <w:p w:rsidR="00E91D7F" w:rsidRPr="00B16034" w:rsidRDefault="00E91D7F" w:rsidP="00A50C03">
      <w:pPr>
        <w:pStyle w:val="FootnoteText"/>
        <w:ind w:left="0" w:firstLine="0"/>
        <w:rPr>
          <w:rFonts w:ascii="Cambria" w:hAnsi="Cambria"/>
          <w:sz w:val="20"/>
        </w:rPr>
      </w:pPr>
      <w:r w:rsidRPr="00B16034">
        <w:rPr>
          <w:rStyle w:val="FootnoteReference"/>
          <w:rFonts w:ascii="Cambria" w:hAnsi="Cambria"/>
          <w:sz w:val="20"/>
        </w:rPr>
        <w:footnoteRef/>
      </w:r>
      <w:r w:rsidRPr="00821A2C">
        <w:rPr>
          <w:rFonts w:ascii="Cambria" w:hAnsi="Cambria"/>
          <w:sz w:val="18"/>
          <w:szCs w:val="18"/>
        </w:rPr>
        <w:t xml:space="preserve"> European Medicines Agency, “Guideline on clinical investigation of medicinal products in the treatment of epileptic disorders (CHMP/EWP/566/98 Rev.2/</w:t>
      </w:r>
      <w:proofErr w:type="spellStart"/>
      <w:r w:rsidRPr="00821A2C">
        <w:rPr>
          <w:rFonts w:ascii="Cambria" w:hAnsi="Cambria"/>
          <w:sz w:val="18"/>
          <w:szCs w:val="18"/>
        </w:rPr>
        <w:t>Corr</w:t>
      </w:r>
      <w:proofErr w:type="spellEnd"/>
      <w:r w:rsidRPr="00821A2C">
        <w:rPr>
          <w:rFonts w:ascii="Cambria" w:hAnsi="Cambria"/>
          <w:sz w:val="18"/>
          <w:szCs w:val="18"/>
        </w:rPr>
        <w:t>)”, 22 July 2010, Web, accessed 19 August 2013 &lt;http://www.ema.europa.eu/docs/en_GB/document_library/Scientific_guideline/2010/01/ WC500070043.pdf&gt;.</w:t>
      </w:r>
    </w:p>
  </w:footnote>
  <w:footnote w:id="9">
    <w:p w:rsidR="00E91D7F" w:rsidRPr="004D580F" w:rsidRDefault="00E91D7F" w:rsidP="00A50C03">
      <w:pPr>
        <w:pStyle w:val="FootnoteText"/>
        <w:ind w:left="0" w:firstLine="0"/>
        <w:rPr>
          <w:rFonts w:ascii="Cambria" w:hAnsi="Cambria"/>
          <w:sz w:val="20"/>
        </w:rPr>
      </w:pPr>
      <w:r w:rsidRPr="004D580F">
        <w:rPr>
          <w:rStyle w:val="FootnoteReference"/>
          <w:rFonts w:ascii="Cambria" w:hAnsi="Cambria"/>
          <w:sz w:val="20"/>
        </w:rPr>
        <w:footnoteRef/>
      </w:r>
      <w:r w:rsidRPr="004A6FD2">
        <w:rPr>
          <w:rFonts w:ascii="Cambria" w:hAnsi="Cambria"/>
          <w:sz w:val="18"/>
          <w:szCs w:val="18"/>
        </w:rPr>
        <w:t xml:space="preserve"> Therapeutic Goods Administration, “Note for Guidance on Good Clinical Practice (CPMP/ICH/135/95): Annotated with TGA comments”, July 2000, Web, accessed 19 August 2013 &lt;http://www.tga.gov.au/pdf/ </w:t>
      </w:r>
      <w:proofErr w:type="spellStart"/>
      <w:r w:rsidRPr="004A6FD2">
        <w:rPr>
          <w:rFonts w:ascii="Cambria" w:hAnsi="Cambria"/>
          <w:sz w:val="18"/>
          <w:szCs w:val="18"/>
        </w:rPr>
        <w:t>euguide</w:t>
      </w:r>
      <w:proofErr w:type="spellEnd"/>
      <w:r w:rsidRPr="004A6FD2">
        <w:rPr>
          <w:rFonts w:ascii="Cambria" w:hAnsi="Cambria"/>
          <w:sz w:val="18"/>
          <w:szCs w:val="18"/>
        </w:rPr>
        <w:t>/ich13595.pdf&gt;.</w:t>
      </w:r>
    </w:p>
  </w:footnote>
  <w:footnote w:id="10">
    <w:p w:rsidR="00E91D7F" w:rsidRPr="00B44E3E" w:rsidRDefault="00E91D7F" w:rsidP="00A50C03">
      <w:pPr>
        <w:pStyle w:val="FootnoteText"/>
        <w:ind w:left="0" w:firstLine="0"/>
        <w:rPr>
          <w:rFonts w:ascii="Cambria" w:hAnsi="Cambria"/>
          <w:sz w:val="20"/>
        </w:rPr>
      </w:pPr>
      <w:r w:rsidRPr="00B44E3E">
        <w:rPr>
          <w:rStyle w:val="FootnoteReference"/>
          <w:rFonts w:ascii="Cambria" w:hAnsi="Cambria"/>
          <w:sz w:val="20"/>
        </w:rPr>
        <w:footnoteRef/>
      </w:r>
      <w:r w:rsidRPr="004A6FD2">
        <w:rPr>
          <w:rFonts w:ascii="Cambria" w:hAnsi="Cambria"/>
          <w:sz w:val="18"/>
          <w:szCs w:val="18"/>
        </w:rPr>
        <w:t xml:space="preserve"> Keene DL, et al. (1990) </w:t>
      </w:r>
      <w:proofErr w:type="spellStart"/>
      <w:r w:rsidRPr="004A6FD2">
        <w:rPr>
          <w:rFonts w:ascii="Cambria" w:hAnsi="Cambria"/>
          <w:sz w:val="18"/>
          <w:szCs w:val="18"/>
        </w:rPr>
        <w:t>Clobazam</w:t>
      </w:r>
      <w:proofErr w:type="spellEnd"/>
      <w:r w:rsidRPr="004A6FD2">
        <w:rPr>
          <w:rFonts w:ascii="Cambria" w:hAnsi="Cambria"/>
          <w:sz w:val="18"/>
          <w:szCs w:val="18"/>
        </w:rPr>
        <w:t xml:space="preserve"> as an add-on drug in the treatment of refractory epilepsy of childhood. </w:t>
      </w:r>
      <w:r w:rsidRPr="004A6FD2">
        <w:rPr>
          <w:rFonts w:ascii="Cambria" w:hAnsi="Cambria"/>
          <w:i/>
          <w:sz w:val="18"/>
          <w:szCs w:val="18"/>
        </w:rPr>
        <w:t xml:space="preserve">Can J </w:t>
      </w:r>
      <w:proofErr w:type="spellStart"/>
      <w:r w:rsidRPr="004A6FD2">
        <w:rPr>
          <w:rFonts w:ascii="Cambria" w:hAnsi="Cambria"/>
          <w:i/>
          <w:sz w:val="18"/>
          <w:szCs w:val="18"/>
        </w:rPr>
        <w:t>Neurol</w:t>
      </w:r>
      <w:proofErr w:type="spellEnd"/>
      <w:r w:rsidRPr="004A6FD2">
        <w:rPr>
          <w:rFonts w:ascii="Cambria" w:hAnsi="Cambria"/>
          <w:i/>
          <w:sz w:val="18"/>
          <w:szCs w:val="18"/>
        </w:rPr>
        <w:t xml:space="preserve"> Sci.</w:t>
      </w:r>
      <w:r w:rsidRPr="004A6FD2">
        <w:rPr>
          <w:rFonts w:ascii="Cambria" w:hAnsi="Cambria"/>
          <w:sz w:val="18"/>
          <w:szCs w:val="18"/>
        </w:rPr>
        <w:t xml:space="preserve"> 17: 317-319.</w:t>
      </w:r>
    </w:p>
  </w:footnote>
  <w:footnote w:id="11">
    <w:p w:rsidR="00E91D7F" w:rsidRPr="00B44E3E" w:rsidRDefault="00E91D7F" w:rsidP="00A50C03">
      <w:pPr>
        <w:pStyle w:val="FootnoteText"/>
        <w:ind w:left="0" w:firstLine="0"/>
        <w:rPr>
          <w:rFonts w:ascii="Cambria" w:hAnsi="Cambria"/>
          <w:sz w:val="20"/>
        </w:rPr>
      </w:pPr>
      <w:r w:rsidRPr="00B44E3E">
        <w:rPr>
          <w:rStyle w:val="FootnoteReference"/>
          <w:rFonts w:ascii="Cambria" w:hAnsi="Cambria"/>
          <w:sz w:val="20"/>
        </w:rPr>
        <w:footnoteRef/>
      </w:r>
      <w:r w:rsidRPr="004A6FD2">
        <w:rPr>
          <w:rFonts w:ascii="Cambria" w:hAnsi="Cambria"/>
          <w:sz w:val="18"/>
          <w:szCs w:val="18"/>
        </w:rPr>
        <w:t xml:space="preserve"> </w:t>
      </w:r>
      <w:r w:rsidRPr="004A6FD2">
        <w:rPr>
          <w:rFonts w:ascii="Cambria" w:hAnsi="Cambria"/>
          <w:sz w:val="18"/>
          <w:szCs w:val="18"/>
          <w:lang w:val="nl-NL"/>
        </w:rPr>
        <w:t xml:space="preserve">Conry JA, et al. </w:t>
      </w:r>
      <w:r w:rsidRPr="004A6FD2">
        <w:rPr>
          <w:rFonts w:ascii="Cambria" w:hAnsi="Cambria"/>
          <w:sz w:val="18"/>
          <w:szCs w:val="18"/>
          <w:lang w:val="nl-NL"/>
        </w:rPr>
        <w:t xml:space="preserve">(2009) </w:t>
      </w:r>
      <w:proofErr w:type="spellStart"/>
      <w:r w:rsidRPr="004A6FD2">
        <w:rPr>
          <w:rFonts w:ascii="Cambria" w:hAnsi="Cambria"/>
          <w:sz w:val="18"/>
          <w:szCs w:val="18"/>
        </w:rPr>
        <w:t>Clobazam</w:t>
      </w:r>
      <w:proofErr w:type="spellEnd"/>
      <w:r w:rsidRPr="004A6FD2">
        <w:rPr>
          <w:rFonts w:ascii="Cambria" w:hAnsi="Cambria"/>
          <w:sz w:val="18"/>
          <w:szCs w:val="18"/>
        </w:rPr>
        <w:t xml:space="preserve"> in the treatment of Lennox-</w:t>
      </w:r>
      <w:proofErr w:type="spellStart"/>
      <w:r w:rsidRPr="004A6FD2">
        <w:rPr>
          <w:rFonts w:ascii="Cambria" w:hAnsi="Cambria"/>
          <w:sz w:val="18"/>
          <w:szCs w:val="18"/>
        </w:rPr>
        <w:t>Gastaut</w:t>
      </w:r>
      <w:proofErr w:type="spellEnd"/>
      <w:r w:rsidRPr="004A6FD2">
        <w:rPr>
          <w:rFonts w:ascii="Cambria" w:hAnsi="Cambria"/>
          <w:sz w:val="18"/>
          <w:szCs w:val="18"/>
        </w:rPr>
        <w:t xml:space="preserve"> syndrome. </w:t>
      </w:r>
      <w:proofErr w:type="spellStart"/>
      <w:r w:rsidRPr="004A6FD2">
        <w:rPr>
          <w:rFonts w:ascii="Cambria" w:hAnsi="Cambria"/>
          <w:i/>
          <w:sz w:val="18"/>
          <w:szCs w:val="18"/>
        </w:rPr>
        <w:t>Epilepsia</w:t>
      </w:r>
      <w:proofErr w:type="spellEnd"/>
      <w:r w:rsidRPr="004A6FD2">
        <w:rPr>
          <w:rFonts w:ascii="Cambria" w:hAnsi="Cambria"/>
          <w:sz w:val="18"/>
          <w:szCs w:val="18"/>
        </w:rPr>
        <w:t xml:space="preserve"> 50: 1158-1166.</w:t>
      </w:r>
    </w:p>
  </w:footnote>
  <w:footnote w:id="12">
    <w:p w:rsidR="00E91D7F" w:rsidRPr="00B44E3E" w:rsidRDefault="00E91D7F" w:rsidP="00A50C03">
      <w:pPr>
        <w:pStyle w:val="FootnoteText"/>
        <w:ind w:left="0" w:firstLine="0"/>
        <w:rPr>
          <w:rFonts w:ascii="Cambria" w:hAnsi="Cambria"/>
          <w:sz w:val="20"/>
        </w:rPr>
      </w:pPr>
      <w:r w:rsidRPr="00B44E3E">
        <w:rPr>
          <w:rStyle w:val="FootnoteReference"/>
          <w:rFonts w:ascii="Cambria" w:hAnsi="Cambria"/>
          <w:sz w:val="20"/>
        </w:rPr>
        <w:footnoteRef/>
      </w:r>
      <w:r w:rsidRPr="004A6FD2">
        <w:rPr>
          <w:rFonts w:ascii="Cambria" w:hAnsi="Cambria"/>
          <w:sz w:val="18"/>
          <w:szCs w:val="18"/>
        </w:rPr>
        <w:t xml:space="preserve"> </w:t>
      </w:r>
      <w:r w:rsidRPr="004A6FD2">
        <w:rPr>
          <w:rFonts w:ascii="Cambria" w:hAnsi="Cambria"/>
          <w:sz w:val="18"/>
          <w:szCs w:val="18"/>
          <w:lang w:val="nl-NL"/>
        </w:rPr>
        <w:t xml:space="preserve">Ng YT, et al. (2011) </w:t>
      </w:r>
      <w:r w:rsidRPr="004A6FD2">
        <w:rPr>
          <w:rFonts w:ascii="Cambria" w:hAnsi="Cambria"/>
          <w:sz w:val="18"/>
          <w:szCs w:val="18"/>
        </w:rPr>
        <w:t xml:space="preserve">Randomised, phase III study results of </w:t>
      </w:r>
      <w:proofErr w:type="spellStart"/>
      <w:r w:rsidRPr="004A6FD2">
        <w:rPr>
          <w:rFonts w:ascii="Cambria" w:hAnsi="Cambria"/>
          <w:sz w:val="18"/>
          <w:szCs w:val="18"/>
        </w:rPr>
        <w:t>clobazam</w:t>
      </w:r>
      <w:proofErr w:type="spellEnd"/>
      <w:r w:rsidRPr="004A6FD2">
        <w:rPr>
          <w:rFonts w:ascii="Cambria" w:hAnsi="Cambria"/>
          <w:sz w:val="18"/>
          <w:szCs w:val="18"/>
        </w:rPr>
        <w:t xml:space="preserve"> in Lennox-</w:t>
      </w:r>
      <w:proofErr w:type="spellStart"/>
      <w:r w:rsidRPr="004A6FD2">
        <w:rPr>
          <w:rFonts w:ascii="Cambria" w:hAnsi="Cambria"/>
          <w:sz w:val="18"/>
          <w:szCs w:val="18"/>
        </w:rPr>
        <w:t>Gastaut</w:t>
      </w:r>
      <w:proofErr w:type="spellEnd"/>
      <w:r w:rsidRPr="004A6FD2">
        <w:rPr>
          <w:rFonts w:ascii="Cambria" w:hAnsi="Cambria"/>
          <w:sz w:val="18"/>
          <w:szCs w:val="18"/>
        </w:rPr>
        <w:t xml:space="preserve"> syndrome. </w:t>
      </w:r>
      <w:r w:rsidRPr="004A6FD2">
        <w:rPr>
          <w:rFonts w:ascii="Cambria" w:hAnsi="Cambria"/>
          <w:i/>
          <w:sz w:val="18"/>
          <w:szCs w:val="18"/>
        </w:rPr>
        <w:t>Neurology</w:t>
      </w:r>
      <w:r w:rsidRPr="004A6FD2">
        <w:rPr>
          <w:rFonts w:ascii="Cambria" w:hAnsi="Cambria"/>
          <w:sz w:val="18"/>
          <w:szCs w:val="18"/>
        </w:rPr>
        <w:t xml:space="preserve"> 77: 1473-1481.</w:t>
      </w:r>
    </w:p>
  </w:footnote>
  <w:footnote w:id="13">
    <w:p w:rsidR="00E91D7F" w:rsidRPr="00B44E3E" w:rsidRDefault="00E91D7F" w:rsidP="00A50C03">
      <w:pPr>
        <w:pStyle w:val="FootnoteText"/>
        <w:ind w:left="0" w:firstLine="0"/>
        <w:rPr>
          <w:rFonts w:ascii="Cambria" w:hAnsi="Cambria"/>
          <w:sz w:val="20"/>
        </w:rPr>
      </w:pPr>
      <w:r w:rsidRPr="00B44E3E">
        <w:rPr>
          <w:rStyle w:val="FootnoteReference"/>
          <w:rFonts w:ascii="Cambria" w:hAnsi="Cambria"/>
          <w:sz w:val="20"/>
        </w:rPr>
        <w:footnoteRef/>
      </w:r>
      <w:r w:rsidRPr="004A6FD2">
        <w:rPr>
          <w:rFonts w:ascii="Cambria" w:hAnsi="Cambria"/>
          <w:sz w:val="18"/>
          <w:szCs w:val="18"/>
        </w:rPr>
        <w:t xml:space="preserve"> Bajaj AS, et al. (2005) Intermittent </w:t>
      </w:r>
      <w:proofErr w:type="spellStart"/>
      <w:r w:rsidRPr="004A6FD2">
        <w:rPr>
          <w:rFonts w:ascii="Cambria" w:hAnsi="Cambria"/>
          <w:sz w:val="18"/>
          <w:szCs w:val="18"/>
        </w:rPr>
        <w:t>clobazam</w:t>
      </w:r>
      <w:proofErr w:type="spellEnd"/>
      <w:r w:rsidRPr="004A6FD2">
        <w:rPr>
          <w:rFonts w:ascii="Cambria" w:hAnsi="Cambria"/>
          <w:sz w:val="18"/>
          <w:szCs w:val="18"/>
        </w:rPr>
        <w:t xml:space="preserve"> in febrile seizures: an Indian experience. </w:t>
      </w:r>
      <w:r w:rsidRPr="004A6FD2">
        <w:rPr>
          <w:rFonts w:ascii="Cambria" w:hAnsi="Cambria"/>
          <w:i/>
          <w:sz w:val="18"/>
          <w:szCs w:val="18"/>
        </w:rPr>
        <w:t xml:space="preserve">J </w:t>
      </w:r>
      <w:proofErr w:type="spellStart"/>
      <w:r w:rsidRPr="004A6FD2">
        <w:rPr>
          <w:rFonts w:ascii="Cambria" w:hAnsi="Cambria"/>
          <w:i/>
          <w:sz w:val="18"/>
          <w:szCs w:val="18"/>
        </w:rPr>
        <w:t>Pediatr</w:t>
      </w:r>
      <w:proofErr w:type="spellEnd"/>
      <w:r w:rsidRPr="004A6FD2">
        <w:rPr>
          <w:rFonts w:ascii="Cambria" w:hAnsi="Cambria"/>
          <w:i/>
          <w:sz w:val="18"/>
          <w:szCs w:val="18"/>
        </w:rPr>
        <w:t xml:space="preserve"> Neurol.</w:t>
      </w:r>
      <w:r w:rsidRPr="004A6FD2">
        <w:rPr>
          <w:rFonts w:ascii="Cambria" w:hAnsi="Cambria"/>
          <w:sz w:val="18"/>
          <w:szCs w:val="18"/>
        </w:rPr>
        <w:t xml:space="preserve"> 2: 19-23.</w:t>
      </w:r>
    </w:p>
  </w:footnote>
  <w:footnote w:id="14">
    <w:p w:rsidR="00E91D7F" w:rsidRPr="00B44E3E" w:rsidRDefault="00E91D7F" w:rsidP="00A50C03">
      <w:pPr>
        <w:pStyle w:val="FootnoteText"/>
        <w:ind w:left="0" w:firstLine="0"/>
        <w:rPr>
          <w:rFonts w:ascii="Cambria" w:hAnsi="Cambria"/>
          <w:sz w:val="20"/>
        </w:rPr>
      </w:pPr>
      <w:r w:rsidRPr="00B44E3E">
        <w:rPr>
          <w:rStyle w:val="FootnoteReference"/>
          <w:rFonts w:ascii="Cambria" w:hAnsi="Cambria"/>
          <w:sz w:val="20"/>
        </w:rPr>
        <w:footnoteRef/>
      </w:r>
      <w:r w:rsidRPr="004A6FD2">
        <w:rPr>
          <w:rFonts w:ascii="Cambria" w:hAnsi="Cambria"/>
          <w:sz w:val="18"/>
          <w:szCs w:val="18"/>
        </w:rPr>
        <w:t xml:space="preserve"> Rose W, et al. (2005) Intermittent </w:t>
      </w:r>
      <w:proofErr w:type="spellStart"/>
      <w:r w:rsidRPr="004A6FD2">
        <w:rPr>
          <w:rFonts w:ascii="Cambria" w:hAnsi="Cambria"/>
          <w:sz w:val="18"/>
          <w:szCs w:val="18"/>
        </w:rPr>
        <w:t>clobazam</w:t>
      </w:r>
      <w:proofErr w:type="spellEnd"/>
      <w:r w:rsidRPr="004A6FD2">
        <w:rPr>
          <w:rFonts w:ascii="Cambria" w:hAnsi="Cambria"/>
          <w:sz w:val="18"/>
          <w:szCs w:val="18"/>
        </w:rPr>
        <w:t xml:space="preserve"> therapy in febrile seizures. </w:t>
      </w:r>
      <w:r w:rsidRPr="004A6FD2">
        <w:rPr>
          <w:rFonts w:ascii="Cambria" w:hAnsi="Cambria"/>
          <w:i/>
          <w:sz w:val="18"/>
          <w:szCs w:val="18"/>
        </w:rPr>
        <w:t xml:space="preserve">Indian J </w:t>
      </w:r>
      <w:proofErr w:type="spellStart"/>
      <w:r w:rsidRPr="004A6FD2">
        <w:rPr>
          <w:rFonts w:ascii="Cambria" w:hAnsi="Cambria"/>
          <w:i/>
          <w:sz w:val="18"/>
          <w:szCs w:val="18"/>
        </w:rPr>
        <w:t>Pediatr</w:t>
      </w:r>
      <w:proofErr w:type="spellEnd"/>
      <w:r w:rsidRPr="004A6FD2">
        <w:rPr>
          <w:rFonts w:ascii="Cambria" w:hAnsi="Cambria"/>
          <w:i/>
          <w:sz w:val="18"/>
          <w:szCs w:val="18"/>
        </w:rPr>
        <w:t>.</w:t>
      </w:r>
      <w:r w:rsidRPr="004A6FD2">
        <w:rPr>
          <w:rFonts w:ascii="Cambria" w:hAnsi="Cambria"/>
          <w:sz w:val="18"/>
          <w:szCs w:val="18"/>
        </w:rPr>
        <w:t xml:space="preserve"> 72: 31-33.</w:t>
      </w:r>
    </w:p>
  </w:footnote>
  <w:footnote w:id="15">
    <w:p w:rsidR="00E91D7F" w:rsidRPr="00B44E3E" w:rsidRDefault="00E91D7F" w:rsidP="00A50C03">
      <w:pPr>
        <w:pStyle w:val="FootnoteText"/>
        <w:ind w:left="0" w:firstLine="0"/>
        <w:rPr>
          <w:rFonts w:ascii="Cambria" w:hAnsi="Cambria"/>
          <w:sz w:val="20"/>
        </w:rPr>
      </w:pPr>
      <w:r w:rsidRPr="00B44E3E">
        <w:rPr>
          <w:rStyle w:val="FootnoteReference"/>
          <w:rFonts w:ascii="Cambria" w:hAnsi="Cambria"/>
          <w:sz w:val="20"/>
        </w:rPr>
        <w:footnoteRef/>
      </w:r>
      <w:r w:rsidRPr="007879A0">
        <w:rPr>
          <w:rFonts w:ascii="Cambria" w:hAnsi="Cambria"/>
          <w:sz w:val="18"/>
          <w:szCs w:val="18"/>
        </w:rPr>
        <w:t xml:space="preserve"> Keene DL, et al. (1990) </w:t>
      </w:r>
      <w:proofErr w:type="spellStart"/>
      <w:r w:rsidRPr="007879A0">
        <w:rPr>
          <w:rFonts w:ascii="Cambria" w:hAnsi="Cambria"/>
          <w:sz w:val="18"/>
          <w:szCs w:val="18"/>
        </w:rPr>
        <w:t>Clobazam</w:t>
      </w:r>
      <w:proofErr w:type="spellEnd"/>
      <w:r w:rsidRPr="007879A0">
        <w:rPr>
          <w:rFonts w:ascii="Cambria" w:hAnsi="Cambria"/>
          <w:sz w:val="18"/>
          <w:szCs w:val="18"/>
        </w:rPr>
        <w:t xml:space="preserve"> as an add-on drug in the treatment of refractory epilepsy of childhood. </w:t>
      </w:r>
      <w:r w:rsidRPr="007879A0">
        <w:rPr>
          <w:rFonts w:ascii="Cambria" w:hAnsi="Cambria"/>
          <w:i/>
          <w:sz w:val="18"/>
          <w:szCs w:val="18"/>
        </w:rPr>
        <w:t xml:space="preserve">Can J </w:t>
      </w:r>
      <w:proofErr w:type="spellStart"/>
      <w:r w:rsidRPr="007879A0">
        <w:rPr>
          <w:rFonts w:ascii="Cambria" w:hAnsi="Cambria"/>
          <w:i/>
          <w:sz w:val="18"/>
          <w:szCs w:val="18"/>
        </w:rPr>
        <w:t>Neurol</w:t>
      </w:r>
      <w:proofErr w:type="spellEnd"/>
      <w:r w:rsidRPr="007879A0">
        <w:rPr>
          <w:rFonts w:ascii="Cambria" w:hAnsi="Cambria"/>
          <w:i/>
          <w:sz w:val="18"/>
          <w:szCs w:val="18"/>
        </w:rPr>
        <w:t xml:space="preserve"> Sci.</w:t>
      </w:r>
      <w:r w:rsidRPr="007879A0">
        <w:rPr>
          <w:rFonts w:ascii="Cambria" w:hAnsi="Cambria"/>
          <w:sz w:val="18"/>
          <w:szCs w:val="18"/>
        </w:rPr>
        <w:t xml:space="preserve"> 17: 317-319.</w:t>
      </w:r>
    </w:p>
  </w:footnote>
  <w:footnote w:id="16">
    <w:p w:rsidR="00E91D7F" w:rsidRPr="00FA0700" w:rsidRDefault="00E91D7F" w:rsidP="00A50C03">
      <w:pPr>
        <w:pStyle w:val="FootnoteText"/>
        <w:ind w:left="0" w:firstLine="0"/>
        <w:rPr>
          <w:rFonts w:ascii="Cambria" w:hAnsi="Cambria"/>
          <w:sz w:val="20"/>
        </w:rPr>
      </w:pPr>
      <w:r w:rsidRPr="00FA0700">
        <w:rPr>
          <w:rStyle w:val="FootnoteReference"/>
          <w:rFonts w:ascii="Cambria" w:hAnsi="Cambria"/>
          <w:sz w:val="20"/>
        </w:rPr>
        <w:footnoteRef/>
      </w:r>
      <w:r w:rsidRPr="007879A0">
        <w:rPr>
          <w:rFonts w:ascii="Cambria" w:hAnsi="Cambria"/>
          <w:sz w:val="18"/>
          <w:szCs w:val="18"/>
        </w:rPr>
        <w:t xml:space="preserve"> [No authors listed] (1998) </w:t>
      </w:r>
      <w:proofErr w:type="spellStart"/>
      <w:r w:rsidRPr="007879A0">
        <w:rPr>
          <w:rFonts w:ascii="Cambria" w:hAnsi="Cambria"/>
          <w:sz w:val="18"/>
          <w:szCs w:val="18"/>
        </w:rPr>
        <w:t>Clobazam</w:t>
      </w:r>
      <w:proofErr w:type="spellEnd"/>
      <w:r w:rsidRPr="007879A0">
        <w:rPr>
          <w:rFonts w:ascii="Cambria" w:hAnsi="Cambria"/>
          <w:sz w:val="18"/>
          <w:szCs w:val="18"/>
        </w:rPr>
        <w:t xml:space="preserve"> has equivalent efficacy to </w:t>
      </w:r>
      <w:proofErr w:type="spellStart"/>
      <w:r w:rsidRPr="007879A0">
        <w:rPr>
          <w:rFonts w:ascii="Cambria" w:hAnsi="Cambria"/>
          <w:sz w:val="18"/>
          <w:szCs w:val="18"/>
        </w:rPr>
        <w:t>carbamazepine</w:t>
      </w:r>
      <w:proofErr w:type="spellEnd"/>
      <w:r w:rsidRPr="007879A0">
        <w:rPr>
          <w:rFonts w:ascii="Cambria" w:hAnsi="Cambria"/>
          <w:sz w:val="18"/>
          <w:szCs w:val="18"/>
        </w:rPr>
        <w:t xml:space="preserve"> and </w:t>
      </w:r>
      <w:proofErr w:type="spellStart"/>
      <w:r w:rsidRPr="007879A0">
        <w:rPr>
          <w:rFonts w:ascii="Cambria" w:hAnsi="Cambria"/>
          <w:sz w:val="18"/>
          <w:szCs w:val="18"/>
        </w:rPr>
        <w:t>phenytoin</w:t>
      </w:r>
      <w:proofErr w:type="spellEnd"/>
      <w:r w:rsidRPr="007879A0">
        <w:rPr>
          <w:rFonts w:ascii="Cambria" w:hAnsi="Cambria"/>
          <w:sz w:val="18"/>
          <w:szCs w:val="18"/>
        </w:rPr>
        <w:t xml:space="preserve"> as </w:t>
      </w:r>
      <w:proofErr w:type="spellStart"/>
      <w:r w:rsidRPr="007879A0">
        <w:rPr>
          <w:rFonts w:ascii="Cambria" w:hAnsi="Cambria"/>
          <w:sz w:val="18"/>
          <w:szCs w:val="18"/>
        </w:rPr>
        <w:t>monotherapy</w:t>
      </w:r>
      <w:proofErr w:type="spellEnd"/>
      <w:r w:rsidRPr="007879A0">
        <w:rPr>
          <w:rFonts w:ascii="Cambria" w:hAnsi="Cambria"/>
          <w:sz w:val="18"/>
          <w:szCs w:val="18"/>
        </w:rPr>
        <w:t xml:space="preserve"> for childhood epilepsy. Canadian Study Group for Childhood Epilepsy. </w:t>
      </w:r>
      <w:proofErr w:type="spellStart"/>
      <w:r w:rsidRPr="007879A0">
        <w:rPr>
          <w:rFonts w:ascii="Cambria" w:hAnsi="Cambria"/>
          <w:i/>
          <w:sz w:val="18"/>
          <w:szCs w:val="18"/>
        </w:rPr>
        <w:t>Epilepsia</w:t>
      </w:r>
      <w:proofErr w:type="spellEnd"/>
      <w:r w:rsidRPr="007879A0">
        <w:rPr>
          <w:rFonts w:ascii="Cambria" w:hAnsi="Cambria"/>
          <w:sz w:val="18"/>
          <w:szCs w:val="18"/>
        </w:rPr>
        <w:t xml:space="preserve"> 39: 952-959.</w:t>
      </w:r>
    </w:p>
  </w:footnote>
  <w:footnote w:id="17">
    <w:p w:rsidR="00E91D7F" w:rsidRPr="00CA17C1" w:rsidRDefault="00E91D7F" w:rsidP="00A50C03">
      <w:pPr>
        <w:pStyle w:val="FootnoteText"/>
        <w:ind w:left="0" w:firstLine="0"/>
        <w:rPr>
          <w:rFonts w:ascii="Cambria" w:hAnsi="Cambria"/>
          <w:sz w:val="20"/>
        </w:rPr>
      </w:pPr>
      <w:r w:rsidRPr="00CA17C1">
        <w:rPr>
          <w:rStyle w:val="FootnoteReference"/>
          <w:rFonts w:ascii="Cambria" w:hAnsi="Cambria"/>
          <w:sz w:val="20"/>
        </w:rPr>
        <w:footnoteRef/>
      </w:r>
      <w:r w:rsidRPr="00E91D7F">
        <w:rPr>
          <w:rFonts w:ascii="Cambria" w:hAnsi="Cambria"/>
          <w:sz w:val="18"/>
          <w:szCs w:val="18"/>
        </w:rPr>
        <w:t xml:space="preserve"> </w:t>
      </w:r>
      <w:r w:rsidRPr="00E91D7F">
        <w:rPr>
          <w:rFonts w:ascii="Cambria" w:hAnsi="Cambria"/>
          <w:sz w:val="18"/>
          <w:szCs w:val="18"/>
          <w:lang w:val="nl-NL"/>
        </w:rPr>
        <w:t xml:space="preserve">Conry JA, et al. </w:t>
      </w:r>
      <w:r w:rsidRPr="00E91D7F">
        <w:rPr>
          <w:rFonts w:ascii="Cambria" w:hAnsi="Cambria"/>
          <w:sz w:val="18"/>
          <w:szCs w:val="18"/>
          <w:lang w:val="nl-NL"/>
        </w:rPr>
        <w:t xml:space="preserve">(2009) </w:t>
      </w:r>
      <w:proofErr w:type="spellStart"/>
      <w:r w:rsidRPr="00E91D7F">
        <w:rPr>
          <w:rFonts w:ascii="Cambria" w:hAnsi="Cambria"/>
          <w:sz w:val="18"/>
          <w:szCs w:val="18"/>
        </w:rPr>
        <w:t>Clobazam</w:t>
      </w:r>
      <w:proofErr w:type="spellEnd"/>
      <w:r w:rsidRPr="00E91D7F">
        <w:rPr>
          <w:rFonts w:ascii="Cambria" w:hAnsi="Cambria"/>
          <w:sz w:val="18"/>
          <w:szCs w:val="18"/>
        </w:rPr>
        <w:t xml:space="preserve"> in the treatment of Lennox-</w:t>
      </w:r>
      <w:proofErr w:type="spellStart"/>
      <w:r w:rsidRPr="00E91D7F">
        <w:rPr>
          <w:rFonts w:ascii="Cambria" w:hAnsi="Cambria"/>
          <w:sz w:val="18"/>
          <w:szCs w:val="18"/>
        </w:rPr>
        <w:t>Gastaut</w:t>
      </w:r>
      <w:proofErr w:type="spellEnd"/>
      <w:r w:rsidRPr="00E91D7F">
        <w:rPr>
          <w:rFonts w:ascii="Cambria" w:hAnsi="Cambria"/>
          <w:sz w:val="18"/>
          <w:szCs w:val="18"/>
        </w:rPr>
        <w:t xml:space="preserve"> syndrome. </w:t>
      </w:r>
      <w:proofErr w:type="spellStart"/>
      <w:r w:rsidRPr="00E91D7F">
        <w:rPr>
          <w:rFonts w:ascii="Cambria" w:hAnsi="Cambria"/>
          <w:i/>
          <w:sz w:val="18"/>
          <w:szCs w:val="18"/>
        </w:rPr>
        <w:t>Epilepsia</w:t>
      </w:r>
      <w:proofErr w:type="spellEnd"/>
      <w:r w:rsidRPr="00E91D7F">
        <w:rPr>
          <w:rFonts w:ascii="Cambria" w:hAnsi="Cambria"/>
          <w:sz w:val="18"/>
          <w:szCs w:val="18"/>
        </w:rPr>
        <w:t xml:space="preserve"> 50: 1158-1166.</w:t>
      </w:r>
    </w:p>
  </w:footnote>
  <w:footnote w:id="18">
    <w:p w:rsidR="00E91D7F" w:rsidRPr="003B7B0B" w:rsidRDefault="00E91D7F" w:rsidP="00A50C03">
      <w:pPr>
        <w:pStyle w:val="FootnoteText"/>
        <w:rPr>
          <w:rFonts w:ascii="Cambria" w:hAnsi="Cambria"/>
          <w:sz w:val="20"/>
        </w:rPr>
      </w:pPr>
      <w:r w:rsidRPr="003B7B0B">
        <w:rPr>
          <w:rStyle w:val="FootnoteReference"/>
          <w:rFonts w:ascii="Cambria" w:hAnsi="Cambria"/>
          <w:sz w:val="20"/>
        </w:rPr>
        <w:footnoteRef/>
      </w:r>
      <w:r w:rsidRPr="004823A8">
        <w:rPr>
          <w:rFonts w:ascii="Cambria" w:hAnsi="Cambria"/>
          <w:sz w:val="18"/>
          <w:szCs w:val="18"/>
        </w:rPr>
        <w:t xml:space="preserve"> </w:t>
      </w:r>
      <w:proofErr w:type="spellStart"/>
      <w:r w:rsidRPr="004823A8">
        <w:rPr>
          <w:rFonts w:ascii="Cambria" w:hAnsi="Cambria"/>
          <w:sz w:val="18"/>
          <w:szCs w:val="18"/>
        </w:rPr>
        <w:t>Treiman</w:t>
      </w:r>
      <w:proofErr w:type="spellEnd"/>
      <w:r w:rsidRPr="004823A8">
        <w:rPr>
          <w:rFonts w:ascii="Cambria" w:hAnsi="Cambria"/>
          <w:sz w:val="18"/>
          <w:szCs w:val="18"/>
        </w:rPr>
        <w:t xml:space="preserve"> DM. (2001) </w:t>
      </w:r>
      <w:proofErr w:type="spellStart"/>
      <w:r w:rsidRPr="004823A8">
        <w:rPr>
          <w:rFonts w:ascii="Cambria" w:hAnsi="Cambria"/>
          <w:sz w:val="18"/>
          <w:szCs w:val="18"/>
        </w:rPr>
        <w:t>GABAergic</w:t>
      </w:r>
      <w:proofErr w:type="spellEnd"/>
      <w:r w:rsidRPr="004823A8">
        <w:rPr>
          <w:rFonts w:ascii="Cambria" w:hAnsi="Cambria"/>
          <w:sz w:val="18"/>
          <w:szCs w:val="18"/>
        </w:rPr>
        <w:t xml:space="preserve"> mechanisms in epilepsy. </w:t>
      </w:r>
      <w:proofErr w:type="spellStart"/>
      <w:r w:rsidRPr="004823A8">
        <w:rPr>
          <w:rFonts w:ascii="Cambria" w:hAnsi="Cambria"/>
          <w:i/>
          <w:sz w:val="18"/>
          <w:szCs w:val="18"/>
        </w:rPr>
        <w:t>Epilepsia</w:t>
      </w:r>
      <w:proofErr w:type="spellEnd"/>
      <w:r w:rsidRPr="004823A8">
        <w:rPr>
          <w:rFonts w:ascii="Cambria" w:hAnsi="Cambria"/>
          <w:sz w:val="18"/>
          <w:szCs w:val="18"/>
        </w:rPr>
        <w:t xml:space="preserve"> 42 </w:t>
      </w:r>
      <w:proofErr w:type="spellStart"/>
      <w:r w:rsidRPr="004823A8">
        <w:rPr>
          <w:rFonts w:ascii="Cambria" w:hAnsi="Cambria"/>
          <w:sz w:val="18"/>
          <w:szCs w:val="18"/>
        </w:rPr>
        <w:t>Suppl</w:t>
      </w:r>
      <w:proofErr w:type="spellEnd"/>
      <w:r w:rsidRPr="004823A8">
        <w:rPr>
          <w:rFonts w:ascii="Cambria" w:hAnsi="Cambria"/>
          <w:sz w:val="18"/>
          <w:szCs w:val="18"/>
        </w:rPr>
        <w:t xml:space="preserve"> 3: 8-12.</w:t>
      </w:r>
    </w:p>
  </w:footnote>
  <w:footnote w:id="19">
    <w:p w:rsidR="00E91D7F" w:rsidRPr="00E91D7F" w:rsidRDefault="00E91D7F" w:rsidP="00A50C03">
      <w:pPr>
        <w:pStyle w:val="FootnoteText"/>
        <w:ind w:left="0" w:firstLine="0"/>
        <w:rPr>
          <w:rFonts w:ascii="Cambria" w:hAnsi="Cambria"/>
        </w:rPr>
      </w:pPr>
      <w:r w:rsidRPr="00E91D7F">
        <w:rPr>
          <w:rStyle w:val="FootnoteReference"/>
          <w:rFonts w:ascii="Cambria" w:hAnsi="Cambria"/>
        </w:rPr>
        <w:footnoteRef/>
      </w:r>
      <w:r w:rsidRPr="00E91D7F">
        <w:rPr>
          <w:rFonts w:ascii="Cambria" w:hAnsi="Cambria"/>
          <w:sz w:val="18"/>
          <w:szCs w:val="18"/>
        </w:rPr>
        <w:t xml:space="preserve"> </w:t>
      </w:r>
      <w:r w:rsidRPr="00E91D7F">
        <w:rPr>
          <w:rFonts w:ascii="Cambria" w:hAnsi="Cambria"/>
          <w:sz w:val="18"/>
          <w:szCs w:val="18"/>
          <w:lang w:val="nl-NL"/>
        </w:rPr>
        <w:t xml:space="preserve">Ng YT, et al. (2011) </w:t>
      </w:r>
      <w:r w:rsidRPr="00E91D7F">
        <w:rPr>
          <w:rFonts w:ascii="Cambria" w:hAnsi="Cambria"/>
          <w:sz w:val="18"/>
          <w:szCs w:val="18"/>
        </w:rPr>
        <w:t xml:space="preserve">Randomised, phase III study results of </w:t>
      </w:r>
      <w:proofErr w:type="spellStart"/>
      <w:r w:rsidRPr="00E91D7F">
        <w:rPr>
          <w:rFonts w:ascii="Cambria" w:hAnsi="Cambria"/>
          <w:sz w:val="18"/>
          <w:szCs w:val="18"/>
        </w:rPr>
        <w:t>clobazam</w:t>
      </w:r>
      <w:proofErr w:type="spellEnd"/>
      <w:r w:rsidRPr="00E91D7F">
        <w:rPr>
          <w:rFonts w:ascii="Cambria" w:hAnsi="Cambria"/>
          <w:sz w:val="18"/>
          <w:szCs w:val="18"/>
        </w:rPr>
        <w:t xml:space="preserve"> in Lennox-</w:t>
      </w:r>
      <w:proofErr w:type="spellStart"/>
      <w:r w:rsidRPr="00E91D7F">
        <w:rPr>
          <w:rFonts w:ascii="Cambria" w:hAnsi="Cambria"/>
          <w:sz w:val="18"/>
          <w:szCs w:val="18"/>
        </w:rPr>
        <w:t>Gastaut</w:t>
      </w:r>
      <w:proofErr w:type="spellEnd"/>
      <w:r w:rsidRPr="00E91D7F">
        <w:rPr>
          <w:rFonts w:ascii="Cambria" w:hAnsi="Cambria"/>
          <w:sz w:val="18"/>
          <w:szCs w:val="18"/>
        </w:rPr>
        <w:t xml:space="preserve"> syndrome. </w:t>
      </w:r>
      <w:r w:rsidRPr="00E91D7F">
        <w:rPr>
          <w:rFonts w:ascii="Cambria" w:hAnsi="Cambria"/>
          <w:i/>
          <w:sz w:val="18"/>
          <w:szCs w:val="18"/>
        </w:rPr>
        <w:t>Neurology</w:t>
      </w:r>
      <w:r w:rsidRPr="00E91D7F">
        <w:rPr>
          <w:rFonts w:ascii="Cambria" w:hAnsi="Cambria"/>
          <w:sz w:val="18"/>
          <w:szCs w:val="18"/>
        </w:rPr>
        <w:t xml:space="preserve"> 77: 1473-1481.</w:t>
      </w:r>
    </w:p>
  </w:footnote>
  <w:footnote w:id="20">
    <w:p w:rsidR="00E91D7F" w:rsidRPr="00E91D7F" w:rsidRDefault="00E91D7F" w:rsidP="00A50C03">
      <w:pPr>
        <w:pStyle w:val="FootnoteText"/>
        <w:ind w:left="0" w:firstLine="0"/>
        <w:rPr>
          <w:rFonts w:ascii="Cambria" w:hAnsi="Cambria"/>
        </w:rPr>
      </w:pPr>
      <w:r w:rsidRPr="00E91D7F">
        <w:rPr>
          <w:rStyle w:val="FootnoteReference"/>
          <w:rFonts w:ascii="Cambria" w:hAnsi="Cambria"/>
        </w:rPr>
        <w:footnoteRef/>
      </w:r>
      <w:r w:rsidRPr="00E91D7F">
        <w:rPr>
          <w:rFonts w:ascii="Cambria" w:hAnsi="Cambria"/>
          <w:sz w:val="18"/>
          <w:szCs w:val="18"/>
        </w:rPr>
        <w:t xml:space="preserve"> </w:t>
      </w:r>
      <w:r w:rsidRPr="00E91D7F">
        <w:rPr>
          <w:rFonts w:ascii="Cambria" w:hAnsi="Cambria"/>
          <w:sz w:val="18"/>
          <w:szCs w:val="18"/>
          <w:lang w:val="nl-NL"/>
        </w:rPr>
        <w:t xml:space="preserve">Ng YT, et al. (2011) </w:t>
      </w:r>
      <w:r w:rsidRPr="00E91D7F">
        <w:rPr>
          <w:rFonts w:ascii="Cambria" w:hAnsi="Cambria"/>
          <w:sz w:val="18"/>
          <w:szCs w:val="18"/>
        </w:rPr>
        <w:t xml:space="preserve">Randomised, phase III study results of </w:t>
      </w:r>
      <w:proofErr w:type="spellStart"/>
      <w:r w:rsidRPr="00E91D7F">
        <w:rPr>
          <w:rFonts w:ascii="Cambria" w:hAnsi="Cambria"/>
          <w:sz w:val="18"/>
          <w:szCs w:val="18"/>
        </w:rPr>
        <w:t>clobazam</w:t>
      </w:r>
      <w:proofErr w:type="spellEnd"/>
      <w:r w:rsidRPr="00E91D7F">
        <w:rPr>
          <w:rFonts w:ascii="Cambria" w:hAnsi="Cambria"/>
          <w:sz w:val="18"/>
          <w:szCs w:val="18"/>
        </w:rPr>
        <w:t xml:space="preserve"> in Lennox-</w:t>
      </w:r>
      <w:proofErr w:type="spellStart"/>
      <w:r w:rsidRPr="00E91D7F">
        <w:rPr>
          <w:rFonts w:ascii="Cambria" w:hAnsi="Cambria"/>
          <w:sz w:val="18"/>
          <w:szCs w:val="18"/>
        </w:rPr>
        <w:t>Gastaut</w:t>
      </w:r>
      <w:proofErr w:type="spellEnd"/>
      <w:r w:rsidRPr="00E91D7F">
        <w:rPr>
          <w:rFonts w:ascii="Cambria" w:hAnsi="Cambria"/>
          <w:sz w:val="18"/>
          <w:szCs w:val="18"/>
        </w:rPr>
        <w:t xml:space="preserve"> syndrome. </w:t>
      </w:r>
      <w:r w:rsidRPr="00E91D7F">
        <w:rPr>
          <w:rFonts w:ascii="Cambria" w:hAnsi="Cambria"/>
          <w:i/>
          <w:sz w:val="18"/>
          <w:szCs w:val="18"/>
        </w:rPr>
        <w:t>Neurology</w:t>
      </w:r>
      <w:r w:rsidRPr="00E91D7F">
        <w:rPr>
          <w:rFonts w:ascii="Cambria" w:hAnsi="Cambria"/>
          <w:sz w:val="18"/>
          <w:szCs w:val="18"/>
        </w:rPr>
        <w:t xml:space="preserve"> 77: 1473-1481.</w:t>
      </w:r>
    </w:p>
  </w:footnote>
  <w:footnote w:id="21">
    <w:p w:rsidR="00E91D7F" w:rsidRDefault="00E91D7F" w:rsidP="00A50C03">
      <w:pPr>
        <w:pStyle w:val="FootnoteText"/>
        <w:ind w:left="0" w:firstLine="0"/>
      </w:pPr>
      <w:r w:rsidRPr="00E91D7F">
        <w:rPr>
          <w:rStyle w:val="FootnoteReference"/>
          <w:rFonts w:ascii="Cambria" w:hAnsi="Cambria"/>
        </w:rPr>
        <w:footnoteRef/>
      </w:r>
      <w:r w:rsidRPr="00E91D7F">
        <w:rPr>
          <w:rFonts w:ascii="Cambria" w:hAnsi="Cambria"/>
          <w:sz w:val="18"/>
          <w:szCs w:val="18"/>
        </w:rPr>
        <w:t xml:space="preserve"> </w:t>
      </w:r>
      <w:r w:rsidRPr="00E91D7F">
        <w:rPr>
          <w:rFonts w:ascii="Cambria" w:hAnsi="Cambria"/>
          <w:sz w:val="18"/>
          <w:szCs w:val="18"/>
          <w:lang w:val="nl-NL"/>
        </w:rPr>
        <w:t xml:space="preserve">Ng YT, et al. (2011) </w:t>
      </w:r>
      <w:r w:rsidRPr="00E91D7F">
        <w:rPr>
          <w:rFonts w:ascii="Cambria" w:hAnsi="Cambria"/>
          <w:sz w:val="18"/>
          <w:szCs w:val="18"/>
        </w:rPr>
        <w:t xml:space="preserve">Randomised, phase III study results of </w:t>
      </w:r>
      <w:proofErr w:type="spellStart"/>
      <w:r w:rsidRPr="00E91D7F">
        <w:rPr>
          <w:rFonts w:ascii="Cambria" w:hAnsi="Cambria"/>
          <w:sz w:val="18"/>
          <w:szCs w:val="18"/>
        </w:rPr>
        <w:t>clobazam</w:t>
      </w:r>
      <w:proofErr w:type="spellEnd"/>
      <w:r w:rsidRPr="00E91D7F">
        <w:rPr>
          <w:rFonts w:ascii="Cambria" w:hAnsi="Cambria"/>
          <w:sz w:val="18"/>
          <w:szCs w:val="18"/>
        </w:rPr>
        <w:t xml:space="preserve"> in Lennox-</w:t>
      </w:r>
      <w:proofErr w:type="spellStart"/>
      <w:r w:rsidRPr="00E91D7F">
        <w:rPr>
          <w:rFonts w:ascii="Cambria" w:hAnsi="Cambria"/>
          <w:sz w:val="18"/>
          <w:szCs w:val="18"/>
        </w:rPr>
        <w:t>Gastaut</w:t>
      </w:r>
      <w:proofErr w:type="spellEnd"/>
      <w:r w:rsidRPr="00E91D7F">
        <w:rPr>
          <w:rFonts w:ascii="Cambria" w:hAnsi="Cambria"/>
          <w:sz w:val="18"/>
          <w:szCs w:val="18"/>
        </w:rPr>
        <w:t xml:space="preserve"> syndrome. </w:t>
      </w:r>
      <w:r w:rsidRPr="00E91D7F">
        <w:rPr>
          <w:rFonts w:ascii="Cambria" w:hAnsi="Cambria"/>
          <w:i/>
          <w:sz w:val="18"/>
          <w:szCs w:val="18"/>
        </w:rPr>
        <w:t>Neurology</w:t>
      </w:r>
      <w:r w:rsidRPr="00E91D7F">
        <w:rPr>
          <w:rFonts w:ascii="Cambria" w:hAnsi="Cambria"/>
          <w:sz w:val="18"/>
          <w:szCs w:val="18"/>
        </w:rPr>
        <w:t xml:space="preserve"> 77: 1473-1481.</w:t>
      </w:r>
    </w:p>
  </w:footnote>
  <w:footnote w:id="22">
    <w:p w:rsidR="00E91D7F" w:rsidRPr="00FA37BE" w:rsidRDefault="00E91D7F" w:rsidP="00A50C03">
      <w:pPr>
        <w:pStyle w:val="FootnoteText"/>
        <w:rPr>
          <w:rFonts w:ascii="Cambria" w:hAnsi="Cambria"/>
          <w:sz w:val="20"/>
        </w:rPr>
      </w:pPr>
      <w:r w:rsidRPr="00FA37BE">
        <w:rPr>
          <w:rStyle w:val="FootnoteReference"/>
          <w:rFonts w:ascii="Cambria" w:hAnsi="Cambria"/>
          <w:sz w:val="20"/>
        </w:rPr>
        <w:footnoteRef/>
      </w:r>
      <w:r w:rsidRPr="009F1213">
        <w:rPr>
          <w:rFonts w:ascii="Cambria" w:hAnsi="Cambria"/>
          <w:sz w:val="18"/>
          <w:szCs w:val="18"/>
        </w:rPr>
        <w:t xml:space="preserve"> </w:t>
      </w:r>
      <w:proofErr w:type="spellStart"/>
      <w:r w:rsidRPr="009F1213">
        <w:rPr>
          <w:rFonts w:ascii="Cambria" w:hAnsi="Cambria"/>
          <w:sz w:val="18"/>
          <w:szCs w:val="18"/>
        </w:rPr>
        <w:t>Treiman</w:t>
      </w:r>
      <w:proofErr w:type="spellEnd"/>
      <w:r w:rsidRPr="009F1213">
        <w:rPr>
          <w:rFonts w:ascii="Cambria" w:hAnsi="Cambria"/>
          <w:sz w:val="18"/>
          <w:szCs w:val="18"/>
        </w:rPr>
        <w:t xml:space="preserve"> DM. (2001) </w:t>
      </w:r>
      <w:proofErr w:type="spellStart"/>
      <w:r w:rsidRPr="009F1213">
        <w:rPr>
          <w:rFonts w:ascii="Cambria" w:hAnsi="Cambria"/>
          <w:sz w:val="18"/>
          <w:szCs w:val="18"/>
        </w:rPr>
        <w:t>GABAergic</w:t>
      </w:r>
      <w:proofErr w:type="spellEnd"/>
      <w:r w:rsidRPr="009F1213">
        <w:rPr>
          <w:rFonts w:ascii="Cambria" w:hAnsi="Cambria"/>
          <w:sz w:val="18"/>
          <w:szCs w:val="18"/>
        </w:rPr>
        <w:t xml:space="preserve"> mechanisms in epilepsy. </w:t>
      </w:r>
      <w:proofErr w:type="spellStart"/>
      <w:r w:rsidRPr="009F1213">
        <w:rPr>
          <w:rFonts w:ascii="Cambria" w:hAnsi="Cambria"/>
          <w:i/>
          <w:sz w:val="18"/>
          <w:szCs w:val="18"/>
        </w:rPr>
        <w:t>Epilepsia</w:t>
      </w:r>
      <w:proofErr w:type="spellEnd"/>
      <w:r w:rsidRPr="009F1213">
        <w:rPr>
          <w:rFonts w:ascii="Cambria" w:hAnsi="Cambria"/>
          <w:sz w:val="18"/>
          <w:szCs w:val="18"/>
        </w:rPr>
        <w:t xml:space="preserve"> 42 </w:t>
      </w:r>
      <w:proofErr w:type="spellStart"/>
      <w:r w:rsidRPr="009F1213">
        <w:rPr>
          <w:rFonts w:ascii="Cambria" w:hAnsi="Cambria"/>
          <w:sz w:val="18"/>
          <w:szCs w:val="18"/>
        </w:rPr>
        <w:t>Suppl</w:t>
      </w:r>
      <w:proofErr w:type="spellEnd"/>
      <w:r w:rsidRPr="009F1213">
        <w:rPr>
          <w:rFonts w:ascii="Cambria" w:hAnsi="Cambria"/>
          <w:sz w:val="18"/>
          <w:szCs w:val="18"/>
        </w:rPr>
        <w:t xml:space="preserve"> 3: 8-12.</w:t>
      </w:r>
    </w:p>
  </w:footnote>
  <w:footnote w:id="23">
    <w:p w:rsidR="00E91D7F" w:rsidRPr="006103A7" w:rsidRDefault="00E91D7F" w:rsidP="00A50C03">
      <w:pPr>
        <w:pStyle w:val="FootnoteText"/>
        <w:ind w:left="0" w:firstLine="0"/>
        <w:rPr>
          <w:rFonts w:ascii="Cambria" w:hAnsi="Cambria"/>
          <w:sz w:val="20"/>
        </w:rPr>
      </w:pPr>
      <w:r w:rsidRPr="006103A7">
        <w:rPr>
          <w:rStyle w:val="FootnoteReference"/>
          <w:rFonts w:ascii="Cambria" w:hAnsi="Cambria"/>
          <w:sz w:val="20"/>
        </w:rPr>
        <w:footnoteRef/>
      </w:r>
      <w:r w:rsidRPr="009F1213">
        <w:rPr>
          <w:rFonts w:ascii="Cambria" w:hAnsi="Cambria"/>
          <w:sz w:val="18"/>
          <w:szCs w:val="18"/>
        </w:rPr>
        <w:t xml:space="preserve"> Cross-Discipline team leader review. APPLICATION NUMBER:202067Orig1s000 2011: &lt;http://www.accessdata.fda.gov/drugsatfda_docs/nda/2011/202067Orig1s000CrossR.pdf&gt;</w:t>
      </w:r>
    </w:p>
  </w:footnote>
  <w:footnote w:id="24">
    <w:p w:rsidR="00E91D7F" w:rsidRPr="006103A7" w:rsidRDefault="00E91D7F" w:rsidP="00A50C03">
      <w:pPr>
        <w:pStyle w:val="FootnoteText"/>
        <w:ind w:left="0" w:firstLine="0"/>
        <w:rPr>
          <w:rFonts w:ascii="Cambria" w:hAnsi="Cambria"/>
          <w:sz w:val="20"/>
        </w:rPr>
      </w:pPr>
      <w:r w:rsidRPr="006103A7">
        <w:rPr>
          <w:rStyle w:val="FootnoteReference"/>
          <w:rFonts w:ascii="Cambria" w:hAnsi="Cambria"/>
          <w:sz w:val="20"/>
        </w:rPr>
        <w:footnoteRef/>
      </w:r>
      <w:r w:rsidRPr="009F1213">
        <w:rPr>
          <w:rFonts w:ascii="Cambria" w:hAnsi="Cambria"/>
          <w:sz w:val="18"/>
          <w:szCs w:val="18"/>
        </w:rPr>
        <w:t xml:space="preserve"> DA APPLICATION NUMBER: 202067Orig1s000 MEDICAL REVIEW(S). FDA 2011: &lt;http://www.accessdata.fda.gov/drugsatfda_docs/nda/2011/202067Orig1s000MedR.pdf&gt;</w:t>
      </w:r>
    </w:p>
  </w:footnote>
  <w:footnote w:id="25">
    <w:p w:rsidR="00E91D7F" w:rsidRPr="00EA7F21" w:rsidRDefault="00E91D7F" w:rsidP="00A50C03">
      <w:pPr>
        <w:pStyle w:val="FootnoteText"/>
        <w:ind w:left="0" w:firstLine="0"/>
        <w:rPr>
          <w:rFonts w:ascii="Cambria" w:hAnsi="Cambria"/>
          <w:sz w:val="20"/>
        </w:rPr>
      </w:pPr>
      <w:r w:rsidRPr="00EA7F21">
        <w:rPr>
          <w:rStyle w:val="FootnoteReference"/>
          <w:rFonts w:ascii="Cambria" w:hAnsi="Cambria"/>
          <w:sz w:val="20"/>
        </w:rPr>
        <w:footnoteRef/>
      </w:r>
      <w:r w:rsidRPr="009F1213">
        <w:rPr>
          <w:rFonts w:ascii="Cambria" w:hAnsi="Cambria"/>
          <w:sz w:val="18"/>
          <w:szCs w:val="18"/>
        </w:rPr>
        <w:t xml:space="preserve"> Rose W, et al. (2005) Intermittent </w:t>
      </w:r>
      <w:proofErr w:type="spellStart"/>
      <w:r w:rsidRPr="009F1213">
        <w:rPr>
          <w:rFonts w:ascii="Cambria" w:hAnsi="Cambria"/>
          <w:sz w:val="18"/>
          <w:szCs w:val="18"/>
        </w:rPr>
        <w:t>clobazam</w:t>
      </w:r>
      <w:proofErr w:type="spellEnd"/>
      <w:r w:rsidRPr="009F1213">
        <w:rPr>
          <w:rFonts w:ascii="Cambria" w:hAnsi="Cambria"/>
          <w:sz w:val="18"/>
          <w:szCs w:val="18"/>
        </w:rPr>
        <w:t xml:space="preserve"> therapy in febrile seizures. </w:t>
      </w:r>
      <w:r w:rsidRPr="009F1213">
        <w:rPr>
          <w:rFonts w:ascii="Cambria" w:hAnsi="Cambria"/>
          <w:i/>
          <w:sz w:val="18"/>
          <w:szCs w:val="18"/>
        </w:rPr>
        <w:t xml:space="preserve">Indian J </w:t>
      </w:r>
      <w:proofErr w:type="spellStart"/>
      <w:r w:rsidRPr="009F1213">
        <w:rPr>
          <w:rFonts w:ascii="Cambria" w:hAnsi="Cambria"/>
          <w:i/>
          <w:sz w:val="18"/>
          <w:szCs w:val="18"/>
        </w:rPr>
        <w:t>Pediatr</w:t>
      </w:r>
      <w:proofErr w:type="spellEnd"/>
      <w:r w:rsidRPr="009F1213">
        <w:rPr>
          <w:rFonts w:ascii="Cambria" w:hAnsi="Cambria"/>
          <w:i/>
          <w:sz w:val="18"/>
          <w:szCs w:val="18"/>
        </w:rPr>
        <w:t>.</w:t>
      </w:r>
      <w:r w:rsidRPr="009F1213">
        <w:rPr>
          <w:rFonts w:ascii="Cambria" w:hAnsi="Cambria"/>
          <w:sz w:val="18"/>
          <w:szCs w:val="18"/>
        </w:rPr>
        <w:t xml:space="preserve"> 72: 31-33.</w:t>
      </w:r>
    </w:p>
  </w:footnote>
  <w:footnote w:id="26">
    <w:p w:rsidR="00E91D7F" w:rsidRPr="00EA7F21" w:rsidRDefault="00E91D7F" w:rsidP="00A50C03">
      <w:pPr>
        <w:pStyle w:val="FootnoteText"/>
        <w:ind w:left="0" w:firstLine="0"/>
        <w:rPr>
          <w:rFonts w:ascii="Cambria" w:hAnsi="Cambria"/>
          <w:sz w:val="20"/>
        </w:rPr>
      </w:pPr>
      <w:r w:rsidRPr="00EA7F21">
        <w:rPr>
          <w:rStyle w:val="FootnoteReference"/>
          <w:rFonts w:ascii="Cambria" w:hAnsi="Cambria"/>
          <w:sz w:val="20"/>
        </w:rPr>
        <w:footnoteRef/>
      </w:r>
      <w:r w:rsidRPr="009F1213">
        <w:rPr>
          <w:rFonts w:ascii="Cambria" w:hAnsi="Cambria"/>
          <w:sz w:val="18"/>
          <w:szCs w:val="18"/>
        </w:rPr>
        <w:t xml:space="preserve"> Rose W, et al. (2005) Intermittent </w:t>
      </w:r>
      <w:proofErr w:type="spellStart"/>
      <w:r w:rsidRPr="009F1213">
        <w:rPr>
          <w:rFonts w:ascii="Cambria" w:hAnsi="Cambria"/>
          <w:sz w:val="18"/>
          <w:szCs w:val="18"/>
        </w:rPr>
        <w:t>clobazam</w:t>
      </w:r>
      <w:proofErr w:type="spellEnd"/>
      <w:r w:rsidRPr="009F1213">
        <w:rPr>
          <w:rFonts w:ascii="Cambria" w:hAnsi="Cambria"/>
          <w:sz w:val="18"/>
          <w:szCs w:val="18"/>
        </w:rPr>
        <w:t xml:space="preserve"> therapy in febrile seizures. </w:t>
      </w:r>
      <w:r w:rsidRPr="009F1213">
        <w:rPr>
          <w:rFonts w:ascii="Cambria" w:hAnsi="Cambria"/>
          <w:i/>
          <w:sz w:val="18"/>
          <w:szCs w:val="18"/>
        </w:rPr>
        <w:t xml:space="preserve">Indian J </w:t>
      </w:r>
      <w:proofErr w:type="spellStart"/>
      <w:r w:rsidRPr="009F1213">
        <w:rPr>
          <w:rFonts w:ascii="Cambria" w:hAnsi="Cambria"/>
          <w:i/>
          <w:sz w:val="18"/>
          <w:szCs w:val="18"/>
        </w:rPr>
        <w:t>Pediatr</w:t>
      </w:r>
      <w:proofErr w:type="spellEnd"/>
      <w:r w:rsidRPr="009F1213">
        <w:rPr>
          <w:rFonts w:ascii="Cambria" w:hAnsi="Cambria"/>
          <w:i/>
          <w:sz w:val="18"/>
          <w:szCs w:val="18"/>
        </w:rPr>
        <w:t>.</w:t>
      </w:r>
      <w:r w:rsidRPr="009F1213">
        <w:rPr>
          <w:rFonts w:ascii="Cambria" w:hAnsi="Cambria"/>
          <w:sz w:val="18"/>
          <w:szCs w:val="18"/>
        </w:rPr>
        <w:t xml:space="preserve"> 72: 31-33.</w:t>
      </w:r>
    </w:p>
  </w:footnote>
  <w:footnote w:id="27">
    <w:p w:rsidR="00E91D7F" w:rsidRPr="00EA7F21" w:rsidRDefault="00E91D7F" w:rsidP="00A50C03">
      <w:pPr>
        <w:pStyle w:val="FootnoteText"/>
        <w:ind w:left="0" w:firstLine="0"/>
        <w:rPr>
          <w:rFonts w:ascii="Cambria" w:hAnsi="Cambria"/>
          <w:sz w:val="20"/>
        </w:rPr>
      </w:pPr>
      <w:r w:rsidRPr="00EA7F21">
        <w:rPr>
          <w:rStyle w:val="FootnoteReference"/>
          <w:rFonts w:ascii="Cambria" w:hAnsi="Cambria"/>
          <w:sz w:val="20"/>
        </w:rPr>
        <w:footnoteRef/>
      </w:r>
      <w:r w:rsidRPr="009F1213">
        <w:rPr>
          <w:rFonts w:ascii="Cambria" w:hAnsi="Cambria"/>
          <w:sz w:val="18"/>
          <w:szCs w:val="18"/>
        </w:rPr>
        <w:t xml:space="preserve"> Bajaj AS, et al. (2005) Intermittent </w:t>
      </w:r>
      <w:proofErr w:type="spellStart"/>
      <w:r w:rsidRPr="009F1213">
        <w:rPr>
          <w:rFonts w:ascii="Cambria" w:hAnsi="Cambria"/>
          <w:sz w:val="18"/>
          <w:szCs w:val="18"/>
        </w:rPr>
        <w:t>clobazam</w:t>
      </w:r>
      <w:proofErr w:type="spellEnd"/>
      <w:r w:rsidRPr="009F1213">
        <w:rPr>
          <w:rFonts w:ascii="Cambria" w:hAnsi="Cambria"/>
          <w:sz w:val="18"/>
          <w:szCs w:val="18"/>
        </w:rPr>
        <w:t xml:space="preserve"> in febrile seizures: an Indian experience. </w:t>
      </w:r>
      <w:r w:rsidRPr="009F1213">
        <w:rPr>
          <w:rFonts w:ascii="Cambria" w:hAnsi="Cambria"/>
          <w:i/>
          <w:sz w:val="18"/>
          <w:szCs w:val="18"/>
        </w:rPr>
        <w:t xml:space="preserve">J </w:t>
      </w:r>
      <w:proofErr w:type="spellStart"/>
      <w:r w:rsidRPr="009F1213">
        <w:rPr>
          <w:rFonts w:ascii="Cambria" w:hAnsi="Cambria"/>
          <w:i/>
          <w:sz w:val="18"/>
          <w:szCs w:val="18"/>
        </w:rPr>
        <w:t>Pediatr</w:t>
      </w:r>
      <w:proofErr w:type="spellEnd"/>
      <w:r w:rsidRPr="009F1213">
        <w:rPr>
          <w:rFonts w:ascii="Cambria" w:hAnsi="Cambria"/>
          <w:i/>
          <w:sz w:val="18"/>
          <w:szCs w:val="18"/>
        </w:rPr>
        <w:t xml:space="preserve"> Neurol.</w:t>
      </w:r>
      <w:r w:rsidRPr="009F1213">
        <w:rPr>
          <w:rFonts w:ascii="Cambria" w:hAnsi="Cambria"/>
          <w:sz w:val="18"/>
          <w:szCs w:val="18"/>
        </w:rPr>
        <w:t xml:space="preserve"> 2: 19-23.</w:t>
      </w:r>
    </w:p>
  </w:footnote>
  <w:footnote w:id="28">
    <w:p w:rsidR="00E91D7F" w:rsidRPr="00EA7F21" w:rsidRDefault="00E91D7F" w:rsidP="00A50C03">
      <w:pPr>
        <w:pStyle w:val="FootnoteText"/>
        <w:ind w:left="0" w:firstLine="0"/>
        <w:rPr>
          <w:rFonts w:ascii="Cambria" w:hAnsi="Cambria"/>
          <w:sz w:val="20"/>
        </w:rPr>
      </w:pPr>
      <w:r w:rsidRPr="00EA7F21">
        <w:rPr>
          <w:rStyle w:val="FootnoteReference"/>
          <w:rFonts w:ascii="Cambria" w:hAnsi="Cambria"/>
          <w:sz w:val="20"/>
        </w:rPr>
        <w:footnoteRef/>
      </w:r>
      <w:r w:rsidRPr="009F1213">
        <w:rPr>
          <w:rFonts w:ascii="Cambria" w:hAnsi="Cambria"/>
          <w:sz w:val="18"/>
          <w:szCs w:val="18"/>
        </w:rPr>
        <w:t xml:space="preserve"> Bajaj AS, et al. (2005) Intermittent </w:t>
      </w:r>
      <w:proofErr w:type="spellStart"/>
      <w:r w:rsidRPr="009F1213">
        <w:rPr>
          <w:rFonts w:ascii="Cambria" w:hAnsi="Cambria"/>
          <w:sz w:val="18"/>
          <w:szCs w:val="18"/>
        </w:rPr>
        <w:t>clobazam</w:t>
      </w:r>
      <w:proofErr w:type="spellEnd"/>
      <w:r w:rsidRPr="009F1213">
        <w:rPr>
          <w:rFonts w:ascii="Cambria" w:hAnsi="Cambria"/>
          <w:sz w:val="18"/>
          <w:szCs w:val="18"/>
        </w:rPr>
        <w:t xml:space="preserve"> in febrile seizures: an Indian experience. </w:t>
      </w:r>
      <w:r w:rsidRPr="009F1213">
        <w:rPr>
          <w:rFonts w:ascii="Cambria" w:hAnsi="Cambria"/>
          <w:i/>
          <w:sz w:val="18"/>
          <w:szCs w:val="18"/>
        </w:rPr>
        <w:t xml:space="preserve">J </w:t>
      </w:r>
      <w:proofErr w:type="spellStart"/>
      <w:r w:rsidRPr="009F1213">
        <w:rPr>
          <w:rFonts w:ascii="Cambria" w:hAnsi="Cambria"/>
          <w:i/>
          <w:sz w:val="18"/>
          <w:szCs w:val="18"/>
        </w:rPr>
        <w:t>Pediatr</w:t>
      </w:r>
      <w:proofErr w:type="spellEnd"/>
      <w:r w:rsidRPr="009F1213">
        <w:rPr>
          <w:rFonts w:ascii="Cambria" w:hAnsi="Cambria"/>
          <w:i/>
          <w:sz w:val="18"/>
          <w:szCs w:val="18"/>
        </w:rPr>
        <w:t xml:space="preserve"> Neurol.</w:t>
      </w:r>
      <w:r w:rsidRPr="009F1213">
        <w:rPr>
          <w:rFonts w:ascii="Cambria" w:hAnsi="Cambria"/>
          <w:sz w:val="18"/>
          <w:szCs w:val="18"/>
        </w:rPr>
        <w:t xml:space="preserve"> 2: 19-23.</w:t>
      </w:r>
    </w:p>
  </w:footnote>
  <w:footnote w:id="29">
    <w:p w:rsidR="00E91D7F" w:rsidRPr="00B90DF0" w:rsidRDefault="00E91D7F" w:rsidP="00A50C03">
      <w:pPr>
        <w:pStyle w:val="FootnoteText"/>
        <w:ind w:left="0" w:firstLine="0"/>
        <w:rPr>
          <w:rFonts w:ascii="Cambria" w:hAnsi="Cambria"/>
          <w:sz w:val="20"/>
        </w:rPr>
      </w:pPr>
      <w:r w:rsidRPr="00B90DF0">
        <w:rPr>
          <w:rStyle w:val="FootnoteReference"/>
          <w:rFonts w:ascii="Cambria" w:hAnsi="Cambria"/>
          <w:sz w:val="20"/>
        </w:rPr>
        <w:footnoteRef/>
      </w:r>
      <w:r w:rsidRPr="009F1213">
        <w:rPr>
          <w:rFonts w:ascii="Cambria" w:hAnsi="Cambria"/>
          <w:sz w:val="18"/>
          <w:szCs w:val="18"/>
        </w:rPr>
        <w:t xml:space="preserve"> </w:t>
      </w:r>
      <w:proofErr w:type="spellStart"/>
      <w:r w:rsidRPr="009F1213">
        <w:rPr>
          <w:rFonts w:ascii="Cambria" w:hAnsi="Cambria"/>
          <w:sz w:val="18"/>
          <w:szCs w:val="18"/>
        </w:rPr>
        <w:t>Gastaut</w:t>
      </w:r>
      <w:proofErr w:type="spellEnd"/>
      <w:r w:rsidRPr="009F1213">
        <w:rPr>
          <w:rFonts w:ascii="Cambria" w:hAnsi="Cambria"/>
          <w:sz w:val="18"/>
          <w:szCs w:val="18"/>
        </w:rPr>
        <w:t xml:space="preserve"> H, Low MD. (1979) Antiepileptic properties of </w:t>
      </w:r>
      <w:proofErr w:type="spellStart"/>
      <w:r w:rsidRPr="009F1213">
        <w:rPr>
          <w:rFonts w:ascii="Cambria" w:hAnsi="Cambria"/>
          <w:sz w:val="18"/>
          <w:szCs w:val="18"/>
        </w:rPr>
        <w:t>clobazam</w:t>
      </w:r>
      <w:proofErr w:type="spellEnd"/>
      <w:r w:rsidRPr="009F1213">
        <w:rPr>
          <w:rFonts w:ascii="Cambria" w:hAnsi="Cambria"/>
          <w:sz w:val="18"/>
          <w:szCs w:val="18"/>
        </w:rPr>
        <w:t xml:space="preserve">, a 1-5 benzodiazepine, in man. </w:t>
      </w:r>
      <w:proofErr w:type="spellStart"/>
      <w:r w:rsidRPr="009F1213">
        <w:rPr>
          <w:rFonts w:ascii="Cambria" w:hAnsi="Cambria"/>
          <w:i/>
          <w:sz w:val="18"/>
          <w:szCs w:val="18"/>
        </w:rPr>
        <w:t>Epilepsia</w:t>
      </w:r>
      <w:proofErr w:type="spellEnd"/>
      <w:r w:rsidRPr="009F1213">
        <w:rPr>
          <w:rFonts w:ascii="Cambria" w:hAnsi="Cambria"/>
          <w:sz w:val="18"/>
          <w:szCs w:val="18"/>
        </w:rPr>
        <w:t xml:space="preserve"> 20: 437-446.</w:t>
      </w:r>
    </w:p>
  </w:footnote>
  <w:footnote w:id="30">
    <w:p w:rsidR="00E91D7F" w:rsidRPr="00B90DF0" w:rsidRDefault="00E91D7F" w:rsidP="00A50C03">
      <w:pPr>
        <w:pStyle w:val="FootnoteText"/>
        <w:ind w:left="0" w:firstLine="0"/>
        <w:rPr>
          <w:rFonts w:ascii="Cambria" w:hAnsi="Cambria"/>
          <w:sz w:val="20"/>
        </w:rPr>
      </w:pPr>
      <w:r w:rsidRPr="00B90DF0">
        <w:rPr>
          <w:rStyle w:val="FootnoteReference"/>
          <w:rFonts w:ascii="Cambria" w:hAnsi="Cambria"/>
          <w:sz w:val="20"/>
        </w:rPr>
        <w:footnoteRef/>
      </w:r>
      <w:r w:rsidRPr="009F1213">
        <w:rPr>
          <w:rFonts w:ascii="Cambria" w:hAnsi="Cambria"/>
          <w:sz w:val="18"/>
          <w:szCs w:val="18"/>
        </w:rPr>
        <w:t xml:space="preserve"> Allen JW, et al. (1983) </w:t>
      </w:r>
      <w:proofErr w:type="spellStart"/>
      <w:r w:rsidRPr="009F1213">
        <w:rPr>
          <w:rFonts w:ascii="Cambria" w:hAnsi="Cambria"/>
          <w:sz w:val="18"/>
          <w:szCs w:val="18"/>
        </w:rPr>
        <w:t>Clobazam</w:t>
      </w:r>
      <w:proofErr w:type="spellEnd"/>
      <w:r w:rsidRPr="009F1213">
        <w:rPr>
          <w:rFonts w:ascii="Cambria" w:hAnsi="Cambria"/>
          <w:sz w:val="18"/>
          <w:szCs w:val="18"/>
        </w:rPr>
        <w:t xml:space="preserve"> as adjunctive treatment in refractory epilepsy. </w:t>
      </w:r>
      <w:r w:rsidRPr="009F1213">
        <w:rPr>
          <w:rFonts w:ascii="Cambria" w:hAnsi="Cambria"/>
          <w:i/>
          <w:sz w:val="18"/>
          <w:szCs w:val="18"/>
        </w:rPr>
        <w:t>Br Med J (</w:t>
      </w:r>
      <w:proofErr w:type="spellStart"/>
      <w:r w:rsidRPr="009F1213">
        <w:rPr>
          <w:rFonts w:ascii="Cambria" w:hAnsi="Cambria"/>
          <w:i/>
          <w:sz w:val="18"/>
          <w:szCs w:val="18"/>
        </w:rPr>
        <w:t>Clin</w:t>
      </w:r>
      <w:proofErr w:type="spellEnd"/>
      <w:r w:rsidRPr="009F1213">
        <w:rPr>
          <w:rFonts w:ascii="Cambria" w:hAnsi="Cambria"/>
          <w:i/>
          <w:sz w:val="18"/>
          <w:szCs w:val="18"/>
        </w:rPr>
        <w:t xml:space="preserve"> Res Ed.)</w:t>
      </w:r>
      <w:r w:rsidRPr="009F1213">
        <w:rPr>
          <w:rFonts w:ascii="Cambria" w:hAnsi="Cambria"/>
          <w:sz w:val="18"/>
          <w:szCs w:val="18"/>
        </w:rPr>
        <w:t xml:space="preserve"> 286: 1246-1247.</w:t>
      </w:r>
    </w:p>
  </w:footnote>
  <w:footnote w:id="31">
    <w:p w:rsidR="00E91D7F" w:rsidRPr="00B90DF0" w:rsidRDefault="00E91D7F" w:rsidP="00A50C03">
      <w:pPr>
        <w:pStyle w:val="FootnoteText"/>
        <w:ind w:left="0" w:firstLine="0"/>
        <w:rPr>
          <w:rFonts w:ascii="Cambria" w:hAnsi="Cambria"/>
          <w:sz w:val="20"/>
        </w:rPr>
      </w:pPr>
      <w:r w:rsidRPr="00B90DF0">
        <w:rPr>
          <w:rStyle w:val="FootnoteReference"/>
          <w:rFonts w:ascii="Cambria" w:hAnsi="Cambria"/>
          <w:sz w:val="20"/>
        </w:rPr>
        <w:footnoteRef/>
      </w:r>
      <w:r w:rsidRPr="009F1213">
        <w:rPr>
          <w:rFonts w:ascii="Cambria" w:hAnsi="Cambria"/>
          <w:sz w:val="18"/>
          <w:szCs w:val="18"/>
        </w:rPr>
        <w:t xml:space="preserve"> Schmidt D, et al. (1986) </w:t>
      </w:r>
      <w:proofErr w:type="spellStart"/>
      <w:r w:rsidRPr="009F1213">
        <w:rPr>
          <w:rFonts w:ascii="Cambria" w:hAnsi="Cambria"/>
          <w:sz w:val="18"/>
          <w:szCs w:val="18"/>
        </w:rPr>
        <w:t>Clobazam</w:t>
      </w:r>
      <w:proofErr w:type="spellEnd"/>
      <w:r w:rsidRPr="009F1213">
        <w:rPr>
          <w:rFonts w:ascii="Cambria" w:hAnsi="Cambria"/>
          <w:sz w:val="18"/>
          <w:szCs w:val="18"/>
        </w:rPr>
        <w:t xml:space="preserve"> for refractory focal epilepsy. A controlled trial. </w:t>
      </w:r>
      <w:r w:rsidRPr="009F1213">
        <w:rPr>
          <w:rFonts w:ascii="Cambria" w:hAnsi="Cambria"/>
          <w:i/>
          <w:sz w:val="18"/>
          <w:szCs w:val="18"/>
        </w:rPr>
        <w:t>Arch Neurol.</w:t>
      </w:r>
      <w:r w:rsidRPr="009F1213">
        <w:rPr>
          <w:rFonts w:ascii="Cambria" w:hAnsi="Cambria"/>
          <w:sz w:val="18"/>
          <w:szCs w:val="18"/>
        </w:rPr>
        <w:t xml:space="preserve"> 43: 824-826.</w:t>
      </w:r>
    </w:p>
  </w:footnote>
  <w:footnote w:id="32">
    <w:p w:rsidR="00E91D7F" w:rsidRPr="00B90DF0" w:rsidRDefault="00E91D7F" w:rsidP="00A50C03">
      <w:pPr>
        <w:pStyle w:val="FootnoteText"/>
        <w:ind w:left="0" w:firstLine="0"/>
        <w:rPr>
          <w:rFonts w:ascii="Cambria" w:hAnsi="Cambria"/>
          <w:sz w:val="20"/>
        </w:rPr>
      </w:pPr>
      <w:r w:rsidRPr="00B90DF0">
        <w:rPr>
          <w:rStyle w:val="FootnoteReference"/>
          <w:rFonts w:ascii="Cambria" w:hAnsi="Cambria"/>
          <w:sz w:val="20"/>
        </w:rPr>
        <w:footnoteRef/>
      </w:r>
      <w:r w:rsidRPr="009F1213">
        <w:rPr>
          <w:rFonts w:ascii="Cambria" w:hAnsi="Cambria"/>
          <w:sz w:val="18"/>
          <w:szCs w:val="18"/>
        </w:rPr>
        <w:t xml:space="preserve"> Farrell K. (1986) Benzodiazepines in the treatment of children with epilepsy. </w:t>
      </w:r>
      <w:proofErr w:type="spellStart"/>
      <w:r w:rsidRPr="009F1213">
        <w:rPr>
          <w:rFonts w:ascii="Cambria" w:hAnsi="Cambria"/>
          <w:i/>
          <w:sz w:val="18"/>
          <w:szCs w:val="18"/>
        </w:rPr>
        <w:t>Epilepsia</w:t>
      </w:r>
      <w:proofErr w:type="spellEnd"/>
      <w:r w:rsidRPr="009F1213">
        <w:rPr>
          <w:rFonts w:ascii="Cambria" w:hAnsi="Cambria"/>
          <w:sz w:val="18"/>
          <w:szCs w:val="18"/>
        </w:rPr>
        <w:t xml:space="preserve"> 27 </w:t>
      </w:r>
      <w:proofErr w:type="spellStart"/>
      <w:r w:rsidRPr="009F1213">
        <w:rPr>
          <w:rFonts w:ascii="Cambria" w:hAnsi="Cambria"/>
          <w:sz w:val="18"/>
          <w:szCs w:val="18"/>
        </w:rPr>
        <w:t>Suppl</w:t>
      </w:r>
      <w:proofErr w:type="spellEnd"/>
      <w:r w:rsidRPr="009F1213">
        <w:rPr>
          <w:rFonts w:ascii="Cambria" w:hAnsi="Cambria"/>
          <w:sz w:val="18"/>
          <w:szCs w:val="18"/>
        </w:rPr>
        <w:t xml:space="preserve"> 1: S45-S52.</w:t>
      </w:r>
    </w:p>
  </w:footnote>
  <w:footnote w:id="33">
    <w:p w:rsidR="00E91D7F" w:rsidRPr="00023325" w:rsidRDefault="00E91D7F" w:rsidP="00A50C03">
      <w:pPr>
        <w:pStyle w:val="FootnoteText"/>
        <w:ind w:left="0" w:firstLine="0"/>
        <w:rPr>
          <w:rFonts w:ascii="Cambria" w:hAnsi="Cambria"/>
          <w:sz w:val="20"/>
        </w:rPr>
      </w:pPr>
      <w:r w:rsidRPr="00023325">
        <w:rPr>
          <w:rStyle w:val="FootnoteReference"/>
          <w:rFonts w:ascii="Cambria" w:hAnsi="Cambria"/>
          <w:sz w:val="20"/>
        </w:rPr>
        <w:footnoteRef/>
      </w:r>
      <w:r w:rsidRPr="009F1213">
        <w:rPr>
          <w:rFonts w:ascii="Cambria" w:hAnsi="Cambria"/>
          <w:sz w:val="18"/>
          <w:szCs w:val="18"/>
        </w:rPr>
        <w:t xml:space="preserve"> Singh A, et al. (1995) </w:t>
      </w:r>
      <w:proofErr w:type="spellStart"/>
      <w:r w:rsidRPr="009F1213">
        <w:rPr>
          <w:rFonts w:ascii="Cambria" w:hAnsi="Cambria"/>
          <w:sz w:val="18"/>
          <w:szCs w:val="18"/>
        </w:rPr>
        <w:t>Clobazam</w:t>
      </w:r>
      <w:proofErr w:type="spellEnd"/>
      <w:r w:rsidRPr="009F1213">
        <w:rPr>
          <w:rFonts w:ascii="Cambria" w:hAnsi="Cambria"/>
          <w:sz w:val="18"/>
          <w:szCs w:val="18"/>
        </w:rPr>
        <w:t xml:space="preserve"> in long-term epilepsy treatment: sustained responders versus those developing tolerance. </w:t>
      </w:r>
      <w:proofErr w:type="spellStart"/>
      <w:r w:rsidRPr="009F1213">
        <w:rPr>
          <w:rFonts w:ascii="Cambria" w:hAnsi="Cambria"/>
          <w:i/>
          <w:sz w:val="18"/>
          <w:szCs w:val="18"/>
        </w:rPr>
        <w:t>Epilepsia</w:t>
      </w:r>
      <w:proofErr w:type="spellEnd"/>
      <w:r w:rsidRPr="009F1213">
        <w:rPr>
          <w:rFonts w:ascii="Cambria" w:hAnsi="Cambria"/>
          <w:sz w:val="18"/>
          <w:szCs w:val="18"/>
        </w:rPr>
        <w:t xml:space="preserve"> 36: 798-803.</w:t>
      </w:r>
    </w:p>
  </w:footnote>
  <w:footnote w:id="34">
    <w:p w:rsidR="00E91D7F" w:rsidRPr="00023325" w:rsidRDefault="00E91D7F" w:rsidP="00A50C03">
      <w:pPr>
        <w:pStyle w:val="FootnoteText"/>
        <w:ind w:left="0" w:firstLine="0"/>
        <w:rPr>
          <w:rFonts w:ascii="Cambria" w:hAnsi="Cambria"/>
          <w:sz w:val="20"/>
        </w:rPr>
      </w:pPr>
      <w:r w:rsidRPr="00023325">
        <w:rPr>
          <w:rStyle w:val="FootnoteReference"/>
          <w:rFonts w:ascii="Cambria" w:hAnsi="Cambria"/>
          <w:sz w:val="20"/>
        </w:rPr>
        <w:footnoteRef/>
      </w:r>
      <w:r w:rsidRPr="009F1213">
        <w:rPr>
          <w:rFonts w:ascii="Cambria" w:hAnsi="Cambria"/>
          <w:sz w:val="18"/>
          <w:szCs w:val="18"/>
        </w:rPr>
        <w:t xml:space="preserve"> [No authors listed] (1991) </w:t>
      </w:r>
      <w:proofErr w:type="spellStart"/>
      <w:r w:rsidRPr="009F1213">
        <w:rPr>
          <w:rFonts w:ascii="Cambria" w:hAnsi="Cambria"/>
          <w:sz w:val="18"/>
          <w:szCs w:val="18"/>
        </w:rPr>
        <w:t>Clobazam</w:t>
      </w:r>
      <w:proofErr w:type="spellEnd"/>
      <w:r w:rsidRPr="009F1213">
        <w:rPr>
          <w:rFonts w:ascii="Cambria" w:hAnsi="Cambria"/>
          <w:sz w:val="18"/>
          <w:szCs w:val="18"/>
        </w:rPr>
        <w:t xml:space="preserve"> in treatment of refractory epilepsy: the Canadian experience. A retrospective study. Canadian </w:t>
      </w:r>
      <w:proofErr w:type="spellStart"/>
      <w:r w:rsidRPr="009F1213">
        <w:rPr>
          <w:rFonts w:ascii="Cambria" w:hAnsi="Cambria"/>
          <w:sz w:val="18"/>
          <w:szCs w:val="18"/>
        </w:rPr>
        <w:t>Clobazam</w:t>
      </w:r>
      <w:proofErr w:type="spellEnd"/>
      <w:r w:rsidRPr="009F1213">
        <w:rPr>
          <w:rFonts w:ascii="Cambria" w:hAnsi="Cambria"/>
          <w:sz w:val="18"/>
          <w:szCs w:val="18"/>
        </w:rPr>
        <w:t xml:space="preserve"> Cooperative Group. </w:t>
      </w:r>
      <w:proofErr w:type="spellStart"/>
      <w:r w:rsidRPr="009F1213">
        <w:rPr>
          <w:rFonts w:ascii="Cambria" w:hAnsi="Cambria"/>
          <w:i/>
          <w:sz w:val="18"/>
          <w:szCs w:val="18"/>
        </w:rPr>
        <w:t>Epilepsia</w:t>
      </w:r>
      <w:proofErr w:type="spellEnd"/>
      <w:r w:rsidRPr="009F1213">
        <w:rPr>
          <w:rFonts w:ascii="Cambria" w:hAnsi="Cambria"/>
          <w:sz w:val="18"/>
          <w:szCs w:val="18"/>
        </w:rPr>
        <w:t xml:space="preserve"> 32: 407-416.</w:t>
      </w:r>
    </w:p>
  </w:footnote>
  <w:footnote w:id="35">
    <w:p w:rsidR="00E91D7F" w:rsidRPr="00023325" w:rsidRDefault="00E91D7F" w:rsidP="00A50C03">
      <w:pPr>
        <w:pStyle w:val="FootnoteText"/>
        <w:ind w:left="0" w:firstLine="0"/>
        <w:rPr>
          <w:rFonts w:ascii="Cambria" w:hAnsi="Cambria"/>
          <w:sz w:val="20"/>
        </w:rPr>
      </w:pPr>
      <w:r w:rsidRPr="00023325">
        <w:rPr>
          <w:rStyle w:val="FootnoteReference"/>
          <w:rFonts w:ascii="Cambria" w:hAnsi="Cambria"/>
          <w:sz w:val="20"/>
        </w:rPr>
        <w:footnoteRef/>
      </w:r>
      <w:r w:rsidRPr="00230452">
        <w:rPr>
          <w:rFonts w:ascii="Cambria" w:hAnsi="Cambria"/>
          <w:sz w:val="18"/>
          <w:szCs w:val="18"/>
        </w:rPr>
        <w:t xml:space="preserve"> </w:t>
      </w:r>
      <w:proofErr w:type="spellStart"/>
      <w:r w:rsidRPr="00230452">
        <w:rPr>
          <w:rFonts w:ascii="Cambria" w:hAnsi="Cambria"/>
          <w:sz w:val="18"/>
          <w:szCs w:val="18"/>
        </w:rPr>
        <w:t>Sugai</w:t>
      </w:r>
      <w:proofErr w:type="spellEnd"/>
      <w:r w:rsidRPr="00230452">
        <w:rPr>
          <w:rFonts w:ascii="Cambria" w:hAnsi="Cambria"/>
          <w:sz w:val="18"/>
          <w:szCs w:val="18"/>
        </w:rPr>
        <w:t xml:space="preserve"> K. (2004) </w:t>
      </w:r>
      <w:proofErr w:type="spellStart"/>
      <w:r w:rsidRPr="00230452">
        <w:rPr>
          <w:rFonts w:ascii="Cambria" w:hAnsi="Cambria"/>
          <w:sz w:val="18"/>
          <w:szCs w:val="18"/>
        </w:rPr>
        <w:t>Clobazam</w:t>
      </w:r>
      <w:proofErr w:type="spellEnd"/>
      <w:r w:rsidRPr="00230452">
        <w:rPr>
          <w:rFonts w:ascii="Cambria" w:hAnsi="Cambria"/>
          <w:sz w:val="18"/>
          <w:szCs w:val="18"/>
        </w:rPr>
        <w:t xml:space="preserve"> as a new antiepileptic drug and </w:t>
      </w:r>
      <w:proofErr w:type="spellStart"/>
      <w:r w:rsidRPr="00230452">
        <w:rPr>
          <w:rFonts w:ascii="Cambria" w:hAnsi="Cambria"/>
          <w:sz w:val="18"/>
          <w:szCs w:val="18"/>
        </w:rPr>
        <w:t>clorazepate</w:t>
      </w:r>
      <w:proofErr w:type="spellEnd"/>
      <w:r w:rsidRPr="00230452">
        <w:rPr>
          <w:rFonts w:ascii="Cambria" w:hAnsi="Cambria"/>
          <w:sz w:val="18"/>
          <w:szCs w:val="18"/>
        </w:rPr>
        <w:t xml:space="preserve"> </w:t>
      </w:r>
      <w:proofErr w:type="spellStart"/>
      <w:r w:rsidRPr="00230452">
        <w:rPr>
          <w:rFonts w:ascii="Cambria" w:hAnsi="Cambria"/>
          <w:sz w:val="18"/>
          <w:szCs w:val="18"/>
        </w:rPr>
        <w:t>dipotassium</w:t>
      </w:r>
      <w:proofErr w:type="spellEnd"/>
      <w:r w:rsidRPr="00230452">
        <w:rPr>
          <w:rFonts w:ascii="Cambria" w:hAnsi="Cambria"/>
          <w:sz w:val="18"/>
          <w:szCs w:val="18"/>
        </w:rPr>
        <w:t xml:space="preserve"> as an alternative antiepileptic drug in Japan. </w:t>
      </w:r>
      <w:proofErr w:type="spellStart"/>
      <w:r w:rsidRPr="00230452">
        <w:rPr>
          <w:rFonts w:ascii="Cambria" w:hAnsi="Cambria"/>
          <w:i/>
          <w:sz w:val="18"/>
          <w:szCs w:val="18"/>
        </w:rPr>
        <w:t>Epilepsia</w:t>
      </w:r>
      <w:proofErr w:type="spellEnd"/>
      <w:r w:rsidRPr="00230452">
        <w:rPr>
          <w:rFonts w:ascii="Cambria" w:hAnsi="Cambria"/>
          <w:sz w:val="18"/>
          <w:szCs w:val="18"/>
        </w:rPr>
        <w:t xml:space="preserve"> 45 </w:t>
      </w:r>
      <w:proofErr w:type="spellStart"/>
      <w:r w:rsidRPr="00230452">
        <w:rPr>
          <w:rFonts w:ascii="Cambria" w:hAnsi="Cambria"/>
          <w:sz w:val="18"/>
          <w:szCs w:val="18"/>
        </w:rPr>
        <w:t>Suppl</w:t>
      </w:r>
      <w:proofErr w:type="spellEnd"/>
      <w:r w:rsidRPr="00230452">
        <w:rPr>
          <w:rFonts w:ascii="Cambria" w:hAnsi="Cambria"/>
          <w:sz w:val="18"/>
          <w:szCs w:val="18"/>
        </w:rPr>
        <w:t xml:space="preserve"> 8: 20-25.</w:t>
      </w:r>
    </w:p>
  </w:footnote>
  <w:footnote w:id="36">
    <w:p w:rsidR="00E91D7F" w:rsidRPr="00023325" w:rsidRDefault="00E91D7F" w:rsidP="00A50C03">
      <w:pPr>
        <w:pStyle w:val="FootnoteText"/>
        <w:ind w:left="0" w:firstLine="0"/>
        <w:rPr>
          <w:rFonts w:ascii="Cambria" w:hAnsi="Cambria"/>
          <w:sz w:val="20"/>
        </w:rPr>
      </w:pPr>
      <w:r w:rsidRPr="00023325">
        <w:rPr>
          <w:rStyle w:val="FootnoteReference"/>
          <w:rFonts w:ascii="Cambria" w:hAnsi="Cambria"/>
          <w:sz w:val="20"/>
        </w:rPr>
        <w:footnoteRef/>
      </w:r>
      <w:r w:rsidRPr="00230452">
        <w:rPr>
          <w:rFonts w:ascii="Cambria" w:hAnsi="Cambria"/>
          <w:sz w:val="18"/>
          <w:szCs w:val="18"/>
        </w:rPr>
        <w:t xml:space="preserve"> Munn R, et al. (1988) </w:t>
      </w:r>
      <w:proofErr w:type="spellStart"/>
      <w:r w:rsidRPr="00230452">
        <w:rPr>
          <w:rFonts w:ascii="Cambria" w:hAnsi="Cambria"/>
          <w:sz w:val="18"/>
          <w:szCs w:val="18"/>
        </w:rPr>
        <w:t>Clobazam</w:t>
      </w:r>
      <w:proofErr w:type="spellEnd"/>
      <w:r w:rsidRPr="00230452">
        <w:rPr>
          <w:rFonts w:ascii="Cambria" w:hAnsi="Cambria"/>
          <w:sz w:val="18"/>
          <w:szCs w:val="18"/>
        </w:rPr>
        <w:t xml:space="preserve"> for refractory childhood seizure disorders--a valuable supplementary drug. </w:t>
      </w:r>
      <w:r w:rsidRPr="00230452">
        <w:rPr>
          <w:rFonts w:ascii="Cambria" w:hAnsi="Cambria"/>
          <w:i/>
          <w:sz w:val="18"/>
          <w:szCs w:val="18"/>
        </w:rPr>
        <w:t xml:space="preserve">Can J </w:t>
      </w:r>
      <w:proofErr w:type="spellStart"/>
      <w:r w:rsidRPr="00230452">
        <w:rPr>
          <w:rFonts w:ascii="Cambria" w:hAnsi="Cambria"/>
          <w:i/>
          <w:sz w:val="18"/>
          <w:szCs w:val="18"/>
        </w:rPr>
        <w:t>Neurol</w:t>
      </w:r>
      <w:proofErr w:type="spellEnd"/>
      <w:r w:rsidRPr="00230452">
        <w:rPr>
          <w:rFonts w:ascii="Cambria" w:hAnsi="Cambria"/>
          <w:i/>
          <w:sz w:val="18"/>
          <w:szCs w:val="18"/>
        </w:rPr>
        <w:t xml:space="preserve"> Sci.</w:t>
      </w:r>
      <w:r w:rsidRPr="00230452">
        <w:rPr>
          <w:rFonts w:ascii="Cambria" w:hAnsi="Cambria"/>
          <w:sz w:val="18"/>
          <w:szCs w:val="18"/>
        </w:rPr>
        <w:t xml:space="preserve"> 15: 406-408.</w:t>
      </w:r>
    </w:p>
  </w:footnote>
  <w:footnote w:id="37">
    <w:p w:rsidR="00E91D7F" w:rsidRPr="00023325" w:rsidRDefault="00E91D7F" w:rsidP="00A50C03">
      <w:pPr>
        <w:pStyle w:val="FootnoteText"/>
        <w:ind w:left="0" w:firstLine="0"/>
        <w:rPr>
          <w:rFonts w:ascii="Cambria" w:hAnsi="Cambria"/>
          <w:sz w:val="20"/>
        </w:rPr>
      </w:pPr>
      <w:r w:rsidRPr="00023325">
        <w:rPr>
          <w:rStyle w:val="FootnoteReference"/>
          <w:rFonts w:ascii="Cambria" w:hAnsi="Cambria"/>
          <w:sz w:val="20"/>
        </w:rPr>
        <w:footnoteRef/>
      </w:r>
      <w:r w:rsidRPr="00230452">
        <w:rPr>
          <w:rFonts w:ascii="Cambria" w:hAnsi="Cambria"/>
          <w:sz w:val="18"/>
          <w:szCs w:val="18"/>
        </w:rPr>
        <w:t xml:space="preserve"> Munn R, Farrell K. (1993) Open study of </w:t>
      </w:r>
      <w:proofErr w:type="spellStart"/>
      <w:r w:rsidRPr="00230452">
        <w:rPr>
          <w:rFonts w:ascii="Cambria" w:hAnsi="Cambria"/>
          <w:sz w:val="18"/>
          <w:szCs w:val="18"/>
        </w:rPr>
        <w:t>clobazam</w:t>
      </w:r>
      <w:proofErr w:type="spellEnd"/>
      <w:r w:rsidRPr="00230452">
        <w:rPr>
          <w:rFonts w:ascii="Cambria" w:hAnsi="Cambria"/>
          <w:sz w:val="18"/>
          <w:szCs w:val="18"/>
        </w:rPr>
        <w:t xml:space="preserve"> in refractory epilepsy. </w:t>
      </w:r>
      <w:proofErr w:type="spellStart"/>
      <w:r w:rsidRPr="00230452">
        <w:rPr>
          <w:rFonts w:ascii="Cambria" w:hAnsi="Cambria"/>
          <w:i/>
          <w:sz w:val="18"/>
          <w:szCs w:val="18"/>
        </w:rPr>
        <w:t>Pediatr</w:t>
      </w:r>
      <w:proofErr w:type="spellEnd"/>
      <w:r w:rsidRPr="00230452">
        <w:rPr>
          <w:rFonts w:ascii="Cambria" w:hAnsi="Cambria"/>
          <w:i/>
          <w:sz w:val="18"/>
          <w:szCs w:val="18"/>
        </w:rPr>
        <w:t xml:space="preserve"> Neurol.</w:t>
      </w:r>
      <w:r w:rsidRPr="00230452">
        <w:rPr>
          <w:rFonts w:ascii="Cambria" w:hAnsi="Cambria"/>
          <w:sz w:val="18"/>
          <w:szCs w:val="18"/>
        </w:rPr>
        <w:t xml:space="preserve"> 9: 465-469.</w:t>
      </w:r>
    </w:p>
  </w:footnote>
  <w:footnote w:id="38">
    <w:p w:rsidR="00E91D7F" w:rsidRPr="00023325" w:rsidRDefault="00E91D7F" w:rsidP="00A50C03">
      <w:pPr>
        <w:pStyle w:val="FootnoteText"/>
        <w:ind w:left="0" w:firstLine="0"/>
        <w:rPr>
          <w:rFonts w:ascii="Cambria" w:hAnsi="Cambria"/>
          <w:sz w:val="20"/>
        </w:rPr>
      </w:pPr>
      <w:r w:rsidRPr="00023325">
        <w:rPr>
          <w:rStyle w:val="FootnoteReference"/>
          <w:rFonts w:ascii="Cambria" w:hAnsi="Cambria"/>
          <w:sz w:val="20"/>
        </w:rPr>
        <w:footnoteRef/>
      </w:r>
      <w:r w:rsidRPr="00230452">
        <w:rPr>
          <w:rFonts w:ascii="Cambria" w:hAnsi="Cambria"/>
          <w:sz w:val="18"/>
          <w:szCs w:val="18"/>
        </w:rPr>
        <w:t xml:space="preserve"> Munn R, Farrell K. (1993) Open study of </w:t>
      </w:r>
      <w:proofErr w:type="spellStart"/>
      <w:r w:rsidRPr="00230452">
        <w:rPr>
          <w:rFonts w:ascii="Cambria" w:hAnsi="Cambria"/>
          <w:sz w:val="18"/>
          <w:szCs w:val="18"/>
        </w:rPr>
        <w:t>clobazam</w:t>
      </w:r>
      <w:proofErr w:type="spellEnd"/>
      <w:r w:rsidRPr="00230452">
        <w:rPr>
          <w:rFonts w:ascii="Cambria" w:hAnsi="Cambria"/>
          <w:sz w:val="18"/>
          <w:szCs w:val="18"/>
        </w:rPr>
        <w:t xml:space="preserve"> in refractory epilepsy. </w:t>
      </w:r>
      <w:proofErr w:type="spellStart"/>
      <w:r w:rsidRPr="00230452">
        <w:rPr>
          <w:rFonts w:ascii="Cambria" w:hAnsi="Cambria"/>
          <w:i/>
          <w:sz w:val="18"/>
          <w:szCs w:val="18"/>
        </w:rPr>
        <w:t>Pediatr</w:t>
      </w:r>
      <w:proofErr w:type="spellEnd"/>
      <w:r w:rsidRPr="00230452">
        <w:rPr>
          <w:rFonts w:ascii="Cambria" w:hAnsi="Cambria"/>
          <w:i/>
          <w:sz w:val="18"/>
          <w:szCs w:val="18"/>
        </w:rPr>
        <w:t xml:space="preserve"> Neurol.</w:t>
      </w:r>
      <w:r w:rsidRPr="00230452">
        <w:rPr>
          <w:rFonts w:ascii="Cambria" w:hAnsi="Cambria"/>
          <w:sz w:val="18"/>
          <w:szCs w:val="18"/>
        </w:rPr>
        <w:t xml:space="preserve"> 9: 465-469.</w:t>
      </w:r>
    </w:p>
  </w:footnote>
  <w:footnote w:id="39">
    <w:p w:rsidR="00E91D7F" w:rsidRPr="00023325" w:rsidRDefault="00E91D7F" w:rsidP="00A50C03">
      <w:pPr>
        <w:pStyle w:val="FootnoteText"/>
        <w:ind w:left="0" w:firstLine="0"/>
        <w:rPr>
          <w:rFonts w:ascii="Cambria" w:hAnsi="Cambria"/>
          <w:sz w:val="20"/>
        </w:rPr>
      </w:pPr>
      <w:r w:rsidRPr="00023325">
        <w:rPr>
          <w:rStyle w:val="FootnoteReference"/>
          <w:rFonts w:ascii="Cambria" w:hAnsi="Cambria"/>
          <w:sz w:val="20"/>
        </w:rPr>
        <w:footnoteRef/>
      </w:r>
      <w:r w:rsidRPr="00230452">
        <w:rPr>
          <w:rFonts w:ascii="Cambria" w:hAnsi="Cambria"/>
          <w:sz w:val="18"/>
          <w:szCs w:val="18"/>
        </w:rPr>
        <w:t xml:space="preserve"> </w:t>
      </w:r>
      <w:proofErr w:type="spellStart"/>
      <w:r w:rsidRPr="00230452">
        <w:rPr>
          <w:rFonts w:ascii="Cambria" w:hAnsi="Cambria"/>
          <w:sz w:val="18"/>
          <w:szCs w:val="18"/>
        </w:rPr>
        <w:t>Kalra</w:t>
      </w:r>
      <w:proofErr w:type="spellEnd"/>
      <w:r w:rsidRPr="00230452">
        <w:rPr>
          <w:rFonts w:ascii="Cambria" w:hAnsi="Cambria"/>
          <w:sz w:val="18"/>
          <w:szCs w:val="18"/>
        </w:rPr>
        <w:t xml:space="preserve"> V, et al. (2010) </w:t>
      </w:r>
      <w:proofErr w:type="spellStart"/>
      <w:r w:rsidRPr="00230452">
        <w:rPr>
          <w:rFonts w:ascii="Cambria" w:hAnsi="Cambria"/>
          <w:sz w:val="18"/>
          <w:szCs w:val="18"/>
        </w:rPr>
        <w:t>Clobazam</w:t>
      </w:r>
      <w:proofErr w:type="spellEnd"/>
      <w:r w:rsidRPr="00230452">
        <w:rPr>
          <w:rFonts w:ascii="Cambria" w:hAnsi="Cambria"/>
          <w:sz w:val="18"/>
          <w:szCs w:val="18"/>
        </w:rPr>
        <w:t xml:space="preserve"> in refractory childhood epilepsy. </w:t>
      </w:r>
      <w:r w:rsidRPr="00230452">
        <w:rPr>
          <w:rFonts w:ascii="Cambria" w:hAnsi="Cambria"/>
          <w:i/>
          <w:sz w:val="18"/>
          <w:szCs w:val="18"/>
        </w:rPr>
        <w:t xml:space="preserve">Indian J </w:t>
      </w:r>
      <w:proofErr w:type="spellStart"/>
      <w:r w:rsidRPr="00230452">
        <w:rPr>
          <w:rFonts w:ascii="Cambria" w:hAnsi="Cambria"/>
          <w:i/>
          <w:sz w:val="18"/>
          <w:szCs w:val="18"/>
        </w:rPr>
        <w:t>Pediatr</w:t>
      </w:r>
      <w:proofErr w:type="spellEnd"/>
      <w:r w:rsidRPr="00230452">
        <w:rPr>
          <w:rFonts w:ascii="Cambria" w:hAnsi="Cambria"/>
          <w:i/>
          <w:sz w:val="18"/>
          <w:szCs w:val="18"/>
        </w:rPr>
        <w:t>.</w:t>
      </w:r>
      <w:r w:rsidRPr="00230452">
        <w:rPr>
          <w:rFonts w:ascii="Cambria" w:hAnsi="Cambria"/>
          <w:sz w:val="18"/>
          <w:szCs w:val="18"/>
        </w:rPr>
        <w:t xml:space="preserve"> 77: 263-266.</w:t>
      </w:r>
    </w:p>
  </w:footnote>
  <w:footnote w:id="40">
    <w:p w:rsidR="00E91D7F" w:rsidRPr="00023325" w:rsidRDefault="00E91D7F" w:rsidP="00A50C03">
      <w:pPr>
        <w:pStyle w:val="FootnoteText"/>
        <w:ind w:left="0" w:firstLine="0"/>
        <w:rPr>
          <w:rFonts w:ascii="Cambria" w:hAnsi="Cambria"/>
          <w:sz w:val="20"/>
        </w:rPr>
      </w:pPr>
      <w:r w:rsidRPr="00023325">
        <w:rPr>
          <w:rStyle w:val="FootnoteReference"/>
          <w:rFonts w:ascii="Cambria" w:hAnsi="Cambria"/>
          <w:sz w:val="20"/>
        </w:rPr>
        <w:footnoteRef/>
      </w:r>
      <w:r w:rsidRPr="00230452">
        <w:rPr>
          <w:rFonts w:ascii="Cambria" w:hAnsi="Cambria"/>
          <w:sz w:val="18"/>
          <w:szCs w:val="18"/>
        </w:rPr>
        <w:t xml:space="preserve"> </w:t>
      </w:r>
      <w:proofErr w:type="spellStart"/>
      <w:r w:rsidRPr="00230452">
        <w:rPr>
          <w:rFonts w:ascii="Cambria" w:hAnsi="Cambria"/>
          <w:sz w:val="18"/>
          <w:szCs w:val="18"/>
        </w:rPr>
        <w:t>Barcs</w:t>
      </w:r>
      <w:proofErr w:type="spellEnd"/>
      <w:r w:rsidRPr="00230452">
        <w:rPr>
          <w:rFonts w:ascii="Cambria" w:hAnsi="Cambria"/>
          <w:sz w:val="18"/>
          <w:szCs w:val="18"/>
        </w:rPr>
        <w:t xml:space="preserve"> G, </w:t>
      </w:r>
      <w:proofErr w:type="spellStart"/>
      <w:r w:rsidRPr="00230452">
        <w:rPr>
          <w:rFonts w:ascii="Cambria" w:hAnsi="Cambria"/>
          <w:sz w:val="18"/>
          <w:szCs w:val="18"/>
        </w:rPr>
        <w:t>Halasz</w:t>
      </w:r>
      <w:proofErr w:type="spellEnd"/>
      <w:r w:rsidRPr="00230452">
        <w:rPr>
          <w:rFonts w:ascii="Cambria" w:hAnsi="Cambria"/>
          <w:sz w:val="18"/>
          <w:szCs w:val="18"/>
        </w:rPr>
        <w:t xml:space="preserve"> P. (1996) Effectiveness and tolerance of </w:t>
      </w:r>
      <w:proofErr w:type="spellStart"/>
      <w:r w:rsidRPr="00230452">
        <w:rPr>
          <w:rFonts w:ascii="Cambria" w:hAnsi="Cambria"/>
          <w:sz w:val="18"/>
          <w:szCs w:val="18"/>
        </w:rPr>
        <w:t>clobazam</w:t>
      </w:r>
      <w:proofErr w:type="spellEnd"/>
      <w:r w:rsidRPr="00230452">
        <w:rPr>
          <w:rFonts w:ascii="Cambria" w:hAnsi="Cambria"/>
          <w:sz w:val="18"/>
          <w:szCs w:val="18"/>
        </w:rPr>
        <w:t xml:space="preserve"> in temporal lobe epilepsy. </w:t>
      </w:r>
      <w:proofErr w:type="spellStart"/>
      <w:r w:rsidRPr="00230452">
        <w:rPr>
          <w:rFonts w:ascii="Cambria" w:hAnsi="Cambria"/>
          <w:i/>
          <w:sz w:val="18"/>
          <w:szCs w:val="18"/>
        </w:rPr>
        <w:t>Acta</w:t>
      </w:r>
      <w:proofErr w:type="spellEnd"/>
      <w:r w:rsidRPr="00230452">
        <w:rPr>
          <w:rFonts w:ascii="Cambria" w:hAnsi="Cambria"/>
          <w:i/>
          <w:sz w:val="18"/>
          <w:szCs w:val="18"/>
        </w:rPr>
        <w:t xml:space="preserve"> </w:t>
      </w:r>
      <w:proofErr w:type="spellStart"/>
      <w:r w:rsidRPr="00230452">
        <w:rPr>
          <w:rFonts w:ascii="Cambria" w:hAnsi="Cambria"/>
          <w:i/>
          <w:sz w:val="18"/>
          <w:szCs w:val="18"/>
        </w:rPr>
        <w:t>Neurol</w:t>
      </w:r>
      <w:proofErr w:type="spellEnd"/>
      <w:r w:rsidRPr="00230452">
        <w:rPr>
          <w:rFonts w:ascii="Cambria" w:hAnsi="Cambria"/>
          <w:i/>
          <w:sz w:val="18"/>
          <w:szCs w:val="18"/>
        </w:rPr>
        <w:t xml:space="preserve"> Scand.</w:t>
      </w:r>
      <w:r w:rsidRPr="00230452">
        <w:rPr>
          <w:rFonts w:ascii="Cambria" w:hAnsi="Cambria"/>
          <w:sz w:val="18"/>
          <w:szCs w:val="18"/>
        </w:rPr>
        <w:t xml:space="preserve"> 93: 88-93.</w:t>
      </w:r>
    </w:p>
  </w:footnote>
  <w:footnote w:id="41">
    <w:p w:rsidR="00E91D7F" w:rsidRPr="00AE07EB" w:rsidRDefault="00E91D7F" w:rsidP="00A50C03">
      <w:pPr>
        <w:pStyle w:val="FootnoteText"/>
        <w:ind w:left="0" w:firstLine="0"/>
        <w:rPr>
          <w:rFonts w:ascii="Cambria" w:hAnsi="Cambria"/>
          <w:sz w:val="20"/>
        </w:rPr>
      </w:pPr>
      <w:r w:rsidRPr="00AE07EB">
        <w:rPr>
          <w:rStyle w:val="FootnoteReference"/>
          <w:rFonts w:ascii="Cambria" w:hAnsi="Cambria"/>
          <w:sz w:val="20"/>
        </w:rPr>
        <w:footnoteRef/>
      </w:r>
      <w:r w:rsidRPr="00230452">
        <w:rPr>
          <w:rFonts w:ascii="Cambria" w:hAnsi="Cambria"/>
          <w:sz w:val="18"/>
          <w:szCs w:val="18"/>
        </w:rPr>
        <w:t xml:space="preserve"> Martin AA. (1981) The Anti-epileptic Effects of </w:t>
      </w:r>
      <w:proofErr w:type="spellStart"/>
      <w:r w:rsidRPr="00230452">
        <w:rPr>
          <w:rFonts w:ascii="Cambria" w:hAnsi="Cambria"/>
          <w:sz w:val="18"/>
          <w:szCs w:val="18"/>
        </w:rPr>
        <w:t>Clobazam</w:t>
      </w:r>
      <w:proofErr w:type="spellEnd"/>
      <w:r w:rsidRPr="00230452">
        <w:rPr>
          <w:rFonts w:ascii="Cambria" w:hAnsi="Cambria"/>
          <w:sz w:val="18"/>
          <w:szCs w:val="18"/>
        </w:rPr>
        <w:t xml:space="preserve">: A Long-term Study in Resistant Epilepsy. In: </w:t>
      </w:r>
      <w:proofErr w:type="spellStart"/>
      <w:r w:rsidRPr="00230452">
        <w:rPr>
          <w:rFonts w:ascii="Cambria" w:hAnsi="Cambria"/>
          <w:sz w:val="18"/>
          <w:szCs w:val="18"/>
        </w:rPr>
        <w:t>Hindmarch</w:t>
      </w:r>
      <w:proofErr w:type="spellEnd"/>
      <w:r w:rsidRPr="00230452">
        <w:rPr>
          <w:rFonts w:ascii="Cambria" w:hAnsi="Cambria"/>
          <w:sz w:val="18"/>
          <w:szCs w:val="18"/>
        </w:rPr>
        <w:t xml:space="preserve"> I, ed. </w:t>
      </w:r>
      <w:proofErr w:type="spellStart"/>
      <w:r w:rsidRPr="00230452">
        <w:rPr>
          <w:rFonts w:ascii="Cambria" w:hAnsi="Cambria"/>
          <w:sz w:val="18"/>
          <w:szCs w:val="18"/>
        </w:rPr>
        <w:t>Clobazam</w:t>
      </w:r>
      <w:proofErr w:type="spellEnd"/>
      <w:r w:rsidRPr="00230452">
        <w:rPr>
          <w:rFonts w:ascii="Cambria" w:hAnsi="Cambria"/>
          <w:sz w:val="18"/>
          <w:szCs w:val="18"/>
        </w:rPr>
        <w:t xml:space="preserve">. </w:t>
      </w:r>
      <w:proofErr w:type="spellStart"/>
      <w:r w:rsidRPr="00230452">
        <w:rPr>
          <w:rFonts w:ascii="Cambria" w:hAnsi="Cambria"/>
          <w:sz w:val="18"/>
          <w:szCs w:val="18"/>
        </w:rPr>
        <w:t>Orlando</w:t>
      </w:r>
      <w:proofErr w:type="spellEnd"/>
      <w:r w:rsidRPr="00230452">
        <w:rPr>
          <w:rFonts w:ascii="Cambria" w:hAnsi="Cambria"/>
          <w:sz w:val="18"/>
          <w:szCs w:val="18"/>
        </w:rPr>
        <w:t xml:space="preserve">, </w:t>
      </w:r>
      <w:proofErr w:type="spellStart"/>
      <w:r w:rsidRPr="00230452">
        <w:rPr>
          <w:rFonts w:ascii="Cambria" w:hAnsi="Cambria"/>
          <w:sz w:val="18"/>
          <w:szCs w:val="18"/>
        </w:rPr>
        <w:t>Fla</w:t>
      </w:r>
      <w:proofErr w:type="spellEnd"/>
      <w:r w:rsidRPr="00230452">
        <w:rPr>
          <w:rFonts w:ascii="Cambria" w:hAnsi="Cambria"/>
          <w:sz w:val="18"/>
          <w:szCs w:val="18"/>
        </w:rPr>
        <w:t>: Academic Press Inc., pp. 151-157.</w:t>
      </w:r>
    </w:p>
  </w:footnote>
  <w:footnote w:id="42">
    <w:p w:rsidR="00E91D7F" w:rsidRPr="00AE07EB" w:rsidRDefault="00E91D7F" w:rsidP="00A50C03">
      <w:pPr>
        <w:pStyle w:val="FootnoteText"/>
        <w:ind w:left="0" w:firstLine="0"/>
        <w:rPr>
          <w:rFonts w:ascii="Cambria" w:hAnsi="Cambria"/>
          <w:sz w:val="20"/>
        </w:rPr>
      </w:pPr>
      <w:r w:rsidRPr="00AE07EB">
        <w:rPr>
          <w:rStyle w:val="FootnoteReference"/>
          <w:rFonts w:ascii="Cambria" w:hAnsi="Cambria"/>
          <w:sz w:val="20"/>
        </w:rPr>
        <w:footnoteRef/>
      </w:r>
      <w:r w:rsidRPr="00230452">
        <w:rPr>
          <w:rFonts w:ascii="Cambria" w:hAnsi="Cambria"/>
          <w:sz w:val="18"/>
          <w:szCs w:val="18"/>
        </w:rPr>
        <w:t xml:space="preserve"> </w:t>
      </w:r>
      <w:proofErr w:type="spellStart"/>
      <w:r w:rsidRPr="00230452">
        <w:rPr>
          <w:rFonts w:ascii="Cambria" w:hAnsi="Cambria"/>
          <w:sz w:val="18"/>
          <w:szCs w:val="18"/>
        </w:rPr>
        <w:t>Guberman</w:t>
      </w:r>
      <w:proofErr w:type="spellEnd"/>
      <w:r w:rsidRPr="00230452">
        <w:rPr>
          <w:rFonts w:ascii="Cambria" w:hAnsi="Cambria"/>
          <w:sz w:val="18"/>
          <w:szCs w:val="18"/>
        </w:rPr>
        <w:t xml:space="preserve"> A, et al. (1990) Add-on trial of </w:t>
      </w:r>
      <w:proofErr w:type="spellStart"/>
      <w:r w:rsidRPr="00230452">
        <w:rPr>
          <w:rFonts w:ascii="Cambria" w:hAnsi="Cambria"/>
          <w:sz w:val="18"/>
          <w:szCs w:val="18"/>
        </w:rPr>
        <w:t>clobazam</w:t>
      </w:r>
      <w:proofErr w:type="spellEnd"/>
      <w:r w:rsidRPr="00230452">
        <w:rPr>
          <w:rFonts w:ascii="Cambria" w:hAnsi="Cambria"/>
          <w:sz w:val="18"/>
          <w:szCs w:val="18"/>
        </w:rPr>
        <w:t xml:space="preserve"> in intractable adult epilepsy with plasma level correlations. </w:t>
      </w:r>
      <w:r w:rsidRPr="00230452">
        <w:rPr>
          <w:rFonts w:ascii="Cambria" w:hAnsi="Cambria"/>
          <w:i/>
          <w:sz w:val="18"/>
          <w:szCs w:val="18"/>
        </w:rPr>
        <w:t xml:space="preserve">Can J </w:t>
      </w:r>
      <w:proofErr w:type="spellStart"/>
      <w:r w:rsidRPr="00230452">
        <w:rPr>
          <w:rFonts w:ascii="Cambria" w:hAnsi="Cambria"/>
          <w:i/>
          <w:sz w:val="18"/>
          <w:szCs w:val="18"/>
        </w:rPr>
        <w:t>Neurol</w:t>
      </w:r>
      <w:proofErr w:type="spellEnd"/>
      <w:r w:rsidRPr="00230452">
        <w:rPr>
          <w:rFonts w:ascii="Cambria" w:hAnsi="Cambria"/>
          <w:i/>
          <w:sz w:val="18"/>
          <w:szCs w:val="18"/>
        </w:rPr>
        <w:t xml:space="preserve"> Sci.</w:t>
      </w:r>
      <w:r w:rsidRPr="00230452">
        <w:rPr>
          <w:rFonts w:ascii="Cambria" w:hAnsi="Cambria"/>
          <w:sz w:val="18"/>
          <w:szCs w:val="18"/>
        </w:rPr>
        <w:t xml:space="preserve"> 17: 311-316.</w:t>
      </w:r>
    </w:p>
  </w:footnote>
  <w:footnote w:id="43">
    <w:p w:rsidR="00E91D7F" w:rsidRPr="00AE07EB" w:rsidRDefault="00E91D7F" w:rsidP="00A50C03">
      <w:pPr>
        <w:pStyle w:val="FootnoteText"/>
        <w:ind w:left="0" w:firstLine="0"/>
        <w:rPr>
          <w:rFonts w:ascii="Cambria" w:hAnsi="Cambria"/>
          <w:sz w:val="20"/>
        </w:rPr>
      </w:pPr>
      <w:r w:rsidRPr="00AE07EB">
        <w:rPr>
          <w:rStyle w:val="FootnoteReference"/>
          <w:rFonts w:ascii="Cambria" w:hAnsi="Cambria"/>
          <w:sz w:val="20"/>
        </w:rPr>
        <w:footnoteRef/>
      </w:r>
      <w:r w:rsidRPr="00230452">
        <w:rPr>
          <w:rFonts w:ascii="Cambria" w:hAnsi="Cambria"/>
          <w:sz w:val="18"/>
          <w:szCs w:val="18"/>
        </w:rPr>
        <w:t xml:space="preserve"> Buchanan N. (1993) </w:t>
      </w:r>
      <w:proofErr w:type="spellStart"/>
      <w:r w:rsidRPr="00230452">
        <w:rPr>
          <w:rFonts w:ascii="Cambria" w:hAnsi="Cambria"/>
          <w:sz w:val="18"/>
          <w:szCs w:val="18"/>
        </w:rPr>
        <w:t>Clobazam</w:t>
      </w:r>
      <w:proofErr w:type="spellEnd"/>
      <w:r w:rsidRPr="00230452">
        <w:rPr>
          <w:rFonts w:ascii="Cambria" w:hAnsi="Cambria"/>
          <w:sz w:val="18"/>
          <w:szCs w:val="18"/>
        </w:rPr>
        <w:t xml:space="preserve"> in the treatment of epilepsy: prospective follow-up to 8 years. </w:t>
      </w:r>
      <w:r w:rsidRPr="00230452">
        <w:rPr>
          <w:rFonts w:ascii="Cambria" w:hAnsi="Cambria"/>
          <w:i/>
          <w:sz w:val="18"/>
          <w:szCs w:val="18"/>
        </w:rPr>
        <w:t>J R Soc Med.</w:t>
      </w:r>
      <w:r w:rsidRPr="00230452">
        <w:rPr>
          <w:rFonts w:ascii="Cambria" w:hAnsi="Cambria"/>
          <w:sz w:val="18"/>
          <w:szCs w:val="18"/>
        </w:rPr>
        <w:t xml:space="preserve"> 86: 378-380.</w:t>
      </w:r>
    </w:p>
  </w:footnote>
  <w:footnote w:id="44">
    <w:p w:rsidR="00E91D7F" w:rsidRPr="00AE07EB" w:rsidRDefault="00E91D7F" w:rsidP="00A50C03">
      <w:pPr>
        <w:pStyle w:val="FootnoteText"/>
        <w:ind w:left="0" w:firstLine="0"/>
        <w:rPr>
          <w:rFonts w:ascii="Cambria" w:hAnsi="Cambria"/>
          <w:sz w:val="20"/>
        </w:rPr>
      </w:pPr>
      <w:r w:rsidRPr="00AE07EB">
        <w:rPr>
          <w:rStyle w:val="FootnoteReference"/>
          <w:rFonts w:ascii="Cambria" w:hAnsi="Cambria"/>
          <w:sz w:val="20"/>
        </w:rPr>
        <w:footnoteRef/>
      </w:r>
      <w:r w:rsidRPr="00230452">
        <w:rPr>
          <w:rFonts w:ascii="Cambria" w:hAnsi="Cambria"/>
          <w:sz w:val="18"/>
          <w:szCs w:val="18"/>
        </w:rPr>
        <w:t xml:space="preserve"> </w:t>
      </w:r>
      <w:proofErr w:type="spellStart"/>
      <w:r w:rsidRPr="00230452">
        <w:rPr>
          <w:rFonts w:ascii="Cambria" w:hAnsi="Cambria"/>
          <w:sz w:val="18"/>
          <w:szCs w:val="18"/>
        </w:rPr>
        <w:t>Barcs</w:t>
      </w:r>
      <w:proofErr w:type="spellEnd"/>
      <w:r w:rsidRPr="00230452">
        <w:rPr>
          <w:rFonts w:ascii="Cambria" w:hAnsi="Cambria"/>
          <w:sz w:val="18"/>
          <w:szCs w:val="18"/>
        </w:rPr>
        <w:t xml:space="preserve"> G, </w:t>
      </w:r>
      <w:proofErr w:type="spellStart"/>
      <w:r w:rsidRPr="00230452">
        <w:rPr>
          <w:rFonts w:ascii="Cambria" w:hAnsi="Cambria"/>
          <w:sz w:val="18"/>
          <w:szCs w:val="18"/>
        </w:rPr>
        <w:t>Halasz</w:t>
      </w:r>
      <w:proofErr w:type="spellEnd"/>
      <w:r w:rsidRPr="00230452">
        <w:rPr>
          <w:rFonts w:ascii="Cambria" w:hAnsi="Cambria"/>
          <w:sz w:val="18"/>
          <w:szCs w:val="18"/>
        </w:rPr>
        <w:t xml:space="preserve"> P. (1996) Effectiveness and tolerance of </w:t>
      </w:r>
      <w:proofErr w:type="spellStart"/>
      <w:r w:rsidRPr="00230452">
        <w:rPr>
          <w:rFonts w:ascii="Cambria" w:hAnsi="Cambria"/>
          <w:sz w:val="18"/>
          <w:szCs w:val="18"/>
        </w:rPr>
        <w:t>clobazam</w:t>
      </w:r>
      <w:proofErr w:type="spellEnd"/>
      <w:r w:rsidRPr="00230452">
        <w:rPr>
          <w:rFonts w:ascii="Cambria" w:hAnsi="Cambria"/>
          <w:sz w:val="18"/>
          <w:szCs w:val="18"/>
        </w:rPr>
        <w:t xml:space="preserve"> in temporal lobe epilepsy. </w:t>
      </w:r>
      <w:proofErr w:type="spellStart"/>
      <w:r w:rsidRPr="00230452">
        <w:rPr>
          <w:rFonts w:ascii="Cambria" w:hAnsi="Cambria"/>
          <w:i/>
          <w:sz w:val="18"/>
          <w:szCs w:val="18"/>
        </w:rPr>
        <w:t>Acta</w:t>
      </w:r>
      <w:proofErr w:type="spellEnd"/>
      <w:r w:rsidRPr="00230452">
        <w:rPr>
          <w:rFonts w:ascii="Cambria" w:hAnsi="Cambria"/>
          <w:i/>
          <w:sz w:val="18"/>
          <w:szCs w:val="18"/>
        </w:rPr>
        <w:t xml:space="preserve"> </w:t>
      </w:r>
      <w:proofErr w:type="spellStart"/>
      <w:r w:rsidRPr="00230452">
        <w:rPr>
          <w:rFonts w:ascii="Cambria" w:hAnsi="Cambria"/>
          <w:i/>
          <w:sz w:val="18"/>
          <w:szCs w:val="18"/>
        </w:rPr>
        <w:t>Neurol</w:t>
      </w:r>
      <w:proofErr w:type="spellEnd"/>
      <w:r w:rsidRPr="00230452">
        <w:rPr>
          <w:rFonts w:ascii="Cambria" w:hAnsi="Cambria"/>
          <w:i/>
          <w:sz w:val="18"/>
          <w:szCs w:val="18"/>
        </w:rPr>
        <w:t xml:space="preserve"> Scand.</w:t>
      </w:r>
      <w:r w:rsidRPr="00230452">
        <w:rPr>
          <w:rFonts w:ascii="Cambria" w:hAnsi="Cambria"/>
          <w:sz w:val="18"/>
          <w:szCs w:val="18"/>
        </w:rPr>
        <w:t xml:space="preserve"> 93: 88-93.</w:t>
      </w:r>
    </w:p>
  </w:footnote>
  <w:footnote w:id="45">
    <w:p w:rsidR="00E91D7F" w:rsidRPr="00AE07EB" w:rsidRDefault="00E91D7F" w:rsidP="00A50C03">
      <w:pPr>
        <w:pStyle w:val="FootnoteText"/>
        <w:ind w:left="0" w:firstLine="0"/>
        <w:rPr>
          <w:rFonts w:ascii="Cambria" w:hAnsi="Cambria"/>
          <w:sz w:val="20"/>
        </w:rPr>
      </w:pPr>
      <w:r w:rsidRPr="00AE07EB">
        <w:rPr>
          <w:rStyle w:val="FootnoteReference"/>
          <w:rFonts w:ascii="Cambria" w:hAnsi="Cambria"/>
          <w:sz w:val="20"/>
        </w:rPr>
        <w:footnoteRef/>
      </w:r>
      <w:r w:rsidRPr="00230452">
        <w:rPr>
          <w:rFonts w:ascii="Cambria" w:hAnsi="Cambria"/>
          <w:sz w:val="18"/>
          <w:szCs w:val="18"/>
        </w:rPr>
        <w:t xml:space="preserve"> Shimizu H, et al. (2003) Use of </w:t>
      </w:r>
      <w:proofErr w:type="spellStart"/>
      <w:r w:rsidRPr="00230452">
        <w:rPr>
          <w:rFonts w:ascii="Cambria" w:hAnsi="Cambria"/>
          <w:sz w:val="18"/>
          <w:szCs w:val="18"/>
        </w:rPr>
        <w:t>clobazam</w:t>
      </w:r>
      <w:proofErr w:type="spellEnd"/>
      <w:r w:rsidRPr="00230452">
        <w:rPr>
          <w:rFonts w:ascii="Cambria" w:hAnsi="Cambria"/>
          <w:sz w:val="18"/>
          <w:szCs w:val="18"/>
        </w:rPr>
        <w:t xml:space="preserve"> for the treatment of refractory complex partial seizures. </w:t>
      </w:r>
      <w:r w:rsidRPr="00230452">
        <w:rPr>
          <w:rFonts w:ascii="Cambria" w:hAnsi="Cambria"/>
          <w:i/>
          <w:sz w:val="18"/>
          <w:szCs w:val="18"/>
        </w:rPr>
        <w:t>Seizure</w:t>
      </w:r>
      <w:r w:rsidRPr="00230452">
        <w:rPr>
          <w:rFonts w:ascii="Cambria" w:hAnsi="Cambria"/>
          <w:sz w:val="18"/>
          <w:szCs w:val="18"/>
        </w:rPr>
        <w:t xml:space="preserve"> 12: 282-286.</w:t>
      </w:r>
    </w:p>
  </w:footnote>
  <w:footnote w:id="46">
    <w:p w:rsidR="00E91D7F" w:rsidRPr="00B16034" w:rsidRDefault="00E91D7F" w:rsidP="00A50C03">
      <w:pPr>
        <w:pStyle w:val="FootnoteText"/>
        <w:ind w:left="0" w:firstLine="0"/>
        <w:rPr>
          <w:rFonts w:ascii="Cambria" w:hAnsi="Cambria"/>
          <w:sz w:val="20"/>
        </w:rPr>
      </w:pPr>
      <w:r w:rsidRPr="00B16034">
        <w:rPr>
          <w:rStyle w:val="FootnoteReference"/>
          <w:rFonts w:ascii="Cambria" w:hAnsi="Cambria"/>
          <w:sz w:val="20"/>
        </w:rPr>
        <w:footnoteRef/>
      </w:r>
      <w:r w:rsidRPr="00230452">
        <w:rPr>
          <w:rFonts w:ascii="Cambria" w:hAnsi="Cambria"/>
          <w:sz w:val="18"/>
          <w:szCs w:val="18"/>
        </w:rPr>
        <w:t xml:space="preserve"> </w:t>
      </w:r>
      <w:r w:rsidRPr="00230452">
        <w:rPr>
          <w:rFonts w:ascii="Cambria" w:hAnsi="Cambria"/>
          <w:sz w:val="18"/>
          <w:szCs w:val="18"/>
          <w:lang w:val="nl-NL"/>
        </w:rPr>
        <w:t xml:space="preserve">Ng YT, et al. (2011) </w:t>
      </w:r>
      <w:r w:rsidRPr="00230452">
        <w:rPr>
          <w:rFonts w:ascii="Cambria" w:hAnsi="Cambria"/>
          <w:sz w:val="18"/>
          <w:szCs w:val="18"/>
        </w:rPr>
        <w:t xml:space="preserve">Randomised, phase III study results of </w:t>
      </w:r>
      <w:proofErr w:type="spellStart"/>
      <w:r w:rsidRPr="00230452">
        <w:rPr>
          <w:rFonts w:ascii="Cambria" w:hAnsi="Cambria"/>
          <w:sz w:val="18"/>
          <w:szCs w:val="18"/>
        </w:rPr>
        <w:t>clobazam</w:t>
      </w:r>
      <w:proofErr w:type="spellEnd"/>
      <w:r w:rsidRPr="00230452">
        <w:rPr>
          <w:rFonts w:ascii="Cambria" w:hAnsi="Cambria"/>
          <w:sz w:val="18"/>
          <w:szCs w:val="18"/>
        </w:rPr>
        <w:t xml:space="preserve"> in Lennox-</w:t>
      </w:r>
      <w:proofErr w:type="spellStart"/>
      <w:r w:rsidRPr="00230452">
        <w:rPr>
          <w:rFonts w:ascii="Cambria" w:hAnsi="Cambria"/>
          <w:sz w:val="18"/>
          <w:szCs w:val="18"/>
        </w:rPr>
        <w:t>Gastaut</w:t>
      </w:r>
      <w:proofErr w:type="spellEnd"/>
      <w:r w:rsidRPr="00230452">
        <w:rPr>
          <w:rFonts w:ascii="Cambria" w:hAnsi="Cambria"/>
          <w:sz w:val="18"/>
          <w:szCs w:val="18"/>
        </w:rPr>
        <w:t xml:space="preserve"> syndrome. </w:t>
      </w:r>
      <w:r w:rsidRPr="00230452">
        <w:rPr>
          <w:rFonts w:ascii="Cambria" w:hAnsi="Cambria"/>
          <w:i/>
          <w:sz w:val="18"/>
          <w:szCs w:val="18"/>
        </w:rPr>
        <w:t>Neurology</w:t>
      </w:r>
      <w:r w:rsidRPr="00230452">
        <w:rPr>
          <w:rFonts w:ascii="Cambria" w:hAnsi="Cambria"/>
          <w:sz w:val="18"/>
          <w:szCs w:val="18"/>
        </w:rPr>
        <w:t xml:space="preserve"> 77: 1473-1481; </w:t>
      </w:r>
      <w:r w:rsidRPr="00230452">
        <w:rPr>
          <w:rFonts w:ascii="Cambria" w:hAnsi="Cambria"/>
          <w:sz w:val="18"/>
          <w:szCs w:val="18"/>
          <w:lang w:val="nl-NL"/>
        </w:rPr>
        <w:t xml:space="preserve">Conry JA, et al. (2009) </w:t>
      </w:r>
      <w:proofErr w:type="spellStart"/>
      <w:r w:rsidRPr="00230452">
        <w:rPr>
          <w:rFonts w:ascii="Cambria" w:hAnsi="Cambria"/>
          <w:sz w:val="18"/>
          <w:szCs w:val="18"/>
        </w:rPr>
        <w:t>Clobazam</w:t>
      </w:r>
      <w:proofErr w:type="spellEnd"/>
      <w:r w:rsidRPr="00230452">
        <w:rPr>
          <w:rFonts w:ascii="Cambria" w:hAnsi="Cambria"/>
          <w:sz w:val="18"/>
          <w:szCs w:val="18"/>
        </w:rPr>
        <w:t xml:space="preserve"> in the treatment of Lennox-</w:t>
      </w:r>
      <w:proofErr w:type="spellStart"/>
      <w:r w:rsidRPr="00230452">
        <w:rPr>
          <w:rFonts w:ascii="Cambria" w:hAnsi="Cambria"/>
          <w:sz w:val="18"/>
          <w:szCs w:val="18"/>
        </w:rPr>
        <w:t>Gastaut</w:t>
      </w:r>
      <w:proofErr w:type="spellEnd"/>
      <w:r w:rsidRPr="00230452">
        <w:rPr>
          <w:rFonts w:ascii="Cambria" w:hAnsi="Cambria"/>
          <w:sz w:val="18"/>
          <w:szCs w:val="18"/>
        </w:rPr>
        <w:t xml:space="preserve"> syndrome. </w:t>
      </w:r>
      <w:proofErr w:type="spellStart"/>
      <w:r w:rsidRPr="00230452">
        <w:rPr>
          <w:rFonts w:ascii="Cambria" w:hAnsi="Cambria"/>
          <w:i/>
          <w:sz w:val="18"/>
          <w:szCs w:val="18"/>
        </w:rPr>
        <w:t>Epilepsia</w:t>
      </w:r>
      <w:proofErr w:type="spellEnd"/>
      <w:r w:rsidRPr="00230452">
        <w:rPr>
          <w:rFonts w:ascii="Cambria" w:hAnsi="Cambria"/>
          <w:sz w:val="18"/>
          <w:szCs w:val="18"/>
        </w:rPr>
        <w:t xml:space="preserve"> 50: 1158-1166.</w:t>
      </w:r>
    </w:p>
  </w:footnote>
  <w:footnote w:id="47">
    <w:p w:rsidR="00E91D7F" w:rsidRPr="00B16034" w:rsidRDefault="00E91D7F" w:rsidP="00A50C03">
      <w:pPr>
        <w:pStyle w:val="FootnoteText"/>
        <w:ind w:left="0" w:firstLine="0"/>
        <w:rPr>
          <w:rFonts w:ascii="Cambria" w:hAnsi="Cambria"/>
          <w:sz w:val="20"/>
        </w:rPr>
      </w:pPr>
      <w:r w:rsidRPr="00B16034">
        <w:rPr>
          <w:rStyle w:val="FootnoteReference"/>
          <w:rFonts w:ascii="Cambria" w:hAnsi="Cambria"/>
          <w:sz w:val="20"/>
        </w:rPr>
        <w:footnoteRef/>
      </w:r>
      <w:r w:rsidRPr="00230452">
        <w:rPr>
          <w:rFonts w:ascii="Cambria" w:hAnsi="Cambria"/>
          <w:sz w:val="18"/>
          <w:szCs w:val="18"/>
        </w:rPr>
        <w:t xml:space="preserve"> European Medicines Agency, “Guideline on clinical investigation of medicinal products in the treatment of epileptic disorders (CHMP/EWP/566/98 Rev.2/</w:t>
      </w:r>
      <w:proofErr w:type="spellStart"/>
      <w:r w:rsidRPr="00230452">
        <w:rPr>
          <w:rFonts w:ascii="Cambria" w:hAnsi="Cambria"/>
          <w:sz w:val="18"/>
          <w:szCs w:val="18"/>
        </w:rPr>
        <w:t>Corr</w:t>
      </w:r>
      <w:proofErr w:type="spellEnd"/>
      <w:r w:rsidRPr="00230452">
        <w:rPr>
          <w:rFonts w:ascii="Cambria" w:hAnsi="Cambria"/>
          <w:sz w:val="18"/>
          <w:szCs w:val="18"/>
        </w:rPr>
        <w:t>)”, 22 July 2010, Web, accessed 19 August 2013 &lt;http://www.ema.europa.eu/docs/en_GB/document_library/Scientific_guideline/2010/ 01/WC500070043.pdf&gt;.</w:t>
      </w:r>
    </w:p>
  </w:footnote>
  <w:footnote w:id="48">
    <w:p w:rsidR="00E91D7F" w:rsidRPr="00B16034" w:rsidRDefault="00E91D7F" w:rsidP="00A50C03">
      <w:pPr>
        <w:pStyle w:val="FootnoteText"/>
        <w:ind w:left="0" w:firstLine="0"/>
        <w:rPr>
          <w:rFonts w:ascii="Cambria" w:hAnsi="Cambria"/>
          <w:sz w:val="20"/>
        </w:rPr>
      </w:pPr>
      <w:r w:rsidRPr="00B16034">
        <w:rPr>
          <w:rStyle w:val="FootnoteReference"/>
          <w:rFonts w:ascii="Cambria" w:hAnsi="Cambria"/>
          <w:sz w:val="20"/>
        </w:rPr>
        <w:footnoteRef/>
      </w:r>
      <w:r w:rsidRPr="00230452">
        <w:rPr>
          <w:rFonts w:ascii="Cambria" w:hAnsi="Cambria"/>
          <w:sz w:val="18"/>
          <w:szCs w:val="18"/>
        </w:rPr>
        <w:t xml:space="preserve"> </w:t>
      </w:r>
      <w:r w:rsidRPr="00230452">
        <w:rPr>
          <w:rFonts w:ascii="Cambria" w:hAnsi="Cambria"/>
          <w:sz w:val="18"/>
          <w:szCs w:val="18"/>
          <w:lang w:val="nl-NL"/>
        </w:rPr>
        <w:t xml:space="preserve">Conry JA, et al. </w:t>
      </w:r>
      <w:r w:rsidRPr="00230452">
        <w:rPr>
          <w:rFonts w:ascii="Cambria" w:hAnsi="Cambria"/>
          <w:sz w:val="18"/>
          <w:szCs w:val="18"/>
          <w:lang w:val="nl-NL"/>
        </w:rPr>
        <w:t xml:space="preserve">(2009) </w:t>
      </w:r>
      <w:proofErr w:type="spellStart"/>
      <w:r w:rsidRPr="00230452">
        <w:rPr>
          <w:rFonts w:ascii="Cambria" w:hAnsi="Cambria"/>
          <w:sz w:val="18"/>
          <w:szCs w:val="18"/>
        </w:rPr>
        <w:t>Clobazam</w:t>
      </w:r>
      <w:proofErr w:type="spellEnd"/>
      <w:r w:rsidRPr="00230452">
        <w:rPr>
          <w:rFonts w:ascii="Cambria" w:hAnsi="Cambria"/>
          <w:sz w:val="18"/>
          <w:szCs w:val="18"/>
        </w:rPr>
        <w:t xml:space="preserve"> in the treatment of Lennox-</w:t>
      </w:r>
      <w:proofErr w:type="spellStart"/>
      <w:r w:rsidRPr="00230452">
        <w:rPr>
          <w:rFonts w:ascii="Cambria" w:hAnsi="Cambria"/>
          <w:sz w:val="18"/>
          <w:szCs w:val="18"/>
        </w:rPr>
        <w:t>Gastaut</w:t>
      </w:r>
      <w:proofErr w:type="spellEnd"/>
      <w:r w:rsidRPr="00230452">
        <w:rPr>
          <w:rFonts w:ascii="Cambria" w:hAnsi="Cambria"/>
          <w:sz w:val="18"/>
          <w:szCs w:val="18"/>
        </w:rPr>
        <w:t xml:space="preserve"> syndrome. </w:t>
      </w:r>
      <w:proofErr w:type="spellStart"/>
      <w:r w:rsidRPr="00230452">
        <w:rPr>
          <w:rFonts w:ascii="Cambria" w:hAnsi="Cambria"/>
          <w:i/>
          <w:sz w:val="18"/>
          <w:szCs w:val="18"/>
        </w:rPr>
        <w:t>Epilepsia</w:t>
      </w:r>
      <w:proofErr w:type="spellEnd"/>
      <w:r w:rsidRPr="00230452">
        <w:rPr>
          <w:rFonts w:ascii="Cambria" w:hAnsi="Cambria"/>
          <w:sz w:val="18"/>
          <w:szCs w:val="18"/>
        </w:rPr>
        <w:t xml:space="preserve"> 50: 1158-1166.</w:t>
      </w:r>
    </w:p>
  </w:footnote>
  <w:footnote w:id="49">
    <w:p w:rsidR="00E91D7F" w:rsidRPr="00B16034" w:rsidRDefault="00E91D7F" w:rsidP="00A50C03">
      <w:pPr>
        <w:pStyle w:val="FootnoteText"/>
        <w:ind w:left="0" w:firstLine="0"/>
        <w:rPr>
          <w:rFonts w:ascii="Cambria" w:hAnsi="Cambria"/>
          <w:sz w:val="20"/>
        </w:rPr>
      </w:pPr>
      <w:r w:rsidRPr="00B16034">
        <w:rPr>
          <w:rStyle w:val="FootnoteReference"/>
          <w:rFonts w:ascii="Cambria" w:hAnsi="Cambria"/>
          <w:sz w:val="20"/>
        </w:rPr>
        <w:footnoteRef/>
      </w:r>
      <w:r w:rsidRPr="00230452">
        <w:rPr>
          <w:rFonts w:ascii="Cambria" w:hAnsi="Cambria"/>
          <w:sz w:val="18"/>
          <w:szCs w:val="18"/>
        </w:rPr>
        <w:t xml:space="preserve"> </w:t>
      </w:r>
      <w:r w:rsidRPr="00230452">
        <w:rPr>
          <w:rFonts w:ascii="Cambria" w:hAnsi="Cambria"/>
          <w:sz w:val="18"/>
          <w:szCs w:val="18"/>
          <w:lang w:val="nl-NL"/>
        </w:rPr>
        <w:t xml:space="preserve">Ng YT, et al. (2011) </w:t>
      </w:r>
      <w:r w:rsidRPr="00230452">
        <w:rPr>
          <w:rFonts w:ascii="Cambria" w:hAnsi="Cambria"/>
          <w:sz w:val="18"/>
          <w:szCs w:val="18"/>
        </w:rPr>
        <w:t xml:space="preserve">Randomised, phase III study results of </w:t>
      </w:r>
      <w:proofErr w:type="spellStart"/>
      <w:r w:rsidRPr="00230452">
        <w:rPr>
          <w:rFonts w:ascii="Cambria" w:hAnsi="Cambria"/>
          <w:sz w:val="18"/>
          <w:szCs w:val="18"/>
        </w:rPr>
        <w:t>clobazam</w:t>
      </w:r>
      <w:proofErr w:type="spellEnd"/>
      <w:r w:rsidRPr="00230452">
        <w:rPr>
          <w:rFonts w:ascii="Cambria" w:hAnsi="Cambria"/>
          <w:sz w:val="18"/>
          <w:szCs w:val="18"/>
        </w:rPr>
        <w:t xml:space="preserve"> in Lennox-</w:t>
      </w:r>
      <w:proofErr w:type="spellStart"/>
      <w:r w:rsidRPr="00230452">
        <w:rPr>
          <w:rFonts w:ascii="Cambria" w:hAnsi="Cambria"/>
          <w:sz w:val="18"/>
          <w:szCs w:val="18"/>
        </w:rPr>
        <w:t>Gastaut</w:t>
      </w:r>
      <w:proofErr w:type="spellEnd"/>
      <w:r w:rsidRPr="00230452">
        <w:rPr>
          <w:rFonts w:ascii="Cambria" w:hAnsi="Cambria"/>
          <w:sz w:val="18"/>
          <w:szCs w:val="18"/>
        </w:rPr>
        <w:t xml:space="preserve"> syndrome. </w:t>
      </w:r>
      <w:r w:rsidRPr="00230452">
        <w:rPr>
          <w:rFonts w:ascii="Cambria" w:hAnsi="Cambria"/>
          <w:i/>
          <w:sz w:val="18"/>
          <w:szCs w:val="18"/>
        </w:rPr>
        <w:t>Neurology</w:t>
      </w:r>
      <w:r w:rsidRPr="00230452">
        <w:rPr>
          <w:rFonts w:ascii="Cambria" w:hAnsi="Cambria"/>
          <w:sz w:val="18"/>
          <w:szCs w:val="18"/>
        </w:rPr>
        <w:t xml:space="preserve"> 77: 1473-1481.</w:t>
      </w:r>
    </w:p>
  </w:footnote>
  <w:footnote w:id="50">
    <w:p w:rsidR="00E91D7F" w:rsidRPr="00B16034" w:rsidRDefault="00E91D7F" w:rsidP="00A50C03">
      <w:pPr>
        <w:pStyle w:val="FootnoteText"/>
        <w:ind w:left="0" w:firstLine="0"/>
        <w:rPr>
          <w:rFonts w:ascii="Cambria" w:hAnsi="Cambria"/>
          <w:sz w:val="20"/>
        </w:rPr>
      </w:pPr>
      <w:r w:rsidRPr="00B16034">
        <w:rPr>
          <w:rStyle w:val="FootnoteReference"/>
          <w:rFonts w:ascii="Cambria" w:hAnsi="Cambria"/>
          <w:sz w:val="20"/>
        </w:rPr>
        <w:footnoteRef/>
      </w:r>
      <w:r w:rsidRPr="00230452">
        <w:rPr>
          <w:rFonts w:ascii="Cambria" w:hAnsi="Cambria"/>
          <w:sz w:val="18"/>
          <w:szCs w:val="18"/>
        </w:rPr>
        <w:t xml:space="preserve"> Keene DL, et al. (1990) </w:t>
      </w:r>
      <w:proofErr w:type="spellStart"/>
      <w:r w:rsidRPr="00230452">
        <w:rPr>
          <w:rFonts w:ascii="Cambria" w:hAnsi="Cambria"/>
          <w:sz w:val="18"/>
          <w:szCs w:val="18"/>
        </w:rPr>
        <w:t>Clobazam</w:t>
      </w:r>
      <w:proofErr w:type="spellEnd"/>
      <w:r w:rsidRPr="00230452">
        <w:rPr>
          <w:rFonts w:ascii="Cambria" w:hAnsi="Cambria"/>
          <w:sz w:val="18"/>
          <w:szCs w:val="18"/>
        </w:rPr>
        <w:t xml:space="preserve"> as an add-on drug in the treatment of refractory epilepsy of childhood. </w:t>
      </w:r>
      <w:r w:rsidRPr="00230452">
        <w:rPr>
          <w:rFonts w:ascii="Cambria" w:hAnsi="Cambria"/>
          <w:i/>
          <w:sz w:val="18"/>
          <w:szCs w:val="18"/>
        </w:rPr>
        <w:t xml:space="preserve">Can J </w:t>
      </w:r>
      <w:proofErr w:type="spellStart"/>
      <w:r w:rsidRPr="00230452">
        <w:rPr>
          <w:rFonts w:ascii="Cambria" w:hAnsi="Cambria"/>
          <w:i/>
          <w:sz w:val="18"/>
          <w:szCs w:val="18"/>
        </w:rPr>
        <w:t>Neurol</w:t>
      </w:r>
      <w:proofErr w:type="spellEnd"/>
      <w:r w:rsidRPr="00230452">
        <w:rPr>
          <w:rFonts w:ascii="Cambria" w:hAnsi="Cambria"/>
          <w:i/>
          <w:sz w:val="18"/>
          <w:szCs w:val="18"/>
        </w:rPr>
        <w:t xml:space="preserve"> Sci.</w:t>
      </w:r>
      <w:r w:rsidRPr="00230452">
        <w:rPr>
          <w:rFonts w:ascii="Cambria" w:hAnsi="Cambria"/>
          <w:sz w:val="18"/>
          <w:szCs w:val="18"/>
        </w:rPr>
        <w:t xml:space="preserve"> 17: 317-319.</w:t>
      </w:r>
    </w:p>
  </w:footnote>
  <w:footnote w:id="51">
    <w:p w:rsidR="00E91D7F" w:rsidRPr="00B16034" w:rsidRDefault="00E91D7F" w:rsidP="00A50C03">
      <w:pPr>
        <w:pStyle w:val="FootnoteText"/>
        <w:ind w:left="0" w:firstLine="0"/>
        <w:rPr>
          <w:rFonts w:ascii="Cambria" w:hAnsi="Cambria"/>
          <w:sz w:val="20"/>
        </w:rPr>
      </w:pPr>
      <w:r w:rsidRPr="00B16034">
        <w:rPr>
          <w:rStyle w:val="FootnoteReference"/>
          <w:rFonts w:ascii="Cambria" w:hAnsi="Cambria"/>
          <w:sz w:val="20"/>
        </w:rPr>
        <w:footnoteRef/>
      </w:r>
      <w:r w:rsidRPr="00230452">
        <w:rPr>
          <w:rFonts w:ascii="Cambria" w:hAnsi="Cambria"/>
          <w:sz w:val="18"/>
          <w:szCs w:val="18"/>
        </w:rPr>
        <w:t xml:space="preserve"> </w:t>
      </w:r>
      <w:proofErr w:type="spellStart"/>
      <w:r w:rsidRPr="00230452">
        <w:rPr>
          <w:rFonts w:ascii="Cambria" w:hAnsi="Cambria"/>
          <w:sz w:val="18"/>
          <w:szCs w:val="18"/>
        </w:rPr>
        <w:t>Wheless</w:t>
      </w:r>
      <w:proofErr w:type="spellEnd"/>
      <w:r w:rsidRPr="00230452">
        <w:rPr>
          <w:rFonts w:ascii="Cambria" w:hAnsi="Cambria"/>
          <w:sz w:val="18"/>
          <w:szCs w:val="18"/>
        </w:rPr>
        <w:t xml:space="preserve"> JW, et al. (2007) Treatment of </w:t>
      </w:r>
      <w:proofErr w:type="spellStart"/>
      <w:r w:rsidRPr="00230452">
        <w:rPr>
          <w:rFonts w:ascii="Cambria" w:hAnsi="Cambria"/>
          <w:sz w:val="18"/>
          <w:szCs w:val="18"/>
        </w:rPr>
        <w:t>pediatric</w:t>
      </w:r>
      <w:proofErr w:type="spellEnd"/>
      <w:r w:rsidRPr="00230452">
        <w:rPr>
          <w:rFonts w:ascii="Cambria" w:hAnsi="Cambria"/>
          <w:sz w:val="18"/>
          <w:szCs w:val="18"/>
        </w:rPr>
        <w:t xml:space="preserve"> epilepsy: European expert opinion, 2007. </w:t>
      </w:r>
      <w:r w:rsidRPr="00230452">
        <w:rPr>
          <w:rFonts w:ascii="Cambria" w:hAnsi="Cambria"/>
          <w:i/>
          <w:sz w:val="18"/>
          <w:szCs w:val="18"/>
        </w:rPr>
        <w:t xml:space="preserve">Epileptic </w:t>
      </w:r>
      <w:proofErr w:type="spellStart"/>
      <w:r w:rsidRPr="00230452">
        <w:rPr>
          <w:rFonts w:ascii="Cambria" w:hAnsi="Cambria"/>
          <w:i/>
          <w:sz w:val="18"/>
          <w:szCs w:val="18"/>
        </w:rPr>
        <w:t>Disord</w:t>
      </w:r>
      <w:proofErr w:type="spellEnd"/>
      <w:r w:rsidRPr="00230452">
        <w:rPr>
          <w:rFonts w:ascii="Cambria" w:hAnsi="Cambria"/>
          <w:i/>
          <w:sz w:val="18"/>
          <w:szCs w:val="18"/>
        </w:rPr>
        <w:t>.</w:t>
      </w:r>
      <w:r w:rsidRPr="00230452">
        <w:rPr>
          <w:rFonts w:ascii="Cambria" w:hAnsi="Cambria"/>
          <w:sz w:val="18"/>
          <w:szCs w:val="18"/>
        </w:rPr>
        <w:t xml:space="preserve"> 9: 353-412.</w:t>
      </w:r>
    </w:p>
  </w:footnote>
  <w:footnote w:id="52">
    <w:p w:rsidR="00E91D7F" w:rsidRPr="00B16034" w:rsidRDefault="00E91D7F" w:rsidP="00A50C03">
      <w:pPr>
        <w:pStyle w:val="FootnoteText"/>
        <w:ind w:left="0" w:firstLine="0"/>
        <w:rPr>
          <w:rFonts w:ascii="Cambria" w:hAnsi="Cambria"/>
          <w:sz w:val="20"/>
        </w:rPr>
      </w:pPr>
      <w:r w:rsidRPr="00B16034">
        <w:rPr>
          <w:rStyle w:val="FootnoteReference"/>
          <w:rFonts w:ascii="Cambria" w:hAnsi="Cambria"/>
          <w:sz w:val="20"/>
        </w:rPr>
        <w:footnoteRef/>
      </w:r>
      <w:r w:rsidRPr="0079758A">
        <w:rPr>
          <w:rFonts w:ascii="Cambria" w:hAnsi="Cambria"/>
          <w:sz w:val="18"/>
          <w:szCs w:val="18"/>
        </w:rPr>
        <w:t xml:space="preserve"> Keene DL, et al. (1990) </w:t>
      </w:r>
      <w:proofErr w:type="spellStart"/>
      <w:r w:rsidRPr="0079758A">
        <w:rPr>
          <w:rFonts w:ascii="Cambria" w:hAnsi="Cambria"/>
          <w:sz w:val="18"/>
          <w:szCs w:val="18"/>
        </w:rPr>
        <w:t>Clobazam</w:t>
      </w:r>
      <w:proofErr w:type="spellEnd"/>
      <w:r w:rsidRPr="0079758A">
        <w:rPr>
          <w:rFonts w:ascii="Cambria" w:hAnsi="Cambria"/>
          <w:sz w:val="18"/>
          <w:szCs w:val="18"/>
        </w:rPr>
        <w:t xml:space="preserve"> as an add-on drug in the treatment of refractory epilepsy of childhood. </w:t>
      </w:r>
      <w:r w:rsidRPr="0079758A">
        <w:rPr>
          <w:rFonts w:ascii="Cambria" w:hAnsi="Cambria"/>
          <w:i/>
          <w:sz w:val="18"/>
          <w:szCs w:val="18"/>
        </w:rPr>
        <w:t xml:space="preserve">Can J </w:t>
      </w:r>
      <w:proofErr w:type="spellStart"/>
      <w:r w:rsidRPr="0079758A">
        <w:rPr>
          <w:rFonts w:ascii="Cambria" w:hAnsi="Cambria"/>
          <w:i/>
          <w:sz w:val="18"/>
          <w:szCs w:val="18"/>
        </w:rPr>
        <w:t>Neurol</w:t>
      </w:r>
      <w:proofErr w:type="spellEnd"/>
      <w:r w:rsidRPr="0079758A">
        <w:rPr>
          <w:rFonts w:ascii="Cambria" w:hAnsi="Cambria"/>
          <w:i/>
          <w:sz w:val="18"/>
          <w:szCs w:val="18"/>
        </w:rPr>
        <w:t xml:space="preserve"> Sci.</w:t>
      </w:r>
      <w:r w:rsidRPr="0079758A">
        <w:rPr>
          <w:rFonts w:ascii="Cambria" w:hAnsi="Cambria"/>
          <w:sz w:val="18"/>
          <w:szCs w:val="18"/>
        </w:rPr>
        <w:t xml:space="preserve"> 17: 317-319.</w:t>
      </w:r>
    </w:p>
  </w:footnote>
  <w:footnote w:id="53">
    <w:p w:rsidR="00E91D7F" w:rsidRPr="00B16034" w:rsidRDefault="00E91D7F" w:rsidP="00A50C03">
      <w:pPr>
        <w:pStyle w:val="FootnoteText"/>
        <w:ind w:left="0" w:firstLine="0"/>
        <w:rPr>
          <w:rFonts w:ascii="Cambria" w:hAnsi="Cambria"/>
          <w:sz w:val="20"/>
        </w:rPr>
      </w:pPr>
      <w:r w:rsidRPr="00B16034">
        <w:rPr>
          <w:rStyle w:val="FootnoteReference"/>
          <w:rFonts w:ascii="Cambria" w:hAnsi="Cambria"/>
          <w:sz w:val="20"/>
        </w:rPr>
        <w:footnoteRef/>
      </w:r>
      <w:r w:rsidRPr="0079758A">
        <w:rPr>
          <w:rFonts w:ascii="Cambria" w:hAnsi="Cambria"/>
          <w:sz w:val="18"/>
          <w:szCs w:val="18"/>
        </w:rPr>
        <w:t xml:space="preserve"> Munn R, Farrell K. (1993) Open study of </w:t>
      </w:r>
      <w:proofErr w:type="spellStart"/>
      <w:r w:rsidRPr="0079758A">
        <w:rPr>
          <w:rFonts w:ascii="Cambria" w:hAnsi="Cambria"/>
          <w:sz w:val="18"/>
          <w:szCs w:val="18"/>
        </w:rPr>
        <w:t>clobazam</w:t>
      </w:r>
      <w:proofErr w:type="spellEnd"/>
      <w:r w:rsidRPr="0079758A">
        <w:rPr>
          <w:rFonts w:ascii="Cambria" w:hAnsi="Cambria"/>
          <w:sz w:val="18"/>
          <w:szCs w:val="18"/>
        </w:rPr>
        <w:t xml:space="preserve"> in refractory epilepsy. </w:t>
      </w:r>
      <w:proofErr w:type="spellStart"/>
      <w:r w:rsidRPr="0079758A">
        <w:rPr>
          <w:rFonts w:ascii="Cambria" w:hAnsi="Cambria"/>
          <w:i/>
          <w:sz w:val="18"/>
          <w:szCs w:val="18"/>
        </w:rPr>
        <w:t>Pediatr</w:t>
      </w:r>
      <w:proofErr w:type="spellEnd"/>
      <w:r w:rsidRPr="0079758A">
        <w:rPr>
          <w:rFonts w:ascii="Cambria" w:hAnsi="Cambria"/>
          <w:i/>
          <w:sz w:val="18"/>
          <w:szCs w:val="18"/>
        </w:rPr>
        <w:t xml:space="preserve"> Neurol.</w:t>
      </w:r>
      <w:r w:rsidRPr="0079758A">
        <w:rPr>
          <w:rFonts w:ascii="Cambria" w:hAnsi="Cambria"/>
          <w:sz w:val="18"/>
          <w:szCs w:val="18"/>
        </w:rPr>
        <w:t xml:space="preserve"> 9: 465-469; </w:t>
      </w:r>
      <w:proofErr w:type="spellStart"/>
      <w:r w:rsidRPr="0079758A">
        <w:rPr>
          <w:rFonts w:ascii="Cambria" w:hAnsi="Cambria"/>
          <w:sz w:val="18"/>
          <w:szCs w:val="18"/>
        </w:rPr>
        <w:t>Barcs</w:t>
      </w:r>
      <w:proofErr w:type="spellEnd"/>
      <w:r w:rsidRPr="0079758A">
        <w:rPr>
          <w:rFonts w:ascii="Cambria" w:hAnsi="Cambria"/>
          <w:sz w:val="18"/>
          <w:szCs w:val="18"/>
        </w:rPr>
        <w:t xml:space="preserve"> G, </w:t>
      </w:r>
      <w:proofErr w:type="spellStart"/>
      <w:r w:rsidRPr="0079758A">
        <w:rPr>
          <w:rFonts w:ascii="Cambria" w:hAnsi="Cambria"/>
          <w:sz w:val="18"/>
          <w:szCs w:val="18"/>
        </w:rPr>
        <w:t>Halasz</w:t>
      </w:r>
      <w:proofErr w:type="spellEnd"/>
      <w:r w:rsidRPr="0079758A">
        <w:rPr>
          <w:rFonts w:ascii="Cambria" w:hAnsi="Cambria"/>
          <w:sz w:val="18"/>
          <w:szCs w:val="18"/>
        </w:rPr>
        <w:t xml:space="preserve"> P. (1996) Effectiveness and tolerance of </w:t>
      </w:r>
      <w:proofErr w:type="spellStart"/>
      <w:r w:rsidRPr="0079758A">
        <w:rPr>
          <w:rFonts w:ascii="Cambria" w:hAnsi="Cambria"/>
          <w:sz w:val="18"/>
          <w:szCs w:val="18"/>
        </w:rPr>
        <w:t>clobazam</w:t>
      </w:r>
      <w:proofErr w:type="spellEnd"/>
      <w:r w:rsidRPr="0079758A">
        <w:rPr>
          <w:rFonts w:ascii="Cambria" w:hAnsi="Cambria"/>
          <w:sz w:val="18"/>
          <w:szCs w:val="18"/>
        </w:rPr>
        <w:t xml:space="preserve"> in temporal lobe epilepsy. </w:t>
      </w:r>
      <w:proofErr w:type="spellStart"/>
      <w:r w:rsidRPr="0079758A">
        <w:rPr>
          <w:rFonts w:ascii="Cambria" w:hAnsi="Cambria"/>
          <w:i/>
          <w:sz w:val="18"/>
          <w:szCs w:val="18"/>
        </w:rPr>
        <w:t>Acta</w:t>
      </w:r>
      <w:proofErr w:type="spellEnd"/>
      <w:r w:rsidRPr="0079758A">
        <w:rPr>
          <w:rFonts w:ascii="Cambria" w:hAnsi="Cambria"/>
          <w:i/>
          <w:sz w:val="18"/>
          <w:szCs w:val="18"/>
        </w:rPr>
        <w:t xml:space="preserve"> </w:t>
      </w:r>
      <w:proofErr w:type="spellStart"/>
      <w:r w:rsidRPr="0079758A">
        <w:rPr>
          <w:rFonts w:ascii="Cambria" w:hAnsi="Cambria"/>
          <w:i/>
          <w:sz w:val="18"/>
          <w:szCs w:val="18"/>
        </w:rPr>
        <w:t>Neurol</w:t>
      </w:r>
      <w:proofErr w:type="spellEnd"/>
      <w:r w:rsidRPr="0079758A">
        <w:rPr>
          <w:rFonts w:ascii="Cambria" w:hAnsi="Cambria"/>
          <w:i/>
          <w:sz w:val="18"/>
          <w:szCs w:val="18"/>
        </w:rPr>
        <w:t xml:space="preserve"> Scand.</w:t>
      </w:r>
      <w:r w:rsidRPr="0079758A">
        <w:rPr>
          <w:rFonts w:ascii="Cambria" w:hAnsi="Cambria"/>
          <w:sz w:val="18"/>
          <w:szCs w:val="18"/>
        </w:rPr>
        <w:t xml:space="preserve"> 93: 88-93; Singh A, et al. (1995) </w:t>
      </w:r>
      <w:proofErr w:type="spellStart"/>
      <w:r w:rsidRPr="0079758A">
        <w:rPr>
          <w:rFonts w:ascii="Cambria" w:hAnsi="Cambria"/>
          <w:sz w:val="18"/>
          <w:szCs w:val="18"/>
        </w:rPr>
        <w:t>Clobazam</w:t>
      </w:r>
      <w:proofErr w:type="spellEnd"/>
      <w:r w:rsidRPr="0079758A">
        <w:rPr>
          <w:rFonts w:ascii="Cambria" w:hAnsi="Cambria"/>
          <w:sz w:val="18"/>
          <w:szCs w:val="18"/>
        </w:rPr>
        <w:t xml:space="preserve"> in long-term epilepsy treatment: sustained responders versus those developing tolerance. </w:t>
      </w:r>
      <w:proofErr w:type="spellStart"/>
      <w:r w:rsidRPr="0079758A">
        <w:rPr>
          <w:rFonts w:ascii="Cambria" w:hAnsi="Cambria"/>
          <w:i/>
          <w:sz w:val="18"/>
          <w:szCs w:val="18"/>
        </w:rPr>
        <w:t>Epilepsia</w:t>
      </w:r>
      <w:proofErr w:type="spellEnd"/>
      <w:r w:rsidRPr="0079758A">
        <w:rPr>
          <w:rFonts w:ascii="Cambria" w:hAnsi="Cambria"/>
          <w:sz w:val="18"/>
          <w:szCs w:val="18"/>
        </w:rPr>
        <w:t xml:space="preserve"> 36: 798-803.</w:t>
      </w:r>
    </w:p>
  </w:footnote>
  <w:footnote w:id="54">
    <w:p w:rsidR="00E91D7F" w:rsidRPr="00B16034" w:rsidRDefault="00E91D7F" w:rsidP="00A50C03">
      <w:pPr>
        <w:pStyle w:val="FootnoteText"/>
        <w:ind w:left="0" w:firstLine="0"/>
        <w:rPr>
          <w:rFonts w:ascii="Cambria" w:hAnsi="Cambria"/>
          <w:sz w:val="20"/>
        </w:rPr>
      </w:pPr>
      <w:r w:rsidRPr="00B16034">
        <w:rPr>
          <w:rStyle w:val="FootnoteReference"/>
          <w:rFonts w:ascii="Cambria" w:hAnsi="Cambria"/>
          <w:sz w:val="20"/>
        </w:rPr>
        <w:footnoteRef/>
      </w:r>
      <w:r w:rsidRPr="0079758A">
        <w:rPr>
          <w:rFonts w:ascii="Cambria" w:hAnsi="Cambria"/>
          <w:sz w:val="18"/>
          <w:szCs w:val="18"/>
        </w:rPr>
        <w:t xml:space="preserve"> Remy C. (1994) </w:t>
      </w:r>
      <w:proofErr w:type="spellStart"/>
      <w:r w:rsidRPr="0079758A">
        <w:rPr>
          <w:rFonts w:ascii="Cambria" w:hAnsi="Cambria"/>
          <w:sz w:val="18"/>
          <w:szCs w:val="18"/>
        </w:rPr>
        <w:t>Clobazam</w:t>
      </w:r>
      <w:proofErr w:type="spellEnd"/>
      <w:r w:rsidRPr="0079758A">
        <w:rPr>
          <w:rFonts w:ascii="Cambria" w:hAnsi="Cambria"/>
          <w:sz w:val="18"/>
          <w:szCs w:val="18"/>
        </w:rPr>
        <w:t xml:space="preserve"> in the treatment of epilepsy: a review of the literature. </w:t>
      </w:r>
      <w:proofErr w:type="spellStart"/>
      <w:r w:rsidRPr="0079758A">
        <w:rPr>
          <w:rFonts w:ascii="Cambria" w:hAnsi="Cambria"/>
          <w:i/>
          <w:sz w:val="18"/>
          <w:szCs w:val="18"/>
        </w:rPr>
        <w:t>Epilepsia</w:t>
      </w:r>
      <w:proofErr w:type="spellEnd"/>
      <w:r w:rsidRPr="0079758A">
        <w:rPr>
          <w:rFonts w:ascii="Cambria" w:hAnsi="Cambria"/>
          <w:sz w:val="18"/>
          <w:szCs w:val="18"/>
        </w:rPr>
        <w:t xml:space="preserve"> 35 </w:t>
      </w:r>
      <w:proofErr w:type="spellStart"/>
      <w:r w:rsidRPr="0079758A">
        <w:rPr>
          <w:rFonts w:ascii="Cambria" w:hAnsi="Cambria"/>
          <w:sz w:val="18"/>
          <w:szCs w:val="18"/>
        </w:rPr>
        <w:t>Suppl</w:t>
      </w:r>
      <w:proofErr w:type="spellEnd"/>
      <w:r w:rsidRPr="0079758A">
        <w:rPr>
          <w:rFonts w:ascii="Cambria" w:hAnsi="Cambria"/>
          <w:sz w:val="18"/>
          <w:szCs w:val="18"/>
        </w:rPr>
        <w:t xml:space="preserve"> 5: S88-S91.</w:t>
      </w:r>
    </w:p>
  </w:footnote>
  <w:footnote w:id="55">
    <w:p w:rsidR="00E91D7F" w:rsidRPr="00B16034" w:rsidRDefault="00E91D7F" w:rsidP="00A50C03">
      <w:pPr>
        <w:pStyle w:val="FootnoteText"/>
        <w:ind w:left="0" w:firstLine="0"/>
        <w:rPr>
          <w:rFonts w:ascii="Cambria" w:hAnsi="Cambria"/>
          <w:sz w:val="20"/>
        </w:rPr>
      </w:pPr>
      <w:r w:rsidRPr="00B16034">
        <w:rPr>
          <w:rStyle w:val="FootnoteReference"/>
          <w:rFonts w:ascii="Cambria" w:hAnsi="Cambria"/>
          <w:sz w:val="20"/>
        </w:rPr>
        <w:footnoteRef/>
      </w:r>
      <w:r w:rsidRPr="0079758A">
        <w:rPr>
          <w:rFonts w:ascii="Cambria" w:hAnsi="Cambria"/>
          <w:sz w:val="18"/>
          <w:szCs w:val="18"/>
        </w:rPr>
        <w:t xml:space="preserve"> Robertson MM. (1995) The place of </w:t>
      </w:r>
      <w:proofErr w:type="spellStart"/>
      <w:r w:rsidRPr="0079758A">
        <w:rPr>
          <w:rFonts w:ascii="Cambria" w:hAnsi="Cambria"/>
          <w:sz w:val="18"/>
          <w:szCs w:val="18"/>
        </w:rPr>
        <w:t>clobazam</w:t>
      </w:r>
      <w:proofErr w:type="spellEnd"/>
      <w:r w:rsidRPr="0079758A">
        <w:rPr>
          <w:rFonts w:ascii="Cambria" w:hAnsi="Cambria"/>
          <w:sz w:val="18"/>
          <w:szCs w:val="18"/>
        </w:rPr>
        <w:t xml:space="preserve"> in the treatment of epilepsy: an update. </w:t>
      </w:r>
      <w:r w:rsidRPr="0079758A">
        <w:rPr>
          <w:rFonts w:ascii="Cambria" w:hAnsi="Cambria"/>
          <w:i/>
          <w:sz w:val="18"/>
          <w:szCs w:val="18"/>
        </w:rPr>
        <w:t>Hum</w:t>
      </w:r>
      <w:r w:rsidRPr="0079758A">
        <w:rPr>
          <w:i/>
          <w:sz w:val="18"/>
          <w:szCs w:val="18"/>
        </w:rPr>
        <w:t xml:space="preserve"> </w:t>
      </w:r>
      <w:proofErr w:type="spellStart"/>
      <w:r w:rsidRPr="0079758A">
        <w:rPr>
          <w:rFonts w:ascii="Cambria" w:hAnsi="Cambria"/>
          <w:i/>
          <w:sz w:val="18"/>
          <w:szCs w:val="18"/>
        </w:rPr>
        <w:t>Psychopharmacol</w:t>
      </w:r>
      <w:proofErr w:type="spellEnd"/>
      <w:r w:rsidRPr="0079758A">
        <w:rPr>
          <w:rFonts w:ascii="Cambria" w:hAnsi="Cambria"/>
          <w:i/>
          <w:sz w:val="18"/>
          <w:szCs w:val="18"/>
        </w:rPr>
        <w:t>.</w:t>
      </w:r>
      <w:r w:rsidRPr="0079758A">
        <w:rPr>
          <w:rFonts w:ascii="Cambria" w:hAnsi="Cambria"/>
          <w:sz w:val="18"/>
          <w:szCs w:val="18"/>
        </w:rPr>
        <w:t xml:space="preserve"> 10: S43-S63</w:t>
      </w:r>
    </w:p>
  </w:footnote>
  <w:footnote w:id="56">
    <w:p w:rsidR="00E91D7F" w:rsidRPr="00B16034" w:rsidRDefault="00E91D7F" w:rsidP="00A50C03">
      <w:pPr>
        <w:pStyle w:val="FootnoteText"/>
        <w:ind w:left="0" w:firstLine="0"/>
        <w:rPr>
          <w:rFonts w:ascii="Cambria" w:hAnsi="Cambria"/>
          <w:sz w:val="20"/>
        </w:rPr>
      </w:pPr>
      <w:r w:rsidRPr="00B16034">
        <w:rPr>
          <w:rStyle w:val="FootnoteReference"/>
          <w:rFonts w:ascii="Cambria" w:hAnsi="Cambria"/>
          <w:sz w:val="20"/>
        </w:rPr>
        <w:footnoteRef/>
      </w:r>
      <w:r w:rsidRPr="0079758A">
        <w:rPr>
          <w:rFonts w:ascii="Cambria" w:hAnsi="Cambria"/>
          <w:sz w:val="18"/>
          <w:szCs w:val="18"/>
        </w:rPr>
        <w:t xml:space="preserve"> </w:t>
      </w:r>
      <w:proofErr w:type="spellStart"/>
      <w:r w:rsidRPr="0079758A">
        <w:rPr>
          <w:rFonts w:ascii="Cambria" w:hAnsi="Cambria"/>
          <w:sz w:val="18"/>
          <w:szCs w:val="18"/>
        </w:rPr>
        <w:t>Wildin</w:t>
      </w:r>
      <w:proofErr w:type="spellEnd"/>
      <w:r w:rsidRPr="0079758A">
        <w:rPr>
          <w:rFonts w:ascii="Cambria" w:hAnsi="Cambria"/>
          <w:sz w:val="18"/>
          <w:szCs w:val="18"/>
        </w:rPr>
        <w:t xml:space="preserve"> JD, et al. (1990) Respiratory and sedative effects of </w:t>
      </w:r>
      <w:proofErr w:type="spellStart"/>
      <w:r w:rsidRPr="0079758A">
        <w:rPr>
          <w:rFonts w:ascii="Cambria" w:hAnsi="Cambria"/>
          <w:sz w:val="18"/>
          <w:szCs w:val="18"/>
        </w:rPr>
        <w:t>clobazam</w:t>
      </w:r>
      <w:proofErr w:type="spellEnd"/>
      <w:r w:rsidRPr="0079758A">
        <w:rPr>
          <w:rFonts w:ascii="Cambria" w:hAnsi="Cambria"/>
          <w:sz w:val="18"/>
          <w:szCs w:val="18"/>
        </w:rPr>
        <w:t xml:space="preserve"> and </w:t>
      </w:r>
      <w:proofErr w:type="spellStart"/>
      <w:r w:rsidRPr="0079758A">
        <w:rPr>
          <w:rFonts w:ascii="Cambria" w:hAnsi="Cambria"/>
          <w:sz w:val="18"/>
          <w:szCs w:val="18"/>
        </w:rPr>
        <w:t>clonazepam</w:t>
      </w:r>
      <w:proofErr w:type="spellEnd"/>
      <w:r w:rsidRPr="0079758A">
        <w:rPr>
          <w:rFonts w:ascii="Cambria" w:hAnsi="Cambria"/>
          <w:sz w:val="18"/>
          <w:szCs w:val="18"/>
        </w:rPr>
        <w:t xml:space="preserve"> in volunteers. </w:t>
      </w:r>
      <w:r w:rsidRPr="0079758A">
        <w:rPr>
          <w:rFonts w:ascii="Cambria" w:hAnsi="Cambria"/>
          <w:i/>
          <w:sz w:val="18"/>
          <w:szCs w:val="18"/>
          <w:lang w:val="nl-NL"/>
        </w:rPr>
        <w:t>Br J Clin Pharmacol.</w:t>
      </w:r>
      <w:r w:rsidRPr="0079758A">
        <w:rPr>
          <w:rFonts w:ascii="Cambria" w:hAnsi="Cambria"/>
          <w:sz w:val="18"/>
          <w:szCs w:val="18"/>
          <w:lang w:val="nl-NL"/>
        </w:rPr>
        <w:t xml:space="preserve"> 29: 169-177; van der Meyden CH, et al. (1989) </w:t>
      </w:r>
      <w:r w:rsidRPr="0079758A">
        <w:rPr>
          <w:rFonts w:ascii="Cambria" w:hAnsi="Cambria"/>
          <w:sz w:val="18"/>
          <w:szCs w:val="18"/>
        </w:rPr>
        <w:t xml:space="preserve">Effects of </w:t>
      </w:r>
      <w:proofErr w:type="spellStart"/>
      <w:r w:rsidRPr="0079758A">
        <w:rPr>
          <w:rFonts w:ascii="Cambria" w:hAnsi="Cambria"/>
          <w:sz w:val="18"/>
          <w:szCs w:val="18"/>
        </w:rPr>
        <w:t>clobazam</w:t>
      </w:r>
      <w:proofErr w:type="spellEnd"/>
      <w:r w:rsidRPr="0079758A">
        <w:rPr>
          <w:rFonts w:ascii="Cambria" w:hAnsi="Cambria"/>
          <w:sz w:val="18"/>
          <w:szCs w:val="18"/>
        </w:rPr>
        <w:t xml:space="preserve"> and </w:t>
      </w:r>
      <w:proofErr w:type="spellStart"/>
      <w:r w:rsidRPr="0079758A">
        <w:rPr>
          <w:rFonts w:ascii="Cambria" w:hAnsi="Cambria"/>
          <w:sz w:val="18"/>
          <w:szCs w:val="18"/>
        </w:rPr>
        <w:t>clonazepam</w:t>
      </w:r>
      <w:proofErr w:type="spellEnd"/>
      <w:r w:rsidRPr="0079758A">
        <w:rPr>
          <w:rFonts w:ascii="Cambria" w:hAnsi="Cambria"/>
          <w:sz w:val="18"/>
          <w:szCs w:val="18"/>
        </w:rPr>
        <w:t xml:space="preserve"> on saccadic eye movements and other parameters of psychomotor performance. </w:t>
      </w:r>
      <w:r w:rsidRPr="0079758A">
        <w:rPr>
          <w:rFonts w:ascii="Cambria" w:hAnsi="Cambria"/>
          <w:i/>
          <w:sz w:val="18"/>
          <w:szCs w:val="18"/>
        </w:rPr>
        <w:t xml:space="preserve">Eur J </w:t>
      </w:r>
      <w:proofErr w:type="spellStart"/>
      <w:r w:rsidRPr="0079758A">
        <w:rPr>
          <w:rFonts w:ascii="Cambria" w:hAnsi="Cambria"/>
          <w:i/>
          <w:sz w:val="18"/>
          <w:szCs w:val="18"/>
        </w:rPr>
        <w:t>Clin</w:t>
      </w:r>
      <w:proofErr w:type="spellEnd"/>
      <w:r w:rsidRPr="0079758A">
        <w:rPr>
          <w:rFonts w:ascii="Cambria" w:hAnsi="Cambria"/>
          <w:i/>
          <w:sz w:val="18"/>
          <w:szCs w:val="18"/>
        </w:rPr>
        <w:t xml:space="preserve"> </w:t>
      </w:r>
      <w:proofErr w:type="spellStart"/>
      <w:r w:rsidRPr="0079758A">
        <w:rPr>
          <w:rFonts w:ascii="Cambria" w:hAnsi="Cambria"/>
          <w:i/>
          <w:sz w:val="18"/>
          <w:szCs w:val="18"/>
        </w:rPr>
        <w:t>Pharmacol</w:t>
      </w:r>
      <w:proofErr w:type="spellEnd"/>
      <w:r w:rsidRPr="0079758A">
        <w:rPr>
          <w:rFonts w:ascii="Cambria" w:hAnsi="Cambria"/>
          <w:i/>
          <w:sz w:val="18"/>
          <w:szCs w:val="18"/>
        </w:rPr>
        <w:t>.</w:t>
      </w:r>
      <w:r w:rsidRPr="0079758A">
        <w:rPr>
          <w:rFonts w:ascii="Cambria" w:hAnsi="Cambria"/>
          <w:sz w:val="18"/>
          <w:szCs w:val="18"/>
        </w:rPr>
        <w:t xml:space="preserve"> 37: 365-369.</w:t>
      </w:r>
    </w:p>
  </w:footnote>
  <w:footnote w:id="57">
    <w:p w:rsidR="00E91D7F" w:rsidRPr="00B16034" w:rsidRDefault="00E91D7F" w:rsidP="00A50C03">
      <w:pPr>
        <w:pStyle w:val="FootnoteText"/>
        <w:ind w:left="0" w:firstLine="0"/>
        <w:rPr>
          <w:rFonts w:ascii="Cambria" w:hAnsi="Cambria"/>
          <w:sz w:val="20"/>
        </w:rPr>
      </w:pPr>
      <w:r w:rsidRPr="00B16034">
        <w:rPr>
          <w:rStyle w:val="FootnoteReference"/>
          <w:rFonts w:ascii="Cambria" w:hAnsi="Cambria"/>
          <w:sz w:val="20"/>
        </w:rPr>
        <w:footnoteRef/>
      </w:r>
      <w:r w:rsidRPr="0079758A">
        <w:rPr>
          <w:rFonts w:ascii="Cambria" w:hAnsi="Cambria"/>
          <w:sz w:val="18"/>
          <w:szCs w:val="18"/>
        </w:rPr>
        <w:t xml:space="preserve"> Keene DL, et al. (1990) </w:t>
      </w:r>
      <w:proofErr w:type="spellStart"/>
      <w:r w:rsidRPr="0079758A">
        <w:rPr>
          <w:rFonts w:ascii="Cambria" w:hAnsi="Cambria"/>
          <w:sz w:val="18"/>
          <w:szCs w:val="18"/>
        </w:rPr>
        <w:t>Clobazam</w:t>
      </w:r>
      <w:proofErr w:type="spellEnd"/>
      <w:r w:rsidRPr="0079758A">
        <w:rPr>
          <w:rFonts w:ascii="Cambria" w:hAnsi="Cambria"/>
          <w:sz w:val="18"/>
          <w:szCs w:val="18"/>
        </w:rPr>
        <w:t xml:space="preserve"> as an add-on drug in the treatment of refractory epilepsy of childhood. </w:t>
      </w:r>
      <w:r w:rsidRPr="0079758A">
        <w:rPr>
          <w:rFonts w:ascii="Cambria" w:hAnsi="Cambria"/>
          <w:i/>
          <w:sz w:val="18"/>
          <w:szCs w:val="18"/>
        </w:rPr>
        <w:t xml:space="preserve">Can J </w:t>
      </w:r>
      <w:proofErr w:type="spellStart"/>
      <w:r w:rsidRPr="0079758A">
        <w:rPr>
          <w:rFonts w:ascii="Cambria" w:hAnsi="Cambria"/>
          <w:i/>
          <w:sz w:val="18"/>
          <w:szCs w:val="18"/>
        </w:rPr>
        <w:t>Neurol</w:t>
      </w:r>
      <w:proofErr w:type="spellEnd"/>
      <w:r w:rsidRPr="0079758A">
        <w:rPr>
          <w:rFonts w:ascii="Cambria" w:hAnsi="Cambria"/>
          <w:i/>
          <w:sz w:val="18"/>
          <w:szCs w:val="18"/>
        </w:rPr>
        <w:t xml:space="preserve"> Sci.</w:t>
      </w:r>
      <w:r w:rsidRPr="0079758A">
        <w:rPr>
          <w:rFonts w:ascii="Cambria" w:hAnsi="Cambria"/>
          <w:sz w:val="18"/>
          <w:szCs w:val="18"/>
        </w:rPr>
        <w:t xml:space="preserve"> 17: 317-319.</w:t>
      </w:r>
    </w:p>
  </w:footnote>
  <w:footnote w:id="58">
    <w:p w:rsidR="00E91D7F" w:rsidRPr="00B16034" w:rsidRDefault="00E91D7F" w:rsidP="00A50C03">
      <w:pPr>
        <w:pStyle w:val="FootnoteText"/>
        <w:ind w:left="0" w:firstLine="0"/>
        <w:rPr>
          <w:rFonts w:ascii="Cambria" w:hAnsi="Cambria"/>
          <w:sz w:val="20"/>
        </w:rPr>
      </w:pPr>
      <w:r w:rsidRPr="00B16034">
        <w:rPr>
          <w:rStyle w:val="FootnoteReference"/>
          <w:rFonts w:ascii="Cambria" w:hAnsi="Cambria"/>
          <w:sz w:val="20"/>
        </w:rPr>
        <w:footnoteRef/>
      </w:r>
      <w:r w:rsidRPr="0079758A">
        <w:rPr>
          <w:rFonts w:ascii="Cambria" w:hAnsi="Cambria"/>
          <w:sz w:val="18"/>
          <w:szCs w:val="18"/>
        </w:rPr>
        <w:t xml:space="preserve"> [No authors listed] (1998) </w:t>
      </w:r>
      <w:proofErr w:type="spellStart"/>
      <w:r w:rsidRPr="0079758A">
        <w:rPr>
          <w:rFonts w:ascii="Cambria" w:hAnsi="Cambria"/>
          <w:sz w:val="18"/>
          <w:szCs w:val="18"/>
        </w:rPr>
        <w:t>Clobazam</w:t>
      </w:r>
      <w:proofErr w:type="spellEnd"/>
      <w:r w:rsidRPr="0079758A">
        <w:rPr>
          <w:rFonts w:ascii="Cambria" w:hAnsi="Cambria"/>
          <w:sz w:val="18"/>
          <w:szCs w:val="18"/>
        </w:rPr>
        <w:t xml:space="preserve"> has equivalent efficacy to </w:t>
      </w:r>
      <w:proofErr w:type="spellStart"/>
      <w:r w:rsidRPr="0079758A">
        <w:rPr>
          <w:rFonts w:ascii="Cambria" w:hAnsi="Cambria"/>
          <w:sz w:val="18"/>
          <w:szCs w:val="18"/>
        </w:rPr>
        <w:t>carbamazepine</w:t>
      </w:r>
      <w:proofErr w:type="spellEnd"/>
      <w:r w:rsidRPr="0079758A">
        <w:rPr>
          <w:rFonts w:ascii="Cambria" w:hAnsi="Cambria"/>
          <w:sz w:val="18"/>
          <w:szCs w:val="18"/>
        </w:rPr>
        <w:t xml:space="preserve"> and </w:t>
      </w:r>
      <w:proofErr w:type="spellStart"/>
      <w:r w:rsidRPr="0079758A">
        <w:rPr>
          <w:rFonts w:ascii="Cambria" w:hAnsi="Cambria"/>
          <w:sz w:val="18"/>
          <w:szCs w:val="18"/>
        </w:rPr>
        <w:t>phenytoin</w:t>
      </w:r>
      <w:proofErr w:type="spellEnd"/>
      <w:r w:rsidRPr="0079758A">
        <w:rPr>
          <w:rFonts w:ascii="Cambria" w:hAnsi="Cambria"/>
          <w:sz w:val="18"/>
          <w:szCs w:val="18"/>
        </w:rPr>
        <w:t xml:space="preserve"> as </w:t>
      </w:r>
      <w:proofErr w:type="spellStart"/>
      <w:r w:rsidRPr="0079758A">
        <w:rPr>
          <w:rFonts w:ascii="Cambria" w:hAnsi="Cambria"/>
          <w:sz w:val="18"/>
          <w:szCs w:val="18"/>
        </w:rPr>
        <w:t>monotherapy</w:t>
      </w:r>
      <w:proofErr w:type="spellEnd"/>
      <w:r w:rsidRPr="0079758A">
        <w:rPr>
          <w:rFonts w:ascii="Cambria" w:hAnsi="Cambria"/>
          <w:sz w:val="18"/>
          <w:szCs w:val="18"/>
        </w:rPr>
        <w:t xml:space="preserve"> for childhood epilepsy. Canadian Study Group for Childhood Epilepsy. </w:t>
      </w:r>
      <w:proofErr w:type="spellStart"/>
      <w:r w:rsidRPr="0079758A">
        <w:rPr>
          <w:rFonts w:ascii="Cambria" w:hAnsi="Cambria"/>
          <w:i/>
          <w:sz w:val="18"/>
          <w:szCs w:val="18"/>
        </w:rPr>
        <w:t>Epilepsia</w:t>
      </w:r>
      <w:proofErr w:type="spellEnd"/>
      <w:r w:rsidRPr="0079758A">
        <w:rPr>
          <w:rFonts w:ascii="Cambria" w:hAnsi="Cambria"/>
          <w:sz w:val="18"/>
          <w:szCs w:val="18"/>
        </w:rPr>
        <w:t xml:space="preserve"> 39: 952-959.</w:t>
      </w:r>
    </w:p>
  </w:footnote>
  <w:footnote w:id="59">
    <w:p w:rsidR="00E91D7F" w:rsidRPr="00B16034" w:rsidRDefault="00E91D7F" w:rsidP="00A50C03">
      <w:pPr>
        <w:pStyle w:val="FootnoteText"/>
        <w:ind w:left="0" w:firstLine="0"/>
        <w:rPr>
          <w:rFonts w:ascii="Cambria" w:hAnsi="Cambria"/>
          <w:sz w:val="20"/>
        </w:rPr>
      </w:pPr>
      <w:r w:rsidRPr="00B16034">
        <w:rPr>
          <w:rStyle w:val="FootnoteReference"/>
          <w:rFonts w:ascii="Cambria" w:hAnsi="Cambria"/>
          <w:sz w:val="20"/>
        </w:rPr>
        <w:footnoteRef/>
      </w:r>
      <w:r w:rsidRPr="0079758A">
        <w:rPr>
          <w:rFonts w:ascii="Cambria" w:hAnsi="Cambria"/>
          <w:sz w:val="18"/>
          <w:szCs w:val="18"/>
        </w:rPr>
        <w:t xml:space="preserve"> </w:t>
      </w:r>
      <w:proofErr w:type="spellStart"/>
      <w:r w:rsidRPr="0079758A">
        <w:rPr>
          <w:rFonts w:ascii="Cambria" w:hAnsi="Cambria"/>
          <w:sz w:val="18"/>
          <w:szCs w:val="18"/>
        </w:rPr>
        <w:t>Bawden</w:t>
      </w:r>
      <w:proofErr w:type="spellEnd"/>
      <w:r w:rsidRPr="0079758A">
        <w:rPr>
          <w:rFonts w:ascii="Cambria" w:hAnsi="Cambria"/>
          <w:sz w:val="18"/>
          <w:szCs w:val="18"/>
        </w:rPr>
        <w:t xml:space="preserve"> HN, et al. (1999) The cognitive and behavioural effects of </w:t>
      </w:r>
      <w:proofErr w:type="spellStart"/>
      <w:r w:rsidRPr="0079758A">
        <w:rPr>
          <w:rFonts w:ascii="Cambria" w:hAnsi="Cambria"/>
          <w:sz w:val="18"/>
          <w:szCs w:val="18"/>
        </w:rPr>
        <w:t>clobazam</w:t>
      </w:r>
      <w:proofErr w:type="spellEnd"/>
      <w:r w:rsidRPr="0079758A">
        <w:rPr>
          <w:rFonts w:ascii="Cambria" w:hAnsi="Cambria"/>
          <w:sz w:val="18"/>
          <w:szCs w:val="18"/>
        </w:rPr>
        <w:t xml:space="preserve"> and standard </w:t>
      </w:r>
      <w:proofErr w:type="spellStart"/>
      <w:r w:rsidRPr="0079758A">
        <w:rPr>
          <w:rFonts w:ascii="Cambria" w:hAnsi="Cambria"/>
          <w:sz w:val="18"/>
          <w:szCs w:val="18"/>
        </w:rPr>
        <w:t>monotherapy</w:t>
      </w:r>
      <w:proofErr w:type="spellEnd"/>
      <w:r w:rsidRPr="0079758A">
        <w:rPr>
          <w:rFonts w:ascii="Cambria" w:hAnsi="Cambria"/>
          <w:sz w:val="18"/>
          <w:szCs w:val="18"/>
        </w:rPr>
        <w:t xml:space="preserve"> are comparable. Canadian Study Group for Childhood Epilepsy. </w:t>
      </w:r>
      <w:r w:rsidRPr="0079758A">
        <w:rPr>
          <w:rFonts w:ascii="Cambria" w:hAnsi="Cambria"/>
          <w:i/>
          <w:sz w:val="18"/>
          <w:szCs w:val="18"/>
        </w:rPr>
        <w:t>Epilepsy Res.</w:t>
      </w:r>
      <w:r w:rsidRPr="0079758A">
        <w:rPr>
          <w:rFonts w:ascii="Cambria" w:hAnsi="Cambria"/>
          <w:sz w:val="18"/>
          <w:szCs w:val="18"/>
        </w:rPr>
        <w:t xml:space="preserve"> 33: 133-143</w:t>
      </w:r>
    </w:p>
  </w:footnote>
  <w:footnote w:id="60">
    <w:p w:rsidR="00E91D7F" w:rsidRPr="00B16034" w:rsidRDefault="00E91D7F" w:rsidP="00A50C03">
      <w:pPr>
        <w:pStyle w:val="FootnoteText"/>
        <w:ind w:left="0" w:firstLine="0"/>
        <w:rPr>
          <w:rFonts w:ascii="Cambria" w:hAnsi="Cambria"/>
          <w:sz w:val="20"/>
        </w:rPr>
      </w:pPr>
      <w:r w:rsidRPr="00B16034">
        <w:rPr>
          <w:rStyle w:val="FootnoteReference"/>
          <w:rFonts w:ascii="Cambria" w:hAnsi="Cambria"/>
          <w:sz w:val="20"/>
        </w:rPr>
        <w:footnoteRef/>
      </w:r>
      <w:r w:rsidRPr="0079758A">
        <w:rPr>
          <w:rFonts w:ascii="Cambria" w:hAnsi="Cambria"/>
          <w:sz w:val="18"/>
          <w:szCs w:val="18"/>
        </w:rPr>
        <w:t xml:space="preserve"> </w:t>
      </w:r>
      <w:r w:rsidRPr="0079758A">
        <w:rPr>
          <w:rFonts w:ascii="Cambria" w:hAnsi="Cambria"/>
          <w:sz w:val="18"/>
          <w:szCs w:val="18"/>
          <w:lang w:val="nl-NL"/>
        </w:rPr>
        <w:t xml:space="preserve">Conry JA, et al. </w:t>
      </w:r>
      <w:r w:rsidRPr="0079758A">
        <w:rPr>
          <w:rFonts w:ascii="Cambria" w:hAnsi="Cambria"/>
          <w:sz w:val="18"/>
          <w:szCs w:val="18"/>
          <w:lang w:val="nl-NL"/>
        </w:rPr>
        <w:t xml:space="preserve">(2009) </w:t>
      </w:r>
      <w:proofErr w:type="spellStart"/>
      <w:r w:rsidRPr="0079758A">
        <w:rPr>
          <w:rFonts w:ascii="Cambria" w:hAnsi="Cambria"/>
          <w:sz w:val="18"/>
          <w:szCs w:val="18"/>
        </w:rPr>
        <w:t>Clobazam</w:t>
      </w:r>
      <w:proofErr w:type="spellEnd"/>
      <w:r w:rsidRPr="0079758A">
        <w:rPr>
          <w:rFonts w:ascii="Cambria" w:hAnsi="Cambria"/>
          <w:sz w:val="18"/>
          <w:szCs w:val="18"/>
        </w:rPr>
        <w:t xml:space="preserve"> in the treatment of Lennox-</w:t>
      </w:r>
      <w:proofErr w:type="spellStart"/>
      <w:r w:rsidRPr="0079758A">
        <w:rPr>
          <w:rFonts w:ascii="Cambria" w:hAnsi="Cambria"/>
          <w:sz w:val="18"/>
          <w:szCs w:val="18"/>
        </w:rPr>
        <w:t>Gastaut</w:t>
      </w:r>
      <w:proofErr w:type="spellEnd"/>
      <w:r w:rsidRPr="0079758A">
        <w:rPr>
          <w:rFonts w:ascii="Cambria" w:hAnsi="Cambria"/>
          <w:sz w:val="18"/>
          <w:szCs w:val="18"/>
        </w:rPr>
        <w:t xml:space="preserve"> syndrome. </w:t>
      </w:r>
      <w:proofErr w:type="spellStart"/>
      <w:r w:rsidRPr="0079758A">
        <w:rPr>
          <w:rFonts w:ascii="Cambria" w:hAnsi="Cambria"/>
          <w:i/>
          <w:sz w:val="18"/>
          <w:szCs w:val="18"/>
        </w:rPr>
        <w:t>Epilepsia</w:t>
      </w:r>
      <w:proofErr w:type="spellEnd"/>
      <w:r w:rsidRPr="0079758A">
        <w:rPr>
          <w:rFonts w:ascii="Cambria" w:hAnsi="Cambria"/>
          <w:sz w:val="18"/>
          <w:szCs w:val="18"/>
        </w:rPr>
        <w:t xml:space="preserve"> 50: 1158-1166.</w:t>
      </w:r>
    </w:p>
  </w:footnote>
  <w:footnote w:id="61">
    <w:p w:rsidR="00E91D7F" w:rsidRPr="00B16034" w:rsidRDefault="00E91D7F" w:rsidP="00A50C03">
      <w:pPr>
        <w:pStyle w:val="FootnoteText"/>
        <w:ind w:left="0" w:firstLine="0"/>
        <w:rPr>
          <w:rFonts w:ascii="Cambria" w:hAnsi="Cambria"/>
          <w:sz w:val="20"/>
        </w:rPr>
      </w:pPr>
      <w:r w:rsidRPr="00B16034">
        <w:rPr>
          <w:rStyle w:val="FootnoteReference"/>
          <w:rFonts w:ascii="Cambria" w:hAnsi="Cambria"/>
          <w:sz w:val="20"/>
        </w:rPr>
        <w:footnoteRef/>
      </w:r>
      <w:r w:rsidRPr="0079758A">
        <w:rPr>
          <w:rFonts w:ascii="Cambria" w:hAnsi="Cambria"/>
          <w:sz w:val="18"/>
          <w:szCs w:val="18"/>
        </w:rPr>
        <w:t xml:space="preserve"> </w:t>
      </w:r>
      <w:r w:rsidRPr="0079758A">
        <w:rPr>
          <w:rFonts w:ascii="Cambria" w:hAnsi="Cambria"/>
          <w:sz w:val="18"/>
          <w:szCs w:val="18"/>
          <w:lang w:val="nl-NL"/>
        </w:rPr>
        <w:t xml:space="preserve">Ng YT, et al. (2011) </w:t>
      </w:r>
      <w:r w:rsidRPr="0079758A">
        <w:rPr>
          <w:rFonts w:ascii="Cambria" w:hAnsi="Cambria"/>
          <w:sz w:val="18"/>
          <w:szCs w:val="18"/>
        </w:rPr>
        <w:t xml:space="preserve">Randomised, phase III study results of </w:t>
      </w:r>
      <w:proofErr w:type="spellStart"/>
      <w:r w:rsidRPr="0079758A">
        <w:rPr>
          <w:rFonts w:ascii="Cambria" w:hAnsi="Cambria"/>
          <w:sz w:val="18"/>
          <w:szCs w:val="18"/>
        </w:rPr>
        <w:t>clobazam</w:t>
      </w:r>
      <w:proofErr w:type="spellEnd"/>
      <w:r w:rsidRPr="0079758A">
        <w:rPr>
          <w:rFonts w:ascii="Cambria" w:hAnsi="Cambria"/>
          <w:sz w:val="18"/>
          <w:szCs w:val="18"/>
        </w:rPr>
        <w:t xml:space="preserve"> in Lennox-</w:t>
      </w:r>
      <w:proofErr w:type="spellStart"/>
      <w:r w:rsidRPr="0079758A">
        <w:rPr>
          <w:rFonts w:ascii="Cambria" w:hAnsi="Cambria"/>
          <w:sz w:val="18"/>
          <w:szCs w:val="18"/>
        </w:rPr>
        <w:t>Gastaut</w:t>
      </w:r>
      <w:proofErr w:type="spellEnd"/>
      <w:r w:rsidRPr="0079758A">
        <w:rPr>
          <w:rFonts w:ascii="Cambria" w:hAnsi="Cambria"/>
          <w:sz w:val="18"/>
          <w:szCs w:val="18"/>
        </w:rPr>
        <w:t xml:space="preserve"> syndrome. </w:t>
      </w:r>
      <w:r w:rsidRPr="0079758A">
        <w:rPr>
          <w:rFonts w:ascii="Cambria" w:hAnsi="Cambria"/>
          <w:i/>
          <w:sz w:val="18"/>
          <w:szCs w:val="18"/>
        </w:rPr>
        <w:t>Neurology</w:t>
      </w:r>
      <w:r w:rsidRPr="0079758A">
        <w:rPr>
          <w:rFonts w:ascii="Cambria" w:hAnsi="Cambria"/>
          <w:sz w:val="18"/>
          <w:szCs w:val="18"/>
        </w:rPr>
        <w:t xml:space="preserve"> 77: 1473-1481.</w:t>
      </w:r>
    </w:p>
  </w:footnote>
  <w:footnote w:id="62">
    <w:p w:rsidR="00E91D7F" w:rsidRPr="00B16034" w:rsidRDefault="00E91D7F" w:rsidP="00A50C03">
      <w:pPr>
        <w:pStyle w:val="FootnoteText"/>
        <w:ind w:left="0" w:firstLine="0"/>
        <w:rPr>
          <w:rFonts w:ascii="Cambria" w:hAnsi="Cambria"/>
          <w:sz w:val="20"/>
        </w:rPr>
      </w:pPr>
      <w:r w:rsidRPr="00B16034">
        <w:rPr>
          <w:rStyle w:val="FootnoteReference"/>
          <w:rFonts w:ascii="Cambria" w:hAnsi="Cambria"/>
          <w:sz w:val="20"/>
        </w:rPr>
        <w:footnoteRef/>
      </w:r>
      <w:r w:rsidRPr="0079758A">
        <w:rPr>
          <w:rFonts w:ascii="Cambria" w:hAnsi="Cambria"/>
          <w:sz w:val="18"/>
          <w:szCs w:val="18"/>
        </w:rPr>
        <w:t xml:space="preserve"> </w:t>
      </w:r>
      <w:r w:rsidRPr="0079758A">
        <w:rPr>
          <w:rFonts w:ascii="Cambria" w:hAnsi="Cambria"/>
          <w:sz w:val="18"/>
          <w:szCs w:val="18"/>
          <w:lang w:val="nl-NL"/>
        </w:rPr>
        <w:t xml:space="preserve">Conry JA, et al. </w:t>
      </w:r>
      <w:r w:rsidRPr="0079758A">
        <w:rPr>
          <w:rFonts w:ascii="Cambria" w:hAnsi="Cambria"/>
          <w:sz w:val="18"/>
          <w:szCs w:val="18"/>
          <w:lang w:val="nl-NL"/>
        </w:rPr>
        <w:t xml:space="preserve">(2009) </w:t>
      </w:r>
      <w:proofErr w:type="spellStart"/>
      <w:r w:rsidRPr="0079758A">
        <w:rPr>
          <w:rFonts w:ascii="Cambria" w:hAnsi="Cambria"/>
          <w:sz w:val="18"/>
          <w:szCs w:val="18"/>
        </w:rPr>
        <w:t>Clobazam</w:t>
      </w:r>
      <w:proofErr w:type="spellEnd"/>
      <w:r w:rsidRPr="0079758A">
        <w:rPr>
          <w:rFonts w:ascii="Cambria" w:hAnsi="Cambria"/>
          <w:sz w:val="18"/>
          <w:szCs w:val="18"/>
        </w:rPr>
        <w:t xml:space="preserve"> in the treatment of Lennox-</w:t>
      </w:r>
      <w:proofErr w:type="spellStart"/>
      <w:r w:rsidRPr="0079758A">
        <w:rPr>
          <w:rFonts w:ascii="Cambria" w:hAnsi="Cambria"/>
          <w:sz w:val="18"/>
          <w:szCs w:val="18"/>
        </w:rPr>
        <w:t>Gastaut</w:t>
      </w:r>
      <w:proofErr w:type="spellEnd"/>
      <w:r w:rsidRPr="0079758A">
        <w:rPr>
          <w:rFonts w:ascii="Cambria" w:hAnsi="Cambria"/>
          <w:sz w:val="18"/>
          <w:szCs w:val="18"/>
        </w:rPr>
        <w:t xml:space="preserve"> syndrome. </w:t>
      </w:r>
      <w:proofErr w:type="spellStart"/>
      <w:r w:rsidRPr="0079758A">
        <w:rPr>
          <w:rFonts w:ascii="Cambria" w:hAnsi="Cambria"/>
          <w:i/>
          <w:sz w:val="18"/>
          <w:szCs w:val="18"/>
        </w:rPr>
        <w:t>Epilepsia</w:t>
      </w:r>
      <w:proofErr w:type="spellEnd"/>
      <w:r w:rsidRPr="0079758A">
        <w:rPr>
          <w:rFonts w:ascii="Cambria" w:hAnsi="Cambria"/>
          <w:sz w:val="18"/>
          <w:szCs w:val="18"/>
        </w:rPr>
        <w:t xml:space="preserve"> 50: 1158-1166.</w:t>
      </w:r>
    </w:p>
  </w:footnote>
  <w:footnote w:id="63">
    <w:p w:rsidR="00E91D7F" w:rsidRPr="00E44AD4" w:rsidRDefault="00E91D7F" w:rsidP="00A50C03">
      <w:pPr>
        <w:pStyle w:val="FootnoteText"/>
        <w:ind w:left="0" w:firstLine="0"/>
        <w:rPr>
          <w:rFonts w:ascii="Cambria" w:hAnsi="Cambria"/>
          <w:sz w:val="20"/>
        </w:rPr>
      </w:pPr>
      <w:r w:rsidRPr="00E44AD4">
        <w:rPr>
          <w:rStyle w:val="FootnoteReference"/>
          <w:rFonts w:ascii="Cambria" w:hAnsi="Cambria"/>
          <w:sz w:val="20"/>
        </w:rPr>
        <w:footnoteRef/>
      </w:r>
      <w:r w:rsidRPr="0079758A">
        <w:rPr>
          <w:rFonts w:ascii="Cambria" w:hAnsi="Cambria"/>
          <w:sz w:val="18"/>
          <w:szCs w:val="18"/>
        </w:rPr>
        <w:t xml:space="preserve"> Rose W, et al. (2005) Intermittent </w:t>
      </w:r>
      <w:proofErr w:type="spellStart"/>
      <w:r w:rsidRPr="0079758A">
        <w:rPr>
          <w:rFonts w:ascii="Cambria" w:hAnsi="Cambria"/>
          <w:sz w:val="18"/>
          <w:szCs w:val="18"/>
        </w:rPr>
        <w:t>clobazam</w:t>
      </w:r>
      <w:proofErr w:type="spellEnd"/>
      <w:r w:rsidRPr="0079758A">
        <w:rPr>
          <w:rFonts w:ascii="Cambria" w:hAnsi="Cambria"/>
          <w:sz w:val="18"/>
          <w:szCs w:val="18"/>
        </w:rPr>
        <w:t xml:space="preserve"> therapy in febrile seizures. </w:t>
      </w:r>
      <w:r w:rsidRPr="0079758A">
        <w:rPr>
          <w:rFonts w:ascii="Cambria" w:hAnsi="Cambria"/>
          <w:i/>
          <w:sz w:val="18"/>
          <w:szCs w:val="18"/>
        </w:rPr>
        <w:t xml:space="preserve">Indian J </w:t>
      </w:r>
      <w:proofErr w:type="spellStart"/>
      <w:r w:rsidRPr="0079758A">
        <w:rPr>
          <w:rFonts w:ascii="Cambria" w:hAnsi="Cambria"/>
          <w:i/>
          <w:sz w:val="18"/>
          <w:szCs w:val="18"/>
        </w:rPr>
        <w:t>Pediatr</w:t>
      </w:r>
      <w:proofErr w:type="spellEnd"/>
      <w:r w:rsidRPr="0079758A">
        <w:rPr>
          <w:rFonts w:ascii="Cambria" w:hAnsi="Cambria"/>
          <w:i/>
          <w:sz w:val="18"/>
          <w:szCs w:val="18"/>
        </w:rPr>
        <w:t>.</w:t>
      </w:r>
      <w:r w:rsidRPr="0079758A">
        <w:rPr>
          <w:rFonts w:ascii="Cambria" w:hAnsi="Cambria"/>
          <w:sz w:val="18"/>
          <w:szCs w:val="18"/>
        </w:rPr>
        <w:t xml:space="preserve"> 72: 31-33.</w:t>
      </w:r>
    </w:p>
  </w:footnote>
  <w:footnote w:id="64">
    <w:p w:rsidR="00E91D7F" w:rsidRPr="00E44AD4" w:rsidRDefault="00E91D7F" w:rsidP="00A50C03">
      <w:pPr>
        <w:pStyle w:val="FootnoteText"/>
        <w:ind w:left="0" w:firstLine="0"/>
        <w:rPr>
          <w:rFonts w:ascii="Cambria" w:hAnsi="Cambria"/>
          <w:sz w:val="20"/>
        </w:rPr>
      </w:pPr>
      <w:r w:rsidRPr="00E44AD4">
        <w:rPr>
          <w:rStyle w:val="FootnoteReference"/>
          <w:rFonts w:ascii="Cambria" w:hAnsi="Cambria"/>
          <w:sz w:val="20"/>
        </w:rPr>
        <w:footnoteRef/>
      </w:r>
      <w:r w:rsidRPr="0079758A">
        <w:rPr>
          <w:rFonts w:ascii="Cambria" w:hAnsi="Cambria"/>
          <w:sz w:val="18"/>
          <w:szCs w:val="18"/>
        </w:rPr>
        <w:t xml:space="preserve"> Bajaj AS, et al. (2005) Intermittent </w:t>
      </w:r>
      <w:proofErr w:type="spellStart"/>
      <w:r w:rsidRPr="0079758A">
        <w:rPr>
          <w:rFonts w:ascii="Cambria" w:hAnsi="Cambria"/>
          <w:sz w:val="18"/>
          <w:szCs w:val="18"/>
        </w:rPr>
        <w:t>clobazam</w:t>
      </w:r>
      <w:proofErr w:type="spellEnd"/>
      <w:r w:rsidRPr="0079758A">
        <w:rPr>
          <w:rFonts w:ascii="Cambria" w:hAnsi="Cambria"/>
          <w:sz w:val="18"/>
          <w:szCs w:val="18"/>
        </w:rPr>
        <w:t xml:space="preserve"> in febrile seizures: an Indian experience. </w:t>
      </w:r>
      <w:r w:rsidRPr="0079758A">
        <w:rPr>
          <w:rFonts w:ascii="Cambria" w:hAnsi="Cambria"/>
          <w:i/>
          <w:sz w:val="18"/>
          <w:szCs w:val="18"/>
        </w:rPr>
        <w:t xml:space="preserve">J </w:t>
      </w:r>
      <w:proofErr w:type="spellStart"/>
      <w:r w:rsidRPr="0079758A">
        <w:rPr>
          <w:rFonts w:ascii="Cambria" w:hAnsi="Cambria"/>
          <w:i/>
          <w:sz w:val="18"/>
          <w:szCs w:val="18"/>
        </w:rPr>
        <w:t>Pediatr</w:t>
      </w:r>
      <w:proofErr w:type="spellEnd"/>
      <w:r w:rsidRPr="0079758A">
        <w:rPr>
          <w:rFonts w:ascii="Cambria" w:hAnsi="Cambria"/>
          <w:i/>
          <w:sz w:val="18"/>
          <w:szCs w:val="18"/>
        </w:rPr>
        <w:t xml:space="preserve"> Neurol.</w:t>
      </w:r>
      <w:r w:rsidRPr="0079758A">
        <w:rPr>
          <w:rFonts w:ascii="Cambria" w:hAnsi="Cambria"/>
          <w:sz w:val="18"/>
          <w:szCs w:val="18"/>
        </w:rPr>
        <w:t xml:space="preserve"> 2: 19-23.</w:t>
      </w:r>
    </w:p>
  </w:footnote>
  <w:footnote w:id="65">
    <w:p w:rsidR="00E91D7F" w:rsidRPr="004B57BD" w:rsidRDefault="00E91D7F" w:rsidP="00A50C03">
      <w:pPr>
        <w:pStyle w:val="FootnoteText"/>
        <w:ind w:left="0" w:firstLine="0"/>
        <w:rPr>
          <w:rFonts w:ascii="Cambria" w:hAnsi="Cambria"/>
          <w:sz w:val="20"/>
        </w:rPr>
      </w:pPr>
      <w:r w:rsidRPr="004B57BD">
        <w:rPr>
          <w:rStyle w:val="FootnoteReference"/>
          <w:rFonts w:ascii="Cambria" w:hAnsi="Cambria"/>
          <w:sz w:val="20"/>
        </w:rPr>
        <w:footnoteRef/>
      </w:r>
      <w:r w:rsidRPr="0079758A">
        <w:rPr>
          <w:rFonts w:ascii="Cambria" w:hAnsi="Cambria"/>
          <w:sz w:val="18"/>
          <w:szCs w:val="18"/>
        </w:rPr>
        <w:t xml:space="preserve"> [No authors listed] (1998) </w:t>
      </w:r>
      <w:proofErr w:type="spellStart"/>
      <w:r w:rsidRPr="0079758A">
        <w:rPr>
          <w:rFonts w:ascii="Cambria" w:hAnsi="Cambria"/>
          <w:sz w:val="18"/>
          <w:szCs w:val="18"/>
        </w:rPr>
        <w:t>Clobazam</w:t>
      </w:r>
      <w:proofErr w:type="spellEnd"/>
      <w:r w:rsidRPr="0079758A">
        <w:rPr>
          <w:rFonts w:ascii="Cambria" w:hAnsi="Cambria"/>
          <w:sz w:val="18"/>
          <w:szCs w:val="18"/>
        </w:rPr>
        <w:t xml:space="preserve"> has equivalent efficacy to </w:t>
      </w:r>
      <w:proofErr w:type="spellStart"/>
      <w:r w:rsidRPr="0079758A">
        <w:rPr>
          <w:rFonts w:ascii="Cambria" w:hAnsi="Cambria"/>
          <w:sz w:val="18"/>
          <w:szCs w:val="18"/>
        </w:rPr>
        <w:t>carbamazepine</w:t>
      </w:r>
      <w:proofErr w:type="spellEnd"/>
      <w:r w:rsidRPr="0079758A">
        <w:rPr>
          <w:rFonts w:ascii="Cambria" w:hAnsi="Cambria"/>
          <w:sz w:val="18"/>
          <w:szCs w:val="18"/>
        </w:rPr>
        <w:t xml:space="preserve"> and </w:t>
      </w:r>
      <w:proofErr w:type="spellStart"/>
      <w:r w:rsidRPr="0079758A">
        <w:rPr>
          <w:rFonts w:ascii="Cambria" w:hAnsi="Cambria"/>
          <w:sz w:val="18"/>
          <w:szCs w:val="18"/>
        </w:rPr>
        <w:t>phenytoin</w:t>
      </w:r>
      <w:proofErr w:type="spellEnd"/>
      <w:r w:rsidRPr="0079758A">
        <w:rPr>
          <w:rFonts w:ascii="Cambria" w:hAnsi="Cambria"/>
          <w:sz w:val="18"/>
          <w:szCs w:val="18"/>
        </w:rPr>
        <w:t xml:space="preserve"> as </w:t>
      </w:r>
      <w:proofErr w:type="spellStart"/>
      <w:r w:rsidRPr="0079758A">
        <w:rPr>
          <w:rFonts w:ascii="Cambria" w:hAnsi="Cambria"/>
          <w:sz w:val="18"/>
          <w:szCs w:val="18"/>
        </w:rPr>
        <w:t>monotherapy</w:t>
      </w:r>
      <w:proofErr w:type="spellEnd"/>
      <w:r w:rsidRPr="0079758A">
        <w:rPr>
          <w:rFonts w:ascii="Cambria" w:hAnsi="Cambria"/>
          <w:sz w:val="18"/>
          <w:szCs w:val="18"/>
        </w:rPr>
        <w:t xml:space="preserve"> for childhood epilepsy. Canadian Study Group for Childhood Epilepsy. </w:t>
      </w:r>
      <w:proofErr w:type="spellStart"/>
      <w:r w:rsidRPr="0079758A">
        <w:rPr>
          <w:rFonts w:ascii="Cambria" w:hAnsi="Cambria"/>
          <w:i/>
          <w:sz w:val="18"/>
          <w:szCs w:val="18"/>
        </w:rPr>
        <w:t>Epilepsia</w:t>
      </w:r>
      <w:proofErr w:type="spellEnd"/>
      <w:r w:rsidRPr="0079758A">
        <w:rPr>
          <w:rFonts w:ascii="Cambria" w:hAnsi="Cambria"/>
          <w:sz w:val="18"/>
          <w:szCs w:val="18"/>
        </w:rPr>
        <w:t xml:space="preserve"> 39: 952-959.</w:t>
      </w:r>
    </w:p>
  </w:footnote>
  <w:footnote w:id="66">
    <w:p w:rsidR="00E91D7F" w:rsidRPr="004B57BD" w:rsidRDefault="00E91D7F" w:rsidP="00A50C03">
      <w:pPr>
        <w:pStyle w:val="FootnoteText"/>
        <w:ind w:left="0" w:firstLine="0"/>
        <w:rPr>
          <w:rFonts w:ascii="Cambria" w:hAnsi="Cambria"/>
          <w:sz w:val="20"/>
        </w:rPr>
      </w:pPr>
      <w:r w:rsidRPr="004B57BD">
        <w:rPr>
          <w:rStyle w:val="FootnoteReference"/>
          <w:rFonts w:ascii="Cambria" w:hAnsi="Cambria"/>
          <w:sz w:val="20"/>
        </w:rPr>
        <w:footnoteRef/>
      </w:r>
      <w:r w:rsidRPr="0079758A">
        <w:rPr>
          <w:rFonts w:ascii="Cambria" w:hAnsi="Cambria"/>
          <w:sz w:val="18"/>
          <w:szCs w:val="18"/>
        </w:rPr>
        <w:t xml:space="preserve"> </w:t>
      </w:r>
      <w:proofErr w:type="spellStart"/>
      <w:r w:rsidRPr="0079758A">
        <w:rPr>
          <w:rFonts w:ascii="Cambria" w:hAnsi="Cambria"/>
          <w:sz w:val="18"/>
          <w:szCs w:val="18"/>
        </w:rPr>
        <w:t>Bawden</w:t>
      </w:r>
      <w:proofErr w:type="spellEnd"/>
      <w:r w:rsidRPr="0079758A">
        <w:rPr>
          <w:rFonts w:ascii="Cambria" w:hAnsi="Cambria"/>
          <w:sz w:val="18"/>
          <w:szCs w:val="18"/>
        </w:rPr>
        <w:t xml:space="preserve"> HN, et al. (1999) The cognitive and behavioural effects of </w:t>
      </w:r>
      <w:proofErr w:type="spellStart"/>
      <w:r w:rsidRPr="0079758A">
        <w:rPr>
          <w:rFonts w:ascii="Cambria" w:hAnsi="Cambria"/>
          <w:sz w:val="18"/>
          <w:szCs w:val="18"/>
        </w:rPr>
        <w:t>clobazam</w:t>
      </w:r>
      <w:proofErr w:type="spellEnd"/>
      <w:r w:rsidRPr="0079758A">
        <w:rPr>
          <w:rFonts w:ascii="Cambria" w:hAnsi="Cambria"/>
          <w:sz w:val="18"/>
          <w:szCs w:val="18"/>
        </w:rPr>
        <w:t xml:space="preserve"> and standard </w:t>
      </w:r>
      <w:proofErr w:type="spellStart"/>
      <w:r w:rsidRPr="0079758A">
        <w:rPr>
          <w:rFonts w:ascii="Cambria" w:hAnsi="Cambria"/>
          <w:sz w:val="18"/>
          <w:szCs w:val="18"/>
        </w:rPr>
        <w:t>monotherapy</w:t>
      </w:r>
      <w:proofErr w:type="spellEnd"/>
      <w:r w:rsidRPr="0079758A">
        <w:rPr>
          <w:rFonts w:ascii="Cambria" w:hAnsi="Cambria"/>
          <w:sz w:val="18"/>
          <w:szCs w:val="18"/>
        </w:rPr>
        <w:t xml:space="preserve"> are comparable. Canadian Study Group for Childhood Epilepsy. </w:t>
      </w:r>
      <w:r w:rsidRPr="0079758A">
        <w:rPr>
          <w:rFonts w:ascii="Cambria" w:hAnsi="Cambria"/>
          <w:i/>
          <w:sz w:val="18"/>
          <w:szCs w:val="18"/>
        </w:rPr>
        <w:t>Epilepsy Res.</w:t>
      </w:r>
      <w:r w:rsidRPr="0079758A">
        <w:rPr>
          <w:rFonts w:ascii="Cambria" w:hAnsi="Cambria"/>
          <w:sz w:val="18"/>
          <w:szCs w:val="18"/>
        </w:rPr>
        <w:t xml:space="preserve"> 33: 133-143</w:t>
      </w:r>
    </w:p>
  </w:footnote>
  <w:footnote w:id="67">
    <w:p w:rsidR="00E91D7F" w:rsidRDefault="00E91D7F" w:rsidP="00A50C03">
      <w:pPr>
        <w:pStyle w:val="FootnoteText"/>
        <w:ind w:left="0" w:firstLine="0"/>
      </w:pPr>
      <w:r>
        <w:rPr>
          <w:rStyle w:val="FootnoteReference"/>
        </w:rPr>
        <w:footnoteRef/>
      </w:r>
      <w:r w:rsidRPr="00E86BE8">
        <w:rPr>
          <w:sz w:val="18"/>
          <w:szCs w:val="18"/>
        </w:rPr>
        <w:t xml:space="preserve"> </w:t>
      </w:r>
      <w:r w:rsidRPr="00E86BE8">
        <w:rPr>
          <w:rFonts w:ascii="Cambria" w:hAnsi="Cambria"/>
          <w:sz w:val="18"/>
          <w:szCs w:val="18"/>
        </w:rPr>
        <w:t xml:space="preserve">Keene DL, et al. (1990) </w:t>
      </w:r>
      <w:proofErr w:type="spellStart"/>
      <w:r w:rsidRPr="00E86BE8">
        <w:rPr>
          <w:rFonts w:ascii="Cambria" w:hAnsi="Cambria"/>
          <w:sz w:val="18"/>
          <w:szCs w:val="18"/>
        </w:rPr>
        <w:t>Clobazam</w:t>
      </w:r>
      <w:proofErr w:type="spellEnd"/>
      <w:r w:rsidRPr="00E86BE8">
        <w:rPr>
          <w:rFonts w:ascii="Cambria" w:hAnsi="Cambria"/>
          <w:sz w:val="18"/>
          <w:szCs w:val="18"/>
        </w:rPr>
        <w:t xml:space="preserve"> as an add-on drug in the treatment of refractory epilepsy of childhood. </w:t>
      </w:r>
      <w:r w:rsidRPr="00E86BE8">
        <w:rPr>
          <w:rFonts w:ascii="Cambria" w:hAnsi="Cambria"/>
          <w:i/>
          <w:sz w:val="18"/>
          <w:szCs w:val="18"/>
        </w:rPr>
        <w:t xml:space="preserve">Can J </w:t>
      </w:r>
      <w:proofErr w:type="spellStart"/>
      <w:r w:rsidRPr="00E86BE8">
        <w:rPr>
          <w:rFonts w:ascii="Cambria" w:hAnsi="Cambria"/>
          <w:i/>
          <w:sz w:val="18"/>
          <w:szCs w:val="18"/>
        </w:rPr>
        <w:t>Neurol</w:t>
      </w:r>
      <w:proofErr w:type="spellEnd"/>
      <w:r w:rsidRPr="00E86BE8">
        <w:rPr>
          <w:rFonts w:ascii="Cambria" w:hAnsi="Cambria"/>
          <w:i/>
          <w:sz w:val="18"/>
          <w:szCs w:val="18"/>
        </w:rPr>
        <w:t xml:space="preserve"> Sci.</w:t>
      </w:r>
      <w:r w:rsidRPr="00E86BE8">
        <w:rPr>
          <w:rFonts w:ascii="Cambria" w:hAnsi="Cambria"/>
          <w:sz w:val="18"/>
          <w:szCs w:val="18"/>
        </w:rPr>
        <w:t xml:space="preserve"> 17: 317-319.</w:t>
      </w:r>
    </w:p>
  </w:footnote>
  <w:footnote w:id="68">
    <w:p w:rsidR="00E91D7F" w:rsidRPr="004B57BD" w:rsidRDefault="00E91D7F" w:rsidP="00A50C03">
      <w:pPr>
        <w:pStyle w:val="FootnoteText"/>
        <w:ind w:left="0" w:firstLine="0"/>
        <w:rPr>
          <w:rFonts w:ascii="Cambria" w:hAnsi="Cambria"/>
          <w:sz w:val="20"/>
        </w:rPr>
      </w:pPr>
      <w:r w:rsidRPr="004B57BD">
        <w:rPr>
          <w:rStyle w:val="FootnoteReference"/>
          <w:rFonts w:ascii="Cambria" w:hAnsi="Cambria"/>
          <w:sz w:val="20"/>
        </w:rPr>
        <w:footnoteRef/>
      </w:r>
      <w:r w:rsidRPr="00E86BE8">
        <w:rPr>
          <w:rFonts w:ascii="Cambria" w:hAnsi="Cambria"/>
          <w:sz w:val="18"/>
          <w:szCs w:val="18"/>
        </w:rPr>
        <w:t xml:space="preserve"> [No authors listed] (1998) </w:t>
      </w:r>
      <w:proofErr w:type="spellStart"/>
      <w:r w:rsidRPr="00E86BE8">
        <w:rPr>
          <w:rFonts w:ascii="Cambria" w:hAnsi="Cambria"/>
          <w:sz w:val="18"/>
          <w:szCs w:val="18"/>
        </w:rPr>
        <w:t>Clobazam</w:t>
      </w:r>
      <w:proofErr w:type="spellEnd"/>
      <w:r w:rsidRPr="00E86BE8">
        <w:rPr>
          <w:rFonts w:ascii="Cambria" w:hAnsi="Cambria"/>
          <w:sz w:val="18"/>
          <w:szCs w:val="18"/>
        </w:rPr>
        <w:t xml:space="preserve"> has equivalent efficacy to </w:t>
      </w:r>
      <w:proofErr w:type="spellStart"/>
      <w:r w:rsidRPr="00E86BE8">
        <w:rPr>
          <w:rFonts w:ascii="Cambria" w:hAnsi="Cambria"/>
          <w:sz w:val="18"/>
          <w:szCs w:val="18"/>
        </w:rPr>
        <w:t>carbamazepine</w:t>
      </w:r>
      <w:proofErr w:type="spellEnd"/>
      <w:r w:rsidRPr="00E86BE8">
        <w:rPr>
          <w:rFonts w:ascii="Cambria" w:hAnsi="Cambria"/>
          <w:sz w:val="18"/>
          <w:szCs w:val="18"/>
        </w:rPr>
        <w:t xml:space="preserve"> and </w:t>
      </w:r>
      <w:proofErr w:type="spellStart"/>
      <w:r w:rsidRPr="00E86BE8">
        <w:rPr>
          <w:rFonts w:ascii="Cambria" w:hAnsi="Cambria"/>
          <w:sz w:val="18"/>
          <w:szCs w:val="18"/>
        </w:rPr>
        <w:t>phenytoin</w:t>
      </w:r>
      <w:proofErr w:type="spellEnd"/>
      <w:r w:rsidRPr="00E86BE8">
        <w:rPr>
          <w:rFonts w:ascii="Cambria" w:hAnsi="Cambria"/>
          <w:sz w:val="18"/>
          <w:szCs w:val="18"/>
        </w:rPr>
        <w:t xml:space="preserve"> as </w:t>
      </w:r>
      <w:proofErr w:type="spellStart"/>
      <w:r w:rsidRPr="00E86BE8">
        <w:rPr>
          <w:rFonts w:ascii="Cambria" w:hAnsi="Cambria"/>
          <w:sz w:val="18"/>
          <w:szCs w:val="18"/>
        </w:rPr>
        <w:t>monotherapy</w:t>
      </w:r>
      <w:proofErr w:type="spellEnd"/>
      <w:r w:rsidRPr="00E86BE8">
        <w:rPr>
          <w:rFonts w:ascii="Cambria" w:hAnsi="Cambria"/>
          <w:sz w:val="18"/>
          <w:szCs w:val="18"/>
        </w:rPr>
        <w:t xml:space="preserve"> for childhood epilepsy. Canadian Study Group for Childhood Epilepsy. </w:t>
      </w:r>
      <w:proofErr w:type="spellStart"/>
      <w:r w:rsidRPr="00E86BE8">
        <w:rPr>
          <w:rFonts w:ascii="Cambria" w:hAnsi="Cambria"/>
          <w:i/>
          <w:sz w:val="18"/>
          <w:szCs w:val="18"/>
        </w:rPr>
        <w:t>Epilepsia</w:t>
      </w:r>
      <w:proofErr w:type="spellEnd"/>
      <w:r w:rsidRPr="00E86BE8">
        <w:rPr>
          <w:rFonts w:ascii="Cambria" w:hAnsi="Cambria"/>
          <w:sz w:val="18"/>
          <w:szCs w:val="18"/>
        </w:rPr>
        <w:t xml:space="preserve"> 39: 952-959.</w:t>
      </w:r>
    </w:p>
  </w:footnote>
  <w:footnote w:id="69">
    <w:p w:rsidR="00E91D7F" w:rsidRPr="004B57BD" w:rsidRDefault="00E91D7F" w:rsidP="00A50C03">
      <w:pPr>
        <w:pStyle w:val="FootnoteText"/>
        <w:ind w:left="0" w:firstLine="0"/>
        <w:rPr>
          <w:rFonts w:ascii="Cambria" w:hAnsi="Cambria"/>
          <w:sz w:val="20"/>
        </w:rPr>
      </w:pPr>
      <w:r w:rsidRPr="004B57BD">
        <w:rPr>
          <w:rStyle w:val="FootnoteReference"/>
          <w:rFonts w:ascii="Cambria" w:hAnsi="Cambria"/>
          <w:sz w:val="20"/>
        </w:rPr>
        <w:footnoteRef/>
      </w:r>
      <w:r w:rsidRPr="00E86BE8">
        <w:rPr>
          <w:rFonts w:ascii="Cambria" w:hAnsi="Cambria"/>
          <w:sz w:val="18"/>
          <w:szCs w:val="18"/>
        </w:rPr>
        <w:t xml:space="preserve"> </w:t>
      </w:r>
      <w:proofErr w:type="spellStart"/>
      <w:r w:rsidRPr="00E86BE8">
        <w:rPr>
          <w:rFonts w:ascii="Cambria" w:hAnsi="Cambria"/>
          <w:sz w:val="18"/>
          <w:szCs w:val="18"/>
        </w:rPr>
        <w:t>Bawden</w:t>
      </w:r>
      <w:proofErr w:type="spellEnd"/>
      <w:r w:rsidRPr="00E86BE8">
        <w:rPr>
          <w:rFonts w:ascii="Cambria" w:hAnsi="Cambria"/>
          <w:sz w:val="18"/>
          <w:szCs w:val="18"/>
        </w:rPr>
        <w:t xml:space="preserve"> HN, et al. (1999) The cognitive and behavioural effects of </w:t>
      </w:r>
      <w:proofErr w:type="spellStart"/>
      <w:r w:rsidRPr="00E86BE8">
        <w:rPr>
          <w:rFonts w:ascii="Cambria" w:hAnsi="Cambria"/>
          <w:sz w:val="18"/>
          <w:szCs w:val="18"/>
        </w:rPr>
        <w:t>clobazam</w:t>
      </w:r>
      <w:proofErr w:type="spellEnd"/>
      <w:r w:rsidRPr="00E86BE8">
        <w:rPr>
          <w:rFonts w:ascii="Cambria" w:hAnsi="Cambria"/>
          <w:sz w:val="18"/>
          <w:szCs w:val="18"/>
        </w:rPr>
        <w:t xml:space="preserve"> and standard </w:t>
      </w:r>
      <w:proofErr w:type="spellStart"/>
      <w:r w:rsidRPr="00E86BE8">
        <w:rPr>
          <w:rFonts w:ascii="Cambria" w:hAnsi="Cambria"/>
          <w:sz w:val="18"/>
          <w:szCs w:val="18"/>
        </w:rPr>
        <w:t>monotherapy</w:t>
      </w:r>
      <w:proofErr w:type="spellEnd"/>
      <w:r w:rsidRPr="00E86BE8">
        <w:rPr>
          <w:rFonts w:ascii="Cambria" w:hAnsi="Cambria"/>
          <w:sz w:val="18"/>
          <w:szCs w:val="18"/>
        </w:rPr>
        <w:t xml:space="preserve"> are comparable. Canadian Study Group for Childhood Epilepsy. </w:t>
      </w:r>
      <w:r w:rsidRPr="00E86BE8">
        <w:rPr>
          <w:rFonts w:ascii="Cambria" w:hAnsi="Cambria"/>
          <w:i/>
          <w:sz w:val="18"/>
          <w:szCs w:val="18"/>
        </w:rPr>
        <w:t>Epilepsy Res.</w:t>
      </w:r>
      <w:r w:rsidRPr="00E86BE8">
        <w:rPr>
          <w:rFonts w:ascii="Cambria" w:hAnsi="Cambria"/>
          <w:sz w:val="18"/>
          <w:szCs w:val="18"/>
        </w:rPr>
        <w:t xml:space="preserve"> 33: 133-143.</w:t>
      </w:r>
    </w:p>
  </w:footnote>
  <w:footnote w:id="70">
    <w:p w:rsidR="00E91D7F" w:rsidRPr="00EE37E6" w:rsidRDefault="00E91D7F" w:rsidP="00A50C03">
      <w:pPr>
        <w:pStyle w:val="FootnoteText"/>
        <w:ind w:left="0" w:firstLine="0"/>
        <w:rPr>
          <w:rFonts w:ascii="Cambria" w:hAnsi="Cambria"/>
        </w:rPr>
      </w:pPr>
      <w:r w:rsidRPr="00EE37E6">
        <w:rPr>
          <w:rStyle w:val="FootnoteReference"/>
          <w:rFonts w:ascii="Cambria" w:hAnsi="Cambria"/>
        </w:rPr>
        <w:footnoteRef/>
      </w:r>
      <w:r w:rsidRPr="00EE37E6">
        <w:rPr>
          <w:rFonts w:ascii="Cambria" w:hAnsi="Cambria"/>
          <w:sz w:val="18"/>
          <w:szCs w:val="18"/>
        </w:rPr>
        <w:t xml:space="preserve"> </w:t>
      </w:r>
      <w:r w:rsidRPr="00EE37E6">
        <w:rPr>
          <w:rFonts w:ascii="Cambria" w:hAnsi="Cambria"/>
          <w:sz w:val="18"/>
          <w:szCs w:val="18"/>
          <w:lang w:val="nl-NL"/>
        </w:rPr>
        <w:t xml:space="preserve">Ng YT, et al. (2011) </w:t>
      </w:r>
      <w:r w:rsidRPr="00EE37E6">
        <w:rPr>
          <w:rFonts w:ascii="Cambria" w:hAnsi="Cambria"/>
          <w:sz w:val="18"/>
          <w:szCs w:val="18"/>
        </w:rPr>
        <w:t xml:space="preserve">Randomised, phase III study results of </w:t>
      </w:r>
      <w:proofErr w:type="spellStart"/>
      <w:r w:rsidRPr="00EE37E6">
        <w:rPr>
          <w:rFonts w:ascii="Cambria" w:hAnsi="Cambria"/>
          <w:sz w:val="18"/>
          <w:szCs w:val="18"/>
        </w:rPr>
        <w:t>clobazam</w:t>
      </w:r>
      <w:proofErr w:type="spellEnd"/>
      <w:r w:rsidRPr="00EE37E6">
        <w:rPr>
          <w:rFonts w:ascii="Cambria" w:hAnsi="Cambria"/>
          <w:sz w:val="18"/>
          <w:szCs w:val="18"/>
        </w:rPr>
        <w:t xml:space="preserve"> in Lennox-</w:t>
      </w:r>
      <w:proofErr w:type="spellStart"/>
      <w:r w:rsidRPr="00EE37E6">
        <w:rPr>
          <w:rFonts w:ascii="Cambria" w:hAnsi="Cambria"/>
          <w:sz w:val="18"/>
          <w:szCs w:val="18"/>
        </w:rPr>
        <w:t>Gastaut</w:t>
      </w:r>
      <w:proofErr w:type="spellEnd"/>
      <w:r w:rsidRPr="00EE37E6">
        <w:rPr>
          <w:rFonts w:ascii="Cambria" w:hAnsi="Cambria"/>
          <w:sz w:val="18"/>
          <w:szCs w:val="18"/>
        </w:rPr>
        <w:t xml:space="preserve"> syndrome. </w:t>
      </w:r>
      <w:r w:rsidRPr="00EE37E6">
        <w:rPr>
          <w:rFonts w:ascii="Cambria" w:hAnsi="Cambria"/>
          <w:i/>
          <w:sz w:val="18"/>
          <w:szCs w:val="18"/>
        </w:rPr>
        <w:t>Neurology</w:t>
      </w:r>
      <w:r w:rsidRPr="00EE37E6">
        <w:rPr>
          <w:rFonts w:ascii="Cambria" w:hAnsi="Cambria"/>
          <w:sz w:val="18"/>
          <w:szCs w:val="18"/>
        </w:rPr>
        <w:t xml:space="preserve"> 77: 1473-1481.</w:t>
      </w:r>
    </w:p>
  </w:footnote>
  <w:footnote w:id="71">
    <w:p w:rsidR="00E91D7F" w:rsidRPr="00EE37E6" w:rsidRDefault="00E91D7F" w:rsidP="00A50C03">
      <w:pPr>
        <w:pStyle w:val="FootnoteText"/>
        <w:ind w:left="0" w:firstLine="0"/>
        <w:rPr>
          <w:rFonts w:ascii="Cambria" w:hAnsi="Cambria"/>
        </w:rPr>
      </w:pPr>
      <w:r w:rsidRPr="00EE37E6">
        <w:rPr>
          <w:rStyle w:val="FootnoteReference"/>
          <w:rFonts w:ascii="Cambria" w:hAnsi="Cambria"/>
        </w:rPr>
        <w:footnoteRef/>
      </w:r>
      <w:r w:rsidRPr="00EE37E6">
        <w:rPr>
          <w:rFonts w:ascii="Cambria" w:hAnsi="Cambria"/>
          <w:sz w:val="18"/>
          <w:szCs w:val="18"/>
        </w:rPr>
        <w:t xml:space="preserve"> </w:t>
      </w:r>
      <w:proofErr w:type="spellStart"/>
      <w:r w:rsidRPr="00EE37E6">
        <w:rPr>
          <w:rFonts w:ascii="Cambria" w:hAnsi="Cambria"/>
          <w:sz w:val="18"/>
          <w:szCs w:val="18"/>
        </w:rPr>
        <w:t>Bawden</w:t>
      </w:r>
      <w:proofErr w:type="spellEnd"/>
      <w:r w:rsidRPr="00EE37E6">
        <w:rPr>
          <w:rFonts w:ascii="Cambria" w:hAnsi="Cambria"/>
          <w:sz w:val="18"/>
          <w:szCs w:val="18"/>
        </w:rPr>
        <w:t xml:space="preserve"> HN, et al. (1999) The cognitive and behavioural effects of </w:t>
      </w:r>
      <w:proofErr w:type="spellStart"/>
      <w:r w:rsidRPr="00EE37E6">
        <w:rPr>
          <w:rFonts w:ascii="Cambria" w:hAnsi="Cambria"/>
          <w:sz w:val="18"/>
          <w:szCs w:val="18"/>
        </w:rPr>
        <w:t>clobazam</w:t>
      </w:r>
      <w:proofErr w:type="spellEnd"/>
      <w:r w:rsidRPr="00EE37E6">
        <w:rPr>
          <w:rFonts w:ascii="Cambria" w:hAnsi="Cambria"/>
          <w:sz w:val="18"/>
          <w:szCs w:val="18"/>
        </w:rPr>
        <w:t xml:space="preserve"> and standard </w:t>
      </w:r>
      <w:proofErr w:type="spellStart"/>
      <w:r w:rsidRPr="00EE37E6">
        <w:rPr>
          <w:rFonts w:ascii="Cambria" w:hAnsi="Cambria"/>
          <w:sz w:val="18"/>
          <w:szCs w:val="18"/>
        </w:rPr>
        <w:t>monotherapy</w:t>
      </w:r>
      <w:proofErr w:type="spellEnd"/>
      <w:r w:rsidRPr="00EE37E6">
        <w:rPr>
          <w:rFonts w:ascii="Cambria" w:hAnsi="Cambria"/>
          <w:sz w:val="18"/>
          <w:szCs w:val="18"/>
        </w:rPr>
        <w:t xml:space="preserve"> are comparable. Canadian Study Group for Childhood Epilepsy. </w:t>
      </w:r>
      <w:r w:rsidRPr="00EE37E6">
        <w:rPr>
          <w:rFonts w:ascii="Cambria" w:hAnsi="Cambria"/>
          <w:i/>
          <w:sz w:val="18"/>
          <w:szCs w:val="18"/>
        </w:rPr>
        <w:t>Epilepsy Res.</w:t>
      </w:r>
      <w:r w:rsidRPr="00EE37E6">
        <w:rPr>
          <w:rFonts w:ascii="Cambria" w:hAnsi="Cambria"/>
          <w:sz w:val="18"/>
          <w:szCs w:val="18"/>
        </w:rPr>
        <w:t xml:space="preserve"> 33: 133-143.</w:t>
      </w:r>
    </w:p>
  </w:footnote>
  <w:footnote w:id="72">
    <w:p w:rsidR="00E91D7F" w:rsidRPr="00EE37E6" w:rsidRDefault="00E91D7F" w:rsidP="00A50C03">
      <w:pPr>
        <w:pStyle w:val="FootnoteText"/>
        <w:ind w:left="0" w:firstLine="0"/>
        <w:rPr>
          <w:rFonts w:ascii="Cambria" w:hAnsi="Cambria"/>
          <w:sz w:val="20"/>
        </w:rPr>
      </w:pPr>
      <w:r w:rsidRPr="00EE37E6">
        <w:rPr>
          <w:rStyle w:val="FootnoteReference"/>
          <w:rFonts w:ascii="Cambria" w:hAnsi="Cambria"/>
          <w:sz w:val="20"/>
        </w:rPr>
        <w:footnoteRef/>
      </w:r>
      <w:r w:rsidRPr="00EE37E6">
        <w:rPr>
          <w:rFonts w:ascii="Cambria" w:hAnsi="Cambria"/>
          <w:sz w:val="18"/>
          <w:szCs w:val="18"/>
        </w:rPr>
        <w:t xml:space="preserve"> </w:t>
      </w:r>
      <w:proofErr w:type="spellStart"/>
      <w:r w:rsidRPr="00EE37E6">
        <w:rPr>
          <w:rFonts w:ascii="Cambria" w:hAnsi="Cambria"/>
          <w:sz w:val="18"/>
          <w:szCs w:val="18"/>
        </w:rPr>
        <w:t>Patat</w:t>
      </w:r>
      <w:proofErr w:type="spellEnd"/>
      <w:r w:rsidRPr="00EE37E6">
        <w:rPr>
          <w:rFonts w:ascii="Cambria" w:hAnsi="Cambria"/>
          <w:sz w:val="18"/>
          <w:szCs w:val="18"/>
        </w:rPr>
        <w:t xml:space="preserve"> A, et al. (1987) Effects of single oral doses of </w:t>
      </w:r>
      <w:proofErr w:type="spellStart"/>
      <w:r w:rsidRPr="00EE37E6">
        <w:rPr>
          <w:rFonts w:ascii="Cambria" w:hAnsi="Cambria"/>
          <w:sz w:val="18"/>
          <w:szCs w:val="18"/>
        </w:rPr>
        <w:t>clobazam</w:t>
      </w:r>
      <w:proofErr w:type="spellEnd"/>
      <w:r w:rsidRPr="00EE37E6">
        <w:rPr>
          <w:rFonts w:ascii="Cambria" w:hAnsi="Cambria"/>
          <w:sz w:val="18"/>
          <w:szCs w:val="18"/>
        </w:rPr>
        <w:t xml:space="preserve">, diazepam and </w:t>
      </w:r>
      <w:proofErr w:type="spellStart"/>
      <w:r w:rsidRPr="00EE37E6">
        <w:rPr>
          <w:rFonts w:ascii="Cambria" w:hAnsi="Cambria"/>
          <w:sz w:val="18"/>
          <w:szCs w:val="18"/>
        </w:rPr>
        <w:t>lorazepam</w:t>
      </w:r>
      <w:proofErr w:type="spellEnd"/>
      <w:r w:rsidRPr="00EE37E6">
        <w:rPr>
          <w:rFonts w:ascii="Cambria" w:hAnsi="Cambria"/>
          <w:sz w:val="18"/>
          <w:szCs w:val="18"/>
        </w:rPr>
        <w:t xml:space="preserve"> on performance tasks and memory. </w:t>
      </w:r>
      <w:r w:rsidRPr="00EE37E6">
        <w:rPr>
          <w:rFonts w:ascii="Cambria" w:hAnsi="Cambria"/>
          <w:i/>
          <w:sz w:val="18"/>
          <w:szCs w:val="18"/>
        </w:rPr>
        <w:t xml:space="preserve">Eur J </w:t>
      </w:r>
      <w:proofErr w:type="spellStart"/>
      <w:r w:rsidRPr="00EE37E6">
        <w:rPr>
          <w:rFonts w:ascii="Cambria" w:hAnsi="Cambria"/>
          <w:i/>
          <w:sz w:val="18"/>
          <w:szCs w:val="18"/>
        </w:rPr>
        <w:t>Clin</w:t>
      </w:r>
      <w:proofErr w:type="spellEnd"/>
      <w:r w:rsidRPr="00EE37E6">
        <w:rPr>
          <w:rFonts w:ascii="Cambria" w:hAnsi="Cambria"/>
          <w:i/>
          <w:sz w:val="18"/>
          <w:szCs w:val="18"/>
        </w:rPr>
        <w:t xml:space="preserve"> </w:t>
      </w:r>
      <w:proofErr w:type="spellStart"/>
      <w:r w:rsidRPr="00EE37E6">
        <w:rPr>
          <w:rFonts w:ascii="Cambria" w:hAnsi="Cambria"/>
          <w:i/>
          <w:sz w:val="18"/>
          <w:szCs w:val="18"/>
        </w:rPr>
        <w:t>Pharmacol</w:t>
      </w:r>
      <w:proofErr w:type="spellEnd"/>
      <w:r w:rsidRPr="00EE37E6">
        <w:rPr>
          <w:rFonts w:ascii="Cambria" w:hAnsi="Cambria"/>
          <w:i/>
          <w:sz w:val="18"/>
          <w:szCs w:val="18"/>
        </w:rPr>
        <w:t>.</w:t>
      </w:r>
      <w:r w:rsidRPr="00EE37E6">
        <w:rPr>
          <w:rFonts w:ascii="Cambria" w:hAnsi="Cambria"/>
          <w:sz w:val="18"/>
          <w:szCs w:val="18"/>
        </w:rPr>
        <w:t xml:space="preserve"> 32: 461-466.</w:t>
      </w:r>
    </w:p>
  </w:footnote>
  <w:footnote w:id="73">
    <w:p w:rsidR="00E91D7F" w:rsidRPr="00E234D6" w:rsidRDefault="00E91D7F" w:rsidP="00A50C03">
      <w:pPr>
        <w:pStyle w:val="FootnoteText"/>
        <w:ind w:left="0" w:firstLine="0"/>
        <w:rPr>
          <w:rFonts w:ascii="Cambria" w:hAnsi="Cambria"/>
          <w:sz w:val="20"/>
        </w:rPr>
      </w:pPr>
      <w:r w:rsidRPr="00EE37E6">
        <w:rPr>
          <w:rStyle w:val="FootnoteReference"/>
          <w:rFonts w:ascii="Cambria" w:hAnsi="Cambria"/>
          <w:sz w:val="20"/>
        </w:rPr>
        <w:footnoteRef/>
      </w:r>
      <w:r w:rsidRPr="00EE37E6">
        <w:rPr>
          <w:rFonts w:ascii="Cambria" w:hAnsi="Cambria"/>
          <w:sz w:val="20"/>
        </w:rPr>
        <w:t xml:space="preserve"> </w:t>
      </w:r>
      <w:proofErr w:type="spellStart"/>
      <w:r w:rsidRPr="00EE37E6">
        <w:rPr>
          <w:rFonts w:ascii="Cambria" w:hAnsi="Cambria"/>
          <w:sz w:val="20"/>
        </w:rPr>
        <w:t>Patat</w:t>
      </w:r>
      <w:proofErr w:type="spellEnd"/>
      <w:r w:rsidRPr="00EE37E6">
        <w:rPr>
          <w:rFonts w:ascii="Cambria" w:hAnsi="Cambria"/>
          <w:sz w:val="20"/>
        </w:rPr>
        <w:t xml:space="preserve"> A, </w:t>
      </w:r>
      <w:proofErr w:type="spellStart"/>
      <w:r w:rsidRPr="00EE37E6">
        <w:rPr>
          <w:rFonts w:ascii="Cambria" w:hAnsi="Cambria"/>
          <w:sz w:val="20"/>
        </w:rPr>
        <w:t>Foulhoux</w:t>
      </w:r>
      <w:proofErr w:type="spellEnd"/>
      <w:r w:rsidRPr="00EE37E6">
        <w:rPr>
          <w:rFonts w:ascii="Cambria" w:hAnsi="Cambria"/>
          <w:sz w:val="20"/>
        </w:rPr>
        <w:t xml:space="preserve"> P. (1985) Effect on postural sway of various benzodiazepine tranquillizers. </w:t>
      </w:r>
      <w:r w:rsidRPr="00EE37E6">
        <w:rPr>
          <w:rFonts w:ascii="Cambria" w:hAnsi="Cambria"/>
          <w:i/>
          <w:sz w:val="20"/>
        </w:rPr>
        <w:t xml:space="preserve">Br J </w:t>
      </w:r>
      <w:proofErr w:type="spellStart"/>
      <w:r w:rsidRPr="00EE37E6">
        <w:rPr>
          <w:rFonts w:ascii="Cambria" w:hAnsi="Cambria"/>
          <w:i/>
          <w:sz w:val="20"/>
        </w:rPr>
        <w:t>Clin</w:t>
      </w:r>
      <w:proofErr w:type="spellEnd"/>
      <w:r w:rsidRPr="00EE37E6">
        <w:rPr>
          <w:rFonts w:ascii="Cambria" w:hAnsi="Cambria"/>
          <w:i/>
          <w:sz w:val="20"/>
        </w:rPr>
        <w:t xml:space="preserve"> </w:t>
      </w:r>
      <w:proofErr w:type="spellStart"/>
      <w:r w:rsidRPr="00EE37E6">
        <w:rPr>
          <w:rFonts w:ascii="Cambria" w:hAnsi="Cambria"/>
          <w:i/>
          <w:sz w:val="20"/>
        </w:rPr>
        <w:t>Pharmacol</w:t>
      </w:r>
      <w:proofErr w:type="spellEnd"/>
      <w:r w:rsidRPr="00EE37E6">
        <w:rPr>
          <w:rFonts w:ascii="Cambria" w:hAnsi="Cambria"/>
          <w:i/>
          <w:sz w:val="20"/>
        </w:rPr>
        <w:t>.</w:t>
      </w:r>
      <w:r w:rsidRPr="00EE37E6">
        <w:rPr>
          <w:rFonts w:ascii="Cambria" w:hAnsi="Cambria"/>
          <w:sz w:val="20"/>
        </w:rPr>
        <w:t xml:space="preserve"> 20: 9-16.</w:t>
      </w:r>
    </w:p>
  </w:footnote>
  <w:footnote w:id="74">
    <w:p w:rsidR="00E91D7F" w:rsidRPr="007F6AB1" w:rsidRDefault="00E91D7F" w:rsidP="00A50C03">
      <w:pPr>
        <w:pStyle w:val="FootnoteText"/>
        <w:ind w:left="0" w:firstLine="0"/>
        <w:rPr>
          <w:rFonts w:ascii="Cambria" w:hAnsi="Cambria"/>
          <w:sz w:val="20"/>
        </w:rPr>
      </w:pPr>
      <w:r w:rsidRPr="007F6AB1">
        <w:rPr>
          <w:rStyle w:val="FootnoteReference"/>
          <w:rFonts w:ascii="Cambria" w:hAnsi="Cambria"/>
          <w:sz w:val="20"/>
        </w:rPr>
        <w:footnoteRef/>
      </w:r>
      <w:r w:rsidRPr="007F6AB1">
        <w:rPr>
          <w:rFonts w:ascii="Cambria" w:hAnsi="Cambria"/>
          <w:sz w:val="20"/>
        </w:rPr>
        <w:t xml:space="preserve"> Trimble MR, Thompson PJ. (1983) Anticonvulsant drugs, cognitive function, and </w:t>
      </w:r>
      <w:proofErr w:type="spellStart"/>
      <w:r w:rsidRPr="007F6AB1">
        <w:rPr>
          <w:rFonts w:ascii="Cambria" w:hAnsi="Cambria"/>
          <w:sz w:val="20"/>
        </w:rPr>
        <w:t>behavior</w:t>
      </w:r>
      <w:proofErr w:type="spellEnd"/>
      <w:r w:rsidRPr="007F6AB1">
        <w:rPr>
          <w:rFonts w:ascii="Cambria" w:hAnsi="Cambria"/>
          <w:sz w:val="20"/>
        </w:rPr>
        <w:t xml:space="preserve">. </w:t>
      </w:r>
      <w:proofErr w:type="spellStart"/>
      <w:r w:rsidRPr="007F6AB1">
        <w:rPr>
          <w:rFonts w:ascii="Cambria" w:hAnsi="Cambria"/>
          <w:i/>
          <w:sz w:val="20"/>
        </w:rPr>
        <w:t>Epilepsia</w:t>
      </w:r>
      <w:proofErr w:type="spellEnd"/>
      <w:r w:rsidRPr="007F6AB1">
        <w:rPr>
          <w:rFonts w:ascii="Cambria" w:hAnsi="Cambria"/>
          <w:sz w:val="20"/>
        </w:rPr>
        <w:t xml:space="preserve"> 24 </w:t>
      </w:r>
      <w:proofErr w:type="spellStart"/>
      <w:r w:rsidRPr="007F6AB1">
        <w:rPr>
          <w:rFonts w:ascii="Cambria" w:hAnsi="Cambria"/>
          <w:sz w:val="20"/>
        </w:rPr>
        <w:t>Suppl</w:t>
      </w:r>
      <w:proofErr w:type="spellEnd"/>
      <w:r w:rsidRPr="007F6AB1">
        <w:rPr>
          <w:rFonts w:ascii="Cambria" w:hAnsi="Cambria"/>
          <w:sz w:val="20"/>
        </w:rPr>
        <w:t xml:space="preserve"> 1:S55-S63</w:t>
      </w:r>
    </w:p>
  </w:footnote>
  <w:footnote w:id="75">
    <w:p w:rsidR="00E91D7F" w:rsidRPr="007F6AB1" w:rsidRDefault="00E91D7F" w:rsidP="00A50C03">
      <w:pPr>
        <w:pStyle w:val="FootnoteText"/>
        <w:ind w:left="0" w:firstLine="0"/>
        <w:rPr>
          <w:rFonts w:ascii="Cambria" w:hAnsi="Cambria"/>
          <w:sz w:val="20"/>
        </w:rPr>
      </w:pPr>
      <w:r w:rsidRPr="007F6AB1">
        <w:rPr>
          <w:rStyle w:val="FootnoteReference"/>
          <w:rFonts w:ascii="Cambria" w:hAnsi="Cambria"/>
          <w:sz w:val="20"/>
        </w:rPr>
        <w:footnoteRef/>
      </w:r>
      <w:r w:rsidRPr="00E86BE8">
        <w:rPr>
          <w:rFonts w:ascii="Cambria" w:hAnsi="Cambria"/>
          <w:sz w:val="18"/>
          <w:szCs w:val="18"/>
        </w:rPr>
        <w:t xml:space="preserve"> </w:t>
      </w:r>
      <w:proofErr w:type="spellStart"/>
      <w:r w:rsidRPr="00E86BE8">
        <w:rPr>
          <w:rFonts w:ascii="Cambria" w:hAnsi="Cambria"/>
          <w:sz w:val="18"/>
          <w:szCs w:val="18"/>
        </w:rPr>
        <w:t>Goggin</w:t>
      </w:r>
      <w:proofErr w:type="spellEnd"/>
      <w:r w:rsidRPr="00E86BE8">
        <w:rPr>
          <w:rFonts w:ascii="Cambria" w:hAnsi="Cambria"/>
          <w:sz w:val="18"/>
          <w:szCs w:val="18"/>
        </w:rPr>
        <w:t xml:space="preserve"> T, Callaghan N. (1985) Blood levels of </w:t>
      </w:r>
      <w:proofErr w:type="spellStart"/>
      <w:r w:rsidRPr="00E86BE8">
        <w:rPr>
          <w:rFonts w:ascii="Cambria" w:hAnsi="Cambria"/>
          <w:sz w:val="18"/>
          <w:szCs w:val="18"/>
        </w:rPr>
        <w:t>clobazam</w:t>
      </w:r>
      <w:proofErr w:type="spellEnd"/>
      <w:r w:rsidRPr="00E86BE8">
        <w:rPr>
          <w:rFonts w:ascii="Cambria" w:hAnsi="Cambria"/>
          <w:sz w:val="18"/>
          <w:szCs w:val="18"/>
        </w:rPr>
        <w:t xml:space="preserve"> and its metabolites and therapeutic effect: Academic Press Inc., pp. 159-165.</w:t>
      </w:r>
    </w:p>
  </w:footnote>
  <w:footnote w:id="76">
    <w:p w:rsidR="00E91D7F" w:rsidRPr="007F6AB1" w:rsidRDefault="00E91D7F" w:rsidP="00A50C03">
      <w:pPr>
        <w:pStyle w:val="FootnoteText"/>
        <w:ind w:left="0" w:firstLine="0"/>
        <w:rPr>
          <w:rFonts w:ascii="Cambria" w:hAnsi="Cambria"/>
          <w:sz w:val="20"/>
        </w:rPr>
      </w:pPr>
      <w:r w:rsidRPr="007F6AB1">
        <w:rPr>
          <w:rStyle w:val="FootnoteReference"/>
          <w:rFonts w:ascii="Cambria" w:hAnsi="Cambria"/>
          <w:sz w:val="20"/>
        </w:rPr>
        <w:footnoteRef/>
      </w:r>
      <w:r w:rsidRPr="00E86BE8">
        <w:rPr>
          <w:rFonts w:ascii="Cambria" w:hAnsi="Cambria"/>
          <w:sz w:val="18"/>
          <w:szCs w:val="18"/>
        </w:rPr>
        <w:t xml:space="preserve"> </w:t>
      </w:r>
      <w:proofErr w:type="spellStart"/>
      <w:r w:rsidRPr="00E86BE8">
        <w:rPr>
          <w:rFonts w:ascii="Cambria" w:hAnsi="Cambria"/>
          <w:sz w:val="18"/>
          <w:szCs w:val="18"/>
        </w:rPr>
        <w:t>Vakil</w:t>
      </w:r>
      <w:proofErr w:type="spellEnd"/>
      <w:r w:rsidRPr="00E86BE8">
        <w:rPr>
          <w:rFonts w:ascii="Cambria" w:hAnsi="Cambria"/>
          <w:sz w:val="18"/>
          <w:szCs w:val="18"/>
        </w:rPr>
        <w:t xml:space="preserve"> SD, et al. (1981) The effect of </w:t>
      </w:r>
      <w:proofErr w:type="spellStart"/>
      <w:r w:rsidRPr="00E86BE8">
        <w:rPr>
          <w:rFonts w:ascii="Cambria" w:hAnsi="Cambria"/>
          <w:sz w:val="18"/>
          <w:szCs w:val="18"/>
        </w:rPr>
        <w:t>clobazam</w:t>
      </w:r>
      <w:proofErr w:type="spellEnd"/>
      <w:r w:rsidRPr="00E86BE8">
        <w:rPr>
          <w:rFonts w:ascii="Cambria" w:hAnsi="Cambria"/>
          <w:sz w:val="18"/>
          <w:szCs w:val="18"/>
        </w:rPr>
        <w:t xml:space="preserve"> on blood levels of </w:t>
      </w:r>
      <w:proofErr w:type="spellStart"/>
      <w:r w:rsidRPr="00E86BE8">
        <w:rPr>
          <w:rFonts w:ascii="Cambria" w:hAnsi="Cambria"/>
          <w:sz w:val="18"/>
          <w:szCs w:val="18"/>
        </w:rPr>
        <w:t>phenobarbitone</w:t>
      </w:r>
      <w:proofErr w:type="spellEnd"/>
      <w:r w:rsidRPr="00E86BE8">
        <w:rPr>
          <w:rFonts w:ascii="Cambria" w:hAnsi="Cambria"/>
          <w:sz w:val="18"/>
          <w:szCs w:val="18"/>
        </w:rPr>
        <w:t xml:space="preserve">, </w:t>
      </w:r>
      <w:proofErr w:type="spellStart"/>
      <w:r w:rsidRPr="00E86BE8">
        <w:rPr>
          <w:rFonts w:ascii="Cambria" w:hAnsi="Cambria"/>
          <w:sz w:val="18"/>
          <w:szCs w:val="18"/>
        </w:rPr>
        <w:t>phenytoin</w:t>
      </w:r>
      <w:proofErr w:type="spellEnd"/>
      <w:r w:rsidRPr="00E86BE8">
        <w:rPr>
          <w:rFonts w:ascii="Cambria" w:hAnsi="Cambria"/>
          <w:sz w:val="18"/>
          <w:szCs w:val="18"/>
        </w:rPr>
        <w:t xml:space="preserve"> and </w:t>
      </w:r>
      <w:proofErr w:type="spellStart"/>
      <w:r w:rsidRPr="00E86BE8">
        <w:rPr>
          <w:rFonts w:ascii="Cambria" w:hAnsi="Cambria"/>
          <w:sz w:val="18"/>
          <w:szCs w:val="18"/>
        </w:rPr>
        <w:t>carbamazepine</w:t>
      </w:r>
      <w:proofErr w:type="spellEnd"/>
      <w:r w:rsidRPr="00E86BE8">
        <w:rPr>
          <w:rFonts w:ascii="Cambria" w:hAnsi="Cambria"/>
          <w:sz w:val="18"/>
          <w:szCs w:val="18"/>
        </w:rPr>
        <w:t xml:space="preserve"> (preliminary report). London: Academic Press Inc., pp. 165-167; </w:t>
      </w:r>
      <w:proofErr w:type="spellStart"/>
      <w:r w:rsidRPr="00E86BE8">
        <w:rPr>
          <w:rFonts w:ascii="Cambria" w:hAnsi="Cambria"/>
          <w:sz w:val="18"/>
          <w:szCs w:val="18"/>
        </w:rPr>
        <w:t>Sobaniec</w:t>
      </w:r>
      <w:proofErr w:type="spellEnd"/>
      <w:r w:rsidRPr="00E86BE8">
        <w:rPr>
          <w:rFonts w:ascii="Cambria" w:hAnsi="Cambria"/>
          <w:sz w:val="18"/>
          <w:szCs w:val="18"/>
        </w:rPr>
        <w:t xml:space="preserve"> W. (1992) Certain aspects of interaction between sodium </w:t>
      </w:r>
      <w:proofErr w:type="spellStart"/>
      <w:r w:rsidRPr="00E86BE8">
        <w:rPr>
          <w:rFonts w:ascii="Cambria" w:hAnsi="Cambria"/>
          <w:sz w:val="18"/>
          <w:szCs w:val="18"/>
        </w:rPr>
        <w:t>valproate</w:t>
      </w:r>
      <w:proofErr w:type="spellEnd"/>
      <w:r w:rsidRPr="00E86BE8">
        <w:rPr>
          <w:rFonts w:ascii="Cambria" w:hAnsi="Cambria"/>
          <w:sz w:val="18"/>
          <w:szCs w:val="18"/>
        </w:rPr>
        <w:t xml:space="preserve"> and other anticonvulsant drugs in the therapy of epilepsy in children. </w:t>
      </w:r>
      <w:r w:rsidRPr="00E86BE8">
        <w:rPr>
          <w:rFonts w:ascii="Cambria" w:hAnsi="Cambria"/>
          <w:i/>
          <w:sz w:val="18"/>
          <w:szCs w:val="18"/>
        </w:rPr>
        <w:t>Mater Med Pol.</w:t>
      </w:r>
      <w:r w:rsidRPr="00E86BE8">
        <w:rPr>
          <w:rFonts w:ascii="Cambria" w:hAnsi="Cambria"/>
          <w:sz w:val="18"/>
          <w:szCs w:val="18"/>
        </w:rPr>
        <w:t xml:space="preserve"> 24: 115-119; Bun H, et al. (1990) Effects of age and antiepileptic drugs on plasma levels and kinetics of </w:t>
      </w:r>
      <w:proofErr w:type="spellStart"/>
      <w:r w:rsidRPr="00E86BE8">
        <w:rPr>
          <w:rFonts w:ascii="Cambria" w:hAnsi="Cambria"/>
          <w:sz w:val="18"/>
          <w:szCs w:val="18"/>
        </w:rPr>
        <w:t>clobazam</w:t>
      </w:r>
      <w:proofErr w:type="spellEnd"/>
      <w:r w:rsidRPr="00E86BE8">
        <w:rPr>
          <w:rFonts w:ascii="Cambria" w:hAnsi="Cambria"/>
          <w:sz w:val="18"/>
          <w:szCs w:val="18"/>
        </w:rPr>
        <w:t xml:space="preserve"> and N-</w:t>
      </w:r>
      <w:proofErr w:type="spellStart"/>
      <w:r w:rsidRPr="00E86BE8">
        <w:rPr>
          <w:rFonts w:ascii="Cambria" w:hAnsi="Cambria"/>
          <w:sz w:val="18"/>
          <w:szCs w:val="18"/>
        </w:rPr>
        <w:t>desmethylclobazam</w:t>
      </w:r>
      <w:proofErr w:type="spellEnd"/>
      <w:r w:rsidRPr="00E86BE8">
        <w:rPr>
          <w:rFonts w:ascii="Cambria" w:hAnsi="Cambria"/>
          <w:sz w:val="18"/>
          <w:szCs w:val="18"/>
        </w:rPr>
        <w:t xml:space="preserve">. </w:t>
      </w:r>
      <w:proofErr w:type="spellStart"/>
      <w:r w:rsidRPr="00E86BE8">
        <w:rPr>
          <w:rFonts w:ascii="Cambria" w:hAnsi="Cambria"/>
          <w:i/>
          <w:sz w:val="18"/>
          <w:szCs w:val="18"/>
        </w:rPr>
        <w:t>Pharmacol</w:t>
      </w:r>
      <w:proofErr w:type="spellEnd"/>
      <w:r w:rsidRPr="00E86BE8">
        <w:rPr>
          <w:rFonts w:ascii="Cambria" w:hAnsi="Cambria"/>
          <w:i/>
          <w:sz w:val="18"/>
          <w:szCs w:val="18"/>
        </w:rPr>
        <w:t xml:space="preserve"> </w:t>
      </w:r>
      <w:proofErr w:type="spellStart"/>
      <w:r w:rsidRPr="00E86BE8">
        <w:rPr>
          <w:rFonts w:ascii="Cambria" w:hAnsi="Cambria"/>
          <w:i/>
          <w:sz w:val="18"/>
          <w:szCs w:val="18"/>
        </w:rPr>
        <w:t>Toxicol</w:t>
      </w:r>
      <w:proofErr w:type="spellEnd"/>
      <w:r w:rsidRPr="00E86BE8">
        <w:rPr>
          <w:rFonts w:ascii="Cambria" w:hAnsi="Cambria"/>
          <w:i/>
          <w:sz w:val="18"/>
          <w:szCs w:val="18"/>
        </w:rPr>
        <w:t>.</w:t>
      </w:r>
      <w:r w:rsidRPr="00E86BE8">
        <w:rPr>
          <w:rFonts w:ascii="Cambria" w:hAnsi="Cambria"/>
          <w:sz w:val="18"/>
          <w:szCs w:val="18"/>
        </w:rPr>
        <w:t xml:space="preserve"> 67: 136-140; </w:t>
      </w:r>
      <w:proofErr w:type="spellStart"/>
      <w:r w:rsidRPr="00E86BE8">
        <w:rPr>
          <w:rFonts w:ascii="Cambria" w:hAnsi="Cambria"/>
          <w:sz w:val="18"/>
          <w:szCs w:val="18"/>
        </w:rPr>
        <w:t>Contin</w:t>
      </w:r>
      <w:proofErr w:type="spellEnd"/>
      <w:r w:rsidRPr="00E86BE8">
        <w:rPr>
          <w:rFonts w:ascii="Cambria" w:hAnsi="Cambria"/>
          <w:sz w:val="18"/>
          <w:szCs w:val="18"/>
        </w:rPr>
        <w:t xml:space="preserve"> M, et al. (1999) Effect of </w:t>
      </w:r>
      <w:proofErr w:type="spellStart"/>
      <w:r w:rsidRPr="00E86BE8">
        <w:rPr>
          <w:rFonts w:ascii="Cambria" w:hAnsi="Cambria"/>
          <w:sz w:val="18"/>
          <w:szCs w:val="18"/>
        </w:rPr>
        <w:t>felbamate</w:t>
      </w:r>
      <w:proofErr w:type="spellEnd"/>
      <w:r w:rsidRPr="00E86BE8">
        <w:rPr>
          <w:rFonts w:ascii="Cambria" w:hAnsi="Cambria"/>
          <w:sz w:val="18"/>
          <w:szCs w:val="18"/>
        </w:rPr>
        <w:t xml:space="preserve"> on </w:t>
      </w:r>
      <w:proofErr w:type="spellStart"/>
      <w:r w:rsidRPr="00E86BE8">
        <w:rPr>
          <w:rFonts w:ascii="Cambria" w:hAnsi="Cambria"/>
          <w:sz w:val="18"/>
          <w:szCs w:val="18"/>
        </w:rPr>
        <w:t>clobazam</w:t>
      </w:r>
      <w:proofErr w:type="spellEnd"/>
      <w:r w:rsidRPr="00E86BE8">
        <w:rPr>
          <w:rFonts w:ascii="Cambria" w:hAnsi="Cambria"/>
          <w:sz w:val="18"/>
          <w:szCs w:val="18"/>
        </w:rPr>
        <w:t xml:space="preserve"> and its metabolite kinetics in patients with epilepsy. </w:t>
      </w:r>
      <w:proofErr w:type="spellStart"/>
      <w:r w:rsidRPr="00E86BE8">
        <w:rPr>
          <w:rFonts w:ascii="Cambria" w:hAnsi="Cambria"/>
          <w:i/>
          <w:sz w:val="18"/>
          <w:szCs w:val="18"/>
        </w:rPr>
        <w:t>Ther</w:t>
      </w:r>
      <w:proofErr w:type="spellEnd"/>
      <w:r w:rsidRPr="00E86BE8">
        <w:rPr>
          <w:rFonts w:ascii="Cambria" w:hAnsi="Cambria"/>
          <w:i/>
          <w:sz w:val="18"/>
          <w:szCs w:val="18"/>
        </w:rPr>
        <w:t xml:space="preserve"> Drug </w:t>
      </w:r>
      <w:proofErr w:type="spellStart"/>
      <w:r w:rsidRPr="00E86BE8">
        <w:rPr>
          <w:rFonts w:ascii="Cambria" w:hAnsi="Cambria"/>
          <w:i/>
          <w:sz w:val="18"/>
          <w:szCs w:val="18"/>
        </w:rPr>
        <w:t>Monit</w:t>
      </w:r>
      <w:proofErr w:type="spellEnd"/>
      <w:r w:rsidRPr="00E86BE8">
        <w:rPr>
          <w:rFonts w:ascii="Cambria" w:hAnsi="Cambria"/>
          <w:i/>
          <w:sz w:val="18"/>
          <w:szCs w:val="18"/>
        </w:rPr>
        <w:t>.</w:t>
      </w:r>
      <w:r w:rsidRPr="00E86BE8">
        <w:rPr>
          <w:rFonts w:ascii="Cambria" w:hAnsi="Cambria"/>
          <w:sz w:val="18"/>
          <w:szCs w:val="18"/>
        </w:rPr>
        <w:t xml:space="preserve"> 21: 604-608; </w:t>
      </w:r>
      <w:proofErr w:type="spellStart"/>
      <w:r w:rsidRPr="00E86BE8">
        <w:rPr>
          <w:rFonts w:ascii="Cambria" w:hAnsi="Cambria"/>
          <w:sz w:val="18"/>
          <w:szCs w:val="18"/>
        </w:rPr>
        <w:t>Arnoldussen</w:t>
      </w:r>
      <w:proofErr w:type="spellEnd"/>
      <w:r w:rsidRPr="00E86BE8">
        <w:rPr>
          <w:rFonts w:ascii="Cambria" w:hAnsi="Cambria"/>
          <w:sz w:val="18"/>
          <w:szCs w:val="18"/>
        </w:rPr>
        <w:t xml:space="preserve"> W, et al. (1993) Interaction of </w:t>
      </w:r>
      <w:proofErr w:type="spellStart"/>
      <w:r w:rsidRPr="00E86BE8">
        <w:rPr>
          <w:rFonts w:ascii="Cambria" w:hAnsi="Cambria"/>
          <w:sz w:val="18"/>
          <w:szCs w:val="18"/>
        </w:rPr>
        <w:t>valproate</w:t>
      </w:r>
      <w:proofErr w:type="spellEnd"/>
      <w:r w:rsidRPr="00E86BE8">
        <w:rPr>
          <w:rFonts w:ascii="Cambria" w:hAnsi="Cambria"/>
          <w:sz w:val="18"/>
          <w:szCs w:val="18"/>
        </w:rPr>
        <w:t xml:space="preserve"> and </w:t>
      </w:r>
      <w:proofErr w:type="spellStart"/>
      <w:r w:rsidRPr="00E86BE8">
        <w:rPr>
          <w:rFonts w:ascii="Cambria" w:hAnsi="Cambria"/>
          <w:sz w:val="18"/>
          <w:szCs w:val="18"/>
        </w:rPr>
        <w:t>clobazam</w:t>
      </w:r>
      <w:proofErr w:type="spellEnd"/>
      <w:r w:rsidRPr="00E86BE8">
        <w:rPr>
          <w:rFonts w:ascii="Cambria" w:hAnsi="Cambria"/>
          <w:sz w:val="18"/>
          <w:szCs w:val="18"/>
        </w:rPr>
        <w:t xml:space="preserve"> on </w:t>
      </w:r>
      <w:proofErr w:type="spellStart"/>
      <w:r w:rsidRPr="00E86BE8">
        <w:rPr>
          <w:rFonts w:ascii="Cambria" w:hAnsi="Cambria"/>
          <w:sz w:val="18"/>
          <w:szCs w:val="18"/>
        </w:rPr>
        <w:t>oxcarbazepine</w:t>
      </w:r>
      <w:proofErr w:type="spellEnd"/>
      <w:r w:rsidRPr="00E86BE8">
        <w:rPr>
          <w:rFonts w:ascii="Cambria" w:hAnsi="Cambria"/>
          <w:sz w:val="18"/>
          <w:szCs w:val="18"/>
        </w:rPr>
        <w:t xml:space="preserve">. </w:t>
      </w:r>
      <w:proofErr w:type="spellStart"/>
      <w:r w:rsidRPr="00E86BE8">
        <w:rPr>
          <w:rFonts w:ascii="Cambria" w:hAnsi="Cambria"/>
          <w:i/>
          <w:sz w:val="18"/>
          <w:szCs w:val="18"/>
        </w:rPr>
        <w:t>Epilepsia</w:t>
      </w:r>
      <w:proofErr w:type="spellEnd"/>
      <w:r w:rsidRPr="00E86BE8">
        <w:rPr>
          <w:rFonts w:ascii="Cambria" w:hAnsi="Cambria"/>
          <w:sz w:val="18"/>
          <w:szCs w:val="18"/>
        </w:rPr>
        <w:t xml:space="preserve"> 34: 160; Wang J, et al. (1993) </w:t>
      </w:r>
      <w:proofErr w:type="spellStart"/>
      <w:r w:rsidRPr="00E86BE8">
        <w:rPr>
          <w:rFonts w:ascii="Cambria" w:hAnsi="Cambria"/>
          <w:sz w:val="18"/>
          <w:szCs w:val="18"/>
        </w:rPr>
        <w:t>Clobazam</w:t>
      </w:r>
      <w:proofErr w:type="spellEnd"/>
      <w:r w:rsidRPr="00E86BE8">
        <w:rPr>
          <w:rFonts w:ascii="Cambria" w:hAnsi="Cambria"/>
          <w:sz w:val="18"/>
          <w:szCs w:val="18"/>
        </w:rPr>
        <w:t xml:space="preserve"> for treatment of Epilepsy. </w:t>
      </w:r>
      <w:r w:rsidRPr="00E86BE8">
        <w:rPr>
          <w:rFonts w:ascii="Cambria" w:hAnsi="Cambria"/>
          <w:i/>
          <w:sz w:val="18"/>
          <w:szCs w:val="18"/>
        </w:rPr>
        <w:t>J Epilepsy</w:t>
      </w:r>
      <w:r w:rsidRPr="00E86BE8">
        <w:rPr>
          <w:rFonts w:ascii="Cambria" w:hAnsi="Cambria"/>
          <w:sz w:val="18"/>
          <w:szCs w:val="18"/>
        </w:rPr>
        <w:t xml:space="preserve"> 6: 180-184.</w:t>
      </w:r>
    </w:p>
  </w:footnote>
  <w:footnote w:id="77">
    <w:p w:rsidR="00E91D7F" w:rsidRPr="005810D6" w:rsidRDefault="00E91D7F" w:rsidP="00A50C03">
      <w:pPr>
        <w:pStyle w:val="FootnoteText"/>
        <w:ind w:left="0" w:firstLine="0"/>
        <w:rPr>
          <w:rFonts w:ascii="Cambria" w:hAnsi="Cambria"/>
          <w:sz w:val="20"/>
        </w:rPr>
      </w:pPr>
      <w:r w:rsidRPr="005810D6">
        <w:rPr>
          <w:rStyle w:val="FootnoteReference"/>
          <w:rFonts w:ascii="Cambria" w:hAnsi="Cambria"/>
          <w:sz w:val="20"/>
        </w:rPr>
        <w:footnoteRef/>
      </w:r>
      <w:r w:rsidRPr="00E86BE8">
        <w:rPr>
          <w:rFonts w:ascii="Cambria" w:hAnsi="Cambria"/>
          <w:sz w:val="18"/>
          <w:szCs w:val="18"/>
        </w:rPr>
        <w:t xml:space="preserve"> </w:t>
      </w:r>
      <w:r w:rsidRPr="00E86BE8">
        <w:rPr>
          <w:rFonts w:ascii="Cambria" w:hAnsi="Cambria"/>
          <w:sz w:val="18"/>
          <w:szCs w:val="18"/>
          <w:lang w:val="nl-NL"/>
        </w:rPr>
        <w:t xml:space="preserve">Conry JA, et al. </w:t>
      </w:r>
      <w:r w:rsidRPr="00E86BE8">
        <w:rPr>
          <w:rFonts w:ascii="Cambria" w:hAnsi="Cambria"/>
          <w:sz w:val="18"/>
          <w:szCs w:val="18"/>
          <w:lang w:val="nl-NL"/>
        </w:rPr>
        <w:t xml:space="preserve">(2009) </w:t>
      </w:r>
      <w:proofErr w:type="spellStart"/>
      <w:r w:rsidRPr="00E86BE8">
        <w:rPr>
          <w:rFonts w:ascii="Cambria" w:hAnsi="Cambria"/>
          <w:sz w:val="18"/>
          <w:szCs w:val="18"/>
        </w:rPr>
        <w:t>Clobazam</w:t>
      </w:r>
      <w:proofErr w:type="spellEnd"/>
      <w:r w:rsidRPr="00E86BE8">
        <w:rPr>
          <w:rFonts w:ascii="Cambria" w:hAnsi="Cambria"/>
          <w:sz w:val="18"/>
          <w:szCs w:val="18"/>
        </w:rPr>
        <w:t xml:space="preserve"> in the treatment of Lennox-</w:t>
      </w:r>
      <w:proofErr w:type="spellStart"/>
      <w:r w:rsidRPr="00E86BE8">
        <w:rPr>
          <w:rFonts w:ascii="Cambria" w:hAnsi="Cambria"/>
          <w:sz w:val="18"/>
          <w:szCs w:val="18"/>
        </w:rPr>
        <w:t>Gastaut</w:t>
      </w:r>
      <w:proofErr w:type="spellEnd"/>
      <w:r w:rsidRPr="00E86BE8">
        <w:rPr>
          <w:rFonts w:ascii="Cambria" w:hAnsi="Cambria"/>
          <w:sz w:val="18"/>
          <w:szCs w:val="18"/>
        </w:rPr>
        <w:t xml:space="preserve"> syndrome. </w:t>
      </w:r>
      <w:proofErr w:type="spellStart"/>
      <w:r w:rsidRPr="00E86BE8">
        <w:rPr>
          <w:rFonts w:ascii="Cambria" w:hAnsi="Cambria"/>
          <w:i/>
          <w:sz w:val="18"/>
          <w:szCs w:val="18"/>
        </w:rPr>
        <w:t>Epilepsia</w:t>
      </w:r>
      <w:proofErr w:type="spellEnd"/>
      <w:r w:rsidRPr="00E86BE8">
        <w:rPr>
          <w:rFonts w:ascii="Cambria" w:hAnsi="Cambria"/>
          <w:sz w:val="18"/>
          <w:szCs w:val="18"/>
        </w:rPr>
        <w:t xml:space="preserve"> 50: 1158-1166.</w:t>
      </w:r>
    </w:p>
  </w:footnote>
  <w:footnote w:id="78">
    <w:p w:rsidR="00E91D7F" w:rsidRPr="005810D6" w:rsidRDefault="00E91D7F" w:rsidP="00A50C03">
      <w:pPr>
        <w:pStyle w:val="FootnoteText"/>
        <w:ind w:left="0" w:firstLine="0"/>
        <w:rPr>
          <w:rFonts w:ascii="Cambria" w:hAnsi="Cambria"/>
          <w:sz w:val="20"/>
        </w:rPr>
      </w:pPr>
      <w:r w:rsidRPr="005810D6">
        <w:rPr>
          <w:rStyle w:val="FootnoteReference"/>
          <w:rFonts w:ascii="Cambria" w:hAnsi="Cambria"/>
          <w:sz w:val="20"/>
        </w:rPr>
        <w:footnoteRef/>
      </w:r>
      <w:r w:rsidRPr="00E86BE8">
        <w:rPr>
          <w:rFonts w:ascii="Cambria" w:hAnsi="Cambria"/>
          <w:sz w:val="18"/>
          <w:szCs w:val="18"/>
        </w:rPr>
        <w:t xml:space="preserve"> </w:t>
      </w:r>
      <w:r w:rsidRPr="00E86BE8">
        <w:rPr>
          <w:rFonts w:ascii="Cambria" w:hAnsi="Cambria"/>
          <w:sz w:val="18"/>
          <w:szCs w:val="18"/>
          <w:lang w:val="nl-NL"/>
        </w:rPr>
        <w:t xml:space="preserve">Ng YT, et al. (2011) </w:t>
      </w:r>
      <w:r w:rsidRPr="00E86BE8">
        <w:rPr>
          <w:rFonts w:ascii="Cambria" w:hAnsi="Cambria"/>
          <w:sz w:val="18"/>
          <w:szCs w:val="18"/>
        </w:rPr>
        <w:t xml:space="preserve">Randomised, phase III study results of </w:t>
      </w:r>
      <w:proofErr w:type="spellStart"/>
      <w:r w:rsidRPr="00E86BE8">
        <w:rPr>
          <w:rFonts w:ascii="Cambria" w:hAnsi="Cambria"/>
          <w:sz w:val="18"/>
          <w:szCs w:val="18"/>
        </w:rPr>
        <w:t>clobazam</w:t>
      </w:r>
      <w:proofErr w:type="spellEnd"/>
      <w:r w:rsidRPr="00E86BE8">
        <w:rPr>
          <w:rFonts w:ascii="Cambria" w:hAnsi="Cambria"/>
          <w:sz w:val="18"/>
          <w:szCs w:val="18"/>
        </w:rPr>
        <w:t xml:space="preserve"> in Lennox-</w:t>
      </w:r>
      <w:proofErr w:type="spellStart"/>
      <w:r w:rsidRPr="00E86BE8">
        <w:rPr>
          <w:rFonts w:ascii="Cambria" w:hAnsi="Cambria"/>
          <w:sz w:val="18"/>
          <w:szCs w:val="18"/>
        </w:rPr>
        <w:t>Gastaut</w:t>
      </w:r>
      <w:proofErr w:type="spellEnd"/>
      <w:r w:rsidRPr="00E86BE8">
        <w:rPr>
          <w:rFonts w:ascii="Cambria" w:hAnsi="Cambria"/>
          <w:sz w:val="18"/>
          <w:szCs w:val="18"/>
        </w:rPr>
        <w:t xml:space="preserve"> syndrome. </w:t>
      </w:r>
      <w:r w:rsidRPr="00E86BE8">
        <w:rPr>
          <w:rFonts w:ascii="Cambria" w:hAnsi="Cambria"/>
          <w:i/>
          <w:sz w:val="18"/>
          <w:szCs w:val="18"/>
        </w:rPr>
        <w:t>Neurology</w:t>
      </w:r>
      <w:r w:rsidRPr="00E86BE8">
        <w:rPr>
          <w:rFonts w:ascii="Cambria" w:hAnsi="Cambria"/>
          <w:sz w:val="18"/>
          <w:szCs w:val="18"/>
        </w:rPr>
        <w:t xml:space="preserve"> 77: 1473-1481.</w:t>
      </w:r>
    </w:p>
  </w:footnote>
  <w:footnote w:id="79">
    <w:p w:rsidR="00E91D7F" w:rsidRPr="005810D6" w:rsidRDefault="00E91D7F" w:rsidP="00A50C03">
      <w:pPr>
        <w:pStyle w:val="FootnoteText"/>
        <w:ind w:left="0" w:firstLine="0"/>
        <w:rPr>
          <w:rFonts w:ascii="Cambria" w:hAnsi="Cambria"/>
          <w:sz w:val="20"/>
        </w:rPr>
      </w:pPr>
      <w:r w:rsidRPr="005810D6">
        <w:rPr>
          <w:rStyle w:val="FootnoteReference"/>
          <w:rFonts w:ascii="Cambria" w:hAnsi="Cambria"/>
          <w:sz w:val="20"/>
        </w:rPr>
        <w:footnoteRef/>
      </w:r>
      <w:r w:rsidRPr="00E86BE8">
        <w:rPr>
          <w:rFonts w:ascii="Cambria" w:hAnsi="Cambria"/>
          <w:sz w:val="18"/>
          <w:szCs w:val="18"/>
        </w:rPr>
        <w:t xml:space="preserve"> [No authors listed] (1998) </w:t>
      </w:r>
      <w:proofErr w:type="spellStart"/>
      <w:r w:rsidRPr="00E86BE8">
        <w:rPr>
          <w:rFonts w:ascii="Cambria" w:hAnsi="Cambria"/>
          <w:sz w:val="18"/>
          <w:szCs w:val="18"/>
        </w:rPr>
        <w:t>Clobazam</w:t>
      </w:r>
      <w:proofErr w:type="spellEnd"/>
      <w:r w:rsidRPr="00E86BE8">
        <w:rPr>
          <w:rFonts w:ascii="Cambria" w:hAnsi="Cambria"/>
          <w:sz w:val="18"/>
          <w:szCs w:val="18"/>
        </w:rPr>
        <w:t xml:space="preserve"> has equivalent efficacy to </w:t>
      </w:r>
      <w:proofErr w:type="spellStart"/>
      <w:r w:rsidRPr="00E86BE8">
        <w:rPr>
          <w:rFonts w:ascii="Cambria" w:hAnsi="Cambria"/>
          <w:sz w:val="18"/>
          <w:szCs w:val="18"/>
        </w:rPr>
        <w:t>carbamazepine</w:t>
      </w:r>
      <w:proofErr w:type="spellEnd"/>
      <w:r w:rsidRPr="00E86BE8">
        <w:rPr>
          <w:rFonts w:ascii="Cambria" w:hAnsi="Cambria"/>
          <w:sz w:val="18"/>
          <w:szCs w:val="18"/>
        </w:rPr>
        <w:t xml:space="preserve"> and </w:t>
      </w:r>
      <w:proofErr w:type="spellStart"/>
      <w:r w:rsidRPr="00E86BE8">
        <w:rPr>
          <w:rFonts w:ascii="Cambria" w:hAnsi="Cambria"/>
          <w:sz w:val="18"/>
          <w:szCs w:val="18"/>
        </w:rPr>
        <w:t>phenytoin</w:t>
      </w:r>
      <w:proofErr w:type="spellEnd"/>
      <w:r w:rsidRPr="00E86BE8">
        <w:rPr>
          <w:rFonts w:ascii="Cambria" w:hAnsi="Cambria"/>
          <w:sz w:val="18"/>
          <w:szCs w:val="18"/>
        </w:rPr>
        <w:t xml:space="preserve"> as </w:t>
      </w:r>
      <w:proofErr w:type="spellStart"/>
      <w:r w:rsidRPr="00E86BE8">
        <w:rPr>
          <w:rFonts w:ascii="Cambria" w:hAnsi="Cambria"/>
          <w:sz w:val="18"/>
          <w:szCs w:val="18"/>
        </w:rPr>
        <w:t>monotherapy</w:t>
      </w:r>
      <w:proofErr w:type="spellEnd"/>
      <w:r w:rsidRPr="00E86BE8">
        <w:rPr>
          <w:rFonts w:ascii="Cambria" w:hAnsi="Cambria"/>
          <w:sz w:val="18"/>
          <w:szCs w:val="18"/>
        </w:rPr>
        <w:t xml:space="preserve"> for childhood epilepsy. Canadian Study Group for Childhood Epilepsy. </w:t>
      </w:r>
      <w:proofErr w:type="spellStart"/>
      <w:r w:rsidRPr="00E86BE8">
        <w:rPr>
          <w:rFonts w:ascii="Cambria" w:hAnsi="Cambria"/>
          <w:i/>
          <w:sz w:val="18"/>
          <w:szCs w:val="18"/>
        </w:rPr>
        <w:t>Epilepsia</w:t>
      </w:r>
      <w:proofErr w:type="spellEnd"/>
      <w:r w:rsidRPr="00E86BE8">
        <w:rPr>
          <w:rFonts w:ascii="Cambria" w:hAnsi="Cambria"/>
          <w:sz w:val="18"/>
          <w:szCs w:val="18"/>
        </w:rPr>
        <w:t xml:space="preserve"> 39: 952-959.</w:t>
      </w:r>
    </w:p>
  </w:footnote>
  <w:footnote w:id="80">
    <w:p w:rsidR="00E91D7F" w:rsidRPr="005810D6" w:rsidRDefault="00E91D7F" w:rsidP="00A50C03">
      <w:pPr>
        <w:pStyle w:val="FootnoteText"/>
        <w:ind w:left="0" w:firstLine="0"/>
        <w:rPr>
          <w:rFonts w:ascii="Cambria" w:hAnsi="Cambria"/>
          <w:sz w:val="20"/>
        </w:rPr>
      </w:pPr>
      <w:r w:rsidRPr="005810D6">
        <w:rPr>
          <w:rStyle w:val="FootnoteReference"/>
          <w:rFonts w:ascii="Cambria" w:hAnsi="Cambria"/>
          <w:sz w:val="20"/>
        </w:rPr>
        <w:footnoteRef/>
      </w:r>
      <w:r w:rsidRPr="00E86BE8">
        <w:rPr>
          <w:rFonts w:ascii="Cambria" w:hAnsi="Cambria"/>
          <w:sz w:val="18"/>
          <w:szCs w:val="18"/>
        </w:rPr>
        <w:t xml:space="preserve"> [No authors listed] (1998) </w:t>
      </w:r>
      <w:proofErr w:type="spellStart"/>
      <w:r w:rsidRPr="00E86BE8">
        <w:rPr>
          <w:rFonts w:ascii="Cambria" w:hAnsi="Cambria"/>
          <w:sz w:val="18"/>
          <w:szCs w:val="18"/>
        </w:rPr>
        <w:t>Clobazam</w:t>
      </w:r>
      <w:proofErr w:type="spellEnd"/>
      <w:r w:rsidRPr="00E86BE8">
        <w:rPr>
          <w:rFonts w:ascii="Cambria" w:hAnsi="Cambria"/>
          <w:sz w:val="18"/>
          <w:szCs w:val="18"/>
        </w:rPr>
        <w:t xml:space="preserve"> has equivalent efficacy to </w:t>
      </w:r>
      <w:proofErr w:type="spellStart"/>
      <w:r w:rsidRPr="00E86BE8">
        <w:rPr>
          <w:rFonts w:ascii="Cambria" w:hAnsi="Cambria"/>
          <w:sz w:val="18"/>
          <w:szCs w:val="18"/>
        </w:rPr>
        <w:t>carbamazepine</w:t>
      </w:r>
      <w:proofErr w:type="spellEnd"/>
      <w:r w:rsidRPr="00E86BE8">
        <w:rPr>
          <w:rFonts w:ascii="Cambria" w:hAnsi="Cambria"/>
          <w:sz w:val="18"/>
          <w:szCs w:val="18"/>
        </w:rPr>
        <w:t xml:space="preserve"> and </w:t>
      </w:r>
      <w:proofErr w:type="spellStart"/>
      <w:r w:rsidRPr="00E86BE8">
        <w:rPr>
          <w:rFonts w:ascii="Cambria" w:hAnsi="Cambria"/>
          <w:sz w:val="18"/>
          <w:szCs w:val="18"/>
        </w:rPr>
        <w:t>phenytoin</w:t>
      </w:r>
      <w:proofErr w:type="spellEnd"/>
      <w:r w:rsidRPr="00E86BE8">
        <w:rPr>
          <w:rFonts w:ascii="Cambria" w:hAnsi="Cambria"/>
          <w:sz w:val="18"/>
          <w:szCs w:val="18"/>
        </w:rPr>
        <w:t xml:space="preserve"> as </w:t>
      </w:r>
      <w:proofErr w:type="spellStart"/>
      <w:r w:rsidRPr="00E86BE8">
        <w:rPr>
          <w:rFonts w:ascii="Cambria" w:hAnsi="Cambria"/>
          <w:sz w:val="18"/>
          <w:szCs w:val="18"/>
        </w:rPr>
        <w:t>monotherapy</w:t>
      </w:r>
      <w:proofErr w:type="spellEnd"/>
      <w:r w:rsidRPr="00E86BE8">
        <w:rPr>
          <w:rFonts w:ascii="Cambria" w:hAnsi="Cambria"/>
          <w:sz w:val="18"/>
          <w:szCs w:val="18"/>
        </w:rPr>
        <w:t xml:space="preserve"> for childhood epilepsy. Canadian Study Group for Childhood Epilepsy. </w:t>
      </w:r>
      <w:proofErr w:type="spellStart"/>
      <w:r w:rsidRPr="00E86BE8">
        <w:rPr>
          <w:rFonts w:ascii="Cambria" w:hAnsi="Cambria"/>
          <w:i/>
          <w:sz w:val="18"/>
          <w:szCs w:val="18"/>
        </w:rPr>
        <w:t>Epilepsia</w:t>
      </w:r>
      <w:proofErr w:type="spellEnd"/>
      <w:r w:rsidRPr="00E86BE8">
        <w:rPr>
          <w:rFonts w:ascii="Cambria" w:hAnsi="Cambria"/>
          <w:sz w:val="18"/>
          <w:szCs w:val="18"/>
        </w:rPr>
        <w:t xml:space="preserve"> 39: 952-959.</w:t>
      </w:r>
    </w:p>
  </w:footnote>
  <w:footnote w:id="81">
    <w:p w:rsidR="00E91D7F" w:rsidRPr="005810D6" w:rsidRDefault="00E91D7F" w:rsidP="00A50C03">
      <w:pPr>
        <w:pStyle w:val="FootnoteText"/>
        <w:ind w:left="0" w:firstLine="0"/>
        <w:rPr>
          <w:rFonts w:ascii="Cambria" w:hAnsi="Cambria"/>
          <w:sz w:val="20"/>
        </w:rPr>
      </w:pPr>
      <w:r w:rsidRPr="005810D6">
        <w:rPr>
          <w:rStyle w:val="FootnoteReference"/>
          <w:rFonts w:ascii="Cambria" w:hAnsi="Cambria"/>
          <w:sz w:val="20"/>
        </w:rPr>
        <w:footnoteRef/>
      </w:r>
      <w:r w:rsidRPr="00E86BE8">
        <w:rPr>
          <w:rFonts w:ascii="Cambria" w:hAnsi="Cambria"/>
          <w:sz w:val="18"/>
          <w:szCs w:val="18"/>
        </w:rPr>
        <w:t xml:space="preserve"> </w:t>
      </w:r>
      <w:r w:rsidRPr="00E86BE8">
        <w:rPr>
          <w:rFonts w:ascii="Cambria" w:hAnsi="Cambria"/>
          <w:sz w:val="18"/>
          <w:szCs w:val="18"/>
          <w:lang w:val="nl-NL"/>
        </w:rPr>
        <w:t xml:space="preserve">Ng YT, et al. (2011) </w:t>
      </w:r>
      <w:r w:rsidRPr="00E86BE8">
        <w:rPr>
          <w:rFonts w:ascii="Cambria" w:hAnsi="Cambria"/>
          <w:sz w:val="18"/>
          <w:szCs w:val="18"/>
        </w:rPr>
        <w:t xml:space="preserve">Randomised, phase III study results of </w:t>
      </w:r>
      <w:proofErr w:type="spellStart"/>
      <w:r w:rsidRPr="00E86BE8">
        <w:rPr>
          <w:rFonts w:ascii="Cambria" w:hAnsi="Cambria"/>
          <w:sz w:val="18"/>
          <w:szCs w:val="18"/>
        </w:rPr>
        <w:t>clobazam</w:t>
      </w:r>
      <w:proofErr w:type="spellEnd"/>
      <w:r w:rsidRPr="00E86BE8">
        <w:rPr>
          <w:rFonts w:ascii="Cambria" w:hAnsi="Cambria"/>
          <w:sz w:val="18"/>
          <w:szCs w:val="18"/>
        </w:rPr>
        <w:t xml:space="preserve"> in Lennox-</w:t>
      </w:r>
      <w:proofErr w:type="spellStart"/>
      <w:r w:rsidRPr="00E86BE8">
        <w:rPr>
          <w:rFonts w:ascii="Cambria" w:hAnsi="Cambria"/>
          <w:sz w:val="18"/>
          <w:szCs w:val="18"/>
        </w:rPr>
        <w:t>Gastaut</w:t>
      </w:r>
      <w:proofErr w:type="spellEnd"/>
      <w:r w:rsidRPr="00E86BE8">
        <w:rPr>
          <w:rFonts w:ascii="Cambria" w:hAnsi="Cambria"/>
          <w:sz w:val="18"/>
          <w:szCs w:val="18"/>
        </w:rPr>
        <w:t xml:space="preserve"> syndrome. </w:t>
      </w:r>
      <w:r w:rsidRPr="00E86BE8">
        <w:rPr>
          <w:rFonts w:ascii="Cambria" w:hAnsi="Cambria"/>
          <w:i/>
          <w:sz w:val="18"/>
          <w:szCs w:val="18"/>
        </w:rPr>
        <w:t>Neurology</w:t>
      </w:r>
      <w:r w:rsidRPr="00E86BE8">
        <w:rPr>
          <w:rFonts w:ascii="Cambria" w:hAnsi="Cambria"/>
          <w:sz w:val="18"/>
          <w:szCs w:val="18"/>
        </w:rPr>
        <w:t xml:space="preserve"> 77: 1473-1481.</w:t>
      </w:r>
    </w:p>
  </w:footnote>
  <w:footnote w:id="82">
    <w:p w:rsidR="00E91D7F" w:rsidRPr="005810D6" w:rsidRDefault="00E91D7F" w:rsidP="00A50C03">
      <w:pPr>
        <w:pStyle w:val="FootnoteText"/>
        <w:ind w:left="0" w:firstLine="0"/>
        <w:rPr>
          <w:rFonts w:ascii="Cambria" w:hAnsi="Cambria"/>
          <w:sz w:val="20"/>
        </w:rPr>
      </w:pPr>
      <w:r w:rsidRPr="005810D6">
        <w:rPr>
          <w:rStyle w:val="FootnoteReference"/>
          <w:rFonts w:ascii="Cambria" w:hAnsi="Cambria"/>
          <w:sz w:val="20"/>
        </w:rPr>
        <w:footnoteRef/>
      </w:r>
      <w:r w:rsidRPr="00E86BE8">
        <w:rPr>
          <w:rFonts w:ascii="Cambria" w:hAnsi="Cambria"/>
          <w:sz w:val="18"/>
          <w:szCs w:val="18"/>
        </w:rPr>
        <w:t xml:space="preserve"> </w:t>
      </w:r>
      <w:r w:rsidRPr="00E86BE8">
        <w:rPr>
          <w:rFonts w:ascii="Cambria" w:hAnsi="Cambria"/>
          <w:sz w:val="18"/>
          <w:szCs w:val="18"/>
          <w:lang w:val="nl-NL"/>
        </w:rPr>
        <w:t xml:space="preserve">Conry JA, et al. </w:t>
      </w:r>
      <w:r w:rsidRPr="00E86BE8">
        <w:rPr>
          <w:rFonts w:ascii="Cambria" w:hAnsi="Cambria"/>
          <w:sz w:val="18"/>
          <w:szCs w:val="18"/>
          <w:lang w:val="nl-NL"/>
        </w:rPr>
        <w:t xml:space="preserve">(2009) </w:t>
      </w:r>
      <w:proofErr w:type="spellStart"/>
      <w:r w:rsidRPr="00E86BE8">
        <w:rPr>
          <w:rFonts w:ascii="Cambria" w:hAnsi="Cambria"/>
          <w:sz w:val="18"/>
          <w:szCs w:val="18"/>
        </w:rPr>
        <w:t>Clobazam</w:t>
      </w:r>
      <w:proofErr w:type="spellEnd"/>
      <w:r w:rsidRPr="00E86BE8">
        <w:rPr>
          <w:rFonts w:ascii="Cambria" w:hAnsi="Cambria"/>
          <w:sz w:val="18"/>
          <w:szCs w:val="18"/>
        </w:rPr>
        <w:t xml:space="preserve"> in the treatment of Lennox-</w:t>
      </w:r>
      <w:proofErr w:type="spellStart"/>
      <w:r w:rsidRPr="00E86BE8">
        <w:rPr>
          <w:rFonts w:ascii="Cambria" w:hAnsi="Cambria"/>
          <w:sz w:val="18"/>
          <w:szCs w:val="18"/>
        </w:rPr>
        <w:t>Gastaut</w:t>
      </w:r>
      <w:proofErr w:type="spellEnd"/>
      <w:r w:rsidRPr="00E86BE8">
        <w:rPr>
          <w:rFonts w:ascii="Cambria" w:hAnsi="Cambria"/>
          <w:sz w:val="18"/>
          <w:szCs w:val="18"/>
        </w:rPr>
        <w:t xml:space="preserve"> syndrome. </w:t>
      </w:r>
      <w:proofErr w:type="spellStart"/>
      <w:r w:rsidRPr="00E86BE8">
        <w:rPr>
          <w:rFonts w:ascii="Cambria" w:hAnsi="Cambria"/>
          <w:i/>
          <w:sz w:val="18"/>
          <w:szCs w:val="18"/>
        </w:rPr>
        <w:t>Epilepsia</w:t>
      </w:r>
      <w:proofErr w:type="spellEnd"/>
      <w:r w:rsidRPr="00E86BE8">
        <w:rPr>
          <w:rFonts w:ascii="Cambria" w:hAnsi="Cambria"/>
          <w:sz w:val="18"/>
          <w:szCs w:val="18"/>
        </w:rPr>
        <w:t xml:space="preserve"> 50: 1158-1166.</w:t>
      </w:r>
    </w:p>
  </w:footnote>
  <w:footnote w:id="83">
    <w:p w:rsidR="00E91D7F" w:rsidRPr="005810D6" w:rsidRDefault="00E91D7F" w:rsidP="00A50C03">
      <w:pPr>
        <w:pStyle w:val="FootnoteText"/>
        <w:ind w:left="0" w:firstLine="0"/>
        <w:rPr>
          <w:rFonts w:ascii="Cambria" w:hAnsi="Cambria"/>
          <w:sz w:val="20"/>
        </w:rPr>
      </w:pPr>
      <w:r w:rsidRPr="005810D6">
        <w:rPr>
          <w:rStyle w:val="FootnoteReference"/>
          <w:rFonts w:ascii="Cambria" w:hAnsi="Cambria"/>
          <w:sz w:val="20"/>
        </w:rPr>
        <w:footnoteRef/>
      </w:r>
      <w:r w:rsidRPr="00E86BE8">
        <w:rPr>
          <w:rFonts w:ascii="Cambria" w:hAnsi="Cambria"/>
          <w:sz w:val="18"/>
          <w:szCs w:val="18"/>
        </w:rPr>
        <w:t xml:space="preserve"> Keene DL, et al. (1990) </w:t>
      </w:r>
      <w:proofErr w:type="spellStart"/>
      <w:r w:rsidRPr="00E86BE8">
        <w:rPr>
          <w:rFonts w:ascii="Cambria" w:hAnsi="Cambria"/>
          <w:sz w:val="18"/>
          <w:szCs w:val="18"/>
        </w:rPr>
        <w:t>Clobazam</w:t>
      </w:r>
      <w:proofErr w:type="spellEnd"/>
      <w:r w:rsidRPr="00E86BE8">
        <w:rPr>
          <w:rFonts w:ascii="Cambria" w:hAnsi="Cambria"/>
          <w:sz w:val="18"/>
          <w:szCs w:val="18"/>
        </w:rPr>
        <w:t xml:space="preserve"> as an add-on drug in the treatment of refractory epilepsy of childhood. </w:t>
      </w:r>
      <w:r w:rsidRPr="00E86BE8">
        <w:rPr>
          <w:rFonts w:ascii="Cambria" w:hAnsi="Cambria"/>
          <w:i/>
          <w:sz w:val="18"/>
          <w:szCs w:val="18"/>
        </w:rPr>
        <w:t xml:space="preserve">Can J </w:t>
      </w:r>
      <w:proofErr w:type="spellStart"/>
      <w:r w:rsidRPr="00E86BE8">
        <w:rPr>
          <w:rFonts w:ascii="Cambria" w:hAnsi="Cambria"/>
          <w:i/>
          <w:sz w:val="18"/>
          <w:szCs w:val="18"/>
        </w:rPr>
        <w:t>Neurol</w:t>
      </w:r>
      <w:proofErr w:type="spellEnd"/>
      <w:r w:rsidRPr="00E86BE8">
        <w:rPr>
          <w:rFonts w:ascii="Cambria" w:hAnsi="Cambria"/>
          <w:i/>
          <w:sz w:val="18"/>
          <w:szCs w:val="18"/>
        </w:rPr>
        <w:t xml:space="preserve"> Sci.</w:t>
      </w:r>
      <w:r w:rsidRPr="00E86BE8">
        <w:rPr>
          <w:rFonts w:ascii="Cambria" w:hAnsi="Cambria"/>
          <w:sz w:val="18"/>
          <w:szCs w:val="18"/>
        </w:rPr>
        <w:t xml:space="preserve"> 17: 317-319.</w:t>
      </w:r>
    </w:p>
  </w:footnote>
  <w:footnote w:id="84">
    <w:p w:rsidR="00E91D7F" w:rsidRPr="005810D6" w:rsidRDefault="00E91D7F" w:rsidP="00A50C03">
      <w:pPr>
        <w:pStyle w:val="FootnoteText"/>
        <w:ind w:left="0" w:firstLine="0"/>
        <w:rPr>
          <w:rFonts w:ascii="Cambria" w:hAnsi="Cambria"/>
          <w:sz w:val="20"/>
        </w:rPr>
      </w:pPr>
      <w:r w:rsidRPr="005810D6">
        <w:rPr>
          <w:rStyle w:val="FootnoteReference"/>
          <w:rFonts w:ascii="Cambria" w:hAnsi="Cambria"/>
          <w:sz w:val="20"/>
        </w:rPr>
        <w:footnoteRef/>
      </w:r>
      <w:r w:rsidRPr="00D04A5B">
        <w:rPr>
          <w:rFonts w:ascii="Cambria" w:hAnsi="Cambria"/>
          <w:sz w:val="18"/>
          <w:szCs w:val="18"/>
        </w:rPr>
        <w:t xml:space="preserve"> Rose W, et al. (2005) Intermittent </w:t>
      </w:r>
      <w:proofErr w:type="spellStart"/>
      <w:r w:rsidRPr="00D04A5B">
        <w:rPr>
          <w:rFonts w:ascii="Cambria" w:hAnsi="Cambria"/>
          <w:sz w:val="18"/>
          <w:szCs w:val="18"/>
        </w:rPr>
        <w:t>clobazam</w:t>
      </w:r>
      <w:proofErr w:type="spellEnd"/>
      <w:r w:rsidRPr="00D04A5B">
        <w:rPr>
          <w:rFonts w:ascii="Cambria" w:hAnsi="Cambria"/>
          <w:sz w:val="18"/>
          <w:szCs w:val="18"/>
        </w:rPr>
        <w:t xml:space="preserve"> therapy in febrile seizures. </w:t>
      </w:r>
      <w:r w:rsidRPr="00D04A5B">
        <w:rPr>
          <w:rFonts w:ascii="Cambria" w:hAnsi="Cambria"/>
          <w:i/>
          <w:sz w:val="18"/>
          <w:szCs w:val="18"/>
        </w:rPr>
        <w:t xml:space="preserve">Indian J </w:t>
      </w:r>
      <w:proofErr w:type="spellStart"/>
      <w:r w:rsidRPr="00D04A5B">
        <w:rPr>
          <w:rFonts w:ascii="Cambria" w:hAnsi="Cambria"/>
          <w:i/>
          <w:sz w:val="18"/>
          <w:szCs w:val="18"/>
        </w:rPr>
        <w:t>Pediatr</w:t>
      </w:r>
      <w:proofErr w:type="spellEnd"/>
      <w:r w:rsidRPr="00D04A5B">
        <w:rPr>
          <w:rFonts w:ascii="Cambria" w:hAnsi="Cambria"/>
          <w:i/>
          <w:sz w:val="18"/>
          <w:szCs w:val="18"/>
        </w:rPr>
        <w:t>.</w:t>
      </w:r>
      <w:r w:rsidRPr="00D04A5B">
        <w:rPr>
          <w:rFonts w:ascii="Cambria" w:hAnsi="Cambria"/>
          <w:sz w:val="18"/>
          <w:szCs w:val="18"/>
        </w:rPr>
        <w:t xml:space="preserve"> 72: 31-33.</w:t>
      </w:r>
    </w:p>
  </w:footnote>
  <w:footnote w:id="85">
    <w:p w:rsidR="00E91D7F" w:rsidRPr="005810D6" w:rsidRDefault="00E91D7F" w:rsidP="00A50C03">
      <w:pPr>
        <w:pStyle w:val="FootnoteText"/>
        <w:ind w:left="0" w:firstLine="0"/>
        <w:rPr>
          <w:rFonts w:ascii="Cambria" w:hAnsi="Cambria"/>
          <w:sz w:val="20"/>
        </w:rPr>
      </w:pPr>
      <w:r w:rsidRPr="005810D6">
        <w:rPr>
          <w:rStyle w:val="FootnoteReference"/>
          <w:rFonts w:ascii="Cambria" w:hAnsi="Cambria"/>
          <w:sz w:val="20"/>
        </w:rPr>
        <w:footnoteRef/>
      </w:r>
      <w:r w:rsidRPr="00D04A5B">
        <w:rPr>
          <w:rFonts w:ascii="Cambria" w:hAnsi="Cambria"/>
          <w:sz w:val="18"/>
          <w:szCs w:val="18"/>
        </w:rPr>
        <w:t xml:space="preserve"> Bajaj AS, et al. (2005) Intermittent </w:t>
      </w:r>
      <w:proofErr w:type="spellStart"/>
      <w:r w:rsidRPr="00D04A5B">
        <w:rPr>
          <w:rFonts w:ascii="Cambria" w:hAnsi="Cambria"/>
          <w:sz w:val="18"/>
          <w:szCs w:val="18"/>
        </w:rPr>
        <w:t>clobazam</w:t>
      </w:r>
      <w:proofErr w:type="spellEnd"/>
      <w:r w:rsidRPr="00D04A5B">
        <w:rPr>
          <w:rFonts w:ascii="Cambria" w:hAnsi="Cambria"/>
          <w:sz w:val="18"/>
          <w:szCs w:val="18"/>
        </w:rPr>
        <w:t xml:space="preserve"> in febrile seizures: an Indian experience. </w:t>
      </w:r>
      <w:r w:rsidRPr="00D04A5B">
        <w:rPr>
          <w:rFonts w:ascii="Cambria" w:hAnsi="Cambria"/>
          <w:i/>
          <w:sz w:val="18"/>
          <w:szCs w:val="18"/>
        </w:rPr>
        <w:t xml:space="preserve">J </w:t>
      </w:r>
      <w:proofErr w:type="spellStart"/>
      <w:r w:rsidRPr="00D04A5B">
        <w:rPr>
          <w:rFonts w:ascii="Cambria" w:hAnsi="Cambria"/>
          <w:i/>
          <w:sz w:val="18"/>
          <w:szCs w:val="18"/>
        </w:rPr>
        <w:t>Pediatr</w:t>
      </w:r>
      <w:proofErr w:type="spellEnd"/>
      <w:r w:rsidRPr="00D04A5B">
        <w:rPr>
          <w:rFonts w:ascii="Cambria" w:hAnsi="Cambria"/>
          <w:i/>
          <w:sz w:val="18"/>
          <w:szCs w:val="18"/>
        </w:rPr>
        <w:t xml:space="preserve"> Neurol.</w:t>
      </w:r>
      <w:r w:rsidRPr="00D04A5B">
        <w:rPr>
          <w:rFonts w:ascii="Cambria" w:hAnsi="Cambria"/>
          <w:sz w:val="18"/>
          <w:szCs w:val="18"/>
        </w:rPr>
        <w:t xml:space="preserve"> 2: 19-23.</w:t>
      </w:r>
    </w:p>
  </w:footnote>
  <w:footnote w:id="86">
    <w:p w:rsidR="00E91D7F" w:rsidRPr="00EE37E6" w:rsidRDefault="00E91D7F" w:rsidP="00A50C03">
      <w:pPr>
        <w:pStyle w:val="FootnoteText"/>
        <w:ind w:left="0" w:firstLine="0"/>
        <w:rPr>
          <w:rFonts w:ascii="Cambria" w:hAnsi="Cambria"/>
        </w:rPr>
      </w:pPr>
      <w:r w:rsidRPr="00EE37E6">
        <w:rPr>
          <w:rStyle w:val="FootnoteReference"/>
          <w:rFonts w:ascii="Cambria" w:hAnsi="Cambria"/>
        </w:rPr>
        <w:footnoteRef/>
      </w:r>
      <w:r w:rsidRPr="00EE37E6">
        <w:rPr>
          <w:rFonts w:ascii="Cambria" w:hAnsi="Cambria"/>
          <w:sz w:val="18"/>
          <w:szCs w:val="18"/>
        </w:rPr>
        <w:t xml:space="preserve"> Keene DL, et al. (1990) </w:t>
      </w:r>
      <w:proofErr w:type="spellStart"/>
      <w:r w:rsidRPr="00EE37E6">
        <w:rPr>
          <w:rFonts w:ascii="Cambria" w:hAnsi="Cambria"/>
          <w:sz w:val="18"/>
          <w:szCs w:val="18"/>
        </w:rPr>
        <w:t>Clobazam</w:t>
      </w:r>
      <w:proofErr w:type="spellEnd"/>
      <w:r w:rsidRPr="00EE37E6">
        <w:rPr>
          <w:rFonts w:ascii="Cambria" w:hAnsi="Cambria"/>
          <w:sz w:val="18"/>
          <w:szCs w:val="18"/>
        </w:rPr>
        <w:t xml:space="preserve"> as an add-on drug in the treatment of refractory epilepsy of childhood. </w:t>
      </w:r>
      <w:r w:rsidRPr="00EE37E6">
        <w:rPr>
          <w:rFonts w:ascii="Cambria" w:hAnsi="Cambria"/>
          <w:i/>
          <w:sz w:val="18"/>
          <w:szCs w:val="18"/>
        </w:rPr>
        <w:t xml:space="preserve">Can J </w:t>
      </w:r>
      <w:proofErr w:type="spellStart"/>
      <w:r w:rsidRPr="00EE37E6">
        <w:rPr>
          <w:rFonts w:ascii="Cambria" w:hAnsi="Cambria"/>
          <w:i/>
          <w:sz w:val="18"/>
          <w:szCs w:val="18"/>
        </w:rPr>
        <w:t>Neurol</w:t>
      </w:r>
      <w:proofErr w:type="spellEnd"/>
      <w:r w:rsidRPr="00EE37E6">
        <w:rPr>
          <w:rFonts w:ascii="Cambria" w:hAnsi="Cambria"/>
          <w:i/>
          <w:sz w:val="18"/>
          <w:szCs w:val="18"/>
        </w:rPr>
        <w:t xml:space="preserve"> Sci.</w:t>
      </w:r>
      <w:r w:rsidRPr="00EE37E6">
        <w:rPr>
          <w:rFonts w:ascii="Cambria" w:hAnsi="Cambria"/>
          <w:sz w:val="18"/>
          <w:szCs w:val="18"/>
        </w:rPr>
        <w:t xml:space="preserve"> 17: 317-319.</w:t>
      </w:r>
    </w:p>
  </w:footnote>
  <w:footnote w:id="87">
    <w:p w:rsidR="00E91D7F" w:rsidRPr="00EE37E6" w:rsidRDefault="00E91D7F" w:rsidP="00A50C03">
      <w:pPr>
        <w:pStyle w:val="FootnoteText"/>
        <w:ind w:left="0" w:firstLine="0"/>
        <w:rPr>
          <w:rFonts w:ascii="Cambria" w:hAnsi="Cambria"/>
          <w:sz w:val="20"/>
        </w:rPr>
      </w:pPr>
      <w:r w:rsidRPr="00EE37E6">
        <w:rPr>
          <w:rStyle w:val="FootnoteReference"/>
          <w:rFonts w:ascii="Cambria" w:hAnsi="Cambria"/>
          <w:sz w:val="20"/>
        </w:rPr>
        <w:footnoteRef/>
      </w:r>
      <w:r w:rsidRPr="00EE37E6">
        <w:rPr>
          <w:rFonts w:ascii="Cambria" w:hAnsi="Cambria"/>
          <w:sz w:val="18"/>
          <w:szCs w:val="18"/>
        </w:rPr>
        <w:t xml:space="preserve"> [No authors listed] (1998) </w:t>
      </w:r>
      <w:proofErr w:type="spellStart"/>
      <w:r w:rsidRPr="00EE37E6">
        <w:rPr>
          <w:rFonts w:ascii="Cambria" w:hAnsi="Cambria"/>
          <w:sz w:val="18"/>
          <w:szCs w:val="18"/>
        </w:rPr>
        <w:t>Clobazam</w:t>
      </w:r>
      <w:proofErr w:type="spellEnd"/>
      <w:r w:rsidRPr="00EE37E6">
        <w:rPr>
          <w:rFonts w:ascii="Cambria" w:hAnsi="Cambria"/>
          <w:sz w:val="18"/>
          <w:szCs w:val="18"/>
        </w:rPr>
        <w:t xml:space="preserve"> has equivalent efficacy to </w:t>
      </w:r>
      <w:proofErr w:type="spellStart"/>
      <w:r w:rsidRPr="00EE37E6">
        <w:rPr>
          <w:rFonts w:ascii="Cambria" w:hAnsi="Cambria"/>
          <w:sz w:val="18"/>
          <w:szCs w:val="18"/>
        </w:rPr>
        <w:t>carbamazepine</w:t>
      </w:r>
      <w:proofErr w:type="spellEnd"/>
      <w:r w:rsidRPr="00EE37E6">
        <w:rPr>
          <w:rFonts w:ascii="Cambria" w:hAnsi="Cambria"/>
          <w:sz w:val="18"/>
          <w:szCs w:val="18"/>
        </w:rPr>
        <w:t xml:space="preserve"> and </w:t>
      </w:r>
      <w:proofErr w:type="spellStart"/>
      <w:r w:rsidRPr="00EE37E6">
        <w:rPr>
          <w:rFonts w:ascii="Cambria" w:hAnsi="Cambria"/>
          <w:sz w:val="18"/>
          <w:szCs w:val="18"/>
        </w:rPr>
        <w:t>phenytoin</w:t>
      </w:r>
      <w:proofErr w:type="spellEnd"/>
      <w:r w:rsidRPr="00EE37E6">
        <w:rPr>
          <w:rFonts w:ascii="Cambria" w:hAnsi="Cambria"/>
          <w:sz w:val="18"/>
          <w:szCs w:val="18"/>
        </w:rPr>
        <w:t xml:space="preserve"> as </w:t>
      </w:r>
      <w:proofErr w:type="spellStart"/>
      <w:r w:rsidRPr="00EE37E6">
        <w:rPr>
          <w:rFonts w:ascii="Cambria" w:hAnsi="Cambria"/>
          <w:sz w:val="18"/>
          <w:szCs w:val="18"/>
        </w:rPr>
        <w:t>monotherapy</w:t>
      </w:r>
      <w:proofErr w:type="spellEnd"/>
      <w:r w:rsidRPr="00EE37E6">
        <w:rPr>
          <w:rFonts w:ascii="Cambria" w:hAnsi="Cambria"/>
          <w:sz w:val="18"/>
          <w:szCs w:val="18"/>
        </w:rPr>
        <w:t xml:space="preserve"> for childhood epilepsy. Canadian Study Group for Childhood Epilepsy. </w:t>
      </w:r>
      <w:proofErr w:type="spellStart"/>
      <w:r w:rsidRPr="00EE37E6">
        <w:rPr>
          <w:rFonts w:ascii="Cambria" w:hAnsi="Cambria"/>
          <w:i/>
          <w:sz w:val="18"/>
          <w:szCs w:val="18"/>
        </w:rPr>
        <w:t>Epilepsia</w:t>
      </w:r>
      <w:proofErr w:type="spellEnd"/>
      <w:r w:rsidRPr="00EE37E6">
        <w:rPr>
          <w:rFonts w:ascii="Cambria" w:hAnsi="Cambria"/>
          <w:sz w:val="18"/>
          <w:szCs w:val="18"/>
        </w:rPr>
        <w:t xml:space="preserve"> 39: 952-959.</w:t>
      </w:r>
    </w:p>
  </w:footnote>
  <w:footnote w:id="88">
    <w:p w:rsidR="00E91D7F" w:rsidRPr="00EE37E6" w:rsidRDefault="00E91D7F" w:rsidP="00A50C03">
      <w:pPr>
        <w:pStyle w:val="FootnoteText"/>
        <w:ind w:left="0" w:firstLine="0"/>
        <w:rPr>
          <w:rFonts w:ascii="Cambria" w:hAnsi="Cambria"/>
          <w:sz w:val="20"/>
        </w:rPr>
      </w:pPr>
      <w:r w:rsidRPr="00EE37E6">
        <w:rPr>
          <w:rStyle w:val="FootnoteReference"/>
          <w:rFonts w:ascii="Cambria" w:hAnsi="Cambria"/>
          <w:sz w:val="20"/>
        </w:rPr>
        <w:footnoteRef/>
      </w:r>
      <w:r w:rsidRPr="00EE37E6">
        <w:rPr>
          <w:rFonts w:ascii="Cambria" w:hAnsi="Cambria"/>
          <w:sz w:val="18"/>
          <w:szCs w:val="18"/>
        </w:rPr>
        <w:t xml:space="preserve"> </w:t>
      </w:r>
      <w:proofErr w:type="spellStart"/>
      <w:r w:rsidRPr="00EE37E6">
        <w:rPr>
          <w:rFonts w:ascii="Cambria" w:hAnsi="Cambria"/>
          <w:sz w:val="18"/>
          <w:szCs w:val="18"/>
        </w:rPr>
        <w:t>Bawden</w:t>
      </w:r>
      <w:proofErr w:type="spellEnd"/>
      <w:r w:rsidRPr="00EE37E6">
        <w:rPr>
          <w:rFonts w:ascii="Cambria" w:hAnsi="Cambria"/>
          <w:sz w:val="18"/>
          <w:szCs w:val="18"/>
        </w:rPr>
        <w:t xml:space="preserve"> HN, et al. (1999) The cognitive and behavioural effects of </w:t>
      </w:r>
      <w:proofErr w:type="spellStart"/>
      <w:r w:rsidRPr="00EE37E6">
        <w:rPr>
          <w:rFonts w:ascii="Cambria" w:hAnsi="Cambria"/>
          <w:sz w:val="18"/>
          <w:szCs w:val="18"/>
        </w:rPr>
        <w:t>clobazam</w:t>
      </w:r>
      <w:proofErr w:type="spellEnd"/>
      <w:r w:rsidRPr="00EE37E6">
        <w:rPr>
          <w:rFonts w:ascii="Cambria" w:hAnsi="Cambria"/>
          <w:sz w:val="18"/>
          <w:szCs w:val="18"/>
        </w:rPr>
        <w:t xml:space="preserve"> and standard </w:t>
      </w:r>
      <w:proofErr w:type="spellStart"/>
      <w:r w:rsidRPr="00EE37E6">
        <w:rPr>
          <w:rFonts w:ascii="Cambria" w:hAnsi="Cambria"/>
          <w:sz w:val="18"/>
          <w:szCs w:val="18"/>
        </w:rPr>
        <w:t>monotherapy</w:t>
      </w:r>
      <w:proofErr w:type="spellEnd"/>
      <w:r w:rsidRPr="00EE37E6">
        <w:rPr>
          <w:rFonts w:ascii="Cambria" w:hAnsi="Cambria"/>
          <w:sz w:val="18"/>
          <w:szCs w:val="18"/>
        </w:rPr>
        <w:t xml:space="preserve"> are comparable. Canadian Study Group for Childhood Epilepsy. </w:t>
      </w:r>
      <w:r w:rsidRPr="00EE37E6">
        <w:rPr>
          <w:rFonts w:ascii="Cambria" w:hAnsi="Cambria"/>
          <w:i/>
          <w:sz w:val="18"/>
          <w:szCs w:val="18"/>
        </w:rPr>
        <w:t>Epilepsy Res.</w:t>
      </w:r>
      <w:r w:rsidRPr="00EE37E6">
        <w:rPr>
          <w:rFonts w:ascii="Cambria" w:hAnsi="Cambria"/>
          <w:sz w:val="18"/>
          <w:szCs w:val="18"/>
        </w:rPr>
        <w:t xml:space="preserve"> 33: 133-143.</w:t>
      </w:r>
    </w:p>
  </w:footnote>
  <w:footnote w:id="89">
    <w:p w:rsidR="00E91D7F" w:rsidRPr="00EE37E6" w:rsidRDefault="00E91D7F" w:rsidP="00A50C03">
      <w:pPr>
        <w:pStyle w:val="FootnoteText"/>
        <w:ind w:left="0" w:firstLine="0"/>
        <w:rPr>
          <w:rFonts w:ascii="Cambria" w:hAnsi="Cambria"/>
          <w:sz w:val="20"/>
        </w:rPr>
      </w:pPr>
      <w:r w:rsidRPr="00EE37E6">
        <w:rPr>
          <w:rStyle w:val="FootnoteReference"/>
          <w:rFonts w:ascii="Cambria" w:hAnsi="Cambria"/>
          <w:sz w:val="20"/>
        </w:rPr>
        <w:footnoteRef/>
      </w:r>
      <w:r w:rsidRPr="00EE37E6">
        <w:rPr>
          <w:rFonts w:ascii="Cambria" w:hAnsi="Cambria"/>
          <w:sz w:val="18"/>
          <w:szCs w:val="18"/>
        </w:rPr>
        <w:t xml:space="preserve"> [No authors listed] (1998) </w:t>
      </w:r>
      <w:proofErr w:type="spellStart"/>
      <w:r w:rsidRPr="00EE37E6">
        <w:rPr>
          <w:rFonts w:ascii="Cambria" w:hAnsi="Cambria"/>
          <w:sz w:val="18"/>
          <w:szCs w:val="18"/>
        </w:rPr>
        <w:t>Clobazam</w:t>
      </w:r>
      <w:proofErr w:type="spellEnd"/>
      <w:r w:rsidRPr="00EE37E6">
        <w:rPr>
          <w:rFonts w:ascii="Cambria" w:hAnsi="Cambria"/>
          <w:sz w:val="18"/>
          <w:szCs w:val="18"/>
        </w:rPr>
        <w:t xml:space="preserve"> has equivalent efficacy to </w:t>
      </w:r>
      <w:proofErr w:type="spellStart"/>
      <w:r w:rsidRPr="00EE37E6">
        <w:rPr>
          <w:rFonts w:ascii="Cambria" w:hAnsi="Cambria"/>
          <w:sz w:val="18"/>
          <w:szCs w:val="18"/>
        </w:rPr>
        <w:t>carbamazepine</w:t>
      </w:r>
      <w:proofErr w:type="spellEnd"/>
      <w:r w:rsidRPr="00EE37E6">
        <w:rPr>
          <w:rFonts w:ascii="Cambria" w:hAnsi="Cambria"/>
          <w:sz w:val="18"/>
          <w:szCs w:val="18"/>
        </w:rPr>
        <w:t xml:space="preserve"> and </w:t>
      </w:r>
      <w:proofErr w:type="spellStart"/>
      <w:r w:rsidRPr="00EE37E6">
        <w:rPr>
          <w:rFonts w:ascii="Cambria" w:hAnsi="Cambria"/>
          <w:sz w:val="18"/>
          <w:szCs w:val="18"/>
        </w:rPr>
        <w:t>phenytoin</w:t>
      </w:r>
      <w:proofErr w:type="spellEnd"/>
      <w:r w:rsidRPr="00EE37E6">
        <w:rPr>
          <w:rFonts w:ascii="Cambria" w:hAnsi="Cambria"/>
          <w:sz w:val="18"/>
          <w:szCs w:val="18"/>
        </w:rPr>
        <w:t xml:space="preserve"> as </w:t>
      </w:r>
      <w:proofErr w:type="spellStart"/>
      <w:r w:rsidRPr="00EE37E6">
        <w:rPr>
          <w:rFonts w:ascii="Cambria" w:hAnsi="Cambria"/>
          <w:sz w:val="18"/>
          <w:szCs w:val="18"/>
        </w:rPr>
        <w:t>monotherapy</w:t>
      </w:r>
      <w:proofErr w:type="spellEnd"/>
      <w:r w:rsidRPr="00EE37E6">
        <w:rPr>
          <w:rFonts w:ascii="Cambria" w:hAnsi="Cambria"/>
          <w:sz w:val="18"/>
          <w:szCs w:val="18"/>
        </w:rPr>
        <w:t xml:space="preserve"> for childhood epilepsy. Canadian Study Group for Childhood Epilepsy. </w:t>
      </w:r>
      <w:proofErr w:type="spellStart"/>
      <w:r w:rsidRPr="00EE37E6">
        <w:rPr>
          <w:rFonts w:ascii="Cambria" w:hAnsi="Cambria"/>
          <w:i/>
          <w:sz w:val="18"/>
          <w:szCs w:val="18"/>
        </w:rPr>
        <w:t>Epilepsia</w:t>
      </w:r>
      <w:proofErr w:type="spellEnd"/>
      <w:r w:rsidRPr="00EE37E6">
        <w:rPr>
          <w:rFonts w:ascii="Cambria" w:hAnsi="Cambria"/>
          <w:sz w:val="18"/>
          <w:szCs w:val="18"/>
        </w:rPr>
        <w:t xml:space="preserve"> 39: 952-959.</w:t>
      </w:r>
    </w:p>
  </w:footnote>
  <w:footnote w:id="90">
    <w:p w:rsidR="00E91D7F" w:rsidRDefault="00E91D7F" w:rsidP="00A50C03">
      <w:pPr>
        <w:pStyle w:val="FootnoteText"/>
        <w:ind w:left="0" w:firstLine="0"/>
      </w:pPr>
      <w:r w:rsidRPr="00EE37E6">
        <w:rPr>
          <w:rStyle w:val="FootnoteReference"/>
          <w:rFonts w:ascii="Cambria" w:hAnsi="Cambria"/>
        </w:rPr>
        <w:footnoteRef/>
      </w:r>
      <w:r w:rsidRPr="00EE37E6">
        <w:rPr>
          <w:rFonts w:ascii="Cambria" w:hAnsi="Cambria"/>
          <w:sz w:val="18"/>
          <w:szCs w:val="18"/>
        </w:rPr>
        <w:t xml:space="preserve"> </w:t>
      </w:r>
      <w:r w:rsidRPr="00EE37E6">
        <w:rPr>
          <w:rFonts w:ascii="Cambria" w:hAnsi="Cambria"/>
          <w:sz w:val="18"/>
          <w:szCs w:val="18"/>
          <w:lang w:val="nl-NL"/>
        </w:rPr>
        <w:t xml:space="preserve">Conry JA, et al. </w:t>
      </w:r>
      <w:r w:rsidRPr="00EE37E6">
        <w:rPr>
          <w:rFonts w:ascii="Cambria" w:hAnsi="Cambria"/>
          <w:sz w:val="18"/>
          <w:szCs w:val="18"/>
          <w:lang w:val="nl-NL"/>
        </w:rPr>
        <w:t xml:space="preserve">(2009) </w:t>
      </w:r>
      <w:proofErr w:type="spellStart"/>
      <w:r w:rsidRPr="00EE37E6">
        <w:rPr>
          <w:rFonts w:ascii="Cambria" w:hAnsi="Cambria"/>
          <w:sz w:val="18"/>
          <w:szCs w:val="18"/>
        </w:rPr>
        <w:t>Clobazam</w:t>
      </w:r>
      <w:proofErr w:type="spellEnd"/>
      <w:r w:rsidRPr="00EE37E6">
        <w:rPr>
          <w:rFonts w:ascii="Cambria" w:hAnsi="Cambria"/>
          <w:sz w:val="18"/>
          <w:szCs w:val="18"/>
        </w:rPr>
        <w:t xml:space="preserve"> in the treatment of Lennox-</w:t>
      </w:r>
      <w:proofErr w:type="spellStart"/>
      <w:r w:rsidRPr="00EE37E6">
        <w:rPr>
          <w:rFonts w:ascii="Cambria" w:hAnsi="Cambria"/>
          <w:sz w:val="18"/>
          <w:szCs w:val="18"/>
        </w:rPr>
        <w:t>Gastaut</w:t>
      </w:r>
      <w:proofErr w:type="spellEnd"/>
      <w:r w:rsidRPr="00EE37E6">
        <w:rPr>
          <w:rFonts w:ascii="Cambria" w:hAnsi="Cambria"/>
          <w:sz w:val="18"/>
          <w:szCs w:val="18"/>
        </w:rPr>
        <w:t xml:space="preserve"> syndrome. </w:t>
      </w:r>
      <w:proofErr w:type="spellStart"/>
      <w:r w:rsidRPr="00EE37E6">
        <w:rPr>
          <w:rFonts w:ascii="Cambria" w:hAnsi="Cambria"/>
          <w:i/>
          <w:sz w:val="18"/>
          <w:szCs w:val="18"/>
        </w:rPr>
        <w:t>Epilepsia</w:t>
      </w:r>
      <w:proofErr w:type="spellEnd"/>
      <w:r w:rsidRPr="00EE37E6">
        <w:rPr>
          <w:rFonts w:ascii="Cambria" w:hAnsi="Cambria"/>
          <w:sz w:val="18"/>
          <w:szCs w:val="18"/>
        </w:rPr>
        <w:t xml:space="preserve"> 50: 1158-1166.</w:t>
      </w:r>
    </w:p>
  </w:footnote>
  <w:footnote w:id="91">
    <w:p w:rsidR="00E91D7F" w:rsidRPr="006F4287" w:rsidRDefault="00E91D7F" w:rsidP="00A50C03">
      <w:pPr>
        <w:pStyle w:val="FootnoteText"/>
        <w:ind w:left="0" w:firstLine="0"/>
        <w:rPr>
          <w:rFonts w:ascii="Cambria" w:hAnsi="Cambria"/>
          <w:sz w:val="20"/>
        </w:rPr>
      </w:pPr>
      <w:r w:rsidRPr="006F4287">
        <w:rPr>
          <w:rStyle w:val="FootnoteReference"/>
          <w:rFonts w:ascii="Cambria" w:hAnsi="Cambria"/>
          <w:sz w:val="20"/>
        </w:rPr>
        <w:footnoteRef/>
      </w:r>
      <w:r w:rsidRPr="006F4287">
        <w:rPr>
          <w:rFonts w:ascii="Cambria" w:hAnsi="Cambria"/>
          <w:sz w:val="20"/>
        </w:rPr>
        <w:t xml:space="preserve"> </w:t>
      </w:r>
      <w:r w:rsidRPr="00D04A5B">
        <w:rPr>
          <w:rFonts w:ascii="Cambria" w:hAnsi="Cambria"/>
          <w:sz w:val="18"/>
          <w:szCs w:val="18"/>
          <w:lang w:val="nl-NL"/>
        </w:rPr>
        <w:t xml:space="preserve">Ng YT, et al. (2011) </w:t>
      </w:r>
      <w:r w:rsidRPr="00D04A5B">
        <w:rPr>
          <w:rFonts w:ascii="Cambria" w:hAnsi="Cambria"/>
          <w:sz w:val="18"/>
          <w:szCs w:val="18"/>
        </w:rPr>
        <w:t xml:space="preserve">Randomised, phase III study results of </w:t>
      </w:r>
      <w:proofErr w:type="spellStart"/>
      <w:r w:rsidRPr="00D04A5B">
        <w:rPr>
          <w:rFonts w:ascii="Cambria" w:hAnsi="Cambria"/>
          <w:sz w:val="18"/>
          <w:szCs w:val="18"/>
        </w:rPr>
        <w:t>clobazam</w:t>
      </w:r>
      <w:proofErr w:type="spellEnd"/>
      <w:r w:rsidRPr="00D04A5B">
        <w:rPr>
          <w:rFonts w:ascii="Cambria" w:hAnsi="Cambria"/>
          <w:sz w:val="18"/>
          <w:szCs w:val="18"/>
        </w:rPr>
        <w:t xml:space="preserve"> in Lennox-</w:t>
      </w:r>
      <w:proofErr w:type="spellStart"/>
      <w:r w:rsidRPr="00D04A5B">
        <w:rPr>
          <w:rFonts w:ascii="Cambria" w:hAnsi="Cambria"/>
          <w:sz w:val="18"/>
          <w:szCs w:val="18"/>
        </w:rPr>
        <w:t>Gastaut</w:t>
      </w:r>
      <w:proofErr w:type="spellEnd"/>
      <w:r w:rsidRPr="00D04A5B">
        <w:rPr>
          <w:rFonts w:ascii="Cambria" w:hAnsi="Cambria"/>
          <w:sz w:val="18"/>
          <w:szCs w:val="18"/>
        </w:rPr>
        <w:t xml:space="preserve"> syndrome. </w:t>
      </w:r>
      <w:r w:rsidRPr="00D04A5B">
        <w:rPr>
          <w:rFonts w:ascii="Cambria" w:hAnsi="Cambria"/>
          <w:i/>
          <w:sz w:val="18"/>
          <w:szCs w:val="18"/>
        </w:rPr>
        <w:t>Neurology</w:t>
      </w:r>
      <w:r w:rsidRPr="00D04A5B">
        <w:rPr>
          <w:rFonts w:ascii="Cambria" w:hAnsi="Cambria"/>
          <w:sz w:val="18"/>
          <w:szCs w:val="18"/>
        </w:rPr>
        <w:t xml:space="preserve"> 77: 1473-1481.</w:t>
      </w:r>
    </w:p>
  </w:footnote>
  <w:footnote w:id="92">
    <w:p w:rsidR="00E91D7F" w:rsidRPr="00EE37E6" w:rsidRDefault="00E91D7F" w:rsidP="00A50C03">
      <w:pPr>
        <w:pStyle w:val="FootnoteText"/>
        <w:ind w:left="0" w:firstLine="0"/>
        <w:rPr>
          <w:rFonts w:ascii="Cambria" w:hAnsi="Cambria"/>
        </w:rPr>
      </w:pPr>
      <w:r w:rsidRPr="00EE37E6">
        <w:rPr>
          <w:rStyle w:val="FootnoteReference"/>
          <w:rFonts w:ascii="Cambria" w:hAnsi="Cambria"/>
        </w:rPr>
        <w:footnoteRef/>
      </w:r>
      <w:r w:rsidRPr="00EE37E6">
        <w:rPr>
          <w:rFonts w:ascii="Cambria" w:hAnsi="Cambria"/>
          <w:sz w:val="18"/>
          <w:szCs w:val="18"/>
        </w:rPr>
        <w:t xml:space="preserve"> </w:t>
      </w:r>
      <w:r w:rsidRPr="00EE37E6">
        <w:rPr>
          <w:rFonts w:ascii="Cambria" w:hAnsi="Cambria"/>
          <w:sz w:val="18"/>
          <w:szCs w:val="18"/>
          <w:lang w:val="nl-NL"/>
        </w:rPr>
        <w:t xml:space="preserve">Ng YT, et al. (2011) </w:t>
      </w:r>
      <w:r w:rsidRPr="00EE37E6">
        <w:rPr>
          <w:rFonts w:ascii="Cambria" w:hAnsi="Cambria"/>
          <w:sz w:val="18"/>
          <w:szCs w:val="18"/>
        </w:rPr>
        <w:t xml:space="preserve">Randomised, phase III study results of </w:t>
      </w:r>
      <w:proofErr w:type="spellStart"/>
      <w:r w:rsidRPr="00EE37E6">
        <w:rPr>
          <w:rFonts w:ascii="Cambria" w:hAnsi="Cambria"/>
          <w:sz w:val="18"/>
          <w:szCs w:val="18"/>
        </w:rPr>
        <w:t>clobazam</w:t>
      </w:r>
      <w:proofErr w:type="spellEnd"/>
      <w:r w:rsidRPr="00EE37E6">
        <w:rPr>
          <w:rFonts w:ascii="Cambria" w:hAnsi="Cambria"/>
          <w:sz w:val="18"/>
          <w:szCs w:val="18"/>
        </w:rPr>
        <w:t xml:space="preserve"> in Lennox-</w:t>
      </w:r>
      <w:proofErr w:type="spellStart"/>
      <w:r w:rsidRPr="00EE37E6">
        <w:rPr>
          <w:rFonts w:ascii="Cambria" w:hAnsi="Cambria"/>
          <w:sz w:val="18"/>
          <w:szCs w:val="18"/>
        </w:rPr>
        <w:t>Gastaut</w:t>
      </w:r>
      <w:proofErr w:type="spellEnd"/>
      <w:r w:rsidRPr="00EE37E6">
        <w:rPr>
          <w:rFonts w:ascii="Cambria" w:hAnsi="Cambria"/>
          <w:sz w:val="18"/>
          <w:szCs w:val="18"/>
        </w:rPr>
        <w:t xml:space="preserve"> syndrome. </w:t>
      </w:r>
      <w:r w:rsidRPr="00EE37E6">
        <w:rPr>
          <w:rFonts w:ascii="Cambria" w:hAnsi="Cambria"/>
          <w:i/>
          <w:sz w:val="18"/>
          <w:szCs w:val="18"/>
        </w:rPr>
        <w:t>Neurology</w:t>
      </w:r>
      <w:r w:rsidRPr="00EE37E6">
        <w:rPr>
          <w:rFonts w:ascii="Cambria" w:hAnsi="Cambria"/>
          <w:sz w:val="18"/>
          <w:szCs w:val="18"/>
        </w:rPr>
        <w:t xml:space="preserve"> 77: 1473-1481.</w:t>
      </w:r>
    </w:p>
  </w:footnote>
  <w:footnote w:id="93">
    <w:p w:rsidR="00EE37E6" w:rsidRPr="00EE37E6" w:rsidRDefault="00EE37E6" w:rsidP="00EE37E6">
      <w:pPr>
        <w:pStyle w:val="FootnoteText"/>
        <w:ind w:left="0" w:firstLine="0"/>
        <w:rPr>
          <w:rFonts w:ascii="Cambria" w:hAnsi="Cambria"/>
        </w:rPr>
      </w:pPr>
      <w:r w:rsidRPr="00EE37E6">
        <w:rPr>
          <w:rStyle w:val="FootnoteReference"/>
          <w:rFonts w:ascii="Cambria" w:hAnsi="Cambria"/>
        </w:rPr>
        <w:footnoteRef/>
      </w:r>
      <w:r w:rsidRPr="00EE37E6">
        <w:rPr>
          <w:rFonts w:ascii="Cambria" w:hAnsi="Cambria"/>
          <w:sz w:val="18"/>
          <w:szCs w:val="18"/>
        </w:rPr>
        <w:t xml:space="preserve"> </w:t>
      </w:r>
      <w:r w:rsidRPr="00EE37E6">
        <w:rPr>
          <w:rFonts w:ascii="Cambria" w:hAnsi="Cambria"/>
          <w:sz w:val="18"/>
          <w:szCs w:val="18"/>
          <w:lang w:val="nl-NL"/>
        </w:rPr>
        <w:t xml:space="preserve">Ng YT, et al. (2011) </w:t>
      </w:r>
      <w:r w:rsidRPr="00EE37E6">
        <w:rPr>
          <w:rFonts w:ascii="Cambria" w:hAnsi="Cambria"/>
          <w:sz w:val="18"/>
          <w:szCs w:val="18"/>
        </w:rPr>
        <w:t xml:space="preserve">Randomised, phase III study results of </w:t>
      </w:r>
      <w:proofErr w:type="spellStart"/>
      <w:r w:rsidRPr="00EE37E6">
        <w:rPr>
          <w:rFonts w:ascii="Cambria" w:hAnsi="Cambria"/>
          <w:sz w:val="18"/>
          <w:szCs w:val="18"/>
        </w:rPr>
        <w:t>clobazam</w:t>
      </w:r>
      <w:proofErr w:type="spellEnd"/>
      <w:r w:rsidRPr="00EE37E6">
        <w:rPr>
          <w:rFonts w:ascii="Cambria" w:hAnsi="Cambria"/>
          <w:sz w:val="18"/>
          <w:szCs w:val="18"/>
        </w:rPr>
        <w:t xml:space="preserve"> in Lennox-</w:t>
      </w:r>
      <w:proofErr w:type="spellStart"/>
      <w:r w:rsidRPr="00EE37E6">
        <w:rPr>
          <w:rFonts w:ascii="Cambria" w:hAnsi="Cambria"/>
          <w:sz w:val="18"/>
          <w:szCs w:val="18"/>
        </w:rPr>
        <w:t>Gastaut</w:t>
      </w:r>
      <w:proofErr w:type="spellEnd"/>
      <w:r w:rsidRPr="00EE37E6">
        <w:rPr>
          <w:rFonts w:ascii="Cambria" w:hAnsi="Cambria"/>
          <w:sz w:val="18"/>
          <w:szCs w:val="18"/>
        </w:rPr>
        <w:t xml:space="preserve"> syndrome. </w:t>
      </w:r>
      <w:r w:rsidRPr="00EE37E6">
        <w:rPr>
          <w:rFonts w:ascii="Cambria" w:hAnsi="Cambria"/>
          <w:i/>
          <w:sz w:val="18"/>
          <w:szCs w:val="18"/>
        </w:rPr>
        <w:t>Neurology</w:t>
      </w:r>
      <w:r w:rsidRPr="00EE37E6">
        <w:rPr>
          <w:rFonts w:ascii="Cambria" w:hAnsi="Cambria"/>
          <w:sz w:val="18"/>
          <w:szCs w:val="18"/>
        </w:rPr>
        <w:t xml:space="preserve"> 77: 1473-1481.</w:t>
      </w:r>
    </w:p>
  </w:footnote>
  <w:footnote w:id="94">
    <w:p w:rsidR="00EE37E6" w:rsidRPr="00EE37E6" w:rsidRDefault="00EE37E6" w:rsidP="00EE37E6">
      <w:pPr>
        <w:pStyle w:val="FootnoteText"/>
        <w:ind w:left="0" w:firstLine="0"/>
        <w:rPr>
          <w:rFonts w:ascii="Cambria" w:hAnsi="Cambria"/>
        </w:rPr>
      </w:pPr>
      <w:r w:rsidRPr="00EE37E6">
        <w:rPr>
          <w:rStyle w:val="FootnoteReference"/>
          <w:rFonts w:ascii="Cambria" w:hAnsi="Cambria"/>
        </w:rPr>
        <w:footnoteRef/>
      </w:r>
      <w:r w:rsidRPr="00EE37E6">
        <w:rPr>
          <w:rFonts w:ascii="Cambria" w:hAnsi="Cambria"/>
          <w:sz w:val="18"/>
          <w:szCs w:val="18"/>
        </w:rPr>
        <w:t xml:space="preserve"> </w:t>
      </w:r>
      <w:r w:rsidRPr="00EE37E6">
        <w:rPr>
          <w:rFonts w:ascii="Cambria" w:hAnsi="Cambria"/>
          <w:sz w:val="18"/>
          <w:szCs w:val="18"/>
          <w:lang w:val="nl-NL"/>
        </w:rPr>
        <w:t xml:space="preserve">Ng YT, et al. (2011) </w:t>
      </w:r>
      <w:r w:rsidRPr="00EE37E6">
        <w:rPr>
          <w:rFonts w:ascii="Cambria" w:hAnsi="Cambria"/>
          <w:sz w:val="18"/>
          <w:szCs w:val="18"/>
        </w:rPr>
        <w:t xml:space="preserve">Randomised, phase III study results of </w:t>
      </w:r>
      <w:proofErr w:type="spellStart"/>
      <w:r w:rsidRPr="00EE37E6">
        <w:rPr>
          <w:rFonts w:ascii="Cambria" w:hAnsi="Cambria"/>
          <w:sz w:val="18"/>
          <w:szCs w:val="18"/>
        </w:rPr>
        <w:t>clobazam</w:t>
      </w:r>
      <w:proofErr w:type="spellEnd"/>
      <w:r w:rsidRPr="00EE37E6">
        <w:rPr>
          <w:rFonts w:ascii="Cambria" w:hAnsi="Cambria"/>
          <w:sz w:val="18"/>
          <w:szCs w:val="18"/>
        </w:rPr>
        <w:t xml:space="preserve"> in Lennox-</w:t>
      </w:r>
      <w:proofErr w:type="spellStart"/>
      <w:r w:rsidRPr="00EE37E6">
        <w:rPr>
          <w:rFonts w:ascii="Cambria" w:hAnsi="Cambria"/>
          <w:sz w:val="18"/>
          <w:szCs w:val="18"/>
        </w:rPr>
        <w:t>Gastaut</w:t>
      </w:r>
      <w:proofErr w:type="spellEnd"/>
      <w:r w:rsidRPr="00EE37E6">
        <w:rPr>
          <w:rFonts w:ascii="Cambria" w:hAnsi="Cambria"/>
          <w:sz w:val="18"/>
          <w:szCs w:val="18"/>
        </w:rPr>
        <w:t xml:space="preserve"> syndrome. </w:t>
      </w:r>
      <w:r w:rsidRPr="00EE37E6">
        <w:rPr>
          <w:rFonts w:ascii="Cambria" w:hAnsi="Cambria"/>
          <w:i/>
          <w:sz w:val="18"/>
          <w:szCs w:val="18"/>
        </w:rPr>
        <w:t>Neurology</w:t>
      </w:r>
      <w:r w:rsidRPr="00EE37E6">
        <w:rPr>
          <w:rFonts w:ascii="Cambria" w:hAnsi="Cambria"/>
          <w:sz w:val="18"/>
          <w:szCs w:val="18"/>
        </w:rPr>
        <w:t xml:space="preserve"> 77: 1473-1481.</w:t>
      </w:r>
    </w:p>
  </w:footnote>
  <w:footnote w:id="95">
    <w:p w:rsidR="00E91D7F" w:rsidRPr="00EE37E6" w:rsidRDefault="00E91D7F" w:rsidP="00A50C03">
      <w:pPr>
        <w:pStyle w:val="FootnoteText"/>
        <w:ind w:left="0" w:firstLine="0"/>
        <w:rPr>
          <w:rFonts w:ascii="Cambria" w:hAnsi="Cambria"/>
        </w:rPr>
      </w:pPr>
      <w:r w:rsidRPr="00EE37E6">
        <w:rPr>
          <w:rStyle w:val="FootnoteReference"/>
          <w:rFonts w:ascii="Cambria" w:hAnsi="Cambria"/>
        </w:rPr>
        <w:footnoteRef/>
      </w:r>
      <w:r w:rsidRPr="00EE37E6">
        <w:rPr>
          <w:rFonts w:ascii="Cambria" w:hAnsi="Cambria"/>
          <w:sz w:val="18"/>
          <w:szCs w:val="18"/>
        </w:rPr>
        <w:t xml:space="preserve"> </w:t>
      </w:r>
      <w:r w:rsidRPr="00EE37E6">
        <w:rPr>
          <w:rFonts w:ascii="Cambria" w:hAnsi="Cambria"/>
          <w:sz w:val="18"/>
          <w:szCs w:val="18"/>
          <w:lang w:val="nl-NL"/>
        </w:rPr>
        <w:t xml:space="preserve">Ng YT, et al. (2011) </w:t>
      </w:r>
      <w:r w:rsidRPr="00EE37E6">
        <w:rPr>
          <w:rFonts w:ascii="Cambria" w:hAnsi="Cambria"/>
          <w:sz w:val="18"/>
          <w:szCs w:val="18"/>
        </w:rPr>
        <w:t xml:space="preserve">Randomised, phase III study results of </w:t>
      </w:r>
      <w:proofErr w:type="spellStart"/>
      <w:r w:rsidRPr="00EE37E6">
        <w:rPr>
          <w:rFonts w:ascii="Cambria" w:hAnsi="Cambria"/>
          <w:sz w:val="18"/>
          <w:szCs w:val="18"/>
        </w:rPr>
        <w:t>clobazam</w:t>
      </w:r>
      <w:proofErr w:type="spellEnd"/>
      <w:r w:rsidRPr="00EE37E6">
        <w:rPr>
          <w:rFonts w:ascii="Cambria" w:hAnsi="Cambria"/>
          <w:sz w:val="18"/>
          <w:szCs w:val="18"/>
        </w:rPr>
        <w:t xml:space="preserve"> in Lennox-</w:t>
      </w:r>
      <w:proofErr w:type="spellStart"/>
      <w:r w:rsidRPr="00EE37E6">
        <w:rPr>
          <w:rFonts w:ascii="Cambria" w:hAnsi="Cambria"/>
          <w:sz w:val="18"/>
          <w:szCs w:val="18"/>
        </w:rPr>
        <w:t>Gastaut</w:t>
      </w:r>
      <w:proofErr w:type="spellEnd"/>
      <w:r w:rsidRPr="00EE37E6">
        <w:rPr>
          <w:rFonts w:ascii="Cambria" w:hAnsi="Cambria"/>
          <w:sz w:val="18"/>
          <w:szCs w:val="18"/>
        </w:rPr>
        <w:t xml:space="preserve"> syndrome. </w:t>
      </w:r>
      <w:r w:rsidRPr="00EE37E6">
        <w:rPr>
          <w:rFonts w:ascii="Cambria" w:hAnsi="Cambria"/>
          <w:i/>
          <w:sz w:val="18"/>
          <w:szCs w:val="18"/>
        </w:rPr>
        <w:t>Neurology</w:t>
      </w:r>
      <w:r w:rsidRPr="00EE37E6">
        <w:rPr>
          <w:rFonts w:ascii="Cambria" w:hAnsi="Cambria"/>
          <w:sz w:val="18"/>
          <w:szCs w:val="18"/>
        </w:rPr>
        <w:t xml:space="preserve"> 77: 1473-1481.</w:t>
      </w:r>
    </w:p>
  </w:footnote>
  <w:footnote w:id="96">
    <w:p w:rsidR="00EE37E6" w:rsidRPr="00EE37E6" w:rsidRDefault="00EE37E6" w:rsidP="00EE37E6">
      <w:pPr>
        <w:pStyle w:val="FootnoteText"/>
        <w:ind w:left="0" w:firstLine="0"/>
        <w:rPr>
          <w:rFonts w:ascii="Cambria" w:hAnsi="Cambria"/>
        </w:rPr>
      </w:pPr>
      <w:r w:rsidRPr="00EE37E6">
        <w:rPr>
          <w:rStyle w:val="FootnoteReference"/>
          <w:rFonts w:ascii="Cambria" w:hAnsi="Cambria"/>
        </w:rPr>
        <w:footnoteRef/>
      </w:r>
      <w:r w:rsidRPr="00EE37E6">
        <w:rPr>
          <w:rFonts w:ascii="Cambria" w:hAnsi="Cambria"/>
          <w:sz w:val="18"/>
          <w:szCs w:val="18"/>
        </w:rPr>
        <w:t xml:space="preserve"> </w:t>
      </w:r>
      <w:r w:rsidRPr="00EE37E6">
        <w:rPr>
          <w:rFonts w:ascii="Cambria" w:hAnsi="Cambria"/>
          <w:sz w:val="18"/>
          <w:szCs w:val="18"/>
          <w:lang w:val="nl-NL"/>
        </w:rPr>
        <w:t xml:space="preserve">Ng YT, et al. (2011) </w:t>
      </w:r>
      <w:r w:rsidRPr="00EE37E6">
        <w:rPr>
          <w:rFonts w:ascii="Cambria" w:hAnsi="Cambria"/>
          <w:sz w:val="18"/>
          <w:szCs w:val="18"/>
        </w:rPr>
        <w:t xml:space="preserve">Randomised, phase III study results of </w:t>
      </w:r>
      <w:proofErr w:type="spellStart"/>
      <w:r w:rsidRPr="00EE37E6">
        <w:rPr>
          <w:rFonts w:ascii="Cambria" w:hAnsi="Cambria"/>
          <w:sz w:val="18"/>
          <w:szCs w:val="18"/>
        </w:rPr>
        <w:t>clobazam</w:t>
      </w:r>
      <w:proofErr w:type="spellEnd"/>
      <w:r w:rsidRPr="00EE37E6">
        <w:rPr>
          <w:rFonts w:ascii="Cambria" w:hAnsi="Cambria"/>
          <w:sz w:val="18"/>
          <w:szCs w:val="18"/>
        </w:rPr>
        <w:t xml:space="preserve"> in Lennox-</w:t>
      </w:r>
      <w:proofErr w:type="spellStart"/>
      <w:r w:rsidRPr="00EE37E6">
        <w:rPr>
          <w:rFonts w:ascii="Cambria" w:hAnsi="Cambria"/>
          <w:sz w:val="18"/>
          <w:szCs w:val="18"/>
        </w:rPr>
        <w:t>Gastaut</w:t>
      </w:r>
      <w:proofErr w:type="spellEnd"/>
      <w:r w:rsidRPr="00EE37E6">
        <w:rPr>
          <w:rFonts w:ascii="Cambria" w:hAnsi="Cambria"/>
          <w:sz w:val="18"/>
          <w:szCs w:val="18"/>
        </w:rPr>
        <w:t xml:space="preserve"> syndrome. </w:t>
      </w:r>
      <w:r w:rsidRPr="00EE37E6">
        <w:rPr>
          <w:rFonts w:ascii="Cambria" w:hAnsi="Cambria"/>
          <w:i/>
          <w:sz w:val="18"/>
          <w:szCs w:val="18"/>
        </w:rPr>
        <w:t>Neurology</w:t>
      </w:r>
      <w:r w:rsidRPr="00EE37E6">
        <w:rPr>
          <w:rFonts w:ascii="Cambria" w:hAnsi="Cambria"/>
          <w:sz w:val="18"/>
          <w:szCs w:val="18"/>
        </w:rPr>
        <w:t xml:space="preserve"> 77: 1473-1481.</w:t>
      </w:r>
    </w:p>
  </w:footnote>
  <w:footnote w:id="97">
    <w:p w:rsidR="00E91D7F" w:rsidRPr="006828BE" w:rsidRDefault="00E91D7F" w:rsidP="00A50C03">
      <w:pPr>
        <w:pStyle w:val="FootnoteText"/>
        <w:ind w:left="0" w:firstLine="0"/>
        <w:rPr>
          <w:rFonts w:ascii="Cambria" w:hAnsi="Cambria"/>
          <w:sz w:val="20"/>
        </w:rPr>
      </w:pPr>
      <w:r w:rsidRPr="006828BE">
        <w:rPr>
          <w:rStyle w:val="FootnoteReference"/>
          <w:rFonts w:ascii="Cambria" w:hAnsi="Cambria"/>
          <w:sz w:val="20"/>
        </w:rPr>
        <w:footnoteRef/>
      </w:r>
      <w:r w:rsidRPr="00595FCE">
        <w:rPr>
          <w:rFonts w:ascii="Cambria" w:hAnsi="Cambria"/>
          <w:sz w:val="18"/>
          <w:szCs w:val="18"/>
        </w:rPr>
        <w:t xml:space="preserve"> Robertson MM. (1995) The place of </w:t>
      </w:r>
      <w:proofErr w:type="spellStart"/>
      <w:r w:rsidRPr="00595FCE">
        <w:rPr>
          <w:rFonts w:ascii="Cambria" w:hAnsi="Cambria"/>
          <w:sz w:val="18"/>
          <w:szCs w:val="18"/>
        </w:rPr>
        <w:t>clobazam</w:t>
      </w:r>
      <w:proofErr w:type="spellEnd"/>
      <w:r w:rsidRPr="00595FCE">
        <w:rPr>
          <w:rFonts w:ascii="Cambria" w:hAnsi="Cambria"/>
          <w:sz w:val="18"/>
          <w:szCs w:val="18"/>
        </w:rPr>
        <w:t xml:space="preserve"> in the treatment of epilepsy: an update. </w:t>
      </w:r>
      <w:r w:rsidRPr="00595FCE">
        <w:rPr>
          <w:rFonts w:ascii="Cambria" w:hAnsi="Cambria"/>
          <w:i/>
          <w:sz w:val="18"/>
          <w:szCs w:val="18"/>
        </w:rPr>
        <w:t xml:space="preserve">Hum </w:t>
      </w:r>
      <w:proofErr w:type="spellStart"/>
      <w:r w:rsidRPr="00595FCE">
        <w:rPr>
          <w:rFonts w:ascii="Cambria" w:hAnsi="Cambria"/>
          <w:i/>
          <w:sz w:val="18"/>
          <w:szCs w:val="18"/>
        </w:rPr>
        <w:t>Psychopharmacol</w:t>
      </w:r>
      <w:proofErr w:type="spellEnd"/>
      <w:r w:rsidRPr="00595FCE">
        <w:rPr>
          <w:rFonts w:ascii="Cambria" w:hAnsi="Cambria"/>
          <w:i/>
          <w:sz w:val="18"/>
          <w:szCs w:val="18"/>
        </w:rPr>
        <w:t>.</w:t>
      </w:r>
      <w:r w:rsidRPr="00595FCE">
        <w:rPr>
          <w:rFonts w:ascii="Cambria" w:hAnsi="Cambria"/>
          <w:sz w:val="18"/>
          <w:szCs w:val="18"/>
        </w:rPr>
        <w:t xml:space="preserve"> 10: S43-S63.</w:t>
      </w:r>
    </w:p>
  </w:footnote>
  <w:footnote w:id="98">
    <w:p w:rsidR="00E91D7F" w:rsidRPr="006828BE" w:rsidRDefault="00E91D7F" w:rsidP="00A50C03">
      <w:pPr>
        <w:pStyle w:val="FootnoteText"/>
        <w:ind w:left="0" w:firstLine="0"/>
        <w:rPr>
          <w:rFonts w:ascii="Cambria" w:hAnsi="Cambria"/>
          <w:sz w:val="20"/>
        </w:rPr>
      </w:pPr>
      <w:r w:rsidRPr="006828BE">
        <w:rPr>
          <w:rStyle w:val="FootnoteReference"/>
          <w:rFonts w:ascii="Cambria" w:hAnsi="Cambria"/>
          <w:sz w:val="20"/>
        </w:rPr>
        <w:footnoteRef/>
      </w:r>
      <w:r w:rsidRPr="00595FCE">
        <w:rPr>
          <w:rFonts w:ascii="Cambria" w:hAnsi="Cambria"/>
          <w:sz w:val="18"/>
          <w:szCs w:val="18"/>
        </w:rPr>
        <w:t xml:space="preserve"> [No authors listed] (1998) </w:t>
      </w:r>
      <w:proofErr w:type="spellStart"/>
      <w:r w:rsidRPr="00595FCE">
        <w:rPr>
          <w:rFonts w:ascii="Cambria" w:hAnsi="Cambria"/>
          <w:sz w:val="18"/>
          <w:szCs w:val="18"/>
        </w:rPr>
        <w:t>Clobazam</w:t>
      </w:r>
      <w:proofErr w:type="spellEnd"/>
      <w:r w:rsidRPr="00595FCE">
        <w:rPr>
          <w:rFonts w:ascii="Cambria" w:hAnsi="Cambria"/>
          <w:sz w:val="18"/>
          <w:szCs w:val="18"/>
        </w:rPr>
        <w:t xml:space="preserve"> has equivalent efficacy to </w:t>
      </w:r>
      <w:proofErr w:type="spellStart"/>
      <w:r w:rsidRPr="00595FCE">
        <w:rPr>
          <w:rFonts w:ascii="Cambria" w:hAnsi="Cambria"/>
          <w:sz w:val="18"/>
          <w:szCs w:val="18"/>
        </w:rPr>
        <w:t>carbamazepine</w:t>
      </w:r>
      <w:proofErr w:type="spellEnd"/>
      <w:r w:rsidRPr="00595FCE">
        <w:rPr>
          <w:rFonts w:ascii="Cambria" w:hAnsi="Cambria"/>
          <w:sz w:val="18"/>
          <w:szCs w:val="18"/>
        </w:rPr>
        <w:t xml:space="preserve"> and </w:t>
      </w:r>
      <w:proofErr w:type="spellStart"/>
      <w:r w:rsidRPr="00595FCE">
        <w:rPr>
          <w:rFonts w:ascii="Cambria" w:hAnsi="Cambria"/>
          <w:sz w:val="18"/>
          <w:szCs w:val="18"/>
        </w:rPr>
        <w:t>phenytoin</w:t>
      </w:r>
      <w:proofErr w:type="spellEnd"/>
      <w:r w:rsidRPr="00595FCE">
        <w:rPr>
          <w:rFonts w:ascii="Cambria" w:hAnsi="Cambria"/>
          <w:sz w:val="18"/>
          <w:szCs w:val="18"/>
        </w:rPr>
        <w:t xml:space="preserve"> as </w:t>
      </w:r>
      <w:proofErr w:type="spellStart"/>
      <w:r w:rsidRPr="00595FCE">
        <w:rPr>
          <w:rFonts w:ascii="Cambria" w:hAnsi="Cambria"/>
          <w:sz w:val="18"/>
          <w:szCs w:val="18"/>
        </w:rPr>
        <w:t>monotherapy</w:t>
      </w:r>
      <w:proofErr w:type="spellEnd"/>
      <w:r w:rsidRPr="00595FCE">
        <w:rPr>
          <w:rFonts w:ascii="Cambria" w:hAnsi="Cambria"/>
          <w:sz w:val="18"/>
          <w:szCs w:val="18"/>
        </w:rPr>
        <w:t xml:space="preserve"> for childhood epilepsy. Canadian Study Group for Childhood Epilepsy. </w:t>
      </w:r>
      <w:proofErr w:type="spellStart"/>
      <w:r w:rsidRPr="00595FCE">
        <w:rPr>
          <w:rFonts w:ascii="Cambria" w:hAnsi="Cambria"/>
          <w:i/>
          <w:sz w:val="18"/>
          <w:szCs w:val="18"/>
        </w:rPr>
        <w:t>Epilepsia</w:t>
      </w:r>
      <w:proofErr w:type="spellEnd"/>
      <w:r w:rsidRPr="00595FCE">
        <w:rPr>
          <w:rFonts w:ascii="Cambria" w:hAnsi="Cambria"/>
          <w:sz w:val="18"/>
          <w:szCs w:val="18"/>
        </w:rPr>
        <w:t xml:space="preserve"> 39: 952-959.</w:t>
      </w:r>
    </w:p>
  </w:footnote>
  <w:footnote w:id="99">
    <w:p w:rsidR="00E91D7F" w:rsidRPr="006828BE" w:rsidRDefault="00E91D7F" w:rsidP="00A50C03">
      <w:pPr>
        <w:pStyle w:val="FootnoteText"/>
        <w:ind w:left="0" w:firstLine="0"/>
        <w:rPr>
          <w:rFonts w:ascii="Cambria" w:hAnsi="Cambria"/>
          <w:sz w:val="20"/>
        </w:rPr>
      </w:pPr>
      <w:r w:rsidRPr="006828BE">
        <w:rPr>
          <w:rStyle w:val="FootnoteReference"/>
          <w:rFonts w:ascii="Cambria" w:hAnsi="Cambria"/>
          <w:sz w:val="20"/>
        </w:rPr>
        <w:footnoteRef/>
      </w:r>
      <w:r w:rsidRPr="00595FCE">
        <w:rPr>
          <w:rFonts w:ascii="Cambria" w:hAnsi="Cambria"/>
          <w:sz w:val="18"/>
          <w:szCs w:val="18"/>
        </w:rPr>
        <w:t xml:space="preserve"> </w:t>
      </w:r>
      <w:r w:rsidRPr="00595FCE">
        <w:rPr>
          <w:rFonts w:ascii="Cambria" w:hAnsi="Cambria"/>
          <w:sz w:val="18"/>
          <w:szCs w:val="18"/>
          <w:lang w:val="nl-NL"/>
        </w:rPr>
        <w:t xml:space="preserve">Ng YT, et al. (2011) </w:t>
      </w:r>
      <w:r w:rsidRPr="00595FCE">
        <w:rPr>
          <w:rFonts w:ascii="Cambria" w:hAnsi="Cambria"/>
          <w:sz w:val="18"/>
          <w:szCs w:val="18"/>
        </w:rPr>
        <w:t xml:space="preserve">Randomised, phase III study results of </w:t>
      </w:r>
      <w:proofErr w:type="spellStart"/>
      <w:r w:rsidRPr="00595FCE">
        <w:rPr>
          <w:rFonts w:ascii="Cambria" w:hAnsi="Cambria"/>
          <w:sz w:val="18"/>
          <w:szCs w:val="18"/>
        </w:rPr>
        <w:t>clobazam</w:t>
      </w:r>
      <w:proofErr w:type="spellEnd"/>
      <w:r w:rsidRPr="00595FCE">
        <w:rPr>
          <w:rFonts w:ascii="Cambria" w:hAnsi="Cambria"/>
          <w:sz w:val="18"/>
          <w:szCs w:val="18"/>
        </w:rPr>
        <w:t xml:space="preserve"> in Lennox-</w:t>
      </w:r>
      <w:proofErr w:type="spellStart"/>
      <w:r w:rsidRPr="00595FCE">
        <w:rPr>
          <w:rFonts w:ascii="Cambria" w:hAnsi="Cambria"/>
          <w:sz w:val="18"/>
          <w:szCs w:val="18"/>
        </w:rPr>
        <w:t>Gastaut</w:t>
      </w:r>
      <w:proofErr w:type="spellEnd"/>
      <w:r w:rsidRPr="00595FCE">
        <w:rPr>
          <w:rFonts w:ascii="Cambria" w:hAnsi="Cambria"/>
          <w:sz w:val="18"/>
          <w:szCs w:val="18"/>
        </w:rPr>
        <w:t xml:space="preserve"> syndrome. </w:t>
      </w:r>
      <w:r w:rsidRPr="00595FCE">
        <w:rPr>
          <w:rFonts w:ascii="Cambria" w:hAnsi="Cambria"/>
          <w:i/>
          <w:sz w:val="18"/>
          <w:szCs w:val="18"/>
        </w:rPr>
        <w:t>Neurology</w:t>
      </w:r>
      <w:r w:rsidRPr="00595FCE">
        <w:rPr>
          <w:rFonts w:ascii="Cambria" w:hAnsi="Cambria"/>
          <w:sz w:val="18"/>
          <w:szCs w:val="18"/>
        </w:rPr>
        <w:t xml:space="preserve"> 77: 1473-1481; </w:t>
      </w:r>
      <w:r w:rsidRPr="00595FCE">
        <w:rPr>
          <w:rFonts w:ascii="Cambria" w:hAnsi="Cambria"/>
          <w:sz w:val="18"/>
          <w:szCs w:val="18"/>
          <w:lang w:val="nl-NL"/>
        </w:rPr>
        <w:t xml:space="preserve">Conry JA, et al. (2009) </w:t>
      </w:r>
      <w:proofErr w:type="spellStart"/>
      <w:r w:rsidRPr="00595FCE">
        <w:rPr>
          <w:rFonts w:ascii="Cambria" w:hAnsi="Cambria"/>
          <w:sz w:val="18"/>
          <w:szCs w:val="18"/>
        </w:rPr>
        <w:t>Clobazam</w:t>
      </w:r>
      <w:proofErr w:type="spellEnd"/>
      <w:r w:rsidRPr="00595FCE">
        <w:rPr>
          <w:rFonts w:ascii="Cambria" w:hAnsi="Cambria"/>
          <w:sz w:val="18"/>
          <w:szCs w:val="18"/>
        </w:rPr>
        <w:t xml:space="preserve"> in the treatment of Lennox-</w:t>
      </w:r>
      <w:proofErr w:type="spellStart"/>
      <w:r w:rsidRPr="00595FCE">
        <w:rPr>
          <w:rFonts w:ascii="Cambria" w:hAnsi="Cambria"/>
          <w:sz w:val="18"/>
          <w:szCs w:val="18"/>
        </w:rPr>
        <w:t>Gastaut</w:t>
      </w:r>
      <w:proofErr w:type="spellEnd"/>
      <w:r w:rsidRPr="00595FCE">
        <w:rPr>
          <w:rFonts w:ascii="Cambria" w:hAnsi="Cambria"/>
          <w:sz w:val="18"/>
          <w:szCs w:val="18"/>
        </w:rPr>
        <w:t xml:space="preserve"> syndrome. </w:t>
      </w:r>
      <w:proofErr w:type="spellStart"/>
      <w:r w:rsidRPr="00595FCE">
        <w:rPr>
          <w:rFonts w:ascii="Cambria" w:hAnsi="Cambria"/>
          <w:i/>
          <w:sz w:val="18"/>
          <w:szCs w:val="18"/>
        </w:rPr>
        <w:t>Epilepsia</w:t>
      </w:r>
      <w:proofErr w:type="spellEnd"/>
      <w:r w:rsidRPr="00595FCE">
        <w:rPr>
          <w:rFonts w:ascii="Cambria" w:hAnsi="Cambria"/>
          <w:sz w:val="18"/>
          <w:szCs w:val="18"/>
        </w:rPr>
        <w:t xml:space="preserve"> 50: 1158-1166.</w:t>
      </w:r>
    </w:p>
  </w:footnote>
  <w:footnote w:id="100">
    <w:p w:rsidR="00E91D7F" w:rsidRPr="009E4C6F" w:rsidRDefault="00E91D7F" w:rsidP="00A50C03">
      <w:pPr>
        <w:pStyle w:val="FootnoteText"/>
        <w:ind w:left="0" w:firstLine="0"/>
        <w:rPr>
          <w:rFonts w:ascii="Cambria" w:hAnsi="Cambria"/>
          <w:sz w:val="20"/>
        </w:rPr>
      </w:pPr>
      <w:r w:rsidRPr="009E4C6F">
        <w:rPr>
          <w:rStyle w:val="FootnoteReference"/>
          <w:rFonts w:ascii="Cambria" w:hAnsi="Cambria"/>
          <w:sz w:val="20"/>
        </w:rPr>
        <w:footnoteRef/>
      </w:r>
      <w:r w:rsidRPr="00595FCE">
        <w:rPr>
          <w:rFonts w:ascii="Cambria" w:hAnsi="Cambria"/>
          <w:sz w:val="18"/>
          <w:szCs w:val="18"/>
        </w:rPr>
        <w:t xml:space="preserve"> [No authors listed] (1998) </w:t>
      </w:r>
      <w:proofErr w:type="spellStart"/>
      <w:r w:rsidRPr="00595FCE">
        <w:rPr>
          <w:rFonts w:ascii="Cambria" w:hAnsi="Cambria"/>
          <w:sz w:val="18"/>
          <w:szCs w:val="18"/>
        </w:rPr>
        <w:t>Clobazam</w:t>
      </w:r>
      <w:proofErr w:type="spellEnd"/>
      <w:r w:rsidRPr="00595FCE">
        <w:rPr>
          <w:rFonts w:ascii="Cambria" w:hAnsi="Cambria"/>
          <w:sz w:val="18"/>
          <w:szCs w:val="18"/>
        </w:rPr>
        <w:t xml:space="preserve"> has equivalent efficacy to </w:t>
      </w:r>
      <w:proofErr w:type="spellStart"/>
      <w:r w:rsidRPr="00595FCE">
        <w:rPr>
          <w:rFonts w:ascii="Cambria" w:hAnsi="Cambria"/>
          <w:sz w:val="18"/>
          <w:szCs w:val="18"/>
        </w:rPr>
        <w:t>carbamazepine</w:t>
      </w:r>
      <w:proofErr w:type="spellEnd"/>
      <w:r w:rsidRPr="00595FCE">
        <w:rPr>
          <w:rFonts w:ascii="Cambria" w:hAnsi="Cambria"/>
          <w:sz w:val="18"/>
          <w:szCs w:val="18"/>
        </w:rPr>
        <w:t xml:space="preserve"> and </w:t>
      </w:r>
      <w:proofErr w:type="spellStart"/>
      <w:r w:rsidRPr="00595FCE">
        <w:rPr>
          <w:rFonts w:ascii="Cambria" w:hAnsi="Cambria"/>
          <w:sz w:val="18"/>
          <w:szCs w:val="18"/>
        </w:rPr>
        <w:t>phenytoin</w:t>
      </w:r>
      <w:proofErr w:type="spellEnd"/>
      <w:r w:rsidRPr="00595FCE">
        <w:rPr>
          <w:rFonts w:ascii="Cambria" w:hAnsi="Cambria"/>
          <w:sz w:val="18"/>
          <w:szCs w:val="18"/>
        </w:rPr>
        <w:t xml:space="preserve"> as </w:t>
      </w:r>
      <w:proofErr w:type="spellStart"/>
      <w:r w:rsidRPr="00595FCE">
        <w:rPr>
          <w:rFonts w:ascii="Cambria" w:hAnsi="Cambria"/>
          <w:sz w:val="18"/>
          <w:szCs w:val="18"/>
        </w:rPr>
        <w:t>monotherapy</w:t>
      </w:r>
      <w:proofErr w:type="spellEnd"/>
      <w:r w:rsidRPr="00595FCE">
        <w:rPr>
          <w:rFonts w:ascii="Cambria" w:hAnsi="Cambria"/>
          <w:sz w:val="18"/>
          <w:szCs w:val="18"/>
        </w:rPr>
        <w:t xml:space="preserve"> for childhood epilepsy. Canadian Study Group for Childhood Epilepsy. </w:t>
      </w:r>
      <w:proofErr w:type="spellStart"/>
      <w:r w:rsidRPr="00595FCE">
        <w:rPr>
          <w:rFonts w:ascii="Cambria" w:hAnsi="Cambria"/>
          <w:i/>
          <w:sz w:val="18"/>
          <w:szCs w:val="18"/>
        </w:rPr>
        <w:t>Epilepsia</w:t>
      </w:r>
      <w:proofErr w:type="spellEnd"/>
      <w:r w:rsidRPr="00595FCE">
        <w:rPr>
          <w:rFonts w:ascii="Cambria" w:hAnsi="Cambria"/>
          <w:sz w:val="18"/>
          <w:szCs w:val="18"/>
        </w:rPr>
        <w:t xml:space="preserve"> 39: 952-959.</w:t>
      </w:r>
    </w:p>
  </w:footnote>
  <w:footnote w:id="101">
    <w:p w:rsidR="00E91D7F" w:rsidRPr="009E4C6F" w:rsidRDefault="00E91D7F" w:rsidP="00A50C03">
      <w:pPr>
        <w:pStyle w:val="FootnoteText"/>
        <w:ind w:left="0" w:firstLine="0"/>
        <w:rPr>
          <w:rFonts w:ascii="Cambria" w:hAnsi="Cambria"/>
          <w:sz w:val="20"/>
        </w:rPr>
      </w:pPr>
      <w:r w:rsidRPr="009E4C6F">
        <w:rPr>
          <w:rStyle w:val="FootnoteReference"/>
          <w:rFonts w:ascii="Cambria" w:hAnsi="Cambria"/>
          <w:sz w:val="20"/>
        </w:rPr>
        <w:footnoteRef/>
      </w:r>
      <w:r w:rsidRPr="00595FCE">
        <w:rPr>
          <w:rFonts w:ascii="Cambria" w:hAnsi="Cambria"/>
          <w:sz w:val="18"/>
          <w:szCs w:val="18"/>
        </w:rPr>
        <w:t xml:space="preserve"> </w:t>
      </w:r>
      <w:proofErr w:type="spellStart"/>
      <w:r w:rsidRPr="00595FCE">
        <w:rPr>
          <w:rFonts w:ascii="Cambria" w:hAnsi="Cambria"/>
          <w:sz w:val="18"/>
          <w:szCs w:val="18"/>
        </w:rPr>
        <w:t>Bawden</w:t>
      </w:r>
      <w:proofErr w:type="spellEnd"/>
      <w:r w:rsidRPr="00595FCE">
        <w:rPr>
          <w:rFonts w:ascii="Cambria" w:hAnsi="Cambria"/>
          <w:sz w:val="18"/>
          <w:szCs w:val="18"/>
        </w:rPr>
        <w:t xml:space="preserve"> HN, et al. (1999) The cognitive and behavioural effects of </w:t>
      </w:r>
      <w:proofErr w:type="spellStart"/>
      <w:r w:rsidRPr="00595FCE">
        <w:rPr>
          <w:rFonts w:ascii="Cambria" w:hAnsi="Cambria"/>
          <w:sz w:val="18"/>
          <w:szCs w:val="18"/>
        </w:rPr>
        <w:t>clobazam</w:t>
      </w:r>
      <w:proofErr w:type="spellEnd"/>
      <w:r w:rsidRPr="00595FCE">
        <w:rPr>
          <w:rFonts w:ascii="Cambria" w:hAnsi="Cambria"/>
          <w:sz w:val="18"/>
          <w:szCs w:val="18"/>
        </w:rPr>
        <w:t xml:space="preserve"> and standard </w:t>
      </w:r>
      <w:proofErr w:type="spellStart"/>
      <w:r w:rsidRPr="00595FCE">
        <w:rPr>
          <w:rFonts w:ascii="Cambria" w:hAnsi="Cambria"/>
          <w:sz w:val="18"/>
          <w:szCs w:val="18"/>
        </w:rPr>
        <w:t>monotherapy</w:t>
      </w:r>
      <w:proofErr w:type="spellEnd"/>
      <w:r w:rsidRPr="00595FCE">
        <w:rPr>
          <w:rFonts w:ascii="Cambria" w:hAnsi="Cambria"/>
          <w:sz w:val="18"/>
          <w:szCs w:val="18"/>
        </w:rPr>
        <w:t xml:space="preserve"> are comparable. Canadian Study Group for Childhood Epilepsy. </w:t>
      </w:r>
      <w:r w:rsidRPr="00595FCE">
        <w:rPr>
          <w:rFonts w:ascii="Cambria" w:hAnsi="Cambria"/>
          <w:i/>
          <w:sz w:val="18"/>
          <w:szCs w:val="18"/>
        </w:rPr>
        <w:t>Epilepsy Res.</w:t>
      </w:r>
      <w:r w:rsidRPr="00595FCE">
        <w:rPr>
          <w:rFonts w:ascii="Cambria" w:hAnsi="Cambria"/>
          <w:sz w:val="18"/>
          <w:szCs w:val="18"/>
        </w:rPr>
        <w:t xml:space="preserve"> 33: 133-143.</w:t>
      </w:r>
    </w:p>
  </w:footnote>
  <w:footnote w:id="102">
    <w:p w:rsidR="00E91D7F" w:rsidRPr="009E4C6F" w:rsidRDefault="00E91D7F" w:rsidP="00A50C03">
      <w:pPr>
        <w:pStyle w:val="FootnoteText"/>
        <w:ind w:left="0" w:firstLine="0"/>
        <w:rPr>
          <w:rFonts w:ascii="Cambria" w:hAnsi="Cambria"/>
          <w:sz w:val="20"/>
        </w:rPr>
      </w:pPr>
      <w:r w:rsidRPr="009E4C6F">
        <w:rPr>
          <w:rStyle w:val="FootnoteReference"/>
          <w:rFonts w:ascii="Cambria" w:hAnsi="Cambria"/>
          <w:sz w:val="20"/>
        </w:rPr>
        <w:footnoteRef/>
      </w:r>
      <w:r w:rsidRPr="00595FCE">
        <w:rPr>
          <w:rFonts w:ascii="Cambria" w:hAnsi="Cambria"/>
          <w:sz w:val="18"/>
          <w:szCs w:val="18"/>
        </w:rPr>
        <w:t xml:space="preserve"> </w:t>
      </w:r>
      <w:r w:rsidRPr="00595FCE">
        <w:rPr>
          <w:rFonts w:ascii="Cambria" w:hAnsi="Cambria"/>
          <w:sz w:val="18"/>
          <w:szCs w:val="18"/>
          <w:lang w:val="nl-NL"/>
        </w:rPr>
        <w:t xml:space="preserve">Conry JA, et al. </w:t>
      </w:r>
      <w:r w:rsidRPr="00595FCE">
        <w:rPr>
          <w:rFonts w:ascii="Cambria" w:hAnsi="Cambria"/>
          <w:sz w:val="18"/>
          <w:szCs w:val="18"/>
          <w:lang w:val="nl-NL"/>
        </w:rPr>
        <w:t xml:space="preserve">(2009) </w:t>
      </w:r>
      <w:proofErr w:type="spellStart"/>
      <w:r w:rsidRPr="00595FCE">
        <w:rPr>
          <w:rFonts w:ascii="Cambria" w:hAnsi="Cambria"/>
          <w:sz w:val="18"/>
          <w:szCs w:val="18"/>
        </w:rPr>
        <w:t>Clobazam</w:t>
      </w:r>
      <w:proofErr w:type="spellEnd"/>
      <w:r w:rsidRPr="00595FCE">
        <w:rPr>
          <w:rFonts w:ascii="Cambria" w:hAnsi="Cambria"/>
          <w:sz w:val="18"/>
          <w:szCs w:val="18"/>
        </w:rPr>
        <w:t xml:space="preserve"> in the treatment of Lennox-</w:t>
      </w:r>
      <w:proofErr w:type="spellStart"/>
      <w:r w:rsidRPr="00595FCE">
        <w:rPr>
          <w:rFonts w:ascii="Cambria" w:hAnsi="Cambria"/>
          <w:sz w:val="18"/>
          <w:szCs w:val="18"/>
        </w:rPr>
        <w:t>Gastaut</w:t>
      </w:r>
      <w:proofErr w:type="spellEnd"/>
      <w:r w:rsidRPr="00595FCE">
        <w:rPr>
          <w:rFonts w:ascii="Cambria" w:hAnsi="Cambria"/>
          <w:sz w:val="18"/>
          <w:szCs w:val="18"/>
        </w:rPr>
        <w:t xml:space="preserve"> syndrome. </w:t>
      </w:r>
      <w:proofErr w:type="spellStart"/>
      <w:r w:rsidRPr="00595FCE">
        <w:rPr>
          <w:rFonts w:ascii="Cambria" w:hAnsi="Cambria"/>
          <w:i/>
          <w:sz w:val="18"/>
          <w:szCs w:val="18"/>
        </w:rPr>
        <w:t>Epilepsia</w:t>
      </w:r>
      <w:proofErr w:type="spellEnd"/>
      <w:r w:rsidRPr="00595FCE">
        <w:rPr>
          <w:rFonts w:ascii="Cambria" w:hAnsi="Cambria"/>
          <w:sz w:val="18"/>
          <w:szCs w:val="18"/>
        </w:rPr>
        <w:t xml:space="preserve"> 50: 1158-1166.</w:t>
      </w:r>
    </w:p>
  </w:footnote>
  <w:footnote w:id="103">
    <w:p w:rsidR="00E91D7F" w:rsidRPr="009E4C6F" w:rsidRDefault="00E91D7F" w:rsidP="00A50C03">
      <w:pPr>
        <w:pStyle w:val="FootnoteText"/>
        <w:ind w:left="0" w:firstLine="0"/>
        <w:rPr>
          <w:rFonts w:ascii="Cambria" w:hAnsi="Cambria"/>
          <w:sz w:val="20"/>
        </w:rPr>
      </w:pPr>
      <w:r w:rsidRPr="009E4C6F">
        <w:rPr>
          <w:rStyle w:val="FootnoteReference"/>
          <w:rFonts w:ascii="Cambria" w:hAnsi="Cambria"/>
          <w:sz w:val="20"/>
        </w:rPr>
        <w:footnoteRef/>
      </w:r>
      <w:r w:rsidRPr="00595FCE">
        <w:rPr>
          <w:rFonts w:ascii="Cambria" w:hAnsi="Cambria"/>
          <w:sz w:val="18"/>
          <w:szCs w:val="18"/>
        </w:rPr>
        <w:t xml:space="preserve"> </w:t>
      </w:r>
      <w:r w:rsidRPr="00595FCE">
        <w:rPr>
          <w:rFonts w:ascii="Cambria" w:hAnsi="Cambria"/>
          <w:sz w:val="18"/>
          <w:szCs w:val="18"/>
          <w:lang w:val="nl-NL"/>
        </w:rPr>
        <w:t xml:space="preserve">Ng YT, et al. (2011) </w:t>
      </w:r>
      <w:r w:rsidRPr="00595FCE">
        <w:rPr>
          <w:rFonts w:ascii="Cambria" w:hAnsi="Cambria"/>
          <w:sz w:val="18"/>
          <w:szCs w:val="18"/>
        </w:rPr>
        <w:t xml:space="preserve">Randomised, phase III study results of </w:t>
      </w:r>
      <w:proofErr w:type="spellStart"/>
      <w:r w:rsidRPr="00595FCE">
        <w:rPr>
          <w:rFonts w:ascii="Cambria" w:hAnsi="Cambria"/>
          <w:sz w:val="18"/>
          <w:szCs w:val="18"/>
        </w:rPr>
        <w:t>clobazam</w:t>
      </w:r>
      <w:proofErr w:type="spellEnd"/>
      <w:r w:rsidRPr="00595FCE">
        <w:rPr>
          <w:rFonts w:ascii="Cambria" w:hAnsi="Cambria"/>
          <w:sz w:val="18"/>
          <w:szCs w:val="18"/>
        </w:rPr>
        <w:t xml:space="preserve"> in Lennox-</w:t>
      </w:r>
      <w:proofErr w:type="spellStart"/>
      <w:r w:rsidRPr="00595FCE">
        <w:rPr>
          <w:rFonts w:ascii="Cambria" w:hAnsi="Cambria"/>
          <w:sz w:val="18"/>
          <w:szCs w:val="18"/>
        </w:rPr>
        <w:t>Gastaut</w:t>
      </w:r>
      <w:proofErr w:type="spellEnd"/>
      <w:r w:rsidRPr="00595FCE">
        <w:rPr>
          <w:rFonts w:ascii="Cambria" w:hAnsi="Cambria"/>
          <w:sz w:val="18"/>
          <w:szCs w:val="18"/>
        </w:rPr>
        <w:t xml:space="preserve"> syndrome. </w:t>
      </w:r>
      <w:r w:rsidRPr="00595FCE">
        <w:rPr>
          <w:rFonts w:ascii="Cambria" w:hAnsi="Cambria"/>
          <w:i/>
          <w:sz w:val="18"/>
          <w:szCs w:val="18"/>
        </w:rPr>
        <w:t>Neurology</w:t>
      </w:r>
      <w:r w:rsidRPr="00595FCE">
        <w:rPr>
          <w:rFonts w:ascii="Cambria" w:hAnsi="Cambria"/>
          <w:sz w:val="18"/>
          <w:szCs w:val="18"/>
        </w:rPr>
        <w:t xml:space="preserve"> 77: 1473-1481.</w:t>
      </w:r>
    </w:p>
  </w:footnote>
  <w:footnote w:id="104">
    <w:p w:rsidR="00E91D7F" w:rsidRPr="009E4C6F" w:rsidRDefault="00E91D7F" w:rsidP="00A50C03">
      <w:pPr>
        <w:pStyle w:val="FootnoteText"/>
        <w:ind w:left="0" w:firstLine="0"/>
        <w:rPr>
          <w:rFonts w:ascii="Cambria" w:hAnsi="Cambria"/>
          <w:sz w:val="20"/>
        </w:rPr>
      </w:pPr>
      <w:r w:rsidRPr="009E4C6F">
        <w:rPr>
          <w:rStyle w:val="FootnoteReference"/>
          <w:rFonts w:ascii="Cambria" w:hAnsi="Cambria"/>
          <w:sz w:val="20"/>
        </w:rPr>
        <w:footnoteRef/>
      </w:r>
      <w:r w:rsidRPr="00595FCE">
        <w:rPr>
          <w:rFonts w:ascii="Cambria" w:hAnsi="Cambria"/>
          <w:sz w:val="18"/>
          <w:szCs w:val="18"/>
        </w:rPr>
        <w:t xml:space="preserve"> [No authors listed] (1998) </w:t>
      </w:r>
      <w:proofErr w:type="spellStart"/>
      <w:r w:rsidRPr="00595FCE">
        <w:rPr>
          <w:rFonts w:ascii="Cambria" w:hAnsi="Cambria"/>
          <w:sz w:val="18"/>
          <w:szCs w:val="18"/>
        </w:rPr>
        <w:t>Clobazam</w:t>
      </w:r>
      <w:proofErr w:type="spellEnd"/>
      <w:r w:rsidRPr="00595FCE">
        <w:rPr>
          <w:rFonts w:ascii="Cambria" w:hAnsi="Cambria"/>
          <w:sz w:val="18"/>
          <w:szCs w:val="18"/>
        </w:rPr>
        <w:t xml:space="preserve"> has equivalent efficacy to </w:t>
      </w:r>
      <w:proofErr w:type="spellStart"/>
      <w:r w:rsidRPr="00595FCE">
        <w:rPr>
          <w:rFonts w:ascii="Cambria" w:hAnsi="Cambria"/>
          <w:sz w:val="18"/>
          <w:szCs w:val="18"/>
        </w:rPr>
        <w:t>carbamazepine</w:t>
      </w:r>
      <w:proofErr w:type="spellEnd"/>
      <w:r w:rsidRPr="00595FCE">
        <w:rPr>
          <w:rFonts w:ascii="Cambria" w:hAnsi="Cambria"/>
          <w:sz w:val="18"/>
          <w:szCs w:val="18"/>
        </w:rPr>
        <w:t xml:space="preserve"> and </w:t>
      </w:r>
      <w:proofErr w:type="spellStart"/>
      <w:r w:rsidRPr="00595FCE">
        <w:rPr>
          <w:rFonts w:ascii="Cambria" w:hAnsi="Cambria"/>
          <w:sz w:val="18"/>
          <w:szCs w:val="18"/>
        </w:rPr>
        <w:t>phenytoin</w:t>
      </w:r>
      <w:proofErr w:type="spellEnd"/>
      <w:r w:rsidRPr="00595FCE">
        <w:rPr>
          <w:rFonts w:ascii="Cambria" w:hAnsi="Cambria"/>
          <w:sz w:val="18"/>
          <w:szCs w:val="18"/>
        </w:rPr>
        <w:t xml:space="preserve"> as </w:t>
      </w:r>
      <w:proofErr w:type="spellStart"/>
      <w:r w:rsidRPr="00595FCE">
        <w:rPr>
          <w:rFonts w:ascii="Cambria" w:hAnsi="Cambria"/>
          <w:sz w:val="18"/>
          <w:szCs w:val="18"/>
        </w:rPr>
        <w:t>monotherapy</w:t>
      </w:r>
      <w:proofErr w:type="spellEnd"/>
      <w:r w:rsidRPr="00595FCE">
        <w:rPr>
          <w:rFonts w:ascii="Cambria" w:hAnsi="Cambria"/>
          <w:sz w:val="18"/>
          <w:szCs w:val="18"/>
        </w:rPr>
        <w:t xml:space="preserve"> for childhood epilepsy. Canadian Study Group for Childhood Epilepsy. </w:t>
      </w:r>
      <w:proofErr w:type="spellStart"/>
      <w:r w:rsidRPr="00595FCE">
        <w:rPr>
          <w:rFonts w:ascii="Cambria" w:hAnsi="Cambria"/>
          <w:i/>
          <w:sz w:val="18"/>
          <w:szCs w:val="18"/>
        </w:rPr>
        <w:t>Epilepsia</w:t>
      </w:r>
      <w:proofErr w:type="spellEnd"/>
      <w:r w:rsidRPr="00595FCE">
        <w:rPr>
          <w:rFonts w:ascii="Cambria" w:hAnsi="Cambria"/>
          <w:sz w:val="18"/>
          <w:szCs w:val="18"/>
        </w:rPr>
        <w:t xml:space="preserve"> 39: 952-959.</w:t>
      </w:r>
    </w:p>
  </w:footnote>
  <w:footnote w:id="105">
    <w:p w:rsidR="00E91D7F" w:rsidRPr="009E4C6F" w:rsidRDefault="00E91D7F" w:rsidP="00A50C03">
      <w:pPr>
        <w:pStyle w:val="FootnoteText"/>
        <w:ind w:left="0" w:firstLine="0"/>
        <w:rPr>
          <w:rFonts w:ascii="Cambria" w:hAnsi="Cambria"/>
          <w:sz w:val="20"/>
        </w:rPr>
      </w:pPr>
      <w:r w:rsidRPr="009E4C6F">
        <w:rPr>
          <w:rStyle w:val="FootnoteReference"/>
          <w:rFonts w:ascii="Cambria" w:hAnsi="Cambria"/>
          <w:sz w:val="20"/>
        </w:rPr>
        <w:footnoteRef/>
      </w:r>
      <w:r w:rsidRPr="00595FCE">
        <w:rPr>
          <w:rFonts w:ascii="Cambria" w:hAnsi="Cambria"/>
          <w:sz w:val="18"/>
          <w:szCs w:val="18"/>
        </w:rPr>
        <w:t xml:space="preserve"> </w:t>
      </w:r>
      <w:proofErr w:type="spellStart"/>
      <w:r w:rsidRPr="00595FCE">
        <w:rPr>
          <w:rFonts w:ascii="Cambria" w:hAnsi="Cambria"/>
          <w:sz w:val="18"/>
          <w:szCs w:val="18"/>
        </w:rPr>
        <w:t>Bawden</w:t>
      </w:r>
      <w:proofErr w:type="spellEnd"/>
      <w:r w:rsidRPr="00595FCE">
        <w:rPr>
          <w:rFonts w:ascii="Cambria" w:hAnsi="Cambria"/>
          <w:sz w:val="18"/>
          <w:szCs w:val="18"/>
        </w:rPr>
        <w:t xml:space="preserve"> HN, et al. (1999) The cognitive and behavioural effects of </w:t>
      </w:r>
      <w:proofErr w:type="spellStart"/>
      <w:r w:rsidRPr="00595FCE">
        <w:rPr>
          <w:rFonts w:ascii="Cambria" w:hAnsi="Cambria"/>
          <w:sz w:val="18"/>
          <w:szCs w:val="18"/>
        </w:rPr>
        <w:t>clobazam</w:t>
      </w:r>
      <w:proofErr w:type="spellEnd"/>
      <w:r w:rsidRPr="00595FCE">
        <w:rPr>
          <w:rFonts w:ascii="Cambria" w:hAnsi="Cambria"/>
          <w:sz w:val="18"/>
          <w:szCs w:val="18"/>
        </w:rPr>
        <w:t xml:space="preserve"> and standard </w:t>
      </w:r>
      <w:proofErr w:type="spellStart"/>
      <w:r w:rsidRPr="00595FCE">
        <w:rPr>
          <w:rFonts w:ascii="Cambria" w:hAnsi="Cambria"/>
          <w:sz w:val="18"/>
          <w:szCs w:val="18"/>
        </w:rPr>
        <w:t>monotherapy</w:t>
      </w:r>
      <w:proofErr w:type="spellEnd"/>
      <w:r w:rsidRPr="00595FCE">
        <w:rPr>
          <w:rFonts w:ascii="Cambria" w:hAnsi="Cambria"/>
          <w:sz w:val="18"/>
          <w:szCs w:val="18"/>
        </w:rPr>
        <w:t xml:space="preserve"> are comparable. Canadian Study Group for Childhood Epilepsy. </w:t>
      </w:r>
      <w:r w:rsidRPr="00595FCE">
        <w:rPr>
          <w:rFonts w:ascii="Cambria" w:hAnsi="Cambria"/>
          <w:i/>
          <w:sz w:val="18"/>
          <w:szCs w:val="18"/>
        </w:rPr>
        <w:t>Epilepsy Res.</w:t>
      </w:r>
      <w:r w:rsidRPr="00595FCE">
        <w:rPr>
          <w:rFonts w:ascii="Cambria" w:hAnsi="Cambria"/>
          <w:sz w:val="18"/>
          <w:szCs w:val="18"/>
        </w:rPr>
        <w:t xml:space="preserve"> 33: 133-143.</w:t>
      </w:r>
    </w:p>
  </w:footnote>
  <w:footnote w:id="106">
    <w:p w:rsidR="00E91D7F" w:rsidRPr="00595FCE" w:rsidRDefault="00E91D7F" w:rsidP="00A50C03">
      <w:pPr>
        <w:pStyle w:val="FootnoteText"/>
        <w:ind w:left="0" w:firstLine="0"/>
        <w:rPr>
          <w:rFonts w:ascii="Cambria" w:hAnsi="Cambria"/>
        </w:rPr>
      </w:pPr>
      <w:r w:rsidRPr="00595FCE">
        <w:rPr>
          <w:rStyle w:val="FootnoteReference"/>
          <w:rFonts w:ascii="Cambria" w:hAnsi="Cambria"/>
        </w:rPr>
        <w:footnoteRef/>
      </w:r>
      <w:r w:rsidRPr="00595FCE">
        <w:rPr>
          <w:rFonts w:ascii="Cambria" w:hAnsi="Cambria"/>
          <w:sz w:val="18"/>
          <w:szCs w:val="18"/>
        </w:rPr>
        <w:t xml:space="preserve"> Keene DL, et al. (1990) </w:t>
      </w:r>
      <w:proofErr w:type="spellStart"/>
      <w:r w:rsidRPr="00595FCE">
        <w:rPr>
          <w:rFonts w:ascii="Cambria" w:hAnsi="Cambria"/>
          <w:sz w:val="18"/>
          <w:szCs w:val="18"/>
        </w:rPr>
        <w:t>Clobazam</w:t>
      </w:r>
      <w:proofErr w:type="spellEnd"/>
      <w:r w:rsidRPr="00595FCE">
        <w:rPr>
          <w:rFonts w:ascii="Cambria" w:hAnsi="Cambria"/>
          <w:sz w:val="18"/>
          <w:szCs w:val="18"/>
        </w:rPr>
        <w:t xml:space="preserve"> as an add-on drug in the treatment of refractory epilepsy of childhood. </w:t>
      </w:r>
      <w:r w:rsidRPr="00595FCE">
        <w:rPr>
          <w:rFonts w:ascii="Cambria" w:hAnsi="Cambria"/>
          <w:i/>
          <w:sz w:val="18"/>
          <w:szCs w:val="18"/>
        </w:rPr>
        <w:t xml:space="preserve">Can J </w:t>
      </w:r>
      <w:proofErr w:type="spellStart"/>
      <w:r w:rsidRPr="00595FCE">
        <w:rPr>
          <w:rFonts w:ascii="Cambria" w:hAnsi="Cambria"/>
          <w:i/>
          <w:sz w:val="18"/>
          <w:szCs w:val="18"/>
        </w:rPr>
        <w:t>Neurol</w:t>
      </w:r>
      <w:proofErr w:type="spellEnd"/>
      <w:r w:rsidRPr="00595FCE">
        <w:rPr>
          <w:rFonts w:ascii="Cambria" w:hAnsi="Cambria"/>
          <w:i/>
          <w:sz w:val="18"/>
          <w:szCs w:val="18"/>
        </w:rPr>
        <w:t xml:space="preserve"> Sci.</w:t>
      </w:r>
      <w:r w:rsidRPr="00595FCE">
        <w:rPr>
          <w:rFonts w:ascii="Cambria" w:hAnsi="Cambria"/>
          <w:sz w:val="18"/>
          <w:szCs w:val="18"/>
        </w:rPr>
        <w:t xml:space="preserve"> 17: 317-319.</w:t>
      </w:r>
    </w:p>
  </w:footnote>
  <w:footnote w:id="107">
    <w:p w:rsidR="00E91D7F" w:rsidRPr="00595FCE" w:rsidRDefault="00E91D7F" w:rsidP="00A50C03">
      <w:pPr>
        <w:pStyle w:val="FootnoteText"/>
        <w:ind w:left="0" w:firstLine="0"/>
        <w:rPr>
          <w:rFonts w:ascii="Cambria" w:hAnsi="Cambria"/>
          <w:sz w:val="20"/>
        </w:rPr>
      </w:pPr>
      <w:r w:rsidRPr="00595FCE">
        <w:rPr>
          <w:rStyle w:val="FootnoteReference"/>
          <w:rFonts w:ascii="Cambria" w:hAnsi="Cambria"/>
          <w:sz w:val="20"/>
        </w:rPr>
        <w:footnoteRef/>
      </w:r>
      <w:r w:rsidRPr="00595FCE">
        <w:rPr>
          <w:rFonts w:ascii="Cambria" w:hAnsi="Cambria"/>
          <w:sz w:val="20"/>
        </w:rPr>
        <w:t xml:space="preserve"> [No authors listed] (1998) </w:t>
      </w:r>
      <w:proofErr w:type="spellStart"/>
      <w:r w:rsidRPr="00595FCE">
        <w:rPr>
          <w:rFonts w:ascii="Cambria" w:hAnsi="Cambria"/>
          <w:sz w:val="20"/>
        </w:rPr>
        <w:t>Clobazam</w:t>
      </w:r>
      <w:proofErr w:type="spellEnd"/>
      <w:r w:rsidRPr="00595FCE">
        <w:rPr>
          <w:rFonts w:ascii="Cambria" w:hAnsi="Cambria"/>
          <w:sz w:val="20"/>
        </w:rPr>
        <w:t xml:space="preserve"> has equivalent efficacy to </w:t>
      </w:r>
      <w:proofErr w:type="spellStart"/>
      <w:r w:rsidRPr="00595FCE">
        <w:rPr>
          <w:rFonts w:ascii="Cambria" w:hAnsi="Cambria"/>
          <w:sz w:val="20"/>
        </w:rPr>
        <w:t>carbamazepine</w:t>
      </w:r>
      <w:proofErr w:type="spellEnd"/>
      <w:r w:rsidRPr="00595FCE">
        <w:rPr>
          <w:rFonts w:ascii="Cambria" w:hAnsi="Cambria"/>
          <w:sz w:val="20"/>
        </w:rPr>
        <w:t xml:space="preserve"> and </w:t>
      </w:r>
      <w:proofErr w:type="spellStart"/>
      <w:r w:rsidRPr="00595FCE">
        <w:rPr>
          <w:rFonts w:ascii="Cambria" w:hAnsi="Cambria"/>
          <w:sz w:val="20"/>
        </w:rPr>
        <w:t>phenytoin</w:t>
      </w:r>
      <w:proofErr w:type="spellEnd"/>
      <w:r w:rsidRPr="00595FCE">
        <w:rPr>
          <w:rFonts w:ascii="Cambria" w:hAnsi="Cambria"/>
          <w:sz w:val="20"/>
        </w:rPr>
        <w:t xml:space="preserve"> as </w:t>
      </w:r>
      <w:proofErr w:type="spellStart"/>
      <w:r w:rsidRPr="00595FCE">
        <w:rPr>
          <w:rFonts w:ascii="Cambria" w:hAnsi="Cambria"/>
          <w:sz w:val="20"/>
        </w:rPr>
        <w:t>monotherapy</w:t>
      </w:r>
      <w:proofErr w:type="spellEnd"/>
      <w:r w:rsidRPr="00595FCE">
        <w:rPr>
          <w:rFonts w:ascii="Cambria" w:hAnsi="Cambria"/>
          <w:sz w:val="20"/>
        </w:rPr>
        <w:t xml:space="preserve"> for childhood epilepsy. Canadian Study Group for Childhood Epilepsy. </w:t>
      </w:r>
      <w:proofErr w:type="spellStart"/>
      <w:r w:rsidRPr="00595FCE">
        <w:rPr>
          <w:rFonts w:ascii="Cambria" w:hAnsi="Cambria"/>
          <w:i/>
          <w:sz w:val="20"/>
        </w:rPr>
        <w:t>Epilepsia</w:t>
      </w:r>
      <w:proofErr w:type="spellEnd"/>
      <w:r w:rsidRPr="00595FCE">
        <w:rPr>
          <w:rFonts w:ascii="Cambria" w:hAnsi="Cambria"/>
          <w:sz w:val="20"/>
        </w:rPr>
        <w:t xml:space="preserve"> 39: 952-959.</w:t>
      </w:r>
    </w:p>
  </w:footnote>
  <w:footnote w:id="108">
    <w:p w:rsidR="00E91D7F" w:rsidRPr="00595FCE" w:rsidRDefault="00E91D7F" w:rsidP="00A50C03">
      <w:pPr>
        <w:pStyle w:val="FootnoteText"/>
        <w:ind w:left="0" w:firstLine="0"/>
        <w:rPr>
          <w:rFonts w:ascii="Cambria" w:hAnsi="Cambria"/>
          <w:sz w:val="18"/>
          <w:szCs w:val="18"/>
        </w:rPr>
      </w:pPr>
      <w:r w:rsidRPr="00595FCE">
        <w:rPr>
          <w:rStyle w:val="FootnoteReference"/>
          <w:rFonts w:ascii="Cambria" w:hAnsi="Cambria"/>
          <w:sz w:val="20"/>
        </w:rPr>
        <w:footnoteRef/>
      </w:r>
      <w:r w:rsidRPr="00595FCE">
        <w:rPr>
          <w:rFonts w:ascii="Cambria" w:hAnsi="Cambria"/>
          <w:sz w:val="18"/>
          <w:szCs w:val="18"/>
        </w:rPr>
        <w:t xml:space="preserve"> </w:t>
      </w:r>
      <w:proofErr w:type="spellStart"/>
      <w:r w:rsidRPr="00595FCE">
        <w:rPr>
          <w:rFonts w:ascii="Cambria" w:hAnsi="Cambria"/>
          <w:sz w:val="18"/>
          <w:szCs w:val="18"/>
        </w:rPr>
        <w:t>Bawden</w:t>
      </w:r>
      <w:proofErr w:type="spellEnd"/>
      <w:r w:rsidRPr="00595FCE">
        <w:rPr>
          <w:rFonts w:ascii="Cambria" w:hAnsi="Cambria"/>
          <w:sz w:val="18"/>
          <w:szCs w:val="18"/>
        </w:rPr>
        <w:t xml:space="preserve"> HN, et al. (1999) The cognitive and behavioural effects of </w:t>
      </w:r>
      <w:proofErr w:type="spellStart"/>
      <w:r w:rsidRPr="00595FCE">
        <w:rPr>
          <w:rFonts w:ascii="Cambria" w:hAnsi="Cambria"/>
          <w:sz w:val="18"/>
          <w:szCs w:val="18"/>
        </w:rPr>
        <w:t>clobazam</w:t>
      </w:r>
      <w:proofErr w:type="spellEnd"/>
      <w:r w:rsidRPr="00595FCE">
        <w:rPr>
          <w:rFonts w:ascii="Cambria" w:hAnsi="Cambria"/>
          <w:sz w:val="18"/>
          <w:szCs w:val="18"/>
        </w:rPr>
        <w:t xml:space="preserve"> and standard </w:t>
      </w:r>
      <w:proofErr w:type="spellStart"/>
      <w:r w:rsidRPr="00595FCE">
        <w:rPr>
          <w:rFonts w:ascii="Cambria" w:hAnsi="Cambria"/>
          <w:sz w:val="18"/>
          <w:szCs w:val="18"/>
        </w:rPr>
        <w:t>monotherapy</w:t>
      </w:r>
      <w:proofErr w:type="spellEnd"/>
      <w:r w:rsidRPr="00595FCE">
        <w:rPr>
          <w:rFonts w:ascii="Cambria" w:hAnsi="Cambria"/>
          <w:sz w:val="18"/>
          <w:szCs w:val="18"/>
        </w:rPr>
        <w:t xml:space="preserve"> are comparable. Canadian Study Group for Childhood Epilepsy. </w:t>
      </w:r>
      <w:r w:rsidRPr="00595FCE">
        <w:rPr>
          <w:rFonts w:ascii="Cambria" w:hAnsi="Cambria"/>
          <w:i/>
          <w:sz w:val="18"/>
          <w:szCs w:val="18"/>
        </w:rPr>
        <w:t>Epilepsy Res.</w:t>
      </w:r>
      <w:r w:rsidRPr="00595FCE">
        <w:rPr>
          <w:rFonts w:ascii="Cambria" w:hAnsi="Cambria"/>
          <w:sz w:val="18"/>
          <w:szCs w:val="18"/>
        </w:rPr>
        <w:t xml:space="preserve"> 33: 133-143.</w:t>
      </w:r>
    </w:p>
  </w:footnote>
  <w:footnote w:id="109">
    <w:p w:rsidR="00E91D7F" w:rsidRPr="00595FCE" w:rsidRDefault="00E91D7F" w:rsidP="00A50C03">
      <w:pPr>
        <w:pStyle w:val="FootnoteText"/>
        <w:ind w:left="0" w:firstLine="0"/>
        <w:rPr>
          <w:rFonts w:ascii="Cambria" w:hAnsi="Cambria"/>
        </w:rPr>
      </w:pPr>
      <w:r w:rsidRPr="00595FCE">
        <w:rPr>
          <w:rStyle w:val="FootnoteReference"/>
          <w:rFonts w:ascii="Cambria" w:hAnsi="Cambria"/>
        </w:rPr>
        <w:footnoteRef/>
      </w:r>
      <w:r w:rsidRPr="00595FCE">
        <w:rPr>
          <w:rFonts w:ascii="Cambria" w:hAnsi="Cambria"/>
          <w:sz w:val="18"/>
          <w:szCs w:val="18"/>
        </w:rPr>
        <w:t xml:space="preserve"> </w:t>
      </w:r>
      <w:r w:rsidRPr="00595FCE">
        <w:rPr>
          <w:rFonts w:ascii="Cambria" w:hAnsi="Cambria"/>
          <w:sz w:val="18"/>
          <w:szCs w:val="18"/>
          <w:lang w:val="nl-NL"/>
        </w:rPr>
        <w:t xml:space="preserve">Ng YT, et al. (2011) </w:t>
      </w:r>
      <w:r w:rsidRPr="00595FCE">
        <w:rPr>
          <w:rFonts w:ascii="Cambria" w:hAnsi="Cambria"/>
          <w:sz w:val="18"/>
          <w:szCs w:val="18"/>
        </w:rPr>
        <w:t xml:space="preserve">Randomised, phase III study results of </w:t>
      </w:r>
      <w:proofErr w:type="spellStart"/>
      <w:r w:rsidRPr="00595FCE">
        <w:rPr>
          <w:rFonts w:ascii="Cambria" w:hAnsi="Cambria"/>
          <w:sz w:val="18"/>
          <w:szCs w:val="18"/>
        </w:rPr>
        <w:t>clobazam</w:t>
      </w:r>
      <w:proofErr w:type="spellEnd"/>
      <w:r w:rsidRPr="00595FCE">
        <w:rPr>
          <w:rFonts w:ascii="Cambria" w:hAnsi="Cambria"/>
          <w:sz w:val="18"/>
          <w:szCs w:val="18"/>
        </w:rPr>
        <w:t xml:space="preserve"> in Lennox-</w:t>
      </w:r>
      <w:proofErr w:type="spellStart"/>
      <w:r w:rsidRPr="00595FCE">
        <w:rPr>
          <w:rFonts w:ascii="Cambria" w:hAnsi="Cambria"/>
          <w:sz w:val="18"/>
          <w:szCs w:val="18"/>
        </w:rPr>
        <w:t>Gastaut</w:t>
      </w:r>
      <w:proofErr w:type="spellEnd"/>
      <w:r w:rsidRPr="00595FCE">
        <w:rPr>
          <w:rFonts w:ascii="Cambria" w:hAnsi="Cambria"/>
          <w:sz w:val="18"/>
          <w:szCs w:val="18"/>
        </w:rPr>
        <w:t xml:space="preserve"> syndrome. </w:t>
      </w:r>
      <w:r w:rsidRPr="00595FCE">
        <w:rPr>
          <w:rFonts w:ascii="Cambria" w:hAnsi="Cambria"/>
          <w:i/>
          <w:sz w:val="18"/>
          <w:szCs w:val="18"/>
        </w:rPr>
        <w:t>Neurology</w:t>
      </w:r>
      <w:r w:rsidRPr="00595FCE">
        <w:rPr>
          <w:rFonts w:ascii="Cambria" w:hAnsi="Cambria"/>
          <w:sz w:val="18"/>
          <w:szCs w:val="18"/>
        </w:rPr>
        <w:t xml:space="preserve"> 77: 1473-1481</w:t>
      </w:r>
    </w:p>
  </w:footnote>
  <w:footnote w:id="110">
    <w:p w:rsidR="00E91D7F" w:rsidRPr="00595FCE" w:rsidRDefault="00E91D7F" w:rsidP="00A50C03">
      <w:pPr>
        <w:pStyle w:val="FootnoteText"/>
        <w:ind w:left="0" w:firstLine="0"/>
        <w:rPr>
          <w:rFonts w:ascii="Cambria" w:hAnsi="Cambria"/>
        </w:rPr>
      </w:pPr>
      <w:r w:rsidRPr="00595FCE">
        <w:rPr>
          <w:rStyle w:val="FootnoteReference"/>
          <w:rFonts w:ascii="Cambria" w:hAnsi="Cambria"/>
        </w:rPr>
        <w:footnoteRef/>
      </w:r>
      <w:r w:rsidRPr="00595FCE">
        <w:rPr>
          <w:rFonts w:ascii="Cambria" w:hAnsi="Cambria"/>
          <w:sz w:val="18"/>
          <w:szCs w:val="18"/>
        </w:rPr>
        <w:t xml:space="preserve"> </w:t>
      </w:r>
      <w:proofErr w:type="spellStart"/>
      <w:r w:rsidRPr="00595FCE">
        <w:rPr>
          <w:rFonts w:ascii="Cambria" w:hAnsi="Cambria"/>
          <w:sz w:val="18"/>
          <w:szCs w:val="18"/>
        </w:rPr>
        <w:t>Vakil</w:t>
      </w:r>
      <w:proofErr w:type="spellEnd"/>
      <w:r w:rsidRPr="00595FCE">
        <w:rPr>
          <w:rFonts w:ascii="Cambria" w:hAnsi="Cambria"/>
          <w:sz w:val="18"/>
          <w:szCs w:val="18"/>
        </w:rPr>
        <w:t xml:space="preserve"> SD, et al. (1981) The effect of </w:t>
      </w:r>
      <w:proofErr w:type="spellStart"/>
      <w:r w:rsidRPr="00595FCE">
        <w:rPr>
          <w:rFonts w:ascii="Cambria" w:hAnsi="Cambria"/>
          <w:sz w:val="18"/>
          <w:szCs w:val="18"/>
        </w:rPr>
        <w:t>clobazam</w:t>
      </w:r>
      <w:proofErr w:type="spellEnd"/>
      <w:r w:rsidRPr="00595FCE">
        <w:rPr>
          <w:rFonts w:ascii="Cambria" w:hAnsi="Cambria"/>
          <w:sz w:val="18"/>
          <w:szCs w:val="18"/>
        </w:rPr>
        <w:t xml:space="preserve"> on blood levels of </w:t>
      </w:r>
      <w:proofErr w:type="spellStart"/>
      <w:r w:rsidRPr="00595FCE">
        <w:rPr>
          <w:rFonts w:ascii="Cambria" w:hAnsi="Cambria"/>
          <w:sz w:val="18"/>
          <w:szCs w:val="18"/>
        </w:rPr>
        <w:t>phenobarbitone</w:t>
      </w:r>
      <w:proofErr w:type="spellEnd"/>
      <w:r w:rsidRPr="00595FCE">
        <w:rPr>
          <w:rFonts w:ascii="Cambria" w:hAnsi="Cambria"/>
          <w:sz w:val="18"/>
          <w:szCs w:val="18"/>
        </w:rPr>
        <w:t xml:space="preserve">, </w:t>
      </w:r>
      <w:proofErr w:type="spellStart"/>
      <w:r w:rsidRPr="00595FCE">
        <w:rPr>
          <w:rFonts w:ascii="Cambria" w:hAnsi="Cambria"/>
          <w:sz w:val="18"/>
          <w:szCs w:val="18"/>
        </w:rPr>
        <w:t>phenytoin</w:t>
      </w:r>
      <w:proofErr w:type="spellEnd"/>
      <w:r w:rsidRPr="00595FCE">
        <w:rPr>
          <w:rFonts w:ascii="Cambria" w:hAnsi="Cambria"/>
          <w:sz w:val="18"/>
          <w:szCs w:val="18"/>
        </w:rPr>
        <w:t xml:space="preserve"> and </w:t>
      </w:r>
      <w:proofErr w:type="spellStart"/>
      <w:r w:rsidRPr="00595FCE">
        <w:rPr>
          <w:rFonts w:ascii="Cambria" w:hAnsi="Cambria"/>
          <w:sz w:val="18"/>
          <w:szCs w:val="18"/>
        </w:rPr>
        <w:t>carbamazepine</w:t>
      </w:r>
      <w:proofErr w:type="spellEnd"/>
      <w:r w:rsidRPr="00595FCE">
        <w:rPr>
          <w:rFonts w:ascii="Cambria" w:hAnsi="Cambria"/>
          <w:sz w:val="18"/>
          <w:szCs w:val="18"/>
        </w:rPr>
        <w:t xml:space="preserve"> (preliminary report). London: Academic Press Inc., pp. 165-167; </w:t>
      </w:r>
      <w:proofErr w:type="spellStart"/>
      <w:r w:rsidRPr="00595FCE">
        <w:rPr>
          <w:rFonts w:ascii="Cambria" w:hAnsi="Cambria"/>
          <w:sz w:val="18"/>
          <w:szCs w:val="18"/>
        </w:rPr>
        <w:t>Sobaniec</w:t>
      </w:r>
      <w:proofErr w:type="spellEnd"/>
      <w:r w:rsidRPr="00595FCE">
        <w:rPr>
          <w:rFonts w:ascii="Cambria" w:hAnsi="Cambria"/>
          <w:sz w:val="18"/>
          <w:szCs w:val="18"/>
        </w:rPr>
        <w:t xml:space="preserve"> W. (1992) Certain aspects of interaction between sodium </w:t>
      </w:r>
      <w:proofErr w:type="spellStart"/>
      <w:r w:rsidRPr="00595FCE">
        <w:rPr>
          <w:rFonts w:ascii="Cambria" w:hAnsi="Cambria"/>
          <w:sz w:val="18"/>
          <w:szCs w:val="18"/>
        </w:rPr>
        <w:t>valproate</w:t>
      </w:r>
      <w:proofErr w:type="spellEnd"/>
      <w:r w:rsidRPr="00595FCE">
        <w:rPr>
          <w:rFonts w:ascii="Cambria" w:hAnsi="Cambria"/>
          <w:sz w:val="18"/>
          <w:szCs w:val="18"/>
        </w:rPr>
        <w:t xml:space="preserve"> and other anticonvulsant drugs in the therapy of epilepsy in children. </w:t>
      </w:r>
      <w:r w:rsidRPr="00595FCE">
        <w:rPr>
          <w:rFonts w:ascii="Cambria" w:hAnsi="Cambria"/>
          <w:i/>
          <w:sz w:val="18"/>
          <w:szCs w:val="18"/>
        </w:rPr>
        <w:t>Mater Med Pol.</w:t>
      </w:r>
      <w:r w:rsidRPr="00595FCE">
        <w:rPr>
          <w:rFonts w:ascii="Cambria" w:hAnsi="Cambria"/>
          <w:sz w:val="18"/>
          <w:szCs w:val="18"/>
        </w:rPr>
        <w:t xml:space="preserve"> 24: 115-119; Bun H, et al. (1990) Effects of age and antiepileptic drugs on plasma levels and kinetics of </w:t>
      </w:r>
      <w:proofErr w:type="spellStart"/>
      <w:r w:rsidRPr="00595FCE">
        <w:rPr>
          <w:rFonts w:ascii="Cambria" w:hAnsi="Cambria"/>
          <w:sz w:val="18"/>
          <w:szCs w:val="18"/>
        </w:rPr>
        <w:t>clobazam</w:t>
      </w:r>
      <w:proofErr w:type="spellEnd"/>
      <w:r w:rsidRPr="00595FCE">
        <w:rPr>
          <w:rFonts w:ascii="Cambria" w:hAnsi="Cambria"/>
          <w:sz w:val="18"/>
          <w:szCs w:val="18"/>
        </w:rPr>
        <w:t xml:space="preserve"> and N-</w:t>
      </w:r>
      <w:proofErr w:type="spellStart"/>
      <w:r w:rsidRPr="00595FCE">
        <w:rPr>
          <w:rFonts w:ascii="Cambria" w:hAnsi="Cambria"/>
          <w:sz w:val="18"/>
          <w:szCs w:val="18"/>
        </w:rPr>
        <w:t>desmethylclobazam</w:t>
      </w:r>
      <w:proofErr w:type="spellEnd"/>
      <w:r w:rsidRPr="00595FCE">
        <w:rPr>
          <w:rFonts w:ascii="Cambria" w:hAnsi="Cambria"/>
          <w:sz w:val="18"/>
          <w:szCs w:val="18"/>
        </w:rPr>
        <w:t xml:space="preserve">. </w:t>
      </w:r>
      <w:proofErr w:type="spellStart"/>
      <w:r w:rsidRPr="00595FCE">
        <w:rPr>
          <w:rFonts w:ascii="Cambria" w:hAnsi="Cambria"/>
          <w:i/>
          <w:sz w:val="18"/>
          <w:szCs w:val="18"/>
        </w:rPr>
        <w:t>Pharmacol</w:t>
      </w:r>
      <w:proofErr w:type="spellEnd"/>
      <w:r w:rsidRPr="00595FCE">
        <w:rPr>
          <w:rFonts w:ascii="Cambria" w:hAnsi="Cambria"/>
          <w:i/>
          <w:sz w:val="18"/>
          <w:szCs w:val="18"/>
        </w:rPr>
        <w:t xml:space="preserve"> </w:t>
      </w:r>
      <w:proofErr w:type="spellStart"/>
      <w:r w:rsidRPr="00595FCE">
        <w:rPr>
          <w:rFonts w:ascii="Cambria" w:hAnsi="Cambria"/>
          <w:i/>
          <w:sz w:val="18"/>
          <w:szCs w:val="18"/>
        </w:rPr>
        <w:t>Toxicol</w:t>
      </w:r>
      <w:proofErr w:type="spellEnd"/>
      <w:r w:rsidRPr="00595FCE">
        <w:rPr>
          <w:rFonts w:ascii="Cambria" w:hAnsi="Cambria"/>
          <w:i/>
          <w:sz w:val="18"/>
          <w:szCs w:val="18"/>
        </w:rPr>
        <w:t>.</w:t>
      </w:r>
      <w:r w:rsidRPr="00595FCE">
        <w:rPr>
          <w:rFonts w:ascii="Cambria" w:hAnsi="Cambria"/>
          <w:sz w:val="18"/>
          <w:szCs w:val="18"/>
        </w:rPr>
        <w:t xml:space="preserve"> 67: 136-140; </w:t>
      </w:r>
      <w:proofErr w:type="spellStart"/>
      <w:r w:rsidRPr="00595FCE">
        <w:rPr>
          <w:rFonts w:ascii="Cambria" w:hAnsi="Cambria"/>
          <w:sz w:val="18"/>
          <w:szCs w:val="18"/>
        </w:rPr>
        <w:t>Contin</w:t>
      </w:r>
      <w:proofErr w:type="spellEnd"/>
      <w:r w:rsidRPr="00595FCE">
        <w:rPr>
          <w:rFonts w:ascii="Cambria" w:hAnsi="Cambria"/>
          <w:sz w:val="18"/>
          <w:szCs w:val="18"/>
        </w:rPr>
        <w:t xml:space="preserve"> M, et al. (1999) Effect of </w:t>
      </w:r>
      <w:proofErr w:type="spellStart"/>
      <w:r w:rsidRPr="00595FCE">
        <w:rPr>
          <w:rFonts w:ascii="Cambria" w:hAnsi="Cambria"/>
          <w:sz w:val="18"/>
          <w:szCs w:val="18"/>
        </w:rPr>
        <w:t>felbamate</w:t>
      </w:r>
      <w:proofErr w:type="spellEnd"/>
      <w:r w:rsidRPr="00595FCE">
        <w:rPr>
          <w:rFonts w:ascii="Cambria" w:hAnsi="Cambria"/>
          <w:sz w:val="18"/>
          <w:szCs w:val="18"/>
        </w:rPr>
        <w:t xml:space="preserve"> on </w:t>
      </w:r>
      <w:proofErr w:type="spellStart"/>
      <w:r w:rsidRPr="00595FCE">
        <w:rPr>
          <w:rFonts w:ascii="Cambria" w:hAnsi="Cambria"/>
          <w:sz w:val="18"/>
          <w:szCs w:val="18"/>
        </w:rPr>
        <w:t>clobazam</w:t>
      </w:r>
      <w:proofErr w:type="spellEnd"/>
      <w:r w:rsidRPr="00595FCE">
        <w:rPr>
          <w:rFonts w:ascii="Cambria" w:hAnsi="Cambria"/>
          <w:sz w:val="18"/>
          <w:szCs w:val="18"/>
        </w:rPr>
        <w:t xml:space="preserve"> and its metabolite kinetics in patients with epilepsy. </w:t>
      </w:r>
      <w:proofErr w:type="spellStart"/>
      <w:r w:rsidRPr="00595FCE">
        <w:rPr>
          <w:rFonts w:ascii="Cambria" w:hAnsi="Cambria"/>
          <w:i/>
          <w:sz w:val="18"/>
          <w:szCs w:val="18"/>
        </w:rPr>
        <w:t>Ther</w:t>
      </w:r>
      <w:proofErr w:type="spellEnd"/>
      <w:r w:rsidRPr="00595FCE">
        <w:rPr>
          <w:rFonts w:ascii="Cambria" w:hAnsi="Cambria"/>
          <w:i/>
          <w:sz w:val="18"/>
          <w:szCs w:val="18"/>
        </w:rPr>
        <w:t xml:space="preserve"> Drug </w:t>
      </w:r>
      <w:proofErr w:type="spellStart"/>
      <w:r w:rsidRPr="00595FCE">
        <w:rPr>
          <w:rFonts w:ascii="Cambria" w:hAnsi="Cambria"/>
          <w:i/>
          <w:sz w:val="18"/>
          <w:szCs w:val="18"/>
        </w:rPr>
        <w:t>Monit</w:t>
      </w:r>
      <w:proofErr w:type="spellEnd"/>
      <w:r w:rsidRPr="00595FCE">
        <w:rPr>
          <w:rFonts w:ascii="Cambria" w:hAnsi="Cambria"/>
          <w:i/>
          <w:sz w:val="18"/>
          <w:szCs w:val="18"/>
        </w:rPr>
        <w:t>.</w:t>
      </w:r>
      <w:r w:rsidRPr="00595FCE">
        <w:rPr>
          <w:rFonts w:ascii="Cambria" w:hAnsi="Cambria"/>
          <w:sz w:val="18"/>
          <w:szCs w:val="18"/>
        </w:rPr>
        <w:t xml:space="preserve"> 21: 604-608; </w:t>
      </w:r>
      <w:proofErr w:type="spellStart"/>
      <w:r w:rsidRPr="00595FCE">
        <w:rPr>
          <w:rFonts w:ascii="Cambria" w:hAnsi="Cambria"/>
          <w:sz w:val="18"/>
          <w:szCs w:val="18"/>
        </w:rPr>
        <w:t>Arnoldussen</w:t>
      </w:r>
      <w:proofErr w:type="spellEnd"/>
      <w:r w:rsidRPr="00595FCE">
        <w:rPr>
          <w:rFonts w:ascii="Cambria" w:hAnsi="Cambria"/>
          <w:sz w:val="18"/>
          <w:szCs w:val="18"/>
        </w:rPr>
        <w:t xml:space="preserve"> W, et al. (1993) Interaction of </w:t>
      </w:r>
      <w:proofErr w:type="spellStart"/>
      <w:r w:rsidRPr="00595FCE">
        <w:rPr>
          <w:rFonts w:ascii="Cambria" w:hAnsi="Cambria"/>
          <w:sz w:val="18"/>
          <w:szCs w:val="18"/>
        </w:rPr>
        <w:t>valproate</w:t>
      </w:r>
      <w:proofErr w:type="spellEnd"/>
      <w:r w:rsidRPr="00595FCE">
        <w:rPr>
          <w:rFonts w:ascii="Cambria" w:hAnsi="Cambria"/>
          <w:sz w:val="18"/>
          <w:szCs w:val="18"/>
        </w:rPr>
        <w:t xml:space="preserve"> and </w:t>
      </w:r>
      <w:proofErr w:type="spellStart"/>
      <w:r w:rsidRPr="00595FCE">
        <w:rPr>
          <w:rFonts w:ascii="Cambria" w:hAnsi="Cambria"/>
          <w:sz w:val="18"/>
          <w:szCs w:val="18"/>
        </w:rPr>
        <w:t>clobazam</w:t>
      </w:r>
      <w:proofErr w:type="spellEnd"/>
      <w:r w:rsidRPr="00595FCE">
        <w:rPr>
          <w:rFonts w:ascii="Cambria" w:hAnsi="Cambria"/>
          <w:sz w:val="18"/>
          <w:szCs w:val="18"/>
        </w:rPr>
        <w:t xml:space="preserve"> on </w:t>
      </w:r>
      <w:proofErr w:type="spellStart"/>
      <w:r w:rsidRPr="00595FCE">
        <w:rPr>
          <w:rFonts w:ascii="Cambria" w:hAnsi="Cambria"/>
          <w:sz w:val="18"/>
          <w:szCs w:val="18"/>
        </w:rPr>
        <w:t>oxcarbazepine</w:t>
      </w:r>
      <w:proofErr w:type="spellEnd"/>
      <w:r w:rsidRPr="00595FCE">
        <w:rPr>
          <w:rFonts w:ascii="Cambria" w:hAnsi="Cambria"/>
          <w:sz w:val="18"/>
          <w:szCs w:val="18"/>
        </w:rPr>
        <w:t xml:space="preserve">. </w:t>
      </w:r>
      <w:proofErr w:type="spellStart"/>
      <w:r w:rsidRPr="00595FCE">
        <w:rPr>
          <w:rFonts w:ascii="Cambria" w:hAnsi="Cambria"/>
          <w:i/>
          <w:sz w:val="18"/>
          <w:szCs w:val="18"/>
        </w:rPr>
        <w:t>Epilepsia</w:t>
      </w:r>
      <w:proofErr w:type="spellEnd"/>
      <w:r w:rsidRPr="00595FCE">
        <w:rPr>
          <w:rFonts w:ascii="Cambria" w:hAnsi="Cambria"/>
          <w:sz w:val="18"/>
          <w:szCs w:val="18"/>
        </w:rPr>
        <w:t xml:space="preserve"> 34: 160; Wang J, et al. (1993) </w:t>
      </w:r>
      <w:proofErr w:type="spellStart"/>
      <w:r w:rsidRPr="00595FCE">
        <w:rPr>
          <w:rFonts w:ascii="Cambria" w:hAnsi="Cambria"/>
          <w:sz w:val="18"/>
          <w:szCs w:val="18"/>
        </w:rPr>
        <w:t>Clobazam</w:t>
      </w:r>
      <w:proofErr w:type="spellEnd"/>
      <w:r w:rsidRPr="00595FCE">
        <w:rPr>
          <w:rFonts w:ascii="Cambria" w:hAnsi="Cambria"/>
          <w:sz w:val="18"/>
          <w:szCs w:val="18"/>
        </w:rPr>
        <w:t xml:space="preserve"> for treatment of Epilepsy. </w:t>
      </w:r>
      <w:r w:rsidRPr="00595FCE">
        <w:rPr>
          <w:rFonts w:ascii="Cambria" w:hAnsi="Cambria"/>
          <w:i/>
          <w:sz w:val="18"/>
          <w:szCs w:val="18"/>
        </w:rPr>
        <w:t>J Epilepsy</w:t>
      </w:r>
      <w:r w:rsidRPr="00595FCE">
        <w:rPr>
          <w:rFonts w:ascii="Cambria" w:hAnsi="Cambria"/>
          <w:sz w:val="18"/>
          <w:szCs w:val="18"/>
        </w:rPr>
        <w:t xml:space="preserve"> 6: 180-184.</w:t>
      </w:r>
    </w:p>
  </w:footnote>
  <w:footnote w:id="111">
    <w:p w:rsidR="00E91D7F" w:rsidRPr="00595FCE" w:rsidRDefault="00E91D7F" w:rsidP="00A50C03">
      <w:pPr>
        <w:pStyle w:val="FootnoteText"/>
        <w:ind w:left="0" w:firstLine="0"/>
        <w:rPr>
          <w:rFonts w:ascii="Cambria" w:hAnsi="Cambria"/>
          <w:sz w:val="20"/>
        </w:rPr>
      </w:pPr>
      <w:r w:rsidRPr="00595FCE">
        <w:rPr>
          <w:rStyle w:val="FootnoteReference"/>
          <w:rFonts w:ascii="Cambria" w:hAnsi="Cambria"/>
          <w:sz w:val="20"/>
        </w:rPr>
        <w:footnoteRef/>
      </w:r>
      <w:r w:rsidRPr="00595FCE">
        <w:rPr>
          <w:rFonts w:ascii="Cambria" w:hAnsi="Cambria"/>
          <w:sz w:val="18"/>
          <w:szCs w:val="18"/>
        </w:rPr>
        <w:t xml:space="preserve"> </w:t>
      </w:r>
      <w:proofErr w:type="spellStart"/>
      <w:r w:rsidRPr="00595FCE">
        <w:rPr>
          <w:rFonts w:ascii="Cambria" w:hAnsi="Cambria"/>
          <w:sz w:val="18"/>
          <w:szCs w:val="18"/>
        </w:rPr>
        <w:t>Contin</w:t>
      </w:r>
      <w:proofErr w:type="spellEnd"/>
      <w:r w:rsidRPr="00595FCE">
        <w:rPr>
          <w:rFonts w:ascii="Cambria" w:hAnsi="Cambria"/>
          <w:sz w:val="18"/>
          <w:szCs w:val="18"/>
        </w:rPr>
        <w:t xml:space="preserve"> M, et al. (2002) Evidence of polymorphic CYP2C19 involvement in the human metabolism of N-</w:t>
      </w:r>
      <w:proofErr w:type="spellStart"/>
      <w:r w:rsidRPr="00595FCE">
        <w:rPr>
          <w:rFonts w:ascii="Cambria" w:hAnsi="Cambria"/>
          <w:sz w:val="18"/>
          <w:szCs w:val="18"/>
        </w:rPr>
        <w:t>desmethylclobazam</w:t>
      </w:r>
      <w:proofErr w:type="spellEnd"/>
      <w:r w:rsidRPr="00595FCE">
        <w:rPr>
          <w:rFonts w:ascii="Cambria" w:hAnsi="Cambria"/>
          <w:sz w:val="18"/>
          <w:szCs w:val="18"/>
        </w:rPr>
        <w:t xml:space="preserve">. </w:t>
      </w:r>
      <w:proofErr w:type="spellStart"/>
      <w:r w:rsidRPr="00595FCE">
        <w:rPr>
          <w:rFonts w:ascii="Cambria" w:hAnsi="Cambria"/>
          <w:i/>
          <w:sz w:val="18"/>
          <w:szCs w:val="18"/>
        </w:rPr>
        <w:t>Ther</w:t>
      </w:r>
      <w:proofErr w:type="spellEnd"/>
      <w:r w:rsidRPr="00595FCE">
        <w:rPr>
          <w:rFonts w:ascii="Cambria" w:hAnsi="Cambria"/>
          <w:i/>
          <w:sz w:val="18"/>
          <w:szCs w:val="18"/>
        </w:rPr>
        <w:t xml:space="preserve"> Drug </w:t>
      </w:r>
      <w:proofErr w:type="spellStart"/>
      <w:r w:rsidRPr="00595FCE">
        <w:rPr>
          <w:rFonts w:ascii="Cambria" w:hAnsi="Cambria"/>
          <w:i/>
          <w:sz w:val="18"/>
          <w:szCs w:val="18"/>
        </w:rPr>
        <w:t>Monit</w:t>
      </w:r>
      <w:proofErr w:type="spellEnd"/>
      <w:r w:rsidRPr="00595FCE">
        <w:rPr>
          <w:rFonts w:ascii="Cambria" w:hAnsi="Cambria"/>
          <w:i/>
          <w:sz w:val="18"/>
          <w:szCs w:val="18"/>
        </w:rPr>
        <w:t>.</w:t>
      </w:r>
      <w:r w:rsidRPr="00595FCE">
        <w:rPr>
          <w:rFonts w:ascii="Cambria" w:hAnsi="Cambria"/>
          <w:sz w:val="18"/>
          <w:szCs w:val="18"/>
        </w:rPr>
        <w:t xml:space="preserve"> 24: 737-741; Giraud C, et al. (2004) In vitro characterization of </w:t>
      </w:r>
      <w:proofErr w:type="spellStart"/>
      <w:r w:rsidRPr="00595FCE">
        <w:rPr>
          <w:rFonts w:ascii="Cambria" w:hAnsi="Cambria"/>
          <w:sz w:val="18"/>
          <w:szCs w:val="18"/>
        </w:rPr>
        <w:t>clobazam</w:t>
      </w:r>
      <w:proofErr w:type="spellEnd"/>
      <w:r w:rsidRPr="00595FCE">
        <w:rPr>
          <w:rFonts w:ascii="Cambria" w:hAnsi="Cambria"/>
          <w:sz w:val="18"/>
          <w:szCs w:val="18"/>
        </w:rPr>
        <w:t xml:space="preserve"> metabolism by recombinant </w:t>
      </w:r>
      <w:proofErr w:type="spellStart"/>
      <w:r w:rsidRPr="00595FCE">
        <w:rPr>
          <w:rFonts w:ascii="Cambria" w:hAnsi="Cambria"/>
          <w:sz w:val="18"/>
          <w:szCs w:val="18"/>
        </w:rPr>
        <w:t>cytochrome</w:t>
      </w:r>
      <w:proofErr w:type="spellEnd"/>
      <w:r w:rsidRPr="00595FCE">
        <w:rPr>
          <w:rFonts w:ascii="Cambria" w:hAnsi="Cambria"/>
          <w:sz w:val="18"/>
          <w:szCs w:val="18"/>
        </w:rPr>
        <w:t xml:space="preserve"> P450 enzymes: importance of CYP2C19. </w:t>
      </w:r>
      <w:r w:rsidRPr="00595FCE">
        <w:rPr>
          <w:rFonts w:ascii="Cambria" w:hAnsi="Cambria"/>
          <w:i/>
          <w:sz w:val="18"/>
          <w:szCs w:val="18"/>
        </w:rPr>
        <w:t xml:space="preserve">Drug </w:t>
      </w:r>
      <w:proofErr w:type="spellStart"/>
      <w:r w:rsidRPr="00595FCE">
        <w:rPr>
          <w:rFonts w:ascii="Cambria" w:hAnsi="Cambria"/>
          <w:i/>
          <w:sz w:val="18"/>
          <w:szCs w:val="18"/>
        </w:rPr>
        <w:t>Metab</w:t>
      </w:r>
      <w:proofErr w:type="spellEnd"/>
      <w:r w:rsidRPr="00595FCE">
        <w:rPr>
          <w:rFonts w:ascii="Cambria" w:hAnsi="Cambria"/>
          <w:i/>
          <w:sz w:val="18"/>
          <w:szCs w:val="18"/>
        </w:rPr>
        <w:t xml:space="preserve"> </w:t>
      </w:r>
      <w:proofErr w:type="spellStart"/>
      <w:r w:rsidRPr="00595FCE">
        <w:rPr>
          <w:rFonts w:ascii="Cambria" w:hAnsi="Cambria"/>
          <w:i/>
          <w:sz w:val="18"/>
          <w:szCs w:val="18"/>
        </w:rPr>
        <w:t>Dispos</w:t>
      </w:r>
      <w:proofErr w:type="spellEnd"/>
      <w:r w:rsidRPr="00595FCE">
        <w:rPr>
          <w:rFonts w:ascii="Cambria" w:hAnsi="Cambria"/>
          <w:i/>
          <w:sz w:val="18"/>
          <w:szCs w:val="18"/>
        </w:rPr>
        <w:t>.</w:t>
      </w:r>
      <w:r w:rsidRPr="00595FCE">
        <w:rPr>
          <w:rFonts w:ascii="Cambria" w:hAnsi="Cambria"/>
          <w:sz w:val="18"/>
          <w:szCs w:val="18"/>
        </w:rPr>
        <w:t xml:space="preserve"> 32: 1279-1286; Giraud C, et al. (2006) In vitro and in vivo inhibitory effect of </w:t>
      </w:r>
      <w:proofErr w:type="spellStart"/>
      <w:r w:rsidRPr="00595FCE">
        <w:rPr>
          <w:rFonts w:ascii="Cambria" w:hAnsi="Cambria"/>
          <w:sz w:val="18"/>
          <w:szCs w:val="18"/>
        </w:rPr>
        <w:t>stiripentol</w:t>
      </w:r>
      <w:proofErr w:type="spellEnd"/>
      <w:r w:rsidRPr="00595FCE">
        <w:rPr>
          <w:rFonts w:ascii="Cambria" w:hAnsi="Cambria"/>
          <w:sz w:val="18"/>
          <w:szCs w:val="18"/>
        </w:rPr>
        <w:t xml:space="preserve"> on </w:t>
      </w:r>
      <w:proofErr w:type="spellStart"/>
      <w:r w:rsidRPr="00595FCE">
        <w:rPr>
          <w:rFonts w:ascii="Cambria" w:hAnsi="Cambria"/>
          <w:sz w:val="18"/>
          <w:szCs w:val="18"/>
        </w:rPr>
        <w:t>clobazam</w:t>
      </w:r>
      <w:proofErr w:type="spellEnd"/>
      <w:r w:rsidRPr="00595FCE">
        <w:rPr>
          <w:rFonts w:ascii="Cambria" w:hAnsi="Cambria"/>
          <w:sz w:val="18"/>
          <w:szCs w:val="18"/>
        </w:rPr>
        <w:t xml:space="preserve"> metabolism. </w:t>
      </w:r>
      <w:r w:rsidRPr="00595FCE">
        <w:rPr>
          <w:rFonts w:ascii="Cambria" w:hAnsi="Cambria"/>
          <w:i/>
          <w:sz w:val="18"/>
          <w:szCs w:val="18"/>
        </w:rPr>
        <w:t xml:space="preserve">Drug </w:t>
      </w:r>
      <w:proofErr w:type="spellStart"/>
      <w:r w:rsidRPr="00595FCE">
        <w:rPr>
          <w:rFonts w:ascii="Cambria" w:hAnsi="Cambria"/>
          <w:i/>
          <w:sz w:val="18"/>
          <w:szCs w:val="18"/>
        </w:rPr>
        <w:t>Metab</w:t>
      </w:r>
      <w:proofErr w:type="spellEnd"/>
      <w:r w:rsidRPr="00595FCE">
        <w:rPr>
          <w:rFonts w:ascii="Cambria" w:hAnsi="Cambria"/>
          <w:i/>
          <w:sz w:val="18"/>
          <w:szCs w:val="18"/>
        </w:rPr>
        <w:t xml:space="preserve"> </w:t>
      </w:r>
      <w:proofErr w:type="spellStart"/>
      <w:r w:rsidRPr="00595FCE">
        <w:rPr>
          <w:rFonts w:ascii="Cambria" w:hAnsi="Cambria"/>
          <w:i/>
          <w:sz w:val="18"/>
          <w:szCs w:val="18"/>
        </w:rPr>
        <w:t>Dispos</w:t>
      </w:r>
      <w:proofErr w:type="spellEnd"/>
      <w:r w:rsidRPr="00595FCE">
        <w:rPr>
          <w:rFonts w:ascii="Cambria" w:hAnsi="Cambria"/>
          <w:i/>
          <w:sz w:val="18"/>
          <w:szCs w:val="18"/>
        </w:rPr>
        <w:t>.</w:t>
      </w:r>
      <w:r w:rsidRPr="00595FCE">
        <w:rPr>
          <w:rFonts w:ascii="Cambria" w:hAnsi="Cambria"/>
          <w:sz w:val="18"/>
          <w:szCs w:val="18"/>
        </w:rPr>
        <w:t xml:space="preserve"> 34: 608-611; </w:t>
      </w:r>
      <w:proofErr w:type="spellStart"/>
      <w:r w:rsidRPr="00595FCE">
        <w:rPr>
          <w:rFonts w:ascii="Cambria" w:hAnsi="Cambria"/>
          <w:sz w:val="18"/>
          <w:szCs w:val="18"/>
        </w:rPr>
        <w:t>Kosaki</w:t>
      </w:r>
      <w:proofErr w:type="spellEnd"/>
      <w:r w:rsidRPr="00595FCE">
        <w:rPr>
          <w:rFonts w:ascii="Cambria" w:hAnsi="Cambria"/>
          <w:sz w:val="18"/>
          <w:szCs w:val="18"/>
        </w:rPr>
        <w:t xml:space="preserve"> K, et al. (2004) A major influence of CYP2C19 genotype on the steady-state concentration of N-</w:t>
      </w:r>
      <w:proofErr w:type="spellStart"/>
      <w:r w:rsidRPr="00595FCE">
        <w:rPr>
          <w:rFonts w:ascii="Cambria" w:hAnsi="Cambria"/>
          <w:sz w:val="18"/>
          <w:szCs w:val="18"/>
        </w:rPr>
        <w:t>desmethylclobazam</w:t>
      </w:r>
      <w:proofErr w:type="spellEnd"/>
      <w:r w:rsidRPr="00595FCE">
        <w:rPr>
          <w:rFonts w:ascii="Cambria" w:hAnsi="Cambria"/>
          <w:sz w:val="18"/>
          <w:szCs w:val="18"/>
        </w:rPr>
        <w:t xml:space="preserve">. </w:t>
      </w:r>
      <w:r w:rsidRPr="00595FCE">
        <w:rPr>
          <w:rFonts w:ascii="Cambria" w:hAnsi="Cambria"/>
          <w:i/>
          <w:sz w:val="18"/>
          <w:szCs w:val="18"/>
        </w:rPr>
        <w:t>Brain Dev.</w:t>
      </w:r>
      <w:r w:rsidRPr="00595FCE">
        <w:rPr>
          <w:rFonts w:ascii="Cambria" w:hAnsi="Cambria"/>
          <w:sz w:val="18"/>
          <w:szCs w:val="18"/>
        </w:rPr>
        <w:t xml:space="preserve"> 26: 530-534; </w:t>
      </w:r>
      <w:proofErr w:type="spellStart"/>
      <w:r w:rsidRPr="00595FCE">
        <w:rPr>
          <w:rFonts w:ascii="Cambria" w:hAnsi="Cambria"/>
          <w:sz w:val="18"/>
          <w:szCs w:val="18"/>
        </w:rPr>
        <w:t>Seo</w:t>
      </w:r>
      <w:proofErr w:type="spellEnd"/>
      <w:r w:rsidRPr="00595FCE">
        <w:rPr>
          <w:rFonts w:ascii="Cambria" w:hAnsi="Cambria"/>
          <w:sz w:val="18"/>
          <w:szCs w:val="18"/>
        </w:rPr>
        <w:t xml:space="preserve"> T, et al. (2008) Impact of CYP2C19 polymorphisms on the efficacy of </w:t>
      </w:r>
      <w:proofErr w:type="spellStart"/>
      <w:r w:rsidRPr="00595FCE">
        <w:rPr>
          <w:rFonts w:ascii="Cambria" w:hAnsi="Cambria"/>
          <w:sz w:val="18"/>
          <w:szCs w:val="18"/>
        </w:rPr>
        <w:t>clobazam</w:t>
      </w:r>
      <w:proofErr w:type="spellEnd"/>
      <w:r w:rsidRPr="00595FCE">
        <w:rPr>
          <w:rFonts w:ascii="Cambria" w:hAnsi="Cambria"/>
          <w:sz w:val="18"/>
          <w:szCs w:val="18"/>
        </w:rPr>
        <w:t xml:space="preserve"> therapy. </w:t>
      </w:r>
      <w:proofErr w:type="spellStart"/>
      <w:r w:rsidRPr="00595FCE">
        <w:rPr>
          <w:rFonts w:ascii="Cambria" w:hAnsi="Cambria"/>
          <w:i/>
          <w:sz w:val="18"/>
          <w:szCs w:val="18"/>
        </w:rPr>
        <w:t>Pharmacogenomics</w:t>
      </w:r>
      <w:proofErr w:type="spellEnd"/>
      <w:r w:rsidRPr="00595FCE">
        <w:rPr>
          <w:rFonts w:ascii="Cambria" w:hAnsi="Cambria"/>
          <w:sz w:val="18"/>
          <w:szCs w:val="18"/>
        </w:rPr>
        <w:t xml:space="preserve"> 9: 527-537; </w:t>
      </w:r>
      <w:proofErr w:type="spellStart"/>
      <w:r w:rsidRPr="00595FCE">
        <w:rPr>
          <w:rFonts w:ascii="Cambria" w:hAnsi="Cambria"/>
          <w:sz w:val="18"/>
          <w:szCs w:val="18"/>
        </w:rPr>
        <w:t>Walzer</w:t>
      </w:r>
      <w:proofErr w:type="spellEnd"/>
      <w:r w:rsidRPr="00595FCE">
        <w:rPr>
          <w:rFonts w:ascii="Cambria" w:hAnsi="Cambria"/>
          <w:sz w:val="18"/>
          <w:szCs w:val="18"/>
        </w:rPr>
        <w:t xml:space="preserve"> M, et al. (2012) Pharmacokinetic drug interactions between </w:t>
      </w:r>
      <w:proofErr w:type="spellStart"/>
      <w:r w:rsidRPr="00595FCE">
        <w:rPr>
          <w:rFonts w:ascii="Cambria" w:hAnsi="Cambria"/>
          <w:sz w:val="18"/>
          <w:szCs w:val="18"/>
        </w:rPr>
        <w:t>clobazam</w:t>
      </w:r>
      <w:proofErr w:type="spellEnd"/>
      <w:r w:rsidRPr="00595FCE">
        <w:rPr>
          <w:rFonts w:ascii="Cambria" w:hAnsi="Cambria"/>
          <w:sz w:val="18"/>
          <w:szCs w:val="18"/>
        </w:rPr>
        <w:t xml:space="preserve"> and drugs metabolized by </w:t>
      </w:r>
      <w:proofErr w:type="spellStart"/>
      <w:r w:rsidRPr="00595FCE">
        <w:rPr>
          <w:rFonts w:ascii="Cambria" w:hAnsi="Cambria"/>
          <w:sz w:val="18"/>
          <w:szCs w:val="18"/>
        </w:rPr>
        <w:t>cytochrome</w:t>
      </w:r>
      <w:proofErr w:type="spellEnd"/>
      <w:r w:rsidRPr="00595FCE">
        <w:rPr>
          <w:rFonts w:ascii="Cambria" w:hAnsi="Cambria"/>
          <w:sz w:val="18"/>
          <w:szCs w:val="18"/>
        </w:rPr>
        <w:t xml:space="preserve"> P450 </w:t>
      </w:r>
      <w:proofErr w:type="spellStart"/>
      <w:r w:rsidRPr="00595FCE">
        <w:rPr>
          <w:rFonts w:ascii="Cambria" w:hAnsi="Cambria"/>
          <w:sz w:val="18"/>
          <w:szCs w:val="18"/>
        </w:rPr>
        <w:t>isoenzymes</w:t>
      </w:r>
      <w:proofErr w:type="spellEnd"/>
      <w:r w:rsidRPr="00595FCE">
        <w:rPr>
          <w:rFonts w:ascii="Cambria" w:hAnsi="Cambria"/>
          <w:sz w:val="18"/>
          <w:szCs w:val="18"/>
        </w:rPr>
        <w:t xml:space="preserve">. </w:t>
      </w:r>
      <w:r w:rsidRPr="00595FCE">
        <w:rPr>
          <w:rFonts w:ascii="Cambria" w:hAnsi="Cambria"/>
          <w:i/>
          <w:sz w:val="18"/>
          <w:szCs w:val="18"/>
        </w:rPr>
        <w:t>Pharmacotherapy</w:t>
      </w:r>
      <w:r w:rsidRPr="00595FCE">
        <w:rPr>
          <w:rFonts w:ascii="Cambria" w:hAnsi="Cambria"/>
          <w:sz w:val="18"/>
          <w:szCs w:val="18"/>
        </w:rPr>
        <w:t xml:space="preserve"> 32: 340-353.</w:t>
      </w:r>
    </w:p>
  </w:footnote>
  <w:footnote w:id="112">
    <w:p w:rsidR="00E91D7F" w:rsidRPr="00595FCE" w:rsidRDefault="00E91D7F" w:rsidP="00A50C03">
      <w:pPr>
        <w:pStyle w:val="FootnoteText"/>
        <w:ind w:left="0" w:firstLine="0"/>
        <w:rPr>
          <w:rFonts w:ascii="Cambria" w:hAnsi="Cambria"/>
          <w:sz w:val="20"/>
        </w:rPr>
      </w:pPr>
      <w:r w:rsidRPr="00595FCE">
        <w:rPr>
          <w:rStyle w:val="FootnoteReference"/>
          <w:rFonts w:ascii="Cambria" w:hAnsi="Cambria"/>
          <w:sz w:val="20"/>
        </w:rPr>
        <w:footnoteRef/>
      </w:r>
      <w:r w:rsidRPr="00595FCE">
        <w:rPr>
          <w:rFonts w:ascii="Cambria" w:hAnsi="Cambria"/>
          <w:sz w:val="18"/>
          <w:szCs w:val="18"/>
        </w:rPr>
        <w:t xml:space="preserve"> </w:t>
      </w:r>
      <w:r w:rsidRPr="00595FCE">
        <w:rPr>
          <w:rFonts w:ascii="Cambria" w:hAnsi="Cambria"/>
          <w:sz w:val="18"/>
          <w:szCs w:val="18"/>
          <w:lang w:val="nl-NL"/>
        </w:rPr>
        <w:t xml:space="preserve">Conry JA, et al. </w:t>
      </w:r>
      <w:r w:rsidRPr="00595FCE">
        <w:rPr>
          <w:rFonts w:ascii="Cambria" w:hAnsi="Cambria"/>
          <w:sz w:val="18"/>
          <w:szCs w:val="18"/>
          <w:lang w:val="nl-NL"/>
        </w:rPr>
        <w:t xml:space="preserve">(2009) </w:t>
      </w:r>
      <w:proofErr w:type="spellStart"/>
      <w:r w:rsidRPr="00595FCE">
        <w:rPr>
          <w:rFonts w:ascii="Cambria" w:hAnsi="Cambria"/>
          <w:sz w:val="18"/>
          <w:szCs w:val="18"/>
        </w:rPr>
        <w:t>Clobazam</w:t>
      </w:r>
      <w:proofErr w:type="spellEnd"/>
      <w:r w:rsidRPr="00595FCE">
        <w:rPr>
          <w:rFonts w:ascii="Cambria" w:hAnsi="Cambria"/>
          <w:sz w:val="18"/>
          <w:szCs w:val="18"/>
        </w:rPr>
        <w:t xml:space="preserve"> in the treatment of Lennox-</w:t>
      </w:r>
      <w:proofErr w:type="spellStart"/>
      <w:r w:rsidRPr="00595FCE">
        <w:rPr>
          <w:rFonts w:ascii="Cambria" w:hAnsi="Cambria"/>
          <w:sz w:val="18"/>
          <w:szCs w:val="18"/>
        </w:rPr>
        <w:t>Gastaut</w:t>
      </w:r>
      <w:proofErr w:type="spellEnd"/>
      <w:r w:rsidRPr="00595FCE">
        <w:rPr>
          <w:rFonts w:ascii="Cambria" w:hAnsi="Cambria"/>
          <w:sz w:val="18"/>
          <w:szCs w:val="18"/>
        </w:rPr>
        <w:t xml:space="preserve"> syndrome. </w:t>
      </w:r>
      <w:proofErr w:type="spellStart"/>
      <w:r w:rsidRPr="00595FCE">
        <w:rPr>
          <w:rFonts w:ascii="Cambria" w:hAnsi="Cambria"/>
          <w:i/>
          <w:sz w:val="18"/>
          <w:szCs w:val="18"/>
        </w:rPr>
        <w:t>Epilepsia</w:t>
      </w:r>
      <w:proofErr w:type="spellEnd"/>
      <w:r w:rsidRPr="00595FCE">
        <w:rPr>
          <w:rFonts w:ascii="Cambria" w:hAnsi="Cambria"/>
          <w:sz w:val="18"/>
          <w:szCs w:val="18"/>
        </w:rPr>
        <w:t xml:space="preserve"> 50: 1158-1166.</w:t>
      </w:r>
    </w:p>
  </w:footnote>
  <w:footnote w:id="113">
    <w:p w:rsidR="00E91D7F" w:rsidRPr="00595FCE" w:rsidRDefault="00E91D7F" w:rsidP="00A50C03">
      <w:pPr>
        <w:pStyle w:val="FootnoteText"/>
        <w:ind w:left="0" w:firstLine="0"/>
        <w:rPr>
          <w:rFonts w:ascii="Cambria" w:hAnsi="Cambria"/>
          <w:sz w:val="20"/>
        </w:rPr>
      </w:pPr>
      <w:r w:rsidRPr="00595FCE">
        <w:rPr>
          <w:rStyle w:val="FootnoteReference"/>
          <w:rFonts w:ascii="Cambria" w:hAnsi="Cambria"/>
          <w:sz w:val="20"/>
        </w:rPr>
        <w:footnoteRef/>
      </w:r>
      <w:r w:rsidRPr="00595FCE">
        <w:rPr>
          <w:rFonts w:ascii="Cambria" w:hAnsi="Cambria"/>
          <w:sz w:val="18"/>
          <w:szCs w:val="18"/>
        </w:rPr>
        <w:t xml:space="preserve"> </w:t>
      </w:r>
      <w:r w:rsidRPr="00595FCE">
        <w:rPr>
          <w:rFonts w:ascii="Cambria" w:hAnsi="Cambria"/>
          <w:sz w:val="18"/>
          <w:szCs w:val="18"/>
          <w:lang w:val="nl-NL"/>
        </w:rPr>
        <w:t xml:space="preserve">Ng YT, et al. (2011) </w:t>
      </w:r>
      <w:r w:rsidRPr="00595FCE">
        <w:rPr>
          <w:rFonts w:ascii="Cambria" w:hAnsi="Cambria"/>
          <w:sz w:val="18"/>
          <w:szCs w:val="18"/>
        </w:rPr>
        <w:t xml:space="preserve">Randomised, phase III study results of </w:t>
      </w:r>
      <w:proofErr w:type="spellStart"/>
      <w:r w:rsidRPr="00595FCE">
        <w:rPr>
          <w:rFonts w:ascii="Cambria" w:hAnsi="Cambria"/>
          <w:sz w:val="18"/>
          <w:szCs w:val="18"/>
        </w:rPr>
        <w:t>clobazam</w:t>
      </w:r>
      <w:proofErr w:type="spellEnd"/>
      <w:r w:rsidRPr="00595FCE">
        <w:rPr>
          <w:rFonts w:ascii="Cambria" w:hAnsi="Cambria"/>
          <w:sz w:val="18"/>
          <w:szCs w:val="18"/>
        </w:rPr>
        <w:t xml:space="preserve"> in Lennox-</w:t>
      </w:r>
      <w:proofErr w:type="spellStart"/>
      <w:r w:rsidRPr="00595FCE">
        <w:rPr>
          <w:rFonts w:ascii="Cambria" w:hAnsi="Cambria"/>
          <w:sz w:val="18"/>
          <w:szCs w:val="18"/>
        </w:rPr>
        <w:t>Gastaut</w:t>
      </w:r>
      <w:proofErr w:type="spellEnd"/>
      <w:r w:rsidRPr="00595FCE">
        <w:rPr>
          <w:rFonts w:ascii="Cambria" w:hAnsi="Cambria"/>
          <w:sz w:val="18"/>
          <w:szCs w:val="18"/>
        </w:rPr>
        <w:t xml:space="preserve"> syndrome. </w:t>
      </w:r>
      <w:r w:rsidRPr="00595FCE">
        <w:rPr>
          <w:rFonts w:ascii="Cambria" w:hAnsi="Cambria"/>
          <w:i/>
          <w:sz w:val="18"/>
          <w:szCs w:val="18"/>
        </w:rPr>
        <w:t>Neurology</w:t>
      </w:r>
      <w:r w:rsidRPr="00595FCE">
        <w:rPr>
          <w:rFonts w:ascii="Cambria" w:hAnsi="Cambria"/>
          <w:sz w:val="18"/>
          <w:szCs w:val="18"/>
        </w:rPr>
        <w:t xml:space="preserve"> 77: 1473-1481.</w:t>
      </w:r>
    </w:p>
  </w:footnote>
  <w:footnote w:id="114">
    <w:p w:rsidR="00E91D7F" w:rsidRPr="00595FCE" w:rsidRDefault="00E91D7F" w:rsidP="00A50C03">
      <w:pPr>
        <w:pStyle w:val="FootnoteText"/>
        <w:ind w:left="0" w:firstLine="0"/>
        <w:rPr>
          <w:rFonts w:ascii="Cambria" w:hAnsi="Cambria"/>
          <w:sz w:val="20"/>
        </w:rPr>
      </w:pPr>
      <w:r w:rsidRPr="00595FCE">
        <w:rPr>
          <w:rStyle w:val="FootnoteReference"/>
          <w:rFonts w:ascii="Cambria" w:hAnsi="Cambria"/>
          <w:sz w:val="20"/>
        </w:rPr>
        <w:footnoteRef/>
      </w:r>
      <w:r w:rsidRPr="00595FCE">
        <w:rPr>
          <w:rFonts w:ascii="Cambria" w:hAnsi="Cambria"/>
          <w:sz w:val="18"/>
          <w:szCs w:val="18"/>
        </w:rPr>
        <w:t xml:space="preserve"> </w:t>
      </w:r>
      <w:r w:rsidRPr="00595FCE">
        <w:rPr>
          <w:rFonts w:ascii="Cambria" w:hAnsi="Cambria"/>
          <w:sz w:val="18"/>
          <w:szCs w:val="18"/>
          <w:lang w:val="nl-NL"/>
        </w:rPr>
        <w:t xml:space="preserve">Conry JA, et al. </w:t>
      </w:r>
      <w:r w:rsidRPr="00595FCE">
        <w:rPr>
          <w:rFonts w:ascii="Cambria" w:hAnsi="Cambria"/>
          <w:sz w:val="18"/>
          <w:szCs w:val="18"/>
          <w:lang w:val="nl-NL"/>
        </w:rPr>
        <w:t xml:space="preserve">(2009) </w:t>
      </w:r>
      <w:proofErr w:type="spellStart"/>
      <w:r w:rsidRPr="00595FCE">
        <w:rPr>
          <w:rFonts w:ascii="Cambria" w:hAnsi="Cambria"/>
          <w:sz w:val="18"/>
          <w:szCs w:val="18"/>
        </w:rPr>
        <w:t>Clobazam</w:t>
      </w:r>
      <w:proofErr w:type="spellEnd"/>
      <w:r w:rsidRPr="00595FCE">
        <w:rPr>
          <w:rFonts w:ascii="Cambria" w:hAnsi="Cambria"/>
          <w:sz w:val="18"/>
          <w:szCs w:val="18"/>
        </w:rPr>
        <w:t xml:space="preserve"> in the treatment of Lennox-</w:t>
      </w:r>
      <w:proofErr w:type="spellStart"/>
      <w:r w:rsidRPr="00595FCE">
        <w:rPr>
          <w:rFonts w:ascii="Cambria" w:hAnsi="Cambria"/>
          <w:sz w:val="18"/>
          <w:szCs w:val="18"/>
        </w:rPr>
        <w:t>Gastaut</w:t>
      </w:r>
      <w:proofErr w:type="spellEnd"/>
      <w:r w:rsidRPr="00595FCE">
        <w:rPr>
          <w:rFonts w:ascii="Cambria" w:hAnsi="Cambria"/>
          <w:sz w:val="18"/>
          <w:szCs w:val="18"/>
        </w:rPr>
        <w:t xml:space="preserve"> syndrome. </w:t>
      </w:r>
      <w:proofErr w:type="spellStart"/>
      <w:r w:rsidRPr="00595FCE">
        <w:rPr>
          <w:rFonts w:ascii="Cambria" w:hAnsi="Cambria"/>
          <w:i/>
          <w:sz w:val="18"/>
          <w:szCs w:val="18"/>
        </w:rPr>
        <w:t>Epilepsia</w:t>
      </w:r>
      <w:proofErr w:type="spellEnd"/>
      <w:r w:rsidRPr="00595FCE">
        <w:rPr>
          <w:rFonts w:ascii="Cambria" w:hAnsi="Cambria"/>
          <w:sz w:val="18"/>
          <w:szCs w:val="18"/>
        </w:rPr>
        <w:t xml:space="preserve"> 50: 1158-1166.</w:t>
      </w:r>
    </w:p>
  </w:footnote>
  <w:footnote w:id="115">
    <w:p w:rsidR="00E91D7F" w:rsidRPr="00595FCE" w:rsidRDefault="00E91D7F" w:rsidP="00A50C03">
      <w:pPr>
        <w:pStyle w:val="FootnoteText"/>
        <w:ind w:left="0" w:firstLine="0"/>
        <w:rPr>
          <w:rFonts w:ascii="Cambria" w:hAnsi="Cambria"/>
          <w:sz w:val="20"/>
        </w:rPr>
      </w:pPr>
      <w:r w:rsidRPr="00595FCE">
        <w:rPr>
          <w:rStyle w:val="FootnoteReference"/>
          <w:rFonts w:ascii="Cambria" w:hAnsi="Cambria"/>
          <w:sz w:val="20"/>
        </w:rPr>
        <w:footnoteRef/>
      </w:r>
      <w:r w:rsidRPr="00595FCE">
        <w:rPr>
          <w:rFonts w:ascii="Cambria" w:hAnsi="Cambria"/>
          <w:sz w:val="18"/>
          <w:szCs w:val="18"/>
        </w:rPr>
        <w:t xml:space="preserve"> </w:t>
      </w:r>
      <w:r w:rsidRPr="00595FCE">
        <w:rPr>
          <w:rFonts w:ascii="Cambria" w:hAnsi="Cambria"/>
          <w:sz w:val="18"/>
          <w:szCs w:val="18"/>
          <w:lang w:val="nl-NL"/>
        </w:rPr>
        <w:t xml:space="preserve">Ng YT, et al. (2011) </w:t>
      </w:r>
      <w:r w:rsidRPr="00595FCE">
        <w:rPr>
          <w:rFonts w:ascii="Cambria" w:hAnsi="Cambria"/>
          <w:sz w:val="18"/>
          <w:szCs w:val="18"/>
        </w:rPr>
        <w:t xml:space="preserve">Randomised, phase III study results of </w:t>
      </w:r>
      <w:proofErr w:type="spellStart"/>
      <w:r w:rsidRPr="00595FCE">
        <w:rPr>
          <w:rFonts w:ascii="Cambria" w:hAnsi="Cambria"/>
          <w:sz w:val="18"/>
          <w:szCs w:val="18"/>
        </w:rPr>
        <w:t>clobazam</w:t>
      </w:r>
      <w:proofErr w:type="spellEnd"/>
      <w:r w:rsidRPr="00595FCE">
        <w:rPr>
          <w:rFonts w:ascii="Cambria" w:hAnsi="Cambria"/>
          <w:sz w:val="18"/>
          <w:szCs w:val="18"/>
        </w:rPr>
        <w:t xml:space="preserve"> in Lennox-</w:t>
      </w:r>
      <w:proofErr w:type="spellStart"/>
      <w:r w:rsidRPr="00595FCE">
        <w:rPr>
          <w:rFonts w:ascii="Cambria" w:hAnsi="Cambria"/>
          <w:sz w:val="18"/>
          <w:szCs w:val="18"/>
        </w:rPr>
        <w:t>Gastaut</w:t>
      </w:r>
      <w:proofErr w:type="spellEnd"/>
      <w:r w:rsidRPr="00595FCE">
        <w:rPr>
          <w:rFonts w:ascii="Cambria" w:hAnsi="Cambria"/>
          <w:sz w:val="18"/>
          <w:szCs w:val="18"/>
        </w:rPr>
        <w:t xml:space="preserve"> syndrome. </w:t>
      </w:r>
      <w:r w:rsidRPr="00595FCE">
        <w:rPr>
          <w:rFonts w:ascii="Cambria" w:hAnsi="Cambria"/>
          <w:i/>
          <w:sz w:val="18"/>
          <w:szCs w:val="18"/>
        </w:rPr>
        <w:t>Neurology</w:t>
      </w:r>
      <w:r w:rsidRPr="00595FCE">
        <w:rPr>
          <w:rFonts w:ascii="Cambria" w:hAnsi="Cambria"/>
          <w:sz w:val="18"/>
          <w:szCs w:val="18"/>
        </w:rPr>
        <w:t xml:space="preserve"> 77: 1473-1481.</w:t>
      </w:r>
    </w:p>
  </w:footnote>
  <w:footnote w:id="116">
    <w:p w:rsidR="00E91D7F" w:rsidRPr="00595FCE" w:rsidRDefault="00E91D7F" w:rsidP="00A50C03">
      <w:pPr>
        <w:pStyle w:val="FootnoteText"/>
        <w:ind w:left="0" w:firstLine="0"/>
        <w:rPr>
          <w:rFonts w:ascii="Cambria" w:hAnsi="Cambria"/>
          <w:sz w:val="20"/>
        </w:rPr>
      </w:pPr>
      <w:r w:rsidRPr="00595FCE">
        <w:rPr>
          <w:rStyle w:val="FootnoteReference"/>
          <w:rFonts w:ascii="Cambria" w:hAnsi="Cambria"/>
          <w:sz w:val="20"/>
        </w:rPr>
        <w:footnoteRef/>
      </w:r>
      <w:r w:rsidRPr="00595FCE">
        <w:rPr>
          <w:rFonts w:ascii="Cambria" w:hAnsi="Cambria"/>
          <w:sz w:val="18"/>
          <w:szCs w:val="18"/>
        </w:rPr>
        <w:t xml:space="preserve"> </w:t>
      </w:r>
      <w:r w:rsidRPr="00595FCE">
        <w:rPr>
          <w:rFonts w:ascii="Cambria" w:hAnsi="Cambria"/>
          <w:sz w:val="18"/>
          <w:szCs w:val="18"/>
          <w:lang w:val="nl-NL"/>
        </w:rPr>
        <w:t xml:space="preserve">Ng YT, et al. (2011) </w:t>
      </w:r>
      <w:r w:rsidRPr="00595FCE">
        <w:rPr>
          <w:rFonts w:ascii="Cambria" w:hAnsi="Cambria"/>
          <w:sz w:val="18"/>
          <w:szCs w:val="18"/>
        </w:rPr>
        <w:t xml:space="preserve">Randomised, phase III study results of </w:t>
      </w:r>
      <w:proofErr w:type="spellStart"/>
      <w:r w:rsidRPr="00595FCE">
        <w:rPr>
          <w:rFonts w:ascii="Cambria" w:hAnsi="Cambria"/>
          <w:sz w:val="18"/>
          <w:szCs w:val="18"/>
        </w:rPr>
        <w:t>clobazam</w:t>
      </w:r>
      <w:proofErr w:type="spellEnd"/>
      <w:r w:rsidRPr="00595FCE">
        <w:rPr>
          <w:rFonts w:ascii="Cambria" w:hAnsi="Cambria"/>
          <w:sz w:val="18"/>
          <w:szCs w:val="18"/>
        </w:rPr>
        <w:t xml:space="preserve"> in Lennox-</w:t>
      </w:r>
      <w:proofErr w:type="spellStart"/>
      <w:r w:rsidRPr="00595FCE">
        <w:rPr>
          <w:rFonts w:ascii="Cambria" w:hAnsi="Cambria"/>
          <w:sz w:val="18"/>
          <w:szCs w:val="18"/>
        </w:rPr>
        <w:t>Gastaut</w:t>
      </w:r>
      <w:proofErr w:type="spellEnd"/>
      <w:r w:rsidRPr="00595FCE">
        <w:rPr>
          <w:rFonts w:ascii="Cambria" w:hAnsi="Cambria"/>
          <w:sz w:val="18"/>
          <w:szCs w:val="18"/>
        </w:rPr>
        <w:t xml:space="preserve"> syndrome. </w:t>
      </w:r>
      <w:r w:rsidRPr="00595FCE">
        <w:rPr>
          <w:rFonts w:ascii="Cambria" w:hAnsi="Cambria"/>
          <w:i/>
          <w:sz w:val="18"/>
          <w:szCs w:val="18"/>
        </w:rPr>
        <w:t>Neurology</w:t>
      </w:r>
      <w:r w:rsidRPr="00595FCE">
        <w:rPr>
          <w:rFonts w:ascii="Cambria" w:hAnsi="Cambria"/>
          <w:sz w:val="18"/>
          <w:szCs w:val="18"/>
        </w:rPr>
        <w:t xml:space="preserve"> 77: 1473-1481.</w:t>
      </w:r>
    </w:p>
  </w:footnote>
  <w:footnote w:id="117">
    <w:p w:rsidR="00E91D7F" w:rsidRPr="00B16034" w:rsidRDefault="00E91D7F" w:rsidP="00A50C03">
      <w:pPr>
        <w:pStyle w:val="FootnoteText"/>
        <w:ind w:left="0" w:firstLine="0"/>
        <w:rPr>
          <w:rFonts w:ascii="Cambria" w:hAnsi="Cambria"/>
          <w:sz w:val="20"/>
        </w:rPr>
      </w:pPr>
      <w:r w:rsidRPr="00B16034">
        <w:rPr>
          <w:rStyle w:val="FootnoteReference"/>
          <w:rFonts w:ascii="Cambria" w:hAnsi="Cambria"/>
          <w:sz w:val="20"/>
        </w:rPr>
        <w:footnoteRef/>
      </w:r>
      <w:r w:rsidRPr="00F109C1">
        <w:rPr>
          <w:rFonts w:ascii="Cambria" w:hAnsi="Cambria"/>
          <w:sz w:val="18"/>
        </w:rPr>
        <w:t xml:space="preserve"> </w:t>
      </w:r>
      <w:r w:rsidRPr="00F109C1">
        <w:rPr>
          <w:rFonts w:ascii="Cambria" w:hAnsi="Cambria"/>
          <w:sz w:val="18"/>
          <w:lang w:val="nl-NL"/>
        </w:rPr>
        <w:t xml:space="preserve">Ng YT, et al. (2011) </w:t>
      </w:r>
      <w:r w:rsidRPr="00F109C1">
        <w:rPr>
          <w:rFonts w:ascii="Cambria" w:hAnsi="Cambria"/>
          <w:sz w:val="18"/>
        </w:rPr>
        <w:t xml:space="preserve">Randomised, phase III study results of </w:t>
      </w:r>
      <w:proofErr w:type="spellStart"/>
      <w:r w:rsidRPr="00F109C1">
        <w:rPr>
          <w:rFonts w:ascii="Cambria" w:hAnsi="Cambria"/>
          <w:sz w:val="18"/>
        </w:rPr>
        <w:t>clobazam</w:t>
      </w:r>
      <w:proofErr w:type="spellEnd"/>
      <w:r w:rsidRPr="00F109C1">
        <w:rPr>
          <w:rFonts w:ascii="Cambria" w:hAnsi="Cambria"/>
          <w:sz w:val="18"/>
        </w:rPr>
        <w:t xml:space="preserve"> in Lennox-</w:t>
      </w:r>
      <w:proofErr w:type="spellStart"/>
      <w:r w:rsidRPr="00F109C1">
        <w:rPr>
          <w:rFonts w:ascii="Cambria" w:hAnsi="Cambria"/>
          <w:sz w:val="18"/>
        </w:rPr>
        <w:t>Gastaut</w:t>
      </w:r>
      <w:proofErr w:type="spellEnd"/>
      <w:r w:rsidRPr="00F109C1">
        <w:rPr>
          <w:rFonts w:ascii="Cambria" w:hAnsi="Cambria"/>
          <w:sz w:val="18"/>
        </w:rPr>
        <w:t xml:space="preserve"> syndrome. </w:t>
      </w:r>
      <w:r w:rsidRPr="00F109C1">
        <w:rPr>
          <w:rFonts w:ascii="Cambria" w:hAnsi="Cambria"/>
          <w:i/>
          <w:sz w:val="18"/>
        </w:rPr>
        <w:t>Neurology</w:t>
      </w:r>
      <w:r w:rsidRPr="00F109C1">
        <w:rPr>
          <w:rFonts w:ascii="Cambria" w:hAnsi="Cambria"/>
          <w:sz w:val="18"/>
        </w:rPr>
        <w:t xml:space="preserve"> 77: 1473-1481.</w:t>
      </w:r>
    </w:p>
  </w:footnote>
  <w:footnote w:id="118">
    <w:p w:rsidR="00E91D7F" w:rsidRPr="003B0683" w:rsidRDefault="00E91D7F" w:rsidP="00A50C03">
      <w:pPr>
        <w:pStyle w:val="FootnoteText"/>
        <w:ind w:left="0" w:firstLine="0"/>
        <w:rPr>
          <w:rFonts w:ascii="Cambria" w:hAnsi="Cambria"/>
          <w:sz w:val="20"/>
        </w:rPr>
      </w:pPr>
      <w:r w:rsidRPr="003B0683">
        <w:rPr>
          <w:rStyle w:val="FootnoteReference"/>
          <w:rFonts w:ascii="Cambria" w:hAnsi="Cambria"/>
          <w:sz w:val="20"/>
        </w:rPr>
        <w:footnoteRef/>
      </w:r>
      <w:r w:rsidRPr="00F109C1">
        <w:rPr>
          <w:rFonts w:ascii="Cambria" w:hAnsi="Cambria"/>
          <w:sz w:val="18"/>
        </w:rPr>
        <w:t xml:space="preserve"> Keene DL, et al. (1990) </w:t>
      </w:r>
      <w:proofErr w:type="spellStart"/>
      <w:r w:rsidRPr="00F109C1">
        <w:rPr>
          <w:rFonts w:ascii="Cambria" w:hAnsi="Cambria"/>
          <w:sz w:val="18"/>
        </w:rPr>
        <w:t>Clobazam</w:t>
      </w:r>
      <w:proofErr w:type="spellEnd"/>
      <w:r w:rsidRPr="00F109C1">
        <w:rPr>
          <w:rFonts w:ascii="Cambria" w:hAnsi="Cambria"/>
          <w:sz w:val="18"/>
        </w:rPr>
        <w:t xml:space="preserve"> as an add-on drug in the treatment of refractory epilepsy of childhood. </w:t>
      </w:r>
      <w:r w:rsidRPr="00F109C1">
        <w:rPr>
          <w:rFonts w:ascii="Cambria" w:hAnsi="Cambria"/>
          <w:i/>
          <w:sz w:val="18"/>
        </w:rPr>
        <w:t xml:space="preserve">Can J </w:t>
      </w:r>
      <w:proofErr w:type="spellStart"/>
      <w:r w:rsidRPr="00F109C1">
        <w:rPr>
          <w:rFonts w:ascii="Cambria" w:hAnsi="Cambria"/>
          <w:i/>
          <w:sz w:val="18"/>
        </w:rPr>
        <w:t>Neurol</w:t>
      </w:r>
      <w:proofErr w:type="spellEnd"/>
      <w:r w:rsidRPr="00F109C1">
        <w:rPr>
          <w:rFonts w:ascii="Cambria" w:hAnsi="Cambria"/>
          <w:i/>
          <w:sz w:val="18"/>
        </w:rPr>
        <w:t xml:space="preserve"> Sci.</w:t>
      </w:r>
      <w:r w:rsidRPr="00F109C1">
        <w:rPr>
          <w:rFonts w:ascii="Cambria" w:hAnsi="Cambria"/>
          <w:sz w:val="18"/>
        </w:rPr>
        <w:t xml:space="preserve"> 17: 317-319.</w:t>
      </w:r>
    </w:p>
  </w:footnote>
  <w:footnote w:id="119">
    <w:p w:rsidR="00E91D7F" w:rsidRPr="003B0683" w:rsidRDefault="00E91D7F" w:rsidP="00A50C03">
      <w:pPr>
        <w:pStyle w:val="FootnoteText"/>
        <w:ind w:left="0" w:firstLine="0"/>
        <w:rPr>
          <w:rFonts w:ascii="Cambria" w:hAnsi="Cambria"/>
          <w:sz w:val="20"/>
        </w:rPr>
      </w:pPr>
      <w:r w:rsidRPr="003B0683">
        <w:rPr>
          <w:rStyle w:val="FootnoteReference"/>
          <w:rFonts w:ascii="Cambria" w:hAnsi="Cambria"/>
          <w:sz w:val="20"/>
        </w:rPr>
        <w:footnoteRef/>
      </w:r>
      <w:r w:rsidRPr="008E3285">
        <w:rPr>
          <w:rFonts w:ascii="Cambria" w:hAnsi="Cambria"/>
          <w:sz w:val="18"/>
          <w:szCs w:val="18"/>
        </w:rPr>
        <w:t xml:space="preserve"> </w:t>
      </w:r>
      <w:r w:rsidRPr="008E3285">
        <w:rPr>
          <w:rFonts w:ascii="Cambria" w:hAnsi="Cambria"/>
          <w:sz w:val="18"/>
          <w:szCs w:val="18"/>
          <w:lang w:val="nl-NL"/>
        </w:rPr>
        <w:t xml:space="preserve">Ng YT, et al. (2011) </w:t>
      </w:r>
      <w:r w:rsidRPr="008E3285">
        <w:rPr>
          <w:rFonts w:ascii="Cambria" w:hAnsi="Cambria"/>
          <w:sz w:val="18"/>
          <w:szCs w:val="18"/>
        </w:rPr>
        <w:t xml:space="preserve">Randomised, phase III study results of </w:t>
      </w:r>
      <w:proofErr w:type="spellStart"/>
      <w:r w:rsidRPr="008E3285">
        <w:rPr>
          <w:rFonts w:ascii="Cambria" w:hAnsi="Cambria"/>
          <w:sz w:val="18"/>
          <w:szCs w:val="18"/>
        </w:rPr>
        <w:t>clobazam</w:t>
      </w:r>
      <w:proofErr w:type="spellEnd"/>
      <w:r w:rsidRPr="008E3285">
        <w:rPr>
          <w:rFonts w:ascii="Cambria" w:hAnsi="Cambria"/>
          <w:sz w:val="18"/>
          <w:szCs w:val="18"/>
        </w:rPr>
        <w:t xml:space="preserve"> in Lennox-</w:t>
      </w:r>
      <w:proofErr w:type="spellStart"/>
      <w:r w:rsidRPr="008E3285">
        <w:rPr>
          <w:rFonts w:ascii="Cambria" w:hAnsi="Cambria"/>
          <w:sz w:val="18"/>
          <w:szCs w:val="18"/>
        </w:rPr>
        <w:t>Gastaut</w:t>
      </w:r>
      <w:proofErr w:type="spellEnd"/>
      <w:r w:rsidRPr="008E3285">
        <w:rPr>
          <w:rFonts w:ascii="Cambria" w:hAnsi="Cambria"/>
          <w:sz w:val="18"/>
          <w:szCs w:val="18"/>
        </w:rPr>
        <w:t xml:space="preserve"> syndrome. </w:t>
      </w:r>
      <w:r w:rsidRPr="008E3285">
        <w:rPr>
          <w:rFonts w:ascii="Cambria" w:hAnsi="Cambria"/>
          <w:i/>
          <w:sz w:val="18"/>
          <w:szCs w:val="18"/>
        </w:rPr>
        <w:t>Neurology</w:t>
      </w:r>
      <w:r w:rsidRPr="008E3285">
        <w:rPr>
          <w:rFonts w:ascii="Cambria" w:hAnsi="Cambria"/>
          <w:sz w:val="18"/>
          <w:szCs w:val="18"/>
        </w:rPr>
        <w:t xml:space="preserve"> 77: 1473-1481.</w:t>
      </w:r>
    </w:p>
  </w:footnote>
  <w:footnote w:id="120">
    <w:p w:rsidR="00E91D7F" w:rsidRPr="003B0683" w:rsidRDefault="00E91D7F" w:rsidP="00A50C03">
      <w:pPr>
        <w:pStyle w:val="FootnoteText"/>
        <w:ind w:left="0" w:firstLine="0"/>
        <w:rPr>
          <w:rFonts w:ascii="Cambria" w:hAnsi="Cambria"/>
          <w:sz w:val="20"/>
        </w:rPr>
      </w:pPr>
      <w:r w:rsidRPr="003B0683">
        <w:rPr>
          <w:rStyle w:val="FootnoteReference"/>
          <w:rFonts w:ascii="Cambria" w:hAnsi="Cambria"/>
          <w:sz w:val="20"/>
        </w:rPr>
        <w:footnoteRef/>
      </w:r>
      <w:r w:rsidRPr="008E3285">
        <w:rPr>
          <w:rFonts w:ascii="Cambria" w:hAnsi="Cambria"/>
          <w:sz w:val="18"/>
          <w:szCs w:val="18"/>
        </w:rPr>
        <w:t xml:space="preserve"> </w:t>
      </w:r>
      <w:r w:rsidRPr="008E3285">
        <w:rPr>
          <w:rFonts w:ascii="Cambria" w:hAnsi="Cambria"/>
          <w:sz w:val="18"/>
          <w:szCs w:val="18"/>
          <w:lang w:val="nl-NL"/>
        </w:rPr>
        <w:t xml:space="preserve">Ng YT, et al. (2011) </w:t>
      </w:r>
      <w:r w:rsidRPr="008E3285">
        <w:rPr>
          <w:rFonts w:ascii="Cambria" w:hAnsi="Cambria"/>
          <w:sz w:val="18"/>
          <w:szCs w:val="18"/>
        </w:rPr>
        <w:t xml:space="preserve">Randomised, phase III study results of </w:t>
      </w:r>
      <w:proofErr w:type="spellStart"/>
      <w:r w:rsidRPr="008E3285">
        <w:rPr>
          <w:rFonts w:ascii="Cambria" w:hAnsi="Cambria"/>
          <w:sz w:val="18"/>
          <w:szCs w:val="18"/>
        </w:rPr>
        <w:t>clobazam</w:t>
      </w:r>
      <w:proofErr w:type="spellEnd"/>
      <w:r w:rsidRPr="008E3285">
        <w:rPr>
          <w:rFonts w:ascii="Cambria" w:hAnsi="Cambria"/>
          <w:sz w:val="18"/>
          <w:szCs w:val="18"/>
        </w:rPr>
        <w:t xml:space="preserve"> in Lennox-</w:t>
      </w:r>
      <w:proofErr w:type="spellStart"/>
      <w:r w:rsidRPr="008E3285">
        <w:rPr>
          <w:rFonts w:ascii="Cambria" w:hAnsi="Cambria"/>
          <w:sz w:val="18"/>
          <w:szCs w:val="18"/>
        </w:rPr>
        <w:t>Gastaut</w:t>
      </w:r>
      <w:proofErr w:type="spellEnd"/>
      <w:r w:rsidRPr="008E3285">
        <w:rPr>
          <w:rFonts w:ascii="Cambria" w:hAnsi="Cambria"/>
          <w:sz w:val="18"/>
          <w:szCs w:val="18"/>
        </w:rPr>
        <w:t xml:space="preserve"> syndrome. </w:t>
      </w:r>
      <w:r w:rsidRPr="008E3285">
        <w:rPr>
          <w:rFonts w:ascii="Cambria" w:hAnsi="Cambria"/>
          <w:i/>
          <w:sz w:val="18"/>
          <w:szCs w:val="18"/>
        </w:rPr>
        <w:t>Neurology</w:t>
      </w:r>
      <w:r w:rsidRPr="008E3285">
        <w:rPr>
          <w:rFonts w:ascii="Cambria" w:hAnsi="Cambria"/>
          <w:sz w:val="18"/>
          <w:szCs w:val="18"/>
        </w:rPr>
        <w:t xml:space="preserve"> 77: 1473-1481.</w:t>
      </w:r>
    </w:p>
  </w:footnote>
  <w:footnote w:id="121">
    <w:p w:rsidR="00E91D7F" w:rsidRPr="003B0683" w:rsidRDefault="00E91D7F" w:rsidP="00A50C03">
      <w:pPr>
        <w:pStyle w:val="FootnoteText"/>
        <w:ind w:left="0" w:firstLine="0"/>
        <w:rPr>
          <w:rFonts w:ascii="Cambria" w:hAnsi="Cambria"/>
          <w:sz w:val="20"/>
        </w:rPr>
      </w:pPr>
      <w:r w:rsidRPr="003B0683">
        <w:rPr>
          <w:rStyle w:val="FootnoteReference"/>
          <w:rFonts w:ascii="Cambria" w:hAnsi="Cambria"/>
          <w:sz w:val="20"/>
        </w:rPr>
        <w:footnoteRef/>
      </w:r>
      <w:r w:rsidRPr="008204B7">
        <w:rPr>
          <w:rFonts w:ascii="Cambria" w:hAnsi="Cambria"/>
          <w:sz w:val="18"/>
          <w:szCs w:val="18"/>
        </w:rPr>
        <w:t xml:space="preserve"> </w:t>
      </w:r>
      <w:r w:rsidRPr="008204B7">
        <w:rPr>
          <w:rFonts w:ascii="Cambria" w:hAnsi="Cambria"/>
          <w:sz w:val="18"/>
          <w:szCs w:val="18"/>
          <w:lang w:val="nl-NL"/>
        </w:rPr>
        <w:t xml:space="preserve">Conry JA, et al. </w:t>
      </w:r>
      <w:r w:rsidRPr="008204B7">
        <w:rPr>
          <w:rFonts w:ascii="Cambria" w:hAnsi="Cambria"/>
          <w:sz w:val="18"/>
          <w:szCs w:val="18"/>
          <w:lang w:val="nl-NL"/>
        </w:rPr>
        <w:t xml:space="preserve">(2009) </w:t>
      </w:r>
      <w:proofErr w:type="spellStart"/>
      <w:r w:rsidRPr="008204B7">
        <w:rPr>
          <w:rFonts w:ascii="Cambria" w:hAnsi="Cambria"/>
          <w:sz w:val="18"/>
          <w:szCs w:val="18"/>
        </w:rPr>
        <w:t>Clobazam</w:t>
      </w:r>
      <w:proofErr w:type="spellEnd"/>
      <w:r w:rsidRPr="008204B7">
        <w:rPr>
          <w:rFonts w:ascii="Cambria" w:hAnsi="Cambria"/>
          <w:sz w:val="18"/>
          <w:szCs w:val="18"/>
        </w:rPr>
        <w:t xml:space="preserve"> in the treatment of Lennox-</w:t>
      </w:r>
      <w:proofErr w:type="spellStart"/>
      <w:r w:rsidRPr="008204B7">
        <w:rPr>
          <w:rFonts w:ascii="Cambria" w:hAnsi="Cambria"/>
          <w:sz w:val="18"/>
          <w:szCs w:val="18"/>
        </w:rPr>
        <w:t>Gastaut</w:t>
      </w:r>
      <w:proofErr w:type="spellEnd"/>
      <w:r w:rsidRPr="008204B7">
        <w:rPr>
          <w:rFonts w:ascii="Cambria" w:hAnsi="Cambria"/>
          <w:sz w:val="18"/>
          <w:szCs w:val="18"/>
        </w:rPr>
        <w:t xml:space="preserve"> syndrome. </w:t>
      </w:r>
      <w:proofErr w:type="spellStart"/>
      <w:r w:rsidRPr="008204B7">
        <w:rPr>
          <w:rFonts w:ascii="Cambria" w:hAnsi="Cambria"/>
          <w:i/>
          <w:sz w:val="18"/>
          <w:szCs w:val="18"/>
        </w:rPr>
        <w:t>Epilepsia</w:t>
      </w:r>
      <w:proofErr w:type="spellEnd"/>
      <w:r w:rsidRPr="008204B7">
        <w:rPr>
          <w:rFonts w:ascii="Cambria" w:hAnsi="Cambria"/>
          <w:sz w:val="18"/>
          <w:szCs w:val="18"/>
        </w:rPr>
        <w:t xml:space="preserve"> 50: 1158-1166.</w:t>
      </w:r>
    </w:p>
  </w:footnote>
  <w:footnote w:id="122">
    <w:p w:rsidR="00E91D7F" w:rsidRPr="003B0683" w:rsidRDefault="00E91D7F" w:rsidP="00A50C03">
      <w:pPr>
        <w:pStyle w:val="FootnoteText"/>
        <w:ind w:left="0" w:firstLine="0"/>
        <w:rPr>
          <w:rFonts w:ascii="Cambria" w:hAnsi="Cambria"/>
          <w:sz w:val="20"/>
        </w:rPr>
      </w:pPr>
      <w:r w:rsidRPr="003B0683">
        <w:rPr>
          <w:rStyle w:val="FootnoteReference"/>
          <w:rFonts w:ascii="Cambria" w:hAnsi="Cambria"/>
          <w:sz w:val="20"/>
        </w:rPr>
        <w:footnoteRef/>
      </w:r>
      <w:r w:rsidRPr="008204B7">
        <w:rPr>
          <w:rFonts w:ascii="Cambria" w:hAnsi="Cambria"/>
          <w:sz w:val="18"/>
          <w:szCs w:val="18"/>
        </w:rPr>
        <w:t xml:space="preserve"> </w:t>
      </w:r>
      <w:r w:rsidRPr="008204B7">
        <w:rPr>
          <w:rFonts w:ascii="Cambria" w:hAnsi="Cambria"/>
          <w:sz w:val="18"/>
          <w:szCs w:val="18"/>
          <w:lang w:val="nl-NL"/>
        </w:rPr>
        <w:t xml:space="preserve">Ng YT, et al. (2011) </w:t>
      </w:r>
      <w:r w:rsidRPr="008204B7">
        <w:rPr>
          <w:rFonts w:ascii="Cambria" w:hAnsi="Cambria"/>
          <w:sz w:val="18"/>
          <w:szCs w:val="18"/>
        </w:rPr>
        <w:t xml:space="preserve">Randomised, phase III study results of </w:t>
      </w:r>
      <w:proofErr w:type="spellStart"/>
      <w:r w:rsidRPr="008204B7">
        <w:rPr>
          <w:rFonts w:ascii="Cambria" w:hAnsi="Cambria"/>
          <w:sz w:val="18"/>
          <w:szCs w:val="18"/>
        </w:rPr>
        <w:t>clobazam</w:t>
      </w:r>
      <w:proofErr w:type="spellEnd"/>
      <w:r w:rsidRPr="008204B7">
        <w:rPr>
          <w:rFonts w:ascii="Cambria" w:hAnsi="Cambria"/>
          <w:sz w:val="18"/>
          <w:szCs w:val="18"/>
        </w:rPr>
        <w:t xml:space="preserve"> in Lennox-</w:t>
      </w:r>
      <w:proofErr w:type="spellStart"/>
      <w:r w:rsidRPr="008204B7">
        <w:rPr>
          <w:rFonts w:ascii="Cambria" w:hAnsi="Cambria"/>
          <w:sz w:val="18"/>
          <w:szCs w:val="18"/>
        </w:rPr>
        <w:t>Gastaut</w:t>
      </w:r>
      <w:proofErr w:type="spellEnd"/>
      <w:r w:rsidRPr="008204B7">
        <w:rPr>
          <w:rFonts w:ascii="Cambria" w:hAnsi="Cambria"/>
          <w:sz w:val="18"/>
          <w:szCs w:val="18"/>
        </w:rPr>
        <w:t xml:space="preserve"> syndrome. </w:t>
      </w:r>
      <w:r w:rsidRPr="008204B7">
        <w:rPr>
          <w:rFonts w:ascii="Cambria" w:hAnsi="Cambria"/>
          <w:i/>
          <w:sz w:val="18"/>
          <w:szCs w:val="18"/>
        </w:rPr>
        <w:t>Neurology</w:t>
      </w:r>
      <w:r w:rsidRPr="008204B7">
        <w:rPr>
          <w:rFonts w:ascii="Cambria" w:hAnsi="Cambria"/>
          <w:sz w:val="18"/>
          <w:szCs w:val="18"/>
        </w:rPr>
        <w:t xml:space="preserve"> 77: 1473-1481.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D7F" w:rsidRDefault="00E91D7F"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D7F" w:rsidRDefault="00E91D7F">
    <w:pPr>
      <w:rPr>
        <w:noProof/>
        <w:lang w:eastAsia="en-AU"/>
      </w:rPr>
    </w:pPr>
    <w:r w:rsidRPr="00BE32D5">
      <w:rPr>
        <w:noProof/>
        <w:lang w:eastAsia="en-AU"/>
      </w:rPr>
      <w:drawing>
        <wp:anchor distT="0" distB="0" distL="114300" distR="114300" simplePos="0" relativeHeight="251659264" behindDoc="1" locked="0" layoutInCell="1" allowOverlap="1">
          <wp:simplePos x="0" y="0"/>
          <wp:positionH relativeFrom="column">
            <wp:posOffset>-1089515</wp:posOffset>
          </wp:positionH>
          <wp:positionV relativeFrom="paragraph">
            <wp:posOffset>-585470</wp:posOffset>
          </wp:positionV>
          <wp:extent cx="7568736" cy="10706100"/>
          <wp:effectExtent l="19050" t="0" r="0" b="0"/>
          <wp:wrapNone/>
          <wp:docPr id="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E91D7F" w:rsidRDefault="00E91D7F"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2pt;height:601.1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D7F" w:rsidRDefault="00E91D7F">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D7F" w:rsidRDefault="00E91D7F">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D7F" w:rsidRDefault="00E91D7F">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D7F" w:rsidRDefault="00E91D7F">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D7F" w:rsidRDefault="00E91D7F" w:rsidP="008D770F">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D7F" w:rsidRDefault="00E91D7F" w:rsidP="006E08B3">
    <w:r>
      <w:t>Therapeutic Goods Administration</w:t>
    </w:r>
  </w:p>
  <w:p w:rsidR="00E91D7F" w:rsidRDefault="00E91D7F"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C1D78D3"/>
    <w:multiLevelType w:val="hybridMultilevel"/>
    <w:tmpl w:val="26B0B75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nsid w:val="239F4310"/>
    <w:multiLevelType w:val="hybridMultilevel"/>
    <w:tmpl w:val="790AF12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9">
    <w:nsid w:val="31386CE8"/>
    <w:multiLevelType w:val="hybridMultilevel"/>
    <w:tmpl w:val="53B25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17646E6"/>
    <w:multiLevelType w:val="hybridMultilevel"/>
    <w:tmpl w:val="DE8E9F2C"/>
    <w:lvl w:ilvl="0" w:tplc="69AAFDD8">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2">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3D43621D"/>
    <w:multiLevelType w:val="hybridMultilevel"/>
    <w:tmpl w:val="62C49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6667956"/>
    <w:multiLevelType w:val="hybridMultilevel"/>
    <w:tmpl w:val="DBCCD09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6">
    <w:nsid w:val="57FD52DC"/>
    <w:multiLevelType w:val="hybridMultilevel"/>
    <w:tmpl w:val="D65C386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nsid w:val="589C280B"/>
    <w:multiLevelType w:val="hybridMultilevel"/>
    <w:tmpl w:val="578ABD98"/>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9">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20">
    <w:nsid w:val="6AFD4B72"/>
    <w:multiLevelType w:val="hybridMultilevel"/>
    <w:tmpl w:val="0F045F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2"/>
  </w:num>
  <w:num w:numId="2">
    <w:abstractNumId w:val="1"/>
  </w:num>
  <w:num w:numId="3">
    <w:abstractNumId w:val="6"/>
  </w:num>
  <w:num w:numId="4">
    <w:abstractNumId w:val="6"/>
  </w:num>
  <w:num w:numId="5">
    <w:abstractNumId w:val="0"/>
  </w:num>
  <w:num w:numId="6">
    <w:abstractNumId w:val="6"/>
  </w:num>
  <w:num w:numId="7">
    <w:abstractNumId w:val="6"/>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6"/>
  </w:num>
  <w:num w:numId="14">
    <w:abstractNumId w:val="6"/>
  </w:num>
  <w:num w:numId="15">
    <w:abstractNumId w:val="6"/>
  </w:num>
  <w:num w:numId="16">
    <w:abstractNumId w:val="5"/>
  </w:num>
  <w:num w:numId="17">
    <w:abstractNumId w:val="5"/>
  </w:num>
  <w:num w:numId="18">
    <w:abstractNumId w:val="5"/>
  </w:num>
  <w:num w:numId="19">
    <w:abstractNumId w:val="6"/>
  </w:num>
  <w:num w:numId="20">
    <w:abstractNumId w:val="6"/>
  </w:num>
  <w:num w:numId="21">
    <w:abstractNumId w:val="6"/>
  </w:num>
  <w:num w:numId="22">
    <w:abstractNumId w:val="5"/>
  </w:num>
  <w:num w:numId="23">
    <w:abstractNumId w:val="5"/>
  </w:num>
  <w:num w:numId="24">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12"/>
  </w:num>
  <w:num w:numId="26">
    <w:abstractNumId w:val="15"/>
  </w:num>
  <w:num w:numId="27">
    <w:abstractNumId w:val="18"/>
  </w:num>
  <w:num w:numId="28">
    <w:abstractNumId w:val="19"/>
  </w:num>
  <w:num w:numId="29">
    <w:abstractNumId w:val="21"/>
  </w:num>
  <w:num w:numId="30">
    <w:abstractNumId w:val="21"/>
  </w:num>
  <w:num w:numId="31">
    <w:abstractNumId w:val="21"/>
  </w:num>
  <w:num w:numId="32">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8"/>
  </w:num>
  <w:num w:numId="34">
    <w:abstractNumId w:val="17"/>
  </w:num>
  <w:num w:numId="35">
    <w:abstractNumId w:val="16"/>
  </w:num>
  <w:num w:numId="36">
    <w:abstractNumId w:val="4"/>
  </w:num>
  <w:num w:numId="37">
    <w:abstractNumId w:val="7"/>
  </w:num>
  <w:num w:numId="38">
    <w:abstractNumId w:val="9"/>
  </w:num>
  <w:num w:numId="39">
    <w:abstractNumId w:val="20"/>
  </w:num>
  <w:num w:numId="40">
    <w:abstractNumId w:val="13"/>
  </w:num>
  <w:num w:numId="41">
    <w:abstractNumId w:val="14"/>
  </w:num>
  <w:num w:numId="42">
    <w:abstractNumId w:val="11"/>
  </w:num>
  <w:num w:numId="43">
    <w:abstractNumId w:val="10"/>
  </w:num>
  <w:num w:numId="44">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5">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proofState w:spelling="clean"/>
  <w:attachedTemplate r:id="rId1"/>
  <w:stylePaneFormatFilter w:val="1008"/>
  <w:stylePaneSortMethod w:val="0000"/>
  <w:defaultTabStop w:val="720"/>
  <w:drawingGridHorizontalSpacing w:val="110"/>
  <w:displayHorizontalDrawingGridEvery w:val="2"/>
  <w:characterSpacingControl w:val="doNotCompress"/>
  <w:hdrShapeDefaults>
    <o:shapedefaults v:ext="edit" spidmax="65538">
      <o:colormenu v:ext="edit" fillcolor="none [3206]"/>
    </o:shapedefaults>
  </w:hdrShapeDefaults>
  <w:footnotePr>
    <w:footnote w:id="-1"/>
    <w:footnote w:id="0"/>
  </w:footnotePr>
  <w:endnotePr>
    <w:endnote w:id="-1"/>
    <w:endnote w:id="0"/>
  </w:endnotePr>
  <w:compat/>
  <w:rsids>
    <w:rsidRoot w:val="0096762F"/>
    <w:rsid w:val="00002031"/>
    <w:rsid w:val="00004734"/>
    <w:rsid w:val="00006B22"/>
    <w:rsid w:val="0001276A"/>
    <w:rsid w:val="00020553"/>
    <w:rsid w:val="000246AE"/>
    <w:rsid w:val="00025C67"/>
    <w:rsid w:val="00040ACB"/>
    <w:rsid w:val="0005559E"/>
    <w:rsid w:val="00077775"/>
    <w:rsid w:val="00090471"/>
    <w:rsid w:val="000A3AED"/>
    <w:rsid w:val="000A63AF"/>
    <w:rsid w:val="000B3532"/>
    <w:rsid w:val="000B3A75"/>
    <w:rsid w:val="000B67D1"/>
    <w:rsid w:val="000C690F"/>
    <w:rsid w:val="000D1295"/>
    <w:rsid w:val="000D391B"/>
    <w:rsid w:val="000D3D6D"/>
    <w:rsid w:val="000D4FC7"/>
    <w:rsid w:val="000F02F9"/>
    <w:rsid w:val="000F4869"/>
    <w:rsid w:val="000F5B42"/>
    <w:rsid w:val="000F6E6F"/>
    <w:rsid w:val="00104613"/>
    <w:rsid w:val="0010601F"/>
    <w:rsid w:val="0010788A"/>
    <w:rsid w:val="00107A31"/>
    <w:rsid w:val="00110EA5"/>
    <w:rsid w:val="00112F56"/>
    <w:rsid w:val="00125318"/>
    <w:rsid w:val="001305A2"/>
    <w:rsid w:val="00133238"/>
    <w:rsid w:val="0014197B"/>
    <w:rsid w:val="001447CD"/>
    <w:rsid w:val="001516B1"/>
    <w:rsid w:val="00154EBB"/>
    <w:rsid w:val="00156316"/>
    <w:rsid w:val="00165389"/>
    <w:rsid w:val="0017078F"/>
    <w:rsid w:val="0017693F"/>
    <w:rsid w:val="0018110E"/>
    <w:rsid w:val="00181684"/>
    <w:rsid w:val="001843C6"/>
    <w:rsid w:val="001850E0"/>
    <w:rsid w:val="001A2158"/>
    <w:rsid w:val="001A525F"/>
    <w:rsid w:val="001B09F9"/>
    <w:rsid w:val="001B6448"/>
    <w:rsid w:val="001E07CF"/>
    <w:rsid w:val="001E59F1"/>
    <w:rsid w:val="001F2891"/>
    <w:rsid w:val="001F49EB"/>
    <w:rsid w:val="001F6B54"/>
    <w:rsid w:val="001F6CBA"/>
    <w:rsid w:val="00201D4E"/>
    <w:rsid w:val="002076C9"/>
    <w:rsid w:val="00220B8A"/>
    <w:rsid w:val="002257F3"/>
    <w:rsid w:val="00230452"/>
    <w:rsid w:val="00233456"/>
    <w:rsid w:val="002339A5"/>
    <w:rsid w:val="00257848"/>
    <w:rsid w:val="002666AC"/>
    <w:rsid w:val="0027084A"/>
    <w:rsid w:val="00286434"/>
    <w:rsid w:val="00286C59"/>
    <w:rsid w:val="00292113"/>
    <w:rsid w:val="002942D1"/>
    <w:rsid w:val="0029501A"/>
    <w:rsid w:val="002B1638"/>
    <w:rsid w:val="002C63ED"/>
    <w:rsid w:val="002D6161"/>
    <w:rsid w:val="002E4C9A"/>
    <w:rsid w:val="002F11F8"/>
    <w:rsid w:val="002F3F56"/>
    <w:rsid w:val="002F44B5"/>
    <w:rsid w:val="002F4C25"/>
    <w:rsid w:val="00311AC0"/>
    <w:rsid w:val="0032583B"/>
    <w:rsid w:val="00327883"/>
    <w:rsid w:val="00335504"/>
    <w:rsid w:val="003521E8"/>
    <w:rsid w:val="003728F3"/>
    <w:rsid w:val="0037496E"/>
    <w:rsid w:val="0037623D"/>
    <w:rsid w:val="00386150"/>
    <w:rsid w:val="003874CE"/>
    <w:rsid w:val="00390900"/>
    <w:rsid w:val="00396C92"/>
    <w:rsid w:val="003A7F6C"/>
    <w:rsid w:val="003B1113"/>
    <w:rsid w:val="003B4D60"/>
    <w:rsid w:val="003B634F"/>
    <w:rsid w:val="003B7E39"/>
    <w:rsid w:val="003C58DC"/>
    <w:rsid w:val="003D0A3B"/>
    <w:rsid w:val="003D1E62"/>
    <w:rsid w:val="003E2486"/>
    <w:rsid w:val="003E3208"/>
    <w:rsid w:val="003F0B04"/>
    <w:rsid w:val="0040134E"/>
    <w:rsid w:val="00415D59"/>
    <w:rsid w:val="0043797D"/>
    <w:rsid w:val="00440A2D"/>
    <w:rsid w:val="004564A7"/>
    <w:rsid w:val="004617BF"/>
    <w:rsid w:val="00463658"/>
    <w:rsid w:val="004722CC"/>
    <w:rsid w:val="004823A8"/>
    <w:rsid w:val="004936E4"/>
    <w:rsid w:val="00494E60"/>
    <w:rsid w:val="00497487"/>
    <w:rsid w:val="004A0839"/>
    <w:rsid w:val="004A6FD2"/>
    <w:rsid w:val="004A7E13"/>
    <w:rsid w:val="004B7B76"/>
    <w:rsid w:val="004C2DCA"/>
    <w:rsid w:val="004F0F38"/>
    <w:rsid w:val="00501921"/>
    <w:rsid w:val="00530354"/>
    <w:rsid w:val="0053625B"/>
    <w:rsid w:val="005434C6"/>
    <w:rsid w:val="00543B39"/>
    <w:rsid w:val="00550096"/>
    <w:rsid w:val="00557FF9"/>
    <w:rsid w:val="00576378"/>
    <w:rsid w:val="00577945"/>
    <w:rsid w:val="00577E38"/>
    <w:rsid w:val="00585322"/>
    <w:rsid w:val="005857C6"/>
    <w:rsid w:val="00586F98"/>
    <w:rsid w:val="00592F6E"/>
    <w:rsid w:val="00593AD1"/>
    <w:rsid w:val="00595FCE"/>
    <w:rsid w:val="005A68B6"/>
    <w:rsid w:val="005C5570"/>
    <w:rsid w:val="005C79A4"/>
    <w:rsid w:val="005D5442"/>
    <w:rsid w:val="00603F32"/>
    <w:rsid w:val="00620406"/>
    <w:rsid w:val="00632398"/>
    <w:rsid w:val="00640FC3"/>
    <w:rsid w:val="00642020"/>
    <w:rsid w:val="00646206"/>
    <w:rsid w:val="0065337B"/>
    <w:rsid w:val="0065419D"/>
    <w:rsid w:val="006604D8"/>
    <w:rsid w:val="00664A5B"/>
    <w:rsid w:val="006763D2"/>
    <w:rsid w:val="00680C08"/>
    <w:rsid w:val="006931B1"/>
    <w:rsid w:val="006A15C0"/>
    <w:rsid w:val="006C130C"/>
    <w:rsid w:val="006C3E2A"/>
    <w:rsid w:val="006C642F"/>
    <w:rsid w:val="006D03E5"/>
    <w:rsid w:val="006D5D3E"/>
    <w:rsid w:val="006E08B3"/>
    <w:rsid w:val="006F17AC"/>
    <w:rsid w:val="006F1D37"/>
    <w:rsid w:val="006F2796"/>
    <w:rsid w:val="006F572E"/>
    <w:rsid w:val="007046D6"/>
    <w:rsid w:val="00705DB0"/>
    <w:rsid w:val="00722B57"/>
    <w:rsid w:val="0074253D"/>
    <w:rsid w:val="0074429B"/>
    <w:rsid w:val="007513B4"/>
    <w:rsid w:val="007615BC"/>
    <w:rsid w:val="00762F05"/>
    <w:rsid w:val="007652FF"/>
    <w:rsid w:val="00770EF1"/>
    <w:rsid w:val="00773EF7"/>
    <w:rsid w:val="00774E1D"/>
    <w:rsid w:val="0077675A"/>
    <w:rsid w:val="00780355"/>
    <w:rsid w:val="00785721"/>
    <w:rsid w:val="007879A0"/>
    <w:rsid w:val="00793A59"/>
    <w:rsid w:val="0079758A"/>
    <w:rsid w:val="007B6E9F"/>
    <w:rsid w:val="007C1216"/>
    <w:rsid w:val="007C1AF7"/>
    <w:rsid w:val="007E6E27"/>
    <w:rsid w:val="00805D27"/>
    <w:rsid w:val="008204B7"/>
    <w:rsid w:val="00821776"/>
    <w:rsid w:val="00821A2C"/>
    <w:rsid w:val="008321F5"/>
    <w:rsid w:val="00832369"/>
    <w:rsid w:val="00834660"/>
    <w:rsid w:val="00836BC2"/>
    <w:rsid w:val="008414A0"/>
    <w:rsid w:val="0085641B"/>
    <w:rsid w:val="00857136"/>
    <w:rsid w:val="00861E6E"/>
    <w:rsid w:val="00886D15"/>
    <w:rsid w:val="00887DD8"/>
    <w:rsid w:val="00896018"/>
    <w:rsid w:val="008960DD"/>
    <w:rsid w:val="0089635C"/>
    <w:rsid w:val="008A2B9D"/>
    <w:rsid w:val="008A5E0B"/>
    <w:rsid w:val="008A6D59"/>
    <w:rsid w:val="008B4B03"/>
    <w:rsid w:val="008B596F"/>
    <w:rsid w:val="008B5A3E"/>
    <w:rsid w:val="008C159F"/>
    <w:rsid w:val="008C1623"/>
    <w:rsid w:val="008C1850"/>
    <w:rsid w:val="008C4B6C"/>
    <w:rsid w:val="008C51A9"/>
    <w:rsid w:val="008D770F"/>
    <w:rsid w:val="008E3285"/>
    <w:rsid w:val="008E7846"/>
    <w:rsid w:val="008F1CCC"/>
    <w:rsid w:val="008F2967"/>
    <w:rsid w:val="008F6943"/>
    <w:rsid w:val="00902A21"/>
    <w:rsid w:val="00920330"/>
    <w:rsid w:val="009219D7"/>
    <w:rsid w:val="00922D53"/>
    <w:rsid w:val="00923B70"/>
    <w:rsid w:val="00924482"/>
    <w:rsid w:val="00930237"/>
    <w:rsid w:val="00946EA5"/>
    <w:rsid w:val="00951609"/>
    <w:rsid w:val="0095160F"/>
    <w:rsid w:val="00963C08"/>
    <w:rsid w:val="0096762F"/>
    <w:rsid w:val="0098585A"/>
    <w:rsid w:val="0098669D"/>
    <w:rsid w:val="009A4CED"/>
    <w:rsid w:val="009A690D"/>
    <w:rsid w:val="009B1D12"/>
    <w:rsid w:val="009B416B"/>
    <w:rsid w:val="009C4BD5"/>
    <w:rsid w:val="009C5954"/>
    <w:rsid w:val="009D7B77"/>
    <w:rsid w:val="009E0BB0"/>
    <w:rsid w:val="009E3FBB"/>
    <w:rsid w:val="009F1213"/>
    <w:rsid w:val="00A102E4"/>
    <w:rsid w:val="00A12C42"/>
    <w:rsid w:val="00A14DF7"/>
    <w:rsid w:val="00A235D9"/>
    <w:rsid w:val="00A3246D"/>
    <w:rsid w:val="00A329E6"/>
    <w:rsid w:val="00A351F8"/>
    <w:rsid w:val="00A36FA7"/>
    <w:rsid w:val="00A475B7"/>
    <w:rsid w:val="00A47AF7"/>
    <w:rsid w:val="00A47C3E"/>
    <w:rsid w:val="00A50226"/>
    <w:rsid w:val="00A50C03"/>
    <w:rsid w:val="00A60BAD"/>
    <w:rsid w:val="00A964D1"/>
    <w:rsid w:val="00AA0ED0"/>
    <w:rsid w:val="00AA3499"/>
    <w:rsid w:val="00AC2B40"/>
    <w:rsid w:val="00AC2BB2"/>
    <w:rsid w:val="00AC2C3C"/>
    <w:rsid w:val="00AC512D"/>
    <w:rsid w:val="00AE01C2"/>
    <w:rsid w:val="00AE65EB"/>
    <w:rsid w:val="00AE67A7"/>
    <w:rsid w:val="00AF1D94"/>
    <w:rsid w:val="00AF60C5"/>
    <w:rsid w:val="00B009C6"/>
    <w:rsid w:val="00B01548"/>
    <w:rsid w:val="00B02208"/>
    <w:rsid w:val="00B1425E"/>
    <w:rsid w:val="00B21D29"/>
    <w:rsid w:val="00B25034"/>
    <w:rsid w:val="00B33588"/>
    <w:rsid w:val="00B33863"/>
    <w:rsid w:val="00B37D17"/>
    <w:rsid w:val="00B4175E"/>
    <w:rsid w:val="00B452CE"/>
    <w:rsid w:val="00B54C25"/>
    <w:rsid w:val="00B76B91"/>
    <w:rsid w:val="00B77EB1"/>
    <w:rsid w:val="00B811C6"/>
    <w:rsid w:val="00B85A87"/>
    <w:rsid w:val="00B92E08"/>
    <w:rsid w:val="00B96EBE"/>
    <w:rsid w:val="00BC622A"/>
    <w:rsid w:val="00BD45E3"/>
    <w:rsid w:val="00BE0A78"/>
    <w:rsid w:val="00BE32D5"/>
    <w:rsid w:val="00BE6252"/>
    <w:rsid w:val="00BE79F0"/>
    <w:rsid w:val="00BF046D"/>
    <w:rsid w:val="00BF1190"/>
    <w:rsid w:val="00BF5D04"/>
    <w:rsid w:val="00C1164D"/>
    <w:rsid w:val="00C16861"/>
    <w:rsid w:val="00C22678"/>
    <w:rsid w:val="00C404A6"/>
    <w:rsid w:val="00C40A36"/>
    <w:rsid w:val="00C41EFE"/>
    <w:rsid w:val="00C44419"/>
    <w:rsid w:val="00C45E7B"/>
    <w:rsid w:val="00C471B1"/>
    <w:rsid w:val="00C618F7"/>
    <w:rsid w:val="00C6316B"/>
    <w:rsid w:val="00C634A9"/>
    <w:rsid w:val="00C64586"/>
    <w:rsid w:val="00C70D53"/>
    <w:rsid w:val="00C73D0B"/>
    <w:rsid w:val="00C772FF"/>
    <w:rsid w:val="00C801AF"/>
    <w:rsid w:val="00C80256"/>
    <w:rsid w:val="00C811C0"/>
    <w:rsid w:val="00CB6BC0"/>
    <w:rsid w:val="00CC1B7C"/>
    <w:rsid w:val="00CC727F"/>
    <w:rsid w:val="00CF15C3"/>
    <w:rsid w:val="00CF2B6F"/>
    <w:rsid w:val="00CF58B6"/>
    <w:rsid w:val="00D017ED"/>
    <w:rsid w:val="00D040D3"/>
    <w:rsid w:val="00D04A5B"/>
    <w:rsid w:val="00D04C65"/>
    <w:rsid w:val="00D224FE"/>
    <w:rsid w:val="00D53A31"/>
    <w:rsid w:val="00D6493E"/>
    <w:rsid w:val="00D7301E"/>
    <w:rsid w:val="00D83AE1"/>
    <w:rsid w:val="00D855D4"/>
    <w:rsid w:val="00D93466"/>
    <w:rsid w:val="00DA1124"/>
    <w:rsid w:val="00DB75B7"/>
    <w:rsid w:val="00DC6E02"/>
    <w:rsid w:val="00DE02AE"/>
    <w:rsid w:val="00DF1D7F"/>
    <w:rsid w:val="00DF4BE4"/>
    <w:rsid w:val="00E02FB4"/>
    <w:rsid w:val="00E07F15"/>
    <w:rsid w:val="00E20571"/>
    <w:rsid w:val="00E235F7"/>
    <w:rsid w:val="00E23659"/>
    <w:rsid w:val="00E239D4"/>
    <w:rsid w:val="00E26130"/>
    <w:rsid w:val="00E2741C"/>
    <w:rsid w:val="00E40B22"/>
    <w:rsid w:val="00E45619"/>
    <w:rsid w:val="00E4588F"/>
    <w:rsid w:val="00E46DA3"/>
    <w:rsid w:val="00E51BB1"/>
    <w:rsid w:val="00E53F4F"/>
    <w:rsid w:val="00E55FCF"/>
    <w:rsid w:val="00E624A5"/>
    <w:rsid w:val="00E7344E"/>
    <w:rsid w:val="00E86BE8"/>
    <w:rsid w:val="00E91D7F"/>
    <w:rsid w:val="00E936E3"/>
    <w:rsid w:val="00EB0798"/>
    <w:rsid w:val="00EB40AD"/>
    <w:rsid w:val="00EB586E"/>
    <w:rsid w:val="00EB5FC8"/>
    <w:rsid w:val="00ED3CAD"/>
    <w:rsid w:val="00ED5A41"/>
    <w:rsid w:val="00EE1DE8"/>
    <w:rsid w:val="00EE37E6"/>
    <w:rsid w:val="00EF0BE4"/>
    <w:rsid w:val="00F033EC"/>
    <w:rsid w:val="00F04F68"/>
    <w:rsid w:val="00F109C1"/>
    <w:rsid w:val="00F12670"/>
    <w:rsid w:val="00F14B27"/>
    <w:rsid w:val="00F3148D"/>
    <w:rsid w:val="00F325C5"/>
    <w:rsid w:val="00F32FE0"/>
    <w:rsid w:val="00F35298"/>
    <w:rsid w:val="00F47333"/>
    <w:rsid w:val="00F47E37"/>
    <w:rsid w:val="00F53C07"/>
    <w:rsid w:val="00F54B65"/>
    <w:rsid w:val="00F62481"/>
    <w:rsid w:val="00F63041"/>
    <w:rsid w:val="00F640B6"/>
    <w:rsid w:val="00F80E40"/>
    <w:rsid w:val="00F848D9"/>
    <w:rsid w:val="00FA5B82"/>
    <w:rsid w:val="00FA639E"/>
    <w:rsid w:val="00FC25E4"/>
    <w:rsid w:val="00FC4EF7"/>
    <w:rsid w:val="00FE1DEE"/>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5538">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0" w:unhideWhenUsed="0" w:qFormat="1"/>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204B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table" w:customStyle="1" w:styleId="LightShading-Accent21">
    <w:name w:val="Light Shading - Accent 21"/>
    <w:basedOn w:val="TableNormal"/>
    <w:next w:val="LightShading-Accent2"/>
    <w:uiPriority w:val="60"/>
    <w:rsid w:val="00A50C03"/>
    <w:pPr>
      <w:spacing w:after="0" w:line="240" w:lineRule="auto"/>
    </w:pPr>
    <w:rPr>
      <w:rFonts w:ascii="Cambria" w:eastAsia="Calibri" w:hAnsi="Cambria" w:cs="Times New Roman"/>
      <w:color w:val="943634"/>
      <w:sz w:val="21"/>
      <w:szCs w:val="21"/>
      <w:lang w:eastAsia="en-A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1">
    <w:name w:val="Table Grid1"/>
    <w:basedOn w:val="TableNormal"/>
    <w:next w:val="TableGrid"/>
    <w:uiPriority w:val="59"/>
    <w:rsid w:val="00A50C03"/>
    <w:pPr>
      <w:spacing w:after="0" w:line="240" w:lineRule="auto"/>
    </w:pPr>
    <w:rPr>
      <w:rFonts w:ascii="Cambria" w:eastAsia="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TGAblue1">
    <w:name w:val="Table TGA blue1"/>
    <w:basedOn w:val="TableNormal"/>
    <w:uiPriority w:val="99"/>
    <w:qFormat/>
    <w:rsid w:val="00A50C03"/>
    <w:pPr>
      <w:spacing w:after="0" w:line="240" w:lineRule="auto"/>
      <w:ind w:left="170" w:right="170"/>
    </w:pPr>
    <w:rPr>
      <w:rFonts w:ascii="Cambria" w:eastAsia="Cambria" w:hAnsi="Cambria" w:cs="Times New Roman"/>
      <w:color w:val="000000"/>
      <w:sz w:val="20"/>
      <w:szCs w:val="21"/>
      <w:lang w:eastAsia="en-AU"/>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tblStylePr w:type="firstCol">
      <w:pPr>
        <w:keepNext w:val="0"/>
        <w:wordWrap/>
      </w:pPr>
    </w:tblStylePr>
  </w:style>
  <w:style w:type="table" w:customStyle="1" w:styleId="TableTGAblack1">
    <w:name w:val="Table TGA black1"/>
    <w:basedOn w:val="TableNormal"/>
    <w:uiPriority w:val="99"/>
    <w:rsid w:val="00A50C03"/>
    <w:pPr>
      <w:spacing w:before="60" w:after="0" w:line="240" w:lineRule="auto"/>
      <w:ind w:left="170" w:right="170"/>
    </w:pPr>
    <w:rPr>
      <w:rFonts w:ascii="Cambria" w:eastAsia="Cambria" w:hAnsi="Cambria" w:cs="Times New Roman"/>
      <w:color w:val="000000"/>
      <w:sz w:val="2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character" w:styleId="FootnoteReference">
    <w:name w:val="footnote reference"/>
    <w:basedOn w:val="DefaultParagraphFont"/>
    <w:semiHidden/>
    <w:rsid w:val="00A50C03"/>
    <w:rPr>
      <w:vertAlign w:val="superscript"/>
    </w:rPr>
  </w:style>
  <w:style w:type="paragraph" w:styleId="FootnoteText">
    <w:name w:val="footnote text"/>
    <w:basedOn w:val="Normal"/>
    <w:link w:val="FootnoteTextChar"/>
    <w:semiHidden/>
    <w:rsid w:val="00A50C03"/>
    <w:pPr>
      <w:widowControl w:val="0"/>
      <w:spacing w:before="0" w:after="0" w:line="240" w:lineRule="auto"/>
      <w:ind w:left="113" w:hanging="113"/>
    </w:pPr>
    <w:rPr>
      <w:rFonts w:ascii="Calibri" w:eastAsia="Times New Roman" w:hAnsi="Calibri"/>
      <w:snapToGrid w:val="0"/>
      <w:sz w:val="19"/>
      <w:szCs w:val="20"/>
    </w:rPr>
  </w:style>
  <w:style w:type="character" w:customStyle="1" w:styleId="FootnoteTextChar">
    <w:name w:val="Footnote Text Char"/>
    <w:basedOn w:val="DefaultParagraphFont"/>
    <w:link w:val="FootnoteText"/>
    <w:semiHidden/>
    <w:rsid w:val="00A50C03"/>
    <w:rPr>
      <w:rFonts w:ascii="Calibri" w:eastAsia="Times New Roman" w:hAnsi="Calibri" w:cs="Times New Roman"/>
      <w:snapToGrid w:val="0"/>
      <w:sz w:val="19"/>
      <w:szCs w:val="20"/>
    </w:rPr>
  </w:style>
  <w:style w:type="paragraph" w:customStyle="1" w:styleId="Bullet1">
    <w:name w:val="Bullet 1"/>
    <w:basedOn w:val="Normal"/>
    <w:rsid w:val="00A50C03"/>
    <w:pPr>
      <w:numPr>
        <w:numId w:val="33"/>
      </w:numPr>
      <w:spacing w:after="0" w:line="240" w:lineRule="auto"/>
    </w:pPr>
    <w:rPr>
      <w:rFonts w:eastAsia="Times New Roman"/>
      <w:kern w:val="24"/>
      <w:szCs w:val="24"/>
      <w:lang w:eastAsia="en-AU"/>
    </w:rPr>
  </w:style>
  <w:style w:type="paragraph" w:customStyle="1" w:styleId="Comment1">
    <w:name w:val="Comment 1"/>
    <w:basedOn w:val="Normal"/>
    <w:next w:val="Normal"/>
    <w:qFormat/>
    <w:rsid w:val="00A50C03"/>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2">
    <w:name w:val="Comment 2"/>
    <w:basedOn w:val="Normal"/>
    <w:qFormat/>
    <w:rsid w:val="00A50C03"/>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Bullet2">
    <w:name w:val="Bullet 2"/>
    <w:basedOn w:val="Bullet1"/>
    <w:rsid w:val="00A50C03"/>
    <w:pPr>
      <w:numPr>
        <w:numId w:val="42"/>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footer" Target="footer3.xml"/><Relationship Id="rId47"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eader" Target="header3.xml"/><Relationship Id="rId46"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footer" Target="footer2.xml"/><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theme" Target="theme/theme1.xml"/><Relationship Id="rId10" Type="http://schemas.openxmlformats.org/officeDocument/2006/relationships/hyperlink" Target="mailto:tga.copyright@tga.gov.au"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yperlink" Target="http://www.tga.gov.au/hp/information-medicines-pi.htm"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eader" Target="header6.xml"/><Relationship Id="rId48" Type="http://schemas.openxmlformats.org/officeDocument/2006/relationships/fontTable" Target="fontTable.xml"/><Relationship Id="rId8" Type="http://schemas.openxmlformats.org/officeDocument/2006/relationships/hyperlink" Target="http://www.tga.gov.au"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Z:\tga%20internet\admin\original%20documents\2013%2010\lisa\lisa%20auspars\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6C27F0-0A42-4AE2-B2D8-8E01AABCC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Clinical Evaluation Report Extract template.DOTX</Template>
  <TotalTime>108</TotalTime>
  <Pages>53</Pages>
  <Words>16837</Words>
  <Characters>95971</Characters>
  <Application>Microsoft Office Word</Application>
  <DocSecurity>0</DocSecurity>
  <Lines>799</Lines>
  <Paragraphs>225</Paragraphs>
  <ScaleCrop>false</ScaleCrop>
  <HeadingPairs>
    <vt:vector size="2" baseType="variant">
      <vt:variant>
        <vt:lpstr>Title</vt:lpstr>
      </vt:variant>
      <vt:variant>
        <vt:i4>1</vt:i4>
      </vt:variant>
    </vt:vector>
  </HeadingPairs>
  <TitlesOfParts>
    <vt:vector size="1" baseType="lpstr">
      <vt:lpstr>Attachment 2. Extract from the Clinical Evaluation Report for clobazam</vt:lpstr>
    </vt:vector>
  </TitlesOfParts>
  <Company>Department of Health Therapeutic Goods Administration</Company>
  <LinksUpToDate>false</LinksUpToDate>
  <CharactersWithSpaces>112583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2. Extract from the Clinical Evaluation Report for clobazam</dc:title>
  <dc:subject>prescription medicine regulation</dc:subject>
  <dc:creator>Therapeutic Goods Administration</dc:creator>
  <cp:keywords>clinical, evaluation, report, medicine, assessment, regulation, australia, clobazam, frisium, sanofi, aventis</cp:keywords>
  <cp:lastModifiedBy>Searson, Lisa</cp:lastModifiedBy>
  <cp:revision>7</cp:revision>
  <cp:lastPrinted>2010-12-20T22:59:00Z</cp:lastPrinted>
  <dcterms:created xsi:type="dcterms:W3CDTF">2013-10-29T05:38:00Z</dcterms:created>
  <dcterms:modified xsi:type="dcterms:W3CDTF">2013-10-30T02:20:00Z</dcterms:modified>
  <cp:category>External publication</cp:category>
</cp:coreProperties>
</file>