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47" w:rsidRPr="0092535E" w:rsidRDefault="00E37547" w:rsidP="0092535E">
      <w:pPr>
        <w:pStyle w:val="Header"/>
      </w:pPr>
      <w:r w:rsidRPr="0092535E">
        <w:t>CLOBEX® SHAMPOO PRODUCT INFORMATION</w:t>
      </w:r>
    </w:p>
    <w:p w:rsidR="00E37547" w:rsidRDefault="00E37547" w:rsidP="0092535E">
      <w:pPr>
        <w:pStyle w:val="Heading2"/>
      </w:pPr>
      <w:r>
        <w:t>NAME OF THE MEDICINE</w:t>
      </w:r>
    </w:p>
    <w:p w:rsidR="00E37547" w:rsidRDefault="00E37547" w:rsidP="0092535E">
      <w:pPr>
        <w:spacing w:after="120"/>
      </w:pPr>
      <w:r>
        <w:t>CLOBEX</w:t>
      </w:r>
      <w:r>
        <w:rPr>
          <w:rFonts w:ascii="Times New Roman Bold Italic" w:hAnsi="Times New Roman Bold Italic"/>
        </w:rPr>
        <w:t xml:space="preserve"> </w:t>
      </w:r>
      <w:r w:rsidR="00270CE1">
        <w:t>Shampoo</w:t>
      </w:r>
      <w:r>
        <w:t xml:space="preserve">: </w:t>
      </w:r>
      <w:proofErr w:type="spellStart"/>
      <w:r>
        <w:t>clobetasol</w:t>
      </w:r>
      <w:proofErr w:type="spellEnd"/>
      <w:r>
        <w:t xml:space="preserve"> propionate 500 micrograms/</w:t>
      </w:r>
      <w:r w:rsidR="008F1027">
        <w:t>mL</w:t>
      </w:r>
    </w:p>
    <w:p w:rsidR="00E37547" w:rsidRDefault="00E37547">
      <w:pPr>
        <w:tabs>
          <w:tab w:val="left" w:pos="7806"/>
        </w:tabs>
        <w:jc w:val="both"/>
      </w:pPr>
      <w:r>
        <w:rPr>
          <w:rFonts w:ascii="Times New Roman Bold" w:hAnsi="Times New Roman Bold"/>
        </w:rPr>
        <w:t xml:space="preserve">Australian Approved Name (AAN): </w:t>
      </w:r>
      <w:r>
        <w:t>clobetasol propionate</w:t>
      </w:r>
    </w:p>
    <w:p w:rsidR="00E37547" w:rsidRDefault="00E37547" w:rsidP="0092535E">
      <w:pPr>
        <w:tabs>
          <w:tab w:val="left" w:pos="7806"/>
        </w:tabs>
        <w:spacing w:after="100" w:afterAutospacing="1"/>
        <w:jc w:val="both"/>
      </w:pPr>
      <w:r>
        <w:rPr>
          <w:rFonts w:ascii="Times New Roman Bold" w:hAnsi="Times New Roman Bold"/>
        </w:rPr>
        <w:t xml:space="preserve">Common Name: </w:t>
      </w:r>
      <w:r>
        <w:t>clobetasol propionate</w:t>
      </w:r>
    </w:p>
    <w:p w:rsidR="00E37547" w:rsidRDefault="00E37547">
      <w:pPr>
        <w:rPr>
          <w:rFonts w:ascii="Times New Roman Bold" w:hAnsi="Times New Roman Bold"/>
        </w:rPr>
      </w:pPr>
      <w:r>
        <w:rPr>
          <w:rFonts w:ascii="Times New Roman Bold" w:hAnsi="Times New Roman Bold"/>
        </w:rPr>
        <w:t>Chemical Name:</w:t>
      </w:r>
      <w:r>
        <w:t xml:space="preserve"> </w:t>
      </w:r>
      <w:r>
        <w:rPr>
          <w:lang w:val="en-AU"/>
        </w:rPr>
        <w:t>21-chloro-9-fluoro-11ß, 17-dihydroxy-16ß-methylpregna-1, 4-diene-3, 20-dione 17-propionate</w:t>
      </w:r>
    </w:p>
    <w:p w:rsidR="00E37547" w:rsidRDefault="00E37547">
      <w:pPr>
        <w:tabs>
          <w:tab w:val="left" w:pos="7806"/>
        </w:tabs>
        <w:jc w:val="both"/>
      </w:pPr>
      <w:r>
        <w:rPr>
          <w:rFonts w:ascii="Times New Roman Bold" w:hAnsi="Times New Roman Bold"/>
        </w:rPr>
        <w:t>Molecular Formula:</w:t>
      </w:r>
      <w:r>
        <w:t xml:space="preserve"> C</w:t>
      </w:r>
      <w:r>
        <w:rPr>
          <w:vertAlign w:val="subscript"/>
        </w:rPr>
        <w:t>25</w:t>
      </w:r>
      <w:r>
        <w:t>H</w:t>
      </w:r>
      <w:r>
        <w:rPr>
          <w:vertAlign w:val="subscript"/>
        </w:rPr>
        <w:t>32</w:t>
      </w:r>
      <w:r>
        <w:t>ClFO</w:t>
      </w:r>
      <w:r>
        <w:rPr>
          <w:vertAlign w:val="subscript"/>
        </w:rPr>
        <w:t>5</w:t>
      </w:r>
    </w:p>
    <w:p w:rsidR="00E37547" w:rsidRDefault="00E37547">
      <w:pPr>
        <w:tabs>
          <w:tab w:val="left" w:pos="7806"/>
        </w:tabs>
        <w:jc w:val="both"/>
      </w:pPr>
      <w:r>
        <w:rPr>
          <w:rFonts w:ascii="Times New Roman Bold" w:hAnsi="Times New Roman Bold"/>
        </w:rPr>
        <w:t>Molecular Weight:</w:t>
      </w:r>
      <w:r>
        <w:t xml:space="preserve"> 467.0</w:t>
      </w:r>
    </w:p>
    <w:p w:rsidR="00E37547" w:rsidRDefault="00E37547">
      <w:pPr>
        <w:tabs>
          <w:tab w:val="left" w:pos="7806"/>
        </w:tabs>
        <w:jc w:val="both"/>
      </w:pPr>
      <w:r>
        <w:rPr>
          <w:rFonts w:ascii="Times New Roman Bold" w:hAnsi="Times New Roman Bold"/>
        </w:rPr>
        <w:t>Structural Formula:</w:t>
      </w:r>
      <w:r>
        <w:t xml:space="preserve"> clobetasol propionate</w:t>
      </w:r>
    </w:p>
    <w:p w:rsidR="00E37547" w:rsidRDefault="00E37547">
      <w:pPr>
        <w:pStyle w:val="Heading31"/>
        <w:tabs>
          <w:tab w:val="left" w:pos="7806"/>
        </w:tabs>
        <w:spacing w:before="0" w:after="0"/>
        <w:jc w:val="center"/>
        <w:rPr>
          <w:rFonts w:ascii="Times New Roman Bold" w:hAnsi="Times New Roman Bold"/>
        </w:rPr>
      </w:pPr>
      <w:r>
        <w:t xml:space="preserve"> </w:t>
      </w:r>
      <w:r w:rsidR="00E92136">
        <w:rPr>
          <w:noProof/>
          <w:lang w:val="en-AU"/>
        </w:rPr>
        <w:drawing>
          <wp:inline distT="0" distB="0" distL="0" distR="0">
            <wp:extent cx="4216400" cy="2362200"/>
            <wp:effectExtent l="19050" t="0" r="0" b="0"/>
            <wp:docPr id="2" name="Picture 2" descr="structural formula for clobetasol propi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38672" t="46143" r="26758" b="29688"/>
                    <a:stretch>
                      <a:fillRect/>
                    </a:stretch>
                  </pic:blipFill>
                  <pic:spPr bwMode="auto">
                    <a:xfrm>
                      <a:off x="0" y="0"/>
                      <a:ext cx="4216400" cy="2362200"/>
                    </a:xfrm>
                    <a:prstGeom prst="rect">
                      <a:avLst/>
                    </a:prstGeom>
                    <a:noFill/>
                    <a:ln w="9525" cap="flat">
                      <a:noFill/>
                      <a:miter lim="800000"/>
                      <a:headEnd/>
                      <a:tailEnd/>
                    </a:ln>
                  </pic:spPr>
                </pic:pic>
              </a:graphicData>
            </a:graphic>
          </wp:inline>
        </w:drawing>
      </w:r>
    </w:p>
    <w:p w:rsidR="00E37547" w:rsidRDefault="00E37547">
      <w:pPr>
        <w:tabs>
          <w:tab w:val="left" w:pos="7806"/>
        </w:tabs>
        <w:jc w:val="both"/>
      </w:pPr>
      <w:r>
        <w:rPr>
          <w:rFonts w:ascii="Times New Roman Bold" w:hAnsi="Times New Roman Bold"/>
        </w:rPr>
        <w:t xml:space="preserve">CAS Number: </w:t>
      </w:r>
      <w:r>
        <w:rPr>
          <w:lang w:val="en-AU"/>
        </w:rPr>
        <w:t>25122-46-7</w:t>
      </w:r>
    </w:p>
    <w:p w:rsidR="00E37547" w:rsidRDefault="00E37547" w:rsidP="0092535E">
      <w:pPr>
        <w:pStyle w:val="Heading2"/>
        <w:rPr>
          <w:rFonts w:ascii="Times New Roman" w:hAnsi="Times New Roman"/>
        </w:rPr>
      </w:pPr>
      <w:r>
        <w:t>DESCRIPTION</w:t>
      </w:r>
    </w:p>
    <w:p w:rsidR="00E37547" w:rsidRDefault="00E37547" w:rsidP="0092535E">
      <w:pPr>
        <w:spacing w:after="100" w:afterAutospacing="1"/>
      </w:pPr>
      <w:r>
        <w:t xml:space="preserve">A shampoo topical application. Viscous, translucent, </w:t>
      </w:r>
      <w:proofErr w:type="spellStart"/>
      <w:r>
        <w:t>colourless</w:t>
      </w:r>
      <w:proofErr w:type="spellEnd"/>
      <w:r>
        <w:t xml:space="preserve"> to pale yellow liquid </w:t>
      </w:r>
      <w:r w:rsidR="00211D51">
        <w:t xml:space="preserve">shampoo </w:t>
      </w:r>
      <w:r>
        <w:t xml:space="preserve">with alcoholic </w:t>
      </w:r>
      <w:proofErr w:type="spellStart"/>
      <w:r>
        <w:t>odour</w:t>
      </w:r>
      <w:proofErr w:type="spellEnd"/>
      <w:r>
        <w:t xml:space="preserve">. One </w:t>
      </w:r>
      <w:r w:rsidR="00211D51" w:rsidRPr="0020056A">
        <w:rPr>
          <w:lang w:val="en-AU"/>
        </w:rPr>
        <w:t>millilitre</w:t>
      </w:r>
      <w:r w:rsidR="0020056A">
        <w:t xml:space="preserve"> </w:t>
      </w:r>
      <w:r>
        <w:t xml:space="preserve">of CLOBEX Shampoo contains 500 micrograms of clobetasol propionate. </w:t>
      </w:r>
    </w:p>
    <w:p w:rsidR="00E37547" w:rsidRDefault="00E37547">
      <w:pPr>
        <w:rPr>
          <w:rFonts w:ascii="Times New Roman Bold" w:hAnsi="Times New Roman Bold"/>
        </w:rPr>
      </w:pPr>
      <w:r>
        <w:rPr>
          <w:rFonts w:ascii="Times New Roman Bold" w:hAnsi="Times New Roman Bold"/>
        </w:rPr>
        <w:t xml:space="preserve">List of </w:t>
      </w:r>
      <w:proofErr w:type="spellStart"/>
      <w:r>
        <w:rPr>
          <w:rFonts w:ascii="Times New Roman Bold" w:hAnsi="Times New Roman Bold"/>
        </w:rPr>
        <w:t>excipients</w:t>
      </w:r>
      <w:proofErr w:type="spellEnd"/>
    </w:p>
    <w:p w:rsidR="00E37547" w:rsidRDefault="00E37547">
      <w:r>
        <w:t xml:space="preserve">Ethanol </w:t>
      </w:r>
    </w:p>
    <w:p w:rsidR="00E37547" w:rsidRDefault="00E37547">
      <w:pPr>
        <w:ind w:right="56"/>
        <w:rPr>
          <w:strike/>
        </w:rPr>
      </w:pPr>
      <w:r>
        <w:t>Coco-</w:t>
      </w:r>
      <w:proofErr w:type="spellStart"/>
      <w:r>
        <w:t>betaine</w:t>
      </w:r>
      <w:proofErr w:type="spellEnd"/>
    </w:p>
    <w:p w:rsidR="00E37547" w:rsidRDefault="00E37547">
      <w:r>
        <w:t xml:space="preserve">Sodium </w:t>
      </w:r>
      <w:proofErr w:type="spellStart"/>
      <w:r>
        <w:t>laureth</w:t>
      </w:r>
      <w:proofErr w:type="spellEnd"/>
      <w:r>
        <w:t xml:space="preserve"> sulfate </w:t>
      </w:r>
    </w:p>
    <w:p w:rsidR="00E37547" w:rsidRDefault="00E37547">
      <w:r>
        <w:t>Polyquaternium-10</w:t>
      </w:r>
    </w:p>
    <w:p w:rsidR="00E37547" w:rsidRDefault="00E37547">
      <w:r>
        <w:t>Sodium citrate</w:t>
      </w:r>
    </w:p>
    <w:p w:rsidR="00E37547" w:rsidRDefault="0092535E">
      <w:r>
        <w:t>Citric acid</w:t>
      </w:r>
    </w:p>
    <w:p w:rsidR="00E37547" w:rsidRDefault="00E37547">
      <w:r>
        <w:t>Purified Water</w:t>
      </w:r>
    </w:p>
    <w:p w:rsidR="00E37547" w:rsidRDefault="00E37547" w:rsidP="0092535E">
      <w:pPr>
        <w:pStyle w:val="Heading2"/>
      </w:pPr>
      <w:r>
        <w:t>PHARMACOLOGY</w:t>
      </w:r>
    </w:p>
    <w:p w:rsidR="00E37547" w:rsidRDefault="00E37547">
      <w:pPr>
        <w:rPr>
          <w:rFonts w:ascii="Times New Roman Bold" w:hAnsi="Times New Roman Bold"/>
        </w:rPr>
      </w:pPr>
      <w:r>
        <w:rPr>
          <w:rFonts w:ascii="Times New Roman Bold" w:hAnsi="Times New Roman Bold"/>
        </w:rPr>
        <w:t>Pharmacodynamic properties</w:t>
      </w:r>
    </w:p>
    <w:p w:rsidR="005F4CF8" w:rsidRDefault="00E37547">
      <w:r>
        <w:t>Pharmacotherapeutic group: Corticosteroids, Very Potent (Group IV)</w:t>
      </w:r>
    </w:p>
    <w:p w:rsidR="00E37547" w:rsidRDefault="00E37547" w:rsidP="0092535E">
      <w:pPr>
        <w:rPr>
          <w:rFonts w:ascii="Times New Roman Bold Italic" w:hAnsi="Times New Roman Bold Italic"/>
        </w:rPr>
      </w:pPr>
      <w:r>
        <w:t>ATC code: D07AD01</w:t>
      </w:r>
    </w:p>
    <w:p w:rsidR="00E37547" w:rsidRDefault="00E37547" w:rsidP="0092535E">
      <w:pPr>
        <w:pStyle w:val="Heading3"/>
      </w:pPr>
      <w:r w:rsidRPr="0092535E">
        <w:lastRenderedPageBreak/>
        <w:t xml:space="preserve">Mechanism of action and </w:t>
      </w:r>
      <w:proofErr w:type="spellStart"/>
      <w:r w:rsidRPr="0092535E">
        <w:t>Pharmacodyna</w:t>
      </w:r>
      <w:r>
        <w:t>mic</w:t>
      </w:r>
      <w:proofErr w:type="spellEnd"/>
      <w:r>
        <w:t xml:space="preserve"> effects</w:t>
      </w:r>
    </w:p>
    <w:p w:rsidR="00E37547" w:rsidRDefault="00E37547">
      <w:pPr>
        <w:jc w:val="both"/>
      </w:pPr>
      <w:r>
        <w:t xml:space="preserve">Like other topical corticosteroids, clobetasol propionate has anti-inflammatory, </w:t>
      </w:r>
      <w:proofErr w:type="spellStart"/>
      <w:r>
        <w:t>antipruritic</w:t>
      </w:r>
      <w:proofErr w:type="spellEnd"/>
      <w:r>
        <w:t xml:space="preserve">, and </w:t>
      </w:r>
      <w:proofErr w:type="spellStart"/>
      <w:r>
        <w:t>vasoconstrictive</w:t>
      </w:r>
      <w:proofErr w:type="spellEnd"/>
      <w:r>
        <w:t xml:space="preserve"> properties. The mechanism of the anti-inflammatory activity of topical corticosteroids in general is unclear. However, corticosteroids are thought to act by induction of phospholipase A</w:t>
      </w:r>
      <w:r>
        <w:rPr>
          <w:vertAlign w:val="subscript"/>
        </w:rPr>
        <w:t>2</w:t>
      </w:r>
      <w:r>
        <w:t xml:space="preserve"> inhibitory proteins, collectively called </w:t>
      </w:r>
      <w:proofErr w:type="spellStart"/>
      <w:r>
        <w:t>lipocortins</w:t>
      </w:r>
      <w:proofErr w:type="spellEnd"/>
      <w:r>
        <w:t xml:space="preserve">. It is postulated that these proteins control the biosynthesis of potent mediators of inflammation such as prostaglandins and </w:t>
      </w:r>
      <w:proofErr w:type="spellStart"/>
      <w:r>
        <w:t>leukotrienes</w:t>
      </w:r>
      <w:proofErr w:type="spellEnd"/>
      <w:r>
        <w:t xml:space="preserve"> by inhibiting the release of their common precursor, </w:t>
      </w:r>
      <w:proofErr w:type="spellStart"/>
      <w:r>
        <w:t>arachidonic</w:t>
      </w:r>
      <w:proofErr w:type="spellEnd"/>
      <w:r>
        <w:t xml:space="preserve"> acid. </w:t>
      </w:r>
      <w:proofErr w:type="spellStart"/>
      <w:r>
        <w:t>Arachidonic</w:t>
      </w:r>
      <w:proofErr w:type="spellEnd"/>
      <w:r>
        <w:t xml:space="preserve"> acid is released from membrane phospholipids by phospholipase A</w:t>
      </w:r>
      <w:r>
        <w:rPr>
          <w:vertAlign w:val="subscript"/>
        </w:rPr>
        <w:t>2</w:t>
      </w:r>
      <w:r>
        <w:t>.</w:t>
      </w:r>
    </w:p>
    <w:p w:rsidR="00E37547" w:rsidRDefault="00E37547" w:rsidP="0092535E">
      <w:pPr>
        <w:pStyle w:val="Heading3"/>
      </w:pPr>
      <w:r>
        <w:t>Pharmacokinetic</w:t>
      </w:r>
      <w:r w:rsidR="008F1027">
        <w:t>s</w:t>
      </w:r>
    </w:p>
    <w:p w:rsidR="00E37547" w:rsidRDefault="00E37547">
      <w:pPr>
        <w:pStyle w:val="BodyTextIndent1"/>
        <w:ind w:left="0"/>
        <w:jc w:val="both"/>
      </w:pPr>
      <w:r>
        <w:t xml:space="preserve">In vitro liberation –penetration studies on human skin showed that only a small percentage (0.1 %) of the applied dose of CLOBEX Shampoo can be found in the epidermis (including the stratum corneum) when applied for 15 minutes and then rinsed. The very low topical absorption of clobetasol propionate from CLOBEX Shampoo when applied according to the recommended clinical use (15 minutes before rinse off) resulted in negligible systemic exposure in animal studies and in clinical trials. Available clinical data revealed that only 1 of 141 subjects had a quantifiable clobetasol propionate plasma concentration (0.43 </w:t>
      </w:r>
      <w:proofErr w:type="spellStart"/>
      <w:r>
        <w:t>ng</w:t>
      </w:r>
      <w:proofErr w:type="spellEnd"/>
      <w:r>
        <w:t>/</w:t>
      </w:r>
      <w:proofErr w:type="spellStart"/>
      <w:r>
        <w:t>mL</w:t>
      </w:r>
      <w:proofErr w:type="spellEnd"/>
      <w:r>
        <w:t>).</w:t>
      </w:r>
    </w:p>
    <w:p w:rsidR="00E37547" w:rsidRDefault="00E37547">
      <w:pPr>
        <w:pStyle w:val="BodyTextIndent1"/>
        <w:ind w:left="0"/>
        <w:jc w:val="both"/>
        <w:rPr>
          <w:rFonts w:ascii="Times New Roman Bold" w:hAnsi="Times New Roman Bold"/>
        </w:rPr>
      </w:pPr>
      <w:r>
        <w:t>The present pharmacokinetic data indicate that systemic effects following clinical treatment with CLOBEX Shampoo are highly unlikely due to the low systemic bioavailability of clobetasol propionate</w:t>
      </w:r>
      <w:r>
        <w:rPr>
          <w:rFonts w:ascii="Times New Roman Bold" w:hAnsi="Times New Roman Bold"/>
        </w:rPr>
        <w:t>.</w:t>
      </w:r>
    </w:p>
    <w:p w:rsidR="00E37547" w:rsidRDefault="00E37547" w:rsidP="0092535E">
      <w:pPr>
        <w:pStyle w:val="Heading2"/>
      </w:pPr>
      <w:r>
        <w:t>CLINICAL TRIALS</w:t>
      </w:r>
    </w:p>
    <w:p w:rsidR="00E37547" w:rsidRDefault="00E37547">
      <w:pPr>
        <w:pStyle w:val="Text"/>
        <w:ind w:left="0"/>
      </w:pPr>
      <w:r>
        <w:t xml:space="preserve">Five, randomised, controlled Phase III clinical trials were conducted to establish the efficacy and safety of CLOBEX Shampoo. In all studies, treatment with CLOBEX Shampoo was for 4 weeks with a daily application for 15 minutes before rinsing. Two studies were vehicle-controlled and three were comparative against an active control [scalp solution of </w:t>
      </w:r>
      <w:proofErr w:type="spellStart"/>
      <w:r>
        <w:t>calcipotriol</w:t>
      </w:r>
      <w:proofErr w:type="spellEnd"/>
      <w:r>
        <w:t xml:space="preserve"> 50µg/ml (</w:t>
      </w:r>
      <w:proofErr w:type="spellStart"/>
      <w:r>
        <w:t>Daivonex</w:t>
      </w:r>
      <w:proofErr w:type="spellEnd"/>
      <w:r>
        <w:t>); coal tar solution at 1 % w/w (</w:t>
      </w:r>
      <w:proofErr w:type="spellStart"/>
      <w:r>
        <w:t>Polytar</w:t>
      </w:r>
      <w:proofErr w:type="spellEnd"/>
      <w:r>
        <w:t xml:space="preserve"> Liquid); </w:t>
      </w:r>
      <w:proofErr w:type="spellStart"/>
      <w:r>
        <w:t>clobetasol</w:t>
      </w:r>
      <w:proofErr w:type="spellEnd"/>
      <w:r>
        <w:t xml:space="preserve"> propionate 0.05% gel].</w:t>
      </w:r>
    </w:p>
    <w:p w:rsidR="00E37547" w:rsidRDefault="00E37547" w:rsidP="0092535E">
      <w:pPr>
        <w:spacing w:before="100" w:beforeAutospacing="1" w:after="100" w:afterAutospacing="1"/>
        <w:jc w:val="both"/>
      </w:pPr>
      <w:r>
        <w:t>The two vehicle-controlled clinical trials involved 290 patients with moderate to severe scalp psoriasis treated with either CLOBEX Shampoo or the corresponding vehicle applied once daily for 15 minutes before lathering rinsing for a period of 4 weeks. Efficacy results are presented in the table below.</w:t>
      </w:r>
    </w:p>
    <w:p w:rsidR="00E37547" w:rsidRDefault="00E37547">
      <w:pPr>
        <w:rPr>
          <w:rFonts w:ascii="Times New Roman Bold" w:hAnsi="Times New Roman Bold"/>
        </w:rPr>
      </w:pPr>
      <w:r>
        <w:rPr>
          <w:rFonts w:ascii="Times New Roman Bold" w:hAnsi="Times New Roman Bold"/>
        </w:rPr>
        <w:t>Table 1: Efficacy outcomes in vehicle-controlled clinical trials</w:t>
      </w:r>
    </w:p>
    <w:tbl>
      <w:tblPr>
        <w:tblW w:w="0" w:type="auto"/>
        <w:tblInd w:w="5" w:type="dxa"/>
        <w:shd w:val="clear" w:color="auto" w:fill="FFFFFF"/>
        <w:tblLayout w:type="fixed"/>
        <w:tblLook w:val="0000"/>
      </w:tblPr>
      <w:tblGrid>
        <w:gridCol w:w="2660"/>
        <w:gridCol w:w="1417"/>
        <w:gridCol w:w="1276"/>
        <w:gridCol w:w="1134"/>
        <w:gridCol w:w="1418"/>
      </w:tblGrid>
      <w:tr w:rsidR="00E37547">
        <w:trPr>
          <w:cantSplit/>
          <w:trHeight w:val="61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jc w:val="center"/>
            </w:pPr>
            <w:r>
              <w:t>CLOBEX Shampoo</w:t>
            </w:r>
          </w:p>
          <w:p w:rsidR="00E37547" w:rsidRDefault="00E37547">
            <w:pPr>
              <w:jc w:val="center"/>
            </w:pPr>
            <w:r>
              <w:t>n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jc w:val="center"/>
            </w:pPr>
            <w:r>
              <w:t>CLOBEX Shampoo Vehicle n (%)</w:t>
            </w:r>
          </w:p>
        </w:tc>
      </w:tr>
      <w:tr w:rsidR="00E37547">
        <w:trPr>
          <w:cantSplit/>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r>
              <w:t>Study A</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r>
              <w:t>Study 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r>
              <w:t>Study 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r>
              <w:t>Study B</w:t>
            </w:r>
          </w:p>
        </w:tc>
      </w:tr>
      <w:tr w:rsidR="00E37547">
        <w:trPr>
          <w:cantSplit/>
          <w:trHeight w:val="2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r>
              <w:t>Total number of Patients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jc w:val="center"/>
            </w:pPr>
            <w:r>
              <w:t>95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jc w:val="center"/>
            </w:pPr>
            <w:r>
              <w:t>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jc w:val="center"/>
            </w:pPr>
            <w:r>
              <w:t>47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jc w:val="center"/>
            </w:pPr>
            <w:r>
              <w:t>49</w:t>
            </w:r>
          </w:p>
        </w:tc>
      </w:tr>
      <w:tr w:rsidR="00E37547">
        <w:trPr>
          <w:cantSplit/>
          <w:trHeight w:val="5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rPr>
                <w:vertAlign w:val="superscript"/>
              </w:rPr>
            </w:pPr>
            <w:r>
              <w:t>Success Rate</w:t>
            </w:r>
            <w:r>
              <w:rPr>
                <w:vertAlign w:val="superscript"/>
              </w:rPr>
              <w:t>1</w:t>
            </w:r>
          </w:p>
          <w:p w:rsidR="00E37547" w:rsidRDefault="00E37547">
            <w:pPr>
              <w:rPr>
                <w:vertAlign w:val="superscript"/>
              </w:rPr>
            </w:pPr>
            <w:r>
              <w:t>at endpoint</w:t>
            </w:r>
            <w:r>
              <w:rPr>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jc w:val="center"/>
            </w:pPr>
            <w:r>
              <w:t>40(42.1%)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jc w:val="center"/>
            </w:pPr>
            <w:r>
              <w:t>28(28.3%)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jc w:val="center"/>
            </w:pPr>
            <w:r>
              <w:t>1(2.1%)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jc w:val="center"/>
            </w:pPr>
            <w:r>
              <w:t>5(10.2%)</w:t>
            </w:r>
          </w:p>
        </w:tc>
      </w:tr>
      <w:tr w:rsidR="00E37547">
        <w:trPr>
          <w:cantSplit/>
          <w:trHeight w:val="17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r>
              <w:lastRenderedPageBreak/>
              <w:t>Subjects with Scalp Psoriasis Parameter</w:t>
            </w:r>
          </w:p>
          <w:p w:rsidR="00E37547" w:rsidRDefault="00E37547">
            <w:r>
              <w:t>Clear (None) at Endpoint</w:t>
            </w:r>
          </w:p>
          <w:p w:rsidR="00E37547" w:rsidRDefault="00E37547">
            <w:pPr>
              <w:rPr>
                <w:vertAlign w:val="superscript"/>
              </w:rPr>
            </w:pPr>
            <w:r>
              <w:t>Erythema</w:t>
            </w:r>
            <w:r>
              <w:rPr>
                <w:vertAlign w:val="superscript"/>
              </w:rPr>
              <w:t>3</w:t>
            </w:r>
          </w:p>
          <w:p w:rsidR="00E37547" w:rsidRDefault="00E37547">
            <w:pPr>
              <w:rPr>
                <w:vertAlign w:val="superscript"/>
              </w:rPr>
            </w:pPr>
            <w:r>
              <w:t>Scaling</w:t>
            </w:r>
            <w:r>
              <w:rPr>
                <w:vertAlign w:val="superscript"/>
              </w:rPr>
              <w:t>3</w:t>
            </w:r>
          </w:p>
          <w:p w:rsidR="00E37547" w:rsidRDefault="00E37547">
            <w:pPr>
              <w:rPr>
                <w:vertAlign w:val="superscript"/>
              </w:rPr>
            </w:pPr>
            <w:r>
              <w:t>Plaque Thickening</w:t>
            </w:r>
            <w:r>
              <w:rPr>
                <w:vertAlign w:val="superscript"/>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 w:rsidR="00E37547" w:rsidRDefault="00E37547"/>
          <w:p w:rsidR="00E37547" w:rsidRDefault="00E37547"/>
          <w:p w:rsidR="00E37547" w:rsidRDefault="00E37547">
            <w:r>
              <w:t>17(17.9%)</w:t>
            </w:r>
          </w:p>
          <w:p w:rsidR="00E37547" w:rsidRDefault="00E37547">
            <w:r>
              <w:t>21(22.1%)</w:t>
            </w:r>
          </w:p>
          <w:p w:rsidR="00E37547" w:rsidRDefault="00E37547">
            <w:r>
              <w:t>35(36.8%)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 w:rsidR="00E37547" w:rsidRDefault="00E37547"/>
          <w:p w:rsidR="00E37547" w:rsidRDefault="00E37547"/>
          <w:p w:rsidR="00E37547" w:rsidRDefault="00E37547">
            <w:r>
              <w:t>12(12.1%)</w:t>
            </w:r>
          </w:p>
          <w:p w:rsidR="00E37547" w:rsidRDefault="00E37547">
            <w:r>
              <w:t>15(15.2%)</w:t>
            </w:r>
          </w:p>
          <w:p w:rsidR="00E37547" w:rsidRDefault="00E37547">
            <w:r>
              <w:t>34(34.3%)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 w:rsidR="00E37547" w:rsidRDefault="00E37547"/>
          <w:p w:rsidR="00E37547" w:rsidRDefault="00E37547"/>
          <w:p w:rsidR="00E37547" w:rsidRDefault="00E37547">
            <w:r>
              <w:t>3(6.4%)</w:t>
            </w:r>
          </w:p>
          <w:p w:rsidR="00E37547" w:rsidRDefault="00E37547">
            <w:r>
              <w:t>0(0%)</w:t>
            </w:r>
          </w:p>
          <w:p w:rsidR="00E37547" w:rsidRDefault="00E37547">
            <w:r>
              <w:t>5(10.6%)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 w:rsidR="00E37547" w:rsidRDefault="00E37547"/>
          <w:p w:rsidR="00E37547" w:rsidRDefault="00E37547"/>
          <w:p w:rsidR="00E37547" w:rsidRDefault="00E37547">
            <w:r>
              <w:t>1(2.0%)</w:t>
            </w:r>
          </w:p>
          <w:p w:rsidR="00E37547" w:rsidRDefault="00E37547">
            <w:r>
              <w:t>2(4.1%)</w:t>
            </w:r>
          </w:p>
          <w:p w:rsidR="00E37547" w:rsidRDefault="00E37547">
            <w:r>
              <w:t>5(10.2%)</w:t>
            </w:r>
          </w:p>
        </w:tc>
      </w:tr>
    </w:tbl>
    <w:p w:rsidR="00E37547" w:rsidRPr="00CA762A" w:rsidRDefault="00E37547">
      <w:pPr>
        <w:rPr>
          <w:sz w:val="18"/>
          <w:szCs w:val="18"/>
        </w:rPr>
      </w:pPr>
      <w:r w:rsidRPr="00CA762A">
        <w:rPr>
          <w:sz w:val="18"/>
          <w:szCs w:val="18"/>
          <w:vertAlign w:val="superscript"/>
        </w:rPr>
        <w:t>1</w:t>
      </w:r>
      <w:r w:rsidRPr="00CA762A">
        <w:rPr>
          <w:sz w:val="18"/>
          <w:szCs w:val="18"/>
        </w:rPr>
        <w:t>Success rate defined as the proportion of patients with a 0 (clear) or 1 (minimal) on a 0 to 5 point physician’s Global Severity Scale for Scalp psoriasis.</w:t>
      </w:r>
    </w:p>
    <w:p w:rsidR="00E37547" w:rsidRPr="00CA762A" w:rsidRDefault="00E37547">
      <w:pPr>
        <w:rPr>
          <w:sz w:val="18"/>
          <w:szCs w:val="18"/>
        </w:rPr>
      </w:pPr>
      <w:r w:rsidRPr="00CA762A">
        <w:rPr>
          <w:sz w:val="18"/>
          <w:szCs w:val="18"/>
          <w:vertAlign w:val="superscript"/>
        </w:rPr>
        <w:t>2</w:t>
      </w:r>
      <w:r w:rsidRPr="00CA762A">
        <w:rPr>
          <w:sz w:val="18"/>
          <w:szCs w:val="18"/>
        </w:rPr>
        <w:t>At four (4) weeks or last observation recorded for a subject during the treatment period (baseline if no post-baseline data were available).</w:t>
      </w:r>
    </w:p>
    <w:p w:rsidR="00E37547" w:rsidRPr="00CA762A" w:rsidRDefault="00E37547">
      <w:pPr>
        <w:tabs>
          <w:tab w:val="left" w:pos="7806"/>
        </w:tabs>
        <w:jc w:val="both"/>
        <w:rPr>
          <w:sz w:val="18"/>
          <w:szCs w:val="18"/>
        </w:rPr>
      </w:pPr>
      <w:r w:rsidRPr="00CA762A">
        <w:rPr>
          <w:sz w:val="18"/>
          <w:szCs w:val="18"/>
          <w:vertAlign w:val="superscript"/>
        </w:rPr>
        <w:t>3</w:t>
      </w:r>
      <w:r w:rsidRPr="00CA762A">
        <w:rPr>
          <w:sz w:val="18"/>
          <w:szCs w:val="18"/>
        </w:rPr>
        <w:t>Patients with 0 (clear) on a 0 to 3 point Scalp psoriasis parameter scale.</w:t>
      </w:r>
    </w:p>
    <w:p w:rsidR="00E37547" w:rsidRDefault="00E37547">
      <w:pPr>
        <w:spacing w:before="120"/>
        <w:jc w:val="both"/>
      </w:pPr>
      <w:r>
        <w:t xml:space="preserve">In all three studies in which comparison was made, CLOBEX Shampoo has shown a superior efficacy compared to the vehicle. </w:t>
      </w:r>
    </w:p>
    <w:p w:rsidR="003547A6" w:rsidRDefault="00E37547">
      <w:pPr>
        <w:spacing w:before="120"/>
        <w:jc w:val="both"/>
      </w:pPr>
      <w:r>
        <w:t>The efficacy of CLOBEX Shampoo</w:t>
      </w:r>
      <w:r w:rsidR="0020056A">
        <w:t xml:space="preserve"> </w:t>
      </w:r>
      <w:r>
        <w:t>applied</w:t>
      </w:r>
      <w:r w:rsidR="0020056A">
        <w:t xml:space="preserve"> for 15 minutes,</w:t>
      </w:r>
      <w:r>
        <w:t xml:space="preserve"> once a day</w:t>
      </w:r>
      <w:r w:rsidR="0020056A">
        <w:t xml:space="preserve"> was compared over 4 weeks to that of</w:t>
      </w:r>
      <w:r w:rsidR="002C2092">
        <w:t xml:space="preserve"> </w:t>
      </w:r>
      <w:proofErr w:type="spellStart"/>
      <w:r>
        <w:t>calcipotriol</w:t>
      </w:r>
      <w:proofErr w:type="spellEnd"/>
      <w:r w:rsidR="0020056A">
        <w:t xml:space="preserve"> solution</w:t>
      </w:r>
      <w:r>
        <w:t xml:space="preserve"> 50µg/ml applied twice a day (</w:t>
      </w:r>
      <w:proofErr w:type="spellStart"/>
      <w:r>
        <w:t>Daivonex</w:t>
      </w:r>
      <w:proofErr w:type="spellEnd"/>
      <w:r>
        <w:t>)</w:t>
      </w:r>
      <w:r w:rsidR="0020056A">
        <w:t xml:space="preserve"> and to that of a coal tar solution at 1% w/w (</w:t>
      </w:r>
      <w:proofErr w:type="spellStart"/>
      <w:r w:rsidR="0020056A">
        <w:t>Polytar</w:t>
      </w:r>
      <w:proofErr w:type="spellEnd"/>
      <w:r w:rsidR="0020056A">
        <w:t xml:space="preserve"> Liquid) applied twice a week. Both trials enrolled subjects with moderate to severe scalp psoriasis. After 4 weeks of treatment (Day 28)</w:t>
      </w:r>
      <w:r>
        <w:t xml:space="preserve"> CLOBEX Shampoo </w:t>
      </w:r>
      <w:r w:rsidR="0020056A">
        <w:t xml:space="preserve">was shown to be superior to </w:t>
      </w:r>
      <w:proofErr w:type="spellStart"/>
      <w:r w:rsidR="0020056A">
        <w:t>Daivonex</w:t>
      </w:r>
      <w:proofErr w:type="spellEnd"/>
      <w:r w:rsidR="0020056A">
        <w:t xml:space="preserve"> solution (table 2) and </w:t>
      </w:r>
      <w:proofErr w:type="spellStart"/>
      <w:r w:rsidR="0020056A">
        <w:t>Polytar</w:t>
      </w:r>
      <w:proofErr w:type="spellEnd"/>
      <w:r w:rsidR="0020056A">
        <w:t xml:space="preserve"> Liquid (table 3) on the two co-primary endpoints: Total Sum Score (TSS) and Global Severity Scale (GSS)</w:t>
      </w:r>
      <w:r w:rsidR="003547A6">
        <w:t>.</w:t>
      </w:r>
    </w:p>
    <w:p w:rsidR="0020056A" w:rsidRPr="00653328" w:rsidRDefault="0020056A" w:rsidP="0020056A">
      <w:pPr>
        <w:spacing w:before="120"/>
        <w:jc w:val="both"/>
        <w:rPr>
          <w:b/>
        </w:rPr>
      </w:pPr>
      <w:r w:rsidRPr="00653328">
        <w:rPr>
          <w:b/>
        </w:rPr>
        <w:t xml:space="preserve">Table 2. Efficacy outcomes in trial versus </w:t>
      </w:r>
      <w:proofErr w:type="spellStart"/>
      <w:r w:rsidRPr="00653328">
        <w:rPr>
          <w:b/>
        </w:rPr>
        <w:t>Calcipotriol</w:t>
      </w:r>
      <w:proofErr w:type="spellEnd"/>
      <w:r w:rsidRPr="00653328">
        <w:rPr>
          <w:b/>
        </w:rPr>
        <w:t xml:space="preserve"> solution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6"/>
        <w:gridCol w:w="2312"/>
        <w:gridCol w:w="2270"/>
        <w:gridCol w:w="1308"/>
      </w:tblGrid>
      <w:tr w:rsidR="0020056A" w:rsidTr="0020056A">
        <w:tc>
          <w:tcPr>
            <w:tcW w:w="1541" w:type="pct"/>
            <w:shd w:val="clear" w:color="auto" w:fill="auto"/>
          </w:tcPr>
          <w:p w:rsidR="0020056A" w:rsidRDefault="0020056A" w:rsidP="0020056A">
            <w:pPr>
              <w:spacing w:before="120"/>
              <w:jc w:val="both"/>
            </w:pPr>
          </w:p>
        </w:tc>
        <w:tc>
          <w:tcPr>
            <w:tcW w:w="1357" w:type="pct"/>
            <w:shd w:val="clear" w:color="auto" w:fill="auto"/>
            <w:vAlign w:val="center"/>
          </w:tcPr>
          <w:p w:rsidR="0020056A" w:rsidRDefault="0020056A" w:rsidP="0020056A">
            <w:pPr>
              <w:jc w:val="center"/>
            </w:pPr>
            <w:r>
              <w:t>CLOBEX Shampoo</w:t>
            </w:r>
          </w:p>
        </w:tc>
        <w:tc>
          <w:tcPr>
            <w:tcW w:w="1333" w:type="pct"/>
            <w:shd w:val="clear" w:color="auto" w:fill="auto"/>
            <w:vAlign w:val="center"/>
          </w:tcPr>
          <w:p w:rsidR="0020056A" w:rsidRDefault="0020056A" w:rsidP="0020056A">
            <w:pPr>
              <w:spacing w:before="120"/>
              <w:jc w:val="center"/>
            </w:pPr>
            <w:proofErr w:type="spellStart"/>
            <w:r>
              <w:t>Calcipotriol</w:t>
            </w:r>
            <w:proofErr w:type="spellEnd"/>
            <w:r>
              <w:t xml:space="preserve"> solution 50µg/ml</w:t>
            </w:r>
          </w:p>
        </w:tc>
        <w:tc>
          <w:tcPr>
            <w:tcW w:w="768" w:type="pct"/>
            <w:shd w:val="clear" w:color="auto" w:fill="auto"/>
          </w:tcPr>
          <w:p w:rsidR="0020056A" w:rsidRDefault="0020056A" w:rsidP="0020056A">
            <w:pPr>
              <w:spacing w:before="120"/>
              <w:jc w:val="center"/>
            </w:pPr>
            <w:r>
              <w:t>p</w:t>
            </w:r>
          </w:p>
        </w:tc>
      </w:tr>
      <w:tr w:rsidR="0020056A" w:rsidTr="0020056A">
        <w:tc>
          <w:tcPr>
            <w:tcW w:w="1541" w:type="pct"/>
            <w:shd w:val="clear" w:color="auto" w:fill="auto"/>
          </w:tcPr>
          <w:p w:rsidR="0020056A" w:rsidRDefault="0020056A" w:rsidP="0020056A">
            <w:pPr>
              <w:spacing w:before="120"/>
              <w:jc w:val="both"/>
            </w:pPr>
            <w:r>
              <w:t>Total number of Patients (ITT)</w:t>
            </w:r>
          </w:p>
        </w:tc>
        <w:tc>
          <w:tcPr>
            <w:tcW w:w="1357" w:type="pct"/>
            <w:shd w:val="clear" w:color="auto" w:fill="auto"/>
            <w:vAlign w:val="center"/>
          </w:tcPr>
          <w:p w:rsidR="0020056A" w:rsidRDefault="0020056A" w:rsidP="0020056A">
            <w:pPr>
              <w:spacing w:before="120"/>
              <w:jc w:val="center"/>
            </w:pPr>
            <w:r>
              <w:t>76</w:t>
            </w:r>
          </w:p>
        </w:tc>
        <w:tc>
          <w:tcPr>
            <w:tcW w:w="1333" w:type="pct"/>
            <w:shd w:val="clear" w:color="auto" w:fill="auto"/>
            <w:vAlign w:val="center"/>
          </w:tcPr>
          <w:p w:rsidR="0020056A" w:rsidRDefault="0020056A" w:rsidP="0020056A">
            <w:pPr>
              <w:spacing w:before="120"/>
              <w:jc w:val="center"/>
            </w:pPr>
            <w:r>
              <w:t>75</w:t>
            </w:r>
          </w:p>
        </w:tc>
        <w:tc>
          <w:tcPr>
            <w:tcW w:w="768" w:type="pct"/>
            <w:shd w:val="clear" w:color="auto" w:fill="auto"/>
          </w:tcPr>
          <w:p w:rsidR="0020056A" w:rsidRDefault="0020056A" w:rsidP="0020056A">
            <w:pPr>
              <w:spacing w:before="120"/>
              <w:jc w:val="both"/>
            </w:pPr>
          </w:p>
        </w:tc>
      </w:tr>
      <w:tr w:rsidR="0020056A" w:rsidTr="0020056A">
        <w:tc>
          <w:tcPr>
            <w:tcW w:w="1541" w:type="pct"/>
            <w:shd w:val="clear" w:color="auto" w:fill="auto"/>
          </w:tcPr>
          <w:p w:rsidR="0020056A" w:rsidRDefault="0020056A" w:rsidP="0020056A">
            <w:pPr>
              <w:spacing w:before="120"/>
              <w:jc w:val="both"/>
            </w:pPr>
            <w:r>
              <w:t>TSS Baseline</w:t>
            </w:r>
          </w:p>
          <w:p w:rsidR="0020056A" w:rsidRDefault="0020056A" w:rsidP="0020056A">
            <w:pPr>
              <w:spacing w:before="120"/>
              <w:jc w:val="both"/>
            </w:pPr>
            <w:r>
              <w:t>Mean (SD)</w:t>
            </w:r>
          </w:p>
        </w:tc>
        <w:tc>
          <w:tcPr>
            <w:tcW w:w="1357" w:type="pct"/>
            <w:shd w:val="clear" w:color="auto" w:fill="auto"/>
            <w:vAlign w:val="center"/>
          </w:tcPr>
          <w:p w:rsidR="0020056A" w:rsidRDefault="0020056A" w:rsidP="0020056A">
            <w:pPr>
              <w:spacing w:before="120"/>
              <w:jc w:val="center"/>
            </w:pPr>
            <w:r>
              <w:t>4.86 (1.95)</w:t>
            </w:r>
          </w:p>
        </w:tc>
        <w:tc>
          <w:tcPr>
            <w:tcW w:w="1333" w:type="pct"/>
            <w:shd w:val="clear" w:color="auto" w:fill="auto"/>
            <w:vAlign w:val="center"/>
          </w:tcPr>
          <w:p w:rsidR="0020056A" w:rsidRDefault="0020056A" w:rsidP="0020056A">
            <w:pPr>
              <w:spacing w:before="120"/>
              <w:jc w:val="center"/>
            </w:pPr>
            <w:r>
              <w:t>4.95 (1.49)</w:t>
            </w:r>
          </w:p>
        </w:tc>
        <w:tc>
          <w:tcPr>
            <w:tcW w:w="768" w:type="pct"/>
            <w:shd w:val="clear" w:color="auto" w:fill="auto"/>
          </w:tcPr>
          <w:p w:rsidR="0020056A" w:rsidRDefault="0020056A" w:rsidP="0020056A">
            <w:pPr>
              <w:spacing w:before="120"/>
              <w:jc w:val="both"/>
            </w:pPr>
          </w:p>
        </w:tc>
      </w:tr>
      <w:tr w:rsidR="0020056A" w:rsidTr="0020056A">
        <w:tc>
          <w:tcPr>
            <w:tcW w:w="1541" w:type="pct"/>
            <w:shd w:val="clear" w:color="auto" w:fill="auto"/>
          </w:tcPr>
          <w:p w:rsidR="0020056A" w:rsidRDefault="0020056A" w:rsidP="0020056A">
            <w:pPr>
              <w:spacing w:before="120"/>
              <w:jc w:val="both"/>
            </w:pPr>
            <w:r>
              <w:t>TSS Day 28</w:t>
            </w:r>
          </w:p>
          <w:p w:rsidR="0020056A" w:rsidRDefault="0020056A" w:rsidP="0020056A">
            <w:pPr>
              <w:spacing w:before="120"/>
              <w:jc w:val="both"/>
            </w:pPr>
            <w:r>
              <w:t>Mean (SD)</w:t>
            </w:r>
          </w:p>
        </w:tc>
        <w:tc>
          <w:tcPr>
            <w:tcW w:w="1357" w:type="pct"/>
            <w:shd w:val="clear" w:color="auto" w:fill="auto"/>
            <w:vAlign w:val="center"/>
          </w:tcPr>
          <w:p w:rsidR="0020056A" w:rsidRDefault="0020056A" w:rsidP="0020056A">
            <w:pPr>
              <w:spacing w:before="120"/>
              <w:jc w:val="center"/>
            </w:pPr>
            <w:r>
              <w:t>1.76 (1.57)</w:t>
            </w:r>
          </w:p>
        </w:tc>
        <w:tc>
          <w:tcPr>
            <w:tcW w:w="1333" w:type="pct"/>
            <w:shd w:val="clear" w:color="auto" w:fill="auto"/>
            <w:vAlign w:val="center"/>
          </w:tcPr>
          <w:p w:rsidR="0020056A" w:rsidRDefault="0020056A" w:rsidP="0020056A">
            <w:pPr>
              <w:spacing w:before="120"/>
              <w:jc w:val="center"/>
            </w:pPr>
            <w:r>
              <w:t>2.36 (1.64)</w:t>
            </w:r>
          </w:p>
        </w:tc>
        <w:tc>
          <w:tcPr>
            <w:tcW w:w="768" w:type="pct"/>
            <w:shd w:val="clear" w:color="auto" w:fill="auto"/>
          </w:tcPr>
          <w:p w:rsidR="0020056A" w:rsidRDefault="0020056A" w:rsidP="0020056A">
            <w:pPr>
              <w:spacing w:before="120"/>
              <w:jc w:val="center"/>
            </w:pPr>
            <w:r>
              <w:t>p &lt; 0.05</w:t>
            </w:r>
          </w:p>
        </w:tc>
      </w:tr>
      <w:tr w:rsidR="0020056A" w:rsidTr="0020056A">
        <w:tc>
          <w:tcPr>
            <w:tcW w:w="1541" w:type="pct"/>
            <w:shd w:val="clear" w:color="auto" w:fill="auto"/>
          </w:tcPr>
          <w:p w:rsidR="0020056A" w:rsidRDefault="0020056A" w:rsidP="0020056A">
            <w:pPr>
              <w:spacing w:before="120"/>
              <w:jc w:val="both"/>
            </w:pPr>
            <w:r>
              <w:t>GSS Baseline</w:t>
            </w:r>
          </w:p>
          <w:p w:rsidR="0020056A" w:rsidRDefault="0020056A" w:rsidP="0020056A">
            <w:pPr>
              <w:spacing w:before="120"/>
              <w:jc w:val="both"/>
            </w:pPr>
            <w:r>
              <w:t>Mean (SD)</w:t>
            </w:r>
          </w:p>
        </w:tc>
        <w:tc>
          <w:tcPr>
            <w:tcW w:w="1357" w:type="pct"/>
            <w:shd w:val="clear" w:color="auto" w:fill="auto"/>
            <w:vAlign w:val="center"/>
          </w:tcPr>
          <w:p w:rsidR="0020056A" w:rsidRDefault="0020056A" w:rsidP="0020056A">
            <w:pPr>
              <w:spacing w:before="120"/>
              <w:jc w:val="center"/>
            </w:pPr>
            <w:r>
              <w:t>3.49 (0.60)</w:t>
            </w:r>
          </w:p>
        </w:tc>
        <w:tc>
          <w:tcPr>
            <w:tcW w:w="1333" w:type="pct"/>
            <w:shd w:val="clear" w:color="auto" w:fill="auto"/>
            <w:vAlign w:val="center"/>
          </w:tcPr>
          <w:p w:rsidR="0020056A" w:rsidRDefault="0020056A" w:rsidP="0020056A">
            <w:pPr>
              <w:spacing w:before="120"/>
              <w:jc w:val="center"/>
            </w:pPr>
            <w:r>
              <w:t>3.51 (0.60)</w:t>
            </w:r>
          </w:p>
        </w:tc>
        <w:tc>
          <w:tcPr>
            <w:tcW w:w="768" w:type="pct"/>
            <w:shd w:val="clear" w:color="auto" w:fill="auto"/>
          </w:tcPr>
          <w:p w:rsidR="0020056A" w:rsidRDefault="0020056A" w:rsidP="0020056A">
            <w:pPr>
              <w:spacing w:before="120"/>
              <w:jc w:val="both"/>
            </w:pPr>
          </w:p>
        </w:tc>
      </w:tr>
      <w:tr w:rsidR="0020056A" w:rsidTr="0020056A">
        <w:tc>
          <w:tcPr>
            <w:tcW w:w="1541" w:type="pct"/>
            <w:shd w:val="clear" w:color="auto" w:fill="auto"/>
          </w:tcPr>
          <w:p w:rsidR="0020056A" w:rsidRDefault="0020056A" w:rsidP="0020056A">
            <w:pPr>
              <w:spacing w:before="120"/>
              <w:jc w:val="both"/>
            </w:pPr>
            <w:r>
              <w:t>GSS Day 28</w:t>
            </w:r>
          </w:p>
          <w:p w:rsidR="0020056A" w:rsidRDefault="0020056A" w:rsidP="0020056A">
            <w:pPr>
              <w:spacing w:before="120"/>
              <w:jc w:val="both"/>
            </w:pPr>
            <w:r>
              <w:t>Mean (SD)</w:t>
            </w:r>
          </w:p>
        </w:tc>
        <w:tc>
          <w:tcPr>
            <w:tcW w:w="1357" w:type="pct"/>
            <w:shd w:val="clear" w:color="auto" w:fill="auto"/>
            <w:vAlign w:val="center"/>
          </w:tcPr>
          <w:p w:rsidR="0020056A" w:rsidRDefault="0020056A" w:rsidP="0020056A">
            <w:pPr>
              <w:spacing w:before="120"/>
              <w:jc w:val="center"/>
            </w:pPr>
            <w:r>
              <w:t>1.55 (1.20)</w:t>
            </w:r>
          </w:p>
        </w:tc>
        <w:tc>
          <w:tcPr>
            <w:tcW w:w="1333" w:type="pct"/>
            <w:shd w:val="clear" w:color="auto" w:fill="auto"/>
            <w:vAlign w:val="center"/>
          </w:tcPr>
          <w:p w:rsidR="0020056A" w:rsidRDefault="0020056A" w:rsidP="0020056A">
            <w:pPr>
              <w:spacing w:before="120"/>
              <w:jc w:val="center"/>
            </w:pPr>
            <w:r>
              <w:t>2.03 (1.31)</w:t>
            </w:r>
          </w:p>
        </w:tc>
        <w:tc>
          <w:tcPr>
            <w:tcW w:w="768" w:type="pct"/>
            <w:shd w:val="clear" w:color="auto" w:fill="auto"/>
          </w:tcPr>
          <w:p w:rsidR="0020056A" w:rsidRDefault="0020056A" w:rsidP="0020056A">
            <w:pPr>
              <w:spacing w:before="120"/>
              <w:jc w:val="both"/>
            </w:pPr>
            <w:r>
              <w:t>p &lt; 0.05</w:t>
            </w:r>
          </w:p>
        </w:tc>
      </w:tr>
    </w:tbl>
    <w:p w:rsidR="0020056A" w:rsidRPr="00653328" w:rsidRDefault="0020056A" w:rsidP="0020056A">
      <w:pPr>
        <w:spacing w:before="120"/>
        <w:jc w:val="both"/>
        <w:rPr>
          <w:b/>
        </w:rPr>
      </w:pPr>
      <w:r w:rsidRPr="00653328">
        <w:rPr>
          <w:b/>
        </w:rPr>
        <w:t xml:space="preserve">Table 3. Efficacy outcomes in trial versus </w:t>
      </w:r>
      <w:proofErr w:type="spellStart"/>
      <w:r w:rsidRPr="00653328">
        <w:rPr>
          <w:b/>
        </w:rPr>
        <w:t>Polytar</w:t>
      </w:r>
      <w:proofErr w:type="spellEnd"/>
      <w:r w:rsidRPr="00653328">
        <w:rPr>
          <w:b/>
        </w:rPr>
        <w:t xml:space="preserve"> Liquid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6"/>
        <w:gridCol w:w="2312"/>
        <w:gridCol w:w="2270"/>
        <w:gridCol w:w="1308"/>
      </w:tblGrid>
      <w:tr w:rsidR="0020056A" w:rsidTr="0020056A">
        <w:trPr>
          <w:trHeight w:val="693"/>
        </w:trPr>
        <w:tc>
          <w:tcPr>
            <w:tcW w:w="1541" w:type="pct"/>
            <w:shd w:val="clear" w:color="auto" w:fill="auto"/>
          </w:tcPr>
          <w:p w:rsidR="0020056A" w:rsidRDefault="0020056A" w:rsidP="0020056A">
            <w:pPr>
              <w:spacing w:before="120"/>
              <w:jc w:val="both"/>
            </w:pPr>
          </w:p>
        </w:tc>
        <w:tc>
          <w:tcPr>
            <w:tcW w:w="1357" w:type="pct"/>
            <w:shd w:val="clear" w:color="auto" w:fill="auto"/>
            <w:vAlign w:val="center"/>
          </w:tcPr>
          <w:p w:rsidR="0020056A" w:rsidRDefault="0020056A" w:rsidP="0020056A">
            <w:pPr>
              <w:jc w:val="center"/>
            </w:pPr>
            <w:r>
              <w:t>CLOBEX Shampoo</w:t>
            </w:r>
          </w:p>
        </w:tc>
        <w:tc>
          <w:tcPr>
            <w:tcW w:w="1333" w:type="pct"/>
            <w:shd w:val="clear" w:color="auto" w:fill="auto"/>
            <w:vAlign w:val="center"/>
          </w:tcPr>
          <w:p w:rsidR="0020056A" w:rsidRDefault="0020056A" w:rsidP="0020056A">
            <w:pPr>
              <w:spacing w:before="120"/>
              <w:jc w:val="center"/>
            </w:pPr>
            <w:proofErr w:type="spellStart"/>
            <w:r>
              <w:t>Polytar</w:t>
            </w:r>
            <w:proofErr w:type="spellEnd"/>
            <w:r>
              <w:t xml:space="preserve"> Liquid</w:t>
            </w:r>
          </w:p>
        </w:tc>
        <w:tc>
          <w:tcPr>
            <w:tcW w:w="768" w:type="pct"/>
            <w:shd w:val="clear" w:color="auto" w:fill="auto"/>
          </w:tcPr>
          <w:p w:rsidR="0020056A" w:rsidRDefault="0020056A" w:rsidP="0020056A">
            <w:pPr>
              <w:spacing w:before="120"/>
              <w:jc w:val="center"/>
            </w:pPr>
            <w:r>
              <w:t>p</w:t>
            </w:r>
          </w:p>
        </w:tc>
      </w:tr>
      <w:tr w:rsidR="0020056A" w:rsidTr="0020056A">
        <w:tc>
          <w:tcPr>
            <w:tcW w:w="1541" w:type="pct"/>
            <w:shd w:val="clear" w:color="auto" w:fill="auto"/>
          </w:tcPr>
          <w:p w:rsidR="0020056A" w:rsidRDefault="0020056A" w:rsidP="0020056A">
            <w:pPr>
              <w:spacing w:before="120"/>
              <w:jc w:val="both"/>
            </w:pPr>
            <w:r>
              <w:t>Total number of Patients (ITT)</w:t>
            </w:r>
          </w:p>
        </w:tc>
        <w:tc>
          <w:tcPr>
            <w:tcW w:w="1357" w:type="pct"/>
            <w:shd w:val="clear" w:color="auto" w:fill="auto"/>
            <w:vAlign w:val="center"/>
          </w:tcPr>
          <w:p w:rsidR="0020056A" w:rsidRDefault="0020056A" w:rsidP="0020056A">
            <w:pPr>
              <w:spacing w:before="120"/>
              <w:jc w:val="center"/>
            </w:pPr>
            <w:r>
              <w:t>121</w:t>
            </w:r>
          </w:p>
        </w:tc>
        <w:tc>
          <w:tcPr>
            <w:tcW w:w="1333" w:type="pct"/>
            <w:shd w:val="clear" w:color="auto" w:fill="auto"/>
            <w:vAlign w:val="center"/>
          </w:tcPr>
          <w:p w:rsidR="0020056A" w:rsidRDefault="0020056A" w:rsidP="0020056A">
            <w:pPr>
              <w:spacing w:before="120"/>
              <w:jc w:val="center"/>
            </w:pPr>
            <w:r>
              <w:t>41</w:t>
            </w:r>
          </w:p>
        </w:tc>
        <w:tc>
          <w:tcPr>
            <w:tcW w:w="768" w:type="pct"/>
            <w:shd w:val="clear" w:color="auto" w:fill="auto"/>
          </w:tcPr>
          <w:p w:rsidR="0020056A" w:rsidRDefault="0020056A" w:rsidP="0020056A">
            <w:pPr>
              <w:spacing w:before="120"/>
              <w:jc w:val="both"/>
            </w:pPr>
          </w:p>
        </w:tc>
      </w:tr>
      <w:tr w:rsidR="0020056A" w:rsidTr="0020056A">
        <w:tc>
          <w:tcPr>
            <w:tcW w:w="1541" w:type="pct"/>
            <w:shd w:val="clear" w:color="auto" w:fill="auto"/>
          </w:tcPr>
          <w:p w:rsidR="0020056A" w:rsidRDefault="0020056A" w:rsidP="0020056A">
            <w:pPr>
              <w:spacing w:before="120"/>
              <w:jc w:val="both"/>
            </w:pPr>
            <w:r>
              <w:t>TSS Baseline</w:t>
            </w:r>
          </w:p>
          <w:p w:rsidR="0020056A" w:rsidRDefault="0020056A" w:rsidP="0020056A">
            <w:pPr>
              <w:spacing w:before="120"/>
              <w:jc w:val="both"/>
            </w:pPr>
            <w:r>
              <w:t>Mean (SD)</w:t>
            </w:r>
          </w:p>
        </w:tc>
        <w:tc>
          <w:tcPr>
            <w:tcW w:w="1357" w:type="pct"/>
            <w:shd w:val="clear" w:color="auto" w:fill="auto"/>
            <w:vAlign w:val="center"/>
          </w:tcPr>
          <w:p w:rsidR="0020056A" w:rsidRDefault="0020056A" w:rsidP="0020056A">
            <w:pPr>
              <w:spacing w:before="120"/>
              <w:jc w:val="center"/>
            </w:pPr>
            <w:r>
              <w:t>6.1 (1.4)</w:t>
            </w:r>
          </w:p>
        </w:tc>
        <w:tc>
          <w:tcPr>
            <w:tcW w:w="1333" w:type="pct"/>
            <w:shd w:val="clear" w:color="auto" w:fill="auto"/>
            <w:vAlign w:val="center"/>
          </w:tcPr>
          <w:p w:rsidR="0020056A" w:rsidRDefault="0020056A" w:rsidP="0020056A">
            <w:pPr>
              <w:spacing w:before="120"/>
              <w:jc w:val="center"/>
            </w:pPr>
            <w:r>
              <w:t>6.3 (1.2)</w:t>
            </w:r>
          </w:p>
        </w:tc>
        <w:tc>
          <w:tcPr>
            <w:tcW w:w="768" w:type="pct"/>
            <w:shd w:val="clear" w:color="auto" w:fill="auto"/>
          </w:tcPr>
          <w:p w:rsidR="0020056A" w:rsidRDefault="0020056A" w:rsidP="0020056A">
            <w:pPr>
              <w:spacing w:before="120"/>
              <w:jc w:val="both"/>
            </w:pPr>
          </w:p>
        </w:tc>
      </w:tr>
      <w:tr w:rsidR="0020056A" w:rsidTr="0020056A">
        <w:tc>
          <w:tcPr>
            <w:tcW w:w="1541" w:type="pct"/>
            <w:shd w:val="clear" w:color="auto" w:fill="auto"/>
          </w:tcPr>
          <w:p w:rsidR="0020056A" w:rsidRDefault="0020056A" w:rsidP="0020056A">
            <w:pPr>
              <w:spacing w:before="120"/>
              <w:jc w:val="both"/>
            </w:pPr>
            <w:r>
              <w:t>TSS Day 28</w:t>
            </w:r>
          </w:p>
          <w:p w:rsidR="0020056A" w:rsidRDefault="0020056A" w:rsidP="0020056A">
            <w:pPr>
              <w:spacing w:before="120"/>
              <w:jc w:val="both"/>
            </w:pPr>
            <w:r>
              <w:t>Mean (SD)</w:t>
            </w:r>
          </w:p>
        </w:tc>
        <w:tc>
          <w:tcPr>
            <w:tcW w:w="1357" w:type="pct"/>
            <w:shd w:val="clear" w:color="auto" w:fill="auto"/>
            <w:vAlign w:val="center"/>
          </w:tcPr>
          <w:p w:rsidR="0020056A" w:rsidRDefault="0020056A" w:rsidP="0020056A">
            <w:pPr>
              <w:spacing w:before="120"/>
              <w:jc w:val="center"/>
            </w:pPr>
            <w:r>
              <w:t>3.2 (2.0)</w:t>
            </w:r>
          </w:p>
        </w:tc>
        <w:tc>
          <w:tcPr>
            <w:tcW w:w="1333" w:type="pct"/>
            <w:shd w:val="clear" w:color="auto" w:fill="auto"/>
            <w:vAlign w:val="center"/>
          </w:tcPr>
          <w:p w:rsidR="0020056A" w:rsidRDefault="0020056A" w:rsidP="0020056A">
            <w:pPr>
              <w:spacing w:before="120"/>
              <w:jc w:val="center"/>
            </w:pPr>
            <w:r>
              <w:t>5.2 (1.9)</w:t>
            </w:r>
          </w:p>
        </w:tc>
        <w:tc>
          <w:tcPr>
            <w:tcW w:w="768" w:type="pct"/>
            <w:shd w:val="clear" w:color="auto" w:fill="auto"/>
          </w:tcPr>
          <w:p w:rsidR="0020056A" w:rsidRDefault="0020056A" w:rsidP="0020056A">
            <w:pPr>
              <w:spacing w:before="120"/>
              <w:jc w:val="center"/>
            </w:pPr>
            <w:r>
              <w:t>p =0.0001</w:t>
            </w:r>
          </w:p>
        </w:tc>
      </w:tr>
      <w:tr w:rsidR="0020056A" w:rsidTr="0020056A">
        <w:tc>
          <w:tcPr>
            <w:tcW w:w="1541" w:type="pct"/>
            <w:shd w:val="clear" w:color="auto" w:fill="auto"/>
          </w:tcPr>
          <w:p w:rsidR="0020056A" w:rsidRDefault="0020056A" w:rsidP="0020056A">
            <w:pPr>
              <w:spacing w:before="120"/>
              <w:jc w:val="both"/>
            </w:pPr>
            <w:r>
              <w:lastRenderedPageBreak/>
              <w:t>GSS Baseline</w:t>
            </w:r>
          </w:p>
          <w:p w:rsidR="0020056A" w:rsidRDefault="0020056A" w:rsidP="0020056A">
            <w:pPr>
              <w:spacing w:before="120"/>
              <w:jc w:val="both"/>
            </w:pPr>
            <w:r>
              <w:t>Mean (SD)</w:t>
            </w:r>
          </w:p>
        </w:tc>
        <w:tc>
          <w:tcPr>
            <w:tcW w:w="1357" w:type="pct"/>
            <w:shd w:val="clear" w:color="auto" w:fill="auto"/>
            <w:vAlign w:val="center"/>
          </w:tcPr>
          <w:p w:rsidR="0020056A" w:rsidRDefault="0020056A" w:rsidP="0020056A">
            <w:pPr>
              <w:spacing w:before="120"/>
              <w:jc w:val="center"/>
            </w:pPr>
            <w:r>
              <w:t>3.4 (0.6)</w:t>
            </w:r>
          </w:p>
        </w:tc>
        <w:tc>
          <w:tcPr>
            <w:tcW w:w="1333" w:type="pct"/>
            <w:shd w:val="clear" w:color="auto" w:fill="auto"/>
            <w:vAlign w:val="center"/>
          </w:tcPr>
          <w:p w:rsidR="0020056A" w:rsidRDefault="0020056A" w:rsidP="0020056A">
            <w:pPr>
              <w:spacing w:before="120"/>
              <w:jc w:val="center"/>
            </w:pPr>
            <w:r>
              <w:t>3.5 (0.6)</w:t>
            </w:r>
          </w:p>
        </w:tc>
        <w:tc>
          <w:tcPr>
            <w:tcW w:w="768" w:type="pct"/>
            <w:shd w:val="clear" w:color="auto" w:fill="auto"/>
          </w:tcPr>
          <w:p w:rsidR="0020056A" w:rsidRDefault="0020056A" w:rsidP="0020056A">
            <w:pPr>
              <w:spacing w:before="120"/>
              <w:jc w:val="both"/>
            </w:pPr>
          </w:p>
        </w:tc>
      </w:tr>
      <w:tr w:rsidR="0020056A" w:rsidTr="0020056A">
        <w:tc>
          <w:tcPr>
            <w:tcW w:w="1541" w:type="pct"/>
            <w:shd w:val="clear" w:color="auto" w:fill="auto"/>
          </w:tcPr>
          <w:p w:rsidR="0020056A" w:rsidRDefault="0020056A" w:rsidP="0020056A">
            <w:pPr>
              <w:spacing w:before="120"/>
              <w:jc w:val="both"/>
            </w:pPr>
            <w:r>
              <w:t>GSS Day 28</w:t>
            </w:r>
          </w:p>
          <w:p w:rsidR="0020056A" w:rsidRDefault="0020056A" w:rsidP="0020056A">
            <w:pPr>
              <w:spacing w:before="120"/>
              <w:jc w:val="both"/>
            </w:pPr>
            <w:r>
              <w:t>Mean (SD)</w:t>
            </w:r>
          </w:p>
        </w:tc>
        <w:tc>
          <w:tcPr>
            <w:tcW w:w="1357" w:type="pct"/>
            <w:shd w:val="clear" w:color="auto" w:fill="auto"/>
            <w:vAlign w:val="center"/>
          </w:tcPr>
          <w:p w:rsidR="0020056A" w:rsidRDefault="0020056A" w:rsidP="0020056A">
            <w:pPr>
              <w:spacing w:before="120"/>
              <w:jc w:val="center"/>
            </w:pPr>
            <w:r>
              <w:t>1.9 (1.0)</w:t>
            </w:r>
          </w:p>
        </w:tc>
        <w:tc>
          <w:tcPr>
            <w:tcW w:w="1333" w:type="pct"/>
            <w:shd w:val="clear" w:color="auto" w:fill="auto"/>
            <w:vAlign w:val="center"/>
          </w:tcPr>
          <w:p w:rsidR="0020056A" w:rsidRDefault="0020056A" w:rsidP="0020056A">
            <w:pPr>
              <w:spacing w:before="120"/>
              <w:jc w:val="center"/>
            </w:pPr>
            <w:r>
              <w:t>3.0 (1.0)</w:t>
            </w:r>
          </w:p>
        </w:tc>
        <w:tc>
          <w:tcPr>
            <w:tcW w:w="768" w:type="pct"/>
            <w:shd w:val="clear" w:color="auto" w:fill="auto"/>
          </w:tcPr>
          <w:p w:rsidR="0020056A" w:rsidRDefault="0020056A" w:rsidP="0020056A">
            <w:pPr>
              <w:spacing w:before="120"/>
              <w:jc w:val="both"/>
            </w:pPr>
            <w:r>
              <w:t>p =0.0001</w:t>
            </w:r>
          </w:p>
        </w:tc>
      </w:tr>
    </w:tbl>
    <w:p w:rsidR="00E37547" w:rsidRDefault="00E37547">
      <w:pPr>
        <w:spacing w:before="120"/>
        <w:jc w:val="both"/>
      </w:pPr>
      <w:r>
        <w:t>CLOBEX Shampoo (applied daily for 15 minutes and then rinsed) has finally been found non inferior to a clobetasol propionate 0.05% gel applied once a day to the dry scalp without rinsing.</w:t>
      </w:r>
    </w:p>
    <w:p w:rsidR="0020056A" w:rsidRDefault="0020056A" w:rsidP="0020056A">
      <w:pPr>
        <w:spacing w:before="120"/>
        <w:jc w:val="both"/>
      </w:pPr>
      <w:r>
        <w:t xml:space="preserve">Efficacy and safety of Clobex Shampoo were not investigated beyond 4 weeks of treatment. </w:t>
      </w:r>
    </w:p>
    <w:p w:rsidR="00E37547" w:rsidRDefault="00E37547" w:rsidP="0092535E">
      <w:pPr>
        <w:pStyle w:val="Heading2"/>
      </w:pPr>
      <w:r>
        <w:t xml:space="preserve">INDICATIONS </w:t>
      </w:r>
    </w:p>
    <w:p w:rsidR="00E37547" w:rsidRDefault="00E37547">
      <w:pPr>
        <w:tabs>
          <w:tab w:val="left" w:pos="7806"/>
        </w:tabs>
        <w:jc w:val="both"/>
        <w:rPr>
          <w:rFonts w:ascii="Times New Roman Bold" w:hAnsi="Times New Roman Bold"/>
        </w:rPr>
      </w:pPr>
      <w:r>
        <w:t>Topical treatment of moderate to severe scalp psoriasis in adults.</w:t>
      </w:r>
    </w:p>
    <w:p w:rsidR="00E37547" w:rsidRDefault="0092535E" w:rsidP="0092535E">
      <w:pPr>
        <w:pStyle w:val="Heading2"/>
      </w:pPr>
      <w:r>
        <w:t>CONTRA-INDICATIONS</w:t>
      </w:r>
    </w:p>
    <w:p w:rsidR="00E37547" w:rsidRDefault="00E37547">
      <w:pPr>
        <w:jc w:val="both"/>
      </w:pPr>
      <w:r>
        <w:t xml:space="preserve">Hypersensitivity to the active substance or to any of the excipients </w:t>
      </w:r>
    </w:p>
    <w:p w:rsidR="00E37547" w:rsidRDefault="00E37547" w:rsidP="0092535E">
      <w:pPr>
        <w:spacing w:before="120" w:after="120"/>
        <w:ind w:right="57"/>
        <w:jc w:val="both"/>
      </w:pPr>
      <w:r>
        <w:t xml:space="preserve">Skin areas affected by bacterial, viral (varicella, herpes simplex, herpes zoster), fungal or parasitic infections and specific skin diseases (skin tuberculosis, skin diseases caused by </w:t>
      </w:r>
      <w:proofErr w:type="spellStart"/>
      <w:r>
        <w:t>lues</w:t>
      </w:r>
      <w:proofErr w:type="spellEnd"/>
      <w:r>
        <w:t>).</w:t>
      </w:r>
    </w:p>
    <w:p w:rsidR="00E37547" w:rsidRDefault="00E37547" w:rsidP="0092535E">
      <w:pPr>
        <w:spacing w:before="120" w:after="120"/>
        <w:ind w:right="57"/>
        <w:jc w:val="both"/>
      </w:pPr>
      <w:r>
        <w:t>CLOBEX Shampoo must not be applied to the eye and eyelids (risk of glaucoma, risk of cataract) or to ulcerous wounds.</w:t>
      </w:r>
    </w:p>
    <w:p w:rsidR="00E37547" w:rsidRDefault="00E37547">
      <w:pPr>
        <w:ind w:left="142" w:right="56" w:hanging="142"/>
        <w:jc w:val="both"/>
        <w:rPr>
          <w:rFonts w:ascii="Times New Roman Bold" w:hAnsi="Times New Roman Bold"/>
        </w:rPr>
      </w:pPr>
      <w:r>
        <w:t xml:space="preserve">Children under 2 years of age </w:t>
      </w:r>
    </w:p>
    <w:p w:rsidR="00E37547" w:rsidRDefault="00E37547" w:rsidP="0092535E">
      <w:pPr>
        <w:pStyle w:val="Heading2"/>
      </w:pPr>
      <w:r>
        <w:t>PRECAUTIONS</w:t>
      </w:r>
    </w:p>
    <w:p w:rsidR="00E37547" w:rsidRDefault="00E37547">
      <w:pPr>
        <w:jc w:val="both"/>
      </w:pPr>
      <w:r>
        <w:t xml:space="preserve">Topical corticosteroids should be used with caution for a number of reasons including post treatment rebound relapses, development of tolerance (tachyphylaxis) and development of local or systemic toxicity such as atrophy and telangiectasia of the skin or hypothalamic-pituitary-adrenal (HPA) axis suppression. </w:t>
      </w:r>
      <w:r w:rsidR="005A5D76" w:rsidRPr="005D7E79">
        <w:t xml:space="preserve">There is a risk of HPA suppression with prolonged use and also with the use of large volumes. CLOBEX Shampoo should not be used for more than 4 </w:t>
      </w:r>
      <w:r w:rsidR="00E453F1" w:rsidRPr="005D7E79">
        <w:t xml:space="preserve">consecutive </w:t>
      </w:r>
      <w:r w:rsidR="005A5D76" w:rsidRPr="005D7E79">
        <w:t>weeks; nor should a dose greater than 7.5</w:t>
      </w:r>
      <w:r w:rsidR="0073016E">
        <w:t xml:space="preserve"> </w:t>
      </w:r>
      <w:proofErr w:type="spellStart"/>
      <w:r w:rsidR="005A5D76" w:rsidRPr="005D7E79">
        <w:t>mLs</w:t>
      </w:r>
      <w:proofErr w:type="spellEnd"/>
      <w:r w:rsidR="005A5D76" w:rsidRPr="005D7E79">
        <w:t xml:space="preserve"> daily be used.</w:t>
      </w:r>
      <w:r w:rsidR="005D7E79">
        <w:t xml:space="preserve"> </w:t>
      </w:r>
      <w:r w:rsidRPr="00A934CD">
        <w:t>In</w:t>
      </w:r>
      <w:r>
        <w:t xml:space="preserve"> rare instances, treatment of psoriasis with corticosteroids (or its withdrawal) is thought to have provoked </w:t>
      </w:r>
      <w:proofErr w:type="spellStart"/>
      <w:r>
        <w:t>generalised</w:t>
      </w:r>
      <w:proofErr w:type="spellEnd"/>
      <w:r>
        <w:t xml:space="preserve"> </w:t>
      </w:r>
      <w:proofErr w:type="spellStart"/>
      <w:r>
        <w:t>pustular</w:t>
      </w:r>
      <w:proofErr w:type="spellEnd"/>
      <w:r>
        <w:t xml:space="preserve"> psoriasis in case of intensive and prolonged topical use. In very rare cases, hypersensitivity to corticosteroids can be observed. This can be suspected in case of resistance to treatment.</w:t>
      </w:r>
    </w:p>
    <w:p w:rsidR="00E37547" w:rsidRPr="00C2216A" w:rsidRDefault="00E37547" w:rsidP="0092535E">
      <w:pPr>
        <w:spacing w:before="120" w:after="120"/>
        <w:jc w:val="both"/>
        <w:rPr>
          <w:lang w:val="en-GB"/>
        </w:rPr>
      </w:pPr>
      <w:r>
        <w:t>In general, treatment of large surface area</w:t>
      </w:r>
      <w:r w:rsidR="0073016E">
        <w:t xml:space="preserve">s, long-term continuous therapy </w:t>
      </w:r>
      <w:r>
        <w:t>with corticosteroids, use of occlusive dressings can enhance absorption and lead to a higher risk of systemic effects. In such cases, medical supervision should be increased and patients may be evaluated periodically for evidence of HPA axis suppression.</w:t>
      </w:r>
      <w:r w:rsidR="00C2216A">
        <w:t xml:space="preserve"> Patients applying doses of CLOBEX Shampoo in excess of 50mL per week should be carefully monitored.</w:t>
      </w:r>
      <w:r>
        <w:t xml:space="preserve"> </w:t>
      </w:r>
      <w:r w:rsidRPr="00C2216A">
        <w:rPr>
          <w:lang w:val="en-GB"/>
        </w:rPr>
        <w:t xml:space="preserve">Systemic absorption of topical corticosteroids has caused reversible adrenal suppression with the potential for </w:t>
      </w:r>
      <w:proofErr w:type="spellStart"/>
      <w:r w:rsidRPr="00C2216A">
        <w:rPr>
          <w:lang w:val="en-GB"/>
        </w:rPr>
        <w:t>glucocorticosteroid</w:t>
      </w:r>
      <w:proofErr w:type="spellEnd"/>
      <w:r w:rsidRPr="00C2216A">
        <w:rPr>
          <w:lang w:val="en-GB"/>
        </w:rPr>
        <w:t xml:space="preserve"> insufficiency, manifestations of Cushing’s syndrome, </w:t>
      </w:r>
      <w:proofErr w:type="spellStart"/>
      <w:r w:rsidRPr="00C2216A">
        <w:rPr>
          <w:lang w:val="en-GB"/>
        </w:rPr>
        <w:t>hyperglycemia</w:t>
      </w:r>
      <w:proofErr w:type="spellEnd"/>
      <w:r w:rsidRPr="00C2216A">
        <w:rPr>
          <w:lang w:val="en-GB"/>
        </w:rPr>
        <w:t xml:space="preserve">, and </w:t>
      </w:r>
      <w:proofErr w:type="spellStart"/>
      <w:r w:rsidRPr="00C2216A">
        <w:rPr>
          <w:lang w:val="en-GB"/>
        </w:rPr>
        <w:t>glucosuria</w:t>
      </w:r>
      <w:proofErr w:type="spellEnd"/>
      <w:r w:rsidRPr="00C2216A">
        <w:rPr>
          <w:lang w:val="en-GB"/>
        </w:rPr>
        <w:t xml:space="preserve"> in some </w:t>
      </w:r>
      <w:r w:rsidRPr="00C2216A">
        <w:rPr>
          <w:lang w:val="en-GB"/>
        </w:rPr>
        <w:lastRenderedPageBreak/>
        <w:t>patients.</w:t>
      </w:r>
      <w:r>
        <w:rPr>
          <w:rFonts w:ascii="Arial Narrow Bold Italic" w:hAnsi="Arial Narrow Bold Italic"/>
          <w:sz w:val="20"/>
        </w:rPr>
        <w:t xml:space="preserve"> </w:t>
      </w:r>
      <w:r>
        <w:t xml:space="preserve">Such systemic effects disappear when treatment is stopped. </w:t>
      </w:r>
      <w:r w:rsidRPr="00C2216A">
        <w:rPr>
          <w:lang w:val="en-GB"/>
        </w:rPr>
        <w:t>However, abrupt discontinuation can lead to acute adrenal insufficiency, especially in children.</w:t>
      </w:r>
    </w:p>
    <w:p w:rsidR="00E37547" w:rsidRPr="00C2216A" w:rsidRDefault="00E37547" w:rsidP="0092535E">
      <w:pPr>
        <w:spacing w:before="120" w:after="120"/>
        <w:jc w:val="both"/>
        <w:rPr>
          <w:lang w:val="en-GB"/>
        </w:rPr>
      </w:pPr>
      <w:r>
        <w:t xml:space="preserve">CLOBEX Shampoo </w:t>
      </w:r>
      <w:r w:rsidRPr="00C2216A">
        <w:rPr>
          <w:lang w:val="en-GB"/>
        </w:rPr>
        <w:t xml:space="preserve">is only intended for the treatment of scalp psoriasis and should not be used to treat other skin areas. In particular, </w:t>
      </w:r>
      <w:r>
        <w:t xml:space="preserve">CLOBEX Shampoo </w:t>
      </w:r>
      <w:r w:rsidRPr="00C2216A">
        <w:rPr>
          <w:lang w:val="en-GB"/>
        </w:rPr>
        <w:t xml:space="preserve">is not recommended for use in the face, </w:t>
      </w:r>
      <w:proofErr w:type="spellStart"/>
      <w:r w:rsidRPr="00C2216A">
        <w:rPr>
          <w:lang w:val="en-GB"/>
        </w:rPr>
        <w:t>intertriginous</w:t>
      </w:r>
      <w:proofErr w:type="spellEnd"/>
      <w:r w:rsidRPr="00C2216A">
        <w:rPr>
          <w:lang w:val="en-GB"/>
        </w:rPr>
        <w:t xml:space="preserve"> areas (</w:t>
      </w:r>
      <w:proofErr w:type="spellStart"/>
      <w:r w:rsidRPr="00C2216A">
        <w:rPr>
          <w:lang w:val="en-GB"/>
        </w:rPr>
        <w:t>axillae</w:t>
      </w:r>
      <w:proofErr w:type="spellEnd"/>
      <w:r w:rsidRPr="00C2216A">
        <w:rPr>
          <w:lang w:val="en-GB"/>
        </w:rPr>
        <w:t xml:space="preserve"> and </w:t>
      </w:r>
      <w:proofErr w:type="spellStart"/>
      <w:r w:rsidRPr="00C2216A">
        <w:rPr>
          <w:lang w:val="en-GB"/>
        </w:rPr>
        <w:t>genitoanal</w:t>
      </w:r>
      <w:proofErr w:type="spellEnd"/>
      <w:r w:rsidRPr="00C2216A">
        <w:rPr>
          <w:lang w:val="en-GB"/>
        </w:rPr>
        <w:t xml:space="preserve"> regions) and on other erosive skin surfaces as this could increase the risk of topical adverse events such as atrophic changes, </w:t>
      </w:r>
      <w:proofErr w:type="spellStart"/>
      <w:r w:rsidRPr="00C2216A">
        <w:rPr>
          <w:lang w:val="en-GB"/>
        </w:rPr>
        <w:t>telangiectasia</w:t>
      </w:r>
      <w:proofErr w:type="spellEnd"/>
      <w:r w:rsidRPr="00C2216A">
        <w:rPr>
          <w:lang w:val="en-GB"/>
        </w:rPr>
        <w:t xml:space="preserve"> or </w:t>
      </w:r>
      <w:proofErr w:type="spellStart"/>
      <w:r w:rsidRPr="00C2216A">
        <w:rPr>
          <w:lang w:val="en-GB"/>
        </w:rPr>
        <w:t>cortico</w:t>
      </w:r>
      <w:proofErr w:type="spellEnd"/>
      <w:r w:rsidRPr="00C2216A">
        <w:rPr>
          <w:lang w:val="en-GB"/>
        </w:rPr>
        <w:t>-induced dermatitis.</w:t>
      </w:r>
    </w:p>
    <w:p w:rsidR="00E37547" w:rsidRDefault="00E37547" w:rsidP="0092535E">
      <w:pPr>
        <w:spacing w:before="120" w:after="120"/>
      </w:pPr>
      <w:r>
        <w:t>CLOBEX shampoo is not recommended in patients with acne vulgaris, rosacea or perioral dermatitis.</w:t>
      </w:r>
    </w:p>
    <w:p w:rsidR="00E37547" w:rsidRDefault="00E37547" w:rsidP="0092535E">
      <w:pPr>
        <w:spacing w:after="120"/>
        <w:jc w:val="both"/>
      </w:pPr>
      <w:r>
        <w:t xml:space="preserve">If CLOBEX Shampoo does enter the eye, the affected eye should be rinsed with copious amounts of water. </w:t>
      </w:r>
    </w:p>
    <w:p w:rsidR="00E37547" w:rsidRDefault="00E37547" w:rsidP="0092535E">
      <w:pPr>
        <w:pStyle w:val="Heading3"/>
      </w:pPr>
      <w:r>
        <w:t>Effects on fertility</w:t>
      </w:r>
    </w:p>
    <w:p w:rsidR="00E37547" w:rsidRDefault="00E37547" w:rsidP="0092535E">
      <w:pPr>
        <w:keepNext/>
        <w:keepLines/>
        <w:spacing w:after="120"/>
        <w:jc w:val="both"/>
      </w:pPr>
      <w:r>
        <w:t xml:space="preserve">When administered subcutaneously to rats, clobetasol propionate reduced the viability of embryos and reduced maternal reproduction capacities.  </w:t>
      </w:r>
    </w:p>
    <w:p w:rsidR="008F1027" w:rsidRPr="00131DE9" w:rsidRDefault="008F1027" w:rsidP="0092535E">
      <w:pPr>
        <w:keepNext/>
        <w:keepLines/>
        <w:spacing w:after="120"/>
        <w:jc w:val="both"/>
        <w:rPr>
          <w:lang w:val="en-AU"/>
        </w:rPr>
      </w:pPr>
      <w:r w:rsidRPr="008F1027">
        <w:rPr>
          <w:lang w:val="en-AU"/>
        </w:rPr>
        <w:t>Animal studies of the effect of CLOBEX Shampoo on</w:t>
      </w:r>
      <w:r>
        <w:rPr>
          <w:lang w:val="en-AU"/>
        </w:rPr>
        <w:t xml:space="preserve"> </w:t>
      </w:r>
      <w:r w:rsidRPr="008F1027">
        <w:rPr>
          <w:lang w:val="en-AU"/>
        </w:rPr>
        <w:t>fertility have not been conducted. However, clobetasol propionate had no effect on male or</w:t>
      </w:r>
      <w:r w:rsidR="006813DB">
        <w:rPr>
          <w:lang w:val="en-AU"/>
        </w:rPr>
        <w:t xml:space="preserve"> </w:t>
      </w:r>
      <w:r w:rsidRPr="008F1027">
        <w:rPr>
          <w:lang w:val="en-AU"/>
        </w:rPr>
        <w:t>female mating performance in rats when administered subcutaneously (SC) at doses up to</w:t>
      </w:r>
      <w:r w:rsidR="006813DB">
        <w:rPr>
          <w:lang w:val="en-AU"/>
        </w:rPr>
        <w:t xml:space="preserve"> 50 µ</w:t>
      </w:r>
      <w:r w:rsidRPr="008F1027">
        <w:rPr>
          <w:lang w:val="en-AU"/>
        </w:rPr>
        <w:t>g/kg</w:t>
      </w:r>
      <w:r w:rsidR="006813DB">
        <w:rPr>
          <w:lang w:val="en-AU"/>
        </w:rPr>
        <w:t>/d</w:t>
      </w:r>
      <w:r w:rsidRPr="008F1027">
        <w:rPr>
          <w:lang w:val="en-AU"/>
        </w:rPr>
        <w:t xml:space="preserve">ay. Reductions in both the number of </w:t>
      </w:r>
      <w:proofErr w:type="spellStart"/>
      <w:r w:rsidRPr="008F1027">
        <w:rPr>
          <w:lang w:val="en-AU"/>
        </w:rPr>
        <w:t>estrous</w:t>
      </w:r>
      <w:proofErr w:type="spellEnd"/>
      <w:r w:rsidRPr="008F1027">
        <w:rPr>
          <w:lang w:val="en-AU"/>
        </w:rPr>
        <w:t xml:space="preserve"> c</w:t>
      </w:r>
      <w:r w:rsidR="006813DB">
        <w:rPr>
          <w:lang w:val="en-AU"/>
        </w:rPr>
        <w:t xml:space="preserve">ycles and embryo viability were </w:t>
      </w:r>
      <w:r w:rsidRPr="008F1027">
        <w:rPr>
          <w:lang w:val="en-AU"/>
        </w:rPr>
        <w:t xml:space="preserve">observed at SC doses from </w:t>
      </w:r>
      <w:r w:rsidR="006813DB">
        <w:rPr>
          <w:lang w:val="en-AU"/>
        </w:rPr>
        <w:t>25-50 µ</w:t>
      </w:r>
      <w:r w:rsidRPr="008F1027">
        <w:rPr>
          <w:lang w:val="en-AU"/>
        </w:rPr>
        <w:t>g/kg</w:t>
      </w:r>
      <w:r w:rsidR="006813DB">
        <w:rPr>
          <w:lang w:val="en-AU"/>
        </w:rPr>
        <w:t>/</w:t>
      </w:r>
      <w:r w:rsidRPr="008F1027">
        <w:rPr>
          <w:lang w:val="en-AU"/>
        </w:rPr>
        <w:t>day</w:t>
      </w:r>
      <w:r w:rsidR="006813DB">
        <w:rPr>
          <w:lang w:val="en-AU"/>
        </w:rPr>
        <w:t>.</w:t>
      </w:r>
    </w:p>
    <w:p w:rsidR="00E37547" w:rsidRDefault="00E37547" w:rsidP="0092535E">
      <w:pPr>
        <w:pStyle w:val="Heading3"/>
      </w:pPr>
      <w:bookmarkStart w:id="0" w:name="GoBack"/>
      <w:bookmarkEnd w:id="0"/>
      <w:r>
        <w:t>Use in Pregnancy (Category B3)</w:t>
      </w:r>
    </w:p>
    <w:p w:rsidR="006813DB" w:rsidRDefault="006813DB" w:rsidP="006813DB">
      <w:pPr>
        <w:jc w:val="both"/>
        <w:rPr>
          <w:lang w:val="en-AU"/>
        </w:rPr>
      </w:pPr>
      <w:r w:rsidRPr="006813DB">
        <w:rPr>
          <w:lang w:val="en-AU"/>
        </w:rPr>
        <w:t>Animal studies of the effect of CLOBEX Shampoo on</w:t>
      </w:r>
      <w:r>
        <w:rPr>
          <w:lang w:val="en-AU"/>
        </w:rPr>
        <w:t xml:space="preserve"> </w:t>
      </w:r>
      <w:r w:rsidRPr="006813DB">
        <w:rPr>
          <w:lang w:val="en-AU"/>
        </w:rPr>
        <w:t>embryofetal development have not been conducted. However, clobetasol propionate was</w:t>
      </w:r>
      <w:r w:rsidR="007F4D64">
        <w:rPr>
          <w:lang w:val="en-AU"/>
        </w:rPr>
        <w:t xml:space="preserve"> </w:t>
      </w:r>
      <w:r w:rsidRPr="006813DB">
        <w:rPr>
          <w:lang w:val="en-AU"/>
        </w:rPr>
        <w:t>shown to be teratogenic when administered topically or subcutaneously during</w:t>
      </w:r>
      <w:r w:rsidR="007F4D64">
        <w:rPr>
          <w:lang w:val="en-AU"/>
        </w:rPr>
        <w:t xml:space="preserve"> </w:t>
      </w:r>
      <w:r w:rsidRPr="006813DB">
        <w:rPr>
          <w:lang w:val="en-AU"/>
        </w:rPr>
        <w:t xml:space="preserve">organogenesis in mice, rats and rabbits. </w:t>
      </w:r>
      <w:proofErr w:type="spellStart"/>
      <w:r w:rsidRPr="006813DB">
        <w:rPr>
          <w:lang w:val="en-AU"/>
        </w:rPr>
        <w:t>Fetotoxicity</w:t>
      </w:r>
      <w:proofErr w:type="spellEnd"/>
      <w:r w:rsidRPr="006813DB">
        <w:rPr>
          <w:lang w:val="en-AU"/>
        </w:rPr>
        <w:t xml:space="preserve"> and </w:t>
      </w:r>
      <w:proofErr w:type="spellStart"/>
      <w:r w:rsidRPr="006813DB">
        <w:rPr>
          <w:lang w:val="en-AU"/>
        </w:rPr>
        <w:t>fetal</w:t>
      </w:r>
      <w:proofErr w:type="spellEnd"/>
      <w:r w:rsidRPr="006813DB">
        <w:rPr>
          <w:lang w:val="en-AU"/>
        </w:rPr>
        <w:t xml:space="preserve"> malformations (including</w:t>
      </w:r>
      <w:r w:rsidR="007F4D64">
        <w:rPr>
          <w:lang w:val="en-AU"/>
        </w:rPr>
        <w:t xml:space="preserve"> </w:t>
      </w:r>
      <w:r w:rsidRPr="006813DB">
        <w:rPr>
          <w:lang w:val="en-AU"/>
        </w:rPr>
        <w:t xml:space="preserve">skeletal abnormalities, cleft palate, </w:t>
      </w:r>
      <w:proofErr w:type="spellStart"/>
      <w:r w:rsidRPr="006813DB">
        <w:rPr>
          <w:lang w:val="en-AU"/>
        </w:rPr>
        <w:t>cranioschisis</w:t>
      </w:r>
      <w:proofErr w:type="spellEnd"/>
      <w:r w:rsidRPr="006813DB">
        <w:rPr>
          <w:lang w:val="en-AU"/>
        </w:rPr>
        <w:t xml:space="preserve"> or umbilical cord hernia) were observed</w:t>
      </w:r>
      <w:r w:rsidR="007F4D64">
        <w:rPr>
          <w:lang w:val="en-AU"/>
        </w:rPr>
        <w:t xml:space="preserve"> </w:t>
      </w:r>
      <w:r w:rsidRPr="006813DB">
        <w:rPr>
          <w:lang w:val="en-AU"/>
        </w:rPr>
        <w:t xml:space="preserve">in mice (30 </w:t>
      </w:r>
      <w:r w:rsidR="007F4D64">
        <w:rPr>
          <w:lang w:val="en-AU"/>
        </w:rPr>
        <w:t>µ</w:t>
      </w:r>
      <w:r w:rsidRPr="006813DB">
        <w:rPr>
          <w:lang w:val="en-AU"/>
        </w:rPr>
        <w:t>g/kg</w:t>
      </w:r>
      <w:r w:rsidR="007F4D64">
        <w:rPr>
          <w:lang w:val="en-AU"/>
        </w:rPr>
        <w:t>/</w:t>
      </w:r>
      <w:r w:rsidRPr="006813DB">
        <w:rPr>
          <w:lang w:val="en-AU"/>
        </w:rPr>
        <w:t>day SC), rats (</w:t>
      </w:r>
      <w:r w:rsidR="007F4D64">
        <w:rPr>
          <w:lang w:val="en-AU"/>
        </w:rPr>
        <w:t>50 µg/kg/</w:t>
      </w:r>
      <w:r w:rsidRPr="006813DB">
        <w:rPr>
          <w:lang w:val="en-AU"/>
        </w:rPr>
        <w:t xml:space="preserve">day topical) and rabbits (3 </w:t>
      </w:r>
      <w:r w:rsidR="007F4D64">
        <w:rPr>
          <w:lang w:val="en-AU"/>
        </w:rPr>
        <w:t>µ</w:t>
      </w:r>
      <w:r w:rsidRPr="006813DB">
        <w:rPr>
          <w:lang w:val="en-AU"/>
        </w:rPr>
        <w:t>g/kg</w:t>
      </w:r>
      <w:r w:rsidR="007F4D64">
        <w:rPr>
          <w:lang w:val="en-AU"/>
        </w:rPr>
        <w:t>/</w:t>
      </w:r>
      <w:r w:rsidRPr="006813DB">
        <w:rPr>
          <w:lang w:val="en-AU"/>
        </w:rPr>
        <w:t>day SC) at</w:t>
      </w:r>
      <w:r w:rsidR="007F4D64">
        <w:rPr>
          <w:lang w:val="en-AU"/>
        </w:rPr>
        <w:t xml:space="preserve"> </w:t>
      </w:r>
      <w:r w:rsidRPr="006813DB">
        <w:rPr>
          <w:lang w:val="en-AU"/>
        </w:rPr>
        <w:t>doses (on a mg/m</w:t>
      </w:r>
      <w:r w:rsidRPr="00131DE9">
        <w:rPr>
          <w:vertAlign w:val="superscript"/>
          <w:lang w:val="en-AU"/>
        </w:rPr>
        <w:t>2</w:t>
      </w:r>
      <w:r w:rsidRPr="006813DB">
        <w:rPr>
          <w:lang w:val="en-AU"/>
        </w:rPr>
        <w:t xml:space="preserve"> basis) less than the maximum human topical dose.</w:t>
      </w:r>
    </w:p>
    <w:p w:rsidR="006813DB" w:rsidRDefault="006813DB" w:rsidP="0092535E">
      <w:pPr>
        <w:spacing w:before="120" w:after="120"/>
        <w:jc w:val="both"/>
        <w:rPr>
          <w:lang w:val="en-AU"/>
        </w:rPr>
      </w:pPr>
      <w:r w:rsidRPr="006813DB">
        <w:rPr>
          <w:lang w:val="en-AU"/>
        </w:rPr>
        <w:t>There are no adequate or well-controlled studies of clo</w:t>
      </w:r>
      <w:r w:rsidR="007F4D64">
        <w:rPr>
          <w:lang w:val="en-AU"/>
        </w:rPr>
        <w:t xml:space="preserve">betasol propionate in pregnant </w:t>
      </w:r>
      <w:r w:rsidRPr="006813DB">
        <w:rPr>
          <w:lang w:val="en-AU"/>
        </w:rPr>
        <w:t>women. Studies in animals have shown reproductive toxicity. The clinical relevance of the</w:t>
      </w:r>
      <w:r w:rsidR="007F4D64">
        <w:rPr>
          <w:lang w:val="en-AU"/>
        </w:rPr>
        <w:t xml:space="preserve"> </w:t>
      </w:r>
      <w:r w:rsidRPr="006813DB">
        <w:rPr>
          <w:lang w:val="en-AU"/>
        </w:rPr>
        <w:t>effects of clobetasol and other corticosteroids in developmental animal studies is</w:t>
      </w:r>
      <w:r w:rsidR="007F4D64">
        <w:rPr>
          <w:lang w:val="en-AU"/>
        </w:rPr>
        <w:t xml:space="preserve"> </w:t>
      </w:r>
      <w:r w:rsidRPr="006813DB">
        <w:rPr>
          <w:lang w:val="en-AU"/>
        </w:rPr>
        <w:t>unknown. CLOBEX Shampoo should be avoided during pregnancy, unless</w:t>
      </w:r>
      <w:r w:rsidR="007F4D64">
        <w:rPr>
          <w:lang w:val="en-AU"/>
        </w:rPr>
        <w:t xml:space="preserve"> </w:t>
      </w:r>
      <w:r w:rsidRPr="006813DB">
        <w:rPr>
          <w:lang w:val="en-AU"/>
        </w:rPr>
        <w:t>clearly necessary.</w:t>
      </w:r>
    </w:p>
    <w:p w:rsidR="00E37547" w:rsidRDefault="00E37547" w:rsidP="0092535E">
      <w:pPr>
        <w:pStyle w:val="Heading3"/>
      </w:pPr>
      <w:r>
        <w:t>Use in Lactation</w:t>
      </w:r>
    </w:p>
    <w:p w:rsidR="00F30152" w:rsidRPr="00F30152" w:rsidRDefault="00F30152" w:rsidP="0092535E">
      <w:pPr>
        <w:spacing w:after="120"/>
        <w:jc w:val="both"/>
        <w:rPr>
          <w:lang w:val="en-AU"/>
        </w:rPr>
      </w:pPr>
      <w:r w:rsidRPr="00F30152">
        <w:rPr>
          <w:lang w:val="en-AU"/>
        </w:rPr>
        <w:t>Systemically administered corticosteroids pass into breast milk. There are no adequate</w:t>
      </w:r>
      <w:r>
        <w:rPr>
          <w:lang w:val="en-AU"/>
        </w:rPr>
        <w:t xml:space="preserve"> </w:t>
      </w:r>
      <w:r w:rsidRPr="00F30152">
        <w:rPr>
          <w:lang w:val="en-AU"/>
        </w:rPr>
        <w:t>data on the possible milk transfer of topical clobetasol propionate. However, studies in rats</w:t>
      </w:r>
      <w:r>
        <w:rPr>
          <w:lang w:val="en-AU"/>
        </w:rPr>
        <w:t xml:space="preserve"> </w:t>
      </w:r>
      <w:r w:rsidRPr="00F30152">
        <w:rPr>
          <w:lang w:val="en-AU"/>
        </w:rPr>
        <w:t>(see below) have shown postnatal pup effects following subcutaneous maternal dosing</w:t>
      </w:r>
      <w:r w:rsidR="00D73BD7">
        <w:rPr>
          <w:lang w:val="en-AU"/>
        </w:rPr>
        <w:t xml:space="preserve"> </w:t>
      </w:r>
      <w:r w:rsidRPr="00F30152">
        <w:rPr>
          <w:lang w:val="en-AU"/>
        </w:rPr>
        <w:t xml:space="preserve">during weaning. Thus, CLOBEX </w:t>
      </w:r>
      <w:r w:rsidR="00D73BD7">
        <w:rPr>
          <w:lang w:val="en-AU"/>
        </w:rPr>
        <w:t>S</w:t>
      </w:r>
      <w:r w:rsidRPr="00F30152">
        <w:rPr>
          <w:lang w:val="en-AU"/>
        </w:rPr>
        <w:t>hampoo should be avoided in breastfeeding</w:t>
      </w:r>
      <w:r w:rsidR="00D73BD7">
        <w:rPr>
          <w:lang w:val="en-AU"/>
        </w:rPr>
        <w:t xml:space="preserve"> </w:t>
      </w:r>
      <w:r w:rsidRPr="00F30152">
        <w:rPr>
          <w:lang w:val="en-AU"/>
        </w:rPr>
        <w:t>women, unless clearly necessary.</w:t>
      </w:r>
    </w:p>
    <w:p w:rsidR="00E37547" w:rsidRDefault="00E37547" w:rsidP="0092535E">
      <w:pPr>
        <w:pStyle w:val="Heading3"/>
      </w:pPr>
      <w:r>
        <w:t>Use in Children</w:t>
      </w:r>
    </w:p>
    <w:p w:rsidR="00E37547" w:rsidRDefault="00C2216A">
      <w:pPr>
        <w:tabs>
          <w:tab w:val="left" w:pos="7806"/>
        </w:tabs>
        <w:jc w:val="both"/>
      </w:pPr>
      <w:r>
        <w:t xml:space="preserve">The experience in the </w:t>
      </w:r>
      <w:proofErr w:type="spellStart"/>
      <w:r>
        <w:t>paediatric</w:t>
      </w:r>
      <w:proofErr w:type="spellEnd"/>
      <w:r>
        <w:t xml:space="preserve"> population is limited. CLOBEX shampoo is not recommended for use in children and adolescents below 18 years of age.</w:t>
      </w:r>
      <w:r w:rsidR="00E37547">
        <w:t xml:space="preserve">  Because of a higher ratio of skin surface area to body mass, children are at a greater risk than adults of HPA axis suppression when they are treated with topical corticosteroids. </w:t>
      </w:r>
      <w:r w:rsidR="00E37547">
        <w:lastRenderedPageBreak/>
        <w:t>They are also at greater risk of adrenal insufficiency after withdrawal of treatment, and of Cushing’s syndrome while on treatment.</w:t>
      </w:r>
    </w:p>
    <w:p w:rsidR="00E37547" w:rsidRDefault="00E37547" w:rsidP="0092535E">
      <w:pPr>
        <w:pStyle w:val="Heading3"/>
      </w:pPr>
      <w:r>
        <w:t>Use in the Elderly</w:t>
      </w:r>
    </w:p>
    <w:p w:rsidR="00E37547" w:rsidRDefault="00E37547">
      <w:pPr>
        <w:pStyle w:val="BodyText21"/>
        <w:rPr>
          <w:rFonts w:ascii="Times New Roman" w:hAnsi="Times New Roman"/>
          <w:lang w:val="en-GB"/>
        </w:rPr>
      </w:pPr>
      <w:r>
        <w:rPr>
          <w:rFonts w:ascii="Times New Roman" w:hAnsi="Times New Roman"/>
          <w:lang w:val="en-GB"/>
        </w:rPr>
        <w:t>No specific studies have been performed.</w:t>
      </w:r>
    </w:p>
    <w:p w:rsidR="00E37547" w:rsidRDefault="00E37547" w:rsidP="0092535E">
      <w:pPr>
        <w:pStyle w:val="Heading3"/>
        <w:rPr>
          <w:lang w:val="en-GB"/>
        </w:rPr>
      </w:pPr>
      <w:r>
        <w:rPr>
          <w:lang w:val="en-GB"/>
        </w:rPr>
        <w:t>Use in renal or hepatic impairment</w:t>
      </w:r>
    </w:p>
    <w:p w:rsidR="00E37547" w:rsidRDefault="00E37547">
      <w:pPr>
        <w:pStyle w:val="BodyText21"/>
        <w:rPr>
          <w:rFonts w:ascii="Times New Roman" w:hAnsi="Times New Roman"/>
          <w:lang w:val="en-GB"/>
        </w:rPr>
      </w:pPr>
      <w:r>
        <w:rPr>
          <w:rFonts w:ascii="Times New Roman" w:hAnsi="Times New Roman"/>
          <w:lang w:val="en-GB"/>
        </w:rPr>
        <w:t xml:space="preserve">No specific studies have been performed. </w:t>
      </w:r>
      <w:r>
        <w:rPr>
          <w:rFonts w:ascii="Times New Roman" w:hAnsi="Times New Roman"/>
          <w:lang w:val="en-US"/>
        </w:rPr>
        <w:t>Patients with severe liver dysfunction and severe diabetes mellitus should be treated with special caution and closely monitored for side effects.</w:t>
      </w:r>
    </w:p>
    <w:p w:rsidR="00C2216A" w:rsidRDefault="00C2216A" w:rsidP="0092535E">
      <w:pPr>
        <w:pStyle w:val="Heading3"/>
      </w:pPr>
      <w:proofErr w:type="spellStart"/>
      <w:r>
        <w:t>Genotoxicity</w:t>
      </w:r>
      <w:proofErr w:type="spellEnd"/>
    </w:p>
    <w:p w:rsidR="00E37547" w:rsidRDefault="00C2216A">
      <w:r>
        <w:t xml:space="preserve">Clobetasol propionate did not demonstrate any </w:t>
      </w:r>
      <w:proofErr w:type="spellStart"/>
      <w:r>
        <w:t>genotoxic</w:t>
      </w:r>
      <w:proofErr w:type="spellEnd"/>
      <w:r>
        <w:t xml:space="preserve"> potential </w:t>
      </w:r>
      <w:r>
        <w:rPr>
          <w:i/>
        </w:rPr>
        <w:t>in vitro</w:t>
      </w:r>
      <w:r>
        <w:t xml:space="preserve"> (Ames, fluctuation and gene conversion tests and chromosome aberration assay) or </w:t>
      </w:r>
      <w:r>
        <w:rPr>
          <w:i/>
        </w:rPr>
        <w:t>in vivo</w:t>
      </w:r>
      <w:r>
        <w:t xml:space="preserve"> (mouse micronucleus test).</w:t>
      </w:r>
    </w:p>
    <w:p w:rsidR="00E37547" w:rsidRDefault="0092535E" w:rsidP="0092535E">
      <w:pPr>
        <w:pStyle w:val="Heading3"/>
      </w:pPr>
      <w:r>
        <w:t>Carcinogenicity</w:t>
      </w:r>
    </w:p>
    <w:p w:rsidR="00E37547" w:rsidRDefault="00D73BD7">
      <w:pPr>
        <w:keepNext/>
        <w:keepLines/>
        <w:jc w:val="both"/>
      </w:pPr>
      <w:r>
        <w:t>Long term rodent carcinogenicity studies have not been conducted with CLOBEX Shampoo</w:t>
      </w:r>
      <w:r w:rsidR="002C226A">
        <w:t xml:space="preserve">. </w:t>
      </w:r>
      <w:r>
        <w:t>However,</w:t>
      </w:r>
      <w:r w:rsidR="002C226A">
        <w:t xml:space="preserve"> a</w:t>
      </w:r>
      <w:r>
        <w:t xml:space="preserve"> c</w:t>
      </w:r>
      <w:r w:rsidR="00E37547">
        <w:t xml:space="preserve">lobetasol propionate </w:t>
      </w:r>
      <w:r>
        <w:t xml:space="preserve">lotion formulation </w:t>
      </w:r>
      <w:r w:rsidR="00E37547">
        <w:t>had no carcinogenic potential when applied topically to rats for 2 years</w:t>
      </w:r>
      <w:r>
        <w:t xml:space="preserve"> at doses (on a mg/m</w:t>
      </w:r>
      <w:r w:rsidRPr="00D73BD7">
        <w:rPr>
          <w:vertAlign w:val="superscript"/>
        </w:rPr>
        <w:t>2</w:t>
      </w:r>
      <w:r>
        <w:t xml:space="preserve"> basis) corresponding to less than one thirtieth of the maximum human topical dose</w:t>
      </w:r>
      <w:r w:rsidR="00E37547">
        <w:t xml:space="preserve">.  </w:t>
      </w:r>
    </w:p>
    <w:p w:rsidR="00E37547" w:rsidRDefault="00E37547" w:rsidP="0092535E">
      <w:pPr>
        <w:pStyle w:val="Heading3"/>
      </w:pPr>
      <w:r>
        <w:t>Effect on Ability to Drive and Use Machines</w:t>
      </w:r>
    </w:p>
    <w:p w:rsidR="00E37547" w:rsidRDefault="00E37547">
      <w:pPr>
        <w:ind w:right="56"/>
        <w:jc w:val="both"/>
      </w:pPr>
      <w:r>
        <w:t>As a topical corticosteroid, CLOBEX Shampoo has no or negligible influence on the ability to drive and use machines.</w:t>
      </w:r>
    </w:p>
    <w:p w:rsidR="00E37547" w:rsidRDefault="00E37547" w:rsidP="0092535E">
      <w:pPr>
        <w:pStyle w:val="Heading2"/>
      </w:pPr>
      <w:r>
        <w:t>INTERACTIONS WITH OTHER MEDICINES</w:t>
      </w:r>
    </w:p>
    <w:p w:rsidR="00E37547" w:rsidRDefault="00E37547">
      <w:pPr>
        <w:ind w:right="56"/>
        <w:rPr>
          <w:lang w:val="en-AU"/>
        </w:rPr>
      </w:pPr>
      <w:r>
        <w:rPr>
          <w:lang w:val="en-AU"/>
        </w:rPr>
        <w:t>No interaction studies have been performed</w:t>
      </w:r>
    </w:p>
    <w:p w:rsidR="00E37547" w:rsidRDefault="00E37547" w:rsidP="0092535E">
      <w:pPr>
        <w:pStyle w:val="Heading2"/>
      </w:pPr>
      <w:r>
        <w:t>ADVERSE EFFECTS</w:t>
      </w:r>
    </w:p>
    <w:p w:rsidR="00E37547" w:rsidRDefault="00E37547">
      <w:pPr>
        <w:jc w:val="both"/>
      </w:pPr>
      <w:r>
        <w:t>During clinical development, in a total of 558 patients receiving CLOBEX Shampoo, the most commonly reported adverse drug reaction was skin discomfort with an incidence of approximately 5%.</w:t>
      </w:r>
      <w:r>
        <w:rPr>
          <w:rFonts w:ascii="Arial Narrow" w:hAnsi="Arial Narrow"/>
          <w:sz w:val="20"/>
        </w:rPr>
        <w:t xml:space="preserve"> </w:t>
      </w:r>
      <w:r>
        <w:t>Most adverse events were rated as mild to moderate and they were not affected by race or gender. Clinical signs of irritation were</w:t>
      </w:r>
      <w:r>
        <w:rPr>
          <w:rFonts w:ascii="Times New Roman Bold Italic" w:hAnsi="Times New Roman Bold Italic"/>
        </w:rPr>
        <w:t xml:space="preserve"> </w:t>
      </w:r>
      <w:r>
        <w:t>uncommon (0.5%). No serious drug-related adverse events were reported during any of the clinical trials.</w:t>
      </w:r>
    </w:p>
    <w:p w:rsidR="00E37547" w:rsidRDefault="00E37547" w:rsidP="00E15F3B">
      <w:pPr>
        <w:spacing w:before="120" w:after="120"/>
        <w:jc w:val="both"/>
      </w:pPr>
      <w:r>
        <w:t xml:space="preserve">If signs of local intolerance appear, application should be suspended until they disappear. If signs of hypersensitivity appear, application should be stopped immediately. </w:t>
      </w:r>
    </w:p>
    <w:p w:rsidR="00E37547" w:rsidRDefault="00E37547">
      <w:pPr>
        <w:pStyle w:val="BodyA"/>
        <w:keepNext/>
        <w:spacing w:after="60"/>
        <w:jc w:val="both"/>
        <w:rPr>
          <w:rFonts w:ascii="Times New Roman" w:hAnsi="Times New Roman"/>
        </w:rPr>
      </w:pPr>
      <w:r>
        <w:rPr>
          <w:rFonts w:ascii="Times New Roman" w:hAnsi="Times New Roman"/>
        </w:rPr>
        <w:t xml:space="preserve">Table 2 below reports the adverse reactions related to treatment by body system and by absolute frequency according to the following classification: </w:t>
      </w:r>
    </w:p>
    <w:p w:rsidR="00E37547" w:rsidRDefault="00E37547">
      <w:pPr>
        <w:pStyle w:val="BodyA"/>
        <w:keepNext/>
        <w:spacing w:after="60"/>
        <w:jc w:val="both"/>
        <w:rPr>
          <w:rFonts w:ascii="Times New Roman" w:hAnsi="Times New Roman"/>
        </w:rPr>
      </w:pPr>
      <w:r>
        <w:rPr>
          <w:rFonts w:ascii="Times New Roman" w:hAnsi="Times New Roman"/>
        </w:rPr>
        <w:t xml:space="preserve">Very common </w:t>
      </w:r>
      <w:r>
        <w:t>≥</w:t>
      </w:r>
      <w:r>
        <w:rPr>
          <w:rFonts w:ascii="Times New Roman" w:hAnsi="Times New Roman"/>
        </w:rPr>
        <w:t xml:space="preserve"> 10%</w:t>
      </w:r>
    </w:p>
    <w:p w:rsidR="00E37547" w:rsidRDefault="00E37547">
      <w:pPr>
        <w:pStyle w:val="BodyA"/>
        <w:keepNext/>
        <w:spacing w:after="60"/>
        <w:jc w:val="both"/>
        <w:rPr>
          <w:rFonts w:ascii="Times New Roman" w:hAnsi="Times New Roman"/>
        </w:rPr>
      </w:pPr>
      <w:r>
        <w:rPr>
          <w:rFonts w:ascii="Times New Roman" w:hAnsi="Times New Roman"/>
        </w:rPr>
        <w:t xml:space="preserve">Common </w:t>
      </w:r>
      <w:r>
        <w:t>≥</w:t>
      </w:r>
      <w:r>
        <w:rPr>
          <w:rFonts w:ascii="Times New Roman" w:hAnsi="Times New Roman"/>
        </w:rPr>
        <w:t xml:space="preserve"> 1% to &lt; 10%</w:t>
      </w:r>
    </w:p>
    <w:p w:rsidR="00E15F3B" w:rsidRDefault="00E37547" w:rsidP="001A757D">
      <w:pPr>
        <w:pStyle w:val="BodyA"/>
        <w:keepNext/>
        <w:spacing w:after="100" w:afterAutospacing="1"/>
        <w:jc w:val="both"/>
        <w:rPr>
          <w:rFonts w:ascii="Times New Roman Bold" w:hAnsi="Times New Roman Bold"/>
        </w:rPr>
      </w:pPr>
      <w:r>
        <w:rPr>
          <w:rFonts w:ascii="Times New Roman" w:hAnsi="Times New Roman"/>
        </w:rPr>
        <w:t xml:space="preserve">Uncommon </w:t>
      </w:r>
      <w:r>
        <w:t>≥</w:t>
      </w:r>
      <w:r>
        <w:rPr>
          <w:rFonts w:ascii="Times New Roman" w:hAnsi="Times New Roman"/>
        </w:rPr>
        <w:t>0.1% to &lt;1%</w:t>
      </w:r>
      <w:r w:rsidR="00E15F3B">
        <w:rPr>
          <w:rFonts w:ascii="Times New Roman Bold" w:hAnsi="Times New Roman Bold"/>
        </w:rPr>
        <w:br w:type="page"/>
      </w:r>
    </w:p>
    <w:p w:rsidR="00E37547" w:rsidRDefault="00E37547">
      <w:pPr>
        <w:ind w:right="340"/>
        <w:jc w:val="both"/>
        <w:rPr>
          <w:rFonts w:ascii="Times New Roman Bold" w:hAnsi="Times New Roman Bold"/>
        </w:rPr>
      </w:pPr>
      <w:r>
        <w:rPr>
          <w:rFonts w:ascii="Times New Roman Bold" w:hAnsi="Times New Roman Bold"/>
        </w:rPr>
        <w:lastRenderedPageBreak/>
        <w:t xml:space="preserve">Table </w:t>
      </w:r>
      <w:r w:rsidR="00653328">
        <w:rPr>
          <w:rFonts w:ascii="Times New Roman Bold" w:hAnsi="Times New Roman Bold"/>
        </w:rPr>
        <w:t>4</w:t>
      </w:r>
      <w:r>
        <w:rPr>
          <w:rFonts w:ascii="Times New Roman Bold" w:hAnsi="Times New Roman Bold"/>
        </w:rPr>
        <w:t>:</w:t>
      </w:r>
    </w:p>
    <w:tbl>
      <w:tblPr>
        <w:tblW w:w="0" w:type="auto"/>
        <w:tblInd w:w="5" w:type="dxa"/>
        <w:shd w:val="clear" w:color="auto" w:fill="FFFFFF"/>
        <w:tblLayout w:type="fixed"/>
        <w:tblLook w:val="0000"/>
      </w:tblPr>
      <w:tblGrid>
        <w:gridCol w:w="2350"/>
        <w:gridCol w:w="2654"/>
        <w:gridCol w:w="3183"/>
      </w:tblGrid>
      <w:tr w:rsidR="00E37547">
        <w:trPr>
          <w:cantSplit/>
          <w:trHeight w:val="580"/>
        </w:trPr>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tabs>
                <w:tab w:val="left" w:pos="567"/>
              </w:tabs>
              <w:ind w:right="340"/>
              <w:jc w:val="both"/>
              <w:rPr>
                <w:rFonts w:ascii="Times New Roman Bold" w:hAnsi="Times New Roman Bold"/>
              </w:rPr>
            </w:pPr>
            <w:r>
              <w:rPr>
                <w:rFonts w:ascii="Times New Roman Bold" w:hAnsi="Times New Roman Bold"/>
              </w:rPr>
              <w:t>Body System</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tabs>
                <w:tab w:val="left" w:pos="567"/>
              </w:tabs>
              <w:ind w:right="340"/>
              <w:jc w:val="both"/>
              <w:rPr>
                <w:rFonts w:ascii="Times New Roman Bold" w:hAnsi="Times New Roman Bold"/>
              </w:rPr>
            </w:pPr>
            <w:r>
              <w:rPr>
                <w:rFonts w:ascii="Times New Roman Bold" w:hAnsi="Times New Roman Bold"/>
              </w:rPr>
              <w:t>Incidence</w:t>
            </w:r>
          </w:p>
        </w:tc>
        <w:tc>
          <w:tcPr>
            <w:tcW w:w="3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tabs>
                <w:tab w:val="left" w:pos="567"/>
              </w:tabs>
              <w:ind w:right="340"/>
              <w:jc w:val="both"/>
              <w:rPr>
                <w:rFonts w:ascii="Times New Roman Bold" w:hAnsi="Times New Roman Bold"/>
              </w:rPr>
            </w:pPr>
            <w:r>
              <w:rPr>
                <w:rFonts w:ascii="Times New Roman Bold" w:hAnsi="Times New Roman Bold"/>
              </w:rPr>
              <w:t xml:space="preserve">Adverse reactions </w:t>
            </w:r>
          </w:p>
          <w:p w:rsidR="00E37547" w:rsidRDefault="00E37547">
            <w:pPr>
              <w:tabs>
                <w:tab w:val="left" w:pos="567"/>
              </w:tabs>
              <w:ind w:right="340"/>
              <w:jc w:val="both"/>
            </w:pPr>
          </w:p>
        </w:tc>
      </w:tr>
      <w:tr w:rsidR="00E37547">
        <w:trPr>
          <w:cantSplit/>
          <w:trHeight w:val="580"/>
        </w:trPr>
        <w:tc>
          <w:tcPr>
            <w:tcW w:w="23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tabs>
                <w:tab w:val="left" w:pos="567"/>
              </w:tabs>
              <w:ind w:right="340"/>
            </w:pPr>
            <w:r>
              <w:t>Skin and subcutaneous tissue disorders</w:t>
            </w:r>
          </w:p>
          <w:p w:rsidR="00E37547" w:rsidRDefault="00E37547">
            <w:pPr>
              <w:tabs>
                <w:tab w:val="left" w:pos="567"/>
              </w:tabs>
              <w:spacing w:line="260" w:lineRule="exact"/>
              <w:ind w:right="340"/>
            </w:pP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tabs>
                <w:tab w:val="left" w:pos="567"/>
              </w:tabs>
              <w:ind w:right="340"/>
              <w:jc w:val="both"/>
            </w:pPr>
            <w:r>
              <w:t>Common</w:t>
            </w:r>
          </w:p>
          <w:p w:rsidR="00E37547" w:rsidRDefault="00E37547">
            <w:pPr>
              <w:tabs>
                <w:tab w:val="left" w:pos="567"/>
              </w:tabs>
              <w:spacing w:line="260" w:lineRule="exact"/>
              <w:ind w:right="340"/>
              <w:jc w:val="both"/>
            </w:pPr>
          </w:p>
        </w:tc>
        <w:tc>
          <w:tcPr>
            <w:tcW w:w="3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tabs>
                <w:tab w:val="left" w:pos="567"/>
              </w:tabs>
              <w:ind w:right="340"/>
              <w:jc w:val="both"/>
            </w:pPr>
            <w:r>
              <w:t>Skin discomfort</w:t>
            </w:r>
          </w:p>
          <w:p w:rsidR="00E37547" w:rsidRDefault="00E37547">
            <w:pPr>
              <w:tabs>
                <w:tab w:val="left" w:pos="567"/>
              </w:tabs>
              <w:ind w:right="340"/>
              <w:jc w:val="both"/>
            </w:pPr>
            <w:r>
              <w:t>Acne/folliculitis</w:t>
            </w:r>
          </w:p>
        </w:tc>
      </w:tr>
      <w:tr w:rsidR="00E37547">
        <w:trPr>
          <w:cantSplit/>
          <w:trHeight w:val="1470"/>
        </w:trPr>
        <w:tc>
          <w:tcPr>
            <w:tcW w:w="2350"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340" w:type="dxa"/>
            </w:tcMar>
          </w:tcPr>
          <w:p w:rsidR="00E37547" w:rsidRDefault="00E37547">
            <w:pPr>
              <w:tabs>
                <w:tab w:val="left" w:pos="567"/>
              </w:tabs>
              <w:ind w:right="340"/>
            </w:pP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tabs>
                <w:tab w:val="left" w:pos="567"/>
              </w:tabs>
              <w:spacing w:line="260" w:lineRule="exact"/>
              <w:ind w:right="340"/>
              <w:jc w:val="both"/>
            </w:pPr>
            <w:r>
              <w:t>Uncommon</w:t>
            </w:r>
          </w:p>
        </w:tc>
        <w:tc>
          <w:tcPr>
            <w:tcW w:w="3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tabs>
                <w:tab w:val="left" w:pos="567"/>
              </w:tabs>
              <w:ind w:right="340"/>
              <w:jc w:val="both"/>
            </w:pPr>
            <w:r>
              <w:t>Local signs of irritation</w:t>
            </w:r>
          </w:p>
          <w:p w:rsidR="00E37547" w:rsidRDefault="00E37547">
            <w:pPr>
              <w:tabs>
                <w:tab w:val="left" w:pos="567"/>
              </w:tabs>
              <w:ind w:right="340"/>
              <w:jc w:val="both"/>
            </w:pPr>
            <w:r>
              <w:t>Pruritus</w:t>
            </w:r>
          </w:p>
          <w:p w:rsidR="00E37547" w:rsidRDefault="00E37547">
            <w:pPr>
              <w:tabs>
                <w:tab w:val="left" w:pos="567"/>
              </w:tabs>
              <w:ind w:right="340"/>
              <w:jc w:val="both"/>
            </w:pPr>
            <w:r>
              <w:t>Urticaria</w:t>
            </w:r>
          </w:p>
          <w:p w:rsidR="00E37547" w:rsidRDefault="00E37547">
            <w:pPr>
              <w:tabs>
                <w:tab w:val="left" w:pos="567"/>
              </w:tabs>
              <w:ind w:right="340"/>
              <w:jc w:val="both"/>
            </w:pPr>
            <w:r>
              <w:t>Telangiectasia</w:t>
            </w:r>
          </w:p>
          <w:p w:rsidR="00E37547" w:rsidRDefault="00E37547">
            <w:pPr>
              <w:tabs>
                <w:tab w:val="left" w:pos="567"/>
              </w:tabs>
              <w:ind w:right="340"/>
              <w:jc w:val="both"/>
            </w:pPr>
            <w:r>
              <w:t>Skin atrophy</w:t>
            </w:r>
          </w:p>
        </w:tc>
      </w:tr>
      <w:tr w:rsidR="00E37547">
        <w:trPr>
          <w:cantSplit/>
          <w:trHeight w:val="560"/>
        </w:trPr>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tabs>
                <w:tab w:val="left" w:pos="567"/>
              </w:tabs>
              <w:ind w:right="340"/>
            </w:pPr>
            <w:r>
              <w:t>Eye disorders</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tabs>
                <w:tab w:val="left" w:pos="567"/>
              </w:tabs>
              <w:ind w:right="340"/>
              <w:jc w:val="both"/>
            </w:pPr>
            <w:r>
              <w:t>Common</w:t>
            </w:r>
          </w:p>
          <w:p w:rsidR="00E37547" w:rsidRDefault="00E37547">
            <w:pPr>
              <w:tabs>
                <w:tab w:val="left" w:pos="567"/>
              </w:tabs>
              <w:spacing w:line="260" w:lineRule="exact"/>
              <w:ind w:right="340"/>
              <w:jc w:val="both"/>
            </w:pPr>
          </w:p>
        </w:tc>
        <w:tc>
          <w:tcPr>
            <w:tcW w:w="3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37547" w:rsidRDefault="00E37547">
            <w:pPr>
              <w:tabs>
                <w:tab w:val="left" w:pos="567"/>
              </w:tabs>
              <w:ind w:right="340"/>
              <w:jc w:val="both"/>
            </w:pPr>
            <w:r>
              <w:t>Eye stinging/burning</w:t>
            </w:r>
          </w:p>
        </w:tc>
      </w:tr>
    </w:tbl>
    <w:p w:rsidR="00E37547" w:rsidRDefault="00E37547" w:rsidP="00E15F3B">
      <w:pPr>
        <w:spacing w:before="120"/>
        <w:jc w:val="both"/>
      </w:pPr>
      <w:r>
        <w:t xml:space="preserve">As a class attribution, prolonged use of topical corticosteroids, treatment of extensive areas or use of large amounts can result in sufficient systemic absorption to produce the features of </w:t>
      </w:r>
      <w:proofErr w:type="spellStart"/>
      <w:r>
        <w:t>hypercortisolism</w:t>
      </w:r>
      <w:proofErr w:type="spellEnd"/>
      <w:r>
        <w:t xml:space="preserve"> (Cushing syndrome) or of Hypothalamus-Pituitary-Adrenal (HPA) axis suppression. Should HPA axis suppression occur, it is likely to be transient with a rapid return to normal values.</w:t>
      </w:r>
      <w:r>
        <w:rPr>
          <w:rFonts w:ascii="Times New Roman Bold Italic" w:hAnsi="Times New Roman Bold Italic"/>
        </w:rPr>
        <w:t xml:space="preserve"> </w:t>
      </w:r>
      <w:r>
        <w:t xml:space="preserve">However, as CLOBEX Shampoo is to be kept in place for only 15 minutes before rinsing, systemic absorption is seldom observed, see </w:t>
      </w:r>
      <w:r>
        <w:rPr>
          <w:rFonts w:ascii="Times New Roman Bold" w:hAnsi="Times New Roman Bold"/>
        </w:rPr>
        <w:t>Pharmacokinetics</w:t>
      </w:r>
      <w:r>
        <w:t>, and therefore, the risk of appearance of HPA axis suppression is very low compared to non rinsed potent corticosteroids products. No HPA axis suppression has been observed during clinical trials with CLOBEX Shampoo.</w:t>
      </w:r>
    </w:p>
    <w:p w:rsidR="00E37547" w:rsidRDefault="00E37547" w:rsidP="00E15F3B">
      <w:pPr>
        <w:spacing w:before="120" w:after="120"/>
        <w:ind w:right="57"/>
        <w:jc w:val="both"/>
      </w:pPr>
      <w:r>
        <w:t xml:space="preserve">Prolonged and/or intensive treatment with potent corticosteroid preparations may cause local atrophic changes, such as local skin atrophy, </w:t>
      </w:r>
      <w:proofErr w:type="spellStart"/>
      <w:r>
        <w:t>striae</w:t>
      </w:r>
      <w:proofErr w:type="spellEnd"/>
      <w:r>
        <w:t xml:space="preserve">, </w:t>
      </w:r>
      <w:proofErr w:type="spellStart"/>
      <w:r>
        <w:t>telangiectasia</w:t>
      </w:r>
      <w:proofErr w:type="spellEnd"/>
      <w:r>
        <w:t xml:space="preserve">, </w:t>
      </w:r>
      <w:proofErr w:type="spellStart"/>
      <w:r>
        <w:t>erythema</w:t>
      </w:r>
      <w:proofErr w:type="spellEnd"/>
      <w:r>
        <w:t xml:space="preserve">, </w:t>
      </w:r>
      <w:proofErr w:type="spellStart"/>
      <w:r>
        <w:t>purpura</w:t>
      </w:r>
      <w:proofErr w:type="spellEnd"/>
      <w:r>
        <w:t xml:space="preserve">, contact dermatitis. </w:t>
      </w:r>
    </w:p>
    <w:p w:rsidR="00E37547" w:rsidRDefault="00E37547" w:rsidP="00E15F3B">
      <w:pPr>
        <w:spacing w:before="120" w:after="120"/>
        <w:ind w:right="57"/>
        <w:jc w:val="both"/>
      </w:pPr>
      <w:r>
        <w:t>When applied to the face, very potent corticosteroids can induce perioral dermatitis, skin atrophy or worsen rosacea. During development of CLOBEX Shampoo, skin atrophy was assessed using ultrasound measurement of skin thickness in a specific clinical trial involving 13 patients. After 4 weeks of treatment with CLOBEX Shampoo, no skin thinning was observed.</w:t>
      </w:r>
    </w:p>
    <w:p w:rsidR="00E37547" w:rsidRDefault="00E37547">
      <w:pPr>
        <w:jc w:val="both"/>
      </w:pPr>
      <w:r>
        <w:t xml:space="preserve">There are reports of pigmentation changes, acne, </w:t>
      </w:r>
      <w:proofErr w:type="spellStart"/>
      <w:r>
        <w:t>pustular</w:t>
      </w:r>
      <w:proofErr w:type="spellEnd"/>
      <w:r>
        <w:t xml:space="preserve"> eruptions and </w:t>
      </w:r>
      <w:proofErr w:type="spellStart"/>
      <w:r>
        <w:t>hypertrichosis</w:t>
      </w:r>
      <w:proofErr w:type="spellEnd"/>
      <w:r>
        <w:t xml:space="preserve"> with topical corticosteroids.</w:t>
      </w:r>
    </w:p>
    <w:p w:rsidR="00E37547" w:rsidRDefault="00E37547" w:rsidP="00E15F3B">
      <w:pPr>
        <w:pStyle w:val="Heading3"/>
      </w:pPr>
      <w:r>
        <w:t xml:space="preserve">Post-marketing safety experience </w:t>
      </w:r>
    </w:p>
    <w:p w:rsidR="00E37547" w:rsidRPr="003A53DF" w:rsidRDefault="00E37547">
      <w:pPr>
        <w:tabs>
          <w:tab w:val="left" w:pos="0"/>
          <w:tab w:val="left" w:pos="0"/>
          <w:tab w:val="left" w:pos="720"/>
        </w:tabs>
        <w:jc w:val="both"/>
        <w:rPr>
          <w:lang w:val="en-AU"/>
        </w:rPr>
      </w:pPr>
      <w:r w:rsidRPr="003A53DF">
        <w:rPr>
          <w:lang w:val="en-AU"/>
        </w:rPr>
        <w:t xml:space="preserve">Manifestations of Cushing’s syndrome have been described in post market reports following long term duration of use of clobetasol propionate. In addition, a report of adrenal suppression has been reported following long-term use in an off label indication (lichen </w:t>
      </w:r>
      <w:proofErr w:type="spellStart"/>
      <w:r w:rsidRPr="003A53DF">
        <w:rPr>
          <w:lang w:val="en-AU"/>
        </w:rPr>
        <w:t>planus</w:t>
      </w:r>
      <w:proofErr w:type="spellEnd"/>
      <w:r w:rsidRPr="003A53DF">
        <w:rPr>
          <w:lang w:val="en-AU"/>
        </w:rPr>
        <w:t>).</w:t>
      </w:r>
    </w:p>
    <w:p w:rsidR="00E37547" w:rsidRPr="003A53DF" w:rsidRDefault="00E37547">
      <w:pPr>
        <w:tabs>
          <w:tab w:val="left" w:pos="0"/>
          <w:tab w:val="left" w:pos="0"/>
          <w:tab w:val="left" w:pos="720"/>
        </w:tabs>
        <w:jc w:val="both"/>
        <w:rPr>
          <w:lang w:val="en-AU"/>
        </w:rPr>
      </w:pPr>
      <w:r w:rsidRPr="003A53DF">
        <w:rPr>
          <w:lang w:val="en-AU"/>
        </w:rPr>
        <w:t>Erythema, rash and allergic contact dermatitis have been described in post-market reports.</w:t>
      </w:r>
    </w:p>
    <w:p w:rsidR="00E37547" w:rsidRDefault="00E37547" w:rsidP="0092535E">
      <w:pPr>
        <w:pStyle w:val="Heading2"/>
      </w:pPr>
      <w:r>
        <w:t>DOSAGE AND ADMINISTRATION</w:t>
      </w:r>
    </w:p>
    <w:p w:rsidR="00E15F3B" w:rsidRDefault="00E37547" w:rsidP="001A757D">
      <w:pPr>
        <w:ind w:right="56"/>
      </w:pPr>
      <w:r>
        <w:t>For topical use on the scalp only.</w:t>
      </w:r>
      <w:r w:rsidR="00E15F3B">
        <w:br w:type="page"/>
      </w:r>
    </w:p>
    <w:p w:rsidR="00E37547" w:rsidRPr="00E15F3B" w:rsidRDefault="00E37547" w:rsidP="00E15F3B">
      <w:pPr>
        <w:pStyle w:val="Heading4"/>
      </w:pPr>
      <w:r w:rsidRPr="00E15F3B">
        <w:lastRenderedPageBreak/>
        <w:t>Instructions for use/handling</w:t>
      </w:r>
    </w:p>
    <w:p w:rsidR="00255D17" w:rsidRDefault="00E37547">
      <w:pPr>
        <w:ind w:right="56"/>
        <w:jc w:val="both"/>
      </w:pPr>
      <w:r>
        <w:t>CLOBEX Shampoo should be applied directly on dry scalp once daily taking care to cover</w:t>
      </w:r>
      <w:r w:rsidR="00211D51">
        <w:t xml:space="preserve"> and massage the lesions well</w:t>
      </w:r>
      <w:r>
        <w:t xml:space="preserve">. </w:t>
      </w:r>
      <w:r w:rsidR="0008357C">
        <w:t xml:space="preserve">Using the measuring cup included, measure </w:t>
      </w:r>
      <w:r w:rsidR="00255D17">
        <w:t>out</w:t>
      </w:r>
    </w:p>
    <w:p w:rsidR="00E37547" w:rsidRDefault="00E37547">
      <w:pPr>
        <w:ind w:right="56"/>
        <w:jc w:val="both"/>
      </w:pPr>
      <w:r>
        <w:t>7.5 mL</w:t>
      </w:r>
      <w:r w:rsidR="002265D4">
        <w:t xml:space="preserve"> </w:t>
      </w:r>
      <w:r w:rsidR="0008357C">
        <w:t>which</w:t>
      </w:r>
      <w:r>
        <w:rPr>
          <w:rFonts w:ascii="Times New Roman Italic" w:hAnsi="Times New Roman Italic"/>
        </w:rPr>
        <w:t xml:space="preserve"> </w:t>
      </w:r>
      <w:r>
        <w:t>is sufficient to cover all the scalp</w:t>
      </w:r>
      <w:r w:rsidR="00211D51">
        <w:t xml:space="preserve"> and is the maximum daily dosage</w:t>
      </w:r>
      <w:r>
        <w:t xml:space="preserve">. CLOBEX Shampoo should be then </w:t>
      </w:r>
      <w:r w:rsidR="00211D51">
        <w:t>left</w:t>
      </w:r>
      <w:r>
        <w:t xml:space="preserve"> in place without covering for 15 minutes before rinsing. </w:t>
      </w:r>
      <w:r w:rsidR="004946EB" w:rsidRPr="0073016E">
        <w:rPr>
          <w:color w:val="auto"/>
        </w:rPr>
        <w:t xml:space="preserve">As with any topical medication, patients </w:t>
      </w:r>
      <w:r w:rsidRPr="0073016E">
        <w:rPr>
          <w:color w:val="auto"/>
        </w:rPr>
        <w:t>should wash</w:t>
      </w:r>
      <w:r w:rsidR="004946EB" w:rsidRPr="0073016E">
        <w:rPr>
          <w:color w:val="auto"/>
        </w:rPr>
        <w:t xml:space="preserve"> their hands</w:t>
      </w:r>
      <w:r w:rsidRPr="0073016E">
        <w:rPr>
          <w:color w:val="auto"/>
        </w:rPr>
        <w:t xml:space="preserve"> carefully after app</w:t>
      </w:r>
      <w:r>
        <w:t xml:space="preserve">lication. After 15 minutes, the product must be rinsed with water and / or hair can be washed by using an additional amount of regular shampoo if needed to facilitate washing. In order to avoid interaction with hair </w:t>
      </w:r>
      <w:proofErr w:type="spellStart"/>
      <w:r>
        <w:t>colour</w:t>
      </w:r>
      <w:proofErr w:type="spellEnd"/>
      <w:r>
        <w:t xml:space="preserve"> dying product, such as hair </w:t>
      </w:r>
      <w:proofErr w:type="spellStart"/>
      <w:r>
        <w:t>colour</w:t>
      </w:r>
      <w:proofErr w:type="spellEnd"/>
      <w:r>
        <w:t xml:space="preserve"> changes, CLOBEX Shampoo should be thoroughly rinsed. Then, hair can be dried as usual.</w:t>
      </w:r>
    </w:p>
    <w:p w:rsidR="00A531EC" w:rsidRPr="0073016E" w:rsidRDefault="00A531EC" w:rsidP="00E15F3B">
      <w:pPr>
        <w:spacing w:before="120" w:after="120"/>
        <w:ind w:right="57"/>
        <w:jc w:val="both"/>
        <w:rPr>
          <w:color w:val="auto"/>
        </w:rPr>
      </w:pPr>
      <w:r w:rsidRPr="0073016E">
        <w:rPr>
          <w:color w:val="auto"/>
        </w:rPr>
        <w:t xml:space="preserve">Avoid contact with the eyes. If the shampoo </w:t>
      </w:r>
      <w:r w:rsidR="004946EB" w:rsidRPr="0073016E">
        <w:rPr>
          <w:color w:val="auto"/>
        </w:rPr>
        <w:t xml:space="preserve">accidentally </w:t>
      </w:r>
      <w:r w:rsidRPr="0073016E">
        <w:rPr>
          <w:color w:val="auto"/>
        </w:rPr>
        <w:t>come</w:t>
      </w:r>
      <w:r w:rsidR="00C700C7" w:rsidRPr="0073016E">
        <w:rPr>
          <w:color w:val="auto"/>
        </w:rPr>
        <w:t>s</w:t>
      </w:r>
      <w:r w:rsidRPr="0073016E">
        <w:rPr>
          <w:color w:val="auto"/>
        </w:rPr>
        <w:t xml:space="preserve"> in contact with the eyes, rinse out the eyes </w:t>
      </w:r>
      <w:r w:rsidR="00C700C7" w:rsidRPr="0073016E">
        <w:rPr>
          <w:color w:val="auto"/>
        </w:rPr>
        <w:t xml:space="preserve">with water </w:t>
      </w:r>
      <w:r w:rsidRPr="0073016E">
        <w:rPr>
          <w:color w:val="auto"/>
        </w:rPr>
        <w:t>immediately.</w:t>
      </w:r>
    </w:p>
    <w:p w:rsidR="00E37547" w:rsidRDefault="00E37547" w:rsidP="00E15F3B">
      <w:pPr>
        <w:spacing w:before="120" w:after="120"/>
        <w:ind w:right="57"/>
        <w:jc w:val="both"/>
        <w:rPr>
          <w:strike/>
        </w:rPr>
      </w:pPr>
      <w:r>
        <w:t>The treatment duration should be limited to a maximum of 4 weeks. As soon as clinical results are observed, applications should be spaced out or replaced, if needed, by an alternative treatment. If no improvement is seen within four weeks, reassessment of the diagnosis may be necessary.</w:t>
      </w:r>
      <w:r>
        <w:rPr>
          <w:rFonts w:ascii="Times New Roman Bold Italic" w:hAnsi="Times New Roman Bold Italic"/>
        </w:rPr>
        <w:t xml:space="preserve"> </w:t>
      </w:r>
    </w:p>
    <w:p w:rsidR="00E37547" w:rsidRPr="0073016E" w:rsidRDefault="00C700C7">
      <w:pPr>
        <w:ind w:right="56"/>
        <w:jc w:val="both"/>
        <w:rPr>
          <w:color w:val="auto"/>
        </w:rPr>
      </w:pPr>
      <w:r w:rsidRPr="0073016E">
        <w:rPr>
          <w:color w:val="auto"/>
        </w:rPr>
        <w:t xml:space="preserve">Chronic </w:t>
      </w:r>
      <w:proofErr w:type="spellStart"/>
      <w:r w:rsidRPr="0073016E">
        <w:rPr>
          <w:color w:val="auto"/>
        </w:rPr>
        <w:t>overdosage</w:t>
      </w:r>
      <w:proofErr w:type="spellEnd"/>
      <w:r w:rsidRPr="0073016E">
        <w:rPr>
          <w:color w:val="auto"/>
        </w:rPr>
        <w:t xml:space="preserve"> may occur in the case of continuous use of large quantities for long periods of time.</w:t>
      </w:r>
    </w:p>
    <w:p w:rsidR="00E37547" w:rsidRDefault="00E37547" w:rsidP="0092535E">
      <w:pPr>
        <w:pStyle w:val="Heading2"/>
      </w:pPr>
      <w:r>
        <w:t>OVERDOSAGE</w:t>
      </w:r>
    </w:p>
    <w:p w:rsidR="00E37547" w:rsidRDefault="00E37547">
      <w:pPr>
        <w:jc w:val="both"/>
        <w:rPr>
          <w:lang w:val="en-GB"/>
        </w:rPr>
      </w:pPr>
      <w:r>
        <w:t xml:space="preserve">Acute overdose is very unlikely to occur, however, in the case of chronic overdose or misuse, the features of </w:t>
      </w:r>
      <w:proofErr w:type="spellStart"/>
      <w:r>
        <w:t>hypercortisolism</w:t>
      </w:r>
      <w:proofErr w:type="spellEnd"/>
      <w:r>
        <w:t xml:space="preserve"> may appear and in this situation, treatment should be discontinued gradually. However, because of the risk of acute adrenal suppression, this should be done under medical supervision. For information on the management of overdose, contact the Poison Information Centre on 13 11 26 (Australia).</w:t>
      </w:r>
    </w:p>
    <w:p w:rsidR="00E37547" w:rsidRDefault="00E37547" w:rsidP="0092535E">
      <w:pPr>
        <w:pStyle w:val="Heading2"/>
      </w:pPr>
      <w:r>
        <w:t>PRESENTATION AND STORAGE CONDITIONS</w:t>
      </w:r>
    </w:p>
    <w:p w:rsidR="00E37547" w:rsidRDefault="00E37547">
      <w:r>
        <w:t xml:space="preserve">One </w:t>
      </w:r>
      <w:proofErr w:type="spellStart"/>
      <w:r w:rsidR="00211D51">
        <w:t>millilitre</w:t>
      </w:r>
      <w:proofErr w:type="spellEnd"/>
      <w:r>
        <w:t xml:space="preserve"> of CLOBEX Shampoo contains 500 micrograms of clobetasol propionate. </w:t>
      </w:r>
    </w:p>
    <w:p w:rsidR="00E37547" w:rsidRPr="00A01A6B" w:rsidRDefault="00E37547" w:rsidP="00E15F3B">
      <w:pPr>
        <w:pStyle w:val="Default"/>
        <w:spacing w:before="120" w:after="120"/>
        <w:jc w:val="both"/>
        <w:rPr>
          <w:szCs w:val="24"/>
        </w:rPr>
      </w:pPr>
      <w:r w:rsidRPr="00A01A6B">
        <w:rPr>
          <w:szCs w:val="24"/>
          <w:lang w:val="en-AU"/>
        </w:rPr>
        <w:t xml:space="preserve">For a full list of excipients, see </w:t>
      </w:r>
      <w:r w:rsidRPr="00A01A6B">
        <w:rPr>
          <w:b/>
          <w:szCs w:val="24"/>
        </w:rPr>
        <w:t>Description.</w:t>
      </w:r>
      <w:r w:rsidRPr="00A01A6B">
        <w:rPr>
          <w:szCs w:val="24"/>
        </w:rPr>
        <w:t xml:space="preserve"> </w:t>
      </w:r>
    </w:p>
    <w:p w:rsidR="00E37547" w:rsidRDefault="00E37547" w:rsidP="00E15F3B">
      <w:pPr>
        <w:pStyle w:val="Heading3"/>
      </w:pPr>
      <w:r>
        <w:t>Nature and contents of the container</w:t>
      </w:r>
    </w:p>
    <w:p w:rsidR="00E37547" w:rsidRDefault="00E37547" w:rsidP="00E15F3B">
      <w:pPr>
        <w:spacing w:after="120"/>
        <w:jc w:val="both"/>
      </w:pPr>
      <w:r>
        <w:t xml:space="preserve">The product is packaged in </w:t>
      </w:r>
      <w:r w:rsidRPr="00C2216A">
        <w:rPr>
          <w:lang w:val="en-GB"/>
        </w:rPr>
        <w:t xml:space="preserve">high density polyethylene (HDPE) bottles of 60 mL or 125 mL fitted with </w:t>
      </w:r>
      <w:r>
        <w:t xml:space="preserve">polypropylene snap closures. </w:t>
      </w:r>
      <w:bookmarkStart w:id="1" w:name="OLE_LINK4"/>
      <w:bookmarkEnd w:id="1"/>
      <w:r>
        <w:t xml:space="preserve"> The HDPE bottle of 30 mL is fitted with </w:t>
      </w:r>
      <w:r w:rsidR="00D32D5F">
        <w:t xml:space="preserve">a </w:t>
      </w:r>
      <w:r>
        <w:t>polypropylene screw closure.</w:t>
      </w:r>
    </w:p>
    <w:p w:rsidR="00E37547" w:rsidRDefault="00E37547">
      <w:pPr>
        <w:jc w:val="both"/>
      </w:pPr>
      <w:r>
        <w:t xml:space="preserve">Bottles contain 30 </w:t>
      </w:r>
      <w:proofErr w:type="spellStart"/>
      <w:r>
        <w:t>mL</w:t>
      </w:r>
      <w:proofErr w:type="spellEnd"/>
      <w:r>
        <w:t>, 60 mL or 125 mL of Shampoo</w:t>
      </w:r>
      <w:r w:rsidR="00F803F9">
        <w:t xml:space="preserve"> </w:t>
      </w:r>
      <w:r w:rsidR="00C2216A">
        <w:t xml:space="preserve">which contain 4, 8 and 16 days treatment, respectively. </w:t>
      </w:r>
    </w:p>
    <w:p w:rsidR="00E37547" w:rsidRDefault="00E37547">
      <w:pPr>
        <w:ind w:right="56"/>
        <w:jc w:val="both"/>
      </w:pPr>
      <w:r>
        <w:t>Not all pack sizes may be marketed.</w:t>
      </w:r>
    </w:p>
    <w:p w:rsidR="00E37547" w:rsidRDefault="00E37547" w:rsidP="00E15F3B">
      <w:pPr>
        <w:pStyle w:val="Heading3"/>
      </w:pPr>
      <w:r>
        <w:t>Storage:</w:t>
      </w:r>
    </w:p>
    <w:p w:rsidR="00E37547" w:rsidRDefault="00E37547">
      <w:pPr>
        <w:tabs>
          <w:tab w:val="left" w:pos="0"/>
          <w:tab w:val="left" w:pos="0"/>
          <w:tab w:val="left" w:pos="720"/>
        </w:tabs>
        <w:jc w:val="both"/>
        <w:rPr>
          <w:spacing w:val="-3"/>
        </w:rPr>
      </w:pPr>
      <w:r>
        <w:t xml:space="preserve">Store below </w:t>
      </w:r>
      <w:r w:rsidR="008F1027">
        <w:t>25</w:t>
      </w:r>
      <w:r>
        <w:rPr>
          <w:rFonts w:ascii="Lucida Grande" w:hAnsi="Symbol"/>
        </w:rPr>
        <w:t></w:t>
      </w:r>
      <w:r>
        <w:t>C. Store in the original container.</w:t>
      </w:r>
    </w:p>
    <w:p w:rsidR="00E15F3B" w:rsidRDefault="00E37547" w:rsidP="001A757D">
      <w:pPr>
        <w:jc w:val="both"/>
        <w:rPr>
          <w:rFonts w:ascii="Times New Roman Bold" w:hAnsi="Times New Roman Bold"/>
        </w:rPr>
      </w:pPr>
      <w:r>
        <w:t>Shelf-life after first opening: 4 weeks</w:t>
      </w:r>
      <w:r w:rsidR="00E15F3B">
        <w:br w:type="page"/>
      </w:r>
    </w:p>
    <w:p w:rsidR="00E37547" w:rsidRDefault="00E37547" w:rsidP="0092535E">
      <w:pPr>
        <w:pStyle w:val="Heading2"/>
      </w:pPr>
      <w:r>
        <w:lastRenderedPageBreak/>
        <w:t xml:space="preserve">NAME AND ADDRESS OF SPONSOR </w:t>
      </w:r>
    </w:p>
    <w:p w:rsidR="00E37547" w:rsidRDefault="00E37547">
      <w:pPr>
        <w:rPr>
          <w:rStyle w:val="streetline"/>
          <w:sz w:val="24"/>
        </w:rPr>
      </w:pPr>
      <w:r>
        <w:rPr>
          <w:rStyle w:val="streetline"/>
          <w:sz w:val="24"/>
        </w:rPr>
        <w:t>Galderma Australia Pty Ltd</w:t>
      </w:r>
    </w:p>
    <w:p w:rsidR="00E37547" w:rsidRDefault="00E37547">
      <w:pPr>
        <w:rPr>
          <w:rStyle w:val="streetline"/>
          <w:sz w:val="24"/>
        </w:rPr>
      </w:pPr>
      <w:r>
        <w:rPr>
          <w:rStyle w:val="streetline"/>
          <w:sz w:val="24"/>
        </w:rPr>
        <w:t>Suite 4, 13B Narabang Way</w:t>
      </w:r>
    </w:p>
    <w:p w:rsidR="00E37547" w:rsidRDefault="00E37547">
      <w:pPr>
        <w:rPr>
          <w:rStyle w:val="postcode"/>
          <w:sz w:val="24"/>
        </w:rPr>
      </w:pPr>
      <w:proofErr w:type="spellStart"/>
      <w:r>
        <w:rPr>
          <w:rStyle w:val="locality"/>
          <w:sz w:val="24"/>
        </w:rPr>
        <w:t>Belrose</w:t>
      </w:r>
      <w:proofErr w:type="spellEnd"/>
      <w:r>
        <w:rPr>
          <w:rStyle w:val="locality"/>
          <w:sz w:val="24"/>
        </w:rPr>
        <w:t xml:space="preserve"> </w:t>
      </w:r>
      <w:r>
        <w:rPr>
          <w:rStyle w:val="state"/>
          <w:sz w:val="24"/>
        </w:rPr>
        <w:t xml:space="preserve">NSW </w:t>
      </w:r>
      <w:r>
        <w:rPr>
          <w:rStyle w:val="postcode"/>
          <w:sz w:val="24"/>
        </w:rPr>
        <w:t>2085</w:t>
      </w:r>
    </w:p>
    <w:p w:rsidR="00E37547" w:rsidRDefault="00E37547">
      <w:pPr>
        <w:rPr>
          <w:rStyle w:val="postcode"/>
          <w:sz w:val="24"/>
        </w:rPr>
      </w:pPr>
      <w:r>
        <w:rPr>
          <w:rStyle w:val="postcode"/>
          <w:sz w:val="24"/>
        </w:rPr>
        <w:t>Ph. 1800 800 765</w:t>
      </w:r>
    </w:p>
    <w:p w:rsidR="00E37547" w:rsidRDefault="00E37547" w:rsidP="0092535E">
      <w:pPr>
        <w:pStyle w:val="Heading2"/>
      </w:pPr>
      <w:r>
        <w:rPr>
          <w:rStyle w:val="postcode"/>
          <w:sz w:val="24"/>
        </w:rPr>
        <w:t>POISON SCHEDULE – S4 – PRESCRIPTION MEDICINE</w:t>
      </w:r>
    </w:p>
    <w:p w:rsidR="00E37547" w:rsidRDefault="00E37547" w:rsidP="00E15F3B">
      <w:pPr>
        <w:tabs>
          <w:tab w:val="left" w:pos="0"/>
        </w:tabs>
        <w:spacing w:after="100" w:afterAutospacing="1"/>
        <w:jc w:val="both"/>
        <w:rPr>
          <w:spacing w:val="-3"/>
        </w:rPr>
      </w:pPr>
      <w:r>
        <w:rPr>
          <w:spacing w:val="-3"/>
        </w:rPr>
        <w:t>® Registered Trademark</w:t>
      </w:r>
    </w:p>
    <w:p w:rsidR="00E37547" w:rsidRDefault="00E37547">
      <w:pPr>
        <w:rPr>
          <w:rFonts w:ascii="Times New Roman Bold" w:hAnsi="Times New Roman Bold"/>
        </w:rPr>
      </w:pPr>
      <w:r>
        <w:rPr>
          <w:rFonts w:ascii="Times New Roman Bold" w:hAnsi="Times New Roman Bold"/>
        </w:rPr>
        <w:t xml:space="preserve">AUST R No </w:t>
      </w:r>
      <w:r w:rsidR="00506250" w:rsidRPr="00506250">
        <w:rPr>
          <w:rFonts w:ascii="Times New Roman Bold" w:hAnsi="Times New Roman Bold"/>
        </w:rPr>
        <w:t>188346</w:t>
      </w:r>
    </w:p>
    <w:p w:rsidR="00E37547" w:rsidRDefault="00E37547">
      <w:pPr>
        <w:rPr>
          <w:rFonts w:ascii="Times New Roman Bold" w:hAnsi="Times New Roman Bold"/>
        </w:rPr>
      </w:pPr>
      <w:r>
        <w:rPr>
          <w:rFonts w:ascii="Times New Roman Bold" w:hAnsi="Times New Roman Bold"/>
        </w:rPr>
        <w:t>DATE OF FIRST INCLUSION IN THE AUSTRALIAN REGISTER OF THERAPEUTIC GOODS (</w:t>
      </w:r>
      <w:r w:rsidR="00AE29CE">
        <w:rPr>
          <w:rFonts w:ascii="Times New Roman Bold" w:hAnsi="Times New Roman Bold"/>
        </w:rPr>
        <w:t>THE ARTG</w:t>
      </w:r>
      <w:r>
        <w:rPr>
          <w:rFonts w:ascii="Times New Roman Bold" w:hAnsi="Times New Roman Bold"/>
        </w:rPr>
        <w:t>)</w:t>
      </w:r>
      <w:r w:rsidR="00490FC2">
        <w:rPr>
          <w:rFonts w:ascii="Times New Roman Bold" w:hAnsi="Times New Roman Bold"/>
        </w:rPr>
        <w:t xml:space="preserve"> </w:t>
      </w:r>
      <w:r w:rsidR="0008357C">
        <w:rPr>
          <w:rFonts w:ascii="Times New Roman Bold" w:hAnsi="Times New Roman Bold"/>
        </w:rPr>
        <w:t>14 MAR 2013</w:t>
      </w:r>
    </w:p>
    <w:p w:rsidR="00F3082E" w:rsidRDefault="00F3082E">
      <w:pPr>
        <w:rPr>
          <w:rFonts w:eastAsia="Times New Roman"/>
          <w:color w:val="auto"/>
          <w:sz w:val="20"/>
          <w:lang w:val="en-AU" w:eastAsia="en-AU"/>
        </w:rPr>
      </w:pPr>
      <w:r>
        <w:rPr>
          <w:rFonts w:ascii="Times New Roman Bold" w:hAnsi="Times New Roman Bold"/>
        </w:rPr>
        <w:t>DATE OF MOST RECENT AMENDMENT 24 APR</w:t>
      </w:r>
      <w:r w:rsidR="00010C86">
        <w:rPr>
          <w:rFonts w:ascii="Times New Roman Bold" w:hAnsi="Times New Roman Bold"/>
        </w:rPr>
        <w:t xml:space="preserve"> </w:t>
      </w:r>
      <w:r>
        <w:rPr>
          <w:rFonts w:ascii="Times New Roman Bold" w:hAnsi="Times New Roman Bold"/>
        </w:rPr>
        <w:t>2013</w:t>
      </w:r>
    </w:p>
    <w:sectPr w:rsidR="00F3082E" w:rsidSect="00490FC2">
      <w:headerReference w:type="default" r:id="rId9"/>
      <w:footerReference w:type="even" r:id="rId10"/>
      <w:footerReference w:type="default" r:id="rId11"/>
      <w:pgSz w:w="11900" w:h="16840"/>
      <w:pgMar w:top="878" w:right="1800" w:bottom="567" w:left="1800" w:header="720" w:footer="36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259" w:rsidRDefault="00635259">
      <w:r>
        <w:separator/>
      </w:r>
    </w:p>
  </w:endnote>
  <w:endnote w:type="continuationSeparator" w:id="0">
    <w:p w:rsidR="00635259" w:rsidRDefault="00635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0" w:usb3="00000000" w:csb0="00000000" w:csb1="00000000"/>
  </w:font>
  <w:font w:name="Times New Roman Italic">
    <w:altName w:val="Times New Roman"/>
    <w:panose1 w:val="02020503050405090304"/>
    <w:charset w:val="00"/>
    <w:family w:val="roman"/>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Times New Roman Bold Italic">
    <w:altName w:val="Times New Roman"/>
    <w:panose1 w:val="02020703060505090304"/>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Bold Italic">
    <w:altName w:val="Times New Roman"/>
    <w:panose1 w:val="020B07060202020A0204"/>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60" w:rsidRDefault="00A03360">
    <w:pPr>
      <w:rPr>
        <w:spacing w:val="-3"/>
      </w:rPr>
    </w:pPr>
  </w:p>
  <w:p w:rsidR="00A03360" w:rsidRDefault="00A03360" w:rsidP="00D83DE3">
    <w:pPr>
      <w:rPr>
        <w:sz w:val="20"/>
      </w:rPr>
    </w:pPr>
    <w:r>
      <w:rPr>
        <w:spacing w:val="-3"/>
      </w:rPr>
      <w:t>DRAFT Product Information (Post ACPM Recommendation)</w:t>
    </w:r>
    <w:r>
      <w:rPr>
        <w:sz w:val="20"/>
      </w:rPr>
      <w:tab/>
    </w:r>
    <w:r>
      <w:rPr>
        <w:sz w:val="20"/>
      </w:rPr>
      <w:tab/>
    </w:r>
    <w:r>
      <w:rPr>
        <w:sz w:val="20"/>
      </w:rPr>
      <w:tab/>
    </w:r>
    <w:r>
      <w:rPr>
        <w:sz w:val="20"/>
      </w:rPr>
      <w:tab/>
    </w:r>
    <w:r>
      <w:rPr>
        <w:sz w:val="20"/>
      </w:rPr>
      <w:tab/>
    </w:r>
  </w:p>
  <w:p w:rsidR="00A03360" w:rsidRDefault="00EC6FD6" w:rsidP="00D83DE3">
    <w:pPr>
      <w:jc w:val="center"/>
      <w:rPr>
        <w:rFonts w:eastAsia="Times New Roman"/>
        <w:color w:val="auto"/>
        <w:sz w:val="20"/>
        <w:lang w:val="en-AU" w:eastAsia="en-AU"/>
      </w:rPr>
    </w:pPr>
    <w:r>
      <w:rPr>
        <w:rStyle w:val="PageNumber1"/>
      </w:rPr>
      <w:fldChar w:fldCharType="begin"/>
    </w:r>
    <w:r w:rsidR="00A03360">
      <w:rPr>
        <w:rStyle w:val="PageNumber1"/>
      </w:rPr>
      <w:instrText xml:space="preserve"> PAGE </w:instrText>
    </w:r>
    <w:r>
      <w:rPr>
        <w:rStyle w:val="PageNumber1"/>
      </w:rPr>
      <w:fldChar w:fldCharType="separate"/>
    </w:r>
    <w:r w:rsidR="00A03360">
      <w:rPr>
        <w:rStyle w:val="PageNumber1"/>
        <w:noProof/>
      </w:rPr>
      <w:t>8</w:t>
    </w:r>
    <w:r>
      <w:rPr>
        <w:rStyle w:val="PageNumber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60" w:rsidRDefault="00A03360" w:rsidP="00D83DE3">
    <w:pPr>
      <w:rPr>
        <w:spacing w:val="-3"/>
      </w:rPr>
    </w:pPr>
  </w:p>
  <w:p w:rsidR="00A03360" w:rsidRPr="00444384" w:rsidRDefault="00A03360" w:rsidP="00D83DE3">
    <w:pPr>
      <w:rPr>
        <w:sz w:val="20"/>
        <w:szCs w:val="20"/>
      </w:rPr>
    </w:pPr>
    <w:r w:rsidRPr="00444384">
      <w:rPr>
        <w:spacing w:val="-3"/>
        <w:sz w:val="20"/>
        <w:szCs w:val="20"/>
      </w:rPr>
      <w:t>CLOBEX</w:t>
    </w:r>
    <w:r w:rsidRPr="00444384">
      <w:rPr>
        <w:spacing w:val="-3"/>
        <w:sz w:val="20"/>
        <w:szCs w:val="20"/>
        <w:vertAlign w:val="superscript"/>
      </w:rPr>
      <w:t>®</w:t>
    </w:r>
    <w:r w:rsidRPr="00444384">
      <w:rPr>
        <w:spacing w:val="-3"/>
        <w:sz w:val="20"/>
        <w:szCs w:val="20"/>
      </w:rPr>
      <w:t xml:space="preserve"> SHAMPOO </w:t>
    </w:r>
    <w:r w:rsidRPr="00444384">
      <w:rPr>
        <w:sz w:val="20"/>
        <w:szCs w:val="20"/>
      </w:rPr>
      <w:t>(clo</w:t>
    </w:r>
    <w:r w:rsidR="00E15F3B">
      <w:rPr>
        <w:sz w:val="20"/>
        <w:szCs w:val="20"/>
      </w:rPr>
      <w:t>betasol propionate 500mcg/mL)</w:t>
    </w:r>
  </w:p>
  <w:p w:rsidR="00A03360" w:rsidRDefault="00EC6FD6" w:rsidP="00D83DE3">
    <w:pPr>
      <w:jc w:val="center"/>
      <w:rPr>
        <w:rFonts w:eastAsia="Times New Roman"/>
        <w:color w:val="auto"/>
        <w:sz w:val="20"/>
        <w:lang w:val="en-AU" w:eastAsia="en-AU"/>
      </w:rPr>
    </w:pPr>
    <w:r>
      <w:rPr>
        <w:rStyle w:val="PageNumber1"/>
      </w:rPr>
      <w:fldChar w:fldCharType="begin"/>
    </w:r>
    <w:r w:rsidR="00A03360">
      <w:rPr>
        <w:rStyle w:val="PageNumber1"/>
      </w:rPr>
      <w:instrText xml:space="preserve"> PAGE </w:instrText>
    </w:r>
    <w:r>
      <w:rPr>
        <w:rStyle w:val="PageNumber1"/>
      </w:rPr>
      <w:fldChar w:fldCharType="separate"/>
    </w:r>
    <w:r w:rsidR="001A757D">
      <w:rPr>
        <w:rStyle w:val="PageNumber1"/>
        <w:noProof/>
      </w:rPr>
      <w:t>2</w:t>
    </w:r>
    <w:r>
      <w:rPr>
        <w:rStyle w:val="PageNumber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259" w:rsidRDefault="00635259">
      <w:r>
        <w:separator/>
      </w:r>
    </w:p>
  </w:footnote>
  <w:footnote w:type="continuationSeparator" w:id="0">
    <w:p w:rsidR="00635259" w:rsidRDefault="00635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60" w:rsidRPr="00A03360" w:rsidRDefault="00A03360" w:rsidP="00A03360">
    <w:pPr>
      <w:pBdr>
        <w:top w:val="single" w:sz="4" w:space="1" w:color="auto"/>
        <w:left w:val="single" w:sz="4" w:space="4" w:color="auto"/>
        <w:bottom w:val="single" w:sz="4" w:space="1" w:color="auto"/>
        <w:right w:val="single" w:sz="4" w:space="4" w:color="auto"/>
      </w:pBdr>
      <w:shd w:val="clear" w:color="auto" w:fill="E4F2E0"/>
      <w:rPr>
        <w:b/>
        <w:snapToGrid w:val="0"/>
        <w:sz w:val="20"/>
        <w:szCs w:val="20"/>
      </w:rPr>
    </w:pPr>
    <w:r w:rsidRPr="00A03360">
      <w:rPr>
        <w:b/>
        <w:sz w:val="20"/>
        <w:szCs w:val="20"/>
      </w:rPr>
      <w:t xml:space="preserve">Attachment 1: Product information for </w:t>
    </w:r>
    <w:proofErr w:type="spellStart"/>
    <w:r w:rsidRPr="00A03360">
      <w:rPr>
        <w:b/>
        <w:sz w:val="20"/>
        <w:szCs w:val="20"/>
      </w:rPr>
      <w:t>AusPAR</w:t>
    </w:r>
    <w:proofErr w:type="spellEnd"/>
    <w:r w:rsidRPr="00A03360">
      <w:rPr>
        <w:b/>
        <w:sz w:val="20"/>
        <w:szCs w:val="20"/>
      </w:rPr>
      <w:t xml:space="preserve"> </w:t>
    </w:r>
    <w:proofErr w:type="spellStart"/>
    <w:r w:rsidRPr="00A03360">
      <w:rPr>
        <w:b/>
        <w:snapToGrid w:val="0"/>
        <w:sz w:val="20"/>
        <w:szCs w:val="20"/>
      </w:rPr>
      <w:t>Clobex</w:t>
    </w:r>
    <w:proofErr w:type="spellEnd"/>
    <w:r w:rsidRPr="00A03360">
      <w:rPr>
        <w:b/>
        <w:i/>
        <w:snapToGrid w:val="0"/>
        <w:sz w:val="20"/>
        <w:szCs w:val="20"/>
      </w:rPr>
      <w:t xml:space="preserve"> </w:t>
    </w:r>
    <w:proofErr w:type="spellStart"/>
    <w:r w:rsidRPr="00A03360">
      <w:rPr>
        <w:b/>
        <w:snapToGrid w:val="0"/>
        <w:sz w:val="20"/>
        <w:szCs w:val="20"/>
      </w:rPr>
      <w:t>clobetasol</w:t>
    </w:r>
    <w:proofErr w:type="spellEnd"/>
    <w:r w:rsidRPr="00A03360">
      <w:rPr>
        <w:b/>
        <w:snapToGrid w:val="0"/>
        <w:sz w:val="20"/>
        <w:szCs w:val="20"/>
      </w:rPr>
      <w:t xml:space="preserve"> propionate </w:t>
    </w:r>
    <w:proofErr w:type="spellStart"/>
    <w:r w:rsidRPr="00A03360">
      <w:rPr>
        <w:b/>
        <w:sz w:val="20"/>
        <w:szCs w:val="20"/>
      </w:rPr>
      <w:t>Galderma</w:t>
    </w:r>
    <w:proofErr w:type="spellEnd"/>
    <w:r w:rsidRPr="00A03360">
      <w:rPr>
        <w:b/>
        <w:sz w:val="20"/>
        <w:szCs w:val="20"/>
      </w:rPr>
      <w:t xml:space="preserve"> Australia Pty Ltd </w:t>
    </w:r>
    <w:r w:rsidRPr="00A03360">
      <w:rPr>
        <w:b/>
        <w:snapToGrid w:val="0"/>
        <w:sz w:val="20"/>
        <w:szCs w:val="20"/>
      </w:rPr>
      <w:t xml:space="preserve">PM-2011-01596-3-5 </w:t>
    </w:r>
    <w:r w:rsidRPr="00A03360">
      <w:rPr>
        <w:b/>
        <w:sz w:val="20"/>
        <w:szCs w:val="20"/>
      </w:rPr>
      <w:t xml:space="preserve">Final 22 May 2013. This Product Information was approved at the time this </w:t>
    </w:r>
    <w:proofErr w:type="spellStart"/>
    <w:r w:rsidRPr="00A03360">
      <w:rPr>
        <w:b/>
        <w:sz w:val="20"/>
        <w:szCs w:val="20"/>
      </w:rPr>
      <w:t>AusPAR</w:t>
    </w:r>
    <w:proofErr w:type="spellEnd"/>
    <w:r w:rsidRPr="00A03360">
      <w:rPr>
        <w:b/>
        <w:sz w:val="20"/>
        <w:szCs w:val="20"/>
      </w:rPr>
      <w:t xml:space="preserve"> was published.</w:t>
    </w:r>
  </w:p>
  <w:p w:rsidR="00A03360" w:rsidRDefault="00A03360" w:rsidP="009253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894EE87B"/>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nsid w:val="0000000A"/>
    <w:multiLevelType w:val="multilevel"/>
    <w:tmpl w:val="894EE87C"/>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0">
    <w:nsid w:val="0000000B"/>
    <w:multiLevelType w:val="multilevel"/>
    <w:tmpl w:val="894EE87D"/>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1">
    <w:nsid w:val="0000000C"/>
    <w:multiLevelType w:val="multilevel"/>
    <w:tmpl w:val="894EE87E"/>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nsid w:val="0000000D"/>
    <w:multiLevelType w:val="multilevel"/>
    <w:tmpl w:val="894EE87F"/>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nsid w:val="0000000E"/>
    <w:multiLevelType w:val="multilevel"/>
    <w:tmpl w:val="894EE880"/>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4">
    <w:nsid w:val="0000000F"/>
    <w:multiLevelType w:val="multilevel"/>
    <w:tmpl w:val="894EE881"/>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5">
    <w:nsid w:val="00000010"/>
    <w:multiLevelType w:val="multilevel"/>
    <w:tmpl w:val="894EE882"/>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6">
    <w:nsid w:val="00000011"/>
    <w:multiLevelType w:val="multilevel"/>
    <w:tmpl w:val="894EE883"/>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7">
    <w:nsid w:val="00000012"/>
    <w:multiLevelType w:val="multilevel"/>
    <w:tmpl w:val="894EE884"/>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8">
    <w:nsid w:val="00000013"/>
    <w:multiLevelType w:val="multilevel"/>
    <w:tmpl w:val="894EE885"/>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9">
    <w:nsid w:val="00000014"/>
    <w:multiLevelType w:val="multilevel"/>
    <w:tmpl w:val="894EE886"/>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0">
    <w:nsid w:val="00000015"/>
    <w:multiLevelType w:val="multilevel"/>
    <w:tmpl w:val="894EE887"/>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1">
    <w:nsid w:val="00000016"/>
    <w:multiLevelType w:val="multilevel"/>
    <w:tmpl w:val="894EE888"/>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2">
    <w:nsid w:val="00000017"/>
    <w:multiLevelType w:val="multilevel"/>
    <w:tmpl w:val="894EE889"/>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4"/>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11D51"/>
    <w:rsid w:val="00010C86"/>
    <w:rsid w:val="00034268"/>
    <w:rsid w:val="00082558"/>
    <w:rsid w:val="0008357C"/>
    <w:rsid w:val="000A7F1D"/>
    <w:rsid w:val="000B6850"/>
    <w:rsid w:val="000D29B7"/>
    <w:rsid w:val="000E07EB"/>
    <w:rsid w:val="000F1071"/>
    <w:rsid w:val="00112F44"/>
    <w:rsid w:val="00131DE9"/>
    <w:rsid w:val="001566C9"/>
    <w:rsid w:val="0016716C"/>
    <w:rsid w:val="0019228F"/>
    <w:rsid w:val="001A757D"/>
    <w:rsid w:val="001D138C"/>
    <w:rsid w:val="001D2BC5"/>
    <w:rsid w:val="001D459F"/>
    <w:rsid w:val="001F0E6A"/>
    <w:rsid w:val="0020056A"/>
    <w:rsid w:val="00211D51"/>
    <w:rsid w:val="002265D4"/>
    <w:rsid w:val="002540E8"/>
    <w:rsid w:val="00255D17"/>
    <w:rsid w:val="002612B6"/>
    <w:rsid w:val="00270CE1"/>
    <w:rsid w:val="00274A3B"/>
    <w:rsid w:val="00291BD0"/>
    <w:rsid w:val="00293890"/>
    <w:rsid w:val="002A0439"/>
    <w:rsid w:val="002C2092"/>
    <w:rsid w:val="002C226A"/>
    <w:rsid w:val="002D1C84"/>
    <w:rsid w:val="002D5813"/>
    <w:rsid w:val="002F3FB5"/>
    <w:rsid w:val="00320292"/>
    <w:rsid w:val="003416BC"/>
    <w:rsid w:val="003547A6"/>
    <w:rsid w:val="00394658"/>
    <w:rsid w:val="003A53DF"/>
    <w:rsid w:val="004114CE"/>
    <w:rsid w:val="004237AF"/>
    <w:rsid w:val="00432E8B"/>
    <w:rsid w:val="00433422"/>
    <w:rsid w:val="00444384"/>
    <w:rsid w:val="00452B21"/>
    <w:rsid w:val="00473431"/>
    <w:rsid w:val="00490FC2"/>
    <w:rsid w:val="00491F9E"/>
    <w:rsid w:val="004946EB"/>
    <w:rsid w:val="00497938"/>
    <w:rsid w:val="0050118E"/>
    <w:rsid w:val="00506250"/>
    <w:rsid w:val="00516F08"/>
    <w:rsid w:val="005A5D76"/>
    <w:rsid w:val="005D7E79"/>
    <w:rsid w:val="005F0FC1"/>
    <w:rsid w:val="005F4CF8"/>
    <w:rsid w:val="0061049C"/>
    <w:rsid w:val="00635259"/>
    <w:rsid w:val="0065271C"/>
    <w:rsid w:val="00653328"/>
    <w:rsid w:val="00662E9D"/>
    <w:rsid w:val="006813DB"/>
    <w:rsid w:val="006E3DF6"/>
    <w:rsid w:val="007201B9"/>
    <w:rsid w:val="0073016E"/>
    <w:rsid w:val="00744EB3"/>
    <w:rsid w:val="00751B6E"/>
    <w:rsid w:val="00753C68"/>
    <w:rsid w:val="00765712"/>
    <w:rsid w:val="007773D5"/>
    <w:rsid w:val="007C7C9B"/>
    <w:rsid w:val="007F1AE5"/>
    <w:rsid w:val="007F4D64"/>
    <w:rsid w:val="0081394F"/>
    <w:rsid w:val="00840A42"/>
    <w:rsid w:val="00852506"/>
    <w:rsid w:val="00865D7B"/>
    <w:rsid w:val="008A0B9D"/>
    <w:rsid w:val="008C1952"/>
    <w:rsid w:val="008C794B"/>
    <w:rsid w:val="008E187E"/>
    <w:rsid w:val="008F1027"/>
    <w:rsid w:val="00901AFD"/>
    <w:rsid w:val="00904759"/>
    <w:rsid w:val="0092535E"/>
    <w:rsid w:val="00946965"/>
    <w:rsid w:val="009538BE"/>
    <w:rsid w:val="00980627"/>
    <w:rsid w:val="00991BF0"/>
    <w:rsid w:val="009B1582"/>
    <w:rsid w:val="009B4901"/>
    <w:rsid w:val="009C4CFB"/>
    <w:rsid w:val="009E556B"/>
    <w:rsid w:val="00A01A6B"/>
    <w:rsid w:val="00A03360"/>
    <w:rsid w:val="00A04537"/>
    <w:rsid w:val="00A17B77"/>
    <w:rsid w:val="00A431FD"/>
    <w:rsid w:val="00A4555F"/>
    <w:rsid w:val="00A531EC"/>
    <w:rsid w:val="00A934CD"/>
    <w:rsid w:val="00AA4316"/>
    <w:rsid w:val="00AE29CE"/>
    <w:rsid w:val="00AE54CE"/>
    <w:rsid w:val="00AE58E7"/>
    <w:rsid w:val="00B536E9"/>
    <w:rsid w:val="00B87CF5"/>
    <w:rsid w:val="00BA46AA"/>
    <w:rsid w:val="00BC6140"/>
    <w:rsid w:val="00C143C3"/>
    <w:rsid w:val="00C2216A"/>
    <w:rsid w:val="00C45D68"/>
    <w:rsid w:val="00C50017"/>
    <w:rsid w:val="00C54681"/>
    <w:rsid w:val="00C65110"/>
    <w:rsid w:val="00C700C7"/>
    <w:rsid w:val="00CA762A"/>
    <w:rsid w:val="00CA7EB7"/>
    <w:rsid w:val="00CC3796"/>
    <w:rsid w:val="00D144C8"/>
    <w:rsid w:val="00D24059"/>
    <w:rsid w:val="00D32D5F"/>
    <w:rsid w:val="00D410BE"/>
    <w:rsid w:val="00D453CA"/>
    <w:rsid w:val="00D60A01"/>
    <w:rsid w:val="00D73BD7"/>
    <w:rsid w:val="00D83DE3"/>
    <w:rsid w:val="00D86345"/>
    <w:rsid w:val="00D86487"/>
    <w:rsid w:val="00D91445"/>
    <w:rsid w:val="00D93A3A"/>
    <w:rsid w:val="00DA1150"/>
    <w:rsid w:val="00E15F3B"/>
    <w:rsid w:val="00E333E1"/>
    <w:rsid w:val="00E37547"/>
    <w:rsid w:val="00E41D6C"/>
    <w:rsid w:val="00E453F1"/>
    <w:rsid w:val="00E81B1E"/>
    <w:rsid w:val="00E92136"/>
    <w:rsid w:val="00E96B87"/>
    <w:rsid w:val="00EA2BA1"/>
    <w:rsid w:val="00EC6FD6"/>
    <w:rsid w:val="00EF06D1"/>
    <w:rsid w:val="00F30152"/>
    <w:rsid w:val="00F3082E"/>
    <w:rsid w:val="00F35F3E"/>
    <w:rsid w:val="00F515B1"/>
    <w:rsid w:val="00F51F4C"/>
    <w:rsid w:val="00F53A96"/>
    <w:rsid w:val="00F803F9"/>
    <w:rsid w:val="00F94517"/>
    <w:rsid w:val="00F979DF"/>
    <w:rsid w:val="00FC0345"/>
    <w:rsid w:val="00FC5D10"/>
    <w:rsid w:val="00FD1BC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2535E"/>
    <w:rPr>
      <w:rFonts w:eastAsia="ヒラギノ角ゴ Pro W3"/>
      <w:color w:val="000000"/>
      <w:sz w:val="24"/>
      <w:szCs w:val="24"/>
      <w:lang w:val="en-US" w:eastAsia="en-US"/>
    </w:rPr>
  </w:style>
  <w:style w:type="paragraph" w:styleId="Heading2">
    <w:name w:val="heading 2"/>
    <w:basedOn w:val="Normal"/>
    <w:next w:val="Normal"/>
    <w:link w:val="Heading2Char"/>
    <w:unhideWhenUsed/>
    <w:qFormat/>
    <w:locked/>
    <w:rsid w:val="0092535E"/>
    <w:pPr>
      <w:tabs>
        <w:tab w:val="left" w:pos="7806"/>
      </w:tabs>
      <w:spacing w:before="100" w:beforeAutospacing="1" w:after="100" w:afterAutospacing="1"/>
      <w:jc w:val="both"/>
      <w:outlineLvl w:val="1"/>
    </w:pPr>
    <w:rPr>
      <w:rFonts w:ascii="Times New Roman Bold" w:hAnsi="Times New Roman Bold"/>
    </w:rPr>
  </w:style>
  <w:style w:type="paragraph" w:styleId="Heading3">
    <w:name w:val="heading 3"/>
    <w:basedOn w:val="Normal"/>
    <w:next w:val="Normal"/>
    <w:link w:val="Heading3Char"/>
    <w:unhideWhenUsed/>
    <w:qFormat/>
    <w:locked/>
    <w:rsid w:val="0092535E"/>
    <w:pPr>
      <w:keepNext/>
      <w:spacing w:before="100" w:beforeAutospacing="1"/>
      <w:jc w:val="both"/>
      <w:outlineLvl w:val="2"/>
    </w:pPr>
    <w:rPr>
      <w:rFonts w:ascii="Times New Roman Bold" w:hAnsi="Times New Roman Bold"/>
      <w:b/>
    </w:rPr>
  </w:style>
  <w:style w:type="paragraph" w:styleId="Heading4">
    <w:name w:val="heading 4"/>
    <w:basedOn w:val="Normal"/>
    <w:next w:val="Normal"/>
    <w:link w:val="Heading4Char"/>
    <w:unhideWhenUsed/>
    <w:qFormat/>
    <w:locked/>
    <w:rsid w:val="00E15F3B"/>
    <w:pPr>
      <w:tabs>
        <w:tab w:val="left" w:pos="0"/>
      </w:tabs>
      <w:outlineLvl w:val="3"/>
    </w:pPr>
    <w:rPr>
      <w:rFonts w:ascii="Times New Roman Italic" w:hAnsi="Times New Roman Italic"/>
      <w:spacing w:val="-3"/>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0A7F1D"/>
    <w:rPr>
      <w:rFonts w:ascii="Times" w:eastAsia="ヒラギノ角ゴ Pro W3" w:hAnsi="Times"/>
      <w:color w:val="000000"/>
    </w:rPr>
  </w:style>
  <w:style w:type="character" w:customStyle="1" w:styleId="PageNumber1">
    <w:name w:val="Page Number1"/>
    <w:rsid w:val="000A7F1D"/>
    <w:rPr>
      <w:color w:val="000000"/>
      <w:sz w:val="20"/>
    </w:rPr>
  </w:style>
  <w:style w:type="character" w:customStyle="1" w:styleId="Unknown0">
    <w:name w:val="Unknown 0"/>
    <w:semiHidden/>
    <w:rsid w:val="000A7F1D"/>
  </w:style>
  <w:style w:type="paragraph" w:customStyle="1" w:styleId="CommentText1">
    <w:name w:val="Comment Text1"/>
    <w:rsid w:val="000A7F1D"/>
    <w:rPr>
      <w:rFonts w:eastAsia="ヒラギノ角ゴ Pro W3"/>
      <w:color w:val="000000"/>
      <w:lang w:val="en-US"/>
    </w:rPr>
  </w:style>
  <w:style w:type="numbering" w:customStyle="1" w:styleId="List21">
    <w:name w:val="List 21"/>
    <w:rsid w:val="000A7F1D"/>
  </w:style>
  <w:style w:type="paragraph" w:customStyle="1" w:styleId="Heading31">
    <w:name w:val="Heading 31"/>
    <w:next w:val="Text"/>
    <w:rsid w:val="000A7F1D"/>
    <w:pPr>
      <w:keepNext/>
      <w:tabs>
        <w:tab w:val="left" w:pos="936"/>
      </w:tabs>
      <w:spacing w:before="120" w:after="60"/>
      <w:jc w:val="both"/>
      <w:outlineLvl w:val="2"/>
    </w:pPr>
    <w:rPr>
      <w:rFonts w:ascii="Times New Roman Bold Italic" w:eastAsia="ヒラギノ角ゴ Pro W3" w:hAnsi="Times New Roman Bold Italic"/>
      <w:color w:val="000000"/>
      <w:sz w:val="24"/>
      <w:lang w:val="en-GB"/>
    </w:rPr>
  </w:style>
  <w:style w:type="paragraph" w:customStyle="1" w:styleId="Text">
    <w:name w:val="Text"/>
    <w:rsid w:val="000A7F1D"/>
    <w:pPr>
      <w:suppressAutoHyphens/>
      <w:spacing w:before="60" w:after="60"/>
      <w:ind w:left="936"/>
      <w:jc w:val="both"/>
    </w:pPr>
    <w:rPr>
      <w:rFonts w:eastAsia="ヒラギノ角ゴ Pro W3"/>
      <w:color w:val="000000"/>
      <w:sz w:val="24"/>
      <w:lang w:val="en-GB"/>
    </w:rPr>
  </w:style>
  <w:style w:type="paragraph" w:styleId="ListParagraph">
    <w:name w:val="List Paragraph"/>
    <w:qFormat/>
    <w:rsid w:val="000A7F1D"/>
    <w:pPr>
      <w:ind w:left="720"/>
    </w:pPr>
    <w:rPr>
      <w:rFonts w:eastAsia="ヒラギノ角ゴ Pro W3"/>
      <w:color w:val="000000"/>
      <w:sz w:val="24"/>
      <w:lang w:val="en-US"/>
    </w:rPr>
  </w:style>
  <w:style w:type="character" w:customStyle="1" w:styleId="CommentReference1">
    <w:name w:val="Comment Reference1"/>
    <w:rsid w:val="000A7F1D"/>
    <w:rPr>
      <w:color w:val="000000"/>
      <w:sz w:val="16"/>
    </w:rPr>
  </w:style>
  <w:style w:type="paragraph" w:customStyle="1" w:styleId="BodyTextIndent1">
    <w:name w:val="Body Text Indent1"/>
    <w:rsid w:val="000A7F1D"/>
    <w:pPr>
      <w:spacing w:after="120"/>
      <w:ind w:left="283"/>
    </w:pPr>
    <w:rPr>
      <w:rFonts w:eastAsia="ヒラギノ角ゴ Pro W3"/>
      <w:color w:val="000000"/>
      <w:sz w:val="24"/>
      <w:lang w:val="en-US"/>
    </w:rPr>
  </w:style>
  <w:style w:type="paragraph" w:customStyle="1" w:styleId="Heading51">
    <w:name w:val="Heading 51"/>
    <w:next w:val="Text"/>
    <w:rsid w:val="000A7F1D"/>
    <w:pPr>
      <w:keepNext/>
      <w:tabs>
        <w:tab w:val="left" w:pos="1296"/>
      </w:tabs>
      <w:spacing w:before="120" w:after="60"/>
      <w:jc w:val="both"/>
      <w:outlineLvl w:val="4"/>
    </w:pPr>
    <w:rPr>
      <w:rFonts w:eastAsia="ヒラギノ角ゴ Pro W3"/>
      <w:color w:val="000000"/>
      <w:sz w:val="24"/>
      <w:lang w:val="en-GB"/>
    </w:rPr>
  </w:style>
  <w:style w:type="paragraph" w:customStyle="1" w:styleId="BodyText21">
    <w:name w:val="Body Text 21"/>
    <w:rsid w:val="000A7F1D"/>
    <w:pPr>
      <w:tabs>
        <w:tab w:val="left" w:pos="0"/>
        <w:tab w:val="left" w:pos="204"/>
        <w:tab w:val="left" w:pos="769"/>
        <w:tab w:val="left" w:pos="2073"/>
        <w:tab w:val="left" w:pos="2358"/>
        <w:tab w:val="left" w:pos="3600"/>
      </w:tabs>
      <w:suppressAutoHyphens/>
      <w:jc w:val="both"/>
    </w:pPr>
    <w:rPr>
      <w:rFonts w:ascii="Times New Roman Italic" w:eastAsia="ヒラギノ角ゴ Pro W3" w:hAnsi="Times New Roman Italic"/>
      <w:color w:val="000000"/>
      <w:sz w:val="24"/>
      <w:lang w:val="fr-FR"/>
    </w:rPr>
  </w:style>
  <w:style w:type="paragraph" w:customStyle="1" w:styleId="BodyA">
    <w:name w:val="Body A"/>
    <w:next w:val="Normal"/>
    <w:rsid w:val="000A7F1D"/>
    <w:rPr>
      <w:rFonts w:ascii="Arial" w:eastAsia="ヒラギノ角ゴ Pro W3" w:hAnsi="Arial"/>
      <w:color w:val="000000"/>
      <w:sz w:val="24"/>
      <w:lang w:val="en-US"/>
    </w:rPr>
  </w:style>
  <w:style w:type="paragraph" w:customStyle="1" w:styleId="Body">
    <w:name w:val="Body"/>
    <w:rsid w:val="000A7F1D"/>
    <w:rPr>
      <w:rFonts w:ascii="Helvetica" w:eastAsia="ヒラギノ角ゴ Pro W3" w:hAnsi="Helvetica"/>
      <w:color w:val="000000"/>
      <w:sz w:val="24"/>
      <w:lang w:val="en-US"/>
    </w:rPr>
  </w:style>
  <w:style w:type="paragraph" w:customStyle="1" w:styleId="Default">
    <w:name w:val="Default"/>
    <w:rsid w:val="000A7F1D"/>
    <w:rPr>
      <w:rFonts w:eastAsia="ヒラギノ角ゴ Pro W3"/>
      <w:color w:val="000000"/>
      <w:sz w:val="24"/>
      <w:lang w:val="en-US"/>
    </w:rPr>
  </w:style>
  <w:style w:type="character" w:customStyle="1" w:styleId="streetline">
    <w:name w:val="street_line"/>
    <w:rsid w:val="000A7F1D"/>
    <w:rPr>
      <w:color w:val="000000"/>
      <w:sz w:val="20"/>
    </w:rPr>
  </w:style>
  <w:style w:type="character" w:customStyle="1" w:styleId="locality">
    <w:name w:val="locality"/>
    <w:rsid w:val="000A7F1D"/>
    <w:rPr>
      <w:color w:val="000000"/>
      <w:sz w:val="20"/>
    </w:rPr>
  </w:style>
  <w:style w:type="character" w:customStyle="1" w:styleId="state">
    <w:name w:val="state"/>
    <w:rsid w:val="000A7F1D"/>
    <w:rPr>
      <w:color w:val="000000"/>
      <w:sz w:val="20"/>
    </w:rPr>
  </w:style>
  <w:style w:type="character" w:customStyle="1" w:styleId="postcode">
    <w:name w:val="postcode"/>
    <w:rsid w:val="000A7F1D"/>
    <w:rPr>
      <w:color w:val="000000"/>
      <w:sz w:val="20"/>
    </w:rPr>
  </w:style>
  <w:style w:type="paragraph" w:styleId="BalloonText">
    <w:name w:val="Balloon Text"/>
    <w:basedOn w:val="Normal"/>
    <w:link w:val="BalloonTextChar"/>
    <w:locked/>
    <w:rsid w:val="00211D51"/>
    <w:rPr>
      <w:rFonts w:ascii="Tahoma" w:hAnsi="Tahoma"/>
      <w:sz w:val="16"/>
      <w:szCs w:val="16"/>
    </w:rPr>
  </w:style>
  <w:style w:type="character" w:customStyle="1" w:styleId="BalloonTextChar">
    <w:name w:val="Balloon Text Char"/>
    <w:link w:val="BalloonText"/>
    <w:rsid w:val="00211D51"/>
    <w:rPr>
      <w:rFonts w:ascii="Tahoma" w:eastAsia="ヒラギノ角ゴ Pro W3" w:hAnsi="Tahoma" w:cs="Tahoma"/>
      <w:color w:val="000000"/>
      <w:sz w:val="16"/>
      <w:szCs w:val="16"/>
      <w:lang w:val="en-US" w:eastAsia="en-US"/>
    </w:rPr>
  </w:style>
  <w:style w:type="paragraph" w:styleId="Header">
    <w:name w:val="header"/>
    <w:basedOn w:val="Normal"/>
    <w:link w:val="HeaderChar"/>
    <w:locked/>
    <w:rsid w:val="0092535E"/>
    <w:pPr>
      <w:jc w:val="center"/>
    </w:pPr>
    <w:rPr>
      <w:rFonts w:ascii="Times New Roman Bold" w:hAnsi="Times New Roman Bold"/>
      <w:spacing w:val="-3"/>
      <w:sz w:val="28"/>
    </w:rPr>
  </w:style>
  <w:style w:type="character" w:customStyle="1" w:styleId="HeaderChar">
    <w:name w:val="Header Char"/>
    <w:link w:val="Header"/>
    <w:rsid w:val="0092535E"/>
    <w:rPr>
      <w:rFonts w:ascii="Times New Roman Bold" w:eastAsia="ヒラギノ角ゴ Pro W3" w:hAnsi="Times New Roman Bold"/>
      <w:color w:val="000000"/>
      <w:spacing w:val="-3"/>
      <w:sz w:val="28"/>
      <w:szCs w:val="24"/>
      <w:lang w:val="en-US" w:eastAsia="en-US"/>
    </w:rPr>
  </w:style>
  <w:style w:type="paragraph" w:styleId="Footer">
    <w:name w:val="footer"/>
    <w:basedOn w:val="Normal"/>
    <w:link w:val="FooterChar"/>
    <w:locked/>
    <w:rsid w:val="00211D51"/>
    <w:pPr>
      <w:tabs>
        <w:tab w:val="center" w:pos="4513"/>
        <w:tab w:val="right" w:pos="9026"/>
      </w:tabs>
    </w:pPr>
  </w:style>
  <w:style w:type="character" w:customStyle="1" w:styleId="FooterChar">
    <w:name w:val="Footer Char"/>
    <w:link w:val="Footer"/>
    <w:rsid w:val="00211D51"/>
    <w:rPr>
      <w:rFonts w:eastAsia="ヒラギノ角ゴ Pro W3"/>
      <w:color w:val="000000"/>
      <w:sz w:val="24"/>
      <w:szCs w:val="24"/>
      <w:lang w:val="en-US" w:eastAsia="en-US"/>
    </w:rPr>
  </w:style>
  <w:style w:type="character" w:styleId="CommentReference">
    <w:name w:val="annotation reference"/>
    <w:locked/>
    <w:rsid w:val="003A53DF"/>
    <w:rPr>
      <w:sz w:val="16"/>
      <w:szCs w:val="16"/>
    </w:rPr>
  </w:style>
  <w:style w:type="paragraph" w:styleId="CommentText">
    <w:name w:val="annotation text"/>
    <w:basedOn w:val="Normal"/>
    <w:link w:val="CommentTextChar"/>
    <w:locked/>
    <w:rsid w:val="003A53DF"/>
    <w:rPr>
      <w:sz w:val="20"/>
      <w:szCs w:val="20"/>
    </w:rPr>
  </w:style>
  <w:style w:type="character" w:customStyle="1" w:styleId="CommentTextChar">
    <w:name w:val="Comment Text Char"/>
    <w:link w:val="CommentText"/>
    <w:rsid w:val="003A53DF"/>
    <w:rPr>
      <w:rFonts w:eastAsia="ヒラギノ角ゴ Pro W3"/>
      <w:color w:val="000000"/>
      <w:lang w:val="en-US" w:eastAsia="en-US"/>
    </w:rPr>
  </w:style>
  <w:style w:type="paragraph" w:styleId="CommentSubject">
    <w:name w:val="annotation subject"/>
    <w:basedOn w:val="CommentText"/>
    <w:next w:val="CommentText"/>
    <w:link w:val="CommentSubjectChar"/>
    <w:locked/>
    <w:rsid w:val="003A53DF"/>
    <w:rPr>
      <w:b/>
      <w:bCs/>
    </w:rPr>
  </w:style>
  <w:style w:type="character" w:customStyle="1" w:styleId="CommentSubjectChar">
    <w:name w:val="Comment Subject Char"/>
    <w:link w:val="CommentSubject"/>
    <w:rsid w:val="003A53DF"/>
    <w:rPr>
      <w:rFonts w:eastAsia="ヒラギノ角ゴ Pro W3"/>
      <w:b/>
      <w:bCs/>
      <w:color w:val="000000"/>
      <w:lang w:val="en-US" w:eastAsia="en-US"/>
    </w:rPr>
  </w:style>
  <w:style w:type="table" w:styleId="TableGrid">
    <w:name w:val="Table Grid"/>
    <w:basedOn w:val="TableNormal"/>
    <w:uiPriority w:val="59"/>
    <w:locked/>
    <w:rsid w:val="00354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01A6B"/>
    <w:rPr>
      <w:rFonts w:eastAsia="ヒラギノ角ゴ Pro W3"/>
      <w:color w:val="000000"/>
      <w:sz w:val="24"/>
      <w:szCs w:val="24"/>
      <w:lang w:val="en-US" w:eastAsia="en-US"/>
    </w:rPr>
  </w:style>
  <w:style w:type="character" w:customStyle="1" w:styleId="Heading2Char">
    <w:name w:val="Heading 2 Char"/>
    <w:basedOn w:val="DefaultParagraphFont"/>
    <w:link w:val="Heading2"/>
    <w:rsid w:val="0092535E"/>
    <w:rPr>
      <w:rFonts w:ascii="Times New Roman Bold" w:eastAsia="ヒラギノ角ゴ Pro W3" w:hAnsi="Times New Roman Bold"/>
      <w:color w:val="000000"/>
      <w:sz w:val="24"/>
      <w:szCs w:val="24"/>
      <w:lang w:val="en-US" w:eastAsia="en-US"/>
    </w:rPr>
  </w:style>
  <w:style w:type="character" w:customStyle="1" w:styleId="Heading3Char">
    <w:name w:val="Heading 3 Char"/>
    <w:basedOn w:val="DefaultParagraphFont"/>
    <w:link w:val="Heading3"/>
    <w:rsid w:val="0092535E"/>
    <w:rPr>
      <w:rFonts w:ascii="Times New Roman Bold" w:eastAsia="ヒラギノ角ゴ Pro W3" w:hAnsi="Times New Roman Bold"/>
      <w:b/>
      <w:color w:val="000000"/>
      <w:sz w:val="24"/>
      <w:szCs w:val="24"/>
      <w:lang w:val="en-US" w:eastAsia="en-US"/>
    </w:rPr>
  </w:style>
  <w:style w:type="character" w:customStyle="1" w:styleId="Heading4Char">
    <w:name w:val="Heading 4 Char"/>
    <w:basedOn w:val="DefaultParagraphFont"/>
    <w:link w:val="Heading4"/>
    <w:rsid w:val="00E15F3B"/>
    <w:rPr>
      <w:rFonts w:ascii="Times New Roman Italic" w:eastAsia="ヒラギノ角ゴ Pro W3" w:hAnsi="Times New Roman Italic"/>
      <w:color w:val="000000"/>
      <w:spacing w:val="-3"/>
      <w:sz w:val="24"/>
      <w:szCs w:val="24"/>
      <w:u w:val="single"/>
      <w:lang w:val="en-US" w:eastAsia="en-US"/>
    </w:rPr>
  </w:style>
</w:styles>
</file>

<file path=word/webSettings.xml><?xml version="1.0" encoding="utf-8"?>
<w:webSettings xmlns:r="http://schemas.openxmlformats.org/officeDocument/2006/relationships" xmlns:w="http://schemas.openxmlformats.org/wordprocessingml/2006/main">
  <w:divs>
    <w:div w:id="101757779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EC42C-9156-4322-A582-63A466A5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9</Pages>
  <Words>2710</Words>
  <Characters>14884</Characters>
  <Application>Microsoft Office Word</Application>
  <DocSecurity>0</DocSecurity>
  <Lines>297</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Product Information for Clobex shampoo (clobetasol propionate)</vt:lpstr>
      <vt:lpstr>PRODUCT INFORMATION</vt:lpstr>
    </vt:vector>
  </TitlesOfParts>
  <Company>Galderma Australia Pty Ltd</Company>
  <LinksUpToDate>false</LinksUpToDate>
  <CharactersWithSpaces>17415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Clobex shampoo (clobetasol propionate)</dc:title>
  <dc:subject>prescription medicine regulation</dc:subject>
  <dc:creator>Galderma Australia Pty Ltd</dc:creator>
  <cp:keywords>product information, prescription, medicine, regulation, pi, clobex, clobetasol propionate</cp:keywords>
  <cp:lastModifiedBy>Sheppard, Fran</cp:lastModifiedBy>
  <cp:revision>9</cp:revision>
  <cp:lastPrinted>2013-05-01T07:10:00Z</cp:lastPrinted>
  <dcterms:created xsi:type="dcterms:W3CDTF">2013-06-24T05:15:00Z</dcterms:created>
  <dcterms:modified xsi:type="dcterms:W3CDTF">2013-09-05T06:49:00Z</dcterms:modified>
</cp:coreProperties>
</file>