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A3C9F" w:rsidP="00096AA7">
            <w:pPr>
              <w:rPr>
                <w:rFonts w:ascii="Arial" w:hAnsi="Arial" w:cs="Arial"/>
                <w:b/>
                <w:color w:val="002C47"/>
                <w:sz w:val="36"/>
                <w:szCs w:val="36"/>
              </w:rPr>
            </w:pPr>
            <w:r>
              <w:rPr>
                <w:rFonts w:ascii="Arial" w:hAnsi="Arial" w:cs="Arial"/>
                <w:b/>
                <w:color w:val="002C47"/>
                <w:sz w:val="36"/>
                <w:szCs w:val="36"/>
              </w:rPr>
              <w:t>December</w:t>
            </w:r>
            <w:r w:rsidR="00194279">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194279">
              <w:rPr>
                <w:color w:val="FFFFFF"/>
              </w:rPr>
              <w:t xml:space="preserve">blic Assessment Report for </w:t>
            </w:r>
            <w:proofErr w:type="spellStart"/>
            <w:r w:rsidR="00194279">
              <w:rPr>
                <w:color w:val="FFFFFF"/>
              </w:rPr>
              <w:t>c</w:t>
            </w:r>
            <w:r w:rsidR="00194279" w:rsidRPr="00194279">
              <w:rPr>
                <w:color w:val="FFFFFF"/>
              </w:rPr>
              <w:t>obicistat</w:t>
            </w:r>
            <w:proofErr w:type="spellEnd"/>
          </w:p>
        </w:tc>
      </w:tr>
      <w:tr w:rsidR="0032583B" w:rsidRPr="00B64760" w:rsidTr="0032583B">
        <w:tc>
          <w:tcPr>
            <w:tcW w:w="9079" w:type="dxa"/>
          </w:tcPr>
          <w:p w:rsidR="0032583B" w:rsidRPr="008E7846" w:rsidRDefault="001E0CCD" w:rsidP="0032583B">
            <w:pPr>
              <w:pStyle w:val="Subtitle"/>
              <w:rPr>
                <w:color w:val="FFFFFF"/>
              </w:rPr>
            </w:pPr>
            <w:r>
              <w:rPr>
                <w:color w:val="FFFFFF"/>
              </w:rPr>
              <w:t xml:space="preserve">Proprietary Product Name: </w:t>
            </w:r>
            <w:proofErr w:type="spellStart"/>
            <w:r>
              <w:rPr>
                <w:color w:val="FFFFFF"/>
              </w:rPr>
              <w:t>Tybost</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rPr>
            </w:pPr>
            <w:r w:rsidRPr="008E7846">
              <w:rPr>
                <w:color w:val="FFFFFF"/>
              </w:rPr>
              <w:t xml:space="preserve">Sponsor: </w:t>
            </w:r>
            <w:r w:rsidR="00D83216" w:rsidRPr="00D83216">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976BD5" w:rsidRDefault="00CD5A1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6430039" w:history="1">
        <w:r w:rsidR="00976BD5" w:rsidRPr="002F66E2">
          <w:rPr>
            <w:rStyle w:val="Hyperlink"/>
            <w:noProof/>
          </w:rPr>
          <w:t>I. Introduction to product submission</w:t>
        </w:r>
        <w:r w:rsidR="00976BD5">
          <w:rPr>
            <w:noProof/>
            <w:webHidden/>
          </w:rPr>
          <w:tab/>
        </w:r>
        <w:r w:rsidR="00976BD5">
          <w:rPr>
            <w:noProof/>
            <w:webHidden/>
          </w:rPr>
          <w:fldChar w:fldCharType="begin"/>
        </w:r>
        <w:r w:rsidR="00976BD5">
          <w:rPr>
            <w:noProof/>
            <w:webHidden/>
          </w:rPr>
          <w:instrText xml:space="preserve"> PAGEREF _Toc376430039 \h </w:instrText>
        </w:r>
        <w:r w:rsidR="00976BD5">
          <w:rPr>
            <w:noProof/>
            <w:webHidden/>
          </w:rPr>
        </w:r>
        <w:r w:rsidR="00976BD5">
          <w:rPr>
            <w:noProof/>
            <w:webHidden/>
          </w:rPr>
          <w:fldChar w:fldCharType="separate"/>
        </w:r>
        <w:r w:rsidR="00976BD5">
          <w:rPr>
            <w:noProof/>
            <w:webHidden/>
          </w:rPr>
          <w:t>4</w:t>
        </w:r>
        <w:r w:rsidR="00976BD5">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0" w:history="1">
        <w:r w:rsidRPr="002F66E2">
          <w:rPr>
            <w:rStyle w:val="Hyperlink"/>
            <w:noProof/>
            <w:lang w:eastAsia="en-AU"/>
          </w:rPr>
          <w:t>Submission details</w:t>
        </w:r>
        <w:r>
          <w:rPr>
            <w:noProof/>
            <w:webHidden/>
          </w:rPr>
          <w:tab/>
        </w:r>
        <w:r>
          <w:rPr>
            <w:noProof/>
            <w:webHidden/>
          </w:rPr>
          <w:fldChar w:fldCharType="begin"/>
        </w:r>
        <w:r>
          <w:rPr>
            <w:noProof/>
            <w:webHidden/>
          </w:rPr>
          <w:instrText xml:space="preserve"> PAGEREF _Toc376430040 \h </w:instrText>
        </w:r>
        <w:r>
          <w:rPr>
            <w:noProof/>
            <w:webHidden/>
          </w:rPr>
        </w:r>
        <w:r>
          <w:rPr>
            <w:noProof/>
            <w:webHidden/>
          </w:rPr>
          <w:fldChar w:fldCharType="separate"/>
        </w:r>
        <w:r>
          <w:rPr>
            <w:noProof/>
            <w:webHidden/>
          </w:rPr>
          <w:t>4</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1" w:history="1">
        <w:r w:rsidRPr="002F66E2">
          <w:rPr>
            <w:rStyle w:val="Hyperlink"/>
            <w:noProof/>
          </w:rPr>
          <w:t>Product background</w:t>
        </w:r>
        <w:r>
          <w:rPr>
            <w:noProof/>
            <w:webHidden/>
          </w:rPr>
          <w:tab/>
        </w:r>
        <w:r>
          <w:rPr>
            <w:noProof/>
            <w:webHidden/>
          </w:rPr>
          <w:fldChar w:fldCharType="begin"/>
        </w:r>
        <w:r>
          <w:rPr>
            <w:noProof/>
            <w:webHidden/>
          </w:rPr>
          <w:instrText xml:space="preserve"> PAGEREF _Toc376430041 \h </w:instrText>
        </w:r>
        <w:r>
          <w:rPr>
            <w:noProof/>
            <w:webHidden/>
          </w:rPr>
        </w:r>
        <w:r>
          <w:rPr>
            <w:noProof/>
            <w:webHidden/>
          </w:rPr>
          <w:fldChar w:fldCharType="separate"/>
        </w:r>
        <w:r>
          <w:rPr>
            <w:noProof/>
            <w:webHidden/>
          </w:rPr>
          <w:t>4</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2" w:history="1">
        <w:r w:rsidRPr="002F66E2">
          <w:rPr>
            <w:rStyle w:val="Hyperlink"/>
            <w:noProof/>
          </w:rPr>
          <w:t>Regulatory status</w:t>
        </w:r>
        <w:r>
          <w:rPr>
            <w:noProof/>
            <w:webHidden/>
          </w:rPr>
          <w:tab/>
        </w:r>
        <w:r>
          <w:rPr>
            <w:noProof/>
            <w:webHidden/>
          </w:rPr>
          <w:fldChar w:fldCharType="begin"/>
        </w:r>
        <w:r>
          <w:rPr>
            <w:noProof/>
            <w:webHidden/>
          </w:rPr>
          <w:instrText xml:space="preserve"> PAGEREF _Toc376430042 \h </w:instrText>
        </w:r>
        <w:r>
          <w:rPr>
            <w:noProof/>
            <w:webHidden/>
          </w:rPr>
        </w:r>
        <w:r>
          <w:rPr>
            <w:noProof/>
            <w:webHidden/>
          </w:rPr>
          <w:fldChar w:fldCharType="separate"/>
        </w:r>
        <w:r>
          <w:rPr>
            <w:noProof/>
            <w:webHidden/>
          </w:rPr>
          <w:t>5</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3" w:history="1">
        <w:r w:rsidRPr="002F66E2">
          <w:rPr>
            <w:rStyle w:val="Hyperlink"/>
            <w:noProof/>
          </w:rPr>
          <w:t>Product Information</w:t>
        </w:r>
        <w:r>
          <w:rPr>
            <w:noProof/>
            <w:webHidden/>
          </w:rPr>
          <w:tab/>
        </w:r>
        <w:r>
          <w:rPr>
            <w:noProof/>
            <w:webHidden/>
          </w:rPr>
          <w:fldChar w:fldCharType="begin"/>
        </w:r>
        <w:r>
          <w:rPr>
            <w:noProof/>
            <w:webHidden/>
          </w:rPr>
          <w:instrText xml:space="preserve"> PAGEREF _Toc376430043 \h </w:instrText>
        </w:r>
        <w:r>
          <w:rPr>
            <w:noProof/>
            <w:webHidden/>
          </w:rPr>
        </w:r>
        <w:r>
          <w:rPr>
            <w:noProof/>
            <w:webHidden/>
          </w:rPr>
          <w:fldChar w:fldCharType="separate"/>
        </w:r>
        <w:r>
          <w:rPr>
            <w:noProof/>
            <w:webHidden/>
          </w:rPr>
          <w:t>5</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44" w:history="1">
        <w:r w:rsidRPr="002F66E2">
          <w:rPr>
            <w:rStyle w:val="Hyperlink"/>
            <w:noProof/>
          </w:rPr>
          <w:t>II. Quality findings</w:t>
        </w:r>
        <w:r>
          <w:rPr>
            <w:noProof/>
            <w:webHidden/>
          </w:rPr>
          <w:tab/>
        </w:r>
        <w:r>
          <w:rPr>
            <w:noProof/>
            <w:webHidden/>
          </w:rPr>
          <w:fldChar w:fldCharType="begin"/>
        </w:r>
        <w:r>
          <w:rPr>
            <w:noProof/>
            <w:webHidden/>
          </w:rPr>
          <w:instrText xml:space="preserve"> PAGEREF _Toc376430044 \h </w:instrText>
        </w:r>
        <w:r>
          <w:rPr>
            <w:noProof/>
            <w:webHidden/>
          </w:rPr>
        </w:r>
        <w:r>
          <w:rPr>
            <w:noProof/>
            <w:webHidden/>
          </w:rPr>
          <w:fldChar w:fldCharType="separate"/>
        </w:r>
        <w:r>
          <w:rPr>
            <w:noProof/>
            <w:webHidden/>
          </w:rPr>
          <w:t>5</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5" w:history="1">
        <w:r w:rsidRPr="002F66E2">
          <w:rPr>
            <w:rStyle w:val="Hyperlink"/>
            <w:noProof/>
          </w:rPr>
          <w:t>Drug substance (active ingredient)</w:t>
        </w:r>
        <w:r>
          <w:rPr>
            <w:noProof/>
            <w:webHidden/>
          </w:rPr>
          <w:tab/>
        </w:r>
        <w:r>
          <w:rPr>
            <w:noProof/>
            <w:webHidden/>
          </w:rPr>
          <w:fldChar w:fldCharType="begin"/>
        </w:r>
        <w:r>
          <w:rPr>
            <w:noProof/>
            <w:webHidden/>
          </w:rPr>
          <w:instrText xml:space="preserve"> PAGEREF _Toc376430045 \h </w:instrText>
        </w:r>
        <w:r>
          <w:rPr>
            <w:noProof/>
            <w:webHidden/>
          </w:rPr>
        </w:r>
        <w:r>
          <w:rPr>
            <w:noProof/>
            <w:webHidden/>
          </w:rPr>
          <w:fldChar w:fldCharType="separate"/>
        </w:r>
        <w:r>
          <w:rPr>
            <w:noProof/>
            <w:webHidden/>
          </w:rPr>
          <w:t>5</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6" w:history="1">
        <w:r w:rsidRPr="002F66E2">
          <w:rPr>
            <w:rStyle w:val="Hyperlink"/>
            <w:noProof/>
          </w:rPr>
          <w:t>Drug product</w:t>
        </w:r>
        <w:r>
          <w:rPr>
            <w:noProof/>
            <w:webHidden/>
          </w:rPr>
          <w:tab/>
        </w:r>
        <w:r>
          <w:rPr>
            <w:noProof/>
            <w:webHidden/>
          </w:rPr>
          <w:fldChar w:fldCharType="begin"/>
        </w:r>
        <w:r>
          <w:rPr>
            <w:noProof/>
            <w:webHidden/>
          </w:rPr>
          <w:instrText xml:space="preserve"> PAGEREF _Toc376430046 \h </w:instrText>
        </w:r>
        <w:r>
          <w:rPr>
            <w:noProof/>
            <w:webHidden/>
          </w:rPr>
        </w:r>
        <w:r>
          <w:rPr>
            <w:noProof/>
            <w:webHidden/>
          </w:rPr>
          <w:fldChar w:fldCharType="separate"/>
        </w:r>
        <w:r>
          <w:rPr>
            <w:noProof/>
            <w:webHidden/>
          </w:rPr>
          <w:t>6</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7" w:history="1">
        <w:r w:rsidRPr="002F66E2">
          <w:rPr>
            <w:rStyle w:val="Hyperlink"/>
            <w:noProof/>
          </w:rPr>
          <w:t>Biopharmaceutics</w:t>
        </w:r>
        <w:r>
          <w:rPr>
            <w:noProof/>
            <w:webHidden/>
          </w:rPr>
          <w:tab/>
        </w:r>
        <w:r>
          <w:rPr>
            <w:noProof/>
            <w:webHidden/>
          </w:rPr>
          <w:fldChar w:fldCharType="begin"/>
        </w:r>
        <w:r>
          <w:rPr>
            <w:noProof/>
            <w:webHidden/>
          </w:rPr>
          <w:instrText xml:space="preserve"> PAGEREF _Toc376430047 \h </w:instrText>
        </w:r>
        <w:r>
          <w:rPr>
            <w:noProof/>
            <w:webHidden/>
          </w:rPr>
        </w:r>
        <w:r>
          <w:rPr>
            <w:noProof/>
            <w:webHidden/>
          </w:rPr>
          <w:fldChar w:fldCharType="separate"/>
        </w:r>
        <w:r>
          <w:rPr>
            <w:noProof/>
            <w:webHidden/>
          </w:rPr>
          <w:t>6</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48" w:history="1">
        <w:r w:rsidRPr="002F66E2">
          <w:rPr>
            <w:rStyle w:val="Hyperlink"/>
            <w:noProof/>
          </w:rPr>
          <w:t>Quality summary and conclusions</w:t>
        </w:r>
        <w:r>
          <w:rPr>
            <w:noProof/>
            <w:webHidden/>
          </w:rPr>
          <w:tab/>
        </w:r>
        <w:r>
          <w:rPr>
            <w:noProof/>
            <w:webHidden/>
          </w:rPr>
          <w:fldChar w:fldCharType="begin"/>
        </w:r>
        <w:r>
          <w:rPr>
            <w:noProof/>
            <w:webHidden/>
          </w:rPr>
          <w:instrText xml:space="preserve"> PAGEREF _Toc376430048 \h </w:instrText>
        </w:r>
        <w:r>
          <w:rPr>
            <w:noProof/>
            <w:webHidden/>
          </w:rPr>
        </w:r>
        <w:r>
          <w:rPr>
            <w:noProof/>
            <w:webHidden/>
          </w:rPr>
          <w:fldChar w:fldCharType="separate"/>
        </w:r>
        <w:r>
          <w:rPr>
            <w:noProof/>
            <w:webHidden/>
          </w:rPr>
          <w:t>6</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49" w:history="1">
        <w:r w:rsidRPr="002F66E2">
          <w:rPr>
            <w:rStyle w:val="Hyperlink"/>
            <w:noProof/>
          </w:rPr>
          <w:t>III. Nonclinical findings</w:t>
        </w:r>
        <w:r>
          <w:rPr>
            <w:noProof/>
            <w:webHidden/>
          </w:rPr>
          <w:tab/>
        </w:r>
        <w:r>
          <w:rPr>
            <w:noProof/>
            <w:webHidden/>
          </w:rPr>
          <w:fldChar w:fldCharType="begin"/>
        </w:r>
        <w:r>
          <w:rPr>
            <w:noProof/>
            <w:webHidden/>
          </w:rPr>
          <w:instrText xml:space="preserve"> PAGEREF _Toc376430049 \h </w:instrText>
        </w:r>
        <w:r>
          <w:rPr>
            <w:noProof/>
            <w:webHidden/>
          </w:rPr>
        </w:r>
        <w:r>
          <w:rPr>
            <w:noProof/>
            <w:webHidden/>
          </w:rPr>
          <w:fldChar w:fldCharType="separate"/>
        </w:r>
        <w:r>
          <w:rPr>
            <w:noProof/>
            <w:webHidden/>
          </w:rPr>
          <w:t>6</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0" w:history="1">
        <w:r w:rsidRPr="002F66E2">
          <w:rPr>
            <w:rStyle w:val="Hyperlink"/>
            <w:noProof/>
          </w:rPr>
          <w:t>Introduction</w:t>
        </w:r>
        <w:r>
          <w:rPr>
            <w:noProof/>
            <w:webHidden/>
          </w:rPr>
          <w:tab/>
        </w:r>
        <w:r>
          <w:rPr>
            <w:noProof/>
            <w:webHidden/>
          </w:rPr>
          <w:fldChar w:fldCharType="begin"/>
        </w:r>
        <w:r>
          <w:rPr>
            <w:noProof/>
            <w:webHidden/>
          </w:rPr>
          <w:instrText xml:space="preserve"> PAGEREF _Toc376430050 \h </w:instrText>
        </w:r>
        <w:r>
          <w:rPr>
            <w:noProof/>
            <w:webHidden/>
          </w:rPr>
        </w:r>
        <w:r>
          <w:rPr>
            <w:noProof/>
            <w:webHidden/>
          </w:rPr>
          <w:fldChar w:fldCharType="separate"/>
        </w:r>
        <w:r>
          <w:rPr>
            <w:noProof/>
            <w:webHidden/>
          </w:rPr>
          <w:t>6</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1" w:history="1">
        <w:r w:rsidRPr="002F66E2">
          <w:rPr>
            <w:rStyle w:val="Hyperlink"/>
            <w:noProof/>
          </w:rPr>
          <w:t>Pharmacology</w:t>
        </w:r>
        <w:r>
          <w:rPr>
            <w:noProof/>
            <w:webHidden/>
          </w:rPr>
          <w:tab/>
        </w:r>
        <w:r>
          <w:rPr>
            <w:noProof/>
            <w:webHidden/>
          </w:rPr>
          <w:fldChar w:fldCharType="begin"/>
        </w:r>
        <w:r>
          <w:rPr>
            <w:noProof/>
            <w:webHidden/>
          </w:rPr>
          <w:instrText xml:space="preserve"> PAGEREF _Toc376430051 \h </w:instrText>
        </w:r>
        <w:r>
          <w:rPr>
            <w:noProof/>
            <w:webHidden/>
          </w:rPr>
        </w:r>
        <w:r>
          <w:rPr>
            <w:noProof/>
            <w:webHidden/>
          </w:rPr>
          <w:fldChar w:fldCharType="separate"/>
        </w:r>
        <w:r>
          <w:rPr>
            <w:noProof/>
            <w:webHidden/>
          </w:rPr>
          <w:t>7</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2" w:history="1">
        <w:r w:rsidRPr="002F66E2">
          <w:rPr>
            <w:rStyle w:val="Hyperlink"/>
            <w:noProof/>
          </w:rPr>
          <w:t>Pharmacokinetics</w:t>
        </w:r>
        <w:r>
          <w:rPr>
            <w:noProof/>
            <w:webHidden/>
          </w:rPr>
          <w:tab/>
        </w:r>
        <w:r>
          <w:rPr>
            <w:noProof/>
            <w:webHidden/>
          </w:rPr>
          <w:fldChar w:fldCharType="begin"/>
        </w:r>
        <w:r>
          <w:rPr>
            <w:noProof/>
            <w:webHidden/>
          </w:rPr>
          <w:instrText xml:space="preserve"> PAGEREF _Toc376430052 \h </w:instrText>
        </w:r>
        <w:r>
          <w:rPr>
            <w:noProof/>
            <w:webHidden/>
          </w:rPr>
        </w:r>
        <w:r>
          <w:rPr>
            <w:noProof/>
            <w:webHidden/>
          </w:rPr>
          <w:fldChar w:fldCharType="separate"/>
        </w:r>
        <w:r>
          <w:rPr>
            <w:noProof/>
            <w:webHidden/>
          </w:rPr>
          <w:t>8</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3" w:history="1">
        <w:r w:rsidRPr="002F66E2">
          <w:rPr>
            <w:rStyle w:val="Hyperlink"/>
            <w:noProof/>
          </w:rPr>
          <w:t>Toxicology</w:t>
        </w:r>
        <w:r>
          <w:rPr>
            <w:noProof/>
            <w:webHidden/>
          </w:rPr>
          <w:tab/>
        </w:r>
        <w:r>
          <w:rPr>
            <w:noProof/>
            <w:webHidden/>
          </w:rPr>
          <w:fldChar w:fldCharType="begin"/>
        </w:r>
        <w:r>
          <w:rPr>
            <w:noProof/>
            <w:webHidden/>
          </w:rPr>
          <w:instrText xml:space="preserve"> PAGEREF _Toc376430053 \h </w:instrText>
        </w:r>
        <w:r>
          <w:rPr>
            <w:noProof/>
            <w:webHidden/>
          </w:rPr>
        </w:r>
        <w:r>
          <w:rPr>
            <w:noProof/>
            <w:webHidden/>
          </w:rPr>
          <w:fldChar w:fldCharType="separate"/>
        </w:r>
        <w:r>
          <w:rPr>
            <w:noProof/>
            <w:webHidden/>
          </w:rPr>
          <w:t>10</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4" w:history="1">
        <w:r w:rsidRPr="002F66E2">
          <w:rPr>
            <w:rStyle w:val="Hyperlink"/>
            <w:noProof/>
          </w:rPr>
          <w:t>Nonclinical summary and conclusions</w:t>
        </w:r>
        <w:r>
          <w:rPr>
            <w:noProof/>
            <w:webHidden/>
          </w:rPr>
          <w:tab/>
        </w:r>
        <w:r>
          <w:rPr>
            <w:noProof/>
            <w:webHidden/>
          </w:rPr>
          <w:fldChar w:fldCharType="begin"/>
        </w:r>
        <w:r>
          <w:rPr>
            <w:noProof/>
            <w:webHidden/>
          </w:rPr>
          <w:instrText xml:space="preserve"> PAGEREF _Toc376430054 \h </w:instrText>
        </w:r>
        <w:r>
          <w:rPr>
            <w:noProof/>
            <w:webHidden/>
          </w:rPr>
        </w:r>
        <w:r>
          <w:rPr>
            <w:noProof/>
            <w:webHidden/>
          </w:rPr>
          <w:fldChar w:fldCharType="separate"/>
        </w:r>
        <w:r>
          <w:rPr>
            <w:noProof/>
            <w:webHidden/>
          </w:rPr>
          <w:t>12</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55" w:history="1">
        <w:r w:rsidRPr="002F66E2">
          <w:rPr>
            <w:rStyle w:val="Hyperlink"/>
            <w:noProof/>
          </w:rPr>
          <w:t>IV. Clinical findings</w:t>
        </w:r>
        <w:r>
          <w:rPr>
            <w:noProof/>
            <w:webHidden/>
          </w:rPr>
          <w:tab/>
        </w:r>
        <w:r>
          <w:rPr>
            <w:noProof/>
            <w:webHidden/>
          </w:rPr>
          <w:fldChar w:fldCharType="begin"/>
        </w:r>
        <w:r>
          <w:rPr>
            <w:noProof/>
            <w:webHidden/>
          </w:rPr>
          <w:instrText xml:space="preserve"> PAGEREF _Toc376430055 \h </w:instrText>
        </w:r>
        <w:r>
          <w:rPr>
            <w:noProof/>
            <w:webHidden/>
          </w:rPr>
        </w:r>
        <w:r>
          <w:rPr>
            <w:noProof/>
            <w:webHidden/>
          </w:rPr>
          <w:fldChar w:fldCharType="separate"/>
        </w:r>
        <w:r>
          <w:rPr>
            <w:noProof/>
            <w:webHidden/>
          </w:rPr>
          <w:t>12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6" w:history="1">
        <w:r w:rsidRPr="002F66E2">
          <w:rPr>
            <w:rStyle w:val="Hyperlink"/>
            <w:noProof/>
          </w:rPr>
          <w:t>Introduction</w:t>
        </w:r>
        <w:r>
          <w:rPr>
            <w:noProof/>
            <w:webHidden/>
          </w:rPr>
          <w:tab/>
        </w:r>
        <w:r>
          <w:rPr>
            <w:noProof/>
            <w:webHidden/>
          </w:rPr>
          <w:fldChar w:fldCharType="begin"/>
        </w:r>
        <w:r>
          <w:rPr>
            <w:noProof/>
            <w:webHidden/>
          </w:rPr>
          <w:instrText xml:space="preserve"> PAGEREF _Toc376430056 \h </w:instrText>
        </w:r>
        <w:r>
          <w:rPr>
            <w:noProof/>
            <w:webHidden/>
          </w:rPr>
        </w:r>
        <w:r>
          <w:rPr>
            <w:noProof/>
            <w:webHidden/>
          </w:rPr>
          <w:fldChar w:fldCharType="separate"/>
        </w:r>
        <w:r>
          <w:rPr>
            <w:noProof/>
            <w:webHidden/>
          </w:rPr>
          <w:t>12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7" w:history="1">
        <w:r w:rsidRPr="002F66E2">
          <w:rPr>
            <w:rStyle w:val="Hyperlink"/>
            <w:noProof/>
          </w:rPr>
          <w:t>Pharmacokinetics</w:t>
        </w:r>
        <w:r>
          <w:rPr>
            <w:noProof/>
            <w:webHidden/>
          </w:rPr>
          <w:tab/>
        </w:r>
        <w:r>
          <w:rPr>
            <w:noProof/>
            <w:webHidden/>
          </w:rPr>
          <w:fldChar w:fldCharType="begin"/>
        </w:r>
        <w:r>
          <w:rPr>
            <w:noProof/>
            <w:webHidden/>
          </w:rPr>
          <w:instrText xml:space="preserve"> PAGEREF _Toc376430057 \h </w:instrText>
        </w:r>
        <w:r>
          <w:rPr>
            <w:noProof/>
            <w:webHidden/>
          </w:rPr>
        </w:r>
        <w:r>
          <w:rPr>
            <w:noProof/>
            <w:webHidden/>
          </w:rPr>
          <w:fldChar w:fldCharType="separate"/>
        </w:r>
        <w:r>
          <w:rPr>
            <w:noProof/>
            <w:webHidden/>
          </w:rPr>
          <w:t>12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8" w:history="1">
        <w:r w:rsidRPr="002F66E2">
          <w:rPr>
            <w:rStyle w:val="Hyperlink"/>
            <w:noProof/>
          </w:rPr>
          <w:t>Pharmacodynamics</w:t>
        </w:r>
        <w:r>
          <w:rPr>
            <w:noProof/>
            <w:webHidden/>
          </w:rPr>
          <w:tab/>
        </w:r>
        <w:r>
          <w:rPr>
            <w:noProof/>
            <w:webHidden/>
          </w:rPr>
          <w:fldChar w:fldCharType="begin"/>
        </w:r>
        <w:r>
          <w:rPr>
            <w:noProof/>
            <w:webHidden/>
          </w:rPr>
          <w:instrText xml:space="preserve"> PAGEREF _Toc376430058 \h </w:instrText>
        </w:r>
        <w:r>
          <w:rPr>
            <w:noProof/>
            <w:webHidden/>
          </w:rPr>
        </w:r>
        <w:r>
          <w:rPr>
            <w:noProof/>
            <w:webHidden/>
          </w:rPr>
          <w:fldChar w:fldCharType="separate"/>
        </w:r>
        <w:r>
          <w:rPr>
            <w:noProof/>
            <w:webHidden/>
          </w:rPr>
          <w:t>14</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59" w:history="1">
        <w:r w:rsidRPr="002F66E2">
          <w:rPr>
            <w:rStyle w:val="Hyperlink"/>
            <w:noProof/>
          </w:rPr>
          <w:t>Efficacy</w:t>
        </w:r>
        <w:r>
          <w:rPr>
            <w:noProof/>
            <w:webHidden/>
          </w:rPr>
          <w:tab/>
        </w:r>
        <w:r>
          <w:rPr>
            <w:noProof/>
            <w:webHidden/>
          </w:rPr>
          <w:fldChar w:fldCharType="begin"/>
        </w:r>
        <w:r>
          <w:rPr>
            <w:noProof/>
            <w:webHidden/>
          </w:rPr>
          <w:instrText xml:space="preserve"> PAGEREF _Toc376430059 \h </w:instrText>
        </w:r>
        <w:r>
          <w:rPr>
            <w:noProof/>
            <w:webHidden/>
          </w:rPr>
        </w:r>
        <w:r>
          <w:rPr>
            <w:noProof/>
            <w:webHidden/>
          </w:rPr>
          <w:fldChar w:fldCharType="separate"/>
        </w:r>
        <w:r>
          <w:rPr>
            <w:noProof/>
            <w:webHidden/>
          </w:rPr>
          <w:t>15</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0" w:history="1">
        <w:r w:rsidRPr="002F66E2">
          <w:rPr>
            <w:rStyle w:val="Hyperlink"/>
            <w:noProof/>
          </w:rPr>
          <w:t>Safety</w:t>
        </w:r>
        <w:r>
          <w:rPr>
            <w:noProof/>
            <w:webHidden/>
          </w:rPr>
          <w:tab/>
        </w:r>
        <w:r>
          <w:rPr>
            <w:noProof/>
            <w:webHidden/>
          </w:rPr>
          <w:fldChar w:fldCharType="begin"/>
        </w:r>
        <w:r>
          <w:rPr>
            <w:noProof/>
            <w:webHidden/>
          </w:rPr>
          <w:instrText xml:space="preserve"> PAGEREF _Toc376430060 \h </w:instrText>
        </w:r>
        <w:r>
          <w:rPr>
            <w:noProof/>
            <w:webHidden/>
          </w:rPr>
        </w:r>
        <w:r>
          <w:rPr>
            <w:noProof/>
            <w:webHidden/>
          </w:rPr>
          <w:fldChar w:fldCharType="separate"/>
        </w:r>
        <w:r>
          <w:rPr>
            <w:noProof/>
            <w:webHidden/>
          </w:rPr>
          <w:t>15</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1" w:history="1">
        <w:r w:rsidRPr="002F66E2">
          <w:rPr>
            <w:rStyle w:val="Hyperlink"/>
            <w:noProof/>
          </w:rPr>
          <w:t>List of questions</w:t>
        </w:r>
        <w:r>
          <w:rPr>
            <w:noProof/>
            <w:webHidden/>
          </w:rPr>
          <w:tab/>
        </w:r>
        <w:r>
          <w:rPr>
            <w:noProof/>
            <w:webHidden/>
          </w:rPr>
          <w:fldChar w:fldCharType="begin"/>
        </w:r>
        <w:r>
          <w:rPr>
            <w:noProof/>
            <w:webHidden/>
          </w:rPr>
          <w:instrText xml:space="preserve"> PAGEREF _Toc376430061 \h </w:instrText>
        </w:r>
        <w:r>
          <w:rPr>
            <w:noProof/>
            <w:webHidden/>
          </w:rPr>
        </w:r>
        <w:r>
          <w:rPr>
            <w:noProof/>
            <w:webHidden/>
          </w:rPr>
          <w:fldChar w:fldCharType="separate"/>
        </w:r>
        <w:r>
          <w:rPr>
            <w:noProof/>
            <w:webHidden/>
          </w:rPr>
          <w:t>16</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2" w:history="1">
        <w:r w:rsidRPr="002F66E2">
          <w:rPr>
            <w:rStyle w:val="Hyperlink"/>
            <w:noProof/>
          </w:rPr>
          <w:t>Clinical summary and conclusions</w:t>
        </w:r>
        <w:r>
          <w:rPr>
            <w:noProof/>
            <w:webHidden/>
          </w:rPr>
          <w:tab/>
        </w:r>
        <w:r>
          <w:rPr>
            <w:noProof/>
            <w:webHidden/>
          </w:rPr>
          <w:fldChar w:fldCharType="begin"/>
        </w:r>
        <w:r>
          <w:rPr>
            <w:noProof/>
            <w:webHidden/>
          </w:rPr>
          <w:instrText xml:space="preserve"> PAGEREF _Toc376430062 \h </w:instrText>
        </w:r>
        <w:r>
          <w:rPr>
            <w:noProof/>
            <w:webHidden/>
          </w:rPr>
        </w:r>
        <w:r>
          <w:rPr>
            <w:noProof/>
            <w:webHidden/>
          </w:rPr>
          <w:fldChar w:fldCharType="separate"/>
        </w:r>
        <w:r>
          <w:rPr>
            <w:noProof/>
            <w:webHidden/>
          </w:rPr>
          <w:t>17</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63" w:history="1">
        <w:r w:rsidRPr="002F66E2">
          <w:rPr>
            <w:rStyle w:val="Hyperlink"/>
            <w:noProof/>
          </w:rPr>
          <w:t>V. Pharmacovigilance findings</w:t>
        </w:r>
        <w:r>
          <w:rPr>
            <w:noProof/>
            <w:webHidden/>
          </w:rPr>
          <w:tab/>
        </w:r>
        <w:r>
          <w:rPr>
            <w:noProof/>
            <w:webHidden/>
          </w:rPr>
          <w:fldChar w:fldCharType="begin"/>
        </w:r>
        <w:r>
          <w:rPr>
            <w:noProof/>
            <w:webHidden/>
          </w:rPr>
          <w:instrText xml:space="preserve"> PAGEREF _Toc376430063 \h </w:instrText>
        </w:r>
        <w:r>
          <w:rPr>
            <w:noProof/>
            <w:webHidden/>
          </w:rPr>
        </w:r>
        <w:r>
          <w:rPr>
            <w:noProof/>
            <w:webHidden/>
          </w:rPr>
          <w:fldChar w:fldCharType="separate"/>
        </w:r>
        <w:r>
          <w:rPr>
            <w:noProof/>
            <w:webHidden/>
          </w:rPr>
          <w:t>18</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4" w:history="1">
        <w:r w:rsidRPr="002F66E2">
          <w:rPr>
            <w:rStyle w:val="Hyperlink"/>
            <w:noProof/>
            <w:lang w:eastAsia="en-AU"/>
          </w:rPr>
          <w:t>Risk management plan</w:t>
        </w:r>
        <w:r>
          <w:rPr>
            <w:noProof/>
            <w:webHidden/>
          </w:rPr>
          <w:tab/>
        </w:r>
        <w:r>
          <w:rPr>
            <w:noProof/>
            <w:webHidden/>
          </w:rPr>
          <w:fldChar w:fldCharType="begin"/>
        </w:r>
        <w:r>
          <w:rPr>
            <w:noProof/>
            <w:webHidden/>
          </w:rPr>
          <w:instrText xml:space="preserve"> PAGEREF _Toc376430064 \h </w:instrText>
        </w:r>
        <w:r>
          <w:rPr>
            <w:noProof/>
            <w:webHidden/>
          </w:rPr>
        </w:r>
        <w:r>
          <w:rPr>
            <w:noProof/>
            <w:webHidden/>
          </w:rPr>
          <w:fldChar w:fldCharType="separate"/>
        </w:r>
        <w:r>
          <w:rPr>
            <w:noProof/>
            <w:webHidden/>
          </w:rPr>
          <w:t>18</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65" w:history="1">
        <w:r w:rsidRPr="002F66E2">
          <w:rPr>
            <w:rStyle w:val="Hyperlink"/>
            <w:noProof/>
          </w:rPr>
          <w:t>VI. Overall conclusion and risk/benefit assessment</w:t>
        </w:r>
        <w:r>
          <w:rPr>
            <w:noProof/>
            <w:webHidden/>
          </w:rPr>
          <w:tab/>
        </w:r>
        <w:r>
          <w:rPr>
            <w:noProof/>
            <w:webHidden/>
          </w:rPr>
          <w:fldChar w:fldCharType="begin"/>
        </w:r>
        <w:r>
          <w:rPr>
            <w:noProof/>
            <w:webHidden/>
          </w:rPr>
          <w:instrText xml:space="preserve"> PAGEREF _Toc376430065 \h </w:instrText>
        </w:r>
        <w:r>
          <w:rPr>
            <w:noProof/>
            <w:webHidden/>
          </w:rPr>
        </w:r>
        <w:r>
          <w:rPr>
            <w:noProof/>
            <w:webHidden/>
          </w:rPr>
          <w:fldChar w:fldCharType="separate"/>
        </w:r>
        <w:r>
          <w:rPr>
            <w:noProof/>
            <w:webHidden/>
          </w:rPr>
          <w:t>22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6" w:history="1">
        <w:r w:rsidRPr="002F66E2">
          <w:rPr>
            <w:rStyle w:val="Hyperlink"/>
            <w:noProof/>
          </w:rPr>
          <w:t>Quality</w:t>
        </w:r>
        <w:r>
          <w:rPr>
            <w:noProof/>
            <w:webHidden/>
          </w:rPr>
          <w:tab/>
        </w:r>
        <w:r>
          <w:rPr>
            <w:noProof/>
            <w:webHidden/>
          </w:rPr>
          <w:fldChar w:fldCharType="begin"/>
        </w:r>
        <w:r>
          <w:rPr>
            <w:noProof/>
            <w:webHidden/>
          </w:rPr>
          <w:instrText xml:space="preserve"> PAGEREF _Toc376430066 \h </w:instrText>
        </w:r>
        <w:r>
          <w:rPr>
            <w:noProof/>
            <w:webHidden/>
          </w:rPr>
        </w:r>
        <w:r>
          <w:rPr>
            <w:noProof/>
            <w:webHidden/>
          </w:rPr>
          <w:fldChar w:fldCharType="separate"/>
        </w:r>
        <w:r>
          <w:rPr>
            <w:noProof/>
            <w:webHidden/>
          </w:rPr>
          <w:t>22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7" w:history="1">
        <w:r w:rsidRPr="002F66E2">
          <w:rPr>
            <w:rStyle w:val="Hyperlink"/>
            <w:noProof/>
          </w:rPr>
          <w:t>Nonclinical</w:t>
        </w:r>
        <w:r>
          <w:rPr>
            <w:noProof/>
            <w:webHidden/>
          </w:rPr>
          <w:tab/>
        </w:r>
        <w:r>
          <w:rPr>
            <w:noProof/>
            <w:webHidden/>
          </w:rPr>
          <w:fldChar w:fldCharType="begin"/>
        </w:r>
        <w:r>
          <w:rPr>
            <w:noProof/>
            <w:webHidden/>
          </w:rPr>
          <w:instrText xml:space="preserve"> PAGEREF _Toc376430067 \h </w:instrText>
        </w:r>
        <w:r>
          <w:rPr>
            <w:noProof/>
            <w:webHidden/>
          </w:rPr>
        </w:r>
        <w:r>
          <w:rPr>
            <w:noProof/>
            <w:webHidden/>
          </w:rPr>
          <w:fldChar w:fldCharType="separate"/>
        </w:r>
        <w:r>
          <w:rPr>
            <w:noProof/>
            <w:webHidden/>
          </w:rPr>
          <w:t>22</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8" w:history="1">
        <w:r w:rsidRPr="002F66E2">
          <w:rPr>
            <w:rStyle w:val="Hyperlink"/>
            <w:noProof/>
          </w:rPr>
          <w:t>Clinical</w:t>
        </w:r>
        <w:r>
          <w:rPr>
            <w:noProof/>
            <w:webHidden/>
          </w:rPr>
          <w:tab/>
        </w:r>
        <w:r>
          <w:rPr>
            <w:noProof/>
            <w:webHidden/>
          </w:rPr>
          <w:fldChar w:fldCharType="begin"/>
        </w:r>
        <w:r>
          <w:rPr>
            <w:noProof/>
            <w:webHidden/>
          </w:rPr>
          <w:instrText xml:space="preserve"> PAGEREF _Toc376430068 \h </w:instrText>
        </w:r>
        <w:r>
          <w:rPr>
            <w:noProof/>
            <w:webHidden/>
          </w:rPr>
        </w:r>
        <w:r>
          <w:rPr>
            <w:noProof/>
            <w:webHidden/>
          </w:rPr>
          <w:fldChar w:fldCharType="separate"/>
        </w:r>
        <w:r>
          <w:rPr>
            <w:noProof/>
            <w:webHidden/>
          </w:rPr>
          <w:t>24</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69" w:history="1">
        <w:r w:rsidRPr="002F66E2">
          <w:rPr>
            <w:rStyle w:val="Hyperlink"/>
            <w:noProof/>
            <w:lang w:eastAsia="en-AU"/>
          </w:rPr>
          <w:t>Risk management plan</w:t>
        </w:r>
        <w:r>
          <w:rPr>
            <w:noProof/>
            <w:webHidden/>
          </w:rPr>
          <w:tab/>
        </w:r>
        <w:r>
          <w:rPr>
            <w:noProof/>
            <w:webHidden/>
          </w:rPr>
          <w:fldChar w:fldCharType="begin"/>
        </w:r>
        <w:r>
          <w:rPr>
            <w:noProof/>
            <w:webHidden/>
          </w:rPr>
          <w:instrText xml:space="preserve"> PAGEREF _Toc376430069 \h </w:instrText>
        </w:r>
        <w:r>
          <w:rPr>
            <w:noProof/>
            <w:webHidden/>
          </w:rPr>
        </w:r>
        <w:r>
          <w:rPr>
            <w:noProof/>
            <w:webHidden/>
          </w:rPr>
          <w:fldChar w:fldCharType="separate"/>
        </w:r>
        <w:r>
          <w:rPr>
            <w:noProof/>
            <w:webHidden/>
          </w:rPr>
          <w:t>30</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70" w:history="1">
        <w:r w:rsidRPr="002F66E2">
          <w:rPr>
            <w:rStyle w:val="Hyperlink"/>
            <w:noProof/>
          </w:rPr>
          <w:t>Risk-benefit analysis</w:t>
        </w:r>
        <w:r>
          <w:rPr>
            <w:noProof/>
            <w:webHidden/>
          </w:rPr>
          <w:tab/>
        </w:r>
        <w:r>
          <w:rPr>
            <w:noProof/>
            <w:webHidden/>
          </w:rPr>
          <w:fldChar w:fldCharType="begin"/>
        </w:r>
        <w:r>
          <w:rPr>
            <w:noProof/>
            <w:webHidden/>
          </w:rPr>
          <w:instrText xml:space="preserve"> PAGEREF _Toc376430070 \h </w:instrText>
        </w:r>
        <w:r>
          <w:rPr>
            <w:noProof/>
            <w:webHidden/>
          </w:rPr>
        </w:r>
        <w:r>
          <w:rPr>
            <w:noProof/>
            <w:webHidden/>
          </w:rPr>
          <w:fldChar w:fldCharType="separate"/>
        </w:r>
        <w:r>
          <w:rPr>
            <w:noProof/>
            <w:webHidden/>
          </w:rPr>
          <w:t>31</w:t>
        </w:r>
        <w:r>
          <w:rPr>
            <w:noProof/>
            <w:webHidden/>
          </w:rPr>
          <w:fldChar w:fldCharType="end"/>
        </w:r>
      </w:hyperlink>
    </w:p>
    <w:p w:rsidR="00976BD5" w:rsidRDefault="00976BD5">
      <w:pPr>
        <w:pStyle w:val="TOC3"/>
        <w:rPr>
          <w:rFonts w:asciiTheme="minorHAnsi" w:eastAsiaTheme="minorEastAsia" w:hAnsiTheme="minorHAnsi" w:cstheme="minorBidi"/>
          <w:noProof/>
          <w:lang w:eastAsia="en-AU"/>
        </w:rPr>
      </w:pPr>
      <w:hyperlink w:anchor="_Toc376430071" w:history="1">
        <w:r w:rsidRPr="002F66E2">
          <w:rPr>
            <w:rStyle w:val="Hyperlink"/>
            <w:noProof/>
          </w:rPr>
          <w:t>Outcome</w:t>
        </w:r>
        <w:r>
          <w:rPr>
            <w:noProof/>
            <w:webHidden/>
          </w:rPr>
          <w:tab/>
        </w:r>
        <w:r>
          <w:rPr>
            <w:noProof/>
            <w:webHidden/>
          </w:rPr>
          <w:fldChar w:fldCharType="begin"/>
        </w:r>
        <w:r>
          <w:rPr>
            <w:noProof/>
            <w:webHidden/>
          </w:rPr>
          <w:instrText xml:space="preserve"> PAGEREF _Toc376430071 \h </w:instrText>
        </w:r>
        <w:r>
          <w:rPr>
            <w:noProof/>
            <w:webHidden/>
          </w:rPr>
        </w:r>
        <w:r>
          <w:rPr>
            <w:noProof/>
            <w:webHidden/>
          </w:rPr>
          <w:fldChar w:fldCharType="separate"/>
        </w:r>
        <w:r>
          <w:rPr>
            <w:noProof/>
            <w:webHidden/>
          </w:rPr>
          <w:t>38</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72" w:history="1">
        <w:r w:rsidRPr="002F66E2">
          <w:rPr>
            <w:rStyle w:val="Hyperlink"/>
            <w:noProof/>
          </w:rPr>
          <w:t>Attachment 1. Product Information</w:t>
        </w:r>
        <w:r>
          <w:rPr>
            <w:noProof/>
            <w:webHidden/>
          </w:rPr>
          <w:tab/>
        </w:r>
        <w:r>
          <w:rPr>
            <w:noProof/>
            <w:webHidden/>
          </w:rPr>
          <w:fldChar w:fldCharType="begin"/>
        </w:r>
        <w:r>
          <w:rPr>
            <w:noProof/>
            <w:webHidden/>
          </w:rPr>
          <w:instrText xml:space="preserve"> PAGEREF _Toc376430072 \h </w:instrText>
        </w:r>
        <w:r>
          <w:rPr>
            <w:noProof/>
            <w:webHidden/>
          </w:rPr>
        </w:r>
        <w:r>
          <w:rPr>
            <w:noProof/>
            <w:webHidden/>
          </w:rPr>
          <w:fldChar w:fldCharType="separate"/>
        </w:r>
        <w:r>
          <w:rPr>
            <w:noProof/>
            <w:webHidden/>
          </w:rPr>
          <w:t>39</w:t>
        </w:r>
        <w:r>
          <w:rPr>
            <w:noProof/>
            <w:webHidden/>
          </w:rPr>
          <w:fldChar w:fldCharType="end"/>
        </w:r>
      </w:hyperlink>
    </w:p>
    <w:p w:rsidR="00976BD5" w:rsidRDefault="00976BD5">
      <w:pPr>
        <w:pStyle w:val="TOC2"/>
        <w:rPr>
          <w:rFonts w:asciiTheme="minorHAnsi" w:eastAsiaTheme="minorEastAsia" w:hAnsiTheme="minorHAnsi" w:cstheme="minorBidi"/>
          <w:b w:val="0"/>
          <w:noProof/>
          <w:sz w:val="22"/>
          <w:lang w:eastAsia="en-AU"/>
        </w:rPr>
      </w:pPr>
      <w:hyperlink w:anchor="_Toc376430073" w:history="1">
        <w:r w:rsidRPr="002F66E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_Toc376430073 \h </w:instrText>
        </w:r>
        <w:r>
          <w:rPr>
            <w:noProof/>
            <w:webHidden/>
          </w:rPr>
        </w:r>
        <w:r>
          <w:rPr>
            <w:noProof/>
            <w:webHidden/>
          </w:rPr>
          <w:fldChar w:fldCharType="separate"/>
        </w:r>
        <w:r>
          <w:rPr>
            <w:noProof/>
            <w:webHidden/>
          </w:rPr>
          <w:t>39</w:t>
        </w:r>
        <w:r>
          <w:rPr>
            <w:noProof/>
            <w:webHidden/>
          </w:rPr>
          <w:fldChar w:fldCharType="end"/>
        </w:r>
      </w:hyperlink>
    </w:p>
    <w:p w:rsidR="003A7F6C" w:rsidRPr="00B811C6" w:rsidRDefault="00CD5A15" w:rsidP="004D2744">
      <w:pPr>
        <w:pStyle w:val="TOC2"/>
        <w:ind w:left="0"/>
      </w:pPr>
      <w:r>
        <w:lastRenderedPageBreak/>
        <w:fldChar w:fldCharType="end"/>
      </w:r>
      <w:bookmarkStart w:id="2" w:name="_Toc314842482"/>
    </w:p>
    <w:p w:rsidR="008E7846" w:rsidRDefault="00F53C07" w:rsidP="004D2744">
      <w:pPr>
        <w:pStyle w:val="Heading2"/>
      </w:pPr>
      <w:bookmarkStart w:id="3" w:name="_Toc376430039"/>
      <w:r>
        <w:t>I.</w:t>
      </w:r>
      <w:r w:rsidR="008E7846">
        <w:t xml:space="preserve"> Introduction to product submission</w:t>
      </w:r>
      <w:bookmarkEnd w:id="0"/>
      <w:bookmarkEnd w:id="2"/>
      <w:bookmarkEnd w:id="3"/>
    </w:p>
    <w:p w:rsidR="008E7846" w:rsidRDefault="008E7846" w:rsidP="004D2744">
      <w:pPr>
        <w:pStyle w:val="Heading3"/>
        <w:rPr>
          <w:lang w:eastAsia="en-AU"/>
        </w:rPr>
      </w:pPr>
      <w:bookmarkStart w:id="4" w:name="_Toc247691502"/>
      <w:bookmarkStart w:id="5" w:name="_Toc314842483"/>
      <w:bookmarkStart w:id="6" w:name="_Toc376430040"/>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4D2744">
        <w:trPr>
          <w:trHeight w:hRule="exact" w:val="454"/>
        </w:trPr>
        <w:tc>
          <w:tcPr>
            <w:tcW w:w="2907" w:type="dxa"/>
          </w:tcPr>
          <w:p w:rsidR="008E7846" w:rsidRPr="003D1E62" w:rsidRDefault="004D2744" w:rsidP="003D1E62">
            <w:pPr>
              <w:rPr>
                <w:i/>
              </w:rPr>
            </w:pPr>
            <w:r>
              <w:rPr>
                <w:i/>
              </w:rPr>
              <w:t>Type of s</w:t>
            </w:r>
            <w:r w:rsidR="008E7846" w:rsidRPr="003D1E62">
              <w:rPr>
                <w:i/>
              </w:rPr>
              <w:t>ubmission</w:t>
            </w:r>
            <w:r>
              <w:rPr>
                <w:i/>
              </w:rPr>
              <w:t>:</w:t>
            </w:r>
          </w:p>
        </w:tc>
        <w:tc>
          <w:tcPr>
            <w:tcW w:w="6590" w:type="dxa"/>
            <w:gridSpan w:val="2"/>
          </w:tcPr>
          <w:p w:rsidR="008E7846" w:rsidRPr="003D1E62" w:rsidRDefault="00614233" w:rsidP="003D1E62">
            <w:r>
              <w:t>N</w:t>
            </w:r>
            <w:r w:rsidR="008E7846" w:rsidRPr="003D1E62">
              <w:t>ew Chemical Entity</w:t>
            </w:r>
          </w:p>
        </w:tc>
      </w:tr>
      <w:tr w:rsidR="008E7846" w:rsidRPr="003D1E62" w:rsidTr="004D274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3D1E62">
            <w:r w:rsidRPr="003D1E62">
              <w:t>Approved</w:t>
            </w:r>
          </w:p>
        </w:tc>
      </w:tr>
      <w:tr w:rsidR="008E7846" w:rsidRPr="003D1E62" w:rsidTr="004D2744">
        <w:trPr>
          <w:trHeight w:hRule="exact" w:val="454"/>
        </w:trPr>
        <w:tc>
          <w:tcPr>
            <w:tcW w:w="2907" w:type="dxa"/>
          </w:tcPr>
          <w:p w:rsidR="008E7846" w:rsidRPr="003D1E62" w:rsidRDefault="004D2744" w:rsidP="003D1E62">
            <w:pPr>
              <w:rPr>
                <w:i/>
              </w:rPr>
            </w:pPr>
            <w:r>
              <w:rPr>
                <w:i/>
              </w:rPr>
              <w:t>Date of d</w:t>
            </w:r>
            <w:r w:rsidR="008E7846" w:rsidRPr="003D1E62">
              <w:rPr>
                <w:i/>
              </w:rPr>
              <w:t>ecision:</w:t>
            </w:r>
          </w:p>
        </w:tc>
        <w:tc>
          <w:tcPr>
            <w:tcW w:w="6590" w:type="dxa"/>
            <w:gridSpan w:val="2"/>
          </w:tcPr>
          <w:p w:rsidR="008E7846" w:rsidRPr="003D1E62" w:rsidRDefault="00E55613" w:rsidP="003D1E62">
            <w:r>
              <w:t>15 October 2013</w:t>
            </w:r>
          </w:p>
        </w:tc>
      </w:tr>
      <w:tr w:rsidR="008E7846" w:rsidRPr="00487162" w:rsidTr="004D2744">
        <w:trPr>
          <w:gridAfter w:val="1"/>
          <w:wAfter w:w="283" w:type="dxa"/>
        </w:trPr>
        <w:tc>
          <w:tcPr>
            <w:tcW w:w="2907" w:type="dxa"/>
          </w:tcPr>
          <w:p w:rsidR="008E7846" w:rsidRPr="00487162" w:rsidRDefault="004D2744" w:rsidP="004D2744">
            <w:pPr>
              <w:rPr>
                <w:i/>
              </w:rPr>
            </w:pPr>
            <w:r>
              <w:rPr>
                <w:i/>
              </w:rPr>
              <w:t>Active ingredient</w:t>
            </w:r>
            <w:r w:rsidR="008E7846" w:rsidRPr="00487162">
              <w:rPr>
                <w:i/>
              </w:rPr>
              <w:t>s:</w:t>
            </w:r>
          </w:p>
        </w:tc>
        <w:tc>
          <w:tcPr>
            <w:tcW w:w="6307" w:type="dxa"/>
          </w:tcPr>
          <w:p w:rsidR="008E7846" w:rsidRPr="00487162" w:rsidRDefault="00206E20" w:rsidP="00E45619">
            <w:proofErr w:type="spellStart"/>
            <w:r w:rsidRPr="00206E20">
              <w:t>Cobicistat</w:t>
            </w:r>
            <w:proofErr w:type="spellEnd"/>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 xml:space="preserve">Product </w:t>
            </w:r>
            <w:r w:rsidR="004D2744">
              <w:rPr>
                <w:i/>
              </w:rPr>
              <w:t>n</w:t>
            </w:r>
            <w:r w:rsidRPr="00487162">
              <w:rPr>
                <w:i/>
              </w:rPr>
              <w:t>ames:</w:t>
            </w:r>
          </w:p>
        </w:tc>
        <w:tc>
          <w:tcPr>
            <w:tcW w:w="6307" w:type="dxa"/>
          </w:tcPr>
          <w:p w:rsidR="008E7846" w:rsidRPr="00487162" w:rsidRDefault="00206E20" w:rsidP="00E45619">
            <w:proofErr w:type="spellStart"/>
            <w:r>
              <w:t>Tybost</w:t>
            </w:r>
            <w:proofErr w:type="spellEnd"/>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 xml:space="preserve">Sponsor’s </w:t>
            </w:r>
            <w:r w:rsidR="004D2744">
              <w:rPr>
                <w:i/>
              </w:rPr>
              <w:t>n</w:t>
            </w:r>
            <w:r w:rsidRPr="00487162">
              <w:rPr>
                <w:i/>
              </w:rPr>
              <w:t xml:space="preserve">ame and </w:t>
            </w:r>
            <w:r w:rsidR="004D2744">
              <w:rPr>
                <w:i/>
              </w:rPr>
              <w:t>a</w:t>
            </w:r>
            <w:r w:rsidRPr="00487162">
              <w:rPr>
                <w:i/>
              </w:rPr>
              <w:t>ddress:</w:t>
            </w:r>
          </w:p>
        </w:tc>
        <w:tc>
          <w:tcPr>
            <w:tcW w:w="6307" w:type="dxa"/>
          </w:tcPr>
          <w:p w:rsidR="00B63A6A" w:rsidRDefault="00B63A6A" w:rsidP="00B63A6A">
            <w:r>
              <w:t>Gilead Sciences Pty Ltd</w:t>
            </w:r>
          </w:p>
          <w:p w:rsidR="00B63A6A" w:rsidRDefault="00B63A6A" w:rsidP="00B63A6A">
            <w:r w:rsidRPr="00A86233">
              <w:t>Level 6</w:t>
            </w:r>
            <w:r>
              <w:t>, 417 St Kilda Road</w:t>
            </w:r>
          </w:p>
          <w:p w:rsidR="008E7846" w:rsidRPr="00487162" w:rsidRDefault="00B63A6A" w:rsidP="00B63A6A">
            <w:r>
              <w:t>Melbourne VIC</w:t>
            </w:r>
            <w:r w:rsidRPr="00A86233">
              <w:t xml:space="preserve"> 3004</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Dose form:</w:t>
            </w:r>
          </w:p>
        </w:tc>
        <w:tc>
          <w:tcPr>
            <w:tcW w:w="6307" w:type="dxa"/>
          </w:tcPr>
          <w:p w:rsidR="008E7846" w:rsidRPr="00487162" w:rsidRDefault="00A24147" w:rsidP="00E45619">
            <w:r>
              <w:t>I</w:t>
            </w:r>
            <w:r w:rsidRPr="009E4E7B">
              <w:t xml:space="preserve">mmediate release </w:t>
            </w:r>
            <w:r>
              <w:t>f</w:t>
            </w:r>
            <w:r w:rsidRPr="007A05B7">
              <w:t>ilm coated tablets</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Strength:</w:t>
            </w:r>
          </w:p>
        </w:tc>
        <w:tc>
          <w:tcPr>
            <w:tcW w:w="6307" w:type="dxa"/>
          </w:tcPr>
          <w:p w:rsidR="008E7846" w:rsidRPr="00487162" w:rsidRDefault="00DD7AA1" w:rsidP="00E45619">
            <w:r>
              <w:t>150 mg</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Container:</w:t>
            </w:r>
          </w:p>
        </w:tc>
        <w:tc>
          <w:tcPr>
            <w:tcW w:w="6307" w:type="dxa"/>
          </w:tcPr>
          <w:p w:rsidR="008E7846" w:rsidRPr="00487162" w:rsidRDefault="00FC2737" w:rsidP="00E45619">
            <w:r>
              <w:t>H</w:t>
            </w:r>
            <w:r w:rsidRPr="00B87C14">
              <w:rPr>
                <w:szCs w:val="24"/>
              </w:rPr>
              <w:t>igh</w:t>
            </w:r>
            <w:r>
              <w:rPr>
                <w:szCs w:val="24"/>
              </w:rPr>
              <w:t xml:space="preserve"> </w:t>
            </w:r>
            <w:r w:rsidRPr="00B87C14">
              <w:rPr>
                <w:szCs w:val="24"/>
              </w:rPr>
              <w:t>density polyethylene (</w:t>
            </w:r>
            <w:r w:rsidRPr="002F1881">
              <w:rPr>
                <w:szCs w:val="24"/>
              </w:rPr>
              <w:t>HDPE</w:t>
            </w:r>
            <w:r>
              <w:rPr>
                <w:szCs w:val="24"/>
              </w:rPr>
              <w:t>) bottles</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Pack size:</w:t>
            </w:r>
          </w:p>
        </w:tc>
        <w:tc>
          <w:tcPr>
            <w:tcW w:w="6307" w:type="dxa"/>
          </w:tcPr>
          <w:p w:rsidR="008E7846" w:rsidRPr="00487162" w:rsidRDefault="004E6630" w:rsidP="00E45619">
            <w:r w:rsidRPr="00FF120F">
              <w:t>30 tablets</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 xml:space="preserve">Approved </w:t>
            </w:r>
            <w:r w:rsidR="004D2744">
              <w:rPr>
                <w:i/>
              </w:rPr>
              <w:t>t</w:t>
            </w:r>
            <w:r w:rsidRPr="00487162">
              <w:rPr>
                <w:i/>
              </w:rPr>
              <w:t>herapeutic use:</w:t>
            </w:r>
          </w:p>
        </w:tc>
        <w:tc>
          <w:tcPr>
            <w:tcW w:w="6307" w:type="dxa"/>
          </w:tcPr>
          <w:p w:rsidR="008E7846" w:rsidRPr="00487162" w:rsidRDefault="002328E1" w:rsidP="00E45619">
            <w:pPr>
              <w:rPr>
                <w:rFonts w:eastAsia="MS Mincho"/>
                <w:lang w:eastAsia="ja-JP"/>
              </w:rPr>
            </w:pPr>
            <w:proofErr w:type="spellStart"/>
            <w:r>
              <w:rPr>
                <w:rFonts w:eastAsia="MS Mincho"/>
                <w:lang w:eastAsia="ja-JP"/>
              </w:rPr>
              <w:t>Tybost</w:t>
            </w:r>
            <w:proofErr w:type="spellEnd"/>
            <w:r w:rsidRPr="002328E1">
              <w:rPr>
                <w:rFonts w:eastAsia="MS Mincho"/>
                <w:lang w:eastAsia="ja-JP"/>
              </w:rPr>
              <w:t xml:space="preserve"> is indicated as a pharmacokinetic enhancer of appropriate HIV-1 protease inhibitors in adults (See Dosage and Administration)</w:t>
            </w:r>
            <w:r w:rsidR="00A83D78">
              <w:rPr>
                <w:rFonts w:eastAsia="MS Mincho"/>
                <w:lang w:eastAsia="ja-JP"/>
              </w:rPr>
              <w:t>.</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Route of administration:</w:t>
            </w:r>
          </w:p>
        </w:tc>
        <w:tc>
          <w:tcPr>
            <w:tcW w:w="6307" w:type="dxa"/>
          </w:tcPr>
          <w:p w:rsidR="008E7846" w:rsidRPr="00487162" w:rsidRDefault="0001143B" w:rsidP="00E45619">
            <w:r>
              <w:t>Oral</w:t>
            </w:r>
          </w:p>
        </w:tc>
      </w:tr>
      <w:tr w:rsidR="008E7846" w:rsidRPr="00487162" w:rsidTr="004D274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31B5E" w:rsidP="00131B5E">
            <w:pPr>
              <w:spacing w:after="0" w:line="240" w:lineRule="auto"/>
            </w:pPr>
            <w:r w:rsidRPr="00C473F7">
              <w:t xml:space="preserve">The recommended dose of </w:t>
            </w:r>
            <w:proofErr w:type="spellStart"/>
            <w:r>
              <w:rPr>
                <w:rFonts w:eastAsia="MS Mincho"/>
                <w:lang w:eastAsia="ja-JP"/>
              </w:rPr>
              <w:t>Tybost</w:t>
            </w:r>
            <w:proofErr w:type="spellEnd"/>
            <w:r w:rsidRPr="00C473F7">
              <w:t xml:space="preserve"> is one 150</w:t>
            </w:r>
            <w:r>
              <w:t xml:space="preserve"> </w:t>
            </w:r>
            <w:r w:rsidRPr="00C473F7">
              <w:t>mg tablet, taken orally once daily (</w:t>
            </w:r>
            <w:proofErr w:type="spellStart"/>
            <w:r w:rsidRPr="00C473F7">
              <w:t>od</w:t>
            </w:r>
            <w:proofErr w:type="spellEnd"/>
            <w:r w:rsidRPr="00C473F7">
              <w:t xml:space="preserve">) with food, in combination with </w:t>
            </w:r>
            <w:proofErr w:type="spellStart"/>
            <w:r w:rsidRPr="00C473F7">
              <w:t>atazanavir</w:t>
            </w:r>
            <w:proofErr w:type="spellEnd"/>
            <w:r w:rsidRPr="00C473F7">
              <w:t xml:space="preserve"> (ATV; 300</w:t>
            </w:r>
            <w:r>
              <w:t xml:space="preserve"> </w:t>
            </w:r>
            <w:r w:rsidRPr="00C473F7">
              <w:t xml:space="preserve">mg </w:t>
            </w:r>
            <w:proofErr w:type="spellStart"/>
            <w:r w:rsidRPr="00C473F7">
              <w:t>od</w:t>
            </w:r>
            <w:proofErr w:type="spellEnd"/>
            <w:r>
              <w:t xml:space="preserve">) or </w:t>
            </w:r>
            <w:proofErr w:type="spellStart"/>
            <w:r>
              <w:t>darunavir</w:t>
            </w:r>
            <w:proofErr w:type="spellEnd"/>
            <w:r>
              <w:t xml:space="preserve"> (DRV; 800 mg </w:t>
            </w:r>
            <w:proofErr w:type="spellStart"/>
            <w:r>
              <w:t>od</w:t>
            </w:r>
            <w:proofErr w:type="spellEnd"/>
            <w:r>
              <w:t xml:space="preserve">). </w:t>
            </w:r>
            <w:proofErr w:type="spellStart"/>
            <w:r>
              <w:rPr>
                <w:rFonts w:eastAsia="Times New Roman"/>
                <w:lang w:val="en-US"/>
              </w:rPr>
              <w:t>Tybost</w:t>
            </w:r>
            <w:proofErr w:type="spellEnd"/>
            <w:r w:rsidRPr="006316E8">
              <w:rPr>
                <w:rFonts w:eastAsia="Times New Roman"/>
                <w:lang w:val="en-US"/>
              </w:rPr>
              <w:t xml:space="preserve"> is not recommended for use with HIV-1 protease inhibitors other than those presented in</w:t>
            </w:r>
            <w:r>
              <w:rPr>
                <w:rFonts w:eastAsia="Times New Roman"/>
                <w:lang w:val="en-US"/>
              </w:rPr>
              <w:t xml:space="preserve"> the ‘Dosage and Administration’ section</w:t>
            </w:r>
            <w:r>
              <w:rPr>
                <w:rFonts w:eastAsia="Times New Roman"/>
              </w:rPr>
              <w:t xml:space="preserve">. </w:t>
            </w:r>
            <w:r w:rsidRPr="00C473F7">
              <w:t xml:space="preserve">No dose adjustment of </w:t>
            </w:r>
            <w:proofErr w:type="spellStart"/>
            <w:r>
              <w:rPr>
                <w:rFonts w:eastAsia="MS Mincho"/>
                <w:lang w:eastAsia="ja-JP"/>
              </w:rPr>
              <w:t>Tybost</w:t>
            </w:r>
            <w:proofErr w:type="spellEnd"/>
            <w:r w:rsidRPr="00C473F7">
              <w:t xml:space="preserve"> is required in patients with renal impairment, including those with severe renal impairment, and no dose adjustment of </w:t>
            </w:r>
            <w:proofErr w:type="spellStart"/>
            <w:r>
              <w:rPr>
                <w:rFonts w:eastAsia="MS Mincho"/>
                <w:lang w:eastAsia="ja-JP"/>
              </w:rPr>
              <w:t>Tybost</w:t>
            </w:r>
            <w:proofErr w:type="spellEnd"/>
            <w:r w:rsidRPr="00C473F7">
              <w:t xml:space="preserve"> is required in patients with mild or moderate hepatic impairment</w:t>
            </w:r>
            <w:r>
              <w:t>.</w:t>
            </w:r>
          </w:p>
        </w:tc>
      </w:tr>
      <w:tr w:rsidR="008E7846" w:rsidRPr="00487162" w:rsidTr="004D2744">
        <w:trPr>
          <w:gridAfter w:val="1"/>
          <w:wAfter w:w="283" w:type="dxa"/>
        </w:trPr>
        <w:tc>
          <w:tcPr>
            <w:tcW w:w="2907" w:type="dxa"/>
          </w:tcPr>
          <w:p w:rsidR="008E7846" w:rsidRPr="00487162" w:rsidRDefault="008E7846" w:rsidP="004D2744">
            <w:pPr>
              <w:rPr>
                <w:i/>
              </w:rPr>
            </w:pPr>
            <w:r w:rsidRPr="00487162">
              <w:rPr>
                <w:i/>
              </w:rPr>
              <w:t xml:space="preserve">ARTG </w:t>
            </w:r>
            <w:r w:rsidR="004D2744">
              <w:rPr>
                <w:i/>
              </w:rPr>
              <w:t>n</w:t>
            </w:r>
            <w:r w:rsidRPr="00487162">
              <w:rPr>
                <w:i/>
              </w:rPr>
              <w:t>umber</w:t>
            </w:r>
            <w:r w:rsidR="004D2744">
              <w:rPr>
                <w:i/>
              </w:rPr>
              <w:t>:</w:t>
            </w:r>
          </w:p>
        </w:tc>
        <w:tc>
          <w:tcPr>
            <w:tcW w:w="6307" w:type="dxa"/>
          </w:tcPr>
          <w:p w:rsidR="008E7846" w:rsidRPr="00487162" w:rsidRDefault="00131B5E" w:rsidP="00E45619">
            <w:r w:rsidRPr="00BD2908">
              <w:t>200445</w:t>
            </w:r>
          </w:p>
        </w:tc>
      </w:tr>
    </w:tbl>
    <w:p w:rsidR="008E7846" w:rsidRDefault="008E7846" w:rsidP="004D2744">
      <w:pPr>
        <w:pStyle w:val="Heading3"/>
      </w:pPr>
      <w:bookmarkStart w:id="7" w:name="_Toc247691503"/>
      <w:bookmarkStart w:id="8" w:name="_Toc314842484"/>
      <w:bookmarkStart w:id="9" w:name="_Toc376430041"/>
      <w:r>
        <w:t>Product background</w:t>
      </w:r>
      <w:bookmarkEnd w:id="7"/>
      <w:bookmarkEnd w:id="8"/>
      <w:bookmarkEnd w:id="9"/>
    </w:p>
    <w:p w:rsidR="00BF7962" w:rsidRDefault="00BF7962" w:rsidP="004D2744">
      <w:pPr>
        <w:rPr>
          <w:szCs w:val="24"/>
        </w:rPr>
      </w:pPr>
      <w:r w:rsidRPr="00E74882">
        <w:t xml:space="preserve">This </w:t>
      </w:r>
      <w:proofErr w:type="spellStart"/>
      <w:r w:rsidRPr="00E74882">
        <w:t>AusPAR</w:t>
      </w:r>
      <w:proofErr w:type="spellEnd"/>
      <w:r w:rsidRPr="00E74882">
        <w:t xml:space="preserve"> describes </w:t>
      </w:r>
      <w:r>
        <w:t>a</w:t>
      </w:r>
      <w:r w:rsidRPr="002A39EB">
        <w:t xml:space="preserve"> submission </w:t>
      </w:r>
      <w:r w:rsidRPr="00E74882">
        <w:t xml:space="preserve">by the sponsor, </w:t>
      </w:r>
      <w:r>
        <w:t xml:space="preserve">Gilead Sciences Pty Ltd, </w:t>
      </w:r>
      <w:r w:rsidRPr="003130F0">
        <w:t xml:space="preserve">to </w:t>
      </w:r>
      <w:r>
        <w:t xml:space="preserve">register a new chemical entity, </w:t>
      </w:r>
      <w:proofErr w:type="spellStart"/>
      <w:r w:rsidR="00E05643" w:rsidRPr="00E05643">
        <w:t>cobicistat</w:t>
      </w:r>
      <w:proofErr w:type="spellEnd"/>
      <w:r w:rsidR="00440AA7">
        <w:t xml:space="preserve"> </w:t>
      </w:r>
      <w:r>
        <w:t xml:space="preserve">(trade name: </w:t>
      </w:r>
      <w:proofErr w:type="spellStart"/>
      <w:r>
        <w:t>Tybost</w:t>
      </w:r>
      <w:proofErr w:type="spellEnd"/>
      <w:r>
        <w:t>),</w:t>
      </w:r>
      <w:r>
        <w:rPr>
          <w:szCs w:val="24"/>
        </w:rPr>
        <w:t xml:space="preserve"> for the following indication:</w:t>
      </w:r>
    </w:p>
    <w:p w:rsidR="00BF7962" w:rsidRPr="004D2744" w:rsidRDefault="002B0796" w:rsidP="004D2744">
      <w:pPr>
        <w:ind w:left="720"/>
        <w:rPr>
          <w:i/>
        </w:rPr>
      </w:pPr>
      <w:proofErr w:type="spellStart"/>
      <w:r w:rsidRPr="004D2744">
        <w:rPr>
          <w:i/>
        </w:rPr>
        <w:t>Tybost</w:t>
      </w:r>
      <w:proofErr w:type="spellEnd"/>
      <w:r w:rsidRPr="004D2744">
        <w:rPr>
          <w:i/>
        </w:rPr>
        <w:t xml:space="preserve"> tablets are indicated as a pharmacokinetic enhancer of the HIV-1 protease inhibitors </w:t>
      </w:r>
      <w:proofErr w:type="spellStart"/>
      <w:r w:rsidRPr="004D2744">
        <w:rPr>
          <w:i/>
        </w:rPr>
        <w:t>atazanavir</w:t>
      </w:r>
      <w:proofErr w:type="spellEnd"/>
      <w:r w:rsidRPr="004D2744">
        <w:rPr>
          <w:i/>
        </w:rPr>
        <w:t xml:space="preserve"> and </w:t>
      </w:r>
      <w:proofErr w:type="spellStart"/>
      <w:r w:rsidRPr="004D2744">
        <w:rPr>
          <w:i/>
        </w:rPr>
        <w:t>darunavir</w:t>
      </w:r>
      <w:proofErr w:type="spellEnd"/>
      <w:r w:rsidRPr="004D2744">
        <w:rPr>
          <w:i/>
        </w:rPr>
        <w:t xml:space="preserve"> in adults</w:t>
      </w:r>
      <w:r w:rsidR="0064154B" w:rsidRPr="004D2744">
        <w:rPr>
          <w:i/>
        </w:rPr>
        <w:t>.</w:t>
      </w:r>
    </w:p>
    <w:p w:rsidR="00BD5F6C" w:rsidRPr="00BD5F6C" w:rsidRDefault="00BD5F6C" w:rsidP="004D2744">
      <w:proofErr w:type="spellStart"/>
      <w:r w:rsidRPr="00BD5F6C">
        <w:lastRenderedPageBreak/>
        <w:t>Cobicistat</w:t>
      </w:r>
      <w:proofErr w:type="spellEnd"/>
      <w:r w:rsidRPr="00BD5F6C">
        <w:t xml:space="preserve"> (COBI) is a structural analogue of </w:t>
      </w:r>
      <w:proofErr w:type="spellStart"/>
      <w:r w:rsidRPr="00BD5F6C">
        <w:t>ritonavir</w:t>
      </w:r>
      <w:proofErr w:type="spellEnd"/>
      <w:r w:rsidRPr="00BD5F6C">
        <w:t xml:space="preserve"> (RTV) and a mechanism</w:t>
      </w:r>
      <w:r w:rsidR="005E62F4">
        <w:t xml:space="preserve"> </w:t>
      </w:r>
      <w:r w:rsidRPr="00BD5F6C">
        <w:t>based inhibitor of CYP3A. A</w:t>
      </w:r>
      <w:r w:rsidR="00440AA7">
        <w:t xml:space="preserve"> mechanism </w:t>
      </w:r>
      <w:r w:rsidRPr="00BD5F6C">
        <w:t>based inhibitor is unique in that its metabolism is what actually inactivates the CYP3A enzyme, preventing it from metabolising any subsequent substrate. It requires re-synthesis of the enzyme as opposed to a competitive inhibitor which has to maintain a high concentration throughout the dosing interval. COBI has a very short half</w:t>
      </w:r>
      <w:r w:rsidR="00A92985">
        <w:t xml:space="preserve"> </w:t>
      </w:r>
      <w:r w:rsidRPr="00BD5F6C">
        <w:t>life</w:t>
      </w:r>
      <w:r w:rsidR="00440AA7">
        <w:t xml:space="preserve"> (median terminal half life 3.5 h</w:t>
      </w:r>
      <w:r w:rsidRPr="00BD5F6C">
        <w:t>), which is desirable for</w:t>
      </w:r>
      <w:r w:rsidR="00A92985">
        <w:t xml:space="preserve"> a mechanism </w:t>
      </w:r>
      <w:r w:rsidRPr="00BD5F6C">
        <w:t xml:space="preserve">based inhibitor. Consequently, it is intended for use as pharmacokinetic enhancer/booster of the CYP3A substrates </w:t>
      </w:r>
      <w:proofErr w:type="spellStart"/>
      <w:r w:rsidRPr="00BD5F6C">
        <w:t>atazanavir</w:t>
      </w:r>
      <w:proofErr w:type="spellEnd"/>
      <w:r w:rsidRPr="00BD5F6C">
        <w:t xml:space="preserve"> (ATV) and </w:t>
      </w:r>
      <w:proofErr w:type="spellStart"/>
      <w:r w:rsidRPr="00BD5F6C">
        <w:t>darunavir</w:t>
      </w:r>
      <w:proofErr w:type="spellEnd"/>
      <w:r w:rsidRPr="00BD5F6C">
        <w:t xml:space="preserve"> (DRV). It has no anti</w:t>
      </w:r>
      <w:r w:rsidR="00B83F6D">
        <w:t xml:space="preserve"> </w:t>
      </w:r>
      <w:r w:rsidRPr="00BD5F6C">
        <w:t>HIV activity and does not inhibit the activity of other registered anti</w:t>
      </w:r>
      <w:r w:rsidR="00B83F6D">
        <w:t xml:space="preserve"> </w:t>
      </w:r>
      <w:r w:rsidRPr="00BD5F6C">
        <w:t xml:space="preserve">HIV drugs </w:t>
      </w:r>
      <w:r w:rsidRPr="00B83F6D">
        <w:rPr>
          <w:i/>
        </w:rPr>
        <w:t>in vitro</w:t>
      </w:r>
      <w:r w:rsidRPr="00BD5F6C">
        <w:t>.</w:t>
      </w:r>
    </w:p>
    <w:p w:rsidR="00BD5F6C" w:rsidRPr="00BD5F6C" w:rsidRDefault="00BD5F6C" w:rsidP="004D2744">
      <w:r w:rsidRPr="00BD5F6C">
        <w:t xml:space="preserve">COBI is seen to be a desirable alternative to RTV as a pharmacokinetic enhancer of ATV and DRV because compared to RTV it more selectively inhibits CYP3A and displays weak to minimal inhibition of other CYP enzymes; it is a less potent inducer of other metabolising enzymes </w:t>
      </w:r>
      <w:r w:rsidRPr="00B83F6D">
        <w:rPr>
          <w:i/>
        </w:rPr>
        <w:t>in vitro</w:t>
      </w:r>
      <w:r w:rsidRPr="00BD5F6C">
        <w:t>; and it has been shown to have less potential for clinically significant drug interactions via these non</w:t>
      </w:r>
      <w:r w:rsidR="00B83F6D">
        <w:t xml:space="preserve"> CYP3A pathways. </w:t>
      </w:r>
      <w:r w:rsidRPr="00BD5F6C">
        <w:t>RTV has inhibition and induction effects on metabolising enzymes other than CYP3A that necessitate complex drug-drug interaction consi</w:t>
      </w:r>
      <w:r w:rsidR="00B83F6D">
        <w:t xml:space="preserve">derations before use. </w:t>
      </w:r>
      <w:r w:rsidRPr="00BD5F6C">
        <w:t xml:space="preserve">Additionally, the use of RTV as a booster of protease inhibitor exposure has been associated with adverse metabolic effects such as insulin resistance, </w:t>
      </w:r>
      <w:proofErr w:type="spellStart"/>
      <w:r w:rsidRPr="00BD5F6C">
        <w:t>hypertriglyceridaemia</w:t>
      </w:r>
      <w:proofErr w:type="spellEnd"/>
      <w:r w:rsidRPr="00BD5F6C">
        <w:t xml:space="preserve"> and </w:t>
      </w:r>
      <w:proofErr w:type="spellStart"/>
      <w:r w:rsidRPr="00BD5F6C">
        <w:t>lipodystrophy</w:t>
      </w:r>
      <w:proofErr w:type="spellEnd"/>
      <w:r w:rsidRPr="00BD5F6C">
        <w:t>.</w:t>
      </w:r>
      <w:r w:rsidR="00B83F6D">
        <w:t xml:space="preserve"> </w:t>
      </w:r>
      <w:r w:rsidRPr="00BD5F6C">
        <w:t xml:space="preserve">If approved, </w:t>
      </w:r>
      <w:proofErr w:type="spellStart"/>
      <w:r w:rsidR="00B83F6D">
        <w:t>Tybost</w:t>
      </w:r>
      <w:proofErr w:type="spellEnd"/>
      <w:r w:rsidRPr="00BD5F6C">
        <w:t xml:space="preserve"> will be the first product with an indication for use as a </w:t>
      </w:r>
      <w:r w:rsidR="00F40729">
        <w:t>pharmacokinetic (</w:t>
      </w:r>
      <w:r w:rsidRPr="00BD5F6C">
        <w:t>PK</w:t>
      </w:r>
      <w:r w:rsidR="00F40729">
        <w:t>)</w:t>
      </w:r>
      <w:r w:rsidRPr="00BD5F6C">
        <w:t xml:space="preserve"> enhancer.</w:t>
      </w:r>
    </w:p>
    <w:p w:rsidR="00BD5F6C" w:rsidRPr="00BD5F6C" w:rsidRDefault="00BD5F6C" w:rsidP="004D2744">
      <w:r w:rsidRPr="00BD5F6C">
        <w:t xml:space="preserve">COBI is also a component of the fixed dose combination tablet </w:t>
      </w:r>
      <w:proofErr w:type="spellStart"/>
      <w:r w:rsidRPr="00BD5F6C">
        <w:t>S</w:t>
      </w:r>
      <w:r w:rsidR="00A74C73">
        <w:t>tribild</w:t>
      </w:r>
      <w:proofErr w:type="spellEnd"/>
      <w:r w:rsidRPr="00BD5F6C">
        <w:t xml:space="preserve"> (also pre</w:t>
      </w:r>
      <w:r w:rsidR="00A74C73">
        <w:t>viously referred to as the QUAD</w:t>
      </w:r>
      <w:r w:rsidRPr="00BD5F6C">
        <w:t>)</w:t>
      </w:r>
      <w:r w:rsidR="00A74C73">
        <w:t xml:space="preserve">. </w:t>
      </w:r>
      <w:proofErr w:type="spellStart"/>
      <w:r w:rsidR="00A74C73" w:rsidRPr="00BD5F6C">
        <w:t>S</w:t>
      </w:r>
      <w:r w:rsidR="00A74C73">
        <w:t>tribild</w:t>
      </w:r>
      <w:proofErr w:type="spellEnd"/>
      <w:r w:rsidRPr="00BD5F6C">
        <w:t xml:space="preserve"> contains </w:t>
      </w:r>
      <w:proofErr w:type="spellStart"/>
      <w:r w:rsidRPr="00BD5F6C">
        <w:t>tenofovir</w:t>
      </w:r>
      <w:proofErr w:type="spellEnd"/>
      <w:r w:rsidRPr="00BD5F6C">
        <w:t xml:space="preserve"> </w:t>
      </w:r>
      <w:proofErr w:type="spellStart"/>
      <w:r w:rsidRPr="00BD5F6C">
        <w:t>disoproxil</w:t>
      </w:r>
      <w:proofErr w:type="spellEnd"/>
      <w:r w:rsidRPr="00BD5F6C">
        <w:t xml:space="preserve"> </w:t>
      </w:r>
      <w:proofErr w:type="spellStart"/>
      <w:r w:rsidRPr="00BD5F6C">
        <w:t>fumarate</w:t>
      </w:r>
      <w:proofErr w:type="spellEnd"/>
      <w:r w:rsidRPr="00BD5F6C">
        <w:t xml:space="preserve"> </w:t>
      </w:r>
      <w:r w:rsidR="00C5771F">
        <w:t xml:space="preserve">(TDF) </w:t>
      </w:r>
      <w:r w:rsidRPr="00BD5F6C">
        <w:t>300</w:t>
      </w:r>
      <w:r w:rsidR="001552B3">
        <w:t xml:space="preserve"> </w:t>
      </w:r>
      <w:r w:rsidRPr="00BD5F6C">
        <w:t xml:space="preserve">mg + </w:t>
      </w:r>
      <w:proofErr w:type="spellStart"/>
      <w:r w:rsidRPr="00BD5F6C">
        <w:t>emtricitabine</w:t>
      </w:r>
      <w:proofErr w:type="spellEnd"/>
      <w:r w:rsidRPr="00BD5F6C">
        <w:t xml:space="preserve"> </w:t>
      </w:r>
      <w:r w:rsidR="00C5771F">
        <w:t xml:space="preserve">(FTC) </w:t>
      </w:r>
      <w:r w:rsidRPr="00BD5F6C">
        <w:t>200</w:t>
      </w:r>
      <w:r w:rsidR="001552B3">
        <w:t xml:space="preserve"> </w:t>
      </w:r>
      <w:r w:rsidRPr="00BD5F6C">
        <w:t xml:space="preserve">mg + </w:t>
      </w:r>
      <w:proofErr w:type="spellStart"/>
      <w:r w:rsidRPr="00BD5F6C">
        <w:t>elvitegravir</w:t>
      </w:r>
      <w:proofErr w:type="spellEnd"/>
      <w:r w:rsidRPr="00BD5F6C">
        <w:t xml:space="preserve"> </w:t>
      </w:r>
      <w:r w:rsidR="00C5771F">
        <w:t xml:space="preserve">(EVG) </w:t>
      </w:r>
      <w:r w:rsidRPr="00BD5F6C">
        <w:t>150</w:t>
      </w:r>
      <w:r w:rsidR="001552B3">
        <w:t xml:space="preserve"> </w:t>
      </w:r>
      <w:r w:rsidRPr="00BD5F6C">
        <w:t>mg + COBI 150</w:t>
      </w:r>
      <w:r w:rsidR="001552B3">
        <w:t xml:space="preserve"> </w:t>
      </w:r>
      <w:r w:rsidRPr="00BD5F6C">
        <w:t>mg and was approved by the TGA for the treatment of HIV infection in adults who have no known resistance mutations to the individual drugs in February 2013.</w:t>
      </w:r>
    </w:p>
    <w:p w:rsidR="008E7846" w:rsidRPr="004D2744" w:rsidRDefault="00386150" w:rsidP="004D2744">
      <w:pPr>
        <w:pStyle w:val="Heading3"/>
      </w:pPr>
      <w:bookmarkStart w:id="10" w:name="_Toc314842485"/>
      <w:bookmarkStart w:id="11" w:name="_Toc247691504"/>
      <w:bookmarkStart w:id="12" w:name="_Toc376430042"/>
      <w:r>
        <w:t>Regulatory s</w:t>
      </w:r>
      <w:r w:rsidR="008E7846">
        <w:t>tatus</w:t>
      </w:r>
      <w:bookmarkEnd w:id="10"/>
      <w:bookmarkEnd w:id="11"/>
      <w:bookmarkEnd w:id="12"/>
    </w:p>
    <w:p w:rsidR="008B6D7D" w:rsidRDefault="00687716" w:rsidP="004D2744">
      <w:r w:rsidRPr="00687716">
        <w:t>A</w:t>
      </w:r>
      <w:r w:rsidR="000940D5">
        <w:t>t the time of the Australian submission to the TGA, a</w:t>
      </w:r>
      <w:r w:rsidRPr="00687716">
        <w:t>pplications with the same indication and supported by essentially the same dossier ha</w:t>
      </w:r>
      <w:r w:rsidR="00F507D8">
        <w:t>d</w:t>
      </w:r>
      <w:r w:rsidRPr="00687716">
        <w:t xml:space="preserve"> been lodged in the USA, Canada</w:t>
      </w:r>
      <w:r w:rsidR="008B6D7D">
        <w:t>, and Europe.</w:t>
      </w:r>
      <w:r w:rsidR="008B6D7D">
        <w:rPr>
          <w:rStyle w:val="FootnoteReference"/>
        </w:rPr>
        <w:footnoteReference w:id="1"/>
      </w:r>
    </w:p>
    <w:p w:rsidR="00687716" w:rsidRPr="00687716" w:rsidRDefault="00687716" w:rsidP="004D2744">
      <w:r w:rsidRPr="00687716">
        <w:t>No information is available for Switzerland or New Zealand.</w:t>
      </w:r>
    </w:p>
    <w:p w:rsidR="008E7846" w:rsidRDefault="008E7846" w:rsidP="004D2744">
      <w:pPr>
        <w:pStyle w:val="Heading3"/>
      </w:pPr>
      <w:bookmarkStart w:id="13" w:name="_Toc247691505"/>
      <w:bookmarkStart w:id="14" w:name="_Toc314842486"/>
      <w:bookmarkStart w:id="15" w:name="_Toc376430043"/>
      <w:r>
        <w:t>Product Information</w:t>
      </w:r>
      <w:bookmarkEnd w:id="13"/>
      <w:bookmarkEnd w:id="14"/>
      <w:bookmarkEnd w:id="15"/>
    </w:p>
    <w:p w:rsidR="008E7846" w:rsidRDefault="008E7846" w:rsidP="004D2744">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4D2744">
      <w:pPr>
        <w:pStyle w:val="Heading2"/>
      </w:pPr>
      <w:bookmarkStart w:id="18" w:name="_Toc376430044"/>
      <w:r>
        <w:t>II. Quality</w:t>
      </w:r>
      <w:bookmarkEnd w:id="1"/>
      <w:r>
        <w:t xml:space="preserve"> findings</w:t>
      </w:r>
      <w:bookmarkEnd w:id="16"/>
      <w:bookmarkEnd w:id="17"/>
      <w:bookmarkEnd w:id="18"/>
    </w:p>
    <w:p w:rsidR="008E7846" w:rsidRDefault="008E7846" w:rsidP="004D2744">
      <w:pPr>
        <w:pStyle w:val="Heading3"/>
      </w:pPr>
      <w:bookmarkStart w:id="19" w:name="_Toc247691507"/>
      <w:bookmarkStart w:id="20" w:name="_Toc314842488"/>
      <w:bookmarkStart w:id="21" w:name="_Toc376430045"/>
      <w:r w:rsidRPr="008751DC">
        <w:t xml:space="preserve">Drug </w:t>
      </w:r>
      <w:r>
        <w:t>s</w:t>
      </w:r>
      <w:r w:rsidRPr="008751DC">
        <w:t>ubstance</w:t>
      </w:r>
      <w:r>
        <w:t xml:space="preserve"> (active ingredient)</w:t>
      </w:r>
      <w:bookmarkEnd w:id="19"/>
      <w:bookmarkEnd w:id="20"/>
      <w:bookmarkEnd w:id="21"/>
    </w:p>
    <w:p w:rsidR="00C5771F" w:rsidRPr="00C5771F" w:rsidRDefault="00C5771F" w:rsidP="004D2744">
      <w:r w:rsidRPr="00C5771F">
        <w:t xml:space="preserve">Gilead Sciences Pty Ltd has submitted an application to register </w:t>
      </w:r>
      <w:proofErr w:type="spellStart"/>
      <w:r w:rsidRPr="00C5771F">
        <w:t>Tybost</w:t>
      </w:r>
      <w:proofErr w:type="spellEnd"/>
      <w:r w:rsidRPr="00C5771F">
        <w:t xml:space="preserve"> tablets, containing 150 mg </w:t>
      </w:r>
      <w:r w:rsidR="00431721">
        <w:t xml:space="preserve">of </w:t>
      </w:r>
      <w:r w:rsidRPr="00C5771F">
        <w:t xml:space="preserve">COBI. COBI is also a component of the fixed dose combination tablet </w:t>
      </w:r>
      <w:proofErr w:type="spellStart"/>
      <w:r w:rsidRPr="00C5771F">
        <w:t>Stribild</w:t>
      </w:r>
      <w:proofErr w:type="spellEnd"/>
      <w:r w:rsidRPr="00C5771F">
        <w:t xml:space="preserve">, comprising 300 mg of TDF, 200 mg of FTC, 150 mg of EVG, and 150 mg of COBI. </w:t>
      </w:r>
      <w:proofErr w:type="spellStart"/>
      <w:r w:rsidRPr="00C5771F">
        <w:t>Stribild</w:t>
      </w:r>
      <w:proofErr w:type="spellEnd"/>
      <w:r w:rsidRPr="00C5771F">
        <w:t xml:space="preserve"> tablets were registered in Australia on </w:t>
      </w:r>
      <w:r w:rsidR="000940D5">
        <w:t>7</w:t>
      </w:r>
      <w:r w:rsidRPr="00C5771F">
        <w:t xml:space="preserve"> February 2013.</w:t>
      </w:r>
    </w:p>
    <w:p w:rsidR="008E7846" w:rsidRPr="00C5771F" w:rsidRDefault="00C5771F" w:rsidP="004D2744">
      <w:r w:rsidRPr="00C5771F">
        <w:t xml:space="preserve">The </w:t>
      </w:r>
      <w:r w:rsidR="00675E9F">
        <w:t>COBI</w:t>
      </w:r>
      <w:r w:rsidRPr="00C5771F">
        <w:t xml:space="preserve"> drug substance used in </w:t>
      </w:r>
      <w:proofErr w:type="spellStart"/>
      <w:r w:rsidRPr="00C5771F">
        <w:t>Tybost</w:t>
      </w:r>
      <w:proofErr w:type="spellEnd"/>
      <w:r w:rsidRPr="00C5771F">
        <w:t xml:space="preserve"> tablets is identical to that used in </w:t>
      </w:r>
      <w:proofErr w:type="spellStart"/>
      <w:r w:rsidRPr="00C5771F">
        <w:t>Stribild</w:t>
      </w:r>
      <w:proofErr w:type="spellEnd"/>
      <w:r w:rsidRPr="00C5771F">
        <w:t xml:space="preserve"> tablets. The structure of </w:t>
      </w:r>
      <w:r w:rsidR="00675E9F">
        <w:t>COBI</w:t>
      </w:r>
      <w:r w:rsidRPr="00C5771F">
        <w:t xml:space="preserve"> is</w:t>
      </w:r>
      <w:r w:rsidR="0065172D">
        <w:t xml:space="preserve"> shown in</w:t>
      </w:r>
      <w:r w:rsidRPr="00C5771F">
        <w:t xml:space="preserve"> Figure 1.</w:t>
      </w:r>
    </w:p>
    <w:p w:rsidR="00450A49" w:rsidRDefault="00450A49" w:rsidP="004D2744">
      <w:pPr>
        <w:pStyle w:val="FigureTitle"/>
        <w:rPr>
          <w:lang w:val="en-GB"/>
        </w:rPr>
      </w:pPr>
      <w:r>
        <w:lastRenderedPageBreak/>
        <w:t>Figure 1:</w:t>
      </w:r>
      <w:r w:rsidRPr="004C5C28">
        <w:t xml:space="preserve"> </w:t>
      </w:r>
      <w:r>
        <w:t xml:space="preserve">Chemical structure of </w:t>
      </w:r>
      <w:proofErr w:type="spellStart"/>
      <w:r w:rsidRPr="00450A49">
        <w:t>cobicistat</w:t>
      </w:r>
      <w:proofErr w:type="spellEnd"/>
      <w:r>
        <w:t xml:space="preserve"> (COBI).</w:t>
      </w:r>
    </w:p>
    <w:p w:rsidR="00450A49" w:rsidRDefault="00094C92" w:rsidP="004D2744">
      <w:r>
        <w:rPr>
          <w:noProof/>
          <w:lang w:eastAsia="en-AU"/>
        </w:rPr>
        <w:drawing>
          <wp:inline distT="0" distB="0" distL="0" distR="0">
            <wp:extent cx="2933700" cy="1525905"/>
            <wp:effectExtent l="19050" t="0" r="0" b="0"/>
            <wp:docPr id="13" name="Picture 1" descr="Figure 1: Chemical structure of cobicistat (C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Chemical structure of cobicistat (COBI)."/>
                    <pic:cNvPicPr>
                      <a:picLocks noChangeAspect="1" noChangeArrowheads="1"/>
                    </pic:cNvPicPr>
                  </pic:nvPicPr>
                  <pic:blipFill>
                    <a:blip r:embed="rId13" cstate="print"/>
                    <a:srcRect/>
                    <a:stretch>
                      <a:fillRect/>
                    </a:stretch>
                  </pic:blipFill>
                  <pic:spPr bwMode="auto">
                    <a:xfrm>
                      <a:off x="0" y="0"/>
                      <a:ext cx="2933700" cy="1525905"/>
                    </a:xfrm>
                    <a:prstGeom prst="rect">
                      <a:avLst/>
                    </a:prstGeom>
                    <a:noFill/>
                    <a:ln w="9525">
                      <a:noFill/>
                      <a:miter lim="800000"/>
                      <a:headEnd/>
                      <a:tailEnd/>
                    </a:ln>
                  </pic:spPr>
                </pic:pic>
              </a:graphicData>
            </a:graphic>
          </wp:inline>
        </w:drawing>
      </w:r>
    </w:p>
    <w:p w:rsidR="00A25984" w:rsidRPr="004D2744" w:rsidRDefault="00A25984" w:rsidP="004D2744">
      <w:pPr>
        <w:pStyle w:val="Heading3"/>
      </w:pPr>
      <w:bookmarkStart w:id="22" w:name="_Toc247691508"/>
      <w:bookmarkStart w:id="23" w:name="_Toc314842490"/>
      <w:bookmarkStart w:id="24" w:name="_Toc376430046"/>
      <w:r w:rsidRPr="008751DC">
        <w:t xml:space="preserve">Drug </w:t>
      </w:r>
      <w:r>
        <w:t>p</w:t>
      </w:r>
      <w:r w:rsidRPr="008751DC">
        <w:t>roduct</w:t>
      </w:r>
      <w:bookmarkEnd w:id="22"/>
      <w:bookmarkEnd w:id="23"/>
      <w:bookmarkEnd w:id="24"/>
    </w:p>
    <w:p w:rsidR="00A25984" w:rsidRPr="00A25984" w:rsidRDefault="00A25984" w:rsidP="004D2744">
      <w:r w:rsidRPr="00A25984">
        <w:t>The immediate release tablets are orange, round, bi</w:t>
      </w:r>
      <w:r>
        <w:t xml:space="preserve">convex, film </w:t>
      </w:r>
      <w:r w:rsidRPr="00A25984">
        <w:t xml:space="preserve">coated tablets </w:t>
      </w:r>
      <w:proofErr w:type="spellStart"/>
      <w:r w:rsidRPr="00A25984">
        <w:t>debossed</w:t>
      </w:r>
      <w:proofErr w:type="spellEnd"/>
      <w:r w:rsidRPr="00A25984">
        <w:t xml:space="preserve"> with “GSI” on one side and plain</w:t>
      </w:r>
      <w:r w:rsidR="00D4140A">
        <w:t xml:space="preserve"> </w:t>
      </w:r>
      <w:r w:rsidRPr="00A25984">
        <w:t xml:space="preserve">faced on the other side. The tablets are packed in 60 </w:t>
      </w:r>
      <w:proofErr w:type="spellStart"/>
      <w:r w:rsidRPr="00A25984">
        <w:t>mL</w:t>
      </w:r>
      <w:proofErr w:type="spellEnd"/>
      <w:r w:rsidRPr="00A25984">
        <w:t>, white, HDPE bottles. Each bottle contains 30 tablets a</w:t>
      </w:r>
      <w:r w:rsidR="00A7543D">
        <w:t>nd 1 g</w:t>
      </w:r>
      <w:r>
        <w:t xml:space="preserve"> of silica desiccant. </w:t>
      </w:r>
      <w:r w:rsidRPr="00A25984">
        <w:t>Each bottl</w:t>
      </w:r>
      <w:r>
        <w:t xml:space="preserve">e is capped with a white, child </w:t>
      </w:r>
      <w:r w:rsidRPr="00A25984">
        <w:t>resistant polypropylene screw cap fitted with an induction sealed, aluminium</w:t>
      </w:r>
      <w:r>
        <w:t xml:space="preserve"> </w:t>
      </w:r>
      <w:r w:rsidRPr="00A25984">
        <w:t>faced liner.</w:t>
      </w:r>
    </w:p>
    <w:p w:rsidR="00A25984" w:rsidRPr="00A25984" w:rsidRDefault="00A11A23" w:rsidP="004D2744">
      <w:r>
        <w:t xml:space="preserve">The proposed shelf </w:t>
      </w:r>
      <w:r w:rsidR="00A25984" w:rsidRPr="00A25984">
        <w:t xml:space="preserve">life of 2 years below 25°C is supported by the stability data submitted. </w:t>
      </w:r>
    </w:p>
    <w:p w:rsidR="008E7846" w:rsidRDefault="008E7846" w:rsidP="004D2744">
      <w:pPr>
        <w:pStyle w:val="Heading3"/>
      </w:pPr>
      <w:bookmarkStart w:id="25" w:name="_Toc314842491"/>
      <w:bookmarkStart w:id="26" w:name="_Toc376430047"/>
      <w:proofErr w:type="spellStart"/>
      <w:r>
        <w:t>Biopharmaceutics</w:t>
      </w:r>
      <w:bookmarkEnd w:id="25"/>
      <w:bookmarkEnd w:id="26"/>
      <w:proofErr w:type="spellEnd"/>
    </w:p>
    <w:p w:rsidR="00A25984" w:rsidRPr="00A25984" w:rsidRDefault="00A25984" w:rsidP="004D2744">
      <w:r w:rsidRPr="00A25984">
        <w:t xml:space="preserve">A study (GS-US-216-0116) was submitted to show that the </w:t>
      </w:r>
      <w:r w:rsidR="00675E9F">
        <w:t>COBI</w:t>
      </w:r>
      <w:r w:rsidRPr="00A25984">
        <w:t xml:space="preserve"> tablet formulation proposed for registration is bioequivalent to an earlier Phase </w:t>
      </w:r>
      <w:r w:rsidR="001575AE">
        <w:t>II</w:t>
      </w:r>
      <w:r w:rsidRPr="00A25984">
        <w:t xml:space="preserve"> tablet formulation. </w:t>
      </w:r>
    </w:p>
    <w:p w:rsidR="00A25984" w:rsidRPr="00A25984" w:rsidRDefault="00A25984" w:rsidP="004D2744">
      <w:r w:rsidRPr="00A25984">
        <w:t xml:space="preserve">The effect of food </w:t>
      </w:r>
      <w:r w:rsidR="00A7543D">
        <w:t xml:space="preserve">on </w:t>
      </w:r>
      <w:proofErr w:type="spellStart"/>
      <w:r w:rsidR="00A7543D">
        <w:t>Tybost</w:t>
      </w:r>
      <w:proofErr w:type="spellEnd"/>
      <w:r w:rsidRPr="00A25984">
        <w:t xml:space="preserve"> tablets has not been studied. The PI recommends that </w:t>
      </w:r>
      <w:proofErr w:type="spellStart"/>
      <w:r w:rsidR="00A7543D">
        <w:t>Tybost</w:t>
      </w:r>
      <w:proofErr w:type="spellEnd"/>
      <w:r w:rsidRPr="00A25984">
        <w:t xml:space="preserve"> tablets be given with food because </w:t>
      </w:r>
      <w:r w:rsidR="00675E9F">
        <w:t>ATV</w:t>
      </w:r>
      <w:r w:rsidRPr="00A25984">
        <w:t xml:space="preserve"> and </w:t>
      </w:r>
      <w:r w:rsidR="00675E9F">
        <w:t>DRV</w:t>
      </w:r>
      <w:r w:rsidRPr="00A25984">
        <w:t xml:space="preserve"> are taken with food. Food studies on </w:t>
      </w:r>
      <w:proofErr w:type="spellStart"/>
      <w:r w:rsidRPr="00A25984">
        <w:t>S</w:t>
      </w:r>
      <w:r w:rsidR="00775935">
        <w:t>tribild</w:t>
      </w:r>
      <w:proofErr w:type="spellEnd"/>
      <w:r w:rsidRPr="00A25984">
        <w:t xml:space="preserve"> tablets showed that a high fat meal reduced the </w:t>
      </w:r>
      <w:r w:rsidR="00C23884">
        <w:t>a</w:t>
      </w:r>
      <w:r w:rsidR="00C23884" w:rsidRPr="00C23884">
        <w:t xml:space="preserve">rea under the plasma concentration-time curve </w:t>
      </w:r>
      <w:r w:rsidR="00C23884">
        <w:t>(</w:t>
      </w:r>
      <w:r w:rsidRPr="00A25984">
        <w:t>AUC</w:t>
      </w:r>
      <w:r w:rsidR="00C23884">
        <w:t>)</w:t>
      </w:r>
      <w:r w:rsidRPr="00A25984">
        <w:t xml:space="preserve"> and </w:t>
      </w:r>
      <w:r w:rsidR="009E0822">
        <w:t>maximum</w:t>
      </w:r>
      <w:r w:rsidR="009E0822" w:rsidRPr="00AB79DD">
        <w:t xml:space="preserve"> plasma drug concentration</w:t>
      </w:r>
      <w:r w:rsidR="009E0822" w:rsidRPr="00A25984">
        <w:t xml:space="preserve"> </w:t>
      </w:r>
      <w:r w:rsidR="009E0822">
        <w:t>(</w:t>
      </w:r>
      <w:proofErr w:type="spellStart"/>
      <w:r w:rsidRPr="00A25984">
        <w:t>C</w:t>
      </w:r>
      <w:r w:rsidRPr="00A7543D">
        <w:rPr>
          <w:vertAlign w:val="subscript"/>
        </w:rPr>
        <w:t>max</w:t>
      </w:r>
      <w:proofErr w:type="spellEnd"/>
      <w:r w:rsidR="009E0822">
        <w:t xml:space="preserve">) </w:t>
      </w:r>
      <w:r w:rsidRPr="00A25984">
        <w:t xml:space="preserve">of </w:t>
      </w:r>
      <w:r w:rsidR="00675E9F">
        <w:t>COBI</w:t>
      </w:r>
      <w:r w:rsidRPr="00A25984">
        <w:t xml:space="preserve"> by 17% and 24%, respectively, although a light meal had no significant effect. </w:t>
      </w:r>
    </w:p>
    <w:p w:rsidR="00687126" w:rsidRDefault="00A25984" w:rsidP="004D2744">
      <w:r w:rsidRPr="00A25984">
        <w:t xml:space="preserve">The following justification was provided for not conducting an </w:t>
      </w:r>
      <w:r w:rsidR="00687126">
        <w:t>absolute bioavailability study:</w:t>
      </w:r>
    </w:p>
    <w:p w:rsidR="00687126" w:rsidRPr="004D2744" w:rsidRDefault="00A25984" w:rsidP="004D2744">
      <w:pPr>
        <w:ind w:left="720"/>
        <w:rPr>
          <w:i/>
        </w:rPr>
      </w:pPr>
      <w:r w:rsidRPr="004D2744">
        <w:rPr>
          <w:i/>
        </w:rPr>
        <w:t>“Based on Gilead’s thorough understanding of the clinical development programme, and accordingly, the bioavailability of COBI is considered to be high an absolute bioavailability study for COBI was not deemed necessar</w:t>
      </w:r>
      <w:r w:rsidR="00687126" w:rsidRPr="004D2744">
        <w:rPr>
          <w:i/>
        </w:rPr>
        <w:t>y and therefore not performed.”</w:t>
      </w:r>
    </w:p>
    <w:p w:rsidR="00A25984" w:rsidRPr="00A25984" w:rsidRDefault="00A25984" w:rsidP="004D2744">
      <w:r w:rsidRPr="00A25984">
        <w:t>This justification was referred to the Clinical Delegate.</w:t>
      </w:r>
    </w:p>
    <w:p w:rsidR="008E7846" w:rsidRPr="008751DC" w:rsidRDefault="008E7846" w:rsidP="004D2744">
      <w:pPr>
        <w:pStyle w:val="Heading3"/>
      </w:pPr>
      <w:bookmarkStart w:id="27" w:name="_Toc247691509"/>
      <w:bookmarkStart w:id="28" w:name="_Toc314842493"/>
      <w:bookmarkStart w:id="29" w:name="_Toc376430048"/>
      <w:r>
        <w:t>Quality s</w:t>
      </w:r>
      <w:r w:rsidRPr="008751DC">
        <w:t>ummary</w:t>
      </w:r>
      <w:r>
        <w:t xml:space="preserve"> and conclusions</w:t>
      </w:r>
      <w:bookmarkEnd w:id="27"/>
      <w:bookmarkEnd w:id="28"/>
      <w:bookmarkEnd w:id="29"/>
    </w:p>
    <w:p w:rsidR="00A25984" w:rsidRPr="00A25984" w:rsidRDefault="00A25984" w:rsidP="004D2744">
      <w:r w:rsidRPr="00A25984">
        <w:t>A number of issues were raised following the initial evaluation of this application, but all issues have since been satisfactorily resolved. There are now no objections to registration of this product in respect of Chemistry, Manufacturing and Controls.</w:t>
      </w:r>
    </w:p>
    <w:p w:rsidR="008E7846" w:rsidRDefault="008E7846" w:rsidP="004D2744">
      <w:pPr>
        <w:pStyle w:val="Heading2"/>
      </w:pPr>
      <w:bookmarkStart w:id="30" w:name="_Toc196046439"/>
      <w:bookmarkStart w:id="31" w:name="_Toc247691510"/>
      <w:bookmarkStart w:id="32" w:name="_Toc314842494"/>
      <w:bookmarkStart w:id="33" w:name="_Toc376430049"/>
      <w:r>
        <w:t>III. Nonclinical</w:t>
      </w:r>
      <w:bookmarkEnd w:id="30"/>
      <w:r>
        <w:t xml:space="preserve"> findings</w:t>
      </w:r>
      <w:bookmarkEnd w:id="31"/>
      <w:bookmarkEnd w:id="32"/>
      <w:bookmarkEnd w:id="33"/>
    </w:p>
    <w:p w:rsidR="008E7846" w:rsidRPr="004D2744" w:rsidRDefault="008E7846" w:rsidP="004D2744">
      <w:pPr>
        <w:pStyle w:val="Heading3"/>
      </w:pPr>
      <w:bookmarkStart w:id="34" w:name="_Toc247691511"/>
      <w:bookmarkStart w:id="35" w:name="_Toc314842495"/>
      <w:bookmarkStart w:id="36" w:name="_Toc376430050"/>
      <w:r>
        <w:t>Introduction</w:t>
      </w:r>
      <w:bookmarkEnd w:id="34"/>
      <w:bookmarkEnd w:id="35"/>
      <w:bookmarkEnd w:id="36"/>
    </w:p>
    <w:p w:rsidR="00B1170A" w:rsidRPr="00D40FA1" w:rsidRDefault="00B1170A" w:rsidP="004D2744">
      <w:r w:rsidRPr="00D40FA1">
        <w:t xml:space="preserve">The sponsor has applied to register </w:t>
      </w:r>
      <w:r w:rsidR="00675E9F">
        <w:t>COBI</w:t>
      </w:r>
      <w:r w:rsidRPr="00D40FA1">
        <w:t xml:space="preserve"> (</w:t>
      </w:r>
      <w:proofErr w:type="spellStart"/>
      <w:r w:rsidR="00967F30">
        <w:t>Tybost</w:t>
      </w:r>
      <w:proofErr w:type="spellEnd"/>
      <w:r w:rsidR="008036BD">
        <w:t>) 150 mg oral tablets</w:t>
      </w:r>
      <w:r w:rsidRPr="00D40FA1">
        <w:t xml:space="preserve"> as a pharmacokinetic enhancer of the registered HIV protease inhibitor</w:t>
      </w:r>
      <w:r w:rsidR="00751ADE">
        <w:t xml:space="preserve">s </w:t>
      </w:r>
      <w:r w:rsidR="00675E9F">
        <w:t>ATV</w:t>
      </w:r>
      <w:r w:rsidR="00751ADE">
        <w:t xml:space="preserve"> (</w:t>
      </w:r>
      <w:proofErr w:type="spellStart"/>
      <w:r w:rsidR="00751ADE">
        <w:t>Reyataz</w:t>
      </w:r>
      <w:proofErr w:type="spellEnd"/>
      <w:r w:rsidRPr="00D40FA1">
        <w:t xml:space="preserve">) and </w:t>
      </w:r>
      <w:r w:rsidR="00675E9F">
        <w:lastRenderedPageBreak/>
        <w:t>DRV</w:t>
      </w:r>
      <w:r w:rsidRPr="00D40FA1">
        <w:t xml:space="preserve"> (</w:t>
      </w:r>
      <w:proofErr w:type="spellStart"/>
      <w:r w:rsidR="00751ADE">
        <w:t>Prezista</w:t>
      </w:r>
      <w:proofErr w:type="spellEnd"/>
      <w:r w:rsidR="00751ADE">
        <w:t xml:space="preserve">), in HIV </w:t>
      </w:r>
      <w:r w:rsidRPr="00D40FA1">
        <w:t>infected adults.</w:t>
      </w:r>
      <w:r w:rsidR="007F3098">
        <w:t xml:space="preserve"> </w:t>
      </w:r>
      <w:r w:rsidRPr="00D40FA1">
        <w:t xml:space="preserve">Similar applications have been made in the USA (28 June) and EU (26 May 2012), and an application is proposed in Canada. The proposed regimen is </w:t>
      </w:r>
      <w:r w:rsidR="00675E9F">
        <w:t>COBI</w:t>
      </w:r>
      <w:r w:rsidRPr="00D40FA1">
        <w:t xml:space="preserve"> 150 mg and </w:t>
      </w:r>
      <w:r w:rsidR="00675E9F">
        <w:t>ATV</w:t>
      </w:r>
      <w:r w:rsidRPr="00D40FA1">
        <w:t xml:space="preserve"> 300 mg or </w:t>
      </w:r>
      <w:r w:rsidR="00675E9F">
        <w:t>DRV</w:t>
      </w:r>
      <w:r w:rsidRPr="00D40FA1">
        <w:t xml:space="preserve"> 800 mg once daily with food. There are no dosage data with any other protease inhibitors. </w:t>
      </w:r>
      <w:r w:rsidR="00675E9F">
        <w:t>COBI</w:t>
      </w:r>
      <w:r w:rsidRPr="00D40FA1">
        <w:t xml:space="preserve"> is a CYP3A inhibitor, and structur</w:t>
      </w:r>
      <w:r w:rsidR="00A63817">
        <w:t xml:space="preserve">al analogue of </w:t>
      </w:r>
      <w:r w:rsidR="009D3AE9">
        <w:t>RTV</w:t>
      </w:r>
      <w:r w:rsidR="00A63817">
        <w:t xml:space="preserve"> (</w:t>
      </w:r>
      <w:proofErr w:type="spellStart"/>
      <w:r w:rsidR="00A63817">
        <w:t>Norvir</w:t>
      </w:r>
      <w:proofErr w:type="spellEnd"/>
      <w:r w:rsidRPr="00D40FA1">
        <w:t xml:space="preserve">), an HIV protease inhibitor. </w:t>
      </w:r>
      <w:r w:rsidR="00675E9F">
        <w:t>COBI</w:t>
      </w:r>
      <w:r w:rsidRPr="00D40FA1">
        <w:t xml:space="preserve"> has no anti</w:t>
      </w:r>
      <w:r w:rsidR="00A10249">
        <w:t xml:space="preserve"> </w:t>
      </w:r>
      <w:r w:rsidR="003038DD">
        <w:t xml:space="preserve">HIV activity. </w:t>
      </w:r>
      <w:r w:rsidR="00675E9F">
        <w:t>ATV</w:t>
      </w:r>
      <w:r w:rsidRPr="00D40FA1">
        <w:t xml:space="preserve"> and </w:t>
      </w:r>
      <w:r w:rsidR="00675E9F">
        <w:t>DRV</w:t>
      </w:r>
      <w:r w:rsidRPr="00D40FA1">
        <w:t xml:space="preserve"> are currently registered for use with low</w:t>
      </w:r>
      <w:r w:rsidR="00A10249">
        <w:t xml:space="preserve"> </w:t>
      </w:r>
      <w:r w:rsidRPr="00D40FA1">
        <w:t xml:space="preserve">dose </w:t>
      </w:r>
      <w:r w:rsidR="009D3AE9">
        <w:t>RTV</w:t>
      </w:r>
      <w:r w:rsidRPr="00D40FA1">
        <w:t xml:space="preserve"> in adults, and paediatric patients 6-18 years of age. </w:t>
      </w:r>
    </w:p>
    <w:p w:rsidR="00B1170A" w:rsidRPr="00D40FA1" w:rsidRDefault="00B1170A" w:rsidP="004D2744">
      <w:r w:rsidRPr="00D40FA1">
        <w:t xml:space="preserve">A recent application was made to register the fixed dose combination of </w:t>
      </w:r>
      <w:r w:rsidR="00A420D0">
        <w:t>EVG</w:t>
      </w:r>
      <w:r w:rsidRPr="00D40FA1">
        <w:t>/</w:t>
      </w:r>
      <w:r w:rsidR="00675E9F">
        <w:t>COBI</w:t>
      </w:r>
      <w:r w:rsidRPr="00D40FA1">
        <w:t>/</w:t>
      </w:r>
      <w:r w:rsidR="00A420D0">
        <w:t>TDF</w:t>
      </w:r>
      <w:r w:rsidRPr="00D40FA1">
        <w:t xml:space="preserve"> (</w:t>
      </w:r>
      <w:proofErr w:type="spellStart"/>
      <w:r w:rsidRPr="00D40FA1">
        <w:t>S</w:t>
      </w:r>
      <w:r w:rsidR="00893E9B">
        <w:t>tribild</w:t>
      </w:r>
      <w:proofErr w:type="spellEnd"/>
      <w:r w:rsidRPr="00D40FA1">
        <w:t xml:space="preserve">) 150/150/300/200 mg for HIV treatment in adults with no known resistance mutations to the individual drugs. </w:t>
      </w:r>
      <w:r w:rsidR="00D42031" w:rsidRPr="00D40FA1">
        <w:t>The 282nd</w:t>
      </w:r>
      <w:r w:rsidR="00252AFC" w:rsidRPr="00D40FA1">
        <w:t xml:space="preserve"> </w:t>
      </w:r>
      <w:r w:rsidR="00D073AB">
        <w:rPr>
          <w:bCs/>
        </w:rPr>
        <w:t>Advisory Committee on Prescription Medicines (</w:t>
      </w:r>
      <w:r w:rsidRPr="00D40FA1">
        <w:t>ACPM</w:t>
      </w:r>
      <w:r w:rsidR="00D073AB">
        <w:t>)</w:t>
      </w:r>
      <w:r w:rsidRPr="00D40FA1">
        <w:t xml:space="preserve"> meeting considered that </w:t>
      </w:r>
      <w:proofErr w:type="spellStart"/>
      <w:r w:rsidR="007F3098">
        <w:t>Stribild</w:t>
      </w:r>
      <w:proofErr w:type="spellEnd"/>
      <w:r w:rsidRPr="00D40FA1">
        <w:t xml:space="preserve"> had an overall positive benefit-risk profile. The </w:t>
      </w:r>
      <w:r w:rsidR="00675E9F">
        <w:t>COBI</w:t>
      </w:r>
      <w:r w:rsidRPr="00D40FA1">
        <w:t xml:space="preserve"> dose in </w:t>
      </w:r>
      <w:proofErr w:type="spellStart"/>
      <w:r w:rsidR="007F3098">
        <w:t>Stribild</w:t>
      </w:r>
      <w:proofErr w:type="spellEnd"/>
      <w:r w:rsidRPr="00D40FA1">
        <w:t xml:space="preserve"> is the same as the proposed single tablet. </w:t>
      </w:r>
      <w:proofErr w:type="spellStart"/>
      <w:r w:rsidR="007F3098">
        <w:t>Stribild</w:t>
      </w:r>
      <w:proofErr w:type="spellEnd"/>
      <w:r w:rsidRPr="00D40FA1">
        <w:t xml:space="preserve"> was approved in the USA in August 2012. An application to approve </w:t>
      </w:r>
      <w:proofErr w:type="spellStart"/>
      <w:r w:rsidR="007F3098">
        <w:t>Stribild</w:t>
      </w:r>
      <w:proofErr w:type="spellEnd"/>
      <w:r w:rsidRPr="00D40FA1">
        <w:t xml:space="preserve"> was also made in the EU. </w:t>
      </w:r>
      <w:r w:rsidR="00675E9F">
        <w:t>ATV</w:t>
      </w:r>
      <w:r w:rsidRPr="00D40FA1">
        <w:t xml:space="preserve"> and </w:t>
      </w:r>
      <w:r w:rsidR="00675E9F">
        <w:t>DRV</w:t>
      </w:r>
      <w:r w:rsidRPr="00D40FA1">
        <w:t xml:space="preserve"> nonclinical studies were previously evaluated. </w:t>
      </w:r>
    </w:p>
    <w:p w:rsidR="00B1170A" w:rsidRPr="00D40FA1" w:rsidRDefault="00B1170A" w:rsidP="004D2744">
      <w:r w:rsidRPr="00D40FA1">
        <w:t xml:space="preserve">The </w:t>
      </w:r>
      <w:proofErr w:type="spellStart"/>
      <w:r w:rsidR="007F3098">
        <w:t>Stribild</w:t>
      </w:r>
      <w:proofErr w:type="spellEnd"/>
      <w:r w:rsidRPr="00D40FA1">
        <w:t xml:space="preserve"> application contained an adequate nonclinical dossier for </w:t>
      </w:r>
      <w:r w:rsidR="00675E9F">
        <w:t>COBI</w:t>
      </w:r>
      <w:r w:rsidRPr="00D40FA1">
        <w:t xml:space="preserve">. The </w:t>
      </w:r>
      <w:proofErr w:type="spellStart"/>
      <w:r w:rsidR="007F3098">
        <w:t>Stribild</w:t>
      </w:r>
      <w:proofErr w:type="spellEnd"/>
      <w:r w:rsidRPr="00D40FA1">
        <w:t xml:space="preserve"> application contained a s</w:t>
      </w:r>
      <w:r w:rsidR="00D4140A">
        <w:t xml:space="preserve">afety pharmacology study and 1 and 13 </w:t>
      </w:r>
      <w:r w:rsidRPr="00D40FA1">
        <w:t xml:space="preserve">week toxicity studies with </w:t>
      </w:r>
      <w:r w:rsidR="00675E9F">
        <w:t>COBI</w:t>
      </w:r>
      <w:r w:rsidRPr="00D40FA1">
        <w:t xml:space="preserve"> combined with </w:t>
      </w:r>
      <w:r w:rsidR="00675E9F">
        <w:t>ATV</w:t>
      </w:r>
      <w:r w:rsidRPr="00D40FA1">
        <w:t xml:space="preserve">. Nonclinical studies were not conducted with </w:t>
      </w:r>
      <w:r w:rsidR="00675E9F">
        <w:t>COBI</w:t>
      </w:r>
      <w:r w:rsidRPr="00D40FA1">
        <w:t xml:space="preserve"> combined with </w:t>
      </w:r>
      <w:r w:rsidR="00675E9F">
        <w:t>DRV</w:t>
      </w:r>
      <w:r w:rsidRPr="00D40FA1">
        <w:t>: their absence was justified in terms of the relevant guidelines</w:t>
      </w:r>
      <w:r w:rsidR="00D40FA1">
        <w:t>.</w:t>
      </w:r>
      <w:r w:rsidR="00D40FA1">
        <w:rPr>
          <w:rStyle w:val="FootnoteReference"/>
        </w:rPr>
        <w:footnoteReference w:id="2"/>
      </w:r>
    </w:p>
    <w:p w:rsidR="009D61A7" w:rsidRPr="00D40FA1" w:rsidRDefault="009D61A7" w:rsidP="004D2744">
      <w:r w:rsidRPr="00D40FA1">
        <w:t xml:space="preserve">The </w:t>
      </w:r>
      <w:r w:rsidR="00675E9F">
        <w:t>COBI</w:t>
      </w:r>
      <w:r w:rsidRPr="00D40FA1">
        <w:t xml:space="preserve"> tablet has the same </w:t>
      </w:r>
      <w:proofErr w:type="spellStart"/>
      <w:r w:rsidRPr="00D40FA1">
        <w:t>excipients</w:t>
      </w:r>
      <w:proofErr w:type="spellEnd"/>
      <w:r w:rsidRPr="00D40FA1">
        <w:t xml:space="preserve"> as </w:t>
      </w:r>
      <w:proofErr w:type="spellStart"/>
      <w:r w:rsidR="007F3098">
        <w:t>Stribild</w:t>
      </w:r>
      <w:proofErr w:type="spellEnd"/>
      <w:r w:rsidRPr="00D40FA1">
        <w:t>. The film coating is sunset yellow FCF (FD&amp;C yellow #6) aluminium lake (E110), polyethylene glycol, polyvinyl alcohol, talc (E553B), titanium dioxide (E171), and yellow iron oxide (E172).</w:t>
      </w:r>
    </w:p>
    <w:p w:rsidR="008E7846" w:rsidRPr="004D2744" w:rsidRDefault="008E7846" w:rsidP="004D2744">
      <w:pPr>
        <w:pStyle w:val="Heading3"/>
      </w:pPr>
      <w:bookmarkStart w:id="37" w:name="_Toc247691512"/>
      <w:bookmarkStart w:id="38" w:name="_Toc314842496"/>
      <w:bookmarkStart w:id="39" w:name="_Toc376430051"/>
      <w:r w:rsidRPr="00020030">
        <w:t>Pharmacology</w:t>
      </w:r>
      <w:bookmarkEnd w:id="37"/>
      <w:bookmarkEnd w:id="38"/>
      <w:bookmarkEnd w:id="39"/>
    </w:p>
    <w:p w:rsidR="00AA6A0A" w:rsidRPr="00D237F8" w:rsidRDefault="00AA6A0A" w:rsidP="004D2744">
      <w:pPr>
        <w:pStyle w:val="Heading4"/>
      </w:pPr>
      <w:r w:rsidRPr="00D237F8">
        <w:t>Primary pharmacology</w:t>
      </w:r>
    </w:p>
    <w:p w:rsidR="00AA6A0A" w:rsidRPr="00AA6A0A" w:rsidRDefault="00675E9F" w:rsidP="004D2744">
      <w:r>
        <w:t>COBI</w:t>
      </w:r>
      <w:r w:rsidR="00AA6A0A" w:rsidRPr="00AA6A0A">
        <w:t xml:space="preserve"> was previously shown to be a specific inhibitor of human CYP3A activity </w:t>
      </w:r>
      <w:r w:rsidR="00AA6A0A" w:rsidRPr="002C6ECA">
        <w:rPr>
          <w:i/>
        </w:rPr>
        <w:t>in vitro</w:t>
      </w:r>
      <w:r w:rsidR="00AA6A0A" w:rsidRPr="00AA6A0A">
        <w:t>. It has no anti</w:t>
      </w:r>
      <w:r w:rsidR="002C6ECA">
        <w:t xml:space="preserve"> </w:t>
      </w:r>
      <w:r w:rsidR="00AA6A0A" w:rsidRPr="00AA6A0A">
        <w:t>HIV activity and does not inhibit the activity of other registered anti</w:t>
      </w:r>
      <w:r w:rsidR="00AC37CF">
        <w:t xml:space="preserve"> </w:t>
      </w:r>
      <w:r w:rsidR="00AA6A0A" w:rsidRPr="00AA6A0A">
        <w:t xml:space="preserve">HIV drugs </w:t>
      </w:r>
      <w:r w:rsidR="00AA6A0A" w:rsidRPr="00AA6A0A">
        <w:rPr>
          <w:i/>
        </w:rPr>
        <w:t>in vitro</w:t>
      </w:r>
      <w:r w:rsidR="00AA6A0A" w:rsidRPr="00AA6A0A">
        <w:t xml:space="preserve">. </w:t>
      </w:r>
    </w:p>
    <w:p w:rsidR="00AA6A0A" w:rsidRPr="00AA6A0A" w:rsidRDefault="00AA6A0A" w:rsidP="004D2744">
      <w:pPr>
        <w:pStyle w:val="Heading4"/>
      </w:pPr>
      <w:r w:rsidRPr="000C1BB8">
        <w:t xml:space="preserve">Secondary </w:t>
      </w:r>
      <w:proofErr w:type="spellStart"/>
      <w:r w:rsidRPr="000C1BB8">
        <w:t>pharmacodynamics</w:t>
      </w:r>
      <w:proofErr w:type="spellEnd"/>
    </w:p>
    <w:p w:rsidR="00AA6A0A" w:rsidRPr="00AA6A0A" w:rsidRDefault="00AA6A0A" w:rsidP="004D2744">
      <w:r w:rsidRPr="00AA6A0A">
        <w:t xml:space="preserve">Chronic treatment of patients with HIV protease inhibitors, including </w:t>
      </w:r>
      <w:r w:rsidR="009D3AE9">
        <w:t>RTV</w:t>
      </w:r>
      <w:r w:rsidRPr="00AA6A0A">
        <w:t xml:space="preserve">, has caused </w:t>
      </w:r>
      <w:proofErr w:type="spellStart"/>
      <w:r w:rsidRPr="00AA6A0A">
        <w:t>lipodystrophy</w:t>
      </w:r>
      <w:proofErr w:type="spellEnd"/>
      <w:r w:rsidRPr="00AA6A0A">
        <w:t xml:space="preserve">, elevated blood cholesterol and triglycerides, and insulin resistance. A previous </w:t>
      </w:r>
      <w:r w:rsidRPr="00AA6A0A">
        <w:rPr>
          <w:i/>
        </w:rPr>
        <w:t>in vitro</w:t>
      </w:r>
      <w:r w:rsidRPr="00AA6A0A">
        <w:t xml:space="preserve"> study (PC-216-2004) of lipid accumulation in human </w:t>
      </w:r>
      <w:proofErr w:type="spellStart"/>
      <w:r w:rsidRPr="00AA6A0A">
        <w:t>preadipocytes</w:t>
      </w:r>
      <w:proofErr w:type="spellEnd"/>
      <w:r w:rsidRPr="00AA6A0A">
        <w:t xml:space="preserve">, and inhibition of glucose uptake in mouse </w:t>
      </w:r>
      <w:proofErr w:type="spellStart"/>
      <w:r w:rsidRPr="00AA6A0A">
        <w:t>preadipocytes</w:t>
      </w:r>
      <w:proofErr w:type="spellEnd"/>
      <w:r w:rsidRPr="00AA6A0A">
        <w:t xml:space="preserve">, showed that </w:t>
      </w:r>
      <w:r w:rsidR="00675E9F">
        <w:t>COBI</w:t>
      </w:r>
      <w:r w:rsidRPr="00AA6A0A">
        <w:t xml:space="preserve"> (10 µM) and </w:t>
      </w:r>
      <w:r w:rsidR="00675E9F">
        <w:t>ATV</w:t>
      </w:r>
      <w:r w:rsidRPr="00AA6A0A">
        <w:t xml:space="preserve"> had significantly less inhibitory effects on glucose uptake than </w:t>
      </w:r>
      <w:r w:rsidR="009D3AE9">
        <w:t>RTV</w:t>
      </w:r>
      <w:r w:rsidRPr="00AA6A0A">
        <w:t xml:space="preserve">. The lack of effects of </w:t>
      </w:r>
      <w:r w:rsidR="00675E9F">
        <w:t>ATV</w:t>
      </w:r>
      <w:r w:rsidRPr="00AA6A0A">
        <w:t xml:space="preserve"> and </w:t>
      </w:r>
      <w:r w:rsidR="00675E9F">
        <w:t>DRV</w:t>
      </w:r>
      <w:r w:rsidRPr="00AA6A0A">
        <w:t xml:space="preserve"> on insulin</w:t>
      </w:r>
      <w:r w:rsidR="003C0F03">
        <w:t xml:space="preserve"> </w:t>
      </w:r>
      <w:r w:rsidRPr="00AA6A0A">
        <w:t xml:space="preserve">stimulated glucose uptake and lipid accumulation in </w:t>
      </w:r>
      <w:proofErr w:type="spellStart"/>
      <w:r w:rsidRPr="00AA6A0A">
        <w:t>adipocytes</w:t>
      </w:r>
      <w:proofErr w:type="spellEnd"/>
      <w:r w:rsidRPr="00AA6A0A">
        <w:t xml:space="preserve"> </w:t>
      </w:r>
      <w:r w:rsidRPr="00503CA2">
        <w:rPr>
          <w:i/>
        </w:rPr>
        <w:t xml:space="preserve">in vitro </w:t>
      </w:r>
      <w:r w:rsidRPr="00AA6A0A">
        <w:t xml:space="preserve">correlates with their improved metabolism profiles </w:t>
      </w:r>
      <w:r w:rsidRPr="003C0F03">
        <w:rPr>
          <w:i/>
        </w:rPr>
        <w:t>in vivo</w:t>
      </w:r>
      <w:r>
        <w:t>.</w:t>
      </w:r>
      <w:r>
        <w:rPr>
          <w:rStyle w:val="FootnoteReference"/>
        </w:rPr>
        <w:footnoteReference w:id="3"/>
      </w:r>
    </w:p>
    <w:p w:rsidR="00AA6A0A" w:rsidRDefault="00AA6A0A" w:rsidP="004D2744">
      <w:pPr>
        <w:pStyle w:val="Heading4"/>
      </w:pPr>
      <w:r w:rsidRPr="00D237F8">
        <w:t>Safety pharmacology</w:t>
      </w:r>
    </w:p>
    <w:p w:rsidR="00AA6A0A" w:rsidRPr="00AA6A0A" w:rsidRDefault="00AA6A0A" w:rsidP="004D2744">
      <w:r w:rsidRPr="00AA6A0A">
        <w:t xml:space="preserve">In a previous study (TX-216-2006), </w:t>
      </w:r>
      <w:r w:rsidR="00675E9F">
        <w:t>COBI</w:t>
      </w:r>
      <w:r w:rsidRPr="00AA6A0A">
        <w:t xml:space="preserve"> was associated with decreased body temperature and trends for decreased </w:t>
      </w:r>
      <w:proofErr w:type="spellStart"/>
      <w:r w:rsidRPr="00AA6A0A">
        <w:t>locomotor</w:t>
      </w:r>
      <w:proofErr w:type="spellEnd"/>
      <w:r w:rsidRPr="00AA6A0A">
        <w:t xml:space="preserve"> activity and arousal in rats at 150 and </w:t>
      </w:r>
      <w:r w:rsidRPr="00AA6A0A">
        <w:lastRenderedPageBreak/>
        <w:t>500 mg/kg (</w:t>
      </w:r>
      <w:r w:rsidR="00F2661D">
        <w:t>N</w:t>
      </w:r>
      <w:r w:rsidR="00F2661D" w:rsidRPr="00F2661D">
        <w:t xml:space="preserve">o </w:t>
      </w:r>
      <w:r w:rsidR="00F2661D">
        <w:t>O</w:t>
      </w:r>
      <w:r w:rsidR="00F2661D" w:rsidRPr="00F2661D">
        <w:t xml:space="preserve">bserved </w:t>
      </w:r>
      <w:r w:rsidR="00F2661D">
        <w:t>A</w:t>
      </w:r>
      <w:r w:rsidR="00F2661D" w:rsidRPr="00F2661D">
        <w:t xml:space="preserve">dverse </w:t>
      </w:r>
      <w:r w:rsidR="00F2661D">
        <w:t>E</w:t>
      </w:r>
      <w:r w:rsidR="00F2661D" w:rsidRPr="00F2661D">
        <w:t xml:space="preserve">ffect </w:t>
      </w:r>
      <w:r w:rsidR="00F2661D">
        <w:t>L</w:t>
      </w:r>
      <w:r w:rsidR="00F2661D" w:rsidRPr="00F2661D">
        <w:t xml:space="preserve">evel </w:t>
      </w:r>
      <w:r w:rsidR="00F2661D">
        <w:t>[</w:t>
      </w:r>
      <w:r w:rsidRPr="00AA6A0A">
        <w:t>NOAEL</w:t>
      </w:r>
      <w:r w:rsidR="00F2661D">
        <w:t>]</w:t>
      </w:r>
      <w:r w:rsidRPr="00AA6A0A">
        <w:t xml:space="preserve"> = 50 mg/kg), which may have reflected general toxicity. No effects were observed on rat respiration (NOAEL = 500 mg/kg).</w:t>
      </w:r>
    </w:p>
    <w:p w:rsidR="00AA6A0A" w:rsidRPr="00AA6A0A" w:rsidRDefault="00AA6A0A" w:rsidP="004D2744">
      <w:r w:rsidRPr="00AA6A0A">
        <w:t xml:space="preserve">Previous studies (TX-216-2009, TX-216-2015) in HEK293 cells </w:t>
      </w:r>
      <w:r w:rsidRPr="004A267A">
        <w:rPr>
          <w:i/>
        </w:rPr>
        <w:t>in vitro</w:t>
      </w:r>
      <w:r w:rsidRPr="00AA6A0A">
        <w:t xml:space="preserve"> showed that </w:t>
      </w:r>
      <w:r w:rsidR="00675E9F">
        <w:t>COBI</w:t>
      </w:r>
      <w:r w:rsidRPr="00AA6A0A">
        <w:t xml:space="preserve"> (0.1-10 µM) inhibited </w:t>
      </w:r>
      <w:proofErr w:type="spellStart"/>
      <w:r w:rsidRPr="00AA6A0A">
        <w:t>hERG</w:t>
      </w:r>
      <w:proofErr w:type="spellEnd"/>
      <w:r w:rsidRPr="00AA6A0A">
        <w:t>, hCav1.2 and hNav1.5 channels in a concentration</w:t>
      </w:r>
      <w:r w:rsidR="004A267A">
        <w:t xml:space="preserve"> </w:t>
      </w:r>
      <w:r w:rsidRPr="00AA6A0A">
        <w:t>dependent manner (</w:t>
      </w:r>
      <w:r w:rsidR="00A43346">
        <w:t>(</w:t>
      </w:r>
      <w:r w:rsidR="00A43346" w:rsidRPr="00BF102B">
        <w:t>half m</w:t>
      </w:r>
      <w:r w:rsidR="00A43346">
        <w:t>aximal inhibitory concentration</w:t>
      </w:r>
      <w:r w:rsidR="00A43346" w:rsidRPr="00AA6A0A">
        <w:t xml:space="preserve"> </w:t>
      </w:r>
      <w:r w:rsidR="00A43346">
        <w:t>[</w:t>
      </w:r>
      <w:r w:rsidRPr="00AA6A0A">
        <w:t>IC</w:t>
      </w:r>
      <w:r w:rsidRPr="00AA6A0A">
        <w:rPr>
          <w:vertAlign w:val="subscript"/>
        </w:rPr>
        <w:t>50</w:t>
      </w:r>
      <w:r w:rsidR="00A43346">
        <w:t xml:space="preserve">] </w:t>
      </w:r>
      <w:r w:rsidRPr="00AA6A0A">
        <w:t>of 1.8, 6 and 86.5 µM</w:t>
      </w:r>
      <w:r w:rsidR="004A267A">
        <w:t>, respectively</w:t>
      </w:r>
      <w:r w:rsidRPr="00AA6A0A">
        <w:t>).</w:t>
      </w:r>
    </w:p>
    <w:p w:rsidR="00AA6A0A" w:rsidRPr="00AA6A0A" w:rsidRDefault="00AA6A0A" w:rsidP="004D2744">
      <w:r w:rsidRPr="00AA6A0A">
        <w:t xml:space="preserve">In previous safety pharmacology studies </w:t>
      </w:r>
      <w:r w:rsidRPr="00AA6A0A">
        <w:rPr>
          <w:i/>
        </w:rPr>
        <w:t>in vitro</w:t>
      </w:r>
      <w:r w:rsidRPr="00AA6A0A">
        <w:t xml:space="preserve">, </w:t>
      </w:r>
      <w:r w:rsidR="00675E9F">
        <w:t>ATV</w:t>
      </w:r>
      <w:r w:rsidRPr="00AA6A0A">
        <w:t xml:space="preserve"> (3, 10, 30 µM) caused small increases in the </w:t>
      </w:r>
      <w:r w:rsidR="006E58E0" w:rsidRPr="006E58E0">
        <w:t>action potential duration at 50% (APD</w:t>
      </w:r>
      <w:r w:rsidR="006E58E0" w:rsidRPr="006E58E0">
        <w:rPr>
          <w:vertAlign w:val="subscript"/>
        </w:rPr>
        <w:t>50</w:t>
      </w:r>
      <w:r w:rsidR="006E58E0" w:rsidRPr="006E58E0">
        <w:t>) and 90% (APD</w:t>
      </w:r>
      <w:r w:rsidR="006E58E0" w:rsidRPr="006E58E0">
        <w:rPr>
          <w:vertAlign w:val="subscript"/>
        </w:rPr>
        <w:t>90</w:t>
      </w:r>
      <w:r w:rsidR="006E58E0">
        <w:t xml:space="preserve">) </w:t>
      </w:r>
      <w:r w:rsidRPr="00AA6A0A">
        <w:t>in rabbit Purkinje fibres, weakly inhibited Na+ and K+ (</w:t>
      </w:r>
      <w:proofErr w:type="spellStart"/>
      <w:r w:rsidR="00351720">
        <w:t>hERG</w:t>
      </w:r>
      <w:proofErr w:type="spellEnd"/>
      <w:r w:rsidR="00351720">
        <w:t>) currents (respective IC</w:t>
      </w:r>
      <w:r w:rsidR="00351720" w:rsidRPr="00351720">
        <w:rPr>
          <w:vertAlign w:val="subscript"/>
        </w:rPr>
        <w:t>50</w:t>
      </w:r>
      <w:r w:rsidRPr="00AA6A0A">
        <w:t xml:space="preserve"> of &gt;30 µM and 10.4 µM), and inhibited Ca2+ currents in primary rat ventricular </w:t>
      </w:r>
      <w:proofErr w:type="spellStart"/>
      <w:r w:rsidRPr="00AA6A0A">
        <w:t>myocytes</w:t>
      </w:r>
      <w:proofErr w:type="spellEnd"/>
      <w:r w:rsidRPr="00AA6A0A">
        <w:t xml:space="preserve"> (IC50 = 10.4 µM). </w:t>
      </w:r>
      <w:r w:rsidR="00440B9D">
        <w:t>E</w:t>
      </w:r>
      <w:r w:rsidR="00440B9D" w:rsidRPr="00440B9D">
        <w:t xml:space="preserve">lectrocardiogram </w:t>
      </w:r>
      <w:r w:rsidR="00440B9D">
        <w:t>(</w:t>
      </w:r>
      <w:r w:rsidRPr="00AA6A0A">
        <w:t>ECG</w:t>
      </w:r>
      <w:r w:rsidR="00440B9D">
        <w:t>)</w:t>
      </w:r>
      <w:r w:rsidRPr="00AA6A0A">
        <w:t xml:space="preserve"> changes were observed in a 2</w:t>
      </w:r>
      <w:r w:rsidR="008D2D6B">
        <w:t xml:space="preserve"> </w:t>
      </w:r>
      <w:r w:rsidRPr="00AA6A0A">
        <w:t>week study in dogs at high doses, but qualitative assessment of QT intervals in the 9</w:t>
      </w:r>
      <w:r w:rsidR="008D2D6B">
        <w:t xml:space="preserve"> </w:t>
      </w:r>
      <w:r w:rsidRPr="00AA6A0A">
        <w:t>month toxicity study in dogs revealed no</w:t>
      </w:r>
      <w:r w:rsidR="003352E1">
        <w:t xml:space="preserve"> abnormalities</w:t>
      </w:r>
      <w:r w:rsidRPr="00AA6A0A">
        <w:t>.</w:t>
      </w:r>
    </w:p>
    <w:p w:rsidR="00AA6A0A" w:rsidRPr="003352E1" w:rsidRDefault="00675E9F" w:rsidP="004D2744">
      <w:r>
        <w:t>ATV</w:t>
      </w:r>
      <w:r w:rsidR="00AA6A0A" w:rsidRPr="003352E1">
        <w:t xml:space="preserve"> may cause cardiac abnormalities in humans, in particular PR interval prolongation (</w:t>
      </w:r>
      <w:r w:rsidR="00F41A4F">
        <w:t>PI</w:t>
      </w:r>
      <w:r w:rsidR="00AA6A0A" w:rsidRPr="003352E1">
        <w:t xml:space="preserve">). A previous </w:t>
      </w:r>
      <w:proofErr w:type="spellStart"/>
      <w:r w:rsidR="00AA6A0A" w:rsidRPr="003352E1">
        <w:t>Langendorff</w:t>
      </w:r>
      <w:proofErr w:type="spellEnd"/>
      <w:r w:rsidR="00AA6A0A" w:rsidRPr="003352E1">
        <w:t xml:space="preserve"> study (no. 953-0901) in isolated, </w:t>
      </w:r>
      <w:proofErr w:type="spellStart"/>
      <w:r w:rsidR="00AA6A0A" w:rsidRPr="003352E1">
        <w:t>perfused</w:t>
      </w:r>
      <w:proofErr w:type="spellEnd"/>
      <w:r w:rsidR="00AA6A0A" w:rsidRPr="003352E1">
        <w:t xml:space="preserve"> rabbit hearts tested the effects of </w:t>
      </w:r>
      <w:r>
        <w:t>COBI</w:t>
      </w:r>
      <w:r w:rsidR="00AA6A0A" w:rsidRPr="003352E1">
        <w:t xml:space="preserve"> ± </w:t>
      </w:r>
      <w:r>
        <w:t>ATV</w:t>
      </w:r>
      <w:r w:rsidR="00AA6A0A" w:rsidRPr="003352E1">
        <w:t xml:space="preserve">. In </w:t>
      </w:r>
      <w:proofErr w:type="spellStart"/>
      <w:r w:rsidR="00AA6A0A" w:rsidRPr="003352E1">
        <w:t>unpaced</w:t>
      </w:r>
      <w:proofErr w:type="spellEnd"/>
      <w:r w:rsidR="00AA6A0A" w:rsidRPr="003352E1">
        <w:t xml:space="preserve"> hearts, </w:t>
      </w:r>
      <w:r>
        <w:t>COBI</w:t>
      </w:r>
      <w:r w:rsidR="00AA6A0A" w:rsidRPr="003352E1">
        <w:t xml:space="preserve"> induced significant decreases in left ventricular developed pressure (LVDP), left ventricular systolic pressure (LVSP), minimal and maximal increase in left ventricular pressure (</w:t>
      </w:r>
      <w:proofErr w:type="spellStart"/>
      <w:r w:rsidR="00AA6A0A" w:rsidRPr="003352E1">
        <w:t>dP</w:t>
      </w:r>
      <w:proofErr w:type="spellEnd"/>
      <w:r w:rsidR="00AA6A0A" w:rsidRPr="003352E1">
        <w:t>/</w:t>
      </w:r>
      <w:proofErr w:type="spellStart"/>
      <w:r w:rsidR="00AA6A0A" w:rsidRPr="003352E1">
        <w:t>dt</w:t>
      </w:r>
      <w:r w:rsidR="00AA6A0A" w:rsidRPr="003352E1">
        <w:rPr>
          <w:vertAlign w:val="subscript"/>
        </w:rPr>
        <w:t>min</w:t>
      </w:r>
      <w:proofErr w:type="spellEnd"/>
      <w:r w:rsidR="00AA6A0A" w:rsidRPr="003352E1">
        <w:t xml:space="preserve"> and </w:t>
      </w:r>
      <w:proofErr w:type="spellStart"/>
      <w:r w:rsidR="00AA6A0A" w:rsidRPr="003352E1">
        <w:t>dP</w:t>
      </w:r>
      <w:proofErr w:type="spellEnd"/>
      <w:r w:rsidR="00AA6A0A" w:rsidRPr="003352E1">
        <w:t>/</w:t>
      </w:r>
      <w:proofErr w:type="spellStart"/>
      <w:r w:rsidR="00AA6A0A" w:rsidRPr="003352E1">
        <w:t>dt</w:t>
      </w:r>
      <w:r w:rsidR="00AA6A0A" w:rsidRPr="003352E1">
        <w:rPr>
          <w:vertAlign w:val="subscript"/>
        </w:rPr>
        <w:t>max</w:t>
      </w:r>
      <w:proofErr w:type="spellEnd"/>
      <w:r w:rsidR="00AA6A0A" w:rsidRPr="003352E1">
        <w:t xml:space="preserve">), and a significant increase in coronary perfusion pressure (CPP), at ≥ 1.5 µM, while </w:t>
      </w:r>
      <w:r>
        <w:t>ATV</w:t>
      </w:r>
      <w:r w:rsidR="00AA6A0A" w:rsidRPr="003352E1">
        <w:t xml:space="preserve"> induced significant decreases in heart rate. The combination of </w:t>
      </w:r>
      <w:r>
        <w:t>COBI</w:t>
      </w:r>
      <w:r w:rsidR="00AA6A0A" w:rsidRPr="003352E1">
        <w:t>/</w:t>
      </w:r>
      <w:r>
        <w:t>ATV</w:t>
      </w:r>
      <w:r w:rsidR="00AA6A0A" w:rsidRPr="003352E1">
        <w:t xml:space="preserve"> 1.5/1.5 µM in</w:t>
      </w:r>
      <w:r w:rsidR="00426CB6">
        <w:t>duced significant decreases c</w:t>
      </w:r>
      <w:r w:rsidR="00503CFB">
        <w:t xml:space="preserve">ompared to </w:t>
      </w:r>
      <w:r w:rsidR="00AA6A0A" w:rsidRPr="003352E1">
        <w:t xml:space="preserve">baseline in LVDP, LVSP, </w:t>
      </w:r>
      <w:proofErr w:type="spellStart"/>
      <w:r w:rsidR="00AA6A0A" w:rsidRPr="003352E1">
        <w:t>dP</w:t>
      </w:r>
      <w:proofErr w:type="spellEnd"/>
      <w:r w:rsidR="00AA6A0A" w:rsidRPr="003352E1">
        <w:t>/</w:t>
      </w:r>
      <w:proofErr w:type="spellStart"/>
      <w:r w:rsidR="00AA6A0A" w:rsidRPr="003352E1">
        <w:t>dt</w:t>
      </w:r>
      <w:r w:rsidR="00AA6A0A" w:rsidRPr="003352E1">
        <w:rPr>
          <w:vertAlign w:val="subscript"/>
        </w:rPr>
        <w:t>min</w:t>
      </w:r>
      <w:proofErr w:type="spellEnd"/>
      <w:r w:rsidR="00AA6A0A" w:rsidRPr="003352E1">
        <w:t xml:space="preserve">, </w:t>
      </w:r>
      <w:proofErr w:type="spellStart"/>
      <w:r w:rsidR="00AA6A0A" w:rsidRPr="003352E1">
        <w:t>dP</w:t>
      </w:r>
      <w:proofErr w:type="spellEnd"/>
      <w:r w:rsidR="00AA6A0A" w:rsidRPr="003352E1">
        <w:t>/</w:t>
      </w:r>
      <w:proofErr w:type="spellStart"/>
      <w:r w:rsidR="00AA6A0A" w:rsidRPr="003352E1">
        <w:t>dt</w:t>
      </w:r>
      <w:r w:rsidR="00AA6A0A" w:rsidRPr="003352E1">
        <w:rPr>
          <w:vertAlign w:val="subscript"/>
        </w:rPr>
        <w:t>max</w:t>
      </w:r>
      <w:proofErr w:type="spellEnd"/>
      <w:r w:rsidR="00AA6A0A" w:rsidRPr="003352E1">
        <w:t xml:space="preserve"> and heart rate. Heart rate was also significantly decreased at 0.45/1.5 µM. The decreases in LVDP, LVSP, </w:t>
      </w:r>
      <w:proofErr w:type="spellStart"/>
      <w:r w:rsidR="00AA6A0A" w:rsidRPr="003352E1">
        <w:t>dP</w:t>
      </w:r>
      <w:proofErr w:type="spellEnd"/>
      <w:r w:rsidR="00AA6A0A" w:rsidRPr="003352E1">
        <w:t>/</w:t>
      </w:r>
      <w:proofErr w:type="spellStart"/>
      <w:r w:rsidR="00AA6A0A" w:rsidRPr="003352E1">
        <w:t>dt</w:t>
      </w:r>
      <w:r w:rsidR="00AA6A0A" w:rsidRPr="003352E1">
        <w:rPr>
          <w:vertAlign w:val="subscript"/>
        </w:rPr>
        <w:t>min</w:t>
      </w:r>
      <w:proofErr w:type="spellEnd"/>
      <w:r w:rsidR="00AA6A0A" w:rsidRPr="003352E1">
        <w:t xml:space="preserve"> and </w:t>
      </w:r>
      <w:proofErr w:type="spellStart"/>
      <w:r w:rsidR="00AA6A0A" w:rsidRPr="003352E1">
        <w:t>dP</w:t>
      </w:r>
      <w:proofErr w:type="spellEnd"/>
      <w:r w:rsidR="00AA6A0A" w:rsidRPr="003352E1">
        <w:t>/</w:t>
      </w:r>
      <w:proofErr w:type="spellStart"/>
      <w:r w:rsidR="00AA6A0A" w:rsidRPr="003352E1">
        <w:t>dt</w:t>
      </w:r>
      <w:r w:rsidR="00AA6A0A" w:rsidRPr="00503CFB">
        <w:rPr>
          <w:vertAlign w:val="subscript"/>
        </w:rPr>
        <w:t>max</w:t>
      </w:r>
      <w:proofErr w:type="spellEnd"/>
      <w:r w:rsidR="00AA6A0A" w:rsidRPr="003352E1">
        <w:t xml:space="preserve"> induced by the combination were of smaller magnitude than those induced by </w:t>
      </w:r>
      <w:r>
        <w:t>COBI</w:t>
      </w:r>
      <w:r w:rsidR="00AA6A0A" w:rsidRPr="003352E1">
        <w:t xml:space="preserve"> alone, but the combination induced a larger reduction in heart rate than that induced by </w:t>
      </w:r>
      <w:r>
        <w:t>ATV</w:t>
      </w:r>
      <w:r w:rsidR="00AA6A0A" w:rsidRPr="003352E1">
        <w:t xml:space="preserve"> alone. In paced hearts, </w:t>
      </w:r>
      <w:r>
        <w:t>COBI</w:t>
      </w:r>
      <w:r w:rsidR="00AA6A0A" w:rsidRPr="003352E1">
        <w:t xml:space="preserve"> 4.5 µM and </w:t>
      </w:r>
      <w:r>
        <w:t>ATV</w:t>
      </w:r>
      <w:r w:rsidR="00AA6A0A" w:rsidRPr="003352E1">
        <w:t xml:space="preserve"> 15 µM induced significant increases in PR intervals (60% and 45% respectively), while </w:t>
      </w:r>
      <w:r>
        <w:t>ATV</w:t>
      </w:r>
      <w:r w:rsidR="00AA6A0A" w:rsidRPr="003352E1">
        <w:t xml:space="preserve"> induced significant increases in </w:t>
      </w:r>
      <w:r w:rsidR="00503CFB">
        <w:t xml:space="preserve">the </w:t>
      </w:r>
      <w:proofErr w:type="spellStart"/>
      <w:r w:rsidR="00503CFB" w:rsidRPr="00503CFB">
        <w:t>monophasic</w:t>
      </w:r>
      <w:proofErr w:type="spellEnd"/>
      <w:r w:rsidR="00503CFB" w:rsidRPr="00503CFB">
        <w:t xml:space="preserve"> action potential duration at 90% of repolari</w:t>
      </w:r>
      <w:r w:rsidR="00503CFB">
        <w:t>s</w:t>
      </w:r>
      <w:r w:rsidR="00503CFB" w:rsidRPr="00503CFB">
        <w:t xml:space="preserve">ation </w:t>
      </w:r>
      <w:r w:rsidR="00503CFB">
        <w:t>(</w:t>
      </w:r>
      <w:r w:rsidR="00AA6A0A" w:rsidRPr="003352E1">
        <w:t>MAP</w:t>
      </w:r>
      <w:r w:rsidR="00AA6A0A" w:rsidRPr="003352E1">
        <w:rPr>
          <w:vertAlign w:val="subscript"/>
        </w:rPr>
        <w:t>90</w:t>
      </w:r>
      <w:r w:rsidR="00503CFB">
        <w:t xml:space="preserve">) </w:t>
      </w:r>
      <w:r w:rsidR="00AA6A0A" w:rsidRPr="003352E1">
        <w:t xml:space="preserve">and triangulation at 45 µM. The 1.5/1.5µM combination induced a significant increase in PR interval (only slightly higher than with </w:t>
      </w:r>
      <w:r>
        <w:t>COBI</w:t>
      </w:r>
      <w:r w:rsidR="00AA6A0A" w:rsidRPr="003352E1">
        <w:t xml:space="preserve"> alone). Exposure to the combination was not associated with development of </w:t>
      </w:r>
      <w:r w:rsidR="00531C5F">
        <w:t xml:space="preserve">Early </w:t>
      </w:r>
      <w:proofErr w:type="spellStart"/>
      <w:r w:rsidR="00531C5F">
        <w:t>Afterdepolaris</w:t>
      </w:r>
      <w:r w:rsidR="00531C5F" w:rsidRPr="00531C5F">
        <w:t>ation</w:t>
      </w:r>
      <w:proofErr w:type="spellEnd"/>
      <w:r w:rsidR="00531C5F" w:rsidRPr="00531C5F">
        <w:t xml:space="preserve"> </w:t>
      </w:r>
      <w:r w:rsidR="00531C5F">
        <w:t>(</w:t>
      </w:r>
      <w:r w:rsidR="00AA6A0A" w:rsidRPr="003352E1">
        <w:t>EAD</w:t>
      </w:r>
      <w:r w:rsidR="00531C5F">
        <w:t>)</w:t>
      </w:r>
      <w:r w:rsidR="00AA6A0A" w:rsidRPr="003352E1">
        <w:t xml:space="preserve">. There were no significant effects with </w:t>
      </w:r>
      <w:r>
        <w:t>COBI</w:t>
      </w:r>
      <w:r w:rsidR="00AA6A0A" w:rsidRPr="003352E1">
        <w:t xml:space="preserve"> 0.45 µM, </w:t>
      </w:r>
      <w:r>
        <w:t>ATV</w:t>
      </w:r>
      <w:r w:rsidR="00AA6A0A" w:rsidRPr="003352E1">
        <w:t xml:space="preserve"> 4.5 µM, and </w:t>
      </w:r>
      <w:r>
        <w:t>COBI</w:t>
      </w:r>
      <w:r w:rsidR="00AA6A0A" w:rsidRPr="003352E1">
        <w:t>/</w:t>
      </w:r>
      <w:r>
        <w:t>ATV</w:t>
      </w:r>
      <w:r w:rsidR="00AA6A0A" w:rsidRPr="003352E1">
        <w:t xml:space="preserve"> 0.45/1.5 µM. The human </w:t>
      </w:r>
      <w:r>
        <w:t>COBI</w:t>
      </w:r>
      <w:r w:rsidR="00AA6A0A" w:rsidRPr="003352E1">
        <w:t xml:space="preserve"> </w:t>
      </w:r>
      <w:proofErr w:type="spellStart"/>
      <w:r w:rsidR="00AA6A0A" w:rsidRPr="003352E1">
        <w:t>C</w:t>
      </w:r>
      <w:r w:rsidR="00AA6A0A" w:rsidRPr="008E277E">
        <w:rPr>
          <w:vertAlign w:val="subscript"/>
        </w:rPr>
        <w:t>max</w:t>
      </w:r>
      <w:proofErr w:type="spellEnd"/>
      <w:r w:rsidR="00AA6A0A" w:rsidRPr="003352E1">
        <w:t xml:space="preserve"> at the 150 mg dose is 1.57 µM (1.22 µg/</w:t>
      </w:r>
      <w:proofErr w:type="spellStart"/>
      <w:r w:rsidR="00AA6A0A" w:rsidRPr="003352E1">
        <w:t>mL</w:t>
      </w:r>
      <w:proofErr w:type="spellEnd"/>
      <w:r w:rsidR="00AA6A0A" w:rsidRPr="003352E1">
        <w:t>), hence the maximum unbound concentration is ~0.1 µM.</w:t>
      </w:r>
      <w:r w:rsidR="007F3098">
        <w:t xml:space="preserve"> </w:t>
      </w:r>
    </w:p>
    <w:p w:rsidR="00AA6A0A" w:rsidRPr="003352E1" w:rsidRDefault="00AA6A0A" w:rsidP="004D2744">
      <w:r w:rsidRPr="003352E1">
        <w:t xml:space="preserve">Previous adequate safety pharmacology studies with </w:t>
      </w:r>
      <w:r w:rsidR="00675E9F">
        <w:t>DRV</w:t>
      </w:r>
      <w:r w:rsidRPr="003352E1">
        <w:t xml:space="preserve"> alone showed no cardiovascular effects </w:t>
      </w:r>
      <w:r w:rsidRPr="003352E1">
        <w:rPr>
          <w:i/>
        </w:rPr>
        <w:t>in vitro</w:t>
      </w:r>
      <w:r w:rsidRPr="003352E1">
        <w:t xml:space="preserve"> or </w:t>
      </w:r>
      <w:r w:rsidRPr="003352E1">
        <w:rPr>
          <w:i/>
        </w:rPr>
        <w:t>in vivo</w:t>
      </w:r>
      <w:r w:rsidRPr="003352E1">
        <w:t xml:space="preserve"> (</w:t>
      </w:r>
      <w:r w:rsidR="00675E9F">
        <w:t>DRV</w:t>
      </w:r>
      <w:r w:rsidRPr="003352E1">
        <w:t xml:space="preserve"> </w:t>
      </w:r>
      <w:r w:rsidR="00B97402">
        <w:t>PI</w:t>
      </w:r>
      <w:r w:rsidRPr="003352E1">
        <w:t>).</w:t>
      </w:r>
    </w:p>
    <w:p w:rsidR="008E7846" w:rsidRPr="004D2744" w:rsidRDefault="008E7846" w:rsidP="004D2744">
      <w:pPr>
        <w:pStyle w:val="Heading3"/>
      </w:pPr>
      <w:bookmarkStart w:id="40" w:name="_Toc247691513"/>
      <w:bookmarkStart w:id="41" w:name="_Toc314842497"/>
      <w:bookmarkStart w:id="42" w:name="_Toc376430052"/>
      <w:r>
        <w:t>Pharmacokinetics</w:t>
      </w:r>
      <w:bookmarkEnd w:id="40"/>
      <w:bookmarkEnd w:id="41"/>
      <w:bookmarkEnd w:id="42"/>
    </w:p>
    <w:p w:rsidR="008E277E" w:rsidRPr="004D2744" w:rsidRDefault="008E277E" w:rsidP="004D2744">
      <w:pPr>
        <w:pStyle w:val="Heading4"/>
      </w:pPr>
      <w:r>
        <w:t>Metabolism</w:t>
      </w:r>
    </w:p>
    <w:p w:rsidR="008E277E" w:rsidRPr="008E277E" w:rsidRDefault="00675E9F" w:rsidP="00E716FF">
      <w:r>
        <w:t>COBI</w:t>
      </w:r>
      <w:r w:rsidR="008E277E" w:rsidRPr="008E277E">
        <w:t xml:space="preserve"> strongly inhibited human CYP3A </w:t>
      </w:r>
      <w:r w:rsidR="008E277E" w:rsidRPr="00AF2DF0">
        <w:rPr>
          <w:i/>
        </w:rPr>
        <w:t>in vitro</w:t>
      </w:r>
      <w:r w:rsidR="008E277E" w:rsidRPr="008E277E">
        <w:t xml:space="preserve"> (</w:t>
      </w:r>
      <w:proofErr w:type="spellStart"/>
      <w:r w:rsidR="008E277E" w:rsidRPr="008E277E">
        <w:t>K</w:t>
      </w:r>
      <w:r w:rsidR="008E277E" w:rsidRPr="00AF2DF0">
        <w:rPr>
          <w:vertAlign w:val="subscript"/>
        </w:rPr>
        <w:t>i</w:t>
      </w:r>
      <w:proofErr w:type="spellEnd"/>
      <w:r w:rsidR="008E277E" w:rsidRPr="008E277E">
        <w:t xml:space="preserve"> </w:t>
      </w:r>
      <w:r w:rsidR="00F66D3A">
        <w:t xml:space="preserve">[inhibition constant] </w:t>
      </w:r>
      <w:r w:rsidR="008E277E" w:rsidRPr="008E277E">
        <w:t xml:space="preserve">= 1.07 µM versus </w:t>
      </w:r>
      <w:r w:rsidR="009D3AE9">
        <w:t>RTV</w:t>
      </w:r>
      <w:r w:rsidR="008E277E" w:rsidRPr="008E277E">
        <w:t xml:space="preserve"> 0.26 µM); inhibition was less marked in nonclinical species. Clinical studies reported that co-administration with </w:t>
      </w:r>
      <w:r>
        <w:t>COBI</w:t>
      </w:r>
      <w:r w:rsidR="008E277E" w:rsidRPr="008E277E">
        <w:t xml:space="preserve"> significantly increased exposures to </w:t>
      </w:r>
      <w:r>
        <w:t>ATV</w:t>
      </w:r>
      <w:r w:rsidR="008E277E" w:rsidRPr="008E277E">
        <w:t xml:space="preserve"> and </w:t>
      </w:r>
      <w:r>
        <w:t>DRV</w:t>
      </w:r>
      <w:r w:rsidR="008E277E" w:rsidRPr="008E277E">
        <w:t xml:space="preserve">. </w:t>
      </w:r>
      <w:r>
        <w:t>COBI</w:t>
      </w:r>
      <w:r w:rsidR="008E277E" w:rsidRPr="008E277E">
        <w:t xml:space="preserve"> weakly inhibited CYP2C8 (IC</w:t>
      </w:r>
      <w:r w:rsidR="008E277E" w:rsidRPr="008E277E">
        <w:rPr>
          <w:vertAlign w:val="subscript"/>
        </w:rPr>
        <w:t>50</w:t>
      </w:r>
      <w:r w:rsidR="008E277E" w:rsidRPr="008E277E">
        <w:t>= 30.1 µM) and CYP2D6 (IC</w:t>
      </w:r>
      <w:r w:rsidR="008E277E" w:rsidRPr="008E277E">
        <w:rPr>
          <w:vertAlign w:val="subscript"/>
        </w:rPr>
        <w:t>50</w:t>
      </w:r>
      <w:r w:rsidR="008E277E" w:rsidRPr="008E277E">
        <w:t>= 9.2 µM), and inhibited CYP2B6 (IC</w:t>
      </w:r>
      <w:r w:rsidR="008E277E" w:rsidRPr="008E277E">
        <w:rPr>
          <w:vertAlign w:val="subscript"/>
        </w:rPr>
        <w:t>50</w:t>
      </w:r>
      <w:r w:rsidR="008E277E" w:rsidRPr="008E277E">
        <w:t xml:space="preserve"> = 2.8 µM), but did not inhibit CYP1A2, 2C9 or 2C19 </w:t>
      </w:r>
      <w:r w:rsidR="008E277E" w:rsidRPr="00CA3961">
        <w:rPr>
          <w:i/>
        </w:rPr>
        <w:t xml:space="preserve">in vitro </w:t>
      </w:r>
      <w:r w:rsidR="008E277E" w:rsidRPr="008E277E">
        <w:t>(reports AD-216-2029, AD-216-2070, AD-216-2040).</w:t>
      </w:r>
    </w:p>
    <w:p w:rsidR="008E277E" w:rsidRPr="008E277E" w:rsidRDefault="00675E9F" w:rsidP="00E716FF">
      <w:r>
        <w:t>ATV</w:t>
      </w:r>
      <w:r w:rsidR="008E277E" w:rsidRPr="008E277E">
        <w:t xml:space="preserve"> inhibited human CYP3A, 1A2, 2C9 and 3A4/5 (respective </w:t>
      </w:r>
      <w:proofErr w:type="spellStart"/>
      <w:r w:rsidR="008E277E" w:rsidRPr="008E277E">
        <w:t>K</w:t>
      </w:r>
      <w:r w:rsidR="008E277E" w:rsidRPr="008E277E">
        <w:rPr>
          <w:vertAlign w:val="subscript"/>
        </w:rPr>
        <w:t>i</w:t>
      </w:r>
      <w:proofErr w:type="spellEnd"/>
      <w:r w:rsidR="008E277E" w:rsidRPr="008E277E">
        <w:t xml:space="preserve"> values 12.2, 12.7 and 2.3 µM), but did not inhibit CYP2A6, 2C19, 2D6, 2E1 or 4A9/11 </w:t>
      </w:r>
      <w:r w:rsidR="008E277E" w:rsidRPr="004310DF">
        <w:rPr>
          <w:i/>
        </w:rPr>
        <w:t>in vitro</w:t>
      </w:r>
      <w:r w:rsidR="008E277E" w:rsidRPr="008E277E">
        <w:t xml:space="preserve">. </w:t>
      </w:r>
    </w:p>
    <w:p w:rsidR="008E277E" w:rsidRPr="008E277E" w:rsidRDefault="00675E9F" w:rsidP="00E716FF">
      <w:r>
        <w:t>DRV</w:t>
      </w:r>
      <w:r w:rsidR="008E277E" w:rsidRPr="008E277E">
        <w:t xml:space="preserve"> inhibited human CYP3A, 2C9, 2D6 and 2C19 (respective </w:t>
      </w:r>
      <w:proofErr w:type="spellStart"/>
      <w:r w:rsidR="008E277E" w:rsidRPr="008E277E">
        <w:t>K</w:t>
      </w:r>
      <w:r w:rsidR="008E277E" w:rsidRPr="008E277E">
        <w:rPr>
          <w:vertAlign w:val="subscript"/>
        </w:rPr>
        <w:t>i</w:t>
      </w:r>
      <w:proofErr w:type="spellEnd"/>
      <w:r w:rsidR="008E277E" w:rsidRPr="008E277E">
        <w:t xml:space="preserve"> values 0.4, 32, 41 and 25 µM), but did not significantly inhibit CYP2A6, 2E1 or 1A2 </w:t>
      </w:r>
      <w:r w:rsidR="008E277E" w:rsidRPr="004310DF">
        <w:rPr>
          <w:i/>
        </w:rPr>
        <w:t>in vitro</w:t>
      </w:r>
      <w:r w:rsidR="008E277E" w:rsidRPr="008E277E">
        <w:t xml:space="preserve">. </w:t>
      </w:r>
    </w:p>
    <w:p w:rsidR="008E277E" w:rsidRPr="008E277E" w:rsidRDefault="008E277E" w:rsidP="00E716FF">
      <w:r w:rsidRPr="008E277E">
        <w:lastRenderedPageBreak/>
        <w:t xml:space="preserve">In combination with </w:t>
      </w:r>
      <w:r w:rsidR="00675E9F">
        <w:t>ATV</w:t>
      </w:r>
      <w:r w:rsidRPr="008E277E">
        <w:t xml:space="preserve"> or </w:t>
      </w:r>
      <w:r w:rsidR="00675E9F">
        <w:t>DRV</w:t>
      </w:r>
      <w:r w:rsidRPr="008E277E">
        <w:t xml:space="preserve">, the inhibitory effect of </w:t>
      </w:r>
      <w:r w:rsidR="00675E9F">
        <w:t>COBI</w:t>
      </w:r>
      <w:r w:rsidRPr="008E277E">
        <w:t xml:space="preserve"> on CYP3A would predominate. </w:t>
      </w:r>
    </w:p>
    <w:p w:rsidR="008E277E" w:rsidRPr="008E277E" w:rsidRDefault="00675E9F" w:rsidP="00E716FF">
      <w:r>
        <w:t>COBI</w:t>
      </w:r>
      <w:r w:rsidR="008E277E" w:rsidRPr="008E277E">
        <w:t xml:space="preserve"> induced rat </w:t>
      </w:r>
      <w:proofErr w:type="spellStart"/>
      <w:r w:rsidR="008E277E" w:rsidRPr="008E277E">
        <w:t>pregnane</w:t>
      </w:r>
      <w:proofErr w:type="spellEnd"/>
      <w:r w:rsidR="008E277E" w:rsidRPr="008E277E">
        <w:t xml:space="preserve"> X nuclear receptor (PXR), but was a weak inducer of human PXR (reports AD-216-2071, AD-216-2039) </w:t>
      </w:r>
      <w:r w:rsidR="008E277E" w:rsidRPr="00456A0A">
        <w:rPr>
          <w:i/>
        </w:rPr>
        <w:t>in vitro</w:t>
      </w:r>
      <w:r w:rsidR="008E277E" w:rsidRPr="008E277E">
        <w:t xml:space="preserve">. Induction of rat PXR was likely to increase expression of the associated proteins CYP3A and UGT1A1. </w:t>
      </w:r>
      <w:r>
        <w:t>COBI</w:t>
      </w:r>
      <w:r w:rsidR="008E277E" w:rsidRPr="008E277E">
        <w:t xml:space="preserve"> increased CYP1A2and CYP3A4, but not CYP2B6, UGT1A1 or MDR1 mRNA </w:t>
      </w:r>
      <w:r w:rsidR="008E277E" w:rsidRPr="00456A0A">
        <w:rPr>
          <w:i/>
        </w:rPr>
        <w:t>in vitro</w:t>
      </w:r>
      <w:r w:rsidR="008E277E" w:rsidRPr="008E277E">
        <w:t xml:space="preserve"> (reports AD-216-2071, AD-216-2039).</w:t>
      </w:r>
    </w:p>
    <w:p w:rsidR="008E277E" w:rsidRPr="008E277E" w:rsidRDefault="00675E9F" w:rsidP="00E716FF">
      <w:r>
        <w:t>DRV</w:t>
      </w:r>
      <w:r w:rsidR="008E277E" w:rsidRPr="008E277E">
        <w:t xml:space="preserve"> increased CYP3A4, 2B6, 2C8, 2C9 2C18 and 2C19, but not CYP1A2 or CYP2C19 mRNA levels in cultured human </w:t>
      </w:r>
      <w:proofErr w:type="spellStart"/>
      <w:r w:rsidR="008E277E" w:rsidRPr="008E277E">
        <w:t>hepatocytes</w:t>
      </w:r>
      <w:proofErr w:type="spellEnd"/>
      <w:r w:rsidR="008E277E" w:rsidRPr="008E277E">
        <w:t xml:space="preserve">. </w:t>
      </w:r>
    </w:p>
    <w:p w:rsidR="008E277E" w:rsidRPr="008E277E" w:rsidRDefault="00675E9F" w:rsidP="00E716FF">
      <w:r>
        <w:t>ATV</w:t>
      </w:r>
      <w:r w:rsidR="008E277E" w:rsidRPr="008E277E">
        <w:t xml:space="preserve"> was not an inducer of CYP </w:t>
      </w:r>
      <w:proofErr w:type="spellStart"/>
      <w:r w:rsidR="008E277E" w:rsidRPr="008E277E">
        <w:t>isozymes</w:t>
      </w:r>
      <w:proofErr w:type="spellEnd"/>
      <w:r w:rsidR="008E277E" w:rsidRPr="008E277E">
        <w:t xml:space="preserve"> </w:t>
      </w:r>
      <w:r w:rsidR="008E277E" w:rsidRPr="00A41094">
        <w:rPr>
          <w:i/>
        </w:rPr>
        <w:t>in vitro</w:t>
      </w:r>
      <w:r w:rsidR="008E277E" w:rsidRPr="008E277E">
        <w:t>.</w:t>
      </w:r>
      <w:r w:rsidR="008E277E">
        <w:rPr>
          <w:rStyle w:val="FootnoteReference"/>
        </w:rPr>
        <w:footnoteReference w:id="4"/>
      </w:r>
    </w:p>
    <w:p w:rsidR="008E277E" w:rsidRPr="008E277E" w:rsidRDefault="008E277E" w:rsidP="00E716FF">
      <w:r w:rsidRPr="008E277E">
        <w:t xml:space="preserve">The </w:t>
      </w:r>
      <w:r w:rsidRPr="005B6B24">
        <w:rPr>
          <w:i/>
        </w:rPr>
        <w:t>in vitro</w:t>
      </w:r>
      <w:r w:rsidRPr="008E277E">
        <w:t xml:space="preserve"> induction studies indicate some potential for drug interactions with the combination of </w:t>
      </w:r>
      <w:r w:rsidR="00675E9F">
        <w:t>COBI</w:t>
      </w:r>
      <w:r w:rsidRPr="008E277E">
        <w:t xml:space="preserve"> and </w:t>
      </w:r>
      <w:r w:rsidR="00675E9F">
        <w:t>DRV</w:t>
      </w:r>
      <w:r w:rsidRPr="008E277E">
        <w:t xml:space="preserve">, although these may not be as marked as with </w:t>
      </w:r>
      <w:r w:rsidR="009D3AE9">
        <w:t>RTV</w:t>
      </w:r>
      <w:r w:rsidRPr="008E277E">
        <w:t xml:space="preserve">, a potent inducer of CYP </w:t>
      </w:r>
      <w:proofErr w:type="spellStart"/>
      <w:r w:rsidRPr="008E277E">
        <w:t>isozymes</w:t>
      </w:r>
      <w:proofErr w:type="spellEnd"/>
      <w:r>
        <w:t xml:space="preserve"> in human </w:t>
      </w:r>
      <w:proofErr w:type="spellStart"/>
      <w:r>
        <w:t>hepatocytes</w:t>
      </w:r>
      <w:proofErr w:type="spellEnd"/>
      <w:r>
        <w:t>.</w:t>
      </w:r>
      <w:r>
        <w:rPr>
          <w:rStyle w:val="FootnoteReference"/>
        </w:rPr>
        <w:footnoteReference w:id="5"/>
      </w:r>
    </w:p>
    <w:p w:rsidR="008E277E" w:rsidRPr="00E716FF" w:rsidRDefault="008E277E" w:rsidP="00E716FF">
      <w:pPr>
        <w:pStyle w:val="Heading4"/>
      </w:pPr>
      <w:r w:rsidRPr="00A858CC">
        <w:t>Transporters</w:t>
      </w:r>
    </w:p>
    <w:p w:rsidR="008E277E" w:rsidRPr="00A41094" w:rsidRDefault="008E277E" w:rsidP="00E716FF">
      <w:r w:rsidRPr="00A41094">
        <w:t>Previous studies (</w:t>
      </w:r>
      <w:proofErr w:type="spellStart"/>
      <w:r w:rsidR="007F3098">
        <w:t>Stribild</w:t>
      </w:r>
      <w:proofErr w:type="spellEnd"/>
      <w:r w:rsidRPr="00A41094">
        <w:t xml:space="preserve">) of the effects of </w:t>
      </w:r>
      <w:r w:rsidR="00675E9F">
        <w:t>COBI</w:t>
      </w:r>
      <w:r w:rsidRPr="00A41094">
        <w:t xml:space="preserve"> and </w:t>
      </w:r>
      <w:r w:rsidR="009D3AE9">
        <w:t>RTV</w:t>
      </w:r>
      <w:r w:rsidRPr="00A41094">
        <w:t xml:space="preserve"> on human transporter activities are </w:t>
      </w:r>
      <w:r w:rsidR="004C5BC5">
        <w:t>shown in Table 1</w:t>
      </w:r>
      <w:r w:rsidRPr="00A41094">
        <w:t xml:space="preserve">. </w:t>
      </w:r>
    </w:p>
    <w:p w:rsidR="005E6647" w:rsidRDefault="005E6647" w:rsidP="00E716FF">
      <w:pPr>
        <w:pStyle w:val="TableTitle"/>
        <w:rPr>
          <w:lang w:val="en-GB"/>
        </w:rPr>
      </w:pPr>
      <w:r>
        <w:t>Table 1:</w:t>
      </w:r>
      <w:r w:rsidRPr="004C5C28">
        <w:t xml:space="preserve"> </w:t>
      </w:r>
      <w:r w:rsidR="001C6A55" w:rsidRPr="001C6A55">
        <w:t xml:space="preserve">Effects of </w:t>
      </w:r>
      <w:r w:rsidR="00675E9F">
        <w:t>COBI</w:t>
      </w:r>
      <w:r w:rsidR="001C6A55" w:rsidRPr="001C6A55">
        <w:t xml:space="preserve"> and </w:t>
      </w:r>
      <w:r w:rsidR="009D3AE9">
        <w:t>RTV</w:t>
      </w:r>
      <w:r w:rsidR="001C6A55" w:rsidRPr="001C6A55">
        <w:t xml:space="preserve"> on human transporter activities</w:t>
      </w:r>
      <w:r>
        <w:t>.</w:t>
      </w:r>
    </w:p>
    <w:p w:rsidR="008E277E" w:rsidRDefault="00094C92" w:rsidP="00E716FF">
      <w:r>
        <w:rPr>
          <w:noProof/>
          <w:lang w:eastAsia="en-AU"/>
        </w:rPr>
        <w:drawing>
          <wp:inline distT="0" distB="0" distL="0" distR="0">
            <wp:extent cx="4201795" cy="2816225"/>
            <wp:effectExtent l="19050" t="0" r="8255" b="0"/>
            <wp:docPr id="1" name="Picture 2" descr="Table 1: Effects of COBI and RTV on human transport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Effects of COBI and RTV on human transporter activities."/>
                    <pic:cNvPicPr>
                      <a:picLocks noChangeAspect="1" noChangeArrowheads="1"/>
                    </pic:cNvPicPr>
                  </pic:nvPicPr>
                  <pic:blipFill>
                    <a:blip r:embed="rId14" cstate="print"/>
                    <a:srcRect/>
                    <a:stretch>
                      <a:fillRect/>
                    </a:stretch>
                  </pic:blipFill>
                  <pic:spPr bwMode="auto">
                    <a:xfrm>
                      <a:off x="0" y="0"/>
                      <a:ext cx="4201795" cy="2816225"/>
                    </a:xfrm>
                    <a:prstGeom prst="rect">
                      <a:avLst/>
                    </a:prstGeom>
                    <a:noFill/>
                    <a:ln w="9525">
                      <a:noFill/>
                      <a:miter lim="800000"/>
                      <a:headEnd/>
                      <a:tailEnd/>
                    </a:ln>
                  </pic:spPr>
                </pic:pic>
              </a:graphicData>
            </a:graphic>
          </wp:inline>
        </w:drawing>
      </w:r>
    </w:p>
    <w:p w:rsidR="00B96802" w:rsidRPr="00B96802" w:rsidRDefault="00B96802" w:rsidP="00E716FF">
      <w:r w:rsidRPr="00B96802">
        <w:t xml:space="preserve">Taking into consideration the </w:t>
      </w:r>
      <w:r w:rsidR="00675E9F">
        <w:t>COBI</w:t>
      </w:r>
      <w:r w:rsidRPr="00B96802">
        <w:t xml:space="preserve"> </w:t>
      </w:r>
      <w:proofErr w:type="spellStart"/>
      <w:r w:rsidRPr="00B96802">
        <w:t>C</w:t>
      </w:r>
      <w:r w:rsidRPr="00B96802">
        <w:rPr>
          <w:vertAlign w:val="subscript"/>
        </w:rPr>
        <w:t>max</w:t>
      </w:r>
      <w:proofErr w:type="spellEnd"/>
      <w:r w:rsidRPr="00B96802">
        <w:t xml:space="preserve"> of 1.57 µM (1.22 µg/</w:t>
      </w:r>
      <w:proofErr w:type="spellStart"/>
      <w:r w:rsidRPr="00B96802">
        <w:t>mL</w:t>
      </w:r>
      <w:proofErr w:type="spellEnd"/>
      <w:r w:rsidRPr="00B96802">
        <w:t xml:space="preserve">) at the 150 mg dose, and an unbound fraction of 6.33%, </w:t>
      </w:r>
      <w:r w:rsidR="00675E9F">
        <w:t>COBI</w:t>
      </w:r>
      <w:r w:rsidRPr="00B96802">
        <w:t xml:space="preserve"> would not inhibit MRP1, MRP2, MDR1, BCRP, OAT1 or OAT3, but it may inhibit the hepatic uptake transporters OATP1B1 and OATP1B3, and the renal transporters MATE1 </w:t>
      </w:r>
      <w:r w:rsidR="00563E56">
        <w:t>(</w:t>
      </w:r>
      <w:r w:rsidR="00563E56" w:rsidRPr="000D39EA">
        <w:t>multidrug and toxin extrusion protein</w:t>
      </w:r>
      <w:r w:rsidR="00563E56">
        <w:t xml:space="preserve">) </w:t>
      </w:r>
      <w:r w:rsidRPr="00B96802">
        <w:t>and OCTN1</w:t>
      </w:r>
      <w:r w:rsidR="000A117E">
        <w:t xml:space="preserve"> (</w:t>
      </w:r>
      <w:r w:rsidR="000A117E" w:rsidRPr="000D39EA">
        <w:t xml:space="preserve">organic </w:t>
      </w:r>
      <w:proofErr w:type="spellStart"/>
      <w:r w:rsidR="000A117E" w:rsidRPr="000D39EA">
        <w:t>cation</w:t>
      </w:r>
      <w:proofErr w:type="spellEnd"/>
      <w:r w:rsidR="000A117E" w:rsidRPr="000D39EA">
        <w:t xml:space="preserve"> transporter</w:t>
      </w:r>
      <w:r w:rsidR="000A117E">
        <w:t>)</w:t>
      </w:r>
      <w:r w:rsidRPr="00B96802">
        <w:t xml:space="preserve">, and possibly also MATE2-K and OCT2. </w:t>
      </w:r>
    </w:p>
    <w:p w:rsidR="00563FEC" w:rsidRPr="00D237F8" w:rsidRDefault="00563FEC" w:rsidP="00E716FF">
      <w:pPr>
        <w:pStyle w:val="Heading4"/>
      </w:pPr>
      <w:r w:rsidRPr="00D237F8">
        <w:t>Relative systemic exposures</w:t>
      </w:r>
    </w:p>
    <w:p w:rsidR="00563FEC" w:rsidRPr="00563FEC" w:rsidRDefault="00563FEC" w:rsidP="00E716FF">
      <w:r w:rsidRPr="00563FEC">
        <w:t xml:space="preserve">Exposure ratios relevant to the </w:t>
      </w:r>
      <w:r w:rsidR="00675E9F">
        <w:t>COBI</w:t>
      </w:r>
      <w:r w:rsidRPr="00563FEC">
        <w:t xml:space="preserve"> </w:t>
      </w:r>
      <w:r w:rsidR="00936434">
        <w:t>PI</w:t>
      </w:r>
      <w:r w:rsidRPr="00563FEC">
        <w:t xml:space="preserve"> </w:t>
      </w:r>
      <w:r w:rsidR="00890BF3">
        <w:t>are shown in Table 2</w:t>
      </w:r>
      <w:r w:rsidRPr="00563FEC">
        <w:t>. The steady</w:t>
      </w:r>
      <w:r w:rsidR="00536650">
        <w:t xml:space="preserve"> </w:t>
      </w:r>
      <w:r w:rsidRPr="00563FEC">
        <w:t>state plasma AUC</w:t>
      </w:r>
      <w:r w:rsidRPr="00563FEC">
        <w:rPr>
          <w:vertAlign w:val="subscript"/>
        </w:rPr>
        <w:t xml:space="preserve">0-τ </w:t>
      </w:r>
      <w:r w:rsidRPr="00563FEC">
        <w:t xml:space="preserve">of </w:t>
      </w:r>
      <w:r w:rsidR="00675E9F">
        <w:t>COBI</w:t>
      </w:r>
      <w:r w:rsidRPr="00563FEC">
        <w:t xml:space="preserve"> (</w:t>
      </w:r>
      <w:proofErr w:type="spellStart"/>
      <w:r w:rsidR="00EE5E68">
        <w:t>Tybost</w:t>
      </w:r>
      <w:proofErr w:type="spellEnd"/>
      <w:r w:rsidRPr="00563FEC">
        <w:t>) 150 mg combined</w:t>
      </w:r>
      <w:r w:rsidR="00BD5277">
        <w:t xml:space="preserve"> with </w:t>
      </w:r>
      <w:r w:rsidR="00675E9F">
        <w:t>ATV</w:t>
      </w:r>
      <w:r w:rsidR="00BD5277">
        <w:t xml:space="preserve"> 100 mg </w:t>
      </w:r>
      <w:r w:rsidR="00D4475E">
        <w:t>was 10.9 µ</w:t>
      </w:r>
      <w:proofErr w:type="spellStart"/>
      <w:r w:rsidR="00D4475E">
        <w:t>g.h</w:t>
      </w:r>
      <w:proofErr w:type="spellEnd"/>
      <w:r w:rsidR="00D4475E">
        <w:t>/</w:t>
      </w:r>
      <w:proofErr w:type="spellStart"/>
      <w:r w:rsidR="00D4475E">
        <w:t>mL</w:t>
      </w:r>
      <w:proofErr w:type="spellEnd"/>
      <w:r w:rsidR="00D4475E">
        <w:t xml:space="preserve"> in HIV-1 </w:t>
      </w:r>
      <w:r w:rsidRPr="00563FEC">
        <w:lastRenderedPageBreak/>
        <w:t>infected subjects (</w:t>
      </w:r>
      <w:r w:rsidR="00D459F2">
        <w:t>S</w:t>
      </w:r>
      <w:r w:rsidRPr="00563FEC">
        <w:t xml:space="preserve">tudy GS-US-216-0110). </w:t>
      </w:r>
      <w:r w:rsidR="00675E9F">
        <w:t>COBI</w:t>
      </w:r>
      <w:r w:rsidRPr="00563FEC">
        <w:t xml:space="preserve"> exposure ratios in the </w:t>
      </w:r>
      <w:proofErr w:type="spellStart"/>
      <w:r w:rsidR="00D22C5E">
        <w:t>Stribild</w:t>
      </w:r>
      <w:proofErr w:type="spellEnd"/>
      <w:r w:rsidRPr="00563FEC">
        <w:t xml:space="preserve"> application were based on a slightly lower human AUC</w:t>
      </w:r>
      <w:r w:rsidRPr="00D459F2">
        <w:rPr>
          <w:vertAlign w:val="subscript"/>
        </w:rPr>
        <w:t xml:space="preserve">0-τ </w:t>
      </w:r>
      <w:r w:rsidRPr="00563FEC">
        <w:t xml:space="preserve">of </w:t>
      </w:r>
      <w:r w:rsidR="00D22C5E">
        <w:t>8.3 µ</w:t>
      </w:r>
      <w:proofErr w:type="spellStart"/>
      <w:r w:rsidR="00D22C5E">
        <w:t>g.h</w:t>
      </w:r>
      <w:proofErr w:type="spellEnd"/>
      <w:r w:rsidR="00D22C5E">
        <w:t>/</w:t>
      </w:r>
      <w:proofErr w:type="spellStart"/>
      <w:r w:rsidR="00D22C5E">
        <w:t>mL.</w:t>
      </w:r>
      <w:proofErr w:type="spellEnd"/>
    </w:p>
    <w:p w:rsidR="002D5326" w:rsidRDefault="002D5326" w:rsidP="00E716FF">
      <w:pPr>
        <w:pStyle w:val="TableTitle"/>
        <w:rPr>
          <w:lang w:val="en-GB"/>
        </w:rPr>
      </w:pPr>
      <w:r>
        <w:t>Table 2:</w:t>
      </w:r>
      <w:r w:rsidRPr="004C5C28">
        <w:t xml:space="preserve"> </w:t>
      </w:r>
      <w:r w:rsidR="00890BF3" w:rsidRPr="00563FEC">
        <w:t xml:space="preserve">Exposure ratios relevant to the </w:t>
      </w:r>
      <w:r w:rsidR="00675E9F">
        <w:t>COBI</w:t>
      </w:r>
      <w:r w:rsidR="00890BF3" w:rsidRPr="00563FEC">
        <w:t xml:space="preserve"> </w:t>
      </w:r>
      <w:r w:rsidR="00890BF3">
        <w:t>PI</w:t>
      </w:r>
      <w:r>
        <w:t>.</w:t>
      </w:r>
    </w:p>
    <w:p w:rsidR="00B96802" w:rsidRDefault="00094C92" w:rsidP="00E716FF">
      <w:r>
        <w:rPr>
          <w:noProof/>
          <w:lang w:eastAsia="en-AU"/>
        </w:rPr>
        <w:drawing>
          <wp:inline distT="0" distB="0" distL="0" distR="0">
            <wp:extent cx="4246880" cy="1649095"/>
            <wp:effectExtent l="19050" t="0" r="1270" b="0"/>
            <wp:docPr id="3" name="Picture 3" descr="Table 2: Exposure ratios relevant to the COBI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Exposure ratios relevant to the COBI PI."/>
                    <pic:cNvPicPr>
                      <a:picLocks noChangeAspect="1" noChangeArrowheads="1"/>
                    </pic:cNvPicPr>
                  </pic:nvPicPr>
                  <pic:blipFill>
                    <a:blip r:embed="rId15" cstate="print"/>
                    <a:srcRect/>
                    <a:stretch>
                      <a:fillRect/>
                    </a:stretch>
                  </pic:blipFill>
                  <pic:spPr bwMode="auto">
                    <a:xfrm>
                      <a:off x="0" y="0"/>
                      <a:ext cx="4246880" cy="1649095"/>
                    </a:xfrm>
                    <a:prstGeom prst="rect">
                      <a:avLst/>
                    </a:prstGeom>
                    <a:noFill/>
                    <a:ln w="9525">
                      <a:noFill/>
                      <a:miter lim="800000"/>
                      <a:headEnd/>
                      <a:tailEnd/>
                    </a:ln>
                  </pic:spPr>
                </pic:pic>
              </a:graphicData>
            </a:graphic>
          </wp:inline>
        </w:drawing>
      </w:r>
    </w:p>
    <w:p w:rsidR="008E7846" w:rsidRDefault="008E7846" w:rsidP="00E716FF">
      <w:pPr>
        <w:pStyle w:val="Heading3"/>
      </w:pPr>
      <w:bookmarkStart w:id="43" w:name="_Toc247691514"/>
      <w:bookmarkStart w:id="44" w:name="_Toc314842498"/>
      <w:bookmarkStart w:id="45" w:name="_Toc376430053"/>
      <w:r>
        <w:t>Toxicology</w:t>
      </w:r>
      <w:bookmarkEnd w:id="43"/>
      <w:bookmarkEnd w:id="44"/>
      <w:bookmarkEnd w:id="45"/>
    </w:p>
    <w:p w:rsidR="00AC46D5" w:rsidRPr="009E2C2C" w:rsidRDefault="00AC46D5" w:rsidP="00E716FF">
      <w:r w:rsidRPr="009E2C2C">
        <w:t xml:space="preserve">Previous adequate repeat-dose toxicity studies with </w:t>
      </w:r>
      <w:r w:rsidR="00675E9F">
        <w:t>COBI</w:t>
      </w:r>
      <w:r w:rsidRPr="009E2C2C">
        <w:t xml:space="preserve"> showed effects in the liver (increased weights, </w:t>
      </w:r>
      <w:proofErr w:type="spellStart"/>
      <w:r w:rsidRPr="009E2C2C">
        <w:t>hepatocellular</w:t>
      </w:r>
      <w:proofErr w:type="spellEnd"/>
      <w:r w:rsidRPr="009E2C2C">
        <w:t xml:space="preserve"> hypertrophy) in mice, rats, and dogs. Liver </w:t>
      </w:r>
      <w:proofErr w:type="spellStart"/>
      <w:r w:rsidRPr="009E2C2C">
        <w:t>transaminases</w:t>
      </w:r>
      <w:proofErr w:type="spellEnd"/>
      <w:r w:rsidRPr="009E2C2C">
        <w:t xml:space="preserve"> (</w:t>
      </w:r>
      <w:proofErr w:type="spellStart"/>
      <w:r w:rsidR="00031DF5">
        <w:t>a</w:t>
      </w:r>
      <w:r w:rsidR="00031DF5" w:rsidRPr="00031DF5">
        <w:t>lanine</w:t>
      </w:r>
      <w:proofErr w:type="spellEnd"/>
      <w:r w:rsidR="00031DF5" w:rsidRPr="00031DF5">
        <w:t xml:space="preserve"> </w:t>
      </w:r>
      <w:proofErr w:type="spellStart"/>
      <w:r w:rsidR="00031DF5" w:rsidRPr="00031DF5">
        <w:t>aminotransferase</w:t>
      </w:r>
      <w:proofErr w:type="spellEnd"/>
      <w:r w:rsidR="00031DF5" w:rsidRPr="00031DF5">
        <w:t xml:space="preserve"> </w:t>
      </w:r>
      <w:r w:rsidR="00031DF5">
        <w:t>[</w:t>
      </w:r>
      <w:r w:rsidRPr="009E2C2C">
        <w:t>ALT</w:t>
      </w:r>
      <w:r w:rsidR="00031DF5">
        <w:t>]</w:t>
      </w:r>
      <w:r w:rsidRPr="009E2C2C">
        <w:t xml:space="preserve"> and </w:t>
      </w:r>
      <w:proofErr w:type="spellStart"/>
      <w:r w:rsidR="00031DF5" w:rsidRPr="00031DF5">
        <w:t>aspartate</w:t>
      </w:r>
      <w:proofErr w:type="spellEnd"/>
      <w:r w:rsidR="00031DF5" w:rsidRPr="00031DF5">
        <w:t xml:space="preserve"> </w:t>
      </w:r>
      <w:proofErr w:type="spellStart"/>
      <w:r w:rsidR="00031DF5" w:rsidRPr="00031DF5">
        <w:t>aminotransferase</w:t>
      </w:r>
      <w:proofErr w:type="spellEnd"/>
      <w:r w:rsidR="00031DF5" w:rsidRPr="009E2C2C">
        <w:t xml:space="preserve"> </w:t>
      </w:r>
      <w:r w:rsidR="00031DF5">
        <w:t>[</w:t>
      </w:r>
      <w:r w:rsidRPr="009E2C2C">
        <w:t>AST</w:t>
      </w:r>
      <w:r w:rsidR="00031DF5">
        <w:t>]</w:t>
      </w:r>
      <w:r w:rsidRPr="009E2C2C">
        <w:t xml:space="preserve">) were increased in mice, in association with </w:t>
      </w:r>
      <w:proofErr w:type="spellStart"/>
      <w:r w:rsidRPr="009E2C2C">
        <w:t>hepatocyte</w:t>
      </w:r>
      <w:proofErr w:type="spellEnd"/>
      <w:r w:rsidRPr="009E2C2C">
        <w:t xml:space="preserve"> hypertrophy and </w:t>
      </w:r>
      <w:proofErr w:type="spellStart"/>
      <w:r w:rsidRPr="009E2C2C">
        <w:t>vacuolation</w:t>
      </w:r>
      <w:proofErr w:type="spellEnd"/>
      <w:r w:rsidRPr="009E2C2C">
        <w:t>. Thyroid follicular cell hyperplasia/hypertrophy was observed in rats, and was very likely species</w:t>
      </w:r>
      <w:r w:rsidR="00612511">
        <w:t xml:space="preserve"> </w:t>
      </w:r>
      <w:r w:rsidRPr="009E2C2C">
        <w:t xml:space="preserve">specific. Other effects included slightly decreased </w:t>
      </w:r>
      <w:proofErr w:type="spellStart"/>
      <w:r w:rsidRPr="009E2C2C">
        <w:t>erythroid</w:t>
      </w:r>
      <w:proofErr w:type="spellEnd"/>
      <w:r w:rsidRPr="009E2C2C">
        <w:t xml:space="preserve"> values and increased platelets in rats, increased cholesterol in mice and rats, and increased serum protein and urinary volume in rats.</w:t>
      </w:r>
    </w:p>
    <w:p w:rsidR="00AC46D5" w:rsidRPr="009E2C2C" w:rsidRDefault="00AC46D5" w:rsidP="00E716FF">
      <w:r w:rsidRPr="009E2C2C">
        <w:t>Repeat</w:t>
      </w:r>
      <w:r w:rsidR="009E63ED">
        <w:t xml:space="preserve"> </w:t>
      </w:r>
      <w:r w:rsidRPr="009E2C2C">
        <w:t xml:space="preserve">dose toxicity studies with </w:t>
      </w:r>
      <w:r w:rsidR="00675E9F">
        <w:t>ATV</w:t>
      </w:r>
      <w:r w:rsidRPr="009E2C2C">
        <w:t xml:space="preserve"> identified the liver as the main target, with increases in relative liver weights in mice, rats and dogs, increases in </w:t>
      </w:r>
      <w:proofErr w:type="spellStart"/>
      <w:r w:rsidRPr="009E2C2C">
        <w:t>bilirubin</w:t>
      </w:r>
      <w:proofErr w:type="spellEnd"/>
      <w:r w:rsidRPr="009E2C2C">
        <w:t xml:space="preserve">, and </w:t>
      </w:r>
      <w:proofErr w:type="spellStart"/>
      <w:r w:rsidRPr="009E2C2C">
        <w:t>hepatocyte</w:t>
      </w:r>
      <w:proofErr w:type="spellEnd"/>
      <w:r w:rsidRPr="009E2C2C">
        <w:t xml:space="preserve"> hypertrophy in mice and rats reflecting liver enzyme induction. The increases in </w:t>
      </w:r>
      <w:proofErr w:type="spellStart"/>
      <w:r w:rsidRPr="009E2C2C">
        <w:t>bilirubin</w:t>
      </w:r>
      <w:proofErr w:type="spellEnd"/>
      <w:r w:rsidRPr="009E2C2C">
        <w:t xml:space="preserve"> may have been caused by inhibition of </w:t>
      </w:r>
      <w:proofErr w:type="spellStart"/>
      <w:r w:rsidRPr="009E2C2C">
        <w:t>glucuronide</w:t>
      </w:r>
      <w:proofErr w:type="spellEnd"/>
      <w:r w:rsidRPr="009E2C2C">
        <w:t xml:space="preserve"> conjugation, as </w:t>
      </w:r>
      <w:r w:rsidR="00675E9F">
        <w:t>ATV</w:t>
      </w:r>
      <w:r w:rsidRPr="009E2C2C">
        <w:t xml:space="preserve"> was shown to inhibit UDP </w:t>
      </w:r>
      <w:proofErr w:type="spellStart"/>
      <w:r w:rsidRPr="009E2C2C">
        <w:t>glucuronosyl</w:t>
      </w:r>
      <w:proofErr w:type="spellEnd"/>
      <w:r w:rsidRPr="009E2C2C">
        <w:t xml:space="preserve"> </w:t>
      </w:r>
      <w:proofErr w:type="spellStart"/>
      <w:r w:rsidRPr="009E2C2C">
        <w:t>transferase</w:t>
      </w:r>
      <w:proofErr w:type="spellEnd"/>
      <w:r w:rsidRPr="009E2C2C">
        <w:t xml:space="preserve"> 1A1 activity </w:t>
      </w:r>
      <w:r w:rsidRPr="001562EF">
        <w:rPr>
          <w:i/>
        </w:rPr>
        <w:t>in vitro</w:t>
      </w:r>
      <w:r w:rsidRPr="009E2C2C">
        <w:t xml:space="preserve">. Minimal increases in urine volume were observed in rats. The rat diuretic effects were not associated with changes in </w:t>
      </w:r>
      <w:proofErr w:type="spellStart"/>
      <w:r w:rsidRPr="009E2C2C">
        <w:t>antidiuretic</w:t>
      </w:r>
      <w:proofErr w:type="spellEnd"/>
      <w:r w:rsidRPr="009E2C2C">
        <w:t xml:space="preserve"> hormone or </w:t>
      </w:r>
      <w:proofErr w:type="spellStart"/>
      <w:r w:rsidRPr="009E2C2C">
        <w:t>aldosterone</w:t>
      </w:r>
      <w:proofErr w:type="spellEnd"/>
      <w:r w:rsidRPr="009E2C2C">
        <w:t xml:space="preserve">. </w:t>
      </w:r>
    </w:p>
    <w:p w:rsidR="00AC46D5" w:rsidRPr="009E2C2C" w:rsidRDefault="00AC46D5" w:rsidP="00E716FF">
      <w:r w:rsidRPr="009E2C2C">
        <w:t xml:space="preserve">Due to the overlapping toxicities of </w:t>
      </w:r>
      <w:r w:rsidR="00675E9F">
        <w:t>COBI</w:t>
      </w:r>
      <w:r w:rsidRPr="009E2C2C">
        <w:t xml:space="preserve"> and </w:t>
      </w:r>
      <w:r w:rsidR="00675E9F">
        <w:t>ATV</w:t>
      </w:r>
      <w:r w:rsidRPr="009E2C2C">
        <w:t>, the combi</w:t>
      </w:r>
      <w:r w:rsidR="001562EF">
        <w:t xml:space="preserve">nation was tested in previous 1 and 13 </w:t>
      </w:r>
      <w:r w:rsidRPr="009E2C2C">
        <w:t xml:space="preserve">week studies (TX-216-2024) in rats. Minor effects of treatment were increased serum cholesterol and urine volume with </w:t>
      </w:r>
      <w:r w:rsidR="00675E9F">
        <w:t>ATV</w:t>
      </w:r>
      <w:r w:rsidRPr="009E2C2C">
        <w:t xml:space="preserve"> alone and the combination, which were reversed after 4 weeks recovery. CYP3A4 activity was increased with </w:t>
      </w:r>
      <w:r w:rsidR="00675E9F">
        <w:t>COBI</w:t>
      </w:r>
      <w:r w:rsidRPr="009E2C2C">
        <w:t xml:space="preserve"> alone and in the combination. Relative liver weights were increased with the combination in males, and were still elevated (by 29% versus the vehicle control) after the recovery period. </w:t>
      </w:r>
    </w:p>
    <w:p w:rsidR="00AC46D5" w:rsidRPr="009E2C2C" w:rsidRDefault="00AC46D5" w:rsidP="00E716FF">
      <w:r w:rsidRPr="009E2C2C">
        <w:t>Previous repeat</w:t>
      </w:r>
      <w:r w:rsidR="001562EF">
        <w:t xml:space="preserve"> </w:t>
      </w:r>
      <w:r w:rsidRPr="009E2C2C">
        <w:t xml:space="preserve">dose toxicity studies with </w:t>
      </w:r>
      <w:r w:rsidR="00675E9F">
        <w:t>DRV</w:t>
      </w:r>
      <w:r w:rsidRPr="009E2C2C">
        <w:t xml:space="preserve"> showed </w:t>
      </w:r>
      <w:proofErr w:type="spellStart"/>
      <w:r w:rsidRPr="009E2C2C">
        <w:t>hepatotoxicity</w:t>
      </w:r>
      <w:proofErr w:type="spellEnd"/>
      <w:r w:rsidRPr="009E2C2C">
        <w:t xml:space="preserve"> in mice, rats and dogs (associated with enzyme induction in rodents), and increased erythrocyte turnover. The coagulation system was also affected in rats. Salivation was increased in rats and dogs, and vomiting and diarrhoea were dose</w:t>
      </w:r>
      <w:r w:rsidR="001562EF">
        <w:t xml:space="preserve"> </w:t>
      </w:r>
      <w:r w:rsidRPr="009E2C2C">
        <w:t>related in dogs. A 6</w:t>
      </w:r>
      <w:r w:rsidR="001562EF">
        <w:t xml:space="preserve"> </w:t>
      </w:r>
      <w:r w:rsidRPr="009E2C2C">
        <w:t xml:space="preserve">month combination study in rats with </w:t>
      </w:r>
      <w:r w:rsidR="00675E9F">
        <w:t>DRV</w:t>
      </w:r>
      <w:r w:rsidRPr="009E2C2C">
        <w:t xml:space="preserve"> and </w:t>
      </w:r>
      <w:r w:rsidR="009D3AE9">
        <w:t>RTV</w:t>
      </w:r>
      <w:r w:rsidRPr="009E2C2C">
        <w:t xml:space="preserve"> showed small increases in erythrocytes, and effects in the liver and thyroid. These effects may have reflected the increased exposure to </w:t>
      </w:r>
      <w:r w:rsidR="00675E9F">
        <w:t>DRV</w:t>
      </w:r>
      <w:r w:rsidRPr="009E2C2C">
        <w:t xml:space="preserve">, although </w:t>
      </w:r>
      <w:r w:rsidR="009D3AE9">
        <w:t>RTV</w:t>
      </w:r>
      <w:r w:rsidRPr="009E2C2C">
        <w:t xml:space="preserve"> may have contributed to the liver toxicity and effect on erythrocytes (</w:t>
      </w:r>
      <w:r w:rsidR="00675E9F">
        <w:t>DRV</w:t>
      </w:r>
      <w:r w:rsidRPr="009E2C2C">
        <w:t xml:space="preserve"> SPC). </w:t>
      </w:r>
    </w:p>
    <w:p w:rsidR="00AC46D5" w:rsidRPr="009E2C2C" w:rsidRDefault="00AC46D5" w:rsidP="00E716FF">
      <w:r w:rsidRPr="009E2C2C">
        <w:t xml:space="preserve">No toxicity studies were conducted with </w:t>
      </w:r>
      <w:r w:rsidR="00675E9F">
        <w:t>COBI</w:t>
      </w:r>
      <w:r w:rsidRPr="009E2C2C">
        <w:t xml:space="preserve"> in combination with </w:t>
      </w:r>
      <w:r w:rsidR="00675E9F">
        <w:t>DRV</w:t>
      </w:r>
      <w:r w:rsidRPr="009E2C2C">
        <w:t xml:space="preserve">. The combination of </w:t>
      </w:r>
      <w:r w:rsidR="00675E9F">
        <w:t>DRV</w:t>
      </w:r>
      <w:r w:rsidRPr="009E2C2C">
        <w:t xml:space="preserve"> and </w:t>
      </w:r>
      <w:r w:rsidR="009D3AE9">
        <w:t>RTV</w:t>
      </w:r>
      <w:r w:rsidRPr="009E2C2C">
        <w:t xml:space="preserve"> was tested in a previous 6</w:t>
      </w:r>
      <w:r w:rsidR="001562EF">
        <w:t xml:space="preserve"> </w:t>
      </w:r>
      <w:r w:rsidRPr="009E2C2C">
        <w:t xml:space="preserve">month toxicity study in rats. There were small increases in the effects on RBC parameters, the liver and thyroid, which may have resulted from sustained exposure to </w:t>
      </w:r>
      <w:r w:rsidR="00675E9F">
        <w:t>DRV</w:t>
      </w:r>
      <w:r w:rsidRPr="009E2C2C">
        <w:t xml:space="preserve">, and effects of </w:t>
      </w:r>
      <w:r w:rsidR="009D3AE9">
        <w:t>RTV</w:t>
      </w:r>
      <w:r w:rsidRPr="009E2C2C">
        <w:t xml:space="preserve"> on erythrocytes and the liver. </w:t>
      </w:r>
    </w:p>
    <w:p w:rsidR="00AC46D5" w:rsidRPr="00E716FF" w:rsidRDefault="00AC46D5" w:rsidP="00E716FF">
      <w:pPr>
        <w:pStyle w:val="Heading4"/>
      </w:pPr>
      <w:proofErr w:type="spellStart"/>
      <w:r w:rsidRPr="00D237F8">
        <w:lastRenderedPageBreak/>
        <w:t>Genotoxicity</w:t>
      </w:r>
      <w:proofErr w:type="spellEnd"/>
    </w:p>
    <w:p w:rsidR="00AC46D5" w:rsidRPr="009E2C2C" w:rsidRDefault="00AC46D5" w:rsidP="00E716FF">
      <w:r w:rsidRPr="009E2C2C">
        <w:t xml:space="preserve">All </w:t>
      </w:r>
      <w:r w:rsidR="00EC2A96">
        <w:t>three</w:t>
      </w:r>
      <w:r w:rsidRPr="009E2C2C">
        <w:t xml:space="preserve"> new </w:t>
      </w:r>
      <w:proofErr w:type="spellStart"/>
      <w:r w:rsidRPr="009E2C2C">
        <w:t>genotoxicity</w:t>
      </w:r>
      <w:proofErr w:type="spellEnd"/>
      <w:r w:rsidRPr="009E2C2C">
        <w:t xml:space="preserve"> studies with </w:t>
      </w:r>
      <w:r w:rsidR="00675E9F">
        <w:t>COBI</w:t>
      </w:r>
      <w:r w:rsidRPr="009E2C2C">
        <w:t xml:space="preserve"> impurities were negative. Previous adequate </w:t>
      </w:r>
      <w:proofErr w:type="spellStart"/>
      <w:r w:rsidRPr="009E2C2C">
        <w:t>genotoxicity</w:t>
      </w:r>
      <w:proofErr w:type="spellEnd"/>
      <w:r w:rsidRPr="009E2C2C">
        <w:t xml:space="preserve"> studies with </w:t>
      </w:r>
      <w:r w:rsidR="00675E9F">
        <w:t>COBI</w:t>
      </w:r>
      <w:r w:rsidRPr="009E2C2C">
        <w:t xml:space="preserve"> were negative. </w:t>
      </w:r>
    </w:p>
    <w:p w:rsidR="00AC46D5" w:rsidRPr="009E2C2C" w:rsidRDefault="00675E9F" w:rsidP="00E716FF">
      <w:r>
        <w:t>ATV</w:t>
      </w:r>
      <w:r w:rsidR="00AC46D5" w:rsidRPr="009E2C2C">
        <w:t xml:space="preserve"> was positive in an </w:t>
      </w:r>
      <w:r w:rsidR="00AC46D5" w:rsidRPr="00CC7A80">
        <w:rPr>
          <w:i/>
        </w:rPr>
        <w:t>in vitro</w:t>
      </w:r>
      <w:r w:rsidR="00AC46D5" w:rsidRPr="009E2C2C">
        <w:t xml:space="preserve"> </w:t>
      </w:r>
      <w:proofErr w:type="spellStart"/>
      <w:r w:rsidR="00AC46D5" w:rsidRPr="009E2C2C">
        <w:t>cytogenetics</w:t>
      </w:r>
      <w:proofErr w:type="spellEnd"/>
      <w:r w:rsidR="00AC46D5" w:rsidRPr="009E2C2C">
        <w:t xml:space="preserve"> assay in human lymphocytes, but was negative in assays for bacterial mutation, unscheduled DNA synthesis </w:t>
      </w:r>
      <w:r w:rsidR="00AC46D5" w:rsidRPr="00E8742D">
        <w:rPr>
          <w:i/>
        </w:rPr>
        <w:t>ex vivo</w:t>
      </w:r>
      <w:r w:rsidR="00AC46D5" w:rsidRPr="009E2C2C">
        <w:t xml:space="preserve">, and micronuclei in rats </w:t>
      </w:r>
      <w:r w:rsidR="00AC46D5" w:rsidRPr="00E8742D">
        <w:rPr>
          <w:i/>
        </w:rPr>
        <w:t xml:space="preserve">in vivo </w:t>
      </w:r>
      <w:r w:rsidR="00AC46D5" w:rsidRPr="009E2C2C">
        <w:t>(</w:t>
      </w:r>
      <w:r w:rsidR="00E8742D">
        <w:t>PI</w:t>
      </w:r>
      <w:r w:rsidR="00AC46D5" w:rsidRPr="009E2C2C">
        <w:t>).</w:t>
      </w:r>
    </w:p>
    <w:p w:rsidR="00AC46D5" w:rsidRPr="009E2C2C" w:rsidRDefault="00675E9F" w:rsidP="00E716FF">
      <w:r>
        <w:t>DRV</w:t>
      </w:r>
      <w:r w:rsidR="00AC46D5" w:rsidRPr="009E2C2C">
        <w:t xml:space="preserve"> was not </w:t>
      </w:r>
      <w:proofErr w:type="spellStart"/>
      <w:r w:rsidR="00AC46D5" w:rsidRPr="009E2C2C">
        <w:t>genotoxic</w:t>
      </w:r>
      <w:proofErr w:type="spellEnd"/>
      <w:r w:rsidR="00AC46D5" w:rsidRPr="009E2C2C">
        <w:t xml:space="preserve"> in previous adequate studies </w:t>
      </w:r>
      <w:r w:rsidR="00AC46D5" w:rsidRPr="004F1FDA">
        <w:rPr>
          <w:i/>
        </w:rPr>
        <w:t>in vitro</w:t>
      </w:r>
      <w:r w:rsidR="00AC46D5" w:rsidRPr="009E2C2C">
        <w:t xml:space="preserve"> or </w:t>
      </w:r>
      <w:r w:rsidR="00AC46D5" w:rsidRPr="004F1FDA">
        <w:rPr>
          <w:i/>
        </w:rPr>
        <w:t>in vivo</w:t>
      </w:r>
      <w:r w:rsidR="009E2C2C">
        <w:t xml:space="preserve"> (PI</w:t>
      </w:r>
      <w:r w:rsidR="00AC46D5" w:rsidRPr="009E2C2C">
        <w:t>).</w:t>
      </w:r>
    </w:p>
    <w:p w:rsidR="00AC46D5" w:rsidRPr="00D237F8" w:rsidRDefault="00AC46D5" w:rsidP="00E716FF">
      <w:pPr>
        <w:pStyle w:val="Heading4"/>
      </w:pPr>
      <w:r w:rsidRPr="00D237F8">
        <w:t>Carcinogenicity</w:t>
      </w:r>
    </w:p>
    <w:p w:rsidR="00AC46D5" w:rsidRPr="000A0709" w:rsidRDefault="00AC46D5" w:rsidP="00E716FF">
      <w:r w:rsidRPr="000A0709">
        <w:t>In previous long</w:t>
      </w:r>
      <w:r w:rsidR="004F1FDA">
        <w:t xml:space="preserve"> </w:t>
      </w:r>
      <w:r w:rsidRPr="000A0709">
        <w:t xml:space="preserve">term carcinogenicity studies, </w:t>
      </w:r>
      <w:r w:rsidR="00675E9F">
        <w:t>COBI</w:t>
      </w:r>
      <w:r w:rsidRPr="000A0709">
        <w:t xml:space="preserve"> elicited thyroid follicular cell tumours in rats, but no tumours in mice. The follicular cell tumours were almost certainly related to </w:t>
      </w:r>
      <w:proofErr w:type="spellStart"/>
      <w:r w:rsidRPr="000A0709">
        <w:t>hepatocyte</w:t>
      </w:r>
      <w:proofErr w:type="spellEnd"/>
      <w:r w:rsidRPr="000A0709">
        <w:t xml:space="preserve"> hypertrophy, and changes in thyroid hormone levels were observed in rat toxicity studies. </w:t>
      </w:r>
    </w:p>
    <w:p w:rsidR="00AC46D5" w:rsidRPr="000A0709" w:rsidRDefault="00675E9F" w:rsidP="00E716FF">
      <w:r>
        <w:t>ATV</w:t>
      </w:r>
      <w:r w:rsidR="00AC46D5" w:rsidRPr="000A0709">
        <w:t xml:space="preserve"> carcinogenicity studies showed a significant increase in the incidence </w:t>
      </w:r>
      <w:r w:rsidR="00A27230">
        <w:t xml:space="preserve">of </w:t>
      </w:r>
      <w:proofErr w:type="spellStart"/>
      <w:r w:rsidR="00A27230">
        <w:t>hepatocellular</w:t>
      </w:r>
      <w:proofErr w:type="spellEnd"/>
      <w:r w:rsidR="00A27230">
        <w:t xml:space="preserve"> adenomas in High Dose (HD)</w:t>
      </w:r>
      <w:r w:rsidR="00AC46D5" w:rsidRPr="000A0709">
        <w:t xml:space="preserve"> female mice, but no increases in tumours in male mice, or rats (</w:t>
      </w:r>
      <w:r w:rsidR="004066DE" w:rsidRPr="000A0709">
        <w:t>PI</w:t>
      </w:r>
      <w:r w:rsidR="00AC46D5" w:rsidRPr="000A0709">
        <w:t xml:space="preserve">). </w:t>
      </w:r>
    </w:p>
    <w:p w:rsidR="00AC46D5" w:rsidRPr="000A0709" w:rsidRDefault="00675E9F" w:rsidP="00E716FF">
      <w:r>
        <w:t>DRV</w:t>
      </w:r>
      <w:r w:rsidR="00AC46D5" w:rsidRPr="000A0709">
        <w:t xml:space="preserve"> carcinogenicity studies showed dose</w:t>
      </w:r>
      <w:r w:rsidR="00CA548B">
        <w:t xml:space="preserve"> </w:t>
      </w:r>
      <w:r w:rsidR="00AC46D5" w:rsidRPr="000A0709">
        <w:t xml:space="preserve">related increases in </w:t>
      </w:r>
      <w:proofErr w:type="spellStart"/>
      <w:r w:rsidR="00AC46D5" w:rsidRPr="000A0709">
        <w:t>hepatocellular</w:t>
      </w:r>
      <w:proofErr w:type="spellEnd"/>
      <w:r w:rsidR="00AC46D5" w:rsidRPr="000A0709">
        <w:t xml:space="preserve"> adenomas and carcinomas in mice and rats, and increased follicular cell adenomas in male rats. The rodent liver and thyroid tumours have limited/no relevance to humans (PI). </w:t>
      </w:r>
    </w:p>
    <w:p w:rsidR="00AC46D5" w:rsidRPr="00D237F8" w:rsidRDefault="00AC46D5" w:rsidP="00E716FF">
      <w:pPr>
        <w:pStyle w:val="Heading4"/>
      </w:pPr>
      <w:r w:rsidRPr="00D237F8">
        <w:t>Reproductive toxicity</w:t>
      </w:r>
    </w:p>
    <w:p w:rsidR="00AC46D5" w:rsidRPr="000A0709" w:rsidRDefault="00AC46D5" w:rsidP="00E716FF">
      <w:r w:rsidRPr="000A0709">
        <w:t xml:space="preserve">In the rat fertility and early embryonic development studies with </w:t>
      </w:r>
      <w:r w:rsidR="00675E9F">
        <w:t>COBI</w:t>
      </w:r>
      <w:r w:rsidRPr="000A0709">
        <w:t xml:space="preserve">, there were no effects in males or females, the </w:t>
      </w:r>
      <w:r w:rsidR="002721AE">
        <w:t xml:space="preserve">No Observed </w:t>
      </w:r>
      <w:r w:rsidR="002721AE" w:rsidRPr="002721AE">
        <w:t xml:space="preserve">Effect Level </w:t>
      </w:r>
      <w:r w:rsidR="002721AE">
        <w:t>(</w:t>
      </w:r>
      <w:r w:rsidRPr="000A0709">
        <w:t>NOEL</w:t>
      </w:r>
      <w:r w:rsidR="002721AE">
        <w:t>)</w:t>
      </w:r>
      <w:r w:rsidRPr="000A0709">
        <w:t xml:space="preserve"> was 100 mg/kg/day. There were no </w:t>
      </w:r>
      <w:proofErr w:type="spellStart"/>
      <w:r w:rsidRPr="000A0709">
        <w:t>toxicokinetic</w:t>
      </w:r>
      <w:proofErr w:type="spellEnd"/>
      <w:r w:rsidRPr="000A0709">
        <w:t xml:space="preserve"> data, exposures were estimated from a 4</w:t>
      </w:r>
      <w:r w:rsidR="002721AE">
        <w:t xml:space="preserve"> </w:t>
      </w:r>
      <w:r w:rsidRPr="000A0709">
        <w:t>week toxicity study.</w:t>
      </w:r>
    </w:p>
    <w:p w:rsidR="00AC46D5" w:rsidRPr="000A0709" w:rsidRDefault="00AC46D5" w:rsidP="00E716FF">
      <w:r w:rsidRPr="000A0709">
        <w:t xml:space="preserve">In the main </w:t>
      </w:r>
      <w:r w:rsidR="00675E9F">
        <w:t>COBI</w:t>
      </w:r>
      <w:r w:rsidRPr="000A0709">
        <w:t xml:space="preserve"> </w:t>
      </w:r>
      <w:proofErr w:type="spellStart"/>
      <w:r w:rsidRPr="000A0709">
        <w:t>embryof</w:t>
      </w:r>
      <w:r w:rsidR="004066DE" w:rsidRPr="000A0709">
        <w:t>o</w:t>
      </w:r>
      <w:r w:rsidRPr="000A0709">
        <w:t>etal</w:t>
      </w:r>
      <w:proofErr w:type="spellEnd"/>
      <w:r w:rsidRPr="000A0709">
        <w:t xml:space="preserve"> development study in rats, a non</w:t>
      </w:r>
      <w:r w:rsidR="00EF2586">
        <w:t xml:space="preserve"> </w:t>
      </w:r>
      <w:r w:rsidRPr="000A0709">
        <w:t>significant increase in post</w:t>
      </w:r>
      <w:r w:rsidR="00EF2586">
        <w:t xml:space="preserve"> </w:t>
      </w:r>
      <w:r w:rsidRPr="000A0709">
        <w:t>implantation loss, and a reduction in f</w:t>
      </w:r>
      <w:r w:rsidR="004066DE" w:rsidRPr="000A0709">
        <w:t>o</w:t>
      </w:r>
      <w:r w:rsidRPr="000A0709">
        <w:t>etal weight was observed at the HD, associated with markedly lower bodyweight gain, and reduced food consumption, over the dosing period. Increased incidences of incomplete ossification of a number of f</w:t>
      </w:r>
      <w:r w:rsidR="004066DE" w:rsidRPr="000A0709">
        <w:t>o</w:t>
      </w:r>
      <w:r w:rsidRPr="000A0709">
        <w:t>etal bones were probably a consequence of the lower f</w:t>
      </w:r>
      <w:r w:rsidR="004066DE" w:rsidRPr="000A0709">
        <w:t>o</w:t>
      </w:r>
      <w:r w:rsidRPr="000A0709">
        <w:t>etal bodyweights.</w:t>
      </w:r>
      <w:r w:rsidR="007F3098">
        <w:t xml:space="preserve"> </w:t>
      </w:r>
      <w:r w:rsidRPr="000A0709">
        <w:t xml:space="preserve">The </w:t>
      </w:r>
      <w:r w:rsidR="00194D4F">
        <w:t>s</w:t>
      </w:r>
      <w:r w:rsidRPr="000A0709">
        <w:t xml:space="preserve">ponsor’s proposed Australian pregnancy category of B1 for </w:t>
      </w:r>
      <w:r w:rsidR="00675E9F">
        <w:t>COBI</w:t>
      </w:r>
      <w:r w:rsidRPr="000A0709">
        <w:t xml:space="preserve"> is acceptable. </w:t>
      </w:r>
    </w:p>
    <w:p w:rsidR="00AC46D5" w:rsidRPr="000A0709" w:rsidRDefault="00AC46D5" w:rsidP="00E716FF">
      <w:r w:rsidRPr="000A0709">
        <w:t xml:space="preserve">The </w:t>
      </w:r>
      <w:r w:rsidR="00675E9F">
        <w:t>COBI</w:t>
      </w:r>
      <w:r w:rsidRPr="000A0709">
        <w:t xml:space="preserve"> peri</w:t>
      </w:r>
      <w:r w:rsidR="00984CB1">
        <w:t xml:space="preserve"> </w:t>
      </w:r>
      <w:proofErr w:type="spellStart"/>
      <w:r w:rsidRPr="000A0709">
        <w:t>postnanatal</w:t>
      </w:r>
      <w:proofErr w:type="spellEnd"/>
      <w:r w:rsidRPr="000A0709">
        <w:t xml:space="preserve"> study included a juvenile rat study in which fin</w:t>
      </w:r>
      <w:r w:rsidR="0023367F">
        <w:t xml:space="preserve">dings mirrored those in adults, that is, </w:t>
      </w:r>
      <w:proofErr w:type="spellStart"/>
      <w:r w:rsidRPr="000A0709">
        <w:t>hepatocyte</w:t>
      </w:r>
      <w:proofErr w:type="spellEnd"/>
      <w:r w:rsidRPr="000A0709">
        <w:t xml:space="preserve"> hypertrophy, elevated thyroid stimulating hormone, thyroid follicular hypertrophy, and small increases in platelets and serum protein. </w:t>
      </w:r>
    </w:p>
    <w:p w:rsidR="00AC46D5" w:rsidRPr="000A0709" w:rsidRDefault="00675E9F" w:rsidP="00E716FF">
      <w:r>
        <w:t>ATV</w:t>
      </w:r>
      <w:r w:rsidR="00AC46D5" w:rsidRPr="000A0709">
        <w:t xml:space="preserve"> had no effects on rat fertility or rat and rabbit </w:t>
      </w:r>
      <w:proofErr w:type="spellStart"/>
      <w:r w:rsidR="00AC46D5" w:rsidRPr="000A0709">
        <w:t>embryofetal</w:t>
      </w:r>
      <w:proofErr w:type="spellEnd"/>
      <w:r w:rsidR="00AC46D5" w:rsidRPr="000A0709">
        <w:t xml:space="preserve"> development; however, exposure ratios were relatively low. The rat peri</w:t>
      </w:r>
      <w:r w:rsidR="003E20DA">
        <w:t xml:space="preserve"> </w:t>
      </w:r>
      <w:r w:rsidR="00AC46D5" w:rsidRPr="000A0709">
        <w:t>postnatal study showed reversible reductions of offspring bodyweights.</w:t>
      </w:r>
      <w:r w:rsidR="007F3098">
        <w:t xml:space="preserve"> </w:t>
      </w:r>
      <w:r w:rsidR="00AC46D5" w:rsidRPr="000A0709">
        <w:t xml:space="preserve">The Australian pregnancy category is B2 </w:t>
      </w:r>
      <w:r w:rsidR="000A0709">
        <w:t>(PI</w:t>
      </w:r>
      <w:r w:rsidR="00AC46D5" w:rsidRPr="000A0709">
        <w:t>).</w:t>
      </w:r>
    </w:p>
    <w:p w:rsidR="00AC46D5" w:rsidRPr="000A0709" w:rsidRDefault="00675E9F" w:rsidP="00E716FF">
      <w:r>
        <w:t>DRV</w:t>
      </w:r>
      <w:r w:rsidR="00AC46D5" w:rsidRPr="000A0709">
        <w:t xml:space="preserve"> had no effects on fertility, other than lower female bodyweights a</w:t>
      </w:r>
      <w:r w:rsidR="003E20DA">
        <w:t xml:space="preserve">nd 16% fewer corpora </w:t>
      </w:r>
      <w:proofErr w:type="spellStart"/>
      <w:r w:rsidR="003E20DA">
        <w:t>lutea</w:t>
      </w:r>
      <w:proofErr w:type="spellEnd"/>
      <w:r w:rsidR="003E20DA">
        <w:t xml:space="preserve"> at</w:t>
      </w:r>
      <w:r w:rsidR="00AC46D5" w:rsidRPr="000A0709">
        <w:t xml:space="preserve"> 1000 mg/kg/day, resulting in 12% fewer live f</w:t>
      </w:r>
      <w:r w:rsidR="000A0709">
        <w:t>o</w:t>
      </w:r>
      <w:r w:rsidR="00AC46D5" w:rsidRPr="000A0709">
        <w:t xml:space="preserve">etuses/litter. </w:t>
      </w:r>
      <w:r>
        <w:t>DRV</w:t>
      </w:r>
      <w:r w:rsidR="00AC46D5" w:rsidRPr="000A0709">
        <w:t xml:space="preserve"> had no effects on fertility in rats or </w:t>
      </w:r>
      <w:proofErr w:type="spellStart"/>
      <w:r w:rsidR="00AC46D5" w:rsidRPr="000A0709">
        <w:t>embryof</w:t>
      </w:r>
      <w:r w:rsidR="000A0709">
        <w:t>o</w:t>
      </w:r>
      <w:r w:rsidR="00AC46D5" w:rsidRPr="000A0709">
        <w:t>etal</w:t>
      </w:r>
      <w:proofErr w:type="spellEnd"/>
      <w:r w:rsidR="00AC46D5" w:rsidRPr="000A0709">
        <w:t xml:space="preserve"> development in mice and rabbits, but exposures were low. The rat peri</w:t>
      </w:r>
      <w:r w:rsidR="003E20DA">
        <w:t xml:space="preserve"> </w:t>
      </w:r>
      <w:r w:rsidR="00AC46D5" w:rsidRPr="000A0709">
        <w:t>postnatal study showed reversible reductions in offspring bodyweights. The Australian pregnancy category is B2 (</w:t>
      </w:r>
      <w:r w:rsidR="00724C39">
        <w:t>PI</w:t>
      </w:r>
      <w:r w:rsidR="00AC46D5" w:rsidRPr="000A0709">
        <w:t>).</w:t>
      </w:r>
    </w:p>
    <w:p w:rsidR="00AC46D5" w:rsidRPr="000A0709" w:rsidRDefault="00AC46D5" w:rsidP="00E716FF">
      <w:r w:rsidRPr="000A0709">
        <w:t>Breast</w:t>
      </w:r>
      <w:r w:rsidR="009357BE">
        <w:t xml:space="preserve"> </w:t>
      </w:r>
      <w:r w:rsidRPr="000A0709">
        <w:t>feeding is not recommended due to the risk of HIV transmission.</w:t>
      </w:r>
    </w:p>
    <w:p w:rsidR="00AC46D5" w:rsidRPr="00D237F8" w:rsidRDefault="00AC46D5" w:rsidP="00E716FF">
      <w:pPr>
        <w:pStyle w:val="Heading4"/>
      </w:pPr>
      <w:proofErr w:type="spellStart"/>
      <w:r w:rsidRPr="00D237F8">
        <w:t>Immunotoxicity</w:t>
      </w:r>
      <w:proofErr w:type="spellEnd"/>
    </w:p>
    <w:p w:rsidR="00AC46D5" w:rsidRPr="00DF185D" w:rsidRDefault="00AC46D5" w:rsidP="00E716FF">
      <w:r w:rsidRPr="00DF185D">
        <w:t>A previous 4</w:t>
      </w:r>
      <w:r w:rsidR="009357BE">
        <w:t xml:space="preserve"> </w:t>
      </w:r>
      <w:r w:rsidRPr="00DF185D">
        <w:t xml:space="preserve">week </w:t>
      </w:r>
      <w:proofErr w:type="spellStart"/>
      <w:r w:rsidRPr="00DF185D">
        <w:t>immunotoxicity</w:t>
      </w:r>
      <w:proofErr w:type="spellEnd"/>
      <w:r w:rsidRPr="00DF185D">
        <w:t xml:space="preserve"> study (TX-216-2022) with </w:t>
      </w:r>
      <w:r w:rsidR="00675E9F">
        <w:t>COBI</w:t>
      </w:r>
      <w:r w:rsidRPr="00DF185D">
        <w:t xml:space="preserve"> in rats showed immunosuppressive effects, namely lymphoid depletion in spleen germinal centres, significantly reduced </w:t>
      </w:r>
      <w:proofErr w:type="spellStart"/>
      <w:r w:rsidRPr="00DF185D">
        <w:t>IgG</w:t>
      </w:r>
      <w:proofErr w:type="spellEnd"/>
      <w:r w:rsidRPr="00DF185D">
        <w:t xml:space="preserve"> levels, and reduced antibody responses to keyhole limpet </w:t>
      </w:r>
      <w:proofErr w:type="spellStart"/>
      <w:r w:rsidRPr="00DF185D">
        <w:lastRenderedPageBreak/>
        <w:t>haemocyanin</w:t>
      </w:r>
      <w:proofErr w:type="spellEnd"/>
      <w:r w:rsidRPr="00DF185D">
        <w:t xml:space="preserve">. However, </w:t>
      </w:r>
      <w:proofErr w:type="spellStart"/>
      <w:r w:rsidRPr="00DF185D">
        <w:t>immunotoxicity</w:t>
      </w:r>
      <w:proofErr w:type="spellEnd"/>
      <w:r w:rsidRPr="00DF185D">
        <w:t xml:space="preserve"> was not evident in the 13</w:t>
      </w:r>
      <w:r w:rsidR="009357BE">
        <w:t xml:space="preserve"> </w:t>
      </w:r>
      <w:r w:rsidRPr="00DF185D">
        <w:t>week toxicity study in mice, the 27</w:t>
      </w:r>
      <w:r w:rsidR="009357BE">
        <w:t xml:space="preserve"> </w:t>
      </w:r>
      <w:r w:rsidRPr="00DF185D">
        <w:t>week study in rats and the 39</w:t>
      </w:r>
      <w:r w:rsidR="009357BE">
        <w:t xml:space="preserve"> </w:t>
      </w:r>
      <w:r w:rsidRPr="00DF185D">
        <w:t>week study in dogs.</w:t>
      </w:r>
    </w:p>
    <w:p w:rsidR="00AC46D5" w:rsidRPr="00DF185D" w:rsidRDefault="00675E9F" w:rsidP="00E716FF">
      <w:r>
        <w:t>ATV</w:t>
      </w:r>
      <w:r w:rsidR="00AC46D5" w:rsidRPr="00DF185D">
        <w:t xml:space="preserve"> and </w:t>
      </w:r>
      <w:r>
        <w:t>DRV</w:t>
      </w:r>
      <w:r w:rsidR="00AC46D5" w:rsidRPr="00DF185D">
        <w:t xml:space="preserve"> showed no </w:t>
      </w:r>
      <w:proofErr w:type="spellStart"/>
      <w:r w:rsidR="00AC46D5" w:rsidRPr="00DF185D">
        <w:t>immunotoxicity</w:t>
      </w:r>
      <w:proofErr w:type="spellEnd"/>
      <w:r w:rsidR="00AC46D5" w:rsidRPr="00DF185D">
        <w:t xml:space="preserve"> in 4</w:t>
      </w:r>
      <w:r w:rsidR="009357BE">
        <w:t xml:space="preserve"> </w:t>
      </w:r>
      <w:r w:rsidR="00AC46D5" w:rsidRPr="00DF185D">
        <w:t>week studies in rats.</w:t>
      </w:r>
    </w:p>
    <w:p w:rsidR="008E7846" w:rsidRPr="00E716FF" w:rsidRDefault="008E7846" w:rsidP="00E716FF">
      <w:pPr>
        <w:pStyle w:val="Heading3"/>
      </w:pPr>
      <w:bookmarkStart w:id="46" w:name="_Toc247691515"/>
      <w:bookmarkStart w:id="47" w:name="_Toc314842499"/>
      <w:bookmarkStart w:id="48" w:name="_Toc376430054"/>
      <w:r>
        <w:t>Nonclinical summary and conclusions</w:t>
      </w:r>
      <w:bookmarkEnd w:id="46"/>
      <w:bookmarkEnd w:id="47"/>
      <w:bookmarkEnd w:id="48"/>
    </w:p>
    <w:p w:rsidR="00E17776" w:rsidRPr="00E17776" w:rsidRDefault="00E17776" w:rsidP="00E716FF">
      <w:r w:rsidRPr="00E17776">
        <w:t>There are no nonclinical objections to the re</w:t>
      </w:r>
      <w:r>
        <w:t xml:space="preserve">gistration of </w:t>
      </w:r>
      <w:r w:rsidR="00675E9F">
        <w:t>COBI</w:t>
      </w:r>
      <w:r>
        <w:t xml:space="preserve"> (</w:t>
      </w:r>
      <w:proofErr w:type="spellStart"/>
      <w:r>
        <w:t>Tybost</w:t>
      </w:r>
      <w:proofErr w:type="spellEnd"/>
      <w:r w:rsidRPr="00E17776">
        <w:t xml:space="preserve">) 150 mg oral tablets for co-administration with </w:t>
      </w:r>
      <w:r w:rsidR="00675E9F">
        <w:t>ATV</w:t>
      </w:r>
      <w:r w:rsidRPr="00E17776">
        <w:t xml:space="preserve"> or </w:t>
      </w:r>
      <w:r w:rsidR="00675E9F">
        <w:t>DRV</w:t>
      </w:r>
      <w:r w:rsidRPr="00E17776">
        <w:t xml:space="preserve"> in treatment of HIV</w:t>
      </w:r>
      <w:r w:rsidR="0067720A">
        <w:t xml:space="preserve"> </w:t>
      </w:r>
      <w:r w:rsidRPr="00E17776">
        <w:t xml:space="preserve">infected adults. In contrast to the </w:t>
      </w:r>
      <w:r w:rsidR="00675E9F">
        <w:t>COBI</w:t>
      </w:r>
      <w:r w:rsidRPr="00E17776">
        <w:t>/</w:t>
      </w:r>
      <w:r w:rsidR="00675E9F">
        <w:t>ATV</w:t>
      </w:r>
      <w:r w:rsidRPr="00E17776">
        <w:t xml:space="preserve"> combination, the </w:t>
      </w:r>
      <w:r w:rsidR="00675E9F">
        <w:t>COBI</w:t>
      </w:r>
      <w:r w:rsidRPr="00E17776">
        <w:t>/</w:t>
      </w:r>
      <w:r w:rsidR="00675E9F">
        <w:t>DRV</w:t>
      </w:r>
      <w:r w:rsidRPr="00E17776">
        <w:t xml:space="preserve"> combination was not tested in nonclinical studies, and registration will rely more on clinical data.</w:t>
      </w:r>
    </w:p>
    <w:p w:rsidR="008E7846" w:rsidRPr="00E716FF" w:rsidRDefault="008E7846" w:rsidP="00E716FF">
      <w:pPr>
        <w:pStyle w:val="Heading2"/>
      </w:pPr>
      <w:bookmarkStart w:id="49" w:name="_Toc196046462"/>
      <w:bookmarkStart w:id="50" w:name="_Toc247691516"/>
      <w:bookmarkStart w:id="51" w:name="_Toc314842500"/>
      <w:bookmarkStart w:id="52" w:name="_Toc163441353"/>
      <w:bookmarkStart w:id="53" w:name="_Toc163441348"/>
      <w:bookmarkStart w:id="54" w:name="_Toc376430055"/>
      <w:r>
        <w:t xml:space="preserve">IV. </w:t>
      </w:r>
      <w:r w:rsidRPr="00254787">
        <w:t>Clinical</w:t>
      </w:r>
      <w:bookmarkEnd w:id="49"/>
      <w:r>
        <w:t xml:space="preserve"> </w:t>
      </w:r>
      <w:r w:rsidR="003A7F6C">
        <w:t>f</w:t>
      </w:r>
      <w:r>
        <w:t>indings</w:t>
      </w:r>
      <w:bookmarkEnd w:id="50"/>
      <w:bookmarkEnd w:id="51"/>
      <w:bookmarkEnd w:id="54"/>
    </w:p>
    <w:p w:rsidR="00C80137" w:rsidRPr="00E716FF" w:rsidRDefault="00C80137" w:rsidP="00E716FF">
      <w:pPr>
        <w:rPr>
          <w:i/>
        </w:rPr>
      </w:pPr>
      <w:bookmarkStart w:id="55" w:name="_Toc196046463"/>
      <w:r w:rsidRPr="00E716FF">
        <w:rPr>
          <w:i/>
        </w:rPr>
        <w:t>A summary of the clinical findings is presented in this section. Further details of these clinical findings can be found in Attachment 2.</w:t>
      </w:r>
    </w:p>
    <w:p w:rsidR="008E7846" w:rsidRPr="00E716FF" w:rsidRDefault="008E7846" w:rsidP="00E716FF">
      <w:pPr>
        <w:pStyle w:val="Heading3"/>
      </w:pPr>
      <w:bookmarkStart w:id="56" w:name="_Toc247691517"/>
      <w:bookmarkStart w:id="57" w:name="_Toc314842501"/>
      <w:bookmarkStart w:id="58" w:name="_Toc376430056"/>
      <w:r w:rsidRPr="00254787">
        <w:t>Introduction</w:t>
      </w:r>
      <w:bookmarkEnd w:id="55"/>
      <w:bookmarkEnd w:id="56"/>
      <w:bookmarkEnd w:id="57"/>
      <w:bookmarkEnd w:id="58"/>
    </w:p>
    <w:p w:rsidR="00B737EA" w:rsidRPr="00B737EA" w:rsidRDefault="00B737EA" w:rsidP="00E716FF">
      <w:r w:rsidRPr="00B737EA">
        <w:t>The clinical dossier documented a full clinical development program of pharmacology, efficacy and safety.</w:t>
      </w:r>
    </w:p>
    <w:p w:rsidR="00B737EA" w:rsidRPr="00B737EA" w:rsidRDefault="00B737EA" w:rsidP="00E716FF">
      <w:r w:rsidRPr="00B737EA">
        <w:t>The submission contained the following clinical information:</w:t>
      </w:r>
    </w:p>
    <w:p w:rsidR="00B737EA" w:rsidRPr="00B737EA" w:rsidRDefault="00B737EA" w:rsidP="00E716FF">
      <w:pPr>
        <w:pStyle w:val="ListBullet"/>
      </w:pPr>
      <w:r w:rsidRPr="00B737EA">
        <w:t xml:space="preserve">4 clinical pharmacology studies, including 4 </w:t>
      </w:r>
      <w:r w:rsidR="0088035C">
        <w:t xml:space="preserve">studies </w:t>
      </w:r>
      <w:r w:rsidRPr="00B737EA">
        <w:t xml:space="preserve">(GS-US-216-0101, GS-US-216-0110, GS-US-216-0115 and GS-US-216-0119) that provided pharmacokinetic data and 1 </w:t>
      </w:r>
      <w:r w:rsidR="0088035C">
        <w:t xml:space="preserve">study </w:t>
      </w:r>
      <w:r w:rsidRPr="00B737EA">
        <w:t xml:space="preserve">(GS-US-216-0119) that provided </w:t>
      </w:r>
      <w:proofErr w:type="spellStart"/>
      <w:r w:rsidRPr="00B737EA">
        <w:t>pharmacodynamic</w:t>
      </w:r>
      <w:proofErr w:type="spellEnd"/>
      <w:r w:rsidRPr="00B737EA">
        <w:t xml:space="preserve"> data</w:t>
      </w:r>
    </w:p>
    <w:p w:rsidR="00B737EA" w:rsidRPr="00B737EA" w:rsidRDefault="00B737EA" w:rsidP="00E716FF">
      <w:pPr>
        <w:pStyle w:val="ListBullet"/>
      </w:pPr>
      <w:r w:rsidRPr="00B737EA">
        <w:t>1 population pharmacokinetic analysis report</w:t>
      </w:r>
    </w:p>
    <w:p w:rsidR="00B737EA" w:rsidRPr="00B737EA" w:rsidRDefault="00B737EA" w:rsidP="00B737EA">
      <w:pPr>
        <w:pStyle w:val="ListBullet"/>
      </w:pPr>
      <w:r w:rsidRPr="00B737EA">
        <w:t>2 pivotal efficacy/safety studies (GS-US-216-0105 and GS-US-216-0114) which also provided PK data</w:t>
      </w:r>
    </w:p>
    <w:p w:rsidR="00B737EA" w:rsidRPr="00B737EA" w:rsidRDefault="00B737EA" w:rsidP="00E716FF">
      <w:pPr>
        <w:pStyle w:val="ListBullet"/>
      </w:pPr>
      <w:r w:rsidRPr="00B737EA">
        <w:t>Tabulations from Integrated Summary of Efficacy and Integrated Summary of Safety</w:t>
      </w:r>
    </w:p>
    <w:p w:rsidR="00B737EA" w:rsidRPr="00E716FF" w:rsidRDefault="00B737EA" w:rsidP="00E716FF">
      <w:pPr>
        <w:ind w:left="360"/>
        <w:rPr>
          <w:i/>
        </w:rPr>
      </w:pPr>
      <w:r w:rsidRPr="00E716FF">
        <w:rPr>
          <w:i/>
        </w:rPr>
        <w:t>Comment: The Summaries are dated between May and June 2012 and by agreement with TGA are the summaries submitted in the USA – they include many more studies (21) than have b</w:t>
      </w:r>
      <w:r w:rsidR="00371EA0" w:rsidRPr="00E716FF">
        <w:rPr>
          <w:i/>
        </w:rPr>
        <w:t xml:space="preserve">een submitted in Australia, for example, </w:t>
      </w:r>
      <w:r w:rsidRPr="00E716FF">
        <w:rPr>
          <w:i/>
        </w:rPr>
        <w:t xml:space="preserve">they are summaries of studies of both </w:t>
      </w:r>
      <w:r w:rsidR="00675E9F" w:rsidRPr="00E716FF">
        <w:rPr>
          <w:i/>
        </w:rPr>
        <w:t>COBI</w:t>
      </w:r>
      <w:r w:rsidRPr="00E716FF">
        <w:rPr>
          <w:i/>
        </w:rPr>
        <w:t xml:space="preserve"> single tabl</w:t>
      </w:r>
      <w:r w:rsidR="00F507D8" w:rsidRPr="00E716FF">
        <w:rPr>
          <w:i/>
        </w:rPr>
        <w:t xml:space="preserve">et and as component of the </w:t>
      </w:r>
      <w:proofErr w:type="spellStart"/>
      <w:r w:rsidR="007F3098" w:rsidRPr="00E716FF">
        <w:rPr>
          <w:i/>
        </w:rPr>
        <w:t>Stribild</w:t>
      </w:r>
      <w:proofErr w:type="spellEnd"/>
      <w:r w:rsidRPr="00E716FF">
        <w:rPr>
          <w:i/>
        </w:rPr>
        <w:t xml:space="preserve"> combination tablet. Many studies referenced in the summaries as being of </w:t>
      </w:r>
      <w:r w:rsidR="00675E9F" w:rsidRPr="00E716FF">
        <w:rPr>
          <w:i/>
        </w:rPr>
        <w:t>COBI</w:t>
      </w:r>
      <w:r w:rsidRPr="00E716FF">
        <w:rPr>
          <w:i/>
        </w:rPr>
        <w:t xml:space="preserve"> single tablets have not been included in this submission, but were submitted in the </w:t>
      </w:r>
      <w:proofErr w:type="spellStart"/>
      <w:r w:rsidR="00F507D8" w:rsidRPr="00E716FF">
        <w:rPr>
          <w:i/>
        </w:rPr>
        <w:t>Stribild</w:t>
      </w:r>
      <w:proofErr w:type="spellEnd"/>
      <w:r w:rsidRPr="00E716FF">
        <w:rPr>
          <w:i/>
        </w:rPr>
        <w:t xml:space="preserve"> submission. A list of these studies and the submission in which they were included is provided. All studies have been evaluated. Reference is made to the </w:t>
      </w:r>
      <w:proofErr w:type="spellStart"/>
      <w:r w:rsidR="00F507D8" w:rsidRPr="00E716FF">
        <w:rPr>
          <w:i/>
        </w:rPr>
        <w:t>Stribild</w:t>
      </w:r>
      <w:proofErr w:type="spellEnd"/>
      <w:r w:rsidRPr="00E716FF">
        <w:rPr>
          <w:i/>
        </w:rPr>
        <w:t xml:space="preserve"> submission evaluator’s report where relevant.</w:t>
      </w:r>
    </w:p>
    <w:p w:rsidR="008E7846" w:rsidRPr="00254787" w:rsidRDefault="008E7846" w:rsidP="00E716FF">
      <w:pPr>
        <w:pStyle w:val="Heading3"/>
      </w:pPr>
      <w:bookmarkStart w:id="59" w:name="_Toc196046464"/>
      <w:bookmarkStart w:id="60" w:name="_Toc247691518"/>
      <w:bookmarkStart w:id="61" w:name="_Toc314842502"/>
      <w:bookmarkStart w:id="62" w:name="_Toc376430057"/>
      <w:r w:rsidRPr="00254787">
        <w:t>Pharmacokinetics</w:t>
      </w:r>
      <w:bookmarkEnd w:id="52"/>
      <w:bookmarkEnd w:id="59"/>
      <w:bookmarkEnd w:id="60"/>
      <w:bookmarkEnd w:id="61"/>
      <w:bookmarkEnd w:id="62"/>
    </w:p>
    <w:p w:rsidR="009B64CC" w:rsidRDefault="009B64CC" w:rsidP="00E716FF">
      <w:pPr>
        <w:pStyle w:val="Heading4"/>
      </w:pPr>
      <w:bookmarkStart w:id="63" w:name="_Ref271017296"/>
      <w:bookmarkStart w:id="64" w:name="_Ref271018924"/>
      <w:bookmarkStart w:id="65" w:name="_Ref271018934"/>
      <w:bookmarkStart w:id="66" w:name="_Toc272414614"/>
      <w:bookmarkStart w:id="67" w:name="_Toc290846238"/>
      <w:bookmarkStart w:id="68" w:name="_Toc360193574"/>
      <w:r>
        <w:t>Studies</w:t>
      </w:r>
      <w:bookmarkEnd w:id="63"/>
      <w:bookmarkEnd w:id="64"/>
      <w:bookmarkEnd w:id="65"/>
      <w:r>
        <w:t xml:space="preserve"> providing pharmacokinetic data</w:t>
      </w:r>
      <w:bookmarkEnd w:id="66"/>
      <w:bookmarkEnd w:id="67"/>
      <w:bookmarkEnd w:id="68"/>
    </w:p>
    <w:p w:rsidR="009B64CC" w:rsidRPr="009B64CC" w:rsidRDefault="00F22DC7" w:rsidP="00E716FF">
      <w:r>
        <w:t xml:space="preserve">Table 3 </w:t>
      </w:r>
      <w:r w:rsidR="009B64CC" w:rsidRPr="009B64CC">
        <w:t>shows the studies relating to each pharmacokinetic topic and the location of each study summary.</w:t>
      </w:r>
    </w:p>
    <w:p w:rsidR="00F22DC7" w:rsidRDefault="00F22DC7" w:rsidP="00E716FF">
      <w:pPr>
        <w:pStyle w:val="TableTitle"/>
        <w:rPr>
          <w:lang w:val="en-GB"/>
        </w:rPr>
      </w:pPr>
      <w:r>
        <w:lastRenderedPageBreak/>
        <w:t>Table 3:</w:t>
      </w:r>
      <w:r w:rsidRPr="004C5C28">
        <w:t xml:space="preserve"> </w:t>
      </w:r>
      <w:r w:rsidR="003E7642" w:rsidRPr="003E7642">
        <w:t>Submitted pharmacokinetic studies</w:t>
      </w:r>
      <w:r>
        <w:t>.</w:t>
      </w:r>
    </w:p>
    <w:p w:rsidR="009B64CC" w:rsidRDefault="00094C92" w:rsidP="00E716FF">
      <w:r>
        <w:rPr>
          <w:noProof/>
          <w:lang w:eastAsia="en-AU"/>
        </w:rPr>
        <w:drawing>
          <wp:inline distT="0" distB="0" distL="0" distR="0">
            <wp:extent cx="3769995" cy="2872105"/>
            <wp:effectExtent l="19050" t="0" r="1905" b="0"/>
            <wp:docPr id="4" name="Picture 4" descr="Table 3: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bmitted pharmacokinetic studies."/>
                    <pic:cNvPicPr>
                      <a:picLocks noChangeAspect="1" noChangeArrowheads="1"/>
                    </pic:cNvPicPr>
                  </pic:nvPicPr>
                  <pic:blipFill>
                    <a:blip r:embed="rId16" cstate="print"/>
                    <a:srcRect/>
                    <a:stretch>
                      <a:fillRect/>
                    </a:stretch>
                  </pic:blipFill>
                  <pic:spPr bwMode="auto">
                    <a:xfrm>
                      <a:off x="0" y="0"/>
                      <a:ext cx="3769995" cy="2872105"/>
                    </a:xfrm>
                    <a:prstGeom prst="rect">
                      <a:avLst/>
                    </a:prstGeom>
                    <a:noFill/>
                    <a:ln w="9525">
                      <a:noFill/>
                      <a:miter lim="800000"/>
                      <a:headEnd/>
                      <a:tailEnd/>
                    </a:ln>
                  </pic:spPr>
                </pic:pic>
              </a:graphicData>
            </a:graphic>
          </wp:inline>
        </w:drawing>
      </w:r>
    </w:p>
    <w:p w:rsidR="00C9033E" w:rsidRPr="00B226E9" w:rsidRDefault="00C9033E" w:rsidP="00E716FF">
      <w:pPr>
        <w:pStyle w:val="TableDescription"/>
      </w:pPr>
      <w:r w:rsidRPr="00B226E9">
        <w:t>* Indicates the primary aim of the study.</w:t>
      </w:r>
    </w:p>
    <w:p w:rsidR="00C9033E" w:rsidRPr="00B226E9" w:rsidRDefault="00C9033E" w:rsidP="00E716FF">
      <w:pPr>
        <w:pStyle w:val="TableDescription"/>
      </w:pPr>
      <w:r w:rsidRPr="00B226E9">
        <w:t>† Bioequivalence of different formulations.</w:t>
      </w:r>
    </w:p>
    <w:p w:rsidR="00C9033E" w:rsidRPr="00B226E9" w:rsidRDefault="00C9033E" w:rsidP="00E716FF">
      <w:pPr>
        <w:pStyle w:val="TableDescription"/>
      </w:pPr>
      <w:r w:rsidRPr="00B226E9">
        <w:t>§ Subjects who would be eligible to receive the drug if approved for the proposed indication.</w:t>
      </w:r>
    </w:p>
    <w:p w:rsidR="00864E86" w:rsidRDefault="00864E86" w:rsidP="00E716FF">
      <w:r w:rsidRPr="00864E86">
        <w:t>None of the pharmacokinetic studies had deficiencies that excluded their results from consideration.</w:t>
      </w:r>
    </w:p>
    <w:p w:rsidR="004C3526" w:rsidRDefault="004C3526" w:rsidP="00E716FF">
      <w:pPr>
        <w:pStyle w:val="Heading4"/>
      </w:pPr>
      <w:r>
        <w:t>Evaluator’s overall conclusions on pharmacokinetics</w:t>
      </w:r>
    </w:p>
    <w:p w:rsidR="004C3526" w:rsidRPr="004C3526" w:rsidRDefault="004C3526" w:rsidP="00E716FF">
      <w:r w:rsidRPr="004C3526">
        <w:t xml:space="preserve">The pharmacokinetics of </w:t>
      </w:r>
      <w:r w:rsidR="00675E9F">
        <w:t>COBI</w:t>
      </w:r>
      <w:r w:rsidR="00D96C27">
        <w:t xml:space="preserve"> have been extensively studied</w:t>
      </w:r>
      <w:r w:rsidRPr="004C3526">
        <w:t xml:space="preserve"> mostly in studies not included in this submission but inc</w:t>
      </w:r>
      <w:r w:rsidR="00F507D8">
        <w:t xml:space="preserve">luded and evaluated in the </w:t>
      </w:r>
      <w:proofErr w:type="spellStart"/>
      <w:r w:rsidR="007F3098">
        <w:t>Stribild</w:t>
      </w:r>
      <w:proofErr w:type="spellEnd"/>
      <w:r w:rsidRPr="004C3526">
        <w:t xml:space="preserve"> submission. The overall analysis of the PK of </w:t>
      </w:r>
      <w:r w:rsidR="00675E9F">
        <w:t>COBI</w:t>
      </w:r>
      <w:r w:rsidRPr="004C3526">
        <w:t xml:space="preserve"> is therefore based on individual studies and on a population analysis with a large dataset (9,584 </w:t>
      </w:r>
      <w:r w:rsidR="00675E9F">
        <w:t>COBI</w:t>
      </w:r>
      <w:r w:rsidRPr="004C3526">
        <w:t xml:space="preserve"> concentration-time records [8,880 intensive and 704 sparse data]) from a total of 504 subjects across 16 clinical studies.</w:t>
      </w:r>
    </w:p>
    <w:p w:rsidR="004C3526" w:rsidRPr="004C3526" w:rsidRDefault="004C3526" w:rsidP="00E716FF">
      <w:r w:rsidRPr="004C3526">
        <w:t xml:space="preserve">The studies using </w:t>
      </w:r>
      <w:r w:rsidR="00675E9F">
        <w:t>COBI</w:t>
      </w:r>
      <w:r w:rsidRPr="004C3526">
        <w:t xml:space="preserve"> with DRV were conducted in healthy volunteers but the studies with ATV were conducted in both healthy volunteers and in HIV-1 infected patients. The results demonstrated that the PK parameters were comparable in the two populations.</w:t>
      </w:r>
    </w:p>
    <w:p w:rsidR="004C3526" w:rsidRPr="004C3526" w:rsidRDefault="004C3526" w:rsidP="00E716FF">
      <w:r w:rsidRPr="004C3526">
        <w:t xml:space="preserve">Given the metabolism of </w:t>
      </w:r>
      <w:r w:rsidR="00675E9F">
        <w:t>COBI</w:t>
      </w:r>
      <w:r w:rsidRPr="004C3526">
        <w:t xml:space="preserve"> by CYP3A and the similarity of the product to </w:t>
      </w:r>
      <w:r w:rsidR="009D3AE9">
        <w:t>RTV</w:t>
      </w:r>
      <w:r w:rsidR="006460F8">
        <w:t>,</w:t>
      </w:r>
      <w:r w:rsidRPr="004C3526">
        <w:t xml:space="preserve"> the company has appropriately conducted a comprehensive range of interaction studies with drugs known to interact with CYP3A and these have previously been evaluated in the </w:t>
      </w:r>
      <w:proofErr w:type="spellStart"/>
      <w:r w:rsidR="00F507D8">
        <w:t>Stribild</w:t>
      </w:r>
      <w:proofErr w:type="spellEnd"/>
      <w:r w:rsidRPr="004C3526">
        <w:t xml:space="preserve"> submission.</w:t>
      </w:r>
    </w:p>
    <w:p w:rsidR="004C3526" w:rsidRPr="004C3526" w:rsidRDefault="004C3526" w:rsidP="00E716FF">
      <w:r w:rsidRPr="004C3526">
        <w:t xml:space="preserve">The proposed </w:t>
      </w:r>
      <w:r w:rsidR="007A5476">
        <w:t>PI</w:t>
      </w:r>
      <w:r w:rsidR="00771A6D">
        <w:t xml:space="preserve"> </w:t>
      </w:r>
      <w:r w:rsidRPr="004C3526">
        <w:t>is generally an adequate summary of the PK presented in the submission with the exception of the following:</w:t>
      </w:r>
    </w:p>
    <w:p w:rsidR="004C3526" w:rsidRPr="004C3526" w:rsidRDefault="004C3526" w:rsidP="00E716FF">
      <w:pPr>
        <w:pStyle w:val="ListBullet"/>
      </w:pPr>
      <w:r w:rsidRPr="004C3526">
        <w:t>Based on data submitted</w:t>
      </w:r>
      <w:r w:rsidR="002444E4">
        <w:t>,</w:t>
      </w:r>
      <w:r w:rsidRPr="004C3526">
        <w:t xml:space="preserve"> the </w:t>
      </w:r>
      <w:r w:rsidR="00E9524C">
        <w:t>t</w:t>
      </w:r>
      <w:r w:rsidR="00E9524C" w:rsidRPr="00E9524C">
        <w:t>ime to</w:t>
      </w:r>
      <w:r w:rsidR="00E9524C">
        <w:t xml:space="preserve"> reach </w:t>
      </w:r>
      <w:r w:rsidR="00E9524C" w:rsidRPr="00E9524C">
        <w:t>peak plasma concentration</w:t>
      </w:r>
      <w:r w:rsidR="00E9524C">
        <w:t xml:space="preserve"> </w:t>
      </w:r>
      <w:r w:rsidR="00E9524C" w:rsidRPr="00E9524C">
        <w:t xml:space="preserve">following drug administration </w:t>
      </w:r>
      <w:r w:rsidR="00B82332">
        <w:t>(</w:t>
      </w:r>
      <w:proofErr w:type="spellStart"/>
      <w:r w:rsidRPr="004C3526">
        <w:t>T</w:t>
      </w:r>
      <w:r w:rsidRPr="007A5476">
        <w:rPr>
          <w:vertAlign w:val="subscript"/>
        </w:rPr>
        <w:t>max</w:t>
      </w:r>
      <w:proofErr w:type="spellEnd"/>
      <w:r w:rsidR="00B82332">
        <w:t xml:space="preserve">) </w:t>
      </w:r>
      <w:r w:rsidR="00E56B9D">
        <w:t>should be 3-4 h rather than just 4 h</w:t>
      </w:r>
      <w:r w:rsidR="00F60AFF">
        <w:t>;</w:t>
      </w:r>
    </w:p>
    <w:p w:rsidR="004C3526" w:rsidRPr="004C3526" w:rsidRDefault="004C3526" w:rsidP="00E716FF">
      <w:pPr>
        <w:pStyle w:val="ListBullet"/>
      </w:pPr>
      <w:r w:rsidRPr="004C3526">
        <w:t xml:space="preserve">The statement that </w:t>
      </w:r>
      <w:r w:rsidR="006460F8">
        <w:t>“</w:t>
      </w:r>
      <w:r w:rsidRPr="004C3526">
        <w:t>no food study was conducted</w:t>
      </w:r>
      <w:r w:rsidR="006460F8">
        <w:t>”</w:t>
      </w:r>
      <w:r w:rsidR="00D96C27">
        <w:t xml:space="preserve"> is incorrect. </w:t>
      </w:r>
      <w:r w:rsidRPr="004C3526">
        <w:t xml:space="preserve">Study GS-US-201-0101 studied the effect of food on the PK on </w:t>
      </w:r>
      <w:r w:rsidR="00675E9F">
        <w:t>COBI</w:t>
      </w:r>
      <w:r w:rsidRPr="004C3526">
        <w:t xml:space="preserve"> in healthy subjects. It would be correct to say </w:t>
      </w:r>
      <w:r w:rsidR="006460F8">
        <w:t>“</w:t>
      </w:r>
      <w:r w:rsidRPr="004C3526">
        <w:t>no food study was conducted in HIV-1 infected patients</w:t>
      </w:r>
      <w:r w:rsidR="006460F8">
        <w:t>”</w:t>
      </w:r>
      <w:r w:rsidRPr="004C3526">
        <w:t>.</w:t>
      </w:r>
    </w:p>
    <w:p w:rsidR="008E7846" w:rsidRDefault="008E7846" w:rsidP="00E716FF">
      <w:pPr>
        <w:pStyle w:val="Heading3"/>
      </w:pPr>
      <w:bookmarkStart w:id="69" w:name="_Toc196046481"/>
      <w:bookmarkStart w:id="70" w:name="_Toc247691520"/>
      <w:bookmarkStart w:id="71" w:name="_Toc314842503"/>
      <w:bookmarkStart w:id="72" w:name="_Toc376430058"/>
      <w:proofErr w:type="spellStart"/>
      <w:r w:rsidRPr="00254787">
        <w:lastRenderedPageBreak/>
        <w:t>Pharmacodynamics</w:t>
      </w:r>
      <w:bookmarkEnd w:id="53"/>
      <w:bookmarkEnd w:id="69"/>
      <w:bookmarkEnd w:id="70"/>
      <w:bookmarkEnd w:id="71"/>
      <w:bookmarkEnd w:id="72"/>
      <w:proofErr w:type="spellEnd"/>
    </w:p>
    <w:p w:rsidR="00F60AFF" w:rsidRDefault="00F60AFF" w:rsidP="00E716FF">
      <w:pPr>
        <w:pStyle w:val="Heading4"/>
      </w:pPr>
      <w:bookmarkStart w:id="73" w:name="_Toc272414637"/>
      <w:bookmarkStart w:id="74" w:name="_Toc290846260"/>
      <w:bookmarkStart w:id="75" w:name="_Toc360193596"/>
      <w:r>
        <w:t xml:space="preserve">Studies providing </w:t>
      </w:r>
      <w:proofErr w:type="spellStart"/>
      <w:r>
        <w:t>pharmacodynamic</w:t>
      </w:r>
      <w:proofErr w:type="spellEnd"/>
      <w:r>
        <w:t xml:space="preserve"> data</w:t>
      </w:r>
      <w:bookmarkEnd w:id="73"/>
      <w:bookmarkEnd w:id="74"/>
      <w:bookmarkEnd w:id="75"/>
    </w:p>
    <w:p w:rsidR="00F60AFF" w:rsidRPr="00F60AFF" w:rsidRDefault="00F60AFF" w:rsidP="00E716FF">
      <w:r>
        <w:t xml:space="preserve">Table 4 </w:t>
      </w:r>
      <w:r w:rsidRPr="00F60AFF">
        <w:t xml:space="preserve">shows the studies relating to each </w:t>
      </w:r>
      <w:proofErr w:type="spellStart"/>
      <w:r w:rsidRPr="00F60AFF">
        <w:t>pharmacodynamic</w:t>
      </w:r>
      <w:proofErr w:type="spellEnd"/>
      <w:r w:rsidRPr="00F60AFF">
        <w:t xml:space="preserve"> topic and the location of each study summary.</w:t>
      </w:r>
    </w:p>
    <w:p w:rsidR="00FE38D0" w:rsidRDefault="00FE38D0" w:rsidP="00E716FF">
      <w:pPr>
        <w:pStyle w:val="TableTitle"/>
        <w:rPr>
          <w:lang w:val="en-GB"/>
        </w:rPr>
      </w:pPr>
      <w:r>
        <w:t>Table 4:</w:t>
      </w:r>
      <w:r w:rsidRPr="004C5C28">
        <w:t xml:space="preserve"> </w:t>
      </w:r>
      <w:r w:rsidRPr="00FE38D0">
        <w:t xml:space="preserve">Submitted </w:t>
      </w:r>
      <w:proofErr w:type="spellStart"/>
      <w:r w:rsidRPr="00FE38D0">
        <w:t>pharmacodynamic</w:t>
      </w:r>
      <w:proofErr w:type="spellEnd"/>
      <w:r w:rsidRPr="00FE38D0">
        <w:t xml:space="preserve"> studies</w:t>
      </w:r>
      <w:r>
        <w:t>.</w:t>
      </w:r>
    </w:p>
    <w:p w:rsidR="00F60AFF" w:rsidRDefault="00094C92" w:rsidP="00E716FF">
      <w:r>
        <w:rPr>
          <w:noProof/>
          <w:lang w:eastAsia="en-AU"/>
        </w:rPr>
        <w:drawing>
          <wp:inline distT="0" distB="0" distL="0" distR="0">
            <wp:extent cx="3887470" cy="1705610"/>
            <wp:effectExtent l="19050" t="0" r="0" b="0"/>
            <wp:docPr id="5" name="Picture 5" descr="Table 4: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ubmitted pharmacodynamic studies."/>
                    <pic:cNvPicPr>
                      <a:picLocks noChangeAspect="1" noChangeArrowheads="1"/>
                    </pic:cNvPicPr>
                  </pic:nvPicPr>
                  <pic:blipFill>
                    <a:blip r:embed="rId17" cstate="print"/>
                    <a:srcRect/>
                    <a:stretch>
                      <a:fillRect/>
                    </a:stretch>
                  </pic:blipFill>
                  <pic:spPr bwMode="auto">
                    <a:xfrm>
                      <a:off x="0" y="0"/>
                      <a:ext cx="3887470" cy="1705610"/>
                    </a:xfrm>
                    <a:prstGeom prst="rect">
                      <a:avLst/>
                    </a:prstGeom>
                    <a:noFill/>
                    <a:ln w="9525">
                      <a:noFill/>
                      <a:miter lim="800000"/>
                      <a:headEnd/>
                      <a:tailEnd/>
                    </a:ln>
                  </pic:spPr>
                </pic:pic>
              </a:graphicData>
            </a:graphic>
          </wp:inline>
        </w:drawing>
      </w:r>
    </w:p>
    <w:p w:rsidR="00065EC9" w:rsidRPr="00001D11" w:rsidRDefault="00065EC9" w:rsidP="00E716FF">
      <w:pPr>
        <w:pStyle w:val="TableDescription"/>
      </w:pPr>
      <w:r w:rsidRPr="00001D11">
        <w:t>* Indicates the primary aim of the study.</w:t>
      </w:r>
    </w:p>
    <w:p w:rsidR="00065EC9" w:rsidRPr="00001D11" w:rsidRDefault="00065EC9" w:rsidP="00E716FF">
      <w:pPr>
        <w:pStyle w:val="TableDescription"/>
      </w:pPr>
      <w:r w:rsidRPr="00001D11">
        <w:t>§ Subjects who would be eligible to receive the drug if approved for the proposed indication.</w:t>
      </w:r>
    </w:p>
    <w:p w:rsidR="00065EC9" w:rsidRDefault="00065EC9" w:rsidP="00E716FF">
      <w:r>
        <w:t xml:space="preserve">None of the </w:t>
      </w:r>
      <w:proofErr w:type="spellStart"/>
      <w:r>
        <w:t>pharmacodynamic</w:t>
      </w:r>
      <w:proofErr w:type="spellEnd"/>
      <w:r>
        <w:t xml:space="preserve"> studies had deficiencies that excluded their results from consideration.</w:t>
      </w:r>
    </w:p>
    <w:p w:rsidR="00065EC9" w:rsidRPr="00065EC9" w:rsidRDefault="00065EC9" w:rsidP="00E716FF">
      <w:r w:rsidRPr="00065EC9">
        <w:t xml:space="preserve">The PK/PD </w:t>
      </w:r>
      <w:r w:rsidR="00F40729">
        <w:t>(pharmacokinetic/</w:t>
      </w:r>
      <w:proofErr w:type="spellStart"/>
      <w:r w:rsidR="00F40729">
        <w:t>pharmacodynamic</w:t>
      </w:r>
      <w:proofErr w:type="spellEnd"/>
      <w:r w:rsidR="00F40729">
        <w:t xml:space="preserve">) </w:t>
      </w:r>
      <w:r w:rsidRPr="00065EC9">
        <w:t xml:space="preserve">relationship was also investigated in the following studies evaluated in the </w:t>
      </w:r>
      <w:proofErr w:type="spellStart"/>
      <w:r w:rsidR="00DF0DE7">
        <w:t>Stribild</w:t>
      </w:r>
      <w:proofErr w:type="spellEnd"/>
      <w:r w:rsidRPr="00065EC9">
        <w:t xml:space="preserve"> studies:</w:t>
      </w:r>
    </w:p>
    <w:p w:rsidR="00065EC9" w:rsidRPr="00065EC9" w:rsidRDefault="00065EC9" w:rsidP="00E716FF">
      <w:pPr>
        <w:pStyle w:val="ListBullet"/>
      </w:pPr>
      <w:r w:rsidRPr="00065EC9">
        <w:t xml:space="preserve">A proof of concept study of the selected CYP3A activity of </w:t>
      </w:r>
      <w:r w:rsidR="00675E9F">
        <w:t>COBI</w:t>
      </w:r>
      <w:r w:rsidRPr="00065EC9">
        <w:t xml:space="preserve"> (Study GS-US-216-0101)</w:t>
      </w:r>
    </w:p>
    <w:p w:rsidR="00065EC9" w:rsidRPr="00065EC9" w:rsidRDefault="00065EC9" w:rsidP="00E716FF">
      <w:pPr>
        <w:pStyle w:val="ListBullet"/>
      </w:pPr>
      <w:r w:rsidRPr="00065EC9">
        <w:t xml:space="preserve">A study of </w:t>
      </w:r>
      <w:r w:rsidR="00675E9F">
        <w:t>COBI</w:t>
      </w:r>
      <w:r w:rsidRPr="00065EC9">
        <w:t xml:space="preserve">’s effect on selected CYPs and the drug efflux transporter </w:t>
      </w:r>
      <w:proofErr w:type="spellStart"/>
      <w:r w:rsidRPr="00065EC9">
        <w:t>Pgp</w:t>
      </w:r>
      <w:proofErr w:type="spellEnd"/>
      <w:r w:rsidRPr="00065EC9">
        <w:t xml:space="preserve"> (Study GS-US-216-0112)</w:t>
      </w:r>
    </w:p>
    <w:p w:rsidR="00065EC9" w:rsidRPr="00065EC9" w:rsidRDefault="00065EC9" w:rsidP="00065EC9">
      <w:pPr>
        <w:pStyle w:val="ListBullet"/>
      </w:pPr>
      <w:r w:rsidRPr="00065EC9">
        <w:t xml:space="preserve">A dose selection study of </w:t>
      </w:r>
      <w:r w:rsidR="00675E9F">
        <w:t>COBI</w:t>
      </w:r>
      <w:r w:rsidRPr="00065EC9">
        <w:t>’s effects on a validated CYP3A metabolic probe (</w:t>
      </w:r>
      <w:proofErr w:type="spellStart"/>
      <w:r w:rsidRPr="00065EC9">
        <w:t>midazolam</w:t>
      </w:r>
      <w:proofErr w:type="spellEnd"/>
      <w:r w:rsidRPr="00065EC9">
        <w:t xml:space="preserve">) relative to </w:t>
      </w:r>
      <w:r w:rsidR="009D3AE9">
        <w:t>RTV</w:t>
      </w:r>
      <w:r w:rsidRPr="00065EC9">
        <w:t xml:space="preserve"> (Study GS-US-216-0116)</w:t>
      </w:r>
    </w:p>
    <w:p w:rsidR="00065EC9" w:rsidRDefault="00065EC9" w:rsidP="00E716FF">
      <w:r w:rsidRPr="00065EC9">
        <w:t xml:space="preserve">The effectiveness of </w:t>
      </w:r>
      <w:r w:rsidR="00675E9F">
        <w:t>COBI</w:t>
      </w:r>
      <w:r w:rsidRPr="00065EC9">
        <w:t xml:space="preserve"> to boost </w:t>
      </w:r>
      <w:r w:rsidR="00675E9F">
        <w:t>DRV</w:t>
      </w:r>
      <w:r w:rsidRPr="00065EC9">
        <w:t xml:space="preserve"> is based solely on the PK results. In place of a clinical efficacy study with DRV</w:t>
      </w:r>
      <w:r w:rsidR="001C3AAA">
        <w:t>,</w:t>
      </w:r>
      <w:r w:rsidRPr="00065EC9">
        <w:t xml:space="preserve"> the sponsor has provided one PK study (Study GS-US-216-0115) and an analysis of the PK/PD relationship using data from the Phase </w:t>
      </w:r>
      <w:r w:rsidR="001C3AAA">
        <w:t>III</w:t>
      </w:r>
      <w:r w:rsidRPr="00065EC9">
        <w:t xml:space="preserve"> studies which were the basis for approval of the DRV/r 800/100 mg once</w:t>
      </w:r>
      <w:r w:rsidR="00F372DA">
        <w:t xml:space="preserve"> </w:t>
      </w:r>
      <w:r w:rsidRPr="00065EC9">
        <w:t>daily dosing indication. These studies TCM114-C211 and TCM114-C229 were conducted by</w:t>
      </w:r>
      <w:r w:rsidR="00F372DA">
        <w:t xml:space="preserve"> the sponsor of DRV (Johnson &amp;</w:t>
      </w:r>
      <w:r w:rsidRPr="00065EC9">
        <w:t xml:space="preserve"> Johnson) and were studies of DRV/r 800/100 mg in HIV-1 infected subjects. The DRV exposures and associated antiviral responses were in the range seen with DRV/co. These studies are not summarised but are discussed.</w:t>
      </w:r>
    </w:p>
    <w:p w:rsidR="00F06FD3" w:rsidRDefault="00F06FD3" w:rsidP="00E716FF">
      <w:pPr>
        <w:pStyle w:val="Heading4"/>
      </w:pPr>
      <w:bookmarkStart w:id="76" w:name="_Ref269983272"/>
      <w:bookmarkStart w:id="77" w:name="_Toc272414648"/>
      <w:bookmarkStart w:id="78" w:name="_Toc290846270"/>
      <w:bookmarkStart w:id="79" w:name="_Toc360193602"/>
      <w:r>
        <w:t xml:space="preserve">Evaluator’s overall conclusions on </w:t>
      </w:r>
      <w:proofErr w:type="spellStart"/>
      <w:r>
        <w:t>pharmacodynamics</w:t>
      </w:r>
      <w:bookmarkEnd w:id="76"/>
      <w:bookmarkEnd w:id="77"/>
      <w:bookmarkEnd w:id="78"/>
      <w:bookmarkEnd w:id="79"/>
      <w:proofErr w:type="spellEnd"/>
    </w:p>
    <w:p w:rsidR="00F06FD3" w:rsidRPr="00F06FD3" w:rsidRDefault="00F06FD3" w:rsidP="008751B5">
      <w:r w:rsidRPr="00F06FD3">
        <w:t>The studies included in this submission have focussed on the PK/PD interactions with ot</w:t>
      </w:r>
      <w:r w:rsidR="00675E9F">
        <w:t xml:space="preserve">her ARV therapies: </w:t>
      </w:r>
      <w:r w:rsidRPr="00F06FD3">
        <w:t>ATV</w:t>
      </w:r>
      <w:r w:rsidR="00675E9F">
        <w:t xml:space="preserve"> and </w:t>
      </w:r>
      <w:r w:rsidRPr="00F06FD3">
        <w:t>DRV</w:t>
      </w:r>
      <w:r w:rsidR="00675E9F">
        <w:t>,</w:t>
      </w:r>
      <w:r w:rsidRPr="00F06FD3">
        <w:t xml:space="preserve"> which are included in the indication</w:t>
      </w:r>
      <w:r w:rsidR="00675E9F">
        <w:t>,</w:t>
      </w:r>
      <w:r w:rsidRPr="00F06FD3">
        <w:t xml:space="preserve"> and </w:t>
      </w:r>
      <w:proofErr w:type="spellStart"/>
      <w:r w:rsidRPr="00F06FD3">
        <w:t>tip</w:t>
      </w:r>
      <w:r w:rsidR="00D13799">
        <w:t>ravavir</w:t>
      </w:r>
      <w:proofErr w:type="spellEnd"/>
      <w:r w:rsidR="00D13799">
        <w:t xml:space="preserve"> (TPV) and EVG</w:t>
      </w:r>
      <w:r w:rsidR="00675E9F">
        <w:t>,</w:t>
      </w:r>
      <w:r w:rsidRPr="00F06FD3">
        <w:t xml:space="preserve"> which are not.</w:t>
      </w:r>
    </w:p>
    <w:p w:rsidR="00F06FD3" w:rsidRPr="00F06FD3" w:rsidRDefault="00F06FD3" w:rsidP="008751B5">
      <w:r w:rsidRPr="00F06FD3">
        <w:t xml:space="preserve">ATV exposures were comparable when boosted by </w:t>
      </w:r>
      <w:r w:rsidR="00675E9F">
        <w:t>COBI</w:t>
      </w:r>
      <w:r w:rsidRPr="00F06FD3">
        <w:t xml:space="preserve"> versus </w:t>
      </w:r>
      <w:r w:rsidR="009D3AE9">
        <w:t>RTV</w:t>
      </w:r>
      <w:r w:rsidRPr="00F06FD3">
        <w:t xml:space="preserve">, in both healthy subjects and HIV-1 infected patients (Studies GS-US-216-0110 and GS-US-216-0114). The observed </w:t>
      </w:r>
      <w:r w:rsidR="00675E9F">
        <w:t>COBI</w:t>
      </w:r>
      <w:r w:rsidRPr="00F06FD3">
        <w:t xml:space="preserve"> boosted ATV exposures were in the range of values observed previously using ARV/r. Results from the studies GS-US-216-0110 and GS-US-216-0115 </w:t>
      </w:r>
      <w:r w:rsidRPr="00F06FD3">
        <w:lastRenderedPageBreak/>
        <w:t xml:space="preserve">demonstrated that ATV 300 mg and DRV 800 mg steady state exposures were similar following administration with </w:t>
      </w:r>
      <w:r w:rsidR="00675E9F">
        <w:t>COBI</w:t>
      </w:r>
      <w:r w:rsidRPr="00F06FD3">
        <w:t xml:space="preserve"> 150 mg versus </w:t>
      </w:r>
      <w:r w:rsidR="009D3AE9">
        <w:t>RTV</w:t>
      </w:r>
      <w:r w:rsidRPr="00F06FD3">
        <w:t xml:space="preserve"> 100 mg.</w:t>
      </w:r>
    </w:p>
    <w:p w:rsidR="00F06FD3" w:rsidRPr="00F06FD3" w:rsidRDefault="00F06FD3" w:rsidP="008751B5">
      <w:r w:rsidRPr="00F06FD3">
        <w:t xml:space="preserve">No further efficacy data was submitted to support the proposed indication of the combination of </w:t>
      </w:r>
      <w:r w:rsidR="00675E9F">
        <w:t>COBI</w:t>
      </w:r>
      <w:r w:rsidRPr="00F06FD3">
        <w:t xml:space="preserve"> and DRV. Approval of this indication rests solely with pharmacokinetic data.</w:t>
      </w:r>
    </w:p>
    <w:p w:rsidR="008E7846" w:rsidRPr="008751B5" w:rsidRDefault="008E7846" w:rsidP="008751B5">
      <w:pPr>
        <w:pStyle w:val="Heading3"/>
      </w:pPr>
      <w:bookmarkStart w:id="80" w:name="_Toc163441372"/>
      <w:bookmarkStart w:id="81" w:name="_Toc196046485"/>
      <w:bookmarkStart w:id="82" w:name="_Toc247691521"/>
      <w:bookmarkStart w:id="83" w:name="_Toc314842504"/>
      <w:bookmarkStart w:id="84" w:name="_Toc376430059"/>
      <w:r w:rsidRPr="00254787">
        <w:t>Efficacy</w:t>
      </w:r>
      <w:bookmarkEnd w:id="80"/>
      <w:bookmarkEnd w:id="81"/>
      <w:bookmarkEnd w:id="82"/>
      <w:bookmarkEnd w:id="83"/>
      <w:bookmarkEnd w:id="84"/>
    </w:p>
    <w:p w:rsidR="0066184E" w:rsidRPr="003C0A48" w:rsidRDefault="0066184E" w:rsidP="008751B5">
      <w:pPr>
        <w:pStyle w:val="Heading4"/>
      </w:pPr>
      <w:bookmarkStart w:id="85" w:name="_Ref271126605"/>
      <w:bookmarkStart w:id="86" w:name="_Toc272414657"/>
      <w:bookmarkStart w:id="87" w:name="_Toc290846282"/>
      <w:bookmarkStart w:id="88" w:name="_Toc360193611"/>
      <w:bookmarkStart w:id="89" w:name="_Toc184439992"/>
      <w:bookmarkStart w:id="90" w:name="_Toc184440279"/>
      <w:bookmarkStart w:id="91" w:name="_Toc184444657"/>
      <w:bookmarkStart w:id="92" w:name="_Toc196046487"/>
      <w:r w:rsidRPr="003C0A48">
        <w:t>Evaluator’s conclusions on clinical efficacy</w:t>
      </w:r>
      <w:bookmarkEnd w:id="85"/>
      <w:bookmarkEnd w:id="86"/>
      <w:bookmarkEnd w:id="87"/>
      <w:bookmarkEnd w:id="88"/>
    </w:p>
    <w:p w:rsidR="0066184E" w:rsidRPr="0066184E" w:rsidRDefault="0066184E" w:rsidP="008751B5">
      <w:r w:rsidRPr="0066184E">
        <w:t xml:space="preserve">The sponsor has provided evidence for the efficacy of </w:t>
      </w:r>
      <w:r w:rsidR="00675E9F">
        <w:t>COBI</w:t>
      </w:r>
      <w:r w:rsidRPr="0066184E">
        <w:t xml:space="preserve"> as an enhancer for </w:t>
      </w:r>
      <w:r w:rsidR="00675E9F">
        <w:t>ATV</w:t>
      </w:r>
      <w:r w:rsidRPr="0066184E">
        <w:t xml:space="preserve"> in both PK studies and clinical studies. While only one of the two studies provided demonstrated non inferiority to ATV/r</w:t>
      </w:r>
      <w:r w:rsidR="00B9006D">
        <w:t xml:space="preserve"> </w:t>
      </w:r>
      <w:r w:rsidRPr="0066184E">
        <w:t>+</w:t>
      </w:r>
      <w:r w:rsidR="00B9006D">
        <w:t xml:space="preserve"> </w:t>
      </w:r>
      <w:r w:rsidRPr="0066184E">
        <w:t>TVD</w:t>
      </w:r>
      <w:r w:rsidR="00B9006D">
        <w:t>,</w:t>
      </w:r>
      <w:r w:rsidRPr="0066184E">
        <w:t xml:space="preserve"> the other studied was too underpowered to be expected to show a resul</w:t>
      </w:r>
      <w:r w:rsidR="00963002">
        <w:t>t of non inferiority. In the Clinical Safety Report</w:t>
      </w:r>
      <w:r w:rsidRPr="0066184E">
        <w:t xml:space="preserve"> or the summaries</w:t>
      </w:r>
      <w:r w:rsidR="00963002">
        <w:t>,</w:t>
      </w:r>
      <w:r w:rsidRPr="0066184E">
        <w:t xml:space="preserve"> the sponsor provide</w:t>
      </w:r>
      <w:r w:rsidR="00963002">
        <w:t>s</w:t>
      </w:r>
      <w:r w:rsidRPr="0066184E">
        <w:t xml:space="preserve"> an adequate explanation for the </w:t>
      </w:r>
      <w:r w:rsidR="00C179C2">
        <w:t xml:space="preserve">study’s low </w:t>
      </w:r>
      <w:r w:rsidRPr="0066184E">
        <w:t>power</w:t>
      </w:r>
      <w:r w:rsidR="00C179C2">
        <w:t>,</w:t>
      </w:r>
      <w:r w:rsidRPr="0066184E">
        <w:t xml:space="preserve"> and </w:t>
      </w:r>
      <w:r w:rsidR="00C179C2">
        <w:t xml:space="preserve">that </w:t>
      </w:r>
      <w:r w:rsidRPr="0066184E">
        <w:t>it may raise doubt to considering Study GS-US-</w:t>
      </w:r>
      <w:r w:rsidR="00C179C2">
        <w:t xml:space="preserve">216-0105 as a pivotal study. However, </w:t>
      </w:r>
      <w:r w:rsidRPr="0066184E">
        <w:t>it has been included as a pivotal study due to the reliance on the da</w:t>
      </w:r>
      <w:r w:rsidR="00057788">
        <w:t>ta in the pooled analysis and because</w:t>
      </w:r>
      <w:r w:rsidRPr="0066184E">
        <w:t xml:space="preserve"> it provides important PK and safety information.</w:t>
      </w:r>
    </w:p>
    <w:p w:rsidR="0066184E" w:rsidRPr="0066184E" w:rsidRDefault="0066184E" w:rsidP="008751B5">
      <w:r w:rsidRPr="0066184E">
        <w:t xml:space="preserve">There are no clinical studies with </w:t>
      </w:r>
      <w:r w:rsidR="00675E9F">
        <w:t>COBI</w:t>
      </w:r>
      <w:r w:rsidRPr="0066184E">
        <w:t xml:space="preserve"> boosted </w:t>
      </w:r>
      <w:r w:rsidR="00675E9F">
        <w:t>DRV</w:t>
      </w:r>
      <w:r w:rsidR="00904BB8">
        <w:t>;</w:t>
      </w:r>
      <w:r w:rsidRPr="0066184E">
        <w:t xml:space="preserve"> the company has provided evidence based on the PK Study GS-US-216-0115 established PK boosting of DRV with </w:t>
      </w:r>
      <w:r w:rsidR="00675E9F">
        <w:t>COBI</w:t>
      </w:r>
      <w:r w:rsidRPr="0066184E">
        <w:t xml:space="preserve"> provided the exposure to DRV is similar between DRV/co and DRV/r.</w:t>
      </w:r>
    </w:p>
    <w:p w:rsidR="0066184E" w:rsidRPr="0066184E" w:rsidRDefault="0066184E" w:rsidP="008751B5">
      <w:r w:rsidRPr="0066184E">
        <w:t>While it would have been more acceptable to have clinical data available</w:t>
      </w:r>
      <w:r w:rsidR="005D0990">
        <w:t>,</w:t>
      </w:r>
      <w:r w:rsidRPr="0066184E">
        <w:t xml:space="preserve"> there is sufficient strength to the PK data to approve the requested indication of pharmacokinetic enhancer of DRV.</w:t>
      </w:r>
    </w:p>
    <w:p w:rsidR="008E7846" w:rsidRPr="00D65084" w:rsidRDefault="008E7846" w:rsidP="00D65084">
      <w:pPr>
        <w:pStyle w:val="Heading3"/>
      </w:pPr>
      <w:bookmarkStart w:id="93" w:name="_Toc163441378"/>
      <w:bookmarkStart w:id="94" w:name="_Toc196046495"/>
      <w:bookmarkStart w:id="95" w:name="_Toc247691522"/>
      <w:bookmarkStart w:id="96" w:name="_Toc314842505"/>
      <w:bookmarkStart w:id="97" w:name="_Toc376430060"/>
      <w:bookmarkEnd w:id="89"/>
      <w:bookmarkEnd w:id="90"/>
      <w:bookmarkEnd w:id="91"/>
      <w:bookmarkEnd w:id="92"/>
      <w:r w:rsidRPr="002E238E">
        <w:t>Safety</w:t>
      </w:r>
      <w:bookmarkEnd w:id="93"/>
      <w:bookmarkEnd w:id="94"/>
      <w:bookmarkEnd w:id="95"/>
      <w:bookmarkEnd w:id="96"/>
      <w:bookmarkEnd w:id="97"/>
    </w:p>
    <w:p w:rsidR="002F79B2" w:rsidRPr="004B259C" w:rsidRDefault="002F79B2" w:rsidP="00D65084">
      <w:pPr>
        <w:pStyle w:val="Heading4"/>
      </w:pPr>
      <w:bookmarkStart w:id="98" w:name="_Toc272414659"/>
      <w:bookmarkStart w:id="99" w:name="_Toc290846284"/>
      <w:bookmarkStart w:id="100" w:name="_Toc360193613"/>
      <w:bookmarkStart w:id="101" w:name="_Toc184440288"/>
      <w:bookmarkStart w:id="102" w:name="_Toc184444666"/>
      <w:bookmarkStart w:id="103" w:name="_Toc196046496"/>
      <w:r>
        <w:t>Studies providing evaluable safety data</w:t>
      </w:r>
      <w:bookmarkEnd w:id="98"/>
      <w:bookmarkEnd w:id="99"/>
      <w:bookmarkEnd w:id="100"/>
    </w:p>
    <w:p w:rsidR="002F79B2" w:rsidRPr="002F79B2" w:rsidRDefault="002F79B2" w:rsidP="00D65084">
      <w:bookmarkStart w:id="104" w:name="_Ref268776745"/>
      <w:r w:rsidRPr="002F79B2">
        <w:t>The following studies provided evaluable safety data:</w:t>
      </w:r>
    </w:p>
    <w:p w:rsidR="002F79B2" w:rsidRPr="00027276" w:rsidRDefault="002F79B2" w:rsidP="00D65084">
      <w:pPr>
        <w:pStyle w:val="Heading5"/>
      </w:pPr>
      <w:r w:rsidRPr="00027276">
        <w:t>Pivotal efficacy studies</w:t>
      </w:r>
      <w:bookmarkEnd w:id="104"/>
    </w:p>
    <w:p w:rsidR="002F79B2" w:rsidRPr="002F79B2" w:rsidRDefault="002F79B2" w:rsidP="00D65084">
      <w:r w:rsidRPr="002F79B2">
        <w:t>In the pivotal efficacy studies, the following safety data were collected:</w:t>
      </w:r>
    </w:p>
    <w:p w:rsidR="002F79B2" w:rsidRPr="002F79B2" w:rsidRDefault="002F79B2" w:rsidP="00D65084">
      <w:pPr>
        <w:pStyle w:val="ListBullet"/>
      </w:pPr>
      <w:r w:rsidRPr="002F79B2">
        <w:t xml:space="preserve">General adverse events (AEs) were assessed by collection of </w:t>
      </w:r>
      <w:r w:rsidR="005D0990">
        <w:t>AEs</w:t>
      </w:r>
      <w:r w:rsidRPr="002F79B2">
        <w:t xml:space="preserve"> throughout the studies.</w:t>
      </w:r>
    </w:p>
    <w:p w:rsidR="002F79B2" w:rsidRPr="002F79B2" w:rsidRDefault="002F79B2" w:rsidP="00D65084">
      <w:pPr>
        <w:pStyle w:val="ListBullet"/>
      </w:pPr>
      <w:r w:rsidRPr="002F79B2">
        <w:t xml:space="preserve">AEs of particular interest, including renal events, bone fractures, hepatic events, thyroid, cardiovascular and skin events, were assessed by reviewing all events for specific </w:t>
      </w:r>
      <w:proofErr w:type="spellStart"/>
      <w:r w:rsidRPr="002F79B2">
        <w:t>MedDRA</w:t>
      </w:r>
      <w:proofErr w:type="spellEnd"/>
      <w:r w:rsidRPr="002F79B2">
        <w:t xml:space="preserve"> preferred terms.</w:t>
      </w:r>
    </w:p>
    <w:p w:rsidR="002F79B2" w:rsidRPr="002F79B2" w:rsidRDefault="002F79B2" w:rsidP="00D65084">
      <w:pPr>
        <w:pStyle w:val="ListBullet"/>
      </w:pPr>
      <w:r w:rsidRPr="002F79B2">
        <w:t>Laboratory tests, including tests for kidney function, liver function, and lipid function were performed at baseline and at pre</w:t>
      </w:r>
      <w:r w:rsidR="009D1B00">
        <w:t xml:space="preserve"> </w:t>
      </w:r>
      <w:r w:rsidRPr="002F79B2">
        <w:t>specified times during the study.</w:t>
      </w:r>
    </w:p>
    <w:p w:rsidR="002F79B2" w:rsidRPr="00840122" w:rsidRDefault="002F79B2" w:rsidP="00D65084">
      <w:pPr>
        <w:pStyle w:val="Heading5"/>
      </w:pPr>
      <w:r w:rsidRPr="00027276">
        <w:t xml:space="preserve">Pivotal studies that assessed </w:t>
      </w:r>
      <w:r>
        <w:t>safety as a primary outcome</w:t>
      </w:r>
    </w:p>
    <w:p w:rsidR="002F79B2" w:rsidRPr="002F79B2" w:rsidRDefault="002F79B2" w:rsidP="00D65084">
      <w:r w:rsidRPr="002F79B2">
        <w:t>Not applicable</w:t>
      </w:r>
      <w:r>
        <w:t>.</w:t>
      </w:r>
    </w:p>
    <w:p w:rsidR="002F79B2" w:rsidRDefault="002F79B2" w:rsidP="00D65084">
      <w:pPr>
        <w:pStyle w:val="Heading5"/>
      </w:pPr>
      <w:r>
        <w:t>Dose</w:t>
      </w:r>
      <w:r w:rsidR="009D1B00">
        <w:t xml:space="preserve"> </w:t>
      </w:r>
      <w:r>
        <w:t>response and non</w:t>
      </w:r>
      <w:r w:rsidR="009D1B00">
        <w:t xml:space="preserve"> </w:t>
      </w:r>
      <w:r>
        <w:t>pivotal efficacy studies</w:t>
      </w:r>
    </w:p>
    <w:p w:rsidR="002F79B2" w:rsidRPr="002F79B2" w:rsidRDefault="002F79B2" w:rsidP="00D65084">
      <w:r w:rsidRPr="002F79B2">
        <w:t>Not applicable</w:t>
      </w:r>
      <w:r>
        <w:t>.</w:t>
      </w:r>
    </w:p>
    <w:p w:rsidR="002F79B2" w:rsidRDefault="002F79B2" w:rsidP="00D65084">
      <w:pPr>
        <w:pStyle w:val="Heading5"/>
      </w:pPr>
      <w:r>
        <w:t>Other studies evaluable for safety only</w:t>
      </w:r>
    </w:p>
    <w:p w:rsidR="002F79B2" w:rsidRPr="002F79B2" w:rsidRDefault="002F79B2" w:rsidP="00D65084">
      <w:r w:rsidRPr="002F79B2">
        <w:t>Not applicable</w:t>
      </w:r>
      <w:r>
        <w:t>.</w:t>
      </w:r>
    </w:p>
    <w:p w:rsidR="002F79B2" w:rsidRPr="00086AA1" w:rsidRDefault="002F79B2" w:rsidP="00D65084">
      <w:pPr>
        <w:pStyle w:val="Heading5"/>
      </w:pPr>
      <w:r w:rsidRPr="00086AA1">
        <w:lastRenderedPageBreak/>
        <w:t>Clinical pharmacology studies</w:t>
      </w:r>
    </w:p>
    <w:p w:rsidR="002F79B2" w:rsidRDefault="002F79B2" w:rsidP="00D65084">
      <w:r w:rsidRPr="000C1D11">
        <w:t>All but one of the clinical pharmacology studies were conducted in healthy volunteers. The results for the individual studies</w:t>
      </w:r>
      <w:r w:rsidR="00483800">
        <w:t xml:space="preserve"> are provided. Only deaths and serious AEs (S</w:t>
      </w:r>
      <w:r w:rsidRPr="000C1D11">
        <w:t>AEs</w:t>
      </w:r>
      <w:r w:rsidR="00483800">
        <w:t>)</w:t>
      </w:r>
      <w:r w:rsidRPr="000C1D11">
        <w:t xml:space="preserve"> are included in the Summary of Clinical Safety.</w:t>
      </w:r>
    </w:p>
    <w:p w:rsidR="00555284" w:rsidRDefault="00555284" w:rsidP="00D65084">
      <w:pPr>
        <w:pStyle w:val="Heading4"/>
      </w:pPr>
      <w:bookmarkStart w:id="105" w:name="_Toc241374328"/>
      <w:bookmarkStart w:id="106" w:name="_Toc272414691"/>
      <w:bookmarkStart w:id="107" w:name="_Toc290846329"/>
      <w:bookmarkStart w:id="108" w:name="_Toc360193641"/>
      <w:r>
        <w:t>Evaluator’s overall conclusions on clinical safety</w:t>
      </w:r>
      <w:bookmarkEnd w:id="105"/>
      <w:bookmarkEnd w:id="106"/>
      <w:bookmarkEnd w:id="107"/>
      <w:bookmarkEnd w:id="108"/>
    </w:p>
    <w:p w:rsidR="00555284" w:rsidRPr="00555284" w:rsidRDefault="00555284" w:rsidP="00D65084">
      <w:r w:rsidRPr="00555284">
        <w:t xml:space="preserve">The safety and tolerability profile of </w:t>
      </w:r>
      <w:r w:rsidR="00675E9F">
        <w:t>COBI</w:t>
      </w:r>
      <w:r w:rsidRPr="00555284">
        <w:t xml:space="preserve"> is supported by a safety database that includes not only this submission but also the submission for the </w:t>
      </w:r>
      <w:proofErr w:type="spellStart"/>
      <w:r w:rsidR="00871B2F">
        <w:t>Stribild</w:t>
      </w:r>
      <w:proofErr w:type="spellEnd"/>
      <w:r w:rsidR="00871B2F">
        <w:t xml:space="preserve"> </w:t>
      </w:r>
      <w:r w:rsidRPr="00555284">
        <w:t xml:space="preserve">combination product. No specific safety issues were raised in the evaluation of the </w:t>
      </w:r>
      <w:proofErr w:type="spellStart"/>
      <w:r w:rsidR="00871B2F">
        <w:t>Stribild</w:t>
      </w:r>
      <w:proofErr w:type="spellEnd"/>
      <w:r w:rsidRPr="00555284">
        <w:t xml:space="preserve"> submission relating to </w:t>
      </w:r>
      <w:r w:rsidR="00675E9F">
        <w:t>COBI</w:t>
      </w:r>
      <w:r w:rsidRPr="00555284">
        <w:t>.</w:t>
      </w:r>
    </w:p>
    <w:p w:rsidR="00555284" w:rsidRPr="00555284" w:rsidRDefault="00555284" w:rsidP="00D65084">
      <w:r w:rsidRPr="00555284">
        <w:t xml:space="preserve">The safety of </w:t>
      </w:r>
      <w:r w:rsidR="00675E9F">
        <w:t>COBI</w:t>
      </w:r>
      <w:r w:rsidRPr="00555284">
        <w:t xml:space="preserve"> is supported by the low overall rate of study drug withdrawals and the mild to moderate severity of most of the AEs. The most frequently reported AEs for the ATV/co</w:t>
      </w:r>
      <w:r w:rsidR="00D649D5">
        <w:t xml:space="preserve"> </w:t>
      </w:r>
      <w:r w:rsidRPr="00555284">
        <w:t>+</w:t>
      </w:r>
      <w:r w:rsidR="00D649D5">
        <w:t xml:space="preserve"> </w:t>
      </w:r>
      <w:r w:rsidRPr="00555284">
        <w:t xml:space="preserve">TVD regimen were jaundice, ocular </w:t>
      </w:r>
      <w:proofErr w:type="spellStart"/>
      <w:r w:rsidRPr="00555284">
        <w:t>icterus</w:t>
      </w:r>
      <w:proofErr w:type="spellEnd"/>
      <w:r w:rsidRPr="00555284">
        <w:t xml:space="preserve"> and nausea, consistent with the information in the ATV </w:t>
      </w:r>
      <w:r w:rsidR="00F47880">
        <w:t>PI</w:t>
      </w:r>
      <w:r w:rsidRPr="00555284">
        <w:t>. Subgroup analysis of AEs by sex, age, race, HIV-1 stratum at baseline, and CD4 cell count at baseline showed no differences between subgroups.</w:t>
      </w:r>
    </w:p>
    <w:p w:rsidR="00555284" w:rsidRPr="00555284" w:rsidRDefault="00555284" w:rsidP="00D65084">
      <w:r w:rsidRPr="00555284">
        <w:t xml:space="preserve">The main safety issue relates to renal function. Increases in serum </w:t>
      </w:r>
      <w:proofErr w:type="spellStart"/>
      <w:r w:rsidRPr="00555284">
        <w:t>creatinine</w:t>
      </w:r>
      <w:proofErr w:type="spellEnd"/>
      <w:r w:rsidRPr="00555284">
        <w:t xml:space="preserve">, which led to modest decreases in </w:t>
      </w:r>
      <w:r w:rsidR="00234B83">
        <w:t xml:space="preserve">the </w:t>
      </w:r>
      <w:r w:rsidR="00234B83" w:rsidRPr="00737492">
        <w:rPr>
          <w:rFonts w:cs="TimesNewRoman"/>
        </w:rPr>
        <w:t xml:space="preserve">estimated </w:t>
      </w:r>
      <w:proofErr w:type="spellStart"/>
      <w:r w:rsidR="00234B83" w:rsidRPr="00737492">
        <w:rPr>
          <w:rFonts w:cs="TimesNewRoman"/>
        </w:rPr>
        <w:t>glomerular</w:t>
      </w:r>
      <w:proofErr w:type="spellEnd"/>
      <w:r w:rsidR="00234B83" w:rsidRPr="00737492">
        <w:rPr>
          <w:rFonts w:cs="TimesNewRoman"/>
        </w:rPr>
        <w:t xml:space="preserve"> filtration rate calculated using the Cockcroft-</w:t>
      </w:r>
      <w:proofErr w:type="spellStart"/>
      <w:r w:rsidR="00234B83" w:rsidRPr="00737492">
        <w:rPr>
          <w:rFonts w:cs="TimesNewRoman"/>
        </w:rPr>
        <w:t>Gault</w:t>
      </w:r>
      <w:proofErr w:type="spellEnd"/>
      <w:r w:rsidR="00234B83" w:rsidRPr="00737492">
        <w:rPr>
          <w:rFonts w:cs="TimesNewRoman"/>
        </w:rPr>
        <w:t xml:space="preserve"> equation</w:t>
      </w:r>
      <w:r w:rsidR="00234B83">
        <w:t xml:space="preserve"> (</w:t>
      </w:r>
      <w:proofErr w:type="spellStart"/>
      <w:r w:rsidRPr="00555284">
        <w:t>eGFRCG</w:t>
      </w:r>
      <w:proofErr w:type="spellEnd"/>
      <w:r w:rsidR="00234B83">
        <w:t>),</w:t>
      </w:r>
      <w:r w:rsidRPr="00555284">
        <w:t xml:space="preserve"> were observed in the subjects who received </w:t>
      </w:r>
      <w:r w:rsidR="00675E9F">
        <w:t>COBI</w:t>
      </w:r>
      <w:r w:rsidRPr="00555284">
        <w:t xml:space="preserve">. The changes were noted as early as Week 2 of treatment, with only minimal additional </w:t>
      </w:r>
      <w:r w:rsidR="00FA48E3">
        <w:t>decreases after that time point</w:t>
      </w:r>
      <w:r w:rsidRPr="00555284">
        <w:t xml:space="preserve"> (to Week 48). </w:t>
      </w:r>
      <w:r w:rsidR="00675E9F">
        <w:t>COBI</w:t>
      </w:r>
      <w:r w:rsidRPr="00555284">
        <w:t xml:space="preserve"> does not affect actual renal </w:t>
      </w:r>
      <w:proofErr w:type="spellStart"/>
      <w:r w:rsidRPr="00555284">
        <w:t>glomerular</w:t>
      </w:r>
      <w:proofErr w:type="spellEnd"/>
      <w:r w:rsidRPr="00555284">
        <w:t xml:space="preserve"> function.</w:t>
      </w:r>
    </w:p>
    <w:p w:rsidR="00555284" w:rsidRPr="00555284" w:rsidRDefault="00555284" w:rsidP="00D65084">
      <w:r w:rsidRPr="00555284">
        <w:t>A comprehensive review of AEs and laboratory parameters was undertaken by the sponsor in Studies GS-US-216-0105 and GS-US-216-0114. In this review, renal events were infrequent in subjects in the ATV/co</w:t>
      </w:r>
      <w:r w:rsidR="00AF6F88">
        <w:t xml:space="preserve"> </w:t>
      </w:r>
      <w:r w:rsidRPr="00555284">
        <w:t>+</w:t>
      </w:r>
      <w:r w:rsidR="00AF6F88">
        <w:t xml:space="preserve"> </w:t>
      </w:r>
      <w:r w:rsidRPr="00555284">
        <w:t>TVD group and were reported at a similar frequency to that observed in the ATV/r</w:t>
      </w:r>
      <w:r w:rsidR="00AF6F88">
        <w:t xml:space="preserve"> </w:t>
      </w:r>
      <w:r w:rsidRPr="00555284">
        <w:t>+</w:t>
      </w:r>
      <w:r w:rsidR="00AF6F88">
        <w:t xml:space="preserve"> </w:t>
      </w:r>
      <w:r w:rsidRPr="00555284">
        <w:t>TVD group. Several of the subjects with renal events had concurrent medical illness or evidence of pre</w:t>
      </w:r>
      <w:r w:rsidR="003003C9">
        <w:t xml:space="preserve"> </w:t>
      </w:r>
      <w:r w:rsidRPr="00555284">
        <w:t>existing renal impairment. Discontinuation of study drug due to renal AEs was infrequent and balanced between treatment groups. Renal laboratory abnormalities were reversible upon discontinuation of ATV/co</w:t>
      </w:r>
      <w:r w:rsidR="003003C9">
        <w:t xml:space="preserve"> </w:t>
      </w:r>
      <w:r w:rsidRPr="00555284">
        <w:t>+</w:t>
      </w:r>
      <w:r w:rsidR="003003C9">
        <w:t xml:space="preserve"> </w:t>
      </w:r>
      <w:r w:rsidRPr="00555284">
        <w:t xml:space="preserve">TVD without clinical </w:t>
      </w:r>
      <w:proofErr w:type="spellStart"/>
      <w:r w:rsidRPr="00555284">
        <w:t>sequelae</w:t>
      </w:r>
      <w:proofErr w:type="spellEnd"/>
      <w:r w:rsidRPr="00555284">
        <w:t xml:space="preserve">. These findings are consistent with renal adverse reactions observed during </w:t>
      </w:r>
      <w:proofErr w:type="spellStart"/>
      <w:r w:rsidRPr="00555284">
        <w:t>postmarketing</w:t>
      </w:r>
      <w:proofErr w:type="spellEnd"/>
      <w:r w:rsidRPr="00555284">
        <w:t xml:space="preserve"> surveillance with TDF.</w:t>
      </w:r>
    </w:p>
    <w:p w:rsidR="00555284" w:rsidRPr="00555284" w:rsidRDefault="00675E9F" w:rsidP="00D65084">
      <w:r>
        <w:t>COBI</w:t>
      </w:r>
      <w:r w:rsidR="00555284" w:rsidRPr="00555284">
        <w:t xml:space="preserve"> does not appear to induce liver damage, based on studies in mild to moderate hepatic impairment. No studies in severe impairment have been performed. </w:t>
      </w:r>
      <w:r>
        <w:t>COBI</w:t>
      </w:r>
      <w:r w:rsidR="00555284" w:rsidRPr="00555284">
        <w:t xml:space="preserve"> is being recommended to use as a booster of </w:t>
      </w:r>
      <w:r>
        <w:t>ATV</w:t>
      </w:r>
      <w:r w:rsidR="00555284" w:rsidRPr="00555284">
        <w:t xml:space="preserve">, whose PI recommends dose reduction in patients with mild to moderate hepatic impairment. This should be reflected in the </w:t>
      </w:r>
      <w:r>
        <w:t>COBI</w:t>
      </w:r>
      <w:r w:rsidR="00555284" w:rsidRPr="00555284">
        <w:t xml:space="preserve"> </w:t>
      </w:r>
      <w:r w:rsidR="00555284">
        <w:t>PI</w:t>
      </w:r>
      <w:r w:rsidR="00555284" w:rsidRPr="00555284">
        <w:t>.</w:t>
      </w:r>
    </w:p>
    <w:p w:rsidR="00555284" w:rsidRPr="00555284" w:rsidRDefault="00555284" w:rsidP="00D65084">
      <w:r w:rsidRPr="00555284">
        <w:t xml:space="preserve">Based on nonclinical findings that identified the potential for </w:t>
      </w:r>
      <w:r w:rsidR="00675E9F">
        <w:t>COBI</w:t>
      </w:r>
      <w:r w:rsidRPr="00555284">
        <w:t xml:space="preserve"> to affect the thyroid and </w:t>
      </w:r>
      <w:proofErr w:type="spellStart"/>
      <w:r w:rsidRPr="00555284">
        <w:t>IgG</w:t>
      </w:r>
      <w:proofErr w:type="spellEnd"/>
      <w:r w:rsidRPr="00555284">
        <w:t xml:space="preserve"> levels, and for </w:t>
      </w:r>
      <w:r w:rsidR="00675E9F">
        <w:t>COBI</w:t>
      </w:r>
      <w:r w:rsidRPr="00555284">
        <w:t xml:space="preserve"> to prolong the PR interval and decrease LV function, safety monitoring relevant to these systems were conducted and evaluated in the studies. No safety concerns were apparent based on the clinical assessments.</w:t>
      </w:r>
    </w:p>
    <w:p w:rsidR="00555284" w:rsidRPr="00555284" w:rsidRDefault="00555284" w:rsidP="00D65084">
      <w:r w:rsidRPr="00555284">
        <w:t>No significant difference was seen in lipid profiles between ATV/co</w:t>
      </w:r>
      <w:r w:rsidR="00030CDC">
        <w:t xml:space="preserve"> </w:t>
      </w:r>
      <w:r w:rsidRPr="00555284">
        <w:t>+</w:t>
      </w:r>
      <w:r w:rsidR="00030CDC">
        <w:t xml:space="preserve"> </w:t>
      </w:r>
      <w:r w:rsidRPr="00555284">
        <w:t>TVD and ATV/r</w:t>
      </w:r>
      <w:r w:rsidR="00030CDC">
        <w:t xml:space="preserve"> </w:t>
      </w:r>
      <w:r w:rsidRPr="00555284">
        <w:t>+</w:t>
      </w:r>
      <w:r w:rsidR="00030CDC">
        <w:t xml:space="preserve"> </w:t>
      </w:r>
      <w:r w:rsidRPr="00555284">
        <w:t>TVD treatment.</w:t>
      </w:r>
    </w:p>
    <w:p w:rsidR="00555284" w:rsidRPr="00555284" w:rsidRDefault="00555284" w:rsidP="00D65084">
      <w:r w:rsidRPr="00555284">
        <w:t xml:space="preserve">The safety data on </w:t>
      </w:r>
      <w:r w:rsidR="00675E9F">
        <w:t>DRV</w:t>
      </w:r>
      <w:r w:rsidRPr="00555284">
        <w:t xml:space="preserve"> boosted by </w:t>
      </w:r>
      <w:r w:rsidR="00675E9F">
        <w:t>COBI</w:t>
      </w:r>
      <w:r w:rsidRPr="00555284">
        <w:t xml:space="preserve"> are limited with no data in HIV-1 infected patients.</w:t>
      </w:r>
    </w:p>
    <w:p w:rsidR="008E7846" w:rsidRPr="00D65084" w:rsidRDefault="008E7846" w:rsidP="00D65084">
      <w:pPr>
        <w:pStyle w:val="Heading3"/>
      </w:pPr>
      <w:bookmarkStart w:id="109" w:name="_Toc255919423"/>
      <w:bookmarkStart w:id="110" w:name="_Toc241374329"/>
      <w:bookmarkStart w:id="111" w:name="_Toc270320087"/>
      <w:bookmarkStart w:id="112" w:name="_Toc314842506"/>
      <w:bookmarkStart w:id="113" w:name="_Toc163441387"/>
      <w:bookmarkStart w:id="114" w:name="_Toc376430061"/>
      <w:bookmarkEnd w:id="101"/>
      <w:bookmarkEnd w:id="102"/>
      <w:bookmarkEnd w:id="103"/>
      <w:r>
        <w:t>List of questions</w:t>
      </w:r>
      <w:bookmarkEnd w:id="109"/>
      <w:bookmarkEnd w:id="110"/>
      <w:bookmarkEnd w:id="111"/>
      <w:bookmarkEnd w:id="112"/>
      <w:bookmarkEnd w:id="114"/>
    </w:p>
    <w:p w:rsidR="008E7846" w:rsidRPr="0039105A" w:rsidRDefault="00B704A0" w:rsidP="00D65084">
      <w:r>
        <w:t>No clinical questions.</w:t>
      </w:r>
    </w:p>
    <w:p w:rsidR="008E7846" w:rsidRPr="00D65084" w:rsidRDefault="008E7846" w:rsidP="00D65084">
      <w:pPr>
        <w:pStyle w:val="Heading3"/>
      </w:pPr>
      <w:bookmarkStart w:id="115" w:name="_Toc247691523"/>
      <w:bookmarkStart w:id="116" w:name="_Toc314842507"/>
      <w:bookmarkStart w:id="117" w:name="_Toc184440295"/>
      <w:bookmarkStart w:id="118" w:name="_Toc184444673"/>
      <w:bookmarkStart w:id="119" w:name="_Toc196046503"/>
      <w:bookmarkStart w:id="120" w:name="_Toc376430062"/>
      <w:bookmarkEnd w:id="113"/>
      <w:r>
        <w:lastRenderedPageBreak/>
        <w:t>Clinical summary and conclusions</w:t>
      </w:r>
      <w:bookmarkEnd w:id="115"/>
      <w:bookmarkEnd w:id="116"/>
      <w:bookmarkEnd w:id="120"/>
    </w:p>
    <w:p w:rsidR="008E7846" w:rsidRPr="00D65084" w:rsidRDefault="005E3EF7" w:rsidP="00D65084">
      <w:pPr>
        <w:pStyle w:val="Heading4"/>
      </w:pPr>
      <w:bookmarkStart w:id="121" w:name="_Toc196046504"/>
      <w:bookmarkStart w:id="122" w:name="_Toc163441390"/>
      <w:bookmarkEnd w:id="117"/>
      <w:bookmarkEnd w:id="118"/>
      <w:bookmarkEnd w:id="119"/>
      <w:r>
        <w:t>Benefit-risk assessment</w:t>
      </w:r>
    </w:p>
    <w:p w:rsidR="005E3EF7" w:rsidRPr="00D65084" w:rsidRDefault="005E3EF7" w:rsidP="00D65084">
      <w:pPr>
        <w:pStyle w:val="Heading5"/>
      </w:pPr>
      <w:bookmarkStart w:id="123" w:name="_Toc236802592"/>
      <w:bookmarkStart w:id="124" w:name="_Toc241374331"/>
      <w:bookmarkStart w:id="125" w:name="_Ref272160836"/>
      <w:bookmarkStart w:id="126" w:name="_Toc272414693"/>
      <w:bookmarkStart w:id="127" w:name="_Toc290846331"/>
      <w:bookmarkStart w:id="128" w:name="_Toc360193643"/>
      <w:r>
        <w:t>Assessment of benefits</w:t>
      </w:r>
      <w:bookmarkEnd w:id="123"/>
      <w:bookmarkEnd w:id="124"/>
      <w:bookmarkEnd w:id="125"/>
      <w:bookmarkEnd w:id="126"/>
      <w:bookmarkEnd w:id="127"/>
      <w:bookmarkEnd w:id="128"/>
    </w:p>
    <w:p w:rsidR="005E3EF7" w:rsidRPr="005E3EF7" w:rsidRDefault="005E3EF7" w:rsidP="00D65084">
      <w:r w:rsidRPr="005E3EF7">
        <w:t xml:space="preserve">The benefits of </w:t>
      </w:r>
      <w:proofErr w:type="spellStart"/>
      <w:r w:rsidRPr="005E3EF7">
        <w:t>Tybost</w:t>
      </w:r>
      <w:proofErr w:type="spellEnd"/>
      <w:r w:rsidRPr="005E3EF7">
        <w:t xml:space="preserve"> in the proposed usage are:</w:t>
      </w:r>
    </w:p>
    <w:p w:rsidR="005E3EF7" w:rsidRPr="005E3EF7" w:rsidRDefault="00675E9F" w:rsidP="00D65084">
      <w:pPr>
        <w:pStyle w:val="ListBullet"/>
      </w:pPr>
      <w:r>
        <w:t>COBI</w:t>
      </w:r>
      <w:r w:rsidR="005E3EF7" w:rsidRPr="005E3EF7">
        <w:t xml:space="preserve"> has demonstrated pharmacokinetic enhancement of the protease inhibitors </w:t>
      </w:r>
      <w:r>
        <w:t>ATV</w:t>
      </w:r>
      <w:r w:rsidR="005E3EF7" w:rsidRPr="005E3EF7">
        <w:t xml:space="preserve"> and </w:t>
      </w:r>
      <w:r>
        <w:t>DRV</w:t>
      </w:r>
      <w:r w:rsidR="005E3EF7" w:rsidRPr="005E3EF7">
        <w:t xml:space="preserve">, including the maintenance of high </w:t>
      </w:r>
      <w:proofErr w:type="spellStart"/>
      <w:r w:rsidR="005E3EF7" w:rsidRPr="005E3EF7">
        <w:t>C</w:t>
      </w:r>
      <w:r w:rsidR="005E3EF7" w:rsidRPr="00CD3C7F">
        <w:rPr>
          <w:vertAlign w:val="subscript"/>
        </w:rPr>
        <w:t>trough</w:t>
      </w:r>
      <w:proofErr w:type="spellEnd"/>
      <w:r w:rsidR="00321F6F">
        <w:t xml:space="preserve"> levels;</w:t>
      </w:r>
    </w:p>
    <w:p w:rsidR="005E3EF7" w:rsidRPr="005E3EF7" w:rsidRDefault="005E3EF7" w:rsidP="00D65084">
      <w:pPr>
        <w:pStyle w:val="ListBullet"/>
      </w:pPr>
      <w:r w:rsidRPr="005E3EF7">
        <w:t>The ATV/co</w:t>
      </w:r>
      <w:r w:rsidR="00CD3C7F">
        <w:t xml:space="preserve"> </w:t>
      </w:r>
      <w:r w:rsidRPr="005E3EF7">
        <w:t>+</w:t>
      </w:r>
      <w:r w:rsidR="00CD3C7F">
        <w:t xml:space="preserve"> </w:t>
      </w:r>
      <w:r w:rsidRPr="005E3EF7">
        <w:t xml:space="preserve">TVD regimen has demonstrated potent and durable ARV in two studies. The </w:t>
      </w:r>
      <w:proofErr w:type="spellStart"/>
      <w:r w:rsidRPr="005E3EF7">
        <w:t>virologic</w:t>
      </w:r>
      <w:proofErr w:type="spellEnd"/>
      <w:r w:rsidRPr="005E3EF7">
        <w:t xml:space="preserve"> response rates of the ATV/co</w:t>
      </w:r>
      <w:r w:rsidR="00CD3C7F">
        <w:t xml:space="preserve"> </w:t>
      </w:r>
      <w:r w:rsidRPr="005E3EF7">
        <w:t>+</w:t>
      </w:r>
      <w:r w:rsidR="00CD3C7F">
        <w:t xml:space="preserve"> </w:t>
      </w:r>
      <w:r w:rsidRPr="005E3EF7">
        <w:t>TVD and ATV/r</w:t>
      </w:r>
      <w:r w:rsidR="00CD3C7F">
        <w:t xml:space="preserve"> </w:t>
      </w:r>
      <w:r w:rsidRPr="005E3EF7">
        <w:t>+</w:t>
      </w:r>
      <w:r w:rsidR="00CD3C7F">
        <w:t xml:space="preserve"> </w:t>
      </w:r>
      <w:r w:rsidRPr="005E3EF7">
        <w:t>T</w:t>
      </w:r>
      <w:r w:rsidR="00321F6F">
        <w:t>VD were comparable and over 80%;</w:t>
      </w:r>
    </w:p>
    <w:p w:rsidR="005E3EF7" w:rsidRPr="005E3EF7" w:rsidRDefault="005E3EF7" w:rsidP="00D65084">
      <w:pPr>
        <w:pStyle w:val="ListBullet"/>
      </w:pPr>
      <w:r w:rsidRPr="005E3EF7">
        <w:t>Study GS-US-216-0114 demonstrated that ATV/co</w:t>
      </w:r>
      <w:r w:rsidR="00CD3C7F">
        <w:t xml:space="preserve"> </w:t>
      </w:r>
      <w:r w:rsidRPr="005E3EF7">
        <w:t>+</w:t>
      </w:r>
      <w:r w:rsidR="00CD3C7F">
        <w:t xml:space="preserve"> </w:t>
      </w:r>
      <w:r w:rsidRPr="005E3EF7">
        <w:t>TVD was non inferior to ATV/r</w:t>
      </w:r>
      <w:r w:rsidR="00CD3C7F">
        <w:t xml:space="preserve"> </w:t>
      </w:r>
      <w:r w:rsidRPr="005E3EF7">
        <w:t>+</w:t>
      </w:r>
      <w:r w:rsidR="00CD3C7F">
        <w:t xml:space="preserve"> </w:t>
      </w:r>
      <w:r w:rsidRPr="005E3EF7">
        <w:t>TVD in achievin</w:t>
      </w:r>
      <w:r w:rsidR="00321F6F">
        <w:t xml:space="preserve">g </w:t>
      </w:r>
      <w:proofErr w:type="spellStart"/>
      <w:r w:rsidR="00321F6F">
        <w:t>virologic</w:t>
      </w:r>
      <w:proofErr w:type="spellEnd"/>
      <w:r w:rsidR="00321F6F">
        <w:t xml:space="preserve"> success at 48 weeks;</w:t>
      </w:r>
    </w:p>
    <w:p w:rsidR="005E3EF7" w:rsidRPr="005E3EF7" w:rsidRDefault="00675E9F" w:rsidP="00D65084">
      <w:pPr>
        <w:pStyle w:val="ListBullet"/>
      </w:pPr>
      <w:r>
        <w:t>COBI</w:t>
      </w:r>
      <w:r w:rsidR="005E3EF7" w:rsidRPr="005E3EF7">
        <w:t xml:space="preserve"> had a favourable safety profile based on combination of ATV/co</w:t>
      </w:r>
      <w:r w:rsidR="00CD3C7F">
        <w:t xml:space="preserve"> </w:t>
      </w:r>
      <w:r w:rsidR="005E3EF7" w:rsidRPr="005E3EF7">
        <w:t>+</w:t>
      </w:r>
      <w:r w:rsidR="00CD3C7F">
        <w:t xml:space="preserve"> </w:t>
      </w:r>
      <w:r w:rsidR="005E3EF7" w:rsidRPr="005E3EF7">
        <w:t>TVD</w:t>
      </w:r>
      <w:r w:rsidR="00321F6F">
        <w:t>.</w:t>
      </w:r>
    </w:p>
    <w:p w:rsidR="005E3EF7" w:rsidRPr="00D65084" w:rsidRDefault="005E3EF7" w:rsidP="00D65084">
      <w:pPr>
        <w:pStyle w:val="Heading5"/>
      </w:pPr>
      <w:bookmarkStart w:id="129" w:name="_Toc236802596"/>
      <w:bookmarkStart w:id="130" w:name="_Toc241374334"/>
      <w:bookmarkStart w:id="131" w:name="_Ref272160964"/>
      <w:bookmarkStart w:id="132" w:name="_Toc272414694"/>
      <w:bookmarkStart w:id="133" w:name="_Toc290846332"/>
      <w:bookmarkStart w:id="134" w:name="_Toc360193644"/>
      <w:r>
        <w:t>A</w:t>
      </w:r>
      <w:r w:rsidRPr="00B74371">
        <w:t>ssessment of risks</w:t>
      </w:r>
      <w:bookmarkEnd w:id="129"/>
      <w:bookmarkEnd w:id="130"/>
      <w:bookmarkEnd w:id="131"/>
      <w:bookmarkEnd w:id="132"/>
      <w:bookmarkEnd w:id="133"/>
      <w:bookmarkEnd w:id="134"/>
    </w:p>
    <w:p w:rsidR="005E3EF7" w:rsidRPr="005E3EF7" w:rsidRDefault="005E3EF7" w:rsidP="00D65084">
      <w:r w:rsidRPr="005E3EF7">
        <w:t xml:space="preserve">The risks of </w:t>
      </w:r>
      <w:proofErr w:type="spellStart"/>
      <w:r w:rsidRPr="005E3EF7">
        <w:t>Tybost</w:t>
      </w:r>
      <w:proofErr w:type="spellEnd"/>
      <w:r w:rsidRPr="005E3EF7">
        <w:t xml:space="preserve"> in the proposed usage are:</w:t>
      </w:r>
    </w:p>
    <w:p w:rsidR="005E3EF7" w:rsidRPr="005E3EF7" w:rsidRDefault="005E3EF7" w:rsidP="00D65084">
      <w:pPr>
        <w:pStyle w:val="ListBullet"/>
      </w:pPr>
      <w:r w:rsidRPr="005E3EF7">
        <w:t xml:space="preserve">Potential for side effects, particularly renal effects. </w:t>
      </w:r>
      <w:r w:rsidR="00675E9F">
        <w:t>COBI</w:t>
      </w:r>
      <w:r w:rsidRPr="005E3EF7">
        <w:t xml:space="preserve"> inhibits active secretion of </w:t>
      </w:r>
      <w:proofErr w:type="spellStart"/>
      <w:r w:rsidRPr="005E3EF7">
        <w:t>creatinine</w:t>
      </w:r>
      <w:proofErr w:type="spellEnd"/>
      <w:r w:rsidRPr="005E3EF7">
        <w:t xml:space="preserve"> leading to small </w:t>
      </w:r>
      <w:proofErr w:type="spellStart"/>
      <w:r w:rsidRPr="005E3EF7">
        <w:t>creatinine</w:t>
      </w:r>
      <w:proofErr w:type="spellEnd"/>
      <w:r w:rsidRPr="005E3EF7">
        <w:t xml:space="preserve"> elevations. </w:t>
      </w:r>
      <w:r w:rsidR="00675E9F">
        <w:t>COBI</w:t>
      </w:r>
      <w:r w:rsidRPr="005E3EF7">
        <w:t xml:space="preserve"> does not affect </w:t>
      </w:r>
      <w:proofErr w:type="spellStart"/>
      <w:r w:rsidRPr="005E3EF7">
        <w:t>glomerular</w:t>
      </w:r>
      <w:proofErr w:type="spellEnd"/>
      <w:r w:rsidRPr="005E3EF7">
        <w:t xml:space="preserve"> function. Therefore</w:t>
      </w:r>
      <w:r w:rsidR="009230C3">
        <w:t>,</w:t>
      </w:r>
      <w:r w:rsidRPr="005E3EF7">
        <w:t xml:space="preserve"> small increases in serum </w:t>
      </w:r>
      <w:proofErr w:type="spellStart"/>
      <w:r w:rsidRPr="005E3EF7">
        <w:t>creatinine</w:t>
      </w:r>
      <w:proofErr w:type="spellEnd"/>
      <w:r w:rsidRPr="005E3EF7">
        <w:t xml:space="preserve"> are expected after initiation of a </w:t>
      </w:r>
      <w:r w:rsidR="00675E9F">
        <w:t>COBI</w:t>
      </w:r>
      <w:r w:rsidRPr="005E3EF7">
        <w:t xml:space="preserve"> containing regimen that results in decreases of approximately</w:t>
      </w:r>
      <w:r w:rsidR="00321F6F">
        <w:t xml:space="preserve"> 15 </w:t>
      </w:r>
      <w:proofErr w:type="spellStart"/>
      <w:r w:rsidR="00321F6F">
        <w:t>mL</w:t>
      </w:r>
      <w:proofErr w:type="spellEnd"/>
      <w:r w:rsidR="00321F6F">
        <w:t xml:space="preserve">/min in </w:t>
      </w:r>
      <w:r w:rsidR="00D74C8E" w:rsidRPr="00D74C8E">
        <w:t xml:space="preserve">estimated </w:t>
      </w:r>
      <w:proofErr w:type="spellStart"/>
      <w:r w:rsidR="00D74C8E" w:rsidRPr="00D74C8E">
        <w:t>glomerular</w:t>
      </w:r>
      <w:proofErr w:type="spellEnd"/>
      <w:r w:rsidR="00D74C8E" w:rsidRPr="00D74C8E">
        <w:t xml:space="preserve"> filtration rate </w:t>
      </w:r>
      <w:r w:rsidR="00D74C8E">
        <w:t>(</w:t>
      </w:r>
      <w:proofErr w:type="spellStart"/>
      <w:r w:rsidR="00321F6F">
        <w:t>eGFR</w:t>
      </w:r>
      <w:proofErr w:type="spellEnd"/>
      <w:r w:rsidR="00D74C8E">
        <w:t>)</w:t>
      </w:r>
      <w:r w:rsidR="00321F6F">
        <w:t xml:space="preserve"> but not </w:t>
      </w:r>
      <w:r w:rsidR="00247E6C" w:rsidRPr="00247E6C">
        <w:t xml:space="preserve">actual </w:t>
      </w:r>
      <w:proofErr w:type="spellStart"/>
      <w:r w:rsidR="00247E6C" w:rsidRPr="00247E6C">
        <w:t>glomerular</w:t>
      </w:r>
      <w:proofErr w:type="spellEnd"/>
      <w:r w:rsidR="00247E6C" w:rsidRPr="00247E6C">
        <w:t xml:space="preserve"> filtration rate </w:t>
      </w:r>
      <w:r w:rsidR="00247E6C">
        <w:t>(</w:t>
      </w:r>
      <w:proofErr w:type="spellStart"/>
      <w:r w:rsidR="00321F6F">
        <w:t>aGFR</w:t>
      </w:r>
      <w:proofErr w:type="spellEnd"/>
      <w:r w:rsidR="00247E6C">
        <w:t>)</w:t>
      </w:r>
      <w:r w:rsidR="00321F6F">
        <w:t>;</w:t>
      </w:r>
    </w:p>
    <w:p w:rsidR="005E3EF7" w:rsidRPr="005E3EF7" w:rsidRDefault="005E3EF7" w:rsidP="00D65084">
      <w:pPr>
        <w:pStyle w:val="ListBullet"/>
      </w:pPr>
      <w:r w:rsidRPr="005E3EF7">
        <w:t xml:space="preserve">Use of </w:t>
      </w:r>
      <w:r w:rsidR="00675E9F">
        <w:t>COBI</w:t>
      </w:r>
      <w:r w:rsidRPr="005E3EF7">
        <w:t xml:space="preserve"> with other agents as part of a regimen containing, FTC, 3TC, TDF or ADV in patients who have an estimated </w:t>
      </w:r>
      <w:proofErr w:type="spellStart"/>
      <w:r w:rsidR="0056506D">
        <w:t>c</w:t>
      </w:r>
      <w:r w:rsidR="0056506D" w:rsidRPr="0056506D">
        <w:t>reatinine</w:t>
      </w:r>
      <w:proofErr w:type="spellEnd"/>
      <w:r w:rsidR="0056506D" w:rsidRPr="0056506D">
        <w:t xml:space="preserve"> </w:t>
      </w:r>
      <w:r w:rsidR="0056506D">
        <w:t>c</w:t>
      </w:r>
      <w:r w:rsidR="0056506D" w:rsidRPr="0056506D">
        <w:t xml:space="preserve">learance </w:t>
      </w:r>
      <w:r w:rsidR="0056506D">
        <w:t>(</w:t>
      </w:r>
      <w:proofErr w:type="spellStart"/>
      <w:r w:rsidRPr="005E3EF7">
        <w:t>Clcr</w:t>
      </w:r>
      <w:proofErr w:type="spellEnd"/>
      <w:r w:rsidR="0056506D">
        <w:t>)</w:t>
      </w:r>
      <w:r w:rsidRPr="005E3EF7">
        <w:t xml:space="preserve"> &lt;70 </w:t>
      </w:r>
      <w:proofErr w:type="spellStart"/>
      <w:r w:rsidRPr="005E3EF7">
        <w:t>mL</w:t>
      </w:r>
      <w:proofErr w:type="spellEnd"/>
      <w:r w:rsidRPr="005E3EF7">
        <w:t xml:space="preserve">/min cannot be recommended because dose adjustment of these drugs is required below 50 </w:t>
      </w:r>
      <w:proofErr w:type="spellStart"/>
      <w:r w:rsidRPr="005E3EF7">
        <w:t>mL</w:t>
      </w:r>
      <w:proofErr w:type="spellEnd"/>
      <w:r w:rsidRPr="005E3EF7">
        <w:t xml:space="preserve">/min and dose adjustments in combination with </w:t>
      </w:r>
      <w:r w:rsidR="00675E9F">
        <w:t>COBI</w:t>
      </w:r>
      <w:r w:rsidR="00321F6F">
        <w:t xml:space="preserve"> have not been established;</w:t>
      </w:r>
    </w:p>
    <w:p w:rsidR="005E3EF7" w:rsidRPr="005E3EF7" w:rsidRDefault="005E3EF7" w:rsidP="00D65084">
      <w:pPr>
        <w:pStyle w:val="ListBullet"/>
      </w:pPr>
      <w:r w:rsidRPr="005E3EF7">
        <w:t xml:space="preserve">The data presented only supports once daily dosing of </w:t>
      </w:r>
      <w:r w:rsidR="00675E9F">
        <w:t>COBI</w:t>
      </w:r>
      <w:r w:rsidRPr="005E3EF7">
        <w:t>. There is insufficient dat</w:t>
      </w:r>
      <w:r w:rsidR="00321F6F">
        <w:t>a to support twice daily dosing;</w:t>
      </w:r>
    </w:p>
    <w:p w:rsidR="005E3EF7" w:rsidRPr="005E3EF7" w:rsidRDefault="005E3EF7" w:rsidP="00D65084">
      <w:pPr>
        <w:pStyle w:val="ListBullet"/>
      </w:pPr>
      <w:r w:rsidRPr="005E3EF7">
        <w:t xml:space="preserve">The use of </w:t>
      </w:r>
      <w:r w:rsidR="00675E9F">
        <w:t>COBI</w:t>
      </w:r>
      <w:r w:rsidRPr="005E3EF7">
        <w:t xml:space="preserve"> with </w:t>
      </w:r>
      <w:r w:rsidR="00675E9F">
        <w:t>DRV</w:t>
      </w:r>
      <w:r w:rsidRPr="005E3EF7">
        <w:t xml:space="preserve"> is only supported by two pharmacokinetic studies. No clinical data supporting use in HIV-1 infected patients was provided. Data on safety of DRV boosted with </w:t>
      </w:r>
      <w:r w:rsidR="00675E9F">
        <w:t>COBI</w:t>
      </w:r>
      <w:r w:rsidRPr="005E3EF7">
        <w:t xml:space="preserve"> is not available. Safety is claimed by the sponsor based on the comparable exposure to DRV between DRV/co and DRV/r.</w:t>
      </w:r>
    </w:p>
    <w:p w:rsidR="005E3EF7" w:rsidRPr="005E3EF7" w:rsidRDefault="005E3EF7" w:rsidP="00D65084">
      <w:pPr>
        <w:pStyle w:val="ListBullet"/>
      </w:pPr>
      <w:r w:rsidRPr="005E3EF7">
        <w:t>Data on use in children is not provided despite requirement in EU guideline.</w:t>
      </w:r>
    </w:p>
    <w:p w:rsidR="005E3EF7" w:rsidRPr="00D65084" w:rsidRDefault="005E3EF7" w:rsidP="00D65084">
      <w:pPr>
        <w:pStyle w:val="Heading5"/>
      </w:pPr>
      <w:bookmarkStart w:id="135" w:name="_Toc236802597"/>
      <w:bookmarkStart w:id="136" w:name="_Toc241374335"/>
      <w:bookmarkStart w:id="137" w:name="_Toc272414695"/>
      <w:bookmarkStart w:id="138" w:name="_Toc290846333"/>
      <w:bookmarkStart w:id="139" w:name="_Toc360193645"/>
      <w:r>
        <w:t>Assessment of benefit-risk balance</w:t>
      </w:r>
      <w:bookmarkEnd w:id="135"/>
      <w:bookmarkEnd w:id="136"/>
      <w:bookmarkEnd w:id="137"/>
      <w:bookmarkEnd w:id="138"/>
      <w:bookmarkEnd w:id="139"/>
    </w:p>
    <w:p w:rsidR="005E3EF7" w:rsidRPr="001035AC" w:rsidRDefault="005E3EF7" w:rsidP="00D65084">
      <w:r w:rsidRPr="001035AC">
        <w:t xml:space="preserve">The benefit-risk balance of </w:t>
      </w:r>
      <w:proofErr w:type="spellStart"/>
      <w:r w:rsidRPr="001035AC">
        <w:t>Tybost</w:t>
      </w:r>
      <w:proofErr w:type="spellEnd"/>
      <w:r w:rsidRPr="001035AC">
        <w:t>, given the proposed usage, is favourable.</w:t>
      </w:r>
    </w:p>
    <w:p w:rsidR="005E3EF7" w:rsidRPr="001035AC" w:rsidRDefault="005E3EF7" w:rsidP="001035AC">
      <w:r w:rsidRPr="001035AC">
        <w:t xml:space="preserve">The efficacy of </w:t>
      </w:r>
      <w:r w:rsidR="00675E9F">
        <w:t>COBI</w:t>
      </w:r>
      <w:r w:rsidRPr="001035AC">
        <w:t xml:space="preserve"> is based predominantly in the PK data which is extensive, particularly data submitted in the </w:t>
      </w:r>
      <w:proofErr w:type="spellStart"/>
      <w:r w:rsidR="000564B0">
        <w:t>Stribild</w:t>
      </w:r>
      <w:proofErr w:type="spellEnd"/>
      <w:r w:rsidRPr="001035AC">
        <w:t xml:space="preserve"> submission. The PK and clinical data relating to the boosting of ATV is stronger than that for DRV but the PK and safety data on DRV demonstrate that the exposure to DRV is similar between DRV/co and DRV/r.</w:t>
      </w:r>
    </w:p>
    <w:p w:rsidR="005E3EF7" w:rsidRPr="00D65084" w:rsidRDefault="005E3EF7" w:rsidP="00D65084">
      <w:pPr>
        <w:pStyle w:val="Heading4"/>
      </w:pPr>
      <w:r>
        <w:t>Recommendation regarding authorisation</w:t>
      </w:r>
    </w:p>
    <w:p w:rsidR="005E3EF7" w:rsidRPr="001035AC" w:rsidRDefault="005E3EF7" w:rsidP="00D65084">
      <w:r w:rsidRPr="001035AC">
        <w:t xml:space="preserve">Based on the clinical data submitted, it recommended that the application for </w:t>
      </w:r>
      <w:proofErr w:type="spellStart"/>
      <w:r w:rsidRPr="001035AC">
        <w:t>Tybost</w:t>
      </w:r>
      <w:proofErr w:type="spellEnd"/>
      <w:r w:rsidRPr="001035AC">
        <w:t xml:space="preserve"> be approved.</w:t>
      </w:r>
    </w:p>
    <w:p w:rsidR="008E7846" w:rsidRPr="00E41208" w:rsidRDefault="008E7846" w:rsidP="00D65084">
      <w:pPr>
        <w:pStyle w:val="Heading2"/>
      </w:pPr>
      <w:bookmarkStart w:id="140" w:name="_Toc247691524"/>
      <w:bookmarkStart w:id="141" w:name="_Toc314842508"/>
      <w:bookmarkStart w:id="142" w:name="_Toc376430063"/>
      <w:r w:rsidRPr="00E41208">
        <w:lastRenderedPageBreak/>
        <w:t xml:space="preserve">V. </w:t>
      </w:r>
      <w:proofErr w:type="spellStart"/>
      <w:r w:rsidRPr="00E41208">
        <w:t>Pharmacovigilance</w:t>
      </w:r>
      <w:proofErr w:type="spellEnd"/>
      <w:r w:rsidRPr="00E41208">
        <w:t xml:space="preserve"> </w:t>
      </w:r>
      <w:r>
        <w:t>f</w:t>
      </w:r>
      <w:r w:rsidRPr="00E41208">
        <w:t>indings</w:t>
      </w:r>
      <w:bookmarkEnd w:id="140"/>
      <w:bookmarkEnd w:id="141"/>
      <w:bookmarkEnd w:id="142"/>
    </w:p>
    <w:p w:rsidR="008E7846" w:rsidRPr="00D65084" w:rsidRDefault="00386150" w:rsidP="00D65084">
      <w:pPr>
        <w:pStyle w:val="Heading3"/>
      </w:pPr>
      <w:bookmarkStart w:id="143" w:name="_Toc247691526"/>
      <w:bookmarkStart w:id="144" w:name="_Toc314842509"/>
      <w:bookmarkStart w:id="145" w:name="_Toc376430064"/>
      <w:r>
        <w:rPr>
          <w:lang w:eastAsia="en-AU"/>
        </w:rPr>
        <w:t>Risk m</w:t>
      </w:r>
      <w:r w:rsidR="008E7846">
        <w:rPr>
          <w:lang w:eastAsia="en-AU"/>
        </w:rPr>
        <w:t xml:space="preserve">anagement </w:t>
      </w:r>
      <w:r>
        <w:rPr>
          <w:lang w:eastAsia="en-AU"/>
        </w:rPr>
        <w:t>p</w:t>
      </w:r>
      <w:r w:rsidR="008E7846">
        <w:rPr>
          <w:lang w:eastAsia="en-AU"/>
        </w:rPr>
        <w:t>lan</w:t>
      </w:r>
      <w:bookmarkEnd w:id="143"/>
      <w:bookmarkEnd w:id="144"/>
      <w:bookmarkEnd w:id="145"/>
    </w:p>
    <w:p w:rsidR="008E7846" w:rsidRDefault="008E7846" w:rsidP="00D65084">
      <w:pPr>
        <w:rPr>
          <w:lang w:eastAsia="en-AU"/>
        </w:rPr>
      </w:pPr>
      <w:r>
        <w:rPr>
          <w:lang w:eastAsia="en-AU"/>
        </w:rPr>
        <w:t xml:space="preserve">The sponsor submitted a Risk Management Plan </w:t>
      </w:r>
      <w:r w:rsidR="005D39DC">
        <w:rPr>
          <w:lang w:eastAsia="en-AU"/>
        </w:rPr>
        <w:t xml:space="preserve">(RMP) </w:t>
      </w:r>
      <w:r>
        <w:rPr>
          <w:lang w:eastAsia="en-AU"/>
        </w:rPr>
        <w:t>which was reviewed by the TGA’s Office of Product Review (OPR).</w:t>
      </w:r>
    </w:p>
    <w:p w:rsidR="008E7846" w:rsidRPr="00D65084" w:rsidRDefault="003A7F6C" w:rsidP="00D65084">
      <w:pPr>
        <w:pStyle w:val="Heading4"/>
      </w:pPr>
      <w:r>
        <w:rPr>
          <w:lang w:eastAsia="en-AU"/>
        </w:rPr>
        <w:t>Safety s</w:t>
      </w:r>
      <w:r w:rsidR="008E7846">
        <w:rPr>
          <w:lang w:eastAsia="en-AU"/>
        </w:rPr>
        <w:t>pecification</w:t>
      </w:r>
    </w:p>
    <w:p w:rsidR="008E7846" w:rsidRDefault="008E7846" w:rsidP="00D65084">
      <w:pPr>
        <w:rPr>
          <w:lang w:eastAsia="en-AU"/>
        </w:rPr>
      </w:pPr>
      <w:r>
        <w:rPr>
          <w:lang w:eastAsia="en-AU"/>
        </w:rPr>
        <w:t xml:space="preserve">The sponsor provided a summary of </w:t>
      </w:r>
      <w:r w:rsidR="002611FF">
        <w:rPr>
          <w:lang w:eastAsia="en-AU"/>
        </w:rPr>
        <w:t>o</w:t>
      </w:r>
      <w:r>
        <w:rPr>
          <w:lang w:eastAsia="en-AU"/>
        </w:rPr>
        <w:t xml:space="preserve">ngoing </w:t>
      </w:r>
      <w:r w:rsidR="002611FF">
        <w:rPr>
          <w:lang w:eastAsia="en-AU"/>
        </w:rPr>
        <w:t>s</w:t>
      </w:r>
      <w:r>
        <w:rPr>
          <w:lang w:eastAsia="en-AU"/>
        </w:rPr>
        <w:t xml:space="preserve">afety </w:t>
      </w:r>
      <w:r w:rsidR="002611FF">
        <w:rPr>
          <w:lang w:eastAsia="en-AU"/>
        </w:rPr>
        <w:t>c</w:t>
      </w:r>
      <w:r>
        <w:rPr>
          <w:lang w:eastAsia="en-AU"/>
        </w:rPr>
        <w:t>on</w:t>
      </w:r>
      <w:r w:rsidR="00985C20">
        <w:rPr>
          <w:lang w:eastAsia="en-AU"/>
        </w:rPr>
        <w:t>cerns which are shown at Table 5</w:t>
      </w:r>
      <w:r>
        <w:rPr>
          <w:lang w:eastAsia="en-AU"/>
        </w:rPr>
        <w:t>.</w:t>
      </w:r>
    </w:p>
    <w:p w:rsidR="00985C20" w:rsidRDefault="00985C20" w:rsidP="00D65084">
      <w:pPr>
        <w:pStyle w:val="TableTitle"/>
        <w:rPr>
          <w:lang w:val="en-GB"/>
        </w:rPr>
      </w:pPr>
      <w:r>
        <w:t>Table 5:</w:t>
      </w:r>
      <w:r w:rsidRPr="004C5C28">
        <w:t xml:space="preserve"> </w:t>
      </w:r>
      <w:r w:rsidR="00217F56" w:rsidRPr="00E85633">
        <w:t>Ongoing safety concerns as identified by the sponsor</w:t>
      </w:r>
      <w:r>
        <w:t>.</w:t>
      </w:r>
    </w:p>
    <w:p w:rsidR="00985C20" w:rsidRDefault="00094C92" w:rsidP="00D65084">
      <w:pPr>
        <w:rPr>
          <w:lang w:eastAsia="en-AU"/>
        </w:rPr>
      </w:pPr>
      <w:r>
        <w:rPr>
          <w:noProof/>
          <w:lang w:eastAsia="en-AU"/>
        </w:rPr>
        <w:drawing>
          <wp:inline distT="0" distB="0" distL="0" distR="0">
            <wp:extent cx="4352925" cy="1531620"/>
            <wp:effectExtent l="19050" t="0" r="9525" b="0"/>
            <wp:docPr id="6" name="Picture 6" descr="Table 5: Ongoing safety concerns as identifi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Ongoing safety concerns as identified by the sponsor."/>
                    <pic:cNvPicPr>
                      <a:picLocks noChangeAspect="1" noChangeArrowheads="1"/>
                    </pic:cNvPicPr>
                  </pic:nvPicPr>
                  <pic:blipFill>
                    <a:blip r:embed="rId18" cstate="print"/>
                    <a:srcRect/>
                    <a:stretch>
                      <a:fillRect/>
                    </a:stretch>
                  </pic:blipFill>
                  <pic:spPr bwMode="auto">
                    <a:xfrm>
                      <a:off x="0" y="0"/>
                      <a:ext cx="4352925" cy="1531620"/>
                    </a:xfrm>
                    <a:prstGeom prst="rect">
                      <a:avLst/>
                    </a:prstGeom>
                    <a:noFill/>
                    <a:ln w="9525">
                      <a:noFill/>
                      <a:miter lim="800000"/>
                      <a:headEnd/>
                      <a:tailEnd/>
                    </a:ln>
                  </pic:spPr>
                </pic:pic>
              </a:graphicData>
            </a:graphic>
          </wp:inline>
        </w:drawing>
      </w:r>
    </w:p>
    <w:p w:rsidR="003957BD" w:rsidRPr="00D65084" w:rsidRDefault="003957BD" w:rsidP="00D65084">
      <w:pPr>
        <w:pStyle w:val="Heading5"/>
      </w:pPr>
      <w:r>
        <w:t>OPR reviewer comment</w:t>
      </w:r>
    </w:p>
    <w:p w:rsidR="003957BD" w:rsidRPr="008D6855" w:rsidRDefault="003957BD" w:rsidP="00A77194">
      <w:r w:rsidRPr="008D6855">
        <w:t xml:space="preserve">The above </w:t>
      </w:r>
      <w:r w:rsidR="002611FF">
        <w:rPr>
          <w:lang w:eastAsia="en-AU"/>
        </w:rPr>
        <w:t>o</w:t>
      </w:r>
      <w:r w:rsidR="00EB7870">
        <w:rPr>
          <w:lang w:eastAsia="en-AU"/>
        </w:rPr>
        <w:t xml:space="preserve">ngoing </w:t>
      </w:r>
      <w:r w:rsidR="002611FF">
        <w:rPr>
          <w:lang w:eastAsia="en-AU"/>
        </w:rPr>
        <w:t>s</w:t>
      </w:r>
      <w:r w:rsidR="00EB7870">
        <w:rPr>
          <w:lang w:eastAsia="en-AU"/>
        </w:rPr>
        <w:t xml:space="preserve">afety </w:t>
      </w:r>
      <w:r w:rsidR="002611FF">
        <w:rPr>
          <w:lang w:eastAsia="en-AU"/>
        </w:rPr>
        <w:t>c</w:t>
      </w:r>
      <w:r w:rsidR="00EB7870">
        <w:rPr>
          <w:lang w:eastAsia="en-AU"/>
        </w:rPr>
        <w:t xml:space="preserve">oncerns </w:t>
      </w:r>
      <w:r w:rsidRPr="008D6855">
        <w:t xml:space="preserve">are generally consistent with those previously accepted for the COBI element of </w:t>
      </w:r>
      <w:proofErr w:type="spellStart"/>
      <w:r w:rsidR="007F3098">
        <w:t>Stribild</w:t>
      </w:r>
      <w:proofErr w:type="spellEnd"/>
      <w:r w:rsidRPr="008D6855">
        <w:t>.</w:t>
      </w:r>
      <w:r w:rsidR="007F3098">
        <w:t xml:space="preserve"> </w:t>
      </w:r>
      <w:r w:rsidRPr="008D6855">
        <w:t xml:space="preserve">However, it is not clear why the </w:t>
      </w:r>
      <w:r w:rsidR="005C0847">
        <w:t>I</w:t>
      </w:r>
      <w:r w:rsidRPr="008D6855">
        <w:t xml:space="preserve">mportant </w:t>
      </w:r>
      <w:r w:rsidR="005C0847">
        <w:t>M</w:t>
      </w:r>
      <w:r w:rsidRPr="008D6855">
        <w:t xml:space="preserve">issing </w:t>
      </w:r>
      <w:r w:rsidR="005C0847">
        <w:t>I</w:t>
      </w:r>
      <w:r w:rsidRPr="008D6855">
        <w:t xml:space="preserve">nformation ‘Long-term safety of DRV/co in adults with HIV-1 infection’ has been excluded as an </w:t>
      </w:r>
      <w:r w:rsidR="002611FF">
        <w:t>o</w:t>
      </w:r>
      <w:r w:rsidRPr="008D6855">
        <w:t xml:space="preserve">ngoing </w:t>
      </w:r>
      <w:r w:rsidR="002611FF">
        <w:t>s</w:t>
      </w:r>
      <w:r w:rsidRPr="008D6855">
        <w:t xml:space="preserve">afety </w:t>
      </w:r>
      <w:r w:rsidR="002611FF">
        <w:t>c</w:t>
      </w:r>
      <w:r w:rsidRPr="008D6855">
        <w:t>oncern.</w:t>
      </w:r>
      <w:r w:rsidR="007F3098">
        <w:t xml:space="preserve"> </w:t>
      </w:r>
      <w:r w:rsidRPr="008D6855">
        <w:t>Notwithstanding the evaluation of the nonclinical and clinical aspects</w:t>
      </w:r>
      <w:r w:rsidR="00C72BFE">
        <w:t xml:space="preserve"> of the Safety Specification</w:t>
      </w:r>
      <w:r w:rsidR="00C32A5A">
        <w:t xml:space="preserve"> (SS)</w:t>
      </w:r>
      <w:r w:rsidRPr="008D6855">
        <w:t xml:space="preserve">, it is recommended that the sponsor should provide compelling justification to this effect or alternatively include it as an ongoing safety concern, giving consideration as to what routine and additional </w:t>
      </w:r>
      <w:proofErr w:type="spellStart"/>
      <w:r w:rsidRPr="008D6855">
        <w:t>pharmacovigilance</w:t>
      </w:r>
      <w:proofErr w:type="spellEnd"/>
      <w:r w:rsidRPr="008D6855">
        <w:t xml:space="preserve"> and risk minimisation activities will be proposed for it.</w:t>
      </w:r>
    </w:p>
    <w:p w:rsidR="008E7846" w:rsidRDefault="008E7846" w:rsidP="00A77194">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8D6855" w:rsidRDefault="008D6855" w:rsidP="00A77194">
      <w:pPr>
        <w:pStyle w:val="Heading5"/>
      </w:pPr>
      <w:bookmarkStart w:id="146" w:name="_Toc345071933"/>
      <w:r>
        <w:t xml:space="preserve">Proposed </w:t>
      </w:r>
      <w:proofErr w:type="spellStart"/>
      <w:r>
        <w:t>pharmacovigilance</w:t>
      </w:r>
      <w:proofErr w:type="spellEnd"/>
      <w:r>
        <w:t xml:space="preserve"> activities</w:t>
      </w:r>
      <w:bookmarkEnd w:id="146"/>
    </w:p>
    <w:p w:rsidR="000564B0" w:rsidRPr="008D6855" w:rsidRDefault="000564B0" w:rsidP="00A77194">
      <w:r w:rsidRPr="008D6855">
        <w:t xml:space="preserve">The sponsor states that routine </w:t>
      </w:r>
      <w:proofErr w:type="spellStart"/>
      <w:r w:rsidRPr="008D6855">
        <w:t>pharmacovigilance</w:t>
      </w:r>
      <w:proofErr w:type="spellEnd"/>
      <w:r w:rsidRPr="008D6855">
        <w:t xml:space="preserve"> activities, consistent with the activities outlined in </w:t>
      </w:r>
      <w:r>
        <w:t>published guidelines,</w:t>
      </w:r>
      <w:r>
        <w:rPr>
          <w:rStyle w:val="FootnoteReference"/>
        </w:rPr>
        <w:footnoteReference w:id="6"/>
      </w:r>
      <w:r>
        <w:t xml:space="preserve"> </w:t>
      </w:r>
      <w:r w:rsidRPr="008D6855">
        <w:t xml:space="preserve">are proposed to monitor all the specified </w:t>
      </w:r>
      <w:r>
        <w:rPr>
          <w:lang w:eastAsia="en-AU"/>
        </w:rPr>
        <w:t>Ongoing Safety Concerns</w:t>
      </w:r>
      <w:r w:rsidRPr="008D6855">
        <w:t>.</w:t>
      </w:r>
      <w:r>
        <w:t xml:space="preserve"> </w:t>
      </w:r>
    </w:p>
    <w:p w:rsidR="000564B0" w:rsidRPr="00C83DDE" w:rsidRDefault="000564B0" w:rsidP="00A77194">
      <w:r w:rsidRPr="00C83DDE">
        <w:t>The following clinical studies are proposed to further monitor the important missing information: ‘Safety in children’:</w:t>
      </w:r>
    </w:p>
    <w:p w:rsidR="000564B0" w:rsidRPr="00C83DDE" w:rsidRDefault="000564B0" w:rsidP="00A77194">
      <w:pPr>
        <w:pStyle w:val="ListBullet"/>
      </w:pPr>
      <w:r w:rsidRPr="00C83DDE">
        <w:t xml:space="preserve">GS-US-183-0154: A Phase </w:t>
      </w:r>
      <w:r>
        <w:t>II</w:t>
      </w:r>
      <w:r w:rsidRPr="00C83DDE">
        <w:t>/</w:t>
      </w:r>
      <w:r>
        <w:t>III</w:t>
      </w:r>
      <w:r w:rsidRPr="00C83DDE">
        <w:t>, multicentre, open</w:t>
      </w:r>
      <w:r>
        <w:t xml:space="preserve"> </w:t>
      </w:r>
      <w:r w:rsidRPr="00C83DDE">
        <w:t>label, non</w:t>
      </w:r>
      <w:r>
        <w:t xml:space="preserve"> randomised, multi cohort, two </w:t>
      </w:r>
      <w:r w:rsidRPr="00C83DDE">
        <w:t xml:space="preserve">part study evaluating the PK, safety, and antiviral activity of EVG co-administered </w:t>
      </w:r>
      <w:r>
        <w:t>with COBI and two</w:t>
      </w:r>
      <w:r w:rsidRPr="00C83DDE">
        <w:t xml:space="preserve"> first</w:t>
      </w:r>
      <w:r>
        <w:t xml:space="preserve"> </w:t>
      </w:r>
      <w:r w:rsidRPr="00C83DDE">
        <w:t>line NRTIs in HIV-1 infected, antiretroviral treatment</w:t>
      </w:r>
      <w:r>
        <w:t xml:space="preserve"> naive subjects aged &lt;</w:t>
      </w:r>
      <w:r w:rsidRPr="00C83DDE">
        <w:t>18 years</w:t>
      </w:r>
      <w:r>
        <w:t>.</w:t>
      </w:r>
    </w:p>
    <w:p w:rsidR="009D09AD" w:rsidRPr="00A77194" w:rsidRDefault="009D09AD" w:rsidP="00A77194">
      <w:pPr>
        <w:pStyle w:val="Heading5"/>
      </w:pPr>
      <w:bookmarkStart w:id="147" w:name="_Toc345071934"/>
      <w:r>
        <w:lastRenderedPageBreak/>
        <w:t>OPR reviewer’s comments</w:t>
      </w:r>
      <w:r w:rsidRPr="003F60E1">
        <w:t xml:space="preserve"> in regard to </w:t>
      </w:r>
      <w:r>
        <w:t xml:space="preserve">the </w:t>
      </w:r>
      <w:proofErr w:type="spellStart"/>
      <w:r w:rsidRPr="003F60E1">
        <w:t>pharmacovigilance</w:t>
      </w:r>
      <w:proofErr w:type="spellEnd"/>
      <w:r w:rsidRPr="003F60E1">
        <w:t xml:space="preserve"> plan </w:t>
      </w:r>
      <w:r>
        <w:t xml:space="preserve">(PP) </w:t>
      </w:r>
      <w:r w:rsidRPr="003F60E1">
        <w:t xml:space="preserve">and </w:t>
      </w:r>
      <w:r>
        <w:t xml:space="preserve">the </w:t>
      </w:r>
      <w:r w:rsidRPr="003F60E1">
        <w:t>appropriateness of milestones</w:t>
      </w:r>
      <w:bookmarkEnd w:id="147"/>
    </w:p>
    <w:p w:rsidR="009D09AD" w:rsidRPr="00AE5E07" w:rsidRDefault="009D09AD" w:rsidP="00A77194">
      <w:r w:rsidRPr="00AE5E07">
        <w:t xml:space="preserve">The ongoing clinical studies are not considered to be part of the planned clinical studies in the </w:t>
      </w:r>
      <w:proofErr w:type="spellStart"/>
      <w:r w:rsidRPr="00AE5E07">
        <w:t>pharmacovigilance</w:t>
      </w:r>
      <w:proofErr w:type="spellEnd"/>
      <w:r w:rsidRPr="00AE5E07">
        <w:t xml:space="preserve"> plan.</w:t>
      </w:r>
      <w:r w:rsidR="007F3098">
        <w:t xml:space="preserve"> </w:t>
      </w:r>
      <w:r w:rsidRPr="00AE5E07">
        <w:t>Therefore</w:t>
      </w:r>
      <w:r w:rsidR="00CE5FA4">
        <w:t>,</w:t>
      </w:r>
      <w:r w:rsidRPr="00AE5E07">
        <w:t xml:space="preserve"> the related study protocols have not been reviewed.</w:t>
      </w:r>
      <w:r w:rsidR="007F3098">
        <w:t xml:space="preserve"> </w:t>
      </w:r>
      <w:r w:rsidRPr="00AE5E07">
        <w:t>Nevertheless</w:t>
      </w:r>
      <w:r w:rsidR="00CE5FA4">
        <w:t>,</w:t>
      </w:r>
      <w:r w:rsidRPr="00AE5E07">
        <w:t xml:space="preserve"> an update on the progress/results/analysis of these studies, as outlined above, will be expected in future </w:t>
      </w:r>
      <w:r w:rsidR="003F7581" w:rsidRPr="00AF702D">
        <w:t>Periodic Safety Update Reports</w:t>
      </w:r>
      <w:r w:rsidR="003F7581">
        <w:t xml:space="preserve"> (</w:t>
      </w:r>
      <w:r w:rsidRPr="00AE5E07">
        <w:t>PSURs</w:t>
      </w:r>
      <w:r w:rsidR="003F7581">
        <w:t>)</w:t>
      </w:r>
      <w:r w:rsidRPr="00AE5E07">
        <w:t>.</w:t>
      </w:r>
    </w:p>
    <w:p w:rsidR="00C83DDE" w:rsidRPr="00AE5E07" w:rsidRDefault="009D09AD" w:rsidP="00A77194">
      <w:r w:rsidRPr="00AE5E07">
        <w:t>The sponsor should provide an assurance that the draft protocols for the planned clinical studies proposed to further monitor th</w:t>
      </w:r>
      <w:r w:rsidR="00CE5FA4">
        <w:t>e important missing information</w:t>
      </w:r>
      <w:r w:rsidRPr="00AE5E07">
        <w:t xml:space="preserve"> ‘Safety in children’ will be provided to the TGA for review when they become available.</w:t>
      </w:r>
    </w:p>
    <w:p w:rsidR="008E7846" w:rsidRPr="00A77194" w:rsidRDefault="008E7846" w:rsidP="00A77194">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73F4E" w:rsidRDefault="00D73F4E" w:rsidP="00A77194">
      <w:pPr>
        <w:pStyle w:val="Heading5"/>
      </w:pPr>
      <w:bookmarkStart w:id="148" w:name="_Toc345071936"/>
      <w:bookmarkStart w:id="149" w:name="_Toc247691527"/>
      <w:r>
        <w:t>Sponsor’s conclusion in regard to the need for risk minimisation activities</w:t>
      </w:r>
      <w:bookmarkEnd w:id="148"/>
    </w:p>
    <w:p w:rsidR="00D73F4E" w:rsidRPr="00D73F4E" w:rsidRDefault="00D73F4E" w:rsidP="00A77194">
      <w:r w:rsidRPr="00D73F4E">
        <w:t>The sponsor has concluded that routine risk minimisation activities are sufficient for all the specified ongoing safety concerns.</w:t>
      </w:r>
      <w:r w:rsidR="007F3098">
        <w:t xml:space="preserve"> </w:t>
      </w:r>
      <w:r w:rsidRPr="00D73F4E">
        <w:t>Consequently no risk minimisation measures additional to the provision of safety information in the product labelling are considered by the sponsor to be warranted for the use of COBI.</w:t>
      </w:r>
    </w:p>
    <w:p w:rsidR="00D73F4E" w:rsidRPr="00A77194" w:rsidRDefault="00D73F4E" w:rsidP="00A77194">
      <w:pPr>
        <w:pStyle w:val="Heading5"/>
      </w:pPr>
      <w:r>
        <w:t>OPR reviewer comment:</w:t>
      </w:r>
    </w:p>
    <w:p w:rsidR="00D73F4E" w:rsidRPr="00D73F4E" w:rsidRDefault="00D73F4E" w:rsidP="00A77194">
      <w:r w:rsidRPr="00D73F4E">
        <w:t xml:space="preserve">The above conclusion was previously accepted for the COBI element of </w:t>
      </w:r>
      <w:proofErr w:type="spellStart"/>
      <w:r w:rsidR="007F3098">
        <w:t>Stribild</w:t>
      </w:r>
      <w:proofErr w:type="spellEnd"/>
      <w:r w:rsidRPr="00D73F4E">
        <w:t>.</w:t>
      </w:r>
      <w:r w:rsidR="007F3098">
        <w:t xml:space="preserve"> </w:t>
      </w:r>
      <w:r w:rsidRPr="00D73F4E">
        <w:t>Consequently</w:t>
      </w:r>
      <w:r w:rsidR="00CE5FA4">
        <w:t>,</w:t>
      </w:r>
      <w:r w:rsidRPr="00D73F4E">
        <w:t xml:space="preserve"> this is acceptable.</w:t>
      </w:r>
    </w:p>
    <w:p w:rsidR="00277C46" w:rsidRDefault="00277C46" w:rsidP="00A77194">
      <w:pPr>
        <w:pStyle w:val="Heading4"/>
        <w:rPr>
          <w:lang w:eastAsia="en-AU"/>
        </w:rPr>
      </w:pPr>
      <w:r>
        <w:rPr>
          <w:lang w:eastAsia="en-AU"/>
        </w:rPr>
        <w:t>First round summary of recommendations</w:t>
      </w:r>
    </w:p>
    <w:p w:rsidR="00E7725E" w:rsidRDefault="00E7725E" w:rsidP="00A77194">
      <w:r w:rsidRPr="00F25461">
        <w:t xml:space="preserve">The OPR provides these recommendations in the context that the submitted RMP is supportive to the application; the implementation of a RMP satisfactory to the TGA is imposed as a condition of registration; and the draft </w:t>
      </w:r>
      <w:r w:rsidR="00CE5FA4">
        <w:t>PI</w:t>
      </w:r>
      <w:r w:rsidRPr="00F25461">
        <w:t xml:space="preserve"> and </w:t>
      </w:r>
      <w:r w:rsidR="00CE5FA4">
        <w:t>C</w:t>
      </w:r>
      <w:r w:rsidRPr="00F25461">
        <w:t xml:space="preserve">onsumer </w:t>
      </w:r>
      <w:r w:rsidR="00CE5FA4">
        <w:t>M</w:t>
      </w:r>
      <w:r w:rsidRPr="00F25461">
        <w:t xml:space="preserve">edicine </w:t>
      </w:r>
      <w:r w:rsidR="00CE5FA4">
        <w:t>I</w:t>
      </w:r>
      <w:r w:rsidRPr="00F25461">
        <w:t xml:space="preserve">nformation </w:t>
      </w:r>
      <w:r w:rsidR="00CE5FA4">
        <w:t xml:space="preserve">(CMI) </w:t>
      </w:r>
      <w:r w:rsidRPr="00F25461">
        <w:t xml:space="preserve">documents should </w:t>
      </w:r>
      <w:r w:rsidR="00D84255">
        <w:rPr>
          <w:i/>
        </w:rPr>
        <w:t>not</w:t>
      </w:r>
      <w:r w:rsidRPr="00F25461">
        <w:t xml:space="preserve"> be revised until the Delegate</w:t>
      </w:r>
      <w:r w:rsidR="00D84255">
        <w:t>’</w:t>
      </w:r>
      <w:r w:rsidRPr="00F25461">
        <w:t>s Overview has been received:</w:t>
      </w:r>
    </w:p>
    <w:p w:rsidR="00E7725E" w:rsidRPr="00E7725E" w:rsidRDefault="00E7725E" w:rsidP="00A77194">
      <w:pPr>
        <w:pStyle w:val="ListBullet"/>
      </w:pPr>
      <w:r w:rsidRPr="00E7725E">
        <w:t xml:space="preserve">Safety considerations may be raised by the nonclinical and clinical evaluators through the consolidated </w:t>
      </w:r>
      <w:r w:rsidR="00600C51">
        <w:t>S</w:t>
      </w:r>
      <w:r w:rsidRPr="00E7725E">
        <w:t>ection 31 request and/or the Nonclinical and Clinical Evaluation Reports respectively.</w:t>
      </w:r>
      <w:r w:rsidR="007F3098">
        <w:t xml:space="preserve"> </w:t>
      </w:r>
      <w:r w:rsidRPr="00E7725E">
        <w:t>It is important to ensure that the information provided in response to these include a consideration of the r</w:t>
      </w:r>
      <w:r w:rsidR="00CD3EA3">
        <w:t>elevance for the RMP</w:t>
      </w:r>
      <w:r w:rsidRPr="00E7725E">
        <w:t>, and any specific information needed to address this issue in the RMP.</w:t>
      </w:r>
      <w:r w:rsidR="007F3098">
        <w:t xml:space="preserve"> </w:t>
      </w:r>
      <w:r w:rsidRPr="00E7725E">
        <w:t>For any safety considerations so raised, the sponsor should provide information that is relevant and necessary to address the issue in the RMP.</w:t>
      </w:r>
    </w:p>
    <w:p w:rsidR="00E7725E" w:rsidRPr="00E7725E" w:rsidRDefault="00E7725E" w:rsidP="00A77194">
      <w:pPr>
        <w:pStyle w:val="ListBullet"/>
      </w:pPr>
      <w:r w:rsidRPr="00E7725E">
        <w:t xml:space="preserve">The summary of the </w:t>
      </w:r>
      <w:r w:rsidR="0084300E">
        <w:t>o</w:t>
      </w:r>
      <w:r w:rsidRPr="00E7725E">
        <w:t xml:space="preserve">ngoing </w:t>
      </w:r>
      <w:r w:rsidR="0084300E">
        <w:t>s</w:t>
      </w:r>
      <w:r w:rsidRPr="00E7725E">
        <w:t xml:space="preserve">afety </w:t>
      </w:r>
      <w:r w:rsidR="0084300E">
        <w:t>c</w:t>
      </w:r>
      <w:r w:rsidRPr="00E7725E">
        <w:t xml:space="preserve">oncerns as specified by the sponsor are generally consistent with those previously accepted for the COBI element of </w:t>
      </w:r>
      <w:proofErr w:type="spellStart"/>
      <w:r w:rsidR="007F3098">
        <w:t>Stribild</w:t>
      </w:r>
      <w:proofErr w:type="spellEnd"/>
      <w:r w:rsidRPr="00E7725E">
        <w:t>.</w:t>
      </w:r>
      <w:r w:rsidR="007F3098">
        <w:t xml:space="preserve"> </w:t>
      </w:r>
      <w:r w:rsidRPr="00E7725E">
        <w:t>However, it is not clear why th</w:t>
      </w:r>
      <w:r w:rsidR="00AD2C40">
        <w:t>e important missing information</w:t>
      </w:r>
      <w:r w:rsidRPr="00E7725E">
        <w:t xml:space="preserve"> ‘Long-term safety of DRV/co in adults with HIV-1 infection’ has been excluded as an ongoing safety concern.</w:t>
      </w:r>
      <w:r w:rsidR="007F3098">
        <w:t xml:space="preserve"> </w:t>
      </w:r>
      <w:r w:rsidRPr="00E7725E">
        <w:t>Notwithstanding the evaluation of the nonclinical and clinical aspects of</w:t>
      </w:r>
      <w:r w:rsidR="00AD2C40">
        <w:t xml:space="preserve"> the SS</w:t>
      </w:r>
      <w:r w:rsidRPr="00E7725E">
        <w:t xml:space="preserve">, it is recommended that the sponsor should provide compelling justification to this effect or alternatively include it as an ongoing safety concern, giving consideration as to what routine and additional </w:t>
      </w:r>
      <w:proofErr w:type="spellStart"/>
      <w:r w:rsidRPr="00E7725E">
        <w:t>pharmacovigilance</w:t>
      </w:r>
      <w:proofErr w:type="spellEnd"/>
      <w:r w:rsidRPr="00E7725E">
        <w:t xml:space="preserve"> and risk minimisation activities will be proposed for it.</w:t>
      </w:r>
    </w:p>
    <w:p w:rsidR="00E7725E" w:rsidRPr="00E7725E" w:rsidRDefault="00E7725E" w:rsidP="00A77194">
      <w:pPr>
        <w:pStyle w:val="ListBullet"/>
      </w:pPr>
      <w:r w:rsidRPr="00E7725E">
        <w:t xml:space="preserve">The ongoing clinical studies are not considered to be part of the planned clinical studies in the </w:t>
      </w:r>
      <w:proofErr w:type="spellStart"/>
      <w:r w:rsidRPr="00E7725E">
        <w:t>pharmacovigilance</w:t>
      </w:r>
      <w:proofErr w:type="spellEnd"/>
      <w:r w:rsidRPr="00E7725E">
        <w:t xml:space="preserve"> </w:t>
      </w:r>
      <w:r w:rsidR="00277C46">
        <w:t>plan</w:t>
      </w:r>
      <w:r w:rsidRPr="00E7725E">
        <w:t>.</w:t>
      </w:r>
      <w:r w:rsidR="007F3098">
        <w:t xml:space="preserve"> </w:t>
      </w:r>
      <w:r w:rsidRPr="00E7725E">
        <w:t>Therefore</w:t>
      </w:r>
      <w:r w:rsidR="00955B35">
        <w:t>,</w:t>
      </w:r>
      <w:r w:rsidRPr="00E7725E">
        <w:t xml:space="preserve"> the related study protocols have not been reviewed.</w:t>
      </w:r>
      <w:r w:rsidR="007F3098">
        <w:t xml:space="preserve"> </w:t>
      </w:r>
      <w:r w:rsidRPr="00E7725E">
        <w:t>Nevertheless</w:t>
      </w:r>
      <w:r w:rsidR="00955B35">
        <w:t>,</w:t>
      </w:r>
      <w:r w:rsidRPr="00E7725E">
        <w:t xml:space="preserve"> an update on the progress/results/analysis of these studies, as outlined in Annex 2 of the AU-RMP, will be expected in future PSURs.</w:t>
      </w:r>
    </w:p>
    <w:p w:rsidR="00E7725E" w:rsidRPr="00E7725E" w:rsidRDefault="00E7725E" w:rsidP="00A77194">
      <w:pPr>
        <w:pStyle w:val="ListBullet"/>
      </w:pPr>
      <w:r w:rsidRPr="00E7725E">
        <w:lastRenderedPageBreak/>
        <w:t>The sponsor should provide an assurance that the draft protocols for the planned clinical studies proposed to further monitor th</w:t>
      </w:r>
      <w:r w:rsidR="00955B35">
        <w:t>e important missing information</w:t>
      </w:r>
      <w:r w:rsidRPr="00E7725E">
        <w:t xml:space="preserve"> ‘Safety in children’ will be provided to the TGA for review when they become available.</w:t>
      </w:r>
    </w:p>
    <w:p w:rsidR="00E7725E" w:rsidRPr="00E7725E" w:rsidRDefault="00E7725E" w:rsidP="00A77194">
      <w:pPr>
        <w:pStyle w:val="ListBullet"/>
      </w:pPr>
      <w:r w:rsidRPr="00E7725E">
        <w:t xml:space="preserve">The sponsor’s conclusion that routine risk minimisation activities are sufficient for all the specified ongoing safety concerns was previously accepted for the COBI element of </w:t>
      </w:r>
      <w:proofErr w:type="spellStart"/>
      <w:r w:rsidR="007F3098">
        <w:t>Stribild</w:t>
      </w:r>
      <w:proofErr w:type="spellEnd"/>
      <w:r w:rsidRPr="00E7725E">
        <w:t>.</w:t>
      </w:r>
      <w:r w:rsidR="007F3098">
        <w:t xml:space="preserve"> </w:t>
      </w:r>
      <w:r w:rsidRPr="00E7725E">
        <w:t>It is agreed that no risk minimisation measures additional to the provision of safety information in the product labelling is currently warranted for the use of COBI.</w:t>
      </w:r>
    </w:p>
    <w:p w:rsidR="00E7725E" w:rsidRPr="00E7725E" w:rsidRDefault="00E7725E" w:rsidP="00A77194">
      <w:pPr>
        <w:pStyle w:val="ListBullet"/>
      </w:pPr>
      <w:r w:rsidRPr="00E7725E">
        <w:t>The sponsor’s proposed application of routine risk minimisation activities would appear to be reasonable and therefore acceptable.</w:t>
      </w:r>
      <w:r w:rsidR="007F3098">
        <w:t xml:space="preserve"> </w:t>
      </w:r>
      <w:r w:rsidRPr="00E7725E">
        <w:t xml:space="preserve">However, it is not clear as to why the proposed contraindication of co-administration with </w:t>
      </w:r>
      <w:r w:rsidR="000D0154">
        <w:t>‘</w:t>
      </w:r>
      <w:r w:rsidRPr="00E7725E">
        <w:t xml:space="preserve">PDE-5 inhibitors: </w:t>
      </w:r>
      <w:proofErr w:type="spellStart"/>
      <w:r w:rsidRPr="00E7725E">
        <w:t>sildenafil</w:t>
      </w:r>
      <w:proofErr w:type="spellEnd"/>
      <w:r w:rsidRPr="00E7725E">
        <w:t xml:space="preserve"> and </w:t>
      </w:r>
      <w:proofErr w:type="spellStart"/>
      <w:r w:rsidRPr="00E7725E">
        <w:t>tadalafil</w:t>
      </w:r>
      <w:proofErr w:type="spellEnd"/>
      <w:r w:rsidRPr="00E7725E">
        <w:t xml:space="preserve"> for the treatment of pulmonary arterial hypertension</w:t>
      </w:r>
      <w:r w:rsidR="000D0154">
        <w:t>’</w:t>
      </w:r>
      <w:r w:rsidRPr="00E7725E">
        <w:t xml:space="preserve"> is so limited and not inclusive of the approved erectile dysfunction indication.</w:t>
      </w:r>
      <w:r w:rsidR="007F3098">
        <w:t xml:space="preserve"> </w:t>
      </w:r>
      <w:r w:rsidRPr="00E7725E">
        <w:t>The spon</w:t>
      </w:r>
      <w:r w:rsidR="00193FB4">
        <w:t>sor should clarify this matter.</w:t>
      </w:r>
    </w:p>
    <w:p w:rsidR="00E7725E" w:rsidRPr="00E7725E" w:rsidRDefault="00E7725E" w:rsidP="00A77194">
      <w:pPr>
        <w:pStyle w:val="ListBullet"/>
      </w:pPr>
      <w:r w:rsidRPr="00E7725E">
        <w:t xml:space="preserve">In regard to the proposed routine risk minimisation activities, the draft </w:t>
      </w:r>
      <w:r w:rsidR="00955B35">
        <w:t>PI</w:t>
      </w:r>
      <w:r w:rsidRPr="00E7725E">
        <w:t xml:space="preserve"> document is considered satisfactory.</w:t>
      </w:r>
    </w:p>
    <w:p w:rsidR="00E7725E" w:rsidRDefault="00E7725E" w:rsidP="00A77194">
      <w:pPr>
        <w:pStyle w:val="ListBullet"/>
      </w:pPr>
      <w:r w:rsidRPr="00E7725E">
        <w:t xml:space="preserve">In regard to the proposed routine risk minimisation activities, the draft </w:t>
      </w:r>
      <w:r w:rsidR="00955B35">
        <w:t>CMI</w:t>
      </w:r>
      <w:r w:rsidRPr="00E7725E">
        <w:t xml:space="preserve"> is considered satisfactory.</w:t>
      </w:r>
    </w:p>
    <w:p w:rsidR="00277C46" w:rsidRDefault="00277C46" w:rsidP="00A77194">
      <w:pPr>
        <w:pStyle w:val="Heading4"/>
      </w:pPr>
      <w:r w:rsidRPr="00ED63DE">
        <w:t>Second round evaluation of the sponsor’s response to the RMP evaluation</w:t>
      </w:r>
    </w:p>
    <w:p w:rsidR="00277C46" w:rsidRDefault="00277C46" w:rsidP="00A77194">
      <w:r w:rsidRPr="005D63DD">
        <w:t>Reconciliation of issues outlined in the RMP report</w:t>
      </w:r>
      <w:r>
        <w:t xml:space="preserve"> is shown in Table </w:t>
      </w:r>
      <w:r w:rsidR="000564B0">
        <w:t>6</w:t>
      </w:r>
      <w:r>
        <w:t>.</w:t>
      </w:r>
    </w:p>
    <w:p w:rsidR="00277C46" w:rsidRDefault="00277C46" w:rsidP="00A77194">
      <w:pPr>
        <w:pStyle w:val="TableTitle"/>
      </w:pPr>
      <w:r>
        <w:lastRenderedPageBreak/>
        <w:t xml:space="preserve">Table </w:t>
      </w:r>
      <w:r w:rsidR="000564B0">
        <w:t>6</w:t>
      </w:r>
      <w:r>
        <w:t>:</w:t>
      </w:r>
      <w:r w:rsidRPr="004C5C28">
        <w:t xml:space="preserve"> </w:t>
      </w:r>
      <w:r w:rsidRPr="000F25CA">
        <w:t>Reconciliation of issues outlined in the RMP report</w:t>
      </w:r>
      <w:r>
        <w:t>.</w:t>
      </w:r>
    </w:p>
    <w:p w:rsidR="00EC6B4D" w:rsidRDefault="00094C92" w:rsidP="00A77194">
      <w:r>
        <w:rPr>
          <w:noProof/>
          <w:lang w:eastAsia="en-AU"/>
        </w:rPr>
        <w:drawing>
          <wp:inline distT="0" distB="0" distL="0" distR="0">
            <wp:extent cx="5396865" cy="2731770"/>
            <wp:effectExtent l="19050" t="0" r="0" b="0"/>
            <wp:docPr id="7" name="Picture 7" descr="Table 6: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Reconciliation of issues outlined in the RMP report."/>
                    <pic:cNvPicPr>
                      <a:picLocks noChangeAspect="1" noChangeArrowheads="1"/>
                    </pic:cNvPicPr>
                  </pic:nvPicPr>
                  <pic:blipFill>
                    <a:blip r:embed="rId19" cstate="print"/>
                    <a:srcRect/>
                    <a:stretch>
                      <a:fillRect/>
                    </a:stretch>
                  </pic:blipFill>
                  <pic:spPr bwMode="auto">
                    <a:xfrm>
                      <a:off x="0" y="0"/>
                      <a:ext cx="5396865" cy="2731770"/>
                    </a:xfrm>
                    <a:prstGeom prst="rect">
                      <a:avLst/>
                    </a:prstGeom>
                    <a:noFill/>
                    <a:ln w="9525">
                      <a:noFill/>
                      <a:miter lim="800000"/>
                      <a:headEnd/>
                      <a:tailEnd/>
                    </a:ln>
                  </pic:spPr>
                </pic:pic>
              </a:graphicData>
            </a:graphic>
          </wp:inline>
        </w:drawing>
      </w:r>
      <w:r>
        <w:rPr>
          <w:noProof/>
          <w:lang w:eastAsia="en-AU"/>
        </w:rPr>
        <w:drawing>
          <wp:inline distT="0" distB="0" distL="0" distR="0">
            <wp:extent cx="5391150" cy="2990215"/>
            <wp:effectExtent l="19050" t="0" r="0" b="0"/>
            <wp:docPr id="8" name="Picture 8" descr="Table 6: Reconciliation of issues outlined in the R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Reconciliation of issues outlined in the RMP report."/>
                    <pic:cNvPicPr>
                      <a:picLocks noChangeAspect="1" noChangeArrowheads="1"/>
                    </pic:cNvPicPr>
                  </pic:nvPicPr>
                  <pic:blipFill>
                    <a:blip r:embed="rId20" cstate="print"/>
                    <a:srcRect/>
                    <a:stretch>
                      <a:fillRect/>
                    </a:stretch>
                  </pic:blipFill>
                  <pic:spPr bwMode="auto">
                    <a:xfrm>
                      <a:off x="0" y="0"/>
                      <a:ext cx="5391150" cy="2990215"/>
                    </a:xfrm>
                    <a:prstGeom prst="rect">
                      <a:avLst/>
                    </a:prstGeom>
                    <a:noFill/>
                    <a:ln w="9525">
                      <a:noFill/>
                      <a:miter lim="800000"/>
                      <a:headEnd/>
                      <a:tailEnd/>
                    </a:ln>
                  </pic:spPr>
                </pic:pic>
              </a:graphicData>
            </a:graphic>
          </wp:inline>
        </w:drawing>
      </w:r>
    </w:p>
    <w:p w:rsidR="00220D91" w:rsidRPr="00A77194" w:rsidRDefault="00220D91" w:rsidP="00A77194">
      <w:pPr>
        <w:pStyle w:val="Heading5"/>
      </w:pPr>
      <w:r w:rsidRPr="003F64D6">
        <w:t>Outstanding issues</w:t>
      </w:r>
    </w:p>
    <w:p w:rsidR="00220D91" w:rsidRPr="003F64D6" w:rsidRDefault="00220D91" w:rsidP="00A77194">
      <w:pPr>
        <w:pStyle w:val="Heading6"/>
      </w:pPr>
      <w:r w:rsidRPr="003F64D6">
        <w:t xml:space="preserve">Issues in relation to the RMP </w:t>
      </w:r>
    </w:p>
    <w:p w:rsidR="00220D91" w:rsidRPr="003F64D6" w:rsidRDefault="00220D91" w:rsidP="00A77194">
      <w:r w:rsidRPr="003F64D6">
        <w:t>There are no outstanding issues in relation to the RMP for this submission.</w:t>
      </w:r>
    </w:p>
    <w:p w:rsidR="00220D91" w:rsidRPr="003F64D6" w:rsidRDefault="00220D91" w:rsidP="00A77194">
      <w:pPr>
        <w:pStyle w:val="Heading6"/>
      </w:pPr>
      <w:r w:rsidRPr="003F64D6">
        <w:t>Advice from the Advisory Committee on the Safety of Medicines (ACSOM)</w:t>
      </w:r>
    </w:p>
    <w:p w:rsidR="00220D91" w:rsidRPr="003F64D6" w:rsidRDefault="00220D91" w:rsidP="00A77194">
      <w:r w:rsidRPr="003F64D6">
        <w:t>ACSOM advice was not sought for this submission.</w:t>
      </w:r>
    </w:p>
    <w:p w:rsidR="00220D91" w:rsidRDefault="00220D91" w:rsidP="00A77194">
      <w:pPr>
        <w:pStyle w:val="Heading5"/>
      </w:pPr>
      <w:r w:rsidRPr="003F64D6">
        <w:t>Comments on the safety specification of the RMP</w:t>
      </w:r>
    </w:p>
    <w:p w:rsidR="00220D91" w:rsidRPr="00B1307E" w:rsidRDefault="00220D91" w:rsidP="00A77194">
      <w:pPr>
        <w:pStyle w:val="Heading6"/>
      </w:pPr>
      <w:r w:rsidRPr="00B1307E">
        <w:t xml:space="preserve">Clinical </w:t>
      </w:r>
      <w:r w:rsidR="00B1470B">
        <w:t>e</w:t>
      </w:r>
      <w:r w:rsidRPr="00B1307E">
        <w:t xml:space="preserve">valuation </w:t>
      </w:r>
      <w:r w:rsidR="00B1470B">
        <w:t>r</w:t>
      </w:r>
      <w:r w:rsidRPr="00B1307E">
        <w:t xml:space="preserve">eport </w:t>
      </w:r>
    </w:p>
    <w:p w:rsidR="00220D91" w:rsidRPr="00220D91" w:rsidRDefault="00220D91" w:rsidP="00A77194">
      <w:r w:rsidRPr="00220D91">
        <w:t xml:space="preserve">The </w:t>
      </w:r>
      <w:r w:rsidR="00506F19">
        <w:t>SS</w:t>
      </w:r>
      <w:r w:rsidRPr="00220D91">
        <w:t xml:space="preserve"> in the draft </w:t>
      </w:r>
      <w:r w:rsidR="00D4475E">
        <w:t>RMP</w:t>
      </w:r>
      <w:r w:rsidRPr="00220D91">
        <w:t xml:space="preserve"> is satisfactory.</w:t>
      </w:r>
    </w:p>
    <w:p w:rsidR="00220D91" w:rsidRPr="00107999" w:rsidRDefault="00B1470B" w:rsidP="00A77194">
      <w:pPr>
        <w:pStyle w:val="Heading6"/>
      </w:pPr>
      <w:r>
        <w:t>Non</w:t>
      </w:r>
      <w:r w:rsidR="00220D91" w:rsidRPr="00107999">
        <w:t xml:space="preserve">clinical evaluation </w:t>
      </w:r>
      <w:r>
        <w:t>r</w:t>
      </w:r>
      <w:r w:rsidR="00220D91" w:rsidRPr="00107999">
        <w:t xml:space="preserve">eport </w:t>
      </w:r>
    </w:p>
    <w:p w:rsidR="00220D91" w:rsidRPr="00220D91" w:rsidRDefault="00220D91" w:rsidP="00A77194">
      <w:r>
        <w:t>The non</w:t>
      </w:r>
      <w:r w:rsidRPr="00220D91">
        <w:t xml:space="preserve">clinical evaluator made no specific comments on the </w:t>
      </w:r>
      <w:r w:rsidR="00701AD4">
        <w:t>SS</w:t>
      </w:r>
      <w:r>
        <w:t xml:space="preserve"> in the non</w:t>
      </w:r>
      <w:r w:rsidRPr="00220D91">
        <w:t>clinical evaluation report.</w:t>
      </w:r>
    </w:p>
    <w:p w:rsidR="008E7846" w:rsidRPr="00792A32" w:rsidRDefault="008E7846" w:rsidP="00A77194">
      <w:pPr>
        <w:pStyle w:val="Heading2"/>
      </w:pPr>
      <w:bookmarkStart w:id="150" w:name="_Toc314842510"/>
      <w:bookmarkStart w:id="151" w:name="_Toc376430065"/>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1"/>
      <w:bookmarkEnd w:id="149"/>
      <w:bookmarkEnd w:id="150"/>
      <w:bookmarkEnd w:id="151"/>
    </w:p>
    <w:p w:rsidR="008E7846" w:rsidRDefault="008E7846" w:rsidP="00A77194">
      <w:bookmarkStart w:id="15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A77194">
      <w:pPr>
        <w:pStyle w:val="Heading3"/>
      </w:pPr>
      <w:bookmarkStart w:id="153" w:name="_Toc314842511"/>
      <w:bookmarkStart w:id="154" w:name="_Toc376430066"/>
      <w:r>
        <w:t>Quality</w:t>
      </w:r>
      <w:bookmarkEnd w:id="152"/>
      <w:bookmarkEnd w:id="153"/>
      <w:bookmarkEnd w:id="154"/>
    </w:p>
    <w:p w:rsidR="000564B0" w:rsidRPr="008E389C" w:rsidRDefault="000564B0" w:rsidP="00A77194">
      <w:r w:rsidRPr="008E389C">
        <w:t xml:space="preserve">The COBI drug substance used in </w:t>
      </w:r>
      <w:proofErr w:type="spellStart"/>
      <w:r w:rsidRPr="008E389C">
        <w:t>T</w:t>
      </w:r>
      <w:r>
        <w:t>ybost</w:t>
      </w:r>
      <w:proofErr w:type="spellEnd"/>
      <w:r w:rsidRPr="008E389C">
        <w:t xml:space="preserve"> tablets is identical to that used in </w:t>
      </w:r>
      <w:proofErr w:type="spellStart"/>
      <w:r>
        <w:t>Stribild</w:t>
      </w:r>
      <w:proofErr w:type="spellEnd"/>
      <w:r w:rsidRPr="008E389C">
        <w:t xml:space="preserve"> tablets and all </w:t>
      </w:r>
      <w:proofErr w:type="spellStart"/>
      <w:r w:rsidRPr="008E389C">
        <w:t>excipients</w:t>
      </w:r>
      <w:proofErr w:type="spellEnd"/>
      <w:r w:rsidRPr="008E389C">
        <w:t xml:space="preserve"> used in the formulation are common pharmaceutical ingredients.</w:t>
      </w:r>
    </w:p>
    <w:p w:rsidR="000564B0" w:rsidRPr="008E389C" w:rsidRDefault="000564B0" w:rsidP="00A77194">
      <w:r w:rsidRPr="008E389C">
        <w:t>The drug development program used two COBI formulations that were very different with respect to composition and manufacturing processes.</w:t>
      </w:r>
      <w:r>
        <w:t xml:space="preserve"> </w:t>
      </w:r>
      <w:r w:rsidRPr="008E389C">
        <w:t>The effects of these differences were evaluated in Study GS-US-216-0116 which showed the COBI tablet formulation proposed for registration is bioequivalent to an ea</w:t>
      </w:r>
      <w:r>
        <w:t>rlier Phase I/II tablet for all three PK</w:t>
      </w:r>
      <w:r w:rsidRPr="008E389C">
        <w:t xml:space="preserve"> parameters tested: </w:t>
      </w:r>
      <w:proofErr w:type="spellStart"/>
      <w:r w:rsidRPr="008E389C">
        <w:t>AUC</w:t>
      </w:r>
      <w:r w:rsidRPr="008E389C">
        <w:rPr>
          <w:vertAlign w:val="subscript"/>
        </w:rPr>
        <w:t>tau</w:t>
      </w:r>
      <w:proofErr w:type="spellEnd"/>
      <w:r w:rsidRPr="008E389C">
        <w:t xml:space="preserve">, </w:t>
      </w:r>
      <w:r>
        <w:t>(</w:t>
      </w:r>
      <w:r>
        <w:rPr>
          <w:rFonts w:eastAsia="Calibri" w:cs="TimesNewRomanPSMT"/>
          <w:lang w:val="en-US"/>
        </w:rPr>
        <w:t>area under the drug concentration-time curve over the dosing interval</w:t>
      </w:r>
      <w:r>
        <w:t xml:space="preserve">) </w:t>
      </w:r>
      <w:proofErr w:type="spellStart"/>
      <w:r w:rsidRPr="008E389C">
        <w:t>C</w:t>
      </w:r>
      <w:r w:rsidRPr="008E389C">
        <w:rPr>
          <w:vertAlign w:val="subscript"/>
        </w:rPr>
        <w:t>max</w:t>
      </w:r>
      <w:proofErr w:type="spellEnd"/>
      <w:r w:rsidRPr="008E389C">
        <w:t xml:space="preserve">, and </w:t>
      </w:r>
      <w:proofErr w:type="spellStart"/>
      <w:r w:rsidRPr="008E389C">
        <w:t>C</w:t>
      </w:r>
      <w:r w:rsidRPr="008E389C">
        <w:rPr>
          <w:vertAlign w:val="subscript"/>
        </w:rPr>
        <w:t>tau</w:t>
      </w:r>
      <w:proofErr w:type="spellEnd"/>
      <w:r>
        <w:t xml:space="preserve"> (</w:t>
      </w:r>
      <w:r>
        <w:rPr>
          <w:rFonts w:eastAsia="Calibri" w:cs="TimesNewRomanPSMT"/>
          <w:lang w:val="en-US"/>
        </w:rPr>
        <w:t>observed drug concentration at the end of the dosing interval</w:t>
      </w:r>
      <w:r>
        <w:t>).</w:t>
      </w:r>
    </w:p>
    <w:p w:rsidR="000564B0" w:rsidRPr="008E389C" w:rsidRDefault="000564B0" w:rsidP="00A77194">
      <w:r w:rsidRPr="008E389C">
        <w:t xml:space="preserve">The evaluator noted that effect of food on </w:t>
      </w:r>
      <w:proofErr w:type="spellStart"/>
      <w:r>
        <w:t>Tybost</w:t>
      </w:r>
      <w:proofErr w:type="spellEnd"/>
      <w:r w:rsidRPr="008E389C">
        <w:t xml:space="preserve"> tablets has not been studied and that no evidence has been provided that either tablet formulation displays optimal oral bioavailability.</w:t>
      </w:r>
      <w:r>
        <w:t xml:space="preserve"> </w:t>
      </w:r>
      <w:r w:rsidRPr="008E389C">
        <w:t xml:space="preserve">COBI is a </w:t>
      </w:r>
      <w:proofErr w:type="spellStart"/>
      <w:r w:rsidRPr="008E389C">
        <w:t>Biopharmaceutics</w:t>
      </w:r>
      <w:proofErr w:type="spellEnd"/>
      <w:r w:rsidRPr="008E389C">
        <w:t xml:space="preserve"> Classification System (BCS) Class 2 drug substance</w:t>
      </w:r>
      <w:r>
        <w:t xml:space="preserve"> (that is, </w:t>
      </w:r>
      <w:r w:rsidRPr="008E389C">
        <w:t>high permeability, low solubility), so absorption could be dis</w:t>
      </w:r>
      <w:r>
        <w:t xml:space="preserve">solution </w:t>
      </w:r>
      <w:r w:rsidRPr="008E389C">
        <w:t>rate limited.</w:t>
      </w:r>
      <w:r>
        <w:t xml:space="preserve"> </w:t>
      </w:r>
    </w:p>
    <w:p w:rsidR="000564B0" w:rsidRPr="008E389C" w:rsidRDefault="000564B0" w:rsidP="00A77194">
      <w:pPr>
        <w:pStyle w:val="ListBullet"/>
      </w:pPr>
      <w:r>
        <w:t>S</w:t>
      </w:r>
      <w:r w:rsidRPr="008E389C">
        <w:t>tudy GS-US-216-0116 demonstrated the pharmacokinetic performance of COBI was formulation independent;</w:t>
      </w:r>
    </w:p>
    <w:p w:rsidR="000564B0" w:rsidRPr="008E389C" w:rsidRDefault="000564B0" w:rsidP="00A77194">
      <w:pPr>
        <w:pStyle w:val="ListBullet"/>
      </w:pPr>
      <w:r>
        <w:t>F</w:t>
      </w:r>
      <w:r w:rsidRPr="008E389C">
        <w:t>urther to this, the relative bioavailability and disposition of COBI (in combination with EVG) was unaffected upon co-admin</w:t>
      </w:r>
      <w:r>
        <w:t>istration or staggered (12 h</w:t>
      </w:r>
      <w:r w:rsidRPr="008E389C">
        <w:t xml:space="preserve">) administration with </w:t>
      </w:r>
      <w:proofErr w:type="spellStart"/>
      <w:r w:rsidRPr="008E389C">
        <w:t>omeprazole</w:t>
      </w:r>
      <w:proofErr w:type="spellEnd"/>
      <w:r w:rsidRPr="008E389C">
        <w:t xml:space="preserve">, with exposure parameters being within classical </w:t>
      </w:r>
      <w:r>
        <w:t xml:space="preserve">bioequivalence boundaries (that is, 90% Confidence Interval [CI] </w:t>
      </w:r>
      <w:r w:rsidRPr="008E389C">
        <w:t>within 80-125%). Similarly, COBI exposures were within bioequivalence bounds following co-administratio</w:t>
      </w:r>
      <w:r>
        <w:t>n or staggered (12 h</w:t>
      </w:r>
      <w:r w:rsidRPr="008E389C">
        <w:t xml:space="preserve">) administration with </w:t>
      </w:r>
      <w:proofErr w:type="spellStart"/>
      <w:r w:rsidRPr="008E389C">
        <w:t>famotidine</w:t>
      </w:r>
      <w:proofErr w:type="spellEnd"/>
      <w:r w:rsidRPr="008E389C">
        <w:t xml:space="preserve"> (Studies GS-US-216-0120 and GS-US-216-0122, </w:t>
      </w:r>
      <w:proofErr w:type="spellStart"/>
      <w:r>
        <w:t>Stribild</w:t>
      </w:r>
      <w:proofErr w:type="spellEnd"/>
      <w:r w:rsidRPr="008E389C">
        <w:t xml:space="preserve"> submission). It was considered the lack of any drug-drug in</w:t>
      </w:r>
      <w:r>
        <w:t xml:space="preserve">teraction between COBI and acid </w:t>
      </w:r>
      <w:r w:rsidRPr="008E389C">
        <w:t xml:space="preserve">reducing agents indicates that the dissolution of COBI Tablets at higher stomach pH will have no effect on the bioavailability. </w:t>
      </w:r>
    </w:p>
    <w:p w:rsidR="000564B0" w:rsidRPr="008E389C" w:rsidRDefault="000564B0" w:rsidP="00A77194">
      <w:r w:rsidRPr="008E389C">
        <w:t xml:space="preserve">No objections were raised to registration of </w:t>
      </w:r>
      <w:proofErr w:type="spellStart"/>
      <w:r w:rsidRPr="008E389C">
        <w:t>T</w:t>
      </w:r>
      <w:r>
        <w:t>ybost</w:t>
      </w:r>
      <w:proofErr w:type="spellEnd"/>
      <w:r w:rsidRPr="008E389C">
        <w:t xml:space="preserve"> with regard to Chemistry, Manufacturing and Controls at the time of completion of the evaluation rounds.</w:t>
      </w:r>
      <w:r>
        <w:t xml:space="preserve"> </w:t>
      </w:r>
      <w:r w:rsidRPr="008E389C">
        <w:t xml:space="preserve">However, the TGA recently became aware that the </w:t>
      </w:r>
      <w:r>
        <w:t>US</w:t>
      </w:r>
      <w:r w:rsidRPr="008E389C">
        <w:t xml:space="preserve"> Food and Drug Administration (FDA) has issued Complete Response Letters advising that it cannot approve the US NDA for </w:t>
      </w:r>
      <w:r>
        <w:t>COBI</w:t>
      </w:r>
      <w:r w:rsidRPr="008E389C">
        <w:t xml:space="preserve"> in its current form as a result of recent GMP inspections in which deficiencies were observed.</w:t>
      </w:r>
      <w:r>
        <w:t xml:space="preserve"> </w:t>
      </w:r>
      <w:r w:rsidRPr="008E389C">
        <w:t>At the time of completion of this Request for Advice, the TGA was working through additional information provided by the sponsor to determine the nature and scope of the deficiencies, and the sponsor’s proposed actions to address those deficiencies.</w:t>
      </w:r>
      <w:r>
        <w:t xml:space="preserve">  </w:t>
      </w:r>
    </w:p>
    <w:p w:rsidR="008E7846" w:rsidRPr="00A77194" w:rsidRDefault="008E7846" w:rsidP="00A77194">
      <w:pPr>
        <w:pStyle w:val="Heading3"/>
      </w:pPr>
      <w:bookmarkStart w:id="155" w:name="_Toc314842512"/>
      <w:bookmarkStart w:id="156" w:name="_Toc376430067"/>
      <w:r>
        <w:t>Nonclinical</w:t>
      </w:r>
      <w:bookmarkEnd w:id="155"/>
      <w:bookmarkEnd w:id="156"/>
    </w:p>
    <w:p w:rsidR="005F55F4" w:rsidRPr="005F55F4" w:rsidRDefault="005F55F4" w:rsidP="00A77194">
      <w:r w:rsidRPr="005F55F4">
        <w:t xml:space="preserve">There were no nonclinical objections to registration of the product. </w:t>
      </w:r>
      <w:r>
        <w:t>T</w:t>
      </w:r>
      <w:r w:rsidRPr="005F55F4">
        <w:t xml:space="preserve">he majority of the nonclinical data for COBI, including data pertaining to the proposed combination of COBI with ATV, were included in the </w:t>
      </w:r>
      <w:proofErr w:type="spellStart"/>
      <w:r w:rsidR="007F3098">
        <w:t>Stribild</w:t>
      </w:r>
      <w:proofErr w:type="spellEnd"/>
      <w:r w:rsidRPr="005F55F4">
        <w:t xml:space="preserve"> submission.</w:t>
      </w:r>
      <w:r w:rsidR="007F3098">
        <w:t xml:space="preserve"> </w:t>
      </w:r>
      <w:r w:rsidRPr="005F55F4">
        <w:t>A small amount of supplementary nonclinical data, mostly dealing with the metabolism and pharmacokinetic drug interactions of COBI were included in the current submission.</w:t>
      </w:r>
      <w:r w:rsidR="007F3098">
        <w:t xml:space="preserve"> </w:t>
      </w:r>
      <w:r w:rsidRPr="005F55F4">
        <w:t>The key nonclinical findings for COBI are:</w:t>
      </w:r>
    </w:p>
    <w:p w:rsidR="005F55F4" w:rsidRPr="000D39EA" w:rsidRDefault="005F55F4" w:rsidP="00A77194">
      <w:pPr>
        <w:pStyle w:val="ListBullet"/>
      </w:pPr>
      <w:r w:rsidRPr="000D39EA">
        <w:t>COBI exhibits a largely mechanism</w:t>
      </w:r>
      <w:r w:rsidR="00563E56">
        <w:t xml:space="preserve"> </w:t>
      </w:r>
      <w:r w:rsidRPr="000D39EA">
        <w:t xml:space="preserve">based inhibition of human </w:t>
      </w:r>
      <w:proofErr w:type="spellStart"/>
      <w:r w:rsidRPr="000D39EA">
        <w:t>microsomal</w:t>
      </w:r>
      <w:proofErr w:type="spellEnd"/>
      <w:r w:rsidRPr="000D39EA">
        <w:t xml:space="preserve"> fraction CYP3A activity </w:t>
      </w:r>
      <w:r w:rsidRPr="0016558E">
        <w:rPr>
          <w:i/>
        </w:rPr>
        <w:t>in vitro</w:t>
      </w:r>
      <w:r w:rsidRPr="000D39EA">
        <w:t xml:space="preserve">, with a similar potency to </w:t>
      </w:r>
      <w:r w:rsidR="009D3AE9">
        <w:t>RTV</w:t>
      </w:r>
      <w:r w:rsidRPr="000D39EA">
        <w:t xml:space="preserve"> (IC</w:t>
      </w:r>
      <w:r w:rsidRPr="000D39EA">
        <w:rPr>
          <w:vertAlign w:val="subscript"/>
        </w:rPr>
        <w:t>50</w:t>
      </w:r>
      <w:r w:rsidRPr="000D39EA">
        <w:t xml:space="preserve"> of 0.15 </w:t>
      </w:r>
      <w:proofErr w:type="spellStart"/>
      <w:r w:rsidRPr="000D39EA">
        <w:t>nM</w:t>
      </w:r>
      <w:proofErr w:type="spellEnd"/>
      <w:r w:rsidRPr="000D39EA">
        <w:t>).</w:t>
      </w:r>
      <w:r w:rsidR="007F3098">
        <w:t xml:space="preserve"> </w:t>
      </w:r>
      <w:r w:rsidRPr="000D39EA">
        <w:t xml:space="preserve">It has little or no activity against other CYP </w:t>
      </w:r>
      <w:proofErr w:type="spellStart"/>
      <w:r w:rsidRPr="000D39EA">
        <w:t>isoforms</w:t>
      </w:r>
      <w:proofErr w:type="spellEnd"/>
      <w:r w:rsidRPr="000D39EA">
        <w:t xml:space="preserve"> tested, except for weak inhibition o</w:t>
      </w:r>
      <w:r w:rsidR="00563E56">
        <w:t xml:space="preserve">f CYP2B6 </w:t>
      </w:r>
      <w:r w:rsidR="00563E56">
        <w:lastRenderedPageBreak/>
        <w:t>and CYP2D6 (</w:t>
      </w:r>
      <w:r w:rsidRPr="000D39EA">
        <w:t>IC</w:t>
      </w:r>
      <w:r w:rsidRPr="000D39EA">
        <w:rPr>
          <w:vertAlign w:val="subscript"/>
        </w:rPr>
        <w:t>50</w:t>
      </w:r>
      <w:r w:rsidRPr="000D39EA">
        <w:t xml:space="preserve"> values of 2.8 and 9.2 µM</w:t>
      </w:r>
      <w:r w:rsidR="00563E56">
        <w:t>, respectively</w:t>
      </w:r>
      <w:r w:rsidRPr="000D39EA">
        <w:t>), and it also weakly inhibits UGT1A1 (IC</w:t>
      </w:r>
      <w:r w:rsidRPr="00563E56">
        <w:rPr>
          <w:vertAlign w:val="subscript"/>
        </w:rPr>
        <w:t>50</w:t>
      </w:r>
      <w:r w:rsidRPr="000D39EA">
        <w:t xml:space="preserve"> of 16.3 µM). COBI activates rat and, to a lesser extent, human </w:t>
      </w:r>
      <w:proofErr w:type="spellStart"/>
      <w:r w:rsidRPr="000D39EA">
        <w:t>pregnane</w:t>
      </w:r>
      <w:proofErr w:type="spellEnd"/>
      <w:r w:rsidRPr="000D39EA">
        <w:t xml:space="preserve"> X receptors, with activation of the human form being less pronounced than with RTV;</w:t>
      </w:r>
    </w:p>
    <w:p w:rsidR="005F55F4" w:rsidRPr="000D39EA" w:rsidRDefault="000D466B" w:rsidP="00A77194">
      <w:pPr>
        <w:pStyle w:val="ListBullet"/>
      </w:pPr>
      <w:r>
        <w:t>U</w:t>
      </w:r>
      <w:r w:rsidR="005F55F4" w:rsidRPr="000D39EA">
        <w:t>nlike RTV, COBI has no activity against HIV-1;</w:t>
      </w:r>
    </w:p>
    <w:p w:rsidR="005F55F4" w:rsidRPr="000D39EA" w:rsidRDefault="000D466B" w:rsidP="00A77194">
      <w:pPr>
        <w:pStyle w:val="ListBullet"/>
      </w:pPr>
      <w:r>
        <w:t>A</w:t>
      </w:r>
      <w:r w:rsidR="005F55F4" w:rsidRPr="000D39EA">
        <w:t>t the proposed 150</w:t>
      </w:r>
      <w:r w:rsidR="00563E56">
        <w:t xml:space="preserve"> </w:t>
      </w:r>
      <w:r w:rsidR="005F55F4" w:rsidRPr="000D39EA">
        <w:t xml:space="preserve">mg dose (with an associated </w:t>
      </w:r>
      <w:proofErr w:type="spellStart"/>
      <w:r w:rsidR="005F55F4" w:rsidRPr="000D39EA">
        <w:t>C</w:t>
      </w:r>
      <w:r w:rsidR="005F55F4" w:rsidRPr="00563E56">
        <w:rPr>
          <w:vertAlign w:val="subscript"/>
        </w:rPr>
        <w:t>max</w:t>
      </w:r>
      <w:proofErr w:type="spellEnd"/>
      <w:r w:rsidR="005F55F4" w:rsidRPr="00563E56">
        <w:rPr>
          <w:vertAlign w:val="subscript"/>
        </w:rPr>
        <w:t xml:space="preserve"> </w:t>
      </w:r>
      <w:r w:rsidR="005F55F4" w:rsidRPr="000D39EA">
        <w:t>of 1.57 µM)</w:t>
      </w:r>
      <w:r w:rsidR="00563E56">
        <w:t>,</w:t>
      </w:r>
      <w:r w:rsidR="005F55F4" w:rsidRPr="000D39EA">
        <w:t xml:space="preserve"> COBI may inhibit the hepatic uptake transporters OATP1B1 and OATP1B3 (respective IC</w:t>
      </w:r>
      <w:r w:rsidR="005F55F4" w:rsidRPr="007646E8">
        <w:rPr>
          <w:vertAlign w:val="subscript"/>
        </w:rPr>
        <w:t>50</w:t>
      </w:r>
      <w:r w:rsidR="005F55F4" w:rsidRPr="000D39EA">
        <w:t xml:space="preserve"> values of 3.5 µM and 1.9 µM) and the r</w:t>
      </w:r>
      <w:r w:rsidR="00AD4904">
        <w:t>enal transporters MATE1 (</w:t>
      </w:r>
      <w:r w:rsidR="005F55F4" w:rsidRPr="000D39EA">
        <w:t>IC</w:t>
      </w:r>
      <w:r w:rsidR="005F55F4" w:rsidRPr="00563E56">
        <w:rPr>
          <w:vertAlign w:val="subscript"/>
        </w:rPr>
        <w:t>50</w:t>
      </w:r>
      <w:r w:rsidR="005F55F4" w:rsidRPr="000D39EA">
        <w:t xml:space="preserve"> value 1.9 µM) and OCTN1 (IC</w:t>
      </w:r>
      <w:r w:rsidR="005F55F4" w:rsidRPr="007646E8">
        <w:rPr>
          <w:vertAlign w:val="subscript"/>
        </w:rPr>
        <w:t>50</w:t>
      </w:r>
      <w:r w:rsidR="005F55F4" w:rsidRPr="000D39EA">
        <w:t xml:space="preserve"> value 2.5 µM);</w:t>
      </w:r>
    </w:p>
    <w:p w:rsidR="005F55F4" w:rsidRPr="000D39EA" w:rsidRDefault="005F55F4" w:rsidP="00A77194">
      <w:pPr>
        <w:pStyle w:val="ListBullet"/>
      </w:pPr>
      <w:r w:rsidRPr="000D39EA">
        <w:t xml:space="preserve">COBI elicited some changes in isolated rabbit hearts, including prolonged PR interval and a negative </w:t>
      </w:r>
      <w:proofErr w:type="spellStart"/>
      <w:r w:rsidRPr="000D39EA">
        <w:t>inotropic</w:t>
      </w:r>
      <w:proofErr w:type="spellEnd"/>
      <w:r w:rsidRPr="000D39EA">
        <w:t xml:space="preserve"> effect, but QT interval prolongation was not seen.</w:t>
      </w:r>
      <w:r w:rsidR="007F3098">
        <w:t xml:space="preserve"> </w:t>
      </w:r>
      <w:r w:rsidRPr="000417BC">
        <w:rPr>
          <w:i/>
        </w:rPr>
        <w:t>In vivo</w:t>
      </w:r>
      <w:r w:rsidRPr="000D39EA">
        <w:t>, QT intervals were slightly prolonged (single dose) or unaffected (4 week toxicity study) by per oral (PO) treatment of dogs with up to 45 mg/kg;</w:t>
      </w:r>
    </w:p>
    <w:p w:rsidR="005F55F4" w:rsidRPr="000D39EA" w:rsidRDefault="000D466B" w:rsidP="00A77194">
      <w:pPr>
        <w:pStyle w:val="ListBullet"/>
      </w:pPr>
      <w:r>
        <w:rPr>
          <w:i/>
        </w:rPr>
        <w:t>I</w:t>
      </w:r>
      <w:r w:rsidR="005F55F4" w:rsidRPr="003E78B3">
        <w:rPr>
          <w:i/>
        </w:rPr>
        <w:t>n vitro</w:t>
      </w:r>
      <w:r w:rsidR="005F55F4" w:rsidRPr="000D39EA">
        <w:t xml:space="preserve"> plasma protein binding was extensive in mouse, rat, dog and human samples (91.1-97.7 at 1-10 µM).</w:t>
      </w:r>
      <w:r w:rsidR="007F3098">
        <w:t xml:space="preserve"> </w:t>
      </w:r>
      <w:r w:rsidR="005F55F4" w:rsidRPr="000D39EA">
        <w:t>Rat tissue distribution studies showed high radioactivity concentrations in the liver, adrenals and pituitary and low values in the brain/spinal cord and testes.</w:t>
      </w:r>
      <w:r w:rsidR="007F3098">
        <w:t xml:space="preserve"> </w:t>
      </w:r>
      <w:r w:rsidR="005F55F4" w:rsidRPr="000D39EA">
        <w:t xml:space="preserve">COBI was a p-glycoprotein substrate in </w:t>
      </w:r>
      <w:proofErr w:type="spellStart"/>
      <w:r w:rsidR="005F55F4" w:rsidRPr="000D39EA">
        <w:t>transfected</w:t>
      </w:r>
      <w:proofErr w:type="spellEnd"/>
      <w:r w:rsidR="005F55F4" w:rsidRPr="000D39EA">
        <w:t xml:space="preserve"> canine kidney MDCKII cells, but no significant efflux was seen across Caco-2 cell </w:t>
      </w:r>
      <w:proofErr w:type="spellStart"/>
      <w:r w:rsidR="005F55F4" w:rsidRPr="000D39EA">
        <w:t>monolayers</w:t>
      </w:r>
      <w:proofErr w:type="spellEnd"/>
      <w:r w:rsidR="005F55F4" w:rsidRPr="000D39EA">
        <w:t>;</w:t>
      </w:r>
      <w:r w:rsidR="007F3098">
        <w:t xml:space="preserve"> </w:t>
      </w:r>
    </w:p>
    <w:p w:rsidR="005F55F4" w:rsidRPr="000D39EA" w:rsidRDefault="005F55F4" w:rsidP="00A77194">
      <w:pPr>
        <w:pStyle w:val="ListBullet"/>
      </w:pPr>
      <w:r w:rsidRPr="000D39EA">
        <w:t xml:space="preserve">COBI metabolites seen in vitro in mouse, rat, dog and human samples were predominantly a </w:t>
      </w:r>
      <w:proofErr w:type="spellStart"/>
      <w:r w:rsidRPr="000D39EA">
        <w:t>carbamate</w:t>
      </w:r>
      <w:proofErr w:type="spellEnd"/>
      <w:r w:rsidRPr="000D39EA">
        <w:t xml:space="preserve"> cleavage product (M21), a </w:t>
      </w:r>
      <w:proofErr w:type="spellStart"/>
      <w:r w:rsidRPr="000D39EA">
        <w:t>dealkylated</w:t>
      </w:r>
      <w:proofErr w:type="spellEnd"/>
      <w:r w:rsidRPr="000D39EA">
        <w:t xml:space="preserve"> </w:t>
      </w:r>
      <w:proofErr w:type="spellStart"/>
      <w:r w:rsidRPr="000D39EA">
        <w:t>methylurea</w:t>
      </w:r>
      <w:proofErr w:type="spellEnd"/>
      <w:r w:rsidRPr="000D39EA">
        <w:t xml:space="preserve"> derivative (M26) and</w:t>
      </w:r>
      <w:r w:rsidR="00952F67">
        <w:t xml:space="preserve"> a </w:t>
      </w:r>
      <w:proofErr w:type="spellStart"/>
      <w:r w:rsidR="00952F67">
        <w:t>hydroxylated</w:t>
      </w:r>
      <w:proofErr w:type="spellEnd"/>
      <w:r w:rsidR="00952F67">
        <w:t xml:space="preserve"> product (M31). </w:t>
      </w:r>
      <w:r w:rsidRPr="000D39EA">
        <w:t>Metabolism by human recombinant CYP2D6 and to a lesser extent CYP3A was shown.</w:t>
      </w:r>
      <w:r w:rsidR="007F3098">
        <w:t xml:space="preserve"> </w:t>
      </w:r>
      <w:r w:rsidRPr="000D39EA">
        <w:t xml:space="preserve">M21 and M31 were also prominent in mice, rats and dogs </w:t>
      </w:r>
      <w:r w:rsidRPr="00C24841">
        <w:rPr>
          <w:i/>
        </w:rPr>
        <w:t>in vivo</w:t>
      </w:r>
      <w:r w:rsidRPr="000D39EA">
        <w:t xml:space="preserve"> after PO administration, and </w:t>
      </w:r>
      <w:r w:rsidR="00952F67">
        <w:t xml:space="preserve">were human faecal metabolites. </w:t>
      </w:r>
      <w:r w:rsidRPr="000D39EA">
        <w:t>Excretion of radioactivity after PO [14C]COBI administration to the mouse, rat, dog and humans was overwhelmingly via the faeces.</w:t>
      </w:r>
      <w:r w:rsidR="007F3098">
        <w:t xml:space="preserve"> </w:t>
      </w:r>
      <w:proofErr w:type="spellStart"/>
      <w:r w:rsidRPr="000D39EA">
        <w:t>Biliary</w:t>
      </w:r>
      <w:proofErr w:type="spellEnd"/>
      <w:r w:rsidRPr="000D39EA">
        <w:t xml:space="preserve"> excretion</w:t>
      </w:r>
      <w:r w:rsidR="00952F67">
        <w:t xml:space="preserve"> was shown in the rat and dog. </w:t>
      </w:r>
      <w:r w:rsidRPr="000D39EA">
        <w:t xml:space="preserve">Weak induction of CYP3A4 and CYP1A2 mRNA levels was shown in human </w:t>
      </w:r>
      <w:proofErr w:type="spellStart"/>
      <w:r w:rsidRPr="000D39EA">
        <w:t>hepatocytes</w:t>
      </w:r>
      <w:proofErr w:type="spellEnd"/>
      <w:r w:rsidRPr="000D39EA">
        <w:t xml:space="preserve"> </w:t>
      </w:r>
      <w:r w:rsidRPr="007255B2">
        <w:rPr>
          <w:i/>
        </w:rPr>
        <w:t>in vitro</w:t>
      </w:r>
      <w:r w:rsidRPr="000D39EA">
        <w:t>;</w:t>
      </w:r>
    </w:p>
    <w:p w:rsidR="005F55F4" w:rsidRPr="000D39EA" w:rsidRDefault="005F55F4" w:rsidP="00A77194">
      <w:pPr>
        <w:pStyle w:val="ListBullet"/>
      </w:pPr>
      <w:r w:rsidRPr="000D39EA">
        <w:t xml:space="preserve">COBI elicited an increased incidence of thyroid follicular cell tumours in rats, but no tumours in mice and altered thyroid hormones were observed in rat toxicity studies , and were considered to be to be specific to this species; </w:t>
      </w:r>
    </w:p>
    <w:p w:rsidR="005F55F4" w:rsidRPr="000D39EA" w:rsidRDefault="000D466B" w:rsidP="00A77194">
      <w:pPr>
        <w:pStyle w:val="ListBullet"/>
      </w:pPr>
      <w:r>
        <w:t>R</w:t>
      </w:r>
      <w:r w:rsidR="005F55F4" w:rsidRPr="000D39EA">
        <w:t>epeat</w:t>
      </w:r>
      <w:r>
        <w:t xml:space="preserve"> </w:t>
      </w:r>
      <w:r w:rsidR="005F55F4" w:rsidRPr="000D39EA">
        <w:t xml:space="preserve">dose toxicity studies with COBI showed increased liver weight and </w:t>
      </w:r>
      <w:proofErr w:type="spellStart"/>
      <w:r w:rsidR="005F55F4" w:rsidRPr="000D39EA">
        <w:t>hepatocellular</w:t>
      </w:r>
      <w:proofErr w:type="spellEnd"/>
      <w:r w:rsidR="005F55F4" w:rsidRPr="000D39EA">
        <w:t xml:space="preserve"> hypertrophy in mice, rats and dogs.</w:t>
      </w:r>
      <w:r w:rsidR="007F3098">
        <w:t xml:space="preserve"> </w:t>
      </w:r>
      <w:r w:rsidR="005F55F4" w:rsidRPr="000D39EA">
        <w:t xml:space="preserve">Increases in </w:t>
      </w:r>
      <w:proofErr w:type="spellStart"/>
      <w:r w:rsidR="005F55F4" w:rsidRPr="000D39EA">
        <w:t>transaminases</w:t>
      </w:r>
      <w:proofErr w:type="spellEnd"/>
      <w:r w:rsidR="005F55F4" w:rsidRPr="000D39EA">
        <w:t xml:space="preserve"> in association with </w:t>
      </w:r>
      <w:proofErr w:type="spellStart"/>
      <w:r w:rsidR="005F55F4" w:rsidRPr="000D39EA">
        <w:t>hepatocyte</w:t>
      </w:r>
      <w:proofErr w:type="spellEnd"/>
      <w:r w:rsidR="005F55F4" w:rsidRPr="000D39EA">
        <w:t xml:space="preserve"> hypertrophy and </w:t>
      </w:r>
      <w:proofErr w:type="spellStart"/>
      <w:r w:rsidR="005F55F4" w:rsidRPr="000D39EA">
        <w:t>vacuolation</w:t>
      </w:r>
      <w:proofErr w:type="spellEnd"/>
      <w:r w:rsidR="005F55F4" w:rsidRPr="000D39EA">
        <w:t xml:space="preserve"> were observed in mice.</w:t>
      </w:r>
    </w:p>
    <w:p w:rsidR="005F55F4" w:rsidRPr="000D39EA" w:rsidRDefault="000D466B" w:rsidP="00A77194">
      <w:pPr>
        <w:pStyle w:val="ListBullet"/>
      </w:pPr>
      <w:r>
        <w:t>F</w:t>
      </w:r>
      <w:r w:rsidR="005F55F4" w:rsidRPr="000D39EA">
        <w:t>unctional renal changes were observed with COB</w:t>
      </w:r>
      <w:r w:rsidR="000417BC">
        <w:t xml:space="preserve">I, mainly a reversible diuretic </w:t>
      </w:r>
      <w:r w:rsidR="005F55F4" w:rsidRPr="000D39EA">
        <w:t>like effect in the rat toxicity studies, but these were not associated with any serum chemistry or histological indications of renal toxicity; and</w:t>
      </w:r>
    </w:p>
    <w:p w:rsidR="005F55F4" w:rsidRPr="000D39EA" w:rsidRDefault="000D466B" w:rsidP="000D39EA">
      <w:pPr>
        <w:pStyle w:val="ListBullet"/>
      </w:pPr>
      <w:r>
        <w:t>I</w:t>
      </w:r>
      <w:r w:rsidR="005F55F4" w:rsidRPr="000D39EA">
        <w:t>n reproductive toxicity studies the COBI doses that could be used were limited by maternal toxicity, but no specific effects on reproductive parameters were observed.</w:t>
      </w:r>
      <w:r w:rsidR="007F3098">
        <w:t xml:space="preserve"> </w:t>
      </w:r>
      <w:r w:rsidR="005F55F4" w:rsidRPr="000D39EA">
        <w:t xml:space="preserve">However, no safety margin was measurable with the </w:t>
      </w:r>
      <w:r w:rsidR="000417BC">
        <w:t xml:space="preserve">HD (75 mg/kg/day) in the pre/post </w:t>
      </w:r>
      <w:r w:rsidR="005F55F4" w:rsidRPr="000D39EA">
        <w:t>natal study.</w:t>
      </w:r>
    </w:p>
    <w:p w:rsidR="005F55F4" w:rsidRPr="000D39EA" w:rsidRDefault="005F55F4" w:rsidP="00A77194">
      <w:r w:rsidRPr="000D39EA">
        <w:t>With respect to the proposed ATV/COBI combination</w:t>
      </w:r>
      <w:r w:rsidR="00423923">
        <w:t>,</w:t>
      </w:r>
      <w:r w:rsidRPr="000D39EA">
        <w:t xml:space="preserve"> it was found that:</w:t>
      </w:r>
    </w:p>
    <w:p w:rsidR="005F55F4" w:rsidRPr="000D39EA" w:rsidRDefault="005F55F4" w:rsidP="00A77194">
      <w:pPr>
        <w:pStyle w:val="ListBullet"/>
      </w:pPr>
      <w:r w:rsidRPr="000D39EA">
        <w:t xml:space="preserve">COBI 30 mg/kg/day dose substantially elevated exposure to lower doses of ATV </w:t>
      </w:r>
      <w:r w:rsidR="00750CD6">
        <w:t xml:space="preserve">(20 and 50 mg/kg/day) in rats. </w:t>
      </w:r>
      <w:r w:rsidRPr="000D39EA">
        <w:t>Day 90 ATV AUC</w:t>
      </w:r>
      <w:r w:rsidRPr="00750CD6">
        <w:rPr>
          <w:vertAlign w:val="subscript"/>
        </w:rPr>
        <w:t>0-24 h</w:t>
      </w:r>
      <w:r w:rsidRPr="000D39EA">
        <w:t xml:space="preserve"> values were respectively 3.9x and 2.9x (males) or 2.6x and 1.45x (females) those in the absence of COBI.</w:t>
      </w:r>
      <w:r w:rsidR="007F3098">
        <w:t xml:space="preserve"> </w:t>
      </w:r>
      <w:r w:rsidRPr="000D39EA">
        <w:t>This was despite significantly higher terminal CYP3A activities in females receiving combination treatment with COBI (2.6-3.5x vehicle values);</w:t>
      </w:r>
    </w:p>
    <w:p w:rsidR="005F55F4" w:rsidRPr="000D39EA" w:rsidRDefault="000D466B" w:rsidP="00A77194">
      <w:pPr>
        <w:pStyle w:val="ListBullet"/>
      </w:pPr>
      <w:r>
        <w:t>A</w:t>
      </w:r>
      <w:r w:rsidR="005F55F4" w:rsidRPr="000D39EA">
        <w:t xml:space="preserve">n </w:t>
      </w:r>
      <w:r w:rsidR="005F55F4" w:rsidRPr="00220E67">
        <w:rPr>
          <w:i/>
        </w:rPr>
        <w:t>in vitro</w:t>
      </w:r>
      <w:r w:rsidR="005F55F4" w:rsidRPr="000D39EA">
        <w:t xml:space="preserve"> study of lipid accumulation in human </w:t>
      </w:r>
      <w:proofErr w:type="spellStart"/>
      <w:r w:rsidR="005F55F4" w:rsidRPr="000D39EA">
        <w:t>preadipocytes</w:t>
      </w:r>
      <w:proofErr w:type="spellEnd"/>
      <w:r w:rsidR="005F55F4" w:rsidRPr="000D39EA">
        <w:t xml:space="preserve">, and inhibition of glucose uptake in mouse </w:t>
      </w:r>
      <w:proofErr w:type="spellStart"/>
      <w:r w:rsidR="005F55F4" w:rsidRPr="000D39EA">
        <w:t>preadipocytes</w:t>
      </w:r>
      <w:proofErr w:type="spellEnd"/>
      <w:r w:rsidR="005F55F4" w:rsidRPr="000D39EA">
        <w:t xml:space="preserve">, showed that COBI and ATV had significantly </w:t>
      </w:r>
      <w:r w:rsidR="005F55F4" w:rsidRPr="000D39EA">
        <w:lastRenderedPageBreak/>
        <w:t>less inhibitory effects on glucose uptake than RTV. Inhibition of glucose uptake at 10 µM was 55% for RTV, 9.5% for COBI and 0.4% for ATV;</w:t>
      </w:r>
    </w:p>
    <w:p w:rsidR="005F55F4" w:rsidRPr="000D39EA" w:rsidRDefault="000D466B" w:rsidP="00A77194">
      <w:pPr>
        <w:pStyle w:val="ListBullet"/>
      </w:pPr>
      <w:r>
        <w:t>I</w:t>
      </w:r>
      <w:r w:rsidR="005F55F4" w:rsidRPr="000D39EA">
        <w:t xml:space="preserve">n </w:t>
      </w:r>
      <w:proofErr w:type="spellStart"/>
      <w:r w:rsidR="005F55F4" w:rsidRPr="000D39EA">
        <w:t>unpaced</w:t>
      </w:r>
      <w:proofErr w:type="spellEnd"/>
      <w:r w:rsidR="005F55F4" w:rsidRPr="000D39EA">
        <w:t xml:space="preserve"> rabbit hearts, the combination of COBI/ATV 1.5/1.5 µM induced significant decreases from baseline in </w:t>
      </w:r>
      <w:r w:rsidR="00423923">
        <w:t>LVDP, LVSP</w:t>
      </w:r>
      <w:r w:rsidR="005F55F4" w:rsidRPr="000D39EA">
        <w:t>, minimal and maximal increase in left ventricular pressure (</w:t>
      </w:r>
      <w:proofErr w:type="spellStart"/>
      <w:r w:rsidR="005F55F4" w:rsidRPr="000D39EA">
        <w:t>dP</w:t>
      </w:r>
      <w:proofErr w:type="spellEnd"/>
      <w:r w:rsidR="005F55F4" w:rsidRPr="000D39EA">
        <w:t>/</w:t>
      </w:r>
      <w:proofErr w:type="spellStart"/>
      <w:r w:rsidR="005F55F4" w:rsidRPr="000D39EA">
        <w:t>dt</w:t>
      </w:r>
      <w:r w:rsidR="005F55F4" w:rsidRPr="00CB3118">
        <w:rPr>
          <w:vertAlign w:val="subscript"/>
        </w:rPr>
        <w:t>min</w:t>
      </w:r>
      <w:proofErr w:type="spellEnd"/>
      <w:r w:rsidR="005F55F4" w:rsidRPr="00CB3118">
        <w:rPr>
          <w:vertAlign w:val="subscript"/>
        </w:rPr>
        <w:t xml:space="preserve"> </w:t>
      </w:r>
      <w:r w:rsidR="005F55F4" w:rsidRPr="000D39EA">
        <w:t xml:space="preserve">and </w:t>
      </w:r>
      <w:proofErr w:type="spellStart"/>
      <w:r w:rsidR="005F55F4" w:rsidRPr="000D39EA">
        <w:t>dP</w:t>
      </w:r>
      <w:proofErr w:type="spellEnd"/>
      <w:r w:rsidR="005F55F4" w:rsidRPr="000D39EA">
        <w:t>/</w:t>
      </w:r>
      <w:proofErr w:type="spellStart"/>
      <w:r w:rsidR="005F55F4" w:rsidRPr="000D39EA">
        <w:t>dt</w:t>
      </w:r>
      <w:r w:rsidR="005F55F4" w:rsidRPr="00CB3118">
        <w:rPr>
          <w:vertAlign w:val="subscript"/>
        </w:rPr>
        <w:t>max</w:t>
      </w:r>
      <w:proofErr w:type="spellEnd"/>
      <w:r w:rsidR="005F55F4" w:rsidRPr="000D39EA">
        <w:t>) and heart rate.</w:t>
      </w:r>
      <w:r w:rsidR="007F3098">
        <w:t xml:space="preserve"> </w:t>
      </w:r>
      <w:r w:rsidR="005F55F4" w:rsidRPr="000D39EA">
        <w:t xml:space="preserve">Heart rate was also significantly decreased at 0.45/1.5 µM. The decreases in LVDP, LVSP, </w:t>
      </w:r>
      <w:proofErr w:type="spellStart"/>
      <w:r w:rsidR="005F55F4" w:rsidRPr="000D39EA">
        <w:t>dP</w:t>
      </w:r>
      <w:proofErr w:type="spellEnd"/>
      <w:r w:rsidR="005F55F4" w:rsidRPr="000D39EA">
        <w:t>/</w:t>
      </w:r>
      <w:proofErr w:type="spellStart"/>
      <w:r w:rsidR="005F55F4" w:rsidRPr="000D39EA">
        <w:t>dt</w:t>
      </w:r>
      <w:r w:rsidR="005F55F4" w:rsidRPr="002A7DAB">
        <w:rPr>
          <w:vertAlign w:val="subscript"/>
        </w:rPr>
        <w:t>min</w:t>
      </w:r>
      <w:proofErr w:type="spellEnd"/>
      <w:r w:rsidR="005F55F4" w:rsidRPr="000D39EA">
        <w:t xml:space="preserve"> and </w:t>
      </w:r>
      <w:proofErr w:type="spellStart"/>
      <w:r w:rsidR="005F55F4" w:rsidRPr="000D39EA">
        <w:t>dP</w:t>
      </w:r>
      <w:proofErr w:type="spellEnd"/>
      <w:r w:rsidR="005F55F4" w:rsidRPr="000D39EA">
        <w:t>/</w:t>
      </w:r>
      <w:proofErr w:type="spellStart"/>
      <w:r w:rsidR="005F55F4" w:rsidRPr="000D39EA">
        <w:t>dt</w:t>
      </w:r>
      <w:r w:rsidR="005F55F4" w:rsidRPr="002A7DAB">
        <w:rPr>
          <w:vertAlign w:val="subscript"/>
        </w:rPr>
        <w:t>max</w:t>
      </w:r>
      <w:proofErr w:type="spellEnd"/>
      <w:r w:rsidR="005F55F4" w:rsidRPr="000D39EA">
        <w:t xml:space="preserve"> induced by the combination were of smaller magnitude than those induced by COBI alone, but the combination induced a larger reduction in heart rate than that induced by ATV alone (it is known that ATV i</w:t>
      </w:r>
      <w:r w:rsidR="00423923">
        <w:t xml:space="preserve">s associated with concentration and dose </w:t>
      </w:r>
      <w:r w:rsidR="005F55F4" w:rsidRPr="000D39EA">
        <w:t>dependent prolongation of the PR interval).</w:t>
      </w:r>
      <w:r w:rsidR="007F3098">
        <w:t xml:space="preserve"> </w:t>
      </w:r>
      <w:r w:rsidR="005F55F4" w:rsidRPr="000D39EA">
        <w:t>In paced hearts, COBI 4.5 µM and ATV 15 µM induced significant increases in PR intervals (60% and 45% respectively), while ATV induced significant increases in MAP</w:t>
      </w:r>
      <w:r w:rsidR="005F55F4" w:rsidRPr="00423923">
        <w:rPr>
          <w:vertAlign w:val="subscript"/>
        </w:rPr>
        <w:t>90</w:t>
      </w:r>
      <w:r w:rsidR="005F55F4" w:rsidRPr="000D39EA">
        <w:t xml:space="preserve"> and triangulation at 45 µM.</w:t>
      </w:r>
      <w:r w:rsidR="007F3098">
        <w:t xml:space="preserve"> </w:t>
      </w:r>
      <w:r w:rsidR="005F55F4" w:rsidRPr="000D39EA">
        <w:t>The 1.5/1.5µM combination induced a significant increase in PR interval (only slightly higher than with COBI</w:t>
      </w:r>
      <w:r w:rsidR="00A46B30">
        <w:t xml:space="preserve"> alone). </w:t>
      </w:r>
      <w:r w:rsidR="005F55F4" w:rsidRPr="000D39EA">
        <w:t>There were no significant effects with COBI 0.45 µM, ATV 4.5 µM, and COBI/ATV 0.45/1.5 µM;</w:t>
      </w:r>
      <w:r w:rsidR="007F3098">
        <w:t xml:space="preserve"> </w:t>
      </w:r>
    </w:p>
    <w:p w:rsidR="005F55F4" w:rsidRPr="000D39EA" w:rsidRDefault="000D466B" w:rsidP="00A77194">
      <w:pPr>
        <w:pStyle w:val="ListBullet"/>
      </w:pPr>
      <w:r>
        <w:t>B</w:t>
      </w:r>
      <w:r w:rsidR="005F55F4" w:rsidRPr="000D39EA">
        <w:t>oth COBI and ATV alone have effects on the liver.</w:t>
      </w:r>
      <w:r w:rsidR="007F3098">
        <w:t xml:space="preserve"> </w:t>
      </w:r>
      <w:r w:rsidR="005F55F4" w:rsidRPr="000D39EA">
        <w:t>In the 1</w:t>
      </w:r>
      <w:r w:rsidR="00423923">
        <w:t xml:space="preserve"> and 13 </w:t>
      </w:r>
      <w:r w:rsidR="005F55F4" w:rsidRPr="000D39EA">
        <w:t>wee</w:t>
      </w:r>
      <w:r w:rsidR="00423923">
        <w:t xml:space="preserve">k repeat </w:t>
      </w:r>
      <w:r w:rsidR="005F55F4" w:rsidRPr="000D39EA">
        <w:t>dose toxicity studies in rats CYP3A4 activity was increased with COBI alone and in combination with ATV.</w:t>
      </w:r>
      <w:r w:rsidR="007F3098">
        <w:t xml:space="preserve"> </w:t>
      </w:r>
      <w:r w:rsidR="005F55F4" w:rsidRPr="000D39EA">
        <w:t>Relative liver weights were increased with the COBI/ATV combination in males, and were still elevated (by 29% versus the vehicle control) after the recovery period.</w:t>
      </w:r>
      <w:r w:rsidR="007F3098">
        <w:t xml:space="preserve"> </w:t>
      </w:r>
      <w:r w:rsidR="005F55F4" w:rsidRPr="000D39EA">
        <w:t>In the same studies</w:t>
      </w:r>
      <w:r w:rsidR="00E77942">
        <w:t>,</w:t>
      </w:r>
      <w:r w:rsidR="005F55F4" w:rsidRPr="000D39EA">
        <w:t xml:space="preserve"> other effects included increased serum cholesterol and urine volume with ATV alone and the combination, which were reversed after 4 weeks recovery.</w:t>
      </w:r>
    </w:p>
    <w:p w:rsidR="005F55F4" w:rsidRDefault="005F55F4" w:rsidP="00A77194">
      <w:r>
        <w:rPr>
          <w:rFonts w:ascii="Calibri" w:hAnsi="Calibri"/>
        </w:rPr>
        <w:t xml:space="preserve">No </w:t>
      </w:r>
      <w:r w:rsidRPr="00CA012C">
        <w:t xml:space="preserve">toxicity studies </w:t>
      </w:r>
      <w:r>
        <w:t>were conducted with the COBI/DRV</w:t>
      </w:r>
      <w:r w:rsidR="00A46B30">
        <w:t xml:space="preserve"> combination.</w:t>
      </w:r>
      <w:r>
        <w:t xml:space="preserve"> The evaluator noted the approval of that combination</w:t>
      </w:r>
      <w:r w:rsidRPr="00CA012C">
        <w:t xml:space="preserve"> </w:t>
      </w:r>
      <w:r>
        <w:t>would have to</w:t>
      </w:r>
      <w:r w:rsidRPr="00CA012C">
        <w:t xml:space="preserve"> rely on clinical data</w:t>
      </w:r>
      <w:r>
        <w:t xml:space="preserve"> alone.</w:t>
      </w:r>
    </w:p>
    <w:p w:rsidR="008E7846" w:rsidRPr="00A77194" w:rsidRDefault="008E7846" w:rsidP="00A77194">
      <w:pPr>
        <w:pStyle w:val="Heading3"/>
      </w:pPr>
      <w:bookmarkStart w:id="157" w:name="_Toc247691530"/>
      <w:bookmarkStart w:id="158" w:name="_Toc314842513"/>
      <w:bookmarkStart w:id="159" w:name="_Toc376430068"/>
      <w:r>
        <w:t>Clinical</w:t>
      </w:r>
      <w:bookmarkEnd w:id="157"/>
      <w:bookmarkEnd w:id="158"/>
      <w:bookmarkEnd w:id="159"/>
    </w:p>
    <w:p w:rsidR="00E77942" w:rsidRPr="0052308B" w:rsidRDefault="00E77942" w:rsidP="00A77194">
      <w:pPr>
        <w:pStyle w:val="Heading4"/>
      </w:pPr>
      <w:r>
        <w:t>Clinical p</w:t>
      </w:r>
      <w:r w:rsidRPr="0052308B">
        <w:t>harmacology</w:t>
      </w:r>
    </w:p>
    <w:p w:rsidR="00E77942" w:rsidRPr="006F5AE3" w:rsidRDefault="00E77942" w:rsidP="00A77194">
      <w:pPr>
        <w:pStyle w:val="Heading5"/>
      </w:pPr>
      <w:r w:rsidRPr="006F5AE3">
        <w:t>Safety pharmacology</w:t>
      </w:r>
    </w:p>
    <w:p w:rsidR="00E77942" w:rsidRPr="00BC64C1" w:rsidRDefault="00E77942" w:rsidP="00A77194">
      <w:r w:rsidRPr="00BC64C1">
        <w:t xml:space="preserve">In the </w:t>
      </w:r>
      <w:proofErr w:type="spellStart"/>
      <w:r w:rsidR="007F3098">
        <w:t>Stribild</w:t>
      </w:r>
      <w:proofErr w:type="spellEnd"/>
      <w:r w:rsidRPr="00BC64C1">
        <w:t xml:space="preserve"> submission</w:t>
      </w:r>
      <w:r w:rsidR="00423923">
        <w:t>,</w:t>
      </w:r>
      <w:r w:rsidRPr="00BC64C1">
        <w:t xml:space="preserve"> a well designed and conducted dedicated QT study (GS-US-216-0107) showed that COBI did not prolo</w:t>
      </w:r>
      <w:r w:rsidR="00423923">
        <w:t xml:space="preserve">ng </w:t>
      </w:r>
      <w:proofErr w:type="spellStart"/>
      <w:r w:rsidR="00423923">
        <w:t>QTcF</w:t>
      </w:r>
      <w:proofErr w:type="spellEnd"/>
      <w:r w:rsidR="00423923">
        <w:t xml:space="preserve"> interval at exposures 2 and 4 </w:t>
      </w:r>
      <w:r w:rsidRPr="00BC64C1">
        <w:t>fold above the recommended therapeutic dose.</w:t>
      </w:r>
      <w:r w:rsidR="007F3098">
        <w:t xml:space="preserve"> </w:t>
      </w:r>
      <w:r w:rsidRPr="00BC64C1">
        <w:t xml:space="preserve">A modest increase in PR interval (+9.6 </w:t>
      </w:r>
      <w:proofErr w:type="spellStart"/>
      <w:r w:rsidRPr="00BC64C1">
        <w:t>msec</w:t>
      </w:r>
      <w:proofErr w:type="spellEnd"/>
      <w:r w:rsidRPr="00BC64C1">
        <w:t xml:space="preserve">) occurred around </w:t>
      </w:r>
      <w:proofErr w:type="spellStart"/>
      <w:r w:rsidRPr="00BC64C1">
        <w:t>C</w:t>
      </w:r>
      <w:r w:rsidRPr="00BC64C1">
        <w:rPr>
          <w:vertAlign w:val="subscript"/>
        </w:rPr>
        <w:t>max</w:t>
      </w:r>
      <w:proofErr w:type="spellEnd"/>
      <w:r w:rsidR="007B51EA">
        <w:t>, 3 to 5 h</w:t>
      </w:r>
      <w:r w:rsidRPr="00BC64C1">
        <w:t xml:space="preserve"> after dosing but this finding was not considered to be clinically significant.</w:t>
      </w:r>
      <w:r w:rsidR="007F3098">
        <w:t xml:space="preserve"> </w:t>
      </w:r>
      <w:r w:rsidRPr="00BC64C1">
        <w:t xml:space="preserve">The effect of COBI on left ventricular function was also evaluated 40 in healthy volunteers (GS-US-216-0116; </w:t>
      </w:r>
      <w:proofErr w:type="spellStart"/>
      <w:r w:rsidR="007F3098">
        <w:t>Stribild</w:t>
      </w:r>
      <w:proofErr w:type="spellEnd"/>
      <w:r w:rsidRPr="00BC64C1">
        <w:t xml:space="preserve">) because of negative </w:t>
      </w:r>
      <w:proofErr w:type="spellStart"/>
      <w:r w:rsidRPr="00BC64C1">
        <w:t>inotropic</w:t>
      </w:r>
      <w:proofErr w:type="spellEnd"/>
      <w:r w:rsidRPr="00BC64C1">
        <w:t xml:space="preserve"> effect of COBI observed in isolated rabbit hearts.</w:t>
      </w:r>
      <w:r w:rsidR="007F3098">
        <w:t xml:space="preserve"> </w:t>
      </w:r>
      <w:r w:rsidR="00626F40">
        <w:t>ECG</w:t>
      </w:r>
      <w:r w:rsidRPr="00BC64C1">
        <w:t xml:space="preserve"> evaluations showed no clinically significant change from baseline.</w:t>
      </w:r>
    </w:p>
    <w:p w:rsidR="00E77942" w:rsidRPr="00BC64C1" w:rsidRDefault="00E77942" w:rsidP="00A77194">
      <w:r w:rsidRPr="00BC64C1">
        <w:t xml:space="preserve">In the </w:t>
      </w:r>
      <w:proofErr w:type="spellStart"/>
      <w:r w:rsidR="007F3098">
        <w:t>Stribild</w:t>
      </w:r>
      <w:proofErr w:type="spellEnd"/>
      <w:r w:rsidRPr="00BC64C1">
        <w:t xml:space="preserve"> submission</w:t>
      </w:r>
      <w:r w:rsidR="00357798">
        <w:t>,</w:t>
      </w:r>
      <w:r w:rsidRPr="00BC64C1">
        <w:t xml:space="preserve"> COBI was associated with rapid and approximately </w:t>
      </w:r>
      <w:r w:rsidR="007E382C" w:rsidRPr="00BC64C1">
        <w:t>0</w:t>
      </w:r>
      <w:r w:rsidRPr="00BC64C1">
        <w:t>.1</w:t>
      </w:r>
      <w:r w:rsidRPr="00A77194">
        <w:t xml:space="preserve"> </w:t>
      </w:r>
      <w:r w:rsidRPr="00BC64C1">
        <w:t>to</w:t>
      </w:r>
      <w:r w:rsidR="007E382C" w:rsidRPr="00BC64C1">
        <w:t xml:space="preserve"> 0</w:t>
      </w:r>
      <w:r w:rsidRPr="00BC64C1">
        <w:t>.2 milligram per decilitr</w:t>
      </w:r>
      <w:r w:rsidR="00357798">
        <w:t xml:space="preserve">e increases in serum </w:t>
      </w:r>
      <w:proofErr w:type="spellStart"/>
      <w:r w:rsidR="00357798">
        <w:t>creatinine</w:t>
      </w:r>
      <w:proofErr w:type="spellEnd"/>
      <w:r w:rsidR="00357798">
        <w:t>. This t</w:t>
      </w:r>
      <w:r w:rsidRPr="00BC64C1">
        <w:t>ranslated into decreases in estimated</w:t>
      </w:r>
      <w:r w:rsidR="00423923">
        <w:t xml:space="preserve"> GFR based on serum </w:t>
      </w:r>
      <w:proofErr w:type="spellStart"/>
      <w:r w:rsidR="00423923">
        <w:t>creatinine</w:t>
      </w:r>
      <w:proofErr w:type="spellEnd"/>
      <w:r w:rsidR="00423923">
        <w:t xml:space="preserve">; </w:t>
      </w:r>
      <w:r w:rsidRPr="00BC64C1">
        <w:t xml:space="preserve">specifically, Cockcroft and </w:t>
      </w:r>
      <w:proofErr w:type="spellStart"/>
      <w:r w:rsidRPr="00BC64C1">
        <w:t>Gault</w:t>
      </w:r>
      <w:proofErr w:type="spellEnd"/>
      <w:r w:rsidRPr="00BC64C1">
        <w:t xml:space="preserve"> equation derived measures in subjects with normal and mild/moderate renal impairment (Study GS-US-216-0121).</w:t>
      </w:r>
      <w:r w:rsidR="007F3098">
        <w:t xml:space="preserve"> </w:t>
      </w:r>
      <w:r w:rsidRPr="00BC64C1">
        <w:t>The changes were reversible and returned to baseline values following a 7</w:t>
      </w:r>
      <w:r w:rsidR="0043537C">
        <w:t xml:space="preserve"> </w:t>
      </w:r>
      <w:r w:rsidRPr="00BC64C1">
        <w:t>day washout period.</w:t>
      </w:r>
      <w:r w:rsidR="007F3098">
        <w:t xml:space="preserve"> </w:t>
      </w:r>
      <w:r w:rsidRPr="00BC64C1">
        <w:t xml:space="preserve">However, excretion of the contrast agent </w:t>
      </w:r>
      <w:proofErr w:type="spellStart"/>
      <w:r w:rsidRPr="00BC64C1">
        <w:t>iohexol</w:t>
      </w:r>
      <w:proofErr w:type="spellEnd"/>
      <w:r w:rsidRPr="00BC64C1">
        <w:t xml:space="preserve">, which is filtered by the </w:t>
      </w:r>
      <w:proofErr w:type="spellStart"/>
      <w:r w:rsidRPr="00BC64C1">
        <w:t>glomerulus</w:t>
      </w:r>
      <w:proofErr w:type="spellEnd"/>
      <w:r w:rsidRPr="00BC64C1">
        <w:t xml:space="preserve">, was unchanged on </w:t>
      </w:r>
      <w:r w:rsidR="00F9622F">
        <w:t>D</w:t>
      </w:r>
      <w:r w:rsidRPr="00BC64C1">
        <w:t xml:space="preserve">ay 7 or </w:t>
      </w:r>
      <w:r w:rsidR="00F9622F">
        <w:t>D</w:t>
      </w:r>
      <w:r w:rsidRPr="00BC64C1">
        <w:t xml:space="preserve">ay 14 relative to </w:t>
      </w:r>
      <w:r w:rsidR="00F9622F">
        <w:t>D</w:t>
      </w:r>
      <w:r w:rsidRPr="00BC64C1">
        <w:t xml:space="preserve">ay </w:t>
      </w:r>
      <w:r w:rsidR="00F9622F">
        <w:t>0</w:t>
      </w:r>
      <w:r w:rsidRPr="00BC64C1">
        <w:t>, indicating that actual GFR was unaffected.</w:t>
      </w:r>
      <w:r w:rsidR="007F3098">
        <w:t xml:space="preserve"> </w:t>
      </w:r>
      <w:r w:rsidRPr="00BC64C1">
        <w:t xml:space="preserve">The time to onset, magnitude, and time to resolution of the observed changes in </w:t>
      </w:r>
      <w:proofErr w:type="spellStart"/>
      <w:r w:rsidRPr="00BC64C1">
        <w:t>eGFR</w:t>
      </w:r>
      <w:proofErr w:type="spellEnd"/>
      <w:r w:rsidRPr="00BC64C1">
        <w:t xml:space="preserve"> are consistent with the inhibition of tubular secretion of </w:t>
      </w:r>
      <w:proofErr w:type="spellStart"/>
      <w:r w:rsidRPr="00BC64C1">
        <w:t>creatinine</w:t>
      </w:r>
      <w:proofErr w:type="spellEnd"/>
      <w:r w:rsidRPr="00BC64C1">
        <w:t xml:space="preserve"> by COBI.</w:t>
      </w:r>
      <w:r w:rsidR="007F3098">
        <w:t xml:space="preserve"> </w:t>
      </w:r>
      <w:r w:rsidR="00D74C8E">
        <w:t>Furthermore, non</w:t>
      </w:r>
      <w:r w:rsidRPr="00BC64C1">
        <w:t>clinical studies showed that both CO</w:t>
      </w:r>
      <w:r w:rsidR="00423923">
        <w:t>BI and RTV can inhibit the MATE</w:t>
      </w:r>
      <w:r w:rsidRPr="00BC64C1">
        <w:t xml:space="preserve">1 transporter that is responsible for the efflux of </w:t>
      </w:r>
      <w:proofErr w:type="spellStart"/>
      <w:r w:rsidRPr="00BC64C1">
        <w:t>creatinine</w:t>
      </w:r>
      <w:proofErr w:type="spellEnd"/>
      <w:r w:rsidRPr="00BC64C1">
        <w:t xml:space="preserve"> from the proximal tubule.</w:t>
      </w:r>
      <w:r w:rsidR="007F3098">
        <w:t xml:space="preserve"> </w:t>
      </w:r>
      <w:r w:rsidRPr="00BC64C1">
        <w:t xml:space="preserve">Thus, the decrease in estimated </w:t>
      </w:r>
      <w:proofErr w:type="spellStart"/>
      <w:r w:rsidRPr="00BC64C1">
        <w:t>creatinine</w:t>
      </w:r>
      <w:proofErr w:type="spellEnd"/>
      <w:r w:rsidRPr="00BC64C1">
        <w:t xml:space="preserve"> clearance is due to inhibition of tubular secretion of </w:t>
      </w:r>
      <w:proofErr w:type="spellStart"/>
      <w:r w:rsidRPr="00BC64C1">
        <w:t>creatinine</w:t>
      </w:r>
      <w:proofErr w:type="spellEnd"/>
      <w:r w:rsidRPr="00BC64C1">
        <w:t xml:space="preserve"> rather than effects on GFR.</w:t>
      </w:r>
    </w:p>
    <w:p w:rsidR="00E77942" w:rsidRPr="00A77194" w:rsidRDefault="00E77942" w:rsidP="00A77194">
      <w:pPr>
        <w:pStyle w:val="Heading5"/>
      </w:pPr>
      <w:r w:rsidRPr="006025C1">
        <w:lastRenderedPageBreak/>
        <w:t>Pharmacokinetics</w:t>
      </w:r>
    </w:p>
    <w:p w:rsidR="00E77942" w:rsidRPr="00BC64C1" w:rsidRDefault="00E77942" w:rsidP="00A77194">
      <w:r w:rsidRPr="00BC64C1">
        <w:t xml:space="preserve">The key features of COBI pharmacokinetics identified in the </w:t>
      </w:r>
      <w:proofErr w:type="spellStart"/>
      <w:r w:rsidR="007F3098">
        <w:t>Stribild</w:t>
      </w:r>
      <w:proofErr w:type="spellEnd"/>
      <w:r w:rsidRPr="00BC64C1">
        <w:t xml:space="preserve"> submission were:</w:t>
      </w:r>
    </w:p>
    <w:p w:rsidR="00E77942" w:rsidRPr="007E382C" w:rsidRDefault="00E77942" w:rsidP="00A77194">
      <w:pPr>
        <w:pStyle w:val="ListBullet"/>
      </w:pPr>
      <w:r w:rsidRPr="007E382C">
        <w:t>The absolute bioavailability of or</w:t>
      </w:r>
      <w:r w:rsidR="00423923">
        <w:t>al COBI is unknown:</w:t>
      </w:r>
      <w:r w:rsidRPr="007E382C">
        <w:t xml:space="preserve"> there is no IV formulation;</w:t>
      </w:r>
    </w:p>
    <w:p w:rsidR="00E77942" w:rsidRPr="007E382C" w:rsidRDefault="00E77942" w:rsidP="00A77194">
      <w:pPr>
        <w:pStyle w:val="ListBullet"/>
      </w:pPr>
      <w:r w:rsidRPr="007E382C">
        <w:t xml:space="preserve">Food studies on </w:t>
      </w:r>
      <w:proofErr w:type="spellStart"/>
      <w:r w:rsidR="007F3098">
        <w:t>Stribild</w:t>
      </w:r>
      <w:proofErr w:type="spellEnd"/>
      <w:r w:rsidRPr="007E382C">
        <w:t xml:space="preserve"> tablets showed that a high fat meal reduced the AUC and </w:t>
      </w:r>
      <w:proofErr w:type="spellStart"/>
      <w:r w:rsidRPr="007E382C">
        <w:t>C</w:t>
      </w:r>
      <w:r w:rsidRPr="00235375">
        <w:rPr>
          <w:vertAlign w:val="subscript"/>
        </w:rPr>
        <w:t>max</w:t>
      </w:r>
      <w:proofErr w:type="spellEnd"/>
      <w:r w:rsidRPr="007E382C">
        <w:t xml:space="preserve"> of COBI by 17% and 24%, respectively, although a light meal had no significant effect.</w:t>
      </w:r>
      <w:r w:rsidR="007F3098">
        <w:t xml:space="preserve"> </w:t>
      </w:r>
      <w:r w:rsidRPr="007E382C">
        <w:t xml:space="preserve">The </w:t>
      </w:r>
      <w:proofErr w:type="spellStart"/>
      <w:r w:rsidR="007F3098">
        <w:t>Tybost</w:t>
      </w:r>
      <w:proofErr w:type="spellEnd"/>
      <w:r w:rsidRPr="007E382C">
        <w:t xml:space="preserve"> PI recommends that the tablets be given with food because </w:t>
      </w:r>
      <w:r w:rsidR="00675E9F">
        <w:t>ATV</w:t>
      </w:r>
      <w:r w:rsidRPr="007E382C">
        <w:t xml:space="preserve"> and </w:t>
      </w:r>
      <w:r w:rsidR="00675E9F">
        <w:t>DRV</w:t>
      </w:r>
      <w:r w:rsidRPr="007E382C">
        <w:t xml:space="preserve"> are taken with food (as was the case with the clinical efficacy/safety studies in the current submission);</w:t>
      </w:r>
    </w:p>
    <w:p w:rsidR="00E77942" w:rsidRPr="007E382C" w:rsidRDefault="00423923" w:rsidP="00A77194">
      <w:pPr>
        <w:pStyle w:val="ListBullet"/>
      </w:pPr>
      <w:r>
        <w:t xml:space="preserve">Single and multiple </w:t>
      </w:r>
      <w:r w:rsidR="00E77942" w:rsidRPr="007E382C">
        <w:t>dosing with COBI 50, 100 and 200</w:t>
      </w:r>
      <w:r>
        <w:t xml:space="preserve"> </w:t>
      </w:r>
      <w:r w:rsidR="00E77942" w:rsidRPr="007E382C">
        <w:t>mg doses in hea</w:t>
      </w:r>
      <w:r>
        <w:t xml:space="preserve">lthy subjects showed both dose </w:t>
      </w:r>
      <w:r w:rsidR="00E77942" w:rsidRPr="007E382C">
        <w:t>an</w:t>
      </w:r>
      <w:r>
        <w:t xml:space="preserve">d time </w:t>
      </w:r>
      <w:r w:rsidR="00E77942" w:rsidRPr="007E382C">
        <w:t>dependent changes in apparent clearance (CL/F), with nonlinear increases in systemic exposure to COBI, consistent wit</w:t>
      </w:r>
      <w:r>
        <w:t xml:space="preserve">h the properties of a mechanism </w:t>
      </w:r>
      <w:r w:rsidR="00E77942" w:rsidRPr="007E382C">
        <w:t>based inhibitor (Study GS-US-216-0101).</w:t>
      </w:r>
      <w:r w:rsidR="007F3098">
        <w:t xml:space="preserve"> </w:t>
      </w:r>
      <w:r w:rsidR="00E77942" w:rsidRPr="007E382C">
        <w:t xml:space="preserve">The study also examined suppression of CYP3A by COBI using a </w:t>
      </w:r>
      <w:proofErr w:type="spellStart"/>
      <w:r w:rsidR="00E77942" w:rsidRPr="007E382C">
        <w:t>midazolam</w:t>
      </w:r>
      <w:proofErr w:type="spellEnd"/>
      <w:r w:rsidR="00E77942" w:rsidRPr="007E382C">
        <w:t xml:space="preserve"> probe.</w:t>
      </w:r>
      <w:r w:rsidR="007F3098">
        <w:t xml:space="preserve"> </w:t>
      </w:r>
      <w:proofErr w:type="spellStart"/>
      <w:r w:rsidR="00E77942" w:rsidRPr="007E382C">
        <w:t>Midazolam</w:t>
      </w:r>
      <w:proofErr w:type="spellEnd"/>
      <w:r w:rsidR="00E77942" w:rsidRPr="007E382C">
        <w:t xml:space="preserve"> plasma exposure increased by about 20 times with COBI 200mg and with RTV 100</w:t>
      </w:r>
      <w:r>
        <w:t xml:space="preserve"> </w:t>
      </w:r>
      <w:r w:rsidR="00E77942" w:rsidRPr="007E382C">
        <w:t xml:space="preserve">mg dosing compared with </w:t>
      </w:r>
      <w:proofErr w:type="spellStart"/>
      <w:r w:rsidR="00E77942" w:rsidRPr="007E382C">
        <w:t>midazolam</w:t>
      </w:r>
      <w:proofErr w:type="spellEnd"/>
      <w:r w:rsidR="00E77942" w:rsidRPr="007E382C">
        <w:t xml:space="preserve"> alone. Despite non</w:t>
      </w:r>
      <w:r>
        <w:t xml:space="preserve"> </w:t>
      </w:r>
      <w:r w:rsidR="00E77942" w:rsidRPr="007E382C">
        <w:t>linearity of COBI plasma exposure in this dose range noted early in this study, the effect on CYP3A (</w:t>
      </w:r>
      <w:proofErr w:type="spellStart"/>
      <w:r w:rsidR="00E77942" w:rsidRPr="007E382C">
        <w:t>midazolam</w:t>
      </w:r>
      <w:proofErr w:type="spellEnd"/>
      <w:r w:rsidR="00E77942" w:rsidRPr="007E382C">
        <w:t xml:space="preserve"> clearance and plasma exposure) was indicative of dose response;</w:t>
      </w:r>
    </w:p>
    <w:p w:rsidR="00E77942" w:rsidRPr="007E382C" w:rsidRDefault="00E92AEF" w:rsidP="00A77194">
      <w:pPr>
        <w:pStyle w:val="ListBullet"/>
      </w:pPr>
      <w:r>
        <w:t>C</w:t>
      </w:r>
      <w:r w:rsidR="00E77942" w:rsidRPr="007E382C">
        <w:t>onsistent PK profiles and exposures for COBI were obse</w:t>
      </w:r>
      <w:r w:rsidR="00423923">
        <w:t>rved across a range of studies:</w:t>
      </w:r>
      <w:r w:rsidR="00E77942" w:rsidRPr="007E382C">
        <w:t xml:space="preserve"> </w:t>
      </w:r>
      <w:proofErr w:type="spellStart"/>
      <w:r w:rsidR="00E77942" w:rsidRPr="007E382C">
        <w:t>T</w:t>
      </w:r>
      <w:r w:rsidR="00E77942" w:rsidRPr="00235375">
        <w:rPr>
          <w:vertAlign w:val="subscript"/>
        </w:rPr>
        <w:t>max</w:t>
      </w:r>
      <w:proofErr w:type="spellEnd"/>
      <w:r w:rsidR="00E77942" w:rsidRPr="007E382C">
        <w:t xml:space="preserve"> ranged from 3 to 4.5 </w:t>
      </w:r>
      <w:r w:rsidR="00791C0D">
        <w:t>h</w:t>
      </w:r>
      <w:r w:rsidR="00E77942" w:rsidRPr="007E382C">
        <w:t xml:space="preserve">; </w:t>
      </w:r>
    </w:p>
    <w:p w:rsidR="00E77942" w:rsidRPr="007E382C" w:rsidRDefault="00E77942" w:rsidP="007E382C">
      <w:pPr>
        <w:pStyle w:val="ListBullet"/>
      </w:pPr>
      <w:r w:rsidRPr="007E382C">
        <w:t>COBI is highly protein bound;</w:t>
      </w:r>
    </w:p>
    <w:p w:rsidR="00E77942" w:rsidRPr="007E382C" w:rsidRDefault="00E77942" w:rsidP="00A77194">
      <w:pPr>
        <w:pStyle w:val="ListBullet"/>
      </w:pPr>
      <w:r w:rsidRPr="007E382C">
        <w:t>In a mass balance study (GS-US-216-0111)</w:t>
      </w:r>
      <w:r w:rsidR="00FB3554">
        <w:t>,</w:t>
      </w:r>
      <w:r w:rsidRPr="007E382C">
        <w:t xml:space="preserve"> 94</w:t>
      </w:r>
      <w:r w:rsidR="00FB3554">
        <w:t xml:space="preserve">% radioactivity was recovered: </w:t>
      </w:r>
      <w:r w:rsidRPr="007E382C">
        <w:t>86% from faeces and &lt;10% from urine.</w:t>
      </w:r>
      <w:r w:rsidR="007F3098">
        <w:t xml:space="preserve"> </w:t>
      </w:r>
      <w:r w:rsidRPr="007E382C">
        <w:t>Intact drug is the predominant species in plasma (99%) with no quantifiable metabolites in plasma. In faeces, 27% radioactivity was accounted for by the intact molecule and remaining by metabolites (mainly E3 and E1);</w:t>
      </w:r>
    </w:p>
    <w:p w:rsidR="00E77942" w:rsidRPr="007E382C" w:rsidRDefault="00E77942" w:rsidP="00A77194">
      <w:pPr>
        <w:pStyle w:val="ListBullet"/>
      </w:pPr>
      <w:r w:rsidRPr="007E382C">
        <w:t>Following once</w:t>
      </w:r>
      <w:r w:rsidR="00FB3554">
        <w:t xml:space="preserve"> </w:t>
      </w:r>
      <w:r w:rsidRPr="007E382C">
        <w:t xml:space="preserve">daily administration of combination </w:t>
      </w:r>
      <w:proofErr w:type="spellStart"/>
      <w:r w:rsidRPr="007E382C">
        <w:t>elvitegravir</w:t>
      </w:r>
      <w:proofErr w:type="spellEnd"/>
      <w:r w:rsidRPr="007E382C">
        <w:t xml:space="preserve">/COBI for 7 days, the </w:t>
      </w:r>
      <w:proofErr w:type="spellStart"/>
      <w:r w:rsidRPr="007E382C">
        <w:t>AUC</w:t>
      </w:r>
      <w:r w:rsidRPr="008A7C67">
        <w:rPr>
          <w:vertAlign w:val="subscript"/>
        </w:rPr>
        <w:t>tau</w:t>
      </w:r>
      <w:proofErr w:type="spellEnd"/>
      <w:r w:rsidRPr="007E382C">
        <w:t xml:space="preserve">, </w:t>
      </w:r>
      <w:proofErr w:type="spellStart"/>
      <w:r w:rsidRPr="007E382C">
        <w:t>C</w:t>
      </w:r>
      <w:r w:rsidRPr="008A7C67">
        <w:rPr>
          <w:vertAlign w:val="subscript"/>
        </w:rPr>
        <w:t>max</w:t>
      </w:r>
      <w:proofErr w:type="spellEnd"/>
      <w:r w:rsidRPr="007E382C">
        <w:t xml:space="preserve"> and </w:t>
      </w:r>
      <w:proofErr w:type="spellStart"/>
      <w:r w:rsidRPr="007E382C">
        <w:t>C</w:t>
      </w:r>
      <w:r w:rsidRPr="008A7C67">
        <w:rPr>
          <w:vertAlign w:val="subscript"/>
        </w:rPr>
        <w:t>tau</w:t>
      </w:r>
      <w:proofErr w:type="spellEnd"/>
      <w:r w:rsidRPr="007E382C">
        <w:t xml:space="preserve"> for COBI were approximately </w:t>
      </w:r>
      <w:r w:rsidR="008A7C67">
        <w:t xml:space="preserve">25%, 22%, and 13% higher in non </w:t>
      </w:r>
      <w:r w:rsidRPr="007E382C">
        <w:t>HIV-1 infected subjects with severe renal impairment (</w:t>
      </w:r>
      <w:proofErr w:type="spellStart"/>
      <w:r w:rsidRPr="007E382C">
        <w:t>eGFRCG</w:t>
      </w:r>
      <w:proofErr w:type="spellEnd"/>
      <w:r w:rsidRPr="007E382C">
        <w:t xml:space="preserve"> &lt; 30 </w:t>
      </w:r>
      <w:proofErr w:type="spellStart"/>
      <w:r w:rsidRPr="007E382C">
        <w:t>mL</w:t>
      </w:r>
      <w:proofErr w:type="spellEnd"/>
      <w:r w:rsidRPr="007E382C">
        <w:t>/min) than in control subjects with normal renal function (</w:t>
      </w:r>
      <w:proofErr w:type="spellStart"/>
      <w:r w:rsidRPr="007E382C">
        <w:t>eGFR</w:t>
      </w:r>
      <w:proofErr w:type="spellEnd"/>
      <w:r w:rsidRPr="007E382C">
        <w:t xml:space="preserve"> ≥ 90 </w:t>
      </w:r>
      <w:proofErr w:type="spellStart"/>
      <w:r w:rsidRPr="007E382C">
        <w:t>mL</w:t>
      </w:r>
      <w:proofErr w:type="spellEnd"/>
      <w:r w:rsidRPr="007E382C">
        <w:t>/min) matched for age, gender and BMI (Study GS-US-216-0124).</w:t>
      </w:r>
      <w:r w:rsidR="007F3098">
        <w:t xml:space="preserve"> </w:t>
      </w:r>
      <w:r w:rsidRPr="007E382C">
        <w:t>These differences in exposures were not considered clinically relevant and it was concluded that dose adjustment of COBI was not required in subjects with renal impairment;</w:t>
      </w:r>
    </w:p>
    <w:p w:rsidR="00E77942" w:rsidRPr="007E382C" w:rsidRDefault="00E77942" w:rsidP="00A77194">
      <w:pPr>
        <w:pStyle w:val="ListBullet"/>
      </w:pPr>
      <w:r w:rsidRPr="007E382C">
        <w:t xml:space="preserve">In </w:t>
      </w:r>
      <w:r w:rsidR="00C07BE6">
        <w:t>S</w:t>
      </w:r>
      <w:r w:rsidRPr="007E382C">
        <w:t xml:space="preserve">tudy GS-US-183-0133 </w:t>
      </w:r>
      <w:r w:rsidR="00C07BE6">
        <w:t>comparing</w:t>
      </w:r>
      <w:r w:rsidRPr="007E382C">
        <w:t xml:space="preserve"> the PKs of COBI in non-HIV-1 infected subjects with moderate hepatic impairment (Child-Pugh-</w:t>
      </w:r>
      <w:proofErr w:type="spellStart"/>
      <w:r w:rsidRPr="007E382C">
        <w:t>Turcotte</w:t>
      </w:r>
      <w:proofErr w:type="spellEnd"/>
      <w:r w:rsidRPr="007E382C">
        <w:t xml:space="preserve"> Classification B) and matched normal controls, the </w:t>
      </w:r>
      <w:proofErr w:type="spellStart"/>
      <w:r w:rsidRPr="007E382C">
        <w:t>AUC</w:t>
      </w:r>
      <w:r w:rsidRPr="00C07BE6">
        <w:rPr>
          <w:vertAlign w:val="subscript"/>
        </w:rPr>
        <w:t>tau</w:t>
      </w:r>
      <w:proofErr w:type="spellEnd"/>
      <w:r w:rsidRPr="007E382C">
        <w:t xml:space="preserve"> and </w:t>
      </w:r>
      <w:proofErr w:type="spellStart"/>
      <w:r w:rsidRPr="007E382C">
        <w:t>C</w:t>
      </w:r>
      <w:r w:rsidRPr="00C07BE6">
        <w:rPr>
          <w:vertAlign w:val="subscript"/>
        </w:rPr>
        <w:t>max</w:t>
      </w:r>
      <w:proofErr w:type="spellEnd"/>
      <w:r w:rsidRPr="007E382C">
        <w:t xml:space="preserve"> of</w:t>
      </w:r>
      <w:r w:rsidR="00C07BE6">
        <w:t xml:space="preserve"> COBI were comparable for the two </w:t>
      </w:r>
      <w:r w:rsidRPr="007E382C">
        <w:t>groups (90%</w:t>
      </w:r>
      <w:r w:rsidR="00C07BE6">
        <w:t xml:space="preserve"> </w:t>
      </w:r>
      <w:r w:rsidRPr="007E382C">
        <w:t>CI of ratio between 0.8 and 1.25).</w:t>
      </w:r>
      <w:r w:rsidR="007F3098">
        <w:t xml:space="preserve"> </w:t>
      </w:r>
      <w:proofErr w:type="spellStart"/>
      <w:r w:rsidRPr="007E382C">
        <w:t>C</w:t>
      </w:r>
      <w:r w:rsidRPr="00C07BE6">
        <w:rPr>
          <w:vertAlign w:val="subscript"/>
        </w:rPr>
        <w:t>tau</w:t>
      </w:r>
      <w:proofErr w:type="spellEnd"/>
      <w:r w:rsidRPr="007E382C">
        <w:t xml:space="preserve"> was significantly higher in subjects with moderate hepatic impairment (geometric least</w:t>
      </w:r>
      <w:r w:rsidR="00F3546E">
        <w:t xml:space="preserve"> </w:t>
      </w:r>
      <w:r w:rsidRPr="007E382C">
        <w:t>squares mean ratio 208%)</w:t>
      </w:r>
      <w:r w:rsidR="00F3546E">
        <w:t>,</w:t>
      </w:r>
      <w:r w:rsidRPr="007E382C">
        <w:t xml:space="preserve"> but this was not considered clinically relevant.</w:t>
      </w:r>
      <w:r w:rsidR="007F3098">
        <w:t xml:space="preserve"> </w:t>
      </w:r>
      <w:r w:rsidRPr="007E382C">
        <w:t>No data are available on the use of COBI in patients with severe hepatic impairment; and</w:t>
      </w:r>
    </w:p>
    <w:p w:rsidR="00E77942" w:rsidRPr="007E382C" w:rsidRDefault="00E77942" w:rsidP="00A77194">
      <w:pPr>
        <w:pStyle w:val="ListBullet"/>
      </w:pPr>
      <w:r w:rsidRPr="007E382C">
        <w:t>Age, gender and race did not influence COBI exposures in healthy or HIV-1 infected individuals.</w:t>
      </w:r>
    </w:p>
    <w:p w:rsidR="00E77942" w:rsidRPr="00BC64C1" w:rsidRDefault="00E77942" w:rsidP="00A77194">
      <w:r w:rsidRPr="00BC64C1">
        <w:t>In the current submission</w:t>
      </w:r>
      <w:r w:rsidR="00F3546E">
        <w:t>,</w:t>
      </w:r>
      <w:r w:rsidRPr="00BC64C1">
        <w:t xml:space="preserve"> additional data were provided mainly in the form of PK interaction studies of COBI with ATV and DRV, as well as a population PK modelling of pooled intensive and sparse sampling data following admi</w:t>
      </w:r>
      <w:r w:rsidR="00F3546E">
        <w:t xml:space="preserve">nistration of COBI (as a single </w:t>
      </w:r>
      <w:r w:rsidRPr="00BC64C1">
        <w:t xml:space="preserve">agent tablet or as a component of </w:t>
      </w:r>
      <w:proofErr w:type="spellStart"/>
      <w:r w:rsidR="007F3098">
        <w:t>Stribild</w:t>
      </w:r>
      <w:proofErr w:type="spellEnd"/>
      <w:r w:rsidR="00F3546E">
        <w:t>) as follows.</w:t>
      </w:r>
    </w:p>
    <w:p w:rsidR="00E77942" w:rsidRPr="00A77194" w:rsidRDefault="00E77942" w:rsidP="00A77194">
      <w:pPr>
        <w:pStyle w:val="Heading6"/>
      </w:pPr>
      <w:r w:rsidRPr="00795A82">
        <w:t>ATV/COBI PKs</w:t>
      </w:r>
    </w:p>
    <w:p w:rsidR="00E77942" w:rsidRPr="00BC64C1" w:rsidRDefault="00E77942" w:rsidP="00A77194">
      <w:r w:rsidRPr="00BC64C1">
        <w:t xml:space="preserve">In Study GS-US-216-0110, ATV exposures (AUC; </w:t>
      </w:r>
      <w:proofErr w:type="spellStart"/>
      <w:r w:rsidRPr="00BC64C1">
        <w:t>C</w:t>
      </w:r>
      <w:r w:rsidRPr="00F3546E">
        <w:rPr>
          <w:vertAlign w:val="subscript"/>
        </w:rPr>
        <w:t>max</w:t>
      </w:r>
      <w:proofErr w:type="spellEnd"/>
      <w:r w:rsidRPr="00BC64C1">
        <w:t>) and trough levels (</w:t>
      </w:r>
      <w:proofErr w:type="spellStart"/>
      <w:r w:rsidRPr="00BC64C1">
        <w:t>C</w:t>
      </w:r>
      <w:r w:rsidRPr="00F3546E">
        <w:rPr>
          <w:vertAlign w:val="subscript"/>
        </w:rPr>
        <w:t>tau</w:t>
      </w:r>
      <w:proofErr w:type="spellEnd"/>
      <w:r w:rsidR="00F3546E">
        <w:t>) were bioequivalent (that is,</w:t>
      </w:r>
      <w:r w:rsidRPr="00BC64C1">
        <w:t xml:space="preserve"> the 90% CI of the geometric means ratio lay within 80% to 125%) </w:t>
      </w:r>
      <w:r w:rsidRPr="00BC64C1">
        <w:lastRenderedPageBreak/>
        <w:t xml:space="preserve">following once daily </w:t>
      </w:r>
      <w:r w:rsidR="004E7F21">
        <w:t>dosing of ATV/COBI 300/150</w:t>
      </w:r>
      <w:r w:rsidR="00D71B93">
        <w:t xml:space="preserve"> </w:t>
      </w:r>
      <w:r w:rsidR="004E7F21">
        <w:t>mg versus</w:t>
      </w:r>
      <w:r w:rsidRPr="00BC64C1">
        <w:t xml:space="preserve"> ATV/RTV 300/100</w:t>
      </w:r>
      <w:r w:rsidR="00D71B93">
        <w:t xml:space="preserve"> </w:t>
      </w:r>
      <w:r w:rsidRPr="00BC64C1">
        <w:t>mg over 10 days in healthy</w:t>
      </w:r>
      <w:r w:rsidR="00D71B93">
        <w:t xml:space="preserve"> subjects</w:t>
      </w:r>
      <w:r w:rsidRPr="00BC64C1">
        <w:t>.</w:t>
      </w:r>
      <w:r w:rsidR="007F3098">
        <w:t xml:space="preserve"> </w:t>
      </w:r>
      <w:r w:rsidRPr="00BC64C1">
        <w:t xml:space="preserve">Comparable </w:t>
      </w:r>
      <w:proofErr w:type="spellStart"/>
      <w:r w:rsidRPr="00BC64C1">
        <w:t>T</w:t>
      </w:r>
      <w:r w:rsidRPr="00D71B93">
        <w:rPr>
          <w:vertAlign w:val="subscript"/>
        </w:rPr>
        <w:t>max</w:t>
      </w:r>
      <w:proofErr w:type="spellEnd"/>
      <w:r w:rsidRPr="00BC64C1">
        <w:t xml:space="preserve"> and half</w:t>
      </w:r>
      <w:r w:rsidR="00D71B93">
        <w:t xml:space="preserve"> </w:t>
      </w:r>
      <w:r w:rsidRPr="00BC64C1">
        <w:t>life values were also observed.</w:t>
      </w:r>
    </w:p>
    <w:p w:rsidR="00E77942" w:rsidRDefault="00E77942" w:rsidP="00A77194">
      <w:r w:rsidRPr="00BC64C1">
        <w:t>Intensive PK sampling performed in a subset of 24 HIV-1 infected treatment</w:t>
      </w:r>
      <w:r w:rsidR="00594905">
        <w:t xml:space="preserve"> </w:t>
      </w:r>
      <w:r w:rsidRPr="00BC64C1">
        <w:t xml:space="preserve">naive patients in </w:t>
      </w:r>
      <w:r w:rsidR="00594905">
        <w:t>S</w:t>
      </w:r>
      <w:r w:rsidRPr="00BC64C1">
        <w:t>tudy GS-US-216-0105 showed key PK parameters for ATV (</w:t>
      </w:r>
      <w:proofErr w:type="spellStart"/>
      <w:r w:rsidRPr="00BC64C1">
        <w:t>C</w:t>
      </w:r>
      <w:r w:rsidRPr="00E90FCC">
        <w:rPr>
          <w:vertAlign w:val="subscript"/>
        </w:rPr>
        <w:t>max</w:t>
      </w:r>
      <w:proofErr w:type="spellEnd"/>
      <w:r w:rsidRPr="00BC64C1">
        <w:t xml:space="preserve">, </w:t>
      </w:r>
      <w:proofErr w:type="spellStart"/>
      <w:r w:rsidRPr="00BC64C1">
        <w:t>T</w:t>
      </w:r>
      <w:r w:rsidRPr="00E90FCC">
        <w:rPr>
          <w:vertAlign w:val="subscript"/>
        </w:rPr>
        <w:t>max</w:t>
      </w:r>
      <w:proofErr w:type="spellEnd"/>
      <w:r w:rsidRPr="00BC64C1">
        <w:t xml:space="preserve">, </w:t>
      </w:r>
      <w:proofErr w:type="spellStart"/>
      <w:r w:rsidRPr="00BC64C1">
        <w:t>C</w:t>
      </w:r>
      <w:r w:rsidRPr="00E90FCC">
        <w:rPr>
          <w:vertAlign w:val="subscript"/>
        </w:rPr>
        <w:t>tau</w:t>
      </w:r>
      <w:proofErr w:type="spellEnd"/>
      <w:r w:rsidRPr="00BC64C1">
        <w:t xml:space="preserve">, </w:t>
      </w:r>
      <w:proofErr w:type="spellStart"/>
      <w:r w:rsidRPr="00BC64C1">
        <w:t>AUC</w:t>
      </w:r>
      <w:r w:rsidRPr="00E90FCC">
        <w:rPr>
          <w:vertAlign w:val="subscript"/>
        </w:rPr>
        <w:t>tau</w:t>
      </w:r>
      <w:proofErr w:type="spellEnd"/>
      <w:r w:rsidRPr="00BC64C1">
        <w:t xml:space="preserve"> and half life) were comparable when given as ATV/COBI + TVD or ATV</w:t>
      </w:r>
      <w:r w:rsidR="003D31BF">
        <w:t xml:space="preserve">/RTV + TVD (Table </w:t>
      </w:r>
      <w:r w:rsidR="00B26007">
        <w:t>7</w:t>
      </w:r>
      <w:r w:rsidRPr="00BC64C1">
        <w:t>).</w:t>
      </w:r>
      <w:r w:rsidR="007F3098">
        <w:t xml:space="preserve"> </w:t>
      </w:r>
      <w:r w:rsidRPr="00BC64C1">
        <w:t>The mean ATV trough concentrations in subjects receiving ATV/COBI + TVD or ATV/RTV + TVD were more than 46</w:t>
      </w:r>
      <w:r w:rsidR="001A7116">
        <w:t xml:space="preserve"> </w:t>
      </w:r>
      <w:r w:rsidRPr="00BC64C1">
        <w:t>fold above the protein</w:t>
      </w:r>
      <w:r w:rsidR="001A7116">
        <w:t xml:space="preserve"> </w:t>
      </w:r>
      <w:r w:rsidRPr="00BC64C1">
        <w:t>binding adjusted IC</w:t>
      </w:r>
      <w:r w:rsidRPr="001A7116">
        <w:rPr>
          <w:vertAlign w:val="subscript"/>
        </w:rPr>
        <w:t xml:space="preserve">90 </w:t>
      </w:r>
      <w:r w:rsidRPr="00BC64C1">
        <w:t>against wild</w:t>
      </w:r>
      <w:r w:rsidR="001A7116">
        <w:t xml:space="preserve"> </w:t>
      </w:r>
      <w:r w:rsidRPr="00BC64C1">
        <w:t xml:space="preserve">type HIV-1 (14 </w:t>
      </w:r>
      <w:proofErr w:type="spellStart"/>
      <w:r w:rsidRPr="00BC64C1">
        <w:t>ng</w:t>
      </w:r>
      <w:proofErr w:type="spellEnd"/>
      <w:r w:rsidRPr="00BC64C1">
        <w:t>/</w:t>
      </w:r>
      <w:proofErr w:type="spellStart"/>
      <w:r w:rsidRPr="00BC64C1">
        <w:t>mL</w:t>
      </w:r>
      <w:proofErr w:type="spellEnd"/>
      <w:r w:rsidRPr="00BC64C1">
        <w:t>) throughout the 48</w:t>
      </w:r>
      <w:r w:rsidR="001A7116">
        <w:t xml:space="preserve"> </w:t>
      </w:r>
      <w:r w:rsidRPr="00BC64C1">
        <w:t>week dosing period.</w:t>
      </w:r>
      <w:r w:rsidR="007F3098">
        <w:t xml:space="preserve"> </w:t>
      </w:r>
      <w:r w:rsidRPr="00BC64C1">
        <w:t>Also, the PK parameters for ATV, COBI, RTV, FTC and TFV following steady state administration of ATV/COBI + TVD or ATV/RTV + TVD were consistent with those observed in other published studies in HIV-1 infected patients.</w:t>
      </w:r>
    </w:p>
    <w:p w:rsidR="00A94870" w:rsidRDefault="00A94870" w:rsidP="00A77194">
      <w:pPr>
        <w:pStyle w:val="TableTitle"/>
      </w:pPr>
      <w:r>
        <w:t xml:space="preserve">Table </w:t>
      </w:r>
      <w:r w:rsidR="00B26007">
        <w:t>7</w:t>
      </w:r>
      <w:r>
        <w:t>:</w:t>
      </w:r>
      <w:r w:rsidRPr="004C5C28">
        <w:t xml:space="preserve"> </w:t>
      </w:r>
      <w:r w:rsidR="00785678" w:rsidRPr="00785678">
        <w:t xml:space="preserve">Study GS-US-216-0105: Summary of ATV, COBI, RTV, FTC, and TFV </w:t>
      </w:r>
      <w:r w:rsidR="00785678">
        <w:t>PK p</w:t>
      </w:r>
      <w:r w:rsidR="00785678" w:rsidRPr="00785678">
        <w:t xml:space="preserve">arameters (PK </w:t>
      </w:r>
      <w:proofErr w:type="spellStart"/>
      <w:r w:rsidR="00BB3C93">
        <w:t>s</w:t>
      </w:r>
      <w:r w:rsidR="00785678" w:rsidRPr="00785678">
        <w:t>ubstudy</w:t>
      </w:r>
      <w:proofErr w:type="spellEnd"/>
      <w:r w:rsidR="00785678" w:rsidRPr="00785678">
        <w:t xml:space="preserve"> </w:t>
      </w:r>
      <w:r w:rsidR="00785678">
        <w:t>a</w:t>
      </w:r>
      <w:r w:rsidR="00785678" w:rsidRPr="00785678">
        <w:t xml:space="preserve">nalysis </w:t>
      </w:r>
      <w:r w:rsidR="00785678">
        <w:t>s</w:t>
      </w:r>
      <w:r w:rsidR="00785678" w:rsidRPr="00785678">
        <w:t>et</w:t>
      </w:r>
      <w:r w:rsidR="00785678">
        <w:t>)</w:t>
      </w:r>
      <w:r>
        <w:t>.</w:t>
      </w:r>
    </w:p>
    <w:p w:rsidR="00A94870" w:rsidRPr="00BC64C1" w:rsidRDefault="00094C92" w:rsidP="00A77194">
      <w:r>
        <w:rPr>
          <w:noProof/>
          <w:lang w:eastAsia="en-AU"/>
        </w:rPr>
        <w:drawing>
          <wp:inline distT="0" distB="0" distL="0" distR="0">
            <wp:extent cx="5396865" cy="2698115"/>
            <wp:effectExtent l="19050" t="0" r="0" b="0"/>
            <wp:docPr id="9" name="Picture 9" descr="Table 7: Study GS-US-216-0105: Summary of ATV, COBI, RTV, FTC, and TFV PK parameters (PK substud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Study GS-US-216-0105: Summary of ATV, COBI, RTV, FTC, and TFV PK parameters (PK substudy analysis set)."/>
                    <pic:cNvPicPr>
                      <a:picLocks noChangeAspect="1" noChangeArrowheads="1"/>
                    </pic:cNvPicPr>
                  </pic:nvPicPr>
                  <pic:blipFill>
                    <a:blip r:embed="rId21" cstate="print"/>
                    <a:srcRect/>
                    <a:stretch>
                      <a:fillRect/>
                    </a:stretch>
                  </pic:blipFill>
                  <pic:spPr bwMode="auto">
                    <a:xfrm>
                      <a:off x="0" y="0"/>
                      <a:ext cx="5396865" cy="2698115"/>
                    </a:xfrm>
                    <a:prstGeom prst="rect">
                      <a:avLst/>
                    </a:prstGeom>
                    <a:noFill/>
                    <a:ln w="9525">
                      <a:noFill/>
                      <a:miter lim="800000"/>
                      <a:headEnd/>
                      <a:tailEnd/>
                    </a:ln>
                  </pic:spPr>
                </pic:pic>
              </a:graphicData>
            </a:graphic>
          </wp:inline>
        </w:drawing>
      </w:r>
    </w:p>
    <w:p w:rsidR="00E77942" w:rsidRDefault="00E77942" w:rsidP="00A77194">
      <w:r w:rsidRPr="00BC64C1">
        <w:t xml:space="preserve">Similar findings were obtained in </w:t>
      </w:r>
      <w:r w:rsidR="00154B3C">
        <w:t>S</w:t>
      </w:r>
      <w:r w:rsidRPr="00BC64C1">
        <w:t xml:space="preserve">tudy GS-US-216-0114, where intensive PK sampling performed in a subset of 48 HIV-1 infected treatment-naive patients showed the ATV </w:t>
      </w:r>
      <w:proofErr w:type="spellStart"/>
      <w:r w:rsidRPr="00BC64C1">
        <w:t>C</w:t>
      </w:r>
      <w:r w:rsidRPr="00154B3C">
        <w:rPr>
          <w:vertAlign w:val="subscript"/>
        </w:rPr>
        <w:t>max</w:t>
      </w:r>
      <w:proofErr w:type="spellEnd"/>
      <w:r w:rsidRPr="00BC64C1">
        <w:t xml:space="preserve">, </w:t>
      </w:r>
      <w:proofErr w:type="spellStart"/>
      <w:r w:rsidRPr="00BC64C1">
        <w:t>T</w:t>
      </w:r>
      <w:r w:rsidRPr="00154B3C">
        <w:rPr>
          <w:vertAlign w:val="subscript"/>
        </w:rPr>
        <w:t>max</w:t>
      </w:r>
      <w:proofErr w:type="spellEnd"/>
      <w:r w:rsidRPr="00BC64C1">
        <w:t xml:space="preserve">, </w:t>
      </w:r>
      <w:proofErr w:type="spellStart"/>
      <w:r w:rsidRPr="00BC64C1">
        <w:t>C</w:t>
      </w:r>
      <w:r w:rsidRPr="00154B3C">
        <w:rPr>
          <w:vertAlign w:val="subscript"/>
        </w:rPr>
        <w:t>tau</w:t>
      </w:r>
      <w:proofErr w:type="spellEnd"/>
      <w:r w:rsidRPr="00BC64C1">
        <w:t xml:space="preserve">, </w:t>
      </w:r>
      <w:proofErr w:type="spellStart"/>
      <w:r w:rsidRPr="00BC64C1">
        <w:t>AUC</w:t>
      </w:r>
      <w:r w:rsidRPr="00154B3C">
        <w:rPr>
          <w:vertAlign w:val="subscript"/>
        </w:rPr>
        <w:t>tau</w:t>
      </w:r>
      <w:proofErr w:type="spellEnd"/>
      <w:r w:rsidRPr="00BC64C1">
        <w:t xml:space="preserve"> and half life were comparable when given as ATV/COBI + TVD or ATV/RTV + TVD (</w:t>
      </w:r>
      <w:r w:rsidR="00660570">
        <w:t xml:space="preserve">Table </w:t>
      </w:r>
      <w:r w:rsidR="00B26007">
        <w:t>8</w:t>
      </w:r>
      <w:r w:rsidRPr="00BC64C1">
        <w:t>).</w:t>
      </w:r>
      <w:r w:rsidR="007F3098">
        <w:t xml:space="preserve"> </w:t>
      </w:r>
      <w:r w:rsidRPr="00BC64C1">
        <w:t>Plasma exposures of ATV, COBI, RTV, FTC, and TFV were also consistent with historical data.</w:t>
      </w:r>
      <w:r w:rsidR="007F3098">
        <w:t xml:space="preserve"> </w:t>
      </w:r>
      <w:r w:rsidRPr="00BC64C1">
        <w:t>The mean ATV trough concentration in subjects who received ATV/COBI + TVD was 56.9</w:t>
      </w:r>
      <w:r w:rsidR="0024099D">
        <w:t xml:space="preserve"> </w:t>
      </w:r>
      <w:r w:rsidRPr="00BC64C1">
        <w:t>fold above the protein</w:t>
      </w:r>
      <w:r w:rsidR="0024099D">
        <w:t xml:space="preserve"> </w:t>
      </w:r>
      <w:r w:rsidRPr="00BC64C1">
        <w:t>binding adjusted IC</w:t>
      </w:r>
      <w:r w:rsidRPr="0024099D">
        <w:rPr>
          <w:vertAlign w:val="subscript"/>
        </w:rPr>
        <w:t>90</w:t>
      </w:r>
      <w:r w:rsidRPr="00BC64C1">
        <w:t xml:space="preserve"> against wild-type HIV-1 (14 </w:t>
      </w:r>
      <w:proofErr w:type="spellStart"/>
      <w:r w:rsidRPr="00BC64C1">
        <w:t>ng</w:t>
      </w:r>
      <w:proofErr w:type="spellEnd"/>
      <w:r w:rsidRPr="00BC64C1">
        <w:t>/</w:t>
      </w:r>
      <w:proofErr w:type="spellStart"/>
      <w:r w:rsidRPr="00BC64C1">
        <w:t>mL</w:t>
      </w:r>
      <w:proofErr w:type="spellEnd"/>
      <w:r w:rsidRPr="00BC64C1">
        <w:t>) compared to 61.0</w:t>
      </w:r>
      <w:r w:rsidR="0024099D">
        <w:t xml:space="preserve"> </w:t>
      </w:r>
      <w:r w:rsidRPr="00BC64C1">
        <w:t>fold in subjects receiving ATV/RTV + TVD.</w:t>
      </w:r>
    </w:p>
    <w:p w:rsidR="00BB3C93" w:rsidRDefault="00BB3C93" w:rsidP="00A77194">
      <w:pPr>
        <w:pStyle w:val="TableTitle"/>
      </w:pPr>
      <w:r>
        <w:lastRenderedPageBreak/>
        <w:t xml:space="preserve">Table </w:t>
      </w:r>
      <w:r w:rsidR="00B26007">
        <w:t>8</w:t>
      </w:r>
      <w:r>
        <w:t>:</w:t>
      </w:r>
      <w:r w:rsidRPr="004C5C28">
        <w:t xml:space="preserve"> </w:t>
      </w:r>
      <w:r w:rsidRPr="00BB3C93">
        <w:t xml:space="preserve">Study GS-US-216-0114: Summary of ATV, COBI, RTV, FTC, and TFV </w:t>
      </w:r>
      <w:r>
        <w:t>PK p</w:t>
      </w:r>
      <w:r w:rsidRPr="00BB3C93">
        <w:t xml:space="preserve">arameters (PK </w:t>
      </w:r>
      <w:proofErr w:type="spellStart"/>
      <w:r>
        <w:t>s</w:t>
      </w:r>
      <w:r w:rsidRPr="00BB3C93">
        <w:t>ubstudy</w:t>
      </w:r>
      <w:proofErr w:type="spellEnd"/>
      <w:r w:rsidRPr="00BB3C93">
        <w:t xml:space="preserve"> </w:t>
      </w:r>
      <w:r>
        <w:t>a</w:t>
      </w:r>
      <w:r w:rsidRPr="00BB3C93">
        <w:t xml:space="preserve">nalysis </w:t>
      </w:r>
      <w:r>
        <w:t>s</w:t>
      </w:r>
      <w:r w:rsidRPr="00BB3C93">
        <w:t>et)</w:t>
      </w:r>
      <w:r>
        <w:t>.</w:t>
      </w:r>
    </w:p>
    <w:p w:rsidR="00BB3C93" w:rsidRDefault="00094C92" w:rsidP="00A77194">
      <w:r>
        <w:rPr>
          <w:noProof/>
          <w:lang w:eastAsia="en-AU"/>
        </w:rPr>
        <w:drawing>
          <wp:inline distT="0" distB="0" distL="0" distR="0">
            <wp:extent cx="5391150" cy="2855595"/>
            <wp:effectExtent l="19050" t="0" r="0" b="0"/>
            <wp:docPr id="10" name="Picture 10" descr="Table 8: Study GS-US-216-0114: Summary of ATV, COBI, RTV, FTC, and TFV PK parameters (PK substud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Study GS-US-216-0114: Summary of ATV, COBI, RTV, FTC, and TFV PK parameters (PK substudy analysis set)."/>
                    <pic:cNvPicPr>
                      <a:picLocks noChangeAspect="1" noChangeArrowheads="1"/>
                    </pic:cNvPicPr>
                  </pic:nvPicPr>
                  <pic:blipFill>
                    <a:blip r:embed="rId22" cstate="print"/>
                    <a:srcRect/>
                    <a:stretch>
                      <a:fillRect/>
                    </a:stretch>
                  </pic:blipFill>
                  <pic:spPr bwMode="auto">
                    <a:xfrm>
                      <a:off x="0" y="0"/>
                      <a:ext cx="5391150" cy="2855595"/>
                    </a:xfrm>
                    <a:prstGeom prst="rect">
                      <a:avLst/>
                    </a:prstGeom>
                    <a:noFill/>
                    <a:ln w="9525">
                      <a:noFill/>
                      <a:miter lim="800000"/>
                      <a:headEnd/>
                      <a:tailEnd/>
                    </a:ln>
                  </pic:spPr>
                </pic:pic>
              </a:graphicData>
            </a:graphic>
          </wp:inline>
        </w:drawing>
      </w:r>
    </w:p>
    <w:p w:rsidR="002803CA" w:rsidRPr="00863456" w:rsidRDefault="002803CA" w:rsidP="00296B92">
      <w:pPr>
        <w:pStyle w:val="TableDescription"/>
      </w:pPr>
      <w:r w:rsidRPr="00863456">
        <w:t xml:space="preserve">%CV = percentage coefficient of variation; Q1, Q3 = first and third </w:t>
      </w:r>
      <w:proofErr w:type="spellStart"/>
      <w:r w:rsidRPr="00863456">
        <w:t>interquartiles</w:t>
      </w:r>
      <w:proofErr w:type="spellEnd"/>
    </w:p>
    <w:p w:rsidR="002803CA" w:rsidRDefault="002803CA" w:rsidP="00296B92">
      <w:pPr>
        <w:pStyle w:val="TableDescription"/>
      </w:pPr>
      <w:r w:rsidRPr="00863456">
        <w:t xml:space="preserve">For each subject in PK </w:t>
      </w:r>
      <w:proofErr w:type="spellStart"/>
      <w:r w:rsidRPr="00863456">
        <w:t>substudy</w:t>
      </w:r>
      <w:proofErr w:type="spellEnd"/>
      <w:r w:rsidRPr="00863456">
        <w:t>, intensive PK was done at one time at Weeks 2, 4 or 8.</w:t>
      </w:r>
    </w:p>
    <w:p w:rsidR="00E77942" w:rsidRDefault="00E77942" w:rsidP="00296B92">
      <w:r w:rsidRPr="00BC64C1">
        <w:t>A cross</w:t>
      </w:r>
      <w:r w:rsidR="0024099D">
        <w:t xml:space="preserve"> </w:t>
      </w:r>
      <w:r w:rsidRPr="00BC64C1">
        <w:t>study comparison showed COBI PK parameters (</w:t>
      </w:r>
      <w:proofErr w:type="spellStart"/>
      <w:r w:rsidRPr="00BC64C1">
        <w:t>AUC</w:t>
      </w:r>
      <w:r w:rsidRPr="0024099D">
        <w:rPr>
          <w:vertAlign w:val="subscript"/>
        </w:rPr>
        <w:t>tau</w:t>
      </w:r>
      <w:proofErr w:type="spellEnd"/>
      <w:r w:rsidRPr="00BC64C1">
        <w:t xml:space="preserve">, </w:t>
      </w:r>
      <w:proofErr w:type="spellStart"/>
      <w:r w:rsidRPr="00BC64C1">
        <w:t>C</w:t>
      </w:r>
      <w:r w:rsidRPr="0024099D">
        <w:rPr>
          <w:vertAlign w:val="subscript"/>
        </w:rPr>
        <w:t>max</w:t>
      </w:r>
      <w:proofErr w:type="spellEnd"/>
      <w:r w:rsidRPr="00BC64C1">
        <w:t xml:space="preserve">, and </w:t>
      </w:r>
      <w:proofErr w:type="spellStart"/>
      <w:r w:rsidRPr="00BC64C1">
        <w:t>C</w:t>
      </w:r>
      <w:r w:rsidRPr="0024099D">
        <w:rPr>
          <w:vertAlign w:val="subscript"/>
        </w:rPr>
        <w:t>tau</w:t>
      </w:r>
      <w:proofErr w:type="spellEnd"/>
      <w:r w:rsidRPr="00BC64C1">
        <w:t>) were comparable between healthy</w:t>
      </w:r>
      <w:r w:rsidR="0024099D">
        <w:t xml:space="preserve"> subjects (Study GS-US-216-0110</w:t>
      </w:r>
      <w:r w:rsidRPr="00BC64C1">
        <w:t xml:space="preserve">) and HIV-1 infected subjects from </w:t>
      </w:r>
      <w:r w:rsidR="0024099D">
        <w:t>S</w:t>
      </w:r>
      <w:r w:rsidRPr="00BC64C1">
        <w:t>tudies GS-US-216-0105 (intensive and sparse sampling) and GS-US-216-0114 (intensive sampling) following multiple</w:t>
      </w:r>
      <w:r w:rsidR="009D20D0">
        <w:t xml:space="preserve"> </w:t>
      </w:r>
      <w:r w:rsidRPr="00BC64C1">
        <w:t>dose administration of ATV/COBI (30</w:t>
      </w:r>
      <w:r w:rsidR="00611012">
        <w:t>0/150 mg)</w:t>
      </w:r>
      <w:r w:rsidR="00B26007">
        <w:t xml:space="preserve"> (Table 9</w:t>
      </w:r>
      <w:r w:rsidR="00B219AE">
        <w:t>).</w:t>
      </w:r>
    </w:p>
    <w:p w:rsidR="00611012" w:rsidRDefault="00B26007" w:rsidP="00296B92">
      <w:pPr>
        <w:pStyle w:val="TableTitle"/>
      </w:pPr>
      <w:r>
        <w:t>Table 9</w:t>
      </w:r>
      <w:r w:rsidR="00611012">
        <w:t>:</w:t>
      </w:r>
      <w:r w:rsidR="00611012" w:rsidRPr="004C5C28">
        <w:t xml:space="preserve"> </w:t>
      </w:r>
      <w:r w:rsidR="00F8720C">
        <w:t>Steady s</w:t>
      </w:r>
      <w:r w:rsidR="00F8720C" w:rsidRPr="00F8720C">
        <w:t xml:space="preserve">tate </w:t>
      </w:r>
      <w:r w:rsidR="00F8720C">
        <w:t>COBI</w:t>
      </w:r>
      <w:r w:rsidR="00F8720C" w:rsidRPr="00F8720C">
        <w:t xml:space="preserve"> PK </w:t>
      </w:r>
      <w:r w:rsidR="00F8720C">
        <w:t>p</w:t>
      </w:r>
      <w:r w:rsidR="00F8720C" w:rsidRPr="00F8720C">
        <w:t xml:space="preserve">arameters after </w:t>
      </w:r>
      <w:r w:rsidR="00F8720C">
        <w:t>once d</w:t>
      </w:r>
      <w:r w:rsidR="00F8720C" w:rsidRPr="00F8720C">
        <w:t xml:space="preserve">aily </w:t>
      </w:r>
      <w:r w:rsidR="00F8720C">
        <w:t>a</w:t>
      </w:r>
      <w:r w:rsidR="00F8720C" w:rsidRPr="00F8720C">
        <w:t xml:space="preserve">dministration of ATV/co (300/150 mg) in HIV-1 </w:t>
      </w:r>
      <w:r w:rsidR="00F8720C">
        <w:t>i</w:t>
      </w:r>
      <w:r w:rsidR="00F8720C" w:rsidRPr="00F8720C">
        <w:t xml:space="preserve">nfected </w:t>
      </w:r>
      <w:r w:rsidR="00F8720C">
        <w:t>s</w:t>
      </w:r>
      <w:r w:rsidR="00F8720C" w:rsidRPr="00F8720C">
        <w:t xml:space="preserve">ubjects (Studies GS-US-216-0105 and GS-US-216-0114 </w:t>
      </w:r>
      <w:r w:rsidR="00F8720C">
        <w:t>p</w:t>
      </w:r>
      <w:r w:rsidR="00F8720C" w:rsidRPr="00F8720C">
        <w:t xml:space="preserve">opulation PK </w:t>
      </w:r>
      <w:r w:rsidR="00F8720C">
        <w:t>a</w:t>
      </w:r>
      <w:r w:rsidR="00F8720C" w:rsidRPr="00F8720C">
        <w:t xml:space="preserve">nalysis) or in </w:t>
      </w:r>
      <w:r w:rsidR="00F8720C">
        <w:t>h</w:t>
      </w:r>
      <w:r w:rsidR="00F8720C" w:rsidRPr="00F8720C">
        <w:t xml:space="preserve">ealthy </w:t>
      </w:r>
      <w:r w:rsidR="00F8720C">
        <w:t>s</w:t>
      </w:r>
      <w:r w:rsidR="00F8720C" w:rsidRPr="00F8720C">
        <w:t>ubjects (Study GS-US-216-0110)</w:t>
      </w:r>
      <w:r w:rsidR="00F8720C">
        <w:t>.</w:t>
      </w:r>
    </w:p>
    <w:p w:rsidR="00611012" w:rsidRDefault="00094C92" w:rsidP="00296B92">
      <w:r>
        <w:rPr>
          <w:noProof/>
          <w:lang w:eastAsia="en-AU"/>
        </w:rPr>
        <w:drawing>
          <wp:inline distT="0" distB="0" distL="0" distR="0">
            <wp:extent cx="5441315" cy="1122045"/>
            <wp:effectExtent l="19050" t="0" r="6985" b="0"/>
            <wp:docPr id="11" name="Picture 11" descr="Table 9: Steady state COBI PK parameters after once daily administration of ATV/co (300/150 mg) in HIV-1 infected subjects (Studies GS-US-216-0105 and GS-US-216-0114 population PK analysis) or in healthy subjects (Study GS-US-216-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Steady state COBI PK parameters after once daily administration of ATV/co (300/150 mg) in HIV-1 infected subjects (Studies GS-US-216-0105 and GS-US-216-0114 population PK analysis) or in healthy subjects (Study GS-US-216-0110)."/>
                    <pic:cNvPicPr>
                      <a:picLocks noChangeAspect="1" noChangeArrowheads="1"/>
                    </pic:cNvPicPr>
                  </pic:nvPicPr>
                  <pic:blipFill>
                    <a:blip r:embed="rId23" cstate="print"/>
                    <a:srcRect/>
                    <a:stretch>
                      <a:fillRect/>
                    </a:stretch>
                  </pic:blipFill>
                  <pic:spPr bwMode="auto">
                    <a:xfrm>
                      <a:off x="0" y="0"/>
                      <a:ext cx="5441315" cy="1122045"/>
                    </a:xfrm>
                    <a:prstGeom prst="rect">
                      <a:avLst/>
                    </a:prstGeom>
                    <a:noFill/>
                    <a:ln w="9525">
                      <a:noFill/>
                      <a:miter lim="800000"/>
                      <a:headEnd/>
                      <a:tailEnd/>
                    </a:ln>
                  </pic:spPr>
                </pic:pic>
              </a:graphicData>
            </a:graphic>
          </wp:inline>
        </w:drawing>
      </w:r>
    </w:p>
    <w:p w:rsidR="00B219AE" w:rsidRPr="00267887" w:rsidRDefault="00B219AE" w:rsidP="00296B92">
      <w:pPr>
        <w:pStyle w:val="TableDescription"/>
      </w:pPr>
      <w:r w:rsidRPr="00267887">
        <w:t>Data are mean (%CV) and are shown to 3 significant digits.</w:t>
      </w:r>
    </w:p>
    <w:p w:rsidR="00B219AE" w:rsidRPr="00267887" w:rsidRDefault="00B219AE" w:rsidP="00296B92">
      <w:pPr>
        <w:pStyle w:val="TableDescription"/>
      </w:pPr>
      <w:proofErr w:type="spellStart"/>
      <w:r w:rsidRPr="00267887">
        <w:t>a</w:t>
      </w:r>
      <w:proofErr w:type="spellEnd"/>
      <w:r w:rsidRPr="00267887">
        <w:t xml:space="preserve"> The model-based </w:t>
      </w:r>
      <w:proofErr w:type="spellStart"/>
      <w:r>
        <w:t>cobicistat</w:t>
      </w:r>
      <w:proofErr w:type="spellEnd"/>
      <w:r w:rsidRPr="00267887">
        <w:t xml:space="preserve"> PK parameters were available for 68 subjects in the ATV/</w:t>
      </w:r>
      <w:proofErr w:type="spellStart"/>
      <w:r w:rsidRPr="00267887">
        <w:t>co+TVD</w:t>
      </w:r>
      <w:proofErr w:type="spellEnd"/>
      <w:r w:rsidRPr="00267887">
        <w:t xml:space="preserve"> treatment group (n = 46 in</w:t>
      </w:r>
      <w:r>
        <w:t xml:space="preserve"> </w:t>
      </w:r>
      <w:r w:rsidRPr="00267887">
        <w:t>Study GS-US-216-0105 and n = 22 in Study GS-US-216-0114).</w:t>
      </w:r>
    </w:p>
    <w:p w:rsidR="00B219AE" w:rsidRDefault="00B219AE" w:rsidP="00296B92">
      <w:pPr>
        <w:pStyle w:val="TableDescription"/>
      </w:pPr>
      <w:r w:rsidRPr="00267887">
        <w:t xml:space="preserve">b </w:t>
      </w:r>
      <w:r>
        <w:t xml:space="preserve">3 </w:t>
      </w:r>
      <w:r w:rsidRPr="00267887">
        <w:t xml:space="preserve">Subjects did not have evaluable </w:t>
      </w:r>
      <w:proofErr w:type="spellStart"/>
      <w:r>
        <w:t>cobicistat</w:t>
      </w:r>
      <w:proofErr w:type="spellEnd"/>
      <w:r w:rsidRPr="00267887">
        <w:t xml:space="preserve"> PK profiles and were excluded from the</w:t>
      </w:r>
      <w:r>
        <w:t xml:space="preserve"> </w:t>
      </w:r>
      <w:proofErr w:type="spellStart"/>
      <w:r>
        <w:t>cobicistat</w:t>
      </w:r>
      <w:proofErr w:type="spellEnd"/>
      <w:r w:rsidRPr="00267887">
        <w:t xml:space="preserve"> PK analysis set.</w:t>
      </w:r>
    </w:p>
    <w:p w:rsidR="00E77942" w:rsidRPr="00296B92" w:rsidRDefault="00E77942" w:rsidP="00296B92">
      <w:pPr>
        <w:pStyle w:val="Heading6"/>
      </w:pPr>
      <w:r w:rsidRPr="00795A82">
        <w:t>DRV/COBI PKs</w:t>
      </w:r>
    </w:p>
    <w:p w:rsidR="00E77942" w:rsidRPr="00BC64C1" w:rsidRDefault="00E77942" w:rsidP="00296B92">
      <w:r w:rsidRPr="00BC64C1">
        <w:t>Steady state DRV exposures (</w:t>
      </w:r>
      <w:proofErr w:type="spellStart"/>
      <w:r w:rsidRPr="00BC64C1">
        <w:t>AUC</w:t>
      </w:r>
      <w:r w:rsidRPr="00BC64C1">
        <w:rPr>
          <w:vertAlign w:val="subscript"/>
        </w:rPr>
        <w:t>tau</w:t>
      </w:r>
      <w:proofErr w:type="spellEnd"/>
      <w:r w:rsidRPr="00BC64C1">
        <w:t xml:space="preserve"> and </w:t>
      </w:r>
      <w:proofErr w:type="spellStart"/>
      <w:r w:rsidRPr="00BC64C1">
        <w:t>C</w:t>
      </w:r>
      <w:r w:rsidRPr="00BC64C1">
        <w:rPr>
          <w:vertAlign w:val="subscript"/>
        </w:rPr>
        <w:t>max</w:t>
      </w:r>
      <w:proofErr w:type="spellEnd"/>
      <w:r w:rsidRPr="00BC64C1">
        <w:t>) following multiple</w:t>
      </w:r>
      <w:r w:rsidR="00AB114A">
        <w:t xml:space="preserve"> </w:t>
      </w:r>
      <w:r w:rsidRPr="00BC64C1">
        <w:t>dose administration of DRV 800</w:t>
      </w:r>
      <w:r w:rsidR="00231E09">
        <w:t xml:space="preserve"> </w:t>
      </w:r>
      <w:r w:rsidRPr="00BC64C1">
        <w:t>mg/COBI 150</w:t>
      </w:r>
      <w:r w:rsidR="00231E09">
        <w:t xml:space="preserve"> </w:t>
      </w:r>
      <w:r w:rsidRPr="00BC64C1">
        <w:t>mg or DRV 800</w:t>
      </w:r>
      <w:r w:rsidR="00231E09">
        <w:t xml:space="preserve"> </w:t>
      </w:r>
      <w:r w:rsidRPr="00BC64C1">
        <w:t xml:space="preserve">mg/RTV 100 mg were bioequivalent in 31 healthy subjects completing </w:t>
      </w:r>
      <w:r w:rsidR="00AB114A">
        <w:t>Study GS-US-216-0115</w:t>
      </w:r>
      <w:r w:rsidRPr="00BC64C1">
        <w:t>.</w:t>
      </w:r>
      <w:r w:rsidR="007F3098">
        <w:t xml:space="preserve"> </w:t>
      </w:r>
      <w:r w:rsidRPr="00BC64C1">
        <w:t xml:space="preserve">The geometric least squares mean ratio for </w:t>
      </w:r>
      <w:proofErr w:type="spellStart"/>
      <w:r w:rsidRPr="00BC64C1">
        <w:t>C</w:t>
      </w:r>
      <w:r w:rsidRPr="00BC64C1">
        <w:rPr>
          <w:vertAlign w:val="subscript"/>
        </w:rPr>
        <w:t>tau</w:t>
      </w:r>
      <w:proofErr w:type="spellEnd"/>
      <w:r w:rsidR="00622CF0">
        <w:t xml:space="preserve"> was low (69.4%; 90% CI 59.0-</w:t>
      </w:r>
      <w:r w:rsidRPr="00BC64C1">
        <w:t xml:space="preserve">81.7%) because of an unexpected and unexplained increase in DRV concentrations at the 24 </w:t>
      </w:r>
      <w:r w:rsidR="00791C0D">
        <w:t>h</w:t>
      </w:r>
      <w:r w:rsidRPr="00BC64C1">
        <w:t xml:space="preserve"> time point in the DRV</w:t>
      </w:r>
      <w:r w:rsidR="00AC4621">
        <w:t xml:space="preserve"> </w:t>
      </w:r>
      <w:r w:rsidRPr="00BC64C1">
        <w:t>+</w:t>
      </w:r>
      <w:r w:rsidR="00AC4621">
        <w:t xml:space="preserve"> </w:t>
      </w:r>
      <w:r w:rsidRPr="00BC64C1">
        <w:t>RTV treatment arm.</w:t>
      </w:r>
      <w:r w:rsidR="007F3098">
        <w:t xml:space="preserve"> </w:t>
      </w:r>
      <w:r w:rsidRPr="00BC64C1">
        <w:lastRenderedPageBreak/>
        <w:t>However, when pre</w:t>
      </w:r>
      <w:r w:rsidR="00622CF0">
        <w:t xml:space="preserve"> </w:t>
      </w:r>
      <w:r w:rsidRPr="00BC64C1">
        <w:t>dose DRV concentrations (C</w:t>
      </w:r>
      <w:r w:rsidRPr="00622CF0">
        <w:rPr>
          <w:vertAlign w:val="subscript"/>
        </w:rPr>
        <w:t>0h</w:t>
      </w:r>
      <w:r w:rsidRPr="00BC64C1">
        <w:t>) were analysed, the levels were comparable, as indicated by a geometric least squares mean ratio of 89.4% (90%</w:t>
      </w:r>
      <w:r w:rsidR="00622CF0">
        <w:t xml:space="preserve"> CI: 80.4-</w:t>
      </w:r>
      <w:r w:rsidRPr="00BC64C1">
        <w:t>99.4%).</w:t>
      </w:r>
      <w:r w:rsidR="007F3098">
        <w:t xml:space="preserve"> </w:t>
      </w:r>
      <w:r w:rsidRPr="00BC64C1">
        <w:t>The pre</w:t>
      </w:r>
      <w:r w:rsidR="00622CF0">
        <w:t xml:space="preserve"> </w:t>
      </w:r>
      <w:r w:rsidRPr="00BC64C1">
        <w:t>dose concentrations were &gt;37 fold above the protein</w:t>
      </w:r>
      <w:r w:rsidR="00231E09">
        <w:t xml:space="preserve"> </w:t>
      </w:r>
      <w:r w:rsidRPr="00BC64C1">
        <w:t>adjusted EC</w:t>
      </w:r>
      <w:r w:rsidRPr="00BC64C1">
        <w:rPr>
          <w:vertAlign w:val="subscript"/>
        </w:rPr>
        <w:t>50</w:t>
      </w:r>
      <w:r w:rsidRPr="00BC64C1">
        <w:t xml:space="preserve"> for wild type virus (55</w:t>
      </w:r>
      <w:r w:rsidR="00622CF0">
        <w:t xml:space="preserve"> </w:t>
      </w:r>
      <w:proofErr w:type="spellStart"/>
      <w:r w:rsidRPr="00BC64C1">
        <w:t>ng</w:t>
      </w:r>
      <w:proofErr w:type="spellEnd"/>
      <w:r w:rsidRPr="00BC64C1">
        <w:t>/</w:t>
      </w:r>
      <w:proofErr w:type="spellStart"/>
      <w:r w:rsidRPr="00BC64C1">
        <w:t>mL</w:t>
      </w:r>
      <w:proofErr w:type="spellEnd"/>
      <w:r w:rsidRPr="00BC64C1">
        <w:t>).</w:t>
      </w:r>
    </w:p>
    <w:p w:rsidR="00E77942" w:rsidRPr="00296B92" w:rsidRDefault="00E77942" w:rsidP="00296B92">
      <w:pPr>
        <w:pStyle w:val="Heading4"/>
      </w:pPr>
      <w:r w:rsidRPr="003F08CF">
        <w:t>Efficacy</w:t>
      </w:r>
    </w:p>
    <w:p w:rsidR="00E77942" w:rsidRPr="008822C4" w:rsidRDefault="00E77942" w:rsidP="00296B92">
      <w:pPr>
        <w:pStyle w:val="Heading5"/>
      </w:pPr>
      <w:r w:rsidRPr="008822C4">
        <w:t>COBI boosted ATV</w:t>
      </w:r>
    </w:p>
    <w:p w:rsidR="00E77942" w:rsidRPr="00BC64C1" w:rsidRDefault="00E77942" w:rsidP="00296B92">
      <w:r w:rsidRPr="00BC64C1">
        <w:t>The clinical efficacy of ATV/COBI was examined in two non</w:t>
      </w:r>
      <w:r w:rsidR="00231E09">
        <w:t xml:space="preserve"> </w:t>
      </w:r>
      <w:r w:rsidRPr="00BC64C1">
        <w:t>inferiority studies in which HIV-1 infected, antiretroviral treatment naive adults</w:t>
      </w:r>
      <w:r w:rsidR="00833D2C">
        <w:t xml:space="preserve"> with plasma HIV-1 RNA levels ≥</w:t>
      </w:r>
      <w:r w:rsidRPr="00BC64C1">
        <w:t>5,000 copies/</w:t>
      </w:r>
      <w:proofErr w:type="spellStart"/>
      <w:r w:rsidRPr="00BC64C1">
        <w:t>mL</w:t>
      </w:r>
      <w:proofErr w:type="spellEnd"/>
      <w:r w:rsidRPr="00BC64C1">
        <w:t xml:space="preserve"> at screening received a regimen containing either COBI boosted ATV (ATV 300</w:t>
      </w:r>
      <w:r w:rsidR="00833D2C">
        <w:t xml:space="preserve"> </w:t>
      </w:r>
      <w:r w:rsidRPr="00BC64C1">
        <w:t>mg/COBI 150</w:t>
      </w:r>
      <w:r w:rsidR="00833D2C">
        <w:t xml:space="preserve"> </w:t>
      </w:r>
      <w:r w:rsidRPr="00BC64C1">
        <w:t>mg) or RTV boosted ATV (ATV 300</w:t>
      </w:r>
      <w:r w:rsidR="00833D2C">
        <w:t xml:space="preserve"> </w:t>
      </w:r>
      <w:r w:rsidRPr="00BC64C1">
        <w:t>mg/RTV 100</w:t>
      </w:r>
      <w:r w:rsidR="00833D2C">
        <w:t xml:space="preserve"> </w:t>
      </w:r>
      <w:r w:rsidRPr="00BC64C1">
        <w:t>mg), each administe</w:t>
      </w:r>
      <w:r w:rsidR="00170A10">
        <w:t xml:space="preserve">red with </w:t>
      </w:r>
      <w:r w:rsidRPr="00BC64C1">
        <w:t xml:space="preserve">FTC </w:t>
      </w:r>
      <w:r w:rsidR="00170A10">
        <w:t>(</w:t>
      </w:r>
      <w:r w:rsidRPr="00BC64C1">
        <w:t>200</w:t>
      </w:r>
      <w:r w:rsidR="00833D2C">
        <w:t xml:space="preserve"> </w:t>
      </w:r>
      <w:r w:rsidRPr="00BC64C1">
        <w:t>mg) and</w:t>
      </w:r>
      <w:r w:rsidR="00170A10">
        <w:t xml:space="preserve"> </w:t>
      </w:r>
      <w:r w:rsidRPr="00BC64C1">
        <w:t xml:space="preserve">TDF </w:t>
      </w:r>
      <w:r w:rsidR="00170A10">
        <w:t>(</w:t>
      </w:r>
      <w:r w:rsidRPr="00BC64C1">
        <w:t>300</w:t>
      </w:r>
      <w:r w:rsidR="00170A10">
        <w:t xml:space="preserve"> </w:t>
      </w:r>
      <w:r w:rsidRPr="00BC64C1">
        <w:t xml:space="preserve">mg) (combination product </w:t>
      </w:r>
      <w:proofErr w:type="spellStart"/>
      <w:r w:rsidRPr="00BC64C1">
        <w:t>Truvada</w:t>
      </w:r>
      <w:proofErr w:type="spellEnd"/>
      <w:r w:rsidRPr="00BC64C1">
        <w:t xml:space="preserve"> (TVD)).</w:t>
      </w:r>
      <w:r w:rsidR="007F3098">
        <w:t xml:space="preserve"> </w:t>
      </w:r>
      <w:r w:rsidRPr="00BC64C1">
        <w:t>Non</w:t>
      </w:r>
      <w:r w:rsidR="00170A10">
        <w:t xml:space="preserve"> </w:t>
      </w:r>
      <w:r w:rsidRPr="00BC64C1">
        <w:t>inferiority of the treatment regimens was assessed using the proportion of subjects achieving and maintaining confirmed HIV-1 RNA &lt; 50 copies/</w:t>
      </w:r>
      <w:proofErr w:type="spellStart"/>
      <w:r w:rsidRPr="00BC64C1">
        <w:t>mL</w:t>
      </w:r>
      <w:proofErr w:type="spellEnd"/>
      <w:r w:rsidRPr="00BC64C1">
        <w:t>, with a non</w:t>
      </w:r>
      <w:r w:rsidR="00CF6BFA">
        <w:t xml:space="preserve"> </w:t>
      </w:r>
      <w:r w:rsidRPr="00BC64C1">
        <w:t>inferiority margin (delta) of -12%.</w:t>
      </w:r>
      <w:r w:rsidR="007F3098">
        <w:t xml:space="preserve"> </w:t>
      </w:r>
    </w:p>
    <w:p w:rsidR="00E77942" w:rsidRPr="00BC64C1" w:rsidRDefault="00CF6BFA" w:rsidP="00296B92">
      <w:r>
        <w:t xml:space="preserve">The pivotal study – </w:t>
      </w:r>
      <w:r w:rsidR="00E77942" w:rsidRPr="00BC64C1">
        <w:t>S</w:t>
      </w:r>
      <w:r>
        <w:t xml:space="preserve">tudy GS-US-216-0114 – </w:t>
      </w:r>
      <w:r w:rsidR="00E77942" w:rsidRPr="00BC64C1">
        <w:t>was a large, well designed and conducted randomised, double</w:t>
      </w:r>
      <w:r w:rsidR="00CF6FE8">
        <w:t xml:space="preserve"> </w:t>
      </w:r>
      <w:r w:rsidR="00E77942" w:rsidRPr="00BC64C1">
        <w:t xml:space="preserve">blind, international multicentre </w:t>
      </w:r>
      <w:r w:rsidR="00CF6FE8">
        <w:t>P</w:t>
      </w:r>
      <w:r w:rsidR="00E77942" w:rsidRPr="00BC64C1">
        <w:t>hase III study in which the primary efficacy outcome parameter was derived at Week 48 using the US FDA defined snapsho</w:t>
      </w:r>
      <w:r w:rsidR="009B01D4">
        <w:t>t analysis</w:t>
      </w:r>
      <w:r w:rsidR="00E77942" w:rsidRPr="00BC64C1">
        <w:t>.</w:t>
      </w:r>
      <w:r w:rsidR="007F3098">
        <w:t xml:space="preserve"> </w:t>
      </w:r>
      <w:r w:rsidR="00E77942" w:rsidRPr="00BC64C1">
        <w:t>Randomisation was s</w:t>
      </w:r>
      <w:r w:rsidR="009B01D4">
        <w:t>tratified by HIV-1 RNA level (≤100,000 copies/</w:t>
      </w:r>
      <w:proofErr w:type="spellStart"/>
      <w:r w:rsidR="009B01D4">
        <w:t>mL</w:t>
      </w:r>
      <w:proofErr w:type="spellEnd"/>
      <w:r w:rsidR="009B01D4">
        <w:t xml:space="preserve"> or &gt;</w:t>
      </w:r>
      <w:r w:rsidR="00E77942" w:rsidRPr="00BC64C1">
        <w:t>100,000 copies/</w:t>
      </w:r>
      <w:proofErr w:type="spellStart"/>
      <w:r w:rsidR="00E77942" w:rsidRPr="00BC64C1">
        <w:t>mL</w:t>
      </w:r>
      <w:proofErr w:type="spellEnd"/>
      <w:r w:rsidR="00E77942" w:rsidRPr="00BC64C1">
        <w:t>) at screening.</w:t>
      </w:r>
      <w:r w:rsidR="007F3098">
        <w:t xml:space="preserve"> </w:t>
      </w:r>
      <w:r w:rsidR="00E77942" w:rsidRPr="00BC64C1">
        <w:t>In this study</w:t>
      </w:r>
      <w:r w:rsidR="00937AB2">
        <w:t>,</w:t>
      </w:r>
      <w:r w:rsidR="00E77942" w:rsidRPr="00BC64C1">
        <w:t xml:space="preserve"> 698 patients (median age 36 years; 83% male; 60% Caucasian; mean HIV-1 RNA 4.83 log</w:t>
      </w:r>
      <w:r w:rsidR="00E77942" w:rsidRPr="00937AB2">
        <w:rPr>
          <w:vertAlign w:val="subscript"/>
        </w:rPr>
        <w:t>10</w:t>
      </w:r>
      <w:r w:rsidR="00937AB2">
        <w:t xml:space="preserve"> copies/</w:t>
      </w:r>
      <w:proofErr w:type="spellStart"/>
      <w:r w:rsidR="00937AB2">
        <w:t>mL</w:t>
      </w:r>
      <w:proofErr w:type="spellEnd"/>
      <w:r w:rsidR="00937AB2">
        <w:t>; 60% with HIV-1RNA ≤</w:t>
      </w:r>
      <w:r w:rsidR="00E77942" w:rsidRPr="00BC64C1">
        <w:t>100,000 copies/</w:t>
      </w:r>
      <w:proofErr w:type="spellStart"/>
      <w:r w:rsidR="00E77942" w:rsidRPr="00BC64C1">
        <w:t>mL</w:t>
      </w:r>
      <w:proofErr w:type="spellEnd"/>
      <w:r w:rsidR="00E77942" w:rsidRPr="00BC64C1">
        <w:t>; and mean CD4 count 352 cells/mm</w:t>
      </w:r>
      <w:r w:rsidR="00E77942" w:rsidRPr="00937AB2">
        <w:rPr>
          <w:vertAlign w:val="superscript"/>
        </w:rPr>
        <w:t>3</w:t>
      </w:r>
      <w:r w:rsidR="00E77942" w:rsidRPr="00BC64C1">
        <w:t>) were randomised 1:1 to treatment (n=349 in each group).</w:t>
      </w:r>
      <w:r w:rsidR="007F3098">
        <w:t xml:space="preserve"> </w:t>
      </w:r>
      <w:r w:rsidR="00E77942" w:rsidRPr="00BC64C1">
        <w:t>Hepatitis B co-infection was reported in 3.6% subjects and hepatitis C co-infection was reported for 5.3% subjects.</w:t>
      </w:r>
      <w:r w:rsidR="007F3098">
        <w:t xml:space="preserve"> </w:t>
      </w:r>
      <w:r w:rsidR="00E77942" w:rsidRPr="00BC64C1">
        <w:t>A total of 344 patients in the ATV/COBI +</w:t>
      </w:r>
      <w:r w:rsidR="00937AB2">
        <w:t xml:space="preserve"> </w:t>
      </w:r>
      <w:r w:rsidR="00E77942" w:rsidRPr="00BC64C1">
        <w:t>TVD group and 349 in the ATV/RTV +</w:t>
      </w:r>
      <w:r w:rsidR="00937AB2">
        <w:t xml:space="preserve"> </w:t>
      </w:r>
      <w:r w:rsidR="00E77942" w:rsidRPr="00BC64C1">
        <w:t>TVD group comprised the ITT analysis sets, which were well matched with respect to age, gender, race and baseline characteristi</w:t>
      </w:r>
      <w:r w:rsidR="00937AB2">
        <w:t xml:space="preserve">cs </w:t>
      </w:r>
      <w:r w:rsidR="00E77942" w:rsidRPr="00BC64C1">
        <w:t>and disease characteristics.</w:t>
      </w:r>
      <w:r w:rsidR="007F3098">
        <w:t xml:space="preserve"> </w:t>
      </w:r>
    </w:p>
    <w:p w:rsidR="00E77942" w:rsidRPr="00BC64C1" w:rsidRDefault="00E77942" w:rsidP="00296B92">
      <w:r w:rsidRPr="00BC64C1">
        <w:t>At 48 weeks</w:t>
      </w:r>
      <w:r w:rsidR="00937AB2">
        <w:t>,</w:t>
      </w:r>
      <w:r w:rsidRPr="00BC64C1">
        <w:t xml:space="preserve"> the proportion of subjects achieving and mai</w:t>
      </w:r>
      <w:r w:rsidR="00937AB2">
        <w:t>ntaining HIV-1 RNA &lt; 50 copies/</w:t>
      </w:r>
      <w:proofErr w:type="spellStart"/>
      <w:r w:rsidR="00937AB2">
        <w:t>mL</w:t>
      </w:r>
      <w:proofErr w:type="spellEnd"/>
      <w:r w:rsidR="00937AB2">
        <w:t xml:space="preserve"> were similar for the two groups (85.2% ATV/COBI/TVD versus</w:t>
      </w:r>
      <w:r w:rsidRPr="00BC64C1">
        <w:t xml:space="preserve"> 87.4% ATV/RTV/TVD).</w:t>
      </w:r>
      <w:r w:rsidR="007F3098">
        <w:t xml:space="preserve"> </w:t>
      </w:r>
      <w:r w:rsidRPr="00BC64C1">
        <w:t>The stratum</w:t>
      </w:r>
      <w:r w:rsidR="00937AB2">
        <w:t xml:space="preserve"> </w:t>
      </w:r>
      <w:r w:rsidRPr="00BC64C1">
        <w:t>adjusted between</w:t>
      </w:r>
      <w:r w:rsidR="00937AB2">
        <w:t xml:space="preserve"> </w:t>
      </w:r>
      <w:r w:rsidRPr="00BC64C1">
        <w:t xml:space="preserve">group difference was </w:t>
      </w:r>
      <w:r w:rsidR="00937AB2">
        <w:t xml:space="preserve">found to be </w:t>
      </w:r>
      <w:r w:rsidRPr="00BC64C1">
        <w:t>-2.2% (95% CI: -7.4% to 3.0%).</w:t>
      </w:r>
      <w:r w:rsidR="007F3098">
        <w:t xml:space="preserve"> </w:t>
      </w:r>
      <w:r w:rsidRPr="00BC64C1">
        <w:t>The 95%</w:t>
      </w:r>
      <w:r w:rsidR="00937AB2">
        <w:t xml:space="preserve"> </w:t>
      </w:r>
      <w:r w:rsidRPr="00BC64C1">
        <w:t>CI sat wholly to the right of -12%, indicating ATV/COBI/TVD was non inferior to ATV/RTV/TVD.</w:t>
      </w:r>
      <w:r w:rsidR="007F3098">
        <w:t xml:space="preserve"> </w:t>
      </w:r>
      <w:r w:rsidRPr="00BC64C1">
        <w:t xml:space="preserve">The results of numerous other secondary endpoints, including </w:t>
      </w:r>
      <w:proofErr w:type="spellStart"/>
      <w:r w:rsidRPr="00BC64C1">
        <w:t>virologic</w:t>
      </w:r>
      <w:proofErr w:type="spellEnd"/>
      <w:r w:rsidRPr="00BC64C1">
        <w:t xml:space="preserve"> response based on time to loss of </w:t>
      </w:r>
      <w:proofErr w:type="spellStart"/>
      <w:r w:rsidRPr="00BC64C1">
        <w:t>virologic</w:t>
      </w:r>
      <w:proofErr w:type="spellEnd"/>
      <w:r w:rsidR="00A81C09">
        <w:t xml:space="preserve"> response (cut off HIV-1 RNA &lt;</w:t>
      </w:r>
      <w:r w:rsidRPr="00BC64C1">
        <w:t xml:space="preserve">50 </w:t>
      </w:r>
      <w:r w:rsidR="00A81C09">
        <w:t>copies/</w:t>
      </w:r>
      <w:proofErr w:type="spellStart"/>
      <w:r w:rsidR="00A81C09">
        <w:t>mL</w:t>
      </w:r>
      <w:proofErr w:type="spellEnd"/>
      <w:r w:rsidR="00A81C09">
        <w:t>) at 48 weeks</w:t>
      </w:r>
      <w:r w:rsidRPr="00BC64C1">
        <w:t xml:space="preserve">, time to loss of </w:t>
      </w:r>
      <w:proofErr w:type="spellStart"/>
      <w:r w:rsidRPr="00BC64C1">
        <w:t>virologi</w:t>
      </w:r>
      <w:r w:rsidR="00A81C09">
        <w:t>c</w:t>
      </w:r>
      <w:proofErr w:type="spellEnd"/>
      <w:r w:rsidR="00A81C09">
        <w:t xml:space="preserve"> response (cut off HIV-1 RNA &lt;</w:t>
      </w:r>
      <w:r w:rsidRPr="00BC64C1">
        <w:t xml:space="preserve">50 </w:t>
      </w:r>
      <w:r w:rsidR="00A81C09">
        <w:t>copies/</w:t>
      </w:r>
      <w:proofErr w:type="spellStart"/>
      <w:r w:rsidR="00A81C09">
        <w:t>mL</w:t>
      </w:r>
      <w:proofErr w:type="spellEnd"/>
      <w:r w:rsidR="00A81C09">
        <w:t>) at 48 weeks</w:t>
      </w:r>
      <w:r w:rsidRPr="00BC64C1">
        <w:t xml:space="preserve">, change from baseline </w:t>
      </w:r>
      <w:r w:rsidR="00A81C09">
        <w:t>in HIV-1 RNA</w:t>
      </w:r>
      <w:r w:rsidRPr="00BC64C1">
        <w:t>, and chan</w:t>
      </w:r>
      <w:r w:rsidR="00A81C09">
        <w:t xml:space="preserve">ge from baseline in CD4 count </w:t>
      </w:r>
      <w:r w:rsidRPr="00BC64C1">
        <w:t>were all consistent with the findings for the primary endpoint.</w:t>
      </w:r>
      <w:r w:rsidR="007F3098">
        <w:t xml:space="preserve"> </w:t>
      </w:r>
      <w:r w:rsidRPr="00BC64C1">
        <w:t>Resistance data were available for a very small subset of patients (ap</w:t>
      </w:r>
      <w:r w:rsidR="000916EC">
        <w:t>proximately 3% in each group)</w:t>
      </w:r>
      <w:r w:rsidR="00E22D84">
        <w:t xml:space="preserve">; </w:t>
      </w:r>
      <w:r w:rsidRPr="00BC64C1">
        <w:t>no subject developed resista</w:t>
      </w:r>
      <w:r w:rsidR="00E22D84">
        <w:t>nce to protease inhibitors and two</w:t>
      </w:r>
      <w:r w:rsidRPr="00BC64C1">
        <w:t xml:space="preserve"> subjects in the ATV/COBI + TVD group developed resistance to NRTIs.</w:t>
      </w:r>
    </w:p>
    <w:p w:rsidR="00BC64C1" w:rsidRDefault="009C1F5D" w:rsidP="00296B92">
      <w:r>
        <w:t xml:space="preserve">The second study – </w:t>
      </w:r>
      <w:r w:rsidR="00E77942" w:rsidRPr="00BC64C1">
        <w:t>S</w:t>
      </w:r>
      <w:r>
        <w:t xml:space="preserve">tudy GS-US-216-0105 – </w:t>
      </w:r>
      <w:r w:rsidR="00E77942" w:rsidRPr="00BC64C1">
        <w:t xml:space="preserve">was a </w:t>
      </w:r>
      <w:r w:rsidR="005C2C44">
        <w:t xml:space="preserve">much smaller randomised, double </w:t>
      </w:r>
      <w:r w:rsidR="00E77942" w:rsidRPr="00BC64C1">
        <w:t>blind, US</w:t>
      </w:r>
      <w:r w:rsidR="005C2C44">
        <w:t xml:space="preserve"> </w:t>
      </w:r>
      <w:r w:rsidR="00E77942" w:rsidRPr="00BC64C1">
        <w:t xml:space="preserve">based multicentre, </w:t>
      </w:r>
      <w:r w:rsidR="005C2C44">
        <w:t>P</w:t>
      </w:r>
      <w:r w:rsidR="00E77942" w:rsidRPr="00BC64C1">
        <w:t>hase II study in which the primary efficacy outcome parameter was derived at Week 24, and at 48 weeks as a secondary objective.</w:t>
      </w:r>
      <w:r w:rsidR="007F3098">
        <w:t xml:space="preserve"> </w:t>
      </w:r>
      <w:r w:rsidR="00E77942" w:rsidRPr="00BC64C1">
        <w:t>Once again, randomisation was s</w:t>
      </w:r>
      <w:r w:rsidR="005C2C44">
        <w:t>tratified by HIV-1 RNA level (≤100,000 copies/</w:t>
      </w:r>
      <w:proofErr w:type="spellStart"/>
      <w:r w:rsidR="005C2C44">
        <w:t>mL</w:t>
      </w:r>
      <w:proofErr w:type="spellEnd"/>
      <w:r w:rsidR="005C2C44">
        <w:t xml:space="preserve"> or &gt;</w:t>
      </w:r>
      <w:r w:rsidR="00E77942" w:rsidRPr="00BC64C1">
        <w:t>100,000 copies/</w:t>
      </w:r>
      <w:proofErr w:type="spellStart"/>
      <w:r w:rsidR="00E77942" w:rsidRPr="00BC64C1">
        <w:t>mL</w:t>
      </w:r>
      <w:proofErr w:type="spellEnd"/>
      <w:r w:rsidR="00E77942" w:rsidRPr="00BC64C1">
        <w:t>) at screening.</w:t>
      </w:r>
      <w:r w:rsidR="007F3098">
        <w:t xml:space="preserve"> </w:t>
      </w:r>
      <w:r w:rsidR="00E77942" w:rsidRPr="00BC64C1">
        <w:t>A total of 79 patients (median age 36 years; 91% male; 60% Caucasian; mean HIV-1 RNA 4.61 log</w:t>
      </w:r>
      <w:r w:rsidR="00E77942" w:rsidRPr="005C2C44">
        <w:rPr>
          <w:vertAlign w:val="subscript"/>
        </w:rPr>
        <w:t>10</w:t>
      </w:r>
      <w:r w:rsidR="005C2C44">
        <w:t xml:space="preserve"> copies/</w:t>
      </w:r>
      <w:proofErr w:type="spellStart"/>
      <w:r w:rsidR="005C2C44">
        <w:t>mL</w:t>
      </w:r>
      <w:proofErr w:type="spellEnd"/>
      <w:r w:rsidR="005C2C44">
        <w:t>; 71% with HIV-1RNA ≤</w:t>
      </w:r>
      <w:r w:rsidR="00E77942" w:rsidRPr="00BC64C1">
        <w:t>100,000 copies/</w:t>
      </w:r>
      <w:proofErr w:type="spellStart"/>
      <w:r w:rsidR="00E77942" w:rsidRPr="00BC64C1">
        <w:t>mL</w:t>
      </w:r>
      <w:proofErr w:type="spellEnd"/>
      <w:r w:rsidR="00E77942" w:rsidRPr="00BC64C1">
        <w:t>; and mean CD4 count 357 cells/mm</w:t>
      </w:r>
      <w:r w:rsidR="00E77942" w:rsidRPr="005C2C44">
        <w:rPr>
          <w:vertAlign w:val="superscript"/>
        </w:rPr>
        <w:t>3</w:t>
      </w:r>
      <w:r w:rsidR="00E77942" w:rsidRPr="00BC64C1">
        <w:t>) were randomised 2:1 to treatment and received at least one dose of study drug (n</w:t>
      </w:r>
      <w:r w:rsidR="005C2C44">
        <w:t xml:space="preserve"> </w:t>
      </w:r>
      <w:r w:rsidR="00E77942" w:rsidRPr="00BC64C1">
        <w:t>=</w:t>
      </w:r>
      <w:r w:rsidR="005C2C44">
        <w:t xml:space="preserve"> </w:t>
      </w:r>
      <w:r w:rsidR="00E77942" w:rsidRPr="00BC64C1">
        <w:t>50 in the ATV/COBI + TVD group; n</w:t>
      </w:r>
      <w:r w:rsidR="005C2C44">
        <w:t xml:space="preserve"> </w:t>
      </w:r>
      <w:r w:rsidR="00E77942" w:rsidRPr="00BC64C1">
        <w:t>=</w:t>
      </w:r>
      <w:r w:rsidR="005C2C44">
        <w:t xml:space="preserve"> </w:t>
      </w:r>
      <w:r w:rsidR="00E77942" w:rsidRPr="00BC64C1">
        <w:t>29 in the ATV/RTV + TVD group).</w:t>
      </w:r>
      <w:r w:rsidR="007F3098">
        <w:t xml:space="preserve"> </w:t>
      </w:r>
      <w:r w:rsidR="00E77942" w:rsidRPr="00BC64C1">
        <w:t>Patients with Hepatitis B and C co-infection were excluded from this study.</w:t>
      </w:r>
    </w:p>
    <w:p w:rsidR="00E77942" w:rsidRPr="00BC64C1" w:rsidRDefault="00E77942" w:rsidP="00296B92">
      <w:r w:rsidRPr="00BC64C1">
        <w:t xml:space="preserve">The results of the primary endpoint analysis at 24 weeks and secondary analysis at 48 weeks showed high </w:t>
      </w:r>
      <w:proofErr w:type="spellStart"/>
      <w:r w:rsidRPr="00BC64C1">
        <w:t>virologic</w:t>
      </w:r>
      <w:proofErr w:type="spellEnd"/>
      <w:r w:rsidRPr="00BC64C1">
        <w:t xml:space="preserve"> response rates in both treatment groups.</w:t>
      </w:r>
      <w:r w:rsidR="007F3098">
        <w:t xml:space="preserve"> </w:t>
      </w:r>
      <w:r w:rsidRPr="00BC64C1">
        <w:t xml:space="preserve">At 24 weeks the </w:t>
      </w:r>
      <w:r w:rsidRPr="00BC64C1">
        <w:lastRenderedPageBreak/>
        <w:t>proportion of subjects achiev</w:t>
      </w:r>
      <w:r w:rsidR="003E4DEC">
        <w:t>ing and maintaining HIV-1 RNA &lt;</w:t>
      </w:r>
      <w:r w:rsidRPr="00BC64C1">
        <w:t>50 copies/</w:t>
      </w:r>
      <w:proofErr w:type="spellStart"/>
      <w:r w:rsidRPr="00BC64C1">
        <w:t>mL</w:t>
      </w:r>
      <w:proofErr w:type="spellEnd"/>
      <w:r w:rsidRPr="00BC64C1">
        <w:t xml:space="preserve"> were 84.0% </w:t>
      </w:r>
      <w:r w:rsidR="003E4DEC">
        <w:t>ATV/COBI/TVD versus</w:t>
      </w:r>
      <w:r w:rsidRPr="00BC64C1">
        <w:t xml:space="preserve"> 89.7% ATV/RTV/TVD).</w:t>
      </w:r>
      <w:r w:rsidR="007F3098">
        <w:t xml:space="preserve"> </w:t>
      </w:r>
      <w:r w:rsidRPr="00BC64C1">
        <w:t>The stratum</w:t>
      </w:r>
      <w:r w:rsidR="003E4DEC">
        <w:t xml:space="preserve"> </w:t>
      </w:r>
      <w:r w:rsidRPr="00BC64C1">
        <w:t>adjusted between</w:t>
      </w:r>
      <w:r w:rsidR="003E4DEC">
        <w:t xml:space="preserve"> </w:t>
      </w:r>
      <w:r w:rsidRPr="00BC64C1">
        <w:t>group difference was -7.4% (95%</w:t>
      </w:r>
      <w:r w:rsidR="003E4DEC">
        <w:t xml:space="preserve"> </w:t>
      </w:r>
      <w:r w:rsidRPr="00BC64C1">
        <w:t>CI: -24.6% to 9.9%), which failed to meet the non</w:t>
      </w:r>
      <w:r w:rsidR="003E4DEC">
        <w:t xml:space="preserve"> </w:t>
      </w:r>
      <w:r w:rsidRPr="00BC64C1">
        <w:t>inferiority criterion.</w:t>
      </w:r>
      <w:r w:rsidR="007F3098">
        <w:t xml:space="preserve"> </w:t>
      </w:r>
      <w:r w:rsidRPr="00BC64C1">
        <w:t>Between</w:t>
      </w:r>
      <w:r w:rsidR="003E4DEC">
        <w:t xml:space="preserve"> </w:t>
      </w:r>
      <w:r w:rsidRPr="00BC64C1">
        <w:t>group differences for other secondary endpoints also failed to meet the non</w:t>
      </w:r>
      <w:r w:rsidR="003E4DEC">
        <w:t xml:space="preserve"> </w:t>
      </w:r>
      <w:r w:rsidRPr="00BC64C1">
        <w:t>inferiority criterion.</w:t>
      </w:r>
      <w:r w:rsidR="007F3098">
        <w:t xml:space="preserve"> </w:t>
      </w:r>
      <w:r w:rsidRPr="00BC64C1">
        <w:t>This study was grossly underpowered due t</w:t>
      </w:r>
      <w:r w:rsidR="003E4DEC">
        <w:t>o its small sample sizes</w:t>
      </w:r>
      <w:r w:rsidRPr="00BC64C1">
        <w:t>.</w:t>
      </w:r>
    </w:p>
    <w:p w:rsidR="00E77942" w:rsidRPr="00BC64C1" w:rsidRDefault="00E77942" w:rsidP="00296B92">
      <w:r w:rsidRPr="00BC64C1">
        <w:t xml:space="preserve">The sponsor pooled the results from </w:t>
      </w:r>
      <w:r w:rsidR="009403CE">
        <w:t>S</w:t>
      </w:r>
      <w:r w:rsidRPr="00BC64C1">
        <w:t>tudies GS-US-216-0114 and GS-US-216-0105.</w:t>
      </w:r>
      <w:r w:rsidR="007F3098">
        <w:t xml:space="preserve"> </w:t>
      </w:r>
      <w:r w:rsidRPr="00BC64C1">
        <w:t>The pooling of results appears reasonable based on the similarity of patient characteristics, the study design and the derivation of the 48 week efficacy endpoint</w:t>
      </w:r>
      <w:r w:rsidR="009403CE">
        <w:t xml:space="preserve"> (</w:t>
      </w:r>
      <w:proofErr w:type="spellStart"/>
      <w:r w:rsidR="009403CE">
        <w:t>virologic</w:t>
      </w:r>
      <w:proofErr w:type="spellEnd"/>
      <w:r w:rsidR="009403CE">
        <w:t xml:space="preserve"> success HIV-1 RNA &lt;</w:t>
      </w:r>
      <w:r w:rsidRPr="00BC64C1">
        <w:t>50 copies/</w:t>
      </w:r>
      <w:proofErr w:type="spellStart"/>
      <w:r w:rsidRPr="00BC64C1">
        <w:t>mL</w:t>
      </w:r>
      <w:proofErr w:type="spellEnd"/>
      <w:r w:rsidRPr="00BC64C1">
        <w:t>) using the FDA defined snapshot analysis.</w:t>
      </w:r>
      <w:r w:rsidR="007F3098">
        <w:t xml:space="preserve"> </w:t>
      </w:r>
      <w:r w:rsidRPr="00BC64C1">
        <w:t>In the pooled population</w:t>
      </w:r>
      <w:r w:rsidR="009403CE">
        <w:t>,</w:t>
      </w:r>
      <w:r w:rsidRPr="00BC64C1">
        <w:t xml:space="preserve"> 405 patients received ATV/COBI + TVD and 378 received ATV/RTV + TVD.</w:t>
      </w:r>
      <w:r w:rsidR="007F3098">
        <w:t xml:space="preserve"> </w:t>
      </w:r>
      <w:r w:rsidRPr="00BC64C1">
        <w:t>The ITT analysis set comprised 394 patients in the ATV/COBI + TVD group and 377 in the ATV/RTV + TVD group.</w:t>
      </w:r>
      <w:r w:rsidR="007F3098">
        <w:t xml:space="preserve"> </w:t>
      </w:r>
      <w:r w:rsidRPr="00BC64C1">
        <w:t xml:space="preserve">The proportion of patients with </w:t>
      </w:r>
      <w:proofErr w:type="spellStart"/>
      <w:r w:rsidRPr="00BC64C1">
        <w:t>virologic</w:t>
      </w:r>
      <w:proofErr w:type="spellEnd"/>
      <w:r w:rsidRPr="00BC64C1">
        <w:t xml:space="preserve"> success at Week 48 as defined by the FDA snapshot analysis algorithm was 84.8% in the ATV/COBI + TVD group and 87.3% in the ATV/RTV + TVD group.</w:t>
      </w:r>
      <w:r w:rsidR="007F3098">
        <w:t xml:space="preserve"> </w:t>
      </w:r>
      <w:r w:rsidRPr="00BC64C1">
        <w:t>The baseline HIV-1 RNA stratum</w:t>
      </w:r>
      <w:r w:rsidR="0039432E">
        <w:t xml:space="preserve"> </w:t>
      </w:r>
      <w:r w:rsidRPr="00BC64C1">
        <w:t xml:space="preserve">adjusted difference in the percentages of subjects with </w:t>
      </w:r>
      <w:proofErr w:type="spellStart"/>
      <w:r w:rsidRPr="00BC64C1">
        <w:t>virologic</w:t>
      </w:r>
      <w:proofErr w:type="spellEnd"/>
      <w:r w:rsidRPr="00BC64C1">
        <w:t xml:space="preserve"> success was -2.5% (95% CI: -7.5% to 2.5%). The 95%</w:t>
      </w:r>
      <w:r w:rsidR="0039432E">
        <w:t xml:space="preserve"> </w:t>
      </w:r>
      <w:r w:rsidRPr="00BC64C1">
        <w:t>CI sat wholly to the right of -12%, indicating ATV/COBI/TVD was non inferior to ATV/RTV/TVD.</w:t>
      </w:r>
    </w:p>
    <w:p w:rsidR="00E77942" w:rsidRPr="008822C4" w:rsidRDefault="00E77942" w:rsidP="00296B92">
      <w:pPr>
        <w:pStyle w:val="Heading5"/>
      </w:pPr>
      <w:r w:rsidRPr="008822C4">
        <w:t>COBI boosted DRV</w:t>
      </w:r>
    </w:p>
    <w:p w:rsidR="00E77942" w:rsidRPr="00BC64C1" w:rsidRDefault="00E77942" w:rsidP="00296B92">
      <w:r w:rsidRPr="00BC64C1">
        <w:t>There are no clinical efficacy/safety studies of COBI boosted DRV.</w:t>
      </w:r>
      <w:r w:rsidR="007F3098">
        <w:t xml:space="preserve"> </w:t>
      </w:r>
      <w:r w:rsidRPr="00BC64C1">
        <w:t>The available data relevant to the efficacy of COBI boosted DRV comprises:</w:t>
      </w:r>
    </w:p>
    <w:p w:rsidR="00E77942" w:rsidRPr="00BC64C1" w:rsidRDefault="00E92AEF" w:rsidP="00296B92">
      <w:pPr>
        <w:pStyle w:val="ListBullet"/>
      </w:pPr>
      <w:r>
        <w:t>T</w:t>
      </w:r>
      <w:r w:rsidR="00E77942" w:rsidRPr="00BC64C1">
        <w:t xml:space="preserve">he data from the PK </w:t>
      </w:r>
      <w:r w:rsidR="006271D3">
        <w:t>Study GS-US-216-0115, which</w:t>
      </w:r>
      <w:r w:rsidR="00E77942" w:rsidRPr="00BC64C1">
        <w:t xml:space="preserve"> shows the exposure to DRV is bioequivalent between DRV 800</w:t>
      </w:r>
      <w:r w:rsidR="006271D3">
        <w:t xml:space="preserve"> </w:t>
      </w:r>
      <w:r w:rsidR="00E77942" w:rsidRPr="00BC64C1">
        <w:t>mg/COBI 150</w:t>
      </w:r>
      <w:r w:rsidR="006271D3">
        <w:t xml:space="preserve"> </w:t>
      </w:r>
      <w:r w:rsidR="00E77942" w:rsidRPr="00BC64C1">
        <w:t>mg and DRV 800</w:t>
      </w:r>
      <w:r w:rsidR="006271D3">
        <w:t xml:space="preserve"> </w:t>
      </w:r>
      <w:r w:rsidR="00E77942" w:rsidRPr="00BC64C1">
        <w:t>mg/RTV 100</w:t>
      </w:r>
      <w:r w:rsidR="006271D3">
        <w:t xml:space="preserve"> </w:t>
      </w:r>
      <w:r w:rsidR="00E77942" w:rsidRPr="00BC64C1">
        <w:t>mg; and</w:t>
      </w:r>
    </w:p>
    <w:p w:rsidR="00E77942" w:rsidRPr="00BC64C1" w:rsidRDefault="00E92AEF" w:rsidP="00296B92">
      <w:pPr>
        <w:pStyle w:val="ListBullet"/>
      </w:pPr>
      <w:r>
        <w:t>A</w:t>
      </w:r>
      <w:r w:rsidR="004855A8">
        <w:t xml:space="preserve"> PK-PD analysis of data from two</w:t>
      </w:r>
      <w:r w:rsidR="00E77942" w:rsidRPr="00BC64C1">
        <w:t xml:space="preserve"> Phase III studies of DRV 800</w:t>
      </w:r>
      <w:r w:rsidR="006271D3">
        <w:t xml:space="preserve"> </w:t>
      </w:r>
      <w:r w:rsidR="00E77942" w:rsidRPr="00BC64C1">
        <w:t>mg/RTV 100 mg in HIV-1 infected subjects, conducted by the sponsor of DRV:</w:t>
      </w:r>
    </w:p>
    <w:p w:rsidR="00E77942" w:rsidRPr="00BC64C1" w:rsidRDefault="00BC792B" w:rsidP="00296B92">
      <w:pPr>
        <w:pStyle w:val="ListBullet2"/>
      </w:pPr>
      <w:r>
        <w:t xml:space="preserve">Study TMC114-C211 </w:t>
      </w:r>
      <w:r w:rsidR="00E77942" w:rsidRPr="00BC64C1">
        <w:t>was a randomised, open</w:t>
      </w:r>
      <w:r>
        <w:t xml:space="preserve"> </w:t>
      </w:r>
      <w:r w:rsidR="00E77942" w:rsidRPr="00BC64C1">
        <w:t xml:space="preserve">label, controlled study of DRV/RTV 800/100 once daily versus </w:t>
      </w:r>
      <w:proofErr w:type="spellStart"/>
      <w:r w:rsidR="00E77942" w:rsidRPr="00BC64C1">
        <w:t>lopinavir</w:t>
      </w:r>
      <w:proofErr w:type="spellEnd"/>
      <w:r w:rsidR="00E77942" w:rsidRPr="00BC64C1">
        <w:t xml:space="preserve"> (LPV/RTV) 800/200 mg (each administered with TVD) in HIV-1 infected ARV treatment</w:t>
      </w:r>
      <w:r w:rsidR="00AD3D69">
        <w:t xml:space="preserve"> </w:t>
      </w:r>
      <w:r w:rsidR="00E77942" w:rsidRPr="00BC64C1">
        <w:t>naive patients.</w:t>
      </w:r>
      <w:r w:rsidR="007F3098">
        <w:t xml:space="preserve"> </w:t>
      </w:r>
      <w:r w:rsidR="00E77942" w:rsidRPr="00BC64C1">
        <w:t xml:space="preserve">In a PK </w:t>
      </w:r>
      <w:proofErr w:type="spellStart"/>
      <w:r w:rsidR="00E77942" w:rsidRPr="00BC64C1">
        <w:t>su</w:t>
      </w:r>
      <w:r w:rsidR="00AD3D69">
        <w:t>bstudy</w:t>
      </w:r>
      <w:proofErr w:type="spellEnd"/>
      <w:r w:rsidR="00AD3D69">
        <w:t>, the mean DRV C</w:t>
      </w:r>
      <w:r w:rsidR="00AD3D69" w:rsidRPr="0025799E">
        <w:rPr>
          <w:vertAlign w:val="subscript"/>
        </w:rPr>
        <w:t>0h</w:t>
      </w:r>
      <w:r w:rsidR="00AD3D69">
        <w:t xml:space="preserve"> (that is, pre </w:t>
      </w:r>
      <w:r w:rsidR="00E77942" w:rsidRPr="00BC64C1">
        <w:t xml:space="preserve">dose levels) at assessments undertaken at </w:t>
      </w:r>
      <w:r w:rsidR="0025799E">
        <w:t>W</w:t>
      </w:r>
      <w:r w:rsidR="00E77942" w:rsidRPr="00BC64C1">
        <w:t>eeks 4, 24 and 48 (1786 to 2133</w:t>
      </w:r>
      <w:r w:rsidR="00F41EFD">
        <w:t xml:space="preserve"> </w:t>
      </w:r>
      <w:proofErr w:type="spellStart"/>
      <w:r w:rsidR="00E77942" w:rsidRPr="00BC64C1">
        <w:t>ng</w:t>
      </w:r>
      <w:proofErr w:type="spellEnd"/>
      <w:r w:rsidR="00E77942" w:rsidRPr="00BC64C1">
        <w:t>/</w:t>
      </w:r>
      <w:proofErr w:type="spellStart"/>
      <w:r w:rsidR="00E77942" w:rsidRPr="00BC64C1">
        <w:t>mL</w:t>
      </w:r>
      <w:proofErr w:type="spellEnd"/>
      <w:r w:rsidR="00E77942" w:rsidRPr="00BC64C1">
        <w:t>) was consistently above the protein bindin</w:t>
      </w:r>
      <w:r w:rsidR="00F41EFD">
        <w:t xml:space="preserve">g </w:t>
      </w:r>
      <w:r>
        <w:t>corrected EC</w:t>
      </w:r>
      <w:r w:rsidRPr="00F41EFD">
        <w:rPr>
          <w:vertAlign w:val="subscript"/>
        </w:rPr>
        <w:t>50</w:t>
      </w:r>
      <w:r>
        <w:t xml:space="preserve"> value for wild </w:t>
      </w:r>
      <w:r w:rsidR="00E77942" w:rsidRPr="00BC64C1">
        <w:t xml:space="preserve">type virus (55 </w:t>
      </w:r>
      <w:proofErr w:type="spellStart"/>
      <w:r w:rsidR="00E77942" w:rsidRPr="00BC64C1">
        <w:t>ng</w:t>
      </w:r>
      <w:proofErr w:type="spellEnd"/>
      <w:r w:rsidR="00E77942" w:rsidRPr="00BC64C1">
        <w:t>/</w:t>
      </w:r>
      <w:proofErr w:type="spellStart"/>
      <w:r w:rsidR="00E77942" w:rsidRPr="00BC64C1">
        <w:t>mL</w:t>
      </w:r>
      <w:proofErr w:type="spellEnd"/>
      <w:r w:rsidR="00E77942" w:rsidRPr="00BC64C1">
        <w:t>).</w:t>
      </w:r>
      <w:r w:rsidR="007F3098">
        <w:t xml:space="preserve"> </w:t>
      </w:r>
      <w:r w:rsidR="00E77942" w:rsidRPr="00BC64C1">
        <w:t>No relationship was identified between DRV AUC</w:t>
      </w:r>
      <w:r w:rsidR="00E77942" w:rsidRPr="00BC792B">
        <w:rPr>
          <w:vertAlign w:val="subscript"/>
        </w:rPr>
        <w:t>24h</w:t>
      </w:r>
      <w:r w:rsidR="00E77942" w:rsidRPr="00BC64C1">
        <w:t xml:space="preserve"> or C</w:t>
      </w:r>
      <w:r w:rsidR="00E77942" w:rsidRPr="00BC792B">
        <w:rPr>
          <w:vertAlign w:val="subscript"/>
        </w:rPr>
        <w:t>0h</w:t>
      </w:r>
      <w:r w:rsidR="00E77942" w:rsidRPr="00BC64C1">
        <w:t xml:space="preserve"> values and either change in log</w:t>
      </w:r>
      <w:r w:rsidR="00E77942" w:rsidRPr="00BC792B">
        <w:rPr>
          <w:vertAlign w:val="subscript"/>
        </w:rPr>
        <w:t>10</w:t>
      </w:r>
      <w:r w:rsidR="00E77942" w:rsidRPr="00BC64C1">
        <w:t xml:space="preserve"> viral load from baseline at Week 48 or the proportion of patients with </w:t>
      </w:r>
      <w:proofErr w:type="spellStart"/>
      <w:r w:rsidR="00E77942" w:rsidRPr="00BC64C1">
        <w:t>virologi</w:t>
      </w:r>
      <w:r>
        <w:t>c</w:t>
      </w:r>
      <w:proofErr w:type="spellEnd"/>
      <w:r>
        <w:t xml:space="preserve"> response (plasma viral load &lt;</w:t>
      </w:r>
      <w:r w:rsidR="00E77942" w:rsidRPr="00BC64C1">
        <w:t>50 copies/</w:t>
      </w:r>
      <w:proofErr w:type="spellStart"/>
      <w:r w:rsidR="00E77942" w:rsidRPr="00BC64C1">
        <w:t>mL</w:t>
      </w:r>
      <w:proofErr w:type="spellEnd"/>
      <w:r w:rsidR="00E77942" w:rsidRPr="00BC64C1">
        <w:t>) at Week 48;</w:t>
      </w:r>
    </w:p>
    <w:p w:rsidR="00E77942" w:rsidRPr="00BC64C1" w:rsidRDefault="00BC792B" w:rsidP="00296B92">
      <w:pPr>
        <w:pStyle w:val="ListBullet2"/>
      </w:pPr>
      <w:r>
        <w:t xml:space="preserve">Study TMC-114-C229 </w:t>
      </w:r>
      <w:r w:rsidR="00E77942" w:rsidRPr="00BC64C1">
        <w:t>was a randomised, open</w:t>
      </w:r>
      <w:r>
        <w:t xml:space="preserve"> </w:t>
      </w:r>
      <w:r w:rsidR="00E77942" w:rsidRPr="00BC64C1">
        <w:t xml:space="preserve">label study of DRV/RTV 800/100 mg once daily versus DRV/RTV 600/100 mg twice daily (each administered with an individually optimised background regimen) </w:t>
      </w:r>
      <w:r>
        <w:t xml:space="preserve">in HIV-1 infected ARV treatment </w:t>
      </w:r>
      <w:r w:rsidR="00E77942" w:rsidRPr="00BC64C1">
        <w:t>experienced patients with no DRV resistance</w:t>
      </w:r>
      <w:r w:rsidR="00AC4621">
        <w:t xml:space="preserve"> </w:t>
      </w:r>
      <w:r w:rsidR="00E77942" w:rsidRPr="00BC64C1">
        <w:t>associated mutations.</w:t>
      </w:r>
      <w:r w:rsidR="007F3098">
        <w:t xml:space="preserve"> </w:t>
      </w:r>
      <w:r w:rsidR="00E77942" w:rsidRPr="00BC64C1">
        <w:t>The decreases in log</w:t>
      </w:r>
      <w:r w:rsidR="00E77942" w:rsidRPr="00BC64C1">
        <w:rPr>
          <w:vertAlign w:val="subscript"/>
        </w:rPr>
        <w:t>10</w:t>
      </w:r>
      <w:r w:rsidR="00E77942" w:rsidRPr="00BC64C1">
        <w:t xml:space="preserve"> viral load from baseline at Week 48 following DRV/RTV 800/100 mg once daily were generally comparable over the DRV exposure range. No relevant relationship between DRV C</w:t>
      </w:r>
      <w:r w:rsidR="00E77942" w:rsidRPr="007E1A62">
        <w:rPr>
          <w:vertAlign w:val="subscript"/>
        </w:rPr>
        <w:t>0h</w:t>
      </w:r>
      <w:r w:rsidR="00E77942" w:rsidRPr="00BC64C1">
        <w:t xml:space="preserve"> and the change in log</w:t>
      </w:r>
      <w:r w:rsidR="00E77942" w:rsidRPr="00BC792B">
        <w:rPr>
          <w:vertAlign w:val="subscript"/>
        </w:rPr>
        <w:t>10</w:t>
      </w:r>
      <w:r w:rsidR="00E77942" w:rsidRPr="00BC64C1">
        <w:t xml:space="preserve"> viral load from baseline at Week 48 was observed.</w:t>
      </w:r>
      <w:r w:rsidR="007F3098">
        <w:t xml:space="preserve"> </w:t>
      </w:r>
    </w:p>
    <w:p w:rsidR="00E77942" w:rsidRPr="00BC64C1" w:rsidRDefault="00E77942" w:rsidP="00296B92">
      <w:r w:rsidRPr="00BC64C1">
        <w:t>The initial (planned per protocol) PK and PK/PD analysis from these studies suggested no relevant relationship between RTV</w:t>
      </w:r>
      <w:r w:rsidR="00AC4621">
        <w:t xml:space="preserve"> </w:t>
      </w:r>
      <w:r w:rsidRPr="00BC64C1">
        <w:t>boosted DRV PK (AUC</w:t>
      </w:r>
      <w:r w:rsidRPr="00BC64C1">
        <w:rPr>
          <w:vertAlign w:val="subscript"/>
        </w:rPr>
        <w:t>24h</w:t>
      </w:r>
      <w:r w:rsidRPr="00BC64C1">
        <w:t xml:space="preserve"> or C</w:t>
      </w:r>
      <w:r w:rsidRPr="00BC64C1">
        <w:rPr>
          <w:vertAlign w:val="subscript"/>
        </w:rPr>
        <w:t>0h</w:t>
      </w:r>
      <w:r w:rsidRPr="00BC64C1">
        <w:t>) and efficacy (</w:t>
      </w:r>
      <w:proofErr w:type="spellStart"/>
      <w:r w:rsidRPr="00BC64C1">
        <w:t>virologic</w:t>
      </w:r>
      <w:proofErr w:type="spellEnd"/>
      <w:r w:rsidRPr="00BC64C1">
        <w:t xml:space="preserve"> response</w:t>
      </w:r>
      <w:r w:rsidR="00AC4621">
        <w:t xml:space="preserve"> defined as plasma viral load &lt;</w:t>
      </w:r>
      <w:r w:rsidRPr="00BC64C1">
        <w:t>50 copies/</w:t>
      </w:r>
      <w:proofErr w:type="spellStart"/>
      <w:r w:rsidRPr="00BC64C1">
        <w:t>mL</w:t>
      </w:r>
      <w:proofErr w:type="spellEnd"/>
      <w:r w:rsidRPr="00BC64C1">
        <w:t xml:space="preserve"> at Week 48).</w:t>
      </w:r>
      <w:r w:rsidR="007F3098">
        <w:t xml:space="preserve"> </w:t>
      </w:r>
      <w:r w:rsidRPr="00BC64C1">
        <w:t>Additional modelling did not demonstrate an association between reduction in DRV C</w:t>
      </w:r>
      <w:r w:rsidRPr="00BC64C1">
        <w:rPr>
          <w:vertAlign w:val="subscript"/>
        </w:rPr>
        <w:t>0h</w:t>
      </w:r>
      <w:r w:rsidRPr="00BC64C1">
        <w:t xml:space="preserve"> and </w:t>
      </w:r>
      <w:proofErr w:type="spellStart"/>
      <w:r w:rsidRPr="00BC64C1">
        <w:t>virologic</w:t>
      </w:r>
      <w:proofErr w:type="spellEnd"/>
      <w:r w:rsidRPr="00BC64C1">
        <w:t xml:space="preserve"> response up to a reduction of 50% in DRV C</w:t>
      </w:r>
      <w:r w:rsidRPr="00BC64C1">
        <w:rPr>
          <w:vertAlign w:val="subscript"/>
        </w:rPr>
        <w:t>0h</w:t>
      </w:r>
      <w:r w:rsidRPr="00BC64C1">
        <w:t xml:space="preserve">. </w:t>
      </w:r>
    </w:p>
    <w:p w:rsidR="00E77942" w:rsidRPr="00296B92" w:rsidRDefault="00E77942" w:rsidP="00296B92">
      <w:pPr>
        <w:pStyle w:val="Heading4"/>
      </w:pPr>
      <w:r w:rsidRPr="003F08CF">
        <w:lastRenderedPageBreak/>
        <w:t>Safety</w:t>
      </w:r>
    </w:p>
    <w:p w:rsidR="00E77942" w:rsidRPr="00BC64C1" w:rsidRDefault="00E77942" w:rsidP="00296B92">
      <w:r w:rsidRPr="00BC64C1">
        <w:t>COBI in combination with ATV and TVD was generally well tolerated, with approximately 7% patients discontinuing treatment because of adverse events (which is comparable to that occurring in patients receiving ATV/RTV + TVD).</w:t>
      </w:r>
      <w:r w:rsidR="007F3098">
        <w:t xml:space="preserve"> </w:t>
      </w:r>
      <w:r w:rsidRPr="00BC64C1">
        <w:t xml:space="preserve">AEs leading to withdrawal were mostly jaundice and ocular </w:t>
      </w:r>
      <w:proofErr w:type="spellStart"/>
      <w:r w:rsidRPr="00BC64C1">
        <w:t>icterus</w:t>
      </w:r>
      <w:proofErr w:type="spellEnd"/>
      <w:r w:rsidRPr="00BC64C1">
        <w:t>.</w:t>
      </w:r>
    </w:p>
    <w:p w:rsidR="00E77942" w:rsidRPr="00BC64C1" w:rsidRDefault="00E77942" w:rsidP="00296B92">
      <w:r w:rsidRPr="00BC64C1">
        <w:t xml:space="preserve">Healthy subjects in </w:t>
      </w:r>
      <w:r w:rsidR="00AF225F">
        <w:t>P</w:t>
      </w:r>
      <w:r w:rsidRPr="00BC64C1">
        <w:t xml:space="preserve">hase I studies who received either COBI or </w:t>
      </w:r>
      <w:proofErr w:type="spellStart"/>
      <w:r w:rsidR="007F3098">
        <w:t>Stribild</w:t>
      </w:r>
      <w:proofErr w:type="spellEnd"/>
      <w:r w:rsidRPr="00BC64C1">
        <w:t xml:space="preserve"> experienced rapid and approximately </w:t>
      </w:r>
      <w:r w:rsidR="006D3C8E">
        <w:t>0</w:t>
      </w:r>
      <w:r w:rsidRPr="00BC64C1">
        <w:t xml:space="preserve">.1 to </w:t>
      </w:r>
      <w:r w:rsidR="006D3C8E">
        <w:t>0</w:t>
      </w:r>
      <w:r w:rsidRPr="00BC64C1">
        <w:t>.2 milligram per decilitr</w:t>
      </w:r>
      <w:r w:rsidR="007E1A62">
        <w:t xml:space="preserve">e increases in serum </w:t>
      </w:r>
      <w:proofErr w:type="spellStart"/>
      <w:r w:rsidR="007E1A62">
        <w:t>creatinine</w:t>
      </w:r>
      <w:proofErr w:type="spellEnd"/>
      <w:r w:rsidR="007E1A62">
        <w:t xml:space="preserve">. This </w:t>
      </w:r>
      <w:r w:rsidRPr="00BC64C1">
        <w:t>translated into decreases in estimated</w:t>
      </w:r>
      <w:r w:rsidR="007E1A62">
        <w:t xml:space="preserve"> GFR based on serum </w:t>
      </w:r>
      <w:proofErr w:type="spellStart"/>
      <w:r w:rsidR="007E1A62">
        <w:t>creatinine</w:t>
      </w:r>
      <w:proofErr w:type="spellEnd"/>
      <w:r w:rsidR="0008034A">
        <w:t xml:space="preserve">, </w:t>
      </w:r>
      <w:r w:rsidRPr="00BC64C1">
        <w:t xml:space="preserve">specifically, Cockcroft and </w:t>
      </w:r>
      <w:proofErr w:type="spellStart"/>
      <w:r w:rsidRPr="00BC64C1">
        <w:t>Gault</w:t>
      </w:r>
      <w:proofErr w:type="spellEnd"/>
      <w:r w:rsidRPr="00BC64C1">
        <w:t xml:space="preserve"> equation derived measures.</w:t>
      </w:r>
      <w:r w:rsidR="007F3098">
        <w:t xml:space="preserve"> </w:t>
      </w:r>
      <w:r w:rsidRPr="00BC64C1">
        <w:t xml:space="preserve">In the pivotal </w:t>
      </w:r>
      <w:r w:rsidR="00557889">
        <w:t>P</w:t>
      </w:r>
      <w:r w:rsidRPr="00BC64C1">
        <w:t xml:space="preserve">hase III </w:t>
      </w:r>
      <w:r w:rsidR="0008034A">
        <w:t>S</w:t>
      </w:r>
      <w:r w:rsidRPr="00BC64C1">
        <w:t>tudy GS-US-216-0114</w:t>
      </w:r>
      <w:r w:rsidR="00633B85">
        <w:t>,</w:t>
      </w:r>
      <w:r w:rsidRPr="00BC64C1">
        <w:t xml:space="preserve"> a similar effect was observed where these changes occurred almost immediately upon dosing within the first one to two doses, stabilised thereafter and returned to baseline upon cessation of study drug.</w:t>
      </w:r>
      <w:r w:rsidR="007F3098">
        <w:t xml:space="preserve"> </w:t>
      </w:r>
      <w:r w:rsidRPr="00BC64C1">
        <w:t>The mean change from baseline in estimated GFR by the Cockcroft-</w:t>
      </w:r>
      <w:proofErr w:type="spellStart"/>
      <w:r w:rsidRPr="00BC64C1">
        <w:t>Gault</w:t>
      </w:r>
      <w:proofErr w:type="spellEnd"/>
      <w:r w:rsidRPr="00BC64C1">
        <w:t xml:space="preserve"> method (</w:t>
      </w:r>
      <w:proofErr w:type="spellStart"/>
      <w:r w:rsidRPr="00BC64C1">
        <w:t>eGFRCG</w:t>
      </w:r>
      <w:proofErr w:type="spellEnd"/>
      <w:r w:rsidRPr="00BC64C1">
        <w:t>) after 48 weeks of treatment was -13.4mL/min in the ATV/COBI + TVD group compared to -8.7mL/min in the ATV/RTV + TVD group.</w:t>
      </w:r>
      <w:r w:rsidR="007F3098">
        <w:t xml:space="preserve"> </w:t>
      </w:r>
      <w:r w:rsidRPr="00BC64C1">
        <w:t>However, in Study GS-US-216-0121 (</w:t>
      </w:r>
      <w:proofErr w:type="spellStart"/>
      <w:r w:rsidR="007F3098">
        <w:t>Stribild</w:t>
      </w:r>
      <w:proofErr w:type="spellEnd"/>
      <w:r w:rsidRPr="00BC64C1">
        <w:t xml:space="preserve"> submission) where the administration of COBI led to increase in serum </w:t>
      </w:r>
      <w:proofErr w:type="spellStart"/>
      <w:r w:rsidRPr="00BC64C1">
        <w:t>creatinine</w:t>
      </w:r>
      <w:proofErr w:type="spellEnd"/>
      <w:r w:rsidRPr="00BC64C1">
        <w:t xml:space="preserve"> (and decrease in </w:t>
      </w:r>
      <w:proofErr w:type="spellStart"/>
      <w:r w:rsidRPr="00BC64C1">
        <w:t>eGFRCG</w:t>
      </w:r>
      <w:proofErr w:type="spellEnd"/>
      <w:r w:rsidRPr="00BC64C1">
        <w:t xml:space="preserve">) at </w:t>
      </w:r>
      <w:r w:rsidR="00633B85">
        <w:t>D</w:t>
      </w:r>
      <w:r w:rsidRPr="00BC64C1">
        <w:t xml:space="preserve">ays 7 and 14, excretion of the contrast agent </w:t>
      </w:r>
      <w:proofErr w:type="spellStart"/>
      <w:r w:rsidRPr="00BC64C1">
        <w:t>iohexol</w:t>
      </w:r>
      <w:proofErr w:type="spellEnd"/>
      <w:r w:rsidRPr="00BC64C1">
        <w:t xml:space="preserve">, which is filtered by the </w:t>
      </w:r>
      <w:proofErr w:type="spellStart"/>
      <w:r w:rsidRPr="00BC64C1">
        <w:t>glomerulus</w:t>
      </w:r>
      <w:proofErr w:type="spellEnd"/>
      <w:r w:rsidRPr="00BC64C1">
        <w:t xml:space="preserve">, was unchanged on </w:t>
      </w:r>
      <w:r w:rsidR="00E6144B">
        <w:t>D</w:t>
      </w:r>
      <w:r w:rsidRPr="00BC64C1">
        <w:t xml:space="preserve">ay 7 or </w:t>
      </w:r>
      <w:r w:rsidR="00E6144B">
        <w:t>D</w:t>
      </w:r>
      <w:r w:rsidRPr="00BC64C1">
        <w:t xml:space="preserve">ay 14 relative to </w:t>
      </w:r>
      <w:r w:rsidR="00E6144B">
        <w:t>Day 0</w:t>
      </w:r>
      <w:r w:rsidRPr="00BC64C1">
        <w:t>.</w:t>
      </w:r>
      <w:r w:rsidR="007F3098">
        <w:t xml:space="preserve"> </w:t>
      </w:r>
      <w:r w:rsidRPr="00BC64C1">
        <w:t>This indicates that actual GFR was unaffected.</w:t>
      </w:r>
      <w:r w:rsidR="007F3098">
        <w:t xml:space="preserve"> </w:t>
      </w:r>
      <w:r w:rsidR="002320A9">
        <w:t>Non</w:t>
      </w:r>
      <w:r w:rsidRPr="00BC64C1">
        <w:t>clinical studies showed that both CO</w:t>
      </w:r>
      <w:r w:rsidR="00D7641F">
        <w:t>BI and RTV can inhibit the MATE</w:t>
      </w:r>
      <w:r w:rsidRPr="00BC64C1">
        <w:t xml:space="preserve">1 transporter that is responsible for the efflux of </w:t>
      </w:r>
      <w:proofErr w:type="spellStart"/>
      <w:r w:rsidRPr="00BC64C1">
        <w:t>creatinine</w:t>
      </w:r>
      <w:proofErr w:type="spellEnd"/>
      <w:r w:rsidRPr="00BC64C1">
        <w:t xml:space="preserve"> from the proximal tubule.</w:t>
      </w:r>
      <w:r w:rsidR="007F3098">
        <w:t xml:space="preserve"> </w:t>
      </w:r>
      <w:r w:rsidRPr="00BC64C1">
        <w:t xml:space="preserve">Thus, the decrease in estimated </w:t>
      </w:r>
      <w:proofErr w:type="spellStart"/>
      <w:r w:rsidRPr="00BC64C1">
        <w:t>creatinine</w:t>
      </w:r>
      <w:proofErr w:type="spellEnd"/>
      <w:r w:rsidRPr="00BC64C1">
        <w:t xml:space="preserve"> clearance is due to inhibition of tubular secretion of </w:t>
      </w:r>
      <w:proofErr w:type="spellStart"/>
      <w:r w:rsidRPr="00BC64C1">
        <w:t>creatinine</w:t>
      </w:r>
      <w:proofErr w:type="spellEnd"/>
      <w:r w:rsidRPr="00BC64C1">
        <w:t>.</w:t>
      </w:r>
    </w:p>
    <w:p w:rsidR="00E77942" w:rsidRPr="00BC64C1" w:rsidRDefault="00E77942" w:rsidP="00296B92">
      <w:r w:rsidRPr="00BC64C1">
        <w:t xml:space="preserve">In a pooled analysis of data from </w:t>
      </w:r>
      <w:r w:rsidR="00A42019">
        <w:t>S</w:t>
      </w:r>
      <w:r w:rsidRPr="00BC64C1">
        <w:t>tudies GS-US-216-0114 and GS-US-216-0105, 12 subjects discontinued st</w:t>
      </w:r>
      <w:r w:rsidR="00E656A5">
        <w:t xml:space="preserve">udy drug due to all renal AEs: </w:t>
      </w:r>
      <w:r w:rsidRPr="00BC64C1">
        <w:t>balanced between treatment groups (ATV/COBI + TVD 1.5%, 6 subjects; ATV/RTV + TVD 1.6%, 6 subjects).</w:t>
      </w:r>
      <w:r w:rsidR="007F3098">
        <w:t xml:space="preserve"> </w:t>
      </w:r>
      <w:r w:rsidRPr="00BC64C1">
        <w:t xml:space="preserve">A review of all renal laboratory parameters (serum </w:t>
      </w:r>
      <w:proofErr w:type="spellStart"/>
      <w:r w:rsidRPr="00BC64C1">
        <w:t>creatinine</w:t>
      </w:r>
      <w:proofErr w:type="spellEnd"/>
      <w:r w:rsidRPr="00BC64C1">
        <w:t xml:space="preserve">, serum phosphate, urine protein, and urine glucose) and the clinical picture for these patients found that 5 of the 6 subjects in the ATV/COBI + TVD group (1.3% overall) and 2 of the 6 subjects in the ATV/RTV + TVD group (0.5% overall) had events consistent with proximal </w:t>
      </w:r>
      <w:proofErr w:type="spellStart"/>
      <w:r w:rsidRPr="00BC64C1">
        <w:t>tubulopathy</w:t>
      </w:r>
      <w:proofErr w:type="spellEnd"/>
      <w:r w:rsidRPr="00BC64C1">
        <w:t xml:space="preserve"> (increases in </w:t>
      </w:r>
      <w:proofErr w:type="spellStart"/>
      <w:r w:rsidRPr="00BC64C1">
        <w:t>creatinine</w:t>
      </w:r>
      <w:proofErr w:type="spellEnd"/>
      <w:r w:rsidRPr="00BC64C1">
        <w:t xml:space="preserve"> with concomitant </w:t>
      </w:r>
      <w:proofErr w:type="spellStart"/>
      <w:r w:rsidRPr="00BC64C1">
        <w:t>proteinuria</w:t>
      </w:r>
      <w:proofErr w:type="spellEnd"/>
      <w:r w:rsidRPr="00BC64C1">
        <w:t xml:space="preserve"> and </w:t>
      </w:r>
      <w:proofErr w:type="spellStart"/>
      <w:r w:rsidRPr="00BC64C1">
        <w:t>glycosuria</w:t>
      </w:r>
      <w:proofErr w:type="spellEnd"/>
      <w:r w:rsidRPr="00BC64C1">
        <w:t>).</w:t>
      </w:r>
    </w:p>
    <w:p w:rsidR="00E77942" w:rsidRPr="00BC64C1" w:rsidRDefault="00E77942" w:rsidP="00296B92">
      <w:r w:rsidRPr="00BC64C1">
        <w:t>There are no safety data for COBI in combination with DRV in HIV infected patients.</w:t>
      </w:r>
      <w:r w:rsidR="007F3098">
        <w:t xml:space="preserve"> </w:t>
      </w:r>
      <w:r w:rsidRPr="00BC64C1">
        <w:t xml:space="preserve">Data from 33 healthy subjects who received at least one dose of study drug (COBI/DRV or RTV/DRV) in </w:t>
      </w:r>
      <w:r w:rsidR="00CF1C51">
        <w:t>S</w:t>
      </w:r>
      <w:r w:rsidRPr="00BC64C1">
        <w:t>tudy GS-US-216-0115 showed a numerically lower incidence of AEs and treatment related AEs for COBI/DRV than RTV/COBI.</w:t>
      </w:r>
      <w:r w:rsidR="007F3098">
        <w:t xml:space="preserve"> </w:t>
      </w:r>
      <w:r w:rsidRPr="00BC64C1">
        <w:t>The most common AEs were headache a</w:t>
      </w:r>
      <w:r w:rsidR="00BC64C1">
        <w:t xml:space="preserve">nd </w:t>
      </w:r>
      <w:proofErr w:type="spellStart"/>
      <w:r w:rsidR="00BC64C1">
        <w:t>maculopapular</w:t>
      </w:r>
      <w:proofErr w:type="spellEnd"/>
      <w:r w:rsidR="00BC64C1">
        <w:t xml:space="preserve"> rash</w:t>
      </w:r>
      <w:r w:rsidRPr="00BC64C1">
        <w:t>.</w:t>
      </w:r>
    </w:p>
    <w:p w:rsidR="00E77942" w:rsidRPr="008528FD" w:rsidRDefault="00E77942" w:rsidP="00296B92">
      <w:pPr>
        <w:pStyle w:val="Heading4"/>
      </w:pPr>
      <w:r w:rsidRPr="008528FD">
        <w:t>Evaluator’s conclusion on benefit-risk</w:t>
      </w:r>
    </w:p>
    <w:p w:rsidR="00E77942" w:rsidRPr="00557889" w:rsidRDefault="00E77942" w:rsidP="00296B92">
      <w:r w:rsidRPr="00557889">
        <w:t xml:space="preserve">The clinical evaluator concluded that the benefit-risk balance of </w:t>
      </w:r>
      <w:proofErr w:type="spellStart"/>
      <w:r w:rsidR="007F3098">
        <w:t>Tybost</w:t>
      </w:r>
      <w:proofErr w:type="spellEnd"/>
      <w:r w:rsidRPr="00557889">
        <w:t>, given the proposed usage is favourable.</w:t>
      </w:r>
      <w:r w:rsidR="007F3098">
        <w:t xml:space="preserve"> </w:t>
      </w:r>
      <w:r w:rsidRPr="00557889">
        <w:t>In reaching that conclusion the evaluator noted the paucity of information supporting the combination of COBI and DRV and considered that while it would have been more acceptable to have clinical data available, there was sufficient strength to the PK data to approve the requested indication as a pharmacokinetic enhancer of DRV.</w:t>
      </w:r>
    </w:p>
    <w:p w:rsidR="008E7846" w:rsidRPr="00296B92" w:rsidRDefault="00386150" w:rsidP="00296B92">
      <w:pPr>
        <w:pStyle w:val="Heading3"/>
      </w:pPr>
      <w:bookmarkStart w:id="160" w:name="_Toc314842514"/>
      <w:bookmarkStart w:id="161" w:name="_Toc376430069"/>
      <w:r>
        <w:rPr>
          <w:lang w:eastAsia="en-AU"/>
        </w:rPr>
        <w:t>Risk m</w:t>
      </w:r>
      <w:r w:rsidR="008E7846">
        <w:rPr>
          <w:lang w:eastAsia="en-AU"/>
        </w:rPr>
        <w:t xml:space="preserve">anagement </w:t>
      </w:r>
      <w:r>
        <w:rPr>
          <w:lang w:eastAsia="en-AU"/>
        </w:rPr>
        <w:t>p</w:t>
      </w:r>
      <w:r w:rsidR="008E7846">
        <w:rPr>
          <w:lang w:eastAsia="en-AU"/>
        </w:rPr>
        <w:t>lan</w:t>
      </w:r>
      <w:bookmarkEnd w:id="160"/>
      <w:bookmarkEnd w:id="161"/>
    </w:p>
    <w:p w:rsidR="008E7846" w:rsidRPr="00557889" w:rsidRDefault="00557889" w:rsidP="00296B92">
      <w:r w:rsidRPr="00557889">
        <w:t>There are no outstanding issues in relation to the</w:t>
      </w:r>
      <w:r w:rsidR="00D47E1F">
        <w:t xml:space="preserve"> proposed RMP</w:t>
      </w:r>
      <w:r w:rsidRPr="00557889">
        <w:t xml:space="preserve"> for COBI</w:t>
      </w:r>
      <w:r>
        <w:t xml:space="preserve">. </w:t>
      </w:r>
      <w:r w:rsidRPr="00557889">
        <w:t xml:space="preserve">ACSOM advice was not sought by the </w:t>
      </w:r>
      <w:r w:rsidR="00D47E1F">
        <w:t>OPR</w:t>
      </w:r>
      <w:r w:rsidRPr="00557889">
        <w:t xml:space="preserve"> on this or the </w:t>
      </w:r>
      <w:proofErr w:type="spellStart"/>
      <w:r w:rsidR="007F3098">
        <w:t>Stribild</w:t>
      </w:r>
      <w:proofErr w:type="spellEnd"/>
      <w:r w:rsidRPr="00557889">
        <w:t xml:space="preserve"> submission.</w:t>
      </w:r>
      <w:r w:rsidR="007F3098">
        <w:t xml:space="preserve"> </w:t>
      </w:r>
      <w:r w:rsidRPr="00557889">
        <w:t xml:space="preserve">The RMP evaluator recommended that implementation of </w:t>
      </w:r>
      <w:r w:rsidR="00675E9F">
        <w:t>COBI</w:t>
      </w:r>
      <w:r w:rsidRPr="00557889">
        <w:t xml:space="preserve"> </w:t>
      </w:r>
      <w:r w:rsidR="00E92AEF">
        <w:t>RMP</w:t>
      </w:r>
      <w:r w:rsidRPr="00557889">
        <w:t xml:space="preserve"> for Australia (Version: 0.1, dated August 2012), revised as specified in the sponsor’s response of 27 March 2013 to the TGA’s consolidated </w:t>
      </w:r>
      <w:r w:rsidR="001B61EF">
        <w:t>S</w:t>
      </w:r>
      <w:r w:rsidRPr="00557889">
        <w:t xml:space="preserve">ection 31 request, </w:t>
      </w:r>
      <w:r w:rsidR="00D3577D">
        <w:t xml:space="preserve">be a condition of registration. </w:t>
      </w:r>
      <w:r w:rsidRPr="00557889">
        <w:t xml:space="preserve">As part of its response to the </w:t>
      </w:r>
      <w:r w:rsidR="001B61EF">
        <w:t>Section 31</w:t>
      </w:r>
      <w:r w:rsidRPr="00557889">
        <w:t xml:space="preserve"> request, the sponsor has committed to reporting on ongoing and newly </w:t>
      </w:r>
      <w:r w:rsidRPr="00557889">
        <w:lastRenderedPageBreak/>
        <w:t>completed clinical studies in future PSURs and will submit the protocols for paediatric clinical studies of COBI (</w:t>
      </w:r>
      <w:r w:rsidR="00BA5585">
        <w:t xml:space="preserve">Studies </w:t>
      </w:r>
      <w:r w:rsidRPr="00557889">
        <w:t>GS-US-216-0128 and GS-US-183-0154) when they become available.</w:t>
      </w:r>
    </w:p>
    <w:p w:rsidR="008E7846" w:rsidRPr="00296B92" w:rsidRDefault="00AA0ED0" w:rsidP="00296B92">
      <w:pPr>
        <w:pStyle w:val="Heading3"/>
      </w:pPr>
      <w:bookmarkStart w:id="162" w:name="_Toc247691531"/>
      <w:bookmarkStart w:id="163" w:name="_Toc314842515"/>
      <w:bookmarkStart w:id="164" w:name="_Toc196046505"/>
      <w:bookmarkStart w:id="165" w:name="_Toc196046949"/>
      <w:bookmarkStart w:id="166" w:name="_Toc376430070"/>
      <w:r>
        <w:t>Risk-benefit a</w:t>
      </w:r>
      <w:r w:rsidR="008E7846">
        <w:t>nalysis</w:t>
      </w:r>
      <w:bookmarkEnd w:id="162"/>
      <w:bookmarkEnd w:id="163"/>
      <w:bookmarkEnd w:id="166"/>
    </w:p>
    <w:p w:rsidR="008E7846" w:rsidRDefault="008E7846" w:rsidP="00296B92">
      <w:pPr>
        <w:pStyle w:val="Heading4"/>
      </w:pPr>
      <w:r>
        <w:t xml:space="preserve">Delegate </w:t>
      </w:r>
      <w:r w:rsidR="00ED3CAD">
        <w:t>c</w:t>
      </w:r>
      <w:r>
        <w:t>onsiderations</w:t>
      </w:r>
    </w:p>
    <w:p w:rsidR="00D3577D" w:rsidRPr="00D3577D" w:rsidRDefault="00D3577D" w:rsidP="00296B92">
      <w:r w:rsidRPr="00D3577D">
        <w:t xml:space="preserve">The </w:t>
      </w:r>
      <w:r w:rsidR="002D77B1">
        <w:t>PK</w:t>
      </w:r>
      <w:r w:rsidRPr="00D3577D">
        <w:t xml:space="preserve"> enhancement activity of COBI as a booster of ATV and DRV has been demonstrated through </w:t>
      </w:r>
      <w:r w:rsidR="00D357E1">
        <w:t>S</w:t>
      </w:r>
      <w:r w:rsidRPr="00D3577D">
        <w:t>tudies GS-US-216-0110 and GS-US-216-0115, respectively.</w:t>
      </w:r>
    </w:p>
    <w:p w:rsidR="00D3577D" w:rsidRPr="00D3577D" w:rsidRDefault="00D3577D" w:rsidP="00296B92">
      <w:r w:rsidRPr="00D3577D">
        <w:t xml:space="preserve">The efficacy and safety of COBI boosted ATV when used in combination with </w:t>
      </w:r>
      <w:proofErr w:type="spellStart"/>
      <w:r w:rsidRPr="00D3577D">
        <w:t>Truvada</w:t>
      </w:r>
      <w:proofErr w:type="spellEnd"/>
      <w:r w:rsidRPr="00D3577D">
        <w:t xml:space="preserve"> in antiretroviral treatment</w:t>
      </w:r>
      <w:r w:rsidR="00AB4CB1">
        <w:t xml:space="preserve"> </w:t>
      </w:r>
      <w:r w:rsidRPr="00D3577D">
        <w:t>naive HIV</w:t>
      </w:r>
      <w:r w:rsidR="00AB4CB1">
        <w:t xml:space="preserve"> </w:t>
      </w:r>
      <w:r w:rsidRPr="00D3577D">
        <w:t>infected adults has been demonstrated in a well designed pivotal study and a pooled analysis of data from the pivotal study and a low powered supporting study.</w:t>
      </w:r>
      <w:r w:rsidR="007F3098">
        <w:t xml:space="preserve"> </w:t>
      </w:r>
      <w:r w:rsidRPr="00D3577D">
        <w:t xml:space="preserve">In the pooled analysis, the proportion of patients with </w:t>
      </w:r>
      <w:proofErr w:type="spellStart"/>
      <w:r w:rsidRPr="00D3577D">
        <w:t>virologic</w:t>
      </w:r>
      <w:proofErr w:type="spellEnd"/>
      <w:r w:rsidRPr="00D3577D">
        <w:t xml:space="preserve"> success at Week 48 was 84.8% in the ATV/COBI + TVD group and 87.3% in the ATV/RTV + TVD group.</w:t>
      </w:r>
      <w:r w:rsidR="007F3098">
        <w:t xml:space="preserve"> </w:t>
      </w:r>
      <w:r w:rsidRPr="00D3577D">
        <w:t>The baseline HIV-1 RNA stratum</w:t>
      </w:r>
      <w:r w:rsidR="00283CA3">
        <w:t xml:space="preserve"> </w:t>
      </w:r>
      <w:r w:rsidRPr="00D3577D">
        <w:t xml:space="preserve">adjusted difference in the percentages of subjects with </w:t>
      </w:r>
      <w:proofErr w:type="spellStart"/>
      <w:r w:rsidRPr="00D3577D">
        <w:t>virologic</w:t>
      </w:r>
      <w:proofErr w:type="spellEnd"/>
      <w:r w:rsidRPr="00D3577D">
        <w:t xml:space="preserve"> success was -2.5%.</w:t>
      </w:r>
      <w:r w:rsidR="007F3098">
        <w:t xml:space="preserve"> </w:t>
      </w:r>
      <w:r w:rsidRPr="00D3577D">
        <w:t xml:space="preserve">The 95% CI of -7.5% to 2.5% lay wholly to the right of the </w:t>
      </w:r>
      <w:proofErr w:type="spellStart"/>
      <w:r w:rsidRPr="00D3577D">
        <w:t>prespecified</w:t>
      </w:r>
      <w:proofErr w:type="spellEnd"/>
      <w:r w:rsidRPr="00D3577D">
        <w:t xml:space="preserve"> non-inferiority margin of -12%, indicating ATV/COBI/TVD was non inferior to ATV/RTV/TVD.</w:t>
      </w:r>
      <w:r w:rsidR="007F3098">
        <w:t xml:space="preserve"> </w:t>
      </w:r>
      <w:r w:rsidR="00614C0D">
        <w:t>The</w:t>
      </w:r>
      <w:r w:rsidRPr="00D3577D">
        <w:t xml:space="preserve"> Delegate considers </w:t>
      </w:r>
      <w:r w:rsidR="00AB4CB1">
        <w:t xml:space="preserve">that the totality of data (that is, </w:t>
      </w:r>
      <w:r w:rsidRPr="00D3577D">
        <w:t>proof of pharmacokinetic enhancement; non</w:t>
      </w:r>
      <w:r w:rsidR="00EB4570">
        <w:t xml:space="preserve"> </w:t>
      </w:r>
      <w:r w:rsidRPr="00D3577D">
        <w:t>inferior clinical efficacy; and acceptable safety profile in the two studies submitted) is sufficient to support a positive risk-benefit for the use of COBI to boost ATV.</w:t>
      </w:r>
    </w:p>
    <w:p w:rsidR="00D3577D" w:rsidRPr="00D3577D" w:rsidRDefault="00D3577D" w:rsidP="00296B92">
      <w:r w:rsidRPr="00D3577D">
        <w:t>No efficacy/safety studies of COBI boo</w:t>
      </w:r>
      <w:r w:rsidR="00DC0053">
        <w:t xml:space="preserve">sted DRV have been undertaken. </w:t>
      </w:r>
      <w:r w:rsidRPr="00D3577D">
        <w:t>Consequently, the sponsor is relying on the demonstration of the bioequivalent DRV C</w:t>
      </w:r>
      <w:r w:rsidRPr="00EB4570">
        <w:rPr>
          <w:vertAlign w:val="subscript"/>
        </w:rPr>
        <w:t>0h</w:t>
      </w:r>
      <w:r w:rsidRPr="00D3577D">
        <w:t xml:space="preserve"> and modestly lower </w:t>
      </w:r>
      <w:proofErr w:type="spellStart"/>
      <w:r w:rsidRPr="00D3577D">
        <w:t>C</w:t>
      </w:r>
      <w:r w:rsidRPr="00DC0053">
        <w:rPr>
          <w:vertAlign w:val="subscript"/>
        </w:rPr>
        <w:t>trough</w:t>
      </w:r>
      <w:proofErr w:type="spellEnd"/>
      <w:r w:rsidRPr="00D3577D">
        <w:t xml:space="preserve"> with COBI boosted DRV versus RTV boosted DRV, and the shallow exposure</w:t>
      </w:r>
      <w:r w:rsidR="00613F2D">
        <w:t xml:space="preserve"> </w:t>
      </w:r>
      <w:r w:rsidRPr="00D3577D">
        <w:t>efficacy relationship for RTV boosted DRV to infer comparable efficacy between COBI/DRV and RTV/DRV.</w:t>
      </w:r>
      <w:r w:rsidR="007F3098">
        <w:t xml:space="preserve"> </w:t>
      </w:r>
      <w:r w:rsidRPr="00D3577D">
        <w:t>Safety of the combination is also claimed by the sponsor on the basis of comparable exposure to DRV from COBI/DRV and RTV/DRV.</w:t>
      </w:r>
      <w:r w:rsidR="007F3098">
        <w:t xml:space="preserve"> </w:t>
      </w:r>
      <w:r w:rsidRPr="00D3577D">
        <w:t>No preclinical toxicity data and only a minimal amount of safety data generated from the bioequivalence study (n</w:t>
      </w:r>
      <w:r w:rsidR="00613F2D">
        <w:t xml:space="preserve"> </w:t>
      </w:r>
      <w:r w:rsidRPr="00D3577D">
        <w:t>=</w:t>
      </w:r>
      <w:r w:rsidR="00613F2D">
        <w:t xml:space="preserve"> </w:t>
      </w:r>
      <w:r w:rsidRPr="00D3577D">
        <w:t>31 healthy subjects) are available for the COBI/DRV combination.</w:t>
      </w:r>
      <w:r w:rsidR="007F3098">
        <w:t xml:space="preserve"> </w:t>
      </w:r>
      <w:r w:rsidRPr="00D3577D">
        <w:t>Some reassurance is provided by the extensive investigation of potentially clinically relevant drug-drug interactions for COBI.</w:t>
      </w:r>
      <w:r w:rsidR="007F3098">
        <w:t xml:space="preserve"> </w:t>
      </w:r>
      <w:r w:rsidRPr="00D3577D">
        <w:t xml:space="preserve">The agents studied include antiretroviral agents, treatments of invasive fungal or </w:t>
      </w:r>
      <w:proofErr w:type="spellStart"/>
      <w:r w:rsidRPr="00D3577D">
        <w:t>mycobacterial</w:t>
      </w:r>
      <w:proofErr w:type="spellEnd"/>
      <w:r w:rsidRPr="00D3577D">
        <w:t xml:space="preserve"> infection, antacids and proton pump inhibitors, HMG-</w:t>
      </w:r>
      <w:proofErr w:type="spellStart"/>
      <w:r w:rsidRPr="00D3577D">
        <w:t>CoA</w:t>
      </w:r>
      <w:proofErr w:type="spellEnd"/>
      <w:r w:rsidRPr="00D3577D">
        <w:t xml:space="preserve"> </w:t>
      </w:r>
      <w:proofErr w:type="spellStart"/>
      <w:r w:rsidRPr="00D3577D">
        <w:t>reductase</w:t>
      </w:r>
      <w:proofErr w:type="spellEnd"/>
      <w:r w:rsidRPr="00D3577D">
        <w:t xml:space="preserve"> inhibitors and oral contraceptives.</w:t>
      </w:r>
      <w:r w:rsidR="007F3098">
        <w:t xml:space="preserve"> </w:t>
      </w:r>
      <w:r w:rsidRPr="00D3577D">
        <w:t>This information is presented appropriately in the proposed PI.</w:t>
      </w:r>
      <w:r w:rsidR="007F3098">
        <w:t xml:space="preserve"> </w:t>
      </w:r>
      <w:r w:rsidR="00B30E5F">
        <w:t>The</w:t>
      </w:r>
      <w:r w:rsidRPr="00D3577D">
        <w:t xml:space="preserve"> Delegate agrees with the clinical evaluator that while it would have been more acceptable to have clinical data available, there is sufficient strength to the PK and PK</w:t>
      </w:r>
      <w:r w:rsidR="00714AFC">
        <w:t>/</w:t>
      </w:r>
      <w:r w:rsidRPr="00D3577D">
        <w:t>PD data to include DRV within the scope of protease inhibitors for which COBI can be used as a pharmacokinetic enhancer.</w:t>
      </w:r>
    </w:p>
    <w:p w:rsidR="00D3577D" w:rsidRPr="00D3577D" w:rsidRDefault="00D3577D" w:rsidP="00296B92">
      <w:r w:rsidRPr="00D3577D">
        <w:t xml:space="preserve">The main safety issue identified from the </w:t>
      </w:r>
      <w:proofErr w:type="spellStart"/>
      <w:r w:rsidR="007F3098">
        <w:t>Stribild</w:t>
      </w:r>
      <w:proofErr w:type="spellEnd"/>
      <w:r w:rsidRPr="00D3577D">
        <w:t xml:space="preserve"> and </w:t>
      </w:r>
      <w:proofErr w:type="spellStart"/>
      <w:r w:rsidR="007F3098">
        <w:t>Tybost</w:t>
      </w:r>
      <w:proofErr w:type="spellEnd"/>
      <w:r w:rsidRPr="00D3577D">
        <w:t xml:space="preserve"> submissions is the effect of COBI on renal function.</w:t>
      </w:r>
      <w:r w:rsidR="007F3098">
        <w:t xml:space="preserve"> </w:t>
      </w:r>
      <w:r w:rsidRPr="00D3577D">
        <w:t xml:space="preserve">Increases in serum </w:t>
      </w:r>
      <w:proofErr w:type="spellStart"/>
      <w:r w:rsidRPr="00D3577D">
        <w:t>creatinine</w:t>
      </w:r>
      <w:proofErr w:type="spellEnd"/>
      <w:r w:rsidRPr="00D3577D">
        <w:t xml:space="preserve"> levels are expected as a consequence of COBI's inhibition of </w:t>
      </w:r>
      <w:proofErr w:type="spellStart"/>
      <w:r w:rsidRPr="00D3577D">
        <w:t>creatinine</w:t>
      </w:r>
      <w:proofErr w:type="spellEnd"/>
      <w:r w:rsidRPr="00D3577D">
        <w:t xml:space="preserve"> secretion, without changes in actual GFR.</w:t>
      </w:r>
      <w:r w:rsidR="007F3098">
        <w:t xml:space="preserve"> </w:t>
      </w:r>
      <w:r w:rsidR="00AD229E">
        <w:t>While</w:t>
      </w:r>
      <w:r w:rsidRPr="00D3577D">
        <w:t xml:space="preserve"> this does not represent a safety issue for COBI, it raises the question of how to distinguish between these ‘benign’ increases in serum </w:t>
      </w:r>
      <w:proofErr w:type="spellStart"/>
      <w:r w:rsidRPr="00D3577D">
        <w:t>creatinine</w:t>
      </w:r>
      <w:proofErr w:type="spellEnd"/>
      <w:r w:rsidRPr="00D3577D">
        <w:t xml:space="preserve"> and early signs of renal toxicity associated with some of the agents that will be used in combination with COBI b</w:t>
      </w:r>
      <w:r w:rsidR="00AD229E">
        <w:t>oosted protease inhibitors (that is,</w:t>
      </w:r>
      <w:r w:rsidRPr="00D3577D">
        <w:t xml:space="preserve"> those previously used in conjunction with RTV boosted ATV and RTV boosted DRV).</w:t>
      </w:r>
      <w:r w:rsidR="007F3098">
        <w:t xml:space="preserve"> </w:t>
      </w:r>
      <w:r w:rsidRPr="00D3577D">
        <w:t xml:space="preserve">For example, the use of </w:t>
      </w:r>
      <w:proofErr w:type="spellStart"/>
      <w:r w:rsidRPr="00D3577D">
        <w:t>tenofovir</w:t>
      </w:r>
      <w:proofErr w:type="spellEnd"/>
      <w:r w:rsidRPr="00D3577D">
        <w:t xml:space="preserve"> has been associated with nephropathy, manifesting as either a partial or complete </w:t>
      </w:r>
      <w:proofErr w:type="spellStart"/>
      <w:r w:rsidRPr="00D3577D">
        <w:t>Fanconi</w:t>
      </w:r>
      <w:proofErr w:type="spellEnd"/>
      <w:r w:rsidRPr="00D3577D">
        <w:t xml:space="preserve"> syndrome with or without reduction in GFR.</w:t>
      </w:r>
      <w:r w:rsidR="007F3098">
        <w:t xml:space="preserve"> </w:t>
      </w:r>
      <w:r w:rsidRPr="00D3577D">
        <w:t xml:space="preserve">In the studies submitted with the application, 5 subjects who received COBI/ATV + TVD experienced proximal </w:t>
      </w:r>
      <w:proofErr w:type="spellStart"/>
      <w:r w:rsidRPr="00D3577D">
        <w:t>tubulopathy</w:t>
      </w:r>
      <w:proofErr w:type="spellEnd"/>
      <w:r w:rsidRPr="00D3577D">
        <w:t>.</w:t>
      </w:r>
      <w:r w:rsidR="007F3098">
        <w:t xml:space="preserve"> </w:t>
      </w:r>
      <w:r w:rsidRPr="00D3577D">
        <w:t xml:space="preserve">It is noted that the approved PI for </w:t>
      </w:r>
      <w:proofErr w:type="spellStart"/>
      <w:r w:rsidR="007F3098">
        <w:t>Stribild</w:t>
      </w:r>
      <w:proofErr w:type="spellEnd"/>
      <w:r w:rsidRPr="00D3577D">
        <w:t xml:space="preserve"> (which comprises both COBI and </w:t>
      </w:r>
      <w:proofErr w:type="spellStart"/>
      <w:r w:rsidRPr="00D3577D">
        <w:t>tenofovir</w:t>
      </w:r>
      <w:proofErr w:type="spellEnd"/>
      <w:r w:rsidRPr="00D3577D">
        <w:t>) includes the statement:</w:t>
      </w:r>
    </w:p>
    <w:p w:rsidR="00D3577D" w:rsidRPr="00296B92" w:rsidRDefault="00D3577D" w:rsidP="00296B92">
      <w:pPr>
        <w:ind w:left="720"/>
        <w:rPr>
          <w:i/>
        </w:rPr>
      </w:pPr>
      <w:r w:rsidRPr="00296B92">
        <w:rPr>
          <w:i/>
        </w:rPr>
        <w:t xml:space="preserve">Although </w:t>
      </w:r>
      <w:r w:rsidR="00675E9F" w:rsidRPr="00296B92">
        <w:rPr>
          <w:i/>
        </w:rPr>
        <w:t>COBI</w:t>
      </w:r>
      <w:r w:rsidRPr="00296B92">
        <w:rPr>
          <w:i/>
        </w:rPr>
        <w:t xml:space="preserve"> may cause modest increases in serum </w:t>
      </w:r>
      <w:proofErr w:type="spellStart"/>
      <w:r w:rsidRPr="00296B92">
        <w:rPr>
          <w:i/>
        </w:rPr>
        <w:t>creatinine</w:t>
      </w:r>
      <w:proofErr w:type="spellEnd"/>
      <w:r w:rsidRPr="00296B92">
        <w:rPr>
          <w:i/>
        </w:rPr>
        <w:t xml:space="preserve"> and modest declines in estimated </w:t>
      </w:r>
      <w:proofErr w:type="spellStart"/>
      <w:r w:rsidRPr="00296B92">
        <w:rPr>
          <w:i/>
        </w:rPr>
        <w:t>creatinine</w:t>
      </w:r>
      <w:proofErr w:type="spellEnd"/>
      <w:r w:rsidRPr="00296B92">
        <w:rPr>
          <w:i/>
        </w:rPr>
        <w:t xml:space="preserve"> clearance without affecting renal </w:t>
      </w:r>
      <w:proofErr w:type="spellStart"/>
      <w:r w:rsidRPr="00296B92">
        <w:rPr>
          <w:i/>
        </w:rPr>
        <w:t>glomerular</w:t>
      </w:r>
      <w:proofErr w:type="spellEnd"/>
      <w:r w:rsidRPr="00296B92">
        <w:rPr>
          <w:i/>
        </w:rPr>
        <w:t xml:space="preserve"> function, </w:t>
      </w:r>
      <w:r w:rsidRPr="00296B92">
        <w:rPr>
          <w:i/>
        </w:rPr>
        <w:lastRenderedPageBreak/>
        <w:t xml:space="preserve">patients who experience a confirmed increase in serum </w:t>
      </w:r>
      <w:proofErr w:type="spellStart"/>
      <w:r w:rsidRPr="00296B92">
        <w:rPr>
          <w:i/>
        </w:rPr>
        <w:t>creatinine</w:t>
      </w:r>
      <w:proofErr w:type="spellEnd"/>
      <w:r w:rsidRPr="00296B92">
        <w:rPr>
          <w:i/>
        </w:rPr>
        <w:t xml:space="preserve"> of greater than 0.4 mg per </w:t>
      </w:r>
      <w:proofErr w:type="spellStart"/>
      <w:r w:rsidRPr="00296B92">
        <w:rPr>
          <w:i/>
        </w:rPr>
        <w:t>dL</w:t>
      </w:r>
      <w:proofErr w:type="spellEnd"/>
      <w:r w:rsidRPr="00296B92">
        <w:rPr>
          <w:i/>
        </w:rPr>
        <w:t xml:space="preserve"> from baseline should be monitored for renal safety, including measuring serum phosphorous, urine glucose and urine protein.</w:t>
      </w:r>
    </w:p>
    <w:p w:rsidR="00D3577D" w:rsidRPr="00D3577D" w:rsidRDefault="00D3577D" w:rsidP="00296B92">
      <w:r w:rsidRPr="00D3577D">
        <w:t xml:space="preserve">A similar statement should at least be included in the </w:t>
      </w:r>
      <w:proofErr w:type="spellStart"/>
      <w:r w:rsidR="007F3098">
        <w:t>Tybost</w:t>
      </w:r>
      <w:proofErr w:type="spellEnd"/>
      <w:r w:rsidRPr="00D3577D">
        <w:t xml:space="preserve"> PI.</w:t>
      </w:r>
      <w:r w:rsidR="007F3098">
        <w:t xml:space="preserve"> </w:t>
      </w:r>
      <w:r w:rsidRPr="00D3577D">
        <w:t xml:space="preserve">However, in </w:t>
      </w:r>
      <w:proofErr w:type="spellStart"/>
      <w:r w:rsidRPr="00D3577D">
        <w:t>Fanconi</w:t>
      </w:r>
      <w:proofErr w:type="spellEnd"/>
      <w:r w:rsidRPr="00D3577D">
        <w:t xml:space="preserve"> Syndrome tubular dysfunction may precede a decline of renal function, so the question is whether routine monitoring of urinary glucose and protein (which would not be confounded by COBI's inhibition of </w:t>
      </w:r>
      <w:proofErr w:type="spellStart"/>
      <w:r w:rsidRPr="00D3577D">
        <w:t>creatinine</w:t>
      </w:r>
      <w:proofErr w:type="spellEnd"/>
      <w:r w:rsidRPr="00D3577D">
        <w:t xml:space="preserve"> secretion) should be undertaken as a simple risk minimisation strategy from the outset of treatment of patients using COBI rather than waiting until there is a threshold change in serum </w:t>
      </w:r>
      <w:proofErr w:type="spellStart"/>
      <w:r w:rsidRPr="00D3577D">
        <w:t>creatinine</w:t>
      </w:r>
      <w:proofErr w:type="spellEnd"/>
      <w:r w:rsidRPr="00D3577D">
        <w:t xml:space="preserve"> levels before investigation is undertaken.</w:t>
      </w:r>
      <w:r w:rsidR="007F3098">
        <w:t xml:space="preserve"> </w:t>
      </w:r>
      <w:r w:rsidRPr="00D3577D">
        <w:t xml:space="preserve">The ACPM’s advice is requested as to whether they agree there is a need for statements about monitoring of renal function in the </w:t>
      </w:r>
      <w:proofErr w:type="spellStart"/>
      <w:r w:rsidR="007F3098">
        <w:t>Tybost</w:t>
      </w:r>
      <w:proofErr w:type="spellEnd"/>
      <w:r w:rsidRPr="00D3577D">
        <w:t xml:space="preserve"> PI and, if so, what the nature and the timing of the monitoring should be.</w:t>
      </w:r>
    </w:p>
    <w:p w:rsidR="009A6D2D" w:rsidRDefault="00D3577D" w:rsidP="00296B92">
      <w:r w:rsidRPr="00D3577D">
        <w:t xml:space="preserve">One final issue of concern to this Delegate is the proposed indication for </w:t>
      </w:r>
      <w:proofErr w:type="spellStart"/>
      <w:r w:rsidR="007F3098">
        <w:t>Tybost</w:t>
      </w:r>
      <w:proofErr w:type="spellEnd"/>
      <w:r w:rsidRPr="00D3577D">
        <w:t xml:space="preserve"> promotes the off</w:t>
      </w:r>
      <w:r w:rsidR="00CD2D5D">
        <w:t xml:space="preserve"> </w:t>
      </w:r>
      <w:r w:rsidRPr="00D3577D">
        <w:t>label use of DRV and ATV.</w:t>
      </w:r>
      <w:r w:rsidR="007F3098">
        <w:t xml:space="preserve"> </w:t>
      </w:r>
      <w:r w:rsidRPr="00D3577D">
        <w:t>The approved indication f</w:t>
      </w:r>
      <w:r w:rsidR="009A6D2D">
        <w:t>or DRV is:</w:t>
      </w:r>
    </w:p>
    <w:p w:rsidR="009A6D2D" w:rsidRPr="00296B92" w:rsidRDefault="00D3577D" w:rsidP="00296B92">
      <w:pPr>
        <w:ind w:left="720"/>
        <w:rPr>
          <w:i/>
        </w:rPr>
      </w:pPr>
      <w:r w:rsidRPr="00296B92">
        <w:rPr>
          <w:i/>
        </w:rPr>
        <w:t>"</w:t>
      </w:r>
      <w:proofErr w:type="spellStart"/>
      <w:r w:rsidRPr="00296B92">
        <w:rPr>
          <w:i/>
        </w:rPr>
        <w:t>P</w:t>
      </w:r>
      <w:r w:rsidR="009A6D2D" w:rsidRPr="00296B92">
        <w:rPr>
          <w:i/>
        </w:rPr>
        <w:t>rezista</w:t>
      </w:r>
      <w:proofErr w:type="spellEnd"/>
      <w:r w:rsidRPr="00296B92">
        <w:rPr>
          <w:i/>
        </w:rPr>
        <w:t xml:space="preserve"> (with low dose </w:t>
      </w:r>
      <w:r w:rsidR="009D3AE9" w:rsidRPr="00296B92">
        <w:rPr>
          <w:i/>
        </w:rPr>
        <w:t>RTV</w:t>
      </w:r>
      <w:r w:rsidRPr="00296B92">
        <w:rPr>
          <w:i/>
        </w:rPr>
        <w:t xml:space="preserve"> as a pharmacokinetic enhancer) is indicated in combination with other antiretroviral agents, for the treatment of human immunodeficiency </w:t>
      </w:r>
      <w:r w:rsidR="00DC0053" w:rsidRPr="00296B92">
        <w:rPr>
          <w:i/>
        </w:rPr>
        <w:t>virus-1 (HIV-1) infection...</w:t>
      </w:r>
      <w:r w:rsidR="009A6D2D" w:rsidRPr="00296B92">
        <w:rPr>
          <w:i/>
        </w:rPr>
        <w:t>"</w:t>
      </w:r>
    </w:p>
    <w:p w:rsidR="00D3577D" w:rsidRPr="00D3577D" w:rsidRDefault="00D3577D" w:rsidP="00296B92">
      <w:r w:rsidRPr="00D3577D">
        <w:t>That is, it very specifically indicates DRV is to be used with RTV.</w:t>
      </w:r>
      <w:r w:rsidR="007F3098">
        <w:t xml:space="preserve"> </w:t>
      </w:r>
      <w:r w:rsidRPr="00D3577D">
        <w:t>Also, the approved PI for ATV provides pharmacokinetic and dosage and administration information for ATV when used with RTV.</w:t>
      </w:r>
      <w:r w:rsidR="007F3098">
        <w:t xml:space="preserve"> </w:t>
      </w:r>
      <w:r w:rsidRPr="00D3577D">
        <w:t>This information constitutes the labelling of the product.</w:t>
      </w:r>
      <w:r w:rsidR="007F3098">
        <w:t xml:space="preserve"> </w:t>
      </w:r>
      <w:r w:rsidRPr="00D3577D">
        <w:t xml:space="preserve">Under subsection 22(5) of the </w:t>
      </w:r>
      <w:r w:rsidRPr="00E51DC0">
        <w:rPr>
          <w:i/>
        </w:rPr>
        <w:t>Therapeutic Goods Act 1989</w:t>
      </w:r>
      <w:r w:rsidR="00DA2841">
        <w:t xml:space="preserve">, </w:t>
      </w:r>
      <w:r w:rsidRPr="00D3577D">
        <w:t>it is an offence to promote (by any means) the use of a product outside its approved indication, and a Delegate cannot knowingly approve something that is contrary to the legislation.</w:t>
      </w:r>
    </w:p>
    <w:p w:rsidR="00D3577D" w:rsidRPr="00D3577D" w:rsidRDefault="00D3577D" w:rsidP="00296B92">
      <w:r w:rsidRPr="00D3577D">
        <w:t>The sponsor of COBI has not provided any advice that it has commenced or is considering a coordinated effort with the sponsors of ATV or DRV to amend the indications and labelling of those products to address this issue.</w:t>
      </w:r>
      <w:r w:rsidR="007F3098">
        <w:t xml:space="preserve"> </w:t>
      </w:r>
      <w:r w:rsidRPr="00D3577D">
        <w:t>In the absence of such efforts, this Delegate considers an acceptable solution is to change the indication to</w:t>
      </w:r>
    </w:p>
    <w:p w:rsidR="00D3577D" w:rsidRPr="00296B92" w:rsidRDefault="00D3577D" w:rsidP="00296B92">
      <w:pPr>
        <w:ind w:left="720"/>
        <w:rPr>
          <w:i/>
        </w:rPr>
      </w:pPr>
      <w:r w:rsidRPr="00296B92">
        <w:rPr>
          <w:i/>
        </w:rPr>
        <w:t>“</w:t>
      </w:r>
      <w:proofErr w:type="spellStart"/>
      <w:r w:rsidR="007F3098" w:rsidRPr="00296B92">
        <w:rPr>
          <w:i/>
        </w:rPr>
        <w:t>Tybost</w:t>
      </w:r>
      <w:proofErr w:type="spellEnd"/>
      <w:r w:rsidRPr="00296B92">
        <w:rPr>
          <w:i/>
        </w:rPr>
        <w:t xml:space="preserve"> is indicated for use as a pharmacokinetic enhancer of appropriate HIV-1 protease inhibitors in adults where efficacy has been demonstrated clinically (see Clinical Trials)”.</w:t>
      </w:r>
    </w:p>
    <w:p w:rsidR="008E7846" w:rsidRDefault="00D3577D" w:rsidP="00296B92">
      <w:r w:rsidRPr="00D3577D">
        <w:t>Although this issue is of a legal nature, and not within the remit of matters normally referred to the ACPM, the views of the ACPM members are sought on the suitability of the alternative indi</w:t>
      </w:r>
      <w:r w:rsidR="00F64BF2">
        <w:t>cation for COBI proposed by the</w:t>
      </w:r>
      <w:r w:rsidRPr="00D3577D">
        <w:t xml:space="preserve"> Delegate.</w:t>
      </w:r>
    </w:p>
    <w:p w:rsidR="00CB1B85" w:rsidRPr="00296B92" w:rsidRDefault="00CB1B85" w:rsidP="00296B92">
      <w:pPr>
        <w:pStyle w:val="Heading5"/>
      </w:pPr>
      <w:r>
        <w:t xml:space="preserve">Summary of </w:t>
      </w:r>
      <w:r w:rsidR="00296B92">
        <w:t>i</w:t>
      </w:r>
      <w:r>
        <w:t>ssue/s</w:t>
      </w:r>
    </w:p>
    <w:p w:rsidR="00CB1B85" w:rsidRPr="00CB1B85" w:rsidRDefault="00CB1B85" w:rsidP="00296B92">
      <w:pPr>
        <w:pStyle w:val="ListBullet"/>
      </w:pPr>
      <w:r w:rsidRPr="00CB1B85">
        <w:t>The data package submitted in support of the use of COBI as a pharmacokinetic boo</w:t>
      </w:r>
      <w:r w:rsidR="002105AE">
        <w:t>ster of DRV comprises PK and PK/</w:t>
      </w:r>
      <w:r w:rsidRPr="00CB1B85">
        <w:t>PD data only, whereas the use of COBI as a pharmacokinetic booster of ATV is well supported by PK, efficacy and safety data.</w:t>
      </w:r>
    </w:p>
    <w:p w:rsidR="00CB1B85" w:rsidRPr="00CB1B85" w:rsidRDefault="00CB1B85" w:rsidP="00296B92">
      <w:pPr>
        <w:pStyle w:val="ListBullet"/>
      </w:pPr>
      <w:r w:rsidRPr="00CB1B85">
        <w:t xml:space="preserve">Increases in serum </w:t>
      </w:r>
      <w:proofErr w:type="spellStart"/>
      <w:r w:rsidRPr="00CB1B85">
        <w:t>creatinine</w:t>
      </w:r>
      <w:proofErr w:type="spellEnd"/>
      <w:r w:rsidRPr="00CB1B85">
        <w:t xml:space="preserve"> levels are expected as a consequence of COBI's inhibition of </w:t>
      </w:r>
      <w:proofErr w:type="spellStart"/>
      <w:r w:rsidRPr="00CB1B85">
        <w:t>creatinine</w:t>
      </w:r>
      <w:proofErr w:type="spellEnd"/>
      <w:r w:rsidRPr="00CB1B85">
        <w:t xml:space="preserve"> secretion, without changes in actual GFR.</w:t>
      </w:r>
      <w:r w:rsidR="007F3098">
        <w:t xml:space="preserve"> </w:t>
      </w:r>
      <w:r w:rsidR="002105AE">
        <w:t>While</w:t>
      </w:r>
      <w:r w:rsidRPr="00CB1B85">
        <w:t xml:space="preserve"> this does not represent a safety issue for COBI, it raises the question of how to distinguish between ‘benign’ increases in serum </w:t>
      </w:r>
      <w:proofErr w:type="spellStart"/>
      <w:r w:rsidRPr="00CB1B85">
        <w:t>creatinine</w:t>
      </w:r>
      <w:proofErr w:type="spellEnd"/>
      <w:r w:rsidRPr="00CB1B85">
        <w:t xml:space="preserve"> and early signs of renal toxicity associated with some agents that will be used in combination with COBI boosted ATV and DRV.</w:t>
      </w:r>
      <w:r w:rsidR="007F3098">
        <w:t xml:space="preserve"> </w:t>
      </w:r>
      <w:r w:rsidRPr="00CB1B85">
        <w:t>The Delegate has proposed that the PI recommend monitoring of renal function be undertaken routinely.</w:t>
      </w:r>
    </w:p>
    <w:p w:rsidR="00227816" w:rsidRDefault="00CB1B85" w:rsidP="00296B92">
      <w:pPr>
        <w:pStyle w:val="ListBullet"/>
      </w:pPr>
      <w:r w:rsidRPr="00CB1B85">
        <w:t xml:space="preserve">The </w:t>
      </w:r>
      <w:r>
        <w:t>D</w:t>
      </w:r>
      <w:r w:rsidRPr="00CB1B85">
        <w:t>elegate has proposed an alternative indication:</w:t>
      </w:r>
    </w:p>
    <w:p w:rsidR="00CB1B85" w:rsidRPr="00296B92" w:rsidRDefault="007F3098" w:rsidP="00296B92">
      <w:pPr>
        <w:ind w:left="360"/>
        <w:rPr>
          <w:i/>
        </w:rPr>
      </w:pPr>
      <w:proofErr w:type="spellStart"/>
      <w:r w:rsidRPr="00296B92">
        <w:rPr>
          <w:i/>
        </w:rPr>
        <w:t>Tybost</w:t>
      </w:r>
      <w:proofErr w:type="spellEnd"/>
      <w:r w:rsidR="00CB1B85" w:rsidRPr="00296B92">
        <w:rPr>
          <w:i/>
        </w:rPr>
        <w:t xml:space="preserve"> is indicated for use as a pharmacokinetic enhancer of appropriate HIV-1 protease inhibitors in adults where efficacy has been demonstrated clin</w:t>
      </w:r>
      <w:r w:rsidR="00227816" w:rsidRPr="00296B92">
        <w:rPr>
          <w:i/>
        </w:rPr>
        <w:t>ically (see Clinical Trials).</w:t>
      </w:r>
    </w:p>
    <w:p w:rsidR="00D9655A" w:rsidRDefault="00D9655A" w:rsidP="00296B92">
      <w:pPr>
        <w:pStyle w:val="Heading5"/>
      </w:pPr>
      <w:r>
        <w:lastRenderedPageBreak/>
        <w:t>Request to ACPM</w:t>
      </w:r>
    </w:p>
    <w:p w:rsidR="00640FFA" w:rsidRPr="00382471" w:rsidRDefault="00640FFA" w:rsidP="00296B92">
      <w:r w:rsidRPr="00382471">
        <w:t>The Delegate thanks the ACPM for discussing and providing advice on the following issues:</w:t>
      </w:r>
    </w:p>
    <w:p w:rsidR="00640FFA" w:rsidRPr="00382471" w:rsidRDefault="00594886" w:rsidP="00140A1D">
      <w:pPr>
        <w:pStyle w:val="ListBullet"/>
      </w:pPr>
      <w:r>
        <w:t>W</w:t>
      </w:r>
      <w:r w:rsidR="00640FFA" w:rsidRPr="00382471">
        <w:t>hether the data are sufficient to support a positive risk-benefit for the use of COBI to boost ATV;</w:t>
      </w:r>
    </w:p>
    <w:p w:rsidR="00640FFA" w:rsidRPr="00382471" w:rsidRDefault="00594886" w:rsidP="00140A1D">
      <w:pPr>
        <w:pStyle w:val="ListBullet"/>
      </w:pPr>
      <w:r>
        <w:t>W</w:t>
      </w:r>
      <w:r w:rsidR="00640FFA" w:rsidRPr="00382471">
        <w:t>hether the data submitted are sufficient to support a positive risk-benefit for the use of COBI to boost</w:t>
      </w:r>
      <w:r w:rsidR="007F3098">
        <w:t xml:space="preserve"> </w:t>
      </w:r>
      <w:r w:rsidR="00640FFA" w:rsidRPr="00382471">
        <w:t xml:space="preserve">DRV; </w:t>
      </w:r>
    </w:p>
    <w:p w:rsidR="00236507" w:rsidRDefault="00594886" w:rsidP="00382471">
      <w:pPr>
        <w:pStyle w:val="ListBullet"/>
      </w:pPr>
      <w:r>
        <w:t>W</w:t>
      </w:r>
      <w:r w:rsidR="00640FFA" w:rsidRPr="00382471">
        <w:t>hether the following alternative indication proposed by the Delegate is acceptable:</w:t>
      </w:r>
    </w:p>
    <w:p w:rsidR="00236507" w:rsidRPr="00140A1D" w:rsidRDefault="00640FFA" w:rsidP="00140A1D">
      <w:pPr>
        <w:ind w:left="360"/>
        <w:rPr>
          <w:i/>
        </w:rPr>
      </w:pPr>
      <w:r w:rsidRPr="00140A1D">
        <w:rPr>
          <w:i/>
        </w:rPr>
        <w:t>“</w:t>
      </w:r>
      <w:proofErr w:type="spellStart"/>
      <w:r w:rsidR="007F3098" w:rsidRPr="00140A1D">
        <w:rPr>
          <w:i/>
        </w:rPr>
        <w:t>Tybost</w:t>
      </w:r>
      <w:proofErr w:type="spellEnd"/>
      <w:r w:rsidRPr="00140A1D">
        <w:rPr>
          <w:i/>
        </w:rPr>
        <w:t xml:space="preserve"> is indicated for use as a pharmacokinetic enhancer of appropriate HIV-1 protease inhibitors in adults where efficacy has been demonstrated clinically (see Clinical Trials)”</w:t>
      </w:r>
      <w:r w:rsidR="00236507" w:rsidRPr="00140A1D">
        <w:rPr>
          <w:i/>
        </w:rPr>
        <w:t>;</w:t>
      </w:r>
    </w:p>
    <w:p w:rsidR="00640FFA" w:rsidRPr="00382471" w:rsidRDefault="00640FFA" w:rsidP="00140A1D">
      <w:r w:rsidRPr="00382471">
        <w:t>and</w:t>
      </w:r>
    </w:p>
    <w:p w:rsidR="00640FFA" w:rsidRPr="00382471" w:rsidRDefault="00594886" w:rsidP="00140A1D">
      <w:pPr>
        <w:pStyle w:val="ListBullet"/>
      </w:pPr>
      <w:r>
        <w:t>W</w:t>
      </w:r>
      <w:r w:rsidR="00640FFA" w:rsidRPr="00382471">
        <w:t xml:space="preserve">hether the ACPM considers there is a need for a statement about monitoring of renal function in the </w:t>
      </w:r>
      <w:proofErr w:type="spellStart"/>
      <w:r w:rsidR="007F3098">
        <w:t>Tybost</w:t>
      </w:r>
      <w:proofErr w:type="spellEnd"/>
      <w:r w:rsidR="00640FFA" w:rsidRPr="00382471">
        <w:t xml:space="preserve"> PI and, if so, advice is sought on what the nature and the timing of the monitoring should be.</w:t>
      </w:r>
    </w:p>
    <w:p w:rsidR="00640FFA" w:rsidRDefault="00640FFA" w:rsidP="00140A1D">
      <w:r w:rsidRPr="00382471">
        <w:t>The committee is also requested to provide advice on any other issues that it thinks may be relevant to a decision on whether or not to approve this application.</w:t>
      </w:r>
    </w:p>
    <w:p w:rsidR="00A268DC" w:rsidRDefault="00A268DC" w:rsidP="00140A1D">
      <w:pPr>
        <w:pStyle w:val="Heading5"/>
      </w:pPr>
      <w:r>
        <w:t>Pre ACPM preliminary assessment</w:t>
      </w:r>
    </w:p>
    <w:p w:rsidR="00A268DC" w:rsidRPr="00A268DC" w:rsidRDefault="00A268DC" w:rsidP="00140A1D">
      <w:r w:rsidRPr="00A268DC">
        <w:t xml:space="preserve">At this time, based </w:t>
      </w:r>
      <w:r>
        <w:t>on the information, the Delegate is n</w:t>
      </w:r>
      <w:r w:rsidRPr="00A268DC">
        <w:t xml:space="preserve">ot inclined to approve the application to register </w:t>
      </w:r>
      <w:proofErr w:type="spellStart"/>
      <w:r w:rsidRPr="00A268DC">
        <w:t>T</w:t>
      </w:r>
      <w:r w:rsidR="00DC0053">
        <w:t>ybost</w:t>
      </w:r>
      <w:proofErr w:type="spellEnd"/>
      <w:r w:rsidRPr="00A268DC">
        <w:t xml:space="preserve"> as a pharmacokinetic enhancer of the HIV-1 protease inhibitors </w:t>
      </w:r>
      <w:r w:rsidR="00675E9F">
        <w:t>ATV</w:t>
      </w:r>
      <w:r w:rsidRPr="00A268DC">
        <w:t xml:space="preserve"> and </w:t>
      </w:r>
      <w:r w:rsidR="00675E9F">
        <w:t>DRV</w:t>
      </w:r>
      <w:r w:rsidRPr="00A268DC">
        <w:t xml:space="preserve"> in adults.</w:t>
      </w:r>
    </w:p>
    <w:p w:rsidR="005A0F04" w:rsidRDefault="00A268DC" w:rsidP="00140A1D">
      <w:r w:rsidRPr="00A268DC">
        <w:t>However, pending further advice from within the TGA about GMP deficiencies identified recently by the FDA</w:t>
      </w:r>
      <w:r>
        <w:t xml:space="preserve">, the Delegate is </w:t>
      </w:r>
      <w:r w:rsidRPr="00A268DC">
        <w:t xml:space="preserve">inclined to approve the registration of </w:t>
      </w:r>
      <w:proofErr w:type="spellStart"/>
      <w:r w:rsidRPr="00A268DC">
        <w:t>T</w:t>
      </w:r>
      <w:r w:rsidR="007D5541">
        <w:t>ybost</w:t>
      </w:r>
      <w:proofErr w:type="spellEnd"/>
      <w:r w:rsidR="005A0F04">
        <w:t xml:space="preserve"> with the following indication:</w:t>
      </w:r>
    </w:p>
    <w:p w:rsidR="00A268DC" w:rsidRPr="00140A1D" w:rsidRDefault="00A268DC" w:rsidP="00140A1D">
      <w:pPr>
        <w:ind w:left="720"/>
        <w:rPr>
          <w:i/>
        </w:rPr>
      </w:pPr>
      <w:r w:rsidRPr="00140A1D">
        <w:rPr>
          <w:i/>
        </w:rPr>
        <w:t>“</w:t>
      </w:r>
      <w:proofErr w:type="spellStart"/>
      <w:r w:rsidRPr="00140A1D">
        <w:rPr>
          <w:i/>
        </w:rPr>
        <w:t>T</w:t>
      </w:r>
      <w:r w:rsidR="00261578" w:rsidRPr="00140A1D">
        <w:rPr>
          <w:i/>
        </w:rPr>
        <w:t>ybost</w:t>
      </w:r>
      <w:proofErr w:type="spellEnd"/>
      <w:r w:rsidRPr="00140A1D">
        <w:rPr>
          <w:i/>
        </w:rPr>
        <w:t xml:space="preserve"> is indicated for use as a pharmacokinetic enhancer of appropriate HIV-1 protease inhibitors where efficacy has been demonstrated clinically (see Clinical Trials)”.</w:t>
      </w:r>
    </w:p>
    <w:p w:rsidR="008E7846" w:rsidRDefault="008E7846" w:rsidP="00140A1D">
      <w:pPr>
        <w:pStyle w:val="Heading4"/>
      </w:pPr>
      <w:r>
        <w:t xml:space="preserve">Response from </w:t>
      </w:r>
      <w:r w:rsidR="00C00CA7">
        <w:t>s</w:t>
      </w:r>
      <w:r>
        <w:t>ponsor</w:t>
      </w:r>
    </w:p>
    <w:p w:rsidR="0097491E" w:rsidRPr="00140A1D" w:rsidRDefault="0097491E" w:rsidP="00140A1D">
      <w:pPr>
        <w:pStyle w:val="Heading5"/>
      </w:pPr>
      <w:r>
        <w:t>Summary</w:t>
      </w:r>
    </w:p>
    <w:p w:rsidR="0097491E" w:rsidRPr="00895B36" w:rsidRDefault="00675E9F" w:rsidP="00140A1D">
      <w:r>
        <w:t>COBI</w:t>
      </w:r>
      <w:r w:rsidR="0097491E" w:rsidRPr="00895B36">
        <w:t xml:space="preserve"> is a new chemical entity and structural analogue of the human immunodeficiency virus Type 1 (HIV-1) pro</w:t>
      </w:r>
      <w:r w:rsidR="009D3AE9">
        <w:t>tease inhibitor RTV</w:t>
      </w:r>
      <w:r w:rsidR="0097491E" w:rsidRPr="00895B36">
        <w:t xml:space="preserve"> that was designed to have no antiretroviral (ARV) activity. It is a mechanism</w:t>
      </w:r>
      <w:r w:rsidR="009B4245">
        <w:t xml:space="preserve"> </w:t>
      </w:r>
      <w:r w:rsidR="0097491E" w:rsidRPr="00895B36">
        <w:t xml:space="preserve">based </w:t>
      </w:r>
      <w:proofErr w:type="spellStart"/>
      <w:r w:rsidR="0097491E" w:rsidRPr="00895B36">
        <w:t>cytochrome</w:t>
      </w:r>
      <w:proofErr w:type="spellEnd"/>
      <w:r w:rsidR="0097491E" w:rsidRPr="00895B36">
        <w:t xml:space="preserve"> P450 3A (CYP3A) inhibitor that enhances or “boosts” the exposu</w:t>
      </w:r>
      <w:r>
        <w:t xml:space="preserve">re of the HIV-1 </w:t>
      </w:r>
      <w:r w:rsidR="00CB403A">
        <w:t>protease inhibitors</w:t>
      </w:r>
      <w:r>
        <w:t xml:space="preserve"> ATV and DRV</w:t>
      </w:r>
      <w:r w:rsidR="0097491E" w:rsidRPr="00895B36">
        <w:t xml:space="preserve">, which are CYP3A substrates. </w:t>
      </w:r>
    </w:p>
    <w:p w:rsidR="0097491E" w:rsidRPr="00895B36" w:rsidRDefault="0097491E" w:rsidP="00140A1D">
      <w:r w:rsidRPr="00895B36">
        <w:t xml:space="preserve">The Delegate requests guidance as to whether the data submitted are sufficient to support a positive risk-benefit for the use of COBI to boost ATV and DRV. It was concluded by the clinical evaluator, and the Delegate is in agreement, that the benefit-risk balance of </w:t>
      </w:r>
      <w:proofErr w:type="spellStart"/>
      <w:r w:rsidR="007F3098">
        <w:t>Tybost</w:t>
      </w:r>
      <w:proofErr w:type="spellEnd"/>
      <w:r w:rsidRPr="00895B36">
        <w:t xml:space="preserve"> is favourable. The totality of data is sufficient to support a positive risk-benefit for the use of COBI to boost ATV and DRV. This is based on the safety and efficacy data from </w:t>
      </w:r>
      <w:r w:rsidR="00D52076">
        <w:t>Phase II and III</w:t>
      </w:r>
      <w:r w:rsidRPr="00895B36">
        <w:t xml:space="preserve"> studies of COBI</w:t>
      </w:r>
      <w:r w:rsidR="009B4245">
        <w:t xml:space="preserve"> </w:t>
      </w:r>
      <w:r w:rsidRPr="00895B36">
        <w:t xml:space="preserve">boosted ATV in HIV-1 infected patients, and on the PK and safety data from </w:t>
      </w:r>
      <w:r w:rsidR="0004736F">
        <w:t>Phase I</w:t>
      </w:r>
      <w:r w:rsidRPr="00895B36">
        <w:t xml:space="preserve"> study of COBI</w:t>
      </w:r>
      <w:r w:rsidR="009B4245">
        <w:t xml:space="preserve"> </w:t>
      </w:r>
      <w:r w:rsidRPr="00895B36">
        <w:t>boosted DRV in healthy subjects</w:t>
      </w:r>
      <w:r w:rsidR="009B4245">
        <w:t>,</w:t>
      </w:r>
      <w:r w:rsidRPr="00895B36">
        <w:t xml:space="preserve"> which is of sufficient strength to approve the requested indication of a pharmacokinetic enhancer of ATV and DRV. </w:t>
      </w:r>
    </w:p>
    <w:p w:rsidR="0097491E" w:rsidRPr="00895B36" w:rsidRDefault="0097491E" w:rsidP="00140A1D">
      <w:r w:rsidRPr="00895B36">
        <w:t>The pharmacokinetics of COBI</w:t>
      </w:r>
      <w:r w:rsidR="009B4245">
        <w:t xml:space="preserve"> have been extensively studied,</w:t>
      </w:r>
      <w:r w:rsidRPr="00895B36">
        <w:t xml:space="preserve"> further supporting evidence was cross</w:t>
      </w:r>
      <w:r w:rsidR="009B4245">
        <w:t xml:space="preserve"> </w:t>
      </w:r>
      <w:r w:rsidRPr="00895B36">
        <w:t>referred with</w:t>
      </w:r>
      <w:r w:rsidR="003C4A42">
        <w:t xml:space="preserve">in the application for </w:t>
      </w:r>
      <w:proofErr w:type="spellStart"/>
      <w:r w:rsidR="007F3098">
        <w:t>Stribild</w:t>
      </w:r>
      <w:proofErr w:type="spellEnd"/>
      <w:r w:rsidRPr="00895B36">
        <w:t xml:space="preserve"> single tablet regimen (COBI, </w:t>
      </w:r>
      <w:r w:rsidR="009B4245">
        <w:t>EVG</w:t>
      </w:r>
      <w:r w:rsidRPr="00895B36">
        <w:t xml:space="preserve">, </w:t>
      </w:r>
      <w:r w:rsidR="005D59ED">
        <w:t>FTC</w:t>
      </w:r>
      <w:r w:rsidRPr="00895B36">
        <w:t xml:space="preserve">, </w:t>
      </w:r>
      <w:r w:rsidR="009B4245">
        <w:t>TDF</w:t>
      </w:r>
      <w:r w:rsidRPr="00895B36">
        <w:t xml:space="preserve">) recently reviewed by the ACPM and subsequently approved by TGA. The overall </w:t>
      </w:r>
      <w:r w:rsidRPr="00895B36">
        <w:lastRenderedPageBreak/>
        <w:t xml:space="preserve">analysis of the PK of COBI as a </w:t>
      </w:r>
      <w:proofErr w:type="spellStart"/>
      <w:r w:rsidRPr="00895B36">
        <w:t>pharmacoenhancer</w:t>
      </w:r>
      <w:proofErr w:type="spellEnd"/>
      <w:r w:rsidRPr="00895B36">
        <w:t xml:space="preserve"> of ATV and DRV is therefore based on individual studies and on a population analysis with a large dataset (9,584 </w:t>
      </w:r>
      <w:r w:rsidR="00675E9F">
        <w:t>COBI</w:t>
      </w:r>
      <w:r w:rsidRPr="00895B36">
        <w:t xml:space="preserve"> concentration</w:t>
      </w:r>
      <w:r w:rsidR="009B4245">
        <w:t xml:space="preserve"> </w:t>
      </w:r>
      <w:r w:rsidRPr="00895B36">
        <w:t>time records [8,880 intensive and 704 sparse data]) from a total of 504 subjects across 16 clinical studies. Cross</w:t>
      </w:r>
      <w:r w:rsidR="009B4245">
        <w:t xml:space="preserve"> </w:t>
      </w:r>
      <w:r w:rsidRPr="00895B36">
        <w:t xml:space="preserve">reference between different submissions is allowed within the TGA regulatory process, and these supporting data provide additional evidence of the efficacy, safety and tolerability profile of </w:t>
      </w:r>
      <w:proofErr w:type="spellStart"/>
      <w:r w:rsidR="007F3098">
        <w:t>Tybost</w:t>
      </w:r>
      <w:proofErr w:type="spellEnd"/>
      <w:r w:rsidRPr="00895B36">
        <w:t xml:space="preserve"> tablets. </w:t>
      </w:r>
    </w:p>
    <w:p w:rsidR="0097491E" w:rsidRDefault="0097491E" w:rsidP="00140A1D">
      <w:r w:rsidRPr="00895B36">
        <w:t>Taking into account the TGA’s concerns regarding the potential implications of stipulating other medicines directl</w:t>
      </w:r>
      <w:r w:rsidR="009B4245">
        <w:t>y in the COBI indication, the sponsor</w:t>
      </w:r>
      <w:r w:rsidRPr="00895B36">
        <w:t xml:space="preserve"> proposes the following indication that suitably reflects the safety and efficacy of COBI demonstrated in the Category 1 application under consideration</w:t>
      </w:r>
      <w:r w:rsidR="00446CB2">
        <w:t>:</w:t>
      </w:r>
    </w:p>
    <w:p w:rsidR="00A06ECE" w:rsidRPr="00140A1D" w:rsidRDefault="00A06ECE" w:rsidP="00140A1D">
      <w:pPr>
        <w:ind w:left="720"/>
        <w:rPr>
          <w:i/>
        </w:rPr>
      </w:pPr>
      <w:proofErr w:type="spellStart"/>
      <w:r w:rsidRPr="00140A1D">
        <w:rPr>
          <w:i/>
        </w:rPr>
        <w:t>Tybost</w:t>
      </w:r>
      <w:proofErr w:type="spellEnd"/>
      <w:r w:rsidRPr="00140A1D">
        <w:rPr>
          <w:i/>
        </w:rPr>
        <w:t xml:space="preserve"> is indicated for use as a pharmacokinetic enhancer of appropriate HIV-I protease inhibitors in adults (see Dosage and Administration). </w:t>
      </w:r>
    </w:p>
    <w:p w:rsidR="00A06ECE" w:rsidRDefault="00A06ECE" w:rsidP="00140A1D">
      <w:r w:rsidRPr="00A06ECE">
        <w:t xml:space="preserve">This indication is different to that proposed by TGA which is explained below. </w:t>
      </w:r>
    </w:p>
    <w:p w:rsidR="00117FDF" w:rsidRDefault="00117FDF" w:rsidP="00140A1D">
      <w:r w:rsidRPr="00A06ECE">
        <w:t>Up to 40% of investigational drugs fail to reach market due to their undesirable PK profile.</w:t>
      </w:r>
      <w:r>
        <w:rPr>
          <w:rStyle w:val="FootnoteReference"/>
        </w:rPr>
        <w:footnoteReference w:id="7"/>
      </w:r>
      <w:r w:rsidRPr="00A06ECE">
        <w:t xml:space="preserve"> Among approved drugs, some have inconvenient dosing regimens and unfavourable side effects due to their suboptimal PK properties. Marketed HIV </w:t>
      </w:r>
      <w:r>
        <w:t>protease inhibitor</w:t>
      </w:r>
      <w:r w:rsidRPr="00A06ECE">
        <w:t>s  are typical examples of</w:t>
      </w:r>
      <w:r>
        <w:t xml:space="preserve"> such drugs </w:t>
      </w:r>
      <w:r w:rsidRPr="00A06ECE">
        <w:t xml:space="preserve">especially those that are </w:t>
      </w:r>
      <w:proofErr w:type="spellStart"/>
      <w:r w:rsidRPr="00A06ECE">
        <w:t>unboosted</w:t>
      </w:r>
      <w:proofErr w:type="spellEnd"/>
      <w:r>
        <w:t xml:space="preserve">. As a class, HIV </w:t>
      </w:r>
      <w:r w:rsidRPr="00895B36">
        <w:t>pro</w:t>
      </w:r>
      <w:r>
        <w:t>tease inhibitors</w:t>
      </w:r>
      <w:r w:rsidRPr="00A06ECE">
        <w:t xml:space="preserve"> are metaboli</w:t>
      </w:r>
      <w:r>
        <w:t>s</w:t>
      </w:r>
      <w:r w:rsidRPr="00A06ECE">
        <w:t>ed rapidly by CYP enzymes in the intestine and liver, resulting in low systemic exposure and short half</w:t>
      </w:r>
      <w:r>
        <w:t xml:space="preserve"> </w:t>
      </w:r>
      <w:r w:rsidRPr="00A06ECE">
        <w:t xml:space="preserve">lives </w:t>
      </w:r>
      <w:r>
        <w:t xml:space="preserve">after oral delivery. RTV, a potent HIV </w:t>
      </w:r>
      <w:r w:rsidRPr="00895B36">
        <w:t>pro</w:t>
      </w:r>
      <w:r>
        <w:t>tease inhibitor</w:t>
      </w:r>
      <w:r w:rsidRPr="00A06ECE">
        <w:t>, is also an efficient mechanism</w:t>
      </w:r>
      <w:r>
        <w:t xml:space="preserve"> </w:t>
      </w:r>
      <w:r w:rsidRPr="00A06ECE">
        <w:t xml:space="preserve">based inhibitor of CYP3A. The combination of a low, </w:t>
      </w:r>
      <w:proofErr w:type="spellStart"/>
      <w:r w:rsidRPr="00A06ECE">
        <w:t>subtherapeutic</w:t>
      </w:r>
      <w:proofErr w:type="spellEnd"/>
      <w:r w:rsidRPr="00A06ECE">
        <w:t xml:space="preserve"> (antiviral) dose of RTV with drugs metabolized </w:t>
      </w:r>
      <w:r>
        <w:t xml:space="preserve">by CYP3A, including other HIV </w:t>
      </w:r>
      <w:r w:rsidRPr="00895B36">
        <w:t>pro</w:t>
      </w:r>
      <w:r>
        <w:t>tease inhibitor</w:t>
      </w:r>
      <w:r w:rsidRPr="00A06ECE">
        <w:t xml:space="preserve"> drugs, results in a significant “boosting” of plasma concentrations of the latter </w:t>
      </w:r>
      <w:proofErr w:type="spellStart"/>
      <w:r w:rsidRPr="00A06ECE">
        <w:t>coadministered</w:t>
      </w:r>
      <w:proofErr w:type="spellEnd"/>
      <w:r w:rsidRPr="00A06ECE">
        <w:t xml:space="preserve"> drug. As a consequence,</w:t>
      </w:r>
      <w:r>
        <w:t xml:space="preserve"> the majority of marketed HIV </w:t>
      </w:r>
      <w:r w:rsidRPr="00895B36">
        <w:t>pro</w:t>
      </w:r>
      <w:r>
        <w:t>tease inhibitor</w:t>
      </w:r>
      <w:r w:rsidRPr="00A06ECE">
        <w:t>s are prescribed in</w:t>
      </w:r>
      <w:r>
        <w:t xml:space="preserve"> combination with low-dose (100-</w:t>
      </w:r>
      <w:r w:rsidRPr="00A06ECE">
        <w:t>400 mg/day) RTV</w:t>
      </w:r>
      <w:r>
        <w:t>.</w:t>
      </w:r>
      <w:r>
        <w:rPr>
          <w:rStyle w:val="FootnoteReference"/>
        </w:rPr>
        <w:footnoteReference w:id="8"/>
      </w:r>
    </w:p>
    <w:p w:rsidR="00286ED9" w:rsidRPr="00286ED9" w:rsidRDefault="00286ED9" w:rsidP="00140A1D">
      <w:r w:rsidRPr="00286ED9">
        <w:t>ATV (</w:t>
      </w:r>
      <w:proofErr w:type="spellStart"/>
      <w:r w:rsidRPr="00286ED9">
        <w:t>Reyataz</w:t>
      </w:r>
      <w:proofErr w:type="spellEnd"/>
      <w:r w:rsidRPr="00286ED9">
        <w:t>) and DRV (</w:t>
      </w:r>
      <w:proofErr w:type="spellStart"/>
      <w:r w:rsidRPr="00286ED9">
        <w:t>Prezista</w:t>
      </w:r>
      <w:proofErr w:type="spellEnd"/>
      <w:r w:rsidRPr="00286ED9">
        <w:t>) are both indicated in Australia for co</w:t>
      </w:r>
      <w:r w:rsidR="00CB6887">
        <w:t>-</w:t>
      </w:r>
      <w:r w:rsidRPr="00286ED9">
        <w:t>administration with low</w:t>
      </w:r>
      <w:r w:rsidR="00CB6887">
        <w:t xml:space="preserve"> </w:t>
      </w:r>
      <w:r w:rsidRPr="00286ED9">
        <w:t>dose RTV for the treatment of HIV-1 infected adults and paediatric patients 6 years of age and older in combination with other ARV medicinal products</w:t>
      </w:r>
      <w:r>
        <w:t>.</w:t>
      </w:r>
      <w:r>
        <w:rPr>
          <w:rStyle w:val="FootnoteReference"/>
        </w:rPr>
        <w:footnoteReference w:id="9"/>
      </w:r>
      <w:r w:rsidRPr="00286ED9">
        <w:t xml:space="preserve"> Antiretroviral treatment regimens including ATV or DRV boosted by RTV in combination with other ARV agents are included as current preferred and/or recommended regimens in the European and US Guidelines for the treatment of HIV-1 infection</w:t>
      </w:r>
      <w:r>
        <w:t>.</w:t>
      </w:r>
      <w:r>
        <w:rPr>
          <w:rStyle w:val="FootnoteReference"/>
        </w:rPr>
        <w:footnoteReference w:id="10"/>
      </w:r>
    </w:p>
    <w:p w:rsidR="00286ED9" w:rsidRPr="00286ED9" w:rsidRDefault="00286ED9" w:rsidP="00140A1D">
      <w:r w:rsidRPr="00286ED9">
        <w:t xml:space="preserve">The proposed indication for </w:t>
      </w:r>
      <w:proofErr w:type="spellStart"/>
      <w:r w:rsidR="007F3098">
        <w:t>Tybost</w:t>
      </w:r>
      <w:proofErr w:type="spellEnd"/>
      <w:r w:rsidRPr="00286ED9">
        <w:t xml:space="preserve"> tablets is for use o</w:t>
      </w:r>
      <w:r w:rsidR="00CB6887">
        <w:t>nce daily as a PK</w:t>
      </w:r>
      <w:r w:rsidRPr="00286ED9">
        <w:t xml:space="preserve"> enhancer of the HIV-1 </w:t>
      </w:r>
      <w:r w:rsidR="00CB403A">
        <w:t>protease inhibitors</w:t>
      </w:r>
      <w:r w:rsidRPr="00286ED9">
        <w:t xml:space="preserve"> ATV and DRV in adults. Pending regulatory approval, </w:t>
      </w:r>
      <w:proofErr w:type="spellStart"/>
      <w:r w:rsidR="007F3098">
        <w:t>Tybost</w:t>
      </w:r>
      <w:proofErr w:type="spellEnd"/>
      <w:r w:rsidRPr="00286ED9">
        <w:t xml:space="preserve"> tablets would be the first pharmaceutical agent with an indication for use as a PK enhancer. </w:t>
      </w:r>
    </w:p>
    <w:p w:rsidR="00286ED9" w:rsidRPr="00286ED9" w:rsidRDefault="00286ED9" w:rsidP="00140A1D">
      <w:r w:rsidRPr="00286ED9">
        <w:t>Following concern that the original indication could be viewed as promoting other medicines off</w:t>
      </w:r>
      <w:r w:rsidR="00CB6887">
        <w:t xml:space="preserve"> </w:t>
      </w:r>
      <w:r w:rsidRPr="00286ED9">
        <w:t xml:space="preserve">label, the Delegate has stated the inclination to approve the registration of </w:t>
      </w:r>
      <w:proofErr w:type="spellStart"/>
      <w:r w:rsidR="007F3098">
        <w:t>Tybost</w:t>
      </w:r>
      <w:proofErr w:type="spellEnd"/>
      <w:r w:rsidRPr="00286ED9">
        <w:t xml:space="preserve"> with the following alternative indication: </w:t>
      </w:r>
    </w:p>
    <w:p w:rsidR="00286ED9" w:rsidRPr="00140A1D" w:rsidRDefault="007F3098" w:rsidP="00140A1D">
      <w:pPr>
        <w:ind w:left="720"/>
        <w:rPr>
          <w:i/>
        </w:rPr>
      </w:pPr>
      <w:proofErr w:type="spellStart"/>
      <w:r w:rsidRPr="00140A1D">
        <w:rPr>
          <w:i/>
        </w:rPr>
        <w:t>Tybost</w:t>
      </w:r>
      <w:proofErr w:type="spellEnd"/>
      <w:r w:rsidR="00286ED9" w:rsidRPr="00140A1D">
        <w:rPr>
          <w:i/>
        </w:rPr>
        <w:t xml:space="preserve"> is indicated for use as a pharmacokinetic enhancer of appropriate HIV-I protease inhibitors in adults where efficacy has been demonstrated clinically (see Clinical Trials). </w:t>
      </w:r>
    </w:p>
    <w:p w:rsidR="00286ED9" w:rsidRPr="00286ED9" w:rsidRDefault="005A39EC" w:rsidP="00140A1D">
      <w:r>
        <w:lastRenderedPageBreak/>
        <w:t>The sponsor</w:t>
      </w:r>
      <w:r w:rsidR="00286ED9" w:rsidRPr="00286ED9">
        <w:t xml:space="preserve"> agrees with the suggestion of an alternative indication statement. However, the indication statement as proposed by the Delegate would exclude the use of COBI as a pharmacokinetic enhancer of DRV since only the data from the </w:t>
      </w:r>
      <w:r w:rsidR="00605592">
        <w:t>Phase III</w:t>
      </w:r>
      <w:r w:rsidR="00286ED9" w:rsidRPr="00286ED9">
        <w:t xml:space="preserve"> study of COBI-boosted ATV + </w:t>
      </w:r>
      <w:proofErr w:type="spellStart"/>
      <w:r w:rsidR="00286ED9" w:rsidRPr="00286ED9">
        <w:t>Truvada</w:t>
      </w:r>
      <w:proofErr w:type="spellEnd"/>
      <w:r w:rsidR="00286ED9" w:rsidRPr="00286ED9">
        <w:t xml:space="preserve"> in HIV-1 infected subjects is reflected in the Clinical Trials section of the </w:t>
      </w:r>
      <w:r>
        <w:t>PI</w:t>
      </w:r>
      <w:r w:rsidR="00286ED9" w:rsidRPr="00286ED9">
        <w:t xml:space="preserve">. The indication for COBI as a booster of DRV is supported by data from the PK </w:t>
      </w:r>
      <w:r>
        <w:t>S</w:t>
      </w:r>
      <w:r w:rsidR="00286ED9" w:rsidRPr="00286ED9">
        <w:t xml:space="preserve">tudy GS-US-216-0115 and data from PK/PD analyses which demonstrate the effectiveness of COBI as a </w:t>
      </w:r>
      <w:proofErr w:type="spellStart"/>
      <w:r w:rsidR="00286ED9" w:rsidRPr="00286ED9">
        <w:t>pharmacoenhancer</w:t>
      </w:r>
      <w:proofErr w:type="spellEnd"/>
      <w:r w:rsidR="00286ED9" w:rsidRPr="00286ED9">
        <w:t xml:space="preserve"> of DRV according to accepted regulatory standards. As such</w:t>
      </w:r>
      <w:r w:rsidR="00640553">
        <w:t>,</w:t>
      </w:r>
      <w:r w:rsidR="00286ED9" w:rsidRPr="00286ED9">
        <w:t xml:space="preserve"> COBI should be approved in combination with DRV, as well as ATV; a situation that the Delegate’s proposed indication could</w:t>
      </w:r>
      <w:r w:rsidR="00640553">
        <w:t xml:space="preserve"> inadvertently prevent. As such, the sponsor </w:t>
      </w:r>
      <w:r w:rsidR="00286ED9" w:rsidRPr="00286ED9">
        <w:t xml:space="preserve">proposes the following indication: </w:t>
      </w:r>
    </w:p>
    <w:p w:rsidR="00286ED9" w:rsidRPr="00140A1D" w:rsidRDefault="007F3098" w:rsidP="00140A1D">
      <w:pPr>
        <w:ind w:left="720"/>
        <w:rPr>
          <w:i/>
        </w:rPr>
      </w:pPr>
      <w:proofErr w:type="spellStart"/>
      <w:r w:rsidRPr="00140A1D">
        <w:rPr>
          <w:i/>
        </w:rPr>
        <w:t>Tybost</w:t>
      </w:r>
      <w:proofErr w:type="spellEnd"/>
      <w:r w:rsidR="00286ED9" w:rsidRPr="00140A1D">
        <w:rPr>
          <w:i/>
        </w:rPr>
        <w:t xml:space="preserve"> is indicated for use as a pharmacokinetic enhancer of appropriate HIV-I protease inhibitors in adults (see Dosage and Administration).</w:t>
      </w:r>
    </w:p>
    <w:p w:rsidR="002705F2" w:rsidRPr="002705F2" w:rsidRDefault="002705F2" w:rsidP="00140A1D">
      <w:r w:rsidRPr="002705F2">
        <w:t xml:space="preserve">The indication statement proposed by </w:t>
      </w:r>
      <w:r w:rsidR="00E17020">
        <w:t>the sponsor</w:t>
      </w:r>
      <w:r w:rsidRPr="002705F2">
        <w:t xml:space="preserve"> is identical to that proposed by the delegate, except that reference is instead made to the </w:t>
      </w:r>
      <w:r w:rsidR="00E17020">
        <w:t>‘</w:t>
      </w:r>
      <w:r w:rsidRPr="002705F2">
        <w:t>Dosage and Administration</w:t>
      </w:r>
      <w:r w:rsidR="00E17020">
        <w:t>’</w:t>
      </w:r>
      <w:r w:rsidRPr="002705F2">
        <w:t xml:space="preserve"> section of the </w:t>
      </w:r>
      <w:r w:rsidR="00C460C7">
        <w:t>PI</w:t>
      </w:r>
      <w:r w:rsidRPr="002705F2">
        <w:t xml:space="preserve"> which provides a list of protease inhibitors to be administered with COBI. </w:t>
      </w:r>
    </w:p>
    <w:p w:rsidR="002705F2" w:rsidRDefault="002705F2" w:rsidP="00140A1D">
      <w:r w:rsidRPr="002705F2">
        <w:t>The remainder of t</w:t>
      </w:r>
      <w:r w:rsidR="00F2644E">
        <w:t>his response is separated into five</w:t>
      </w:r>
      <w:r w:rsidRPr="002705F2">
        <w:t xml:space="preserve"> sections to directly address the Delegate’s comments. </w:t>
      </w:r>
    </w:p>
    <w:p w:rsidR="002705F2" w:rsidRPr="0097491E" w:rsidRDefault="002705F2" w:rsidP="00140A1D">
      <w:pPr>
        <w:pStyle w:val="Heading5"/>
      </w:pPr>
      <w:r>
        <w:t>Discussion of Delegate’s comments</w:t>
      </w:r>
    </w:p>
    <w:p w:rsidR="002705F2" w:rsidRDefault="002705F2" w:rsidP="00140A1D">
      <w:pPr>
        <w:pStyle w:val="Heading6"/>
        <w:numPr>
          <w:ilvl w:val="0"/>
          <w:numId w:val="47"/>
        </w:numPr>
        <w:ind w:left="426"/>
      </w:pPr>
      <w:r>
        <w:t xml:space="preserve">Whether the data are sufficient to support a positive risk-benefit for the use of COBI to boost ATV </w:t>
      </w:r>
    </w:p>
    <w:p w:rsidR="002705F2" w:rsidRPr="002705F2" w:rsidRDefault="002705F2" w:rsidP="00140A1D">
      <w:r w:rsidRPr="002705F2">
        <w:t>The Delegate considers that the totality of data</w:t>
      </w:r>
      <w:r w:rsidR="00E606E9">
        <w:t xml:space="preserve"> (that is, </w:t>
      </w:r>
      <w:r>
        <w:t xml:space="preserve">proof of pharmacokinetic </w:t>
      </w:r>
      <w:r w:rsidRPr="002705F2">
        <w:t>enhancement; non</w:t>
      </w:r>
      <w:r w:rsidR="00E606E9">
        <w:t xml:space="preserve"> </w:t>
      </w:r>
      <w:r w:rsidRPr="002705F2">
        <w:t xml:space="preserve">inferior clinical efficacy; and acceptable safety profile in the </w:t>
      </w:r>
      <w:r w:rsidR="00F34643">
        <w:t>Phase II and III</w:t>
      </w:r>
      <w:r w:rsidRPr="002705F2">
        <w:t xml:space="preserve"> studies submitted) is sufficient to support a positive risk-benefit for the use if COBI to boost ATV. </w:t>
      </w:r>
    </w:p>
    <w:p w:rsidR="00281170" w:rsidRPr="00281170" w:rsidRDefault="002705F2" w:rsidP="00140A1D">
      <w:r w:rsidRPr="00281170">
        <w:t xml:space="preserve">The proposed indication for COBI serving as a </w:t>
      </w:r>
      <w:proofErr w:type="spellStart"/>
      <w:r w:rsidRPr="00281170">
        <w:t>pharmacoenhancer</w:t>
      </w:r>
      <w:proofErr w:type="spellEnd"/>
      <w:r w:rsidRPr="00281170">
        <w:t xml:space="preserve"> of ATV is supported by 48</w:t>
      </w:r>
      <w:r w:rsidR="00734619">
        <w:t xml:space="preserve"> </w:t>
      </w:r>
      <w:r w:rsidRPr="00281170">
        <w:t>week safety and efficacy data fro</w:t>
      </w:r>
      <w:r w:rsidR="00605592">
        <w:t>m Phase III</w:t>
      </w:r>
      <w:r w:rsidRPr="00281170">
        <w:t xml:space="preserve"> Study GS-US-216-0114, which provide comparative data of COBI</w:t>
      </w:r>
      <w:r w:rsidR="00734619">
        <w:t xml:space="preserve"> </w:t>
      </w:r>
      <w:r w:rsidRPr="00281170">
        <w:t>boo</w:t>
      </w:r>
      <w:r w:rsidR="009D3AE9">
        <w:t xml:space="preserve">sted ATV relative to RTV </w:t>
      </w:r>
      <w:r w:rsidRPr="00281170">
        <w:t>boosted ATV in combination with FTC/TDF in HIV-1 infected, treatment</w:t>
      </w:r>
      <w:r w:rsidR="00734619">
        <w:t xml:space="preserve"> </w:t>
      </w:r>
      <w:r w:rsidRPr="00281170">
        <w:t>naïve adults. These studies were informed by the proof</w:t>
      </w:r>
      <w:r w:rsidR="00311D2B">
        <w:t xml:space="preserve"> </w:t>
      </w:r>
      <w:r w:rsidRPr="00281170">
        <w:t>of</w:t>
      </w:r>
      <w:r w:rsidR="00311D2B">
        <w:t xml:space="preserve"> </w:t>
      </w:r>
      <w:r w:rsidRPr="00281170">
        <w:t>concept Study GS-US-216-0110</w:t>
      </w:r>
      <w:r w:rsidR="00281170" w:rsidRPr="00281170">
        <w:t xml:space="preserve"> </w:t>
      </w:r>
      <w:r w:rsidR="00311D2B">
        <w:t>comparing</w:t>
      </w:r>
      <w:r w:rsidR="00281170" w:rsidRPr="00281170">
        <w:t xml:space="preserve"> ATV exposures achieved from boosting by COBI versus RTV. The indication is further supported by cross reference to the comprehensive clinical programme of Phase </w:t>
      </w:r>
      <w:r w:rsidR="00311D2B">
        <w:t>I</w:t>
      </w:r>
      <w:r w:rsidR="00281170" w:rsidRPr="00281170">
        <w:t xml:space="preserve">, </w:t>
      </w:r>
      <w:r w:rsidR="00311D2B">
        <w:t>II</w:t>
      </w:r>
      <w:r w:rsidR="00281170" w:rsidRPr="00281170">
        <w:t xml:space="preserve"> and </w:t>
      </w:r>
      <w:r w:rsidR="00311D2B">
        <w:t>III</w:t>
      </w:r>
      <w:r w:rsidR="00281170" w:rsidRPr="00281170">
        <w:t xml:space="preserve"> clinical studies provided to the TGA as part of the Category 1 application for </w:t>
      </w:r>
      <w:proofErr w:type="spellStart"/>
      <w:r w:rsidR="007F3098">
        <w:t>Stribild</w:t>
      </w:r>
      <w:proofErr w:type="spellEnd"/>
      <w:r w:rsidR="00F34643">
        <w:t xml:space="preserve">, which was approved by TGA on </w:t>
      </w:r>
      <w:r w:rsidR="00281170" w:rsidRPr="00281170">
        <w:t xml:space="preserve">8 February 2013. </w:t>
      </w:r>
    </w:p>
    <w:p w:rsidR="00281170" w:rsidRPr="00281170" w:rsidRDefault="00281170" w:rsidP="00140A1D">
      <w:r w:rsidRPr="00281170">
        <w:t>The ATV/co</w:t>
      </w:r>
      <w:r w:rsidR="00EB45B7">
        <w:t xml:space="preserve"> </w:t>
      </w:r>
      <w:r w:rsidRPr="00281170">
        <w:t>+</w:t>
      </w:r>
      <w:r w:rsidR="00EB45B7">
        <w:t xml:space="preserve"> </w:t>
      </w:r>
      <w:r w:rsidRPr="00281170">
        <w:t>TVD regimen has demonstrated a favourable safety profile, supported by a large safety database at the recommended dose and the length of treatment. Pooled data at Week 48 (</w:t>
      </w:r>
      <w:r w:rsidR="001F7605">
        <w:t xml:space="preserve">Studies </w:t>
      </w:r>
      <w:r w:rsidRPr="00281170">
        <w:t>GS-US-216-0105 and GS-US-216-0114) indicate that the ATV/co</w:t>
      </w:r>
      <w:r w:rsidR="001F7605">
        <w:t xml:space="preserve"> </w:t>
      </w:r>
      <w:r w:rsidRPr="00281170">
        <w:t>+</w:t>
      </w:r>
      <w:r w:rsidR="001F7605">
        <w:t xml:space="preserve"> </w:t>
      </w:r>
      <w:r w:rsidRPr="00281170">
        <w:t>TVD regimen induces lower elevations of triglyceride levels than the ATV/r</w:t>
      </w:r>
      <w:r w:rsidR="001F7605">
        <w:t xml:space="preserve"> </w:t>
      </w:r>
      <w:r w:rsidRPr="00281170">
        <w:t>+</w:t>
      </w:r>
      <w:r w:rsidR="001F7605">
        <w:t xml:space="preserve"> </w:t>
      </w:r>
      <w:r w:rsidRPr="00281170">
        <w:t xml:space="preserve">TVD regimen. </w:t>
      </w:r>
      <w:r w:rsidR="00675E9F">
        <w:t>COBI</w:t>
      </w:r>
      <w:r w:rsidRPr="00281170">
        <w:t xml:space="preserve"> also offers the potential for differentiated drug-drug interactions than RTV due to its more selective CYP inhibition profile; furthermore, it is a much less potent inducer of other metaboli</w:t>
      </w:r>
      <w:r w:rsidR="00553C9A">
        <w:t>s</w:t>
      </w:r>
      <w:r w:rsidRPr="00281170">
        <w:t xml:space="preserve">ing enzymes </w:t>
      </w:r>
      <w:r w:rsidRPr="00553C9A">
        <w:rPr>
          <w:i/>
        </w:rPr>
        <w:t>in vitro</w:t>
      </w:r>
      <w:r w:rsidRPr="00281170">
        <w:t>, and it has been shown to have less potential for clinically significant drug interactions via these non</w:t>
      </w:r>
      <w:r w:rsidR="00BB767F">
        <w:t xml:space="preserve"> </w:t>
      </w:r>
      <w:r w:rsidRPr="00281170">
        <w:t xml:space="preserve">CYP3A pathways. </w:t>
      </w:r>
    </w:p>
    <w:p w:rsidR="00281170" w:rsidRPr="00140A1D" w:rsidRDefault="00281170" w:rsidP="00140A1D">
      <w:pPr>
        <w:pStyle w:val="Heading6"/>
        <w:numPr>
          <w:ilvl w:val="0"/>
          <w:numId w:val="47"/>
        </w:numPr>
        <w:ind w:left="426"/>
      </w:pPr>
      <w:r>
        <w:t>Whether the data are sufficient to support a positive risk-benefit f</w:t>
      </w:r>
      <w:r w:rsidR="00140A1D">
        <w:t>or the use of COBI to boost DRV</w:t>
      </w:r>
    </w:p>
    <w:p w:rsidR="00281170" w:rsidRPr="00281170" w:rsidRDefault="00281170" w:rsidP="00140A1D">
      <w:r w:rsidRPr="00281170">
        <w:t xml:space="preserve">It was concluded by the clinical evaluator and Delegate that there is sufficient strength to the PK and PK-PD data to include DRV within the scope of protease inhibitors for which COBI can be used as a pharmacokinetic enhancer. </w:t>
      </w:r>
    </w:p>
    <w:p w:rsidR="00281170" w:rsidRPr="00281170" w:rsidRDefault="00281170" w:rsidP="00D71DD7">
      <w:r w:rsidRPr="00281170">
        <w:t xml:space="preserve">The proposed indication of COBI serving as a </w:t>
      </w:r>
      <w:proofErr w:type="spellStart"/>
      <w:r w:rsidRPr="00281170">
        <w:t>pharmacoenhancer</w:t>
      </w:r>
      <w:proofErr w:type="spellEnd"/>
      <w:r w:rsidRPr="00281170">
        <w:t xml:space="preserve"> of DRV is based on bridging pharmacokinetic data from the comparative bioavailability Study GS-US-216-0115, which examined DRV exposures when boosted with COBI versus RTV, and Janssen </w:t>
      </w:r>
      <w:r w:rsidRPr="00281170">
        <w:lastRenderedPageBreak/>
        <w:t xml:space="preserve">Pharmaceutical’s DRV/RTV registration </w:t>
      </w:r>
      <w:r w:rsidR="008E4396">
        <w:t>S</w:t>
      </w:r>
      <w:r w:rsidRPr="00281170">
        <w:t>tudies TMC114-C211 and TMC114-C229 in HIV-1 infected subjects. COBI 150 mg once daily boosted the pharmacokinetics of DRV 800 mg similarly to RTV 100 mg, providing bioequivalent exposure (</w:t>
      </w:r>
      <w:proofErr w:type="spellStart"/>
      <w:r w:rsidRPr="00281170">
        <w:t>AUC</w:t>
      </w:r>
      <w:r w:rsidRPr="00281170">
        <w:rPr>
          <w:vertAlign w:val="subscript"/>
        </w:rPr>
        <w:t>tau</w:t>
      </w:r>
      <w:proofErr w:type="spellEnd"/>
      <w:r w:rsidRPr="00281170">
        <w:t xml:space="preserve"> and </w:t>
      </w:r>
      <w:proofErr w:type="spellStart"/>
      <w:r w:rsidRPr="00281170">
        <w:t>C</w:t>
      </w:r>
      <w:r w:rsidRPr="00281170">
        <w:rPr>
          <w:vertAlign w:val="subscript"/>
        </w:rPr>
        <w:t>max</w:t>
      </w:r>
      <w:proofErr w:type="spellEnd"/>
      <w:r w:rsidRPr="00281170">
        <w:t>) and consistently maintaining DRV trough concentrations above the protein</w:t>
      </w:r>
      <w:r w:rsidR="00C17C49">
        <w:t xml:space="preserve"> </w:t>
      </w:r>
      <w:r w:rsidRPr="00281170">
        <w:t>adjusted EC</w:t>
      </w:r>
      <w:r w:rsidRPr="00281170">
        <w:rPr>
          <w:vertAlign w:val="subscript"/>
        </w:rPr>
        <w:t>50</w:t>
      </w:r>
      <w:r w:rsidRPr="00281170">
        <w:t xml:space="preserve"> for wild</w:t>
      </w:r>
      <w:r w:rsidR="00B37716">
        <w:t xml:space="preserve"> </w:t>
      </w:r>
      <w:r w:rsidRPr="00281170">
        <w:t xml:space="preserve">type virus. These results were similar to those reported in previous clinical studies of DRV 800 mg with RTV 100 mg once daily. </w:t>
      </w:r>
    </w:p>
    <w:p w:rsidR="00281170" w:rsidRPr="00281170" w:rsidRDefault="00281170" w:rsidP="00D71DD7">
      <w:r w:rsidRPr="00281170">
        <w:t>Safety results indicated that DRV 800 mg, dosed once daily for 10 days, was well tolerated when co</w:t>
      </w:r>
      <w:r w:rsidR="00C17C49">
        <w:t>-</w:t>
      </w:r>
      <w:r w:rsidRPr="00281170">
        <w:t xml:space="preserve">administered with COBI or RTV. </w:t>
      </w:r>
    </w:p>
    <w:p w:rsidR="00281170" w:rsidRPr="00281170" w:rsidRDefault="00281170" w:rsidP="00D71DD7">
      <w:r w:rsidRPr="00281170">
        <w:t xml:space="preserve">In addition, the overall safety profile of COBI as a booster of ATV and EVG (as part of </w:t>
      </w:r>
      <w:proofErr w:type="spellStart"/>
      <w:r w:rsidR="007F3098">
        <w:t>Stribild</w:t>
      </w:r>
      <w:proofErr w:type="spellEnd"/>
      <w:r w:rsidRPr="00281170">
        <w:t xml:space="preserve">) has been demonstrated, and is supported by the comprehensive clinical programme of Phase </w:t>
      </w:r>
      <w:r w:rsidR="00B37716">
        <w:t>I</w:t>
      </w:r>
      <w:r w:rsidRPr="00281170">
        <w:t xml:space="preserve">, </w:t>
      </w:r>
      <w:r w:rsidR="00B37716">
        <w:t>II</w:t>
      </w:r>
      <w:r w:rsidRPr="00281170">
        <w:t xml:space="preserve"> and </w:t>
      </w:r>
      <w:r w:rsidR="00B37716">
        <w:t>III</w:t>
      </w:r>
      <w:r w:rsidRPr="00281170">
        <w:t xml:space="preserve"> clinical studies provided to the TGA as part of the Category 1 application for </w:t>
      </w:r>
      <w:proofErr w:type="spellStart"/>
      <w:r w:rsidR="007F3098">
        <w:t>Stribild</w:t>
      </w:r>
      <w:proofErr w:type="spellEnd"/>
      <w:r w:rsidRPr="00281170">
        <w:t xml:space="preserve">. </w:t>
      </w:r>
    </w:p>
    <w:p w:rsidR="00CE73DD" w:rsidRDefault="00281170" w:rsidP="00D71DD7">
      <w:pPr>
        <w:pStyle w:val="Heading6"/>
        <w:numPr>
          <w:ilvl w:val="0"/>
          <w:numId w:val="47"/>
        </w:numPr>
        <w:ind w:left="426"/>
      </w:pPr>
      <w:r>
        <w:t>Whether the following alternative indication proposed</w:t>
      </w:r>
      <w:r w:rsidR="00CE73DD">
        <w:t xml:space="preserve"> by the Delegate is acceptable:</w:t>
      </w:r>
    </w:p>
    <w:p w:rsidR="00281170" w:rsidRPr="00D71DD7" w:rsidRDefault="00281170" w:rsidP="00D71DD7">
      <w:pPr>
        <w:ind w:left="709"/>
        <w:rPr>
          <w:i/>
        </w:rPr>
      </w:pPr>
      <w:r w:rsidRPr="00D71DD7">
        <w:rPr>
          <w:i/>
        </w:rPr>
        <w:t>“</w:t>
      </w:r>
      <w:proofErr w:type="spellStart"/>
      <w:r w:rsidR="003E5743" w:rsidRPr="00D71DD7">
        <w:rPr>
          <w:i/>
        </w:rPr>
        <w:t>Tybo</w:t>
      </w:r>
      <w:r w:rsidR="0057365D" w:rsidRPr="00D71DD7">
        <w:rPr>
          <w:i/>
        </w:rPr>
        <w:t>st</w:t>
      </w:r>
      <w:proofErr w:type="spellEnd"/>
      <w:r w:rsidRPr="00D71DD7">
        <w:rPr>
          <w:i/>
        </w:rPr>
        <w:t xml:space="preserve"> is indicated for use as a pharmacokinetic enhancer of appropriate HIV-1 protease inhibitors in adults where efficacy has been demonstrated clinically (see Clinical Trials)”.</w:t>
      </w:r>
    </w:p>
    <w:p w:rsidR="005153A6" w:rsidRPr="005153A6" w:rsidRDefault="00AD7B1B" w:rsidP="00D71DD7">
      <w:r>
        <w:t>The sponsor</w:t>
      </w:r>
      <w:r w:rsidR="005153A6" w:rsidRPr="005153A6">
        <w:t xml:space="preserve"> agrees with the suggestion of an al</w:t>
      </w:r>
      <w:r>
        <w:t>ternative indication statement</w:t>
      </w:r>
      <w:r w:rsidR="00C52937">
        <w:t>; h</w:t>
      </w:r>
      <w:r>
        <w:t xml:space="preserve">owever, the sponsor </w:t>
      </w:r>
      <w:r w:rsidR="00C52937">
        <w:t>b</w:t>
      </w:r>
      <w:r w:rsidR="005153A6" w:rsidRPr="005153A6">
        <w:t>elieves the indication statement as proposed by the Delegate would exclude the use of COBI as a pharmac</w:t>
      </w:r>
      <w:r w:rsidR="00C52937">
        <w:t xml:space="preserve">okinetic enhancer of DRV. This </w:t>
      </w:r>
      <w:r w:rsidR="005153A6" w:rsidRPr="005153A6">
        <w:t>was not the intent of the Delegate considering that the conclusion from both the clinical evaluator and Delegate is that there is suffi</w:t>
      </w:r>
      <w:r w:rsidR="00BA4747">
        <w:t>cient strength to the PK and PK/</w:t>
      </w:r>
      <w:r w:rsidR="005153A6" w:rsidRPr="005153A6">
        <w:t xml:space="preserve">PD data to include DRV within the scope of protease inhibitors for which COBI can be used as a pharmacokinetic enhancer. </w:t>
      </w:r>
    </w:p>
    <w:p w:rsidR="005153A6" w:rsidRPr="00B26094" w:rsidRDefault="00B26094" w:rsidP="00D71DD7">
      <w:r>
        <w:t>Only the data from the P</w:t>
      </w:r>
      <w:r w:rsidR="005153A6" w:rsidRPr="00B26094">
        <w:t>h</w:t>
      </w:r>
      <w:r w:rsidR="003C0572">
        <w:t>ase III study of COBI boosted ATV</w:t>
      </w:r>
      <w:r w:rsidR="005153A6" w:rsidRPr="00B26094">
        <w:t xml:space="preserve">+ </w:t>
      </w:r>
      <w:proofErr w:type="spellStart"/>
      <w:r w:rsidR="005153A6" w:rsidRPr="00B26094">
        <w:t>Truvada</w:t>
      </w:r>
      <w:proofErr w:type="spellEnd"/>
      <w:r w:rsidR="005153A6" w:rsidRPr="00B26094">
        <w:t xml:space="preserve"> in HIV-1 infected subjects is reflected in the </w:t>
      </w:r>
      <w:r w:rsidR="00E510BA">
        <w:t>‘</w:t>
      </w:r>
      <w:r w:rsidR="005153A6" w:rsidRPr="00B26094">
        <w:t>Clinical Trials</w:t>
      </w:r>
      <w:r w:rsidR="00E510BA">
        <w:t>’</w:t>
      </w:r>
      <w:r w:rsidR="005153A6" w:rsidRPr="00B26094">
        <w:t xml:space="preserve"> section of the </w:t>
      </w:r>
      <w:r w:rsidR="00E510BA">
        <w:t>PI</w:t>
      </w:r>
      <w:r w:rsidR="005153A6" w:rsidRPr="00B26094">
        <w:t xml:space="preserve">. The indication for COBI as a booster of DRV is supported by data from the PK </w:t>
      </w:r>
      <w:r w:rsidR="005F174C">
        <w:t>S</w:t>
      </w:r>
      <w:r w:rsidR="005153A6" w:rsidRPr="00B26094">
        <w:t xml:space="preserve">tudy GS-US-216-0115 and data from PK/PD analyses which demonstrate the effectiveness of COBI as a </w:t>
      </w:r>
      <w:proofErr w:type="spellStart"/>
      <w:r w:rsidR="005153A6" w:rsidRPr="00B26094">
        <w:t>pharmacoenhancer</w:t>
      </w:r>
      <w:proofErr w:type="spellEnd"/>
      <w:r w:rsidR="005153A6" w:rsidRPr="00B26094">
        <w:t xml:space="preserve"> of DRV according to accepted regulatory standards. As such</w:t>
      </w:r>
      <w:r w:rsidR="00C52937">
        <w:t>,</w:t>
      </w:r>
      <w:r w:rsidR="005153A6" w:rsidRPr="00B26094">
        <w:t xml:space="preserve"> COBI should be approved in combination with DRV, as well as ATV; a situation that the Delegate’s proposed indication could</w:t>
      </w:r>
      <w:r w:rsidR="00C52937">
        <w:t xml:space="preserve"> inadvertently prevent. As a result, the sponsor </w:t>
      </w:r>
      <w:r w:rsidR="005153A6" w:rsidRPr="00B26094">
        <w:t>proposes an alternative indication statement as follows:</w:t>
      </w:r>
    </w:p>
    <w:p w:rsidR="003523B0" w:rsidRPr="00D71DD7" w:rsidRDefault="007F3098" w:rsidP="00D71DD7">
      <w:pPr>
        <w:ind w:left="720"/>
        <w:rPr>
          <w:i/>
        </w:rPr>
      </w:pPr>
      <w:proofErr w:type="spellStart"/>
      <w:r w:rsidRPr="00D71DD7">
        <w:rPr>
          <w:i/>
        </w:rPr>
        <w:t>Tybost</w:t>
      </w:r>
      <w:proofErr w:type="spellEnd"/>
      <w:r w:rsidR="003523B0" w:rsidRPr="00D71DD7">
        <w:rPr>
          <w:i/>
        </w:rPr>
        <w:t xml:space="preserve"> is indicated for use as a pharmacokinetic enhancer of appropriate HIV-I protease inhibitors in adults (see Dosage and Administration). </w:t>
      </w:r>
    </w:p>
    <w:p w:rsidR="003523B0" w:rsidRPr="003F70F7" w:rsidRDefault="003523B0" w:rsidP="000D67CA">
      <w:r w:rsidRPr="003F70F7">
        <w:t xml:space="preserve">The indication statement proposed by </w:t>
      </w:r>
      <w:r w:rsidR="00BF347D">
        <w:t>the sponsor</w:t>
      </w:r>
      <w:r w:rsidRPr="003F70F7">
        <w:t xml:space="preserve"> is identical to that proposed by the delegate, except that reference is instead made to the </w:t>
      </w:r>
      <w:r w:rsidR="00BF347D">
        <w:t>‘</w:t>
      </w:r>
      <w:r w:rsidRPr="003F70F7">
        <w:t>Dosage and Administration</w:t>
      </w:r>
      <w:r w:rsidR="00BF347D">
        <w:t>’</w:t>
      </w:r>
      <w:r w:rsidRPr="003F70F7">
        <w:t xml:space="preserve"> section of the </w:t>
      </w:r>
      <w:r w:rsidR="000A164A">
        <w:t>PI</w:t>
      </w:r>
      <w:r w:rsidRPr="003F70F7">
        <w:t xml:space="preserve"> which provides a list of protease inhibitors to be administered with COBI. </w:t>
      </w:r>
    </w:p>
    <w:p w:rsidR="003523B0" w:rsidRDefault="003523B0" w:rsidP="000D67CA">
      <w:pPr>
        <w:pStyle w:val="Heading6"/>
        <w:numPr>
          <w:ilvl w:val="0"/>
          <w:numId w:val="47"/>
        </w:numPr>
        <w:ind w:left="426"/>
      </w:pPr>
      <w:r>
        <w:t xml:space="preserve">Whether the ACPM considers the need for a statement about monitoring of renal function in the </w:t>
      </w:r>
      <w:proofErr w:type="spellStart"/>
      <w:r w:rsidR="007F3098">
        <w:t>Tybost</w:t>
      </w:r>
      <w:proofErr w:type="spellEnd"/>
      <w:r>
        <w:t xml:space="preserve"> PI and if, so, advice is sought on what the nature and the timing of the monitoring should be. </w:t>
      </w:r>
    </w:p>
    <w:p w:rsidR="003523B0" w:rsidRPr="003F70F7" w:rsidRDefault="003523B0" w:rsidP="000D67CA">
      <w:r w:rsidRPr="003F70F7">
        <w:t xml:space="preserve">The renal safety profile of TDF in the presence of COBI administered as either the COBI single agent or as part of the </w:t>
      </w:r>
      <w:proofErr w:type="spellStart"/>
      <w:r w:rsidR="007F3098">
        <w:t>Stribild</w:t>
      </w:r>
      <w:proofErr w:type="spellEnd"/>
      <w:r w:rsidRPr="003F70F7">
        <w:t xml:space="preserve"> single tablet regimen was consistent with the extensive clinical and </w:t>
      </w:r>
      <w:proofErr w:type="spellStart"/>
      <w:r w:rsidRPr="003F70F7">
        <w:t>postmarketing</w:t>
      </w:r>
      <w:proofErr w:type="spellEnd"/>
      <w:r w:rsidRPr="003F70F7">
        <w:t xml:space="preserve"> experience seen with TDF</w:t>
      </w:r>
      <w:r w:rsidR="00BF347D">
        <w:t xml:space="preserve"> </w:t>
      </w:r>
      <w:r w:rsidRPr="003F70F7">
        <w:t xml:space="preserve">containing products. </w:t>
      </w:r>
    </w:p>
    <w:p w:rsidR="003523B0" w:rsidRPr="003F70F7" w:rsidRDefault="003523B0" w:rsidP="000D67CA">
      <w:r w:rsidRPr="003F70F7">
        <w:t xml:space="preserve">Therapy with </w:t>
      </w:r>
      <w:proofErr w:type="spellStart"/>
      <w:r w:rsidR="007F3098">
        <w:t>Tybost</w:t>
      </w:r>
      <w:proofErr w:type="spellEnd"/>
      <w:r w:rsidRPr="003F70F7">
        <w:t xml:space="preserve"> as a component of an ARV regimen should be initiated by a physician experienced in the management of HIV infection. </w:t>
      </w:r>
      <w:r w:rsidR="00BF347D">
        <w:t xml:space="preserve">The sponsor </w:t>
      </w:r>
      <w:r w:rsidRPr="003F70F7">
        <w:t>does not believe that routine monitoring of urine glucose and urine protein should be undertaken as a simple risk minimi</w:t>
      </w:r>
      <w:r w:rsidR="00BF347D">
        <w:t>s</w:t>
      </w:r>
      <w:r w:rsidRPr="003F70F7">
        <w:t>ation strategy from the outset of treatment in all patients using COBI. Where possible, harmoni</w:t>
      </w:r>
      <w:r w:rsidR="00264061">
        <w:t>s</w:t>
      </w:r>
      <w:r w:rsidRPr="003F70F7">
        <w:t xml:space="preserve">ation of monitoring is recommended in the PI for HIV treatments containing an identical component active ingredient. </w:t>
      </w:r>
      <w:r w:rsidR="00264061">
        <w:t>As a consequence,</w:t>
      </w:r>
      <w:r w:rsidRPr="003F70F7">
        <w:t xml:space="preserve"> it would benefit Australian prescribers to align the statements within the </w:t>
      </w:r>
      <w:proofErr w:type="spellStart"/>
      <w:r w:rsidR="007F3098">
        <w:t>Stribild</w:t>
      </w:r>
      <w:proofErr w:type="spellEnd"/>
      <w:r w:rsidRPr="003F70F7">
        <w:t xml:space="preserve"> and </w:t>
      </w:r>
      <w:proofErr w:type="spellStart"/>
      <w:r w:rsidR="007F3098">
        <w:t>Tybost</w:t>
      </w:r>
      <w:proofErr w:type="spellEnd"/>
      <w:r w:rsidRPr="003F70F7">
        <w:t xml:space="preserve"> product </w:t>
      </w:r>
      <w:r w:rsidRPr="003F70F7">
        <w:lastRenderedPageBreak/>
        <w:t xml:space="preserve">information regarding monitoring. In order to provide consistent messaging, </w:t>
      </w:r>
      <w:r w:rsidR="00E32203">
        <w:t xml:space="preserve">the sponsor </w:t>
      </w:r>
      <w:r w:rsidRPr="003F70F7">
        <w:t xml:space="preserve">proposes to add the following statement which is consistent with the approved </w:t>
      </w:r>
      <w:proofErr w:type="spellStart"/>
      <w:r w:rsidR="007F3098">
        <w:t>Stribild</w:t>
      </w:r>
      <w:proofErr w:type="spellEnd"/>
      <w:r w:rsidRPr="003F70F7">
        <w:t xml:space="preserve"> PI: </w:t>
      </w:r>
    </w:p>
    <w:p w:rsidR="003523B0" w:rsidRPr="000D67CA" w:rsidRDefault="007F3098" w:rsidP="000D67CA">
      <w:pPr>
        <w:ind w:left="720"/>
        <w:rPr>
          <w:i/>
        </w:rPr>
      </w:pPr>
      <w:proofErr w:type="spellStart"/>
      <w:r w:rsidRPr="000D67CA">
        <w:rPr>
          <w:i/>
        </w:rPr>
        <w:t>Tybost</w:t>
      </w:r>
      <w:proofErr w:type="spellEnd"/>
      <w:r w:rsidR="003523B0" w:rsidRPr="000D67CA">
        <w:rPr>
          <w:i/>
        </w:rPr>
        <w:t xml:space="preserve"> has been shown to decrease estimated </w:t>
      </w:r>
      <w:proofErr w:type="spellStart"/>
      <w:r w:rsidR="003523B0" w:rsidRPr="000D67CA">
        <w:rPr>
          <w:i/>
        </w:rPr>
        <w:t>creatinine</w:t>
      </w:r>
      <w:proofErr w:type="spellEnd"/>
      <w:r w:rsidR="003523B0" w:rsidRPr="000D67CA">
        <w:rPr>
          <w:i/>
        </w:rPr>
        <w:t xml:space="preserve"> clearance due to inhibition of tubular secretion of </w:t>
      </w:r>
      <w:proofErr w:type="spellStart"/>
      <w:r w:rsidR="003523B0" w:rsidRPr="000D67CA">
        <w:rPr>
          <w:i/>
        </w:rPr>
        <w:t>creatinine</w:t>
      </w:r>
      <w:proofErr w:type="spellEnd"/>
      <w:r w:rsidR="003523B0" w:rsidRPr="000D67CA">
        <w:rPr>
          <w:i/>
        </w:rPr>
        <w:t xml:space="preserve"> without affecting actual renal </w:t>
      </w:r>
      <w:proofErr w:type="spellStart"/>
      <w:r w:rsidR="003523B0" w:rsidRPr="000D67CA">
        <w:rPr>
          <w:i/>
        </w:rPr>
        <w:t>glomerular</w:t>
      </w:r>
      <w:proofErr w:type="spellEnd"/>
      <w:r w:rsidR="003523B0" w:rsidRPr="000D67CA">
        <w:rPr>
          <w:i/>
        </w:rPr>
        <w:t xml:space="preserve"> function. This effect should be considered when interpreting changes in estimated </w:t>
      </w:r>
      <w:proofErr w:type="spellStart"/>
      <w:r w:rsidR="003523B0" w:rsidRPr="000D67CA">
        <w:rPr>
          <w:i/>
        </w:rPr>
        <w:t>creatinine</w:t>
      </w:r>
      <w:proofErr w:type="spellEnd"/>
      <w:r w:rsidR="003523B0" w:rsidRPr="000D67CA">
        <w:rPr>
          <w:i/>
        </w:rPr>
        <w:t xml:space="preserve"> clearance in patients initiating </w:t>
      </w:r>
      <w:proofErr w:type="spellStart"/>
      <w:r w:rsidRPr="000D67CA">
        <w:rPr>
          <w:i/>
        </w:rPr>
        <w:t>Tybost</w:t>
      </w:r>
      <w:proofErr w:type="spellEnd"/>
      <w:r w:rsidR="003523B0" w:rsidRPr="000D67CA">
        <w:rPr>
          <w:i/>
        </w:rPr>
        <w:t xml:space="preserve"> (particularly in patients with medical conditions or receiving drugs needing monitoring with estimated </w:t>
      </w:r>
      <w:proofErr w:type="spellStart"/>
      <w:r w:rsidR="003523B0" w:rsidRPr="000D67CA">
        <w:rPr>
          <w:i/>
        </w:rPr>
        <w:t>creatinine</w:t>
      </w:r>
      <w:proofErr w:type="spellEnd"/>
      <w:r w:rsidR="003523B0" w:rsidRPr="000D67CA">
        <w:rPr>
          <w:i/>
        </w:rPr>
        <w:t xml:space="preserve"> clearance, or when </w:t>
      </w:r>
      <w:proofErr w:type="spellStart"/>
      <w:r w:rsidR="003523B0" w:rsidRPr="000D67CA">
        <w:rPr>
          <w:i/>
        </w:rPr>
        <w:t>coadministered</w:t>
      </w:r>
      <w:proofErr w:type="spellEnd"/>
      <w:r w:rsidR="003523B0" w:rsidRPr="000D67CA">
        <w:rPr>
          <w:i/>
        </w:rPr>
        <w:t xml:space="preserve"> with drugs with dosing adjustment recommendations guided by estimated </w:t>
      </w:r>
      <w:proofErr w:type="spellStart"/>
      <w:r w:rsidR="003523B0" w:rsidRPr="000D67CA">
        <w:rPr>
          <w:i/>
        </w:rPr>
        <w:t>creatinine</w:t>
      </w:r>
      <w:proofErr w:type="spellEnd"/>
      <w:r w:rsidR="003523B0" w:rsidRPr="000D67CA">
        <w:rPr>
          <w:i/>
        </w:rPr>
        <w:t xml:space="preserve"> clearance). </w:t>
      </w:r>
    </w:p>
    <w:p w:rsidR="003523B0" w:rsidRPr="000D67CA" w:rsidRDefault="003523B0" w:rsidP="000D67CA">
      <w:pPr>
        <w:ind w:left="720"/>
        <w:rPr>
          <w:i/>
        </w:rPr>
      </w:pPr>
      <w:r w:rsidRPr="000D67CA">
        <w:rPr>
          <w:i/>
        </w:rPr>
        <w:t xml:space="preserve">Although </w:t>
      </w:r>
      <w:r w:rsidR="00675E9F" w:rsidRPr="000D67CA">
        <w:rPr>
          <w:i/>
        </w:rPr>
        <w:t>COBI</w:t>
      </w:r>
      <w:r w:rsidRPr="000D67CA">
        <w:rPr>
          <w:i/>
        </w:rPr>
        <w:t xml:space="preserve"> may cause modest increases in serum </w:t>
      </w:r>
      <w:proofErr w:type="spellStart"/>
      <w:r w:rsidRPr="000D67CA">
        <w:rPr>
          <w:i/>
        </w:rPr>
        <w:t>creatinine</w:t>
      </w:r>
      <w:proofErr w:type="spellEnd"/>
      <w:r w:rsidRPr="000D67CA">
        <w:rPr>
          <w:i/>
        </w:rPr>
        <w:t xml:space="preserve"> and modest declines in estimated </w:t>
      </w:r>
      <w:proofErr w:type="spellStart"/>
      <w:r w:rsidRPr="000D67CA">
        <w:rPr>
          <w:i/>
        </w:rPr>
        <w:t>creatinine</w:t>
      </w:r>
      <w:proofErr w:type="spellEnd"/>
      <w:r w:rsidRPr="000D67CA">
        <w:rPr>
          <w:i/>
        </w:rPr>
        <w:t xml:space="preserve"> clearance without affecting renal </w:t>
      </w:r>
      <w:proofErr w:type="spellStart"/>
      <w:r w:rsidRPr="000D67CA">
        <w:rPr>
          <w:i/>
        </w:rPr>
        <w:t>glomerular</w:t>
      </w:r>
      <w:proofErr w:type="spellEnd"/>
      <w:r w:rsidRPr="000D67CA">
        <w:rPr>
          <w:i/>
        </w:rPr>
        <w:t xml:space="preserve"> function, patients who experience a confirmed increase in serum </w:t>
      </w:r>
      <w:proofErr w:type="spellStart"/>
      <w:r w:rsidRPr="000D67CA">
        <w:rPr>
          <w:i/>
        </w:rPr>
        <w:t>creatinine</w:t>
      </w:r>
      <w:proofErr w:type="spellEnd"/>
      <w:r w:rsidRPr="000D67CA">
        <w:rPr>
          <w:i/>
        </w:rPr>
        <w:t xml:space="preserve"> of greater than 0.4 mg per </w:t>
      </w:r>
      <w:proofErr w:type="spellStart"/>
      <w:r w:rsidRPr="000D67CA">
        <w:rPr>
          <w:i/>
        </w:rPr>
        <w:t>dL</w:t>
      </w:r>
      <w:proofErr w:type="spellEnd"/>
      <w:r w:rsidRPr="000D67CA">
        <w:rPr>
          <w:i/>
        </w:rPr>
        <w:t xml:space="preserve"> from baseline should be monitored for renal safety. </w:t>
      </w:r>
    </w:p>
    <w:p w:rsidR="00981367" w:rsidRDefault="003523B0" w:rsidP="000D67CA">
      <w:pPr>
        <w:pStyle w:val="Heading6"/>
        <w:numPr>
          <w:ilvl w:val="0"/>
          <w:numId w:val="47"/>
        </w:numPr>
        <w:ind w:left="426"/>
      </w:pPr>
      <w:r>
        <w:t>GMP deficiencies recently identified by the FDA</w:t>
      </w:r>
    </w:p>
    <w:p w:rsidR="00726766" w:rsidRPr="005B73EF" w:rsidRDefault="001C7D5D" w:rsidP="000D67CA">
      <w:r>
        <w:t>The sponsor</w:t>
      </w:r>
      <w:r w:rsidR="00726766" w:rsidRPr="005B73EF">
        <w:t xml:space="preserve"> appreciates that TGA are working through additiona</w:t>
      </w:r>
      <w:r>
        <w:t>l information provided by the sponsor</w:t>
      </w:r>
      <w:r w:rsidR="00726766" w:rsidRPr="005B73EF">
        <w:t xml:space="preserve"> in response to the issuing of FDA Complete Response Letters to </w:t>
      </w:r>
      <w:r w:rsidR="00C57A14">
        <w:t>the sponsor</w:t>
      </w:r>
      <w:r w:rsidR="00726766" w:rsidRPr="005B73EF">
        <w:t>.</w:t>
      </w:r>
      <w:r w:rsidR="00C57A14">
        <w:t xml:space="preserve"> The sponsor</w:t>
      </w:r>
      <w:r w:rsidR="00726766" w:rsidRPr="005B73EF">
        <w:t xml:space="preserve"> understands and appreciates the importance of strict adherence to </w:t>
      </w:r>
      <w:proofErr w:type="spellStart"/>
      <w:r w:rsidR="00726766" w:rsidRPr="005B73EF">
        <w:t>cGMP</w:t>
      </w:r>
      <w:proofErr w:type="spellEnd"/>
      <w:r w:rsidR="00726766" w:rsidRPr="005B73EF">
        <w:t xml:space="preserve"> requirements. Such adherence ensures the continued high quality of our products and, ultimately, the safety of the pati</w:t>
      </w:r>
      <w:r w:rsidR="003A44E7">
        <w:t>ents who take those products. The sponsor</w:t>
      </w:r>
      <w:r w:rsidR="008716B1">
        <w:t xml:space="preserve"> </w:t>
      </w:r>
      <w:r w:rsidR="00726766" w:rsidRPr="005B73EF">
        <w:t>take</w:t>
      </w:r>
      <w:r w:rsidR="003A44E7">
        <w:t>s</w:t>
      </w:r>
      <w:r w:rsidR="00726766" w:rsidRPr="005B73EF">
        <w:t xml:space="preserve"> the inspectional observations of the FDA investigators seriously. </w:t>
      </w:r>
    </w:p>
    <w:p w:rsidR="00981367" w:rsidRPr="005B73EF" w:rsidRDefault="00B26007" w:rsidP="000D67CA">
      <w:r w:rsidRPr="005B73EF">
        <w:t>The deficiencies noted during the FDA inspection have been addressed and supplemental data presented confirms the veracity of the data provided in the Category 1 application</w:t>
      </w:r>
      <w:r w:rsidR="00726766" w:rsidRPr="005B73EF">
        <w:t>.</w:t>
      </w:r>
    </w:p>
    <w:p w:rsidR="00726766" w:rsidRPr="000D67CA" w:rsidRDefault="005B73EF" w:rsidP="000D67CA">
      <w:pPr>
        <w:pStyle w:val="Heading5"/>
      </w:pPr>
      <w:r>
        <w:t>Conclusion</w:t>
      </w:r>
    </w:p>
    <w:p w:rsidR="005B73EF" w:rsidRPr="005B73EF" w:rsidRDefault="005B73EF" w:rsidP="005B73EF">
      <w:r w:rsidRPr="005B73EF">
        <w:t>ATZ and DRV are currently indicated for use in combination with low</w:t>
      </w:r>
      <w:r w:rsidR="00B047B2">
        <w:t xml:space="preserve"> </w:t>
      </w:r>
      <w:r w:rsidRPr="005B73EF">
        <w:t xml:space="preserve">dose RTV as a booster. </w:t>
      </w:r>
      <w:r w:rsidR="00675E9F">
        <w:t>COBI</w:t>
      </w:r>
      <w:r w:rsidRPr="005B73EF">
        <w:t xml:space="preserve"> is a new chemical entity and structural analogue of RTV. Pending regulatory approval, COBI would be the first drug with an indication as a PK enhancer. COBI is a potent, novel, and differentiated pharmacokinetic enhancer of the HIV-1 </w:t>
      </w:r>
      <w:r w:rsidR="00CB403A">
        <w:t>protease inhibitor</w:t>
      </w:r>
      <w:r w:rsidRPr="005B73EF">
        <w:t>s ATV and DRV indicated for use once daily in adults. Clinical and/or PK data demonstrate that once</w:t>
      </w:r>
      <w:r w:rsidR="00B047B2">
        <w:t xml:space="preserve"> </w:t>
      </w:r>
      <w:r w:rsidRPr="005B73EF">
        <w:t>daily dosing of COBI was well tolerated and effective at boosting ATV 300 mg and DRV 800 mg once daily to therapeutic levels with high rates of viral suppression. Overall, ATV and DRV exposures were in a range associated</w:t>
      </w:r>
      <w:r w:rsidR="006F2D5E">
        <w:t xml:space="preserve"> with durable efficacy and long </w:t>
      </w:r>
      <w:r w:rsidRPr="005B73EF">
        <w:t xml:space="preserve">term safety. </w:t>
      </w:r>
      <w:proofErr w:type="spellStart"/>
      <w:r w:rsidR="007F3098">
        <w:t>Tybost</w:t>
      </w:r>
      <w:proofErr w:type="spellEnd"/>
      <w:r w:rsidRPr="005B73EF">
        <w:t xml:space="preserve"> tablets are a novel and differentiated PK enhancement option for use with ATV and DRV in HIV-1 infected adults.</w:t>
      </w:r>
    </w:p>
    <w:p w:rsidR="008E7846" w:rsidRDefault="003017F4" w:rsidP="003017F4">
      <w:pPr>
        <w:pStyle w:val="Heading4"/>
      </w:pPr>
      <w:r>
        <w:t>Advisory committee c</w:t>
      </w:r>
      <w:r w:rsidR="008E7846">
        <w:t>onsiderations</w:t>
      </w:r>
    </w:p>
    <w:p w:rsidR="00D04181" w:rsidRPr="00D04181" w:rsidRDefault="00D04181" w:rsidP="003017F4">
      <w:r w:rsidRPr="00D04181">
        <w:t xml:space="preserve">The ACPM, taking into account the submitted evidence of efficacy, safety and quality, agreed with the </w:t>
      </w:r>
      <w:r w:rsidR="00957001">
        <w:t>D</w:t>
      </w:r>
      <w:r w:rsidRPr="00D04181">
        <w:t xml:space="preserve">elegate and considered </w:t>
      </w:r>
      <w:proofErr w:type="spellStart"/>
      <w:r w:rsidRPr="00D04181">
        <w:t>T</w:t>
      </w:r>
      <w:r w:rsidR="00B3418B">
        <w:t>ybost</w:t>
      </w:r>
      <w:proofErr w:type="spellEnd"/>
      <w:r w:rsidRPr="00D04181">
        <w:t xml:space="preserve"> tablets containing 150 mg of </w:t>
      </w:r>
      <w:r w:rsidR="00675E9F">
        <w:t>COBI</w:t>
      </w:r>
      <w:r w:rsidRPr="00D04181">
        <w:t xml:space="preserve"> to h</w:t>
      </w:r>
      <w:r w:rsidR="009E0BFB">
        <w:t>ave an overall positive benefit-</w:t>
      </w:r>
      <w:r w:rsidRPr="00D04181">
        <w:t xml:space="preserve">risk profile for the </w:t>
      </w:r>
      <w:r w:rsidR="00B047B2">
        <w:t>Delegate’s modified indication:</w:t>
      </w:r>
    </w:p>
    <w:p w:rsidR="00D04181" w:rsidRPr="003017F4" w:rsidRDefault="007F3098" w:rsidP="003017F4">
      <w:pPr>
        <w:ind w:left="720"/>
        <w:rPr>
          <w:i/>
        </w:rPr>
      </w:pPr>
      <w:proofErr w:type="spellStart"/>
      <w:r w:rsidRPr="003017F4">
        <w:rPr>
          <w:i/>
        </w:rPr>
        <w:t>Tybost</w:t>
      </w:r>
      <w:proofErr w:type="spellEnd"/>
      <w:r w:rsidR="00D04181" w:rsidRPr="003017F4">
        <w:rPr>
          <w:i/>
        </w:rPr>
        <w:t xml:space="preserve"> is indicated for use as a pharmacokinetic enhancer of appropriate HIV-1 protease inhibitors in adults where efficacy has been demonstrated clinically (see Clinical Trials)</w:t>
      </w:r>
      <w:r w:rsidR="004D440C" w:rsidRPr="003017F4">
        <w:rPr>
          <w:i/>
        </w:rPr>
        <w:t>.</w:t>
      </w:r>
    </w:p>
    <w:p w:rsidR="00D04181" w:rsidRPr="00442470" w:rsidRDefault="00D04181" w:rsidP="003017F4">
      <w:pPr>
        <w:pStyle w:val="Heading5"/>
        <w:rPr>
          <w:lang w:val="en-GB"/>
        </w:rPr>
      </w:pPr>
      <w:r w:rsidRPr="00442470">
        <w:rPr>
          <w:lang w:val="en-GB"/>
        </w:rPr>
        <w:t>Proposed conditions of registration:</w:t>
      </w:r>
    </w:p>
    <w:p w:rsidR="00D04181" w:rsidRPr="00D04181" w:rsidRDefault="00D04181" w:rsidP="003017F4">
      <w:pPr>
        <w:rPr>
          <w:highlight w:val="yellow"/>
        </w:rPr>
      </w:pPr>
      <w:r w:rsidRPr="00D04181">
        <w:t>The ACPM agreed with the delegate on the proposed conditions of registration and specifically advised on the inclusion of the following:</w:t>
      </w:r>
      <w:r w:rsidR="007F3098">
        <w:t xml:space="preserve"> </w:t>
      </w:r>
    </w:p>
    <w:p w:rsidR="00D04181" w:rsidRPr="00D04181" w:rsidRDefault="00D04181" w:rsidP="003017F4">
      <w:pPr>
        <w:pStyle w:val="ListBullet"/>
      </w:pPr>
      <w:r w:rsidRPr="00D04181">
        <w:t>Ne</w:t>
      </w:r>
      <w:r w:rsidR="00563782">
        <w:t>gotiation of PI</w:t>
      </w:r>
      <w:r w:rsidRPr="00D04181">
        <w:t xml:space="preserve"> and</w:t>
      </w:r>
      <w:r w:rsidR="00DB57DC">
        <w:t xml:space="preserve"> CMI </w:t>
      </w:r>
      <w:r w:rsidRPr="00D04181">
        <w:t xml:space="preserve">to the satisfaction of the TGA. </w:t>
      </w:r>
    </w:p>
    <w:p w:rsidR="00D04181" w:rsidRPr="00F74690" w:rsidRDefault="00D04181" w:rsidP="003017F4">
      <w:pPr>
        <w:pStyle w:val="Heading5"/>
        <w:rPr>
          <w:u w:val="single"/>
          <w:lang w:val="en-GB"/>
        </w:rPr>
      </w:pPr>
      <w:r w:rsidRPr="00F74690">
        <w:rPr>
          <w:lang w:val="en-GB"/>
        </w:rPr>
        <w:lastRenderedPageBreak/>
        <w:t>Proposed PI/CMI amendments:</w:t>
      </w:r>
      <w:r w:rsidRPr="00F74690">
        <w:rPr>
          <w:highlight w:val="yellow"/>
          <w:lang w:val="en-GB"/>
        </w:rPr>
        <w:t xml:space="preserve"> </w:t>
      </w:r>
    </w:p>
    <w:p w:rsidR="00D04181" w:rsidRPr="00D04181" w:rsidRDefault="00D04181" w:rsidP="003017F4">
      <w:r w:rsidRPr="00D04181">
        <w:t xml:space="preserve">The ACPM agreed with the </w:t>
      </w:r>
      <w:r w:rsidR="008F0176">
        <w:t>D</w:t>
      </w:r>
      <w:r w:rsidRPr="00D04181">
        <w:t xml:space="preserve">elegate to the proposed amendments to the PI and CMI and specifically advised on the inclusion of the following: </w:t>
      </w:r>
    </w:p>
    <w:p w:rsidR="00D04181" w:rsidRPr="00D04181" w:rsidRDefault="00D04181" w:rsidP="003017F4">
      <w:pPr>
        <w:pStyle w:val="ListBullet"/>
      </w:pPr>
      <w:r w:rsidRPr="00D04181">
        <w:t>Statements on renal function and impairment need to be combined rather than scattered through the document</w:t>
      </w:r>
      <w:r w:rsidR="000914DA">
        <w:t>;</w:t>
      </w:r>
    </w:p>
    <w:p w:rsidR="00D04181" w:rsidRPr="00D04181" w:rsidRDefault="00D04181" w:rsidP="003017F4">
      <w:pPr>
        <w:pStyle w:val="ListBullet"/>
      </w:pPr>
      <w:r w:rsidRPr="00D04181">
        <w:t>The ACPM noted that data and u</w:t>
      </w:r>
      <w:r w:rsidR="00235BF7">
        <w:t xml:space="preserve">nits of measurement from the US </w:t>
      </w:r>
      <w:r w:rsidRPr="00D04181">
        <w:t>were used; these should be conve</w:t>
      </w:r>
      <w:r w:rsidR="000914DA">
        <w:t>rted into Australian standards;</w:t>
      </w:r>
    </w:p>
    <w:p w:rsidR="00D04181" w:rsidRPr="00D04181" w:rsidRDefault="00D04181" w:rsidP="003017F4">
      <w:pPr>
        <w:pStyle w:val="ListBullet"/>
      </w:pPr>
      <w:r w:rsidRPr="00D04181">
        <w:t xml:space="preserve">A statement in the relevant sections of the PI and the CMI that </w:t>
      </w:r>
      <w:proofErr w:type="spellStart"/>
      <w:r w:rsidRPr="00D04181">
        <w:t>CrCl</w:t>
      </w:r>
      <w:proofErr w:type="spellEnd"/>
      <w:r w:rsidRPr="00D04181">
        <w:t xml:space="preserve">, urine glucose and </w:t>
      </w:r>
      <w:r w:rsidR="00563782">
        <w:t>urine albumin</w:t>
      </w:r>
      <w:r w:rsidRPr="00D04181">
        <w:t>/</w:t>
      </w:r>
      <w:proofErr w:type="spellStart"/>
      <w:r w:rsidRPr="00D04181">
        <w:t>creatinine</w:t>
      </w:r>
      <w:proofErr w:type="spellEnd"/>
      <w:r w:rsidRPr="00D04181">
        <w:t xml:space="preserve"> (ratio)</w:t>
      </w:r>
      <w:r w:rsidR="00F50E46">
        <w:t xml:space="preserve"> </w:t>
      </w:r>
      <w:r w:rsidRPr="00D04181">
        <w:t>should be assessed before starting therapy and monitored during thera</w:t>
      </w:r>
      <w:r w:rsidR="000914DA">
        <w:t>py;</w:t>
      </w:r>
    </w:p>
    <w:p w:rsidR="00D04181" w:rsidRPr="00D04181" w:rsidRDefault="00D04181" w:rsidP="003017F4">
      <w:pPr>
        <w:pStyle w:val="ListBullet"/>
      </w:pPr>
      <w:r w:rsidRPr="00D04181">
        <w:t>A statement in the relevant sections of the PI and the CMI that consideration should be given to periodic monitoring of serum phosphorus in patient</w:t>
      </w:r>
      <w:r w:rsidR="000914DA">
        <w:t>s at risk for renal impairment;</w:t>
      </w:r>
    </w:p>
    <w:p w:rsidR="00D04181" w:rsidRPr="00D04181" w:rsidRDefault="00D04181" w:rsidP="003017F4">
      <w:pPr>
        <w:pStyle w:val="ListBullet"/>
      </w:pPr>
      <w:r w:rsidRPr="00D04181">
        <w:t>A statement in the relevant sections of the PI and the CMI to the effect that</w:t>
      </w:r>
      <w:r w:rsidR="007F3098">
        <w:t xml:space="preserve"> </w:t>
      </w:r>
      <w:r w:rsidRPr="00D04181">
        <w:t xml:space="preserve">although </w:t>
      </w:r>
      <w:r w:rsidR="00675E9F">
        <w:t>COBI</w:t>
      </w:r>
      <w:r w:rsidRPr="00D04181">
        <w:t xml:space="preserve"> may cause modest increases in serum </w:t>
      </w:r>
      <w:proofErr w:type="spellStart"/>
      <w:r w:rsidRPr="00D04181">
        <w:t>creatinine</w:t>
      </w:r>
      <w:proofErr w:type="spellEnd"/>
      <w:r w:rsidRPr="00D04181">
        <w:t xml:space="preserve"> and modest declines in </w:t>
      </w:r>
      <w:proofErr w:type="spellStart"/>
      <w:r w:rsidRPr="00D04181">
        <w:t>CrCl</w:t>
      </w:r>
      <w:proofErr w:type="spellEnd"/>
      <w:r w:rsidRPr="00D04181">
        <w:t xml:space="preserve">, patients who experience a confirmed increase in serum </w:t>
      </w:r>
      <w:proofErr w:type="spellStart"/>
      <w:r w:rsidRPr="00D04181">
        <w:t>creatinine</w:t>
      </w:r>
      <w:proofErr w:type="spellEnd"/>
      <w:r w:rsidRPr="00D04181">
        <w:t xml:space="preserve"> of greater than 35 µmol/L from baseline should be closely monitored and evaluated for evidence </w:t>
      </w:r>
      <w:r w:rsidR="000914DA">
        <w:t xml:space="preserve">of </w:t>
      </w:r>
      <w:proofErr w:type="spellStart"/>
      <w:r w:rsidR="000914DA">
        <w:t>tubulopathy</w:t>
      </w:r>
      <w:proofErr w:type="spellEnd"/>
      <w:r w:rsidR="000914DA">
        <w:t>;</w:t>
      </w:r>
    </w:p>
    <w:p w:rsidR="00D04181" w:rsidRPr="00D04181" w:rsidRDefault="00D04181" w:rsidP="003017F4">
      <w:pPr>
        <w:pStyle w:val="ListBullet"/>
      </w:pPr>
      <w:r w:rsidRPr="00D04181">
        <w:t xml:space="preserve">A statement in the relevant section of the PI that </w:t>
      </w:r>
      <w:proofErr w:type="spellStart"/>
      <w:r w:rsidRPr="00D04181">
        <w:t>proteinuria</w:t>
      </w:r>
      <w:proofErr w:type="spellEnd"/>
      <w:r w:rsidRPr="00D04181">
        <w:t xml:space="preserve">, </w:t>
      </w:r>
      <w:proofErr w:type="spellStart"/>
      <w:r w:rsidRPr="00D04181">
        <w:t>normoglycemic</w:t>
      </w:r>
      <w:proofErr w:type="spellEnd"/>
      <w:r w:rsidRPr="00D04181">
        <w:t xml:space="preserve"> </w:t>
      </w:r>
      <w:proofErr w:type="spellStart"/>
      <w:r w:rsidRPr="00D04181">
        <w:t>glycosuria</w:t>
      </w:r>
      <w:proofErr w:type="spellEnd"/>
      <w:r w:rsidRPr="00D04181">
        <w:t xml:space="preserve">, and increased fractional excretion of phosphorous may represent the first signs of </w:t>
      </w:r>
      <w:proofErr w:type="spellStart"/>
      <w:r w:rsidRPr="00D04181">
        <w:t>tubulopathy</w:t>
      </w:r>
      <w:proofErr w:type="spellEnd"/>
      <w:r w:rsidRPr="00D04181">
        <w:t xml:space="preserve"> and precede</w:t>
      </w:r>
      <w:r w:rsidR="000914DA">
        <w:t xml:space="preserve"> any decline in renal function;</w:t>
      </w:r>
    </w:p>
    <w:p w:rsidR="00D04181" w:rsidRPr="00D04181" w:rsidRDefault="00D04181" w:rsidP="003017F4">
      <w:pPr>
        <w:pStyle w:val="ListBullet"/>
      </w:pPr>
      <w:r w:rsidRPr="00D04181">
        <w:t xml:space="preserve">A statement in the relevant sections of the PI and the CMI that patients on </w:t>
      </w:r>
      <w:r w:rsidR="000914DA">
        <w:t>EVG</w:t>
      </w:r>
      <w:r w:rsidRPr="00D04181">
        <w:t>/</w:t>
      </w:r>
      <w:r w:rsidR="00675E9F">
        <w:t>COBI</w:t>
      </w:r>
      <w:r w:rsidRPr="00D04181">
        <w:t>/</w:t>
      </w:r>
      <w:r w:rsidR="00235BF7">
        <w:t>FTC</w:t>
      </w:r>
      <w:r w:rsidRPr="00D04181">
        <w:t>/</w:t>
      </w:r>
      <w:r w:rsidR="000914DA">
        <w:t>TDF</w:t>
      </w:r>
      <w:r w:rsidRPr="00D04181">
        <w:t xml:space="preserve"> should be switched to an alternative antiretroviral regimen if estimated </w:t>
      </w:r>
      <w:proofErr w:type="spellStart"/>
      <w:r w:rsidRPr="00D04181">
        <w:t>CrCl</w:t>
      </w:r>
      <w:proofErr w:type="spellEnd"/>
      <w:r w:rsidRPr="00D04181">
        <w:t xml:space="preserve"> de</w:t>
      </w:r>
      <w:r w:rsidR="000914DA">
        <w:t xml:space="preserve">creases to less than 50 </w:t>
      </w:r>
      <w:proofErr w:type="spellStart"/>
      <w:r w:rsidR="000914DA">
        <w:t>mL</w:t>
      </w:r>
      <w:proofErr w:type="spellEnd"/>
      <w:r w:rsidR="000914DA">
        <w:t>/min;</w:t>
      </w:r>
    </w:p>
    <w:p w:rsidR="00D04181" w:rsidRPr="00D04181" w:rsidRDefault="00D04181" w:rsidP="003017F4">
      <w:pPr>
        <w:pStyle w:val="ListBullet"/>
      </w:pPr>
      <w:r w:rsidRPr="00D04181">
        <w:t xml:space="preserve">A statement in the relevant section of the PI and the CMI that concomitant use of </w:t>
      </w:r>
      <w:proofErr w:type="spellStart"/>
      <w:r w:rsidRPr="00D04181">
        <w:t>nephr</w:t>
      </w:r>
      <w:r w:rsidR="00684F62">
        <w:t>otoxic</w:t>
      </w:r>
      <w:proofErr w:type="spellEnd"/>
      <w:r w:rsidR="00684F62">
        <w:t xml:space="preserve"> drugs should be avoided.</w:t>
      </w:r>
    </w:p>
    <w:p w:rsidR="00D04181" w:rsidRPr="00D04181" w:rsidRDefault="00D04181" w:rsidP="003017F4">
      <w:r w:rsidRPr="00D04181">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3017F4" w:rsidRDefault="008E7846" w:rsidP="003017F4">
      <w:pPr>
        <w:pStyle w:val="Heading3"/>
      </w:pPr>
      <w:bookmarkStart w:id="167" w:name="_Toc247691532"/>
      <w:bookmarkStart w:id="168" w:name="_Toc314842516"/>
      <w:bookmarkStart w:id="169" w:name="_Toc376430071"/>
      <w:bookmarkEnd w:id="122"/>
      <w:bookmarkEnd w:id="164"/>
      <w:bookmarkEnd w:id="165"/>
      <w:r>
        <w:t>Outcome</w:t>
      </w:r>
      <w:bookmarkEnd w:id="167"/>
      <w:bookmarkEnd w:id="168"/>
      <w:bookmarkEnd w:id="169"/>
    </w:p>
    <w:p w:rsidR="008E7846" w:rsidRDefault="008E7846" w:rsidP="003017F4">
      <w:r>
        <w:t xml:space="preserve">Based on a review of quality, safety and efficacy, TGA approved the registration of </w:t>
      </w:r>
      <w:proofErr w:type="spellStart"/>
      <w:r w:rsidR="003E6BD7">
        <w:t>Tybost</w:t>
      </w:r>
      <w:proofErr w:type="spellEnd"/>
      <w:r w:rsidR="003E6BD7">
        <w:t xml:space="preserve"> </w:t>
      </w:r>
      <w:r w:rsidR="003E6BD7" w:rsidRPr="003E6BD7">
        <w:t xml:space="preserve">tablets containing 150 mg of </w:t>
      </w:r>
      <w:proofErr w:type="spellStart"/>
      <w:r w:rsidR="003E6BD7" w:rsidRPr="003E6BD7">
        <w:t>cobicistat</w:t>
      </w:r>
      <w:proofErr w:type="spellEnd"/>
      <w:r>
        <w:t>, indicated for:</w:t>
      </w:r>
    </w:p>
    <w:p w:rsidR="0028742D" w:rsidRPr="003017F4" w:rsidRDefault="0028742D" w:rsidP="003017F4">
      <w:pPr>
        <w:ind w:left="720"/>
        <w:rPr>
          <w:i/>
        </w:rPr>
      </w:pPr>
      <w:proofErr w:type="spellStart"/>
      <w:r w:rsidRPr="003017F4">
        <w:rPr>
          <w:i/>
        </w:rPr>
        <w:t>Tybost</w:t>
      </w:r>
      <w:proofErr w:type="spellEnd"/>
      <w:r w:rsidRPr="003017F4">
        <w:rPr>
          <w:i/>
        </w:rPr>
        <w:t xml:space="preserve"> is indicated as a pharmacokinetic enhancer of appropriate HIV-1 protease inhibitors in adults (See Dosage and Administration).</w:t>
      </w:r>
    </w:p>
    <w:p w:rsidR="00C43CA5" w:rsidRPr="0090249C" w:rsidRDefault="00C43CA5" w:rsidP="003017F4">
      <w:pPr>
        <w:pStyle w:val="Heading4"/>
      </w:pPr>
      <w:r w:rsidRPr="0090249C">
        <w:t>Specific conditions of registration appl</w:t>
      </w:r>
      <w:r>
        <w:t>ying to these therapeutic goods</w:t>
      </w:r>
    </w:p>
    <w:p w:rsidR="0028742D" w:rsidRDefault="00DB1555" w:rsidP="003017F4">
      <w:pPr>
        <w:pStyle w:val="Numberbullet0"/>
      </w:pPr>
      <w:r w:rsidRPr="00DB1555">
        <w:t xml:space="preserve">For the </w:t>
      </w:r>
      <w:proofErr w:type="spellStart"/>
      <w:r>
        <w:t>Tybost</w:t>
      </w:r>
      <w:proofErr w:type="spellEnd"/>
      <w:r w:rsidRPr="00DB1555">
        <w:t xml:space="preserve"> (</w:t>
      </w:r>
      <w:proofErr w:type="spellStart"/>
      <w:r w:rsidRPr="00DB1555">
        <w:t>cobicistat</w:t>
      </w:r>
      <w:proofErr w:type="spellEnd"/>
      <w:r w:rsidRPr="00DB1555">
        <w:t>) submission number PM-2012-02160-3-2,</w:t>
      </w:r>
      <w:r w:rsidR="007F3098">
        <w:t xml:space="preserve"> </w:t>
      </w:r>
      <w:r w:rsidRPr="00DB1555">
        <w:t xml:space="preserve">the Australian </w:t>
      </w:r>
      <w:r w:rsidR="006B17FF">
        <w:t>RMP</w:t>
      </w:r>
      <w:r w:rsidRPr="00DB1555">
        <w:t xml:space="preserve"> Version: 0.1 dated 6 August 2012, to be revised as specified in the sponsor’s correspondence dated 27 March 2013, must be implemented in Australia</w:t>
      </w:r>
      <w:r w:rsidR="00771A85">
        <w:t>.</w:t>
      </w:r>
    </w:p>
    <w:p w:rsidR="00771A85" w:rsidRPr="0063260B" w:rsidRDefault="00771A85" w:rsidP="003017F4">
      <w:pPr>
        <w:pStyle w:val="Numberbullet0"/>
        <w:numPr>
          <w:ilvl w:val="0"/>
          <w:numId w:val="0"/>
        </w:numPr>
        <w:ind w:left="425"/>
      </w:pPr>
      <w:r w:rsidRPr="0063260B">
        <w:t xml:space="preserve">An obligatory component of </w:t>
      </w:r>
      <w:r>
        <w:t>RMP</w:t>
      </w:r>
      <w:r w:rsidRPr="0063260B">
        <w:t xml:space="preserve"> is Routine </w:t>
      </w:r>
      <w:proofErr w:type="spellStart"/>
      <w:r w:rsidRPr="0063260B">
        <w:t>Pharmacovigilance</w:t>
      </w:r>
      <w:proofErr w:type="spellEnd"/>
      <w:r w:rsidRPr="0063260B">
        <w:t>.</w:t>
      </w:r>
      <w:r>
        <w:t xml:space="preserve"> </w:t>
      </w:r>
      <w:r w:rsidRPr="0063260B">
        <w:t xml:space="preserve">Routine </w:t>
      </w:r>
      <w:proofErr w:type="spellStart"/>
      <w:r w:rsidRPr="0063260B">
        <w:t>Pharmacovigilance</w:t>
      </w:r>
      <w:proofErr w:type="spellEnd"/>
      <w:r w:rsidRPr="0063260B">
        <w:t xml:space="preserve"> includes the submission of </w:t>
      </w:r>
      <w:r>
        <w:t>PSURs</w:t>
      </w:r>
      <w:r w:rsidRPr="0063260B">
        <w:t>.</w:t>
      </w:r>
      <w:r>
        <w:t xml:space="preserve"> </w:t>
      </w:r>
      <w:r w:rsidRPr="0063260B">
        <w:t>Reports are to be provided annually until the period covered by such reports is not less than three years from the date of this approval letter. No fewer than three annual reports are required.</w:t>
      </w:r>
      <w:r>
        <w:t xml:space="preserve"> </w:t>
      </w:r>
      <w:r w:rsidRPr="0063260B">
        <w:t xml:space="preserve">The reports are to at least meet the requirements for </w:t>
      </w:r>
      <w:r>
        <w:t>PSURs</w:t>
      </w:r>
      <w:r w:rsidRPr="0063260B">
        <w:t xml:space="preserve"> as described in the European Medicines Agency’s Guideline on Good </w:t>
      </w:r>
      <w:proofErr w:type="spellStart"/>
      <w:r w:rsidRPr="0063260B">
        <w:t>Pharmacovigilance</w:t>
      </w:r>
      <w:proofErr w:type="spellEnd"/>
      <w:r w:rsidRPr="0063260B">
        <w:t xml:space="preserve"> Practices (GVP) Module </w:t>
      </w:r>
      <w:r w:rsidRPr="0063260B">
        <w:lastRenderedPageBreak/>
        <w:t>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771A85" w:rsidRPr="0063260B" w:rsidRDefault="00771A85" w:rsidP="003017F4">
      <w:pPr>
        <w:pStyle w:val="Numberbullet0"/>
        <w:numPr>
          <w:ilvl w:val="0"/>
          <w:numId w:val="0"/>
        </w:numPr>
        <w:ind w:left="425"/>
      </w:pPr>
      <w:r w:rsidRPr="0063260B">
        <w:t>Unless agreed separately between the supplier who is the recipient of the approval and the TGA, the first report must be submitted to TGA no later than 15 calendar months after the date of this approval letter.</w:t>
      </w:r>
      <w:r>
        <w:t xml:space="preserve"> </w:t>
      </w:r>
      <w:r w:rsidRPr="0063260B">
        <w:t xml:space="preserve">The subsequent reports must be submitted no less frequently than annually from the date of the first submitted report until the period covered by such reports is not less than three years from the date of this approval letter. </w:t>
      </w:r>
    </w:p>
    <w:p w:rsidR="00771A85" w:rsidRPr="0063260B" w:rsidRDefault="00771A85" w:rsidP="003017F4">
      <w:pPr>
        <w:pStyle w:val="Numberbullet0"/>
        <w:numPr>
          <w:ilvl w:val="0"/>
          <w:numId w:val="0"/>
        </w:numPr>
        <w:ind w:left="425"/>
      </w:pPr>
      <w:r w:rsidRPr="0063260B">
        <w:t xml:space="preserve">The annual submission may be made up of two </w:t>
      </w:r>
      <w:r>
        <w:t>PSURs</w:t>
      </w:r>
      <w:r w:rsidRPr="0063260B">
        <w:t xml:space="preserve"> each covering six months.</w:t>
      </w:r>
      <w:r>
        <w:t xml:space="preserve"> </w:t>
      </w:r>
      <w:r w:rsidRPr="0063260B">
        <w:t>If the sponsor wishes, the six monthly reports may be submitted separately as they become available.</w:t>
      </w:r>
      <w:r>
        <w:t xml:space="preserve"> </w:t>
      </w:r>
    </w:p>
    <w:p w:rsidR="00771A85" w:rsidRPr="0063260B" w:rsidRDefault="00771A85" w:rsidP="003017F4">
      <w:pPr>
        <w:pStyle w:val="Numberbullet0"/>
        <w:numPr>
          <w:ilvl w:val="0"/>
          <w:numId w:val="0"/>
        </w:numPr>
        <w:ind w:left="425"/>
      </w:pPr>
      <w:r>
        <w:t>S</w:t>
      </w:r>
      <w:r w:rsidRPr="0063260B">
        <w:t xml:space="preserve">ections 29A and 29AA of the </w:t>
      </w:r>
      <w:r w:rsidRPr="006B17FF">
        <w:rPr>
          <w:i/>
        </w:rPr>
        <w:t>Therapeutic Goods Act 1989</w:t>
      </w:r>
      <w:r w:rsidRPr="0063260B">
        <w:t xml:space="preserve"> provide for penalties where there has been failure to inform the Secretary in writing, as so</w:t>
      </w:r>
      <w:r>
        <w:t>on as a person has become aware,</w:t>
      </w:r>
      <w:r w:rsidRPr="0063260B">
        <w:t xml:space="preserve"> of:</w:t>
      </w:r>
    </w:p>
    <w:p w:rsidR="00771A85" w:rsidRDefault="00771A85" w:rsidP="003017F4">
      <w:pPr>
        <w:pStyle w:val="Numberbullet2"/>
      </w:pPr>
      <w:r>
        <w:t>information that contradicts information already given by the person under this Act;</w:t>
      </w:r>
    </w:p>
    <w:p w:rsidR="00771A85" w:rsidRDefault="00771A85" w:rsidP="003017F4">
      <w:pPr>
        <w:pStyle w:val="Numberbullet2"/>
      </w:pPr>
      <w:r>
        <w:t>information that indicates that the use of the goods in accordance with the recommendations for their use may have an unintended harmful effect;</w:t>
      </w:r>
    </w:p>
    <w:p w:rsidR="00771A85" w:rsidRDefault="00771A85" w:rsidP="003017F4">
      <w:pPr>
        <w:pStyle w:val="Numberbullet2"/>
      </w:pPr>
      <w:r>
        <w:t>information that indicates that the goods, when used in accordance with the recommendations for their use, may not be as effective as the application for registration or listing of the goods or information already given by the person under this Act suggests;</w:t>
      </w:r>
    </w:p>
    <w:p w:rsidR="00771A85" w:rsidRPr="00DB1555" w:rsidRDefault="00771A85" w:rsidP="003017F4">
      <w:pPr>
        <w:pStyle w:val="Numberbullet2"/>
      </w:pPr>
      <w:r>
        <w:t>information that indicates that the quality, safety or efficacy of the goods is unacceptable.</w:t>
      </w:r>
    </w:p>
    <w:p w:rsidR="008E7846" w:rsidRDefault="00393C65" w:rsidP="00952FB9">
      <w:pPr>
        <w:pStyle w:val="Heading2"/>
      </w:pPr>
      <w:bookmarkStart w:id="170" w:name="_Toc247691533"/>
      <w:bookmarkStart w:id="171" w:name="_Toc314842517"/>
      <w:bookmarkStart w:id="172" w:name="_Toc376430072"/>
      <w:r>
        <w:t xml:space="preserve">Attachment 1. </w:t>
      </w:r>
      <w:r w:rsidR="008E7846">
        <w:t xml:space="preserve">Product </w:t>
      </w:r>
      <w:r w:rsidR="00AA0ED0">
        <w:t>I</w:t>
      </w:r>
      <w:r w:rsidR="008E7846">
        <w:t>nformation</w:t>
      </w:r>
      <w:bookmarkEnd w:id="170"/>
      <w:bookmarkEnd w:id="171"/>
      <w:bookmarkEnd w:id="172"/>
    </w:p>
    <w:p w:rsidR="00C80137" w:rsidRDefault="00C80137" w:rsidP="00952FB9">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w:t>
      </w:r>
      <w:r w:rsidR="003B6957">
        <w:t>,</w:t>
      </w:r>
      <w:r w:rsidRPr="0037352E">
        <w:t xml:space="preserve">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393C65" w:rsidP="00952FB9">
      <w:pPr>
        <w:pStyle w:val="Heading2"/>
        <w:sectPr w:rsidR="00C80137" w:rsidRPr="001D043B" w:rsidSect="00B452CE">
          <w:headerReference w:type="even" r:id="rId25"/>
          <w:headerReference w:type="default" r:id="rId26"/>
          <w:footerReference w:type="default" r:id="rId27"/>
          <w:headerReference w:type="first" r:id="rId28"/>
          <w:footerReference w:type="first" r:id="rId29"/>
          <w:pgSz w:w="11906" w:h="16838" w:code="9"/>
          <w:pgMar w:top="834" w:right="1701" w:bottom="1191" w:left="1701" w:header="907" w:footer="216" w:gutter="0"/>
          <w:cols w:space="708"/>
          <w:docGrid w:linePitch="360"/>
        </w:sectPr>
      </w:pPr>
      <w:bookmarkStart w:id="173" w:name="_Toc376430073"/>
      <w:r>
        <w:rPr>
          <w:lang w:eastAsia="en-AU"/>
        </w:rPr>
        <w:t xml:space="preserve">Attachment 2. </w:t>
      </w:r>
      <w:r w:rsidR="00C80137">
        <w:rPr>
          <w:lang w:eastAsia="en-AU"/>
        </w:rPr>
        <w:t>Extract from the Clinical Evaluation Report</w:t>
      </w:r>
      <w:bookmarkEnd w:id="173"/>
    </w:p>
    <w:p w:rsidR="00774E1D" w:rsidRPr="008A5E0B" w:rsidRDefault="00774E1D" w:rsidP="004C239D"/>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05F" w:rsidRDefault="0015105F" w:rsidP="00C40A36">
      <w:pPr>
        <w:spacing w:after="0"/>
      </w:pPr>
      <w:r>
        <w:separator/>
      </w:r>
    </w:p>
  </w:endnote>
  <w:endnote w:type="continuationSeparator" w:id="0">
    <w:p w:rsidR="0015105F" w:rsidRDefault="0015105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35825" w:rsidRPr="00487162" w:rsidTr="0053625B">
      <w:trPr>
        <w:trHeight w:val="269"/>
      </w:trPr>
      <w:tc>
        <w:tcPr>
          <w:tcW w:w="7938" w:type="dxa"/>
          <w:tcMar>
            <w:top w:w="142" w:type="dxa"/>
            <w:bottom w:w="0" w:type="dxa"/>
          </w:tcMar>
        </w:tcPr>
        <w:p w:rsidR="004D2744" w:rsidRDefault="00935825" w:rsidP="004D2744">
          <w:pPr>
            <w:pStyle w:val="Footer"/>
          </w:pPr>
          <w:proofErr w:type="spellStart"/>
          <w:r w:rsidRPr="00487162">
            <w:t>AusPAR</w:t>
          </w:r>
          <w:proofErr w:type="spellEnd"/>
          <w:r w:rsidRPr="00487162">
            <w:t xml:space="preserve"> </w:t>
          </w:r>
          <w:proofErr w:type="spellStart"/>
          <w:r w:rsidR="004D2744">
            <w:t>Cobicistat</w:t>
          </w:r>
          <w:proofErr w:type="spellEnd"/>
          <w:r w:rsidR="004D2744">
            <w:t xml:space="preserve"> </w:t>
          </w:r>
          <w:proofErr w:type="spellStart"/>
          <w:r>
            <w:t>Tybost</w:t>
          </w:r>
          <w:proofErr w:type="spellEnd"/>
          <w:r>
            <w:t xml:space="preserve"> Gilead Sciences Pty Ltd</w:t>
          </w:r>
          <w:r w:rsidRPr="00487162">
            <w:t xml:space="preserve"> </w:t>
          </w:r>
          <w:r w:rsidRPr="004E20BD">
            <w:t>PM-2012-02160-3-2</w:t>
          </w:r>
        </w:p>
        <w:p w:rsidR="00935825" w:rsidRPr="00487162" w:rsidRDefault="00032BCA" w:rsidP="004D2744">
          <w:pPr>
            <w:pStyle w:val="Footer"/>
          </w:pPr>
          <w:r>
            <w:t>Final 1</w:t>
          </w:r>
          <w:r w:rsidR="00566241">
            <w:t>6</w:t>
          </w:r>
          <w:r w:rsidR="004503D5">
            <w:t xml:space="preserve"> December </w:t>
          </w:r>
          <w:r w:rsidR="00935825">
            <w:t>2013</w:t>
          </w:r>
        </w:p>
      </w:tc>
      <w:tc>
        <w:tcPr>
          <w:tcW w:w="923" w:type="dxa"/>
          <w:tcMar>
            <w:top w:w="142" w:type="dxa"/>
            <w:bottom w:w="0" w:type="dxa"/>
          </w:tcMar>
        </w:tcPr>
        <w:p w:rsidR="00935825" w:rsidRPr="00487162" w:rsidRDefault="00935825" w:rsidP="00D855D4">
          <w:pPr>
            <w:pStyle w:val="Footer"/>
            <w:jc w:val="right"/>
          </w:pPr>
          <w:r w:rsidRPr="00487162">
            <w:t xml:space="preserve">Page </w:t>
          </w:r>
          <w:r>
            <w:t>2</w:t>
          </w:r>
          <w:r w:rsidRPr="00487162">
            <w:t xml:space="preserve"> of </w:t>
          </w:r>
          <w:fldSimple w:instr=" NUMPAGES  \* Arabic ">
            <w:r w:rsidR="00976BD5">
              <w:rPr>
                <w:noProof/>
              </w:rPr>
              <w:t>40</w:t>
            </w:r>
          </w:fldSimple>
        </w:p>
      </w:tc>
    </w:tr>
  </w:tbl>
  <w:p w:rsidR="00935825" w:rsidRDefault="0093582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5245"/>
      <w:gridCol w:w="3686"/>
    </w:tblGrid>
    <w:tr w:rsidR="00935825" w:rsidRPr="00487162" w:rsidTr="004D2744">
      <w:trPr>
        <w:trHeight w:val="269"/>
      </w:trPr>
      <w:tc>
        <w:tcPr>
          <w:tcW w:w="5245" w:type="dxa"/>
          <w:tcMar>
            <w:top w:w="142" w:type="dxa"/>
            <w:bottom w:w="0" w:type="dxa"/>
          </w:tcMar>
        </w:tcPr>
        <w:p w:rsidR="004D2744" w:rsidRDefault="00935825" w:rsidP="004D2744">
          <w:pPr>
            <w:pStyle w:val="Footer"/>
          </w:pPr>
          <w:proofErr w:type="spellStart"/>
          <w:r w:rsidRPr="00487162">
            <w:t>Au</w:t>
          </w:r>
          <w:r w:rsidRPr="003B4D60">
            <w:t>sPAR</w:t>
          </w:r>
          <w:proofErr w:type="spellEnd"/>
          <w:r w:rsidRPr="003B4D60">
            <w:t xml:space="preserve"> </w:t>
          </w:r>
          <w:proofErr w:type="spellStart"/>
          <w:r w:rsidR="004D2744">
            <w:t>Cobicistat</w:t>
          </w:r>
          <w:proofErr w:type="spellEnd"/>
          <w:r w:rsidR="004D2744">
            <w:t xml:space="preserve"> </w:t>
          </w:r>
          <w:proofErr w:type="spellStart"/>
          <w:r>
            <w:t>Tybost</w:t>
          </w:r>
          <w:proofErr w:type="spellEnd"/>
          <w:r w:rsidRPr="003B4D60">
            <w:t xml:space="preserve"> </w:t>
          </w:r>
          <w:r>
            <w:t>Gilead Sciences Pty Ltd</w:t>
          </w:r>
          <w:r w:rsidRPr="00487162">
            <w:t xml:space="preserve"> </w:t>
          </w:r>
          <w:r w:rsidRPr="004E20BD">
            <w:t>PM-2012-02160-3-2</w:t>
          </w:r>
        </w:p>
        <w:p w:rsidR="00935825" w:rsidRPr="00487162" w:rsidRDefault="00032BCA" w:rsidP="004D2744">
          <w:pPr>
            <w:pStyle w:val="Footer"/>
          </w:pPr>
          <w:r>
            <w:t>Final 1</w:t>
          </w:r>
          <w:r w:rsidR="00566241">
            <w:t>6</w:t>
          </w:r>
          <w:r w:rsidR="004503D5">
            <w:t xml:space="preserve"> December</w:t>
          </w:r>
          <w:r w:rsidR="00935825">
            <w:t xml:space="preserve"> 2013</w:t>
          </w:r>
        </w:p>
      </w:tc>
      <w:tc>
        <w:tcPr>
          <w:tcW w:w="3686" w:type="dxa"/>
          <w:tcMar>
            <w:top w:w="142" w:type="dxa"/>
            <w:bottom w:w="0" w:type="dxa"/>
          </w:tcMar>
        </w:tcPr>
        <w:p w:rsidR="00935825" w:rsidRPr="00487162" w:rsidRDefault="00935825" w:rsidP="00E45619">
          <w:pPr>
            <w:pStyle w:val="Footer"/>
            <w:jc w:val="right"/>
          </w:pPr>
          <w:r w:rsidRPr="00487162">
            <w:t xml:space="preserve">Page </w:t>
          </w:r>
          <w:fldSimple w:instr="PAGE">
            <w:r w:rsidR="00976BD5">
              <w:rPr>
                <w:noProof/>
              </w:rPr>
              <w:t>4</w:t>
            </w:r>
          </w:fldSimple>
          <w:r w:rsidRPr="00487162">
            <w:t xml:space="preserve"> of </w:t>
          </w:r>
          <w:fldSimple w:instr=" NUMPAGES  \* Arabic ">
            <w:r w:rsidR="00976BD5">
              <w:rPr>
                <w:noProof/>
              </w:rPr>
              <w:t>40</w:t>
            </w:r>
          </w:fldSimple>
        </w:p>
      </w:tc>
    </w:tr>
  </w:tbl>
  <w:p w:rsidR="00935825" w:rsidRDefault="0093582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35825" w:rsidRPr="00487162" w:rsidTr="00E45619">
      <w:trPr>
        <w:trHeight w:val="269"/>
      </w:trPr>
      <w:tc>
        <w:tcPr>
          <w:tcW w:w="4519" w:type="dxa"/>
          <w:tcBorders>
            <w:top w:val="single" w:sz="4" w:space="0" w:color="auto"/>
          </w:tcBorders>
          <w:tcMar>
            <w:top w:w="142" w:type="dxa"/>
            <w:bottom w:w="0" w:type="dxa"/>
          </w:tcMar>
        </w:tcPr>
        <w:p w:rsidR="00935825" w:rsidRPr="00487162" w:rsidRDefault="00935825" w:rsidP="00FE1DEE">
          <w:pPr>
            <w:pStyle w:val="Footer"/>
          </w:pPr>
          <w:r w:rsidRPr="00487162">
            <w:t>Document title, Part #, Section # - Section title</w:t>
          </w:r>
        </w:p>
        <w:p w:rsidR="00935825" w:rsidRPr="00487162" w:rsidRDefault="00935825" w:rsidP="00FE1DEE">
          <w:pPr>
            <w:pStyle w:val="Footer"/>
          </w:pPr>
          <w:r w:rsidRPr="00487162">
            <w:t>V1.0 October 2010</w:t>
          </w:r>
        </w:p>
      </w:tc>
      <w:tc>
        <w:tcPr>
          <w:tcW w:w="4342" w:type="dxa"/>
          <w:tcBorders>
            <w:top w:val="single" w:sz="4" w:space="0" w:color="auto"/>
          </w:tcBorders>
          <w:tcMar>
            <w:top w:w="142" w:type="dxa"/>
            <w:bottom w:w="0" w:type="dxa"/>
          </w:tcMar>
        </w:tcPr>
        <w:p w:rsidR="00935825" w:rsidRPr="00487162" w:rsidRDefault="0093582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935825" w:rsidRDefault="0093582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935825" w:rsidRPr="00487162" w:rsidTr="00E45619">
      <w:trPr>
        <w:trHeight w:hRule="exact" w:val="704"/>
      </w:trPr>
      <w:tc>
        <w:tcPr>
          <w:tcW w:w="9175" w:type="dxa"/>
        </w:tcPr>
        <w:p w:rsidR="00935825" w:rsidRPr="00487162" w:rsidRDefault="00935825" w:rsidP="008E7846">
          <w:pPr>
            <w:pStyle w:val="TGASignoff"/>
          </w:pPr>
          <w:r w:rsidRPr="00487162">
            <w:t>Therapeutic Goods Administration</w:t>
          </w:r>
        </w:p>
      </w:tc>
    </w:tr>
    <w:tr w:rsidR="00935825" w:rsidRPr="00487162" w:rsidTr="00E45619">
      <w:trPr>
        <w:trHeight w:val="1221"/>
      </w:trPr>
      <w:tc>
        <w:tcPr>
          <w:tcW w:w="9175" w:type="dxa"/>
          <w:tcMar>
            <w:top w:w="28" w:type="dxa"/>
          </w:tcMar>
        </w:tcPr>
        <w:p w:rsidR="00935825" w:rsidRPr="00487162" w:rsidRDefault="00935825" w:rsidP="00E45619">
          <w:pPr>
            <w:pStyle w:val="Address"/>
          </w:pPr>
          <w:r w:rsidRPr="00487162">
            <w:t>PO Box 100 Woden ACT 2606 Australia</w:t>
          </w:r>
        </w:p>
        <w:p w:rsidR="00935825" w:rsidRPr="00487162" w:rsidRDefault="00935825"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935825" w:rsidRPr="004C239D" w:rsidRDefault="00CD5A15" w:rsidP="004C239D">
          <w:pPr>
            <w:pStyle w:val="Address"/>
            <w:spacing w:line="260" w:lineRule="atLeast"/>
            <w:rPr>
              <w:b/>
              <w:color w:val="0000FF"/>
              <w:u w:val="single"/>
            </w:rPr>
          </w:pPr>
          <w:hyperlink r:id="rId2" w:history="1">
            <w:r w:rsidR="00935825" w:rsidRPr="00607888">
              <w:rPr>
                <w:rStyle w:val="Hyperlink"/>
                <w:b/>
              </w:rPr>
              <w:t>http://www.tga.gov.au</w:t>
            </w:r>
          </w:hyperlink>
        </w:p>
      </w:tc>
    </w:tr>
  </w:tbl>
  <w:p w:rsidR="00935825" w:rsidRDefault="00935825"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35825" w:rsidTr="0010601F">
      <w:trPr>
        <w:trHeight w:val="108"/>
      </w:trPr>
      <w:tc>
        <w:tcPr>
          <w:tcW w:w="8875" w:type="dxa"/>
          <w:gridSpan w:val="2"/>
          <w:tcBorders>
            <w:bottom w:val="single" w:sz="4" w:space="0" w:color="auto"/>
          </w:tcBorders>
          <w:tcMar>
            <w:right w:w="284" w:type="dxa"/>
          </w:tcMar>
        </w:tcPr>
        <w:p w:rsidR="00935825" w:rsidRDefault="00935825" w:rsidP="006E08B3">
          <w:pPr>
            <w:pStyle w:val="Heading3"/>
          </w:pPr>
          <w:r>
            <w:t>Copyright</w:t>
          </w:r>
        </w:p>
        <w:p w:rsidR="00935825" w:rsidRDefault="00935825" w:rsidP="006E08B3">
          <w:r>
            <w:rPr>
              <w:rFonts w:cs="Arial"/>
            </w:rPr>
            <w:t>©</w:t>
          </w:r>
          <w:r>
            <w:t xml:space="preserve"> Commonwealth of Australia [add year]</w:t>
          </w:r>
        </w:p>
        <w:p w:rsidR="00935825" w:rsidRDefault="00935825" w:rsidP="006E08B3"/>
        <w:p w:rsidR="00935825" w:rsidRDefault="0093582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35825" w:rsidRDefault="00935825" w:rsidP="006E08B3"/>
        <w:p w:rsidR="00935825" w:rsidRDefault="00935825" w:rsidP="006E08B3">
          <w:pPr>
            <w:pStyle w:val="Heading3"/>
          </w:pPr>
          <w:r>
            <w:t>Confidentiality</w:t>
          </w:r>
        </w:p>
        <w:p w:rsidR="00935825" w:rsidRDefault="0093582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35825" w:rsidRDefault="00935825" w:rsidP="006E08B3"/>
        <w:p w:rsidR="00935825" w:rsidRDefault="00935825" w:rsidP="006E08B3">
          <w:r>
            <w:t>For submission made by individuals, all personal details, other than your name, will be removed from your submission before it is published on the TGA’s Internet site.</w:t>
          </w:r>
        </w:p>
        <w:p w:rsidR="00935825" w:rsidRDefault="00935825" w:rsidP="006E08B3"/>
        <w:p w:rsidR="00935825" w:rsidRDefault="0093582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35825" w:rsidTr="0010601F">
      <w:trPr>
        <w:trHeight w:val="417"/>
      </w:trPr>
      <w:tc>
        <w:tcPr>
          <w:tcW w:w="4519" w:type="dxa"/>
          <w:tcBorders>
            <w:top w:val="single" w:sz="4" w:space="0" w:color="auto"/>
          </w:tcBorders>
          <w:tcMar>
            <w:top w:w="142" w:type="dxa"/>
            <w:bottom w:w="0" w:type="dxa"/>
          </w:tcMar>
        </w:tcPr>
        <w:p w:rsidR="00935825" w:rsidRDefault="00935825" w:rsidP="006E08B3">
          <w:r>
            <w:t>Document title, Part #, Section # - Section title</w:t>
          </w:r>
        </w:p>
        <w:p w:rsidR="00935825" w:rsidRDefault="00935825" w:rsidP="006E08B3">
          <w:r>
            <w:t>V1.0 October 2010</w:t>
          </w:r>
        </w:p>
      </w:tc>
      <w:tc>
        <w:tcPr>
          <w:tcW w:w="4356" w:type="dxa"/>
          <w:tcBorders>
            <w:top w:val="single" w:sz="4" w:space="0" w:color="auto"/>
          </w:tcBorders>
          <w:tcMar>
            <w:top w:w="142" w:type="dxa"/>
            <w:bottom w:w="0" w:type="dxa"/>
          </w:tcMar>
        </w:tcPr>
        <w:p w:rsidR="00935825" w:rsidRDefault="00935825"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935825" w:rsidRDefault="009358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05F" w:rsidRDefault="0015105F" w:rsidP="00C40A36">
      <w:pPr>
        <w:spacing w:after="0"/>
      </w:pPr>
      <w:r>
        <w:separator/>
      </w:r>
    </w:p>
  </w:footnote>
  <w:footnote w:type="continuationSeparator" w:id="0">
    <w:p w:rsidR="0015105F" w:rsidRDefault="0015105F" w:rsidP="00C40A36">
      <w:pPr>
        <w:spacing w:after="0"/>
      </w:pPr>
      <w:r>
        <w:continuationSeparator/>
      </w:r>
    </w:p>
  </w:footnote>
  <w:footnote w:id="1">
    <w:p w:rsidR="008B6D7D" w:rsidRDefault="008B6D7D">
      <w:pPr>
        <w:pStyle w:val="FootnoteText"/>
      </w:pPr>
      <w:r>
        <w:rPr>
          <w:rStyle w:val="FootnoteReference"/>
        </w:rPr>
        <w:footnoteRef/>
      </w:r>
      <w:r>
        <w:t xml:space="preserve"> Sponsor comment: “</w:t>
      </w:r>
      <w:r w:rsidRPr="00613191">
        <w:t>These applications have since been approved in Canada (27 August 2013) an</w:t>
      </w:r>
      <w:r>
        <w:t>d in Europe (19 September 2013)</w:t>
      </w:r>
      <w:r w:rsidRPr="00794E1F">
        <w:t>.</w:t>
      </w:r>
      <w:r>
        <w:t>”</w:t>
      </w:r>
    </w:p>
  </w:footnote>
  <w:footnote w:id="2">
    <w:p w:rsidR="00935825" w:rsidRDefault="00935825" w:rsidP="004D2744">
      <w:pPr>
        <w:pStyle w:val="FootnoteText"/>
      </w:pPr>
      <w:r>
        <w:rPr>
          <w:rStyle w:val="FootnoteReference"/>
        </w:rPr>
        <w:footnoteRef/>
      </w:r>
      <w:r>
        <w:t xml:space="preserve"> European Medicines Agency, “Committee for Medicinal Products for Human Use (CHMP): Guideline on the Non-Clinical Development of Fixed Combinations of Medicinal Products (</w:t>
      </w:r>
      <w:r w:rsidRPr="000A2479">
        <w:t>EMEA/CHMP/SWP/258498/2005</w:t>
      </w:r>
      <w:r>
        <w:t>)”</w:t>
      </w:r>
      <w:r w:rsidRPr="00322BA0">
        <w:t xml:space="preserve">, </w:t>
      </w:r>
      <w:r>
        <w:t>24 January 2008</w:t>
      </w:r>
      <w:r w:rsidRPr="00322BA0">
        <w:t xml:space="preserve">, Web, accessed </w:t>
      </w:r>
      <w:r>
        <w:t>20 November 2013</w:t>
      </w:r>
      <w:r w:rsidRPr="00322BA0">
        <w:t xml:space="preserve"> &lt;</w:t>
      </w:r>
      <w:r w:rsidRPr="00A12E3E">
        <w:t>www.tga.gov.au/pdf/euguide/swp25849805final.pdf</w:t>
      </w:r>
      <w:r w:rsidRPr="00322BA0">
        <w:t>&gt;</w:t>
      </w:r>
      <w:r>
        <w:t>; US Food and Drug Administration, “</w:t>
      </w:r>
      <w:r w:rsidRPr="004D6D80">
        <w:t>Guidance for Industry</w:t>
      </w:r>
      <w:r>
        <w:t xml:space="preserve">: </w:t>
      </w:r>
      <w:r w:rsidRPr="00227A47">
        <w:t>Nonclinical Safety Evaluation of Drug or Biologic Combinations</w:t>
      </w:r>
      <w:r>
        <w:t>”, March 200</w:t>
      </w:r>
      <w:r w:rsidR="004C65EF">
        <w:t>6</w:t>
      </w:r>
      <w:r>
        <w:t xml:space="preserve">, </w:t>
      </w:r>
      <w:r w:rsidRPr="00322BA0">
        <w:t xml:space="preserve">Web, accessed </w:t>
      </w:r>
      <w:r>
        <w:t>20 November 2013 &lt;</w:t>
      </w:r>
      <w:r w:rsidRPr="00FA25B0">
        <w:t>www.fda.gov/OHRMS/DOCKETS/98fr/05d-0004-gdl0002.pdf</w:t>
      </w:r>
      <w:r>
        <w:t>&gt;.</w:t>
      </w:r>
    </w:p>
  </w:footnote>
  <w:footnote w:id="3">
    <w:p w:rsidR="00935825" w:rsidRDefault="00935825" w:rsidP="004D2744">
      <w:pPr>
        <w:pStyle w:val="FootnoteText"/>
      </w:pPr>
      <w:r>
        <w:rPr>
          <w:rStyle w:val="FootnoteReference"/>
        </w:rPr>
        <w:footnoteRef/>
      </w:r>
      <w:r>
        <w:t xml:space="preserve"> </w:t>
      </w:r>
      <w:proofErr w:type="spellStart"/>
      <w:r w:rsidRPr="00650E1F">
        <w:t>Hruz</w:t>
      </w:r>
      <w:proofErr w:type="spellEnd"/>
      <w:r w:rsidRPr="00650E1F">
        <w:t xml:space="preserve"> </w:t>
      </w:r>
      <w:r>
        <w:t xml:space="preserve">PW, </w:t>
      </w:r>
      <w:r w:rsidRPr="00AA6A0A">
        <w:t>et al</w:t>
      </w:r>
      <w:r>
        <w:t>.</w:t>
      </w:r>
      <w:r w:rsidRPr="00AA6A0A">
        <w:t xml:space="preserve"> (2011</w:t>
      </w:r>
      <w:r>
        <w:t xml:space="preserve">) </w:t>
      </w:r>
      <w:r w:rsidRPr="00650E1F">
        <w:t xml:space="preserve">GS-8378, a novel HIV protease inhibitor, does not alter glucose homeostasis in cultured </w:t>
      </w:r>
      <w:proofErr w:type="spellStart"/>
      <w:r w:rsidRPr="00650E1F">
        <w:t>adipocytes</w:t>
      </w:r>
      <w:proofErr w:type="spellEnd"/>
      <w:r w:rsidRPr="00650E1F">
        <w:t xml:space="preserve"> or in a healthy-rodent system. </w:t>
      </w:r>
      <w:r w:rsidRPr="00650E1F">
        <w:rPr>
          <w:i/>
        </w:rPr>
        <w:t>Antimicrobial Agents and Chemotherapy</w:t>
      </w:r>
      <w:r>
        <w:t xml:space="preserve"> 55:1377-1</w:t>
      </w:r>
      <w:r w:rsidRPr="00650E1F">
        <w:t>382</w:t>
      </w:r>
      <w:r>
        <w:t>.</w:t>
      </w:r>
    </w:p>
  </w:footnote>
  <w:footnote w:id="4">
    <w:p w:rsidR="00935825" w:rsidRDefault="00935825" w:rsidP="00E716FF">
      <w:pPr>
        <w:pStyle w:val="FootnoteText"/>
      </w:pPr>
      <w:r>
        <w:rPr>
          <w:rStyle w:val="FootnoteReference"/>
        </w:rPr>
        <w:footnoteRef/>
      </w:r>
      <w:r>
        <w:t xml:space="preserve"> </w:t>
      </w:r>
      <w:proofErr w:type="spellStart"/>
      <w:r>
        <w:t>Mugundu</w:t>
      </w:r>
      <w:proofErr w:type="spellEnd"/>
      <w:r>
        <w:t xml:space="preserve"> GM, et al. (2010) Impact of </w:t>
      </w:r>
      <w:proofErr w:type="spellStart"/>
      <w:r>
        <w:t>ritonavir</w:t>
      </w:r>
      <w:proofErr w:type="spellEnd"/>
      <w:r>
        <w:t xml:space="preserve">, </w:t>
      </w:r>
      <w:proofErr w:type="spellStart"/>
      <w:r>
        <w:t>atazanavir</w:t>
      </w:r>
      <w:proofErr w:type="spellEnd"/>
      <w:r>
        <w:t xml:space="preserve"> and their combination on the CYP3A4 induction potential of </w:t>
      </w:r>
      <w:proofErr w:type="spellStart"/>
      <w:r>
        <w:t>efavirenz</w:t>
      </w:r>
      <w:proofErr w:type="spellEnd"/>
      <w:r>
        <w:t xml:space="preserve"> in primary human </w:t>
      </w:r>
      <w:proofErr w:type="spellStart"/>
      <w:r>
        <w:t>hepatocytes</w:t>
      </w:r>
      <w:proofErr w:type="spellEnd"/>
      <w:r>
        <w:t xml:space="preserve">. </w:t>
      </w:r>
      <w:r w:rsidRPr="008E277E">
        <w:rPr>
          <w:i/>
        </w:rPr>
        <w:t>Drug Metabolism Letters</w:t>
      </w:r>
      <w:r>
        <w:t xml:space="preserve"> 4:45-50.</w:t>
      </w:r>
    </w:p>
  </w:footnote>
  <w:footnote w:id="5">
    <w:p w:rsidR="00935825" w:rsidRDefault="00935825" w:rsidP="00E716FF">
      <w:pPr>
        <w:pStyle w:val="FootnoteText"/>
      </w:pPr>
      <w:r>
        <w:rPr>
          <w:rStyle w:val="FootnoteReference"/>
        </w:rPr>
        <w:footnoteRef/>
      </w:r>
      <w:r>
        <w:t xml:space="preserve"> </w:t>
      </w:r>
      <w:r w:rsidRPr="00650E1F">
        <w:t>Dixit</w:t>
      </w:r>
      <w:r w:rsidRPr="00FC7CD6">
        <w:t xml:space="preserve"> V</w:t>
      </w:r>
      <w:r>
        <w:t>,</w:t>
      </w:r>
      <w:r w:rsidRPr="00FC7CD6">
        <w:t xml:space="preserve"> et al</w:t>
      </w:r>
      <w:r>
        <w:t>.</w:t>
      </w:r>
      <w:r w:rsidRPr="00FC7CD6">
        <w:t xml:space="preserve"> (2007) </w:t>
      </w:r>
      <w:proofErr w:type="spellStart"/>
      <w:r w:rsidRPr="00FC7CD6">
        <w:t>Cytochrome</w:t>
      </w:r>
      <w:proofErr w:type="spellEnd"/>
      <w:r w:rsidRPr="00650E1F">
        <w:t xml:space="preserve"> P450 enzymes and transporters induced by anti-human immunodeficiency virus protease inhibitors in human </w:t>
      </w:r>
      <w:proofErr w:type="spellStart"/>
      <w:r w:rsidRPr="00650E1F">
        <w:t>hepat</w:t>
      </w:r>
      <w:r>
        <w:t>ocytes</w:t>
      </w:r>
      <w:proofErr w:type="spellEnd"/>
      <w:r>
        <w:t>: implications for predic</w:t>
      </w:r>
      <w:r w:rsidRPr="00650E1F">
        <w:t xml:space="preserve">ting clinical drug interactions. </w:t>
      </w:r>
      <w:r w:rsidRPr="00650E1F">
        <w:rPr>
          <w:i/>
        </w:rPr>
        <w:t xml:space="preserve">Drug </w:t>
      </w:r>
      <w:proofErr w:type="spellStart"/>
      <w:r w:rsidRPr="00650E1F">
        <w:rPr>
          <w:i/>
        </w:rPr>
        <w:t>Metab</w:t>
      </w:r>
      <w:proofErr w:type="spellEnd"/>
      <w:r w:rsidRPr="00650E1F">
        <w:rPr>
          <w:i/>
        </w:rPr>
        <w:t xml:space="preserve"> </w:t>
      </w:r>
      <w:proofErr w:type="spellStart"/>
      <w:r w:rsidRPr="00650E1F">
        <w:rPr>
          <w:i/>
        </w:rPr>
        <w:t>Dispos</w:t>
      </w:r>
      <w:proofErr w:type="spellEnd"/>
      <w:r>
        <w:rPr>
          <w:i/>
        </w:rPr>
        <w:t>.</w:t>
      </w:r>
      <w:r>
        <w:t xml:space="preserve"> 35:</w:t>
      </w:r>
      <w:r w:rsidRPr="00650E1F">
        <w:t>1853-</w:t>
      </w:r>
      <w:r>
        <w:t>185</w:t>
      </w:r>
      <w:r w:rsidRPr="00650E1F">
        <w:t>9</w:t>
      </w:r>
      <w:r>
        <w:t>.</w:t>
      </w:r>
    </w:p>
  </w:footnote>
  <w:footnote w:id="6">
    <w:p w:rsidR="000564B0" w:rsidRDefault="000564B0" w:rsidP="00A77194">
      <w:pPr>
        <w:pStyle w:val="FootnoteText"/>
      </w:pPr>
      <w:r>
        <w:rPr>
          <w:rStyle w:val="FootnoteReference"/>
        </w:rPr>
        <w:footnoteRef/>
      </w:r>
      <w:r>
        <w:t xml:space="preserve"> European Medicines Agency, “</w:t>
      </w:r>
      <w:r w:rsidRPr="00B86BAB">
        <w:t>ICH Topic E 2 E</w:t>
      </w:r>
      <w:r>
        <w:t xml:space="preserve"> </w:t>
      </w:r>
      <w:proofErr w:type="spellStart"/>
      <w:r w:rsidRPr="00B86BAB">
        <w:t>Pharmacovigilance</w:t>
      </w:r>
      <w:proofErr w:type="spellEnd"/>
      <w:r w:rsidRPr="00B86BAB">
        <w:t xml:space="preserve"> Planning (</w:t>
      </w:r>
      <w:proofErr w:type="spellStart"/>
      <w:r w:rsidRPr="00B86BAB">
        <w:t>Pvp</w:t>
      </w:r>
      <w:proofErr w:type="spellEnd"/>
      <w:r w:rsidRPr="00B86BAB">
        <w:t>)</w:t>
      </w:r>
      <w:r>
        <w:t xml:space="preserve">, Step 5: Note for Guidance on Planning </w:t>
      </w:r>
      <w:proofErr w:type="spellStart"/>
      <w:r>
        <w:t>Pharmacovigilance</w:t>
      </w:r>
      <w:proofErr w:type="spellEnd"/>
      <w:r>
        <w:t xml:space="preserve"> Activities (</w:t>
      </w:r>
      <w:r w:rsidRPr="00AF5E41">
        <w:t>CPMP/ICH/5716/03</w:t>
      </w:r>
      <w:r>
        <w:t>)”</w:t>
      </w:r>
      <w:r w:rsidRPr="00322BA0">
        <w:t xml:space="preserve">, </w:t>
      </w:r>
      <w:r>
        <w:t>June 2005</w:t>
      </w:r>
      <w:r w:rsidRPr="00322BA0">
        <w:t xml:space="preserve">, Web, accessed </w:t>
      </w:r>
      <w:r>
        <w:t>22 November 2013</w:t>
      </w:r>
      <w:r w:rsidRPr="00322BA0">
        <w:t xml:space="preserve"> &lt;</w:t>
      </w:r>
      <w:r w:rsidRPr="00B86BAB">
        <w:t>www.ema.europa.eu/docs/en_GB/document_library/</w:t>
      </w:r>
      <w:r>
        <w:t xml:space="preserve"> </w:t>
      </w:r>
      <w:proofErr w:type="spellStart"/>
      <w:r w:rsidRPr="00B86BAB">
        <w:t>Scientific_guideline</w:t>
      </w:r>
      <w:proofErr w:type="spellEnd"/>
      <w:r w:rsidRPr="00B86BAB">
        <w:t>/2009/09/WC500002818.pdf</w:t>
      </w:r>
      <w:r w:rsidRPr="00322BA0">
        <w:t>&gt;</w:t>
      </w:r>
      <w:r>
        <w:t>.</w:t>
      </w:r>
    </w:p>
  </w:footnote>
  <w:footnote w:id="7">
    <w:p w:rsidR="00117FDF" w:rsidRDefault="00117FDF" w:rsidP="00140A1D">
      <w:pPr>
        <w:pStyle w:val="FootnoteText"/>
      </w:pPr>
      <w:r>
        <w:rPr>
          <w:rStyle w:val="FootnoteReference"/>
        </w:rPr>
        <w:footnoteRef/>
      </w:r>
      <w:r>
        <w:t xml:space="preserve"> </w:t>
      </w:r>
      <w:proofErr w:type="spellStart"/>
      <w:r w:rsidRPr="00A06ECE">
        <w:t>DiMasi</w:t>
      </w:r>
      <w:proofErr w:type="spellEnd"/>
      <w:r w:rsidRPr="00A06ECE">
        <w:t xml:space="preserve"> JA. </w:t>
      </w:r>
      <w:r>
        <w:t xml:space="preserve">(2001) </w:t>
      </w:r>
      <w:r w:rsidRPr="00A06ECE">
        <w:t>Risks in new drug development: approval success rates for investigatio</w:t>
      </w:r>
      <w:r>
        <w:t xml:space="preserve">nal drugs. </w:t>
      </w:r>
      <w:proofErr w:type="spellStart"/>
      <w:r w:rsidRPr="00A06ECE">
        <w:rPr>
          <w:i/>
        </w:rPr>
        <w:t>Clin</w:t>
      </w:r>
      <w:proofErr w:type="spellEnd"/>
      <w:r w:rsidRPr="00A06ECE">
        <w:rPr>
          <w:i/>
        </w:rPr>
        <w:t xml:space="preserve"> </w:t>
      </w:r>
      <w:proofErr w:type="spellStart"/>
      <w:r w:rsidRPr="00A06ECE">
        <w:rPr>
          <w:i/>
        </w:rPr>
        <w:t>Pharmacol</w:t>
      </w:r>
      <w:proofErr w:type="spellEnd"/>
      <w:r w:rsidRPr="00A06ECE">
        <w:rPr>
          <w:i/>
        </w:rPr>
        <w:t xml:space="preserve"> </w:t>
      </w:r>
      <w:proofErr w:type="spellStart"/>
      <w:r w:rsidRPr="00A06ECE">
        <w:rPr>
          <w:i/>
        </w:rPr>
        <w:t>Ther</w:t>
      </w:r>
      <w:proofErr w:type="spellEnd"/>
      <w:r w:rsidRPr="00A06ECE">
        <w:rPr>
          <w:i/>
        </w:rPr>
        <w:t>.</w:t>
      </w:r>
      <w:r>
        <w:t xml:space="preserve"> 69</w:t>
      </w:r>
      <w:r w:rsidRPr="00A06ECE">
        <w:t>:297-307</w:t>
      </w:r>
      <w:r>
        <w:t>.</w:t>
      </w:r>
    </w:p>
  </w:footnote>
  <w:footnote w:id="8">
    <w:p w:rsidR="00117FDF" w:rsidRDefault="00117FDF" w:rsidP="00140A1D">
      <w:pPr>
        <w:pStyle w:val="FootnoteText"/>
      </w:pPr>
      <w:r>
        <w:rPr>
          <w:rStyle w:val="FootnoteReference"/>
        </w:rPr>
        <w:footnoteRef/>
      </w:r>
      <w:r>
        <w:t xml:space="preserve"> </w:t>
      </w:r>
      <w:r w:rsidRPr="005E6613">
        <w:t xml:space="preserve">Gallant JE. </w:t>
      </w:r>
      <w:r>
        <w:t xml:space="preserve">(2004) </w:t>
      </w:r>
      <w:r w:rsidRPr="005E6613">
        <w:t>Protease-inhibitor boosting in the treatment-experien</w:t>
      </w:r>
      <w:r>
        <w:t xml:space="preserve">ced patient. </w:t>
      </w:r>
      <w:r w:rsidRPr="005E6613">
        <w:rPr>
          <w:i/>
        </w:rPr>
        <w:t>AIDS Rev.</w:t>
      </w:r>
      <w:r>
        <w:t xml:space="preserve"> 206</w:t>
      </w:r>
      <w:r w:rsidRPr="005E6613">
        <w:t>:226-</w:t>
      </w:r>
      <w:r>
        <w:t>2</w:t>
      </w:r>
      <w:r w:rsidRPr="005E6613">
        <w:t>33</w:t>
      </w:r>
      <w:r>
        <w:t>.</w:t>
      </w:r>
    </w:p>
  </w:footnote>
  <w:footnote w:id="9">
    <w:p w:rsidR="00935825" w:rsidRDefault="00935825">
      <w:pPr>
        <w:pStyle w:val="FootnoteText"/>
      </w:pPr>
      <w:r>
        <w:rPr>
          <w:rStyle w:val="FootnoteReference"/>
        </w:rPr>
        <w:footnoteRef/>
      </w:r>
      <w:r>
        <w:t xml:space="preserve"> </w:t>
      </w:r>
      <w:proofErr w:type="spellStart"/>
      <w:r>
        <w:t>Prezista</w:t>
      </w:r>
      <w:proofErr w:type="spellEnd"/>
      <w:r w:rsidRPr="003C4A42">
        <w:t xml:space="preserve"> (</w:t>
      </w:r>
      <w:proofErr w:type="spellStart"/>
      <w:r w:rsidRPr="003C4A42">
        <w:t>darunavir</w:t>
      </w:r>
      <w:proofErr w:type="spellEnd"/>
      <w:r w:rsidRPr="003C4A42">
        <w:t>) Oral Suspension, for Oral use, PREZISTA (</w:t>
      </w:r>
      <w:proofErr w:type="spellStart"/>
      <w:r w:rsidRPr="003C4A42">
        <w:t>darunavir</w:t>
      </w:r>
      <w:proofErr w:type="spellEnd"/>
      <w:r w:rsidRPr="003C4A42">
        <w:t>) Tablet, Film Coated for Oral Use. AU Product Information. Janssen Pharmaceuticals, Inc. Revised April 2013</w:t>
      </w:r>
      <w:r>
        <w:t xml:space="preserve">; </w:t>
      </w:r>
      <w:proofErr w:type="spellStart"/>
      <w:r>
        <w:t>Reyataz</w:t>
      </w:r>
      <w:proofErr w:type="spellEnd"/>
      <w:r>
        <w:t xml:space="preserve"> </w:t>
      </w:r>
      <w:r w:rsidRPr="00874A06">
        <w:t>(</w:t>
      </w:r>
      <w:proofErr w:type="spellStart"/>
      <w:r w:rsidRPr="00874A06">
        <w:t>atazanavir</w:t>
      </w:r>
      <w:proofErr w:type="spellEnd"/>
      <w:r w:rsidRPr="00874A06">
        <w:t xml:space="preserve"> </w:t>
      </w:r>
      <w:proofErr w:type="spellStart"/>
      <w:r w:rsidRPr="00874A06">
        <w:t>sulfate</w:t>
      </w:r>
      <w:proofErr w:type="spellEnd"/>
      <w:r w:rsidRPr="00874A06">
        <w:t xml:space="preserve">) Capsules. </w:t>
      </w:r>
      <w:r>
        <w:t>AU Product Information. Bristol-</w:t>
      </w:r>
      <w:r w:rsidRPr="00874A06">
        <w:t>Myers Squibb Company, Revised May 2013</w:t>
      </w:r>
      <w:r>
        <w:t>.</w:t>
      </w:r>
    </w:p>
  </w:footnote>
  <w:footnote w:id="10">
    <w:p w:rsidR="00935825" w:rsidRDefault="00935825" w:rsidP="00140A1D">
      <w:pPr>
        <w:pStyle w:val="FootnoteText"/>
      </w:pPr>
      <w:r>
        <w:rPr>
          <w:rStyle w:val="FootnoteReference"/>
        </w:rPr>
        <w:footnoteRef/>
      </w:r>
      <w:r>
        <w:t xml:space="preserve"> </w:t>
      </w:r>
      <w:r w:rsidR="006143C5">
        <w:t xml:space="preserve">US </w:t>
      </w:r>
      <w:r w:rsidR="006143C5" w:rsidRPr="006143C5">
        <w:t>Department of Health and</w:t>
      </w:r>
      <w:r w:rsidR="006143C5">
        <w:t xml:space="preserve"> </w:t>
      </w:r>
      <w:r w:rsidR="006143C5" w:rsidRPr="006143C5">
        <w:t>Human Services</w:t>
      </w:r>
      <w:r w:rsidR="006143C5">
        <w:t>, “</w:t>
      </w:r>
      <w:r w:rsidRPr="00935825">
        <w:t>Guidelines for the Use of Antiretroviral Agents in HIV-1-Infe</w:t>
      </w:r>
      <w:r w:rsidR="008452A6">
        <w:t>cted Adults and Adolescent</w:t>
      </w:r>
      <w:r w:rsidR="006143C5">
        <w:t xml:space="preserve">s” </w:t>
      </w:r>
      <w:r w:rsidR="003A6A75">
        <w:t xml:space="preserve">Web, </w:t>
      </w:r>
      <w:r w:rsidR="008452A6">
        <w:t>a</w:t>
      </w:r>
      <w:r w:rsidRPr="00935825">
        <w:t xml:space="preserve">ccessed </w:t>
      </w:r>
      <w:r w:rsidR="009B0B61">
        <w:t xml:space="preserve">27 </w:t>
      </w:r>
      <w:r w:rsidR="000F6AF3">
        <w:t xml:space="preserve">March </w:t>
      </w:r>
      <w:r w:rsidRPr="00935825">
        <w:t>2012</w:t>
      </w:r>
      <w:r w:rsidR="003A6A75">
        <w:t xml:space="preserve"> &lt;a</w:t>
      </w:r>
      <w:r w:rsidR="003A6A75" w:rsidRPr="00B55E90">
        <w:t>idsinfo.nih.gov/</w:t>
      </w:r>
      <w:r w:rsidR="003A6A75">
        <w:t xml:space="preserve"> </w:t>
      </w:r>
      <w:proofErr w:type="spellStart"/>
      <w:r w:rsidR="003A6A75" w:rsidRPr="00B55E90">
        <w:t>contentfiles</w:t>
      </w:r>
      <w:proofErr w:type="spellEnd"/>
      <w:r w:rsidR="003A6A75" w:rsidRPr="00B55E90">
        <w:t>/</w:t>
      </w:r>
      <w:proofErr w:type="spellStart"/>
      <w:r w:rsidR="003A6A75" w:rsidRPr="00B55E90">
        <w:t>lvguidelines</w:t>
      </w:r>
      <w:proofErr w:type="spellEnd"/>
      <w:r w:rsidR="003A6A75" w:rsidRPr="00B55E90">
        <w:t xml:space="preserve">/adultandadolescentgl.pdf </w:t>
      </w:r>
      <w:r w:rsidR="003A6A75">
        <w:t>&gt;</w:t>
      </w:r>
      <w:r w:rsidR="00865CD2">
        <w:t xml:space="preserve">; </w:t>
      </w:r>
      <w:r w:rsidR="00535A0B" w:rsidRPr="00535A0B">
        <w:t>European AIDS Clinical Society (EACS) Guidelines for the Clinical Management and Treatment of HIV Infected Adults in Europe. Ve</w:t>
      </w:r>
      <w:r w:rsidR="00535A0B">
        <w:t>rsion 6.</w:t>
      </w:r>
      <w:r w:rsidR="00762902">
        <w:t xml:space="preserve">0, </w:t>
      </w:r>
      <w:r w:rsidR="00535A0B">
        <w:t xml:space="preserve">October 2011, pp. </w:t>
      </w:r>
      <w:r w:rsidR="00535A0B" w:rsidRPr="00535A0B">
        <w:t>1-61</w:t>
      </w:r>
      <w:r w:rsidR="00535A0B">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094C9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935825" w:rsidRDefault="00094C92" w:rsidP="00593AD1">
    <w:pPr>
      <w:pStyle w:val="HeaderNoLine"/>
    </w:pPr>
    <w:r>
      <w:rPr>
        <w:noProof/>
        <w:lang w:eastAsia="en-AU"/>
      </w:rPr>
      <w:drawing>
        <wp:inline distT="0" distB="0" distL="0" distR="0">
          <wp:extent cx="5396865" cy="7635240"/>
          <wp:effectExtent l="19050" t="0" r="0"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25" w:rsidRDefault="00935825" w:rsidP="006E08B3">
    <w:r>
      <w:t>Therapeutic Goods Administration</w:t>
    </w:r>
  </w:p>
  <w:p w:rsidR="00935825" w:rsidRDefault="0093582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2646A2B"/>
    <w:multiLevelType w:val="hybridMultilevel"/>
    <w:tmpl w:val="73A88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3711B93"/>
    <w:multiLevelType w:val="hybridMultilevel"/>
    <w:tmpl w:val="FD3CA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8441DA"/>
    <w:multiLevelType w:val="hybridMultilevel"/>
    <w:tmpl w:val="FCBE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76A892C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2547516"/>
    <w:multiLevelType w:val="hybridMultilevel"/>
    <w:tmpl w:val="348A0608"/>
    <w:lvl w:ilvl="0" w:tplc="7E5AB31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7C4058"/>
    <w:multiLevelType w:val="hybridMultilevel"/>
    <w:tmpl w:val="C2B42B54"/>
    <w:lvl w:ilvl="0" w:tplc="87CE65F2">
      <w:start w:val="1"/>
      <w:numFmt w:val="bullet"/>
      <w:lvlText w:val=""/>
      <w:lvlJc w:val="left"/>
      <w:pPr>
        <w:ind w:left="720" w:hanging="360"/>
      </w:pPr>
      <w:rPr>
        <w:rFonts w:ascii="Symbol" w:hAnsi="Symbo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4884A05"/>
    <w:multiLevelType w:val="hybridMultilevel"/>
    <w:tmpl w:val="5EF44470"/>
    <w:lvl w:ilvl="0" w:tplc="D1A2AC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9E65D1"/>
    <w:multiLevelType w:val="hybridMultilevel"/>
    <w:tmpl w:val="7C2409C4"/>
    <w:lvl w:ilvl="0" w:tplc="035889D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FE4292"/>
    <w:multiLevelType w:val="hybridMultilevel"/>
    <w:tmpl w:val="498A9290"/>
    <w:lvl w:ilvl="0" w:tplc="035889D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AE44DB"/>
    <w:multiLevelType w:val="hybridMultilevel"/>
    <w:tmpl w:val="A82E67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57B2348"/>
    <w:multiLevelType w:val="hybridMultilevel"/>
    <w:tmpl w:val="9FB8EB74"/>
    <w:lvl w:ilvl="0" w:tplc="9C807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5946980"/>
    <w:multiLevelType w:val="hybridMultilevel"/>
    <w:tmpl w:val="67C67A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60414C7"/>
    <w:multiLevelType w:val="hybridMultilevel"/>
    <w:tmpl w:val="C1CADC36"/>
    <w:lvl w:ilvl="0" w:tplc="B694C6F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366655"/>
    <w:multiLevelType w:val="hybridMultilevel"/>
    <w:tmpl w:val="34C25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553070"/>
    <w:multiLevelType w:val="hybridMultilevel"/>
    <w:tmpl w:val="FA5409E4"/>
    <w:lvl w:ilvl="0" w:tplc="D442655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6625BFC"/>
    <w:multiLevelType w:val="hybridMultilevel"/>
    <w:tmpl w:val="9876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8A5E89"/>
    <w:multiLevelType w:val="hybridMultilevel"/>
    <w:tmpl w:val="01FA0F7C"/>
    <w:lvl w:ilvl="0" w:tplc="7E5AB31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E0492B"/>
    <w:multiLevelType w:val="hybridMultilevel"/>
    <w:tmpl w:val="95B840C0"/>
    <w:lvl w:ilvl="0" w:tplc="690202F8">
      <w:start w:val="1"/>
      <w:numFmt w:val="bullet"/>
      <w:lvlText w:val="•"/>
      <w:lvlJc w:val="left"/>
      <w:pPr>
        <w:tabs>
          <w:tab w:val="num" w:pos="720"/>
        </w:tabs>
        <w:ind w:left="720" w:hanging="360"/>
      </w:pPr>
      <w:rPr>
        <w:rFonts w:ascii="Arial" w:hAnsi="Arial" w:hint="default"/>
      </w:rPr>
    </w:lvl>
    <w:lvl w:ilvl="1" w:tplc="4520641A" w:tentative="1">
      <w:start w:val="1"/>
      <w:numFmt w:val="bullet"/>
      <w:lvlText w:val="•"/>
      <w:lvlJc w:val="left"/>
      <w:pPr>
        <w:tabs>
          <w:tab w:val="num" w:pos="1440"/>
        </w:tabs>
        <w:ind w:left="1440" w:hanging="360"/>
      </w:pPr>
      <w:rPr>
        <w:rFonts w:ascii="Arial" w:hAnsi="Arial" w:hint="default"/>
      </w:rPr>
    </w:lvl>
    <w:lvl w:ilvl="2" w:tplc="9124BFD6" w:tentative="1">
      <w:start w:val="1"/>
      <w:numFmt w:val="bullet"/>
      <w:lvlText w:val="•"/>
      <w:lvlJc w:val="left"/>
      <w:pPr>
        <w:tabs>
          <w:tab w:val="num" w:pos="2160"/>
        </w:tabs>
        <w:ind w:left="2160" w:hanging="360"/>
      </w:pPr>
      <w:rPr>
        <w:rFonts w:ascii="Arial" w:hAnsi="Arial" w:hint="default"/>
      </w:rPr>
    </w:lvl>
    <w:lvl w:ilvl="3" w:tplc="073022C4" w:tentative="1">
      <w:start w:val="1"/>
      <w:numFmt w:val="bullet"/>
      <w:lvlText w:val="•"/>
      <w:lvlJc w:val="left"/>
      <w:pPr>
        <w:tabs>
          <w:tab w:val="num" w:pos="2880"/>
        </w:tabs>
        <w:ind w:left="2880" w:hanging="360"/>
      </w:pPr>
      <w:rPr>
        <w:rFonts w:ascii="Arial" w:hAnsi="Arial" w:hint="default"/>
      </w:rPr>
    </w:lvl>
    <w:lvl w:ilvl="4" w:tplc="F9E8F9DC" w:tentative="1">
      <w:start w:val="1"/>
      <w:numFmt w:val="bullet"/>
      <w:lvlText w:val="•"/>
      <w:lvlJc w:val="left"/>
      <w:pPr>
        <w:tabs>
          <w:tab w:val="num" w:pos="3600"/>
        </w:tabs>
        <w:ind w:left="3600" w:hanging="360"/>
      </w:pPr>
      <w:rPr>
        <w:rFonts w:ascii="Arial" w:hAnsi="Arial" w:hint="default"/>
      </w:rPr>
    </w:lvl>
    <w:lvl w:ilvl="5" w:tplc="3864C2E4" w:tentative="1">
      <w:start w:val="1"/>
      <w:numFmt w:val="bullet"/>
      <w:lvlText w:val="•"/>
      <w:lvlJc w:val="left"/>
      <w:pPr>
        <w:tabs>
          <w:tab w:val="num" w:pos="4320"/>
        </w:tabs>
        <w:ind w:left="4320" w:hanging="360"/>
      </w:pPr>
      <w:rPr>
        <w:rFonts w:ascii="Arial" w:hAnsi="Arial" w:hint="default"/>
      </w:rPr>
    </w:lvl>
    <w:lvl w:ilvl="6" w:tplc="3DC87436" w:tentative="1">
      <w:start w:val="1"/>
      <w:numFmt w:val="bullet"/>
      <w:lvlText w:val="•"/>
      <w:lvlJc w:val="left"/>
      <w:pPr>
        <w:tabs>
          <w:tab w:val="num" w:pos="5040"/>
        </w:tabs>
        <w:ind w:left="5040" w:hanging="360"/>
      </w:pPr>
      <w:rPr>
        <w:rFonts w:ascii="Arial" w:hAnsi="Arial" w:hint="default"/>
      </w:rPr>
    </w:lvl>
    <w:lvl w:ilvl="7" w:tplc="D7AA50B0" w:tentative="1">
      <w:start w:val="1"/>
      <w:numFmt w:val="bullet"/>
      <w:lvlText w:val="•"/>
      <w:lvlJc w:val="left"/>
      <w:pPr>
        <w:tabs>
          <w:tab w:val="num" w:pos="5760"/>
        </w:tabs>
        <w:ind w:left="5760" w:hanging="360"/>
      </w:pPr>
      <w:rPr>
        <w:rFonts w:ascii="Arial" w:hAnsi="Arial" w:hint="default"/>
      </w:rPr>
    </w:lvl>
    <w:lvl w:ilvl="8" w:tplc="03343BDC" w:tentative="1">
      <w:start w:val="1"/>
      <w:numFmt w:val="bullet"/>
      <w:lvlText w:val="•"/>
      <w:lvlJc w:val="left"/>
      <w:pPr>
        <w:tabs>
          <w:tab w:val="num" w:pos="6480"/>
        </w:tabs>
        <w:ind w:left="6480" w:hanging="360"/>
      </w:pPr>
      <w:rPr>
        <w:rFonts w:ascii="Arial" w:hAnsi="Arial" w:hint="default"/>
      </w:rPr>
    </w:lvl>
  </w:abstractNum>
  <w:abstractNum w:abstractNumId="26">
    <w:nsid w:val="7E4749B0"/>
    <w:multiLevelType w:val="hybridMultilevel"/>
    <w:tmpl w:val="7198661A"/>
    <w:lvl w:ilvl="0" w:tplc="5FE2C8E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3"/>
  </w:num>
  <w:num w:numId="28">
    <w:abstractNumId w:val="10"/>
  </w:num>
  <w:num w:numId="29">
    <w:abstractNumId w:val="13"/>
  </w:num>
  <w:num w:numId="30">
    <w:abstractNumId w:val="8"/>
  </w:num>
  <w:num w:numId="31">
    <w:abstractNumId w:val="21"/>
  </w:num>
  <w:num w:numId="32">
    <w:abstractNumId w:val="16"/>
  </w:num>
  <w:num w:numId="33">
    <w:abstractNumId w:val="15"/>
  </w:num>
  <w:num w:numId="34">
    <w:abstractNumId w:val="22"/>
  </w:num>
  <w:num w:numId="35">
    <w:abstractNumId w:val="24"/>
  </w:num>
  <w:num w:numId="36">
    <w:abstractNumId w:val="11"/>
  </w:num>
  <w:num w:numId="37">
    <w:abstractNumId w:val="20"/>
  </w:num>
  <w:num w:numId="38">
    <w:abstractNumId w:val="26"/>
  </w:num>
  <w:num w:numId="39">
    <w:abstractNumId w:val="12"/>
  </w:num>
  <w:num w:numId="40">
    <w:abstractNumId w:val="14"/>
  </w:num>
  <w:num w:numId="41">
    <w:abstractNumId w:val="6"/>
  </w:num>
  <w:num w:numId="42">
    <w:abstractNumId w:val="25"/>
  </w:num>
  <w:num w:numId="43">
    <w:abstractNumId w:val="18"/>
  </w:num>
  <w:num w:numId="44">
    <w:abstractNumId w:val="4"/>
  </w:num>
  <w:num w:numId="45">
    <w:abstractNumId w:val="19"/>
  </w:num>
  <w:num w:numId="46">
    <w:abstractNumId w:val="9"/>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4273">
      <o:colormenu v:ext="edit" fillcolor="none [3206]"/>
    </o:shapedefaults>
  </w:hdrShapeDefaults>
  <w:footnotePr>
    <w:footnote w:id="-1"/>
    <w:footnote w:id="0"/>
  </w:footnotePr>
  <w:endnotePr>
    <w:endnote w:id="-1"/>
    <w:endnote w:id="0"/>
  </w:endnotePr>
  <w:compat/>
  <w:rsids>
    <w:rsidRoot w:val="00587D38"/>
    <w:rsid w:val="00002031"/>
    <w:rsid w:val="00004734"/>
    <w:rsid w:val="00006B22"/>
    <w:rsid w:val="0001143B"/>
    <w:rsid w:val="0001276A"/>
    <w:rsid w:val="000246AE"/>
    <w:rsid w:val="00025C67"/>
    <w:rsid w:val="00030CDC"/>
    <w:rsid w:val="00031DF5"/>
    <w:rsid w:val="00032BCA"/>
    <w:rsid w:val="00034059"/>
    <w:rsid w:val="000417BC"/>
    <w:rsid w:val="0004736F"/>
    <w:rsid w:val="0005559E"/>
    <w:rsid w:val="000564B0"/>
    <w:rsid w:val="00057788"/>
    <w:rsid w:val="00065EC9"/>
    <w:rsid w:val="00077775"/>
    <w:rsid w:val="0008034A"/>
    <w:rsid w:val="00085E0D"/>
    <w:rsid w:val="00090471"/>
    <w:rsid w:val="000914DA"/>
    <w:rsid w:val="000916EC"/>
    <w:rsid w:val="000940D5"/>
    <w:rsid w:val="00094C92"/>
    <w:rsid w:val="00095185"/>
    <w:rsid w:val="00096AA7"/>
    <w:rsid w:val="000A0709"/>
    <w:rsid w:val="000A117E"/>
    <w:rsid w:val="000A164A"/>
    <w:rsid w:val="000A2479"/>
    <w:rsid w:val="000A3AED"/>
    <w:rsid w:val="000B3532"/>
    <w:rsid w:val="000B3A75"/>
    <w:rsid w:val="000C1D11"/>
    <w:rsid w:val="000C690F"/>
    <w:rsid w:val="000D0154"/>
    <w:rsid w:val="000D1295"/>
    <w:rsid w:val="000D391B"/>
    <w:rsid w:val="000D39EA"/>
    <w:rsid w:val="000D3D6D"/>
    <w:rsid w:val="000D466B"/>
    <w:rsid w:val="000D4FC7"/>
    <w:rsid w:val="000D67CA"/>
    <w:rsid w:val="000D75F7"/>
    <w:rsid w:val="000F447E"/>
    <w:rsid w:val="000F4869"/>
    <w:rsid w:val="000F573E"/>
    <w:rsid w:val="000F5B42"/>
    <w:rsid w:val="000F6AF3"/>
    <w:rsid w:val="000F6E6F"/>
    <w:rsid w:val="001035AC"/>
    <w:rsid w:val="00104276"/>
    <w:rsid w:val="0010601F"/>
    <w:rsid w:val="0010788A"/>
    <w:rsid w:val="00107A31"/>
    <w:rsid w:val="00107C50"/>
    <w:rsid w:val="00110EA5"/>
    <w:rsid w:val="00112F56"/>
    <w:rsid w:val="00117FDF"/>
    <w:rsid w:val="00125318"/>
    <w:rsid w:val="001305A2"/>
    <w:rsid w:val="00131B5E"/>
    <w:rsid w:val="00133238"/>
    <w:rsid w:val="00140A1D"/>
    <w:rsid w:val="0014197B"/>
    <w:rsid w:val="0014277D"/>
    <w:rsid w:val="001447CD"/>
    <w:rsid w:val="0015105F"/>
    <w:rsid w:val="001516B1"/>
    <w:rsid w:val="00154712"/>
    <w:rsid w:val="00154B3C"/>
    <w:rsid w:val="00154EBB"/>
    <w:rsid w:val="001552B3"/>
    <w:rsid w:val="001562EF"/>
    <w:rsid w:val="00156316"/>
    <w:rsid w:val="00156A69"/>
    <w:rsid w:val="001575AE"/>
    <w:rsid w:val="00162D14"/>
    <w:rsid w:val="00165389"/>
    <w:rsid w:val="0016558E"/>
    <w:rsid w:val="00170A10"/>
    <w:rsid w:val="0017693F"/>
    <w:rsid w:val="0018110E"/>
    <w:rsid w:val="00181684"/>
    <w:rsid w:val="001823A3"/>
    <w:rsid w:val="001843C6"/>
    <w:rsid w:val="001850E0"/>
    <w:rsid w:val="00193FB4"/>
    <w:rsid w:val="00194279"/>
    <w:rsid w:val="00194D4F"/>
    <w:rsid w:val="00195CC7"/>
    <w:rsid w:val="001A2158"/>
    <w:rsid w:val="001A4A36"/>
    <w:rsid w:val="001A525F"/>
    <w:rsid w:val="001A7116"/>
    <w:rsid w:val="001A7E37"/>
    <w:rsid w:val="001B09F9"/>
    <w:rsid w:val="001B61EF"/>
    <w:rsid w:val="001B6448"/>
    <w:rsid w:val="001B792F"/>
    <w:rsid w:val="001C1BCF"/>
    <w:rsid w:val="001C3AAA"/>
    <w:rsid w:val="001C6A55"/>
    <w:rsid w:val="001C6BA1"/>
    <w:rsid w:val="001C7309"/>
    <w:rsid w:val="001C7D5D"/>
    <w:rsid w:val="001E07CF"/>
    <w:rsid w:val="001E0CCD"/>
    <w:rsid w:val="001E59F1"/>
    <w:rsid w:val="001F3AE0"/>
    <w:rsid w:val="001F49EB"/>
    <w:rsid w:val="001F6CBA"/>
    <w:rsid w:val="001F7605"/>
    <w:rsid w:val="00201D4E"/>
    <w:rsid w:val="002049AD"/>
    <w:rsid w:val="00206E20"/>
    <w:rsid w:val="002076C9"/>
    <w:rsid w:val="002105AE"/>
    <w:rsid w:val="002134B0"/>
    <w:rsid w:val="00213D0A"/>
    <w:rsid w:val="002144B4"/>
    <w:rsid w:val="00217F56"/>
    <w:rsid w:val="00220B8A"/>
    <w:rsid w:val="00220D91"/>
    <w:rsid w:val="00220E67"/>
    <w:rsid w:val="002257F3"/>
    <w:rsid w:val="00227816"/>
    <w:rsid w:val="00227A47"/>
    <w:rsid w:val="00231E09"/>
    <w:rsid w:val="002320A9"/>
    <w:rsid w:val="002328E1"/>
    <w:rsid w:val="00233456"/>
    <w:rsid w:val="0023367F"/>
    <w:rsid w:val="002339A5"/>
    <w:rsid w:val="00234B83"/>
    <w:rsid w:val="00235375"/>
    <w:rsid w:val="00235BF7"/>
    <w:rsid w:val="00236507"/>
    <w:rsid w:val="00236C75"/>
    <w:rsid w:val="0024099D"/>
    <w:rsid w:val="00242C45"/>
    <w:rsid w:val="002444E4"/>
    <w:rsid w:val="002471F1"/>
    <w:rsid w:val="00247E6C"/>
    <w:rsid w:val="00252AFC"/>
    <w:rsid w:val="00257848"/>
    <w:rsid w:val="0025799E"/>
    <w:rsid w:val="002611FF"/>
    <w:rsid w:val="00261578"/>
    <w:rsid w:val="00264061"/>
    <w:rsid w:val="002674ED"/>
    <w:rsid w:val="002705F2"/>
    <w:rsid w:val="0027084A"/>
    <w:rsid w:val="002721AE"/>
    <w:rsid w:val="002732A5"/>
    <w:rsid w:val="00277C46"/>
    <w:rsid w:val="002803CA"/>
    <w:rsid w:val="00281170"/>
    <w:rsid w:val="00283CA3"/>
    <w:rsid w:val="00286434"/>
    <w:rsid w:val="00286C59"/>
    <w:rsid w:val="00286ED9"/>
    <w:rsid w:val="0028742D"/>
    <w:rsid w:val="00291957"/>
    <w:rsid w:val="002942D1"/>
    <w:rsid w:val="0029501A"/>
    <w:rsid w:val="00296B92"/>
    <w:rsid w:val="002A106E"/>
    <w:rsid w:val="002A672D"/>
    <w:rsid w:val="002A7DAB"/>
    <w:rsid w:val="002B0796"/>
    <w:rsid w:val="002B1638"/>
    <w:rsid w:val="002B28B2"/>
    <w:rsid w:val="002B2B92"/>
    <w:rsid w:val="002B4F71"/>
    <w:rsid w:val="002B73B0"/>
    <w:rsid w:val="002C6ECA"/>
    <w:rsid w:val="002D5326"/>
    <w:rsid w:val="002D69DE"/>
    <w:rsid w:val="002D713F"/>
    <w:rsid w:val="002D77B1"/>
    <w:rsid w:val="002E4C9A"/>
    <w:rsid w:val="002F11F8"/>
    <w:rsid w:val="002F3F56"/>
    <w:rsid w:val="002F4240"/>
    <w:rsid w:val="002F44B5"/>
    <w:rsid w:val="002F63BF"/>
    <w:rsid w:val="002F79B2"/>
    <w:rsid w:val="003003C9"/>
    <w:rsid w:val="003017F4"/>
    <w:rsid w:val="003038DD"/>
    <w:rsid w:val="00311AC0"/>
    <w:rsid w:val="00311D2B"/>
    <w:rsid w:val="00313396"/>
    <w:rsid w:val="0032045F"/>
    <w:rsid w:val="00321F6F"/>
    <w:rsid w:val="003220CF"/>
    <w:rsid w:val="0032583B"/>
    <w:rsid w:val="00327883"/>
    <w:rsid w:val="00332007"/>
    <w:rsid w:val="003352E1"/>
    <w:rsid w:val="00335504"/>
    <w:rsid w:val="00347824"/>
    <w:rsid w:val="00350567"/>
    <w:rsid w:val="00351720"/>
    <w:rsid w:val="003521E8"/>
    <w:rsid w:val="003523B0"/>
    <w:rsid w:val="00357798"/>
    <w:rsid w:val="0036057F"/>
    <w:rsid w:val="00371EA0"/>
    <w:rsid w:val="003728F3"/>
    <w:rsid w:val="0037496E"/>
    <w:rsid w:val="00382471"/>
    <w:rsid w:val="00386150"/>
    <w:rsid w:val="003874CE"/>
    <w:rsid w:val="00390900"/>
    <w:rsid w:val="00393C65"/>
    <w:rsid w:val="0039432E"/>
    <w:rsid w:val="003957BD"/>
    <w:rsid w:val="003A44E7"/>
    <w:rsid w:val="003A6A75"/>
    <w:rsid w:val="003A7F6C"/>
    <w:rsid w:val="003B4D60"/>
    <w:rsid w:val="003B6957"/>
    <w:rsid w:val="003B7E39"/>
    <w:rsid w:val="003C0572"/>
    <w:rsid w:val="003C0F03"/>
    <w:rsid w:val="003C235B"/>
    <w:rsid w:val="003C4A42"/>
    <w:rsid w:val="003C58DC"/>
    <w:rsid w:val="003D1E62"/>
    <w:rsid w:val="003D31BF"/>
    <w:rsid w:val="003D6AD1"/>
    <w:rsid w:val="003E20DA"/>
    <w:rsid w:val="003E2486"/>
    <w:rsid w:val="003E2A60"/>
    <w:rsid w:val="003E3208"/>
    <w:rsid w:val="003E4DEC"/>
    <w:rsid w:val="003E5743"/>
    <w:rsid w:val="003E6BD7"/>
    <w:rsid w:val="003E7642"/>
    <w:rsid w:val="003E78B3"/>
    <w:rsid w:val="003F0B04"/>
    <w:rsid w:val="003F70F7"/>
    <w:rsid w:val="003F7581"/>
    <w:rsid w:val="0040134E"/>
    <w:rsid w:val="00405CDE"/>
    <w:rsid w:val="004066DE"/>
    <w:rsid w:val="00407502"/>
    <w:rsid w:val="00423923"/>
    <w:rsid w:val="00426CB6"/>
    <w:rsid w:val="004310DF"/>
    <w:rsid w:val="00431721"/>
    <w:rsid w:val="0043537C"/>
    <w:rsid w:val="00437DA9"/>
    <w:rsid w:val="00440A2D"/>
    <w:rsid w:val="00440AA7"/>
    <w:rsid w:val="00440B9D"/>
    <w:rsid w:val="00446CB2"/>
    <w:rsid w:val="004503D5"/>
    <w:rsid w:val="0045051C"/>
    <w:rsid w:val="00450A49"/>
    <w:rsid w:val="00455FCE"/>
    <w:rsid w:val="004564A7"/>
    <w:rsid w:val="00456A0A"/>
    <w:rsid w:val="004617BF"/>
    <w:rsid w:val="00463658"/>
    <w:rsid w:val="004717CC"/>
    <w:rsid w:val="004722CC"/>
    <w:rsid w:val="004819E4"/>
    <w:rsid w:val="00483800"/>
    <w:rsid w:val="004855A8"/>
    <w:rsid w:val="004936E4"/>
    <w:rsid w:val="00494E60"/>
    <w:rsid w:val="00495FC5"/>
    <w:rsid w:val="00497487"/>
    <w:rsid w:val="004A267A"/>
    <w:rsid w:val="004B7B76"/>
    <w:rsid w:val="004C239D"/>
    <w:rsid w:val="004C2DCA"/>
    <w:rsid w:val="004C3526"/>
    <w:rsid w:val="004C5BC5"/>
    <w:rsid w:val="004C65EF"/>
    <w:rsid w:val="004D2744"/>
    <w:rsid w:val="004D440C"/>
    <w:rsid w:val="004D6D80"/>
    <w:rsid w:val="004E20BD"/>
    <w:rsid w:val="004E6630"/>
    <w:rsid w:val="004E7F21"/>
    <w:rsid w:val="004F0F38"/>
    <w:rsid w:val="004F1FDA"/>
    <w:rsid w:val="004F48E0"/>
    <w:rsid w:val="00501921"/>
    <w:rsid w:val="00503CA2"/>
    <w:rsid w:val="00503CFB"/>
    <w:rsid w:val="00505808"/>
    <w:rsid w:val="00506F19"/>
    <w:rsid w:val="005153A6"/>
    <w:rsid w:val="00521F99"/>
    <w:rsid w:val="00530251"/>
    <w:rsid w:val="00530354"/>
    <w:rsid w:val="00531C5F"/>
    <w:rsid w:val="005323C7"/>
    <w:rsid w:val="00535A0B"/>
    <w:rsid w:val="0053625B"/>
    <w:rsid w:val="00536650"/>
    <w:rsid w:val="00541FBA"/>
    <w:rsid w:val="005434C6"/>
    <w:rsid w:val="00543B39"/>
    <w:rsid w:val="00550096"/>
    <w:rsid w:val="00553C9A"/>
    <w:rsid w:val="00555284"/>
    <w:rsid w:val="00557889"/>
    <w:rsid w:val="00557FF9"/>
    <w:rsid w:val="00563782"/>
    <w:rsid w:val="00563E56"/>
    <w:rsid w:val="00563FEC"/>
    <w:rsid w:val="0056506D"/>
    <w:rsid w:val="005651E7"/>
    <w:rsid w:val="00566241"/>
    <w:rsid w:val="0056739B"/>
    <w:rsid w:val="0057365D"/>
    <w:rsid w:val="00576378"/>
    <w:rsid w:val="005764D2"/>
    <w:rsid w:val="00577130"/>
    <w:rsid w:val="00577945"/>
    <w:rsid w:val="00577E38"/>
    <w:rsid w:val="00585322"/>
    <w:rsid w:val="005857C6"/>
    <w:rsid w:val="00587D38"/>
    <w:rsid w:val="005923F2"/>
    <w:rsid w:val="00592F6E"/>
    <w:rsid w:val="00593AD1"/>
    <w:rsid w:val="00594886"/>
    <w:rsid w:val="00594905"/>
    <w:rsid w:val="005A0F04"/>
    <w:rsid w:val="005A39EC"/>
    <w:rsid w:val="005A68B6"/>
    <w:rsid w:val="005B5163"/>
    <w:rsid w:val="005B6B24"/>
    <w:rsid w:val="005B73EF"/>
    <w:rsid w:val="005B79FC"/>
    <w:rsid w:val="005C0847"/>
    <w:rsid w:val="005C2C44"/>
    <w:rsid w:val="005C362B"/>
    <w:rsid w:val="005C5570"/>
    <w:rsid w:val="005C79A4"/>
    <w:rsid w:val="005D0990"/>
    <w:rsid w:val="005D39DC"/>
    <w:rsid w:val="005D5442"/>
    <w:rsid w:val="005D59ED"/>
    <w:rsid w:val="005E3EF7"/>
    <w:rsid w:val="005E62F4"/>
    <w:rsid w:val="005E6613"/>
    <w:rsid w:val="005E6647"/>
    <w:rsid w:val="005E66C3"/>
    <w:rsid w:val="005F174C"/>
    <w:rsid w:val="005F55F4"/>
    <w:rsid w:val="00600C51"/>
    <w:rsid w:val="00603F32"/>
    <w:rsid w:val="00605592"/>
    <w:rsid w:val="00611012"/>
    <w:rsid w:val="00612511"/>
    <w:rsid w:val="00613191"/>
    <w:rsid w:val="00613F2D"/>
    <w:rsid w:val="00614233"/>
    <w:rsid w:val="006143C5"/>
    <w:rsid w:val="00614C0D"/>
    <w:rsid w:val="00621C2E"/>
    <w:rsid w:val="00622B2A"/>
    <w:rsid w:val="00622CC5"/>
    <w:rsid w:val="00622CF0"/>
    <w:rsid w:val="00625A6E"/>
    <w:rsid w:val="00626F40"/>
    <w:rsid w:val="006271D3"/>
    <w:rsid w:val="00632398"/>
    <w:rsid w:val="00633B85"/>
    <w:rsid w:val="00640553"/>
    <w:rsid w:val="00640FC3"/>
    <w:rsid w:val="00640FFA"/>
    <w:rsid w:val="0064154B"/>
    <w:rsid w:val="00642020"/>
    <w:rsid w:val="006460F8"/>
    <w:rsid w:val="0065172D"/>
    <w:rsid w:val="0065337B"/>
    <w:rsid w:val="0065419D"/>
    <w:rsid w:val="00660069"/>
    <w:rsid w:val="006604D8"/>
    <w:rsid w:val="00660570"/>
    <w:rsid w:val="0066184E"/>
    <w:rsid w:val="00664222"/>
    <w:rsid w:val="00664A5B"/>
    <w:rsid w:val="006661BF"/>
    <w:rsid w:val="00675E9F"/>
    <w:rsid w:val="006763D2"/>
    <w:rsid w:val="0067720A"/>
    <w:rsid w:val="00680C08"/>
    <w:rsid w:val="00684F62"/>
    <w:rsid w:val="00687126"/>
    <w:rsid w:val="00687716"/>
    <w:rsid w:val="006931B1"/>
    <w:rsid w:val="006A15C0"/>
    <w:rsid w:val="006A3C9F"/>
    <w:rsid w:val="006A7492"/>
    <w:rsid w:val="006B17FF"/>
    <w:rsid w:val="006B1F55"/>
    <w:rsid w:val="006B2205"/>
    <w:rsid w:val="006B52C0"/>
    <w:rsid w:val="006C3E2A"/>
    <w:rsid w:val="006C642F"/>
    <w:rsid w:val="006D03E5"/>
    <w:rsid w:val="006D3C8E"/>
    <w:rsid w:val="006D5D3E"/>
    <w:rsid w:val="006D62E4"/>
    <w:rsid w:val="006E08B3"/>
    <w:rsid w:val="006E104B"/>
    <w:rsid w:val="006E332D"/>
    <w:rsid w:val="006E58E0"/>
    <w:rsid w:val="006F17AC"/>
    <w:rsid w:val="006F2D5E"/>
    <w:rsid w:val="006F572E"/>
    <w:rsid w:val="00700940"/>
    <w:rsid w:val="00701AD4"/>
    <w:rsid w:val="007046D6"/>
    <w:rsid w:val="00705DB0"/>
    <w:rsid w:val="00710EA4"/>
    <w:rsid w:val="00714AFC"/>
    <w:rsid w:val="00722B57"/>
    <w:rsid w:val="00724C39"/>
    <w:rsid w:val="007255B2"/>
    <w:rsid w:val="00726766"/>
    <w:rsid w:val="00734619"/>
    <w:rsid w:val="0074253D"/>
    <w:rsid w:val="007433E9"/>
    <w:rsid w:val="0074429B"/>
    <w:rsid w:val="00750CD6"/>
    <w:rsid w:val="00751ADE"/>
    <w:rsid w:val="007615BC"/>
    <w:rsid w:val="00762902"/>
    <w:rsid w:val="00762F05"/>
    <w:rsid w:val="007646E8"/>
    <w:rsid w:val="007652FF"/>
    <w:rsid w:val="00770EF1"/>
    <w:rsid w:val="00771A6D"/>
    <w:rsid w:val="00771A85"/>
    <w:rsid w:val="00773EF7"/>
    <w:rsid w:val="00774E1D"/>
    <w:rsid w:val="00775935"/>
    <w:rsid w:val="0077675A"/>
    <w:rsid w:val="00780355"/>
    <w:rsid w:val="00785678"/>
    <w:rsid w:val="00785721"/>
    <w:rsid w:val="00791C0D"/>
    <w:rsid w:val="00793A59"/>
    <w:rsid w:val="007A5476"/>
    <w:rsid w:val="007A6FED"/>
    <w:rsid w:val="007B43E8"/>
    <w:rsid w:val="007B51EA"/>
    <w:rsid w:val="007B6E9F"/>
    <w:rsid w:val="007B7C1E"/>
    <w:rsid w:val="007C1216"/>
    <w:rsid w:val="007C1AF7"/>
    <w:rsid w:val="007D5541"/>
    <w:rsid w:val="007E1A62"/>
    <w:rsid w:val="007E382C"/>
    <w:rsid w:val="007F26D7"/>
    <w:rsid w:val="007F3098"/>
    <w:rsid w:val="008036BD"/>
    <w:rsid w:val="00805D27"/>
    <w:rsid w:val="008109E1"/>
    <w:rsid w:val="00821776"/>
    <w:rsid w:val="00830E13"/>
    <w:rsid w:val="008321F5"/>
    <w:rsid w:val="00832369"/>
    <w:rsid w:val="00833D2C"/>
    <w:rsid w:val="00834660"/>
    <w:rsid w:val="00836BC2"/>
    <w:rsid w:val="0084300E"/>
    <w:rsid w:val="008452A6"/>
    <w:rsid w:val="008518E7"/>
    <w:rsid w:val="0085641B"/>
    <w:rsid w:val="00857136"/>
    <w:rsid w:val="008621F4"/>
    <w:rsid w:val="00864E86"/>
    <w:rsid w:val="00865CD2"/>
    <w:rsid w:val="00867140"/>
    <w:rsid w:val="008716B1"/>
    <w:rsid w:val="00871B2F"/>
    <w:rsid w:val="00874A06"/>
    <w:rsid w:val="00875128"/>
    <w:rsid w:val="008751B5"/>
    <w:rsid w:val="0088035C"/>
    <w:rsid w:val="008854C8"/>
    <w:rsid w:val="00885B11"/>
    <w:rsid w:val="00886D15"/>
    <w:rsid w:val="00887DD8"/>
    <w:rsid w:val="00890BF3"/>
    <w:rsid w:val="00893E9B"/>
    <w:rsid w:val="00895B36"/>
    <w:rsid w:val="00896018"/>
    <w:rsid w:val="008960DD"/>
    <w:rsid w:val="0089635C"/>
    <w:rsid w:val="008A2B9D"/>
    <w:rsid w:val="008A5E0B"/>
    <w:rsid w:val="008A6D59"/>
    <w:rsid w:val="008A7C67"/>
    <w:rsid w:val="008B1C98"/>
    <w:rsid w:val="008B4B03"/>
    <w:rsid w:val="008B596F"/>
    <w:rsid w:val="008B6D7D"/>
    <w:rsid w:val="008B766F"/>
    <w:rsid w:val="008C159F"/>
    <w:rsid w:val="008C1623"/>
    <w:rsid w:val="008C1850"/>
    <w:rsid w:val="008C51A9"/>
    <w:rsid w:val="008C7F6A"/>
    <w:rsid w:val="008D2D6B"/>
    <w:rsid w:val="008D4A44"/>
    <w:rsid w:val="008D6855"/>
    <w:rsid w:val="008E277E"/>
    <w:rsid w:val="008E389C"/>
    <w:rsid w:val="008E433E"/>
    <w:rsid w:val="008E4396"/>
    <w:rsid w:val="008E7846"/>
    <w:rsid w:val="008F0176"/>
    <w:rsid w:val="008F01B7"/>
    <w:rsid w:val="008F1CCC"/>
    <w:rsid w:val="008F2967"/>
    <w:rsid w:val="008F6943"/>
    <w:rsid w:val="00900D4C"/>
    <w:rsid w:val="00902A21"/>
    <w:rsid w:val="00904BB8"/>
    <w:rsid w:val="00914B9C"/>
    <w:rsid w:val="00920330"/>
    <w:rsid w:val="009219D7"/>
    <w:rsid w:val="00922D53"/>
    <w:rsid w:val="009230C3"/>
    <w:rsid w:val="00923B70"/>
    <w:rsid w:val="00924482"/>
    <w:rsid w:val="00930237"/>
    <w:rsid w:val="009357BE"/>
    <w:rsid w:val="00935825"/>
    <w:rsid w:val="00936434"/>
    <w:rsid w:val="00937AB2"/>
    <w:rsid w:val="009403CE"/>
    <w:rsid w:val="00946EA5"/>
    <w:rsid w:val="00952F67"/>
    <w:rsid w:val="00952FB9"/>
    <w:rsid w:val="00953207"/>
    <w:rsid w:val="00955B35"/>
    <w:rsid w:val="00957001"/>
    <w:rsid w:val="00957A99"/>
    <w:rsid w:val="00963002"/>
    <w:rsid w:val="00963C08"/>
    <w:rsid w:val="00967F30"/>
    <w:rsid w:val="0097491E"/>
    <w:rsid w:val="00976BD5"/>
    <w:rsid w:val="00981367"/>
    <w:rsid w:val="00984CB1"/>
    <w:rsid w:val="0098585A"/>
    <w:rsid w:val="00985C20"/>
    <w:rsid w:val="00992EB4"/>
    <w:rsid w:val="0099403E"/>
    <w:rsid w:val="009A4CED"/>
    <w:rsid w:val="009A690D"/>
    <w:rsid w:val="009A6D2D"/>
    <w:rsid w:val="009B01D4"/>
    <w:rsid w:val="009B0B61"/>
    <w:rsid w:val="009B1D12"/>
    <w:rsid w:val="009B2C4E"/>
    <w:rsid w:val="009B416B"/>
    <w:rsid w:val="009B4245"/>
    <w:rsid w:val="009B64CC"/>
    <w:rsid w:val="009B74D2"/>
    <w:rsid w:val="009C1F5D"/>
    <w:rsid w:val="009C4BD5"/>
    <w:rsid w:val="009D09AD"/>
    <w:rsid w:val="009D1B00"/>
    <w:rsid w:val="009D20D0"/>
    <w:rsid w:val="009D3AE9"/>
    <w:rsid w:val="009D6020"/>
    <w:rsid w:val="009D61A7"/>
    <w:rsid w:val="009D7B77"/>
    <w:rsid w:val="009E0822"/>
    <w:rsid w:val="009E0BB0"/>
    <w:rsid w:val="009E0BFB"/>
    <w:rsid w:val="009E2C2C"/>
    <w:rsid w:val="009E3FBB"/>
    <w:rsid w:val="009E63ED"/>
    <w:rsid w:val="009F559F"/>
    <w:rsid w:val="009F5AE3"/>
    <w:rsid w:val="00A0035B"/>
    <w:rsid w:val="00A06ECE"/>
    <w:rsid w:val="00A07318"/>
    <w:rsid w:val="00A10249"/>
    <w:rsid w:val="00A102E4"/>
    <w:rsid w:val="00A11A23"/>
    <w:rsid w:val="00A12C42"/>
    <w:rsid w:val="00A12E3E"/>
    <w:rsid w:val="00A14DF7"/>
    <w:rsid w:val="00A22F0F"/>
    <w:rsid w:val="00A24147"/>
    <w:rsid w:val="00A25984"/>
    <w:rsid w:val="00A268DC"/>
    <w:rsid w:val="00A27230"/>
    <w:rsid w:val="00A3246D"/>
    <w:rsid w:val="00A36FA7"/>
    <w:rsid w:val="00A41094"/>
    <w:rsid w:val="00A41583"/>
    <w:rsid w:val="00A42019"/>
    <w:rsid w:val="00A420D0"/>
    <w:rsid w:val="00A43346"/>
    <w:rsid w:val="00A46B30"/>
    <w:rsid w:val="00A475B7"/>
    <w:rsid w:val="00A47AF7"/>
    <w:rsid w:val="00A47C3E"/>
    <w:rsid w:val="00A50226"/>
    <w:rsid w:val="00A50314"/>
    <w:rsid w:val="00A60BAD"/>
    <w:rsid w:val="00A62325"/>
    <w:rsid w:val="00A63817"/>
    <w:rsid w:val="00A652B6"/>
    <w:rsid w:val="00A74C73"/>
    <w:rsid w:val="00A7543D"/>
    <w:rsid w:val="00A77194"/>
    <w:rsid w:val="00A81C09"/>
    <w:rsid w:val="00A83D78"/>
    <w:rsid w:val="00A84E36"/>
    <w:rsid w:val="00A92985"/>
    <w:rsid w:val="00A94870"/>
    <w:rsid w:val="00A964D1"/>
    <w:rsid w:val="00AA0ED0"/>
    <w:rsid w:val="00AA6A0A"/>
    <w:rsid w:val="00AA793C"/>
    <w:rsid w:val="00AB01EA"/>
    <w:rsid w:val="00AB114A"/>
    <w:rsid w:val="00AB4CB1"/>
    <w:rsid w:val="00AC2B40"/>
    <w:rsid w:val="00AC2BB2"/>
    <w:rsid w:val="00AC2C3C"/>
    <w:rsid w:val="00AC37CF"/>
    <w:rsid w:val="00AC40EB"/>
    <w:rsid w:val="00AC4621"/>
    <w:rsid w:val="00AC46D5"/>
    <w:rsid w:val="00AC512D"/>
    <w:rsid w:val="00AD0083"/>
    <w:rsid w:val="00AD229E"/>
    <w:rsid w:val="00AD2C40"/>
    <w:rsid w:val="00AD3D69"/>
    <w:rsid w:val="00AD4904"/>
    <w:rsid w:val="00AD4A5A"/>
    <w:rsid w:val="00AD7B1B"/>
    <w:rsid w:val="00AE5E07"/>
    <w:rsid w:val="00AE65EB"/>
    <w:rsid w:val="00AE67A7"/>
    <w:rsid w:val="00AF1D94"/>
    <w:rsid w:val="00AF225F"/>
    <w:rsid w:val="00AF2DF0"/>
    <w:rsid w:val="00AF3347"/>
    <w:rsid w:val="00AF5E41"/>
    <w:rsid w:val="00AF60C5"/>
    <w:rsid w:val="00AF6F88"/>
    <w:rsid w:val="00B009C6"/>
    <w:rsid w:val="00B01548"/>
    <w:rsid w:val="00B02478"/>
    <w:rsid w:val="00B047B2"/>
    <w:rsid w:val="00B1170A"/>
    <w:rsid w:val="00B1470B"/>
    <w:rsid w:val="00B175D3"/>
    <w:rsid w:val="00B219AE"/>
    <w:rsid w:val="00B21D29"/>
    <w:rsid w:val="00B25034"/>
    <w:rsid w:val="00B26007"/>
    <w:rsid w:val="00B26094"/>
    <w:rsid w:val="00B30E5F"/>
    <w:rsid w:val="00B33588"/>
    <w:rsid w:val="00B33863"/>
    <w:rsid w:val="00B3418B"/>
    <w:rsid w:val="00B37716"/>
    <w:rsid w:val="00B37D17"/>
    <w:rsid w:val="00B4175E"/>
    <w:rsid w:val="00B452CE"/>
    <w:rsid w:val="00B53DB6"/>
    <w:rsid w:val="00B54C25"/>
    <w:rsid w:val="00B55E90"/>
    <w:rsid w:val="00B56C7F"/>
    <w:rsid w:val="00B57AE9"/>
    <w:rsid w:val="00B63A6A"/>
    <w:rsid w:val="00B66D16"/>
    <w:rsid w:val="00B704A0"/>
    <w:rsid w:val="00B737EA"/>
    <w:rsid w:val="00B76B91"/>
    <w:rsid w:val="00B77EB1"/>
    <w:rsid w:val="00B811C6"/>
    <w:rsid w:val="00B82332"/>
    <w:rsid w:val="00B83F6D"/>
    <w:rsid w:val="00B855B0"/>
    <w:rsid w:val="00B86BAB"/>
    <w:rsid w:val="00B9006D"/>
    <w:rsid w:val="00B92E08"/>
    <w:rsid w:val="00B92E51"/>
    <w:rsid w:val="00B96802"/>
    <w:rsid w:val="00B97402"/>
    <w:rsid w:val="00BA2699"/>
    <w:rsid w:val="00BA2F83"/>
    <w:rsid w:val="00BA4747"/>
    <w:rsid w:val="00BA5585"/>
    <w:rsid w:val="00BB3C93"/>
    <w:rsid w:val="00BB767F"/>
    <w:rsid w:val="00BC622A"/>
    <w:rsid w:val="00BC64C1"/>
    <w:rsid w:val="00BC6B3D"/>
    <w:rsid w:val="00BC792B"/>
    <w:rsid w:val="00BD3FA6"/>
    <w:rsid w:val="00BD4C72"/>
    <w:rsid w:val="00BD5277"/>
    <w:rsid w:val="00BD5F6C"/>
    <w:rsid w:val="00BE0A78"/>
    <w:rsid w:val="00BE79F0"/>
    <w:rsid w:val="00BF046D"/>
    <w:rsid w:val="00BF1190"/>
    <w:rsid w:val="00BF347D"/>
    <w:rsid w:val="00BF5D04"/>
    <w:rsid w:val="00BF7962"/>
    <w:rsid w:val="00C00CA7"/>
    <w:rsid w:val="00C069E6"/>
    <w:rsid w:val="00C07BE6"/>
    <w:rsid w:val="00C1102A"/>
    <w:rsid w:val="00C1164D"/>
    <w:rsid w:val="00C11CA9"/>
    <w:rsid w:val="00C16861"/>
    <w:rsid w:val="00C179C2"/>
    <w:rsid w:val="00C17C49"/>
    <w:rsid w:val="00C17D2C"/>
    <w:rsid w:val="00C23884"/>
    <w:rsid w:val="00C24841"/>
    <w:rsid w:val="00C32A5A"/>
    <w:rsid w:val="00C404A6"/>
    <w:rsid w:val="00C40A36"/>
    <w:rsid w:val="00C40C0C"/>
    <w:rsid w:val="00C43CA5"/>
    <w:rsid w:val="00C44419"/>
    <w:rsid w:val="00C459C0"/>
    <w:rsid w:val="00C45E7B"/>
    <w:rsid w:val="00C460C7"/>
    <w:rsid w:val="00C471B1"/>
    <w:rsid w:val="00C52937"/>
    <w:rsid w:val="00C52D05"/>
    <w:rsid w:val="00C5771F"/>
    <w:rsid w:val="00C57A14"/>
    <w:rsid w:val="00C6316B"/>
    <w:rsid w:val="00C634A9"/>
    <w:rsid w:val="00C64586"/>
    <w:rsid w:val="00C65A42"/>
    <w:rsid w:val="00C675F4"/>
    <w:rsid w:val="00C70B68"/>
    <w:rsid w:val="00C70D53"/>
    <w:rsid w:val="00C72BFE"/>
    <w:rsid w:val="00C73D0B"/>
    <w:rsid w:val="00C772FF"/>
    <w:rsid w:val="00C80137"/>
    <w:rsid w:val="00C801AF"/>
    <w:rsid w:val="00C80256"/>
    <w:rsid w:val="00C8087C"/>
    <w:rsid w:val="00C83DDE"/>
    <w:rsid w:val="00C9033E"/>
    <w:rsid w:val="00CA3961"/>
    <w:rsid w:val="00CA548B"/>
    <w:rsid w:val="00CA6752"/>
    <w:rsid w:val="00CB09A9"/>
    <w:rsid w:val="00CB1B85"/>
    <w:rsid w:val="00CB3118"/>
    <w:rsid w:val="00CB403A"/>
    <w:rsid w:val="00CB6887"/>
    <w:rsid w:val="00CB6BC0"/>
    <w:rsid w:val="00CC1B7C"/>
    <w:rsid w:val="00CC727F"/>
    <w:rsid w:val="00CC7A80"/>
    <w:rsid w:val="00CD2D5D"/>
    <w:rsid w:val="00CD3C7F"/>
    <w:rsid w:val="00CD3EA3"/>
    <w:rsid w:val="00CD5A15"/>
    <w:rsid w:val="00CE26E9"/>
    <w:rsid w:val="00CE5FA4"/>
    <w:rsid w:val="00CE73DD"/>
    <w:rsid w:val="00CF15C3"/>
    <w:rsid w:val="00CF1C51"/>
    <w:rsid w:val="00CF2B6F"/>
    <w:rsid w:val="00CF3A82"/>
    <w:rsid w:val="00CF58B6"/>
    <w:rsid w:val="00CF6BFA"/>
    <w:rsid w:val="00CF6FE8"/>
    <w:rsid w:val="00D017ED"/>
    <w:rsid w:val="00D040D3"/>
    <w:rsid w:val="00D04181"/>
    <w:rsid w:val="00D04C65"/>
    <w:rsid w:val="00D073AB"/>
    <w:rsid w:val="00D13799"/>
    <w:rsid w:val="00D224FE"/>
    <w:rsid w:val="00D22C5E"/>
    <w:rsid w:val="00D3577D"/>
    <w:rsid w:val="00D357E1"/>
    <w:rsid w:val="00D40FA1"/>
    <w:rsid w:val="00D4140A"/>
    <w:rsid w:val="00D42031"/>
    <w:rsid w:val="00D4475E"/>
    <w:rsid w:val="00D459F2"/>
    <w:rsid w:val="00D47A4D"/>
    <w:rsid w:val="00D47E1F"/>
    <w:rsid w:val="00D52076"/>
    <w:rsid w:val="00D54503"/>
    <w:rsid w:val="00D6493E"/>
    <w:rsid w:val="00D649D5"/>
    <w:rsid w:val="00D65084"/>
    <w:rsid w:val="00D659B9"/>
    <w:rsid w:val="00D71B93"/>
    <w:rsid w:val="00D71DD7"/>
    <w:rsid w:val="00D7301E"/>
    <w:rsid w:val="00D73F4E"/>
    <w:rsid w:val="00D74C8E"/>
    <w:rsid w:val="00D7641F"/>
    <w:rsid w:val="00D83216"/>
    <w:rsid w:val="00D83AE1"/>
    <w:rsid w:val="00D84255"/>
    <w:rsid w:val="00D855D4"/>
    <w:rsid w:val="00D93466"/>
    <w:rsid w:val="00D9655A"/>
    <w:rsid w:val="00D96C27"/>
    <w:rsid w:val="00DA1124"/>
    <w:rsid w:val="00DA2841"/>
    <w:rsid w:val="00DB1555"/>
    <w:rsid w:val="00DB57DC"/>
    <w:rsid w:val="00DB6124"/>
    <w:rsid w:val="00DB75B7"/>
    <w:rsid w:val="00DC0053"/>
    <w:rsid w:val="00DC6B10"/>
    <w:rsid w:val="00DC6E02"/>
    <w:rsid w:val="00DD7AA1"/>
    <w:rsid w:val="00DE02AE"/>
    <w:rsid w:val="00DF0499"/>
    <w:rsid w:val="00DF0DE7"/>
    <w:rsid w:val="00DF0E67"/>
    <w:rsid w:val="00DF185D"/>
    <w:rsid w:val="00DF1D7F"/>
    <w:rsid w:val="00DF4BE4"/>
    <w:rsid w:val="00E02FB4"/>
    <w:rsid w:val="00E05643"/>
    <w:rsid w:val="00E15CEA"/>
    <w:rsid w:val="00E1619C"/>
    <w:rsid w:val="00E17020"/>
    <w:rsid w:val="00E17776"/>
    <w:rsid w:val="00E20571"/>
    <w:rsid w:val="00E22D84"/>
    <w:rsid w:val="00E235F7"/>
    <w:rsid w:val="00E23659"/>
    <w:rsid w:val="00E239D4"/>
    <w:rsid w:val="00E26130"/>
    <w:rsid w:val="00E27489"/>
    <w:rsid w:val="00E32203"/>
    <w:rsid w:val="00E40B22"/>
    <w:rsid w:val="00E45619"/>
    <w:rsid w:val="00E4588F"/>
    <w:rsid w:val="00E46DA3"/>
    <w:rsid w:val="00E510BA"/>
    <w:rsid w:val="00E51BB1"/>
    <w:rsid w:val="00E51DC0"/>
    <w:rsid w:val="00E55613"/>
    <w:rsid w:val="00E56668"/>
    <w:rsid w:val="00E56B9D"/>
    <w:rsid w:val="00E606E9"/>
    <w:rsid w:val="00E6144B"/>
    <w:rsid w:val="00E61D2E"/>
    <w:rsid w:val="00E624A5"/>
    <w:rsid w:val="00E656A5"/>
    <w:rsid w:val="00E716FF"/>
    <w:rsid w:val="00E7344E"/>
    <w:rsid w:val="00E7725E"/>
    <w:rsid w:val="00E77942"/>
    <w:rsid w:val="00E8742D"/>
    <w:rsid w:val="00E90FCC"/>
    <w:rsid w:val="00E92AEF"/>
    <w:rsid w:val="00E94778"/>
    <w:rsid w:val="00E9524C"/>
    <w:rsid w:val="00EB0798"/>
    <w:rsid w:val="00EB0DD5"/>
    <w:rsid w:val="00EB409E"/>
    <w:rsid w:val="00EB40AD"/>
    <w:rsid w:val="00EB4570"/>
    <w:rsid w:val="00EB45B7"/>
    <w:rsid w:val="00EB586E"/>
    <w:rsid w:val="00EB5FC8"/>
    <w:rsid w:val="00EB7870"/>
    <w:rsid w:val="00EC2A96"/>
    <w:rsid w:val="00EC6B4D"/>
    <w:rsid w:val="00EC7A85"/>
    <w:rsid w:val="00ED07E2"/>
    <w:rsid w:val="00ED296E"/>
    <w:rsid w:val="00ED3CAD"/>
    <w:rsid w:val="00ED5A41"/>
    <w:rsid w:val="00EE1DE8"/>
    <w:rsid w:val="00EE5E68"/>
    <w:rsid w:val="00EF2586"/>
    <w:rsid w:val="00F033EC"/>
    <w:rsid w:val="00F04F68"/>
    <w:rsid w:val="00F06FD3"/>
    <w:rsid w:val="00F1227E"/>
    <w:rsid w:val="00F12670"/>
    <w:rsid w:val="00F14B27"/>
    <w:rsid w:val="00F1686D"/>
    <w:rsid w:val="00F22DC7"/>
    <w:rsid w:val="00F2644E"/>
    <w:rsid w:val="00F2661D"/>
    <w:rsid w:val="00F3148D"/>
    <w:rsid w:val="00F325C5"/>
    <w:rsid w:val="00F32FE0"/>
    <w:rsid w:val="00F34643"/>
    <w:rsid w:val="00F35298"/>
    <w:rsid w:val="00F3546E"/>
    <w:rsid w:val="00F372DA"/>
    <w:rsid w:val="00F40729"/>
    <w:rsid w:val="00F41A4F"/>
    <w:rsid w:val="00F41EFD"/>
    <w:rsid w:val="00F47333"/>
    <w:rsid w:val="00F47880"/>
    <w:rsid w:val="00F47E37"/>
    <w:rsid w:val="00F507D8"/>
    <w:rsid w:val="00F50E46"/>
    <w:rsid w:val="00F53C07"/>
    <w:rsid w:val="00F54B65"/>
    <w:rsid w:val="00F60AFF"/>
    <w:rsid w:val="00F640B6"/>
    <w:rsid w:val="00F64BF2"/>
    <w:rsid w:val="00F66D3A"/>
    <w:rsid w:val="00F80E40"/>
    <w:rsid w:val="00F848D9"/>
    <w:rsid w:val="00F8720C"/>
    <w:rsid w:val="00F95177"/>
    <w:rsid w:val="00F9622F"/>
    <w:rsid w:val="00FA25B0"/>
    <w:rsid w:val="00FA42AD"/>
    <w:rsid w:val="00FA48E3"/>
    <w:rsid w:val="00FA5B82"/>
    <w:rsid w:val="00FA639E"/>
    <w:rsid w:val="00FB3554"/>
    <w:rsid w:val="00FC25E4"/>
    <w:rsid w:val="00FC2737"/>
    <w:rsid w:val="00FC4EF7"/>
    <w:rsid w:val="00FC7CD6"/>
    <w:rsid w:val="00FD4FF8"/>
    <w:rsid w:val="00FE1DEE"/>
    <w:rsid w:val="00FE38D0"/>
    <w:rsid w:val="00FE3A15"/>
    <w:rsid w:val="00FF145E"/>
    <w:rsid w:val="00FF2126"/>
    <w:rsid w:val="00FF2FD0"/>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427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F79B2"/>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F79B2"/>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4D2744"/>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4D2744"/>
    <w:pPr>
      <w:spacing w:before="0" w:after="0" w:line="240" w:lineRule="auto"/>
    </w:pPr>
    <w:rPr>
      <w:sz w:val="18"/>
      <w:szCs w:val="20"/>
    </w:rPr>
  </w:style>
  <w:style w:type="character" w:customStyle="1" w:styleId="FootnoteTextChar">
    <w:name w:val="Footnote Text Char"/>
    <w:basedOn w:val="DefaultParagraphFont"/>
    <w:link w:val="FootnoteText"/>
    <w:rsid w:val="004D2744"/>
    <w:rPr>
      <w:sz w:val="18"/>
      <w:lang w:eastAsia="en-US"/>
    </w:rPr>
  </w:style>
  <w:style w:type="character" w:styleId="FootnoteReference">
    <w:name w:val="footnote reference"/>
    <w:basedOn w:val="DefaultParagraphFont"/>
    <w:semiHidden/>
    <w:unhideWhenUsed/>
    <w:rsid w:val="00B1170A"/>
    <w:rPr>
      <w:vertAlign w:val="superscript"/>
    </w:rPr>
  </w:style>
  <w:style w:type="paragraph" w:customStyle="1" w:styleId="Bullet1">
    <w:name w:val="Bullet 1"/>
    <w:basedOn w:val="Normal"/>
    <w:rsid w:val="00B737EA"/>
    <w:pPr>
      <w:numPr>
        <w:numId w:val="28"/>
      </w:numPr>
      <w:spacing w:after="0" w:line="240" w:lineRule="auto"/>
    </w:pPr>
    <w:rPr>
      <w:rFonts w:eastAsia="Times New Roman"/>
      <w:kern w:val="24"/>
      <w:szCs w:val="24"/>
      <w:lang w:eastAsia="en-AU"/>
    </w:rPr>
  </w:style>
  <w:style w:type="paragraph" w:customStyle="1" w:styleId="Bullet2">
    <w:name w:val="Bullet 2"/>
    <w:basedOn w:val="Bullet1"/>
    <w:rsid w:val="00B737EA"/>
    <w:pPr>
      <w:numPr>
        <w:numId w:val="29"/>
      </w:numPr>
    </w:pPr>
  </w:style>
  <w:style w:type="paragraph" w:customStyle="1" w:styleId="Comment1">
    <w:name w:val="Comment 1"/>
    <w:basedOn w:val="Normal"/>
    <w:next w:val="Normal"/>
    <w:qFormat/>
    <w:rsid w:val="00B737E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4C35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2F79B2"/>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2F79B2"/>
    <w:rPr>
      <w:rFonts w:ascii="Cambria" w:eastAsia="Times New Roman" w:hAnsi="Cambria" w:cs="Times New Roman"/>
      <w:sz w:val="22"/>
      <w:szCs w:val="22"/>
      <w:lang w:eastAsia="en-US"/>
    </w:rPr>
  </w:style>
  <w:style w:type="paragraph" w:customStyle="1" w:styleId="Default">
    <w:name w:val="Default"/>
    <w:rsid w:val="0097491E"/>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semiHidden/>
    <w:unhideWhenUsed/>
    <w:rsid w:val="00131B5E"/>
    <w:rPr>
      <w:sz w:val="16"/>
      <w:szCs w:val="16"/>
    </w:rPr>
  </w:style>
  <w:style w:type="paragraph" w:styleId="CommentText">
    <w:name w:val="annotation text"/>
    <w:basedOn w:val="Normal"/>
    <w:link w:val="CommentTextChar"/>
    <w:uiPriority w:val="99"/>
    <w:semiHidden/>
    <w:unhideWhenUsed/>
    <w:rsid w:val="00131B5E"/>
    <w:rPr>
      <w:sz w:val="20"/>
      <w:szCs w:val="20"/>
    </w:rPr>
  </w:style>
  <w:style w:type="character" w:customStyle="1" w:styleId="CommentTextChar">
    <w:name w:val="Comment Text Char"/>
    <w:basedOn w:val="DefaultParagraphFont"/>
    <w:link w:val="CommentText"/>
    <w:uiPriority w:val="99"/>
    <w:semiHidden/>
    <w:rsid w:val="00131B5E"/>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ga.gov.au/hp/information-medicines-pi.ht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74858-C9ED-4760-972C-F1A9BC66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28</TotalTime>
  <Pages>40</Pages>
  <Words>15704</Words>
  <Characters>89516</Characters>
  <Application>Microsoft Office Word</Application>
  <DocSecurity>0</DocSecurity>
  <Lines>745</Lines>
  <Paragraphs>210</Paragraphs>
  <ScaleCrop>false</ScaleCrop>
  <HeadingPairs>
    <vt:vector size="2" baseType="variant">
      <vt:variant>
        <vt:lpstr>Title</vt:lpstr>
      </vt:variant>
      <vt:variant>
        <vt:i4>1</vt:i4>
      </vt:variant>
    </vt:vector>
  </HeadingPairs>
  <TitlesOfParts>
    <vt:vector size="1" baseType="lpstr">
      <vt:lpstr>Australian public assessment for Cobicistat</vt:lpstr>
    </vt:vector>
  </TitlesOfParts>
  <Company>Department of Health Therapeutic Goods Administration</Company>
  <LinksUpToDate>false</LinksUpToDate>
  <CharactersWithSpaces>105010</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1310774</vt:i4>
      </vt:variant>
      <vt:variant>
        <vt:i4>212</vt:i4>
      </vt:variant>
      <vt:variant>
        <vt:i4>0</vt:i4>
      </vt:variant>
      <vt:variant>
        <vt:i4>5</vt:i4>
      </vt:variant>
      <vt:variant>
        <vt:lpwstr/>
      </vt:variant>
      <vt:variant>
        <vt:lpwstr>_Toc374700134</vt:lpwstr>
      </vt:variant>
      <vt:variant>
        <vt:i4>1310774</vt:i4>
      </vt:variant>
      <vt:variant>
        <vt:i4>206</vt:i4>
      </vt:variant>
      <vt:variant>
        <vt:i4>0</vt:i4>
      </vt:variant>
      <vt:variant>
        <vt:i4>5</vt:i4>
      </vt:variant>
      <vt:variant>
        <vt:lpwstr/>
      </vt:variant>
      <vt:variant>
        <vt:lpwstr>_Toc374700133</vt:lpwstr>
      </vt:variant>
      <vt:variant>
        <vt:i4>1310774</vt:i4>
      </vt:variant>
      <vt:variant>
        <vt:i4>200</vt:i4>
      </vt:variant>
      <vt:variant>
        <vt:i4>0</vt:i4>
      </vt:variant>
      <vt:variant>
        <vt:i4>5</vt:i4>
      </vt:variant>
      <vt:variant>
        <vt:lpwstr/>
      </vt:variant>
      <vt:variant>
        <vt:lpwstr>_Toc374700132</vt:lpwstr>
      </vt:variant>
      <vt:variant>
        <vt:i4>1310774</vt:i4>
      </vt:variant>
      <vt:variant>
        <vt:i4>194</vt:i4>
      </vt:variant>
      <vt:variant>
        <vt:i4>0</vt:i4>
      </vt:variant>
      <vt:variant>
        <vt:i4>5</vt:i4>
      </vt:variant>
      <vt:variant>
        <vt:lpwstr/>
      </vt:variant>
      <vt:variant>
        <vt:lpwstr>_Toc374700131</vt:lpwstr>
      </vt:variant>
      <vt:variant>
        <vt:i4>1310774</vt:i4>
      </vt:variant>
      <vt:variant>
        <vt:i4>188</vt:i4>
      </vt:variant>
      <vt:variant>
        <vt:i4>0</vt:i4>
      </vt:variant>
      <vt:variant>
        <vt:i4>5</vt:i4>
      </vt:variant>
      <vt:variant>
        <vt:lpwstr/>
      </vt:variant>
      <vt:variant>
        <vt:lpwstr>_Toc374700130</vt:lpwstr>
      </vt:variant>
      <vt:variant>
        <vt:i4>1376310</vt:i4>
      </vt:variant>
      <vt:variant>
        <vt:i4>182</vt:i4>
      </vt:variant>
      <vt:variant>
        <vt:i4>0</vt:i4>
      </vt:variant>
      <vt:variant>
        <vt:i4>5</vt:i4>
      </vt:variant>
      <vt:variant>
        <vt:lpwstr/>
      </vt:variant>
      <vt:variant>
        <vt:lpwstr>_Toc374700129</vt:lpwstr>
      </vt:variant>
      <vt:variant>
        <vt:i4>1376310</vt:i4>
      </vt:variant>
      <vt:variant>
        <vt:i4>176</vt:i4>
      </vt:variant>
      <vt:variant>
        <vt:i4>0</vt:i4>
      </vt:variant>
      <vt:variant>
        <vt:i4>5</vt:i4>
      </vt:variant>
      <vt:variant>
        <vt:lpwstr/>
      </vt:variant>
      <vt:variant>
        <vt:lpwstr>_Toc374700128</vt:lpwstr>
      </vt:variant>
      <vt:variant>
        <vt:i4>1376310</vt:i4>
      </vt:variant>
      <vt:variant>
        <vt:i4>170</vt:i4>
      </vt:variant>
      <vt:variant>
        <vt:i4>0</vt:i4>
      </vt:variant>
      <vt:variant>
        <vt:i4>5</vt:i4>
      </vt:variant>
      <vt:variant>
        <vt:lpwstr/>
      </vt:variant>
      <vt:variant>
        <vt:lpwstr>_Toc374700127</vt:lpwstr>
      </vt:variant>
      <vt:variant>
        <vt:i4>1376310</vt:i4>
      </vt:variant>
      <vt:variant>
        <vt:i4>164</vt:i4>
      </vt:variant>
      <vt:variant>
        <vt:i4>0</vt:i4>
      </vt:variant>
      <vt:variant>
        <vt:i4>5</vt:i4>
      </vt:variant>
      <vt:variant>
        <vt:lpwstr/>
      </vt:variant>
      <vt:variant>
        <vt:lpwstr>_Toc374700126</vt:lpwstr>
      </vt:variant>
      <vt:variant>
        <vt:i4>1376310</vt:i4>
      </vt:variant>
      <vt:variant>
        <vt:i4>158</vt:i4>
      </vt:variant>
      <vt:variant>
        <vt:i4>0</vt:i4>
      </vt:variant>
      <vt:variant>
        <vt:i4>5</vt:i4>
      </vt:variant>
      <vt:variant>
        <vt:lpwstr/>
      </vt:variant>
      <vt:variant>
        <vt:lpwstr>_Toc374700125</vt:lpwstr>
      </vt:variant>
      <vt:variant>
        <vt:i4>1376310</vt:i4>
      </vt:variant>
      <vt:variant>
        <vt:i4>152</vt:i4>
      </vt:variant>
      <vt:variant>
        <vt:i4>0</vt:i4>
      </vt:variant>
      <vt:variant>
        <vt:i4>5</vt:i4>
      </vt:variant>
      <vt:variant>
        <vt:lpwstr/>
      </vt:variant>
      <vt:variant>
        <vt:lpwstr>_Toc374700124</vt:lpwstr>
      </vt:variant>
      <vt:variant>
        <vt:i4>1376310</vt:i4>
      </vt:variant>
      <vt:variant>
        <vt:i4>146</vt:i4>
      </vt:variant>
      <vt:variant>
        <vt:i4>0</vt:i4>
      </vt:variant>
      <vt:variant>
        <vt:i4>5</vt:i4>
      </vt:variant>
      <vt:variant>
        <vt:lpwstr/>
      </vt:variant>
      <vt:variant>
        <vt:lpwstr>_Toc374700123</vt:lpwstr>
      </vt:variant>
      <vt:variant>
        <vt:i4>1376310</vt:i4>
      </vt:variant>
      <vt:variant>
        <vt:i4>140</vt:i4>
      </vt:variant>
      <vt:variant>
        <vt:i4>0</vt:i4>
      </vt:variant>
      <vt:variant>
        <vt:i4>5</vt:i4>
      </vt:variant>
      <vt:variant>
        <vt:lpwstr/>
      </vt:variant>
      <vt:variant>
        <vt:lpwstr>_Toc374700122</vt:lpwstr>
      </vt:variant>
      <vt:variant>
        <vt:i4>1376310</vt:i4>
      </vt:variant>
      <vt:variant>
        <vt:i4>134</vt:i4>
      </vt:variant>
      <vt:variant>
        <vt:i4>0</vt:i4>
      </vt:variant>
      <vt:variant>
        <vt:i4>5</vt:i4>
      </vt:variant>
      <vt:variant>
        <vt:lpwstr/>
      </vt:variant>
      <vt:variant>
        <vt:lpwstr>_Toc374700121</vt:lpwstr>
      </vt:variant>
      <vt:variant>
        <vt:i4>1376310</vt:i4>
      </vt:variant>
      <vt:variant>
        <vt:i4>128</vt:i4>
      </vt:variant>
      <vt:variant>
        <vt:i4>0</vt:i4>
      </vt:variant>
      <vt:variant>
        <vt:i4>5</vt:i4>
      </vt:variant>
      <vt:variant>
        <vt:lpwstr/>
      </vt:variant>
      <vt:variant>
        <vt:lpwstr>_Toc374700120</vt:lpwstr>
      </vt:variant>
      <vt:variant>
        <vt:i4>1441846</vt:i4>
      </vt:variant>
      <vt:variant>
        <vt:i4>122</vt:i4>
      </vt:variant>
      <vt:variant>
        <vt:i4>0</vt:i4>
      </vt:variant>
      <vt:variant>
        <vt:i4>5</vt:i4>
      </vt:variant>
      <vt:variant>
        <vt:lpwstr/>
      </vt:variant>
      <vt:variant>
        <vt:lpwstr>_Toc374700119</vt:lpwstr>
      </vt:variant>
      <vt:variant>
        <vt:i4>1441846</vt:i4>
      </vt:variant>
      <vt:variant>
        <vt:i4>116</vt:i4>
      </vt:variant>
      <vt:variant>
        <vt:i4>0</vt:i4>
      </vt:variant>
      <vt:variant>
        <vt:i4>5</vt:i4>
      </vt:variant>
      <vt:variant>
        <vt:lpwstr/>
      </vt:variant>
      <vt:variant>
        <vt:lpwstr>_Toc374700118</vt:lpwstr>
      </vt:variant>
      <vt:variant>
        <vt:i4>1441846</vt:i4>
      </vt:variant>
      <vt:variant>
        <vt:i4>110</vt:i4>
      </vt:variant>
      <vt:variant>
        <vt:i4>0</vt:i4>
      </vt:variant>
      <vt:variant>
        <vt:i4>5</vt:i4>
      </vt:variant>
      <vt:variant>
        <vt:lpwstr/>
      </vt:variant>
      <vt:variant>
        <vt:lpwstr>_Toc374700117</vt:lpwstr>
      </vt:variant>
      <vt:variant>
        <vt:i4>1441846</vt:i4>
      </vt:variant>
      <vt:variant>
        <vt:i4>104</vt:i4>
      </vt:variant>
      <vt:variant>
        <vt:i4>0</vt:i4>
      </vt:variant>
      <vt:variant>
        <vt:i4>5</vt:i4>
      </vt:variant>
      <vt:variant>
        <vt:lpwstr/>
      </vt:variant>
      <vt:variant>
        <vt:lpwstr>_Toc374700116</vt:lpwstr>
      </vt:variant>
      <vt:variant>
        <vt:i4>1441846</vt:i4>
      </vt:variant>
      <vt:variant>
        <vt:i4>98</vt:i4>
      </vt:variant>
      <vt:variant>
        <vt:i4>0</vt:i4>
      </vt:variant>
      <vt:variant>
        <vt:i4>5</vt:i4>
      </vt:variant>
      <vt:variant>
        <vt:lpwstr/>
      </vt:variant>
      <vt:variant>
        <vt:lpwstr>_Toc374700115</vt:lpwstr>
      </vt:variant>
      <vt:variant>
        <vt:i4>1441846</vt:i4>
      </vt:variant>
      <vt:variant>
        <vt:i4>92</vt:i4>
      </vt:variant>
      <vt:variant>
        <vt:i4>0</vt:i4>
      </vt:variant>
      <vt:variant>
        <vt:i4>5</vt:i4>
      </vt:variant>
      <vt:variant>
        <vt:lpwstr/>
      </vt:variant>
      <vt:variant>
        <vt:lpwstr>_Toc374700114</vt:lpwstr>
      </vt:variant>
      <vt:variant>
        <vt:i4>1441846</vt:i4>
      </vt:variant>
      <vt:variant>
        <vt:i4>86</vt:i4>
      </vt:variant>
      <vt:variant>
        <vt:i4>0</vt:i4>
      </vt:variant>
      <vt:variant>
        <vt:i4>5</vt:i4>
      </vt:variant>
      <vt:variant>
        <vt:lpwstr/>
      </vt:variant>
      <vt:variant>
        <vt:lpwstr>_Toc374700113</vt:lpwstr>
      </vt:variant>
      <vt:variant>
        <vt:i4>1441846</vt:i4>
      </vt:variant>
      <vt:variant>
        <vt:i4>80</vt:i4>
      </vt:variant>
      <vt:variant>
        <vt:i4>0</vt:i4>
      </vt:variant>
      <vt:variant>
        <vt:i4>5</vt:i4>
      </vt:variant>
      <vt:variant>
        <vt:lpwstr/>
      </vt:variant>
      <vt:variant>
        <vt:lpwstr>_Toc374700112</vt:lpwstr>
      </vt:variant>
      <vt:variant>
        <vt:i4>1441846</vt:i4>
      </vt:variant>
      <vt:variant>
        <vt:i4>74</vt:i4>
      </vt:variant>
      <vt:variant>
        <vt:i4>0</vt:i4>
      </vt:variant>
      <vt:variant>
        <vt:i4>5</vt:i4>
      </vt:variant>
      <vt:variant>
        <vt:lpwstr/>
      </vt:variant>
      <vt:variant>
        <vt:lpwstr>_Toc374700111</vt:lpwstr>
      </vt:variant>
      <vt:variant>
        <vt:i4>1441846</vt:i4>
      </vt:variant>
      <vt:variant>
        <vt:i4>68</vt:i4>
      </vt:variant>
      <vt:variant>
        <vt:i4>0</vt:i4>
      </vt:variant>
      <vt:variant>
        <vt:i4>5</vt:i4>
      </vt:variant>
      <vt:variant>
        <vt:lpwstr/>
      </vt:variant>
      <vt:variant>
        <vt:lpwstr>_Toc374700110</vt:lpwstr>
      </vt:variant>
      <vt:variant>
        <vt:i4>1507382</vt:i4>
      </vt:variant>
      <vt:variant>
        <vt:i4>62</vt:i4>
      </vt:variant>
      <vt:variant>
        <vt:i4>0</vt:i4>
      </vt:variant>
      <vt:variant>
        <vt:i4>5</vt:i4>
      </vt:variant>
      <vt:variant>
        <vt:lpwstr/>
      </vt:variant>
      <vt:variant>
        <vt:lpwstr>_Toc374700109</vt:lpwstr>
      </vt:variant>
      <vt:variant>
        <vt:i4>1507382</vt:i4>
      </vt:variant>
      <vt:variant>
        <vt:i4>56</vt:i4>
      </vt:variant>
      <vt:variant>
        <vt:i4>0</vt:i4>
      </vt:variant>
      <vt:variant>
        <vt:i4>5</vt:i4>
      </vt:variant>
      <vt:variant>
        <vt:lpwstr/>
      </vt:variant>
      <vt:variant>
        <vt:lpwstr>_Toc374700108</vt:lpwstr>
      </vt:variant>
      <vt:variant>
        <vt:i4>1507382</vt:i4>
      </vt:variant>
      <vt:variant>
        <vt:i4>50</vt:i4>
      </vt:variant>
      <vt:variant>
        <vt:i4>0</vt:i4>
      </vt:variant>
      <vt:variant>
        <vt:i4>5</vt:i4>
      </vt:variant>
      <vt:variant>
        <vt:lpwstr/>
      </vt:variant>
      <vt:variant>
        <vt:lpwstr>_Toc374700107</vt:lpwstr>
      </vt:variant>
      <vt:variant>
        <vt:i4>1507382</vt:i4>
      </vt:variant>
      <vt:variant>
        <vt:i4>44</vt:i4>
      </vt:variant>
      <vt:variant>
        <vt:i4>0</vt:i4>
      </vt:variant>
      <vt:variant>
        <vt:i4>5</vt:i4>
      </vt:variant>
      <vt:variant>
        <vt:lpwstr/>
      </vt:variant>
      <vt:variant>
        <vt:lpwstr>_Toc374700106</vt:lpwstr>
      </vt:variant>
      <vt:variant>
        <vt:i4>1507382</vt:i4>
      </vt:variant>
      <vt:variant>
        <vt:i4>38</vt:i4>
      </vt:variant>
      <vt:variant>
        <vt:i4>0</vt:i4>
      </vt:variant>
      <vt:variant>
        <vt:i4>5</vt:i4>
      </vt:variant>
      <vt:variant>
        <vt:lpwstr/>
      </vt:variant>
      <vt:variant>
        <vt:lpwstr>_Toc374700105</vt:lpwstr>
      </vt:variant>
      <vt:variant>
        <vt:i4>1507382</vt:i4>
      </vt:variant>
      <vt:variant>
        <vt:i4>32</vt:i4>
      </vt:variant>
      <vt:variant>
        <vt:i4>0</vt:i4>
      </vt:variant>
      <vt:variant>
        <vt:i4>5</vt:i4>
      </vt:variant>
      <vt:variant>
        <vt:lpwstr/>
      </vt:variant>
      <vt:variant>
        <vt:lpwstr>_Toc374700104</vt:lpwstr>
      </vt:variant>
      <vt:variant>
        <vt:i4>1507382</vt:i4>
      </vt:variant>
      <vt:variant>
        <vt:i4>26</vt:i4>
      </vt:variant>
      <vt:variant>
        <vt:i4>0</vt:i4>
      </vt:variant>
      <vt:variant>
        <vt:i4>5</vt:i4>
      </vt:variant>
      <vt:variant>
        <vt:lpwstr/>
      </vt:variant>
      <vt:variant>
        <vt:lpwstr>_Toc374700103</vt:lpwstr>
      </vt:variant>
      <vt:variant>
        <vt:i4>1507382</vt:i4>
      </vt:variant>
      <vt:variant>
        <vt:i4>20</vt:i4>
      </vt:variant>
      <vt:variant>
        <vt:i4>0</vt:i4>
      </vt:variant>
      <vt:variant>
        <vt:i4>5</vt:i4>
      </vt:variant>
      <vt:variant>
        <vt:lpwstr/>
      </vt:variant>
      <vt:variant>
        <vt:lpwstr>_Toc374700102</vt:lpwstr>
      </vt:variant>
      <vt:variant>
        <vt:i4>1507382</vt:i4>
      </vt:variant>
      <vt:variant>
        <vt:i4>14</vt:i4>
      </vt:variant>
      <vt:variant>
        <vt:i4>0</vt:i4>
      </vt:variant>
      <vt:variant>
        <vt:i4>5</vt:i4>
      </vt:variant>
      <vt:variant>
        <vt:lpwstr/>
      </vt:variant>
      <vt:variant>
        <vt:lpwstr>_Toc374700101</vt:lpwstr>
      </vt:variant>
      <vt:variant>
        <vt:i4>1507382</vt:i4>
      </vt:variant>
      <vt:variant>
        <vt:i4>8</vt:i4>
      </vt:variant>
      <vt:variant>
        <vt:i4>0</vt:i4>
      </vt:variant>
      <vt:variant>
        <vt:i4>5</vt:i4>
      </vt:variant>
      <vt:variant>
        <vt:lpwstr/>
      </vt:variant>
      <vt:variant>
        <vt:lpwstr>_Toc374700100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Cobicistat</dc:title>
  <dc:subject>prescription medicine regulation</dc:subject>
  <dc:creator>Therapeutic Goods Administration</dc:creator>
  <cp:keywords>auspar, prescription, medicine, assessment, regulation, australia, cobicistat, tybost, gilead, sciences</cp:keywords>
  <cp:lastModifiedBy>dixonj</cp:lastModifiedBy>
  <cp:revision>15</cp:revision>
  <cp:lastPrinted>2010-12-20T22:59:00Z</cp:lastPrinted>
  <dcterms:created xsi:type="dcterms:W3CDTF">2014-01-02T01:16:00Z</dcterms:created>
  <dcterms:modified xsi:type="dcterms:W3CDTF">2014-01-02T01:45:00Z</dcterms:modified>
  <cp:category>External publication</cp:category>
</cp:coreProperties>
</file>