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BF4EBA" w:rsidP="0017078F">
            <w:pPr>
              <w:rPr>
                <w:rFonts w:ascii="Arial" w:hAnsi="Arial" w:cs="Arial"/>
                <w:b/>
                <w:color w:val="002C47"/>
                <w:sz w:val="36"/>
                <w:szCs w:val="36"/>
              </w:rPr>
            </w:pPr>
            <w:r>
              <w:rPr>
                <w:rFonts w:ascii="Arial" w:hAnsi="Arial" w:cs="Arial"/>
                <w:b/>
                <w:color w:val="002C47"/>
                <w:sz w:val="36"/>
                <w:szCs w:val="36"/>
              </w:rPr>
              <w:t>17 April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F4EBA">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BF4EBA" w:rsidRPr="00D66EC1">
              <w:rPr>
                <w:color w:val="FFFFFF" w:themeColor="background1"/>
              </w:rPr>
              <w:t xml:space="preserve"> </w:t>
            </w:r>
            <w:proofErr w:type="spellStart"/>
            <w:r w:rsidR="00BF4EBA" w:rsidRPr="00BF4EBA">
              <w:rPr>
                <w:color w:val="FFFFFF" w:themeColor="background1"/>
              </w:rPr>
              <w:t>Collagenase</w:t>
            </w:r>
            <w:proofErr w:type="spellEnd"/>
            <w:r w:rsidR="00BF4EBA" w:rsidRPr="00BF4EBA">
              <w:rPr>
                <w:color w:val="FFFFFF" w:themeColor="background1"/>
              </w:rPr>
              <w:t xml:space="preserve"> clostridium </w:t>
            </w:r>
            <w:proofErr w:type="spellStart"/>
            <w:r w:rsidR="00BF4EBA" w:rsidRPr="00BF4EBA">
              <w:rPr>
                <w:color w:val="FFFFFF" w:themeColor="background1"/>
              </w:rPr>
              <w:t>histolyticum</w:t>
            </w:r>
            <w:proofErr w:type="spellEnd"/>
          </w:p>
        </w:tc>
      </w:tr>
      <w:tr w:rsidR="00E07F15" w:rsidRPr="00B64760" w:rsidTr="00E07F15">
        <w:tc>
          <w:tcPr>
            <w:tcW w:w="9079" w:type="dxa"/>
          </w:tcPr>
          <w:p w:rsidR="00E07F15" w:rsidRPr="008E7846" w:rsidRDefault="00E07F15" w:rsidP="00BF4EBA">
            <w:pPr>
              <w:pStyle w:val="Subtitle"/>
              <w:rPr>
                <w:color w:val="FFFFFF" w:themeColor="background1"/>
              </w:rPr>
            </w:pPr>
            <w:r w:rsidRPr="008E7846">
              <w:rPr>
                <w:color w:val="FFFFFF" w:themeColor="background1"/>
              </w:rPr>
              <w:t xml:space="preserve">Proprietary Product Name: </w:t>
            </w:r>
            <w:proofErr w:type="spellStart"/>
            <w:r w:rsidR="00BF4EBA">
              <w:rPr>
                <w:color w:val="FFFFFF" w:themeColor="background1"/>
              </w:rPr>
              <w:t>Xiaflex</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516476">
              <w:rPr>
                <w:color w:val="FFFFFF" w:themeColor="background1"/>
              </w:rPr>
              <w:t xml:space="preserve"> </w:t>
            </w:r>
            <w:proofErr w:type="spellStart"/>
            <w:r w:rsidR="00BF4EBA" w:rsidRPr="00BF4EBA">
              <w:rPr>
                <w:color w:val="FFFFFF" w:themeColor="background1"/>
              </w:rPr>
              <w:t>Actelion</w:t>
            </w:r>
            <w:proofErr w:type="spellEnd"/>
            <w:r w:rsidR="00BF4EBA" w:rsidRPr="00BF4EBA">
              <w:rPr>
                <w:color w:val="FFFFFF" w:themeColor="background1"/>
              </w:rPr>
              <w:t xml:space="preserve">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A7610" w:rsidRDefault="00B938C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966950" w:history="1">
            <w:r w:rsidR="008A7610" w:rsidRPr="00A23DAF">
              <w:rPr>
                <w:rStyle w:val="Hyperlink"/>
                <w:noProof/>
              </w:rPr>
              <w:t>List of abbreviations</w:t>
            </w:r>
            <w:r w:rsidR="008A7610">
              <w:rPr>
                <w:noProof/>
                <w:webHidden/>
              </w:rPr>
              <w:tab/>
            </w:r>
            <w:r>
              <w:rPr>
                <w:noProof/>
                <w:webHidden/>
              </w:rPr>
              <w:fldChar w:fldCharType="begin"/>
            </w:r>
            <w:r w:rsidR="008A7610">
              <w:rPr>
                <w:noProof/>
                <w:webHidden/>
              </w:rPr>
              <w:instrText xml:space="preserve"> PAGEREF _Toc374966950 \h </w:instrText>
            </w:r>
            <w:r>
              <w:rPr>
                <w:noProof/>
                <w:webHidden/>
              </w:rPr>
            </w:r>
            <w:r>
              <w:rPr>
                <w:noProof/>
                <w:webHidden/>
              </w:rPr>
              <w:fldChar w:fldCharType="separate"/>
            </w:r>
            <w:r w:rsidR="008A7610">
              <w:rPr>
                <w:noProof/>
                <w:webHidden/>
              </w:rPr>
              <w:t>4</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51" w:history="1">
            <w:r w:rsidR="008A7610" w:rsidRPr="00A23DAF">
              <w:rPr>
                <w:rStyle w:val="Hyperlink"/>
                <w:noProof/>
                <w:lang w:eastAsia="en-AU"/>
              </w:rPr>
              <w:t>1.</w:t>
            </w:r>
            <w:r w:rsidR="008A7610">
              <w:rPr>
                <w:rFonts w:asciiTheme="minorHAnsi" w:eastAsiaTheme="minorEastAsia" w:hAnsiTheme="minorHAnsi" w:cstheme="minorBidi"/>
                <w:b w:val="0"/>
                <w:noProof/>
                <w:sz w:val="22"/>
                <w:lang w:eastAsia="en-AU"/>
              </w:rPr>
              <w:tab/>
            </w:r>
            <w:r w:rsidR="008A7610" w:rsidRPr="00A23DAF">
              <w:rPr>
                <w:rStyle w:val="Hyperlink"/>
                <w:noProof/>
                <w:lang w:eastAsia="en-AU"/>
              </w:rPr>
              <w:t>Clinical rationale</w:t>
            </w:r>
            <w:r w:rsidR="008A7610">
              <w:rPr>
                <w:noProof/>
                <w:webHidden/>
              </w:rPr>
              <w:tab/>
            </w:r>
            <w:r>
              <w:rPr>
                <w:noProof/>
                <w:webHidden/>
              </w:rPr>
              <w:fldChar w:fldCharType="begin"/>
            </w:r>
            <w:r w:rsidR="008A7610">
              <w:rPr>
                <w:noProof/>
                <w:webHidden/>
              </w:rPr>
              <w:instrText xml:space="preserve"> PAGEREF _Toc374966951 \h </w:instrText>
            </w:r>
            <w:r>
              <w:rPr>
                <w:noProof/>
                <w:webHidden/>
              </w:rPr>
            </w:r>
            <w:r>
              <w:rPr>
                <w:noProof/>
                <w:webHidden/>
              </w:rPr>
              <w:fldChar w:fldCharType="separate"/>
            </w:r>
            <w:r w:rsidR="008A7610">
              <w:rPr>
                <w:noProof/>
                <w:webHidden/>
              </w:rPr>
              <w:t>6</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52" w:history="1">
            <w:r w:rsidR="008A7610" w:rsidRPr="00A23DAF">
              <w:rPr>
                <w:rStyle w:val="Hyperlink"/>
                <w:noProof/>
                <w:lang w:eastAsia="en-AU"/>
              </w:rPr>
              <w:t>2.</w:t>
            </w:r>
            <w:r w:rsidR="008A7610">
              <w:rPr>
                <w:rFonts w:asciiTheme="minorHAnsi" w:eastAsiaTheme="minorEastAsia" w:hAnsiTheme="minorHAnsi" w:cstheme="minorBidi"/>
                <w:b w:val="0"/>
                <w:noProof/>
                <w:sz w:val="22"/>
                <w:lang w:eastAsia="en-AU"/>
              </w:rPr>
              <w:tab/>
            </w:r>
            <w:r w:rsidR="008A7610" w:rsidRPr="00A23DAF">
              <w:rPr>
                <w:rStyle w:val="Hyperlink"/>
                <w:noProof/>
                <w:lang w:eastAsia="en-AU"/>
              </w:rPr>
              <w:t>Contents of the clinical dossier</w:t>
            </w:r>
            <w:r w:rsidR="008A7610">
              <w:rPr>
                <w:noProof/>
                <w:webHidden/>
              </w:rPr>
              <w:tab/>
            </w:r>
            <w:r>
              <w:rPr>
                <w:noProof/>
                <w:webHidden/>
              </w:rPr>
              <w:fldChar w:fldCharType="begin"/>
            </w:r>
            <w:r w:rsidR="008A7610">
              <w:rPr>
                <w:noProof/>
                <w:webHidden/>
              </w:rPr>
              <w:instrText xml:space="preserve"> PAGEREF _Toc374966952 \h </w:instrText>
            </w:r>
            <w:r>
              <w:rPr>
                <w:noProof/>
                <w:webHidden/>
              </w:rPr>
            </w:r>
            <w:r>
              <w:rPr>
                <w:noProof/>
                <w:webHidden/>
              </w:rPr>
              <w:fldChar w:fldCharType="separate"/>
            </w:r>
            <w:r w:rsidR="008A7610">
              <w:rPr>
                <w:noProof/>
                <w:webHidden/>
              </w:rPr>
              <w:t>6</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53" w:history="1">
            <w:r w:rsidR="008A7610" w:rsidRPr="00A23DAF">
              <w:rPr>
                <w:rStyle w:val="Hyperlink"/>
                <w:noProof/>
              </w:rPr>
              <w:t>2.1.</w:t>
            </w:r>
            <w:r w:rsidR="008A7610">
              <w:rPr>
                <w:rFonts w:asciiTheme="minorHAnsi" w:eastAsiaTheme="minorEastAsia" w:hAnsiTheme="minorHAnsi" w:cstheme="minorBidi"/>
                <w:noProof/>
                <w:lang w:eastAsia="en-AU"/>
              </w:rPr>
              <w:tab/>
            </w:r>
            <w:r w:rsidR="008A7610" w:rsidRPr="00A23DAF">
              <w:rPr>
                <w:rStyle w:val="Hyperlink"/>
                <w:noProof/>
              </w:rPr>
              <w:t>Scope of the clinical dossier</w:t>
            </w:r>
            <w:r w:rsidR="008A7610">
              <w:rPr>
                <w:noProof/>
                <w:webHidden/>
              </w:rPr>
              <w:tab/>
            </w:r>
            <w:r>
              <w:rPr>
                <w:noProof/>
                <w:webHidden/>
              </w:rPr>
              <w:fldChar w:fldCharType="begin"/>
            </w:r>
            <w:r w:rsidR="008A7610">
              <w:rPr>
                <w:noProof/>
                <w:webHidden/>
              </w:rPr>
              <w:instrText xml:space="preserve"> PAGEREF _Toc374966953 \h </w:instrText>
            </w:r>
            <w:r>
              <w:rPr>
                <w:noProof/>
                <w:webHidden/>
              </w:rPr>
            </w:r>
            <w:r>
              <w:rPr>
                <w:noProof/>
                <w:webHidden/>
              </w:rPr>
              <w:fldChar w:fldCharType="separate"/>
            </w:r>
            <w:r w:rsidR="008A7610">
              <w:rPr>
                <w:noProof/>
                <w:webHidden/>
              </w:rPr>
              <w:t>6</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54" w:history="1">
            <w:r w:rsidR="008A7610" w:rsidRPr="00A23DAF">
              <w:rPr>
                <w:rStyle w:val="Hyperlink"/>
                <w:noProof/>
              </w:rPr>
              <w:t>2.2.</w:t>
            </w:r>
            <w:r w:rsidR="008A7610">
              <w:rPr>
                <w:rFonts w:asciiTheme="minorHAnsi" w:eastAsiaTheme="minorEastAsia" w:hAnsiTheme="minorHAnsi" w:cstheme="minorBidi"/>
                <w:noProof/>
                <w:lang w:eastAsia="en-AU"/>
              </w:rPr>
              <w:tab/>
            </w:r>
            <w:r w:rsidR="008A7610" w:rsidRPr="00A23DAF">
              <w:rPr>
                <w:rStyle w:val="Hyperlink"/>
                <w:noProof/>
              </w:rPr>
              <w:t>Paediatric data</w:t>
            </w:r>
            <w:r w:rsidR="008A7610">
              <w:rPr>
                <w:noProof/>
                <w:webHidden/>
              </w:rPr>
              <w:tab/>
            </w:r>
            <w:r>
              <w:rPr>
                <w:noProof/>
                <w:webHidden/>
              </w:rPr>
              <w:fldChar w:fldCharType="begin"/>
            </w:r>
            <w:r w:rsidR="008A7610">
              <w:rPr>
                <w:noProof/>
                <w:webHidden/>
              </w:rPr>
              <w:instrText xml:space="preserve"> PAGEREF _Toc374966954 \h </w:instrText>
            </w:r>
            <w:r>
              <w:rPr>
                <w:noProof/>
                <w:webHidden/>
              </w:rPr>
            </w:r>
            <w:r>
              <w:rPr>
                <w:noProof/>
                <w:webHidden/>
              </w:rPr>
              <w:fldChar w:fldCharType="separate"/>
            </w:r>
            <w:r w:rsidR="008A7610">
              <w:rPr>
                <w:noProof/>
                <w:webHidden/>
              </w:rPr>
              <w:t>7</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55" w:history="1">
            <w:r w:rsidR="008A7610" w:rsidRPr="00A23DAF">
              <w:rPr>
                <w:rStyle w:val="Hyperlink"/>
                <w:noProof/>
              </w:rPr>
              <w:t>2.3.</w:t>
            </w:r>
            <w:r w:rsidR="008A7610">
              <w:rPr>
                <w:rFonts w:asciiTheme="minorHAnsi" w:eastAsiaTheme="minorEastAsia" w:hAnsiTheme="minorHAnsi" w:cstheme="minorBidi"/>
                <w:noProof/>
                <w:lang w:eastAsia="en-AU"/>
              </w:rPr>
              <w:tab/>
            </w:r>
            <w:r w:rsidR="008A7610" w:rsidRPr="00A23DAF">
              <w:rPr>
                <w:rStyle w:val="Hyperlink"/>
                <w:noProof/>
              </w:rPr>
              <w:t>Good clinical practice</w:t>
            </w:r>
            <w:r w:rsidR="008A7610">
              <w:rPr>
                <w:noProof/>
                <w:webHidden/>
              </w:rPr>
              <w:tab/>
            </w:r>
            <w:r>
              <w:rPr>
                <w:noProof/>
                <w:webHidden/>
              </w:rPr>
              <w:fldChar w:fldCharType="begin"/>
            </w:r>
            <w:r w:rsidR="008A7610">
              <w:rPr>
                <w:noProof/>
                <w:webHidden/>
              </w:rPr>
              <w:instrText xml:space="preserve"> PAGEREF _Toc374966955 \h </w:instrText>
            </w:r>
            <w:r>
              <w:rPr>
                <w:noProof/>
                <w:webHidden/>
              </w:rPr>
            </w:r>
            <w:r>
              <w:rPr>
                <w:noProof/>
                <w:webHidden/>
              </w:rPr>
              <w:fldChar w:fldCharType="separate"/>
            </w:r>
            <w:r w:rsidR="008A7610">
              <w:rPr>
                <w:noProof/>
                <w:webHidden/>
              </w:rPr>
              <w:t>7</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56" w:history="1">
            <w:r w:rsidR="008A7610" w:rsidRPr="00A23DAF">
              <w:rPr>
                <w:rStyle w:val="Hyperlink"/>
                <w:noProof/>
              </w:rPr>
              <w:t>3.</w:t>
            </w:r>
            <w:r w:rsidR="008A7610">
              <w:rPr>
                <w:rFonts w:asciiTheme="minorHAnsi" w:eastAsiaTheme="minorEastAsia" w:hAnsiTheme="minorHAnsi" w:cstheme="minorBidi"/>
                <w:b w:val="0"/>
                <w:noProof/>
                <w:sz w:val="22"/>
                <w:lang w:eastAsia="en-AU"/>
              </w:rPr>
              <w:tab/>
            </w:r>
            <w:r w:rsidR="008A7610" w:rsidRPr="00A23DAF">
              <w:rPr>
                <w:rStyle w:val="Hyperlink"/>
                <w:noProof/>
              </w:rPr>
              <w:t>Pharmacokinetics</w:t>
            </w:r>
            <w:r w:rsidR="008A7610">
              <w:rPr>
                <w:noProof/>
                <w:webHidden/>
              </w:rPr>
              <w:tab/>
            </w:r>
            <w:r>
              <w:rPr>
                <w:noProof/>
                <w:webHidden/>
              </w:rPr>
              <w:fldChar w:fldCharType="begin"/>
            </w:r>
            <w:r w:rsidR="008A7610">
              <w:rPr>
                <w:noProof/>
                <w:webHidden/>
              </w:rPr>
              <w:instrText xml:space="preserve"> PAGEREF _Toc374966956 \h </w:instrText>
            </w:r>
            <w:r>
              <w:rPr>
                <w:noProof/>
                <w:webHidden/>
              </w:rPr>
            </w:r>
            <w:r>
              <w:rPr>
                <w:noProof/>
                <w:webHidden/>
              </w:rPr>
              <w:fldChar w:fldCharType="separate"/>
            </w:r>
            <w:r w:rsidR="008A7610">
              <w:rPr>
                <w:noProof/>
                <w:webHidden/>
              </w:rPr>
              <w:t>7</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57" w:history="1">
            <w:r w:rsidR="008A7610" w:rsidRPr="00A23DAF">
              <w:rPr>
                <w:rStyle w:val="Hyperlink"/>
                <w:noProof/>
              </w:rPr>
              <w:t>3.1.</w:t>
            </w:r>
            <w:r w:rsidR="008A7610">
              <w:rPr>
                <w:rFonts w:asciiTheme="minorHAnsi" w:eastAsiaTheme="minorEastAsia" w:hAnsiTheme="minorHAnsi" w:cstheme="minorBidi"/>
                <w:noProof/>
                <w:lang w:eastAsia="en-AU"/>
              </w:rPr>
              <w:tab/>
            </w:r>
            <w:r w:rsidR="008A7610" w:rsidRPr="00A23DAF">
              <w:rPr>
                <w:rStyle w:val="Hyperlink"/>
                <w:noProof/>
              </w:rPr>
              <w:t>Summary of pharmacokinetics</w:t>
            </w:r>
            <w:r w:rsidR="008A7610">
              <w:rPr>
                <w:noProof/>
                <w:webHidden/>
              </w:rPr>
              <w:tab/>
            </w:r>
            <w:r>
              <w:rPr>
                <w:noProof/>
                <w:webHidden/>
              </w:rPr>
              <w:fldChar w:fldCharType="begin"/>
            </w:r>
            <w:r w:rsidR="008A7610">
              <w:rPr>
                <w:noProof/>
                <w:webHidden/>
              </w:rPr>
              <w:instrText xml:space="preserve"> PAGEREF _Toc374966957 \h </w:instrText>
            </w:r>
            <w:r>
              <w:rPr>
                <w:noProof/>
                <w:webHidden/>
              </w:rPr>
            </w:r>
            <w:r>
              <w:rPr>
                <w:noProof/>
                <w:webHidden/>
              </w:rPr>
              <w:fldChar w:fldCharType="separate"/>
            </w:r>
            <w:r w:rsidR="008A7610">
              <w:rPr>
                <w:noProof/>
                <w:webHidden/>
              </w:rPr>
              <w:t>8</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58" w:history="1">
            <w:r w:rsidR="008A7610" w:rsidRPr="00A23DAF">
              <w:rPr>
                <w:rStyle w:val="Hyperlink"/>
                <w:noProof/>
              </w:rPr>
              <w:t>3.2.</w:t>
            </w:r>
            <w:r w:rsidR="008A7610">
              <w:rPr>
                <w:rFonts w:asciiTheme="minorHAnsi" w:eastAsiaTheme="minorEastAsia" w:hAnsiTheme="minorHAnsi" w:cstheme="minorBidi"/>
                <w:noProof/>
                <w:lang w:eastAsia="en-AU"/>
              </w:rPr>
              <w:tab/>
            </w:r>
            <w:r w:rsidR="008A7610" w:rsidRPr="00A23DAF">
              <w:rPr>
                <w:rStyle w:val="Hyperlink"/>
                <w:noProof/>
              </w:rPr>
              <w:t>Evaluator’s overall conclusions on pharmacokinetics</w:t>
            </w:r>
            <w:r w:rsidR="008A7610">
              <w:rPr>
                <w:noProof/>
                <w:webHidden/>
              </w:rPr>
              <w:tab/>
            </w:r>
            <w:r>
              <w:rPr>
                <w:noProof/>
                <w:webHidden/>
              </w:rPr>
              <w:fldChar w:fldCharType="begin"/>
            </w:r>
            <w:r w:rsidR="008A7610">
              <w:rPr>
                <w:noProof/>
                <w:webHidden/>
              </w:rPr>
              <w:instrText xml:space="preserve"> PAGEREF _Toc374966958 \h </w:instrText>
            </w:r>
            <w:r>
              <w:rPr>
                <w:noProof/>
                <w:webHidden/>
              </w:rPr>
            </w:r>
            <w:r>
              <w:rPr>
                <w:noProof/>
                <w:webHidden/>
              </w:rPr>
              <w:fldChar w:fldCharType="separate"/>
            </w:r>
            <w:r w:rsidR="008A7610">
              <w:rPr>
                <w:noProof/>
                <w:webHidden/>
              </w:rPr>
              <w:t>9</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59" w:history="1">
            <w:r w:rsidR="008A7610" w:rsidRPr="00A23DAF">
              <w:rPr>
                <w:rStyle w:val="Hyperlink"/>
                <w:noProof/>
              </w:rPr>
              <w:t>4.</w:t>
            </w:r>
            <w:r w:rsidR="008A7610">
              <w:rPr>
                <w:rFonts w:asciiTheme="minorHAnsi" w:eastAsiaTheme="minorEastAsia" w:hAnsiTheme="minorHAnsi" w:cstheme="minorBidi"/>
                <w:b w:val="0"/>
                <w:noProof/>
                <w:sz w:val="22"/>
                <w:lang w:eastAsia="en-AU"/>
              </w:rPr>
              <w:tab/>
            </w:r>
            <w:r w:rsidR="008A7610" w:rsidRPr="00A23DAF">
              <w:rPr>
                <w:rStyle w:val="Hyperlink"/>
                <w:noProof/>
              </w:rPr>
              <w:t>Pharmacodynamics</w:t>
            </w:r>
            <w:r w:rsidR="008A7610">
              <w:rPr>
                <w:noProof/>
                <w:webHidden/>
              </w:rPr>
              <w:tab/>
            </w:r>
            <w:r>
              <w:rPr>
                <w:noProof/>
                <w:webHidden/>
              </w:rPr>
              <w:fldChar w:fldCharType="begin"/>
            </w:r>
            <w:r w:rsidR="008A7610">
              <w:rPr>
                <w:noProof/>
                <w:webHidden/>
              </w:rPr>
              <w:instrText xml:space="preserve"> PAGEREF _Toc374966959 \h </w:instrText>
            </w:r>
            <w:r>
              <w:rPr>
                <w:noProof/>
                <w:webHidden/>
              </w:rPr>
            </w:r>
            <w:r>
              <w:rPr>
                <w:noProof/>
                <w:webHidden/>
              </w:rPr>
              <w:fldChar w:fldCharType="separate"/>
            </w:r>
            <w:r w:rsidR="008A7610">
              <w:rPr>
                <w:noProof/>
                <w:webHidden/>
              </w:rPr>
              <w:t>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0" w:history="1">
            <w:r w:rsidR="008A7610" w:rsidRPr="00A23DAF">
              <w:rPr>
                <w:rStyle w:val="Hyperlink"/>
                <w:noProof/>
              </w:rPr>
              <w:t>4.1.</w:t>
            </w:r>
            <w:r w:rsidR="008A7610">
              <w:rPr>
                <w:rFonts w:asciiTheme="minorHAnsi" w:eastAsiaTheme="minorEastAsia" w:hAnsiTheme="minorHAnsi" w:cstheme="minorBidi"/>
                <w:noProof/>
                <w:lang w:eastAsia="en-AU"/>
              </w:rPr>
              <w:tab/>
            </w:r>
            <w:r w:rsidR="008A7610" w:rsidRPr="00A23DAF">
              <w:rPr>
                <w:rStyle w:val="Hyperlink"/>
                <w:noProof/>
              </w:rPr>
              <w:t>Studies providing pharmacodynamic data</w:t>
            </w:r>
            <w:r w:rsidR="008A7610">
              <w:rPr>
                <w:noProof/>
                <w:webHidden/>
              </w:rPr>
              <w:tab/>
            </w:r>
            <w:r>
              <w:rPr>
                <w:noProof/>
                <w:webHidden/>
              </w:rPr>
              <w:fldChar w:fldCharType="begin"/>
            </w:r>
            <w:r w:rsidR="008A7610">
              <w:rPr>
                <w:noProof/>
                <w:webHidden/>
              </w:rPr>
              <w:instrText xml:space="preserve"> PAGEREF _Toc374966960 \h </w:instrText>
            </w:r>
            <w:r>
              <w:rPr>
                <w:noProof/>
                <w:webHidden/>
              </w:rPr>
            </w:r>
            <w:r>
              <w:rPr>
                <w:noProof/>
                <w:webHidden/>
              </w:rPr>
              <w:fldChar w:fldCharType="separate"/>
            </w:r>
            <w:r w:rsidR="008A7610">
              <w:rPr>
                <w:noProof/>
                <w:webHidden/>
              </w:rPr>
              <w:t>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1" w:history="1">
            <w:r w:rsidR="008A7610" w:rsidRPr="00A23DAF">
              <w:rPr>
                <w:rStyle w:val="Hyperlink"/>
                <w:noProof/>
              </w:rPr>
              <w:t>4.2.</w:t>
            </w:r>
            <w:r w:rsidR="008A7610">
              <w:rPr>
                <w:rFonts w:asciiTheme="minorHAnsi" w:eastAsiaTheme="minorEastAsia" w:hAnsiTheme="minorHAnsi" w:cstheme="minorBidi"/>
                <w:noProof/>
                <w:lang w:eastAsia="en-AU"/>
              </w:rPr>
              <w:tab/>
            </w:r>
            <w:r w:rsidR="008A7610" w:rsidRPr="00A23DAF">
              <w:rPr>
                <w:rStyle w:val="Hyperlink"/>
                <w:noProof/>
              </w:rPr>
              <w:t>Summary of pharmacodynamics</w:t>
            </w:r>
            <w:r w:rsidR="008A7610">
              <w:rPr>
                <w:noProof/>
                <w:webHidden/>
              </w:rPr>
              <w:tab/>
            </w:r>
            <w:r>
              <w:rPr>
                <w:noProof/>
                <w:webHidden/>
              </w:rPr>
              <w:fldChar w:fldCharType="begin"/>
            </w:r>
            <w:r w:rsidR="008A7610">
              <w:rPr>
                <w:noProof/>
                <w:webHidden/>
              </w:rPr>
              <w:instrText xml:space="preserve"> PAGEREF _Toc374966961 \h </w:instrText>
            </w:r>
            <w:r>
              <w:rPr>
                <w:noProof/>
                <w:webHidden/>
              </w:rPr>
            </w:r>
            <w:r>
              <w:rPr>
                <w:noProof/>
                <w:webHidden/>
              </w:rPr>
              <w:fldChar w:fldCharType="separate"/>
            </w:r>
            <w:r w:rsidR="008A7610">
              <w:rPr>
                <w:noProof/>
                <w:webHidden/>
              </w:rPr>
              <w:t>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2" w:history="1">
            <w:r w:rsidR="008A7610" w:rsidRPr="00A23DAF">
              <w:rPr>
                <w:rStyle w:val="Hyperlink"/>
                <w:noProof/>
              </w:rPr>
              <w:t>4.3.</w:t>
            </w:r>
            <w:r w:rsidR="008A7610">
              <w:rPr>
                <w:rFonts w:asciiTheme="minorHAnsi" w:eastAsiaTheme="minorEastAsia" w:hAnsiTheme="minorHAnsi" w:cstheme="minorBidi"/>
                <w:noProof/>
                <w:lang w:eastAsia="en-AU"/>
              </w:rPr>
              <w:tab/>
            </w:r>
            <w:r w:rsidR="008A7610" w:rsidRPr="00A23DAF">
              <w:rPr>
                <w:rStyle w:val="Hyperlink"/>
                <w:noProof/>
              </w:rPr>
              <w:t>Evaluator’s overall conclusions on pharmacodynamics</w:t>
            </w:r>
            <w:r w:rsidR="008A7610">
              <w:rPr>
                <w:noProof/>
                <w:webHidden/>
              </w:rPr>
              <w:tab/>
            </w:r>
            <w:r>
              <w:rPr>
                <w:noProof/>
                <w:webHidden/>
              </w:rPr>
              <w:fldChar w:fldCharType="begin"/>
            </w:r>
            <w:r w:rsidR="008A7610">
              <w:rPr>
                <w:noProof/>
                <w:webHidden/>
              </w:rPr>
              <w:instrText xml:space="preserve"> PAGEREF _Toc374966962 \h </w:instrText>
            </w:r>
            <w:r>
              <w:rPr>
                <w:noProof/>
                <w:webHidden/>
              </w:rPr>
            </w:r>
            <w:r>
              <w:rPr>
                <w:noProof/>
                <w:webHidden/>
              </w:rPr>
              <w:fldChar w:fldCharType="separate"/>
            </w:r>
            <w:r w:rsidR="008A7610">
              <w:rPr>
                <w:noProof/>
                <w:webHidden/>
              </w:rPr>
              <w:t>13</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63" w:history="1">
            <w:r w:rsidR="008A7610" w:rsidRPr="00A23DAF">
              <w:rPr>
                <w:rStyle w:val="Hyperlink"/>
                <w:noProof/>
              </w:rPr>
              <w:t>5.</w:t>
            </w:r>
            <w:r w:rsidR="008A7610">
              <w:rPr>
                <w:rFonts w:asciiTheme="minorHAnsi" w:eastAsiaTheme="minorEastAsia" w:hAnsiTheme="minorHAnsi" w:cstheme="minorBidi"/>
                <w:b w:val="0"/>
                <w:noProof/>
                <w:sz w:val="22"/>
                <w:lang w:eastAsia="en-AU"/>
              </w:rPr>
              <w:tab/>
            </w:r>
            <w:r w:rsidR="008A7610" w:rsidRPr="00A23DAF">
              <w:rPr>
                <w:rStyle w:val="Hyperlink"/>
                <w:noProof/>
              </w:rPr>
              <w:t>Dosage selection for the pivotal studies</w:t>
            </w:r>
            <w:r w:rsidR="008A7610">
              <w:rPr>
                <w:noProof/>
                <w:webHidden/>
              </w:rPr>
              <w:tab/>
            </w:r>
            <w:r>
              <w:rPr>
                <w:noProof/>
                <w:webHidden/>
              </w:rPr>
              <w:fldChar w:fldCharType="begin"/>
            </w:r>
            <w:r w:rsidR="008A7610">
              <w:rPr>
                <w:noProof/>
                <w:webHidden/>
              </w:rPr>
              <w:instrText xml:space="preserve"> PAGEREF _Toc374966963 \h </w:instrText>
            </w:r>
            <w:r>
              <w:rPr>
                <w:noProof/>
                <w:webHidden/>
              </w:rPr>
            </w:r>
            <w:r>
              <w:rPr>
                <w:noProof/>
                <w:webHidden/>
              </w:rPr>
              <w:fldChar w:fldCharType="separate"/>
            </w:r>
            <w:r w:rsidR="008A7610">
              <w:rPr>
                <w:noProof/>
                <w:webHidden/>
              </w:rPr>
              <w:t>13</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64" w:history="1">
            <w:r w:rsidR="008A7610" w:rsidRPr="00A23DAF">
              <w:rPr>
                <w:rStyle w:val="Hyperlink"/>
                <w:noProof/>
              </w:rPr>
              <w:t>6.</w:t>
            </w:r>
            <w:r w:rsidR="008A7610">
              <w:rPr>
                <w:rFonts w:asciiTheme="minorHAnsi" w:eastAsiaTheme="minorEastAsia" w:hAnsiTheme="minorHAnsi" w:cstheme="minorBidi"/>
                <w:b w:val="0"/>
                <w:noProof/>
                <w:sz w:val="22"/>
                <w:lang w:eastAsia="en-AU"/>
              </w:rPr>
              <w:tab/>
            </w:r>
            <w:r w:rsidR="008A7610" w:rsidRPr="00A23DAF">
              <w:rPr>
                <w:rStyle w:val="Hyperlink"/>
                <w:noProof/>
              </w:rPr>
              <w:t>Clinical efficacy</w:t>
            </w:r>
            <w:r w:rsidR="008A7610">
              <w:rPr>
                <w:noProof/>
                <w:webHidden/>
              </w:rPr>
              <w:tab/>
            </w:r>
            <w:r>
              <w:rPr>
                <w:noProof/>
                <w:webHidden/>
              </w:rPr>
              <w:fldChar w:fldCharType="begin"/>
            </w:r>
            <w:r w:rsidR="008A7610">
              <w:rPr>
                <w:noProof/>
                <w:webHidden/>
              </w:rPr>
              <w:instrText xml:space="preserve"> PAGEREF _Toc374966964 \h </w:instrText>
            </w:r>
            <w:r>
              <w:rPr>
                <w:noProof/>
                <w:webHidden/>
              </w:rPr>
            </w:r>
            <w:r>
              <w:rPr>
                <w:noProof/>
                <w:webHidden/>
              </w:rPr>
              <w:fldChar w:fldCharType="separate"/>
            </w:r>
            <w:r w:rsidR="008A7610">
              <w:rPr>
                <w:noProof/>
                <w:webHidden/>
              </w:rPr>
              <w:t>16</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5" w:history="1">
            <w:r w:rsidR="008A7610" w:rsidRPr="00A23DAF">
              <w:rPr>
                <w:rStyle w:val="Hyperlink"/>
                <w:noProof/>
              </w:rPr>
              <w:t>6.1.</w:t>
            </w:r>
            <w:r w:rsidR="008A7610">
              <w:rPr>
                <w:rFonts w:asciiTheme="minorHAnsi" w:eastAsiaTheme="minorEastAsia" w:hAnsiTheme="minorHAnsi" w:cstheme="minorBidi"/>
                <w:noProof/>
                <w:lang w:eastAsia="en-AU"/>
              </w:rPr>
              <w:tab/>
            </w:r>
            <w:r w:rsidR="008A7610" w:rsidRPr="00A23DAF">
              <w:rPr>
                <w:rStyle w:val="Hyperlink"/>
                <w:noProof/>
              </w:rPr>
              <w:t>Dupuytren's contracture</w:t>
            </w:r>
            <w:r w:rsidR="008A7610">
              <w:rPr>
                <w:noProof/>
                <w:webHidden/>
              </w:rPr>
              <w:tab/>
            </w:r>
            <w:r>
              <w:rPr>
                <w:noProof/>
                <w:webHidden/>
              </w:rPr>
              <w:fldChar w:fldCharType="begin"/>
            </w:r>
            <w:r w:rsidR="008A7610">
              <w:rPr>
                <w:noProof/>
                <w:webHidden/>
              </w:rPr>
              <w:instrText xml:space="preserve"> PAGEREF _Toc374966965 \h </w:instrText>
            </w:r>
            <w:r>
              <w:rPr>
                <w:noProof/>
                <w:webHidden/>
              </w:rPr>
            </w:r>
            <w:r>
              <w:rPr>
                <w:noProof/>
                <w:webHidden/>
              </w:rPr>
              <w:fldChar w:fldCharType="separate"/>
            </w:r>
            <w:r w:rsidR="008A7610">
              <w:rPr>
                <w:noProof/>
                <w:webHidden/>
              </w:rPr>
              <w:t>16</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6" w:history="1">
            <w:r w:rsidR="008A7610" w:rsidRPr="00A23DAF">
              <w:rPr>
                <w:rStyle w:val="Hyperlink"/>
                <w:noProof/>
              </w:rPr>
              <w:t>6.2.</w:t>
            </w:r>
            <w:r w:rsidR="008A7610">
              <w:rPr>
                <w:rFonts w:asciiTheme="minorHAnsi" w:eastAsiaTheme="minorEastAsia" w:hAnsiTheme="minorHAnsi" w:cstheme="minorBidi"/>
                <w:noProof/>
                <w:lang w:eastAsia="en-AU"/>
              </w:rPr>
              <w:tab/>
            </w:r>
            <w:r w:rsidR="008A7610" w:rsidRPr="00A23DAF">
              <w:rPr>
                <w:rStyle w:val="Hyperlink"/>
                <w:noProof/>
              </w:rPr>
              <w:t>Evaluator’s conclusions on clinical efficacy for Dupuytren's disease</w:t>
            </w:r>
            <w:r w:rsidR="008A7610">
              <w:rPr>
                <w:noProof/>
                <w:webHidden/>
              </w:rPr>
              <w:tab/>
            </w:r>
            <w:r>
              <w:rPr>
                <w:noProof/>
                <w:webHidden/>
              </w:rPr>
              <w:fldChar w:fldCharType="begin"/>
            </w:r>
            <w:r w:rsidR="008A7610">
              <w:rPr>
                <w:noProof/>
                <w:webHidden/>
              </w:rPr>
              <w:instrText xml:space="preserve"> PAGEREF _Toc374966966 \h </w:instrText>
            </w:r>
            <w:r>
              <w:rPr>
                <w:noProof/>
                <w:webHidden/>
              </w:rPr>
            </w:r>
            <w:r>
              <w:rPr>
                <w:noProof/>
                <w:webHidden/>
              </w:rPr>
              <w:fldChar w:fldCharType="separate"/>
            </w:r>
            <w:r w:rsidR="008A7610">
              <w:rPr>
                <w:noProof/>
                <w:webHidden/>
              </w:rPr>
              <w:t>40</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67" w:history="1">
            <w:r w:rsidR="008A7610" w:rsidRPr="00A23DAF">
              <w:rPr>
                <w:rStyle w:val="Hyperlink"/>
                <w:noProof/>
              </w:rPr>
              <w:t>7.</w:t>
            </w:r>
            <w:r w:rsidR="008A7610">
              <w:rPr>
                <w:rFonts w:asciiTheme="minorHAnsi" w:eastAsiaTheme="minorEastAsia" w:hAnsiTheme="minorHAnsi" w:cstheme="minorBidi"/>
                <w:b w:val="0"/>
                <w:noProof/>
                <w:sz w:val="22"/>
                <w:lang w:eastAsia="en-AU"/>
              </w:rPr>
              <w:tab/>
            </w:r>
            <w:r w:rsidR="008A7610" w:rsidRPr="00A23DAF">
              <w:rPr>
                <w:rStyle w:val="Hyperlink"/>
                <w:noProof/>
              </w:rPr>
              <w:t>Clinical safety</w:t>
            </w:r>
            <w:r w:rsidR="008A7610">
              <w:rPr>
                <w:noProof/>
                <w:webHidden/>
              </w:rPr>
              <w:tab/>
            </w:r>
            <w:r>
              <w:rPr>
                <w:noProof/>
                <w:webHidden/>
              </w:rPr>
              <w:fldChar w:fldCharType="begin"/>
            </w:r>
            <w:r w:rsidR="008A7610">
              <w:rPr>
                <w:noProof/>
                <w:webHidden/>
              </w:rPr>
              <w:instrText xml:space="preserve"> PAGEREF _Toc374966967 \h </w:instrText>
            </w:r>
            <w:r>
              <w:rPr>
                <w:noProof/>
                <w:webHidden/>
              </w:rPr>
            </w:r>
            <w:r>
              <w:rPr>
                <w:noProof/>
                <w:webHidden/>
              </w:rPr>
              <w:fldChar w:fldCharType="separate"/>
            </w:r>
            <w:r w:rsidR="008A7610">
              <w:rPr>
                <w:noProof/>
                <w:webHidden/>
              </w:rPr>
              <w:t>41</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8" w:history="1">
            <w:r w:rsidR="008A7610" w:rsidRPr="00A23DAF">
              <w:rPr>
                <w:rStyle w:val="Hyperlink"/>
                <w:noProof/>
              </w:rPr>
              <w:t>7.1.</w:t>
            </w:r>
            <w:r w:rsidR="008A7610">
              <w:rPr>
                <w:rFonts w:asciiTheme="minorHAnsi" w:eastAsiaTheme="minorEastAsia" w:hAnsiTheme="minorHAnsi" w:cstheme="minorBidi"/>
                <w:noProof/>
                <w:lang w:eastAsia="en-AU"/>
              </w:rPr>
              <w:tab/>
            </w:r>
            <w:r w:rsidR="008A7610" w:rsidRPr="00A23DAF">
              <w:rPr>
                <w:rStyle w:val="Hyperlink"/>
                <w:noProof/>
              </w:rPr>
              <w:t>Studies providing evaluable safety data</w:t>
            </w:r>
            <w:r w:rsidR="008A7610">
              <w:rPr>
                <w:noProof/>
                <w:webHidden/>
              </w:rPr>
              <w:tab/>
            </w:r>
            <w:r>
              <w:rPr>
                <w:noProof/>
                <w:webHidden/>
              </w:rPr>
              <w:fldChar w:fldCharType="begin"/>
            </w:r>
            <w:r w:rsidR="008A7610">
              <w:rPr>
                <w:noProof/>
                <w:webHidden/>
              </w:rPr>
              <w:instrText xml:space="preserve"> PAGEREF _Toc374966968 \h </w:instrText>
            </w:r>
            <w:r>
              <w:rPr>
                <w:noProof/>
                <w:webHidden/>
              </w:rPr>
            </w:r>
            <w:r>
              <w:rPr>
                <w:noProof/>
                <w:webHidden/>
              </w:rPr>
              <w:fldChar w:fldCharType="separate"/>
            </w:r>
            <w:r w:rsidR="008A7610">
              <w:rPr>
                <w:noProof/>
                <w:webHidden/>
              </w:rPr>
              <w:t>41</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69" w:history="1">
            <w:r w:rsidR="008A7610" w:rsidRPr="00A23DAF">
              <w:rPr>
                <w:rStyle w:val="Hyperlink"/>
                <w:noProof/>
              </w:rPr>
              <w:t>7.2.</w:t>
            </w:r>
            <w:r w:rsidR="008A7610">
              <w:rPr>
                <w:rFonts w:asciiTheme="minorHAnsi" w:eastAsiaTheme="minorEastAsia" w:hAnsiTheme="minorHAnsi" w:cstheme="minorBidi"/>
                <w:noProof/>
                <w:lang w:eastAsia="en-AU"/>
              </w:rPr>
              <w:tab/>
            </w:r>
            <w:r w:rsidR="008A7610" w:rsidRPr="00A23DAF">
              <w:rPr>
                <w:rStyle w:val="Hyperlink"/>
                <w:noProof/>
              </w:rPr>
              <w:t>Pivotal studies that assessed safety as a primary outcome</w:t>
            </w:r>
            <w:r w:rsidR="008A7610">
              <w:rPr>
                <w:noProof/>
                <w:webHidden/>
              </w:rPr>
              <w:tab/>
            </w:r>
            <w:r>
              <w:rPr>
                <w:noProof/>
                <w:webHidden/>
              </w:rPr>
              <w:fldChar w:fldCharType="begin"/>
            </w:r>
            <w:r w:rsidR="008A7610">
              <w:rPr>
                <w:noProof/>
                <w:webHidden/>
              </w:rPr>
              <w:instrText xml:space="preserve"> PAGEREF _Toc374966969 \h </w:instrText>
            </w:r>
            <w:r>
              <w:rPr>
                <w:noProof/>
                <w:webHidden/>
              </w:rPr>
            </w:r>
            <w:r>
              <w:rPr>
                <w:noProof/>
                <w:webHidden/>
              </w:rPr>
              <w:fldChar w:fldCharType="separate"/>
            </w:r>
            <w:r w:rsidR="008A7610">
              <w:rPr>
                <w:noProof/>
                <w:webHidden/>
              </w:rPr>
              <w:t>42</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0" w:history="1">
            <w:r w:rsidR="008A7610" w:rsidRPr="00A23DAF">
              <w:rPr>
                <w:rStyle w:val="Hyperlink"/>
                <w:noProof/>
              </w:rPr>
              <w:t>7.3.</w:t>
            </w:r>
            <w:r w:rsidR="008A7610">
              <w:rPr>
                <w:rFonts w:asciiTheme="minorHAnsi" w:eastAsiaTheme="minorEastAsia" w:hAnsiTheme="minorHAnsi" w:cstheme="minorBidi"/>
                <w:noProof/>
                <w:lang w:eastAsia="en-AU"/>
              </w:rPr>
              <w:tab/>
            </w:r>
            <w:r w:rsidR="008A7610" w:rsidRPr="00A23DAF">
              <w:rPr>
                <w:rStyle w:val="Hyperlink"/>
                <w:noProof/>
              </w:rPr>
              <w:t>Patient exposure</w:t>
            </w:r>
            <w:r w:rsidR="008A7610">
              <w:rPr>
                <w:noProof/>
                <w:webHidden/>
              </w:rPr>
              <w:tab/>
            </w:r>
            <w:r>
              <w:rPr>
                <w:noProof/>
                <w:webHidden/>
              </w:rPr>
              <w:fldChar w:fldCharType="begin"/>
            </w:r>
            <w:r w:rsidR="008A7610">
              <w:rPr>
                <w:noProof/>
                <w:webHidden/>
              </w:rPr>
              <w:instrText xml:space="preserve"> PAGEREF _Toc374966970 \h </w:instrText>
            </w:r>
            <w:r>
              <w:rPr>
                <w:noProof/>
                <w:webHidden/>
              </w:rPr>
            </w:r>
            <w:r>
              <w:rPr>
                <w:noProof/>
                <w:webHidden/>
              </w:rPr>
              <w:fldChar w:fldCharType="separate"/>
            </w:r>
            <w:r w:rsidR="008A7610">
              <w:rPr>
                <w:noProof/>
                <w:webHidden/>
              </w:rPr>
              <w:t>43</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1" w:history="1">
            <w:r w:rsidR="008A7610" w:rsidRPr="00A23DAF">
              <w:rPr>
                <w:rStyle w:val="Hyperlink"/>
                <w:noProof/>
              </w:rPr>
              <w:t>7.4.</w:t>
            </w:r>
            <w:r w:rsidR="008A7610">
              <w:rPr>
                <w:rFonts w:asciiTheme="minorHAnsi" w:eastAsiaTheme="minorEastAsia" w:hAnsiTheme="minorHAnsi" w:cstheme="minorBidi"/>
                <w:noProof/>
                <w:lang w:eastAsia="en-AU"/>
              </w:rPr>
              <w:tab/>
            </w:r>
            <w:r w:rsidR="008A7610" w:rsidRPr="00A23DAF">
              <w:rPr>
                <w:rStyle w:val="Hyperlink"/>
                <w:noProof/>
              </w:rPr>
              <w:t>Adverse events</w:t>
            </w:r>
            <w:r w:rsidR="008A7610">
              <w:rPr>
                <w:noProof/>
                <w:webHidden/>
              </w:rPr>
              <w:tab/>
            </w:r>
            <w:r>
              <w:rPr>
                <w:noProof/>
                <w:webHidden/>
              </w:rPr>
              <w:fldChar w:fldCharType="begin"/>
            </w:r>
            <w:r w:rsidR="008A7610">
              <w:rPr>
                <w:noProof/>
                <w:webHidden/>
              </w:rPr>
              <w:instrText xml:space="preserve"> PAGEREF _Toc374966971 \h </w:instrText>
            </w:r>
            <w:r>
              <w:rPr>
                <w:noProof/>
                <w:webHidden/>
              </w:rPr>
            </w:r>
            <w:r>
              <w:rPr>
                <w:noProof/>
                <w:webHidden/>
              </w:rPr>
              <w:fldChar w:fldCharType="separate"/>
            </w:r>
            <w:r w:rsidR="008A7610">
              <w:rPr>
                <w:noProof/>
                <w:webHidden/>
              </w:rPr>
              <w:t>43</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2" w:history="1">
            <w:r w:rsidR="008A7610" w:rsidRPr="00A23DAF">
              <w:rPr>
                <w:rStyle w:val="Hyperlink"/>
                <w:noProof/>
              </w:rPr>
              <w:t>7.5.</w:t>
            </w:r>
            <w:r w:rsidR="008A7610">
              <w:rPr>
                <w:rFonts w:asciiTheme="minorHAnsi" w:eastAsiaTheme="minorEastAsia" w:hAnsiTheme="minorHAnsi" w:cstheme="minorBidi"/>
                <w:noProof/>
                <w:lang w:eastAsia="en-AU"/>
              </w:rPr>
              <w:tab/>
            </w:r>
            <w:r w:rsidR="008A7610" w:rsidRPr="00A23DAF">
              <w:rPr>
                <w:rStyle w:val="Hyperlink"/>
                <w:noProof/>
              </w:rPr>
              <w:t>Postmarketing experience</w:t>
            </w:r>
            <w:r w:rsidR="008A7610">
              <w:rPr>
                <w:noProof/>
                <w:webHidden/>
              </w:rPr>
              <w:tab/>
            </w:r>
            <w:r>
              <w:rPr>
                <w:noProof/>
                <w:webHidden/>
              </w:rPr>
              <w:fldChar w:fldCharType="begin"/>
            </w:r>
            <w:r w:rsidR="008A7610">
              <w:rPr>
                <w:noProof/>
                <w:webHidden/>
              </w:rPr>
              <w:instrText xml:space="preserve"> PAGEREF _Toc374966972 \h </w:instrText>
            </w:r>
            <w:r>
              <w:rPr>
                <w:noProof/>
                <w:webHidden/>
              </w:rPr>
            </w:r>
            <w:r>
              <w:rPr>
                <w:noProof/>
                <w:webHidden/>
              </w:rPr>
              <w:fldChar w:fldCharType="separate"/>
            </w:r>
            <w:r w:rsidR="008A7610">
              <w:rPr>
                <w:noProof/>
                <w:webHidden/>
              </w:rPr>
              <w:t>51</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3" w:history="1">
            <w:r w:rsidR="008A7610" w:rsidRPr="00A23DAF">
              <w:rPr>
                <w:rStyle w:val="Hyperlink"/>
                <w:noProof/>
              </w:rPr>
              <w:t>7.6.</w:t>
            </w:r>
            <w:r w:rsidR="008A7610">
              <w:rPr>
                <w:rFonts w:asciiTheme="minorHAnsi" w:eastAsiaTheme="minorEastAsia" w:hAnsiTheme="minorHAnsi" w:cstheme="minorBidi"/>
                <w:noProof/>
                <w:lang w:eastAsia="en-AU"/>
              </w:rPr>
              <w:tab/>
            </w:r>
            <w:r w:rsidR="008A7610" w:rsidRPr="00A23DAF">
              <w:rPr>
                <w:rStyle w:val="Hyperlink"/>
                <w:noProof/>
              </w:rPr>
              <w:t>Safety issues with the potential for major regulatory impact</w:t>
            </w:r>
            <w:r w:rsidR="008A7610">
              <w:rPr>
                <w:noProof/>
                <w:webHidden/>
              </w:rPr>
              <w:tab/>
            </w:r>
            <w:r>
              <w:rPr>
                <w:noProof/>
                <w:webHidden/>
              </w:rPr>
              <w:fldChar w:fldCharType="begin"/>
            </w:r>
            <w:r w:rsidR="008A7610">
              <w:rPr>
                <w:noProof/>
                <w:webHidden/>
              </w:rPr>
              <w:instrText xml:space="preserve"> PAGEREF _Toc374966973 \h </w:instrText>
            </w:r>
            <w:r>
              <w:rPr>
                <w:noProof/>
                <w:webHidden/>
              </w:rPr>
            </w:r>
            <w:r>
              <w:rPr>
                <w:noProof/>
                <w:webHidden/>
              </w:rPr>
              <w:fldChar w:fldCharType="separate"/>
            </w:r>
            <w:r w:rsidR="008A7610">
              <w:rPr>
                <w:noProof/>
                <w:webHidden/>
              </w:rPr>
              <w:t>52</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4" w:history="1">
            <w:r w:rsidR="008A7610" w:rsidRPr="00A23DAF">
              <w:rPr>
                <w:rStyle w:val="Hyperlink"/>
                <w:noProof/>
              </w:rPr>
              <w:t>7.7.</w:t>
            </w:r>
            <w:r w:rsidR="008A7610">
              <w:rPr>
                <w:rFonts w:asciiTheme="minorHAnsi" w:eastAsiaTheme="minorEastAsia" w:hAnsiTheme="minorHAnsi" w:cstheme="minorBidi"/>
                <w:noProof/>
                <w:lang w:eastAsia="en-AU"/>
              </w:rPr>
              <w:tab/>
            </w:r>
            <w:r w:rsidR="008A7610" w:rsidRPr="00A23DAF">
              <w:rPr>
                <w:rStyle w:val="Hyperlink"/>
                <w:noProof/>
              </w:rPr>
              <w:t>Other safety issues</w:t>
            </w:r>
            <w:r w:rsidR="008A7610">
              <w:rPr>
                <w:noProof/>
                <w:webHidden/>
              </w:rPr>
              <w:tab/>
            </w:r>
            <w:r>
              <w:rPr>
                <w:noProof/>
                <w:webHidden/>
              </w:rPr>
              <w:fldChar w:fldCharType="begin"/>
            </w:r>
            <w:r w:rsidR="008A7610">
              <w:rPr>
                <w:noProof/>
                <w:webHidden/>
              </w:rPr>
              <w:instrText xml:space="preserve"> PAGEREF _Toc374966974 \h </w:instrText>
            </w:r>
            <w:r>
              <w:rPr>
                <w:noProof/>
                <w:webHidden/>
              </w:rPr>
            </w:r>
            <w:r>
              <w:rPr>
                <w:noProof/>
                <w:webHidden/>
              </w:rPr>
              <w:fldChar w:fldCharType="separate"/>
            </w:r>
            <w:r w:rsidR="008A7610">
              <w:rPr>
                <w:noProof/>
                <w:webHidden/>
              </w:rPr>
              <w:t>53</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5" w:history="1">
            <w:r w:rsidR="008A7610" w:rsidRPr="00A23DAF">
              <w:rPr>
                <w:rStyle w:val="Hyperlink"/>
                <w:noProof/>
              </w:rPr>
              <w:t>7.8.</w:t>
            </w:r>
            <w:r w:rsidR="008A7610">
              <w:rPr>
                <w:rFonts w:asciiTheme="minorHAnsi" w:eastAsiaTheme="minorEastAsia" w:hAnsiTheme="minorHAnsi" w:cstheme="minorBidi"/>
                <w:noProof/>
                <w:lang w:eastAsia="en-AU"/>
              </w:rPr>
              <w:tab/>
            </w:r>
            <w:r w:rsidR="008A7610" w:rsidRPr="00A23DAF">
              <w:rPr>
                <w:rStyle w:val="Hyperlink"/>
                <w:noProof/>
              </w:rPr>
              <w:t>Safety related to drug-drug interactions and other interactions</w:t>
            </w:r>
            <w:r w:rsidR="008A7610">
              <w:rPr>
                <w:noProof/>
                <w:webHidden/>
              </w:rPr>
              <w:tab/>
            </w:r>
            <w:r>
              <w:rPr>
                <w:noProof/>
                <w:webHidden/>
              </w:rPr>
              <w:fldChar w:fldCharType="begin"/>
            </w:r>
            <w:r w:rsidR="008A7610">
              <w:rPr>
                <w:noProof/>
                <w:webHidden/>
              </w:rPr>
              <w:instrText xml:space="preserve"> PAGEREF _Toc374966975 \h </w:instrText>
            </w:r>
            <w:r>
              <w:rPr>
                <w:noProof/>
                <w:webHidden/>
              </w:rPr>
            </w:r>
            <w:r>
              <w:rPr>
                <w:noProof/>
                <w:webHidden/>
              </w:rPr>
              <w:fldChar w:fldCharType="separate"/>
            </w:r>
            <w:r w:rsidR="008A7610">
              <w:rPr>
                <w:noProof/>
                <w:webHidden/>
              </w:rPr>
              <w:t>53</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6" w:history="1">
            <w:r w:rsidR="008A7610" w:rsidRPr="00A23DAF">
              <w:rPr>
                <w:rStyle w:val="Hyperlink"/>
                <w:noProof/>
              </w:rPr>
              <w:t>7.9.</w:t>
            </w:r>
            <w:r w:rsidR="008A7610">
              <w:rPr>
                <w:rFonts w:asciiTheme="minorHAnsi" w:eastAsiaTheme="minorEastAsia" w:hAnsiTheme="minorHAnsi" w:cstheme="minorBidi"/>
                <w:noProof/>
                <w:lang w:eastAsia="en-AU"/>
              </w:rPr>
              <w:tab/>
            </w:r>
            <w:r w:rsidR="008A7610" w:rsidRPr="00A23DAF">
              <w:rPr>
                <w:rStyle w:val="Hyperlink"/>
                <w:noProof/>
              </w:rPr>
              <w:t>Evaluator’s overall conclusions on clinical safety</w:t>
            </w:r>
            <w:r w:rsidR="008A7610">
              <w:rPr>
                <w:noProof/>
                <w:webHidden/>
              </w:rPr>
              <w:tab/>
            </w:r>
            <w:r>
              <w:rPr>
                <w:noProof/>
                <w:webHidden/>
              </w:rPr>
              <w:fldChar w:fldCharType="begin"/>
            </w:r>
            <w:r w:rsidR="008A7610">
              <w:rPr>
                <w:noProof/>
                <w:webHidden/>
              </w:rPr>
              <w:instrText xml:space="preserve"> PAGEREF _Toc374966976 \h </w:instrText>
            </w:r>
            <w:r>
              <w:rPr>
                <w:noProof/>
                <w:webHidden/>
              </w:rPr>
            </w:r>
            <w:r>
              <w:rPr>
                <w:noProof/>
                <w:webHidden/>
              </w:rPr>
              <w:fldChar w:fldCharType="separate"/>
            </w:r>
            <w:r w:rsidR="008A7610">
              <w:rPr>
                <w:noProof/>
                <w:webHidden/>
              </w:rPr>
              <w:t>53</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77" w:history="1">
            <w:r w:rsidR="008A7610" w:rsidRPr="00A23DAF">
              <w:rPr>
                <w:rStyle w:val="Hyperlink"/>
                <w:noProof/>
              </w:rPr>
              <w:t>8.</w:t>
            </w:r>
            <w:r w:rsidR="008A7610">
              <w:rPr>
                <w:rFonts w:asciiTheme="minorHAnsi" w:eastAsiaTheme="minorEastAsia" w:hAnsiTheme="minorHAnsi" w:cstheme="minorBidi"/>
                <w:b w:val="0"/>
                <w:noProof/>
                <w:sz w:val="22"/>
                <w:lang w:eastAsia="en-AU"/>
              </w:rPr>
              <w:tab/>
            </w:r>
            <w:r w:rsidR="008A7610" w:rsidRPr="00A23DAF">
              <w:rPr>
                <w:rStyle w:val="Hyperlink"/>
                <w:noProof/>
              </w:rPr>
              <w:t>First round benefit-risk assessment</w:t>
            </w:r>
            <w:r w:rsidR="008A7610">
              <w:rPr>
                <w:noProof/>
                <w:webHidden/>
              </w:rPr>
              <w:tab/>
            </w:r>
            <w:r>
              <w:rPr>
                <w:noProof/>
                <w:webHidden/>
              </w:rPr>
              <w:fldChar w:fldCharType="begin"/>
            </w:r>
            <w:r w:rsidR="008A7610">
              <w:rPr>
                <w:noProof/>
                <w:webHidden/>
              </w:rPr>
              <w:instrText xml:space="preserve"> PAGEREF _Toc374966977 \h </w:instrText>
            </w:r>
            <w:r>
              <w:rPr>
                <w:noProof/>
                <w:webHidden/>
              </w:rPr>
            </w:r>
            <w:r>
              <w:rPr>
                <w:noProof/>
                <w:webHidden/>
              </w:rPr>
              <w:fldChar w:fldCharType="separate"/>
            </w:r>
            <w:r w:rsidR="008A7610">
              <w:rPr>
                <w:noProof/>
                <w:webHidden/>
              </w:rPr>
              <w:t>55</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8" w:history="1">
            <w:r w:rsidR="008A7610" w:rsidRPr="00A23DAF">
              <w:rPr>
                <w:rStyle w:val="Hyperlink"/>
                <w:noProof/>
              </w:rPr>
              <w:t>8.1.</w:t>
            </w:r>
            <w:r w:rsidR="008A7610">
              <w:rPr>
                <w:rFonts w:asciiTheme="minorHAnsi" w:eastAsiaTheme="minorEastAsia" w:hAnsiTheme="minorHAnsi" w:cstheme="minorBidi"/>
                <w:noProof/>
                <w:lang w:eastAsia="en-AU"/>
              </w:rPr>
              <w:tab/>
            </w:r>
            <w:r w:rsidR="008A7610" w:rsidRPr="00A23DAF">
              <w:rPr>
                <w:rStyle w:val="Hyperlink"/>
                <w:noProof/>
              </w:rPr>
              <w:t>First round assessment of benefits</w:t>
            </w:r>
            <w:r w:rsidR="008A7610">
              <w:rPr>
                <w:noProof/>
                <w:webHidden/>
              </w:rPr>
              <w:tab/>
            </w:r>
            <w:r>
              <w:rPr>
                <w:noProof/>
                <w:webHidden/>
              </w:rPr>
              <w:fldChar w:fldCharType="begin"/>
            </w:r>
            <w:r w:rsidR="008A7610">
              <w:rPr>
                <w:noProof/>
                <w:webHidden/>
              </w:rPr>
              <w:instrText xml:space="preserve"> PAGEREF _Toc374966978 \h </w:instrText>
            </w:r>
            <w:r>
              <w:rPr>
                <w:noProof/>
                <w:webHidden/>
              </w:rPr>
            </w:r>
            <w:r>
              <w:rPr>
                <w:noProof/>
                <w:webHidden/>
              </w:rPr>
              <w:fldChar w:fldCharType="separate"/>
            </w:r>
            <w:r w:rsidR="008A7610">
              <w:rPr>
                <w:noProof/>
                <w:webHidden/>
              </w:rPr>
              <w:t>55</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79" w:history="1">
            <w:r w:rsidR="008A7610" w:rsidRPr="00A23DAF">
              <w:rPr>
                <w:rStyle w:val="Hyperlink"/>
                <w:noProof/>
              </w:rPr>
              <w:t>8.2.</w:t>
            </w:r>
            <w:r w:rsidR="008A7610">
              <w:rPr>
                <w:rFonts w:asciiTheme="minorHAnsi" w:eastAsiaTheme="minorEastAsia" w:hAnsiTheme="minorHAnsi" w:cstheme="minorBidi"/>
                <w:noProof/>
                <w:lang w:eastAsia="en-AU"/>
              </w:rPr>
              <w:tab/>
            </w:r>
            <w:r w:rsidR="008A7610" w:rsidRPr="00A23DAF">
              <w:rPr>
                <w:rStyle w:val="Hyperlink"/>
                <w:noProof/>
              </w:rPr>
              <w:t>First round assessment of risks</w:t>
            </w:r>
            <w:r w:rsidR="008A7610">
              <w:rPr>
                <w:noProof/>
                <w:webHidden/>
              </w:rPr>
              <w:tab/>
            </w:r>
            <w:r>
              <w:rPr>
                <w:noProof/>
                <w:webHidden/>
              </w:rPr>
              <w:fldChar w:fldCharType="begin"/>
            </w:r>
            <w:r w:rsidR="008A7610">
              <w:rPr>
                <w:noProof/>
                <w:webHidden/>
              </w:rPr>
              <w:instrText xml:space="preserve"> PAGEREF _Toc374966979 \h </w:instrText>
            </w:r>
            <w:r>
              <w:rPr>
                <w:noProof/>
                <w:webHidden/>
              </w:rPr>
            </w:r>
            <w:r>
              <w:rPr>
                <w:noProof/>
                <w:webHidden/>
              </w:rPr>
              <w:fldChar w:fldCharType="separate"/>
            </w:r>
            <w:r w:rsidR="008A7610">
              <w:rPr>
                <w:noProof/>
                <w:webHidden/>
              </w:rPr>
              <w:t>55</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0" w:history="1">
            <w:r w:rsidR="008A7610" w:rsidRPr="00A23DAF">
              <w:rPr>
                <w:rStyle w:val="Hyperlink"/>
                <w:noProof/>
              </w:rPr>
              <w:t>8.3.</w:t>
            </w:r>
            <w:r w:rsidR="008A7610">
              <w:rPr>
                <w:rFonts w:asciiTheme="minorHAnsi" w:eastAsiaTheme="minorEastAsia" w:hAnsiTheme="minorHAnsi" w:cstheme="minorBidi"/>
                <w:noProof/>
                <w:lang w:eastAsia="en-AU"/>
              </w:rPr>
              <w:tab/>
            </w:r>
            <w:r w:rsidR="008A7610" w:rsidRPr="00A23DAF">
              <w:rPr>
                <w:rStyle w:val="Hyperlink"/>
                <w:noProof/>
              </w:rPr>
              <w:t>First round assessment of benefit-risk balance</w:t>
            </w:r>
            <w:r w:rsidR="008A7610">
              <w:rPr>
                <w:noProof/>
                <w:webHidden/>
              </w:rPr>
              <w:tab/>
            </w:r>
            <w:r>
              <w:rPr>
                <w:noProof/>
                <w:webHidden/>
              </w:rPr>
              <w:fldChar w:fldCharType="begin"/>
            </w:r>
            <w:r w:rsidR="008A7610">
              <w:rPr>
                <w:noProof/>
                <w:webHidden/>
              </w:rPr>
              <w:instrText xml:space="preserve"> PAGEREF _Toc374966980 \h </w:instrText>
            </w:r>
            <w:r>
              <w:rPr>
                <w:noProof/>
                <w:webHidden/>
              </w:rPr>
            </w:r>
            <w:r>
              <w:rPr>
                <w:noProof/>
                <w:webHidden/>
              </w:rPr>
              <w:fldChar w:fldCharType="separate"/>
            </w:r>
            <w:r w:rsidR="008A7610">
              <w:rPr>
                <w:noProof/>
                <w:webHidden/>
              </w:rPr>
              <w:t>56</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1" w:history="1">
            <w:r w:rsidR="008A7610" w:rsidRPr="00A23DAF">
              <w:rPr>
                <w:rStyle w:val="Hyperlink"/>
                <w:noProof/>
              </w:rPr>
              <w:t>8.4.</w:t>
            </w:r>
            <w:r w:rsidR="008A7610">
              <w:rPr>
                <w:rFonts w:asciiTheme="minorHAnsi" w:eastAsiaTheme="minorEastAsia" w:hAnsiTheme="minorHAnsi" w:cstheme="minorBidi"/>
                <w:noProof/>
                <w:lang w:eastAsia="en-AU"/>
              </w:rPr>
              <w:tab/>
            </w:r>
            <w:r w:rsidR="008A7610" w:rsidRPr="00A23DAF">
              <w:rPr>
                <w:rStyle w:val="Hyperlink"/>
                <w:noProof/>
              </w:rPr>
              <w:t>First round recommendation regarding authorisation</w:t>
            </w:r>
            <w:r w:rsidR="008A7610">
              <w:rPr>
                <w:noProof/>
                <w:webHidden/>
              </w:rPr>
              <w:tab/>
            </w:r>
            <w:r>
              <w:rPr>
                <w:noProof/>
                <w:webHidden/>
              </w:rPr>
              <w:fldChar w:fldCharType="begin"/>
            </w:r>
            <w:r w:rsidR="008A7610">
              <w:rPr>
                <w:noProof/>
                <w:webHidden/>
              </w:rPr>
              <w:instrText xml:space="preserve"> PAGEREF _Toc374966981 \h </w:instrText>
            </w:r>
            <w:r>
              <w:rPr>
                <w:noProof/>
                <w:webHidden/>
              </w:rPr>
            </w:r>
            <w:r>
              <w:rPr>
                <w:noProof/>
                <w:webHidden/>
              </w:rPr>
              <w:fldChar w:fldCharType="separate"/>
            </w:r>
            <w:r w:rsidR="008A7610">
              <w:rPr>
                <w:noProof/>
                <w:webHidden/>
              </w:rPr>
              <w:t>59</w:t>
            </w:r>
            <w:r>
              <w:rPr>
                <w:noProof/>
                <w:webHidden/>
              </w:rPr>
              <w:fldChar w:fldCharType="end"/>
            </w:r>
          </w:hyperlink>
        </w:p>
        <w:p w:rsidR="008A7610" w:rsidRDefault="00B938C6">
          <w:pPr>
            <w:pStyle w:val="TOC2"/>
            <w:tabs>
              <w:tab w:val="left" w:pos="1100"/>
            </w:tabs>
            <w:rPr>
              <w:rFonts w:asciiTheme="minorHAnsi" w:eastAsiaTheme="minorEastAsia" w:hAnsiTheme="minorHAnsi" w:cstheme="minorBidi"/>
              <w:b w:val="0"/>
              <w:noProof/>
              <w:sz w:val="22"/>
              <w:lang w:eastAsia="en-AU"/>
            </w:rPr>
          </w:pPr>
          <w:hyperlink w:anchor="_Toc374966982" w:history="1">
            <w:r w:rsidR="008A7610" w:rsidRPr="00A23DAF">
              <w:rPr>
                <w:rStyle w:val="Hyperlink"/>
                <w:noProof/>
              </w:rPr>
              <w:t>9.</w:t>
            </w:r>
            <w:r w:rsidR="008A7610">
              <w:rPr>
                <w:rFonts w:asciiTheme="minorHAnsi" w:eastAsiaTheme="minorEastAsia" w:hAnsiTheme="minorHAnsi" w:cstheme="minorBidi"/>
                <w:b w:val="0"/>
                <w:noProof/>
                <w:sz w:val="22"/>
                <w:lang w:eastAsia="en-AU"/>
              </w:rPr>
              <w:tab/>
            </w:r>
            <w:r w:rsidR="008A7610" w:rsidRPr="00A23DAF">
              <w:rPr>
                <w:rStyle w:val="Hyperlink"/>
                <w:noProof/>
              </w:rPr>
              <w:t>Clinical questions</w:t>
            </w:r>
            <w:r w:rsidR="008A7610">
              <w:rPr>
                <w:noProof/>
                <w:webHidden/>
              </w:rPr>
              <w:tab/>
            </w:r>
            <w:r>
              <w:rPr>
                <w:noProof/>
                <w:webHidden/>
              </w:rPr>
              <w:fldChar w:fldCharType="begin"/>
            </w:r>
            <w:r w:rsidR="008A7610">
              <w:rPr>
                <w:noProof/>
                <w:webHidden/>
              </w:rPr>
              <w:instrText xml:space="preserve"> PAGEREF _Toc374966982 \h </w:instrText>
            </w:r>
            <w:r>
              <w:rPr>
                <w:noProof/>
                <w:webHidden/>
              </w:rPr>
            </w:r>
            <w:r>
              <w:rPr>
                <w:noProof/>
                <w:webHidden/>
              </w:rPr>
              <w:fldChar w:fldCharType="separate"/>
            </w:r>
            <w:r w:rsidR="008A7610">
              <w:rPr>
                <w:noProof/>
                <w:webHidden/>
              </w:rPr>
              <w:t>59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3" w:history="1">
            <w:r w:rsidR="008A7610" w:rsidRPr="00A23DAF">
              <w:rPr>
                <w:rStyle w:val="Hyperlink"/>
                <w:noProof/>
              </w:rPr>
              <w:t>9.1.</w:t>
            </w:r>
            <w:r w:rsidR="008A7610">
              <w:rPr>
                <w:rFonts w:asciiTheme="minorHAnsi" w:eastAsiaTheme="minorEastAsia" w:hAnsiTheme="minorHAnsi" w:cstheme="minorBidi"/>
                <w:noProof/>
                <w:lang w:eastAsia="en-AU"/>
              </w:rPr>
              <w:tab/>
            </w:r>
            <w:r w:rsidR="008A7610" w:rsidRPr="00A23DAF">
              <w:rPr>
                <w:rStyle w:val="Hyperlink"/>
                <w:noProof/>
              </w:rPr>
              <w:t>Pharmacokinetics</w:t>
            </w:r>
            <w:r w:rsidR="008A7610">
              <w:rPr>
                <w:noProof/>
                <w:webHidden/>
              </w:rPr>
              <w:tab/>
            </w:r>
            <w:r>
              <w:rPr>
                <w:noProof/>
                <w:webHidden/>
              </w:rPr>
              <w:fldChar w:fldCharType="begin"/>
            </w:r>
            <w:r w:rsidR="008A7610">
              <w:rPr>
                <w:noProof/>
                <w:webHidden/>
              </w:rPr>
              <w:instrText xml:space="preserve"> PAGEREF _Toc374966983 \h </w:instrText>
            </w:r>
            <w:r>
              <w:rPr>
                <w:noProof/>
                <w:webHidden/>
              </w:rPr>
            </w:r>
            <w:r>
              <w:rPr>
                <w:noProof/>
                <w:webHidden/>
              </w:rPr>
              <w:fldChar w:fldCharType="separate"/>
            </w:r>
            <w:r w:rsidR="008A7610">
              <w:rPr>
                <w:noProof/>
                <w:webHidden/>
              </w:rPr>
              <w:t>59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4" w:history="1">
            <w:r w:rsidR="008A7610" w:rsidRPr="00A23DAF">
              <w:rPr>
                <w:rStyle w:val="Hyperlink"/>
                <w:noProof/>
              </w:rPr>
              <w:t>9.2.</w:t>
            </w:r>
            <w:r w:rsidR="008A7610">
              <w:rPr>
                <w:rFonts w:asciiTheme="minorHAnsi" w:eastAsiaTheme="minorEastAsia" w:hAnsiTheme="minorHAnsi" w:cstheme="minorBidi"/>
                <w:noProof/>
                <w:lang w:eastAsia="en-AU"/>
              </w:rPr>
              <w:tab/>
            </w:r>
            <w:r w:rsidR="008A7610" w:rsidRPr="00A23DAF">
              <w:rPr>
                <w:rStyle w:val="Hyperlink"/>
                <w:noProof/>
              </w:rPr>
              <w:t>Pharmacodynamics</w:t>
            </w:r>
            <w:r w:rsidR="008A7610">
              <w:rPr>
                <w:noProof/>
                <w:webHidden/>
              </w:rPr>
              <w:tab/>
            </w:r>
            <w:r>
              <w:rPr>
                <w:noProof/>
                <w:webHidden/>
              </w:rPr>
              <w:fldChar w:fldCharType="begin"/>
            </w:r>
            <w:r w:rsidR="008A7610">
              <w:rPr>
                <w:noProof/>
                <w:webHidden/>
              </w:rPr>
              <w:instrText xml:space="preserve"> PAGEREF _Toc374966984 \h </w:instrText>
            </w:r>
            <w:r>
              <w:rPr>
                <w:noProof/>
                <w:webHidden/>
              </w:rPr>
            </w:r>
            <w:r>
              <w:rPr>
                <w:noProof/>
                <w:webHidden/>
              </w:rPr>
              <w:fldChar w:fldCharType="separate"/>
            </w:r>
            <w:r w:rsidR="008A7610">
              <w:rPr>
                <w:noProof/>
                <w:webHidden/>
              </w:rPr>
              <w:t>59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5" w:history="1">
            <w:r w:rsidR="008A7610" w:rsidRPr="00A23DAF">
              <w:rPr>
                <w:rStyle w:val="Hyperlink"/>
                <w:noProof/>
              </w:rPr>
              <w:t>9.3.</w:t>
            </w:r>
            <w:r w:rsidR="008A7610">
              <w:rPr>
                <w:rFonts w:asciiTheme="minorHAnsi" w:eastAsiaTheme="minorEastAsia" w:hAnsiTheme="minorHAnsi" w:cstheme="minorBidi"/>
                <w:noProof/>
                <w:lang w:eastAsia="en-AU"/>
              </w:rPr>
              <w:tab/>
            </w:r>
            <w:r w:rsidR="008A7610" w:rsidRPr="00A23DAF">
              <w:rPr>
                <w:rStyle w:val="Hyperlink"/>
                <w:noProof/>
              </w:rPr>
              <w:t>Efficacy</w:t>
            </w:r>
            <w:r w:rsidR="008A7610">
              <w:rPr>
                <w:noProof/>
                <w:webHidden/>
              </w:rPr>
              <w:tab/>
            </w:r>
            <w:r>
              <w:rPr>
                <w:noProof/>
                <w:webHidden/>
              </w:rPr>
              <w:fldChar w:fldCharType="begin"/>
            </w:r>
            <w:r w:rsidR="008A7610">
              <w:rPr>
                <w:noProof/>
                <w:webHidden/>
              </w:rPr>
              <w:instrText xml:space="preserve"> PAGEREF _Toc374966985 \h </w:instrText>
            </w:r>
            <w:r>
              <w:rPr>
                <w:noProof/>
                <w:webHidden/>
              </w:rPr>
            </w:r>
            <w:r>
              <w:rPr>
                <w:noProof/>
                <w:webHidden/>
              </w:rPr>
              <w:fldChar w:fldCharType="separate"/>
            </w:r>
            <w:r w:rsidR="008A7610">
              <w:rPr>
                <w:noProof/>
                <w:webHidden/>
              </w:rPr>
              <w:t>59</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6" w:history="1">
            <w:r w:rsidR="008A7610" w:rsidRPr="00A23DAF">
              <w:rPr>
                <w:rStyle w:val="Hyperlink"/>
                <w:noProof/>
              </w:rPr>
              <w:t>9.4.</w:t>
            </w:r>
            <w:r w:rsidR="008A7610">
              <w:rPr>
                <w:rFonts w:asciiTheme="minorHAnsi" w:eastAsiaTheme="minorEastAsia" w:hAnsiTheme="minorHAnsi" w:cstheme="minorBidi"/>
                <w:noProof/>
                <w:lang w:eastAsia="en-AU"/>
              </w:rPr>
              <w:tab/>
            </w:r>
            <w:r w:rsidR="008A7610" w:rsidRPr="00A23DAF">
              <w:rPr>
                <w:rStyle w:val="Hyperlink"/>
                <w:noProof/>
              </w:rPr>
              <w:t>Safety</w:t>
            </w:r>
            <w:r w:rsidR="008A7610">
              <w:rPr>
                <w:noProof/>
                <w:webHidden/>
              </w:rPr>
              <w:tab/>
            </w:r>
            <w:r>
              <w:rPr>
                <w:noProof/>
                <w:webHidden/>
              </w:rPr>
              <w:fldChar w:fldCharType="begin"/>
            </w:r>
            <w:r w:rsidR="008A7610">
              <w:rPr>
                <w:noProof/>
                <w:webHidden/>
              </w:rPr>
              <w:instrText xml:space="preserve"> PAGEREF _Toc374966986 \h </w:instrText>
            </w:r>
            <w:r>
              <w:rPr>
                <w:noProof/>
                <w:webHidden/>
              </w:rPr>
            </w:r>
            <w:r>
              <w:rPr>
                <w:noProof/>
                <w:webHidden/>
              </w:rPr>
              <w:fldChar w:fldCharType="separate"/>
            </w:r>
            <w:r w:rsidR="008A7610">
              <w:rPr>
                <w:noProof/>
                <w:webHidden/>
              </w:rPr>
              <w:t>60</w:t>
            </w:r>
            <w:r>
              <w:rPr>
                <w:noProof/>
                <w:webHidden/>
              </w:rPr>
              <w:fldChar w:fldCharType="end"/>
            </w:r>
          </w:hyperlink>
        </w:p>
        <w:p w:rsidR="008A7610" w:rsidRDefault="00B938C6">
          <w:pPr>
            <w:pStyle w:val="TOC2"/>
            <w:tabs>
              <w:tab w:val="left" w:pos="1320"/>
            </w:tabs>
            <w:rPr>
              <w:rFonts w:asciiTheme="minorHAnsi" w:eastAsiaTheme="minorEastAsia" w:hAnsiTheme="minorHAnsi" w:cstheme="minorBidi"/>
              <w:b w:val="0"/>
              <w:noProof/>
              <w:sz w:val="22"/>
              <w:lang w:eastAsia="en-AU"/>
            </w:rPr>
          </w:pPr>
          <w:hyperlink w:anchor="_Toc374966987" w:history="1">
            <w:r w:rsidR="008A7610" w:rsidRPr="00A23DAF">
              <w:rPr>
                <w:rStyle w:val="Hyperlink"/>
                <w:noProof/>
              </w:rPr>
              <w:t>10.</w:t>
            </w:r>
            <w:r w:rsidR="008A7610">
              <w:rPr>
                <w:rFonts w:asciiTheme="minorHAnsi" w:eastAsiaTheme="minorEastAsia" w:hAnsiTheme="minorHAnsi" w:cstheme="minorBidi"/>
                <w:b w:val="0"/>
                <w:noProof/>
                <w:sz w:val="22"/>
                <w:lang w:eastAsia="en-AU"/>
              </w:rPr>
              <w:tab/>
            </w:r>
            <w:r w:rsidR="008A7610" w:rsidRPr="00A23DAF">
              <w:rPr>
                <w:rStyle w:val="Hyperlink"/>
                <w:noProof/>
              </w:rPr>
              <w:t>Second round evaluation of clinical data submitted in response to questions</w:t>
            </w:r>
            <w:r w:rsidR="008A7610">
              <w:rPr>
                <w:noProof/>
                <w:webHidden/>
              </w:rPr>
              <w:tab/>
            </w:r>
            <w:r>
              <w:rPr>
                <w:noProof/>
                <w:webHidden/>
              </w:rPr>
              <w:fldChar w:fldCharType="begin"/>
            </w:r>
            <w:r w:rsidR="008A7610">
              <w:rPr>
                <w:noProof/>
                <w:webHidden/>
              </w:rPr>
              <w:instrText xml:space="preserve"> PAGEREF _Toc374966987 \h </w:instrText>
            </w:r>
            <w:r>
              <w:rPr>
                <w:noProof/>
                <w:webHidden/>
              </w:rPr>
            </w:r>
            <w:r>
              <w:rPr>
                <w:noProof/>
                <w:webHidden/>
              </w:rPr>
              <w:fldChar w:fldCharType="separate"/>
            </w:r>
            <w:r w:rsidR="008A7610">
              <w:rPr>
                <w:noProof/>
                <w:webHidden/>
              </w:rPr>
              <w:t>60</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8" w:history="1">
            <w:r w:rsidR="008A7610" w:rsidRPr="00A23DAF">
              <w:rPr>
                <w:rStyle w:val="Hyperlink"/>
                <w:noProof/>
              </w:rPr>
              <w:t>10.1.</w:t>
            </w:r>
            <w:r w:rsidR="008A7610">
              <w:rPr>
                <w:rFonts w:asciiTheme="minorHAnsi" w:eastAsiaTheme="minorEastAsia" w:hAnsiTheme="minorHAnsi" w:cstheme="minorBidi"/>
                <w:noProof/>
                <w:lang w:eastAsia="en-AU"/>
              </w:rPr>
              <w:tab/>
            </w:r>
            <w:r w:rsidR="008A7610" w:rsidRPr="00A23DAF">
              <w:rPr>
                <w:rStyle w:val="Hyperlink"/>
                <w:noProof/>
              </w:rPr>
              <w:t>Efficacy</w:t>
            </w:r>
            <w:r w:rsidR="008A7610">
              <w:rPr>
                <w:noProof/>
                <w:webHidden/>
              </w:rPr>
              <w:tab/>
            </w:r>
            <w:r>
              <w:rPr>
                <w:noProof/>
                <w:webHidden/>
              </w:rPr>
              <w:fldChar w:fldCharType="begin"/>
            </w:r>
            <w:r w:rsidR="008A7610">
              <w:rPr>
                <w:noProof/>
                <w:webHidden/>
              </w:rPr>
              <w:instrText xml:space="preserve"> PAGEREF _Toc374966988 \h </w:instrText>
            </w:r>
            <w:r>
              <w:rPr>
                <w:noProof/>
                <w:webHidden/>
              </w:rPr>
            </w:r>
            <w:r>
              <w:rPr>
                <w:noProof/>
                <w:webHidden/>
              </w:rPr>
              <w:fldChar w:fldCharType="separate"/>
            </w:r>
            <w:r w:rsidR="008A7610">
              <w:rPr>
                <w:noProof/>
                <w:webHidden/>
              </w:rPr>
              <w:t>60</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89" w:history="1">
            <w:r w:rsidR="008A7610" w:rsidRPr="00A23DAF">
              <w:rPr>
                <w:rStyle w:val="Hyperlink"/>
                <w:noProof/>
              </w:rPr>
              <w:t>10.2.</w:t>
            </w:r>
            <w:r w:rsidR="008A7610">
              <w:rPr>
                <w:rFonts w:asciiTheme="minorHAnsi" w:eastAsiaTheme="minorEastAsia" w:hAnsiTheme="minorHAnsi" w:cstheme="minorBidi"/>
                <w:noProof/>
                <w:lang w:eastAsia="en-AU"/>
              </w:rPr>
              <w:tab/>
            </w:r>
            <w:r w:rsidR="008A7610" w:rsidRPr="00A23DAF">
              <w:rPr>
                <w:rStyle w:val="Hyperlink"/>
                <w:noProof/>
              </w:rPr>
              <w:t>Safety</w:t>
            </w:r>
            <w:r w:rsidR="008A7610">
              <w:rPr>
                <w:noProof/>
                <w:webHidden/>
              </w:rPr>
              <w:tab/>
            </w:r>
            <w:r>
              <w:rPr>
                <w:noProof/>
                <w:webHidden/>
              </w:rPr>
              <w:fldChar w:fldCharType="begin"/>
            </w:r>
            <w:r w:rsidR="008A7610">
              <w:rPr>
                <w:noProof/>
                <w:webHidden/>
              </w:rPr>
              <w:instrText xml:space="preserve"> PAGEREF _Toc374966989 \h </w:instrText>
            </w:r>
            <w:r>
              <w:rPr>
                <w:noProof/>
                <w:webHidden/>
              </w:rPr>
            </w:r>
            <w:r>
              <w:rPr>
                <w:noProof/>
                <w:webHidden/>
              </w:rPr>
              <w:fldChar w:fldCharType="separate"/>
            </w:r>
            <w:r w:rsidR="008A7610">
              <w:rPr>
                <w:noProof/>
                <w:webHidden/>
              </w:rPr>
              <w:t>63</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90" w:history="1">
            <w:r w:rsidR="008A7610" w:rsidRPr="00A23DAF">
              <w:rPr>
                <w:rStyle w:val="Hyperlink"/>
                <w:noProof/>
              </w:rPr>
              <w:t>10.3.</w:t>
            </w:r>
            <w:r w:rsidR="008A7610">
              <w:rPr>
                <w:rFonts w:asciiTheme="minorHAnsi" w:eastAsiaTheme="minorEastAsia" w:hAnsiTheme="minorHAnsi" w:cstheme="minorBidi"/>
                <w:noProof/>
                <w:lang w:eastAsia="en-AU"/>
              </w:rPr>
              <w:tab/>
            </w:r>
            <w:r w:rsidR="008A7610" w:rsidRPr="00A23DAF">
              <w:rPr>
                <w:rStyle w:val="Hyperlink"/>
                <w:noProof/>
              </w:rPr>
              <w:t>PI and CMI</w:t>
            </w:r>
            <w:r w:rsidR="008A7610">
              <w:rPr>
                <w:noProof/>
                <w:webHidden/>
              </w:rPr>
              <w:tab/>
            </w:r>
            <w:r>
              <w:rPr>
                <w:noProof/>
                <w:webHidden/>
              </w:rPr>
              <w:fldChar w:fldCharType="begin"/>
            </w:r>
            <w:r w:rsidR="008A7610">
              <w:rPr>
                <w:noProof/>
                <w:webHidden/>
              </w:rPr>
              <w:instrText xml:space="preserve"> PAGEREF _Toc374966990 \h </w:instrText>
            </w:r>
            <w:r>
              <w:rPr>
                <w:noProof/>
                <w:webHidden/>
              </w:rPr>
            </w:r>
            <w:r>
              <w:rPr>
                <w:noProof/>
                <w:webHidden/>
              </w:rPr>
              <w:fldChar w:fldCharType="separate"/>
            </w:r>
            <w:r w:rsidR="008A7610">
              <w:rPr>
                <w:noProof/>
                <w:webHidden/>
              </w:rPr>
              <w:t>67</w:t>
            </w:r>
            <w:r>
              <w:rPr>
                <w:noProof/>
                <w:webHidden/>
              </w:rPr>
              <w:fldChar w:fldCharType="end"/>
            </w:r>
          </w:hyperlink>
        </w:p>
        <w:p w:rsidR="008A7610" w:rsidRDefault="00B938C6">
          <w:pPr>
            <w:pStyle w:val="TOC2"/>
            <w:tabs>
              <w:tab w:val="left" w:pos="1320"/>
            </w:tabs>
            <w:rPr>
              <w:rFonts w:asciiTheme="minorHAnsi" w:eastAsiaTheme="minorEastAsia" w:hAnsiTheme="minorHAnsi" w:cstheme="minorBidi"/>
              <w:b w:val="0"/>
              <w:noProof/>
              <w:sz w:val="22"/>
              <w:lang w:eastAsia="en-AU"/>
            </w:rPr>
          </w:pPr>
          <w:hyperlink w:anchor="_Toc374966991" w:history="1">
            <w:r w:rsidR="008A7610" w:rsidRPr="00A23DAF">
              <w:rPr>
                <w:rStyle w:val="Hyperlink"/>
                <w:noProof/>
              </w:rPr>
              <w:t>11.</w:t>
            </w:r>
            <w:r w:rsidR="008A7610">
              <w:rPr>
                <w:rFonts w:asciiTheme="minorHAnsi" w:eastAsiaTheme="minorEastAsia" w:hAnsiTheme="minorHAnsi" w:cstheme="minorBidi"/>
                <w:b w:val="0"/>
                <w:noProof/>
                <w:sz w:val="22"/>
                <w:lang w:eastAsia="en-AU"/>
              </w:rPr>
              <w:tab/>
            </w:r>
            <w:r w:rsidR="008A7610" w:rsidRPr="00A23DAF">
              <w:rPr>
                <w:rStyle w:val="Hyperlink"/>
                <w:noProof/>
              </w:rPr>
              <w:t>Second round benefit-risk assessment</w:t>
            </w:r>
            <w:r w:rsidR="008A7610">
              <w:rPr>
                <w:noProof/>
                <w:webHidden/>
              </w:rPr>
              <w:tab/>
            </w:r>
            <w:r>
              <w:rPr>
                <w:noProof/>
                <w:webHidden/>
              </w:rPr>
              <w:fldChar w:fldCharType="begin"/>
            </w:r>
            <w:r w:rsidR="008A7610">
              <w:rPr>
                <w:noProof/>
                <w:webHidden/>
              </w:rPr>
              <w:instrText xml:space="preserve"> PAGEREF _Toc374966991 \h </w:instrText>
            </w:r>
            <w:r>
              <w:rPr>
                <w:noProof/>
                <w:webHidden/>
              </w:rPr>
            </w:r>
            <w:r>
              <w:rPr>
                <w:noProof/>
                <w:webHidden/>
              </w:rPr>
              <w:fldChar w:fldCharType="separate"/>
            </w:r>
            <w:r w:rsidR="008A7610">
              <w:rPr>
                <w:noProof/>
                <w:webHidden/>
              </w:rPr>
              <w:t>67</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92" w:history="1">
            <w:r w:rsidR="008A7610" w:rsidRPr="00A23DAF">
              <w:rPr>
                <w:rStyle w:val="Hyperlink"/>
                <w:noProof/>
              </w:rPr>
              <w:t>11.1.</w:t>
            </w:r>
            <w:r w:rsidR="008A7610">
              <w:rPr>
                <w:rFonts w:asciiTheme="minorHAnsi" w:eastAsiaTheme="minorEastAsia" w:hAnsiTheme="minorHAnsi" w:cstheme="minorBidi"/>
                <w:noProof/>
                <w:lang w:eastAsia="en-AU"/>
              </w:rPr>
              <w:tab/>
            </w:r>
            <w:r w:rsidR="008A7610" w:rsidRPr="00A23DAF">
              <w:rPr>
                <w:rStyle w:val="Hyperlink"/>
                <w:noProof/>
              </w:rPr>
              <w:t>Second round assessment of benefits</w:t>
            </w:r>
            <w:r w:rsidR="008A7610">
              <w:rPr>
                <w:noProof/>
                <w:webHidden/>
              </w:rPr>
              <w:tab/>
            </w:r>
            <w:r>
              <w:rPr>
                <w:noProof/>
                <w:webHidden/>
              </w:rPr>
              <w:fldChar w:fldCharType="begin"/>
            </w:r>
            <w:r w:rsidR="008A7610">
              <w:rPr>
                <w:noProof/>
                <w:webHidden/>
              </w:rPr>
              <w:instrText xml:space="preserve"> PAGEREF _Toc374966992 \h </w:instrText>
            </w:r>
            <w:r>
              <w:rPr>
                <w:noProof/>
                <w:webHidden/>
              </w:rPr>
            </w:r>
            <w:r>
              <w:rPr>
                <w:noProof/>
                <w:webHidden/>
              </w:rPr>
              <w:fldChar w:fldCharType="separate"/>
            </w:r>
            <w:r w:rsidR="008A7610">
              <w:rPr>
                <w:noProof/>
                <w:webHidden/>
              </w:rPr>
              <w:t>67</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93" w:history="1">
            <w:r w:rsidR="008A7610" w:rsidRPr="00A23DAF">
              <w:rPr>
                <w:rStyle w:val="Hyperlink"/>
                <w:noProof/>
              </w:rPr>
              <w:t>11.2.</w:t>
            </w:r>
            <w:r w:rsidR="008A7610">
              <w:rPr>
                <w:rFonts w:asciiTheme="minorHAnsi" w:eastAsiaTheme="minorEastAsia" w:hAnsiTheme="minorHAnsi" w:cstheme="minorBidi"/>
                <w:noProof/>
                <w:lang w:eastAsia="en-AU"/>
              </w:rPr>
              <w:tab/>
            </w:r>
            <w:r w:rsidR="008A7610" w:rsidRPr="00A23DAF">
              <w:rPr>
                <w:rStyle w:val="Hyperlink"/>
                <w:noProof/>
              </w:rPr>
              <w:t>Second round assessment of risks</w:t>
            </w:r>
            <w:r w:rsidR="008A7610">
              <w:rPr>
                <w:noProof/>
                <w:webHidden/>
              </w:rPr>
              <w:tab/>
            </w:r>
            <w:r>
              <w:rPr>
                <w:noProof/>
                <w:webHidden/>
              </w:rPr>
              <w:fldChar w:fldCharType="begin"/>
            </w:r>
            <w:r w:rsidR="008A7610">
              <w:rPr>
                <w:noProof/>
                <w:webHidden/>
              </w:rPr>
              <w:instrText xml:space="preserve"> PAGEREF _Toc374966993 \h </w:instrText>
            </w:r>
            <w:r>
              <w:rPr>
                <w:noProof/>
                <w:webHidden/>
              </w:rPr>
            </w:r>
            <w:r>
              <w:rPr>
                <w:noProof/>
                <w:webHidden/>
              </w:rPr>
              <w:fldChar w:fldCharType="separate"/>
            </w:r>
            <w:r w:rsidR="008A7610">
              <w:rPr>
                <w:noProof/>
                <w:webHidden/>
              </w:rPr>
              <w:t>67</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94" w:history="1">
            <w:r w:rsidR="008A7610" w:rsidRPr="00A23DAF">
              <w:rPr>
                <w:rStyle w:val="Hyperlink"/>
                <w:noProof/>
              </w:rPr>
              <w:t>11.3.</w:t>
            </w:r>
            <w:r w:rsidR="008A7610">
              <w:rPr>
                <w:rFonts w:asciiTheme="minorHAnsi" w:eastAsiaTheme="minorEastAsia" w:hAnsiTheme="minorHAnsi" w:cstheme="minorBidi"/>
                <w:noProof/>
                <w:lang w:eastAsia="en-AU"/>
              </w:rPr>
              <w:tab/>
            </w:r>
            <w:r w:rsidR="008A7610" w:rsidRPr="00A23DAF">
              <w:rPr>
                <w:rStyle w:val="Hyperlink"/>
                <w:noProof/>
              </w:rPr>
              <w:t>Second round assessment of benefit-risk balance</w:t>
            </w:r>
            <w:r w:rsidR="008A7610">
              <w:rPr>
                <w:noProof/>
                <w:webHidden/>
              </w:rPr>
              <w:tab/>
            </w:r>
            <w:r>
              <w:rPr>
                <w:noProof/>
                <w:webHidden/>
              </w:rPr>
              <w:fldChar w:fldCharType="begin"/>
            </w:r>
            <w:r w:rsidR="008A7610">
              <w:rPr>
                <w:noProof/>
                <w:webHidden/>
              </w:rPr>
              <w:instrText xml:space="preserve"> PAGEREF _Toc374966994 \h </w:instrText>
            </w:r>
            <w:r>
              <w:rPr>
                <w:noProof/>
                <w:webHidden/>
              </w:rPr>
            </w:r>
            <w:r>
              <w:rPr>
                <w:noProof/>
                <w:webHidden/>
              </w:rPr>
              <w:fldChar w:fldCharType="separate"/>
            </w:r>
            <w:r w:rsidR="008A7610">
              <w:rPr>
                <w:noProof/>
                <w:webHidden/>
              </w:rPr>
              <w:t>67</w:t>
            </w:r>
            <w:r>
              <w:rPr>
                <w:noProof/>
                <w:webHidden/>
              </w:rPr>
              <w:fldChar w:fldCharType="end"/>
            </w:r>
          </w:hyperlink>
        </w:p>
        <w:p w:rsidR="008A7610" w:rsidRDefault="00B938C6">
          <w:pPr>
            <w:pStyle w:val="TOC3"/>
            <w:tabs>
              <w:tab w:val="left" w:pos="1760"/>
            </w:tabs>
            <w:rPr>
              <w:rFonts w:asciiTheme="minorHAnsi" w:eastAsiaTheme="minorEastAsia" w:hAnsiTheme="minorHAnsi" w:cstheme="minorBidi"/>
              <w:noProof/>
              <w:lang w:eastAsia="en-AU"/>
            </w:rPr>
          </w:pPr>
          <w:hyperlink w:anchor="_Toc374966995" w:history="1">
            <w:r w:rsidR="008A7610" w:rsidRPr="00A23DAF">
              <w:rPr>
                <w:rStyle w:val="Hyperlink"/>
                <w:noProof/>
              </w:rPr>
              <w:t>11.4.</w:t>
            </w:r>
            <w:r w:rsidR="008A7610">
              <w:rPr>
                <w:rFonts w:asciiTheme="minorHAnsi" w:eastAsiaTheme="minorEastAsia" w:hAnsiTheme="minorHAnsi" w:cstheme="minorBidi"/>
                <w:noProof/>
                <w:lang w:eastAsia="en-AU"/>
              </w:rPr>
              <w:tab/>
            </w:r>
            <w:r w:rsidR="008A7610" w:rsidRPr="00A23DAF">
              <w:rPr>
                <w:rStyle w:val="Hyperlink"/>
                <w:noProof/>
              </w:rPr>
              <w:t>Second round recommendation regarding authorisation</w:t>
            </w:r>
            <w:r w:rsidR="008A7610">
              <w:rPr>
                <w:noProof/>
                <w:webHidden/>
              </w:rPr>
              <w:tab/>
            </w:r>
            <w:r>
              <w:rPr>
                <w:noProof/>
                <w:webHidden/>
              </w:rPr>
              <w:fldChar w:fldCharType="begin"/>
            </w:r>
            <w:r w:rsidR="008A7610">
              <w:rPr>
                <w:noProof/>
                <w:webHidden/>
              </w:rPr>
              <w:instrText xml:space="preserve"> PAGEREF _Toc374966995 \h </w:instrText>
            </w:r>
            <w:r>
              <w:rPr>
                <w:noProof/>
                <w:webHidden/>
              </w:rPr>
            </w:r>
            <w:r>
              <w:rPr>
                <w:noProof/>
                <w:webHidden/>
              </w:rPr>
              <w:fldChar w:fldCharType="separate"/>
            </w:r>
            <w:r w:rsidR="008A7610">
              <w:rPr>
                <w:noProof/>
                <w:webHidden/>
              </w:rPr>
              <w:t>68</w:t>
            </w:r>
            <w:r>
              <w:rPr>
                <w:noProof/>
                <w:webHidden/>
              </w:rPr>
              <w:fldChar w:fldCharType="end"/>
            </w:r>
          </w:hyperlink>
        </w:p>
        <w:p w:rsidR="008A7610" w:rsidRDefault="00B938C6">
          <w:pPr>
            <w:pStyle w:val="TOC2"/>
            <w:tabs>
              <w:tab w:val="left" w:pos="1320"/>
            </w:tabs>
            <w:rPr>
              <w:rFonts w:asciiTheme="minorHAnsi" w:eastAsiaTheme="minorEastAsia" w:hAnsiTheme="minorHAnsi" w:cstheme="minorBidi"/>
              <w:b w:val="0"/>
              <w:noProof/>
              <w:sz w:val="22"/>
              <w:lang w:eastAsia="en-AU"/>
            </w:rPr>
          </w:pPr>
          <w:hyperlink w:anchor="_Toc374966996" w:history="1">
            <w:r w:rsidR="008A7610" w:rsidRPr="00A23DAF">
              <w:rPr>
                <w:rStyle w:val="Hyperlink"/>
                <w:noProof/>
              </w:rPr>
              <w:t>12.</w:t>
            </w:r>
            <w:r w:rsidR="008A7610">
              <w:rPr>
                <w:rFonts w:asciiTheme="minorHAnsi" w:eastAsiaTheme="minorEastAsia" w:hAnsiTheme="minorHAnsi" w:cstheme="minorBidi"/>
                <w:b w:val="0"/>
                <w:noProof/>
                <w:sz w:val="22"/>
                <w:lang w:eastAsia="en-AU"/>
              </w:rPr>
              <w:tab/>
            </w:r>
            <w:r w:rsidR="008A7610" w:rsidRPr="00A23DAF">
              <w:rPr>
                <w:rStyle w:val="Hyperlink"/>
                <w:noProof/>
              </w:rPr>
              <w:t>References</w:t>
            </w:r>
            <w:r w:rsidR="008A7610">
              <w:rPr>
                <w:noProof/>
                <w:webHidden/>
              </w:rPr>
              <w:tab/>
            </w:r>
            <w:r>
              <w:rPr>
                <w:noProof/>
                <w:webHidden/>
              </w:rPr>
              <w:fldChar w:fldCharType="begin"/>
            </w:r>
            <w:r w:rsidR="008A7610">
              <w:rPr>
                <w:noProof/>
                <w:webHidden/>
              </w:rPr>
              <w:instrText xml:space="preserve"> PAGEREF _Toc374966996 \h </w:instrText>
            </w:r>
            <w:r>
              <w:rPr>
                <w:noProof/>
                <w:webHidden/>
              </w:rPr>
            </w:r>
            <w:r>
              <w:rPr>
                <w:noProof/>
                <w:webHidden/>
              </w:rPr>
              <w:fldChar w:fldCharType="separate"/>
            </w:r>
            <w:r w:rsidR="008A7610">
              <w:rPr>
                <w:noProof/>
                <w:webHidden/>
              </w:rPr>
              <w:t>68</w:t>
            </w:r>
            <w:r>
              <w:rPr>
                <w:noProof/>
                <w:webHidden/>
              </w:rPr>
              <w:fldChar w:fldCharType="end"/>
            </w:r>
          </w:hyperlink>
        </w:p>
        <w:p w:rsidR="003A7F6C" w:rsidRPr="00B811C6" w:rsidRDefault="00B938C6" w:rsidP="00B811C6">
          <w:pPr>
            <w:pStyle w:val="TOC2"/>
          </w:pPr>
          <w:r>
            <w:fldChar w:fldCharType="end"/>
          </w:r>
        </w:p>
      </w:sdtContent>
    </w:sdt>
    <w:bookmarkStart w:id="2" w:name="_Toc314842482" w:displacedByCustomXml="prev"/>
    <w:p w:rsidR="00586F98" w:rsidRDefault="00586F98" w:rsidP="00E613FE">
      <w:pPr>
        <w:pStyle w:val="Heading2"/>
        <w:numPr>
          <w:ilvl w:val="0"/>
          <w:numId w:val="0"/>
        </w:numPr>
        <w:ind w:left="567" w:hanging="567"/>
      </w:pPr>
      <w:bookmarkStart w:id="3" w:name="_Toc351716269"/>
      <w:bookmarkStart w:id="4" w:name="_Toc351718881"/>
      <w:bookmarkStart w:id="5" w:name="_Toc355338616"/>
      <w:bookmarkStart w:id="6" w:name="_Toc374966950"/>
      <w:r>
        <w:t>List of abbreviations</w:t>
      </w:r>
      <w:bookmarkEnd w:id="3"/>
      <w:bookmarkEnd w:id="4"/>
      <w:bookmarkEnd w:id="5"/>
      <w:bookmarkEnd w:id="6"/>
    </w:p>
    <w:tbl>
      <w:tblPr>
        <w:tblStyle w:val="TableTGAblue"/>
        <w:tblW w:w="0" w:type="auto"/>
        <w:tblLook w:val="04A0"/>
      </w:tblPr>
      <w:tblGrid>
        <w:gridCol w:w="3936"/>
        <w:gridCol w:w="4865"/>
      </w:tblGrid>
      <w:tr w:rsidR="00586F98" w:rsidTr="00805EE0">
        <w:trPr>
          <w:cnfStyle w:val="100000000000"/>
          <w:tblHeader/>
        </w:trPr>
        <w:tc>
          <w:tcPr>
            <w:cnfStyle w:val="001000000000"/>
            <w:tcW w:w="3936" w:type="dxa"/>
          </w:tcPr>
          <w:p w:rsidR="00586F98" w:rsidRDefault="00586F98" w:rsidP="00E613FE">
            <w:r>
              <w:t>Abbreviation</w:t>
            </w:r>
          </w:p>
        </w:tc>
        <w:tc>
          <w:tcPr>
            <w:tcW w:w="4865" w:type="dxa"/>
          </w:tcPr>
          <w:p w:rsidR="00586F98" w:rsidRDefault="00586F98" w:rsidP="00E613FE">
            <w:pPr>
              <w:cnfStyle w:val="100000000000"/>
            </w:pPr>
            <w:r>
              <w:t>Meaning</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AA4500 </w:t>
            </w:r>
          </w:p>
        </w:tc>
        <w:tc>
          <w:tcPr>
            <w:tcW w:w="4865" w:type="dxa"/>
          </w:tcPr>
          <w:p w:rsidR="00F66D19" w:rsidRPr="00F45DEC" w:rsidRDefault="00F66D19" w:rsidP="00E613FE">
            <w:pPr>
              <w:cnfStyle w:val="000000000000"/>
              <w:rPr>
                <w:sz w:val="20"/>
                <w:szCs w:val="20"/>
              </w:rPr>
            </w:pPr>
            <w:proofErr w:type="spellStart"/>
            <w:r w:rsidRPr="00F45DEC">
              <w:rPr>
                <w:sz w:val="20"/>
                <w:szCs w:val="20"/>
              </w:rPr>
              <w:t>Collagenase</w:t>
            </w:r>
            <w:proofErr w:type="spellEnd"/>
            <w:r w:rsidRPr="00F45DEC">
              <w:rPr>
                <w:sz w:val="20"/>
                <w:szCs w:val="20"/>
              </w:rPr>
              <w:t xml:space="preserve"> clostridium </w:t>
            </w:r>
            <w:proofErr w:type="spellStart"/>
            <w:r w:rsidRPr="00F45DEC">
              <w:rPr>
                <w:sz w:val="20"/>
                <w:szCs w:val="20"/>
              </w:rPr>
              <w:t>histolyticum</w:t>
            </w:r>
            <w:proofErr w:type="spellEnd"/>
            <w:r w:rsidRPr="00F45DEC">
              <w:rPr>
                <w:sz w:val="20"/>
                <w:szCs w:val="20"/>
              </w:rPr>
              <w:t xml:space="preserv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ADA </w:t>
            </w:r>
          </w:p>
        </w:tc>
        <w:tc>
          <w:tcPr>
            <w:tcW w:w="4865" w:type="dxa"/>
          </w:tcPr>
          <w:p w:rsidR="00F66D19" w:rsidRPr="00F45DEC" w:rsidRDefault="00F66D19" w:rsidP="00E613FE">
            <w:pPr>
              <w:cnfStyle w:val="000000000000"/>
              <w:rPr>
                <w:sz w:val="20"/>
                <w:szCs w:val="20"/>
              </w:rPr>
            </w:pPr>
            <w:r w:rsidRPr="00F45DEC">
              <w:rPr>
                <w:sz w:val="20"/>
                <w:szCs w:val="20"/>
              </w:rPr>
              <w:t xml:space="preserve">Anti-drug antibody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AE </w:t>
            </w:r>
          </w:p>
        </w:tc>
        <w:tc>
          <w:tcPr>
            <w:tcW w:w="4865" w:type="dxa"/>
          </w:tcPr>
          <w:p w:rsidR="00F66D19" w:rsidRPr="00F45DEC" w:rsidRDefault="00F66D19" w:rsidP="00E613FE">
            <w:pPr>
              <w:cnfStyle w:val="000000000000"/>
              <w:rPr>
                <w:sz w:val="20"/>
                <w:szCs w:val="20"/>
              </w:rPr>
            </w:pPr>
            <w:r w:rsidRPr="00F45DEC">
              <w:rPr>
                <w:sz w:val="20"/>
                <w:szCs w:val="20"/>
              </w:rPr>
              <w:t xml:space="preserve">Adverse event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ALT </w:t>
            </w:r>
          </w:p>
        </w:tc>
        <w:tc>
          <w:tcPr>
            <w:tcW w:w="4865" w:type="dxa"/>
          </w:tcPr>
          <w:p w:rsidR="00F66D19" w:rsidRPr="00F45DEC" w:rsidRDefault="00F66D19" w:rsidP="00E613FE">
            <w:pPr>
              <w:cnfStyle w:val="000000000000"/>
              <w:rPr>
                <w:sz w:val="20"/>
                <w:szCs w:val="20"/>
              </w:rPr>
            </w:pPr>
            <w:r w:rsidRPr="00F45DEC">
              <w:rPr>
                <w:sz w:val="20"/>
                <w:szCs w:val="20"/>
              </w:rPr>
              <w:t>Alanine aminotransferase</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AST </w:t>
            </w:r>
          </w:p>
        </w:tc>
        <w:tc>
          <w:tcPr>
            <w:tcW w:w="4865" w:type="dxa"/>
          </w:tcPr>
          <w:p w:rsidR="00F66D19" w:rsidRPr="00F45DEC" w:rsidRDefault="00F66D19" w:rsidP="00E613FE">
            <w:pPr>
              <w:cnfStyle w:val="000000000000"/>
              <w:rPr>
                <w:sz w:val="20"/>
                <w:szCs w:val="20"/>
              </w:rPr>
            </w:pPr>
            <w:r w:rsidRPr="00F45DEC">
              <w:rPr>
                <w:sz w:val="20"/>
                <w:szCs w:val="20"/>
              </w:rPr>
              <w:t>Aspartate aminotransferase</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AUX-I </w:t>
            </w:r>
          </w:p>
        </w:tc>
        <w:tc>
          <w:tcPr>
            <w:tcW w:w="4865" w:type="dxa"/>
          </w:tcPr>
          <w:p w:rsidR="00F66D19" w:rsidRPr="00F45DEC" w:rsidRDefault="00F66D19" w:rsidP="00E613FE">
            <w:pPr>
              <w:cnfStyle w:val="000000000000"/>
              <w:rPr>
                <w:sz w:val="20"/>
                <w:szCs w:val="20"/>
              </w:rPr>
            </w:pPr>
            <w:proofErr w:type="spellStart"/>
            <w:r w:rsidRPr="00F45DEC">
              <w:rPr>
                <w:sz w:val="20"/>
                <w:szCs w:val="20"/>
              </w:rPr>
              <w:t>Clostridial</w:t>
            </w:r>
            <w:proofErr w:type="spellEnd"/>
            <w:r w:rsidRPr="00F45DEC">
              <w:rPr>
                <w:sz w:val="20"/>
                <w:szCs w:val="20"/>
              </w:rPr>
              <w:t xml:space="preserve"> type I </w:t>
            </w:r>
            <w:proofErr w:type="spellStart"/>
            <w:r w:rsidRPr="00F45DEC">
              <w:rPr>
                <w:sz w:val="20"/>
                <w:szCs w:val="20"/>
              </w:rPr>
              <w:t>collagenase</w:t>
            </w:r>
            <w:proofErr w:type="spellEnd"/>
            <w:r w:rsidRPr="00F45DEC">
              <w:rPr>
                <w:sz w:val="20"/>
                <w:szCs w:val="20"/>
              </w:rPr>
              <w:t xml:space="preserv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AUX-II </w:t>
            </w:r>
          </w:p>
        </w:tc>
        <w:tc>
          <w:tcPr>
            <w:tcW w:w="4865" w:type="dxa"/>
          </w:tcPr>
          <w:p w:rsidR="00F66D19" w:rsidRPr="00F45DEC" w:rsidRDefault="00F66D19" w:rsidP="00E613FE">
            <w:pPr>
              <w:cnfStyle w:val="000000000000"/>
              <w:rPr>
                <w:sz w:val="20"/>
                <w:szCs w:val="20"/>
              </w:rPr>
            </w:pPr>
            <w:proofErr w:type="spellStart"/>
            <w:r w:rsidRPr="00F45DEC">
              <w:rPr>
                <w:sz w:val="20"/>
                <w:szCs w:val="20"/>
              </w:rPr>
              <w:t>Clostridial</w:t>
            </w:r>
            <w:proofErr w:type="spellEnd"/>
            <w:r w:rsidRPr="00F45DEC">
              <w:rPr>
                <w:sz w:val="20"/>
                <w:szCs w:val="20"/>
              </w:rPr>
              <w:t xml:space="preserve"> type II </w:t>
            </w:r>
            <w:proofErr w:type="spellStart"/>
            <w:r w:rsidRPr="00F45DEC">
              <w:rPr>
                <w:sz w:val="20"/>
                <w:szCs w:val="20"/>
              </w:rPr>
              <w:t>collagenase</w:t>
            </w:r>
            <w:proofErr w:type="spellEnd"/>
            <w:r w:rsidRPr="00F45DEC">
              <w:rPr>
                <w:sz w:val="20"/>
                <w:szCs w:val="20"/>
              </w:rPr>
              <w:t xml:space="preserv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BMI </w:t>
            </w:r>
          </w:p>
        </w:tc>
        <w:tc>
          <w:tcPr>
            <w:tcW w:w="4865" w:type="dxa"/>
          </w:tcPr>
          <w:p w:rsidR="00F66D19" w:rsidRPr="00F45DEC" w:rsidRDefault="00F66D19" w:rsidP="00E613FE">
            <w:pPr>
              <w:cnfStyle w:val="000000000000"/>
              <w:rPr>
                <w:sz w:val="20"/>
                <w:szCs w:val="20"/>
              </w:rPr>
            </w:pPr>
            <w:r w:rsidRPr="00F45DEC">
              <w:rPr>
                <w:sz w:val="20"/>
                <w:szCs w:val="20"/>
              </w:rPr>
              <w:t xml:space="preserve">Body mass index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BTC </w:t>
            </w:r>
          </w:p>
        </w:tc>
        <w:tc>
          <w:tcPr>
            <w:tcW w:w="4865" w:type="dxa"/>
          </w:tcPr>
          <w:p w:rsidR="00F66D19" w:rsidRPr="00F45DEC" w:rsidRDefault="00F66D19" w:rsidP="00E613FE">
            <w:pPr>
              <w:cnfStyle w:val="000000000000"/>
              <w:rPr>
                <w:sz w:val="20"/>
                <w:szCs w:val="20"/>
              </w:rPr>
            </w:pPr>
            <w:proofErr w:type="spellStart"/>
            <w:r w:rsidRPr="00F45DEC">
              <w:rPr>
                <w:sz w:val="20"/>
                <w:szCs w:val="20"/>
              </w:rPr>
              <w:t>Biospecifics</w:t>
            </w:r>
            <w:proofErr w:type="spellEnd"/>
            <w:r w:rsidRPr="00F45DEC">
              <w:rPr>
                <w:sz w:val="20"/>
                <w:szCs w:val="20"/>
              </w:rPr>
              <w:t xml:space="preserve"> Technology Corporation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BUN</w:t>
            </w:r>
          </w:p>
        </w:tc>
        <w:tc>
          <w:tcPr>
            <w:tcW w:w="4865" w:type="dxa"/>
          </w:tcPr>
          <w:p w:rsidR="00F66D19" w:rsidRPr="00F45DEC" w:rsidRDefault="00F66D19" w:rsidP="00E613FE">
            <w:pPr>
              <w:cnfStyle w:val="000000000000"/>
              <w:rPr>
                <w:sz w:val="20"/>
                <w:szCs w:val="20"/>
              </w:rPr>
            </w:pPr>
            <w:r w:rsidRPr="00F45DEC">
              <w:rPr>
                <w:sz w:val="20"/>
                <w:szCs w:val="20"/>
              </w:rPr>
              <w:t>Blood urea nitrogen</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CHMP </w:t>
            </w:r>
          </w:p>
        </w:tc>
        <w:tc>
          <w:tcPr>
            <w:tcW w:w="4865" w:type="dxa"/>
          </w:tcPr>
          <w:p w:rsidR="00F66D19" w:rsidRPr="00F45DEC" w:rsidRDefault="00F66D19" w:rsidP="00E613FE">
            <w:pPr>
              <w:cnfStyle w:val="000000000000"/>
              <w:rPr>
                <w:sz w:val="20"/>
                <w:szCs w:val="20"/>
              </w:rPr>
            </w:pPr>
            <w:r w:rsidRPr="00F45DEC">
              <w:rPr>
                <w:sz w:val="20"/>
                <w:szCs w:val="20"/>
              </w:rPr>
              <w:t xml:space="preserve">Committee for Medicinal Products for Human Use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CSR </w:t>
            </w:r>
          </w:p>
        </w:tc>
        <w:tc>
          <w:tcPr>
            <w:tcW w:w="4865" w:type="dxa"/>
          </w:tcPr>
          <w:p w:rsidR="00F66D19" w:rsidRPr="00F45DEC" w:rsidRDefault="00F66D19" w:rsidP="00E613FE">
            <w:pPr>
              <w:cnfStyle w:val="000000000000"/>
              <w:rPr>
                <w:sz w:val="20"/>
                <w:szCs w:val="20"/>
              </w:rPr>
            </w:pPr>
            <w:r w:rsidRPr="00F45DEC">
              <w:rPr>
                <w:sz w:val="20"/>
                <w:szCs w:val="20"/>
              </w:rPr>
              <w:t xml:space="preserve">Clinical study report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CRF </w:t>
            </w:r>
          </w:p>
        </w:tc>
        <w:tc>
          <w:tcPr>
            <w:tcW w:w="4865" w:type="dxa"/>
          </w:tcPr>
          <w:p w:rsidR="00F66D19" w:rsidRPr="00F45DEC" w:rsidRDefault="00F66D19" w:rsidP="00E613FE">
            <w:pPr>
              <w:cnfStyle w:val="000000000000"/>
              <w:rPr>
                <w:sz w:val="20"/>
                <w:szCs w:val="20"/>
              </w:rPr>
            </w:pPr>
            <w:r w:rsidRPr="00F45DEC">
              <w:rPr>
                <w:sz w:val="20"/>
                <w:szCs w:val="20"/>
              </w:rPr>
              <w:t>Case report form</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lastRenderedPageBreak/>
              <w:t>DB PC</w:t>
            </w:r>
          </w:p>
        </w:tc>
        <w:tc>
          <w:tcPr>
            <w:tcW w:w="4865" w:type="dxa"/>
          </w:tcPr>
          <w:p w:rsidR="00F66D19" w:rsidRPr="00F45DEC" w:rsidRDefault="00F66D19" w:rsidP="00E613FE">
            <w:pPr>
              <w:cnfStyle w:val="000000000000"/>
              <w:rPr>
                <w:sz w:val="20"/>
                <w:szCs w:val="20"/>
              </w:rPr>
            </w:pPr>
            <w:r w:rsidRPr="00F45DEC">
              <w:rPr>
                <w:sz w:val="20"/>
                <w:szCs w:val="20"/>
              </w:rPr>
              <w:t>Double-blind placebo-controlled</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ECG</w:t>
            </w:r>
          </w:p>
        </w:tc>
        <w:tc>
          <w:tcPr>
            <w:tcW w:w="4865" w:type="dxa"/>
          </w:tcPr>
          <w:p w:rsidR="00F66D19" w:rsidRPr="00F45DEC" w:rsidRDefault="00F66D19" w:rsidP="00E613FE">
            <w:pPr>
              <w:cnfStyle w:val="000000000000"/>
              <w:rPr>
                <w:sz w:val="20"/>
                <w:szCs w:val="20"/>
              </w:rPr>
            </w:pPr>
            <w:r w:rsidRPr="00F45DEC">
              <w:rPr>
                <w:sz w:val="20"/>
                <w:szCs w:val="20"/>
              </w:rPr>
              <w:t>Electrocardiogram</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ELISA</w:t>
            </w:r>
          </w:p>
        </w:tc>
        <w:tc>
          <w:tcPr>
            <w:tcW w:w="4865" w:type="dxa"/>
          </w:tcPr>
          <w:p w:rsidR="00F66D19" w:rsidRPr="00F45DEC" w:rsidRDefault="00F66D19" w:rsidP="00E613FE">
            <w:pPr>
              <w:cnfStyle w:val="000000000000"/>
              <w:rPr>
                <w:sz w:val="20"/>
                <w:szCs w:val="20"/>
              </w:rPr>
            </w:pPr>
            <w:r w:rsidRPr="00F45DEC">
              <w:rPr>
                <w:sz w:val="20"/>
                <w:szCs w:val="20"/>
              </w:rPr>
              <w:t>Enzyme-linked immunosorbent assay</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EU </w:t>
            </w:r>
          </w:p>
        </w:tc>
        <w:tc>
          <w:tcPr>
            <w:tcW w:w="4865" w:type="dxa"/>
          </w:tcPr>
          <w:p w:rsidR="00F66D19" w:rsidRPr="00F45DEC" w:rsidRDefault="00F66D19" w:rsidP="00E613FE">
            <w:pPr>
              <w:cnfStyle w:val="000000000000"/>
              <w:rPr>
                <w:sz w:val="20"/>
                <w:szCs w:val="20"/>
              </w:rPr>
            </w:pPr>
            <w:r w:rsidRPr="00F45DEC">
              <w:rPr>
                <w:sz w:val="20"/>
                <w:szCs w:val="20"/>
              </w:rPr>
              <w:t xml:space="preserve">European union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Fixed-flexion deformity/</w:t>
            </w:r>
            <w:r w:rsidR="00516476" w:rsidRPr="00F45DEC">
              <w:rPr>
                <w:sz w:val="20"/>
                <w:szCs w:val="20"/>
              </w:rPr>
              <w:t xml:space="preserve"> </w:t>
            </w:r>
            <w:r w:rsidRPr="00F45DEC">
              <w:rPr>
                <w:sz w:val="20"/>
                <w:szCs w:val="20"/>
              </w:rPr>
              <w:t>contracture (degree of flexion)</w:t>
            </w:r>
          </w:p>
        </w:tc>
        <w:tc>
          <w:tcPr>
            <w:tcW w:w="4865" w:type="dxa"/>
          </w:tcPr>
          <w:p w:rsidR="00F66D19" w:rsidRPr="00F45DEC" w:rsidRDefault="00F66D19" w:rsidP="00E613FE">
            <w:pPr>
              <w:cnfStyle w:val="000000000000"/>
              <w:rPr>
                <w:sz w:val="20"/>
                <w:szCs w:val="20"/>
              </w:rPr>
            </w:pPr>
            <w:r w:rsidRPr="00F45DEC">
              <w:rPr>
                <w:sz w:val="20"/>
                <w:szCs w:val="20"/>
              </w:rPr>
              <w:t>The angle of the joint when the finger is passively extended (</w:t>
            </w:r>
            <w:r w:rsidR="00D85469" w:rsidRPr="00F45DEC">
              <w:rPr>
                <w:sz w:val="20"/>
                <w:szCs w:val="20"/>
              </w:rPr>
              <w:t>that is,</w:t>
            </w:r>
            <w:r w:rsidRPr="00F45DEC">
              <w:rPr>
                <w:sz w:val="20"/>
                <w:szCs w:val="20"/>
              </w:rPr>
              <w:t xml:space="preserve"> straightened) as far as possible toward the neutral position of zero degrees (</w:t>
            </w:r>
            <w:r w:rsidR="00D85469" w:rsidRPr="00F45DEC">
              <w:rPr>
                <w:sz w:val="20"/>
                <w:szCs w:val="20"/>
              </w:rPr>
              <w:t>that is,</w:t>
            </w:r>
            <w:r w:rsidRPr="00F45DEC">
              <w:rPr>
                <w:sz w:val="20"/>
                <w:szCs w:val="20"/>
              </w:rPr>
              <w:t xml:space="preserve"> full extension or normal extension)</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Full extension angle (extended) as far as possible toward the neutral position of joint</w:t>
            </w:r>
          </w:p>
        </w:tc>
        <w:tc>
          <w:tcPr>
            <w:tcW w:w="4865" w:type="dxa"/>
          </w:tcPr>
          <w:p w:rsidR="00F66D19" w:rsidRPr="00F45DEC" w:rsidRDefault="00F66D19" w:rsidP="00E613FE">
            <w:pPr>
              <w:cnfStyle w:val="000000000000"/>
              <w:rPr>
                <w:sz w:val="20"/>
                <w:szCs w:val="20"/>
              </w:rPr>
            </w:pPr>
            <w:r w:rsidRPr="00F45DEC">
              <w:rPr>
                <w:sz w:val="20"/>
                <w:szCs w:val="20"/>
              </w:rPr>
              <w:t>The angle of a joint when the finger is straightened zero degrees (expressed in degrees)</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Full flexion angle as close to the palm as possible (expressed in degrees)</w:t>
            </w:r>
          </w:p>
        </w:tc>
        <w:tc>
          <w:tcPr>
            <w:tcW w:w="4865" w:type="dxa"/>
          </w:tcPr>
          <w:p w:rsidR="00F66D19" w:rsidRPr="00F45DEC" w:rsidRDefault="00F66D19" w:rsidP="00E613FE">
            <w:pPr>
              <w:cnfStyle w:val="000000000000"/>
              <w:rPr>
                <w:sz w:val="20"/>
                <w:szCs w:val="20"/>
              </w:rPr>
            </w:pPr>
            <w:r w:rsidRPr="00F45DEC">
              <w:rPr>
                <w:sz w:val="20"/>
                <w:szCs w:val="20"/>
              </w:rPr>
              <w:t xml:space="preserve">The maximum angle of a joint when the finger is bent (flexed)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GCP </w:t>
            </w:r>
          </w:p>
        </w:tc>
        <w:tc>
          <w:tcPr>
            <w:tcW w:w="4865" w:type="dxa"/>
          </w:tcPr>
          <w:p w:rsidR="00F66D19" w:rsidRPr="00F45DEC" w:rsidRDefault="00F66D19" w:rsidP="00E613FE">
            <w:pPr>
              <w:cnfStyle w:val="000000000000"/>
              <w:rPr>
                <w:sz w:val="20"/>
                <w:szCs w:val="20"/>
              </w:rPr>
            </w:pPr>
            <w:r w:rsidRPr="00F45DEC">
              <w:rPr>
                <w:sz w:val="20"/>
                <w:szCs w:val="20"/>
              </w:rPr>
              <w:t xml:space="preserve">Good clinical practice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ICH </w:t>
            </w:r>
          </w:p>
        </w:tc>
        <w:tc>
          <w:tcPr>
            <w:tcW w:w="4865" w:type="dxa"/>
          </w:tcPr>
          <w:p w:rsidR="00F66D19" w:rsidRPr="00F45DEC" w:rsidRDefault="00F66D19" w:rsidP="00E613FE">
            <w:pPr>
              <w:cnfStyle w:val="000000000000"/>
              <w:rPr>
                <w:sz w:val="20"/>
                <w:szCs w:val="20"/>
              </w:rPr>
            </w:pPr>
            <w:r w:rsidRPr="00F45DEC">
              <w:rPr>
                <w:sz w:val="20"/>
                <w:szCs w:val="20"/>
              </w:rPr>
              <w:t>International Conference on Harmonization</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IEC </w:t>
            </w:r>
          </w:p>
        </w:tc>
        <w:tc>
          <w:tcPr>
            <w:tcW w:w="4865" w:type="dxa"/>
          </w:tcPr>
          <w:p w:rsidR="00F66D19" w:rsidRPr="00F45DEC" w:rsidRDefault="00F66D19" w:rsidP="00E613FE">
            <w:pPr>
              <w:cnfStyle w:val="000000000000"/>
              <w:rPr>
                <w:sz w:val="20"/>
                <w:szCs w:val="20"/>
              </w:rPr>
            </w:pPr>
            <w:r w:rsidRPr="00F45DEC">
              <w:rPr>
                <w:sz w:val="20"/>
                <w:szCs w:val="20"/>
              </w:rPr>
              <w:t xml:space="preserve">Independent ethics committee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IRB </w:t>
            </w:r>
          </w:p>
        </w:tc>
        <w:tc>
          <w:tcPr>
            <w:tcW w:w="4865" w:type="dxa"/>
          </w:tcPr>
          <w:p w:rsidR="00F66D19" w:rsidRPr="00F45DEC" w:rsidRDefault="00F66D19" w:rsidP="00E613FE">
            <w:pPr>
              <w:cnfStyle w:val="000000000000"/>
              <w:rPr>
                <w:sz w:val="20"/>
                <w:szCs w:val="20"/>
              </w:rPr>
            </w:pPr>
            <w:r w:rsidRPr="00F45DEC">
              <w:rPr>
                <w:sz w:val="20"/>
                <w:szCs w:val="20"/>
              </w:rPr>
              <w:t xml:space="preserve">Institutional review board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ISE </w:t>
            </w:r>
          </w:p>
        </w:tc>
        <w:tc>
          <w:tcPr>
            <w:tcW w:w="4865" w:type="dxa"/>
          </w:tcPr>
          <w:p w:rsidR="00F66D19" w:rsidRPr="00F45DEC" w:rsidRDefault="00F66D19" w:rsidP="00E613FE">
            <w:pPr>
              <w:cnfStyle w:val="000000000000"/>
              <w:rPr>
                <w:sz w:val="20"/>
                <w:szCs w:val="20"/>
              </w:rPr>
            </w:pPr>
            <w:r w:rsidRPr="00F45DEC">
              <w:rPr>
                <w:sz w:val="20"/>
                <w:szCs w:val="20"/>
              </w:rPr>
              <w:t xml:space="preserve">Integrated Summary of Efficacy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ISI </w:t>
            </w:r>
          </w:p>
        </w:tc>
        <w:tc>
          <w:tcPr>
            <w:tcW w:w="4865" w:type="dxa"/>
          </w:tcPr>
          <w:p w:rsidR="00F66D19" w:rsidRPr="00F45DEC" w:rsidRDefault="00F66D19" w:rsidP="00E613FE">
            <w:pPr>
              <w:cnfStyle w:val="000000000000"/>
              <w:rPr>
                <w:sz w:val="20"/>
                <w:szCs w:val="20"/>
              </w:rPr>
            </w:pPr>
            <w:r w:rsidRPr="00F45DEC">
              <w:rPr>
                <w:sz w:val="20"/>
                <w:szCs w:val="20"/>
              </w:rPr>
              <w:t xml:space="preserve">Integrated Summary of Immunogenicity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ISS </w:t>
            </w:r>
          </w:p>
        </w:tc>
        <w:tc>
          <w:tcPr>
            <w:tcW w:w="4865" w:type="dxa"/>
          </w:tcPr>
          <w:p w:rsidR="00F66D19" w:rsidRPr="00F45DEC" w:rsidRDefault="00F66D19" w:rsidP="00E613FE">
            <w:pPr>
              <w:cnfStyle w:val="000000000000"/>
              <w:rPr>
                <w:sz w:val="20"/>
                <w:szCs w:val="20"/>
              </w:rPr>
            </w:pPr>
            <w:r w:rsidRPr="00F45DEC">
              <w:rPr>
                <w:sz w:val="20"/>
                <w:szCs w:val="20"/>
              </w:rPr>
              <w:t xml:space="preserve">Integrated Summary of Safety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ITT </w:t>
            </w:r>
          </w:p>
        </w:tc>
        <w:tc>
          <w:tcPr>
            <w:tcW w:w="4865" w:type="dxa"/>
          </w:tcPr>
          <w:p w:rsidR="00F66D19" w:rsidRPr="00F45DEC" w:rsidRDefault="00F66D19" w:rsidP="00E613FE">
            <w:pPr>
              <w:cnfStyle w:val="000000000000"/>
              <w:rPr>
                <w:sz w:val="20"/>
                <w:szCs w:val="20"/>
              </w:rPr>
            </w:pPr>
            <w:r w:rsidRPr="00F45DEC">
              <w:rPr>
                <w:sz w:val="20"/>
                <w:szCs w:val="20"/>
              </w:rPr>
              <w:t>Intent-to-Treat</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LOCF </w:t>
            </w:r>
          </w:p>
        </w:tc>
        <w:tc>
          <w:tcPr>
            <w:tcW w:w="4865" w:type="dxa"/>
          </w:tcPr>
          <w:p w:rsidR="00F66D19" w:rsidRPr="00F45DEC" w:rsidRDefault="00F66D19" w:rsidP="00E613FE">
            <w:pPr>
              <w:cnfStyle w:val="000000000000"/>
              <w:rPr>
                <w:sz w:val="20"/>
                <w:szCs w:val="20"/>
              </w:rPr>
            </w:pPr>
            <w:r w:rsidRPr="00F45DEC">
              <w:rPr>
                <w:sz w:val="20"/>
                <w:szCs w:val="20"/>
              </w:rPr>
              <w:t>Last observation carried forward</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MAA </w:t>
            </w:r>
          </w:p>
        </w:tc>
        <w:tc>
          <w:tcPr>
            <w:tcW w:w="4865" w:type="dxa"/>
          </w:tcPr>
          <w:p w:rsidR="00F66D19" w:rsidRPr="00F45DEC" w:rsidRDefault="00F66D19" w:rsidP="00E613FE">
            <w:pPr>
              <w:cnfStyle w:val="000000000000"/>
              <w:rPr>
                <w:sz w:val="20"/>
                <w:szCs w:val="20"/>
              </w:rPr>
            </w:pPr>
            <w:r w:rsidRPr="00F45DEC">
              <w:rPr>
                <w:sz w:val="20"/>
                <w:szCs w:val="20"/>
              </w:rPr>
              <w:t xml:space="preserve">Marketing Authorisation Application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MAH </w:t>
            </w:r>
          </w:p>
        </w:tc>
        <w:tc>
          <w:tcPr>
            <w:tcW w:w="4865" w:type="dxa"/>
          </w:tcPr>
          <w:p w:rsidR="00F66D19" w:rsidRPr="00F45DEC" w:rsidRDefault="00F66D19" w:rsidP="00E613FE">
            <w:pPr>
              <w:cnfStyle w:val="000000000000"/>
              <w:rPr>
                <w:sz w:val="20"/>
                <w:szCs w:val="20"/>
              </w:rPr>
            </w:pPr>
            <w:r w:rsidRPr="00F45DEC">
              <w:rPr>
                <w:sz w:val="20"/>
                <w:szCs w:val="20"/>
              </w:rPr>
              <w:t xml:space="preserve">Marketing Authorization Holder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MPP</w:t>
            </w:r>
          </w:p>
        </w:tc>
        <w:tc>
          <w:tcPr>
            <w:tcW w:w="4865" w:type="dxa"/>
          </w:tcPr>
          <w:p w:rsidR="00F66D19" w:rsidRPr="00F45DEC" w:rsidRDefault="00F66D19" w:rsidP="00E613FE">
            <w:pPr>
              <w:cnfStyle w:val="000000000000"/>
              <w:rPr>
                <w:sz w:val="20"/>
                <w:szCs w:val="20"/>
              </w:rPr>
            </w:pPr>
            <w:r w:rsidRPr="00F45DEC">
              <w:rPr>
                <w:sz w:val="20"/>
                <w:szCs w:val="20"/>
              </w:rPr>
              <w:t>Mammalian matrix metalloproteinase</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mg </w:t>
            </w:r>
          </w:p>
        </w:tc>
        <w:tc>
          <w:tcPr>
            <w:tcW w:w="4865" w:type="dxa"/>
          </w:tcPr>
          <w:p w:rsidR="00F66D19" w:rsidRPr="00F45DEC" w:rsidRDefault="00F66D19" w:rsidP="00E613FE">
            <w:pPr>
              <w:cnfStyle w:val="000000000000"/>
              <w:rPr>
                <w:sz w:val="20"/>
                <w:szCs w:val="20"/>
              </w:rPr>
            </w:pPr>
            <w:r w:rsidRPr="00F45DEC">
              <w:rPr>
                <w:sz w:val="20"/>
                <w:szCs w:val="20"/>
              </w:rPr>
              <w:t>Milligram</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mL </w:t>
            </w:r>
          </w:p>
        </w:tc>
        <w:tc>
          <w:tcPr>
            <w:tcW w:w="4865" w:type="dxa"/>
          </w:tcPr>
          <w:p w:rsidR="00F66D19" w:rsidRPr="00F45DEC" w:rsidRDefault="00F66D19" w:rsidP="00E613FE">
            <w:pPr>
              <w:cnfStyle w:val="000000000000"/>
              <w:rPr>
                <w:sz w:val="20"/>
                <w:szCs w:val="20"/>
              </w:rPr>
            </w:pPr>
            <w:proofErr w:type="spellStart"/>
            <w:r w:rsidRPr="00F45DEC">
              <w:rPr>
                <w:sz w:val="20"/>
                <w:szCs w:val="20"/>
              </w:rPr>
              <w:t>Milliliter</w:t>
            </w:r>
            <w:proofErr w:type="spellEnd"/>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MP </w:t>
            </w:r>
          </w:p>
        </w:tc>
        <w:tc>
          <w:tcPr>
            <w:tcW w:w="4865" w:type="dxa"/>
          </w:tcPr>
          <w:p w:rsidR="00F66D19" w:rsidRPr="00F45DEC" w:rsidRDefault="00F66D19" w:rsidP="00E613FE">
            <w:pPr>
              <w:cnfStyle w:val="000000000000"/>
              <w:rPr>
                <w:sz w:val="20"/>
                <w:szCs w:val="20"/>
              </w:rPr>
            </w:pPr>
            <w:proofErr w:type="spellStart"/>
            <w:r w:rsidRPr="00F45DEC">
              <w:rPr>
                <w:sz w:val="20"/>
                <w:szCs w:val="20"/>
              </w:rPr>
              <w:t>Metacarpophalangeal</w:t>
            </w:r>
            <w:proofErr w:type="spellEnd"/>
            <w:r w:rsidRPr="00F45DEC">
              <w:rPr>
                <w:sz w:val="20"/>
                <w:szCs w:val="20"/>
              </w:rPr>
              <w:t xml:space="preserv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Neutral Zero Method </w:t>
            </w:r>
          </w:p>
        </w:tc>
        <w:tc>
          <w:tcPr>
            <w:tcW w:w="4865" w:type="dxa"/>
          </w:tcPr>
          <w:p w:rsidR="00F66D19" w:rsidRPr="00F45DEC" w:rsidRDefault="00F66D19" w:rsidP="00E613FE">
            <w:pPr>
              <w:cnfStyle w:val="000000000000"/>
              <w:rPr>
                <w:sz w:val="20"/>
                <w:szCs w:val="20"/>
              </w:rPr>
            </w:pPr>
            <w:r w:rsidRPr="00F45DEC">
              <w:rPr>
                <w:sz w:val="20"/>
                <w:szCs w:val="20"/>
              </w:rPr>
              <w:t xml:space="preserve">All motions of a joint are measured from a defined zero starting point position. The degree of motion of a joint are added in the direction the joint </w:t>
            </w:r>
            <w:r w:rsidRPr="00F45DEC">
              <w:rPr>
                <w:sz w:val="20"/>
                <w:szCs w:val="20"/>
              </w:rPr>
              <w:lastRenderedPageBreak/>
              <w:t xml:space="preserve">moves from the zero starting position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lastRenderedPageBreak/>
              <w:t xml:space="preserve">PIP </w:t>
            </w:r>
          </w:p>
        </w:tc>
        <w:tc>
          <w:tcPr>
            <w:tcW w:w="4865" w:type="dxa"/>
          </w:tcPr>
          <w:p w:rsidR="00F66D19" w:rsidRPr="00F45DEC" w:rsidRDefault="00F66D19" w:rsidP="00E613FE">
            <w:pPr>
              <w:cnfStyle w:val="000000000000"/>
              <w:rPr>
                <w:sz w:val="20"/>
                <w:szCs w:val="20"/>
              </w:rPr>
            </w:pPr>
            <w:r w:rsidRPr="00F45DEC">
              <w:rPr>
                <w:sz w:val="20"/>
                <w:szCs w:val="20"/>
              </w:rPr>
              <w:t xml:space="preserve">Proximal </w:t>
            </w:r>
            <w:proofErr w:type="spellStart"/>
            <w:r w:rsidRPr="00F45DEC">
              <w:rPr>
                <w:sz w:val="20"/>
                <w:szCs w:val="20"/>
              </w:rPr>
              <w:t>interphalangeal</w:t>
            </w:r>
            <w:proofErr w:type="spellEnd"/>
            <w:r w:rsidRPr="00F45DEC">
              <w:rPr>
                <w:sz w:val="20"/>
                <w:szCs w:val="20"/>
              </w:rPr>
              <w:t xml:space="preserve">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ROM </w:t>
            </w:r>
          </w:p>
        </w:tc>
        <w:tc>
          <w:tcPr>
            <w:tcW w:w="4865" w:type="dxa"/>
          </w:tcPr>
          <w:p w:rsidR="00F66D19" w:rsidRPr="00F45DEC" w:rsidRDefault="00F66D19" w:rsidP="00E613FE">
            <w:pPr>
              <w:cnfStyle w:val="000000000000"/>
              <w:rPr>
                <w:sz w:val="20"/>
                <w:szCs w:val="20"/>
              </w:rPr>
            </w:pPr>
            <w:r w:rsidRPr="00F45DEC">
              <w:rPr>
                <w:sz w:val="20"/>
                <w:szCs w:val="20"/>
              </w:rPr>
              <w:t xml:space="preserve">Range of motion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SAE </w:t>
            </w:r>
          </w:p>
        </w:tc>
        <w:tc>
          <w:tcPr>
            <w:tcW w:w="4865" w:type="dxa"/>
          </w:tcPr>
          <w:p w:rsidR="00F66D19" w:rsidRPr="00F45DEC" w:rsidRDefault="00F66D19" w:rsidP="00E613FE">
            <w:pPr>
              <w:cnfStyle w:val="000000000000"/>
              <w:rPr>
                <w:sz w:val="20"/>
                <w:szCs w:val="20"/>
              </w:rPr>
            </w:pPr>
            <w:r w:rsidRPr="00F45DEC">
              <w:rPr>
                <w:sz w:val="20"/>
                <w:szCs w:val="20"/>
              </w:rPr>
              <w:t xml:space="preserve">Serious adverse event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SAP</w:t>
            </w:r>
          </w:p>
        </w:tc>
        <w:tc>
          <w:tcPr>
            <w:tcW w:w="4865" w:type="dxa"/>
          </w:tcPr>
          <w:p w:rsidR="00F66D19" w:rsidRPr="00F45DEC" w:rsidRDefault="00F66D19" w:rsidP="00E613FE">
            <w:pPr>
              <w:cnfStyle w:val="000000000000"/>
              <w:rPr>
                <w:sz w:val="20"/>
                <w:szCs w:val="20"/>
              </w:rPr>
            </w:pPr>
            <w:r w:rsidRPr="00F45DEC">
              <w:rPr>
                <w:sz w:val="20"/>
                <w:szCs w:val="20"/>
              </w:rPr>
              <w:t xml:space="preserve">Statistical analysis plan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SD </w:t>
            </w:r>
          </w:p>
        </w:tc>
        <w:tc>
          <w:tcPr>
            <w:tcW w:w="4865" w:type="dxa"/>
          </w:tcPr>
          <w:p w:rsidR="00F66D19" w:rsidRPr="00F45DEC" w:rsidRDefault="00F66D19" w:rsidP="00E613FE">
            <w:pPr>
              <w:cnfStyle w:val="000000000000"/>
              <w:rPr>
                <w:sz w:val="20"/>
                <w:szCs w:val="20"/>
              </w:rPr>
            </w:pPr>
            <w:r w:rsidRPr="00F45DEC">
              <w:rPr>
                <w:sz w:val="20"/>
                <w:szCs w:val="20"/>
              </w:rPr>
              <w:t>standard deviation</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SOC</w:t>
            </w:r>
          </w:p>
        </w:tc>
        <w:tc>
          <w:tcPr>
            <w:tcW w:w="4865" w:type="dxa"/>
          </w:tcPr>
          <w:p w:rsidR="00F66D19" w:rsidRPr="00F45DEC" w:rsidRDefault="00F66D19" w:rsidP="00E613FE">
            <w:pPr>
              <w:cnfStyle w:val="000000000000"/>
              <w:rPr>
                <w:sz w:val="20"/>
                <w:szCs w:val="20"/>
              </w:rPr>
            </w:pPr>
            <w:r w:rsidRPr="00F45DEC">
              <w:rPr>
                <w:sz w:val="20"/>
                <w:szCs w:val="20"/>
              </w:rPr>
              <w:t>System organ class</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TEAE </w:t>
            </w:r>
          </w:p>
        </w:tc>
        <w:tc>
          <w:tcPr>
            <w:tcW w:w="4865" w:type="dxa"/>
          </w:tcPr>
          <w:p w:rsidR="00F66D19" w:rsidRPr="00F45DEC" w:rsidRDefault="00F66D19" w:rsidP="00E613FE">
            <w:pPr>
              <w:cnfStyle w:val="000000000000"/>
              <w:rPr>
                <w:sz w:val="20"/>
                <w:szCs w:val="20"/>
              </w:rPr>
            </w:pPr>
            <w:r w:rsidRPr="00F45DEC">
              <w:rPr>
                <w:sz w:val="20"/>
                <w:szCs w:val="20"/>
              </w:rPr>
              <w:t>Treatment-emergent adverse events were events with a start date equal to or after the first injection of study drug</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 xml:space="preserve">UK </w:t>
            </w:r>
          </w:p>
        </w:tc>
        <w:tc>
          <w:tcPr>
            <w:tcW w:w="4865" w:type="dxa"/>
          </w:tcPr>
          <w:p w:rsidR="00F66D19" w:rsidRPr="00F45DEC" w:rsidRDefault="00F66D19" w:rsidP="00E613FE">
            <w:pPr>
              <w:cnfStyle w:val="000000000000"/>
              <w:rPr>
                <w:sz w:val="20"/>
                <w:szCs w:val="20"/>
              </w:rPr>
            </w:pPr>
            <w:r w:rsidRPr="00F45DEC">
              <w:rPr>
                <w:sz w:val="20"/>
                <w:szCs w:val="20"/>
              </w:rPr>
              <w:t xml:space="preserve">United Kingdom </w:t>
            </w:r>
          </w:p>
        </w:tc>
      </w:tr>
      <w:tr w:rsidR="00F66D19" w:rsidTr="00805EE0">
        <w:tc>
          <w:tcPr>
            <w:cnfStyle w:val="001000000000"/>
            <w:tcW w:w="3936" w:type="dxa"/>
          </w:tcPr>
          <w:p w:rsidR="00F66D19" w:rsidRPr="00F45DEC" w:rsidRDefault="00F66D19" w:rsidP="00E613FE">
            <w:pPr>
              <w:rPr>
                <w:sz w:val="20"/>
                <w:szCs w:val="20"/>
              </w:rPr>
            </w:pPr>
            <w:r w:rsidRPr="00F45DEC">
              <w:rPr>
                <w:sz w:val="20"/>
                <w:szCs w:val="20"/>
              </w:rPr>
              <w:t>ULN</w:t>
            </w:r>
          </w:p>
        </w:tc>
        <w:tc>
          <w:tcPr>
            <w:tcW w:w="4865" w:type="dxa"/>
          </w:tcPr>
          <w:p w:rsidR="00F66D19" w:rsidRPr="00F45DEC" w:rsidRDefault="00F66D19" w:rsidP="00E613FE">
            <w:pPr>
              <w:cnfStyle w:val="000000000000"/>
              <w:rPr>
                <w:sz w:val="20"/>
                <w:szCs w:val="20"/>
              </w:rPr>
            </w:pPr>
            <w:r w:rsidRPr="00F45DEC">
              <w:rPr>
                <w:sz w:val="20"/>
                <w:szCs w:val="20"/>
              </w:rPr>
              <w:t>Upper limit of normal</w:t>
            </w:r>
          </w:p>
        </w:tc>
      </w:tr>
    </w:tbl>
    <w:p w:rsidR="00586F98" w:rsidRDefault="00586F98" w:rsidP="00E613FE">
      <w:pPr>
        <w:pStyle w:val="Heading2"/>
        <w:rPr>
          <w:lang w:eastAsia="en-AU"/>
        </w:rPr>
      </w:pPr>
      <w:bookmarkStart w:id="7" w:name="_Toc374966951"/>
      <w:bookmarkStart w:id="8" w:name="_Toc351718900"/>
      <w:bookmarkStart w:id="9" w:name="_Toc355338635"/>
      <w:r>
        <w:rPr>
          <w:lang w:eastAsia="en-AU"/>
        </w:rPr>
        <w:t>Clinical rationale</w:t>
      </w:r>
      <w:bookmarkEnd w:id="7"/>
    </w:p>
    <w:p w:rsidR="00BF4EBA" w:rsidRPr="00426667" w:rsidRDefault="00BF4EBA" w:rsidP="00E613FE">
      <w:proofErr w:type="spellStart"/>
      <w:r w:rsidRPr="00426667">
        <w:t>Dupuytren’s</w:t>
      </w:r>
      <w:proofErr w:type="spellEnd"/>
      <w:r w:rsidRPr="00426667">
        <w:t xml:space="preserve"> contracture is a relatively common disorder in which there is benign, slowly progressive fibrosis of the palmar fascia. This results in tendon thickening, joint stiffness and an insidious loss of full extension over decades. Typically, contractures that flex one or more fingers at the </w:t>
      </w:r>
      <w:proofErr w:type="spellStart"/>
      <w:r w:rsidRPr="00426667">
        <w:t>metacarpophalangeal</w:t>
      </w:r>
      <w:proofErr w:type="spellEnd"/>
      <w:r w:rsidRPr="00426667">
        <w:t xml:space="preserve"> (MP) joint develop.</w:t>
      </w:r>
    </w:p>
    <w:p w:rsidR="00BF4EBA" w:rsidRPr="00426667" w:rsidRDefault="00BF4EBA" w:rsidP="00E613FE">
      <w:pPr>
        <w:rPr>
          <w:lang w:eastAsia="zh-TW"/>
        </w:rPr>
      </w:pPr>
      <w:proofErr w:type="spellStart"/>
      <w:r w:rsidRPr="00426667">
        <w:rPr>
          <w:lang w:eastAsia="zh-TW"/>
        </w:rPr>
        <w:t>Collagenase</w:t>
      </w:r>
      <w:proofErr w:type="spellEnd"/>
      <w:r w:rsidRPr="00426667">
        <w:rPr>
          <w:lang w:eastAsia="zh-TW"/>
        </w:rPr>
        <w:t xml:space="preserve"> is a </w:t>
      </w:r>
      <w:proofErr w:type="spellStart"/>
      <w:r w:rsidRPr="00426667">
        <w:rPr>
          <w:lang w:eastAsia="zh-TW"/>
        </w:rPr>
        <w:t>proteinase</w:t>
      </w:r>
      <w:proofErr w:type="spellEnd"/>
      <w:r w:rsidRPr="00426667">
        <w:rPr>
          <w:lang w:eastAsia="zh-TW"/>
        </w:rPr>
        <w:t xml:space="preserve"> that can hydrolyse the triple-helical region of collagen under physiological conditions. The proposed product, AA4500, contains two </w:t>
      </w:r>
      <w:proofErr w:type="spellStart"/>
      <w:r w:rsidRPr="00426667">
        <w:rPr>
          <w:lang w:eastAsia="zh-TW"/>
        </w:rPr>
        <w:t>c</w:t>
      </w:r>
      <w:r w:rsidRPr="00426667">
        <w:t>ollagenases</w:t>
      </w:r>
      <w:proofErr w:type="spellEnd"/>
      <w:r w:rsidRPr="00426667">
        <w:t xml:space="preserve">: </w:t>
      </w:r>
      <w:proofErr w:type="spellStart"/>
      <w:r w:rsidRPr="00426667">
        <w:rPr>
          <w:rFonts w:cs="TimesNewRomanPSMT"/>
          <w:color w:val="010202"/>
          <w:lang w:eastAsia="zh-TW"/>
        </w:rPr>
        <w:t>collagenase</w:t>
      </w:r>
      <w:proofErr w:type="spellEnd"/>
      <w:r w:rsidRPr="00426667">
        <w:rPr>
          <w:rFonts w:cs="TimesNewRomanPSMT"/>
          <w:color w:val="010202"/>
          <w:lang w:eastAsia="zh-TW"/>
        </w:rPr>
        <w:t xml:space="preserve"> AUX-I (</w:t>
      </w:r>
      <w:proofErr w:type="spellStart"/>
      <w:r w:rsidRPr="00426667">
        <w:rPr>
          <w:rFonts w:cs="TimesNewRomanPSMT"/>
          <w:color w:val="010202"/>
          <w:lang w:eastAsia="zh-TW"/>
        </w:rPr>
        <w:t>clostridial</w:t>
      </w:r>
      <w:proofErr w:type="spellEnd"/>
      <w:r w:rsidRPr="00426667">
        <w:rPr>
          <w:rFonts w:cs="TimesNewRomanPSMT"/>
          <w:color w:val="010202"/>
          <w:lang w:eastAsia="zh-TW"/>
        </w:rPr>
        <w:t xml:space="preserve"> type I </w:t>
      </w:r>
      <w:proofErr w:type="spellStart"/>
      <w:r w:rsidRPr="00426667">
        <w:rPr>
          <w:rFonts w:cs="TimesNewRomanPSMT"/>
          <w:color w:val="010202"/>
          <w:lang w:eastAsia="zh-TW"/>
        </w:rPr>
        <w:t>collagenase</w:t>
      </w:r>
      <w:proofErr w:type="spellEnd"/>
      <w:r w:rsidRPr="00426667">
        <w:rPr>
          <w:rFonts w:cs="TimesNewRomanPSMT"/>
          <w:color w:val="010202"/>
          <w:lang w:eastAsia="zh-TW"/>
        </w:rPr>
        <w:t xml:space="preserve">) and </w:t>
      </w:r>
      <w:proofErr w:type="spellStart"/>
      <w:r w:rsidRPr="00426667">
        <w:rPr>
          <w:rFonts w:cs="TimesNewRomanPSMT"/>
          <w:color w:val="010202"/>
          <w:lang w:eastAsia="zh-TW"/>
        </w:rPr>
        <w:t>collagenase</w:t>
      </w:r>
      <w:proofErr w:type="spellEnd"/>
      <w:r w:rsidRPr="00426667">
        <w:rPr>
          <w:rFonts w:cs="TimesNewRomanPSMT"/>
          <w:color w:val="010202"/>
          <w:lang w:eastAsia="zh-TW"/>
        </w:rPr>
        <w:t xml:space="preserve"> AUX-II (</w:t>
      </w:r>
      <w:proofErr w:type="spellStart"/>
      <w:r w:rsidRPr="00426667">
        <w:rPr>
          <w:rFonts w:cs="TimesNewRomanPSMT"/>
          <w:color w:val="010202"/>
          <w:lang w:eastAsia="zh-TW"/>
        </w:rPr>
        <w:t>clostri</w:t>
      </w:r>
      <w:r w:rsidR="00F66D19">
        <w:rPr>
          <w:rFonts w:cs="TimesNewRomanPSMT"/>
          <w:color w:val="010202"/>
          <w:lang w:eastAsia="zh-TW"/>
        </w:rPr>
        <w:t>dial</w:t>
      </w:r>
      <w:proofErr w:type="spellEnd"/>
      <w:r w:rsidR="00F66D19">
        <w:rPr>
          <w:rFonts w:cs="TimesNewRomanPSMT"/>
          <w:color w:val="010202"/>
          <w:lang w:eastAsia="zh-TW"/>
        </w:rPr>
        <w:t xml:space="preserve"> type II </w:t>
      </w:r>
      <w:proofErr w:type="spellStart"/>
      <w:r w:rsidR="00F66D19">
        <w:rPr>
          <w:rFonts w:cs="TimesNewRomanPSMT"/>
          <w:color w:val="010202"/>
          <w:lang w:eastAsia="zh-TW"/>
        </w:rPr>
        <w:t>collagenase</w:t>
      </w:r>
      <w:proofErr w:type="spellEnd"/>
      <w:r w:rsidR="00F66D19">
        <w:rPr>
          <w:rFonts w:cs="TimesNewRomanPSMT"/>
          <w:color w:val="010202"/>
          <w:lang w:eastAsia="zh-TW"/>
        </w:rPr>
        <w:t>). The s</w:t>
      </w:r>
      <w:r w:rsidRPr="00426667">
        <w:rPr>
          <w:rFonts w:cs="TimesNewRomanPSMT"/>
          <w:color w:val="010202"/>
          <w:lang w:eastAsia="zh-TW"/>
        </w:rPr>
        <w:t>ponsor state</w:t>
      </w:r>
      <w:r w:rsidR="00F66D19">
        <w:rPr>
          <w:rFonts w:cs="TimesNewRomanPSMT"/>
          <w:color w:val="010202"/>
          <w:lang w:eastAsia="zh-TW"/>
        </w:rPr>
        <w:t>d that</w:t>
      </w:r>
      <w:r w:rsidRPr="00426667">
        <w:rPr>
          <w:rFonts w:cs="TimesNewRomanPSMT"/>
          <w:color w:val="010202"/>
          <w:lang w:eastAsia="zh-TW"/>
        </w:rPr>
        <w:t xml:space="preserve"> t</w:t>
      </w:r>
      <w:r w:rsidRPr="00426667">
        <w:rPr>
          <w:lang w:eastAsia="zh-TW"/>
        </w:rPr>
        <w:t xml:space="preserve">hese two </w:t>
      </w:r>
      <w:proofErr w:type="spellStart"/>
      <w:r w:rsidRPr="00426667">
        <w:rPr>
          <w:lang w:eastAsia="zh-TW"/>
        </w:rPr>
        <w:t>collagenases</w:t>
      </w:r>
      <w:proofErr w:type="spellEnd"/>
      <w:r w:rsidRPr="00426667">
        <w:rPr>
          <w:lang w:eastAsia="zh-TW"/>
        </w:rPr>
        <w:t xml:space="preserve"> are not immunologically cross-reactive and have different specificities such that together they become synergistic, providing a very broad hydrolysing reactivity toward collagen. The clinical rationale is that after local injection at the site of the </w:t>
      </w:r>
      <w:proofErr w:type="spellStart"/>
      <w:r w:rsidRPr="00426667">
        <w:rPr>
          <w:lang w:eastAsia="zh-TW"/>
        </w:rPr>
        <w:t>Dupuyetren’s</w:t>
      </w:r>
      <w:proofErr w:type="spellEnd"/>
      <w:r w:rsidRPr="00426667">
        <w:rPr>
          <w:lang w:eastAsia="zh-TW"/>
        </w:rPr>
        <w:t xml:space="preserve"> cord there will be selective lysis of collagen at this injection site which will result in reduction of the finger contracture.</w:t>
      </w:r>
    </w:p>
    <w:p w:rsidR="00586F98" w:rsidRDefault="00586F98" w:rsidP="00E613FE">
      <w:pPr>
        <w:pStyle w:val="Heading2"/>
        <w:rPr>
          <w:lang w:eastAsia="en-AU"/>
        </w:rPr>
      </w:pPr>
      <w:bookmarkStart w:id="10" w:name="_Toc374966952"/>
      <w:r>
        <w:rPr>
          <w:lang w:eastAsia="en-AU"/>
        </w:rPr>
        <w:t>Contents of the clinical dossier</w:t>
      </w:r>
      <w:bookmarkEnd w:id="8"/>
      <w:bookmarkEnd w:id="9"/>
      <w:bookmarkEnd w:id="10"/>
    </w:p>
    <w:p w:rsidR="00586F98" w:rsidRDefault="00586F98" w:rsidP="00E613FE">
      <w:pPr>
        <w:pStyle w:val="Heading3"/>
      </w:pPr>
      <w:bookmarkStart w:id="11" w:name="_Toc374966953"/>
      <w:r>
        <w:t>Scope of the clinical dossier</w:t>
      </w:r>
      <w:bookmarkEnd w:id="11"/>
    </w:p>
    <w:p w:rsidR="00BF4EBA" w:rsidRPr="00426667" w:rsidRDefault="00BF4EBA" w:rsidP="00E613FE">
      <w:r w:rsidRPr="00426667">
        <w:t>The submission contained the following clinical information:</w:t>
      </w:r>
    </w:p>
    <w:p w:rsidR="00BF4EBA" w:rsidRPr="00426667" w:rsidRDefault="00BF4EBA" w:rsidP="00E613FE">
      <w:pPr>
        <w:pStyle w:val="ListBullet"/>
      </w:pPr>
      <w:r w:rsidRPr="00426667">
        <w:t xml:space="preserve">45 reports of bioanalytical and analytical methods including determination of anti-drug antibodies and validation reports for the assay methods. </w:t>
      </w:r>
    </w:p>
    <w:p w:rsidR="00BF4EBA" w:rsidRPr="00426667" w:rsidRDefault="00BF4EBA" w:rsidP="00E613FE">
      <w:pPr>
        <w:pStyle w:val="ListBullet"/>
      </w:pPr>
      <w:r w:rsidRPr="00426667">
        <w:t>Two clinical pharmacology studies (AUX-CC-855, and DUPY-202) providing pharmacokinetic data and the latter also providing dose-finding data.</w:t>
      </w:r>
    </w:p>
    <w:p w:rsidR="00BF4EBA" w:rsidRPr="00426667" w:rsidRDefault="00BF4EBA" w:rsidP="00E613FE">
      <w:pPr>
        <w:pStyle w:val="ListBullet"/>
      </w:pPr>
      <w:r w:rsidRPr="00426667">
        <w:t>Three controlled efficacy/safety studies (DUPY-303, AUX-CC-857, AUX-CC-859).</w:t>
      </w:r>
    </w:p>
    <w:p w:rsidR="00BF4EBA" w:rsidRPr="00426667" w:rsidRDefault="00BF4EBA" w:rsidP="00BF4EBA">
      <w:pPr>
        <w:pStyle w:val="ListBullet"/>
      </w:pPr>
      <w:r w:rsidRPr="00426667">
        <w:lastRenderedPageBreak/>
        <w:t>Four uncontrolled, open label studies (DUPY-404, AUX-CC-854, AUX-CC-856, AUX-CC-858).</w:t>
      </w:r>
    </w:p>
    <w:p w:rsidR="00BF4EBA" w:rsidRPr="00426667" w:rsidRDefault="00BF4EBA" w:rsidP="00E613FE">
      <w:pPr>
        <w:pStyle w:val="ListBullet"/>
      </w:pPr>
      <w:r w:rsidRPr="00426667">
        <w:t>Four other efficacy/safety studies (AUX-CC-851-852, AUX-CC-853, DUPY-101, AUX-CC-860)</w:t>
      </w:r>
    </w:p>
    <w:p w:rsidR="00BF4EBA" w:rsidRPr="00426667" w:rsidRDefault="00BF4EBA" w:rsidP="00E613FE">
      <w:pPr>
        <w:pStyle w:val="ListBullet"/>
      </w:pPr>
      <w:r w:rsidRPr="00426667">
        <w:t>Three Integrated Summaries</w:t>
      </w:r>
      <w:r w:rsidR="00F66D19">
        <w:t>;</w:t>
      </w:r>
      <w:r w:rsidRPr="00426667">
        <w:t xml:space="preserve"> Efficacy (tables only), Safety (tables only) and Immunogenicity.</w:t>
      </w:r>
    </w:p>
    <w:p w:rsidR="00BF4EBA" w:rsidRPr="00426667" w:rsidRDefault="00BF4EBA" w:rsidP="00E613FE">
      <w:pPr>
        <w:pStyle w:val="ListBullet"/>
      </w:pPr>
      <w:r w:rsidRPr="00426667">
        <w:t>Four reports of postmarketing experience (Feb</w:t>
      </w:r>
      <w:r w:rsidR="00F66D19">
        <w:t>ruary</w:t>
      </w:r>
      <w:r w:rsidRPr="00426667">
        <w:t xml:space="preserve"> 2010 to Feb</w:t>
      </w:r>
      <w:r w:rsidR="00F66D19">
        <w:t>ruary</w:t>
      </w:r>
      <w:r w:rsidRPr="00426667">
        <w:t xml:space="preserve"> 2011), case report forms and literature references</w:t>
      </w:r>
    </w:p>
    <w:p w:rsidR="00586F98" w:rsidRDefault="00586F98" w:rsidP="00E613FE">
      <w:pPr>
        <w:pStyle w:val="Heading3"/>
      </w:pPr>
      <w:bookmarkStart w:id="12" w:name="_Toc374966954"/>
      <w:r>
        <w:t>Paediatric data</w:t>
      </w:r>
      <w:bookmarkEnd w:id="12"/>
    </w:p>
    <w:p w:rsidR="00BF4EBA" w:rsidRPr="00426667" w:rsidRDefault="00BF4EBA" w:rsidP="00E613FE">
      <w:r w:rsidRPr="00426667">
        <w:t xml:space="preserve">The submission did not include paediatric data. </w:t>
      </w:r>
    </w:p>
    <w:p w:rsidR="00586F98" w:rsidRDefault="00586F98" w:rsidP="00E613FE">
      <w:pPr>
        <w:pStyle w:val="Heading3"/>
      </w:pPr>
      <w:bookmarkStart w:id="13" w:name="_Toc374966955"/>
      <w:r>
        <w:t>Good clinical practice</w:t>
      </w:r>
      <w:bookmarkEnd w:id="13"/>
    </w:p>
    <w:p w:rsidR="00BF4EBA" w:rsidRPr="00426667" w:rsidRDefault="00BF4EBA" w:rsidP="00E613FE">
      <w:bookmarkStart w:id="14" w:name="_Toc241374282"/>
      <w:bookmarkStart w:id="15" w:name="_Toc355338639"/>
      <w:r w:rsidRPr="00426667">
        <w:t xml:space="preserve">The </w:t>
      </w:r>
      <w:r w:rsidR="00F66D19">
        <w:t>s</w:t>
      </w:r>
      <w:r w:rsidRPr="00426667">
        <w:t>ponsor provided statements in each clinical study report that the studies had been conducted according to Good Clinical Practice guidelines and appropriate ethical and regulatory approval.</w:t>
      </w:r>
    </w:p>
    <w:p w:rsidR="00586F98" w:rsidRDefault="00586F98" w:rsidP="00E613FE">
      <w:pPr>
        <w:pStyle w:val="Heading2"/>
      </w:pPr>
      <w:bookmarkStart w:id="16" w:name="_Toc374966956"/>
      <w:bookmarkEnd w:id="14"/>
      <w:r>
        <w:t>Pharmacokinetics</w:t>
      </w:r>
      <w:bookmarkEnd w:id="15"/>
      <w:bookmarkEnd w:id="16"/>
      <w:r>
        <w:t xml:space="preserve"> </w:t>
      </w:r>
    </w:p>
    <w:p w:rsidR="00BF4EBA" w:rsidRPr="00426667" w:rsidRDefault="00BF4EBA" w:rsidP="00E613FE">
      <w:bookmarkStart w:id="17" w:name="_Ref271017296"/>
      <w:bookmarkStart w:id="18" w:name="_Ref271018924"/>
      <w:bookmarkStart w:id="19" w:name="_Ref271018934"/>
      <w:bookmarkStart w:id="20" w:name="_Toc272414614"/>
      <w:bookmarkStart w:id="21" w:name="_Toc290846238"/>
      <w:bookmarkStart w:id="22" w:name="_Toc353960228"/>
      <w:r w:rsidRPr="00426667">
        <w:t>Studies</w:t>
      </w:r>
      <w:bookmarkEnd w:id="17"/>
      <w:bookmarkEnd w:id="18"/>
      <w:bookmarkEnd w:id="19"/>
      <w:r w:rsidRPr="00426667">
        <w:t xml:space="preserve"> providing pharmacokinetic data</w:t>
      </w:r>
      <w:bookmarkEnd w:id="20"/>
      <w:bookmarkEnd w:id="21"/>
      <w:bookmarkEnd w:id="22"/>
    </w:p>
    <w:p w:rsidR="00BF4EBA" w:rsidRPr="00426667" w:rsidRDefault="00BF4EBA" w:rsidP="00E613FE">
      <w:r w:rsidRPr="00426667">
        <w:t xml:space="preserve">Table </w:t>
      </w:r>
      <w:r w:rsidR="00F66D19">
        <w:t>1</w:t>
      </w:r>
      <w:r w:rsidRPr="00426667">
        <w:t xml:space="preserve"> below shows the studies relating to each pharmacokinetic topic and the location of each study summary.</w:t>
      </w:r>
    </w:p>
    <w:p w:rsidR="00BF4EBA" w:rsidRPr="00426667" w:rsidRDefault="00BF4EBA" w:rsidP="00E613FE">
      <w:pPr>
        <w:pStyle w:val="TableTitle"/>
      </w:pPr>
      <w:bookmarkStart w:id="23" w:name="_Ref272426277"/>
      <w:bookmarkStart w:id="24" w:name="_Toc342578572"/>
      <w:bookmarkStart w:id="25" w:name="_Toc353960333"/>
      <w:r w:rsidRPr="00426667">
        <w:t xml:space="preserve">Table </w:t>
      </w:r>
      <w:bookmarkEnd w:id="23"/>
      <w:r w:rsidR="00F66D19">
        <w:t>1.</w:t>
      </w:r>
      <w:r w:rsidRPr="00426667">
        <w:t xml:space="preserve"> Submitted pharmacokinetic studies.</w:t>
      </w:r>
      <w:bookmarkEnd w:id="24"/>
      <w:bookmarkEnd w:id="25"/>
    </w:p>
    <w:tbl>
      <w:tblPr>
        <w:tblStyle w:val="TableTGAblue"/>
        <w:tblW w:w="0" w:type="auto"/>
        <w:tblLayout w:type="fixed"/>
        <w:tblLook w:val="04A0"/>
      </w:tblPr>
      <w:tblGrid>
        <w:gridCol w:w="3085"/>
        <w:gridCol w:w="3260"/>
        <w:gridCol w:w="1985"/>
      </w:tblGrid>
      <w:tr w:rsidR="00F66D19" w:rsidRPr="00F66D19" w:rsidTr="00E613FE">
        <w:trPr>
          <w:cnfStyle w:val="100000000000"/>
          <w:tblHeader/>
        </w:trPr>
        <w:tc>
          <w:tcPr>
            <w:cnfStyle w:val="001000000000"/>
            <w:tcW w:w="3085" w:type="dxa"/>
          </w:tcPr>
          <w:p w:rsidR="00F66D19" w:rsidRPr="00F66D19" w:rsidRDefault="00F66D19" w:rsidP="00E613FE">
            <w:pPr>
              <w:rPr>
                <w:b w:val="0"/>
              </w:rPr>
            </w:pPr>
            <w:r w:rsidRPr="00F66D19">
              <w:t>PK topic</w:t>
            </w:r>
          </w:p>
        </w:tc>
        <w:tc>
          <w:tcPr>
            <w:tcW w:w="3260" w:type="dxa"/>
          </w:tcPr>
          <w:p w:rsidR="00F66D19" w:rsidRPr="00F66D19" w:rsidRDefault="00F66D19" w:rsidP="00E613FE">
            <w:pPr>
              <w:cnfStyle w:val="100000000000"/>
              <w:rPr>
                <w:b w:val="0"/>
              </w:rPr>
            </w:pPr>
            <w:r w:rsidRPr="00F66D19">
              <w:t>Subtopic</w:t>
            </w:r>
          </w:p>
        </w:tc>
        <w:tc>
          <w:tcPr>
            <w:tcW w:w="1985" w:type="dxa"/>
          </w:tcPr>
          <w:p w:rsidR="00F66D19" w:rsidRPr="00F66D19" w:rsidRDefault="00F66D19" w:rsidP="00E613FE">
            <w:pPr>
              <w:cnfStyle w:val="100000000000"/>
              <w:rPr>
                <w:b w:val="0"/>
              </w:rPr>
            </w:pPr>
            <w:r w:rsidRPr="00F66D19">
              <w:t>Study ID</w:t>
            </w:r>
          </w:p>
        </w:tc>
      </w:tr>
      <w:tr w:rsidR="00F66D19" w:rsidRPr="00F66D19" w:rsidTr="00D85469">
        <w:tc>
          <w:tcPr>
            <w:cnfStyle w:val="001000000000"/>
            <w:tcW w:w="3085" w:type="dxa"/>
          </w:tcPr>
          <w:p w:rsidR="00F66D19" w:rsidRPr="00F66D19" w:rsidRDefault="00F66D19" w:rsidP="00E613FE">
            <w:r w:rsidRPr="00F66D19">
              <w:t>PK in healthy adults</w:t>
            </w:r>
          </w:p>
        </w:tc>
        <w:tc>
          <w:tcPr>
            <w:tcW w:w="3260" w:type="dxa"/>
          </w:tcPr>
          <w:p w:rsidR="00F66D19" w:rsidRDefault="00F66D19" w:rsidP="00E613FE">
            <w:pPr>
              <w:cnfStyle w:val="000000000000"/>
            </w:pPr>
            <w:r w:rsidRPr="00F66D19">
              <w:t>General PK</w:t>
            </w:r>
            <w:r w:rsidRPr="00F66D19">
              <w:tab/>
            </w:r>
            <w:r w:rsidR="00E613FE">
              <w:t>S</w:t>
            </w:r>
            <w:r w:rsidRPr="00F66D19">
              <w:t>ingle dose</w:t>
            </w:r>
          </w:p>
          <w:p w:rsidR="00D85469" w:rsidRPr="00F66D19" w:rsidRDefault="00D85469" w:rsidP="00E613FE">
            <w:pPr>
              <w:cnfStyle w:val="000000000000"/>
            </w:pPr>
            <w:r w:rsidRPr="00F66D19">
              <w:t>Multi-dose</w:t>
            </w:r>
          </w:p>
        </w:tc>
        <w:tc>
          <w:tcPr>
            <w:tcW w:w="1985" w:type="dxa"/>
          </w:tcPr>
          <w:p w:rsidR="00F66D19" w:rsidRDefault="00F66D19" w:rsidP="00E613FE">
            <w:pPr>
              <w:cnfStyle w:val="000000000000"/>
            </w:pPr>
            <w:r w:rsidRPr="00F66D19">
              <w:t>-</w:t>
            </w:r>
          </w:p>
          <w:p w:rsidR="00D85469" w:rsidRPr="00F66D19" w:rsidRDefault="00D85469" w:rsidP="00E613FE">
            <w:pPr>
              <w:cnfStyle w:val="000000000000"/>
            </w:pPr>
            <w:r>
              <w:t>-</w:t>
            </w:r>
          </w:p>
        </w:tc>
      </w:tr>
      <w:tr w:rsidR="00F66D19" w:rsidRPr="00F66D19" w:rsidTr="00D85469">
        <w:tc>
          <w:tcPr>
            <w:cnfStyle w:val="001000000000"/>
            <w:tcW w:w="3085" w:type="dxa"/>
          </w:tcPr>
          <w:p w:rsidR="00F66D19" w:rsidRPr="00F66D19" w:rsidRDefault="00F66D19" w:rsidP="00E613FE"/>
        </w:tc>
        <w:tc>
          <w:tcPr>
            <w:tcW w:w="3260" w:type="dxa"/>
          </w:tcPr>
          <w:p w:rsidR="00F66D19" w:rsidRDefault="00D85469" w:rsidP="00E613FE">
            <w:pPr>
              <w:cnfStyle w:val="000000000000"/>
            </w:pPr>
            <w:r>
              <w:t>Bioequivalence†</w:t>
            </w:r>
            <w:r w:rsidR="00516476">
              <w:t xml:space="preserve"> </w:t>
            </w:r>
            <w:r w:rsidR="00F66D19" w:rsidRPr="00F66D19">
              <w:t>Single dose</w:t>
            </w:r>
          </w:p>
          <w:p w:rsidR="00D85469" w:rsidRPr="00F66D19" w:rsidRDefault="00D85469" w:rsidP="00E613FE">
            <w:pPr>
              <w:cnfStyle w:val="000000000000"/>
            </w:pPr>
            <w:r w:rsidRPr="00F66D19">
              <w:t>Multi-dose</w:t>
            </w:r>
          </w:p>
        </w:tc>
        <w:tc>
          <w:tcPr>
            <w:tcW w:w="1985" w:type="dxa"/>
          </w:tcPr>
          <w:p w:rsidR="00F66D19" w:rsidRDefault="00F66D19" w:rsidP="00E613FE">
            <w:pPr>
              <w:cnfStyle w:val="000000000000"/>
            </w:pPr>
            <w:r w:rsidRPr="00F66D19">
              <w:t>-</w:t>
            </w:r>
          </w:p>
          <w:p w:rsidR="00D85469" w:rsidRPr="00F66D19" w:rsidRDefault="00D85469" w:rsidP="00E613FE">
            <w:pPr>
              <w:cnfStyle w:val="000000000000"/>
            </w:pPr>
            <w:r>
              <w:t>-</w:t>
            </w:r>
          </w:p>
        </w:tc>
      </w:tr>
      <w:tr w:rsidR="00F66D19" w:rsidRPr="00F66D19" w:rsidTr="00D85469">
        <w:tc>
          <w:tcPr>
            <w:cnfStyle w:val="001000000000"/>
            <w:tcW w:w="3085" w:type="dxa"/>
          </w:tcPr>
          <w:p w:rsidR="00F66D19" w:rsidRPr="00F66D19" w:rsidRDefault="00F66D19" w:rsidP="00E613FE"/>
        </w:tc>
        <w:tc>
          <w:tcPr>
            <w:tcW w:w="3260" w:type="dxa"/>
          </w:tcPr>
          <w:p w:rsidR="00F66D19" w:rsidRPr="00F66D19" w:rsidRDefault="00F66D19" w:rsidP="00E613FE">
            <w:pPr>
              <w:cnfStyle w:val="000000000000"/>
            </w:pPr>
            <w:r w:rsidRPr="00F66D19">
              <w:t>Food effect</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r w:rsidRPr="00F66D19">
              <w:t>PK in special populations</w:t>
            </w:r>
          </w:p>
        </w:tc>
        <w:tc>
          <w:tcPr>
            <w:tcW w:w="3260" w:type="dxa"/>
          </w:tcPr>
          <w:p w:rsidR="00F66D19" w:rsidRPr="00F66D19" w:rsidRDefault="00F66D19" w:rsidP="00E613FE">
            <w:pPr>
              <w:cnfStyle w:val="000000000000"/>
            </w:pPr>
            <w:r>
              <w:t>Target population§</w:t>
            </w:r>
            <w:r w:rsidR="00516476">
              <w:t xml:space="preserve"> </w:t>
            </w:r>
            <w:r w:rsidRPr="00F66D19">
              <w:t>Single dose</w:t>
            </w:r>
          </w:p>
          <w:p w:rsidR="00F66D19" w:rsidRPr="00F66D19" w:rsidRDefault="00F66D19" w:rsidP="00E613FE">
            <w:pPr>
              <w:cnfStyle w:val="000000000000"/>
            </w:pPr>
            <w:r w:rsidRPr="00F66D19">
              <w:t>Multi-dose</w:t>
            </w:r>
          </w:p>
        </w:tc>
        <w:tc>
          <w:tcPr>
            <w:tcW w:w="1985" w:type="dxa"/>
          </w:tcPr>
          <w:p w:rsidR="00F66D19" w:rsidRPr="00F66D19" w:rsidRDefault="00F66D19" w:rsidP="00E613FE">
            <w:pPr>
              <w:cnfStyle w:val="000000000000"/>
            </w:pPr>
            <w:r w:rsidRPr="00F66D19">
              <w:t>AUX-CC-855</w:t>
            </w:r>
          </w:p>
          <w:p w:rsidR="00F66D19" w:rsidRPr="00F66D19" w:rsidRDefault="00F66D19" w:rsidP="00E613FE">
            <w:pPr>
              <w:cnfStyle w:val="000000000000"/>
            </w:pPr>
            <w:r w:rsidRPr="00F66D19">
              <w:t>DUPY-202</w:t>
            </w:r>
          </w:p>
        </w:tc>
      </w:tr>
      <w:tr w:rsidR="00F66D19" w:rsidRPr="00F66D19" w:rsidTr="00D85469">
        <w:tc>
          <w:tcPr>
            <w:cnfStyle w:val="001000000000"/>
            <w:tcW w:w="3085" w:type="dxa"/>
          </w:tcPr>
          <w:p w:rsidR="00F66D19" w:rsidRPr="00F66D19" w:rsidRDefault="00F66D19" w:rsidP="00E613FE"/>
        </w:tc>
        <w:tc>
          <w:tcPr>
            <w:tcW w:w="3260" w:type="dxa"/>
          </w:tcPr>
          <w:p w:rsidR="00F66D19" w:rsidRPr="00F66D19" w:rsidRDefault="00F66D19" w:rsidP="00E613FE">
            <w:pPr>
              <w:cnfStyle w:val="000000000000"/>
            </w:pPr>
            <w:r w:rsidRPr="00F66D19">
              <w:t>Hepatic impairment</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tc>
        <w:tc>
          <w:tcPr>
            <w:tcW w:w="3260" w:type="dxa"/>
          </w:tcPr>
          <w:p w:rsidR="00F66D19" w:rsidRPr="00F66D19" w:rsidRDefault="00F66D19" w:rsidP="00E613FE">
            <w:pPr>
              <w:cnfStyle w:val="000000000000"/>
            </w:pPr>
            <w:r w:rsidRPr="00F66D19">
              <w:t>Renal impairment</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tc>
        <w:tc>
          <w:tcPr>
            <w:tcW w:w="3260" w:type="dxa"/>
          </w:tcPr>
          <w:p w:rsidR="00D85469" w:rsidRDefault="00F66D19" w:rsidP="00E613FE">
            <w:pPr>
              <w:cnfStyle w:val="000000000000"/>
            </w:pPr>
            <w:r w:rsidRPr="00F66D19">
              <w:t>Neonates/infants/children/</w:t>
            </w:r>
          </w:p>
          <w:p w:rsidR="00F66D19" w:rsidRPr="00F66D19" w:rsidRDefault="00F66D19" w:rsidP="00E613FE">
            <w:pPr>
              <w:cnfStyle w:val="000000000000"/>
            </w:pPr>
            <w:r w:rsidRPr="00F66D19">
              <w:t>adolescents</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tc>
        <w:tc>
          <w:tcPr>
            <w:tcW w:w="3260" w:type="dxa"/>
          </w:tcPr>
          <w:p w:rsidR="00F66D19" w:rsidRPr="00F66D19" w:rsidRDefault="00F66D19" w:rsidP="00E613FE">
            <w:pPr>
              <w:cnfStyle w:val="000000000000"/>
            </w:pPr>
            <w:r w:rsidRPr="00F66D19">
              <w:t>Elderly</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r w:rsidRPr="00F66D19">
              <w:t xml:space="preserve">Genetic/gender-related </w:t>
            </w:r>
            <w:r w:rsidR="00D85469">
              <w:t>P</w:t>
            </w:r>
            <w:r w:rsidRPr="00F66D19">
              <w:t>K</w:t>
            </w:r>
          </w:p>
        </w:tc>
        <w:tc>
          <w:tcPr>
            <w:tcW w:w="3260" w:type="dxa"/>
          </w:tcPr>
          <w:p w:rsidR="00F66D19" w:rsidRPr="00F66D19" w:rsidRDefault="00F66D19" w:rsidP="00E613FE">
            <w:pPr>
              <w:cnfStyle w:val="000000000000"/>
            </w:pPr>
            <w:r>
              <w:t>Males versus</w:t>
            </w:r>
            <w:r w:rsidRPr="00F66D19">
              <w:t xml:space="preserve"> females</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r w:rsidRPr="00F66D19">
              <w:lastRenderedPageBreak/>
              <w:t>PK interactions</w:t>
            </w:r>
          </w:p>
        </w:tc>
        <w:tc>
          <w:tcPr>
            <w:tcW w:w="3260" w:type="dxa"/>
          </w:tcPr>
          <w:p w:rsidR="00F66D19" w:rsidRPr="00F66D19" w:rsidRDefault="00F66D19" w:rsidP="00E613FE">
            <w:pPr>
              <w:cnfStyle w:val="000000000000"/>
            </w:pPr>
            <w:r w:rsidRPr="00F66D19">
              <w:t>-</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r w:rsidRPr="00F66D19">
              <w:t>Population PK analyses</w:t>
            </w:r>
          </w:p>
        </w:tc>
        <w:tc>
          <w:tcPr>
            <w:tcW w:w="3260" w:type="dxa"/>
          </w:tcPr>
          <w:p w:rsidR="00F66D19" w:rsidRPr="00F66D19" w:rsidRDefault="00F66D19" w:rsidP="00E613FE">
            <w:pPr>
              <w:cnfStyle w:val="000000000000"/>
            </w:pPr>
            <w:r w:rsidRPr="00F66D19">
              <w:t>Healthy Subjects</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tc>
        <w:tc>
          <w:tcPr>
            <w:tcW w:w="3260" w:type="dxa"/>
          </w:tcPr>
          <w:p w:rsidR="00F66D19" w:rsidRPr="00F66D19" w:rsidRDefault="00F66D19" w:rsidP="00E613FE">
            <w:pPr>
              <w:cnfStyle w:val="000000000000"/>
            </w:pPr>
            <w:r w:rsidRPr="00F66D19">
              <w:t>Target Population</w:t>
            </w:r>
          </w:p>
        </w:tc>
        <w:tc>
          <w:tcPr>
            <w:tcW w:w="1985" w:type="dxa"/>
          </w:tcPr>
          <w:p w:rsidR="00F66D19" w:rsidRPr="00F66D19" w:rsidRDefault="00F66D19" w:rsidP="00E613FE">
            <w:pPr>
              <w:cnfStyle w:val="000000000000"/>
            </w:pPr>
            <w:r w:rsidRPr="00F66D19">
              <w:t>-</w:t>
            </w:r>
          </w:p>
        </w:tc>
      </w:tr>
      <w:tr w:rsidR="00F66D19" w:rsidRPr="00F66D19" w:rsidTr="00D85469">
        <w:tc>
          <w:tcPr>
            <w:cnfStyle w:val="001000000000"/>
            <w:tcW w:w="3085" w:type="dxa"/>
          </w:tcPr>
          <w:p w:rsidR="00F66D19" w:rsidRPr="00F66D19" w:rsidRDefault="00F66D19" w:rsidP="00E613FE"/>
        </w:tc>
        <w:tc>
          <w:tcPr>
            <w:tcW w:w="3260" w:type="dxa"/>
          </w:tcPr>
          <w:p w:rsidR="00F66D19" w:rsidRPr="00F66D19" w:rsidRDefault="00F66D19" w:rsidP="00E613FE">
            <w:pPr>
              <w:cnfStyle w:val="000000000000"/>
            </w:pPr>
            <w:r w:rsidRPr="00F66D19">
              <w:t>Other</w:t>
            </w:r>
          </w:p>
        </w:tc>
        <w:tc>
          <w:tcPr>
            <w:tcW w:w="1985" w:type="dxa"/>
          </w:tcPr>
          <w:p w:rsidR="00F66D19" w:rsidRPr="00F66D19" w:rsidRDefault="00F66D19" w:rsidP="00E613FE">
            <w:pPr>
              <w:cnfStyle w:val="000000000000"/>
            </w:pPr>
            <w:r w:rsidRPr="00F66D19">
              <w:t>-</w:t>
            </w:r>
          </w:p>
        </w:tc>
      </w:tr>
    </w:tbl>
    <w:p w:rsidR="00BF4EBA" w:rsidRPr="00D85469" w:rsidRDefault="00BF4EBA" w:rsidP="00E613FE">
      <w:pPr>
        <w:pStyle w:val="TableDescription"/>
      </w:pPr>
      <w:r w:rsidRPr="00D85469">
        <w:t>† Bioequivalence of different formulations.</w:t>
      </w:r>
    </w:p>
    <w:p w:rsidR="00BF4EBA" w:rsidRPr="00D85469" w:rsidRDefault="00BF4EBA" w:rsidP="00E613FE">
      <w:pPr>
        <w:pStyle w:val="TableDescription"/>
      </w:pPr>
      <w:r w:rsidRPr="00D85469">
        <w:t>§ Subjects who would be eligible to receive the drug if approved for the proposed indication.</w:t>
      </w:r>
    </w:p>
    <w:p w:rsidR="00BF4EBA" w:rsidRPr="00426667" w:rsidRDefault="00BF4EBA" w:rsidP="00E613FE">
      <w:r w:rsidRPr="00D85469">
        <w:t>Table</w:t>
      </w:r>
      <w:r w:rsidR="00D85469" w:rsidRPr="00D85469">
        <w:t xml:space="preserve"> </w:t>
      </w:r>
      <w:r w:rsidRPr="00D85469">
        <w:t>2 below, lists pharmacokinetic results that were excluded from consideration due to study deficienci</w:t>
      </w:r>
      <w:r w:rsidRPr="00426667">
        <w:t xml:space="preserve">es. </w:t>
      </w:r>
    </w:p>
    <w:p w:rsidR="00BF4EBA" w:rsidRPr="00426667" w:rsidRDefault="00BF4EBA" w:rsidP="00E613FE">
      <w:pPr>
        <w:pStyle w:val="TableTitle"/>
      </w:pPr>
      <w:bookmarkStart w:id="26" w:name="_Ref271031346"/>
      <w:bookmarkStart w:id="27" w:name="_Toc342578573"/>
      <w:bookmarkStart w:id="28" w:name="_Toc353960334"/>
      <w:r w:rsidRPr="00426667">
        <w:t xml:space="preserve">Table </w:t>
      </w:r>
      <w:r w:rsidR="00D85469">
        <w:t>2.</w:t>
      </w:r>
      <w:bookmarkEnd w:id="26"/>
      <w:r w:rsidRPr="00426667">
        <w:t xml:space="preserve"> Pharmacokinetic results excluded from consideration.</w:t>
      </w:r>
      <w:bookmarkEnd w:id="27"/>
      <w:bookmarkEnd w:id="28"/>
    </w:p>
    <w:tbl>
      <w:tblPr>
        <w:tblStyle w:val="TableTGAblue"/>
        <w:tblW w:w="7905" w:type="dxa"/>
        <w:tblLayout w:type="fixed"/>
        <w:tblLook w:val="04A0"/>
      </w:tblPr>
      <w:tblGrid>
        <w:gridCol w:w="1809"/>
        <w:gridCol w:w="3261"/>
        <w:gridCol w:w="2835"/>
      </w:tblGrid>
      <w:tr w:rsidR="00D85469" w:rsidRPr="00426667" w:rsidTr="00D85469">
        <w:trPr>
          <w:cnfStyle w:val="100000000000"/>
        </w:trPr>
        <w:tc>
          <w:tcPr>
            <w:cnfStyle w:val="001000000000"/>
            <w:tcW w:w="1809" w:type="dxa"/>
          </w:tcPr>
          <w:p w:rsidR="00D85469" w:rsidRPr="00D85469" w:rsidRDefault="00D85469" w:rsidP="00E613FE">
            <w:r w:rsidRPr="00D85469">
              <w:t>Study ID</w:t>
            </w:r>
          </w:p>
        </w:tc>
        <w:tc>
          <w:tcPr>
            <w:tcW w:w="3261" w:type="dxa"/>
          </w:tcPr>
          <w:p w:rsidR="00D85469" w:rsidRPr="00D85469" w:rsidRDefault="00D85469" w:rsidP="00E613FE">
            <w:pPr>
              <w:cnfStyle w:val="100000000000"/>
            </w:pPr>
            <w:r w:rsidRPr="00D85469">
              <w:t>Subtopic(s)</w:t>
            </w:r>
          </w:p>
        </w:tc>
        <w:tc>
          <w:tcPr>
            <w:tcW w:w="2835" w:type="dxa"/>
          </w:tcPr>
          <w:p w:rsidR="00D85469" w:rsidRPr="00D85469" w:rsidRDefault="00D85469" w:rsidP="00E613FE">
            <w:pPr>
              <w:cnfStyle w:val="100000000000"/>
            </w:pPr>
            <w:r w:rsidRPr="00D85469">
              <w:t>PK results excluded</w:t>
            </w:r>
          </w:p>
        </w:tc>
      </w:tr>
      <w:tr w:rsidR="00D85469" w:rsidRPr="00426667" w:rsidTr="00D85469">
        <w:tc>
          <w:tcPr>
            <w:cnfStyle w:val="001000000000"/>
            <w:tcW w:w="1809" w:type="dxa"/>
          </w:tcPr>
          <w:p w:rsidR="00D85469" w:rsidRPr="00D85469" w:rsidRDefault="00D85469" w:rsidP="00E613FE">
            <w:r w:rsidRPr="00D85469">
              <w:t>DUPY-202</w:t>
            </w:r>
          </w:p>
        </w:tc>
        <w:tc>
          <w:tcPr>
            <w:tcW w:w="3261" w:type="dxa"/>
          </w:tcPr>
          <w:p w:rsidR="00D85469" w:rsidRPr="00D85469" w:rsidRDefault="00D85469" w:rsidP="00E613FE">
            <w:pPr>
              <w:cnfStyle w:val="000000000000"/>
            </w:pPr>
            <w:r w:rsidRPr="00D85469">
              <w:t>Urinary excretion</w:t>
            </w:r>
          </w:p>
        </w:tc>
        <w:tc>
          <w:tcPr>
            <w:tcW w:w="2835" w:type="dxa"/>
          </w:tcPr>
          <w:p w:rsidR="00D85469" w:rsidRPr="00D85469" w:rsidRDefault="00D85469" w:rsidP="00E613FE">
            <w:pPr>
              <w:cnfStyle w:val="000000000000"/>
            </w:pPr>
            <w:r w:rsidRPr="00D85469">
              <w:t>Urine PK results</w:t>
            </w:r>
          </w:p>
        </w:tc>
      </w:tr>
    </w:tbl>
    <w:p w:rsidR="00BF4EBA" w:rsidRPr="00426667" w:rsidRDefault="00BF4EBA" w:rsidP="00E613FE">
      <w:pPr>
        <w:pStyle w:val="Heading3"/>
      </w:pPr>
      <w:bookmarkStart w:id="29" w:name="_Ref269118175"/>
      <w:bookmarkStart w:id="30" w:name="_Toc272414616"/>
      <w:bookmarkStart w:id="31" w:name="_Toc290846239"/>
      <w:bookmarkStart w:id="32" w:name="_Toc353960229"/>
      <w:bookmarkStart w:id="33" w:name="_Toc374966957"/>
      <w:r w:rsidRPr="00426667">
        <w:t>Summary of pharmacokinetics</w:t>
      </w:r>
      <w:bookmarkEnd w:id="29"/>
      <w:bookmarkEnd w:id="30"/>
      <w:bookmarkEnd w:id="31"/>
      <w:bookmarkEnd w:id="32"/>
      <w:bookmarkEnd w:id="33"/>
    </w:p>
    <w:p w:rsidR="00BF4EBA" w:rsidRPr="00426667" w:rsidRDefault="00BF4EBA" w:rsidP="00E613FE">
      <w:pPr>
        <w:pStyle w:val="Heading4"/>
      </w:pPr>
      <w:bookmarkStart w:id="34" w:name="_Toc272414617"/>
      <w:bookmarkStart w:id="35" w:name="_Toc290846240"/>
      <w:bookmarkStart w:id="36" w:name="_Toc353960230"/>
      <w:r w:rsidRPr="00426667">
        <w:t>Physicochemical characteristics of the active substance</w:t>
      </w:r>
      <w:bookmarkEnd w:id="34"/>
      <w:bookmarkEnd w:id="35"/>
      <w:bookmarkEnd w:id="36"/>
    </w:p>
    <w:p w:rsidR="00BF4EBA" w:rsidRPr="00426667" w:rsidRDefault="00BF4EBA" w:rsidP="00E613FE">
      <w:pPr>
        <w:rPr>
          <w:lang w:eastAsia="zh-TW"/>
        </w:rPr>
      </w:pPr>
      <w:r w:rsidRPr="00426667">
        <w:t xml:space="preserve">The following information is derived from the </w:t>
      </w:r>
      <w:r w:rsidR="00D85469" w:rsidRPr="00426667">
        <w:t xml:space="preserve">summaries </w:t>
      </w:r>
      <w:r w:rsidR="00D85469">
        <w:t>the s</w:t>
      </w:r>
      <w:r w:rsidRPr="00426667">
        <w:t xml:space="preserve">ponsor’s </w:t>
      </w:r>
      <w:r w:rsidR="00D85469">
        <w:t>submitted with the their application</w:t>
      </w:r>
      <w:r w:rsidRPr="00426667">
        <w:t xml:space="preserve">. </w:t>
      </w:r>
      <w:proofErr w:type="spellStart"/>
      <w:r w:rsidRPr="00426667">
        <w:rPr>
          <w:lang w:eastAsia="zh-TW"/>
        </w:rPr>
        <w:t>Collagenase</w:t>
      </w:r>
      <w:proofErr w:type="spellEnd"/>
      <w:r w:rsidRPr="00426667">
        <w:rPr>
          <w:lang w:eastAsia="zh-TW"/>
        </w:rPr>
        <w:t xml:space="preserve"> clostridium </w:t>
      </w:r>
      <w:proofErr w:type="spellStart"/>
      <w:r w:rsidRPr="00426667">
        <w:rPr>
          <w:lang w:eastAsia="zh-TW"/>
        </w:rPr>
        <w:t>histolyticum</w:t>
      </w:r>
      <w:proofErr w:type="spellEnd"/>
      <w:r w:rsidRPr="00426667">
        <w:rPr>
          <w:lang w:eastAsia="zh-TW"/>
        </w:rPr>
        <w:t xml:space="preserve"> (AA4500) is a parenteral lyophilised product comprised of two </w:t>
      </w:r>
      <w:proofErr w:type="spellStart"/>
      <w:r w:rsidRPr="00426667">
        <w:rPr>
          <w:lang w:eastAsia="zh-TW"/>
        </w:rPr>
        <w:t>collagenases</w:t>
      </w:r>
      <w:proofErr w:type="spellEnd"/>
      <w:r w:rsidRPr="00426667">
        <w:rPr>
          <w:lang w:eastAsia="zh-TW"/>
        </w:rPr>
        <w:t xml:space="preserve"> in an approximate 1:1 mass ratio, </w:t>
      </w:r>
      <w:proofErr w:type="spellStart"/>
      <w:r w:rsidRPr="00426667">
        <w:rPr>
          <w:lang w:eastAsia="zh-TW"/>
        </w:rPr>
        <w:t>Collagenase</w:t>
      </w:r>
      <w:proofErr w:type="spellEnd"/>
      <w:r w:rsidRPr="00426667">
        <w:rPr>
          <w:lang w:eastAsia="zh-TW"/>
        </w:rPr>
        <w:t xml:space="preserve"> I (AUX-I, </w:t>
      </w:r>
      <w:proofErr w:type="spellStart"/>
      <w:r w:rsidRPr="00426667">
        <w:rPr>
          <w:lang w:eastAsia="zh-TW"/>
        </w:rPr>
        <w:t>Clostridial</w:t>
      </w:r>
      <w:proofErr w:type="spellEnd"/>
      <w:r w:rsidRPr="00426667">
        <w:rPr>
          <w:lang w:eastAsia="zh-TW"/>
        </w:rPr>
        <w:t xml:space="preserve"> type I </w:t>
      </w:r>
      <w:proofErr w:type="spellStart"/>
      <w:r w:rsidRPr="00426667">
        <w:rPr>
          <w:lang w:eastAsia="zh-TW"/>
        </w:rPr>
        <w:t>collagenase</w:t>
      </w:r>
      <w:proofErr w:type="spellEnd"/>
      <w:r w:rsidRPr="00426667">
        <w:rPr>
          <w:lang w:eastAsia="zh-TW"/>
        </w:rPr>
        <w:t xml:space="preserve">, formerly known as ABC-I) and </w:t>
      </w:r>
      <w:proofErr w:type="spellStart"/>
      <w:r w:rsidRPr="00426667">
        <w:rPr>
          <w:lang w:eastAsia="zh-TW"/>
        </w:rPr>
        <w:t>Collagenase</w:t>
      </w:r>
      <w:proofErr w:type="spellEnd"/>
      <w:r w:rsidRPr="00426667">
        <w:rPr>
          <w:lang w:eastAsia="zh-TW"/>
        </w:rPr>
        <w:t xml:space="preserve"> II (AUX-II; </w:t>
      </w:r>
      <w:proofErr w:type="spellStart"/>
      <w:r w:rsidRPr="00426667">
        <w:rPr>
          <w:lang w:eastAsia="zh-TW"/>
        </w:rPr>
        <w:t>Clostridial</w:t>
      </w:r>
      <w:proofErr w:type="spellEnd"/>
      <w:r w:rsidRPr="00426667">
        <w:rPr>
          <w:lang w:eastAsia="zh-TW"/>
        </w:rPr>
        <w:t xml:space="preserve"> type II </w:t>
      </w:r>
      <w:proofErr w:type="spellStart"/>
      <w:r w:rsidRPr="00426667">
        <w:rPr>
          <w:lang w:eastAsia="zh-TW"/>
        </w:rPr>
        <w:t>collagenase</w:t>
      </w:r>
      <w:proofErr w:type="spellEnd"/>
      <w:r w:rsidRPr="00426667">
        <w:rPr>
          <w:lang w:eastAsia="zh-TW"/>
        </w:rPr>
        <w:t xml:space="preserve">, formerly known as ABC-II). These </w:t>
      </w:r>
      <w:proofErr w:type="spellStart"/>
      <w:r w:rsidRPr="00426667">
        <w:rPr>
          <w:lang w:eastAsia="zh-TW"/>
        </w:rPr>
        <w:t>collagenases</w:t>
      </w:r>
      <w:proofErr w:type="spellEnd"/>
      <w:r w:rsidRPr="00426667">
        <w:rPr>
          <w:lang w:eastAsia="zh-TW"/>
        </w:rPr>
        <w:t xml:space="preserve"> are isolated and purified from the fermentation of </w:t>
      </w:r>
      <w:r w:rsidRPr="00426667">
        <w:rPr>
          <w:i/>
          <w:iCs/>
          <w:lang w:eastAsia="zh-TW"/>
        </w:rPr>
        <w:t xml:space="preserve">Clostridium </w:t>
      </w:r>
      <w:proofErr w:type="spellStart"/>
      <w:r w:rsidRPr="00426667">
        <w:rPr>
          <w:i/>
          <w:iCs/>
          <w:lang w:eastAsia="zh-TW"/>
        </w:rPr>
        <w:t>histolyticum</w:t>
      </w:r>
      <w:proofErr w:type="spellEnd"/>
      <w:r w:rsidRPr="00426667">
        <w:rPr>
          <w:lang w:eastAsia="zh-TW"/>
        </w:rPr>
        <w:t xml:space="preserve">. </w:t>
      </w:r>
    </w:p>
    <w:p w:rsidR="00BF4EBA" w:rsidRPr="00426667" w:rsidRDefault="00BF4EBA" w:rsidP="00E613FE">
      <w:pPr>
        <w:rPr>
          <w:lang w:eastAsia="zh-TW"/>
        </w:rPr>
      </w:pPr>
      <w:proofErr w:type="spellStart"/>
      <w:r w:rsidRPr="00426667">
        <w:rPr>
          <w:lang w:eastAsia="zh-TW"/>
        </w:rPr>
        <w:t>Collagenase</w:t>
      </w:r>
      <w:proofErr w:type="spellEnd"/>
      <w:r w:rsidRPr="00426667">
        <w:rPr>
          <w:lang w:eastAsia="zh-TW"/>
        </w:rPr>
        <w:t xml:space="preserve"> AUX-I is a single polypeptide chain containing approximately 1,000 amino acids of known sequence and with a molecular weight of 114 </w:t>
      </w:r>
      <w:proofErr w:type="spellStart"/>
      <w:r w:rsidRPr="00426667">
        <w:rPr>
          <w:lang w:eastAsia="zh-TW"/>
        </w:rPr>
        <w:t>kiloDaltons</w:t>
      </w:r>
      <w:proofErr w:type="spellEnd"/>
      <w:r w:rsidRPr="00426667">
        <w:rPr>
          <w:lang w:eastAsia="zh-TW"/>
        </w:rPr>
        <w:t xml:space="preserve"> (</w:t>
      </w:r>
      <w:proofErr w:type="spellStart"/>
      <w:r w:rsidRPr="00426667">
        <w:rPr>
          <w:lang w:eastAsia="zh-TW"/>
        </w:rPr>
        <w:t>kDa</w:t>
      </w:r>
      <w:proofErr w:type="spellEnd"/>
      <w:r w:rsidRPr="00426667">
        <w:rPr>
          <w:lang w:eastAsia="zh-TW"/>
        </w:rPr>
        <w:t xml:space="preserve">). </w:t>
      </w:r>
      <w:proofErr w:type="spellStart"/>
      <w:r w:rsidRPr="00426667">
        <w:rPr>
          <w:lang w:eastAsia="zh-TW"/>
        </w:rPr>
        <w:t>Collagenase</w:t>
      </w:r>
      <w:proofErr w:type="spellEnd"/>
      <w:r w:rsidRPr="00426667">
        <w:rPr>
          <w:lang w:eastAsia="zh-TW"/>
        </w:rPr>
        <w:t xml:space="preserve"> AUX-II is also approximately 1,000 amino acids long and has a molecular weight of 113 kDa. </w:t>
      </w:r>
    </w:p>
    <w:p w:rsidR="00BF4EBA" w:rsidRPr="00426667" w:rsidRDefault="00BF4EBA" w:rsidP="00E613FE">
      <w:pPr>
        <w:pStyle w:val="Heading4"/>
      </w:pPr>
      <w:bookmarkStart w:id="37" w:name="_Ref271189106"/>
      <w:bookmarkStart w:id="38" w:name="_Ref271189143"/>
      <w:bookmarkStart w:id="39" w:name="_Toc272414618"/>
      <w:bookmarkStart w:id="40" w:name="_Toc290846241"/>
      <w:bookmarkStart w:id="41" w:name="_Toc353960231"/>
      <w:r w:rsidRPr="00426667">
        <w:t xml:space="preserve">Pharmacokinetics in </w:t>
      </w:r>
      <w:bookmarkEnd w:id="37"/>
      <w:bookmarkEnd w:id="38"/>
      <w:bookmarkEnd w:id="39"/>
      <w:bookmarkEnd w:id="40"/>
      <w:r w:rsidRPr="00426667">
        <w:t>the target population</w:t>
      </w:r>
      <w:bookmarkEnd w:id="41"/>
    </w:p>
    <w:p w:rsidR="00BF4EBA" w:rsidRPr="00426667" w:rsidRDefault="00BF4EBA" w:rsidP="00E613FE">
      <w:pPr>
        <w:pStyle w:val="Heading5"/>
      </w:pPr>
      <w:bookmarkStart w:id="42" w:name="_Toc272414619"/>
      <w:bookmarkStart w:id="43" w:name="_Toc290846242"/>
      <w:bookmarkStart w:id="44" w:name="_Toc353960232"/>
      <w:r w:rsidRPr="00426667">
        <w:t>Absorption</w:t>
      </w:r>
      <w:bookmarkEnd w:id="42"/>
      <w:bookmarkEnd w:id="43"/>
      <w:bookmarkEnd w:id="44"/>
    </w:p>
    <w:p w:rsidR="00BF4EBA" w:rsidRPr="00426667" w:rsidRDefault="00BF4EBA" w:rsidP="00E613FE">
      <w:r w:rsidRPr="00426667">
        <w:t xml:space="preserve">The data from </w:t>
      </w:r>
      <w:r w:rsidR="008208D2">
        <w:t>Study AUX-CC-855</w:t>
      </w:r>
      <w:r w:rsidRPr="00426667">
        <w:t xml:space="preserve"> indicate that there is no quantifiable systemic absorption of AA4500 </w:t>
      </w:r>
      <w:r w:rsidRPr="00426667">
        <w:rPr>
          <w:lang w:eastAsia="zh-TW"/>
        </w:rPr>
        <w:t>(</w:t>
      </w:r>
      <w:r w:rsidR="00D85469">
        <w:rPr>
          <w:lang w:eastAsia="zh-TW"/>
        </w:rPr>
        <w:t>that is,</w:t>
      </w:r>
      <w:r w:rsidRPr="00426667">
        <w:rPr>
          <w:lang w:eastAsia="zh-TW"/>
        </w:rPr>
        <w:t xml:space="preserve"> </w:t>
      </w:r>
      <w:r w:rsidR="00D85469">
        <w:rPr>
          <w:lang w:eastAsia="zh-TW"/>
        </w:rPr>
        <w:t>≤</w:t>
      </w:r>
      <w:r w:rsidRPr="00426667">
        <w:rPr>
          <w:lang w:eastAsia="zh-TW"/>
        </w:rPr>
        <w:t xml:space="preserve"> 5 ng/mL for AUX-I and ≤ 25 ng/mL for AUX-II) </w:t>
      </w:r>
      <w:r w:rsidRPr="00426667">
        <w:t xml:space="preserve">following a single local injection of 0.58 mg (10,000 U) into the affected </w:t>
      </w:r>
      <w:proofErr w:type="spellStart"/>
      <w:r w:rsidRPr="00426667">
        <w:t>Dupuytren's</w:t>
      </w:r>
      <w:proofErr w:type="spellEnd"/>
      <w:r w:rsidRPr="00426667">
        <w:t xml:space="preserve"> cord. This was supported by limited data from DUPY-202.</w:t>
      </w:r>
    </w:p>
    <w:p w:rsidR="00BF4EBA" w:rsidRPr="00426667" w:rsidRDefault="00D85469" w:rsidP="00E613FE">
      <w:r>
        <w:t xml:space="preserve">In </w:t>
      </w:r>
      <w:r w:rsidR="008208D2">
        <w:t>Study DUPY</w:t>
      </w:r>
      <w:r w:rsidR="00BF4EBA" w:rsidRPr="00426667">
        <w:t xml:space="preserve">-202 one subject had 0.25 </w:t>
      </w:r>
      <w:proofErr w:type="spellStart"/>
      <w:r w:rsidR="00BF4EBA" w:rsidRPr="00426667">
        <w:t>mL</w:t>
      </w:r>
      <w:proofErr w:type="spellEnd"/>
      <w:r w:rsidR="00BF4EBA" w:rsidRPr="00426667">
        <w:t xml:space="preserve"> of </w:t>
      </w:r>
      <w:proofErr w:type="spellStart"/>
      <w:r w:rsidR="00BF4EBA" w:rsidRPr="00426667">
        <w:t>methylene</w:t>
      </w:r>
      <w:proofErr w:type="spellEnd"/>
      <w:r w:rsidR="00BF4EBA" w:rsidRPr="00426667">
        <w:t xml:space="preserve"> blue 1% solution injected into the affected cord to assess possible diffusion of </w:t>
      </w:r>
      <w:proofErr w:type="spellStart"/>
      <w:r w:rsidR="00BF4EBA" w:rsidRPr="00426667">
        <w:t>collagenase</w:t>
      </w:r>
      <w:proofErr w:type="spellEnd"/>
      <w:r w:rsidR="00BF4EBA" w:rsidRPr="00426667">
        <w:t xml:space="preserve"> from the cord. The blue colour was seen to immediately diffuse from the site, however it was not possible to determine </w:t>
      </w:r>
      <w:r>
        <w:t>the amount that diffused. The s</w:t>
      </w:r>
      <w:r w:rsidR="00BF4EBA" w:rsidRPr="00426667">
        <w:t xml:space="preserve">ponsor stated that </w:t>
      </w:r>
      <w:proofErr w:type="spellStart"/>
      <w:r w:rsidR="00BF4EBA" w:rsidRPr="00426667">
        <w:t>collagenase</w:t>
      </w:r>
      <w:proofErr w:type="spellEnd"/>
      <w:r w:rsidR="00BF4EBA" w:rsidRPr="00426667">
        <w:t xml:space="preserve"> could be expected to diffuse from the site and this was supported by clinical observation of short term wrist and hand swelling soon after injection.</w:t>
      </w:r>
    </w:p>
    <w:p w:rsidR="00BF4EBA" w:rsidRPr="008208D2" w:rsidRDefault="008208D2" w:rsidP="00E613FE">
      <w:pPr>
        <w:ind w:left="1418" w:hanging="1418"/>
      </w:pPr>
      <w:r>
        <w:t xml:space="preserve">Comment: </w:t>
      </w:r>
      <w:r>
        <w:tab/>
        <w:t>It wa</w:t>
      </w:r>
      <w:r w:rsidR="00BF4EBA" w:rsidRPr="008208D2">
        <w:t xml:space="preserve">s not possible to draw conclusions from this single case which used a molecule smaller than the </w:t>
      </w:r>
      <w:proofErr w:type="spellStart"/>
      <w:r w:rsidR="00BF4EBA" w:rsidRPr="008208D2">
        <w:t>collagenase</w:t>
      </w:r>
      <w:proofErr w:type="spellEnd"/>
      <w:r w:rsidR="00BF4EBA" w:rsidRPr="008208D2">
        <w:t xml:space="preserve"> product.</w:t>
      </w:r>
    </w:p>
    <w:p w:rsidR="00BF4EBA" w:rsidRPr="00426667" w:rsidRDefault="00BF4EBA" w:rsidP="00E613FE">
      <w:pPr>
        <w:pStyle w:val="Heading5"/>
      </w:pPr>
      <w:bookmarkStart w:id="45" w:name="_Toc241374288"/>
      <w:bookmarkStart w:id="46" w:name="_Toc272414621"/>
      <w:bookmarkStart w:id="47" w:name="_Toc290846244"/>
      <w:bookmarkStart w:id="48" w:name="_Toc353960233"/>
      <w:r w:rsidRPr="00426667">
        <w:t>Distribution</w:t>
      </w:r>
      <w:bookmarkEnd w:id="45"/>
      <w:bookmarkEnd w:id="46"/>
      <w:bookmarkEnd w:id="47"/>
      <w:bookmarkEnd w:id="48"/>
    </w:p>
    <w:p w:rsidR="00BF4EBA" w:rsidRPr="00426667" w:rsidRDefault="00BF4EBA" w:rsidP="00E613FE">
      <w:r w:rsidRPr="00426667">
        <w:t>No tissue distribution studies have been performed.</w:t>
      </w:r>
    </w:p>
    <w:p w:rsidR="00BF4EBA" w:rsidRPr="00426667" w:rsidRDefault="00BF4EBA" w:rsidP="00E613FE">
      <w:pPr>
        <w:pStyle w:val="Heading5"/>
      </w:pPr>
      <w:bookmarkStart w:id="49" w:name="_Toc272414622"/>
      <w:bookmarkStart w:id="50" w:name="_Toc290846245"/>
      <w:bookmarkStart w:id="51" w:name="_Toc353960234"/>
      <w:r w:rsidRPr="00426667">
        <w:lastRenderedPageBreak/>
        <w:t>Metabolism</w:t>
      </w:r>
      <w:bookmarkEnd w:id="49"/>
      <w:bookmarkEnd w:id="50"/>
      <w:bookmarkEnd w:id="51"/>
    </w:p>
    <w:p w:rsidR="00BF4EBA" w:rsidRPr="00426667" w:rsidRDefault="00BF4EBA" w:rsidP="00E613FE">
      <w:r w:rsidRPr="00426667">
        <w:t>AA4500 is not a substrate for CYP450 or other drug metabolising pathways and no metabolism studies have been performed. The protein is active in its native form and does not require cleavage.</w:t>
      </w:r>
    </w:p>
    <w:p w:rsidR="00BF4EBA" w:rsidRPr="00426667" w:rsidRDefault="00BF4EBA" w:rsidP="00E613FE">
      <w:pPr>
        <w:pStyle w:val="Heading5"/>
      </w:pPr>
      <w:bookmarkStart w:id="52" w:name="_Toc241374289"/>
      <w:bookmarkStart w:id="53" w:name="_Toc272414623"/>
      <w:bookmarkStart w:id="54" w:name="_Toc290846246"/>
      <w:bookmarkStart w:id="55" w:name="_Toc353960235"/>
      <w:r w:rsidRPr="00426667">
        <w:t>E</w:t>
      </w:r>
      <w:bookmarkEnd w:id="52"/>
      <w:r w:rsidRPr="00426667">
        <w:t>xcretion</w:t>
      </w:r>
      <w:bookmarkEnd w:id="53"/>
      <w:bookmarkEnd w:id="54"/>
      <w:bookmarkEnd w:id="55"/>
    </w:p>
    <w:p w:rsidR="00BF4EBA" w:rsidRPr="00426667" w:rsidRDefault="00BF4EBA" w:rsidP="00E613FE">
      <w:r w:rsidRPr="00426667">
        <w:t xml:space="preserve">Excretion has not been assessed due to the lack of systemic absorption. There were no urinary samples collected in </w:t>
      </w:r>
      <w:r w:rsidR="008208D2">
        <w:t>Study AUX-CC-855</w:t>
      </w:r>
      <w:r w:rsidRPr="00426667">
        <w:t xml:space="preserve"> and a urinary assay was not developed or validated.</w:t>
      </w:r>
    </w:p>
    <w:p w:rsidR="00BF4EBA" w:rsidRPr="00426667" w:rsidRDefault="008208D2" w:rsidP="00E613FE">
      <w:bookmarkStart w:id="56" w:name="_Toc241374293"/>
      <w:r>
        <w:t>The sponsor</w:t>
      </w:r>
      <w:r w:rsidR="00BF4EBA" w:rsidRPr="00426667">
        <w:t xml:space="preserve"> states that AA4500 is inactivated locally, most likely as a result of complex formation with α-2-macroglobulin (α2M) which is a serum protein that is a substrate for proteases of varying types. This reaction limits the systemic circulation of AUX-I and AUX-II. This is supported by data showing inhibition of AUX-I and AUX-II enzyme activity by α2M when pre-incubated at room temperature in the absence of collagen substrate (90% for AUX-I at 24 hours and 80% for AUX-II at 2 hours, Report MBR 10-112).</w:t>
      </w:r>
    </w:p>
    <w:p w:rsidR="00BF4EBA" w:rsidRPr="00426667" w:rsidRDefault="00BF4EBA" w:rsidP="00E613FE">
      <w:pPr>
        <w:pStyle w:val="Heading4"/>
      </w:pPr>
      <w:bookmarkStart w:id="57" w:name="_Toc272414626"/>
      <w:bookmarkStart w:id="58" w:name="_Toc290846249"/>
      <w:bookmarkStart w:id="59" w:name="_Toc353960236"/>
      <w:r w:rsidRPr="00426667">
        <w:t>Pharmacokinetics in other special populations</w:t>
      </w:r>
      <w:bookmarkEnd w:id="56"/>
      <w:bookmarkEnd w:id="57"/>
      <w:bookmarkEnd w:id="58"/>
      <w:bookmarkEnd w:id="59"/>
    </w:p>
    <w:p w:rsidR="00BF4EBA" w:rsidRPr="00426667" w:rsidRDefault="00BF4EBA" w:rsidP="00E613FE">
      <w:r w:rsidRPr="00426667">
        <w:t>This has not been assessed due to the lack of systemic absorption.</w:t>
      </w:r>
    </w:p>
    <w:p w:rsidR="00BF4EBA" w:rsidRPr="00426667" w:rsidRDefault="00BF4EBA" w:rsidP="00E613FE">
      <w:pPr>
        <w:pStyle w:val="Heading4"/>
      </w:pPr>
      <w:bookmarkStart w:id="60" w:name="_Toc353960237"/>
      <w:r w:rsidRPr="00426667">
        <w:t>Pharmacokinetic interactions</w:t>
      </w:r>
      <w:bookmarkEnd w:id="60"/>
    </w:p>
    <w:p w:rsidR="00BF4EBA" w:rsidRPr="00426667" w:rsidRDefault="00BF4EBA" w:rsidP="00E613FE">
      <w:r w:rsidRPr="00426667">
        <w:t>Pharmacokinetic drug interaction studies have not been conducted due to the lack of systemic exposure.</w:t>
      </w:r>
    </w:p>
    <w:p w:rsidR="00BF4EBA" w:rsidRPr="00426667" w:rsidRDefault="00BF4EBA" w:rsidP="00E613FE">
      <w:pPr>
        <w:pStyle w:val="Heading3"/>
      </w:pPr>
      <w:bookmarkStart w:id="61" w:name="_Toc241374296"/>
      <w:bookmarkStart w:id="62" w:name="_Ref269982040"/>
      <w:bookmarkStart w:id="63" w:name="_Ref271018704"/>
      <w:bookmarkStart w:id="64" w:name="_Ref271018755"/>
      <w:bookmarkStart w:id="65" w:name="_Toc272414635"/>
      <w:bookmarkStart w:id="66" w:name="_Toc290846258"/>
      <w:bookmarkStart w:id="67" w:name="_Toc353960238"/>
      <w:bookmarkStart w:id="68" w:name="_Toc374966958"/>
      <w:r w:rsidRPr="00426667">
        <w:t>Evaluator’s overall conclusions on pharmacokinetics</w:t>
      </w:r>
      <w:bookmarkEnd w:id="61"/>
      <w:bookmarkEnd w:id="62"/>
      <w:bookmarkEnd w:id="63"/>
      <w:bookmarkEnd w:id="64"/>
      <w:bookmarkEnd w:id="65"/>
      <w:bookmarkEnd w:id="66"/>
      <w:bookmarkEnd w:id="67"/>
      <w:bookmarkEnd w:id="68"/>
    </w:p>
    <w:p w:rsidR="00BF4EBA" w:rsidRPr="00426667" w:rsidRDefault="00BF4EBA" w:rsidP="00E613FE">
      <w:r w:rsidRPr="00426667">
        <w:t xml:space="preserve">After a single injection of AA4500 at a dose of 0.58 mg into the </w:t>
      </w:r>
      <w:proofErr w:type="spellStart"/>
      <w:r w:rsidRPr="00426667">
        <w:t>Dupuytren's</w:t>
      </w:r>
      <w:proofErr w:type="spellEnd"/>
      <w:r w:rsidRPr="00426667">
        <w:t xml:space="preserve"> cord on an affected finger and then a subsequent finger extension procedure there was no quantifiable systemic exposure.</w:t>
      </w:r>
    </w:p>
    <w:p w:rsidR="00BF4EBA" w:rsidRPr="00426667" w:rsidRDefault="00BF4EBA" w:rsidP="00E613FE">
      <w:r w:rsidRPr="00426667">
        <w:t xml:space="preserve">No multiple dose pharmacokinetic study was conducted as no exposure was expected with a dosing regimen of up to one injection each four weeks. </w:t>
      </w:r>
      <w:r w:rsidR="008208D2">
        <w:t>The sponsor</w:t>
      </w:r>
      <w:r w:rsidRPr="00426667">
        <w:t xml:space="preserve"> is however conducting a multiple cord treatment study, AUX-CC-861, in which the safety, tolerability and pharmacokinetics will be assessed when two different cords are treated at the same time.</w:t>
      </w:r>
    </w:p>
    <w:p w:rsidR="00586F98" w:rsidRDefault="00586F98" w:rsidP="00E613FE">
      <w:pPr>
        <w:pStyle w:val="Heading2"/>
      </w:pPr>
      <w:bookmarkStart w:id="69" w:name="_Toc374966959"/>
      <w:r>
        <w:t>Pharmacodynamics</w:t>
      </w:r>
      <w:bookmarkEnd w:id="69"/>
    </w:p>
    <w:p w:rsidR="00BF4EBA" w:rsidRPr="00426667" w:rsidRDefault="00BF4EBA" w:rsidP="00E613FE">
      <w:pPr>
        <w:pStyle w:val="Heading3"/>
      </w:pPr>
      <w:bookmarkStart w:id="70" w:name="_Toc272414637"/>
      <w:bookmarkStart w:id="71" w:name="_Toc290846260"/>
      <w:bookmarkStart w:id="72" w:name="_Toc353960240"/>
      <w:bookmarkStart w:id="73" w:name="_Toc374966960"/>
      <w:r w:rsidRPr="00426667">
        <w:t>Studies providing pharmacodynamic data</w:t>
      </w:r>
      <w:bookmarkEnd w:id="70"/>
      <w:bookmarkEnd w:id="71"/>
      <w:bookmarkEnd w:id="72"/>
      <w:bookmarkEnd w:id="73"/>
    </w:p>
    <w:p w:rsidR="00BF4EBA" w:rsidRPr="00426667" w:rsidRDefault="00BF4EBA" w:rsidP="00E613FE">
      <w:r w:rsidRPr="00426667">
        <w:t xml:space="preserve">There is no reported systemic exposure and no specific clinical pharmacodynamic studies were conducted. </w:t>
      </w:r>
      <w:r w:rsidR="008208D2">
        <w:t>The sponsor</w:t>
      </w:r>
      <w:r w:rsidRPr="00426667">
        <w:t xml:space="preserve"> states the primary pharmacodynamic activity data were obtained from </w:t>
      </w:r>
      <w:r w:rsidRPr="00426667">
        <w:rPr>
          <w:i/>
        </w:rPr>
        <w:t>in vitro</w:t>
      </w:r>
      <w:r w:rsidRPr="00426667">
        <w:t xml:space="preserve"> studies using </w:t>
      </w:r>
      <w:proofErr w:type="spellStart"/>
      <w:r w:rsidRPr="00426667">
        <w:t>exised</w:t>
      </w:r>
      <w:proofErr w:type="spellEnd"/>
      <w:r w:rsidRPr="00426667">
        <w:t xml:space="preserve"> </w:t>
      </w:r>
      <w:proofErr w:type="spellStart"/>
      <w:r w:rsidRPr="00426667">
        <w:t>Dupuytren’s</w:t>
      </w:r>
      <w:proofErr w:type="spellEnd"/>
      <w:r w:rsidRPr="00426667">
        <w:t xml:space="preserve"> cords and </w:t>
      </w:r>
      <w:proofErr w:type="spellStart"/>
      <w:r w:rsidRPr="00426667">
        <w:t>Peyronie’s</w:t>
      </w:r>
      <w:proofErr w:type="spellEnd"/>
      <w:r w:rsidRPr="00426667">
        <w:t xml:space="preserve"> plaques.</w:t>
      </w:r>
    </w:p>
    <w:p w:rsidR="00BF4EBA" w:rsidRPr="00426667" w:rsidRDefault="00BF4EBA" w:rsidP="00E613FE">
      <w:pPr>
        <w:pStyle w:val="Heading3"/>
      </w:pPr>
      <w:bookmarkStart w:id="74" w:name="_Toc353960241"/>
      <w:bookmarkStart w:id="75" w:name="_Toc374966961"/>
      <w:bookmarkStart w:id="76" w:name="_Toc241374303"/>
      <w:bookmarkStart w:id="77" w:name="_Toc272414647"/>
      <w:bookmarkStart w:id="78" w:name="_Toc290846269"/>
      <w:r w:rsidRPr="00426667">
        <w:t>Summary of pharmacodynamics</w:t>
      </w:r>
      <w:bookmarkEnd w:id="74"/>
      <w:bookmarkEnd w:id="75"/>
    </w:p>
    <w:p w:rsidR="00BF4EBA" w:rsidRPr="00426667" w:rsidRDefault="00BF4EBA" w:rsidP="00E613FE">
      <w:pPr>
        <w:pStyle w:val="Heading4"/>
      </w:pPr>
      <w:bookmarkStart w:id="79" w:name="_Toc353960242"/>
      <w:r w:rsidRPr="00426667">
        <w:t>Mechanism of action</w:t>
      </w:r>
      <w:bookmarkEnd w:id="79"/>
    </w:p>
    <w:p w:rsidR="00BF4EBA" w:rsidRPr="00426667" w:rsidRDefault="00BF4EBA" w:rsidP="00E613FE">
      <w:r w:rsidRPr="00426667">
        <w:t xml:space="preserve">The activity of AA4500 </w:t>
      </w:r>
      <w:proofErr w:type="spellStart"/>
      <w:r w:rsidRPr="00426667">
        <w:t>collagenases</w:t>
      </w:r>
      <w:proofErr w:type="spellEnd"/>
      <w:r w:rsidRPr="00426667">
        <w:t xml:space="preserve"> is via the hydrolysis of collagen at the injection site.</w:t>
      </w:r>
    </w:p>
    <w:p w:rsidR="00BF4EBA" w:rsidRPr="00426667" w:rsidRDefault="00BF4EBA" w:rsidP="00E613FE">
      <w:pPr>
        <w:pStyle w:val="Heading4"/>
      </w:pPr>
      <w:bookmarkStart w:id="80" w:name="_Toc353960243"/>
      <w:r w:rsidRPr="00426667">
        <w:t>Pharmacodynamic effects</w:t>
      </w:r>
      <w:bookmarkEnd w:id="80"/>
    </w:p>
    <w:p w:rsidR="00BF4EBA" w:rsidRPr="00426667" w:rsidRDefault="00BF4EBA" w:rsidP="00E613FE">
      <w:pPr>
        <w:pStyle w:val="Heading5"/>
      </w:pPr>
      <w:bookmarkStart w:id="81" w:name="_Toc353960244"/>
      <w:r w:rsidRPr="00426667">
        <w:t>Primary pharmacodynamic effects</w:t>
      </w:r>
      <w:bookmarkEnd w:id="81"/>
    </w:p>
    <w:p w:rsidR="00BF4EBA" w:rsidRPr="00426667" w:rsidRDefault="00BF4EBA" w:rsidP="00E613FE">
      <w:r w:rsidRPr="00426667">
        <w:t xml:space="preserve">Primary PD effects were assessed using </w:t>
      </w:r>
      <w:r w:rsidRPr="008208D2">
        <w:rPr>
          <w:i/>
        </w:rPr>
        <w:t>in vitro</w:t>
      </w:r>
      <w:r w:rsidRPr="00426667">
        <w:t xml:space="preserve"> models. After injection into the abnormal collagen deposits in the </w:t>
      </w:r>
      <w:proofErr w:type="spellStart"/>
      <w:r w:rsidRPr="00426667">
        <w:t>Dupuytren's</w:t>
      </w:r>
      <w:proofErr w:type="spellEnd"/>
      <w:r w:rsidRPr="00426667">
        <w:t xml:space="preserve"> cord, the </w:t>
      </w:r>
      <w:proofErr w:type="spellStart"/>
      <w:r w:rsidRPr="00426667">
        <w:t>lysis</w:t>
      </w:r>
      <w:proofErr w:type="spellEnd"/>
      <w:r w:rsidRPr="00426667">
        <w:t xml:space="preserve"> of the collagen results in disruption of the cord and therefore improved finger range of motion.</w:t>
      </w:r>
    </w:p>
    <w:p w:rsidR="00BF4EBA" w:rsidRPr="00426667" w:rsidRDefault="00BF4EBA" w:rsidP="002C223F">
      <w:pPr>
        <w:pStyle w:val="Heading5"/>
      </w:pPr>
      <w:bookmarkStart w:id="82" w:name="_Ref343675942"/>
      <w:bookmarkStart w:id="83" w:name="_Toc353960245"/>
      <w:r w:rsidRPr="00426667">
        <w:lastRenderedPageBreak/>
        <w:t>Secondary pharmacodynamic effects</w:t>
      </w:r>
      <w:bookmarkEnd w:id="82"/>
      <w:bookmarkEnd w:id="83"/>
    </w:p>
    <w:p w:rsidR="00BF4EBA" w:rsidRPr="00426667" w:rsidRDefault="00BF4EBA" w:rsidP="002C223F">
      <w:r w:rsidRPr="00426667">
        <w:t xml:space="preserve">Due to the lack of systemic exposure, no systemic secondary pharmacodynamic effects have been assessed. </w:t>
      </w:r>
      <w:r w:rsidR="008208D2">
        <w:t>The sponsor</w:t>
      </w:r>
      <w:r w:rsidRPr="00426667">
        <w:t xml:space="preserve"> describes literature reports of the collagen fragments generated by the </w:t>
      </w:r>
      <w:proofErr w:type="spellStart"/>
      <w:r w:rsidRPr="00426667">
        <w:t>collagenase</w:t>
      </w:r>
      <w:proofErr w:type="spellEnd"/>
      <w:r w:rsidRPr="00426667">
        <w:t xml:space="preserve"> having </w:t>
      </w:r>
      <w:proofErr w:type="spellStart"/>
      <w:r w:rsidRPr="00426667">
        <w:t>bradykinin</w:t>
      </w:r>
      <w:proofErr w:type="spellEnd"/>
      <w:r w:rsidRPr="00426667">
        <w:t>-like effects and are consequently associated with development of local oedema and haemorrhage from increased vascular permeability. It was stated that nonclinical studies did not find these effects on tissues other than those adjacent to the injection site.</w:t>
      </w:r>
    </w:p>
    <w:p w:rsidR="00BF4EBA" w:rsidRPr="00426667" w:rsidRDefault="00BF4EBA" w:rsidP="002C223F">
      <w:pPr>
        <w:pStyle w:val="Heading4"/>
      </w:pPr>
      <w:bookmarkStart w:id="84" w:name="_Toc353960246"/>
      <w:r w:rsidRPr="00426667">
        <w:t>Immunogenicity</w:t>
      </w:r>
      <w:bookmarkEnd w:id="84"/>
    </w:p>
    <w:p w:rsidR="00BF4EBA" w:rsidRPr="00426667" w:rsidRDefault="00BF4EBA" w:rsidP="002C223F">
      <w:r w:rsidRPr="00426667">
        <w:rPr>
          <w:lang w:eastAsia="zh-TW"/>
        </w:rPr>
        <w:t xml:space="preserve">AA4500 is a product of bacterial origin and immunogenicity assessment was an important part </w:t>
      </w:r>
      <w:r w:rsidR="008208D2">
        <w:rPr>
          <w:lang w:eastAsia="zh-TW"/>
        </w:rPr>
        <w:t>of the development program. In S</w:t>
      </w:r>
      <w:r w:rsidRPr="00426667">
        <w:rPr>
          <w:lang w:eastAsia="zh-TW"/>
        </w:rPr>
        <w:t>tudies AUX-CC-854, AUX-CC-856, AUX-CC-857, AUX-CC-858 and AUX-CC-859, serum samples</w:t>
      </w:r>
      <w:r w:rsidRPr="00426667">
        <w:rPr>
          <w:color w:val="010202"/>
          <w:lang w:eastAsia="zh-TW"/>
        </w:rPr>
        <w:t xml:space="preserve"> were collected at screening, before each injection and at predetermined time points after each injection to determine if antibodies had formed against AUX-I and AUX-II. </w:t>
      </w:r>
      <w:r w:rsidRPr="00426667">
        <w:t xml:space="preserve">These studies used the commercial manufacturing process. </w:t>
      </w:r>
    </w:p>
    <w:p w:rsidR="00BF4EBA" w:rsidRPr="00426667" w:rsidRDefault="00BF4EBA" w:rsidP="002C223F">
      <w:r w:rsidRPr="00426667">
        <w:t xml:space="preserve">The analysis of ADAs in human serum used bridging </w:t>
      </w:r>
      <w:r w:rsidR="008208D2" w:rsidRPr="008208D2">
        <w:t>enzyme-linked immunosorbent assay</w:t>
      </w:r>
      <w:r w:rsidR="008208D2">
        <w:t xml:space="preserve"> (</w:t>
      </w:r>
      <w:r w:rsidRPr="00426667">
        <w:t>ELISA</w:t>
      </w:r>
      <w:r w:rsidR="008208D2">
        <w:t>)</w:t>
      </w:r>
      <w:r w:rsidRPr="00426667">
        <w:t xml:space="preserve"> assays for detection of either anti-AUX-I or anti-AUX-II. For anti-AUX-I the lower limit of detection was 0.8 ng/mL with stability confirmed to 26 months at -20°C and -80°C (AA33061-01 and AA33061-02). For anti-AUX-II the lower limit of detection was 1.9 ng/mL with stability confirmed to 23 months at -20°C and 26 months at -80°C (AA33062-01 and AA33062-02).</w:t>
      </w:r>
    </w:p>
    <w:p w:rsidR="00BF4EBA" w:rsidRPr="0067444B" w:rsidRDefault="00BF4EBA" w:rsidP="002C223F">
      <w:pPr>
        <w:rPr>
          <w:lang w:eastAsia="zh-TW"/>
        </w:rPr>
      </w:pPr>
      <w:r w:rsidRPr="00426667">
        <w:rPr>
          <w:lang w:eastAsia="zh-TW"/>
        </w:rPr>
        <w:t xml:space="preserve">Pooled data from the clinical trials listed above, found that over 85.7% of subjects were positive for antibodies to AUX-I and/or AUX-II at 30 days post injection of 0.58 mg AA4500. After 3 or 4 injections all subjects were </w:t>
      </w:r>
      <w:r w:rsidRPr="0067444B">
        <w:rPr>
          <w:lang w:eastAsia="zh-TW"/>
        </w:rPr>
        <w:t>positive (Figure</w:t>
      </w:r>
      <w:r w:rsidR="008208D2" w:rsidRPr="0067444B">
        <w:rPr>
          <w:lang w:eastAsia="zh-TW"/>
        </w:rPr>
        <w:t>s 1 and 2</w:t>
      </w:r>
      <w:r w:rsidRPr="0067444B">
        <w:rPr>
          <w:lang w:eastAsia="zh-TW"/>
        </w:rPr>
        <w:t xml:space="preserve">). </w:t>
      </w:r>
      <w:r w:rsidRPr="0067444B">
        <w:rPr>
          <w:bCs/>
          <w:lang w:eastAsia="zh-TW"/>
        </w:rPr>
        <w:t>Mean log titres were almost two-fold higher after the second injection, increasing with each injection</w:t>
      </w:r>
      <w:r w:rsidRPr="00426667">
        <w:rPr>
          <w:bCs/>
          <w:lang w:eastAsia="zh-TW"/>
        </w:rPr>
        <w:t xml:space="preserve"> until about the fourth injection.</w:t>
      </w:r>
      <w:r w:rsidRPr="00426667">
        <w:rPr>
          <w:lang w:eastAsia="zh-TW"/>
        </w:rPr>
        <w:t xml:space="preserve"> Antibody titres were found to decline over time though the majority (&gt;82%) still remained positive after 2 yea</w:t>
      </w:r>
      <w:r w:rsidRPr="0067444B">
        <w:rPr>
          <w:lang w:eastAsia="zh-TW"/>
        </w:rPr>
        <w:t>rs (Figure</w:t>
      </w:r>
      <w:r w:rsidR="0067444B" w:rsidRPr="0067444B">
        <w:rPr>
          <w:lang w:eastAsia="zh-TW"/>
        </w:rPr>
        <w:t>s 3 and 4</w:t>
      </w:r>
      <w:r w:rsidRPr="0067444B">
        <w:rPr>
          <w:lang w:eastAsia="zh-TW"/>
        </w:rPr>
        <w:t>).</w:t>
      </w:r>
    </w:p>
    <w:p w:rsidR="008208D2" w:rsidRPr="008208D2" w:rsidRDefault="008208D2" w:rsidP="002C223F">
      <w:pPr>
        <w:pStyle w:val="FigureTitle"/>
        <w:rPr>
          <w:lang w:eastAsia="zh-TW"/>
        </w:rPr>
      </w:pPr>
      <w:bookmarkStart w:id="85" w:name="_Ref343675614"/>
      <w:bookmarkStart w:id="86" w:name="_Toc353960340"/>
      <w:r w:rsidRPr="008208D2">
        <w:rPr>
          <w:lang w:eastAsia="zh-TW"/>
        </w:rPr>
        <w:t>Figure</w:t>
      </w:r>
      <w:bookmarkEnd w:id="85"/>
      <w:bookmarkEnd w:id="86"/>
      <w:r>
        <w:rPr>
          <w:lang w:eastAsia="zh-TW"/>
        </w:rPr>
        <w:t xml:space="preserve"> 1. Percentage of subjects with positive Anti-AUX-</w:t>
      </w:r>
      <w:r w:rsidR="0064230A">
        <w:rPr>
          <w:lang w:eastAsia="zh-TW"/>
        </w:rPr>
        <w:t>I</w:t>
      </w:r>
      <w:r>
        <w:rPr>
          <w:lang w:eastAsia="zh-TW"/>
        </w:rPr>
        <w:t xml:space="preserve"> titers and log mean titer levels across Injections 1 through 8. AA4500 0.58 mg Intent to Treat Population</w:t>
      </w:r>
    </w:p>
    <w:p w:rsidR="008208D2" w:rsidRPr="008208D2" w:rsidRDefault="008208D2" w:rsidP="002C223F">
      <w:pPr>
        <w:rPr>
          <w:lang w:eastAsia="zh-TW"/>
        </w:rPr>
      </w:pPr>
      <w:r w:rsidRPr="008208D2">
        <w:rPr>
          <w:noProof/>
          <w:lang w:eastAsia="en-AU"/>
        </w:rPr>
        <w:drawing>
          <wp:inline distT="0" distB="0" distL="0" distR="0">
            <wp:extent cx="5343525" cy="3400425"/>
            <wp:effectExtent l="19050" t="0" r="9525" b="0"/>
            <wp:docPr id="3" name="Picture 8" descr="Figure 1. Percentage of subjects with positive Anti-AUX-I titers and log mean titer levels across Injections 1 through 8. AA4500 0.58 mg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2991" r="3799" b="9391"/>
                    <a:stretch>
                      <a:fillRect/>
                    </a:stretch>
                  </pic:blipFill>
                  <pic:spPr bwMode="auto">
                    <a:xfrm>
                      <a:off x="0" y="0"/>
                      <a:ext cx="5343525" cy="3400425"/>
                    </a:xfrm>
                    <a:prstGeom prst="rect">
                      <a:avLst/>
                    </a:prstGeom>
                    <a:noFill/>
                    <a:ln w="9525">
                      <a:noFill/>
                      <a:miter lim="800000"/>
                      <a:headEnd/>
                      <a:tailEnd/>
                    </a:ln>
                  </pic:spPr>
                </pic:pic>
              </a:graphicData>
            </a:graphic>
          </wp:inline>
        </w:drawing>
      </w:r>
    </w:p>
    <w:p w:rsidR="008208D2" w:rsidRPr="008208D2" w:rsidRDefault="008208D2" w:rsidP="002C223F">
      <w:pPr>
        <w:pStyle w:val="FigureTitle"/>
        <w:rPr>
          <w:lang w:eastAsia="zh-TW"/>
        </w:rPr>
      </w:pPr>
      <w:bookmarkStart w:id="87" w:name="_Ref343675625"/>
      <w:bookmarkStart w:id="88" w:name="_Toc353960342"/>
      <w:r w:rsidRPr="008208D2">
        <w:rPr>
          <w:lang w:eastAsia="zh-TW"/>
        </w:rPr>
        <w:lastRenderedPageBreak/>
        <w:t xml:space="preserve">Figure </w:t>
      </w:r>
      <w:bookmarkEnd w:id="87"/>
      <w:bookmarkEnd w:id="88"/>
      <w:r>
        <w:rPr>
          <w:lang w:eastAsia="zh-TW"/>
        </w:rPr>
        <w:t xml:space="preserve">2. </w:t>
      </w:r>
      <w:r w:rsidRPr="008208D2">
        <w:rPr>
          <w:lang w:eastAsia="zh-TW"/>
        </w:rPr>
        <w:t>Figure</w:t>
      </w:r>
      <w:r>
        <w:rPr>
          <w:lang w:eastAsia="zh-TW"/>
        </w:rPr>
        <w:t xml:space="preserve"> 1. Percentage of s</w:t>
      </w:r>
      <w:r w:rsidR="0064230A">
        <w:rPr>
          <w:lang w:eastAsia="zh-TW"/>
        </w:rPr>
        <w:t>ubjects with positive Anti-AUX-II</w:t>
      </w:r>
      <w:r w:rsidR="00516476">
        <w:rPr>
          <w:lang w:eastAsia="zh-TW"/>
        </w:rPr>
        <w:t xml:space="preserve"> </w:t>
      </w:r>
      <w:r>
        <w:rPr>
          <w:lang w:eastAsia="zh-TW"/>
        </w:rPr>
        <w:t>titers and log mean titer levels across Injections 1 through 8. AA4500 0.58 mg Intent to Treat Population</w:t>
      </w:r>
    </w:p>
    <w:p w:rsidR="008208D2" w:rsidRPr="008208D2" w:rsidRDefault="008208D2" w:rsidP="002C223F">
      <w:pPr>
        <w:rPr>
          <w:lang w:eastAsia="zh-TW"/>
        </w:rPr>
      </w:pPr>
      <w:r w:rsidRPr="008208D2">
        <w:rPr>
          <w:noProof/>
          <w:lang w:eastAsia="en-AU"/>
        </w:rPr>
        <w:drawing>
          <wp:inline distT="0" distB="0" distL="0" distR="0">
            <wp:extent cx="5396865" cy="3448050"/>
            <wp:effectExtent l="19050" t="0" r="0" b="0"/>
            <wp:docPr id="20" name="Picture 6" descr="Figure 2. Figure 1. Percentage of subjects with positive Anti-AUX-II titers and log mean titer levels across Injections 1 through 8. AA4500 0.58 mg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2828" r="2914" b="8502"/>
                    <a:stretch>
                      <a:fillRect/>
                    </a:stretch>
                  </pic:blipFill>
                  <pic:spPr bwMode="auto">
                    <a:xfrm>
                      <a:off x="0" y="0"/>
                      <a:ext cx="5396865" cy="3448050"/>
                    </a:xfrm>
                    <a:prstGeom prst="rect">
                      <a:avLst/>
                    </a:prstGeom>
                    <a:noFill/>
                    <a:ln w="9525">
                      <a:noFill/>
                      <a:miter lim="800000"/>
                      <a:headEnd/>
                      <a:tailEnd/>
                    </a:ln>
                  </pic:spPr>
                </pic:pic>
              </a:graphicData>
            </a:graphic>
          </wp:inline>
        </w:drawing>
      </w:r>
    </w:p>
    <w:p w:rsidR="008208D2" w:rsidRPr="002C223F" w:rsidRDefault="008208D2" w:rsidP="002C223F">
      <w:pPr>
        <w:rPr>
          <w:lang w:eastAsia="zh-TW"/>
        </w:rPr>
      </w:pPr>
      <w:r>
        <w:rPr>
          <w:lang w:eastAsia="zh-TW"/>
        </w:rPr>
        <w:t>Figure 3. Log mean Anti-AUX-1 titers at the first positive sample, the maximum sample and Year 2 sample relative to the last injection (Day 0) by Injection Cohort; Study AUX-CC-860.</w:t>
      </w:r>
      <w:r w:rsidRPr="008208D2">
        <w:rPr>
          <w:noProof/>
          <w:lang w:eastAsia="en-AU"/>
        </w:rPr>
        <w:drawing>
          <wp:inline distT="0" distB="0" distL="0" distR="0">
            <wp:extent cx="5732780" cy="4150360"/>
            <wp:effectExtent l="19050" t="0" r="1270" b="0"/>
            <wp:docPr id="9" name="Picture 8" descr="Figure 3. Log mean Anti-AUX-1 titers at the first positive sample, the maximum sample and Year 2 sample relative to the last injection (Day 0) by Injection Cohort; Study AUX-C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duotone>
                        <a:prstClr val="black"/>
                        <a:schemeClr val="bg1">
                          <a:tint val="45000"/>
                          <a:satMod val="400000"/>
                        </a:schemeClr>
                      </a:duotone>
                    </a:blip>
                    <a:srcRect/>
                    <a:stretch>
                      <a:fillRect/>
                    </a:stretch>
                  </pic:blipFill>
                  <pic:spPr bwMode="auto">
                    <a:xfrm>
                      <a:off x="0" y="0"/>
                      <a:ext cx="5732780" cy="4150360"/>
                    </a:xfrm>
                    <a:prstGeom prst="rect">
                      <a:avLst/>
                    </a:prstGeom>
                    <a:noFill/>
                    <a:ln w="9525">
                      <a:noFill/>
                      <a:miter lim="800000"/>
                      <a:headEnd/>
                      <a:tailEnd/>
                    </a:ln>
                  </pic:spPr>
                </pic:pic>
              </a:graphicData>
            </a:graphic>
          </wp:inline>
        </w:drawing>
      </w:r>
      <w:bookmarkStart w:id="89" w:name="_Ref343675629"/>
      <w:bookmarkStart w:id="90" w:name="_Toc353960343"/>
    </w:p>
    <w:p w:rsidR="008208D2" w:rsidRPr="008208D2" w:rsidRDefault="008208D2" w:rsidP="002C223F">
      <w:pPr>
        <w:pStyle w:val="FigureTitle"/>
        <w:rPr>
          <w:lang w:eastAsia="zh-TW"/>
        </w:rPr>
      </w:pPr>
      <w:r w:rsidRPr="008208D2">
        <w:rPr>
          <w:lang w:eastAsia="zh-TW"/>
        </w:rPr>
        <w:lastRenderedPageBreak/>
        <w:t xml:space="preserve">Figure </w:t>
      </w:r>
      <w:bookmarkEnd w:id="89"/>
      <w:bookmarkEnd w:id="90"/>
      <w:r>
        <w:rPr>
          <w:lang w:eastAsia="zh-TW"/>
        </w:rPr>
        <w:t xml:space="preserve">4. Mean Log Anti-AUX-II titers at the first positive sample, maximum sample and Year 2 sample relative to the last injection (Day 0), by Injection Cohort; Study AUX-CC-860. </w:t>
      </w:r>
    </w:p>
    <w:p w:rsidR="008208D2" w:rsidRPr="008208D2" w:rsidRDefault="008208D2" w:rsidP="002C223F">
      <w:pPr>
        <w:rPr>
          <w:lang w:eastAsia="zh-TW"/>
        </w:rPr>
      </w:pPr>
      <w:r w:rsidRPr="008208D2">
        <w:rPr>
          <w:noProof/>
          <w:lang w:eastAsia="en-AU"/>
        </w:rPr>
        <w:drawing>
          <wp:inline distT="0" distB="0" distL="0" distR="0">
            <wp:extent cx="5732780" cy="4293870"/>
            <wp:effectExtent l="19050" t="0" r="1270" b="0"/>
            <wp:docPr id="16" name="Picture 10" descr="Figure 4. Mean Log Anti-AUX-II titers at the first positive sample, maximum sample and Year 2 sample relative to the last injection (Day 0), by Injection Cohort; Study AUX-CC-8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duotone>
                        <a:prstClr val="black"/>
                        <a:schemeClr val="bg1">
                          <a:tint val="45000"/>
                          <a:satMod val="400000"/>
                        </a:schemeClr>
                      </a:duotone>
                    </a:blip>
                    <a:srcRect/>
                    <a:stretch>
                      <a:fillRect/>
                    </a:stretch>
                  </pic:blipFill>
                  <pic:spPr bwMode="auto">
                    <a:xfrm>
                      <a:off x="0" y="0"/>
                      <a:ext cx="5732780" cy="4293870"/>
                    </a:xfrm>
                    <a:prstGeom prst="rect">
                      <a:avLst/>
                    </a:prstGeom>
                    <a:noFill/>
                    <a:ln w="9525">
                      <a:noFill/>
                      <a:miter lim="800000"/>
                      <a:headEnd/>
                      <a:tailEnd/>
                    </a:ln>
                  </pic:spPr>
                </pic:pic>
              </a:graphicData>
            </a:graphic>
          </wp:inline>
        </w:drawing>
      </w:r>
    </w:p>
    <w:p w:rsidR="00BF4EBA" w:rsidRPr="00426667" w:rsidRDefault="00BF4EBA" w:rsidP="002C223F">
      <w:r w:rsidRPr="00426667">
        <w:rPr>
          <w:rFonts w:cs="TimesNewRomanPSMT"/>
          <w:lang w:eastAsia="zh-TW"/>
        </w:rPr>
        <w:t>Given the intrinsic immunogenicity of the product, a</w:t>
      </w:r>
      <w:r w:rsidRPr="00426667">
        <w:t xml:space="preserve">n assessment of whether these anti-drug antibodies (ADAs) could have cross reactivity or neutralising ability of endogenous </w:t>
      </w:r>
      <w:proofErr w:type="spellStart"/>
      <w:r w:rsidRPr="00426667">
        <w:t>collagenases</w:t>
      </w:r>
      <w:proofErr w:type="spellEnd"/>
      <w:r w:rsidRPr="00426667">
        <w:t xml:space="preserve">, or affect the drug’s efficacy and safety, was evaluated </w:t>
      </w:r>
      <w:r w:rsidRPr="00426667">
        <w:rPr>
          <w:i/>
        </w:rPr>
        <w:t>in vitro</w:t>
      </w:r>
      <w:r w:rsidRPr="00426667">
        <w:t xml:space="preserve"> as well as in the clinical program. </w:t>
      </w:r>
    </w:p>
    <w:p w:rsidR="00BF4EBA" w:rsidRPr="00426667" w:rsidRDefault="00BF4EBA" w:rsidP="002C223F">
      <w:r w:rsidRPr="00426667">
        <w:rPr>
          <w:lang w:eastAsia="zh-TW"/>
        </w:rPr>
        <w:t xml:space="preserve">The closest mammalian </w:t>
      </w:r>
      <w:proofErr w:type="spellStart"/>
      <w:r w:rsidRPr="00426667">
        <w:rPr>
          <w:lang w:eastAsia="zh-TW"/>
        </w:rPr>
        <w:t>homologs</w:t>
      </w:r>
      <w:proofErr w:type="spellEnd"/>
      <w:r w:rsidRPr="00426667">
        <w:rPr>
          <w:lang w:eastAsia="zh-TW"/>
        </w:rPr>
        <w:t xml:space="preserve"> to clostridium </w:t>
      </w:r>
      <w:proofErr w:type="spellStart"/>
      <w:r w:rsidRPr="00426667">
        <w:rPr>
          <w:lang w:eastAsia="zh-TW"/>
        </w:rPr>
        <w:t>hystoliticum</w:t>
      </w:r>
      <w:proofErr w:type="spellEnd"/>
      <w:r w:rsidRPr="00426667">
        <w:rPr>
          <w:lang w:eastAsia="zh-TW"/>
        </w:rPr>
        <w:t xml:space="preserve"> are the matrix </w:t>
      </w:r>
      <w:proofErr w:type="spellStart"/>
      <w:r w:rsidRPr="00426667">
        <w:rPr>
          <w:lang w:eastAsia="zh-TW"/>
        </w:rPr>
        <w:t>metalloproteinases</w:t>
      </w:r>
      <w:proofErr w:type="spellEnd"/>
      <w:r w:rsidRPr="00426667">
        <w:rPr>
          <w:lang w:eastAsia="zh-TW"/>
        </w:rPr>
        <w:t xml:space="preserve"> (MMP). </w:t>
      </w:r>
      <w:r w:rsidR="008208D2">
        <w:rPr>
          <w:lang w:eastAsia="zh-TW"/>
        </w:rPr>
        <w:t>The sponsor</w:t>
      </w:r>
      <w:r w:rsidRPr="00426667">
        <w:rPr>
          <w:lang w:eastAsia="zh-TW"/>
        </w:rPr>
        <w:t xml:space="preserve"> undertook an evaluation of these to determine homology with seven such MMPs (1, 2, 3, 8, 9, 13 and 14) and found low sequence homology (24 to 53%). In addition, there were differences in chain length. As such, the product of bacterial origin is expected to have a different conformation structure to the human enzymes. Nevertheless, two </w:t>
      </w:r>
      <w:r w:rsidRPr="00426667">
        <w:t xml:space="preserve">competitive ELISAs to measure cross-reactivity of the ADAs with human MMPs were validated using 30 samples from AUX-CC-860 and found no cross-reactivity with MMPs 1, 2, 3, 8 or 13 (VAA90736 and VAA90737). Further assessment of 41 samples from this study found no cross reactivity with these MMPs (AAA95274, AA95275). These data indicate a low risk of anti-AUX-I and anti-AUX-II antibodies cross-reacting with any of five MMPs (1, 2, 3, 8 and 13) representing endogenous human </w:t>
      </w:r>
      <w:proofErr w:type="spellStart"/>
      <w:r w:rsidRPr="00426667">
        <w:t>collagenases</w:t>
      </w:r>
      <w:proofErr w:type="spellEnd"/>
      <w:r w:rsidRPr="00426667">
        <w:t>.</w:t>
      </w:r>
    </w:p>
    <w:p w:rsidR="00BF4EBA" w:rsidRDefault="00BF4EBA" w:rsidP="002C223F">
      <w:r w:rsidRPr="00426667">
        <w:rPr>
          <w:lang w:eastAsia="zh-TW"/>
        </w:rPr>
        <w:t xml:space="preserve">An assay was developed and validated to detect neutralising activity of anti-AUX-I and anti-AUX-II antibodies (MBR08-329 and MBR08-357). The assays were however only validated against one positive control pool due to limited supply. The assay cut-point (% inhibition) was 8.8 for anti-AUX-I and 11.5 for anti-AUX-II. </w:t>
      </w:r>
      <w:r w:rsidRPr="00426667">
        <w:t>In</w:t>
      </w:r>
      <w:r w:rsidR="00CD48FD">
        <w:t xml:space="preserve"> Study AUX</w:t>
      </w:r>
      <w:r w:rsidRPr="00426667">
        <w:t>-CC-857, 100% of subjects seroconverted and had ADA titres. It was found that 22/200 (11%) and 44/204 (22%) of samples had neutralising activity against AUX-I and AUX-II, respectively, on intact soluble collagen. There was a trend for increasing ADA titre and proportion positive on the neutralisation assay (</w:t>
      </w:r>
      <w:r w:rsidR="0064230A">
        <w:t>Table 3</w:t>
      </w:r>
      <w:r w:rsidRPr="00426667">
        <w:t xml:space="preserve">) although it </w:t>
      </w:r>
      <w:r w:rsidRPr="00426667">
        <w:lastRenderedPageBreak/>
        <w:t xml:space="preserve">was reported that some sample of very high titre did not inhibit AUX-I or AUX-II enzyme activity. </w:t>
      </w:r>
    </w:p>
    <w:p w:rsidR="0064230A" w:rsidRPr="0064230A" w:rsidRDefault="0064230A" w:rsidP="002C223F">
      <w:pPr>
        <w:pStyle w:val="TableTitle"/>
      </w:pPr>
      <w:bookmarkStart w:id="91" w:name="_Ref343675633"/>
      <w:bookmarkStart w:id="92" w:name="_Toc353960344"/>
      <w:r w:rsidRPr="0064230A">
        <w:t xml:space="preserve">Table </w:t>
      </w:r>
      <w:bookmarkEnd w:id="91"/>
      <w:bookmarkEnd w:id="92"/>
      <w:r>
        <w:t>3. Comparison of ADA titers versus positive result in enzyme activity neutralisation assay by ADA titre quartile. Subjects who received AA4500 in Study AUX-CC-857.</w:t>
      </w:r>
    </w:p>
    <w:p w:rsidR="0064230A" w:rsidRPr="0064230A" w:rsidRDefault="0064230A" w:rsidP="002C223F">
      <w:r w:rsidRPr="0064230A">
        <w:rPr>
          <w:noProof/>
          <w:lang w:eastAsia="en-AU"/>
        </w:rPr>
        <w:drawing>
          <wp:inline distT="0" distB="0" distL="0" distR="0">
            <wp:extent cx="5732780" cy="1677670"/>
            <wp:effectExtent l="19050" t="0" r="1270" b="0"/>
            <wp:docPr id="24" name="Picture 16" descr="Table 3. Comparison of ADA titers versus positive result in enzyme activity neutralisation assay by ADA titre quartile. Subjects who received AA4500 in Study AUX-CC-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5732780" cy="1677670"/>
                    </a:xfrm>
                    <a:prstGeom prst="rect">
                      <a:avLst/>
                    </a:prstGeom>
                    <a:noFill/>
                    <a:ln w="9525">
                      <a:noFill/>
                      <a:miter lim="800000"/>
                      <a:headEnd/>
                      <a:tailEnd/>
                    </a:ln>
                  </pic:spPr>
                </pic:pic>
              </a:graphicData>
            </a:graphic>
          </wp:inline>
        </w:drawing>
      </w:r>
    </w:p>
    <w:p w:rsidR="00BF4EBA" w:rsidRPr="00426667" w:rsidRDefault="00BF4EBA" w:rsidP="002C223F">
      <w:pPr>
        <w:pStyle w:val="Heading4"/>
      </w:pPr>
      <w:bookmarkStart w:id="93" w:name="_Toc353960247"/>
      <w:r w:rsidRPr="00426667">
        <w:t>Pharmacodynamic interactions</w:t>
      </w:r>
      <w:bookmarkEnd w:id="76"/>
      <w:bookmarkEnd w:id="77"/>
      <w:bookmarkEnd w:id="78"/>
      <w:bookmarkEnd w:id="93"/>
    </w:p>
    <w:p w:rsidR="00BF4EBA" w:rsidRPr="00426667" w:rsidRDefault="00BF4EBA" w:rsidP="002C223F">
      <w:r w:rsidRPr="00426667">
        <w:t xml:space="preserve">It has been reported that tetracycline derivatives may inhibit mammalian </w:t>
      </w:r>
      <w:proofErr w:type="spellStart"/>
      <w:r w:rsidRPr="00426667">
        <w:t>metalloproteinases</w:t>
      </w:r>
      <w:proofErr w:type="spellEnd"/>
      <w:r w:rsidRPr="00426667">
        <w:t xml:space="preserve"> and as a consequence subjects who had received doxycycline or a doxycycline derivative within 14 days of the first study drug injection were excluded from the clinical trials. </w:t>
      </w:r>
    </w:p>
    <w:p w:rsidR="00BF4EBA" w:rsidRPr="00426667" w:rsidRDefault="00BF4EBA" w:rsidP="002C223F">
      <w:pPr>
        <w:pStyle w:val="Heading3"/>
      </w:pPr>
      <w:bookmarkStart w:id="94" w:name="_Ref269983272"/>
      <w:bookmarkStart w:id="95" w:name="_Toc272414648"/>
      <w:bookmarkStart w:id="96" w:name="_Toc290846270"/>
      <w:bookmarkStart w:id="97" w:name="_Toc353960248"/>
      <w:bookmarkStart w:id="98" w:name="_Toc374966962"/>
      <w:r w:rsidRPr="00426667">
        <w:t>Evaluator’s overall conclusions on pharmacodynamics</w:t>
      </w:r>
      <w:bookmarkEnd w:id="94"/>
      <w:bookmarkEnd w:id="95"/>
      <w:bookmarkEnd w:id="96"/>
      <w:bookmarkEnd w:id="97"/>
      <w:bookmarkEnd w:id="98"/>
    </w:p>
    <w:p w:rsidR="00BF4EBA" w:rsidRPr="00426667" w:rsidRDefault="00BF4EBA" w:rsidP="002C223F">
      <w:r w:rsidRPr="00426667">
        <w:t xml:space="preserve">As there is no reported systemic exposure no specific clinical pharmacodynamic studies were conducted. The pharmacodynamics of AA4500 have been assessed in the nonclinical program. The activity of AA4500 </w:t>
      </w:r>
      <w:proofErr w:type="spellStart"/>
      <w:r w:rsidRPr="00426667">
        <w:t>collagenases</w:t>
      </w:r>
      <w:proofErr w:type="spellEnd"/>
      <w:r w:rsidRPr="00426667">
        <w:t xml:space="preserve"> is via the hydrolysis of collagen at the injection site. Collagen fragments generated by this lysis are reported to have </w:t>
      </w:r>
      <w:proofErr w:type="spellStart"/>
      <w:r w:rsidRPr="00426667">
        <w:t>bradykinin</w:t>
      </w:r>
      <w:proofErr w:type="spellEnd"/>
      <w:r w:rsidRPr="00426667">
        <w:t>-like effects and are associated with development of local oedema and haemorrhage.</w:t>
      </w:r>
    </w:p>
    <w:p w:rsidR="00BF4EBA" w:rsidRPr="00426667" w:rsidRDefault="00BF4EBA" w:rsidP="002C223F">
      <w:r w:rsidRPr="00426667">
        <w:t xml:space="preserve">The product, being of bacterial origin, has high intrinsic immunogenicity and while all subjects developed anti-drug antibodies, there was no evidence of cross-reactivity with five representative human </w:t>
      </w:r>
      <w:proofErr w:type="spellStart"/>
      <w:r w:rsidRPr="00426667">
        <w:t>collagenases</w:t>
      </w:r>
      <w:proofErr w:type="spellEnd"/>
      <w:r w:rsidRPr="00426667">
        <w:t xml:space="preserve"> (MMPs 1, 2, 3, 8 and 13) and only low levels of neutralising activity on AUX-I or AUX-II. Further discussions on immunogenicity in relation to efficacy and safety are in </w:t>
      </w:r>
      <w:r w:rsidR="0064230A" w:rsidRPr="0064230A">
        <w:rPr>
          <w:i/>
        </w:rPr>
        <w:t>Analysis performed across trials</w:t>
      </w:r>
      <w:r w:rsidR="0064230A">
        <w:t xml:space="preserve"> and S</w:t>
      </w:r>
      <w:r w:rsidR="0064230A" w:rsidRPr="0064230A">
        <w:rPr>
          <w:i/>
        </w:rPr>
        <w:t>afety issues with potential for major regulatory impact, Unwanted immunological effects</w:t>
      </w:r>
      <w:r w:rsidRPr="0064230A">
        <w:rPr>
          <w:i/>
        </w:rPr>
        <w:t>.</w:t>
      </w:r>
      <w:r w:rsidRPr="00426667">
        <w:t xml:space="preserve"> </w:t>
      </w:r>
    </w:p>
    <w:p w:rsidR="00586F98" w:rsidRDefault="00C22678" w:rsidP="002C223F">
      <w:pPr>
        <w:pStyle w:val="Heading2"/>
      </w:pPr>
      <w:bookmarkStart w:id="99" w:name="_Toc374966963"/>
      <w:r>
        <w:t>Dosage selection for the pivotal studies</w:t>
      </w:r>
      <w:bookmarkEnd w:id="99"/>
    </w:p>
    <w:p w:rsidR="00BF4EBA" w:rsidRPr="00426667" w:rsidRDefault="00BF4EBA" w:rsidP="002C223F">
      <w:r w:rsidRPr="00426667">
        <w:t xml:space="preserve">The dosage selection for the </w:t>
      </w:r>
      <w:r w:rsidR="0064230A">
        <w:t>P</w:t>
      </w:r>
      <w:r w:rsidRPr="00426667">
        <w:t xml:space="preserve">hase III program was based on a single dose-ranging study, DUPY-202. This was a randomised placebo-controlled study in 80 adults with </w:t>
      </w:r>
      <w:proofErr w:type="spellStart"/>
      <w:r w:rsidRPr="00426667">
        <w:t>Dupuytren’s</w:t>
      </w:r>
      <w:proofErr w:type="spellEnd"/>
      <w:r w:rsidRPr="00426667">
        <w:t xml:space="preserve"> disease. Doses of 2500 U, 5000 U and 10,000 U were assessed after a single injection. It is noted that this study used the early BTC process study drug. </w:t>
      </w:r>
    </w:p>
    <w:p w:rsidR="0064230A" w:rsidRPr="0067444B" w:rsidRDefault="00BF4EBA" w:rsidP="002C223F">
      <w:r w:rsidRPr="00426667">
        <w:t>The clinical success rates</w:t>
      </w:r>
      <w:r w:rsidRPr="00426667">
        <w:rPr>
          <w:rStyle w:val="FootnoteReference"/>
        </w:rPr>
        <w:footnoteReference w:id="1"/>
      </w:r>
      <w:r w:rsidRPr="00426667">
        <w:t xml:space="preserve"> were 50.0%, 45.5%, 78.3% in the 3 respective dose groups, compared to 0% in the placebo group. This result was statistically significant for all three doses (p</w:t>
      </w:r>
      <w:r w:rsidR="0067444B">
        <w:t> </w:t>
      </w:r>
      <w:r w:rsidR="0064230A">
        <w:t>≤</w:t>
      </w:r>
      <w:r w:rsidR="0067444B">
        <w:t> </w:t>
      </w:r>
      <w:r w:rsidRPr="00426667">
        <w:t xml:space="preserve">0.002). Response was greatest with the 10,000U dose when the primary affected joint was the </w:t>
      </w:r>
      <w:proofErr w:type="spellStart"/>
      <w:r w:rsidRPr="00426667">
        <w:t>metocarpal</w:t>
      </w:r>
      <w:proofErr w:type="spellEnd"/>
      <w:r w:rsidRPr="00426667">
        <w:t xml:space="preserve"> </w:t>
      </w:r>
      <w:proofErr w:type="spellStart"/>
      <w:r w:rsidRPr="00426667">
        <w:t>phalangeal</w:t>
      </w:r>
      <w:proofErr w:type="spellEnd"/>
      <w:r w:rsidRPr="00426667">
        <w:t xml:space="preserve"> (MP) or the proximal </w:t>
      </w:r>
      <w:proofErr w:type="spellStart"/>
      <w:r w:rsidRPr="00426667">
        <w:t>interphalangeal</w:t>
      </w:r>
      <w:proofErr w:type="spellEnd"/>
      <w:r w:rsidRPr="00426667">
        <w:t xml:space="preserve"> (PIP) and this was the only dose which had a significantly greater success on the PIP joint than placeb</w:t>
      </w:r>
      <w:r w:rsidRPr="0067444B">
        <w:t xml:space="preserve">o (Table </w:t>
      </w:r>
      <w:r w:rsidR="0067444B" w:rsidRPr="0067444B">
        <w:t>4</w:t>
      </w:r>
      <w:r w:rsidRPr="0067444B">
        <w:t xml:space="preserve">). </w:t>
      </w:r>
    </w:p>
    <w:p w:rsidR="0064230A" w:rsidRPr="0064230A" w:rsidRDefault="0064230A" w:rsidP="00BC7B74">
      <w:pPr>
        <w:pStyle w:val="TableTitle"/>
      </w:pPr>
      <w:bookmarkStart w:id="100" w:name="_Ref343675694"/>
      <w:bookmarkStart w:id="101" w:name="_Toc353960348"/>
      <w:r w:rsidRPr="0064230A">
        <w:lastRenderedPageBreak/>
        <w:t xml:space="preserve">Table </w:t>
      </w:r>
      <w:bookmarkEnd w:id="100"/>
      <w:bookmarkEnd w:id="101"/>
      <w:r>
        <w:t>4. Clinical Success of Primary Joint After a single injection of Study drug, Primary joint Overall and by Joint type. Intent to Treat population.</w:t>
      </w:r>
      <w:r w:rsidRPr="0064230A">
        <w:t xml:space="preserve"> DUPY-202</w:t>
      </w:r>
    </w:p>
    <w:p w:rsidR="0064230A" w:rsidRPr="0064230A" w:rsidRDefault="0064230A" w:rsidP="00BC7B74">
      <w:r w:rsidRPr="0064230A">
        <w:rPr>
          <w:noProof/>
          <w:lang w:eastAsia="en-AU"/>
        </w:rPr>
        <w:drawing>
          <wp:inline distT="0" distB="0" distL="0" distR="0">
            <wp:extent cx="5725160" cy="4166235"/>
            <wp:effectExtent l="19050" t="0" r="8890" b="0"/>
            <wp:docPr id="28" name="Picture 23" descr="Table 4. Clinical Success of Primary Joint After a single injection of Study drug, Primary joint Overall and by Joint type. Intent to Treat population. DUPY-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duotone>
                        <a:prstClr val="black"/>
                        <a:schemeClr val="bg1">
                          <a:tint val="45000"/>
                          <a:satMod val="400000"/>
                        </a:schemeClr>
                      </a:duotone>
                    </a:blip>
                    <a:srcRect/>
                    <a:stretch>
                      <a:fillRect/>
                    </a:stretch>
                  </pic:blipFill>
                  <pic:spPr bwMode="auto">
                    <a:xfrm>
                      <a:off x="0" y="0"/>
                      <a:ext cx="5725160" cy="4166235"/>
                    </a:xfrm>
                    <a:prstGeom prst="rect">
                      <a:avLst/>
                    </a:prstGeom>
                    <a:noFill/>
                    <a:ln w="9525">
                      <a:noFill/>
                      <a:miter lim="800000"/>
                      <a:headEnd/>
                      <a:tailEnd/>
                    </a:ln>
                  </pic:spPr>
                </pic:pic>
              </a:graphicData>
            </a:graphic>
          </wp:inline>
        </w:drawing>
      </w:r>
    </w:p>
    <w:p w:rsidR="00BF4EBA" w:rsidRDefault="00BF4EBA" w:rsidP="00BC7B74">
      <w:r w:rsidRPr="00426667">
        <w:t>For the more severely affected joints (&gt;50° MP and &gt;40° PIP), the response was notably greater with the 10,000 U dos</w:t>
      </w:r>
      <w:r w:rsidRPr="0067444B">
        <w:t xml:space="preserve">e (Table </w:t>
      </w:r>
      <w:r w:rsidR="0067444B" w:rsidRPr="0067444B">
        <w:t>5</w:t>
      </w:r>
      <w:r w:rsidRPr="0067444B">
        <w:t>). The improvement from baseline in degree of contracture was significantly better with AA4500 than placebo (p≤0.012), with a mean percentage change of -25.6%, -30.2%, -40.0% and -0.6% for the 2500 U, 5000 U, 10,000 U and placebo groups, respectively. There was, however, no significant difference found between the active dose groups on this parameter (Table 6). Primary joints treated with AA4500 had a significantly greater improvement from baseline in the</w:t>
      </w:r>
      <w:r w:rsidRPr="00426667">
        <w:t xml:space="preserve"> range of motion compared to those treated with placebo (p&lt;0.001). There were 37 primary joints that did not achieve success after a single injection that had further injections in the open label phase. Of these, 62% (23/37) achieved clinical success after retreatment with up to three 10,000 U injections.</w:t>
      </w:r>
    </w:p>
    <w:p w:rsidR="00F560BE" w:rsidRPr="00F560BE" w:rsidRDefault="00F560BE" w:rsidP="00BC7B74">
      <w:pPr>
        <w:pStyle w:val="TableTitle"/>
      </w:pPr>
      <w:bookmarkStart w:id="102" w:name="_Ref343675698"/>
      <w:bookmarkStart w:id="103" w:name="_Toc353960349"/>
      <w:r w:rsidRPr="00F560BE">
        <w:rPr>
          <w:iCs/>
        </w:rPr>
        <w:t xml:space="preserve">Table </w:t>
      </w:r>
      <w:r>
        <w:rPr>
          <w:iCs/>
        </w:rPr>
        <w:t xml:space="preserve">5. </w:t>
      </w:r>
      <w:bookmarkEnd w:id="102"/>
      <w:bookmarkEnd w:id="103"/>
      <w:r w:rsidRPr="00F560BE">
        <w:t>DUPY-202</w:t>
      </w:r>
      <w:r>
        <w:t>. Clinical success by Primary joint type, Baseline joint severity and Dose of AA4500.</w:t>
      </w:r>
    </w:p>
    <w:p w:rsidR="00F560BE" w:rsidRPr="00BC7B74" w:rsidRDefault="00F560BE" w:rsidP="00BC7B74">
      <w:r w:rsidRPr="00F560BE">
        <w:rPr>
          <w:noProof/>
          <w:lang w:eastAsia="en-AU"/>
        </w:rPr>
        <w:drawing>
          <wp:inline distT="0" distB="0" distL="0" distR="0">
            <wp:extent cx="5732780" cy="1454785"/>
            <wp:effectExtent l="19050" t="0" r="1270" b="0"/>
            <wp:docPr id="34" name="Picture 25" descr="Table 5. DUPY-202. Clinical success by Primary joint type, Baseline joint severity and Dose of A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5732780" cy="1454785"/>
                    </a:xfrm>
                    <a:prstGeom prst="rect">
                      <a:avLst/>
                    </a:prstGeom>
                    <a:noFill/>
                    <a:ln w="9525">
                      <a:noFill/>
                      <a:miter lim="800000"/>
                      <a:headEnd/>
                      <a:tailEnd/>
                    </a:ln>
                  </pic:spPr>
                </pic:pic>
              </a:graphicData>
            </a:graphic>
          </wp:inline>
        </w:drawing>
      </w:r>
    </w:p>
    <w:p w:rsidR="00F560BE" w:rsidRPr="00F560BE" w:rsidRDefault="00F560BE" w:rsidP="00BC7B74">
      <w:pPr>
        <w:pStyle w:val="TableTitle"/>
      </w:pPr>
      <w:bookmarkStart w:id="104" w:name="_Ref343675701"/>
      <w:bookmarkStart w:id="105" w:name="_Toc353960350"/>
      <w:r w:rsidRPr="00F560BE">
        <w:rPr>
          <w:iCs/>
        </w:rPr>
        <w:lastRenderedPageBreak/>
        <w:t>Table 6</w:t>
      </w:r>
      <w:bookmarkEnd w:id="104"/>
      <w:bookmarkEnd w:id="105"/>
      <w:r>
        <w:rPr>
          <w:iCs/>
        </w:rPr>
        <w:t xml:space="preserve">. </w:t>
      </w:r>
      <w:r w:rsidRPr="00F560BE">
        <w:t>DUPY-202</w:t>
      </w:r>
      <w:r>
        <w:t xml:space="preserve">. Mean change (%) in Degree of contracture (Flexion deformity) from baseline after a single injection of study drug, Primary joint overall and by Joint type. Intent to Treat </w:t>
      </w:r>
      <w:r w:rsidR="000135F1">
        <w:t>P</w:t>
      </w:r>
      <w:r>
        <w:t>opulation.</w:t>
      </w:r>
    </w:p>
    <w:p w:rsidR="00F560BE" w:rsidRPr="00F560BE" w:rsidRDefault="00F560BE" w:rsidP="00BC7B74">
      <w:r w:rsidRPr="00F560BE">
        <w:rPr>
          <w:noProof/>
          <w:lang w:eastAsia="en-AU"/>
        </w:rPr>
        <w:drawing>
          <wp:inline distT="0" distB="0" distL="0" distR="0">
            <wp:extent cx="5732780" cy="7100570"/>
            <wp:effectExtent l="19050" t="0" r="1270" b="0"/>
            <wp:docPr id="36" name="Picture 27" descr="Table 6. DUPY-202. Mean change (%) in Degree of contracture (Flexion deformity) from baseline after a single injection of study drug, Primary joint overall and by Joint typ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5732780" cy="7100570"/>
                    </a:xfrm>
                    <a:prstGeom prst="rect">
                      <a:avLst/>
                    </a:prstGeom>
                    <a:noFill/>
                    <a:ln w="9525">
                      <a:noFill/>
                      <a:miter lim="800000"/>
                      <a:headEnd/>
                      <a:tailEnd/>
                    </a:ln>
                  </pic:spPr>
                </pic:pic>
              </a:graphicData>
            </a:graphic>
          </wp:inline>
        </w:drawing>
      </w:r>
    </w:p>
    <w:p w:rsidR="00BF4EBA" w:rsidRPr="00426667" w:rsidRDefault="00BF4EBA" w:rsidP="0013617E">
      <w:r w:rsidRPr="00426667">
        <w:t>In this study, the rate of treatment emergent AEs increased with increasing dose of AA4500 (77.8%, 81.8% and 91.3% v</w:t>
      </w:r>
      <w:r w:rsidR="00F560BE">
        <w:t>ersu</w:t>
      </w:r>
      <w:r w:rsidRPr="00426667">
        <w:t>s 64.7% in the placebo group), however there was no statistically significant difference found between the active groups. Adverse events were mainly associated with the injection or post-injection finger manipulation (peripheral oedema, tenderness, ecchymosis) and were mild or moderate in severity.</w:t>
      </w:r>
    </w:p>
    <w:p w:rsidR="00BF4EBA" w:rsidRPr="00426667" w:rsidRDefault="008208D2" w:rsidP="0013617E">
      <w:r>
        <w:lastRenderedPageBreak/>
        <w:t>The sponsor</w:t>
      </w:r>
      <w:r w:rsidR="00BF4EBA" w:rsidRPr="00426667">
        <w:t xml:space="preserve"> also included in the dossier a literature report of an early open label, dose-ranging study of the product in 35 subjects (DUPY-101). This reported that no beneficial effects were found with injections of &lt;10,000 U</w:t>
      </w:r>
      <w:r w:rsidR="00F45DEC">
        <w:t>.</w:t>
      </w:r>
      <w:r w:rsidR="00BF4EBA" w:rsidRPr="00426667">
        <w:t xml:space="preserve"> </w:t>
      </w:r>
      <w:r w:rsidR="00F45DEC">
        <w:rPr>
          <w:rStyle w:val="FootnoteReference"/>
        </w:rPr>
        <w:footnoteReference w:id="2"/>
      </w:r>
    </w:p>
    <w:p w:rsidR="00BF4EBA" w:rsidRPr="00F560BE" w:rsidRDefault="00BF4EBA" w:rsidP="0013617E">
      <w:pPr>
        <w:ind w:left="1418" w:hanging="1418"/>
      </w:pPr>
      <w:r w:rsidRPr="00F560BE">
        <w:t xml:space="preserve">Comment: </w:t>
      </w:r>
      <w:r w:rsidRPr="00F560BE">
        <w:tab/>
      </w:r>
      <w:r w:rsidR="00F45DEC">
        <w:t>N</w:t>
      </w:r>
      <w:r w:rsidRPr="00F560BE">
        <w:t>o clinical study report or data were supplied for this study so evaluation was not possible.</w:t>
      </w:r>
    </w:p>
    <w:p w:rsidR="00BF4EBA" w:rsidRPr="00426667" w:rsidRDefault="00BF4EBA" w:rsidP="0013617E">
      <w:r w:rsidRPr="00426667">
        <w:t xml:space="preserve">In </w:t>
      </w:r>
      <w:r w:rsidR="008208D2">
        <w:t>Study DUPY</w:t>
      </w:r>
      <w:r w:rsidRPr="00426667">
        <w:t xml:space="preserve">-202, all AA4500 doses were found to be better than placebo with regard to effects on clinical success rates, improvement in range of motion and reduction in flexion deformity. There was an evident dose response and the highest dose of 10,000 U (equivalent to 0.58 mg) had a response irrespective of joint type (MP or PIP) and was more effective on the more severely contracted joints. Given these efficacy findings and the lack of a significant difference in AE rates between the dose groups, </w:t>
      </w:r>
      <w:r w:rsidR="008208D2">
        <w:t>the sponsor</w:t>
      </w:r>
      <w:r w:rsidRPr="00426667">
        <w:t xml:space="preserve"> selected the 10,000 U dose for the </w:t>
      </w:r>
      <w:r w:rsidR="00F560BE">
        <w:t>P</w:t>
      </w:r>
      <w:r w:rsidRPr="00426667">
        <w:t>hase III trials.</w:t>
      </w:r>
    </w:p>
    <w:p w:rsidR="00BF4EBA" w:rsidRPr="00F560BE" w:rsidRDefault="00BF4EBA" w:rsidP="0013617E">
      <w:pPr>
        <w:ind w:left="1418" w:hanging="1418"/>
      </w:pPr>
      <w:r w:rsidRPr="00F560BE">
        <w:t xml:space="preserve">Comments: </w:t>
      </w:r>
      <w:r w:rsidRPr="00F560BE">
        <w:tab/>
        <w:t xml:space="preserve">The high efficacy response of the 0.58 mg dose supported not assessing an even higher dose. </w:t>
      </w:r>
    </w:p>
    <w:p w:rsidR="00BF4EBA" w:rsidRPr="00F560BE" w:rsidRDefault="00BF4EBA" w:rsidP="0013617E">
      <w:pPr>
        <w:ind w:left="1418"/>
      </w:pPr>
      <w:r w:rsidRPr="00F560BE">
        <w:t xml:space="preserve">The use of study drug from an early manufacturing process mean the efficacy data are only considered supportive as there are no bioequivalence bridging data between this early process and the proposed commercial manufacturing process which was used in the </w:t>
      </w:r>
      <w:r w:rsidR="00F560BE">
        <w:t>P</w:t>
      </w:r>
      <w:r w:rsidRPr="00F560BE">
        <w:t>hase III clinical trials.</w:t>
      </w:r>
    </w:p>
    <w:p w:rsidR="00BF4EBA" w:rsidRPr="00F560BE" w:rsidRDefault="00BF4EBA" w:rsidP="0013617E">
      <w:pPr>
        <w:ind w:left="1418"/>
      </w:pPr>
      <w:r w:rsidRPr="00F560BE">
        <w:t xml:space="preserve">Given the proposed dosage of 0.58 mg, it is unclear why the single use product vial is 0.9 mg and a question on this has been included </w:t>
      </w:r>
      <w:r w:rsidR="00F560BE">
        <w:t xml:space="preserve">(see </w:t>
      </w:r>
      <w:r w:rsidR="00F560BE" w:rsidRPr="00F560BE">
        <w:rPr>
          <w:i/>
        </w:rPr>
        <w:t>List of Questions</w:t>
      </w:r>
      <w:r w:rsidR="00F560BE">
        <w:t>).</w:t>
      </w:r>
    </w:p>
    <w:p w:rsidR="00C22678" w:rsidRDefault="00C22678" w:rsidP="0013617E">
      <w:pPr>
        <w:pStyle w:val="Heading2"/>
      </w:pPr>
      <w:bookmarkStart w:id="106" w:name="_Toc374966964"/>
      <w:r>
        <w:t>Clinical efficacy</w:t>
      </w:r>
      <w:bookmarkEnd w:id="106"/>
    </w:p>
    <w:p w:rsidR="00BF4EBA" w:rsidRPr="00BF4EBA" w:rsidRDefault="00BF4EBA" w:rsidP="0013617E">
      <w:pPr>
        <w:pStyle w:val="Heading3"/>
      </w:pPr>
      <w:bookmarkStart w:id="107" w:name="_Ref271199564"/>
      <w:bookmarkStart w:id="108" w:name="_Toc272414651"/>
      <w:bookmarkStart w:id="109" w:name="_Toc290846273"/>
      <w:bookmarkStart w:id="110" w:name="_Toc353960251"/>
      <w:bookmarkStart w:id="111" w:name="_Toc374966965"/>
      <w:proofErr w:type="spellStart"/>
      <w:r w:rsidRPr="00BF4EBA">
        <w:t>Dupuytren's</w:t>
      </w:r>
      <w:proofErr w:type="spellEnd"/>
      <w:r w:rsidRPr="00BF4EBA">
        <w:t xml:space="preserve"> contracture</w:t>
      </w:r>
      <w:bookmarkEnd w:id="107"/>
      <w:bookmarkEnd w:id="108"/>
      <w:bookmarkEnd w:id="109"/>
      <w:bookmarkEnd w:id="110"/>
      <w:bookmarkEnd w:id="111"/>
    </w:p>
    <w:p w:rsidR="00BF4EBA" w:rsidRPr="00BF4EBA" w:rsidRDefault="00BF4EBA" w:rsidP="0013617E">
      <w:pPr>
        <w:pStyle w:val="Heading4"/>
      </w:pPr>
      <w:bookmarkStart w:id="112" w:name="_Ref271037274"/>
      <w:bookmarkStart w:id="113" w:name="_Toc272414652"/>
      <w:bookmarkStart w:id="114" w:name="_Toc290846274"/>
      <w:bookmarkStart w:id="115" w:name="_Toc353960252"/>
      <w:r w:rsidRPr="00BF4EBA">
        <w:t>Pivotal efficacy studies</w:t>
      </w:r>
      <w:bookmarkEnd w:id="112"/>
      <w:bookmarkEnd w:id="113"/>
      <w:bookmarkEnd w:id="114"/>
      <w:bookmarkEnd w:id="115"/>
    </w:p>
    <w:p w:rsidR="00BF4EBA" w:rsidRPr="00BF4EBA" w:rsidRDefault="00BF4EBA" w:rsidP="0013617E">
      <w:pPr>
        <w:pStyle w:val="Heading5"/>
        <w:rPr>
          <w:lang w:eastAsia="ja-JP"/>
        </w:rPr>
      </w:pPr>
      <w:bookmarkStart w:id="116" w:name="_Ref243301615"/>
      <w:bookmarkStart w:id="117" w:name="_Ref271040927"/>
      <w:bookmarkStart w:id="118" w:name="_Ref271040932"/>
      <w:bookmarkStart w:id="119" w:name="_Toc272414653"/>
      <w:bookmarkStart w:id="120" w:name="_Toc290846275"/>
      <w:bookmarkStart w:id="121" w:name="_Toc353960253"/>
      <w:r w:rsidRPr="00BF4EBA">
        <w:rPr>
          <w:lang w:eastAsia="ja-JP"/>
        </w:rPr>
        <w:t xml:space="preserve">Study </w:t>
      </w:r>
      <w:bookmarkEnd w:id="116"/>
      <w:bookmarkEnd w:id="117"/>
      <w:bookmarkEnd w:id="118"/>
      <w:bookmarkEnd w:id="119"/>
      <w:bookmarkEnd w:id="120"/>
      <w:r w:rsidRPr="00BF4EBA">
        <w:rPr>
          <w:lang w:eastAsia="ja-JP"/>
        </w:rPr>
        <w:t>AUX-CC-857 and AUX-CC-859</w:t>
      </w:r>
      <w:bookmarkEnd w:id="121"/>
    </w:p>
    <w:p w:rsidR="00BF4EBA" w:rsidRPr="00BF4EBA" w:rsidRDefault="00BF4EBA" w:rsidP="0013617E">
      <w:pPr>
        <w:pStyle w:val="Heading6"/>
        <w:rPr>
          <w:lang w:eastAsia="ja-JP"/>
        </w:rPr>
      </w:pPr>
      <w:r w:rsidRPr="00BF4EBA">
        <w:rPr>
          <w:lang w:eastAsia="ja-JP"/>
        </w:rPr>
        <w:t>Study design, objectives, locations and dates</w:t>
      </w:r>
    </w:p>
    <w:p w:rsidR="00BF4EBA" w:rsidRPr="00BF4EBA" w:rsidRDefault="00BF4EBA" w:rsidP="0013617E">
      <w:pPr>
        <w:rPr>
          <w:lang w:eastAsia="ja-JP"/>
        </w:rPr>
      </w:pPr>
      <w:r w:rsidRPr="00BF4EBA">
        <w:rPr>
          <w:lang w:eastAsia="ja-JP"/>
        </w:rPr>
        <w:t xml:space="preserve">AUX-CC-857 and AUX-CC-859 were </w:t>
      </w:r>
      <w:r w:rsidR="00F560BE">
        <w:rPr>
          <w:lang w:eastAsia="ja-JP"/>
        </w:rPr>
        <w:t>Phase I</w:t>
      </w:r>
      <w:r w:rsidRPr="00BF4EBA">
        <w:rPr>
          <w:lang w:eastAsia="ja-JP"/>
        </w:rPr>
        <w:t xml:space="preserve">II, double-blind, randomised, placebo-controlled safety and efficacy studies in patients with </w:t>
      </w:r>
      <w:proofErr w:type="spellStart"/>
      <w:r w:rsidRPr="00BF4EBA">
        <w:rPr>
          <w:lang w:eastAsia="ja-JP"/>
        </w:rPr>
        <w:t>Dupuytren’s</w:t>
      </w:r>
      <w:proofErr w:type="spellEnd"/>
      <w:r w:rsidRPr="00BF4EBA">
        <w:rPr>
          <w:lang w:eastAsia="ja-JP"/>
        </w:rPr>
        <w:t xml:space="preserve"> contracture. The design included a 90 days randomised period which was followed by a nine month open label extension period. For </w:t>
      </w:r>
      <w:r w:rsidR="00F560BE">
        <w:rPr>
          <w:lang w:eastAsia="ja-JP"/>
        </w:rPr>
        <w:t>Study 85</w:t>
      </w:r>
      <w:r w:rsidRPr="00BF4EBA">
        <w:rPr>
          <w:lang w:eastAsia="ja-JP"/>
        </w:rPr>
        <w:t xml:space="preserve">7 this open label extension was a separate protocol (AUX-CC-858) while for </w:t>
      </w:r>
      <w:r w:rsidR="00F560BE">
        <w:rPr>
          <w:lang w:eastAsia="ja-JP"/>
        </w:rPr>
        <w:t>Study 85</w:t>
      </w:r>
      <w:r w:rsidRPr="00BF4EBA">
        <w:rPr>
          <w:lang w:eastAsia="ja-JP"/>
        </w:rPr>
        <w:t>9 it was part of the main protocol. Study 857 was conducted in the US at 16 sites between August 2007 and October 2008. Study 859 was conducted in Australia at six sites (five of which enrolled subjects) between August 2007 and September 2008.</w:t>
      </w:r>
    </w:p>
    <w:p w:rsidR="00BF4EBA" w:rsidRPr="00BF4EBA" w:rsidRDefault="00BF4EBA" w:rsidP="0013617E">
      <w:pPr>
        <w:rPr>
          <w:lang w:eastAsia="ja-JP"/>
        </w:rPr>
      </w:pPr>
      <w:r w:rsidRPr="00BF4EBA">
        <w:rPr>
          <w:lang w:eastAsia="ja-JP"/>
        </w:rPr>
        <w:t xml:space="preserve">The primary objective was to evaluate the efficacy and safety of up to three injections of AA4500 as compared to placebo in reducing the degree of contracture (fixed flexion deformity) in the primary joint (either MP or PIP). Efficacy evaluation at multiple joints (MP and PIP) was a secondary objective and in </w:t>
      </w:r>
      <w:r w:rsidR="00F560BE">
        <w:rPr>
          <w:lang w:eastAsia="ja-JP"/>
        </w:rPr>
        <w:t>Study 85</w:t>
      </w:r>
      <w:r w:rsidRPr="00BF4EBA">
        <w:rPr>
          <w:lang w:eastAsia="ja-JP"/>
        </w:rPr>
        <w:t>9 a tertiary objective was an evaluation of contracture recurrence during the 12 month period.</w:t>
      </w:r>
    </w:p>
    <w:p w:rsidR="00BF4EBA" w:rsidRPr="00BF4EBA" w:rsidRDefault="00BF4EBA" w:rsidP="0013617E">
      <w:pPr>
        <w:rPr>
          <w:lang w:eastAsia="ja-JP"/>
        </w:rPr>
      </w:pPr>
      <w:r w:rsidRPr="00BF4EBA">
        <w:rPr>
          <w:lang w:eastAsia="ja-JP"/>
        </w:rPr>
        <w:t>Both protocols had amendments, the first clarified inclusion and exclusion criteria and the second changed wrist position during manipulation, updated guidance for fifth finger injection and clarified use of doxycycline. Study 859 also had a third administrative amendment.</w:t>
      </w:r>
    </w:p>
    <w:p w:rsidR="00BF4EBA" w:rsidRPr="00BF4EBA" w:rsidRDefault="00BF4EBA" w:rsidP="0013617E">
      <w:pPr>
        <w:pStyle w:val="Heading6"/>
        <w:rPr>
          <w:lang w:eastAsia="ja-JP"/>
        </w:rPr>
      </w:pPr>
      <w:r w:rsidRPr="00BF4EBA">
        <w:rPr>
          <w:lang w:eastAsia="ja-JP"/>
        </w:rPr>
        <w:lastRenderedPageBreak/>
        <w:t>Inclusion and exclusion criteria</w:t>
      </w:r>
    </w:p>
    <w:p w:rsidR="00BF4EBA" w:rsidRPr="00BF4EBA" w:rsidRDefault="00BF4EBA" w:rsidP="00F513B2">
      <w:pPr>
        <w:rPr>
          <w:lang w:eastAsia="ja-JP"/>
        </w:rPr>
      </w:pPr>
      <w:r w:rsidRPr="00BF4EBA">
        <w:rPr>
          <w:lang w:eastAsia="ja-JP"/>
        </w:rPr>
        <w:t xml:space="preserve">Inclusion criteria were: </w:t>
      </w:r>
      <w:r w:rsidR="00F560BE">
        <w:rPr>
          <w:lang w:eastAsia="ja-JP"/>
        </w:rPr>
        <w:t>≥</w:t>
      </w:r>
      <w:r w:rsidRPr="00BF4EBA">
        <w:rPr>
          <w:lang w:eastAsia="ja-JP"/>
        </w:rPr>
        <w:t xml:space="preserve">18 years of age; diagnosis of </w:t>
      </w:r>
      <w:proofErr w:type="spellStart"/>
      <w:r w:rsidRPr="00BF4EBA">
        <w:rPr>
          <w:lang w:eastAsia="ja-JP"/>
        </w:rPr>
        <w:t>Dupuytren's</w:t>
      </w:r>
      <w:proofErr w:type="spellEnd"/>
      <w:r w:rsidRPr="00BF4EBA">
        <w:rPr>
          <w:lang w:eastAsia="ja-JP"/>
        </w:rPr>
        <w:t xml:space="preserve"> disease with a fixed flexion deformity of at least one finger (other than the thumb) that was </w:t>
      </w:r>
      <w:r w:rsidR="00F560BE">
        <w:rPr>
          <w:lang w:eastAsia="ja-JP"/>
        </w:rPr>
        <w:t>≥</w:t>
      </w:r>
      <w:r w:rsidRPr="00BF4EBA">
        <w:rPr>
          <w:lang w:eastAsia="ja-JP"/>
        </w:rPr>
        <w:t xml:space="preserve">20° and </w:t>
      </w:r>
      <w:r w:rsidR="00F560BE">
        <w:rPr>
          <w:lang w:eastAsia="ja-JP"/>
        </w:rPr>
        <w:t>≤</w:t>
      </w:r>
      <w:r w:rsidRPr="00BF4EBA">
        <w:rPr>
          <w:lang w:eastAsia="ja-JP"/>
        </w:rPr>
        <w:t>100° for MP (</w:t>
      </w:r>
      <w:r w:rsidR="00F560BE">
        <w:rPr>
          <w:lang w:eastAsia="ja-JP"/>
        </w:rPr>
        <w:t>≤</w:t>
      </w:r>
      <w:r w:rsidRPr="00BF4EBA">
        <w:rPr>
          <w:lang w:eastAsia="ja-JP"/>
        </w:rPr>
        <w:t>80° for PIP) contracture caused by a palpable cord that had never been treated with AA4500; a positive “table top test”</w:t>
      </w:r>
      <w:r w:rsidRPr="00BF4EBA">
        <w:rPr>
          <w:vertAlign w:val="superscript"/>
          <w:lang w:eastAsia="ja-JP"/>
        </w:rPr>
        <w:footnoteReference w:id="3"/>
      </w:r>
      <w:r w:rsidRPr="00BF4EBA">
        <w:rPr>
          <w:lang w:eastAsia="ja-JP"/>
        </w:rPr>
        <w:t>; in good health; and using birth control, sterilised or post-menopausal.</w:t>
      </w:r>
    </w:p>
    <w:p w:rsidR="00BF4EBA" w:rsidRPr="00BF4EBA" w:rsidRDefault="00BF4EBA" w:rsidP="00F513B2">
      <w:pPr>
        <w:rPr>
          <w:lang w:eastAsia="ja-JP"/>
        </w:rPr>
      </w:pPr>
      <w:r w:rsidRPr="00BF4EBA">
        <w:rPr>
          <w:lang w:eastAsia="ja-JP"/>
        </w:rPr>
        <w:t xml:space="preserve">Exclusion criteria were: pregnancy or lactation or planning pregnancy; chronic muscular, neurological or neuromuscular disorder affecting the hands; treatment for </w:t>
      </w:r>
      <w:proofErr w:type="spellStart"/>
      <w:r w:rsidRPr="00BF4EBA">
        <w:rPr>
          <w:lang w:eastAsia="ja-JP"/>
        </w:rPr>
        <w:t>Dupuytren's</w:t>
      </w:r>
      <w:proofErr w:type="spellEnd"/>
      <w:r w:rsidRPr="00BF4EBA">
        <w:rPr>
          <w:lang w:eastAsia="ja-JP"/>
        </w:rPr>
        <w:t xml:space="preserve"> disease at the selected joint within 90 days; allergy to </w:t>
      </w:r>
      <w:proofErr w:type="spellStart"/>
      <w:r w:rsidRPr="00BF4EBA">
        <w:rPr>
          <w:lang w:eastAsia="ja-JP"/>
        </w:rPr>
        <w:t>collagenase</w:t>
      </w:r>
      <w:proofErr w:type="spellEnd"/>
      <w:r w:rsidRPr="00BF4EBA">
        <w:rPr>
          <w:lang w:eastAsia="ja-JP"/>
        </w:rPr>
        <w:t xml:space="preserve">; received of </w:t>
      </w:r>
      <w:proofErr w:type="spellStart"/>
      <w:r w:rsidRPr="00BF4EBA">
        <w:rPr>
          <w:lang w:eastAsia="ja-JP"/>
        </w:rPr>
        <w:t>doxycycline</w:t>
      </w:r>
      <w:proofErr w:type="spellEnd"/>
      <w:r w:rsidRPr="00BF4EBA">
        <w:rPr>
          <w:lang w:eastAsia="ja-JP"/>
        </w:rPr>
        <w:t xml:space="preserve"> or a derivative within 14 days; </w:t>
      </w:r>
      <w:proofErr w:type="spellStart"/>
      <w:r w:rsidRPr="00BF4EBA">
        <w:rPr>
          <w:lang w:eastAsia="ja-JP"/>
        </w:rPr>
        <w:t>collagenase</w:t>
      </w:r>
      <w:proofErr w:type="spellEnd"/>
      <w:r w:rsidRPr="00BF4EBA">
        <w:rPr>
          <w:lang w:eastAsia="ja-JP"/>
        </w:rPr>
        <w:t xml:space="preserve"> treatment within 30 days; anticoagulant medication (except low dose aspirin) within 7 days; and recent history of stroke, bleeding or a disease affecting the hands.</w:t>
      </w:r>
    </w:p>
    <w:p w:rsidR="00BF4EBA" w:rsidRPr="00BF4EBA" w:rsidRDefault="00BF4EBA" w:rsidP="00F513B2">
      <w:pPr>
        <w:pStyle w:val="Heading6"/>
        <w:rPr>
          <w:lang w:eastAsia="ja-JP"/>
        </w:rPr>
      </w:pPr>
      <w:r w:rsidRPr="00BF4EBA">
        <w:rPr>
          <w:lang w:eastAsia="ja-JP"/>
        </w:rPr>
        <w:t>Study treatments</w:t>
      </w:r>
    </w:p>
    <w:p w:rsidR="00BF4EBA" w:rsidRPr="00BF4EBA" w:rsidRDefault="00BF4EBA" w:rsidP="00F513B2">
      <w:pPr>
        <w:rPr>
          <w:lang w:eastAsia="ja-JP"/>
        </w:rPr>
      </w:pPr>
      <w:r w:rsidRPr="00BF4EBA">
        <w:rPr>
          <w:lang w:eastAsia="ja-JP"/>
        </w:rPr>
        <w:t xml:space="preserve">AA4500 0.58 mg or placebo was administered after reconstitution with diluent (0.9% sodium chloride containing 2 mM calcium chloride) in a volume of 0.25 mL of the reconstituted solution for cords affecting MP joints and 0.20 mL for cords affecting PIP joints. Reconstitution of the study drug was performed by designated staff. Injection was directly into the cord using a </w:t>
      </w:r>
      <w:proofErr w:type="spellStart"/>
      <w:r w:rsidRPr="00BF4EBA">
        <w:rPr>
          <w:lang w:eastAsia="ja-JP"/>
        </w:rPr>
        <w:t>hubless</w:t>
      </w:r>
      <w:proofErr w:type="spellEnd"/>
      <w:r w:rsidRPr="00BF4EBA">
        <w:rPr>
          <w:lang w:eastAsia="ja-JP"/>
        </w:rPr>
        <w:t xml:space="preserve"> syringe with attached 27 gauge ½ inch needle. </w:t>
      </w:r>
    </w:p>
    <w:p w:rsidR="00BF4EBA" w:rsidRPr="00BF4EBA" w:rsidRDefault="00BF4EBA" w:rsidP="00F513B2">
      <w:pPr>
        <w:ind w:left="1418" w:hanging="1418"/>
        <w:rPr>
          <w:lang w:eastAsia="ja-JP"/>
        </w:rPr>
      </w:pPr>
      <w:r w:rsidRPr="00BF4EBA">
        <w:rPr>
          <w:lang w:eastAsia="ja-JP"/>
        </w:rPr>
        <w:t xml:space="preserve">Comment: </w:t>
      </w:r>
      <w:r w:rsidRPr="00BF4EBA">
        <w:rPr>
          <w:lang w:eastAsia="ja-JP"/>
        </w:rPr>
        <w:tab/>
        <w:t xml:space="preserve">It was not clear what level of training in the correct injection technique had been undertaken for the investigators. A question </w:t>
      </w:r>
      <w:r w:rsidR="00CD48FD">
        <w:rPr>
          <w:lang w:eastAsia="ja-JP"/>
        </w:rPr>
        <w:t>on this issue has been raised with the sponsor (</w:t>
      </w:r>
      <w:r w:rsidR="00CD48FD" w:rsidRPr="00CD48FD">
        <w:rPr>
          <w:i/>
          <w:lang w:eastAsia="ja-JP"/>
        </w:rPr>
        <w:t>List of Questions</w:t>
      </w:r>
      <w:r w:rsidR="00CD48FD">
        <w:rPr>
          <w:lang w:eastAsia="ja-JP"/>
        </w:rPr>
        <w:t>)</w:t>
      </w:r>
      <w:r w:rsidRPr="00BF4EBA">
        <w:rPr>
          <w:lang w:eastAsia="ja-JP"/>
        </w:rPr>
        <w:t>.</w:t>
      </w:r>
    </w:p>
    <w:p w:rsidR="00BF4EBA" w:rsidRPr="00BF4EBA" w:rsidRDefault="00BF4EBA" w:rsidP="00F513B2">
      <w:pPr>
        <w:rPr>
          <w:lang w:eastAsia="ja-JP"/>
        </w:rPr>
      </w:pPr>
      <w:r w:rsidRPr="00BF4EBA">
        <w:rPr>
          <w:lang w:eastAsia="ja-JP"/>
        </w:rPr>
        <w:t>There was a 60 minute observation period post injection to monitor local and systemic adverse events and vital signs. Subjects were to rest the hand until the next visit. About 24 hours post injection, if thought warranted, investigators manipulated the contracted cord by extending the finger using force according to the subject’s pain tolerance</w:t>
      </w:r>
      <w:r w:rsidR="00CD48FD">
        <w:rPr>
          <w:lang w:eastAsia="ja-JP"/>
        </w:rPr>
        <w:t>.</w:t>
      </w:r>
      <w:r w:rsidRPr="00BF4EBA">
        <w:rPr>
          <w:lang w:eastAsia="ja-JP"/>
        </w:rPr>
        <w:t xml:space="preserve"> Three attempts at cord disruption were permitted. Following this, the hand was splinted each night for four months and subjects instructed to perform daily finger exercises.</w:t>
      </w:r>
    </w:p>
    <w:p w:rsidR="00BF4EBA" w:rsidRPr="00BF4EBA" w:rsidRDefault="00BF4EBA" w:rsidP="00F513B2">
      <w:pPr>
        <w:rPr>
          <w:lang w:eastAsia="ja-JP"/>
        </w:rPr>
      </w:pPr>
      <w:r w:rsidRPr="00BF4EBA">
        <w:rPr>
          <w:lang w:eastAsia="ja-JP"/>
        </w:rPr>
        <w:t>Up to 3 injections could be given (one a month) during the double-blind phase. Subjects not achieving clinical success with the treated cord or who had other affected joints could receive up to 5 additional injections in the open label period however a cord affecting a joint could receive a maximum of 3 injections only.</w:t>
      </w:r>
    </w:p>
    <w:p w:rsidR="00BF4EBA" w:rsidRPr="00BF4EBA" w:rsidRDefault="00BF4EBA" w:rsidP="00F513B2">
      <w:pPr>
        <w:rPr>
          <w:lang w:eastAsia="ja-JP"/>
        </w:rPr>
      </w:pPr>
      <w:r w:rsidRPr="00BF4EBA">
        <w:rPr>
          <w:lang w:eastAsia="ja-JP"/>
        </w:rPr>
        <w:t>Prohibited medications included doxycycline and its derivatives for 14 days prior and 7 days post each injection and anticoagulant medications for 7 days prior and post each injection.</w:t>
      </w:r>
    </w:p>
    <w:p w:rsidR="00BF4EBA" w:rsidRPr="00BF4EBA" w:rsidRDefault="00BF4EBA" w:rsidP="00F513B2">
      <w:pPr>
        <w:pStyle w:val="Heading6"/>
        <w:rPr>
          <w:lang w:eastAsia="ja-JP"/>
        </w:rPr>
      </w:pPr>
      <w:r w:rsidRPr="00BF4EBA">
        <w:rPr>
          <w:lang w:eastAsia="ja-JP"/>
        </w:rPr>
        <w:t>Efficacy variables and outcomes</w:t>
      </w:r>
    </w:p>
    <w:p w:rsidR="00BF4EBA" w:rsidRPr="00BF4EBA" w:rsidRDefault="00BF4EBA" w:rsidP="00F513B2">
      <w:pPr>
        <w:rPr>
          <w:lang w:eastAsia="ja-JP"/>
        </w:rPr>
      </w:pPr>
      <w:r w:rsidRPr="00BF4EBA">
        <w:rPr>
          <w:lang w:eastAsia="ja-JP"/>
        </w:rPr>
        <w:t>The main efficacy variable was the reduction in fixed flexion contracture (finger deformity) as measured by finger goniometry 30 days after an injection using the Neutral Zero Method</w:t>
      </w:r>
      <w:r w:rsidRPr="00BF4EBA">
        <w:rPr>
          <w:vertAlign w:val="superscript"/>
          <w:lang w:eastAsia="ja-JP"/>
        </w:rPr>
        <w:footnoteReference w:id="4"/>
      </w:r>
      <w:r w:rsidRPr="00BF4EBA">
        <w:rPr>
          <w:lang w:eastAsia="ja-JP"/>
        </w:rPr>
        <w:t xml:space="preserve">. The primary efficacy outcome was the rate of clinical success of the primary joint after the last injection. Clinical success was defined as a reduction in contracture (flexion deformity) to </w:t>
      </w:r>
      <w:r w:rsidR="00CD48FD">
        <w:rPr>
          <w:lang w:eastAsia="ja-JP"/>
        </w:rPr>
        <w:t>≤</w:t>
      </w:r>
      <w:r w:rsidRPr="00BF4EBA">
        <w:rPr>
          <w:lang w:eastAsia="ja-JP"/>
        </w:rPr>
        <w:t xml:space="preserve">5°. </w:t>
      </w:r>
    </w:p>
    <w:p w:rsidR="00BF4EBA" w:rsidRPr="00BF4EBA" w:rsidRDefault="00BF4EBA" w:rsidP="00F513B2">
      <w:pPr>
        <w:rPr>
          <w:lang w:eastAsia="ja-JP"/>
        </w:rPr>
      </w:pPr>
      <w:r w:rsidRPr="00BF4EBA">
        <w:rPr>
          <w:lang w:eastAsia="ja-JP"/>
        </w:rPr>
        <w:t>Before treatment initiation the investigator prioritised the affected cords on the selected hand as primary, secondary and tertiary. The primary cord could be either at the MP or the PIP joint, although if they were on the same finger the MP joint was selected as primary. Once clinical success was achieved at the primary joint, the secondary and tertiary joints were treated.</w:t>
      </w:r>
    </w:p>
    <w:p w:rsidR="00BF4EBA" w:rsidRPr="00BF4EBA" w:rsidRDefault="00BF4EBA" w:rsidP="00F513B2">
      <w:pPr>
        <w:rPr>
          <w:lang w:eastAsia="ja-JP"/>
        </w:rPr>
      </w:pPr>
      <w:r w:rsidRPr="00BF4EBA">
        <w:rPr>
          <w:lang w:eastAsia="ja-JP"/>
        </w:rPr>
        <w:lastRenderedPageBreak/>
        <w:t>Other efficacy outcomes included:</w:t>
      </w:r>
    </w:p>
    <w:p w:rsidR="00BF4EBA" w:rsidRPr="00BF4EBA" w:rsidRDefault="00BF4EBA" w:rsidP="006A6425">
      <w:pPr>
        <w:pStyle w:val="ListBullet"/>
        <w:rPr>
          <w:lang w:eastAsia="ja-JP"/>
        </w:rPr>
      </w:pPr>
      <w:r w:rsidRPr="00BF4EBA">
        <w:rPr>
          <w:lang w:eastAsia="ja-JP"/>
        </w:rPr>
        <w:t>Clinical improvement which was defined as at least a 50% reduction from baseline in contracture after an injection.</w:t>
      </w:r>
    </w:p>
    <w:p w:rsidR="00BF4EBA" w:rsidRPr="00BF4EBA" w:rsidRDefault="00BF4EBA" w:rsidP="006A6425">
      <w:pPr>
        <w:pStyle w:val="ListBullet"/>
        <w:rPr>
          <w:lang w:eastAsia="ja-JP"/>
        </w:rPr>
      </w:pPr>
      <w:r w:rsidRPr="00BF4EBA">
        <w:rPr>
          <w:lang w:eastAsia="ja-JP"/>
        </w:rPr>
        <w:t>The perc</w:t>
      </w:r>
      <w:r w:rsidR="00CD48FD">
        <w:rPr>
          <w:lang w:eastAsia="ja-JP"/>
        </w:rPr>
        <w:t>entage change from baseline to D</w:t>
      </w:r>
      <w:r w:rsidRPr="00BF4EBA">
        <w:rPr>
          <w:lang w:eastAsia="ja-JP"/>
        </w:rPr>
        <w:t>ay 30 in degree of contracture.</w:t>
      </w:r>
    </w:p>
    <w:p w:rsidR="00BF4EBA" w:rsidRPr="00BF4EBA" w:rsidRDefault="00CD48FD" w:rsidP="006A6425">
      <w:pPr>
        <w:pStyle w:val="ListBullet"/>
        <w:rPr>
          <w:lang w:eastAsia="ja-JP"/>
        </w:rPr>
      </w:pPr>
      <w:r>
        <w:rPr>
          <w:lang w:eastAsia="ja-JP"/>
        </w:rPr>
        <w:t>Change from baseline to D</w:t>
      </w:r>
      <w:r w:rsidR="00BF4EBA" w:rsidRPr="00BF4EBA">
        <w:rPr>
          <w:lang w:eastAsia="ja-JP"/>
        </w:rPr>
        <w:t>ay 30 in range of motion which was the difference between finger extension and flexion angles in degrees.</w:t>
      </w:r>
    </w:p>
    <w:p w:rsidR="00BF4EBA" w:rsidRPr="00BF4EBA" w:rsidRDefault="00BF4EBA" w:rsidP="00CD48FD">
      <w:pPr>
        <w:pStyle w:val="ListBullet"/>
        <w:rPr>
          <w:lang w:eastAsia="ja-JP"/>
        </w:rPr>
      </w:pPr>
      <w:r w:rsidRPr="00BF4EBA">
        <w:rPr>
          <w:lang w:eastAsia="ja-JP"/>
        </w:rPr>
        <w:t>Time to reach clinical success. This used the visit day for which reduction in contraction to 5° or less was achieved and maintained to 30 days post injection.</w:t>
      </w:r>
    </w:p>
    <w:p w:rsidR="00BF4EBA" w:rsidRPr="00BF4EBA" w:rsidRDefault="00BF4EBA" w:rsidP="006A6425">
      <w:pPr>
        <w:pStyle w:val="ListBullet"/>
        <w:rPr>
          <w:lang w:eastAsia="ja-JP"/>
        </w:rPr>
      </w:pPr>
      <w:r w:rsidRPr="00BF4EBA">
        <w:rPr>
          <w:lang w:eastAsia="ja-JP"/>
        </w:rPr>
        <w:t>Recurrence for joints which achieved clinical success. This was deemed when the joint contracture increased by at least 20° and had a palpable cord.</w:t>
      </w:r>
    </w:p>
    <w:p w:rsidR="00BF4EBA" w:rsidRPr="00BF4EBA" w:rsidRDefault="00BF4EBA" w:rsidP="006A6425">
      <w:pPr>
        <w:pStyle w:val="ListBullet"/>
        <w:rPr>
          <w:lang w:eastAsia="ja-JP"/>
        </w:rPr>
      </w:pPr>
      <w:r w:rsidRPr="00BF4EBA">
        <w:rPr>
          <w:lang w:eastAsia="ja-JP"/>
        </w:rPr>
        <w:t>Physician global assessment of the contracture and degree of improvement, subject global assessment of severity, percent improvement and treatment satisfaction.</w:t>
      </w:r>
    </w:p>
    <w:p w:rsidR="00BF4EBA" w:rsidRPr="00BF4EBA" w:rsidRDefault="00BF4EBA" w:rsidP="006A6425">
      <w:pPr>
        <w:pStyle w:val="Heading6"/>
        <w:rPr>
          <w:lang w:eastAsia="ja-JP"/>
        </w:rPr>
      </w:pPr>
      <w:r w:rsidRPr="00BF4EBA">
        <w:rPr>
          <w:lang w:eastAsia="ja-JP"/>
        </w:rPr>
        <w:t>Randomisation and blinding methods</w:t>
      </w:r>
    </w:p>
    <w:p w:rsidR="00BF4EBA" w:rsidRPr="00BF4EBA" w:rsidRDefault="00BF4EBA" w:rsidP="006A6425">
      <w:pPr>
        <w:rPr>
          <w:lang w:eastAsia="ja-JP"/>
        </w:rPr>
      </w:pPr>
      <w:r w:rsidRPr="00BF4EBA">
        <w:rPr>
          <w:lang w:eastAsia="ja-JP"/>
        </w:rPr>
        <w:t>Subjects were stratified by primary joint type (MP or PIP) and by baseline joint contracture severity (</w:t>
      </w:r>
      <w:r w:rsidR="00CD48FD">
        <w:rPr>
          <w:lang w:eastAsia="ja-JP"/>
        </w:rPr>
        <w:t>≤</w:t>
      </w:r>
      <w:r w:rsidRPr="00BF4EBA">
        <w:rPr>
          <w:lang w:eastAsia="ja-JP"/>
        </w:rPr>
        <w:t xml:space="preserve">50° or &gt;50°for MP and </w:t>
      </w:r>
      <w:r w:rsidR="00CD48FD">
        <w:rPr>
          <w:lang w:eastAsia="ja-JP"/>
        </w:rPr>
        <w:t>≤</w:t>
      </w:r>
      <w:r w:rsidRPr="00BF4EBA">
        <w:rPr>
          <w:lang w:eastAsia="ja-JP"/>
        </w:rPr>
        <w:t xml:space="preserve">40° or &gt;40° for PIP </w:t>
      </w:r>
      <w:proofErr w:type="spellStart"/>
      <w:r w:rsidRPr="00BF4EBA">
        <w:rPr>
          <w:lang w:eastAsia="ja-JP"/>
        </w:rPr>
        <w:t>joing</w:t>
      </w:r>
      <w:proofErr w:type="spellEnd"/>
      <w:r w:rsidRPr="00BF4EBA">
        <w:rPr>
          <w:lang w:eastAsia="ja-JP"/>
        </w:rPr>
        <w:t>). Randomisation was in a 2:1 ratio to AA4500 or placebo using an IVRS. Study person</w:t>
      </w:r>
      <w:r w:rsidR="00CD48FD">
        <w:rPr>
          <w:lang w:eastAsia="ja-JP"/>
        </w:rPr>
        <w:t>nel</w:t>
      </w:r>
      <w:r w:rsidRPr="00BF4EBA">
        <w:rPr>
          <w:lang w:eastAsia="ja-JP"/>
        </w:rPr>
        <w:t xml:space="preserve"> were blinded to treatment allocation. </w:t>
      </w:r>
    </w:p>
    <w:p w:rsidR="00BF4EBA" w:rsidRPr="00BF4EBA" w:rsidRDefault="00BF4EBA" w:rsidP="006A6425">
      <w:pPr>
        <w:pStyle w:val="Heading6"/>
        <w:rPr>
          <w:lang w:eastAsia="ja-JP"/>
        </w:rPr>
      </w:pPr>
      <w:r w:rsidRPr="00BF4EBA">
        <w:rPr>
          <w:lang w:eastAsia="ja-JP"/>
        </w:rPr>
        <w:t>Analysis populations</w:t>
      </w:r>
    </w:p>
    <w:p w:rsidR="00BF4EBA" w:rsidRPr="00BF4EBA" w:rsidRDefault="00BF4EBA" w:rsidP="006A6425">
      <w:pPr>
        <w:rPr>
          <w:lang w:eastAsia="ja-JP"/>
        </w:rPr>
      </w:pPr>
      <w:r w:rsidRPr="00BF4EBA">
        <w:rPr>
          <w:lang w:eastAsia="ja-JP"/>
        </w:rPr>
        <w:t xml:space="preserve">Efficacy analysis was based on the intention to treat (ITT) population which was defined as all subjects who had received at least one injection of study drug. The per protocol (PP) population excluded subjects with no contracture measurements after the first injection, who had a primary joint not meeting the minimum or maximum fixed flexion measurements at baseline, received the wrong treatment, did not have the day 30 evaluation or received a reduced number of injections. </w:t>
      </w:r>
    </w:p>
    <w:p w:rsidR="00BF4EBA" w:rsidRPr="00BF4EBA" w:rsidDel="0081373E" w:rsidRDefault="00BF4EBA" w:rsidP="006A6425">
      <w:pPr>
        <w:pStyle w:val="Heading6"/>
        <w:rPr>
          <w:lang w:eastAsia="ja-JP"/>
        </w:rPr>
      </w:pPr>
      <w:r w:rsidRPr="00BF4EBA" w:rsidDel="0081373E">
        <w:rPr>
          <w:lang w:eastAsia="ja-JP"/>
        </w:rPr>
        <w:t>Sample size</w:t>
      </w:r>
    </w:p>
    <w:p w:rsidR="00BF4EBA" w:rsidRPr="00BF4EBA" w:rsidDel="0081373E" w:rsidRDefault="00BF4EBA" w:rsidP="006A6425">
      <w:pPr>
        <w:rPr>
          <w:lang w:eastAsia="ja-JP"/>
        </w:rPr>
      </w:pPr>
      <w:r w:rsidRPr="00BF4EBA">
        <w:rPr>
          <w:lang w:eastAsia="ja-JP"/>
        </w:rPr>
        <w:t xml:space="preserve">It was estimated that the clinical success rate (contracture reduction to </w:t>
      </w:r>
      <w:r w:rsidR="00CD48FD">
        <w:rPr>
          <w:lang w:eastAsia="ja-JP"/>
        </w:rPr>
        <w:t>≤</w:t>
      </w:r>
      <w:r w:rsidRPr="00BF4EBA">
        <w:rPr>
          <w:lang w:eastAsia="ja-JP"/>
        </w:rPr>
        <w:t>5°) would be 80% for those with affected MP joints and 70% for PIP joints and 10% for placebo treated joints. For the study to have 80% power at a two sided significance level of 0.05, a sample size of 54 subjects (active:placebo of 16:8 for MP and 20:10 for PIP joints) would be required. In order to adequately assess safety and allow for dropouts a sample of 216 subjects (144 MP and 72 PIP) was selected for</w:t>
      </w:r>
      <w:r w:rsidR="00CD48FD">
        <w:rPr>
          <w:lang w:eastAsia="ja-JP"/>
        </w:rPr>
        <w:t xml:space="preserve"> Study AUX</w:t>
      </w:r>
      <w:r w:rsidRPr="00BF4EBA">
        <w:rPr>
          <w:lang w:eastAsia="ja-JP"/>
        </w:rPr>
        <w:t>-CC-857 and 60 for AUX-CC-259.</w:t>
      </w:r>
    </w:p>
    <w:p w:rsidR="00BF4EBA" w:rsidRPr="00BF4EBA" w:rsidRDefault="00BF4EBA" w:rsidP="006A6425">
      <w:pPr>
        <w:pStyle w:val="Heading6"/>
        <w:rPr>
          <w:lang w:eastAsia="ja-JP"/>
        </w:rPr>
      </w:pPr>
      <w:r w:rsidRPr="00BF4EBA">
        <w:rPr>
          <w:lang w:eastAsia="ja-JP"/>
        </w:rPr>
        <w:t>Statistical methods</w:t>
      </w:r>
    </w:p>
    <w:p w:rsidR="00BF4EBA" w:rsidRPr="00BF4EBA" w:rsidRDefault="00BF4EBA" w:rsidP="006A6425">
      <w:pPr>
        <w:rPr>
          <w:lang w:eastAsia="ja-JP"/>
        </w:rPr>
      </w:pPr>
      <w:r w:rsidRPr="00BF4EBA">
        <w:rPr>
          <w:lang w:eastAsia="ja-JP"/>
        </w:rPr>
        <w:t xml:space="preserve">Comparison of success rate was analysed using a Cochran Mantel Haenszel (CMH) test stratified by baseline severity and joint type for all joints, and baseline severity for analysis of the MP and PIP joints separately. The percentage change from baseline in contracture and in range of motion were analysed using an </w:t>
      </w:r>
      <w:r w:rsidR="00CD48FD">
        <w:rPr>
          <w:lang w:eastAsia="ja-JP"/>
        </w:rPr>
        <w:t>analysis of variance (</w:t>
      </w:r>
      <w:r w:rsidRPr="00BF4EBA">
        <w:rPr>
          <w:lang w:eastAsia="ja-JP"/>
        </w:rPr>
        <w:t>ANOVA</w:t>
      </w:r>
      <w:r w:rsidR="00CD48FD">
        <w:rPr>
          <w:lang w:eastAsia="ja-JP"/>
        </w:rPr>
        <w:t>)</w:t>
      </w:r>
      <w:r w:rsidRPr="00BF4EBA">
        <w:rPr>
          <w:lang w:eastAsia="ja-JP"/>
        </w:rPr>
        <w:t xml:space="preserve"> model with treatment group, baseline severity and joint type as factors. For a sensitivity analysis,</w:t>
      </w:r>
      <w:r w:rsidR="00CD48FD">
        <w:rPr>
          <w:lang w:eastAsia="ja-JP"/>
        </w:rPr>
        <w:t xml:space="preserve"> subjects without D</w:t>
      </w:r>
      <w:r w:rsidRPr="00BF4EBA">
        <w:rPr>
          <w:lang w:eastAsia="ja-JP"/>
        </w:rPr>
        <w:t>ay 30 evaluations post their final injection or not post-injection evaluation were defined as not having achieved clinical success. A closed hierarchical testing procedure was used for the efficacy analysis of the primary joint meaning that if a test failed to reject the individual hypothesis at the 5% significance level then all following hypotheses could not be tested.</w:t>
      </w:r>
    </w:p>
    <w:p w:rsidR="00BF4EBA" w:rsidRPr="00BF4EBA" w:rsidRDefault="00BF4EBA" w:rsidP="006A6425">
      <w:pPr>
        <w:pStyle w:val="Heading6"/>
        <w:rPr>
          <w:lang w:eastAsia="ja-JP"/>
        </w:rPr>
      </w:pPr>
      <w:r w:rsidRPr="00BF4EBA">
        <w:rPr>
          <w:lang w:eastAsia="ja-JP"/>
        </w:rPr>
        <w:t>Participant flow</w:t>
      </w:r>
    </w:p>
    <w:p w:rsidR="00CD48FD" w:rsidRPr="00BF4EBA" w:rsidRDefault="00BF4EBA" w:rsidP="006A6425">
      <w:pPr>
        <w:rPr>
          <w:lang w:eastAsia="ja-JP"/>
        </w:rPr>
      </w:pPr>
      <w:r w:rsidRPr="00BF4EBA">
        <w:rPr>
          <w:lang w:eastAsia="ja-JP"/>
        </w:rPr>
        <w:t>In AUX-CC-857 there were 352 subjects screened, 308 enrolled and 204 and 104 randomised to AA4500 and placebo, respectively. The double-blind phase, completion rates were 93.6% and 96.2%, respectively. In the PP population there were 182 (89.2%) and 91 (87.5%) in the AA4500 and placebo groups, respectively. Discontinuation rates from the double-blind phase were higher with AA4500 (6.4% v</w:t>
      </w:r>
      <w:r w:rsidR="00CD48FD">
        <w:rPr>
          <w:lang w:eastAsia="ja-JP"/>
        </w:rPr>
        <w:t>ersu</w:t>
      </w:r>
      <w:r w:rsidRPr="00BF4EBA">
        <w:rPr>
          <w:lang w:eastAsia="ja-JP"/>
        </w:rPr>
        <w:t xml:space="preserve">s 3.8%) and were mainly consent withdrawal and loss to </w:t>
      </w:r>
      <w:r w:rsidRPr="00BF4EBA">
        <w:rPr>
          <w:lang w:eastAsia="ja-JP"/>
        </w:rPr>
        <w:lastRenderedPageBreak/>
        <w:t>follow up. Three (1.5%) were due to adverse events and all were in the AA4500 group. The placebo group was much more likely to receive three injections (89.4%</w:t>
      </w:r>
      <w:r w:rsidR="00CD48FD">
        <w:rPr>
          <w:lang w:eastAsia="ja-JP"/>
        </w:rPr>
        <w:t xml:space="preserve"> versus </w:t>
      </w:r>
      <w:r w:rsidRPr="00BF4EBA">
        <w:rPr>
          <w:lang w:eastAsia="ja-JP"/>
        </w:rPr>
        <w:t>47.5%) and had fewer joints treated (106</w:t>
      </w:r>
      <w:r w:rsidR="00CD48FD">
        <w:rPr>
          <w:lang w:eastAsia="ja-JP"/>
        </w:rPr>
        <w:t xml:space="preserve"> versus </w:t>
      </w:r>
      <w:r w:rsidRPr="00BF4EBA">
        <w:rPr>
          <w:lang w:eastAsia="ja-JP"/>
        </w:rPr>
        <w:t>287).</w:t>
      </w:r>
    </w:p>
    <w:p w:rsidR="00BF4EBA" w:rsidRPr="00CD48FD" w:rsidRDefault="00BF4EBA" w:rsidP="006A6425">
      <w:pPr>
        <w:rPr>
          <w:lang w:eastAsia="ja-JP"/>
        </w:rPr>
      </w:pPr>
      <w:r w:rsidRPr="00BF4EBA">
        <w:rPr>
          <w:lang w:eastAsia="ja-JP"/>
        </w:rPr>
        <w:t xml:space="preserve">In the smaller AUX-CC-859, there were 66 subjects enrolled (45 in the AA4500 and 21 in the placebo group) with completion rates of 100% and 90.5%, respectively. The PP population consisted of 95.6% and 100% of the respectively groups. As with </w:t>
      </w:r>
      <w:r w:rsidR="00F560BE">
        <w:rPr>
          <w:lang w:eastAsia="ja-JP"/>
        </w:rPr>
        <w:t>Study 85</w:t>
      </w:r>
      <w:r w:rsidRPr="00BF4EBA">
        <w:rPr>
          <w:lang w:eastAsia="ja-JP"/>
        </w:rPr>
        <w:t>7, the placebo group had more patients receiving three injections and less number of joints treated. There were only two premature discontinuations from the double-blind period, both from withdrawal of consent and both in the placebo group. There were 64 subjects in the open label period (45 AA4500 and 19 placebo) with six discontinuations (3 per original group) all due to loss to follow up. The number of injections and joints treated in this p</w:t>
      </w:r>
      <w:r w:rsidRPr="00CD48FD">
        <w:rPr>
          <w:lang w:eastAsia="ja-JP"/>
        </w:rPr>
        <w:t xml:space="preserve">hase is in Table </w:t>
      </w:r>
      <w:r w:rsidR="00CD48FD" w:rsidRPr="00CD48FD">
        <w:rPr>
          <w:lang w:eastAsia="ja-JP"/>
        </w:rPr>
        <w:t>7</w:t>
      </w:r>
      <w:r w:rsidRPr="00CD48FD">
        <w:rPr>
          <w:lang w:eastAsia="ja-JP"/>
        </w:rPr>
        <w:t xml:space="preserve">. </w:t>
      </w:r>
    </w:p>
    <w:p w:rsidR="00CD48FD" w:rsidRPr="00CD48FD" w:rsidRDefault="00CD48FD" w:rsidP="006A6425">
      <w:pPr>
        <w:pStyle w:val="TableTitle"/>
        <w:rPr>
          <w:lang w:eastAsia="ja-JP"/>
        </w:rPr>
      </w:pPr>
      <w:r>
        <w:rPr>
          <w:lang w:eastAsia="ja-JP"/>
        </w:rPr>
        <w:lastRenderedPageBreak/>
        <w:t xml:space="preserve">Table 7. </w:t>
      </w:r>
      <w:r w:rsidRPr="00CD48FD">
        <w:rPr>
          <w:lang w:eastAsia="ja-JP"/>
        </w:rPr>
        <w:t>AUX-CC-859</w:t>
      </w:r>
      <w:r>
        <w:rPr>
          <w:lang w:eastAsia="ja-JP"/>
        </w:rPr>
        <w:t>. Subject disposition</w:t>
      </w:r>
      <w:r w:rsidR="000135F1">
        <w:rPr>
          <w:lang w:eastAsia="ja-JP"/>
        </w:rPr>
        <w:t>. Open Label Phase. ITT P</w:t>
      </w:r>
      <w:r>
        <w:rPr>
          <w:lang w:eastAsia="ja-JP"/>
        </w:rPr>
        <w:t>opulation.</w:t>
      </w:r>
    </w:p>
    <w:p w:rsidR="00CD48FD" w:rsidRPr="00CD48FD" w:rsidRDefault="00CD48FD" w:rsidP="006A6425">
      <w:pPr>
        <w:rPr>
          <w:lang w:eastAsia="ja-JP"/>
        </w:rPr>
      </w:pPr>
      <w:r w:rsidRPr="00CD48FD">
        <w:rPr>
          <w:noProof/>
          <w:lang w:eastAsia="en-AU"/>
        </w:rPr>
        <w:drawing>
          <wp:inline distT="0" distB="0" distL="0" distR="0">
            <wp:extent cx="5668010" cy="7410450"/>
            <wp:effectExtent l="19050" t="0" r="8890" b="0"/>
            <wp:docPr id="40" name="Picture 33" descr="Table 7. AUX-CC-859. Subject disposition. Open Label Pha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duotone>
                        <a:prstClr val="black"/>
                        <a:schemeClr val="bg1">
                          <a:tint val="45000"/>
                          <a:satMod val="400000"/>
                        </a:schemeClr>
                      </a:duotone>
                    </a:blip>
                    <a:srcRect l="998"/>
                    <a:stretch>
                      <a:fillRect/>
                    </a:stretch>
                  </pic:blipFill>
                  <pic:spPr bwMode="auto">
                    <a:xfrm>
                      <a:off x="0" y="0"/>
                      <a:ext cx="5668010" cy="7410450"/>
                    </a:xfrm>
                    <a:prstGeom prst="rect">
                      <a:avLst/>
                    </a:prstGeom>
                    <a:noFill/>
                    <a:ln w="9525">
                      <a:noFill/>
                      <a:miter lim="800000"/>
                      <a:headEnd/>
                      <a:tailEnd/>
                    </a:ln>
                  </pic:spPr>
                </pic:pic>
              </a:graphicData>
            </a:graphic>
          </wp:inline>
        </w:drawing>
      </w:r>
    </w:p>
    <w:p w:rsidR="00BF4EBA" w:rsidRPr="00BF4EBA" w:rsidRDefault="00BF4EBA" w:rsidP="006A6425">
      <w:pPr>
        <w:pStyle w:val="Heading6"/>
        <w:rPr>
          <w:lang w:eastAsia="ja-JP"/>
        </w:rPr>
      </w:pPr>
      <w:r w:rsidRPr="00BF4EBA">
        <w:rPr>
          <w:lang w:eastAsia="ja-JP"/>
        </w:rPr>
        <w:t>Major protocol violations/deviations</w:t>
      </w:r>
    </w:p>
    <w:p w:rsidR="00BF4EBA" w:rsidRPr="00BF4EBA" w:rsidRDefault="00BF4EBA" w:rsidP="006A6425">
      <w:pPr>
        <w:rPr>
          <w:lang w:eastAsia="ja-JP"/>
        </w:rPr>
      </w:pPr>
      <w:r w:rsidRPr="00BF4EBA">
        <w:rPr>
          <w:lang w:eastAsia="ja-JP"/>
        </w:rPr>
        <w:t xml:space="preserve">In AUX-CC-857, the major deviation rate was 10.7% and 12.5% in the AA4500 and placebo groups respectively. The most common deviation was failure to receive the full treatment regimen of up to 3 injections when still eligible. </w:t>
      </w:r>
    </w:p>
    <w:p w:rsidR="00BF4EBA" w:rsidRPr="00BF4EBA" w:rsidRDefault="00BF4EBA" w:rsidP="006A6425">
      <w:pPr>
        <w:rPr>
          <w:lang w:eastAsia="ja-JP"/>
        </w:rPr>
      </w:pPr>
      <w:r w:rsidRPr="00BF4EBA">
        <w:rPr>
          <w:lang w:eastAsia="ja-JP"/>
        </w:rPr>
        <w:lastRenderedPageBreak/>
        <w:t>In AUX-CC-859, the protocol deviation rate was high (77.8% and 71.4%, respectively), however only two deviations were deemed major and led to exclusion from the PP population. There were six subjects with major deviations in the open label period.</w:t>
      </w:r>
    </w:p>
    <w:p w:rsidR="00BF4EBA" w:rsidRPr="00BF4EBA" w:rsidRDefault="00BF4EBA" w:rsidP="006A6425">
      <w:pPr>
        <w:pStyle w:val="Heading6"/>
        <w:rPr>
          <w:lang w:eastAsia="ja-JP"/>
        </w:rPr>
      </w:pPr>
      <w:r w:rsidRPr="00BF4EBA">
        <w:rPr>
          <w:lang w:eastAsia="ja-JP"/>
        </w:rPr>
        <w:t>Baseline data</w:t>
      </w:r>
    </w:p>
    <w:p w:rsidR="00BF4EBA" w:rsidRPr="00BF4EBA" w:rsidRDefault="00BF4EBA" w:rsidP="006A6425">
      <w:pPr>
        <w:rPr>
          <w:lang w:eastAsia="ja-JP"/>
        </w:rPr>
      </w:pPr>
      <w:r w:rsidRPr="00BF4EBA">
        <w:rPr>
          <w:lang w:eastAsia="ja-JP"/>
        </w:rPr>
        <w:t>Demographics were similar between treatment groups in both studies. Subjects had a mean age of 62-66 years, were male (70-87%) and White (&gt;99%).</w:t>
      </w:r>
      <w:r w:rsidR="00516476">
        <w:rPr>
          <w:lang w:eastAsia="ja-JP"/>
        </w:rPr>
        <w:t xml:space="preserve"> </w:t>
      </w:r>
      <w:r w:rsidRPr="00BF4EBA">
        <w:rPr>
          <w:lang w:eastAsia="ja-JP"/>
        </w:rPr>
        <w:t>There were on average three joints affected (range 1 to 13) with slightly more MP than PIP joints. The baseline characteristics were balanced in AUX-CC-857, while in the smaller study, the AA4500 group had a slightly higher mean number of affected joints (3.4</w:t>
      </w:r>
      <w:r w:rsidR="00CD48FD">
        <w:rPr>
          <w:lang w:eastAsia="ja-JP"/>
        </w:rPr>
        <w:t xml:space="preserve"> versus </w:t>
      </w:r>
      <w:r w:rsidRPr="00BF4EBA">
        <w:rPr>
          <w:lang w:eastAsia="ja-JP"/>
        </w:rPr>
        <w:t>3.0) which were PIP joints (2.0</w:t>
      </w:r>
      <w:r w:rsidR="00CD48FD">
        <w:rPr>
          <w:lang w:eastAsia="ja-JP"/>
        </w:rPr>
        <w:t xml:space="preserve"> versus </w:t>
      </w:r>
      <w:r w:rsidRPr="00BF4EBA">
        <w:rPr>
          <w:lang w:eastAsia="ja-JP"/>
        </w:rPr>
        <w:t>1.4)</w:t>
      </w:r>
      <w:r w:rsidR="00CD48FD">
        <w:rPr>
          <w:lang w:eastAsia="ja-JP"/>
        </w:rPr>
        <w:t>.</w:t>
      </w:r>
      <w:r w:rsidRPr="00BF4EBA">
        <w:rPr>
          <w:lang w:eastAsia="ja-JP"/>
        </w:rPr>
        <w:t xml:space="preserve"> Other disease characteristics and risk factors were also balanced between the treatment groups. About half the subjects had a family history of </w:t>
      </w:r>
      <w:proofErr w:type="spellStart"/>
      <w:r w:rsidRPr="00BF4EBA">
        <w:rPr>
          <w:lang w:eastAsia="ja-JP"/>
        </w:rPr>
        <w:t>Dupuytren's</w:t>
      </w:r>
      <w:proofErr w:type="spellEnd"/>
      <w:r w:rsidRPr="00BF4EBA">
        <w:rPr>
          <w:lang w:eastAsia="ja-JP"/>
        </w:rPr>
        <w:t xml:space="preserve"> disease and 20-28% had a history of hand trauma. Alcohol use was frequent (&gt;76%). The mean age at diagnosis was around 51-54 years. In </w:t>
      </w:r>
      <w:r w:rsidR="00F560BE">
        <w:rPr>
          <w:lang w:eastAsia="ja-JP"/>
        </w:rPr>
        <w:t>Study 85</w:t>
      </w:r>
      <w:r w:rsidRPr="00BF4EBA">
        <w:rPr>
          <w:lang w:eastAsia="ja-JP"/>
        </w:rPr>
        <w:t>7, there was as slightly lower rate of prior surgery in the AA4500 compared to placebo group (35.8%</w:t>
      </w:r>
      <w:r w:rsidR="00CD48FD">
        <w:rPr>
          <w:lang w:eastAsia="ja-JP"/>
        </w:rPr>
        <w:t xml:space="preserve"> versus </w:t>
      </w:r>
      <w:r w:rsidRPr="00BF4EBA">
        <w:rPr>
          <w:lang w:eastAsia="ja-JP"/>
        </w:rPr>
        <w:t xml:space="preserve">42.3%) and the rate of surgery was higher in both groups in </w:t>
      </w:r>
      <w:r w:rsidR="00F560BE">
        <w:rPr>
          <w:lang w:eastAsia="ja-JP"/>
        </w:rPr>
        <w:t>Study 85</w:t>
      </w:r>
      <w:r w:rsidRPr="00BF4EBA">
        <w:rPr>
          <w:lang w:eastAsia="ja-JP"/>
        </w:rPr>
        <w:t>9 (53.3%</w:t>
      </w:r>
      <w:r w:rsidR="00CD48FD">
        <w:rPr>
          <w:lang w:eastAsia="ja-JP"/>
        </w:rPr>
        <w:t xml:space="preserve"> versus </w:t>
      </w:r>
      <w:r w:rsidRPr="00BF4EBA">
        <w:rPr>
          <w:lang w:eastAsia="ja-JP"/>
        </w:rPr>
        <w:t>52.4%).</w:t>
      </w:r>
    </w:p>
    <w:p w:rsidR="00BF4EBA" w:rsidRPr="00BF4EBA" w:rsidRDefault="00BF4EBA" w:rsidP="006A6425">
      <w:pPr>
        <w:pStyle w:val="Heading6"/>
        <w:rPr>
          <w:lang w:eastAsia="ja-JP"/>
        </w:rPr>
      </w:pPr>
      <w:r w:rsidRPr="00BF4EBA">
        <w:rPr>
          <w:lang w:eastAsia="ja-JP"/>
        </w:rPr>
        <w:t>Results for the primary efficacy outcome</w:t>
      </w:r>
    </w:p>
    <w:p w:rsidR="00BF4EBA" w:rsidRDefault="00BF4EBA" w:rsidP="006A6425">
      <w:pPr>
        <w:rPr>
          <w:lang w:eastAsia="ja-JP"/>
        </w:rPr>
      </w:pPr>
      <w:r w:rsidRPr="00BF4EBA">
        <w:rPr>
          <w:lang w:eastAsia="ja-JP"/>
        </w:rPr>
        <w:t xml:space="preserve">The rate of clinical success (a reduction in contracture to </w:t>
      </w:r>
      <w:r w:rsidR="00CD48FD">
        <w:rPr>
          <w:lang w:eastAsia="ja-JP"/>
        </w:rPr>
        <w:t>≤</w:t>
      </w:r>
      <w:r w:rsidRPr="00BF4EBA">
        <w:rPr>
          <w:lang w:eastAsia="ja-JP"/>
        </w:rPr>
        <w:t>5° by finger goniometry 30 days after injection) was significantly greater in the AA4500 treated primary joints than in those treated with placebo after the last injection in both studies (64.0%</w:t>
      </w:r>
      <w:r w:rsidR="00CD48FD">
        <w:rPr>
          <w:lang w:eastAsia="ja-JP"/>
        </w:rPr>
        <w:t xml:space="preserve"> versus </w:t>
      </w:r>
      <w:r w:rsidRPr="00BF4EBA">
        <w:rPr>
          <w:lang w:eastAsia="ja-JP"/>
        </w:rPr>
        <w:t>6.8%, p&lt;0.001 in AUX-CC-857 and 44.4%</w:t>
      </w:r>
      <w:r w:rsidR="00CD48FD">
        <w:rPr>
          <w:lang w:eastAsia="ja-JP"/>
        </w:rPr>
        <w:t xml:space="preserve"> versus </w:t>
      </w:r>
      <w:r w:rsidRPr="00BF4EBA">
        <w:rPr>
          <w:lang w:eastAsia="ja-JP"/>
        </w:rPr>
        <w:t>4.8%, p&lt;0.001 in AUX-CC-8</w:t>
      </w:r>
      <w:r w:rsidRPr="00D945BB">
        <w:rPr>
          <w:lang w:eastAsia="ja-JP"/>
        </w:rPr>
        <w:t xml:space="preserve">59) (Tables </w:t>
      </w:r>
      <w:r w:rsidR="00D945BB" w:rsidRPr="00D945BB">
        <w:rPr>
          <w:lang w:eastAsia="ja-JP"/>
        </w:rPr>
        <w:t xml:space="preserve">8 </w:t>
      </w:r>
      <w:r w:rsidRPr="00D945BB">
        <w:rPr>
          <w:lang w:eastAsia="ja-JP"/>
        </w:rPr>
        <w:t xml:space="preserve">and </w:t>
      </w:r>
      <w:r w:rsidR="00D945BB" w:rsidRPr="00D945BB">
        <w:rPr>
          <w:lang w:eastAsia="ja-JP"/>
        </w:rPr>
        <w:t>9</w:t>
      </w:r>
      <w:r w:rsidRPr="00D945BB">
        <w:rPr>
          <w:lang w:eastAsia="ja-JP"/>
        </w:rPr>
        <w:t>). Afte</w:t>
      </w:r>
      <w:r w:rsidRPr="00BF4EBA">
        <w:rPr>
          <w:lang w:eastAsia="ja-JP"/>
        </w:rPr>
        <w:t>r the first injection, the response rates were 38.9%</w:t>
      </w:r>
      <w:r w:rsidR="00CD48FD">
        <w:rPr>
          <w:lang w:eastAsia="ja-JP"/>
        </w:rPr>
        <w:t xml:space="preserve"> versus </w:t>
      </w:r>
      <w:r w:rsidRPr="00BF4EBA">
        <w:rPr>
          <w:lang w:eastAsia="ja-JP"/>
        </w:rPr>
        <w:t xml:space="preserve">1.0% in </w:t>
      </w:r>
      <w:r w:rsidR="00F560BE">
        <w:rPr>
          <w:lang w:eastAsia="ja-JP"/>
        </w:rPr>
        <w:t>Study 85</w:t>
      </w:r>
      <w:r w:rsidRPr="00BF4EBA">
        <w:rPr>
          <w:lang w:eastAsia="ja-JP"/>
        </w:rPr>
        <w:t>7 and 26.7%</w:t>
      </w:r>
      <w:r w:rsidR="00CD48FD">
        <w:rPr>
          <w:lang w:eastAsia="ja-JP"/>
        </w:rPr>
        <w:t xml:space="preserve"> versus </w:t>
      </w:r>
      <w:r w:rsidRPr="00BF4EBA">
        <w:rPr>
          <w:lang w:eastAsia="ja-JP"/>
        </w:rPr>
        <w:t xml:space="preserve">4.8% in </w:t>
      </w:r>
      <w:r w:rsidR="00F560BE">
        <w:rPr>
          <w:lang w:eastAsia="ja-JP"/>
        </w:rPr>
        <w:t>Study 85</w:t>
      </w:r>
      <w:r w:rsidRPr="00BF4EBA">
        <w:rPr>
          <w:lang w:eastAsia="ja-JP"/>
        </w:rPr>
        <w:t>9. The average number of injections at the primary joint was less in the AA4500 than the placebo group (1.7</w:t>
      </w:r>
      <w:r w:rsidR="00CD48FD">
        <w:rPr>
          <w:lang w:eastAsia="ja-JP"/>
        </w:rPr>
        <w:t xml:space="preserve"> versus </w:t>
      </w:r>
      <w:r w:rsidRPr="00BF4EBA">
        <w:rPr>
          <w:lang w:eastAsia="ja-JP"/>
        </w:rPr>
        <w:t xml:space="preserve">2.9 in </w:t>
      </w:r>
      <w:r w:rsidR="00F560BE">
        <w:rPr>
          <w:lang w:eastAsia="ja-JP"/>
        </w:rPr>
        <w:t>Study 85</w:t>
      </w:r>
      <w:r w:rsidRPr="00BF4EBA">
        <w:rPr>
          <w:lang w:eastAsia="ja-JP"/>
        </w:rPr>
        <w:t>7 and 1.7</w:t>
      </w:r>
      <w:r w:rsidR="00CD48FD">
        <w:rPr>
          <w:lang w:eastAsia="ja-JP"/>
        </w:rPr>
        <w:t xml:space="preserve"> versus </w:t>
      </w:r>
      <w:r w:rsidRPr="00BF4EBA">
        <w:rPr>
          <w:lang w:eastAsia="ja-JP"/>
        </w:rPr>
        <w:t xml:space="preserve">2.8 in </w:t>
      </w:r>
      <w:r w:rsidR="00F560BE">
        <w:rPr>
          <w:lang w:eastAsia="ja-JP"/>
        </w:rPr>
        <w:t>Study 85</w:t>
      </w:r>
      <w:r w:rsidRPr="00BF4EBA">
        <w:rPr>
          <w:lang w:eastAsia="ja-JP"/>
        </w:rPr>
        <w:t>9).</w:t>
      </w:r>
    </w:p>
    <w:p w:rsidR="00731FA0" w:rsidRPr="00731FA0" w:rsidRDefault="00731FA0" w:rsidP="006A6425">
      <w:pPr>
        <w:pStyle w:val="TableTitle"/>
        <w:rPr>
          <w:lang w:eastAsia="ja-JP"/>
        </w:rPr>
      </w:pPr>
      <w:r>
        <w:rPr>
          <w:lang w:eastAsia="ja-JP"/>
        </w:rPr>
        <w:t xml:space="preserve">Table 8. </w:t>
      </w:r>
      <w:r w:rsidRPr="00731FA0">
        <w:rPr>
          <w:lang w:eastAsia="ja-JP"/>
        </w:rPr>
        <w:t>AUX-CC-857</w:t>
      </w:r>
      <w:r>
        <w:rPr>
          <w:lang w:eastAsia="ja-JP"/>
        </w:rPr>
        <w:t>. Reduction in contracture to 5 degrees or less of the Primary joint. ITT population.</w:t>
      </w:r>
    </w:p>
    <w:p w:rsidR="00731FA0" w:rsidRPr="00731FA0" w:rsidRDefault="00731FA0" w:rsidP="006A6425">
      <w:pPr>
        <w:rPr>
          <w:lang w:eastAsia="ja-JP"/>
        </w:rPr>
      </w:pPr>
      <w:r w:rsidRPr="00731FA0">
        <w:rPr>
          <w:noProof/>
          <w:lang w:eastAsia="en-AU"/>
        </w:rPr>
        <w:drawing>
          <wp:inline distT="0" distB="0" distL="0" distR="0">
            <wp:extent cx="5732780" cy="3474720"/>
            <wp:effectExtent l="19050" t="0" r="1270" b="0"/>
            <wp:docPr id="46" name="Picture 39" descr="Table 8. AUX-CC-857. Reduction in contracture to 5 degrees or less of the Primary j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duotone>
                        <a:prstClr val="black"/>
                        <a:schemeClr val="bg1">
                          <a:tint val="45000"/>
                          <a:satMod val="400000"/>
                        </a:schemeClr>
                      </a:duotone>
                    </a:blip>
                    <a:srcRect/>
                    <a:stretch>
                      <a:fillRect/>
                    </a:stretch>
                  </pic:blipFill>
                  <pic:spPr bwMode="auto">
                    <a:xfrm>
                      <a:off x="0" y="0"/>
                      <a:ext cx="5732780" cy="3474720"/>
                    </a:xfrm>
                    <a:prstGeom prst="rect">
                      <a:avLst/>
                    </a:prstGeom>
                    <a:noFill/>
                    <a:ln w="9525">
                      <a:noFill/>
                      <a:miter lim="800000"/>
                      <a:headEnd/>
                      <a:tailEnd/>
                    </a:ln>
                  </pic:spPr>
                </pic:pic>
              </a:graphicData>
            </a:graphic>
          </wp:inline>
        </w:drawing>
      </w:r>
    </w:p>
    <w:p w:rsidR="00731FA0" w:rsidRPr="00D945BB" w:rsidRDefault="00731FA0" w:rsidP="006A6425">
      <w:pPr>
        <w:pStyle w:val="TableTitle"/>
      </w:pPr>
      <w:bookmarkStart w:id="122" w:name="_Ref343675741"/>
      <w:bookmarkStart w:id="123" w:name="_Toc353960357"/>
      <w:r w:rsidRPr="00D945BB">
        <w:lastRenderedPageBreak/>
        <w:t>Table 9.</w:t>
      </w:r>
      <w:bookmarkEnd w:id="122"/>
      <w:bookmarkEnd w:id="123"/>
      <w:r w:rsidRPr="00D945BB">
        <w:t xml:space="preserve"> AUX-CC-859. Reduction in contracture to 5 degrees or less of the Primary joint. ITT population.</w:t>
      </w:r>
    </w:p>
    <w:p w:rsidR="00731FA0" w:rsidRPr="00731FA0" w:rsidRDefault="00731FA0" w:rsidP="006A6425">
      <w:pPr>
        <w:rPr>
          <w:lang w:eastAsia="ja-JP"/>
        </w:rPr>
      </w:pPr>
      <w:r w:rsidRPr="00731FA0">
        <w:rPr>
          <w:noProof/>
          <w:lang w:eastAsia="en-AU"/>
        </w:rPr>
        <w:drawing>
          <wp:inline distT="0" distB="0" distL="0" distR="0">
            <wp:extent cx="5732780" cy="3153410"/>
            <wp:effectExtent l="19050" t="0" r="1270" b="0"/>
            <wp:docPr id="48" name="Picture 41" descr="Table 9. AUX-CC-859. Reduction in contracture to 5 degrees or less of the Primary j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duotone>
                        <a:prstClr val="black"/>
                        <a:schemeClr val="bg1">
                          <a:tint val="45000"/>
                          <a:satMod val="400000"/>
                        </a:schemeClr>
                      </a:duotone>
                    </a:blip>
                    <a:srcRect b="6478"/>
                    <a:stretch>
                      <a:fillRect/>
                    </a:stretch>
                  </pic:blipFill>
                  <pic:spPr bwMode="auto">
                    <a:xfrm>
                      <a:off x="0" y="0"/>
                      <a:ext cx="5732780" cy="3153410"/>
                    </a:xfrm>
                    <a:prstGeom prst="rect">
                      <a:avLst/>
                    </a:prstGeom>
                    <a:noFill/>
                    <a:ln w="9525">
                      <a:noFill/>
                      <a:miter lim="800000"/>
                      <a:headEnd/>
                      <a:tailEnd/>
                    </a:ln>
                  </pic:spPr>
                </pic:pic>
              </a:graphicData>
            </a:graphic>
          </wp:inline>
        </w:drawing>
      </w:r>
    </w:p>
    <w:p w:rsidR="00BF4EBA" w:rsidRPr="00BF4EBA" w:rsidRDefault="00BF4EBA" w:rsidP="00303447">
      <w:pPr>
        <w:ind w:left="1418" w:hanging="1418"/>
        <w:rPr>
          <w:lang w:eastAsia="ja-JP"/>
        </w:rPr>
      </w:pPr>
      <w:r w:rsidRPr="00BF4EBA">
        <w:rPr>
          <w:lang w:eastAsia="ja-JP"/>
        </w:rPr>
        <w:t>Comment:</w:t>
      </w:r>
      <w:r w:rsidR="00303447">
        <w:rPr>
          <w:lang w:eastAsia="ja-JP"/>
        </w:rPr>
        <w:tab/>
      </w:r>
      <w:r w:rsidRPr="00BF4EBA">
        <w:rPr>
          <w:lang w:eastAsia="ja-JP"/>
        </w:rPr>
        <w:t>No confidence intervals were reported for the primary effic</w:t>
      </w:r>
      <w:r w:rsidR="00731FA0">
        <w:rPr>
          <w:lang w:eastAsia="ja-JP"/>
        </w:rPr>
        <w:t xml:space="preserve">acy outcome </w:t>
      </w:r>
      <w:r w:rsidRPr="00BF4EBA">
        <w:rPr>
          <w:lang w:eastAsia="ja-JP"/>
        </w:rPr>
        <w:t>or for any of the other efficacy outcomes</w:t>
      </w:r>
    </w:p>
    <w:p w:rsidR="00BF4EBA" w:rsidRPr="00BF4EBA" w:rsidRDefault="00BF4EBA" w:rsidP="00303447">
      <w:pPr>
        <w:pStyle w:val="Heading6"/>
        <w:rPr>
          <w:lang w:eastAsia="ja-JP"/>
        </w:rPr>
      </w:pPr>
      <w:r w:rsidRPr="00BF4EBA">
        <w:rPr>
          <w:lang w:eastAsia="ja-JP"/>
        </w:rPr>
        <w:t>Results for other efficacy outcomes</w:t>
      </w:r>
    </w:p>
    <w:p w:rsidR="00BF4EBA" w:rsidRPr="00F45DEC" w:rsidRDefault="00BF4EBA" w:rsidP="00303447">
      <w:pPr>
        <w:rPr>
          <w:lang w:eastAsia="ja-JP"/>
        </w:rPr>
      </w:pPr>
      <w:r w:rsidRPr="00BF4EBA">
        <w:rPr>
          <w:lang w:eastAsia="ja-JP"/>
        </w:rPr>
        <w:t>When assessed by joint type, a statistically significantly improved response over placebo was found at the MP joints in both studies (</w:t>
      </w:r>
      <w:r w:rsidR="00F560BE">
        <w:rPr>
          <w:lang w:eastAsia="ja-JP"/>
        </w:rPr>
        <w:t>Study 85</w:t>
      </w:r>
      <w:r w:rsidRPr="00BF4EBA">
        <w:rPr>
          <w:lang w:eastAsia="ja-JP"/>
        </w:rPr>
        <w:t>7: 76.7%</w:t>
      </w:r>
      <w:r w:rsidR="00CD48FD">
        <w:rPr>
          <w:lang w:eastAsia="ja-JP"/>
        </w:rPr>
        <w:t xml:space="preserve"> versus </w:t>
      </w:r>
      <w:r w:rsidRPr="00BF4EBA">
        <w:rPr>
          <w:lang w:eastAsia="ja-JP"/>
        </w:rPr>
        <w:t xml:space="preserve">7.2%, </w:t>
      </w:r>
      <w:r w:rsidR="00F560BE">
        <w:rPr>
          <w:lang w:eastAsia="ja-JP"/>
        </w:rPr>
        <w:t>Study 85</w:t>
      </w:r>
      <w:r w:rsidRPr="00BF4EBA">
        <w:rPr>
          <w:lang w:eastAsia="ja-JP"/>
        </w:rPr>
        <w:t>9: 65.0%</w:t>
      </w:r>
      <w:r w:rsidR="00CD48FD">
        <w:rPr>
          <w:lang w:eastAsia="ja-JP"/>
        </w:rPr>
        <w:t xml:space="preserve"> versus </w:t>
      </w:r>
      <w:r w:rsidRPr="00BF4EBA">
        <w:rPr>
          <w:lang w:eastAsia="ja-JP"/>
        </w:rPr>
        <w:t xml:space="preserve">9.1%). The response at the PIP joint was less than at the MP joint and was statistically significant in </w:t>
      </w:r>
      <w:r w:rsidR="00F560BE">
        <w:rPr>
          <w:lang w:eastAsia="ja-JP"/>
        </w:rPr>
        <w:t>Study 85</w:t>
      </w:r>
      <w:r w:rsidRPr="00BF4EBA">
        <w:rPr>
          <w:lang w:eastAsia="ja-JP"/>
        </w:rPr>
        <w:t>7 (40.0%</w:t>
      </w:r>
      <w:r w:rsidR="00CD48FD">
        <w:rPr>
          <w:lang w:eastAsia="ja-JP"/>
        </w:rPr>
        <w:t xml:space="preserve"> versus </w:t>
      </w:r>
      <w:r w:rsidRPr="00BF4EBA">
        <w:rPr>
          <w:lang w:eastAsia="ja-JP"/>
        </w:rPr>
        <w:t xml:space="preserve">5.9%, p&lt;0.001) although was not significant in </w:t>
      </w:r>
      <w:r w:rsidR="00F560BE">
        <w:rPr>
          <w:lang w:eastAsia="ja-JP"/>
        </w:rPr>
        <w:t>Study 85</w:t>
      </w:r>
      <w:r w:rsidRPr="00BF4EBA">
        <w:rPr>
          <w:lang w:eastAsia="ja-JP"/>
        </w:rPr>
        <w:t>9 (28.0%</w:t>
      </w:r>
      <w:r w:rsidR="00CD48FD">
        <w:rPr>
          <w:lang w:eastAsia="ja-JP"/>
        </w:rPr>
        <w:t xml:space="preserve"> versus </w:t>
      </w:r>
      <w:r w:rsidRPr="00BF4EBA">
        <w:rPr>
          <w:lang w:eastAsia="ja-JP"/>
        </w:rPr>
        <w:t>0%, p=0</w:t>
      </w:r>
      <w:r w:rsidRPr="00F45DEC">
        <w:rPr>
          <w:lang w:eastAsia="ja-JP"/>
        </w:rPr>
        <w:t xml:space="preserve">.069) (Tables </w:t>
      </w:r>
      <w:r w:rsidR="00D945BB" w:rsidRPr="00F45DEC">
        <w:rPr>
          <w:lang w:eastAsia="ja-JP"/>
        </w:rPr>
        <w:t>10 and 11</w:t>
      </w:r>
      <w:r w:rsidRPr="00F45DEC">
        <w:rPr>
          <w:lang w:eastAsia="ja-JP"/>
        </w:rPr>
        <w:t>).</w:t>
      </w:r>
    </w:p>
    <w:p w:rsidR="00D945BB" w:rsidRPr="00D945BB" w:rsidRDefault="00D945BB" w:rsidP="00303447">
      <w:pPr>
        <w:pStyle w:val="TableTitle"/>
        <w:rPr>
          <w:lang w:eastAsia="ja-JP"/>
        </w:rPr>
      </w:pPr>
      <w:r>
        <w:rPr>
          <w:iCs/>
          <w:lang w:eastAsia="ja-JP"/>
        </w:rPr>
        <w:lastRenderedPageBreak/>
        <w:t>T</w:t>
      </w:r>
      <w:r w:rsidRPr="00D945BB">
        <w:rPr>
          <w:iCs/>
          <w:lang w:eastAsia="ja-JP"/>
        </w:rPr>
        <w:t xml:space="preserve">able </w:t>
      </w:r>
      <w:r>
        <w:rPr>
          <w:iCs/>
          <w:lang w:eastAsia="ja-JP"/>
        </w:rPr>
        <w:t>10.</w:t>
      </w:r>
      <w:r w:rsidRPr="00D945BB">
        <w:rPr>
          <w:lang w:eastAsia="ja-JP"/>
        </w:rPr>
        <w:t>AUX-CC-857</w:t>
      </w:r>
      <w:r>
        <w:rPr>
          <w:lang w:eastAsia="ja-JP"/>
        </w:rPr>
        <w:t>. Reduction in contracture to 5 degrees or less of the Primary Joint by Joint type. ITT population.</w:t>
      </w:r>
    </w:p>
    <w:p w:rsidR="00D945BB" w:rsidRPr="00303447" w:rsidRDefault="00D945BB" w:rsidP="00D945BB">
      <w:pPr>
        <w:rPr>
          <w:lang w:eastAsia="ja-JP"/>
        </w:rPr>
      </w:pPr>
      <w:r w:rsidRPr="00D945BB">
        <w:rPr>
          <w:noProof/>
          <w:lang w:eastAsia="en-AU"/>
        </w:rPr>
        <w:drawing>
          <wp:inline distT="0" distB="0" distL="0" distR="0">
            <wp:extent cx="5725160" cy="5828030"/>
            <wp:effectExtent l="19050" t="0" r="8890" b="0"/>
            <wp:docPr id="4" name="Picture 43" descr="Table 10.AUX-CC-857. Reduction in contracture to 5 degrees or less of the Primary Joint by Joint typ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duotone>
                        <a:prstClr val="black"/>
                        <a:schemeClr val="bg1">
                          <a:tint val="45000"/>
                          <a:satMod val="400000"/>
                        </a:schemeClr>
                      </a:duotone>
                    </a:blip>
                    <a:srcRect/>
                    <a:stretch>
                      <a:fillRect/>
                    </a:stretch>
                  </pic:blipFill>
                  <pic:spPr bwMode="auto">
                    <a:xfrm>
                      <a:off x="0" y="0"/>
                      <a:ext cx="5725160" cy="5828030"/>
                    </a:xfrm>
                    <a:prstGeom prst="rect">
                      <a:avLst/>
                    </a:prstGeom>
                    <a:noFill/>
                    <a:ln w="9525">
                      <a:noFill/>
                      <a:miter lim="800000"/>
                      <a:headEnd/>
                      <a:tailEnd/>
                    </a:ln>
                  </pic:spPr>
                </pic:pic>
              </a:graphicData>
            </a:graphic>
          </wp:inline>
        </w:drawing>
      </w:r>
    </w:p>
    <w:p w:rsidR="00D945BB" w:rsidRPr="00D945BB" w:rsidRDefault="00D945BB" w:rsidP="00303447">
      <w:pPr>
        <w:pStyle w:val="TableTitle"/>
        <w:rPr>
          <w:lang w:eastAsia="ja-JP"/>
        </w:rPr>
      </w:pPr>
      <w:r>
        <w:rPr>
          <w:iCs/>
          <w:lang w:eastAsia="ja-JP"/>
        </w:rPr>
        <w:lastRenderedPageBreak/>
        <w:t>T</w:t>
      </w:r>
      <w:r w:rsidRPr="00D945BB">
        <w:rPr>
          <w:iCs/>
          <w:lang w:eastAsia="ja-JP"/>
        </w:rPr>
        <w:t xml:space="preserve">able </w:t>
      </w:r>
      <w:r>
        <w:rPr>
          <w:iCs/>
          <w:lang w:eastAsia="ja-JP"/>
        </w:rPr>
        <w:t>11.</w:t>
      </w:r>
      <w:r w:rsidRPr="00D945BB">
        <w:rPr>
          <w:lang w:eastAsia="ja-JP"/>
        </w:rPr>
        <w:t>AUX-CC-85</w:t>
      </w:r>
      <w:r>
        <w:rPr>
          <w:lang w:eastAsia="ja-JP"/>
        </w:rPr>
        <w:t>9. Reduction in contracture to 5 degrees or less of the Primary Joint by Joint type. ITT population.</w:t>
      </w:r>
    </w:p>
    <w:p w:rsidR="00D945BB" w:rsidRPr="00D945BB" w:rsidRDefault="00D945BB" w:rsidP="00303447">
      <w:pPr>
        <w:rPr>
          <w:lang w:eastAsia="ja-JP"/>
        </w:rPr>
      </w:pPr>
      <w:r w:rsidRPr="00D945BB">
        <w:rPr>
          <w:noProof/>
          <w:lang w:eastAsia="en-AU"/>
        </w:rPr>
        <w:drawing>
          <wp:inline distT="0" distB="0" distL="0" distR="0">
            <wp:extent cx="5732780" cy="5231765"/>
            <wp:effectExtent l="19050" t="0" r="1270" b="0"/>
            <wp:docPr id="7" name="Picture 11" descr="Table 11.AUX-CC-859. Reduction in contracture to 5 degrees or less of the Primary Joint by Joint typ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5732780" cy="5231765"/>
                    </a:xfrm>
                    <a:prstGeom prst="rect">
                      <a:avLst/>
                    </a:prstGeom>
                    <a:noFill/>
                    <a:ln w="9525">
                      <a:noFill/>
                      <a:miter lim="800000"/>
                      <a:headEnd/>
                      <a:tailEnd/>
                    </a:ln>
                  </pic:spPr>
                </pic:pic>
              </a:graphicData>
            </a:graphic>
          </wp:inline>
        </w:drawing>
      </w:r>
    </w:p>
    <w:p w:rsidR="00BF4EBA" w:rsidRPr="00BF4EBA" w:rsidRDefault="00BF4EBA" w:rsidP="00303447">
      <w:pPr>
        <w:rPr>
          <w:lang w:eastAsia="ja-JP"/>
        </w:rPr>
      </w:pPr>
      <w:r w:rsidRPr="00BF4EBA">
        <w:rPr>
          <w:lang w:eastAsia="ja-JP"/>
        </w:rPr>
        <w:t xml:space="preserve">In a sensitivity analysis, where subjects with missing day 30 evaluations were considered as not having reached clinical success, the results were similar for both studies. The median time to clinical success was significantly shorter in the AA4500 groups (p&lt;0.001 both studies). </w:t>
      </w:r>
    </w:p>
    <w:p w:rsidR="00D945BB" w:rsidRPr="00653D70" w:rsidRDefault="00BF4EBA" w:rsidP="00303447">
      <w:pPr>
        <w:rPr>
          <w:lang w:eastAsia="ja-JP"/>
        </w:rPr>
      </w:pPr>
      <w:r w:rsidRPr="00BF4EBA">
        <w:rPr>
          <w:lang w:eastAsia="ja-JP"/>
        </w:rPr>
        <w:t>The rate of clinical success was higher for those with less severe degree of contracture (≤50° for MP and ≤40° for PIP joints) at both the MP and PIP joints. The severely contracted joints, however, still responded to treatment (MP: 57.7%</w:t>
      </w:r>
      <w:r w:rsidR="00CD48FD">
        <w:rPr>
          <w:lang w:eastAsia="ja-JP"/>
        </w:rPr>
        <w:t xml:space="preserve"> versus </w:t>
      </w:r>
      <w:r w:rsidRPr="00BF4EBA">
        <w:rPr>
          <w:lang w:eastAsia="ja-JP"/>
        </w:rPr>
        <w:t xml:space="preserve">0% in </w:t>
      </w:r>
      <w:r w:rsidR="00F560BE">
        <w:rPr>
          <w:lang w:eastAsia="ja-JP"/>
        </w:rPr>
        <w:t>Study 85</w:t>
      </w:r>
      <w:r w:rsidRPr="00BF4EBA">
        <w:rPr>
          <w:lang w:eastAsia="ja-JP"/>
        </w:rPr>
        <w:t>7 and 60.0%</w:t>
      </w:r>
      <w:r w:rsidR="00CD48FD">
        <w:rPr>
          <w:lang w:eastAsia="ja-JP"/>
        </w:rPr>
        <w:t xml:space="preserve"> versus </w:t>
      </w:r>
      <w:r w:rsidRPr="00BF4EBA">
        <w:rPr>
          <w:lang w:eastAsia="ja-JP"/>
        </w:rPr>
        <w:t xml:space="preserve">0% in </w:t>
      </w:r>
      <w:r w:rsidR="00F560BE">
        <w:rPr>
          <w:lang w:eastAsia="ja-JP"/>
        </w:rPr>
        <w:t>Stud</w:t>
      </w:r>
      <w:r w:rsidR="00F560BE" w:rsidRPr="00653D70">
        <w:rPr>
          <w:lang w:eastAsia="ja-JP"/>
        </w:rPr>
        <w:t>y 85</w:t>
      </w:r>
      <w:r w:rsidRPr="00653D70">
        <w:rPr>
          <w:lang w:eastAsia="ja-JP"/>
        </w:rPr>
        <w:t xml:space="preserve">9) (Figures </w:t>
      </w:r>
      <w:r w:rsidR="00653D70" w:rsidRPr="00653D70">
        <w:rPr>
          <w:lang w:eastAsia="ja-JP"/>
        </w:rPr>
        <w:t>5-8</w:t>
      </w:r>
      <w:r w:rsidRPr="00653D70">
        <w:rPr>
          <w:lang w:eastAsia="ja-JP"/>
        </w:rPr>
        <w:t>).</w:t>
      </w:r>
    </w:p>
    <w:p w:rsidR="00D945BB" w:rsidRPr="00D945BB" w:rsidRDefault="00D945BB" w:rsidP="00303447">
      <w:pPr>
        <w:pStyle w:val="FigureTitle"/>
        <w:rPr>
          <w:lang w:eastAsia="ja-JP"/>
        </w:rPr>
      </w:pPr>
      <w:bookmarkStart w:id="124" w:name="_Ref343675756"/>
      <w:bookmarkStart w:id="125" w:name="_Toc353960360"/>
      <w:r w:rsidRPr="00D945BB">
        <w:rPr>
          <w:lang w:eastAsia="ja-JP"/>
        </w:rPr>
        <w:lastRenderedPageBreak/>
        <w:t>Figure</w:t>
      </w:r>
      <w:bookmarkEnd w:id="124"/>
      <w:bookmarkEnd w:id="125"/>
      <w:r>
        <w:rPr>
          <w:lang w:eastAsia="ja-JP"/>
        </w:rPr>
        <w:t xml:space="preserve"> 5. </w:t>
      </w:r>
      <w:r w:rsidRPr="00D945BB">
        <w:rPr>
          <w:lang w:eastAsia="ja-JP"/>
        </w:rPr>
        <w:t>AUX-CC-857</w:t>
      </w:r>
      <w:r>
        <w:rPr>
          <w:lang w:eastAsia="ja-JP"/>
        </w:rPr>
        <w:t>. Clinical success of the Primary MP Joint Overall and by Baseline Severity. Modified ITT Population.</w:t>
      </w:r>
    </w:p>
    <w:p w:rsidR="00D945BB" w:rsidRPr="00D945BB" w:rsidRDefault="00D945BB" w:rsidP="00303447">
      <w:pPr>
        <w:rPr>
          <w:lang w:eastAsia="ja-JP"/>
        </w:rPr>
      </w:pPr>
      <w:r w:rsidRPr="00D945BB">
        <w:rPr>
          <w:noProof/>
          <w:lang w:eastAsia="en-AU"/>
        </w:rPr>
        <w:drawing>
          <wp:inline distT="0" distB="0" distL="0" distR="0">
            <wp:extent cx="5698808" cy="2952750"/>
            <wp:effectExtent l="19050" t="0" r="0" b="0"/>
            <wp:docPr id="14" name="Picture 12" descr="Figure 5. AUX-CC-857. Clinical success of the Primary MP Joint Overall and by Baseline Severity. Modifi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t="1639" r="3799"/>
                    <a:stretch>
                      <a:fillRect/>
                    </a:stretch>
                  </pic:blipFill>
                  <pic:spPr bwMode="auto">
                    <a:xfrm>
                      <a:off x="0" y="0"/>
                      <a:ext cx="5698808" cy="2952750"/>
                    </a:xfrm>
                    <a:prstGeom prst="rect">
                      <a:avLst/>
                    </a:prstGeom>
                    <a:noFill/>
                    <a:ln w="9525">
                      <a:noFill/>
                      <a:miter lim="800000"/>
                      <a:headEnd/>
                      <a:tailEnd/>
                    </a:ln>
                  </pic:spPr>
                </pic:pic>
              </a:graphicData>
            </a:graphic>
          </wp:inline>
        </w:drawing>
      </w:r>
    </w:p>
    <w:p w:rsidR="00D945BB" w:rsidRPr="00D945BB" w:rsidRDefault="00D945BB" w:rsidP="00303447">
      <w:pPr>
        <w:pStyle w:val="FigureTitle"/>
        <w:rPr>
          <w:lang w:eastAsia="ja-JP"/>
        </w:rPr>
      </w:pPr>
      <w:r w:rsidRPr="00D945BB">
        <w:rPr>
          <w:lang w:eastAsia="ja-JP"/>
        </w:rPr>
        <w:t>Figure</w:t>
      </w:r>
      <w:r>
        <w:rPr>
          <w:lang w:eastAsia="ja-JP"/>
        </w:rPr>
        <w:t xml:space="preserve"> 6. </w:t>
      </w:r>
      <w:r w:rsidRPr="00D945BB">
        <w:rPr>
          <w:lang w:eastAsia="ja-JP"/>
        </w:rPr>
        <w:t>AUX-CC-857</w:t>
      </w:r>
      <w:r>
        <w:rPr>
          <w:lang w:eastAsia="ja-JP"/>
        </w:rPr>
        <w:t>. Clinical success of the Primary PIP Joint Overall and by Baseline Severity. Modified ITT Population.</w:t>
      </w:r>
    </w:p>
    <w:p w:rsidR="00D945BB" w:rsidRPr="00303447" w:rsidRDefault="00D945BB" w:rsidP="00D945BB">
      <w:pPr>
        <w:rPr>
          <w:lang w:eastAsia="ja-JP"/>
        </w:rPr>
      </w:pPr>
      <w:r w:rsidRPr="00D945BB">
        <w:rPr>
          <w:noProof/>
          <w:lang w:eastAsia="en-AU"/>
        </w:rPr>
        <w:drawing>
          <wp:inline distT="0" distB="0" distL="0" distR="0">
            <wp:extent cx="5724525" cy="3324225"/>
            <wp:effectExtent l="19050" t="0" r="9525" b="0"/>
            <wp:docPr id="17" name="Picture 14" descr="Figure 6. AUX-CC-857. Clinical success of the Primary PIP Joint Overall and by Baseline Severity. Modifi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l="962" t="2035" r="2636"/>
                    <a:stretch>
                      <a:fillRect/>
                    </a:stretch>
                  </pic:blipFill>
                  <pic:spPr bwMode="auto">
                    <a:xfrm>
                      <a:off x="0" y="0"/>
                      <a:ext cx="5724525" cy="3324225"/>
                    </a:xfrm>
                    <a:prstGeom prst="rect">
                      <a:avLst/>
                    </a:prstGeom>
                    <a:noFill/>
                    <a:ln w="9525">
                      <a:noFill/>
                      <a:miter lim="800000"/>
                      <a:headEnd/>
                      <a:tailEnd/>
                    </a:ln>
                  </pic:spPr>
                </pic:pic>
              </a:graphicData>
            </a:graphic>
          </wp:inline>
        </w:drawing>
      </w:r>
    </w:p>
    <w:p w:rsidR="00D945BB" w:rsidRPr="00D945BB" w:rsidRDefault="00D945BB" w:rsidP="00303447">
      <w:pPr>
        <w:pStyle w:val="FigureTitle"/>
        <w:rPr>
          <w:lang w:eastAsia="ja-JP"/>
        </w:rPr>
      </w:pPr>
      <w:r>
        <w:rPr>
          <w:lang w:eastAsia="ja-JP"/>
        </w:rPr>
        <w:lastRenderedPageBreak/>
        <w:t xml:space="preserve">Figure 7. </w:t>
      </w:r>
      <w:r w:rsidR="00653D70" w:rsidRPr="00D945BB">
        <w:rPr>
          <w:lang w:eastAsia="ja-JP"/>
        </w:rPr>
        <w:t>AUX-CC-859</w:t>
      </w:r>
      <w:r w:rsidR="00653D70">
        <w:rPr>
          <w:lang w:eastAsia="ja-JP"/>
        </w:rPr>
        <w:t xml:space="preserve">. </w:t>
      </w:r>
      <w:r>
        <w:rPr>
          <w:lang w:eastAsia="ja-JP"/>
        </w:rPr>
        <w:t>Reduction in contracture to 5 degrees or less of the Primary MP Joint Overall and Baseline Severity following the last injection of study drug in Study AUX-CC-</w:t>
      </w:r>
      <w:r w:rsidR="00653D70">
        <w:rPr>
          <w:lang w:eastAsia="ja-JP"/>
        </w:rPr>
        <w:t>859.</w:t>
      </w:r>
    </w:p>
    <w:p w:rsidR="00D945BB" w:rsidRPr="00D945BB" w:rsidRDefault="00D945BB" w:rsidP="00303447">
      <w:pPr>
        <w:rPr>
          <w:lang w:eastAsia="ja-JP"/>
        </w:rPr>
      </w:pPr>
      <w:r w:rsidRPr="00D945BB">
        <w:rPr>
          <w:noProof/>
          <w:lang w:eastAsia="en-AU"/>
        </w:rPr>
        <w:drawing>
          <wp:inline distT="0" distB="0" distL="0" distR="0">
            <wp:extent cx="5705475" cy="3314700"/>
            <wp:effectExtent l="19050" t="0" r="9525" b="0"/>
            <wp:docPr id="19" name="Picture 16" descr="Figure 7. AUX-CC-859. Reduction in contracture to 5 degrees or less of the Primary MP Joint Overall and Baseline Severity following the last injection of study drug in Study AUX-CC-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1298" t="3134" r="1507"/>
                    <a:stretch>
                      <a:fillRect/>
                    </a:stretch>
                  </pic:blipFill>
                  <pic:spPr bwMode="auto">
                    <a:xfrm>
                      <a:off x="0" y="0"/>
                      <a:ext cx="5705475" cy="3314700"/>
                    </a:xfrm>
                    <a:prstGeom prst="rect">
                      <a:avLst/>
                    </a:prstGeom>
                    <a:noFill/>
                    <a:ln w="9525">
                      <a:noFill/>
                      <a:miter lim="800000"/>
                      <a:headEnd/>
                      <a:tailEnd/>
                    </a:ln>
                  </pic:spPr>
                </pic:pic>
              </a:graphicData>
            </a:graphic>
          </wp:inline>
        </w:drawing>
      </w:r>
    </w:p>
    <w:p w:rsidR="00653D70" w:rsidRPr="007F1609" w:rsidRDefault="00D945BB" w:rsidP="00303447">
      <w:pPr>
        <w:pStyle w:val="FigureTitle"/>
      </w:pPr>
      <w:bookmarkStart w:id="126" w:name="_Ref343675642"/>
      <w:bookmarkStart w:id="127" w:name="_Toc353960363"/>
      <w:r w:rsidRPr="007F1609">
        <w:t xml:space="preserve">Figure </w:t>
      </w:r>
      <w:bookmarkEnd w:id="126"/>
      <w:bookmarkEnd w:id="127"/>
      <w:r w:rsidR="00653D70" w:rsidRPr="007F1609">
        <w:t xml:space="preserve">8. </w:t>
      </w:r>
      <w:r w:rsidRPr="007F1609">
        <w:t>AUX-CC-859</w:t>
      </w:r>
      <w:r w:rsidR="00653D70" w:rsidRPr="007F1609">
        <w:t>. Reduction in contracture to 5 degrees or less of the Primary PIP Joint Overall and Baseline Severity following the last injection of study drug in Study AUX-CC-859.</w:t>
      </w:r>
    </w:p>
    <w:p w:rsidR="00D945BB" w:rsidRPr="00D945BB" w:rsidRDefault="00D945BB" w:rsidP="00303447">
      <w:pPr>
        <w:rPr>
          <w:lang w:eastAsia="ja-JP"/>
        </w:rPr>
      </w:pPr>
      <w:r w:rsidRPr="00D945BB">
        <w:rPr>
          <w:noProof/>
          <w:lang w:eastAsia="en-AU"/>
        </w:rPr>
        <w:drawing>
          <wp:inline distT="0" distB="0" distL="0" distR="0">
            <wp:extent cx="5827255" cy="3124200"/>
            <wp:effectExtent l="19050" t="0" r="2045" b="0"/>
            <wp:docPr id="22" name="Picture 19" descr="Figure 8. AUX-CC-859. Reduction in contracture to 5 degrees or less of the Primary PIP Joint Overall and Baseline Severity following the last injection of study drug in Study AUX-CC-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t="3049" r="1453"/>
                    <a:stretch>
                      <a:fillRect/>
                    </a:stretch>
                  </pic:blipFill>
                  <pic:spPr bwMode="auto">
                    <a:xfrm>
                      <a:off x="0" y="0"/>
                      <a:ext cx="5827255" cy="3124200"/>
                    </a:xfrm>
                    <a:prstGeom prst="rect">
                      <a:avLst/>
                    </a:prstGeom>
                    <a:noFill/>
                    <a:ln w="9525">
                      <a:noFill/>
                      <a:miter lim="800000"/>
                      <a:headEnd/>
                      <a:tailEnd/>
                    </a:ln>
                  </pic:spPr>
                </pic:pic>
              </a:graphicData>
            </a:graphic>
          </wp:inline>
        </w:drawing>
      </w:r>
    </w:p>
    <w:p w:rsidR="00BF4EBA" w:rsidRPr="00BF4EBA" w:rsidRDefault="00BF4EBA" w:rsidP="00E70112">
      <w:pPr>
        <w:rPr>
          <w:lang w:eastAsia="ja-JP"/>
        </w:rPr>
      </w:pPr>
      <w:r w:rsidRPr="00BF4EBA">
        <w:rPr>
          <w:lang w:eastAsia="ja-JP"/>
        </w:rPr>
        <w:t xml:space="preserve">After the last injection of AA4500, 91.7% of MP and 64.3% of PIP joints in </w:t>
      </w:r>
      <w:r w:rsidR="00F560BE">
        <w:rPr>
          <w:lang w:eastAsia="ja-JP"/>
        </w:rPr>
        <w:t>Study 85</w:t>
      </w:r>
      <w:r w:rsidRPr="00BF4EBA">
        <w:rPr>
          <w:lang w:eastAsia="ja-JP"/>
        </w:rPr>
        <w:t xml:space="preserve">7, and 95.0% and 60.0% respectively in </w:t>
      </w:r>
      <w:r w:rsidR="00F560BE">
        <w:rPr>
          <w:lang w:eastAsia="ja-JP"/>
        </w:rPr>
        <w:t>Study 85</w:t>
      </w:r>
      <w:r w:rsidRPr="00BF4EBA">
        <w:rPr>
          <w:lang w:eastAsia="ja-JP"/>
        </w:rPr>
        <w:t>9, had achieved a reduction in contracture to ≤25°.</w:t>
      </w:r>
    </w:p>
    <w:p w:rsidR="00BF4EBA" w:rsidRPr="00BF4EBA" w:rsidRDefault="00BF4EBA" w:rsidP="00E70112">
      <w:pPr>
        <w:rPr>
          <w:lang w:eastAsia="ja-JP"/>
        </w:rPr>
      </w:pPr>
      <w:r w:rsidRPr="00BF4EBA">
        <w:rPr>
          <w:lang w:eastAsia="ja-JP"/>
        </w:rPr>
        <w:t>For joints that did not reach clinical success, about half did not receive the full treatment regimen. The main reason for this in both studies (as stated by the investigator) was that there was no palpable cord to inject.</w:t>
      </w:r>
    </w:p>
    <w:p w:rsidR="00BF4EBA" w:rsidRPr="00BF4EBA" w:rsidRDefault="00BF4EBA" w:rsidP="00E70112">
      <w:pPr>
        <w:rPr>
          <w:lang w:eastAsia="ja-JP"/>
        </w:rPr>
      </w:pPr>
      <w:r w:rsidRPr="00BF4EBA">
        <w:rPr>
          <w:lang w:eastAsia="ja-JP"/>
        </w:rPr>
        <w:lastRenderedPageBreak/>
        <w:t xml:space="preserve">The rate of clinical improvement (defined as </w:t>
      </w:r>
      <w:r w:rsidR="007F1609">
        <w:rPr>
          <w:lang w:eastAsia="ja-JP"/>
        </w:rPr>
        <w:t xml:space="preserve">≥ </w:t>
      </w:r>
      <w:r w:rsidRPr="00BF4EBA">
        <w:rPr>
          <w:lang w:eastAsia="ja-JP"/>
        </w:rPr>
        <w:t>50% reduction from baseline in contracture) at the primary joint was significantly higher with AA4500 in both studies (</w:t>
      </w:r>
      <w:r w:rsidR="00F560BE">
        <w:rPr>
          <w:lang w:eastAsia="ja-JP"/>
        </w:rPr>
        <w:t>Study 85</w:t>
      </w:r>
      <w:r w:rsidRPr="00BF4EBA">
        <w:rPr>
          <w:lang w:eastAsia="ja-JP"/>
        </w:rPr>
        <w:t>7: 84.7%</w:t>
      </w:r>
      <w:r w:rsidR="00CD48FD">
        <w:rPr>
          <w:lang w:eastAsia="ja-JP"/>
        </w:rPr>
        <w:t xml:space="preserve"> versus </w:t>
      </w:r>
      <w:r w:rsidRPr="00BF4EBA">
        <w:rPr>
          <w:lang w:eastAsia="ja-JP"/>
        </w:rPr>
        <w:t xml:space="preserve">11.7%, </w:t>
      </w:r>
      <w:r w:rsidR="00F560BE">
        <w:rPr>
          <w:lang w:eastAsia="ja-JP"/>
        </w:rPr>
        <w:t>Study 85</w:t>
      </w:r>
      <w:r w:rsidRPr="00BF4EBA">
        <w:rPr>
          <w:lang w:eastAsia="ja-JP"/>
        </w:rPr>
        <w:t>9: 77.8%</w:t>
      </w:r>
      <w:r w:rsidR="00CD48FD">
        <w:rPr>
          <w:lang w:eastAsia="ja-JP"/>
        </w:rPr>
        <w:t xml:space="preserve"> versus </w:t>
      </w:r>
      <w:r w:rsidRPr="00BF4EBA">
        <w:rPr>
          <w:lang w:eastAsia="ja-JP"/>
        </w:rPr>
        <w:t>14.3%, p&lt;0.001 for both).</w:t>
      </w:r>
    </w:p>
    <w:p w:rsidR="00BF4EBA" w:rsidRPr="0067444B" w:rsidRDefault="00BF4EBA" w:rsidP="00E70112">
      <w:pPr>
        <w:rPr>
          <w:lang w:eastAsia="ja-JP"/>
        </w:rPr>
      </w:pPr>
      <w:r w:rsidRPr="00BF4EBA">
        <w:rPr>
          <w:lang w:eastAsia="ja-JP"/>
        </w:rPr>
        <w:t xml:space="preserve">In </w:t>
      </w:r>
      <w:r w:rsidR="00F560BE">
        <w:rPr>
          <w:lang w:eastAsia="ja-JP"/>
        </w:rPr>
        <w:t>Study 85</w:t>
      </w:r>
      <w:r w:rsidRPr="00BF4EBA">
        <w:rPr>
          <w:lang w:eastAsia="ja-JP"/>
        </w:rPr>
        <w:t xml:space="preserve">7 the mean baseline contracture degree at the primary joint was 50.2° and 49.1° in the AA4500 and placebo groups, respectively. After the last injection the mean degree of contracture was 12.2° compared to 45.7° which represents a 79% and 8.6% decrease in the AA4500 and placebo groups, respectively. In </w:t>
      </w:r>
      <w:r w:rsidR="00F560BE">
        <w:rPr>
          <w:lang w:eastAsia="ja-JP"/>
        </w:rPr>
        <w:t>Study 85</w:t>
      </w:r>
      <w:r w:rsidRPr="00BF4EBA">
        <w:rPr>
          <w:lang w:eastAsia="ja-JP"/>
        </w:rPr>
        <w:t xml:space="preserve">9, from a mean baseline of 53.2° and 50.0°, the mean degree of contracture after the last injection was 16.7° and 44.3° in the AA4500 and placebo groups, respectively. In both studies a similar trend was seen when assessed by MP joints and PIP joints although response was less at the PIP joint with a mean degree of contracture after AA4500 treatment of 21.7-24.0°. Similarly, the mean change in the range of motion was significantly improved in the AA4500 treatment compared to placebo at the primary joint and at both the MP and PIP joint assessments, although there was a significantly greater response at the MP than the PIP joints noted in </w:t>
      </w:r>
      <w:r w:rsidR="00F560BE">
        <w:rPr>
          <w:lang w:eastAsia="ja-JP"/>
        </w:rPr>
        <w:t>Study 85</w:t>
      </w:r>
      <w:r w:rsidRPr="00BF4EBA">
        <w:rPr>
          <w:lang w:eastAsia="ja-JP"/>
        </w:rPr>
        <w:t>7 (p&lt;0.001)</w:t>
      </w:r>
      <w:r w:rsidRPr="0067444B">
        <w:rPr>
          <w:lang w:eastAsia="ja-JP"/>
        </w:rPr>
        <w:t xml:space="preserve"> (Table </w:t>
      </w:r>
      <w:r w:rsidR="0067444B" w:rsidRPr="0067444B">
        <w:rPr>
          <w:lang w:eastAsia="ja-JP"/>
        </w:rPr>
        <w:t>12</w:t>
      </w:r>
      <w:r w:rsidRPr="0067444B">
        <w:rPr>
          <w:lang w:eastAsia="ja-JP"/>
        </w:rPr>
        <w:t>).</w:t>
      </w:r>
    </w:p>
    <w:p w:rsidR="009D2FE8" w:rsidRPr="009D2FE8" w:rsidRDefault="009D2FE8" w:rsidP="00E70112">
      <w:pPr>
        <w:pStyle w:val="TableTitle"/>
        <w:rPr>
          <w:lang w:eastAsia="ja-JP"/>
        </w:rPr>
      </w:pPr>
      <w:bookmarkStart w:id="128" w:name="_Ref343675793"/>
      <w:bookmarkStart w:id="129" w:name="_Toc353960368"/>
      <w:r w:rsidRPr="009D2FE8">
        <w:rPr>
          <w:iCs/>
          <w:lang w:eastAsia="ja-JP"/>
        </w:rPr>
        <w:t xml:space="preserve">Table </w:t>
      </w:r>
      <w:bookmarkEnd w:id="128"/>
      <w:bookmarkEnd w:id="129"/>
      <w:r>
        <w:rPr>
          <w:iCs/>
          <w:lang w:eastAsia="ja-JP"/>
        </w:rPr>
        <w:t xml:space="preserve">12. </w:t>
      </w:r>
      <w:r w:rsidRPr="009D2FE8">
        <w:rPr>
          <w:lang w:eastAsia="ja-JP"/>
        </w:rPr>
        <w:t>AUX-CC-857 and 859</w:t>
      </w:r>
      <w:r>
        <w:rPr>
          <w:lang w:eastAsia="ja-JP"/>
        </w:rPr>
        <w:t>. Mean change in Range of Motion from baseline to After the Last Injection Overall and by Joint type.</w:t>
      </w:r>
    </w:p>
    <w:p w:rsidR="009D2FE8" w:rsidRPr="009D2FE8" w:rsidRDefault="009D2FE8" w:rsidP="00E70112">
      <w:pPr>
        <w:rPr>
          <w:lang w:eastAsia="ja-JP"/>
        </w:rPr>
      </w:pPr>
      <w:r w:rsidRPr="009D2FE8">
        <w:rPr>
          <w:noProof/>
          <w:lang w:eastAsia="en-AU"/>
        </w:rPr>
        <w:drawing>
          <wp:inline distT="0" distB="0" distL="0" distR="0">
            <wp:extent cx="4848225" cy="3609975"/>
            <wp:effectExtent l="19050" t="0" r="9525" b="0"/>
            <wp:docPr id="25" name="Picture 63" descr="Table 12. AUX-CC-857 and 859. Mean change in Range of Motion from baseline to After the Last Injection Overall and by Joi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duotone>
                        <a:prstClr val="black"/>
                        <a:schemeClr val="bg1">
                          <a:tint val="45000"/>
                          <a:satMod val="400000"/>
                        </a:schemeClr>
                      </a:duotone>
                    </a:blip>
                    <a:srcRect l="2011" r="4936" b="5721"/>
                    <a:stretch>
                      <a:fillRect/>
                    </a:stretch>
                  </pic:blipFill>
                  <pic:spPr bwMode="auto">
                    <a:xfrm>
                      <a:off x="0" y="0"/>
                      <a:ext cx="4848225" cy="3609975"/>
                    </a:xfrm>
                    <a:prstGeom prst="rect">
                      <a:avLst/>
                    </a:prstGeom>
                    <a:noFill/>
                    <a:ln w="9525">
                      <a:noFill/>
                      <a:miter lim="800000"/>
                      <a:headEnd/>
                      <a:tailEnd/>
                    </a:ln>
                  </pic:spPr>
                </pic:pic>
              </a:graphicData>
            </a:graphic>
          </wp:inline>
        </w:drawing>
      </w:r>
    </w:p>
    <w:p w:rsidR="00BF4EBA" w:rsidRPr="00BF4EBA" w:rsidRDefault="00BF4EBA" w:rsidP="00E70112">
      <w:pPr>
        <w:rPr>
          <w:lang w:eastAsia="ja-JP"/>
        </w:rPr>
      </w:pPr>
      <w:r w:rsidRPr="00BF4EBA">
        <w:rPr>
          <w:lang w:eastAsia="ja-JP"/>
        </w:rPr>
        <w:t>At the end of double blind treatment, physician global assessment found higher rates of improvement with AA4500 (86%</w:t>
      </w:r>
      <w:r w:rsidR="00CD48FD">
        <w:rPr>
          <w:lang w:eastAsia="ja-JP"/>
        </w:rPr>
        <w:t xml:space="preserve"> versus </w:t>
      </w:r>
      <w:r w:rsidRPr="00BF4EBA">
        <w:rPr>
          <w:lang w:eastAsia="ja-JP"/>
        </w:rPr>
        <w:t>3% much/very much improved). Subject satisfaction was higher with AA4500 and 87% of this group (compared to 32% in the placebo group) were very/quite satisfied with treatment.</w:t>
      </w:r>
    </w:p>
    <w:p w:rsidR="00F45DEC" w:rsidRDefault="00BF4EBA" w:rsidP="00E70112">
      <w:pPr>
        <w:pStyle w:val="Heading6"/>
        <w:rPr>
          <w:lang w:eastAsia="ja-JP"/>
        </w:rPr>
      </w:pPr>
      <w:r w:rsidRPr="00BF4EBA">
        <w:rPr>
          <w:lang w:eastAsia="ja-JP"/>
        </w:rPr>
        <w:t>Study 859 combined periods</w:t>
      </w:r>
    </w:p>
    <w:p w:rsidR="00BF4EBA" w:rsidRPr="00BF4EBA" w:rsidRDefault="00BF4EBA" w:rsidP="00E70112">
      <w:pPr>
        <w:rPr>
          <w:lang w:eastAsia="ja-JP"/>
        </w:rPr>
      </w:pPr>
      <w:r w:rsidRPr="00BF4EBA">
        <w:rPr>
          <w:lang w:eastAsia="ja-JP"/>
        </w:rPr>
        <w:t>Study 859 assessed treatment at all joints in the double-blind and open label period and found that clinical success rate was 67.7% for MP and 36.1% for PIP joints after the last injection. The MP and PIP joints received on average 1.6 and 1.7 injections, respectively. There were 11/62 (17.7%) MP joints and 34/72 (47.2%) PIP joints which did not achieve clinical success (contracture reduction to ≤5°). Again a higher response was seen at the less severely contracted joints. The highest responses were also found at the MP joint of the little finger and the PIP joint of the middle finger.</w:t>
      </w:r>
    </w:p>
    <w:p w:rsidR="00BF4EBA" w:rsidRPr="00BF4EBA" w:rsidRDefault="00BF4EBA" w:rsidP="00E70112">
      <w:pPr>
        <w:rPr>
          <w:lang w:eastAsia="ja-JP"/>
        </w:rPr>
      </w:pPr>
      <w:r w:rsidRPr="00BF4EBA">
        <w:rPr>
          <w:lang w:eastAsia="ja-JP"/>
        </w:rPr>
        <w:lastRenderedPageBreak/>
        <w:t xml:space="preserve">There were 19.4% of MP and 47.2% of PIP joints which did not achieve clinical success and also did not receive full treatment (up to 3 injections), the main reason again was no palpable cord to inject. For these joints, however, there was a 40.2% mean change from baseline in degree of contracture. After the last injection, 87% of MP and 58% of PIP joints had a contracture of </w:t>
      </w:r>
      <w:r w:rsidR="009D2FE8">
        <w:rPr>
          <w:lang w:eastAsia="ja-JP"/>
        </w:rPr>
        <w:t>≤</w:t>
      </w:r>
      <w:r w:rsidRPr="00BF4EBA">
        <w:rPr>
          <w:lang w:eastAsia="ja-JP"/>
        </w:rPr>
        <w:t>25° and overall 73% of joints were classed as clinically improved (</w:t>
      </w:r>
      <w:r w:rsidR="009D2FE8">
        <w:rPr>
          <w:lang w:eastAsia="ja-JP"/>
        </w:rPr>
        <w:t>≥</w:t>
      </w:r>
      <w:r w:rsidRPr="00BF4EBA">
        <w:rPr>
          <w:lang w:eastAsia="ja-JP"/>
        </w:rPr>
        <w:t>50% reduction in contracture degree). The mean percentage change from baseline in degree of contracture was 79.5% and 57.6% and the mean change from baseline in range of motion was 31.5° and 26.3° for the MP and PIP joints, respectively. There were no subjects with recurrence of contracture during the 12 month study period. On the global assessment, there were 3 subjects (5.4%) who were found by the investigator to have become “minimally worse” and 9 (15.8%) of subjects who reported being “</w:t>
      </w:r>
      <w:r w:rsidRPr="009D2FE8">
        <w:rPr>
          <w:i/>
          <w:lang w:eastAsia="ja-JP"/>
        </w:rPr>
        <w:t xml:space="preserve">neither satisfied </w:t>
      </w:r>
      <w:r w:rsidR="009D2FE8">
        <w:rPr>
          <w:i/>
          <w:lang w:eastAsia="ja-JP"/>
        </w:rPr>
        <w:t>n</w:t>
      </w:r>
      <w:r w:rsidRPr="009D2FE8">
        <w:rPr>
          <w:i/>
          <w:lang w:eastAsia="ja-JP"/>
        </w:rPr>
        <w:t>or dissatisfied</w:t>
      </w:r>
      <w:r w:rsidRPr="00BF4EBA">
        <w:rPr>
          <w:lang w:eastAsia="ja-JP"/>
        </w:rPr>
        <w:t>” or “</w:t>
      </w:r>
      <w:r w:rsidRPr="009D2FE8">
        <w:rPr>
          <w:i/>
          <w:lang w:eastAsia="ja-JP"/>
        </w:rPr>
        <w:t>quite/very dissatisfied</w:t>
      </w:r>
      <w:r w:rsidRPr="00BF4EBA">
        <w:rPr>
          <w:lang w:eastAsia="ja-JP"/>
        </w:rPr>
        <w:t>” with the AA4500 treatment.</w:t>
      </w:r>
    </w:p>
    <w:p w:rsidR="00F45DEC" w:rsidRDefault="00BF4EBA" w:rsidP="00E70112">
      <w:pPr>
        <w:pStyle w:val="Heading6"/>
        <w:rPr>
          <w:lang w:eastAsia="ja-JP"/>
        </w:rPr>
      </w:pPr>
      <w:r w:rsidRPr="00BF4EBA">
        <w:rPr>
          <w:lang w:eastAsia="ja-JP"/>
        </w:rPr>
        <w:t>Post-hoc analyses</w:t>
      </w:r>
    </w:p>
    <w:p w:rsidR="00BF4EBA" w:rsidRPr="00BF4EBA" w:rsidRDefault="00BF4EBA" w:rsidP="00E70112">
      <w:pPr>
        <w:rPr>
          <w:lang w:eastAsia="ja-JP"/>
        </w:rPr>
      </w:pPr>
      <w:r w:rsidRPr="00BF4EBA">
        <w:rPr>
          <w:lang w:eastAsia="ja-JP"/>
        </w:rPr>
        <w:t xml:space="preserve">Subgroup analyses were conducted on combined data from the two studies. For subgroups of age, gender, weight quartile and </w:t>
      </w:r>
      <w:r w:rsidR="009D2FE8">
        <w:rPr>
          <w:lang w:eastAsia="ja-JP"/>
        </w:rPr>
        <w:t>body mass index (</w:t>
      </w:r>
      <w:r w:rsidRPr="00BF4EBA">
        <w:rPr>
          <w:lang w:eastAsia="ja-JP"/>
        </w:rPr>
        <w:t>BMI</w:t>
      </w:r>
      <w:r w:rsidR="009D2FE8">
        <w:rPr>
          <w:lang w:eastAsia="ja-JP"/>
        </w:rPr>
        <w:t>)</w:t>
      </w:r>
      <w:r w:rsidRPr="00BF4EBA">
        <w:rPr>
          <w:lang w:eastAsia="ja-JP"/>
        </w:rPr>
        <w:t xml:space="preserve"> category there were no notable differences in response. There were too few diabetics (n=8) and non-Whites (n=1) to allow comparison in these groups. The response was noted to be lower at the Australian sites compared to the US sites (44%</w:t>
      </w:r>
      <w:r w:rsidR="00CD48FD">
        <w:rPr>
          <w:lang w:eastAsia="ja-JP"/>
        </w:rPr>
        <w:t xml:space="preserve"> versus </w:t>
      </w:r>
      <w:r w:rsidRPr="00BF4EBA">
        <w:rPr>
          <w:lang w:eastAsia="ja-JP"/>
        </w:rPr>
        <w:t>64%) with a lower response at the PIP joint in Australia compared to the US (28%</w:t>
      </w:r>
      <w:r w:rsidR="00CD48FD">
        <w:rPr>
          <w:lang w:eastAsia="ja-JP"/>
        </w:rPr>
        <w:t xml:space="preserve"> versus </w:t>
      </w:r>
      <w:r w:rsidRPr="00BF4EBA">
        <w:rPr>
          <w:lang w:eastAsia="ja-JP"/>
        </w:rPr>
        <w:t>40%).</w:t>
      </w:r>
    </w:p>
    <w:p w:rsidR="00BF4EBA" w:rsidRPr="00BF4EBA" w:rsidRDefault="00BF4EBA" w:rsidP="00E70112">
      <w:pPr>
        <w:ind w:left="1418" w:hanging="1418"/>
        <w:rPr>
          <w:lang w:eastAsia="ja-JP"/>
        </w:rPr>
      </w:pPr>
      <w:r w:rsidRPr="00BF4EBA">
        <w:rPr>
          <w:lang w:eastAsia="ja-JP"/>
        </w:rPr>
        <w:t xml:space="preserve">Comment: </w:t>
      </w:r>
      <w:r w:rsidRPr="00BF4EBA">
        <w:rPr>
          <w:lang w:eastAsia="ja-JP"/>
        </w:rPr>
        <w:tab/>
      </w:r>
      <w:r w:rsidR="009D2FE8">
        <w:rPr>
          <w:lang w:eastAsia="ja-JP"/>
        </w:rPr>
        <w:t>T</w:t>
      </w:r>
      <w:r w:rsidR="008208D2">
        <w:rPr>
          <w:lang w:eastAsia="ja-JP"/>
        </w:rPr>
        <w:t>he sponsor</w:t>
      </w:r>
      <w:r w:rsidRPr="00BF4EBA">
        <w:rPr>
          <w:lang w:eastAsia="ja-JP"/>
        </w:rPr>
        <w:t xml:space="preserve"> proposes this was due to more severe baseline PIP contracture in the Australian subjects. Certainly there was more disease in the PIP joints in the Australian study (mean number of affected PIP joints 2.0 compared to 1.4 in </w:t>
      </w:r>
      <w:r w:rsidR="00F560BE">
        <w:rPr>
          <w:lang w:eastAsia="ja-JP"/>
        </w:rPr>
        <w:t>Study 85</w:t>
      </w:r>
      <w:r w:rsidRPr="00BF4EBA">
        <w:rPr>
          <w:lang w:eastAsia="ja-JP"/>
        </w:rPr>
        <w:t xml:space="preserve">7) although the mean baseline contracture of the PIP joints was similar between </w:t>
      </w:r>
      <w:r w:rsidR="00F560BE">
        <w:rPr>
          <w:lang w:eastAsia="ja-JP"/>
        </w:rPr>
        <w:t>Study 85</w:t>
      </w:r>
      <w:r w:rsidRPr="00BF4EBA">
        <w:rPr>
          <w:lang w:eastAsia="ja-JP"/>
        </w:rPr>
        <w:t>9 and 857 (56°</w:t>
      </w:r>
      <w:r w:rsidR="00CD48FD">
        <w:rPr>
          <w:lang w:eastAsia="ja-JP"/>
        </w:rPr>
        <w:t xml:space="preserve"> versus </w:t>
      </w:r>
      <w:r w:rsidRPr="00BF4EBA">
        <w:rPr>
          <w:lang w:eastAsia="ja-JP"/>
        </w:rPr>
        <w:t>54°).</w:t>
      </w:r>
    </w:p>
    <w:p w:rsidR="00F45DEC" w:rsidRDefault="00BF4EBA" w:rsidP="00E70112">
      <w:pPr>
        <w:pStyle w:val="Heading6"/>
        <w:rPr>
          <w:lang w:eastAsia="ja-JP"/>
        </w:rPr>
      </w:pPr>
      <w:r w:rsidRPr="00BF4EBA">
        <w:rPr>
          <w:lang w:eastAsia="ja-JP"/>
        </w:rPr>
        <w:t>Summary</w:t>
      </w:r>
    </w:p>
    <w:p w:rsidR="00BF4EBA" w:rsidRPr="00BF4EBA" w:rsidRDefault="00BF4EBA" w:rsidP="00E70112">
      <w:pPr>
        <w:rPr>
          <w:lang w:eastAsia="ja-JP"/>
        </w:rPr>
      </w:pPr>
      <w:r w:rsidRPr="00BF4EBA">
        <w:rPr>
          <w:lang w:eastAsia="ja-JP"/>
        </w:rPr>
        <w:t xml:space="preserve">AUX-CC-857 and AUX-CC-859 were </w:t>
      </w:r>
      <w:r w:rsidR="00F560BE">
        <w:rPr>
          <w:lang w:eastAsia="ja-JP"/>
        </w:rPr>
        <w:t>Phase I</w:t>
      </w:r>
      <w:r w:rsidRPr="00BF4EBA">
        <w:rPr>
          <w:lang w:eastAsia="ja-JP"/>
        </w:rPr>
        <w:t xml:space="preserve">II, double-blind, randomised, placebo-controlled safety and efficacy studies in patients with </w:t>
      </w:r>
      <w:proofErr w:type="spellStart"/>
      <w:r w:rsidRPr="00BF4EBA">
        <w:rPr>
          <w:lang w:eastAsia="ja-JP"/>
        </w:rPr>
        <w:t>Dupuytren’s</w:t>
      </w:r>
      <w:proofErr w:type="spellEnd"/>
      <w:r w:rsidRPr="00BF4EBA">
        <w:rPr>
          <w:lang w:eastAsia="ja-JP"/>
        </w:rPr>
        <w:t xml:space="preserve"> contracture. After a 90 day double blind period where up to 3 injections could be given, a statistically superior response in reducing the contracture to 5° or less at the primary joint was found (64.0%</w:t>
      </w:r>
      <w:r w:rsidR="00CD48FD">
        <w:rPr>
          <w:lang w:eastAsia="ja-JP"/>
        </w:rPr>
        <w:t xml:space="preserve"> versus </w:t>
      </w:r>
      <w:r w:rsidRPr="00BF4EBA">
        <w:rPr>
          <w:lang w:eastAsia="ja-JP"/>
        </w:rPr>
        <w:t>6.8%, p&lt;0.001 in AUX-CC-857 and 44.4%</w:t>
      </w:r>
      <w:r w:rsidR="00CD48FD">
        <w:rPr>
          <w:lang w:eastAsia="ja-JP"/>
        </w:rPr>
        <w:t xml:space="preserve"> versus </w:t>
      </w:r>
      <w:r w:rsidRPr="00BF4EBA">
        <w:rPr>
          <w:lang w:eastAsia="ja-JP"/>
        </w:rPr>
        <w:t>4.8%, p&lt;0.001 in AUX-CC-859). A positive response was seen after the first injection and the mean number of injections required to achieve clinical success was 1.5 in both studies. Treatment effect was seen at both the MP and PIP joints although response was less at the PIP joint as well as in joints with more severe contraction. There was improved response on the reduction in contracture degree and the range of motion. Results were consistent across subgroups of age, gender, weight and BMI and were associated with improvement in disease severity (as assessed by physicians) and subject satisfaction. Failure to achieve success was associated with not receiving the full injection course (52%) which was typically due to the physician having “no palpable cord to inject”.</w:t>
      </w:r>
    </w:p>
    <w:p w:rsidR="00BF4EBA" w:rsidRPr="00BF4EBA" w:rsidRDefault="00BF4EBA" w:rsidP="00E70112">
      <w:pPr>
        <w:pStyle w:val="Heading4"/>
      </w:pPr>
      <w:bookmarkStart w:id="130" w:name="_Ref271037188"/>
      <w:bookmarkStart w:id="131" w:name="_Ref271037210"/>
      <w:bookmarkStart w:id="132" w:name="_Toc272414655"/>
      <w:bookmarkStart w:id="133" w:name="_Toc290846277"/>
      <w:bookmarkStart w:id="134" w:name="_Toc353960254"/>
      <w:bookmarkStart w:id="135" w:name="_Toc241374311"/>
      <w:bookmarkStart w:id="136" w:name="_Ref243294291"/>
      <w:r w:rsidRPr="00BF4EBA">
        <w:t>Other efficacy studies</w:t>
      </w:r>
      <w:bookmarkEnd w:id="130"/>
      <w:bookmarkEnd w:id="131"/>
      <w:bookmarkEnd w:id="132"/>
      <w:bookmarkEnd w:id="133"/>
      <w:bookmarkEnd w:id="134"/>
    </w:p>
    <w:p w:rsidR="00BF4EBA" w:rsidRPr="00BF4EBA" w:rsidRDefault="00BF4EBA" w:rsidP="00E70112">
      <w:pPr>
        <w:pStyle w:val="Heading5"/>
        <w:rPr>
          <w:lang w:eastAsia="ja-JP"/>
        </w:rPr>
      </w:pPr>
      <w:bookmarkStart w:id="137" w:name="_Toc290846279"/>
      <w:bookmarkStart w:id="138" w:name="_Toc353960255"/>
      <w:bookmarkEnd w:id="135"/>
      <w:bookmarkEnd w:id="136"/>
      <w:r w:rsidRPr="00BF4EBA">
        <w:rPr>
          <w:lang w:eastAsia="ja-JP"/>
        </w:rPr>
        <w:t>Study AUX-CC-858</w:t>
      </w:r>
      <w:bookmarkEnd w:id="137"/>
      <w:bookmarkEnd w:id="138"/>
    </w:p>
    <w:p w:rsidR="009D2FE8" w:rsidRDefault="00BF4EBA" w:rsidP="00E70112">
      <w:pPr>
        <w:pStyle w:val="Heading6"/>
        <w:rPr>
          <w:lang w:eastAsia="ja-JP"/>
        </w:rPr>
      </w:pPr>
      <w:r w:rsidRPr="00BF4EBA">
        <w:rPr>
          <w:lang w:eastAsia="ja-JP"/>
        </w:rPr>
        <w:t xml:space="preserve">Design and </w:t>
      </w:r>
      <w:r w:rsidR="00E70112">
        <w:rPr>
          <w:lang w:eastAsia="ja-JP"/>
        </w:rPr>
        <w:t>m</w:t>
      </w:r>
      <w:r w:rsidRPr="00BF4EBA">
        <w:rPr>
          <w:lang w:eastAsia="ja-JP"/>
        </w:rPr>
        <w:t xml:space="preserve">ethods </w:t>
      </w:r>
    </w:p>
    <w:p w:rsidR="00BF4EBA" w:rsidRPr="00BF4EBA" w:rsidRDefault="00BF4EBA" w:rsidP="00537A60">
      <w:pPr>
        <w:rPr>
          <w:lang w:eastAsia="ja-JP"/>
        </w:rPr>
      </w:pPr>
      <w:r w:rsidRPr="00BF4EBA">
        <w:rPr>
          <w:lang w:eastAsia="ja-JP"/>
        </w:rPr>
        <w:t xml:space="preserve">Study AUX-CC-858 was the nine month open label extension study of AUX-CC-857. It was conducted at 16 sites in the US between December 2007 and November 2008. The primary objective was the efficacy and safety evaluation of up to five injections of AA4500 (0.58 mg) in reducing the degree of contracture in multiple joints. Recurrence rate was a secondary objective. Subjects who completed the feeder </w:t>
      </w:r>
      <w:r w:rsidR="00F560BE">
        <w:rPr>
          <w:lang w:eastAsia="ja-JP"/>
        </w:rPr>
        <w:t>Study 85</w:t>
      </w:r>
      <w:r w:rsidRPr="00BF4EBA">
        <w:rPr>
          <w:lang w:eastAsia="ja-JP"/>
        </w:rPr>
        <w:t xml:space="preserve">7 were eligible to enrol. If joints required further treatment either due to contracture &gt;5° and the cord had received &lt;3 injections, or there were other eligible cords, subjects could have up to five injections (maximum of 3 per cord) separated by four weeks. This allowed up to a maximum of eight injections over the total 12 month period. Study treatment with AA4500 and post injection treatment was the same as in </w:t>
      </w:r>
      <w:r w:rsidR="00F560BE">
        <w:rPr>
          <w:lang w:eastAsia="ja-JP"/>
        </w:rPr>
        <w:lastRenderedPageBreak/>
        <w:t>Study 85</w:t>
      </w:r>
      <w:r w:rsidRPr="00BF4EBA">
        <w:rPr>
          <w:lang w:eastAsia="ja-JP"/>
        </w:rPr>
        <w:t xml:space="preserve">7. Efficacy variables were also the same and analysis was conducted on the combined data from both </w:t>
      </w:r>
      <w:r w:rsidR="00F560BE">
        <w:rPr>
          <w:lang w:eastAsia="ja-JP"/>
        </w:rPr>
        <w:t>Study 85</w:t>
      </w:r>
      <w:r w:rsidRPr="00BF4EBA">
        <w:rPr>
          <w:lang w:eastAsia="ja-JP"/>
        </w:rPr>
        <w:t>7 and 858.</w:t>
      </w:r>
    </w:p>
    <w:p w:rsidR="009D2FE8" w:rsidRDefault="00BF4EBA" w:rsidP="00537A60">
      <w:pPr>
        <w:pStyle w:val="Heading6"/>
        <w:rPr>
          <w:lang w:eastAsia="ja-JP"/>
        </w:rPr>
      </w:pPr>
      <w:r w:rsidRPr="00BF4EBA">
        <w:rPr>
          <w:lang w:eastAsia="ja-JP"/>
        </w:rPr>
        <w:t>Results</w:t>
      </w:r>
    </w:p>
    <w:p w:rsidR="00BF4EBA" w:rsidRDefault="00BF4EBA" w:rsidP="00537A60">
      <w:pPr>
        <w:rPr>
          <w:lang w:eastAsia="ja-JP"/>
        </w:rPr>
      </w:pPr>
      <w:r w:rsidRPr="00BF4EBA">
        <w:rPr>
          <w:lang w:eastAsia="ja-JP"/>
        </w:rPr>
        <w:t xml:space="preserve">There were 286 subjects who entered the open label study (186 from the AA4500 and 100 from the placebo group) with 34.9% and 95.0%, respectively, who received </w:t>
      </w:r>
      <w:r w:rsidR="009D2FE8">
        <w:rPr>
          <w:lang w:eastAsia="ja-JP"/>
        </w:rPr>
        <w:t>≥</w:t>
      </w:r>
      <w:r w:rsidRPr="00BF4EBA">
        <w:rPr>
          <w:lang w:eastAsia="ja-JP"/>
        </w:rPr>
        <w:t xml:space="preserve">1 open label injection. Study completion was high (89-90%) and the main reasons for </w:t>
      </w:r>
      <w:r w:rsidR="009D2FE8">
        <w:rPr>
          <w:lang w:eastAsia="ja-JP"/>
        </w:rPr>
        <w:t xml:space="preserve">a </w:t>
      </w:r>
      <w:r w:rsidRPr="00BF4EBA">
        <w:rPr>
          <w:lang w:eastAsia="ja-JP"/>
        </w:rPr>
        <w:t>premature discontinuation w</w:t>
      </w:r>
      <w:r w:rsidR="009D2FE8">
        <w:rPr>
          <w:lang w:eastAsia="ja-JP"/>
        </w:rPr>
        <w:t>as</w:t>
      </w:r>
      <w:r w:rsidRPr="00BF4EBA">
        <w:rPr>
          <w:lang w:eastAsia="ja-JP"/>
        </w:rPr>
        <w:t xml:space="preserve"> </w:t>
      </w:r>
      <w:r w:rsidR="009D2FE8">
        <w:rPr>
          <w:lang w:eastAsia="ja-JP"/>
        </w:rPr>
        <w:t>“</w:t>
      </w:r>
      <w:r w:rsidRPr="00BF4EBA">
        <w:rPr>
          <w:lang w:eastAsia="ja-JP"/>
        </w:rPr>
        <w:t>lost to follow up</w:t>
      </w:r>
      <w:r w:rsidR="009D2FE8">
        <w:rPr>
          <w:lang w:eastAsia="ja-JP"/>
        </w:rPr>
        <w:t>”</w:t>
      </w:r>
      <w:r w:rsidRPr="00BF4EBA">
        <w:rPr>
          <w:lang w:eastAsia="ja-JP"/>
        </w:rPr>
        <w:t xml:space="preserve"> and “other”. When combined with </w:t>
      </w:r>
      <w:r w:rsidR="00F560BE">
        <w:rPr>
          <w:lang w:eastAsia="ja-JP"/>
        </w:rPr>
        <w:t>Study 85</w:t>
      </w:r>
      <w:r w:rsidRPr="00BF4EBA">
        <w:rPr>
          <w:lang w:eastAsia="ja-JP"/>
        </w:rPr>
        <w:t>7, there were 299 subjects who had 542 joints treated and 869 injections g</w:t>
      </w:r>
      <w:r w:rsidRPr="009D2FE8">
        <w:rPr>
          <w:lang w:eastAsia="ja-JP"/>
        </w:rPr>
        <w:t xml:space="preserve">iven (Table </w:t>
      </w:r>
      <w:r w:rsidR="009D2FE8" w:rsidRPr="009D2FE8">
        <w:rPr>
          <w:lang w:eastAsia="ja-JP"/>
        </w:rPr>
        <w:t>13</w:t>
      </w:r>
      <w:r w:rsidRPr="009D2FE8">
        <w:rPr>
          <w:lang w:eastAsia="ja-JP"/>
        </w:rPr>
        <w:t>). The n</w:t>
      </w:r>
      <w:r w:rsidRPr="00BF4EBA">
        <w:rPr>
          <w:lang w:eastAsia="ja-JP"/>
        </w:rPr>
        <w:t>umber of joints treated and injections given is</w:t>
      </w:r>
      <w:r w:rsidRPr="00516476">
        <w:rPr>
          <w:lang w:eastAsia="ja-JP"/>
        </w:rPr>
        <w:t xml:space="preserve"> in Table </w:t>
      </w:r>
      <w:r w:rsidR="00516476" w:rsidRPr="00516476">
        <w:rPr>
          <w:lang w:eastAsia="ja-JP"/>
        </w:rPr>
        <w:t>14</w:t>
      </w:r>
      <w:r w:rsidRPr="00516476">
        <w:rPr>
          <w:lang w:eastAsia="ja-JP"/>
        </w:rPr>
        <w:t>. Most su</w:t>
      </w:r>
      <w:r w:rsidRPr="00BF4EBA">
        <w:rPr>
          <w:lang w:eastAsia="ja-JP"/>
        </w:rPr>
        <w:t xml:space="preserve">bjects (92.3%) had </w:t>
      </w:r>
      <w:r w:rsidR="009D2FE8">
        <w:rPr>
          <w:lang w:eastAsia="ja-JP"/>
        </w:rPr>
        <w:t>≤</w:t>
      </w:r>
      <w:r w:rsidRPr="00BF4EBA">
        <w:rPr>
          <w:lang w:eastAsia="ja-JP"/>
        </w:rPr>
        <w:t>5 injections in the combined studies.</w:t>
      </w:r>
    </w:p>
    <w:p w:rsidR="009D2FE8" w:rsidRPr="009D2FE8" w:rsidRDefault="009D2FE8" w:rsidP="00537A60">
      <w:pPr>
        <w:pStyle w:val="TableTitle"/>
        <w:rPr>
          <w:lang w:eastAsia="ja-JP"/>
        </w:rPr>
      </w:pPr>
      <w:bookmarkStart w:id="139" w:name="_Ref343675800"/>
      <w:bookmarkStart w:id="140" w:name="_Toc353960370"/>
      <w:r w:rsidRPr="009D2FE8">
        <w:rPr>
          <w:lang w:eastAsia="ja-JP"/>
        </w:rPr>
        <w:t xml:space="preserve">Table </w:t>
      </w:r>
      <w:bookmarkEnd w:id="139"/>
      <w:bookmarkEnd w:id="140"/>
      <w:r>
        <w:rPr>
          <w:lang w:eastAsia="ja-JP"/>
        </w:rPr>
        <w:t>13. Number of Subjects and Joints treated in Studies AUX-CC-857 and AUXCC-858</w:t>
      </w:r>
    </w:p>
    <w:p w:rsidR="009D2FE8" w:rsidRPr="00BF4EBA" w:rsidRDefault="009D2FE8" w:rsidP="00537A60">
      <w:pPr>
        <w:rPr>
          <w:lang w:eastAsia="ja-JP"/>
        </w:rPr>
      </w:pPr>
      <w:r w:rsidRPr="009D2FE8">
        <w:rPr>
          <w:noProof/>
          <w:lang w:eastAsia="en-AU"/>
        </w:rPr>
        <w:drawing>
          <wp:inline distT="0" distB="0" distL="0" distR="0">
            <wp:extent cx="5486400" cy="4086225"/>
            <wp:effectExtent l="19050" t="0" r="0" b="0"/>
            <wp:docPr id="27" name="Picture 67" descr="Table 13. Number of Subjects and Joints treated in Studies AUX-CC-857 and AUXC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duotone>
                        <a:prstClr val="black"/>
                        <a:schemeClr val="bg1">
                          <a:tint val="45000"/>
                          <a:satMod val="400000"/>
                        </a:schemeClr>
                      </a:duotone>
                    </a:blip>
                    <a:srcRect l="997" t="1119" r="3301" b="2908"/>
                    <a:stretch>
                      <a:fillRect/>
                    </a:stretch>
                  </pic:blipFill>
                  <pic:spPr bwMode="auto">
                    <a:xfrm>
                      <a:off x="0" y="0"/>
                      <a:ext cx="5486400" cy="4086225"/>
                    </a:xfrm>
                    <a:prstGeom prst="rect">
                      <a:avLst/>
                    </a:prstGeom>
                    <a:noFill/>
                    <a:ln w="9525">
                      <a:noFill/>
                      <a:miter lim="800000"/>
                      <a:headEnd/>
                      <a:tailEnd/>
                    </a:ln>
                  </pic:spPr>
                </pic:pic>
              </a:graphicData>
            </a:graphic>
          </wp:inline>
        </w:drawing>
      </w:r>
    </w:p>
    <w:p w:rsidR="00516476" w:rsidRPr="00516476" w:rsidRDefault="00516476" w:rsidP="00537A60">
      <w:pPr>
        <w:pStyle w:val="TableTitle"/>
        <w:rPr>
          <w:lang w:eastAsia="ja-JP"/>
        </w:rPr>
      </w:pPr>
      <w:bookmarkStart w:id="141" w:name="_Ref343675803"/>
      <w:bookmarkStart w:id="142" w:name="_Toc353960371"/>
      <w:r w:rsidRPr="00516476">
        <w:rPr>
          <w:iCs/>
          <w:lang w:eastAsia="ja-JP"/>
        </w:rPr>
        <w:lastRenderedPageBreak/>
        <w:t xml:space="preserve">Table </w:t>
      </w:r>
      <w:r>
        <w:rPr>
          <w:iCs/>
          <w:lang w:eastAsia="ja-JP"/>
        </w:rPr>
        <w:t xml:space="preserve">14. </w:t>
      </w:r>
      <w:bookmarkEnd w:id="141"/>
      <w:bookmarkEnd w:id="142"/>
      <w:r w:rsidRPr="00516476">
        <w:rPr>
          <w:lang w:eastAsia="ja-JP"/>
        </w:rPr>
        <w:t>AUX-CC-857 and 858</w:t>
      </w:r>
      <w:r>
        <w:rPr>
          <w:lang w:eastAsia="ja-JP"/>
        </w:rPr>
        <w:t>. Subject disposition. AA4500 Population from Double blind and Open Label studies.</w:t>
      </w:r>
    </w:p>
    <w:p w:rsidR="00516476" w:rsidRDefault="00516476" w:rsidP="00537A60">
      <w:pPr>
        <w:rPr>
          <w:lang w:eastAsia="ja-JP"/>
        </w:rPr>
      </w:pPr>
      <w:r w:rsidRPr="00516476">
        <w:rPr>
          <w:noProof/>
          <w:lang w:eastAsia="en-AU"/>
        </w:rPr>
        <w:drawing>
          <wp:inline distT="0" distB="0" distL="0" distR="0">
            <wp:extent cx="5732780" cy="5671185"/>
            <wp:effectExtent l="19050" t="0" r="1270" b="0"/>
            <wp:docPr id="30" name="Picture 69" descr="Table 14. AUX-CC-857 and 858. Subject disposition. AA4500 Population from Double blind and Open Labe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duotone>
                        <a:prstClr val="black"/>
                        <a:schemeClr val="bg1">
                          <a:tint val="45000"/>
                          <a:satMod val="400000"/>
                        </a:schemeClr>
                      </a:duotone>
                    </a:blip>
                    <a:srcRect b="8259"/>
                    <a:stretch>
                      <a:fillRect/>
                    </a:stretch>
                  </pic:blipFill>
                  <pic:spPr bwMode="auto">
                    <a:xfrm>
                      <a:off x="0" y="0"/>
                      <a:ext cx="5732780" cy="5671185"/>
                    </a:xfrm>
                    <a:prstGeom prst="rect">
                      <a:avLst/>
                    </a:prstGeom>
                    <a:noFill/>
                    <a:ln w="9525">
                      <a:noFill/>
                      <a:miter lim="800000"/>
                      <a:headEnd/>
                      <a:tailEnd/>
                    </a:ln>
                  </pic:spPr>
                </pic:pic>
              </a:graphicData>
            </a:graphic>
          </wp:inline>
        </w:drawing>
      </w:r>
    </w:p>
    <w:p w:rsidR="00516476" w:rsidRDefault="00516476" w:rsidP="00537A60">
      <w:pPr>
        <w:pStyle w:val="TableDescription"/>
        <w:rPr>
          <w:lang w:eastAsia="ja-JP"/>
        </w:rPr>
      </w:pPr>
      <w:r w:rsidRPr="00516476">
        <w:rPr>
          <w:lang w:eastAsia="ja-JP"/>
        </w:rPr>
        <w:t xml:space="preserve">Note: There were nine subjects who never received AA4500; of these, four never had an open label evaluation and five were evaluated during the open label phase. </w:t>
      </w:r>
    </w:p>
    <w:p w:rsidR="00516476" w:rsidRPr="00516476" w:rsidRDefault="00516476" w:rsidP="00537A60">
      <w:pPr>
        <w:pStyle w:val="TableDescription"/>
        <w:rPr>
          <w:lang w:eastAsia="ja-JP"/>
        </w:rPr>
      </w:pPr>
      <w:r w:rsidRPr="00516476">
        <w:rPr>
          <w:lang w:eastAsia="ja-JP"/>
        </w:rPr>
        <w:t>Note: two subjects (adverse events) and one subject (other; moved away) were reported as discontinued during the double-blind phase but had an open-label efficacy or safety measure.</w:t>
      </w:r>
    </w:p>
    <w:p w:rsidR="00BF4EBA" w:rsidRDefault="00BF4EBA" w:rsidP="00537A60">
      <w:pPr>
        <w:rPr>
          <w:lang w:eastAsia="ja-JP"/>
        </w:rPr>
      </w:pPr>
      <w:r w:rsidRPr="00BF4EBA">
        <w:rPr>
          <w:lang w:eastAsia="ja-JP"/>
        </w:rPr>
        <w:t>In the combined study analysis of 523 joints</w:t>
      </w:r>
      <w:r w:rsidRPr="00BF4EBA">
        <w:rPr>
          <w:vertAlign w:val="superscript"/>
          <w:lang w:eastAsia="ja-JP"/>
        </w:rPr>
        <w:footnoteReference w:id="5"/>
      </w:r>
      <w:r w:rsidRPr="00BF4EBA">
        <w:rPr>
          <w:lang w:eastAsia="ja-JP"/>
        </w:rPr>
        <w:t>, the rate of clinical success (reduction of contracture to 5° or less within 30 days after the last injection) was 50.5% with a higher response with the MP than PIP joints (66.5%</w:t>
      </w:r>
      <w:r w:rsidR="00CD48FD">
        <w:rPr>
          <w:lang w:eastAsia="ja-JP"/>
        </w:rPr>
        <w:t xml:space="preserve"> versus </w:t>
      </w:r>
      <w:r w:rsidRPr="00BF4EBA">
        <w:rPr>
          <w:lang w:eastAsia="ja-JP"/>
        </w:rPr>
        <w:t xml:space="preserve">29.0%). On average 1.4 injections were given to achieve clinical success. The response was better in the less severely contracted joints </w:t>
      </w:r>
      <w:r w:rsidRPr="000135F1">
        <w:rPr>
          <w:lang w:eastAsia="ja-JP"/>
        </w:rPr>
        <w:t xml:space="preserve">(Figure </w:t>
      </w:r>
      <w:r w:rsidR="00516476" w:rsidRPr="000135F1">
        <w:rPr>
          <w:lang w:eastAsia="ja-JP"/>
        </w:rPr>
        <w:t>9</w:t>
      </w:r>
      <w:r w:rsidRPr="000135F1">
        <w:rPr>
          <w:lang w:eastAsia="ja-JP"/>
        </w:rPr>
        <w:t>) and efficac</w:t>
      </w:r>
      <w:r w:rsidRPr="00BF4EBA">
        <w:rPr>
          <w:lang w:eastAsia="ja-JP"/>
        </w:rPr>
        <w:t xml:space="preserve">y was seen across the MP joints at all fingers (63.0% to 70.8%). Overall, there were 13.4% and 27.2% of MP and PIP joints, respectively, that did not achieve clinical success despite 3 injections of AA4500. There were a further 20.1% and 43.8% that did not achieve clinical success and did not receive 3 injections with the main reason being no palpable cord to inject. In the group of non-responders, there was still some clinical response with a </w:t>
      </w:r>
      <w:r w:rsidRPr="00BF4EBA">
        <w:rPr>
          <w:lang w:eastAsia="ja-JP"/>
        </w:rPr>
        <w:lastRenderedPageBreak/>
        <w:t xml:space="preserve">mean percentage change from baseline in contracture degree of 46.7% and 34.2% for the MP and PIP joints, respectively. </w:t>
      </w:r>
    </w:p>
    <w:p w:rsidR="00516476" w:rsidRPr="007F1609" w:rsidRDefault="00516476" w:rsidP="00537A60">
      <w:pPr>
        <w:pStyle w:val="FigureTitle"/>
      </w:pPr>
      <w:bookmarkStart w:id="143" w:name="_Ref343675806"/>
      <w:bookmarkStart w:id="144" w:name="_Toc353960372"/>
      <w:r w:rsidRPr="00A322B3">
        <w:t xml:space="preserve">Figure </w:t>
      </w:r>
      <w:bookmarkEnd w:id="143"/>
      <w:bookmarkEnd w:id="144"/>
      <w:r w:rsidRPr="00A322B3">
        <w:t>9. AUX-CC-857 and 858. Reduction in contracture to 5 degrees or less after the last injection of AA4500: by Joint Type and Baseline Severity. All Joints treated with AA4500 0.58 mg during the do</w:t>
      </w:r>
      <w:r>
        <w:t xml:space="preserve">uble-blind or open-label phases. </w:t>
      </w:r>
    </w:p>
    <w:p w:rsidR="00516476" w:rsidRPr="00516476" w:rsidRDefault="00516476" w:rsidP="00537A60">
      <w:pPr>
        <w:rPr>
          <w:lang w:eastAsia="ja-JP"/>
        </w:rPr>
      </w:pPr>
      <w:r w:rsidRPr="00516476">
        <w:rPr>
          <w:noProof/>
          <w:lang w:eastAsia="en-AU"/>
        </w:rPr>
        <w:drawing>
          <wp:inline distT="0" distB="0" distL="0" distR="0">
            <wp:extent cx="5448300" cy="4724400"/>
            <wp:effectExtent l="19050" t="0" r="0" b="0"/>
            <wp:docPr id="32" name="Picture 71" descr="Figure 9. AUX-CC-857 and 858. Reduction in contracture to 5 degrees or less after the last injection of AA4500: by Joint Type and Baseline Severity. All Joints treated with AA4500 0.58 mg during the double-blind or open-label ph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duotone>
                        <a:prstClr val="black"/>
                        <a:schemeClr val="bg1">
                          <a:tint val="45000"/>
                          <a:satMod val="400000"/>
                        </a:schemeClr>
                      </a:duotone>
                    </a:blip>
                    <a:srcRect l="2658" t="2524" r="2304" b="1165"/>
                    <a:stretch>
                      <a:fillRect/>
                    </a:stretch>
                  </pic:blipFill>
                  <pic:spPr bwMode="auto">
                    <a:xfrm>
                      <a:off x="0" y="0"/>
                      <a:ext cx="5448300" cy="4724400"/>
                    </a:xfrm>
                    <a:prstGeom prst="rect">
                      <a:avLst/>
                    </a:prstGeom>
                    <a:noFill/>
                    <a:ln w="9525">
                      <a:noFill/>
                      <a:miter lim="800000"/>
                      <a:headEnd/>
                      <a:tailEnd/>
                    </a:ln>
                  </pic:spPr>
                </pic:pic>
              </a:graphicData>
            </a:graphic>
          </wp:inline>
        </w:drawing>
      </w:r>
    </w:p>
    <w:p w:rsidR="00BF4EBA" w:rsidRPr="00BF4EBA" w:rsidRDefault="00BF4EBA" w:rsidP="00537A60">
      <w:pPr>
        <w:rPr>
          <w:lang w:eastAsia="ja-JP"/>
        </w:rPr>
      </w:pPr>
      <w:r w:rsidRPr="00BF4EBA">
        <w:rPr>
          <w:lang w:eastAsia="ja-JP"/>
        </w:rPr>
        <w:t xml:space="preserve">After the final injection, 90% of MP and 60% of PIP joints had reduction in contracture to </w:t>
      </w:r>
      <w:r w:rsidR="00516476">
        <w:rPr>
          <w:lang w:eastAsia="ja-JP"/>
        </w:rPr>
        <w:t>≤</w:t>
      </w:r>
      <w:r w:rsidRPr="00BF4EBA">
        <w:rPr>
          <w:lang w:eastAsia="ja-JP"/>
        </w:rPr>
        <w:t>25°. The mean change from baseline in degree of contracture was 80.4% and 51.5% for the MP and PIP joints, respectively, and this was reflected in an improved range of motion or 33.3° and 23.1°, respectively. Physicians reported the contracture as very much/much improved (79.5%) and 82.9% of subjects were very/quite satisfied.</w:t>
      </w:r>
    </w:p>
    <w:p w:rsidR="00BF4EBA" w:rsidRPr="00BF4EBA" w:rsidRDefault="00BF4EBA" w:rsidP="00537A60">
      <w:pPr>
        <w:rPr>
          <w:lang w:eastAsia="ja-JP"/>
        </w:rPr>
      </w:pPr>
      <w:r w:rsidRPr="00BF4EBA">
        <w:rPr>
          <w:lang w:eastAsia="ja-JP"/>
        </w:rPr>
        <w:t>At the end of the 9 month open label period 12/264 (4.5%) joints had a recurrent contracture. Two cases were during placebo treatment in the double-blind phase. Nine of the 12 recurrences were at the PIP joints</w:t>
      </w:r>
    </w:p>
    <w:p w:rsidR="000135F1" w:rsidRDefault="00BF4EBA" w:rsidP="00182B06">
      <w:pPr>
        <w:pStyle w:val="Heading6"/>
        <w:rPr>
          <w:lang w:eastAsia="ja-JP"/>
        </w:rPr>
      </w:pPr>
      <w:r w:rsidRPr="00BF4EBA">
        <w:rPr>
          <w:lang w:eastAsia="ja-JP"/>
        </w:rPr>
        <w:t>Summary</w:t>
      </w:r>
    </w:p>
    <w:p w:rsidR="00BF4EBA" w:rsidRPr="00BF4EBA" w:rsidRDefault="00BF4EBA" w:rsidP="00182B06">
      <w:pPr>
        <w:rPr>
          <w:lang w:eastAsia="ja-JP"/>
        </w:rPr>
      </w:pPr>
      <w:r w:rsidRPr="00BF4EBA">
        <w:rPr>
          <w:lang w:eastAsia="ja-JP"/>
        </w:rPr>
        <w:t xml:space="preserve">In the combined analysis of </w:t>
      </w:r>
      <w:r w:rsidR="00516476">
        <w:rPr>
          <w:lang w:eastAsia="ja-JP"/>
        </w:rPr>
        <w:t>S</w:t>
      </w:r>
      <w:r w:rsidRPr="00BF4EBA">
        <w:rPr>
          <w:lang w:eastAsia="ja-JP"/>
        </w:rPr>
        <w:t xml:space="preserve">tudies 857 and 858 there were 523 joints treated (286 subjects). The rate of clinical success over the combined 12 month period was 67% for MP joints and 29% for PIP joints with an average of 1.4 injections given to achieve this. Failure to achieve the contracture reduction to 5° or less occurred in 13% of MP and 27% of PIP joints treated with 3 injections. There were also 20% of MP and 44% of PIP joints that did not achieve the clinical success and had received &lt;3 injections which was typically associated with lack of cord to inject. There was still some degree of clinical response in the non-responders with 60% of MP and </w:t>
      </w:r>
      <w:r w:rsidRPr="00BF4EBA">
        <w:rPr>
          <w:lang w:eastAsia="ja-JP"/>
        </w:rPr>
        <w:lastRenderedPageBreak/>
        <w:t xml:space="preserve">37% of PIP joints with </w:t>
      </w:r>
      <w:r w:rsidR="00516476">
        <w:rPr>
          <w:lang w:eastAsia="ja-JP"/>
        </w:rPr>
        <w:t>≥</w:t>
      </w:r>
      <w:r w:rsidRPr="00BF4EBA">
        <w:rPr>
          <w:lang w:eastAsia="ja-JP"/>
        </w:rPr>
        <w:t>50% reduction in baseline contracture. Recurrence of contracture was recorded in 4.5% of responding joints.</w:t>
      </w:r>
    </w:p>
    <w:p w:rsidR="00BF4EBA" w:rsidRPr="00BF4EBA" w:rsidRDefault="00BF4EBA" w:rsidP="00182B06">
      <w:pPr>
        <w:pStyle w:val="Heading5"/>
        <w:rPr>
          <w:lang w:eastAsia="ja-JP"/>
        </w:rPr>
      </w:pPr>
      <w:bookmarkStart w:id="145" w:name="_Toc353960256"/>
      <w:bookmarkStart w:id="146" w:name="_Toc290846280"/>
      <w:r w:rsidRPr="00BF4EBA">
        <w:rPr>
          <w:lang w:eastAsia="ja-JP"/>
        </w:rPr>
        <w:t>Study AUX-CC-854 and AUX-CC-856</w:t>
      </w:r>
      <w:bookmarkEnd w:id="145"/>
    </w:p>
    <w:p w:rsidR="00516476" w:rsidRDefault="00BF4EBA" w:rsidP="00182B06">
      <w:pPr>
        <w:pStyle w:val="Heading6"/>
        <w:rPr>
          <w:lang w:eastAsia="ja-JP"/>
        </w:rPr>
      </w:pPr>
      <w:r w:rsidRPr="00BF4EBA">
        <w:rPr>
          <w:lang w:eastAsia="ja-JP"/>
        </w:rPr>
        <w:t xml:space="preserve">Design and </w:t>
      </w:r>
      <w:r w:rsidR="00182B06">
        <w:rPr>
          <w:lang w:eastAsia="ja-JP"/>
        </w:rPr>
        <w:t>m</w:t>
      </w:r>
      <w:r w:rsidRPr="00BF4EBA">
        <w:rPr>
          <w:lang w:eastAsia="ja-JP"/>
        </w:rPr>
        <w:t>ethods</w:t>
      </w:r>
    </w:p>
    <w:p w:rsidR="00BF4EBA" w:rsidRPr="00BF4EBA" w:rsidRDefault="00BF4EBA" w:rsidP="00182B06">
      <w:pPr>
        <w:rPr>
          <w:lang w:eastAsia="ja-JP"/>
        </w:rPr>
      </w:pPr>
      <w:r w:rsidRPr="00BF4EBA">
        <w:rPr>
          <w:lang w:eastAsia="ja-JP"/>
        </w:rPr>
        <w:t xml:space="preserve">Study AUX-CC-854 and 856 were </w:t>
      </w:r>
      <w:r w:rsidR="00F560BE">
        <w:rPr>
          <w:lang w:eastAsia="ja-JP"/>
        </w:rPr>
        <w:t>Phase I</w:t>
      </w:r>
      <w:r w:rsidRPr="00BF4EBA">
        <w:rPr>
          <w:lang w:eastAsia="ja-JP"/>
        </w:rPr>
        <w:t>II, nine month, open label efficacy and safety studies of up to five injections (maximum 3 per joint) of AA4500 0.58 mg in reducing the degree of contracture in multiple joints of subjects wit</w:t>
      </w:r>
      <w:r w:rsidR="00936DD6">
        <w:rPr>
          <w:lang w:eastAsia="ja-JP"/>
        </w:rPr>
        <w:t xml:space="preserve">h advanced </w:t>
      </w:r>
      <w:proofErr w:type="spellStart"/>
      <w:r w:rsidR="00936DD6">
        <w:rPr>
          <w:lang w:eastAsia="ja-JP"/>
        </w:rPr>
        <w:t>Dupuytren's</w:t>
      </w:r>
      <w:proofErr w:type="spellEnd"/>
      <w:r w:rsidR="00936DD6">
        <w:rPr>
          <w:lang w:eastAsia="ja-JP"/>
        </w:rPr>
        <w:t xml:space="preserve"> disease. </w:t>
      </w:r>
      <w:r w:rsidRPr="00BF4EBA">
        <w:rPr>
          <w:lang w:eastAsia="ja-JP"/>
        </w:rPr>
        <w:t xml:space="preserve">Study 854 was conducted between September 2007 and December 2008 at 12 sites in Europe and 8 in Australia and enrolled 386 subjects. Study 856 was conducted between October 2007 and October 2008 at 14 sites in the US and enrolled 201 subjects. </w:t>
      </w:r>
    </w:p>
    <w:p w:rsidR="00BF4EBA" w:rsidRPr="00BF4EBA" w:rsidRDefault="00BF4EBA" w:rsidP="00182B06">
      <w:pPr>
        <w:rPr>
          <w:lang w:eastAsia="ja-JP"/>
        </w:rPr>
      </w:pPr>
      <w:r w:rsidRPr="00BF4EBA">
        <w:rPr>
          <w:lang w:eastAsia="ja-JP"/>
        </w:rPr>
        <w:t xml:space="preserve">The inclusion and exclusion criteria were the same as previous studies. Subjects needed to be naive to AA4500 or could have received 1 or 2 injections in </w:t>
      </w:r>
      <w:r w:rsidR="00936DD6">
        <w:rPr>
          <w:lang w:eastAsia="ja-JP"/>
        </w:rPr>
        <w:t>S</w:t>
      </w:r>
      <w:r w:rsidRPr="00BF4EBA">
        <w:rPr>
          <w:lang w:eastAsia="ja-JP"/>
        </w:rPr>
        <w:t>tudies AUX-CC-851, 853 or 855. Treatment and cord disruption was the same as in previously discussed studies. Efficacy analyses were on the ITT population and the primary endpoint was the reduction in contracture to 5° or less after the last injection. The sample size for both studies was chosen for the provision of safety data.</w:t>
      </w:r>
    </w:p>
    <w:p w:rsidR="00BF4EBA" w:rsidRPr="00BF4EBA" w:rsidRDefault="00BF4EBA" w:rsidP="00182B06">
      <w:pPr>
        <w:rPr>
          <w:lang w:eastAsia="ja-JP"/>
        </w:rPr>
      </w:pPr>
      <w:r w:rsidRPr="00BF4EBA">
        <w:rPr>
          <w:lang w:eastAsia="ja-JP"/>
        </w:rPr>
        <w:t xml:space="preserve">There were four protocol amendments (three dated prior to study commencement) in </w:t>
      </w:r>
      <w:r w:rsidR="00F560BE">
        <w:rPr>
          <w:lang w:eastAsia="ja-JP"/>
        </w:rPr>
        <w:t>Study 85</w:t>
      </w:r>
      <w:r w:rsidRPr="00BF4EBA">
        <w:rPr>
          <w:lang w:eastAsia="ja-JP"/>
        </w:rPr>
        <w:t xml:space="preserve">4 and two amendments in </w:t>
      </w:r>
      <w:r w:rsidR="00F560BE">
        <w:rPr>
          <w:lang w:eastAsia="ja-JP"/>
        </w:rPr>
        <w:t>Study 85</w:t>
      </w:r>
      <w:r w:rsidRPr="00BF4EBA">
        <w:rPr>
          <w:lang w:eastAsia="ja-JP"/>
        </w:rPr>
        <w:t>6. In these, numerous changes were made to further delineate inclusion/exclusion criteria and study assessments. These changes brought the protocols more in line with those of subsequent studies.</w:t>
      </w:r>
    </w:p>
    <w:p w:rsidR="00936DD6" w:rsidRDefault="00BF4EBA" w:rsidP="00182B06">
      <w:pPr>
        <w:pStyle w:val="Heading6"/>
        <w:rPr>
          <w:lang w:eastAsia="ja-JP"/>
        </w:rPr>
      </w:pPr>
      <w:r w:rsidRPr="00BF4EBA">
        <w:rPr>
          <w:lang w:eastAsia="ja-JP"/>
        </w:rPr>
        <w:t>Results</w:t>
      </w:r>
    </w:p>
    <w:p w:rsidR="00BF4EBA" w:rsidRPr="00BF4EBA" w:rsidRDefault="00BF4EBA" w:rsidP="00182B06">
      <w:pPr>
        <w:rPr>
          <w:lang w:eastAsia="ja-JP"/>
        </w:rPr>
      </w:pPr>
      <w:r w:rsidRPr="00BF4EBA">
        <w:rPr>
          <w:lang w:eastAsia="ja-JP"/>
        </w:rPr>
        <w:t xml:space="preserve">There were 386 and 201 subjects included in </w:t>
      </w:r>
      <w:r w:rsidR="00936DD6">
        <w:rPr>
          <w:lang w:eastAsia="ja-JP"/>
        </w:rPr>
        <w:t>S</w:t>
      </w:r>
      <w:r w:rsidRPr="00BF4EBA">
        <w:rPr>
          <w:lang w:eastAsia="ja-JP"/>
        </w:rPr>
        <w:t xml:space="preserve">tudies 854 and 856, respectively, with 92.7% and 83.6%, respectively, who completed the nine month study period. The main reasons for premature discontinuation were consent withdrawal (1.8% and 8.5%) and lost to follow up (3.4% and 5.0%) while adverse events were an infrequent reason (0.8% and 0.5%). There were 589 and 293 cords treated with most subjects having one or two treated (89% and 93%). The rate of significant protocol deviations was moderately high (25% in </w:t>
      </w:r>
      <w:r w:rsidR="00F560BE">
        <w:rPr>
          <w:lang w:eastAsia="ja-JP"/>
        </w:rPr>
        <w:t>Study 85</w:t>
      </w:r>
      <w:r w:rsidRPr="00BF4EBA">
        <w:rPr>
          <w:lang w:eastAsia="ja-JP"/>
        </w:rPr>
        <w:t xml:space="preserve">4 and 33% in </w:t>
      </w:r>
      <w:r w:rsidR="00F560BE">
        <w:rPr>
          <w:lang w:eastAsia="ja-JP"/>
        </w:rPr>
        <w:t>Study 85</w:t>
      </w:r>
      <w:r w:rsidRPr="00BF4EBA">
        <w:rPr>
          <w:lang w:eastAsia="ja-JP"/>
        </w:rPr>
        <w:t xml:space="preserve">6). This included two subjects in </w:t>
      </w:r>
      <w:r w:rsidR="00F560BE">
        <w:rPr>
          <w:lang w:eastAsia="ja-JP"/>
        </w:rPr>
        <w:t>Study 85</w:t>
      </w:r>
      <w:r w:rsidRPr="00BF4EBA">
        <w:rPr>
          <w:lang w:eastAsia="ja-JP"/>
        </w:rPr>
        <w:t xml:space="preserve">4 and one in </w:t>
      </w:r>
      <w:r w:rsidR="00F560BE">
        <w:rPr>
          <w:lang w:eastAsia="ja-JP"/>
        </w:rPr>
        <w:t>Study 85</w:t>
      </w:r>
      <w:r w:rsidRPr="00BF4EBA">
        <w:rPr>
          <w:lang w:eastAsia="ja-JP"/>
        </w:rPr>
        <w:t xml:space="preserve">6, who were enrolled in the study despite ineligible joints but were excluded from the efficacy analysis. Subjects were White (100%), male (87% and 82%), with a mean age of 63-65 years and, on average, 2.7-2.8 joints affected. There were 42% and 31% of subjects in </w:t>
      </w:r>
      <w:r w:rsidR="00F560BE">
        <w:rPr>
          <w:lang w:eastAsia="ja-JP"/>
        </w:rPr>
        <w:t>Study 85</w:t>
      </w:r>
      <w:r w:rsidRPr="00BF4EBA">
        <w:rPr>
          <w:lang w:eastAsia="ja-JP"/>
        </w:rPr>
        <w:t>4 and 856, respectively, who had received prior surgical treatment.</w:t>
      </w:r>
    </w:p>
    <w:p w:rsidR="00BF4EBA" w:rsidRDefault="00BF4EBA" w:rsidP="00182B06">
      <w:pPr>
        <w:rPr>
          <w:lang w:eastAsia="ja-JP"/>
        </w:rPr>
      </w:pPr>
      <w:r w:rsidRPr="00BF4EBA">
        <w:rPr>
          <w:lang w:eastAsia="ja-JP"/>
        </w:rPr>
        <w:t xml:space="preserve">In </w:t>
      </w:r>
      <w:r w:rsidR="00F560BE">
        <w:rPr>
          <w:lang w:eastAsia="ja-JP"/>
        </w:rPr>
        <w:t>Study 85</w:t>
      </w:r>
      <w:r w:rsidRPr="00BF4EBA">
        <w:rPr>
          <w:lang w:eastAsia="ja-JP"/>
        </w:rPr>
        <w:t>4, 70.8% of MP joints and 41.0% of PIP joints (58.4% overall) had a reduction of contracture to 5° or less after the last injection (</w:t>
      </w:r>
      <w:r w:rsidRPr="000F67C4">
        <w:rPr>
          <w:lang w:eastAsia="ja-JP"/>
        </w:rPr>
        <w:t>Table</w:t>
      </w:r>
      <w:r w:rsidR="0067444B">
        <w:rPr>
          <w:lang w:eastAsia="ja-JP"/>
        </w:rPr>
        <w:t xml:space="preserve"> </w:t>
      </w:r>
      <w:r w:rsidR="000F67C4" w:rsidRPr="000F67C4">
        <w:rPr>
          <w:lang w:eastAsia="ja-JP"/>
        </w:rPr>
        <w:t>15</w:t>
      </w:r>
      <w:r w:rsidRPr="000F67C4">
        <w:rPr>
          <w:lang w:eastAsia="ja-JP"/>
        </w:rPr>
        <w:t xml:space="preserve">). The average number of injections given was 1.4. In </w:t>
      </w:r>
      <w:r w:rsidR="00F560BE" w:rsidRPr="000F67C4">
        <w:rPr>
          <w:lang w:eastAsia="ja-JP"/>
        </w:rPr>
        <w:t>Study 85</w:t>
      </w:r>
      <w:r w:rsidRPr="000F67C4">
        <w:rPr>
          <w:lang w:eastAsia="ja-JP"/>
        </w:rPr>
        <w:t xml:space="preserve">6, with the same mean injection number results were slightly lower with 67.0% of MP and 26.9% of PIP joints (52.7% overall) achieving clinical success (Table </w:t>
      </w:r>
      <w:r w:rsidR="000F67C4" w:rsidRPr="000F67C4">
        <w:rPr>
          <w:lang w:eastAsia="ja-JP"/>
        </w:rPr>
        <w:t>16</w:t>
      </w:r>
      <w:r w:rsidRPr="000F67C4">
        <w:rPr>
          <w:lang w:eastAsia="ja-JP"/>
        </w:rPr>
        <w:t>).</w:t>
      </w:r>
      <w:r w:rsidRPr="00BF4EBA">
        <w:rPr>
          <w:lang w:eastAsia="ja-JP"/>
        </w:rPr>
        <w:t xml:space="preserve"> As with previous studies, the clinical success was greater in the less severely contracted MP and PIP joints that the more severely contracted</w:t>
      </w:r>
      <w:r w:rsidRPr="00BF4EBA">
        <w:rPr>
          <w:vertAlign w:val="superscript"/>
          <w:lang w:eastAsia="ja-JP"/>
        </w:rPr>
        <w:footnoteReference w:id="6"/>
      </w:r>
      <w:r w:rsidRPr="00BF4EBA">
        <w:rPr>
          <w:lang w:eastAsia="ja-JP"/>
        </w:rPr>
        <w:t xml:space="preserve"> (</w:t>
      </w:r>
      <w:r w:rsidR="00F560BE">
        <w:rPr>
          <w:lang w:eastAsia="ja-JP"/>
        </w:rPr>
        <w:t>Study 85</w:t>
      </w:r>
      <w:r w:rsidRPr="00BF4EBA">
        <w:rPr>
          <w:lang w:eastAsia="ja-JP"/>
        </w:rPr>
        <w:t>4: 76.1%</w:t>
      </w:r>
      <w:r w:rsidR="00CD48FD">
        <w:rPr>
          <w:lang w:eastAsia="ja-JP"/>
        </w:rPr>
        <w:t xml:space="preserve"> versus </w:t>
      </w:r>
      <w:r w:rsidRPr="00BF4EBA">
        <w:rPr>
          <w:lang w:eastAsia="ja-JP"/>
        </w:rPr>
        <w:t xml:space="preserve">31.5%, </w:t>
      </w:r>
      <w:r w:rsidR="00F560BE">
        <w:rPr>
          <w:lang w:eastAsia="ja-JP"/>
        </w:rPr>
        <w:t>Study 85</w:t>
      </w:r>
      <w:r w:rsidRPr="00BF4EBA">
        <w:rPr>
          <w:lang w:eastAsia="ja-JP"/>
        </w:rPr>
        <w:t>6: 66.1%</w:t>
      </w:r>
      <w:r w:rsidR="00CD48FD">
        <w:rPr>
          <w:lang w:eastAsia="ja-JP"/>
        </w:rPr>
        <w:t xml:space="preserve"> versus </w:t>
      </w:r>
      <w:r w:rsidRPr="00BF4EBA">
        <w:rPr>
          <w:lang w:eastAsia="ja-JP"/>
        </w:rPr>
        <w:t xml:space="preserve">29.2%). Efficacy was seen across all four digits, although there were few index fingers affected. Achievement of contracture reduction to </w:t>
      </w:r>
      <w:r w:rsidR="000F67C4">
        <w:rPr>
          <w:lang w:eastAsia="ja-JP"/>
        </w:rPr>
        <w:t>≤</w:t>
      </w:r>
      <w:r w:rsidRPr="00BF4EBA">
        <w:rPr>
          <w:lang w:eastAsia="ja-JP"/>
        </w:rPr>
        <w:t>5° occurred after the first injection in 55-60% of MP and 19-32% of PIP joints. Failure to achieve clinical success after 3 injections occurred in 6.1-6.9% of MP and 9.8-22.1% of PIP joints in the two studies. Failure to achieve clinical success without having 3 injections occurred in 23.0-26.1% of MP and 49.2-51.2% of PIP joints. Again the main reason was not having a palpable cord to injection. In these subjects not achieving contracture reduction, the mean change from baseline in degree of contracture was 48.4% for MP and</w:t>
      </w:r>
      <w:r w:rsidR="00516476">
        <w:rPr>
          <w:lang w:eastAsia="ja-JP"/>
        </w:rPr>
        <w:t xml:space="preserve"> </w:t>
      </w:r>
      <w:r w:rsidRPr="00BF4EBA">
        <w:rPr>
          <w:lang w:eastAsia="ja-JP"/>
        </w:rPr>
        <w:t xml:space="preserve">20.5% for PIP joints in </w:t>
      </w:r>
      <w:r w:rsidR="00F560BE">
        <w:rPr>
          <w:lang w:eastAsia="ja-JP"/>
        </w:rPr>
        <w:t>Study 85</w:t>
      </w:r>
      <w:r w:rsidRPr="00BF4EBA">
        <w:rPr>
          <w:lang w:eastAsia="ja-JP"/>
        </w:rPr>
        <w:t xml:space="preserve">4 and 55.3% for MP and 39.2% for PIP joints </w:t>
      </w:r>
      <w:r w:rsidRPr="00BF4EBA">
        <w:rPr>
          <w:lang w:eastAsia="ja-JP"/>
        </w:rPr>
        <w:lastRenderedPageBreak/>
        <w:t xml:space="preserve">in </w:t>
      </w:r>
      <w:r w:rsidR="00F560BE">
        <w:rPr>
          <w:lang w:eastAsia="ja-JP"/>
        </w:rPr>
        <w:t>Study 85</w:t>
      </w:r>
      <w:r w:rsidRPr="00BF4EBA">
        <w:rPr>
          <w:lang w:eastAsia="ja-JP"/>
        </w:rPr>
        <w:t xml:space="preserve">6. The clinical improvement rate for all joints was 78.9% and 71.6% in </w:t>
      </w:r>
      <w:r w:rsidR="00F560BE">
        <w:rPr>
          <w:lang w:eastAsia="ja-JP"/>
        </w:rPr>
        <w:t>Study 85</w:t>
      </w:r>
      <w:r w:rsidRPr="00BF4EBA">
        <w:rPr>
          <w:lang w:eastAsia="ja-JP"/>
        </w:rPr>
        <w:t xml:space="preserve">4 and 856, respectively. This was associated with an improved range of motion of 30.7° and 28.3°, respectively, for all joints. </w:t>
      </w:r>
    </w:p>
    <w:p w:rsidR="00182B06" w:rsidRDefault="000F67C4" w:rsidP="00182B06">
      <w:pPr>
        <w:pStyle w:val="TableTitle"/>
      </w:pPr>
      <w:bookmarkStart w:id="147" w:name="_Ref343675810"/>
      <w:bookmarkStart w:id="148" w:name="_Toc353960373"/>
      <w:r w:rsidRPr="000F67C4">
        <w:t xml:space="preserve">Table 15. </w:t>
      </w:r>
      <w:bookmarkEnd w:id="147"/>
      <w:bookmarkEnd w:id="148"/>
      <w:r w:rsidRPr="000F67C4">
        <w:t>AUX-CC-854</w:t>
      </w:r>
      <w:r>
        <w:rPr>
          <w:lang w:eastAsia="ja-JP"/>
        </w:rPr>
        <w:t xml:space="preserve">. </w:t>
      </w:r>
      <w:r w:rsidRPr="007F1609">
        <w:t xml:space="preserve">Reduction in contracture to 5 degrees or less </w:t>
      </w:r>
      <w:r>
        <w:t>after the First and Last injection of AA4500: Overall and by Joint Type. All Join</w:t>
      </w:r>
      <w:r w:rsidR="00182B06">
        <w:t>ts treated with AA4500 0.58 mg.</w:t>
      </w:r>
    </w:p>
    <w:p w:rsidR="000F67C4" w:rsidRPr="000F67C4" w:rsidRDefault="000F67C4" w:rsidP="00182B06">
      <w:pPr>
        <w:rPr>
          <w:lang w:eastAsia="ja-JP"/>
        </w:rPr>
      </w:pPr>
      <w:r w:rsidRPr="000F67C4">
        <w:rPr>
          <w:noProof/>
          <w:lang w:eastAsia="en-AU"/>
        </w:rPr>
        <w:drawing>
          <wp:inline distT="0" distB="0" distL="0" distR="0">
            <wp:extent cx="5505450" cy="3333750"/>
            <wp:effectExtent l="19050" t="0" r="0" b="0"/>
            <wp:docPr id="35" name="Picture 73" descr="Table 15. AUX-CC-854. Reduction in contracture to 5 degrees or less after the First and Last injection of AA4500: Overall and by Joint Type. All Joints treated with AA4500 0.58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duotone>
                        <a:prstClr val="black"/>
                        <a:schemeClr val="bg1">
                          <a:tint val="45000"/>
                          <a:satMod val="400000"/>
                        </a:schemeClr>
                      </a:duotone>
                    </a:blip>
                    <a:srcRect l="1996" t="1645" r="1841" b="2411"/>
                    <a:stretch>
                      <a:fillRect/>
                    </a:stretch>
                  </pic:blipFill>
                  <pic:spPr bwMode="auto">
                    <a:xfrm>
                      <a:off x="0" y="0"/>
                      <a:ext cx="5505450" cy="3333750"/>
                    </a:xfrm>
                    <a:prstGeom prst="rect">
                      <a:avLst/>
                    </a:prstGeom>
                    <a:noFill/>
                    <a:ln w="9525">
                      <a:noFill/>
                      <a:miter lim="800000"/>
                      <a:headEnd/>
                      <a:tailEnd/>
                    </a:ln>
                  </pic:spPr>
                </pic:pic>
              </a:graphicData>
            </a:graphic>
          </wp:inline>
        </w:drawing>
      </w:r>
    </w:p>
    <w:p w:rsidR="00182B06" w:rsidRDefault="000F67C4" w:rsidP="00182B06">
      <w:pPr>
        <w:pStyle w:val="TableTitle"/>
      </w:pPr>
      <w:bookmarkStart w:id="149" w:name="_Ref343675813"/>
      <w:bookmarkStart w:id="150" w:name="_Toc353960374"/>
      <w:r w:rsidRPr="000F67C4">
        <w:rPr>
          <w:iCs/>
          <w:lang w:eastAsia="ja-JP"/>
        </w:rPr>
        <w:t xml:space="preserve">Table </w:t>
      </w:r>
      <w:bookmarkEnd w:id="149"/>
      <w:bookmarkEnd w:id="150"/>
      <w:r>
        <w:rPr>
          <w:iCs/>
          <w:lang w:eastAsia="ja-JP"/>
        </w:rPr>
        <w:t xml:space="preserve">16. </w:t>
      </w:r>
      <w:r w:rsidRPr="000F67C4">
        <w:rPr>
          <w:lang w:eastAsia="ja-JP"/>
        </w:rPr>
        <w:t>AUX-CC-856</w:t>
      </w:r>
      <w:r>
        <w:rPr>
          <w:lang w:eastAsia="ja-JP"/>
        </w:rPr>
        <w:t>. R</w:t>
      </w:r>
      <w:r w:rsidRPr="007F1609">
        <w:t xml:space="preserve">eduction in contracture to 5 degrees or less </w:t>
      </w:r>
      <w:r>
        <w:t>after the First and Last injection of AA4500: Overall and by Joint Type. All Joints treated with AA4500 0.58 mg.</w:t>
      </w:r>
    </w:p>
    <w:p w:rsidR="000F67C4" w:rsidRDefault="000F67C4" w:rsidP="00182B06">
      <w:r w:rsidRPr="000F67C4">
        <w:rPr>
          <w:noProof/>
          <w:lang w:eastAsia="en-AU"/>
        </w:rPr>
        <w:drawing>
          <wp:inline distT="0" distB="0" distL="0" distR="0">
            <wp:extent cx="5573395" cy="3429000"/>
            <wp:effectExtent l="19050" t="0" r="8255" b="0"/>
            <wp:docPr id="38" name="Picture 75" descr="Table 16. AUX-CC-856. Reduction in contracture to 5 degrees or less after the First and Last injection of AA4500: Overall and by Joint Type. All Joints treated with AA4500 0.58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duotone>
                        <a:prstClr val="black"/>
                        <a:schemeClr val="bg1">
                          <a:tint val="45000"/>
                          <a:satMod val="400000"/>
                        </a:schemeClr>
                      </a:duotone>
                    </a:blip>
                    <a:srcRect l="1163" t="1370" r="1639"/>
                    <a:stretch>
                      <a:fillRect/>
                    </a:stretch>
                  </pic:blipFill>
                  <pic:spPr bwMode="auto">
                    <a:xfrm>
                      <a:off x="0" y="0"/>
                      <a:ext cx="5573395" cy="3429000"/>
                    </a:xfrm>
                    <a:prstGeom prst="rect">
                      <a:avLst/>
                    </a:prstGeom>
                    <a:noFill/>
                    <a:ln w="9525">
                      <a:noFill/>
                      <a:miter lim="800000"/>
                      <a:headEnd/>
                      <a:tailEnd/>
                    </a:ln>
                  </pic:spPr>
                </pic:pic>
              </a:graphicData>
            </a:graphic>
          </wp:inline>
        </w:drawing>
      </w:r>
    </w:p>
    <w:p w:rsidR="00BF4EBA" w:rsidRPr="00BF4EBA" w:rsidRDefault="000F67C4" w:rsidP="00182B06">
      <w:pPr>
        <w:rPr>
          <w:lang w:eastAsia="ja-JP"/>
        </w:rPr>
      </w:pPr>
      <w:r>
        <w:rPr>
          <w:lang w:eastAsia="ja-JP"/>
        </w:rPr>
        <w:t>I</w:t>
      </w:r>
      <w:r w:rsidR="00BF4EBA" w:rsidRPr="00BF4EBA">
        <w:rPr>
          <w:lang w:eastAsia="ja-JP"/>
        </w:rPr>
        <w:t xml:space="preserve">n </w:t>
      </w:r>
      <w:r w:rsidR="00F560BE">
        <w:rPr>
          <w:lang w:eastAsia="ja-JP"/>
        </w:rPr>
        <w:t>Study 85</w:t>
      </w:r>
      <w:r w:rsidR="00BF4EBA" w:rsidRPr="00BF4EBA">
        <w:rPr>
          <w:lang w:eastAsia="ja-JP"/>
        </w:rPr>
        <w:t>4, eight of 323 joints (2.3%) ha</w:t>
      </w:r>
      <w:r>
        <w:rPr>
          <w:lang w:eastAsia="ja-JP"/>
        </w:rPr>
        <w:t>d</w:t>
      </w:r>
      <w:r w:rsidR="00BF4EBA" w:rsidRPr="00BF4EBA">
        <w:rPr>
          <w:lang w:eastAsia="ja-JP"/>
        </w:rPr>
        <w:t xml:space="preserve"> a recurrence of contracture</w:t>
      </w:r>
      <w:r>
        <w:rPr>
          <w:lang w:eastAsia="ja-JP"/>
        </w:rPr>
        <w:t>;</w:t>
      </w:r>
      <w:r w:rsidR="00BF4EBA" w:rsidRPr="00BF4EBA">
        <w:rPr>
          <w:lang w:eastAsia="ja-JP"/>
        </w:rPr>
        <w:t xml:space="preserve"> three at the MP and five at the PIP joint. In </w:t>
      </w:r>
      <w:r w:rsidR="00F560BE">
        <w:rPr>
          <w:lang w:eastAsia="ja-JP"/>
        </w:rPr>
        <w:t>Study 85</w:t>
      </w:r>
      <w:r w:rsidR="00BF4EBA" w:rsidRPr="00BF4EBA">
        <w:rPr>
          <w:lang w:eastAsia="ja-JP"/>
        </w:rPr>
        <w:t>6, there were 11/154 (7.1%) recurrences</w:t>
      </w:r>
      <w:r>
        <w:rPr>
          <w:lang w:eastAsia="ja-JP"/>
        </w:rPr>
        <w:t>;</w:t>
      </w:r>
      <w:r w:rsidR="00BF4EBA" w:rsidRPr="00BF4EBA">
        <w:rPr>
          <w:lang w:eastAsia="ja-JP"/>
        </w:rPr>
        <w:t xml:space="preserve"> eight at the PIP joint, two at the MP joint and one at both the MP and PIP joints.</w:t>
      </w:r>
    </w:p>
    <w:p w:rsidR="000F67C4" w:rsidRDefault="00BF4EBA" w:rsidP="00182B06">
      <w:pPr>
        <w:pStyle w:val="Heading6"/>
        <w:rPr>
          <w:lang w:eastAsia="ja-JP"/>
        </w:rPr>
      </w:pPr>
      <w:r w:rsidRPr="00BF4EBA">
        <w:rPr>
          <w:lang w:eastAsia="ja-JP"/>
        </w:rPr>
        <w:lastRenderedPageBreak/>
        <w:t>Summary</w:t>
      </w:r>
    </w:p>
    <w:p w:rsidR="00BF4EBA" w:rsidRPr="00BF4EBA" w:rsidRDefault="00BF4EBA" w:rsidP="006C28FB">
      <w:pPr>
        <w:rPr>
          <w:lang w:eastAsia="ja-JP"/>
        </w:rPr>
      </w:pPr>
      <w:r w:rsidRPr="00BF4EBA">
        <w:rPr>
          <w:lang w:eastAsia="ja-JP"/>
        </w:rPr>
        <w:t xml:space="preserve"> Studies AUX-CC-854 and 856 were nine month open label studies where subjects could receive up to five injections with a maximum of three per joint. There were 386 and 201 subjects who had 589 and 293 cords treated, respectively. Efficacy results were consistent with the pivotal trials with a reduction of contracture to 5° or less being achieved in 67-71% of MP joints and 27-41% of PIP joints with a greater response in the less severely contracted joints. Failure to achieve the defined response was again frequently associated with not having received three injections. The recurrence rate ranged from 2.3% to 7.1% and was more frequent at the PIP joint.</w:t>
      </w:r>
    </w:p>
    <w:p w:rsidR="00BF4EBA" w:rsidRPr="00BF4EBA" w:rsidRDefault="008208D2" w:rsidP="006C28FB">
      <w:pPr>
        <w:pStyle w:val="Heading5"/>
        <w:rPr>
          <w:lang w:eastAsia="ja-JP"/>
        </w:rPr>
      </w:pPr>
      <w:bookmarkStart w:id="151" w:name="_Toc353960257"/>
      <w:r>
        <w:rPr>
          <w:lang w:eastAsia="ja-JP"/>
        </w:rPr>
        <w:t>Study DUPY</w:t>
      </w:r>
      <w:r w:rsidR="00BF4EBA" w:rsidRPr="00BF4EBA">
        <w:rPr>
          <w:lang w:eastAsia="ja-JP"/>
        </w:rPr>
        <w:t>-303 and DUPY-404</w:t>
      </w:r>
      <w:bookmarkEnd w:id="151"/>
    </w:p>
    <w:p w:rsidR="000F67C4" w:rsidRDefault="00BF4EBA" w:rsidP="006C28FB">
      <w:pPr>
        <w:pStyle w:val="Heading6"/>
        <w:rPr>
          <w:lang w:eastAsia="ja-JP"/>
        </w:rPr>
      </w:pPr>
      <w:r w:rsidRPr="00BF4EBA">
        <w:rPr>
          <w:lang w:eastAsia="ja-JP"/>
        </w:rPr>
        <w:t>Methods</w:t>
      </w:r>
    </w:p>
    <w:p w:rsidR="00BF4EBA" w:rsidRPr="00BF4EBA" w:rsidRDefault="000F67C4" w:rsidP="006C28FB">
      <w:pPr>
        <w:rPr>
          <w:lang w:eastAsia="ja-JP"/>
        </w:rPr>
      </w:pPr>
      <w:r>
        <w:rPr>
          <w:lang w:eastAsia="ja-JP"/>
        </w:rPr>
        <w:t>DUPY-303 was a P</w:t>
      </w:r>
      <w:r w:rsidR="00BF4EBA" w:rsidRPr="00BF4EBA">
        <w:rPr>
          <w:lang w:eastAsia="ja-JP"/>
        </w:rPr>
        <w:t xml:space="preserve">hase </w:t>
      </w:r>
      <w:r>
        <w:rPr>
          <w:lang w:eastAsia="ja-JP"/>
        </w:rPr>
        <w:t>III</w:t>
      </w:r>
      <w:r w:rsidR="00BF4EBA" w:rsidRPr="00BF4EBA">
        <w:rPr>
          <w:lang w:eastAsia="ja-JP"/>
        </w:rPr>
        <w:t xml:space="preserve">, double blind, randomised, placebo controlled, single-centre, study, conducted in the US between June 2003 and August 2005. Its primary objective was the assessment of efficacy and safety of AA4500 injections in reducing the degree of contracture in the primary affected joint of subjects with </w:t>
      </w:r>
      <w:proofErr w:type="spellStart"/>
      <w:r w:rsidR="00BF4EBA" w:rsidRPr="00BF4EBA">
        <w:rPr>
          <w:lang w:eastAsia="ja-JP"/>
        </w:rPr>
        <w:t>Dupuytren's</w:t>
      </w:r>
      <w:proofErr w:type="spellEnd"/>
      <w:r w:rsidR="00BF4EBA" w:rsidRPr="00BF4EBA">
        <w:rPr>
          <w:lang w:eastAsia="ja-JP"/>
        </w:rPr>
        <w:t xml:space="preserve"> disease, with the secondary objective being that of the secondary and tertiary affected joints. Subjects who had achieved clinical response could then be followed for up to 5 years. DUPY-404 was an open label, single-arm, five year extension study of DUPY-303 and enrolled subjects who had not achieved clinical success or who had other joints eligible for treatment. </w:t>
      </w:r>
    </w:p>
    <w:p w:rsidR="00BF4EBA" w:rsidRPr="00BF4EBA" w:rsidRDefault="00BF4EBA" w:rsidP="006C28FB">
      <w:pPr>
        <w:rPr>
          <w:lang w:eastAsia="ja-JP"/>
        </w:rPr>
      </w:pPr>
      <w:r w:rsidRPr="00BF4EBA">
        <w:rPr>
          <w:lang w:eastAsia="ja-JP"/>
        </w:rPr>
        <w:t xml:space="preserve">The primary efficacy endpoint was clinical success (as previously defined) at the target MP or PIP joint. Inclusion and exclusion criteria were slightly broader than later trials. Subjects needed to have </w:t>
      </w:r>
      <w:proofErr w:type="spellStart"/>
      <w:r w:rsidRPr="00BF4EBA">
        <w:rPr>
          <w:lang w:eastAsia="ja-JP"/>
        </w:rPr>
        <w:t>Dupuytren's</w:t>
      </w:r>
      <w:proofErr w:type="spellEnd"/>
      <w:r w:rsidRPr="00BF4EBA">
        <w:rPr>
          <w:lang w:eastAsia="ja-JP"/>
        </w:rPr>
        <w:t xml:space="preserve"> disease with a fixed-flexion deformity of the finger(s) of at least 20 degrees, caused by a palpable cord, and a positive "table-top test”. Exclusion criteria were surgery for </w:t>
      </w:r>
      <w:proofErr w:type="spellStart"/>
      <w:r w:rsidRPr="00BF4EBA">
        <w:rPr>
          <w:lang w:eastAsia="ja-JP"/>
        </w:rPr>
        <w:t>Dupuytren's</w:t>
      </w:r>
      <w:proofErr w:type="spellEnd"/>
      <w:r w:rsidRPr="00BF4EBA">
        <w:rPr>
          <w:lang w:eastAsia="ja-JP"/>
        </w:rPr>
        <w:t xml:space="preserve"> disease within past 30 days, allergy to doxycycline and medical conditions making them unsuitable for the trial.</w:t>
      </w:r>
    </w:p>
    <w:p w:rsidR="00BF4EBA" w:rsidRPr="00BF4EBA" w:rsidRDefault="00BF4EBA" w:rsidP="006C28FB">
      <w:pPr>
        <w:rPr>
          <w:lang w:eastAsia="ja-JP"/>
        </w:rPr>
      </w:pPr>
      <w:r w:rsidRPr="00BF4EBA">
        <w:rPr>
          <w:lang w:eastAsia="ja-JP"/>
        </w:rPr>
        <w:t>Treatment was either 0.58 mg (10,000 units) of AA4500 or placebo injected into the cord of the affected joint with randomisation in a 2:1 ratio. Each joint could receive up to 3 injections. If clinical success was achieved prior to 3 injections then the secondary (or tertiary) joint could commence treatment. In the extension study, each subject was allowed up to five injections.</w:t>
      </w:r>
    </w:p>
    <w:p w:rsidR="00BF4EBA" w:rsidRPr="00BF4EBA" w:rsidRDefault="00BF4EBA" w:rsidP="006C28FB">
      <w:pPr>
        <w:rPr>
          <w:lang w:eastAsia="ja-JP"/>
        </w:rPr>
      </w:pPr>
      <w:r w:rsidRPr="00BF4EBA">
        <w:rPr>
          <w:lang w:eastAsia="ja-JP"/>
        </w:rPr>
        <w:t xml:space="preserve">A sample size of 15 MP joints (10 AA4500 and 5 placebo) and 30 PIP joints (20:10) gave the study an 85% power (α=0.05) to detect a difference between active and placebo, assuming a clinical success rate of 90% for MP, 70% for PIP joints treated with AA4500 and 10% for those treated with placebo. A total of 116 subjects were initially planned to assess safety and allowing for dropouts. </w:t>
      </w:r>
    </w:p>
    <w:p w:rsidR="00BF4EBA" w:rsidRPr="00BF4EBA" w:rsidRDefault="00BF4EBA" w:rsidP="006C28FB">
      <w:pPr>
        <w:rPr>
          <w:lang w:eastAsia="ja-JP"/>
        </w:rPr>
      </w:pPr>
      <w:r w:rsidRPr="00BF4EBA">
        <w:rPr>
          <w:lang w:eastAsia="ja-JP"/>
        </w:rPr>
        <w:t xml:space="preserve">The studies were initially sponsored by Advance </w:t>
      </w:r>
      <w:proofErr w:type="spellStart"/>
      <w:r w:rsidRPr="00BF4EBA">
        <w:rPr>
          <w:lang w:eastAsia="ja-JP"/>
        </w:rPr>
        <w:t>Biofactures</w:t>
      </w:r>
      <w:proofErr w:type="spellEnd"/>
      <w:r w:rsidRPr="00BF4EBA">
        <w:rPr>
          <w:lang w:eastAsia="ja-JP"/>
        </w:rPr>
        <w:t xml:space="preserve"> Corporation. With the transition of licensing of AA4500 to </w:t>
      </w:r>
      <w:proofErr w:type="spellStart"/>
      <w:r w:rsidRPr="00BF4EBA">
        <w:rPr>
          <w:lang w:eastAsia="ja-JP"/>
        </w:rPr>
        <w:t>Auxilium</w:t>
      </w:r>
      <w:proofErr w:type="spellEnd"/>
      <w:r w:rsidRPr="00BF4EBA">
        <w:rPr>
          <w:lang w:eastAsia="ja-JP"/>
        </w:rPr>
        <w:t xml:space="preserve"> in late 2004, the study enrolment was prematurely terminated. At this point, the 35 had subjects enrolled in </w:t>
      </w:r>
      <w:r w:rsidR="000F67C4">
        <w:rPr>
          <w:lang w:eastAsia="ja-JP"/>
        </w:rPr>
        <w:t>S</w:t>
      </w:r>
      <w:r w:rsidRPr="00BF4EBA">
        <w:rPr>
          <w:lang w:eastAsia="ja-JP"/>
        </w:rPr>
        <w:t xml:space="preserve">tudy 303 and a subset of 19 in </w:t>
      </w:r>
      <w:r w:rsidR="000F67C4">
        <w:rPr>
          <w:lang w:eastAsia="ja-JP"/>
        </w:rPr>
        <w:t>S</w:t>
      </w:r>
      <w:r w:rsidRPr="00BF4EBA">
        <w:rPr>
          <w:lang w:eastAsia="ja-JP"/>
        </w:rPr>
        <w:t xml:space="preserve">tudy 404. Study follow up was shorter than planned with a median follow up of 401 days (range: 246 to 597) in study 303 and 142 days (range: 128-240) in study 404. </w:t>
      </w:r>
    </w:p>
    <w:p w:rsidR="000F67C4" w:rsidRDefault="00BF4EBA" w:rsidP="006C28FB">
      <w:pPr>
        <w:pStyle w:val="Heading6"/>
        <w:rPr>
          <w:lang w:eastAsia="ja-JP"/>
        </w:rPr>
      </w:pPr>
      <w:r w:rsidRPr="00BF4EBA">
        <w:rPr>
          <w:lang w:eastAsia="ja-JP"/>
        </w:rPr>
        <w:t>Results</w:t>
      </w:r>
    </w:p>
    <w:p w:rsidR="00BF4EBA" w:rsidRPr="00BF4EBA" w:rsidRDefault="00BF4EBA" w:rsidP="006C28FB">
      <w:pPr>
        <w:rPr>
          <w:lang w:eastAsia="ja-JP"/>
        </w:rPr>
      </w:pPr>
      <w:r w:rsidRPr="00BF4EBA">
        <w:rPr>
          <w:lang w:eastAsia="ja-JP"/>
        </w:rPr>
        <w:t>Of 35 subjects randomised, 33 (94.3%) completed the study and 19 en</w:t>
      </w:r>
      <w:r w:rsidR="000F67C4">
        <w:rPr>
          <w:lang w:eastAsia="ja-JP"/>
        </w:rPr>
        <w:t>tered S</w:t>
      </w:r>
      <w:r w:rsidRPr="00BF4EBA">
        <w:rPr>
          <w:lang w:eastAsia="ja-JP"/>
        </w:rPr>
        <w:t xml:space="preserve">tudy 404. The groups were balanced on baseline characteristics. All of the subjects were Caucasian, with an average age of 61.3 years, predominantly male (80%) and 42.9% had previous surgery for </w:t>
      </w:r>
      <w:proofErr w:type="spellStart"/>
      <w:r w:rsidRPr="00BF4EBA">
        <w:rPr>
          <w:lang w:eastAsia="ja-JP"/>
        </w:rPr>
        <w:t>Dupuytren's</w:t>
      </w:r>
      <w:proofErr w:type="spellEnd"/>
      <w:r w:rsidRPr="00BF4EBA">
        <w:rPr>
          <w:lang w:eastAsia="ja-JP"/>
        </w:rPr>
        <w:t xml:space="preserve"> disease. Twenty-one (14:7) and 14 (9:5) subjects had primary MP and PIP joints respectively, with no significant differences between active and placebo groups for baseline characteristics of joints. </w:t>
      </w:r>
    </w:p>
    <w:p w:rsidR="00BF4EBA" w:rsidRPr="00BF4EBA" w:rsidRDefault="00BF4EBA" w:rsidP="00752EDC">
      <w:pPr>
        <w:ind w:left="1418" w:hanging="1418"/>
        <w:rPr>
          <w:lang w:eastAsia="ja-JP"/>
        </w:rPr>
      </w:pPr>
      <w:r w:rsidRPr="00BF4EBA">
        <w:rPr>
          <w:lang w:eastAsia="ja-JP"/>
        </w:rPr>
        <w:lastRenderedPageBreak/>
        <w:t xml:space="preserve">Comment: </w:t>
      </w:r>
      <w:r w:rsidRPr="00BF4EBA">
        <w:rPr>
          <w:lang w:eastAsia="ja-JP"/>
        </w:rPr>
        <w:tab/>
        <w:t>Due to the premature termination of enrolment, the number of affected joints meets the sample size requirement for MP joints but is only half the requirement for PIP joints.</w:t>
      </w:r>
    </w:p>
    <w:p w:rsidR="00BF4EBA" w:rsidRPr="00BF4EBA" w:rsidRDefault="00BF4EBA" w:rsidP="00752EDC">
      <w:pPr>
        <w:rPr>
          <w:lang w:eastAsia="ja-JP"/>
        </w:rPr>
      </w:pPr>
      <w:r w:rsidRPr="00BF4EBA">
        <w:rPr>
          <w:lang w:eastAsia="ja-JP"/>
        </w:rPr>
        <w:t>Clinical success was achieved in 91.3% (21/23) of primary joints after up to 3 injections of AA4500 and 69.6% (16/23) after their first injection, compared to none in the 12 joints that received placebo (p&lt;0.001). The mean number of injections for success was 1.4. The clinical success rate was 85.7% and 100% for primary MP and PIP joints, respectively. The median time to clinical success was 8.0 days after treatment with AA4500. For all primary joints there was a significant improvement in degree of contracture (95.6%</w:t>
      </w:r>
      <w:r w:rsidR="00CD48FD">
        <w:rPr>
          <w:lang w:eastAsia="ja-JP"/>
        </w:rPr>
        <w:t xml:space="preserve"> versus </w:t>
      </w:r>
      <w:r w:rsidRPr="00BF4EBA">
        <w:rPr>
          <w:lang w:eastAsia="ja-JP"/>
        </w:rPr>
        <w:t>0%) and range of motion (150.4%</w:t>
      </w:r>
      <w:r w:rsidR="00CD48FD">
        <w:rPr>
          <w:lang w:eastAsia="ja-JP"/>
        </w:rPr>
        <w:t xml:space="preserve"> versus </w:t>
      </w:r>
      <w:r w:rsidRPr="00BF4EBA">
        <w:rPr>
          <w:lang w:eastAsia="ja-JP"/>
        </w:rPr>
        <w:t xml:space="preserve">4.2) with AA4500. A secondary joint was treated in 9 subjects; 5 of 6 joints treated with AA4500 achieved clinical success after the last injection, while none of 3 treated with placebo did. One tertiary joint was randomised to AA4500 and achieved clinical success after the first injection. In </w:t>
      </w:r>
      <w:r w:rsidR="008208D2">
        <w:rPr>
          <w:lang w:eastAsia="ja-JP"/>
        </w:rPr>
        <w:t>Study DUPY</w:t>
      </w:r>
      <w:r w:rsidRPr="00BF4EBA">
        <w:rPr>
          <w:lang w:eastAsia="ja-JP"/>
        </w:rPr>
        <w:t xml:space="preserve">-404, clinical success was achieved in 87.5% (14/16) of MP joints and 68.4% (13/19) of PIP joints. </w:t>
      </w:r>
    </w:p>
    <w:p w:rsidR="00BF4EBA" w:rsidRPr="00BF4EBA" w:rsidRDefault="00BF4EBA" w:rsidP="00752EDC">
      <w:pPr>
        <w:rPr>
          <w:lang w:eastAsia="ja-JP"/>
        </w:rPr>
      </w:pPr>
      <w:r w:rsidRPr="00BF4EBA">
        <w:rPr>
          <w:lang w:eastAsia="ja-JP"/>
        </w:rPr>
        <w:t>Comment:</w:t>
      </w:r>
      <w:r w:rsidRPr="00BF4EBA">
        <w:rPr>
          <w:lang w:eastAsia="ja-JP"/>
        </w:rPr>
        <w:tab/>
        <w:t>There was no reporting on contracture recurrence.</w:t>
      </w:r>
    </w:p>
    <w:p w:rsidR="000F67C4" w:rsidRDefault="00BF4EBA" w:rsidP="00752EDC">
      <w:pPr>
        <w:pStyle w:val="Heading6"/>
        <w:rPr>
          <w:lang w:eastAsia="ja-JP"/>
        </w:rPr>
      </w:pPr>
      <w:r w:rsidRPr="00BF4EBA">
        <w:rPr>
          <w:lang w:eastAsia="ja-JP"/>
        </w:rPr>
        <w:t>Summary</w:t>
      </w:r>
    </w:p>
    <w:p w:rsidR="00BF4EBA" w:rsidRPr="00BF4EBA" w:rsidRDefault="00BF4EBA" w:rsidP="00752EDC">
      <w:pPr>
        <w:rPr>
          <w:lang w:eastAsia="ja-JP"/>
        </w:rPr>
      </w:pPr>
      <w:r w:rsidRPr="00BF4EBA">
        <w:rPr>
          <w:lang w:eastAsia="ja-JP"/>
        </w:rPr>
        <w:t xml:space="preserve">The enrolment in </w:t>
      </w:r>
      <w:r w:rsidR="008208D2">
        <w:rPr>
          <w:lang w:eastAsia="ja-JP"/>
        </w:rPr>
        <w:t>Study DUPY</w:t>
      </w:r>
      <w:r w:rsidRPr="00BF4EBA">
        <w:rPr>
          <w:lang w:eastAsia="ja-JP"/>
        </w:rPr>
        <w:t xml:space="preserve">-303 and its extension </w:t>
      </w:r>
      <w:r w:rsidR="008208D2">
        <w:rPr>
          <w:lang w:eastAsia="ja-JP"/>
        </w:rPr>
        <w:t>Study DUPY</w:t>
      </w:r>
      <w:r w:rsidRPr="00BF4EBA">
        <w:rPr>
          <w:lang w:eastAsia="ja-JP"/>
        </w:rPr>
        <w:t xml:space="preserve">-404 in non-responders, was prematurely terminated due to change in licensing of AA4500. This resulted in a small sample size (35 and 19 subjects respectively). In the randomised controlled </w:t>
      </w:r>
      <w:r w:rsidR="008208D2">
        <w:rPr>
          <w:lang w:eastAsia="ja-JP"/>
        </w:rPr>
        <w:t>Study DUPY</w:t>
      </w:r>
      <w:r w:rsidRPr="00BF4EBA">
        <w:rPr>
          <w:lang w:eastAsia="ja-JP"/>
        </w:rPr>
        <w:t>-303, there was a suggestion of efficacy with clinical success being achieved in 91.3% of A4500-treated subjects (compared to none in the placebo group) and similarly high rates in the MP and PIP joints (85.7% and 100%, respectively).</w:t>
      </w:r>
    </w:p>
    <w:p w:rsidR="00BF4EBA" w:rsidRPr="00BF4EBA" w:rsidRDefault="00BF4EBA" w:rsidP="00752EDC">
      <w:pPr>
        <w:ind w:left="1418" w:hanging="1418"/>
        <w:rPr>
          <w:lang w:eastAsia="ja-JP"/>
        </w:rPr>
      </w:pPr>
      <w:r w:rsidRPr="00BF4EBA">
        <w:rPr>
          <w:lang w:eastAsia="ja-JP"/>
        </w:rPr>
        <w:t xml:space="preserve">Comment: </w:t>
      </w:r>
      <w:r w:rsidRPr="00BF4EBA">
        <w:rPr>
          <w:lang w:eastAsia="ja-JP"/>
        </w:rPr>
        <w:tab/>
        <w:t>As the study was only conducted at one site, was terminated early, and the sample size was smaller than required to adequately power the study, the evaluator finds that the study provided only limited supportive efficacy evidence.</w:t>
      </w:r>
    </w:p>
    <w:p w:rsidR="00BF4EBA" w:rsidRPr="00BF4EBA" w:rsidRDefault="00BF4EBA" w:rsidP="00752EDC">
      <w:pPr>
        <w:pStyle w:val="Heading5"/>
        <w:rPr>
          <w:lang w:eastAsia="ja-JP"/>
        </w:rPr>
      </w:pPr>
      <w:bookmarkStart w:id="152" w:name="_Toc353960258"/>
      <w:r w:rsidRPr="00BF4EBA">
        <w:rPr>
          <w:lang w:eastAsia="ja-JP"/>
        </w:rPr>
        <w:t>Study AUX-CC-851 and 852</w:t>
      </w:r>
      <w:bookmarkEnd w:id="146"/>
      <w:bookmarkEnd w:id="152"/>
    </w:p>
    <w:p w:rsidR="00BF4EBA" w:rsidRPr="00BF4EBA" w:rsidRDefault="00BF4EBA" w:rsidP="00752EDC">
      <w:pPr>
        <w:rPr>
          <w:lang w:eastAsia="ja-JP"/>
        </w:rPr>
      </w:pPr>
      <w:r w:rsidRPr="00BF4EBA">
        <w:rPr>
          <w:lang w:eastAsia="ja-JP"/>
        </w:rPr>
        <w:t xml:space="preserve">This was a </w:t>
      </w:r>
      <w:r w:rsidR="00F560BE">
        <w:rPr>
          <w:lang w:eastAsia="ja-JP"/>
        </w:rPr>
        <w:t>Phase I</w:t>
      </w:r>
      <w:r w:rsidRPr="00BF4EBA">
        <w:rPr>
          <w:lang w:eastAsia="ja-JP"/>
        </w:rPr>
        <w:t xml:space="preserve">II randomised double-blind, placebo-controlled study of the safety and efficacy of AA44500 in the treatment of </w:t>
      </w:r>
      <w:proofErr w:type="spellStart"/>
      <w:r w:rsidRPr="00BF4EBA">
        <w:rPr>
          <w:lang w:eastAsia="ja-JP"/>
        </w:rPr>
        <w:t>Dupuytren's</w:t>
      </w:r>
      <w:proofErr w:type="spellEnd"/>
      <w:r w:rsidRPr="00BF4EBA">
        <w:rPr>
          <w:lang w:eastAsia="ja-JP"/>
        </w:rPr>
        <w:t xml:space="preserve"> disease. Study 851 was the 90 day double-blind study and this was followed by </w:t>
      </w:r>
      <w:r w:rsidR="00F560BE">
        <w:rPr>
          <w:lang w:eastAsia="ja-JP"/>
        </w:rPr>
        <w:t>Study 85</w:t>
      </w:r>
      <w:r w:rsidRPr="00BF4EBA">
        <w:rPr>
          <w:lang w:eastAsia="ja-JP"/>
        </w:rPr>
        <w:t xml:space="preserve">2 the nine month open label extension study. The study was conducted between November 2006 and December 2007 at three sites in the US. The planned enrolment was 216 subjects. The double-blind </w:t>
      </w:r>
      <w:r w:rsidR="00F560BE">
        <w:rPr>
          <w:lang w:eastAsia="ja-JP"/>
        </w:rPr>
        <w:t>Study 85</w:t>
      </w:r>
      <w:r w:rsidRPr="00BF4EBA">
        <w:rPr>
          <w:lang w:eastAsia="ja-JP"/>
        </w:rPr>
        <w:t>1 was prematurely terminated in December 2006 due to a “manufacturing issue”. At this stage, 7 subjects had been randomised (2 placebo and 5 AA4500) and received the first injection of study medication. Two subjects entered the open label phase and only one completed the study. All other subjects discontinued prematurely. There was one clinical success documented.</w:t>
      </w:r>
    </w:p>
    <w:p w:rsidR="00BF4EBA" w:rsidRPr="00BF4EBA" w:rsidRDefault="000F67C4" w:rsidP="00752EDC">
      <w:pPr>
        <w:ind w:left="1418" w:hanging="1418"/>
        <w:rPr>
          <w:lang w:eastAsia="ja-JP"/>
        </w:rPr>
      </w:pPr>
      <w:r>
        <w:rPr>
          <w:lang w:eastAsia="ja-JP"/>
        </w:rPr>
        <w:t xml:space="preserve">Comment: </w:t>
      </w:r>
      <w:r>
        <w:rPr>
          <w:lang w:eastAsia="ja-JP"/>
        </w:rPr>
        <w:tab/>
        <w:t>T</w:t>
      </w:r>
      <w:r w:rsidR="00BF4EBA" w:rsidRPr="00BF4EBA">
        <w:rPr>
          <w:lang w:eastAsia="ja-JP"/>
        </w:rPr>
        <w:t>he premature termination of the study resulted in a very small sample size and consequently no meaningful efficacy data were available.</w:t>
      </w:r>
    </w:p>
    <w:p w:rsidR="00BF4EBA" w:rsidRPr="00BF4EBA" w:rsidRDefault="00BF4EBA" w:rsidP="00752EDC">
      <w:pPr>
        <w:pStyle w:val="Heading5"/>
        <w:rPr>
          <w:lang w:eastAsia="ja-JP"/>
        </w:rPr>
      </w:pPr>
      <w:bookmarkStart w:id="153" w:name="_Toc353960259"/>
      <w:r w:rsidRPr="00BF4EBA">
        <w:rPr>
          <w:lang w:eastAsia="ja-JP"/>
        </w:rPr>
        <w:t>Study AUX-CC-853</w:t>
      </w:r>
      <w:bookmarkEnd w:id="153"/>
    </w:p>
    <w:p w:rsidR="00BF4EBA" w:rsidRPr="00BF4EBA" w:rsidRDefault="00BF4EBA" w:rsidP="00752EDC">
      <w:pPr>
        <w:rPr>
          <w:lang w:eastAsia="ja-JP"/>
        </w:rPr>
      </w:pPr>
      <w:r w:rsidRPr="00BF4EBA">
        <w:rPr>
          <w:lang w:eastAsia="ja-JP"/>
        </w:rPr>
        <w:t>Study AUX</w:t>
      </w:r>
      <w:r w:rsidR="000F67C4">
        <w:rPr>
          <w:lang w:eastAsia="ja-JP"/>
        </w:rPr>
        <w:t>-CC-853 was the same design as S</w:t>
      </w:r>
      <w:r w:rsidRPr="00BF4EBA">
        <w:rPr>
          <w:lang w:eastAsia="ja-JP"/>
        </w:rPr>
        <w:t>tudies 851 and 852 but with the double-blind and open label phases in the one protocol. The study was conducted at 2 sites in Australia between October 2006 and April 2007. The planned sample size was 48. Due to the above mentioned manufacturing issue, this study was also prematurely terminated in December 2006. At this stage 23 subjects (17 AA4500 and 6 placebo) had been randomised and received at least 1 injection. Of these, 21 entered the open label period. Clinical success during the double-blind period was reported at 76.5% and 0% in the AA4500 and placebo groups, respectively.</w:t>
      </w:r>
    </w:p>
    <w:p w:rsidR="00BF4EBA" w:rsidRPr="00BF4EBA" w:rsidRDefault="00BF4EBA" w:rsidP="00752EDC">
      <w:pPr>
        <w:ind w:left="1418" w:hanging="1418"/>
        <w:rPr>
          <w:lang w:eastAsia="ja-JP"/>
        </w:rPr>
      </w:pPr>
      <w:r w:rsidRPr="00BF4EBA">
        <w:rPr>
          <w:lang w:eastAsia="ja-JP"/>
        </w:rPr>
        <w:t>Comment:</w:t>
      </w:r>
      <w:r w:rsidRPr="00BF4EBA">
        <w:rPr>
          <w:lang w:eastAsia="ja-JP"/>
        </w:rPr>
        <w:tab/>
      </w:r>
      <w:r w:rsidR="000F67C4">
        <w:rPr>
          <w:lang w:eastAsia="ja-JP"/>
        </w:rPr>
        <w:t>T</w:t>
      </w:r>
      <w:r w:rsidRPr="00BF4EBA">
        <w:rPr>
          <w:lang w:eastAsia="ja-JP"/>
        </w:rPr>
        <w:t>he premature termination of the study and sample size far smaller than planned mean that this study did not provide robust efficacy data.</w:t>
      </w:r>
    </w:p>
    <w:p w:rsidR="00BF4EBA" w:rsidRPr="00BF4EBA" w:rsidRDefault="008208D2" w:rsidP="00555A2E">
      <w:pPr>
        <w:pStyle w:val="Heading5"/>
        <w:rPr>
          <w:lang w:eastAsia="ja-JP"/>
        </w:rPr>
      </w:pPr>
      <w:bookmarkStart w:id="154" w:name="_Toc353960260"/>
      <w:r>
        <w:rPr>
          <w:lang w:eastAsia="ja-JP"/>
        </w:rPr>
        <w:lastRenderedPageBreak/>
        <w:t>Study DUPY</w:t>
      </w:r>
      <w:r w:rsidR="00BF4EBA" w:rsidRPr="00BF4EBA">
        <w:rPr>
          <w:lang w:eastAsia="ja-JP"/>
        </w:rPr>
        <w:t>-101</w:t>
      </w:r>
      <w:bookmarkEnd w:id="154"/>
    </w:p>
    <w:p w:rsidR="00BF4EBA" w:rsidRPr="00BF4EBA" w:rsidRDefault="008208D2" w:rsidP="00555A2E">
      <w:pPr>
        <w:rPr>
          <w:lang w:eastAsia="ja-JP"/>
        </w:rPr>
      </w:pPr>
      <w:r>
        <w:rPr>
          <w:lang w:eastAsia="ja-JP"/>
        </w:rPr>
        <w:t>Study DUPY</w:t>
      </w:r>
      <w:r w:rsidR="00BF4EBA" w:rsidRPr="00BF4EBA">
        <w:rPr>
          <w:lang w:eastAsia="ja-JP"/>
        </w:rPr>
        <w:t xml:space="preserve">-101 was a single centre, </w:t>
      </w:r>
      <w:r w:rsidR="00F560BE">
        <w:rPr>
          <w:lang w:eastAsia="ja-JP"/>
        </w:rPr>
        <w:t>Phase I</w:t>
      </w:r>
      <w:r w:rsidR="00BF4EBA" w:rsidRPr="00BF4EBA">
        <w:rPr>
          <w:lang w:eastAsia="ja-JP"/>
        </w:rPr>
        <w:t xml:space="preserve">I, double-blind, randomised, placebo-controlled study of the safety and efficacy of a single injection of AA4500 in patients with </w:t>
      </w:r>
      <w:proofErr w:type="spellStart"/>
      <w:r w:rsidR="00BF4EBA" w:rsidRPr="00BF4EBA">
        <w:rPr>
          <w:lang w:eastAsia="ja-JP"/>
        </w:rPr>
        <w:t>Dupuytren's</w:t>
      </w:r>
      <w:proofErr w:type="spellEnd"/>
      <w:r w:rsidR="00BF4EBA" w:rsidRPr="00BF4EBA">
        <w:rPr>
          <w:lang w:eastAsia="ja-JP"/>
        </w:rPr>
        <w:t xml:space="preserve"> disease. </w:t>
      </w:r>
    </w:p>
    <w:p w:rsidR="00BF4EBA" w:rsidRPr="00BF4EBA" w:rsidRDefault="00BF4EBA" w:rsidP="00555A2E">
      <w:pPr>
        <w:ind w:left="1418" w:hanging="1418"/>
        <w:rPr>
          <w:lang w:eastAsia="ja-JP"/>
        </w:rPr>
      </w:pPr>
      <w:r w:rsidRPr="00BF4EBA">
        <w:rPr>
          <w:lang w:eastAsia="ja-JP"/>
        </w:rPr>
        <w:t xml:space="preserve">Comment: </w:t>
      </w:r>
      <w:r w:rsidRPr="00BF4EBA">
        <w:rPr>
          <w:lang w:eastAsia="ja-JP"/>
        </w:rPr>
        <w:tab/>
        <w:t xml:space="preserve">The dossier included a study protocol (dated 1999) and </w:t>
      </w:r>
      <w:r w:rsidR="008208D2">
        <w:rPr>
          <w:lang w:eastAsia="ja-JP"/>
        </w:rPr>
        <w:t>the sponsor</w:t>
      </w:r>
      <w:r w:rsidRPr="00BF4EBA">
        <w:rPr>
          <w:lang w:eastAsia="ja-JP"/>
        </w:rPr>
        <w:t xml:space="preserve"> stated that only data from a publication were available. Given the lack of a clinical study report and associated data, no evaluation was possible for this study.</w:t>
      </w:r>
    </w:p>
    <w:p w:rsidR="00BF4EBA" w:rsidRPr="00BF4EBA" w:rsidRDefault="00BF4EBA" w:rsidP="00555A2E">
      <w:pPr>
        <w:pStyle w:val="Heading5"/>
        <w:rPr>
          <w:lang w:eastAsia="ja-JP"/>
        </w:rPr>
      </w:pPr>
      <w:bookmarkStart w:id="155" w:name="_Toc353960261"/>
      <w:r w:rsidRPr="00BF4EBA">
        <w:rPr>
          <w:lang w:eastAsia="ja-JP"/>
        </w:rPr>
        <w:t>S</w:t>
      </w:r>
      <w:r w:rsidR="000F67C4">
        <w:rPr>
          <w:lang w:eastAsia="ja-JP"/>
        </w:rPr>
        <w:t>tudy</w:t>
      </w:r>
      <w:r w:rsidRPr="00BF4EBA">
        <w:rPr>
          <w:lang w:eastAsia="ja-JP"/>
        </w:rPr>
        <w:t xml:space="preserve"> AUX-CC-860</w:t>
      </w:r>
      <w:bookmarkEnd w:id="155"/>
    </w:p>
    <w:p w:rsidR="000F67C4" w:rsidRDefault="00BF4EBA" w:rsidP="00555A2E">
      <w:pPr>
        <w:pStyle w:val="Heading6"/>
        <w:rPr>
          <w:lang w:eastAsia="ja-JP"/>
        </w:rPr>
      </w:pPr>
      <w:r w:rsidRPr="00BF4EBA">
        <w:rPr>
          <w:lang w:eastAsia="ja-JP"/>
        </w:rPr>
        <w:t>Methods</w:t>
      </w:r>
    </w:p>
    <w:p w:rsidR="00BF4EBA" w:rsidRPr="00BF4EBA" w:rsidRDefault="00BF4EBA" w:rsidP="00555A2E">
      <w:pPr>
        <w:rPr>
          <w:lang w:eastAsia="ja-JP"/>
        </w:rPr>
      </w:pPr>
      <w:r w:rsidRPr="00BF4EBA">
        <w:rPr>
          <w:lang w:eastAsia="ja-JP"/>
        </w:rPr>
        <w:t>Study AUX-CC-860 was a non-treatment, long-term follow-up of subjects participating in the open label studies AUX-CC-854, 856, 857/858 and 859. It was conducted at 39 centres in the US, UK, Denmark, Finland, Sweden and Australia. The year two interim annual report, which covered visits between August 2009 and April 2010, was included in the dossier. The objectives of the study were to assess recurrence of contracture in joints which achieved clinical success, durability of response in joints with improvement, progression of disease in joints not treated or not effectively treated and long term safety. Subjects are fol</w:t>
      </w:r>
      <w:r w:rsidR="000F67C4">
        <w:rPr>
          <w:lang w:eastAsia="ja-JP"/>
        </w:rPr>
        <w:t>lowed once a year for 4 years (Y</w:t>
      </w:r>
      <w:r w:rsidRPr="00BF4EBA">
        <w:rPr>
          <w:lang w:eastAsia="ja-JP"/>
        </w:rPr>
        <w:t>ears 2 to 5). The analysis was based primarily on investigator assessment the MP and PIP joint for recurrence</w:t>
      </w:r>
      <w:r w:rsidRPr="00BF4EBA">
        <w:rPr>
          <w:vertAlign w:val="superscript"/>
          <w:lang w:eastAsia="ja-JP"/>
        </w:rPr>
        <w:footnoteReference w:id="7"/>
      </w:r>
      <w:r w:rsidRPr="00BF4EBA">
        <w:rPr>
          <w:lang w:eastAsia="ja-JP"/>
        </w:rPr>
        <w:t>, non-durability of response</w:t>
      </w:r>
      <w:r w:rsidRPr="00BF4EBA">
        <w:rPr>
          <w:vertAlign w:val="superscript"/>
          <w:lang w:eastAsia="ja-JP"/>
        </w:rPr>
        <w:footnoteReference w:id="8"/>
      </w:r>
      <w:r w:rsidRPr="00BF4EBA">
        <w:rPr>
          <w:lang w:eastAsia="ja-JP"/>
        </w:rPr>
        <w:t xml:space="preserve"> or progression</w:t>
      </w:r>
      <w:r w:rsidRPr="00BF4EBA">
        <w:rPr>
          <w:vertAlign w:val="superscript"/>
          <w:lang w:eastAsia="ja-JP"/>
        </w:rPr>
        <w:footnoteReference w:id="9"/>
      </w:r>
      <w:r w:rsidRPr="00BF4EBA">
        <w:rPr>
          <w:lang w:eastAsia="ja-JP"/>
        </w:rPr>
        <w:t>.</w:t>
      </w:r>
    </w:p>
    <w:p w:rsidR="000F67C4" w:rsidRDefault="00BF4EBA" w:rsidP="00555A2E">
      <w:pPr>
        <w:pStyle w:val="Heading6"/>
        <w:rPr>
          <w:lang w:eastAsia="ja-JP"/>
        </w:rPr>
      </w:pPr>
      <w:r w:rsidRPr="00BF4EBA">
        <w:rPr>
          <w:lang w:eastAsia="ja-JP"/>
        </w:rPr>
        <w:t>Results</w:t>
      </w:r>
    </w:p>
    <w:p w:rsidR="00BF4EBA" w:rsidRPr="00BF4EBA" w:rsidRDefault="00BF4EBA" w:rsidP="00555A2E">
      <w:pPr>
        <w:rPr>
          <w:lang w:eastAsia="ja-JP"/>
        </w:rPr>
      </w:pPr>
      <w:r w:rsidRPr="00BF4EBA">
        <w:rPr>
          <w:lang w:eastAsia="ja-JP"/>
        </w:rPr>
        <w:t>There were 636 of a possible 950 subjects enrolled, with 634 having a post enrolment visit. The demographic and baseline disease characteristics were in line with the overall population from the feeder studies. Subjects had a mean age of 66 years, were predominantly male (85%) and all were White. Three quarters of subjects (74.8%) had at least one successfully treated joint and 35% at least one measurably improved</w:t>
      </w:r>
      <w:r w:rsidRPr="00BF4EBA">
        <w:rPr>
          <w:vertAlign w:val="superscript"/>
          <w:lang w:eastAsia="ja-JP"/>
        </w:rPr>
        <w:footnoteReference w:id="10"/>
      </w:r>
      <w:r w:rsidRPr="00BF4EBA">
        <w:rPr>
          <w:lang w:eastAsia="ja-JP"/>
        </w:rPr>
        <w:t xml:space="preserve"> joint in the previous study. The successfully treated joints were typically MP joints of low baseline severity (60.4%) while the improved joints were split between MP and PIP joints and had a high baseline severity (72.9%). The joints not effectively treated were mainly PIP joints (70.9%).</w:t>
      </w:r>
    </w:p>
    <w:p w:rsidR="00BF4EBA" w:rsidRPr="00BF4EBA" w:rsidRDefault="00A322B3" w:rsidP="00555A2E">
      <w:pPr>
        <w:rPr>
          <w:lang w:eastAsia="ja-JP"/>
        </w:rPr>
      </w:pPr>
      <w:r>
        <w:rPr>
          <w:lang w:eastAsia="ja-JP"/>
        </w:rPr>
        <w:t>By D</w:t>
      </w:r>
      <w:r w:rsidR="00BF4EBA" w:rsidRPr="00BF4EBA">
        <w:rPr>
          <w:lang w:eastAsia="ja-JP"/>
        </w:rPr>
        <w:t>ay 730 of the study, 119/618 successfully treated joints had recurrence of contracture with a cumulative nominal rate of 19.3% and a Kaplan Meier estimate of 24.1%. The cumulative recurrence rate was higher in the PIP than the MP joints (34.1%</w:t>
      </w:r>
      <w:r w:rsidR="00CD48FD">
        <w:rPr>
          <w:lang w:eastAsia="ja-JP"/>
        </w:rPr>
        <w:t xml:space="preserve"> versus </w:t>
      </w:r>
      <w:r w:rsidR="00BF4EBA" w:rsidRPr="00BF4EBA">
        <w:rPr>
          <w:lang w:eastAsia="ja-JP"/>
        </w:rPr>
        <w:t xml:space="preserve">13.6%) and higher in joints with high baseline severity. For joints that had measurable improvement in the previous study, 31.5% (93/295) had a non-durable response at </w:t>
      </w:r>
      <w:r>
        <w:rPr>
          <w:lang w:eastAsia="ja-JP"/>
        </w:rPr>
        <w:t>D</w:t>
      </w:r>
      <w:r w:rsidR="00BF4EBA" w:rsidRPr="00BF4EBA">
        <w:rPr>
          <w:lang w:eastAsia="ja-JP"/>
        </w:rPr>
        <w:t>ay 730 with higher rates again in the PIP than the MP joints (42.9%</w:t>
      </w:r>
      <w:r w:rsidR="00CD48FD">
        <w:rPr>
          <w:lang w:eastAsia="ja-JP"/>
        </w:rPr>
        <w:t xml:space="preserve"> versus </w:t>
      </w:r>
      <w:r w:rsidR="00BF4EBA" w:rsidRPr="00BF4EBA">
        <w:rPr>
          <w:lang w:eastAsia="ja-JP"/>
        </w:rPr>
        <w:t xml:space="preserve">20.3%). For joints that were not effectively treated in the previous study, the rate of progression was 29.1% (44/151) with rates of 20.5% and 32.7% for the MP and PIP joints, respectively. In the untreated joints, new or worsening </w:t>
      </w:r>
      <w:proofErr w:type="spellStart"/>
      <w:r w:rsidR="00BF4EBA" w:rsidRPr="00BF4EBA">
        <w:rPr>
          <w:lang w:eastAsia="ja-JP"/>
        </w:rPr>
        <w:t>Dupuytren's</w:t>
      </w:r>
      <w:proofErr w:type="spellEnd"/>
      <w:r w:rsidR="00BF4EBA" w:rsidRPr="00BF4EBA">
        <w:rPr>
          <w:lang w:eastAsia="ja-JP"/>
        </w:rPr>
        <w:t xml:space="preserve"> contracture was noted in 1.9% of joints. </w:t>
      </w:r>
    </w:p>
    <w:p w:rsidR="00BF4EBA" w:rsidRDefault="00BF4EBA" w:rsidP="00555A2E">
      <w:pPr>
        <w:rPr>
          <w:lang w:eastAsia="ja-JP"/>
        </w:rPr>
      </w:pPr>
      <w:r w:rsidRPr="00BF4EBA">
        <w:rPr>
          <w:lang w:eastAsia="ja-JP"/>
        </w:rPr>
        <w:lastRenderedPageBreak/>
        <w:t>Analysis based on change in degree of contracture found that for previously responsive contractures there was a worsening of contracture in 26.3% of joints (16.6% of MP and 44.5% of PIP joints). This is demonstrated i</w:t>
      </w:r>
      <w:r w:rsidRPr="00F45DEC">
        <w:rPr>
          <w:lang w:eastAsia="ja-JP"/>
        </w:rPr>
        <w:t xml:space="preserve">n Figures </w:t>
      </w:r>
      <w:r w:rsidR="00F45DEC" w:rsidRPr="00F45DEC">
        <w:rPr>
          <w:lang w:eastAsia="ja-JP"/>
        </w:rPr>
        <w:t>10 and 11</w:t>
      </w:r>
      <w:r w:rsidRPr="00F45DEC">
        <w:rPr>
          <w:lang w:eastAsia="ja-JP"/>
        </w:rPr>
        <w:t xml:space="preserve"> w</w:t>
      </w:r>
      <w:r w:rsidRPr="00BF4EBA">
        <w:rPr>
          <w:lang w:eastAsia="ja-JP"/>
        </w:rPr>
        <w:t>hich show the mean change from baseline in fixed flexion contracture for all treated joints, and for the successfully tr</w:t>
      </w:r>
      <w:r w:rsidR="00A322B3">
        <w:rPr>
          <w:lang w:eastAsia="ja-JP"/>
        </w:rPr>
        <w:t>eated joints, from baseline to Y</w:t>
      </w:r>
      <w:r w:rsidRPr="00BF4EBA">
        <w:rPr>
          <w:lang w:eastAsia="ja-JP"/>
        </w:rPr>
        <w:t>ear 2.</w:t>
      </w:r>
    </w:p>
    <w:p w:rsidR="003F4A70" w:rsidRDefault="00A322B3" w:rsidP="003F4A70">
      <w:pPr>
        <w:pStyle w:val="FigureTitle"/>
        <w:rPr>
          <w:lang w:eastAsia="ja-JP"/>
        </w:rPr>
      </w:pPr>
      <w:bookmarkStart w:id="156" w:name="_Ref343675826"/>
      <w:bookmarkStart w:id="157" w:name="_Toc353960377"/>
      <w:r w:rsidRPr="00A322B3">
        <w:rPr>
          <w:iCs/>
          <w:lang w:eastAsia="ja-JP"/>
        </w:rPr>
        <w:t xml:space="preserve">Figure </w:t>
      </w:r>
      <w:bookmarkEnd w:id="156"/>
      <w:bookmarkEnd w:id="157"/>
      <w:r>
        <w:rPr>
          <w:iCs/>
          <w:lang w:eastAsia="ja-JP"/>
        </w:rPr>
        <w:t xml:space="preserve">10. </w:t>
      </w:r>
      <w:r w:rsidRPr="00A322B3">
        <w:rPr>
          <w:lang w:eastAsia="ja-JP"/>
        </w:rPr>
        <w:t>AUX-CC-860</w:t>
      </w:r>
      <w:r>
        <w:rPr>
          <w:lang w:eastAsia="ja-JP"/>
        </w:rPr>
        <w:t>. Mean change from baseline in Fixed Flexion Contracture. All Join</w:t>
      </w:r>
      <w:r w:rsidR="003F4A70">
        <w:rPr>
          <w:lang w:eastAsia="ja-JP"/>
        </w:rPr>
        <w:t>ts Treated with AA4500 0.58 mg.</w:t>
      </w:r>
    </w:p>
    <w:p w:rsidR="00A322B3" w:rsidRDefault="00A322B3" w:rsidP="003F4A70">
      <w:pPr>
        <w:rPr>
          <w:lang w:eastAsia="ja-JP"/>
        </w:rPr>
      </w:pPr>
      <w:r w:rsidRPr="00A322B3">
        <w:rPr>
          <w:noProof/>
          <w:lang w:eastAsia="en-AU"/>
        </w:rPr>
        <w:drawing>
          <wp:inline distT="0" distB="0" distL="0" distR="0">
            <wp:extent cx="3962400" cy="3363514"/>
            <wp:effectExtent l="19050" t="0" r="0" b="0"/>
            <wp:docPr id="41" name="Picture 81" descr="Figure 10. AUX-CC-860. Mean change from baseline in Fixed Flexion Contracture. All Joints Treated with AA4500 0.58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cstate="print">
                      <a:duotone>
                        <a:prstClr val="black"/>
                        <a:schemeClr val="bg1">
                          <a:tint val="45000"/>
                          <a:satMod val="400000"/>
                        </a:schemeClr>
                      </a:duotone>
                    </a:blip>
                    <a:srcRect l="3653" r="1875" b="6667"/>
                    <a:stretch>
                      <a:fillRect/>
                    </a:stretch>
                  </pic:blipFill>
                  <pic:spPr bwMode="auto">
                    <a:xfrm>
                      <a:off x="0" y="0"/>
                      <a:ext cx="3965254" cy="3365937"/>
                    </a:xfrm>
                    <a:prstGeom prst="rect">
                      <a:avLst/>
                    </a:prstGeom>
                    <a:noFill/>
                    <a:ln w="9525">
                      <a:noFill/>
                      <a:miter lim="800000"/>
                      <a:headEnd/>
                      <a:tailEnd/>
                    </a:ln>
                  </pic:spPr>
                </pic:pic>
              </a:graphicData>
            </a:graphic>
          </wp:inline>
        </w:drawing>
      </w:r>
    </w:p>
    <w:p w:rsidR="003F4A70" w:rsidRDefault="00A322B3" w:rsidP="003F4A70">
      <w:pPr>
        <w:pStyle w:val="FigureTitle"/>
        <w:rPr>
          <w:lang w:eastAsia="ja-JP"/>
        </w:rPr>
      </w:pPr>
      <w:bookmarkStart w:id="158" w:name="_Ref343675829"/>
      <w:bookmarkStart w:id="159" w:name="_Toc353960378"/>
      <w:r w:rsidRPr="00A322B3">
        <w:rPr>
          <w:iCs/>
          <w:lang w:eastAsia="ja-JP"/>
        </w:rPr>
        <w:t xml:space="preserve">Figure </w:t>
      </w:r>
      <w:bookmarkEnd w:id="158"/>
      <w:bookmarkEnd w:id="159"/>
      <w:r>
        <w:rPr>
          <w:iCs/>
          <w:lang w:eastAsia="ja-JP"/>
        </w:rPr>
        <w:t xml:space="preserve">11. </w:t>
      </w:r>
      <w:r w:rsidRPr="00A322B3">
        <w:rPr>
          <w:lang w:eastAsia="ja-JP"/>
        </w:rPr>
        <w:t>AUX-CC-860</w:t>
      </w:r>
      <w:r>
        <w:rPr>
          <w:lang w:eastAsia="ja-JP"/>
        </w:rPr>
        <w:t>. Mean change from baseline in Fixed Flexion Contracture. Joints successfully Treated with AA4500 0.58 mg.</w:t>
      </w:r>
    </w:p>
    <w:p w:rsidR="00A322B3" w:rsidRPr="00A322B3" w:rsidRDefault="00A322B3" w:rsidP="003F4A70">
      <w:pPr>
        <w:rPr>
          <w:lang w:eastAsia="ja-JP"/>
        </w:rPr>
      </w:pPr>
      <w:r w:rsidRPr="00A322B3">
        <w:rPr>
          <w:noProof/>
          <w:lang w:eastAsia="en-AU"/>
        </w:rPr>
        <w:drawing>
          <wp:inline distT="0" distB="0" distL="0" distR="0">
            <wp:extent cx="3886200" cy="3219450"/>
            <wp:effectExtent l="19050" t="0" r="0" b="0"/>
            <wp:docPr id="55" name="Picture 83" descr="Figure 11. AUX-CC-860. Mean change from baseline in Fixed Flexion Contracture. Joints successfully Treated with AA4500 0.58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duotone>
                        <a:prstClr val="black"/>
                        <a:schemeClr val="bg1">
                          <a:tint val="45000"/>
                          <a:satMod val="400000"/>
                        </a:schemeClr>
                      </a:duotone>
                    </a:blip>
                    <a:srcRect l="2988" t="1995" r="3218" b="1651"/>
                    <a:stretch>
                      <a:fillRect/>
                    </a:stretch>
                  </pic:blipFill>
                  <pic:spPr bwMode="auto">
                    <a:xfrm>
                      <a:off x="0" y="0"/>
                      <a:ext cx="3886200" cy="3219450"/>
                    </a:xfrm>
                    <a:prstGeom prst="rect">
                      <a:avLst/>
                    </a:prstGeom>
                    <a:noFill/>
                    <a:ln w="9525">
                      <a:noFill/>
                      <a:miter lim="800000"/>
                      <a:headEnd/>
                      <a:tailEnd/>
                    </a:ln>
                  </pic:spPr>
                </pic:pic>
              </a:graphicData>
            </a:graphic>
          </wp:inline>
        </w:drawing>
      </w:r>
    </w:p>
    <w:p w:rsidR="00A322B3" w:rsidRDefault="00BF4EBA" w:rsidP="003F4A70">
      <w:pPr>
        <w:pStyle w:val="Heading6"/>
        <w:rPr>
          <w:lang w:eastAsia="ja-JP"/>
        </w:rPr>
      </w:pPr>
      <w:r w:rsidRPr="00BF4EBA">
        <w:rPr>
          <w:lang w:eastAsia="ja-JP"/>
        </w:rPr>
        <w:lastRenderedPageBreak/>
        <w:t>Summary</w:t>
      </w:r>
    </w:p>
    <w:p w:rsidR="00BF4EBA" w:rsidRPr="00BF4EBA" w:rsidRDefault="00BF4EBA" w:rsidP="003F4A70">
      <w:pPr>
        <w:rPr>
          <w:lang w:eastAsia="ja-JP"/>
        </w:rPr>
      </w:pPr>
      <w:r w:rsidRPr="00BF4EBA">
        <w:rPr>
          <w:lang w:eastAsia="ja-JP"/>
        </w:rPr>
        <w:t xml:space="preserve">Study AUX-CC-860 followed up 634 subjects from a possible 950 subjects enrolled in open label extension studies. At the end for </w:t>
      </w:r>
      <w:r w:rsidR="00A322B3">
        <w:rPr>
          <w:lang w:eastAsia="ja-JP"/>
        </w:rPr>
        <w:t>Y</w:t>
      </w:r>
      <w:r w:rsidRPr="00BF4EBA">
        <w:rPr>
          <w:lang w:eastAsia="ja-JP"/>
        </w:rPr>
        <w:t>ear 2, it was found that of the 618 joints which had been successfully treated, the recurrence rate was 19% with higher recurrence in PIP than MP joints (34%</w:t>
      </w:r>
      <w:r w:rsidR="00CD48FD">
        <w:rPr>
          <w:lang w:eastAsia="ja-JP"/>
        </w:rPr>
        <w:t xml:space="preserve"> versus </w:t>
      </w:r>
      <w:r w:rsidRPr="00BF4EBA">
        <w:rPr>
          <w:lang w:eastAsia="ja-JP"/>
        </w:rPr>
        <w:t>14%) as well as in the more severely affected joints at baseline. A non-durable response was noted in 32% of joints which had had a measurable response and progression was found in 29% of joints not effectively treated. The rate of worsening of disease in untreated joints was 1.9%.</w:t>
      </w:r>
    </w:p>
    <w:p w:rsidR="00BF4EBA" w:rsidRPr="00BF4EBA" w:rsidRDefault="00BF4EBA" w:rsidP="003F4A70">
      <w:pPr>
        <w:rPr>
          <w:lang w:eastAsia="ja-JP"/>
        </w:rPr>
      </w:pPr>
      <w:r w:rsidRPr="00BF4EBA">
        <w:rPr>
          <w:lang w:eastAsia="ja-JP"/>
        </w:rPr>
        <w:t xml:space="preserve">Comment: </w:t>
      </w:r>
      <w:r w:rsidRPr="00BF4EBA">
        <w:rPr>
          <w:lang w:eastAsia="ja-JP"/>
        </w:rPr>
        <w:tab/>
        <w:t>Data from the year 3 follow-up should be available and submitted for evaluation.</w:t>
      </w:r>
    </w:p>
    <w:p w:rsidR="00BF4EBA" w:rsidRPr="00BF4EBA" w:rsidRDefault="00BF4EBA" w:rsidP="003F4A70">
      <w:pPr>
        <w:pStyle w:val="Heading4"/>
      </w:pPr>
      <w:bookmarkStart w:id="160" w:name="_Toc241374312"/>
      <w:bookmarkStart w:id="161" w:name="_Toc272414656"/>
      <w:bookmarkStart w:id="162" w:name="_Toc290846281"/>
      <w:bookmarkStart w:id="163" w:name="_Ref343675668"/>
      <w:bookmarkStart w:id="164" w:name="_Ref345486828"/>
      <w:bookmarkStart w:id="165" w:name="_Toc353960262"/>
      <w:r w:rsidRPr="00BF4EBA">
        <w:t>Analyses performed across trials (pooled analyses and meta-analyses)</w:t>
      </w:r>
      <w:bookmarkEnd w:id="160"/>
      <w:bookmarkEnd w:id="161"/>
      <w:bookmarkEnd w:id="162"/>
      <w:bookmarkEnd w:id="163"/>
      <w:bookmarkEnd w:id="164"/>
      <w:bookmarkEnd w:id="165"/>
    </w:p>
    <w:p w:rsidR="00BF4EBA" w:rsidRPr="00BF4EBA" w:rsidRDefault="00BF4EBA" w:rsidP="003F4A70">
      <w:pPr>
        <w:rPr>
          <w:lang w:eastAsia="ja-JP"/>
        </w:rPr>
      </w:pPr>
      <w:r w:rsidRPr="00BF4EBA">
        <w:rPr>
          <w:lang w:eastAsia="ja-JP"/>
        </w:rPr>
        <w:t>The dossier included a Summary of Immunogenicity in which data were pooled from six clinical trials (AUX-CC-854, 856, 857, 858, 859 and 860). These studies all used AA4500 manufactured by the proposed commercial process. Antibody detection assays were validated ELISAs. Samples were collected 30 days post injection and at other predefined points. Data were pooled from 876, 498, 338, 197, 127, 33, 21 and 9 subjects who received 1, 2, 3, 4, 5, 6, 7 and 8 injections, respectively.</w:t>
      </w:r>
    </w:p>
    <w:p w:rsidR="00BF4EBA" w:rsidRPr="005C34F7" w:rsidRDefault="00BF4EBA" w:rsidP="003F4A70">
      <w:pPr>
        <w:rPr>
          <w:lang w:eastAsia="ja-JP"/>
        </w:rPr>
      </w:pPr>
      <w:r w:rsidRPr="00BF4EBA">
        <w:rPr>
          <w:lang w:eastAsia="ja-JP"/>
        </w:rPr>
        <w:t>As discussed in</w:t>
      </w:r>
      <w:r w:rsidRPr="00A322B3">
        <w:rPr>
          <w:i/>
          <w:lang w:eastAsia="ja-JP"/>
        </w:rPr>
        <w:t xml:space="preserve"> </w:t>
      </w:r>
      <w:r w:rsidR="00A322B3" w:rsidRPr="00A322B3">
        <w:rPr>
          <w:i/>
          <w:lang w:eastAsia="ja-JP"/>
        </w:rPr>
        <w:t>Secondary pharmacodynamic effects</w:t>
      </w:r>
      <w:r w:rsidR="00A322B3" w:rsidRPr="00A322B3">
        <w:rPr>
          <w:lang w:eastAsia="ja-JP"/>
        </w:rPr>
        <w:t>,</w:t>
      </w:r>
      <w:r w:rsidRPr="00A322B3">
        <w:rPr>
          <w:lang w:eastAsia="ja-JP"/>
        </w:rPr>
        <w:t xml:space="preserve"> de</w:t>
      </w:r>
      <w:r w:rsidRPr="00BF4EBA">
        <w:rPr>
          <w:lang w:eastAsia="ja-JP"/>
        </w:rPr>
        <w:t xml:space="preserve">velopment of anti-drug antibodies was universal after 3 to 4 injections. The potential for antibody mediated effects on efficacy were assessed through a post-hoc analysis of clinical success and improvement versus anti-AUX-I/II titre. Subjects were classed as All Success if </w:t>
      </w:r>
      <w:r w:rsidR="00A322B3">
        <w:rPr>
          <w:lang w:eastAsia="ja-JP"/>
        </w:rPr>
        <w:t>≥</w:t>
      </w:r>
      <w:r w:rsidRPr="00BF4EBA">
        <w:rPr>
          <w:lang w:eastAsia="ja-JP"/>
        </w:rPr>
        <w:t xml:space="preserve">2 joints were treated and all reached clinical success, All Failure if </w:t>
      </w:r>
      <w:r w:rsidR="00A322B3">
        <w:rPr>
          <w:lang w:eastAsia="ja-JP"/>
        </w:rPr>
        <w:t>≥</w:t>
      </w:r>
      <w:r w:rsidRPr="00BF4EBA">
        <w:rPr>
          <w:lang w:eastAsia="ja-JP"/>
        </w:rPr>
        <w:t>2 joints were treated and all did not reach clinical success, or All Others if there was a combination of success/failure or only one joint was treated. Antibody titres just prior to the last injection of the last joint (up to third) were used. Box plots of results against antibody titre for cohorts of subjects who received the same number of injections failed to show any correlation between clinical outcom</w:t>
      </w:r>
      <w:r w:rsidRPr="005C34F7">
        <w:rPr>
          <w:lang w:eastAsia="ja-JP"/>
        </w:rPr>
        <w:t>e and antibody titre. In particular, there was no trend for poorer outcome with increasing titre (Figure</w:t>
      </w:r>
      <w:r w:rsidR="005C34F7" w:rsidRPr="005C34F7">
        <w:rPr>
          <w:lang w:eastAsia="ja-JP"/>
        </w:rPr>
        <w:t>s 12 and 13</w:t>
      </w:r>
      <w:r w:rsidRPr="005C34F7">
        <w:rPr>
          <w:lang w:eastAsia="ja-JP"/>
        </w:rPr>
        <w:t>). When the data were examined for clinical improvement (</w:t>
      </w:r>
      <w:r w:rsidR="005C34F7" w:rsidRPr="005C34F7">
        <w:rPr>
          <w:lang w:eastAsia="ja-JP"/>
        </w:rPr>
        <w:t>≥</w:t>
      </w:r>
      <w:r w:rsidRPr="005C34F7">
        <w:rPr>
          <w:lang w:eastAsia="ja-JP"/>
        </w:rPr>
        <w:t>50% reduction from baseline in contracture degree), the results were similar (Figure</w:t>
      </w:r>
      <w:r w:rsidR="005C34F7" w:rsidRPr="005C34F7">
        <w:rPr>
          <w:lang w:eastAsia="ja-JP"/>
        </w:rPr>
        <w:t>s 14 and 15</w:t>
      </w:r>
      <w:r w:rsidRPr="005C34F7">
        <w:rPr>
          <w:lang w:eastAsia="ja-JP"/>
        </w:rPr>
        <w:t>).</w:t>
      </w:r>
    </w:p>
    <w:p w:rsidR="00F45DEC" w:rsidRDefault="005C34F7" w:rsidP="003F4A70">
      <w:pPr>
        <w:pStyle w:val="FigureTitle"/>
        <w:rPr>
          <w:lang w:eastAsia="ja-JP"/>
        </w:rPr>
      </w:pPr>
      <w:bookmarkStart w:id="166" w:name="_Ref343675835"/>
      <w:bookmarkStart w:id="167" w:name="_Toc353960379"/>
      <w:r w:rsidRPr="005C34F7">
        <w:rPr>
          <w:lang w:eastAsia="ja-JP"/>
        </w:rPr>
        <w:t xml:space="preserve">Figure </w:t>
      </w:r>
      <w:bookmarkEnd w:id="166"/>
      <w:bookmarkEnd w:id="167"/>
      <w:r>
        <w:rPr>
          <w:lang w:eastAsia="ja-JP"/>
        </w:rPr>
        <w:t>12. AUX-I Antibody log  titre levels relationship with next injection success- by total AA4500 injection</w:t>
      </w:r>
    </w:p>
    <w:p w:rsidR="005C34F7" w:rsidRDefault="005C34F7" w:rsidP="003F4A70">
      <w:pPr>
        <w:rPr>
          <w:lang w:eastAsia="ja-JP"/>
        </w:rPr>
      </w:pPr>
      <w:r>
        <w:rPr>
          <w:lang w:eastAsia="ja-JP"/>
        </w:rPr>
        <w:t>.</w:t>
      </w:r>
      <w:r w:rsidRPr="005C34F7">
        <w:rPr>
          <w:noProof/>
          <w:lang w:eastAsia="en-AU"/>
        </w:rPr>
        <w:drawing>
          <wp:inline distT="0" distB="0" distL="0" distR="0">
            <wp:extent cx="4176573" cy="3276600"/>
            <wp:effectExtent l="19050" t="0" r="0" b="0"/>
            <wp:docPr id="57" name="Picture 85" descr="Figure 12. AUX-I Antibody log  titre levels relationship with next injection success- by total AA4500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duotone>
                        <a:prstClr val="black"/>
                        <a:schemeClr val="bg1">
                          <a:tint val="45000"/>
                          <a:satMod val="400000"/>
                        </a:schemeClr>
                      </a:duotone>
                    </a:blip>
                    <a:srcRect l="1413" t="2025" r="2086" b="3038"/>
                    <a:stretch>
                      <a:fillRect/>
                    </a:stretch>
                  </pic:blipFill>
                  <pic:spPr bwMode="auto">
                    <a:xfrm>
                      <a:off x="0" y="0"/>
                      <a:ext cx="4176573" cy="3276600"/>
                    </a:xfrm>
                    <a:prstGeom prst="rect">
                      <a:avLst/>
                    </a:prstGeom>
                    <a:noFill/>
                    <a:ln w="9525">
                      <a:noFill/>
                      <a:miter lim="800000"/>
                      <a:headEnd/>
                      <a:tailEnd/>
                    </a:ln>
                  </pic:spPr>
                </pic:pic>
              </a:graphicData>
            </a:graphic>
          </wp:inline>
        </w:drawing>
      </w:r>
    </w:p>
    <w:p w:rsidR="00F45DEC" w:rsidRDefault="005C34F7" w:rsidP="00773879">
      <w:pPr>
        <w:pStyle w:val="FigureTitle"/>
        <w:rPr>
          <w:lang w:eastAsia="ja-JP"/>
        </w:rPr>
      </w:pPr>
      <w:r w:rsidRPr="005C34F7">
        <w:rPr>
          <w:lang w:eastAsia="ja-JP"/>
        </w:rPr>
        <w:lastRenderedPageBreak/>
        <w:t xml:space="preserve">Figure </w:t>
      </w:r>
      <w:r>
        <w:rPr>
          <w:lang w:eastAsia="ja-JP"/>
        </w:rPr>
        <w:t>13. AUX-II Antibody log  titre levels relationship with next injection success- by total AA4500 injection</w:t>
      </w:r>
    </w:p>
    <w:p w:rsidR="005C34F7" w:rsidRPr="005C34F7" w:rsidRDefault="005C34F7" w:rsidP="005C34F7">
      <w:pPr>
        <w:rPr>
          <w:lang w:eastAsia="ja-JP"/>
        </w:rPr>
      </w:pPr>
      <w:r>
        <w:rPr>
          <w:b/>
          <w:lang w:eastAsia="ja-JP"/>
        </w:rPr>
        <w:t>.</w:t>
      </w:r>
      <w:r w:rsidRPr="005C34F7">
        <w:rPr>
          <w:noProof/>
          <w:lang w:eastAsia="en-AU"/>
        </w:rPr>
        <w:drawing>
          <wp:inline distT="0" distB="0" distL="0" distR="0">
            <wp:extent cx="3943350" cy="3108099"/>
            <wp:effectExtent l="19050" t="0" r="0" b="0"/>
            <wp:docPr id="59" name="Picture 87" descr="Figure 13. AUX-II Antibody log  titre levels relationship with next injection success- by total AA4500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duotone>
                        <a:prstClr val="black"/>
                        <a:schemeClr val="bg1">
                          <a:tint val="45000"/>
                          <a:satMod val="400000"/>
                        </a:schemeClr>
                      </a:duotone>
                    </a:blip>
                    <a:srcRect l="1174" t="1481" r="2740" b="2963"/>
                    <a:stretch>
                      <a:fillRect/>
                    </a:stretch>
                  </pic:blipFill>
                  <pic:spPr bwMode="auto">
                    <a:xfrm>
                      <a:off x="0" y="0"/>
                      <a:ext cx="3943350" cy="3108099"/>
                    </a:xfrm>
                    <a:prstGeom prst="rect">
                      <a:avLst/>
                    </a:prstGeom>
                    <a:noFill/>
                    <a:ln w="9525">
                      <a:noFill/>
                      <a:miter lim="800000"/>
                      <a:headEnd/>
                      <a:tailEnd/>
                    </a:ln>
                  </pic:spPr>
                </pic:pic>
              </a:graphicData>
            </a:graphic>
          </wp:inline>
        </w:drawing>
      </w:r>
    </w:p>
    <w:p w:rsidR="000135F1" w:rsidRDefault="005C34F7" w:rsidP="00773879">
      <w:pPr>
        <w:pStyle w:val="FigureTitle"/>
        <w:rPr>
          <w:lang w:eastAsia="ja-JP"/>
        </w:rPr>
      </w:pPr>
      <w:r w:rsidRPr="005C34F7">
        <w:rPr>
          <w:lang w:eastAsia="ja-JP"/>
        </w:rPr>
        <w:t xml:space="preserve">Figure </w:t>
      </w:r>
      <w:r>
        <w:rPr>
          <w:lang w:eastAsia="ja-JP"/>
        </w:rPr>
        <w:t>14. AUX-I Antibody log titre levels relationship with next injection improvement- by total AA4500 injection</w:t>
      </w:r>
    </w:p>
    <w:p w:rsidR="005C34F7" w:rsidRDefault="005C34F7" w:rsidP="00773879">
      <w:pPr>
        <w:rPr>
          <w:b/>
          <w:lang w:eastAsia="ja-JP"/>
        </w:rPr>
      </w:pPr>
      <w:r>
        <w:rPr>
          <w:b/>
          <w:lang w:eastAsia="ja-JP"/>
        </w:rPr>
        <w:t>.</w:t>
      </w:r>
      <w:r w:rsidRPr="005C34F7">
        <w:rPr>
          <w:noProof/>
          <w:lang w:eastAsia="en-AU"/>
        </w:rPr>
        <w:drawing>
          <wp:inline distT="0" distB="0" distL="0" distR="0">
            <wp:extent cx="4000500" cy="3120848"/>
            <wp:effectExtent l="19050" t="0" r="0" b="0"/>
            <wp:docPr id="61" name="Picture 89" descr="Figure 14. AUX-I Antibody log titre levels relationship with next injection improvement- by total AA4500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duotone>
                        <a:prstClr val="black"/>
                        <a:schemeClr val="bg1">
                          <a:tint val="45000"/>
                          <a:satMod val="400000"/>
                        </a:schemeClr>
                      </a:duotone>
                    </a:blip>
                    <a:srcRect l="3489" r="9615" b="3774"/>
                    <a:stretch>
                      <a:fillRect/>
                    </a:stretch>
                  </pic:blipFill>
                  <pic:spPr bwMode="auto">
                    <a:xfrm>
                      <a:off x="0" y="0"/>
                      <a:ext cx="4009582" cy="3127933"/>
                    </a:xfrm>
                    <a:prstGeom prst="rect">
                      <a:avLst/>
                    </a:prstGeom>
                    <a:noFill/>
                    <a:ln w="9525">
                      <a:noFill/>
                      <a:miter lim="800000"/>
                      <a:headEnd/>
                      <a:tailEnd/>
                    </a:ln>
                  </pic:spPr>
                </pic:pic>
              </a:graphicData>
            </a:graphic>
          </wp:inline>
        </w:drawing>
      </w:r>
    </w:p>
    <w:p w:rsidR="000135F1" w:rsidRDefault="005C34F7" w:rsidP="00773879">
      <w:pPr>
        <w:pStyle w:val="FigureTitle"/>
        <w:rPr>
          <w:lang w:eastAsia="ja-JP"/>
        </w:rPr>
      </w:pPr>
      <w:bookmarkStart w:id="168" w:name="_Ref343675848"/>
      <w:bookmarkStart w:id="169" w:name="_Toc353960382"/>
      <w:r w:rsidRPr="005C34F7">
        <w:rPr>
          <w:iCs/>
          <w:lang w:eastAsia="ja-JP"/>
        </w:rPr>
        <w:lastRenderedPageBreak/>
        <w:t xml:space="preserve">Figure </w:t>
      </w:r>
      <w:bookmarkEnd w:id="168"/>
      <w:bookmarkEnd w:id="169"/>
      <w:r>
        <w:rPr>
          <w:iCs/>
          <w:lang w:eastAsia="ja-JP"/>
        </w:rPr>
        <w:t xml:space="preserve">15. </w:t>
      </w:r>
      <w:r>
        <w:rPr>
          <w:lang w:eastAsia="ja-JP"/>
        </w:rPr>
        <w:t>AUX-II Antibody log  titre levels relationship with next injection improvement- by total AA4500 injection</w:t>
      </w:r>
    </w:p>
    <w:p w:rsidR="005C34F7" w:rsidRPr="005C34F7" w:rsidRDefault="005C34F7" w:rsidP="00773879">
      <w:pPr>
        <w:rPr>
          <w:lang w:eastAsia="ja-JP"/>
        </w:rPr>
      </w:pPr>
      <w:r>
        <w:rPr>
          <w:b/>
          <w:lang w:eastAsia="ja-JP"/>
        </w:rPr>
        <w:t>.</w:t>
      </w:r>
      <w:r w:rsidRPr="005C34F7">
        <w:rPr>
          <w:noProof/>
          <w:lang w:eastAsia="en-AU"/>
        </w:rPr>
        <w:drawing>
          <wp:inline distT="0" distB="0" distL="0" distR="0">
            <wp:extent cx="3870659" cy="3038475"/>
            <wp:effectExtent l="19050" t="0" r="0" b="0"/>
            <wp:docPr id="65" name="Picture 91" descr="Figure 15. AUX-II Antibody log  titre levels relationship with next injection improvement- by total AA4500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duotone>
                        <a:prstClr val="black"/>
                        <a:schemeClr val="bg1">
                          <a:tint val="45000"/>
                          <a:satMod val="400000"/>
                        </a:schemeClr>
                      </a:duotone>
                    </a:blip>
                    <a:srcRect/>
                    <a:stretch>
                      <a:fillRect/>
                    </a:stretch>
                  </pic:blipFill>
                  <pic:spPr bwMode="auto">
                    <a:xfrm>
                      <a:off x="0" y="0"/>
                      <a:ext cx="3874485" cy="3041479"/>
                    </a:xfrm>
                    <a:prstGeom prst="rect">
                      <a:avLst/>
                    </a:prstGeom>
                    <a:noFill/>
                    <a:ln w="9525">
                      <a:noFill/>
                      <a:miter lim="800000"/>
                      <a:headEnd/>
                      <a:tailEnd/>
                    </a:ln>
                  </pic:spPr>
                </pic:pic>
              </a:graphicData>
            </a:graphic>
          </wp:inline>
        </w:drawing>
      </w:r>
    </w:p>
    <w:p w:rsidR="00BF4EBA" w:rsidRPr="00BF4EBA" w:rsidRDefault="00BF4EBA" w:rsidP="00773879">
      <w:pPr>
        <w:pStyle w:val="Heading3"/>
      </w:pPr>
      <w:bookmarkStart w:id="170" w:name="_Ref271126605"/>
      <w:bookmarkStart w:id="171" w:name="_Toc272414657"/>
      <w:bookmarkStart w:id="172" w:name="_Toc290846282"/>
      <w:bookmarkStart w:id="173" w:name="_Toc353960263"/>
      <w:bookmarkStart w:id="174" w:name="_Toc374966966"/>
      <w:r w:rsidRPr="00BF4EBA">
        <w:t xml:space="preserve">Evaluator’s conclusions on clinical efficacy for </w:t>
      </w:r>
      <w:proofErr w:type="spellStart"/>
      <w:r w:rsidRPr="00BF4EBA">
        <w:t>Dupuytren's</w:t>
      </w:r>
      <w:proofErr w:type="spellEnd"/>
      <w:r w:rsidRPr="00BF4EBA">
        <w:t xml:space="preserve"> disease</w:t>
      </w:r>
      <w:bookmarkEnd w:id="170"/>
      <w:bookmarkEnd w:id="171"/>
      <w:bookmarkEnd w:id="172"/>
      <w:bookmarkEnd w:id="173"/>
      <w:bookmarkEnd w:id="174"/>
    </w:p>
    <w:p w:rsidR="00BF4EBA" w:rsidRPr="00BF4EBA" w:rsidRDefault="00BF4EBA" w:rsidP="00773879">
      <w:pPr>
        <w:rPr>
          <w:lang w:eastAsia="ja-JP"/>
        </w:rPr>
      </w:pPr>
      <w:r w:rsidRPr="00BF4EBA">
        <w:rPr>
          <w:lang w:eastAsia="ja-JP"/>
        </w:rPr>
        <w:t xml:space="preserve">Dosage selection for the </w:t>
      </w:r>
      <w:r w:rsidR="00F560BE">
        <w:rPr>
          <w:lang w:eastAsia="ja-JP"/>
        </w:rPr>
        <w:t>Phase I</w:t>
      </w:r>
      <w:r w:rsidRPr="00BF4EBA">
        <w:rPr>
          <w:lang w:eastAsia="ja-JP"/>
        </w:rPr>
        <w:t xml:space="preserve">II trials was based on </w:t>
      </w:r>
      <w:r w:rsidR="008208D2">
        <w:rPr>
          <w:lang w:eastAsia="ja-JP"/>
        </w:rPr>
        <w:t>Study DUPY</w:t>
      </w:r>
      <w:r w:rsidRPr="00BF4EBA">
        <w:rPr>
          <w:lang w:eastAsia="ja-JP"/>
        </w:rPr>
        <w:t xml:space="preserve">-202 which assessed doses of </w:t>
      </w:r>
      <w:r w:rsidRPr="00BF4EBA">
        <w:rPr>
          <w:bCs/>
          <w:lang w:eastAsia="ja-JP"/>
        </w:rPr>
        <w:t>2500 U, 5000 U and 10,000U. A</w:t>
      </w:r>
      <w:r w:rsidRPr="00BF4EBA">
        <w:rPr>
          <w:lang w:eastAsia="ja-JP"/>
        </w:rPr>
        <w:t xml:space="preserve">ll doses were found to be significantly better than placebo on clinical success rates, improvement in range of motion and reduction in flexion deformity. There was an evident dose response and the highest dose of 10,000 U (equivalent to 0.58 mg) had a response irrespective of joint type (MP or PIP) and was more effective on the more severely contracted joints. Given these efficacy findings and the lack of a significant difference in AE rates between the dose groups, the 10,000 U dose was selected for the </w:t>
      </w:r>
      <w:r w:rsidR="00F560BE">
        <w:rPr>
          <w:lang w:eastAsia="ja-JP"/>
        </w:rPr>
        <w:t>Phase I</w:t>
      </w:r>
      <w:r w:rsidRPr="00BF4EBA">
        <w:rPr>
          <w:lang w:eastAsia="ja-JP"/>
        </w:rPr>
        <w:t>II trials.</w:t>
      </w:r>
    </w:p>
    <w:p w:rsidR="00BF4EBA" w:rsidRPr="00BF4EBA" w:rsidRDefault="00BF4EBA" w:rsidP="00773879">
      <w:pPr>
        <w:rPr>
          <w:lang w:eastAsia="ja-JP"/>
        </w:rPr>
      </w:pPr>
      <w:r w:rsidRPr="00BF4EBA">
        <w:rPr>
          <w:lang w:eastAsia="ja-JP"/>
        </w:rPr>
        <w:t xml:space="preserve">Efficacy evaluation was based on two pivotal </w:t>
      </w:r>
      <w:r w:rsidR="00F560BE">
        <w:rPr>
          <w:lang w:eastAsia="ja-JP"/>
        </w:rPr>
        <w:t>Phase I</w:t>
      </w:r>
      <w:r w:rsidRPr="00BF4EBA">
        <w:rPr>
          <w:lang w:eastAsia="ja-JP"/>
        </w:rPr>
        <w:t xml:space="preserve">II trials (AUX-CC-857 and AUX-CC-859). These had the same design with one being conducted in the US and the other in Europe and Australia. Placebo, rather than surgical treatment, was used for the comparator as this allowed blinding and safety assessment as well as not subjecting study participants to the risk of general anaesthesia. Needle </w:t>
      </w:r>
      <w:proofErr w:type="spellStart"/>
      <w:r w:rsidRPr="00BF4EBA">
        <w:rPr>
          <w:lang w:eastAsia="ja-JP"/>
        </w:rPr>
        <w:t>fasciotomy</w:t>
      </w:r>
      <w:proofErr w:type="spellEnd"/>
      <w:r w:rsidRPr="00BF4EBA">
        <w:rPr>
          <w:lang w:eastAsia="ja-JP"/>
        </w:rPr>
        <w:t xml:space="preserve"> was not considered due to high recurrence rates and lack of its routine use in clinical practice. Treatment was stratified by joint type (MP or PIP) and severity of primary joint contracture. In the double-blind phase of the studies up to 3 injections could be given, one a month, over a 90 day period. Subjects underwent a finger extension procedure on the day after the injection in attempt to disrupt the cord. Evaluation was via finger goniometry using a Neutral Zero Method at day 30 post injection. Subjects were required to have </w:t>
      </w:r>
      <w:proofErr w:type="spellStart"/>
      <w:r w:rsidRPr="00BF4EBA">
        <w:rPr>
          <w:lang w:eastAsia="ja-JP"/>
        </w:rPr>
        <w:t>Dupuytren's</w:t>
      </w:r>
      <w:proofErr w:type="spellEnd"/>
      <w:r w:rsidRPr="00BF4EBA">
        <w:rPr>
          <w:lang w:eastAsia="ja-JP"/>
        </w:rPr>
        <w:t xml:space="preserve"> disease with a fixed flexion</w:t>
      </w:r>
      <w:r w:rsidRPr="00BF4EBA">
        <w:rPr>
          <w:bCs/>
          <w:lang w:eastAsia="ja-JP"/>
        </w:rPr>
        <w:t xml:space="preserve"> deformity of at least one finger (other than the thumb) that was </w:t>
      </w:r>
      <w:r w:rsidR="00FE3AC5">
        <w:rPr>
          <w:bCs/>
          <w:lang w:eastAsia="ja-JP"/>
        </w:rPr>
        <w:t>≥</w:t>
      </w:r>
      <w:r w:rsidRPr="00BF4EBA">
        <w:rPr>
          <w:bCs/>
          <w:lang w:eastAsia="ja-JP"/>
        </w:rPr>
        <w:t xml:space="preserve">20° and </w:t>
      </w:r>
      <w:r w:rsidR="00FE3AC5">
        <w:rPr>
          <w:bCs/>
          <w:lang w:eastAsia="ja-JP"/>
        </w:rPr>
        <w:t>≤</w:t>
      </w:r>
      <w:r w:rsidRPr="00BF4EBA">
        <w:rPr>
          <w:bCs/>
          <w:lang w:eastAsia="ja-JP"/>
        </w:rPr>
        <w:t>100° for MP (</w:t>
      </w:r>
      <w:r w:rsidR="00FE3AC5">
        <w:rPr>
          <w:bCs/>
          <w:lang w:eastAsia="ja-JP"/>
        </w:rPr>
        <w:t>≤</w:t>
      </w:r>
      <w:r w:rsidRPr="00BF4EBA">
        <w:rPr>
          <w:bCs/>
          <w:lang w:eastAsia="ja-JP"/>
        </w:rPr>
        <w:t xml:space="preserve">80° for PIP) caused by a palpable cord and a positive “table top test”. </w:t>
      </w:r>
      <w:r w:rsidRPr="00BF4EBA">
        <w:rPr>
          <w:lang w:eastAsia="ja-JP"/>
        </w:rPr>
        <w:t>The primary endpoint was the proportion of subjects achieving a reduction in contracture of their primary joint to 5° or less at day 30 after the last injection.</w:t>
      </w:r>
    </w:p>
    <w:p w:rsidR="00BF4EBA" w:rsidRPr="00BF4EBA" w:rsidRDefault="00BF4EBA" w:rsidP="00773879">
      <w:pPr>
        <w:rPr>
          <w:lang w:eastAsia="ja-JP"/>
        </w:rPr>
      </w:pPr>
      <w:r w:rsidRPr="00BF4EBA">
        <w:rPr>
          <w:lang w:eastAsia="ja-JP"/>
        </w:rPr>
        <w:t xml:space="preserve">In the two pivotal trials, subjects were invariably white (100%), male (80%) and aged between 55 and 74 years. Around 40% had previous surgery for their </w:t>
      </w:r>
      <w:proofErr w:type="spellStart"/>
      <w:r w:rsidRPr="00BF4EBA">
        <w:rPr>
          <w:lang w:eastAsia="ja-JP"/>
        </w:rPr>
        <w:t>Dupuytren's</w:t>
      </w:r>
      <w:proofErr w:type="spellEnd"/>
      <w:r w:rsidRPr="00BF4EBA">
        <w:rPr>
          <w:lang w:eastAsia="ja-JP"/>
        </w:rPr>
        <w:t xml:space="preserve"> disease. After a 90 day double-blind period where up to 3 injections could be given, a statistically superior response in reducing the contracture to 5° or less at the primary joint was found (64.0%</w:t>
      </w:r>
      <w:r w:rsidR="00CD48FD">
        <w:rPr>
          <w:lang w:eastAsia="ja-JP"/>
        </w:rPr>
        <w:t xml:space="preserve"> versus </w:t>
      </w:r>
      <w:r w:rsidRPr="00BF4EBA">
        <w:rPr>
          <w:lang w:eastAsia="ja-JP"/>
        </w:rPr>
        <w:t>6.8%, p&lt;0.001 in AUX-CC-857 and 44.4%</w:t>
      </w:r>
      <w:r w:rsidR="00CD48FD">
        <w:rPr>
          <w:lang w:eastAsia="ja-JP"/>
        </w:rPr>
        <w:t xml:space="preserve"> versus </w:t>
      </w:r>
      <w:r w:rsidRPr="00BF4EBA">
        <w:rPr>
          <w:lang w:eastAsia="ja-JP"/>
        </w:rPr>
        <w:t xml:space="preserve">4.8%, p&lt;0.001 in AUX-CC-859). A positive response was seen after the first injection and the mean number of injections required was 1.5 in both studies. Treatment effect was seen at both the MP and PIP joints although response was less at </w:t>
      </w:r>
      <w:r w:rsidRPr="00BF4EBA">
        <w:rPr>
          <w:lang w:eastAsia="ja-JP"/>
        </w:rPr>
        <w:lastRenderedPageBreak/>
        <w:t>the PIP joint and in joints with more severe contraction. Pooled efficacy data found the clinical success rate at the primary MP joint was 75.2%</w:t>
      </w:r>
      <w:r w:rsidR="00CD48FD">
        <w:rPr>
          <w:lang w:eastAsia="ja-JP"/>
        </w:rPr>
        <w:t xml:space="preserve"> versus </w:t>
      </w:r>
      <w:r w:rsidRPr="00BF4EBA">
        <w:rPr>
          <w:lang w:eastAsia="ja-JP"/>
        </w:rPr>
        <w:t>7.5%, and at the primary PIP joint was 36.8%</w:t>
      </w:r>
      <w:r w:rsidR="00CD48FD">
        <w:rPr>
          <w:lang w:eastAsia="ja-JP"/>
        </w:rPr>
        <w:t xml:space="preserve"> versus </w:t>
      </w:r>
      <w:r w:rsidRPr="00BF4EBA">
        <w:rPr>
          <w:lang w:eastAsia="ja-JP"/>
        </w:rPr>
        <w:t>4.5%. There was improved response on the reduction in contracture degree and the range of motion. It was noted that no confidence intervals were provided for the efficacy endpoints and this should be done.</w:t>
      </w:r>
    </w:p>
    <w:p w:rsidR="00BF4EBA" w:rsidRPr="00BF4EBA" w:rsidRDefault="00BF4EBA" w:rsidP="00773879">
      <w:pPr>
        <w:rPr>
          <w:lang w:eastAsia="ja-JP"/>
        </w:rPr>
      </w:pPr>
      <w:r w:rsidRPr="00BF4EBA">
        <w:rPr>
          <w:lang w:eastAsia="ja-JP"/>
        </w:rPr>
        <w:t>Results were consistent across subgroups of age, gender, weight and BMI and were associated with improvement in disease severity (as assessed by physicians) and subject satisfaction. Failure to achieve success was associated with not receiving the full injection course (52%) which was typically due to the physician having “no palpable cord to inject”.</w:t>
      </w:r>
    </w:p>
    <w:p w:rsidR="00BF4EBA" w:rsidRPr="00BF4EBA" w:rsidRDefault="00BF4EBA" w:rsidP="00773879">
      <w:pPr>
        <w:rPr>
          <w:lang w:eastAsia="ja-JP"/>
        </w:rPr>
      </w:pPr>
      <w:r w:rsidRPr="00BF4EBA">
        <w:rPr>
          <w:lang w:eastAsia="ja-JP"/>
        </w:rPr>
        <w:t>There were five open label extension periods (DUPY404, AUX-CC-854, 856, 858 and 859) which included efficacy data and allowed non-primary joints to be treated. Subjects could receive up to 5 injections, maximum 3 per joint, in the 9 month period. Study 858 was the extension of 857 and 523 joints were treated. In</w:t>
      </w:r>
      <w:r w:rsidR="00CD48FD">
        <w:rPr>
          <w:lang w:eastAsia="ja-JP"/>
        </w:rPr>
        <w:t xml:space="preserve"> Study AUX</w:t>
      </w:r>
      <w:r w:rsidRPr="00BF4EBA">
        <w:rPr>
          <w:lang w:eastAsia="ja-JP"/>
        </w:rPr>
        <w:t xml:space="preserve">-CC-859, 64 subjects continued with 47 joints treated. Study </w:t>
      </w:r>
      <w:r w:rsidRPr="00BF4EBA">
        <w:rPr>
          <w:bCs/>
          <w:lang w:eastAsia="ja-JP"/>
        </w:rPr>
        <w:t xml:space="preserve">AUX-CC-854 and 856 included </w:t>
      </w:r>
      <w:r w:rsidRPr="00BF4EBA">
        <w:rPr>
          <w:lang w:eastAsia="ja-JP"/>
        </w:rPr>
        <w:t>386 and 201 subjects who had 589 and 293 joints treated, respectively. Overall, efficacy results were consistent with the pivotal trials and confirmed that response was less with the PIP joints and more severely contracted joints.</w:t>
      </w:r>
    </w:p>
    <w:p w:rsidR="00BF4EBA" w:rsidRPr="00BF4EBA" w:rsidRDefault="00BF4EBA" w:rsidP="00773879">
      <w:pPr>
        <w:rPr>
          <w:lang w:eastAsia="ja-JP"/>
        </w:rPr>
      </w:pPr>
      <w:r w:rsidRPr="00BF4EBA">
        <w:rPr>
          <w:lang w:eastAsia="ja-JP"/>
        </w:rPr>
        <w:t>Study AUX-CC-851, 852, 853 and DUPY-303 and 404 were all affected by premature termination of enrolment</w:t>
      </w:r>
      <w:r w:rsidR="00FE3AC5">
        <w:rPr>
          <w:lang w:eastAsia="ja-JP"/>
        </w:rPr>
        <w:t>; S</w:t>
      </w:r>
      <w:r w:rsidRPr="00BF4EBA">
        <w:rPr>
          <w:lang w:eastAsia="ja-JP"/>
        </w:rPr>
        <w:t xml:space="preserve">tudies 303 and 404 due to the change in licensing of AA4500 and </w:t>
      </w:r>
      <w:r w:rsidR="00FE3AC5">
        <w:rPr>
          <w:lang w:eastAsia="ja-JP"/>
        </w:rPr>
        <w:t>S</w:t>
      </w:r>
      <w:r w:rsidRPr="00BF4EBA">
        <w:rPr>
          <w:lang w:eastAsia="ja-JP"/>
        </w:rPr>
        <w:t>tudies 851, 852 and 853 due to “manufacturing issues”. As a consequence the efficacy data are not sufficiently robust to draw conclusion although they do provide limited evidence which is in line with the major clinical studies.</w:t>
      </w:r>
    </w:p>
    <w:p w:rsidR="00BF4EBA" w:rsidRPr="00BF4EBA" w:rsidRDefault="00BF4EBA" w:rsidP="00773879">
      <w:pPr>
        <w:rPr>
          <w:lang w:eastAsia="ja-JP"/>
        </w:rPr>
      </w:pPr>
      <w:r w:rsidRPr="00BF4EBA">
        <w:rPr>
          <w:lang w:eastAsia="ja-JP"/>
        </w:rPr>
        <w:t>Pooled data on immunogenicity from the clinical program found that anti-AUX-I or AUX-II antibodies were present in 100% of subjects by the third or fourth injection. Post-hoc analysis of clinical success and improvement versus anti-AUX-I/II titre indicated no relationship between titre level and treatment success or improvement, suggesting that there is likely no antibody-mediated effect on clinical efficacy.</w:t>
      </w:r>
    </w:p>
    <w:p w:rsidR="00BF4EBA" w:rsidRPr="00BF4EBA" w:rsidRDefault="00BF4EBA" w:rsidP="00773879">
      <w:pPr>
        <w:rPr>
          <w:lang w:eastAsia="ja-JP"/>
        </w:rPr>
      </w:pPr>
      <w:r w:rsidRPr="00BF4EBA">
        <w:rPr>
          <w:lang w:eastAsia="ja-JP"/>
        </w:rPr>
        <w:t>Recurrence of contracture was assessed at 12 months through the pivotal trials and their extensions with longer term data coming from</w:t>
      </w:r>
      <w:r w:rsidR="00CD48FD">
        <w:rPr>
          <w:lang w:eastAsia="ja-JP"/>
        </w:rPr>
        <w:t xml:space="preserve"> Study AUX</w:t>
      </w:r>
      <w:r w:rsidRPr="00BF4EBA">
        <w:rPr>
          <w:lang w:eastAsia="ja-JP"/>
        </w:rPr>
        <w:t xml:space="preserve">-CC-860 which is following 634 subjects (from a possible 950) who were enrolled in open label extension studies. At 12 months the reported recurrence rate was </w:t>
      </w:r>
      <w:r w:rsidRPr="00BF4EBA">
        <w:rPr>
          <w:bCs/>
          <w:lang w:eastAsia="ja-JP"/>
        </w:rPr>
        <w:t xml:space="preserve">4.5% of responding joints in </w:t>
      </w:r>
      <w:r w:rsidR="00FE3AC5" w:rsidRPr="00BF4EBA">
        <w:rPr>
          <w:bCs/>
          <w:lang w:eastAsia="ja-JP"/>
        </w:rPr>
        <w:t xml:space="preserve">Studies </w:t>
      </w:r>
      <w:r w:rsidRPr="00BF4EBA">
        <w:rPr>
          <w:bCs/>
          <w:lang w:eastAsia="ja-JP"/>
        </w:rPr>
        <w:t xml:space="preserve">857/858 and 0% in </w:t>
      </w:r>
      <w:r w:rsidR="00FE3AC5">
        <w:rPr>
          <w:bCs/>
          <w:lang w:eastAsia="ja-JP"/>
        </w:rPr>
        <w:t xml:space="preserve">Study </w:t>
      </w:r>
      <w:r w:rsidRPr="00BF4EBA">
        <w:rPr>
          <w:bCs/>
          <w:lang w:eastAsia="ja-JP"/>
        </w:rPr>
        <w:t xml:space="preserve">859. </w:t>
      </w:r>
      <w:r w:rsidR="00FE3AC5">
        <w:rPr>
          <w:lang w:eastAsia="ja-JP"/>
        </w:rPr>
        <w:t>At the end of Y</w:t>
      </w:r>
      <w:r w:rsidRPr="00BF4EBA">
        <w:rPr>
          <w:lang w:eastAsia="ja-JP"/>
        </w:rPr>
        <w:t>ear 2 (</w:t>
      </w:r>
      <w:r w:rsidR="00FE3AC5">
        <w:rPr>
          <w:lang w:eastAsia="ja-JP"/>
        </w:rPr>
        <w:t>D</w:t>
      </w:r>
      <w:r w:rsidRPr="00BF4EBA">
        <w:rPr>
          <w:lang w:eastAsia="ja-JP"/>
        </w:rPr>
        <w:t>ay 730), of the 618 joints which had been successfully treated, the recurrence rate was 19%. Recurrence was higher in PIP than MP joints (34%</w:t>
      </w:r>
      <w:r w:rsidR="00CD48FD">
        <w:rPr>
          <w:lang w:eastAsia="ja-JP"/>
        </w:rPr>
        <w:t xml:space="preserve"> versus </w:t>
      </w:r>
      <w:r w:rsidRPr="00BF4EBA">
        <w:rPr>
          <w:lang w:eastAsia="ja-JP"/>
        </w:rPr>
        <w:t>14%) and more severely affected joints at baseline. A non-durable response was noted in 32% of joints which had had a measurable response. Progression of disease was found in 29% of joints not effectively treated. The rate of worsening of disease in untreated joints was 1.9%. The data from the year three follow-up was not included, although should be available and submitted for evaluation.</w:t>
      </w:r>
    </w:p>
    <w:p w:rsidR="00C22678" w:rsidRDefault="00C22678" w:rsidP="00773879">
      <w:pPr>
        <w:pStyle w:val="Heading2"/>
      </w:pPr>
      <w:bookmarkStart w:id="175" w:name="_Toc374966967"/>
      <w:r>
        <w:t>Clinical safety</w:t>
      </w:r>
      <w:bookmarkEnd w:id="175"/>
    </w:p>
    <w:p w:rsidR="00BF4EBA" w:rsidRPr="00BF4EBA" w:rsidRDefault="00BF4EBA" w:rsidP="00FE3AC5">
      <w:pPr>
        <w:pStyle w:val="Heading3"/>
      </w:pPr>
      <w:bookmarkStart w:id="176" w:name="_Toc272414659"/>
      <w:bookmarkStart w:id="177" w:name="_Toc290846284"/>
      <w:bookmarkStart w:id="178" w:name="_Toc353960265"/>
      <w:bookmarkStart w:id="179" w:name="_Toc374966968"/>
      <w:r w:rsidRPr="00BF4EBA">
        <w:t>Studies providing evaluable safety data</w:t>
      </w:r>
      <w:bookmarkEnd w:id="176"/>
      <w:bookmarkEnd w:id="177"/>
      <w:bookmarkEnd w:id="178"/>
      <w:bookmarkEnd w:id="179"/>
    </w:p>
    <w:p w:rsidR="00BF4EBA" w:rsidRPr="00BF4EBA" w:rsidRDefault="00BF4EBA" w:rsidP="00773879">
      <w:pPr>
        <w:rPr>
          <w:lang w:eastAsia="ja-JP"/>
        </w:rPr>
      </w:pPr>
      <w:bookmarkStart w:id="180" w:name="_Ref268776745"/>
      <w:r w:rsidRPr="00BF4EBA">
        <w:rPr>
          <w:lang w:eastAsia="ja-JP"/>
        </w:rPr>
        <w:t xml:space="preserve">There were 13 clinical studies in the development program of AA4500 in </w:t>
      </w:r>
      <w:proofErr w:type="spellStart"/>
      <w:r w:rsidRPr="00BF4EBA">
        <w:rPr>
          <w:lang w:eastAsia="ja-JP"/>
        </w:rPr>
        <w:t>Dupuytren's</w:t>
      </w:r>
      <w:proofErr w:type="spellEnd"/>
      <w:r w:rsidRPr="00BF4EBA">
        <w:rPr>
          <w:lang w:eastAsia="ja-JP"/>
        </w:rPr>
        <w:t xml:space="preserve"> disease. There were two early clinical studies (DUPY-101 and </w:t>
      </w:r>
      <w:proofErr w:type="spellStart"/>
      <w:r w:rsidRPr="00BF4EBA">
        <w:rPr>
          <w:lang w:eastAsia="ja-JP"/>
        </w:rPr>
        <w:t>Badalen</w:t>
      </w:r>
      <w:r w:rsidRPr="000135F1">
        <w:rPr>
          <w:lang w:eastAsia="ja-JP"/>
        </w:rPr>
        <w:t>te</w:t>
      </w:r>
      <w:proofErr w:type="spellEnd"/>
      <w:r w:rsidRPr="000135F1">
        <w:rPr>
          <w:lang w:eastAsia="ja-JP"/>
        </w:rPr>
        <w:t xml:space="preserve"> and Hurst [2000]</w:t>
      </w:r>
      <w:r w:rsidR="000135F1" w:rsidRPr="000135F1">
        <w:rPr>
          <w:rStyle w:val="FootnoteReference"/>
          <w:lang w:eastAsia="ja-JP"/>
        </w:rPr>
        <w:footnoteReference w:id="11"/>
      </w:r>
      <w:r w:rsidRPr="000135F1">
        <w:rPr>
          <w:lang w:eastAsia="ja-JP"/>
        </w:rPr>
        <w:t>)</w:t>
      </w:r>
      <w:r w:rsidRPr="00BF4EBA">
        <w:rPr>
          <w:lang w:eastAsia="ja-JP"/>
        </w:rPr>
        <w:t xml:space="preserve"> which were not included in the safety analyses due to the lack of clinical databases. The dose-ranging </w:t>
      </w:r>
      <w:r w:rsidR="008208D2">
        <w:rPr>
          <w:lang w:eastAsia="ja-JP"/>
        </w:rPr>
        <w:t>Study DUPY</w:t>
      </w:r>
      <w:r w:rsidRPr="00BF4EBA">
        <w:rPr>
          <w:lang w:eastAsia="ja-JP"/>
        </w:rPr>
        <w:t xml:space="preserve">-202 and </w:t>
      </w:r>
      <w:r w:rsidR="00FE3AC5">
        <w:rPr>
          <w:lang w:eastAsia="ja-JP"/>
        </w:rPr>
        <w:t>S</w:t>
      </w:r>
      <w:r w:rsidRPr="00BF4EBA">
        <w:rPr>
          <w:lang w:eastAsia="ja-JP"/>
        </w:rPr>
        <w:t xml:space="preserve">tudies DUPY-303 and DUPY-404 were sponsored by BTC and used an earlier formulation of AA4500. The </w:t>
      </w:r>
      <w:r w:rsidR="00FE3AC5" w:rsidRPr="00BF4EBA">
        <w:rPr>
          <w:lang w:eastAsia="ja-JP"/>
        </w:rPr>
        <w:t xml:space="preserve">Studies </w:t>
      </w:r>
      <w:r w:rsidRPr="00BF4EBA">
        <w:rPr>
          <w:lang w:eastAsia="ja-JP"/>
        </w:rPr>
        <w:t xml:space="preserve">AUX-CC-851/852, AUC-CC-853 had enrolment terminated </w:t>
      </w:r>
      <w:r w:rsidRPr="00BF4EBA">
        <w:rPr>
          <w:lang w:eastAsia="ja-JP"/>
        </w:rPr>
        <w:lastRenderedPageBreak/>
        <w:t xml:space="preserve">early due to a manufacturing issue. There were 20 subjects included in these studies which rolled over into </w:t>
      </w:r>
      <w:r w:rsidR="00FE3AC5" w:rsidRPr="00BF4EBA">
        <w:rPr>
          <w:lang w:eastAsia="ja-JP"/>
        </w:rPr>
        <w:t>Studies</w:t>
      </w:r>
      <w:r w:rsidRPr="00BF4EBA">
        <w:rPr>
          <w:lang w:eastAsia="ja-JP"/>
        </w:rPr>
        <w:t xml:space="preserve"> AUX-CC-854 or 856.</w:t>
      </w:r>
    </w:p>
    <w:bookmarkEnd w:id="180"/>
    <w:p w:rsidR="00BF4EBA" w:rsidRPr="00BF4EBA" w:rsidRDefault="00BF4EBA" w:rsidP="00773879">
      <w:pPr>
        <w:rPr>
          <w:lang w:eastAsia="ja-JP"/>
        </w:rPr>
      </w:pPr>
      <w:r w:rsidRPr="00BF4EBA">
        <w:rPr>
          <w:lang w:eastAsia="ja-JP"/>
        </w:rPr>
        <w:t xml:space="preserve">In the pivotal efficacy </w:t>
      </w:r>
      <w:r w:rsidR="00FE3AC5">
        <w:rPr>
          <w:lang w:eastAsia="ja-JP"/>
        </w:rPr>
        <w:t>S</w:t>
      </w:r>
      <w:r w:rsidRPr="00BF4EBA">
        <w:rPr>
          <w:lang w:eastAsia="ja-JP"/>
        </w:rPr>
        <w:t>tudies, AUX-CC-857 and AUX-CC-859, the following safety data were collected:</w:t>
      </w:r>
    </w:p>
    <w:p w:rsidR="00BF4EBA" w:rsidRPr="00BF4EBA" w:rsidRDefault="00BF4EBA" w:rsidP="00773879">
      <w:pPr>
        <w:pStyle w:val="ListBullet"/>
        <w:rPr>
          <w:lang w:eastAsia="ja-JP"/>
        </w:rPr>
      </w:pPr>
      <w:r w:rsidRPr="00BF4EBA">
        <w:rPr>
          <w:lang w:eastAsia="ja-JP"/>
        </w:rPr>
        <w:t>General adverse events (AEs) as assessed by the investigator at each visit.</w:t>
      </w:r>
    </w:p>
    <w:p w:rsidR="00BF4EBA" w:rsidRPr="00BF4EBA" w:rsidRDefault="00BF4EBA" w:rsidP="00773879">
      <w:pPr>
        <w:pStyle w:val="ListBullet"/>
        <w:rPr>
          <w:lang w:eastAsia="ja-JP"/>
        </w:rPr>
      </w:pPr>
      <w:r w:rsidRPr="00BF4EBA">
        <w:rPr>
          <w:lang w:eastAsia="ja-JP"/>
        </w:rPr>
        <w:t>Laboratory tests (haematology, clinical chemistry) and urinalysis.</w:t>
      </w:r>
    </w:p>
    <w:p w:rsidR="00BF4EBA" w:rsidRPr="00BF4EBA" w:rsidRDefault="00FE3AC5" w:rsidP="00FE3AC5">
      <w:pPr>
        <w:pStyle w:val="ListBullet"/>
        <w:rPr>
          <w:lang w:eastAsia="ja-JP"/>
        </w:rPr>
      </w:pPr>
      <w:r>
        <w:rPr>
          <w:lang w:eastAsia="ja-JP"/>
        </w:rPr>
        <w:t>Electrocardiograms (</w:t>
      </w:r>
      <w:r w:rsidR="00BF4EBA" w:rsidRPr="00BF4EBA">
        <w:rPr>
          <w:lang w:eastAsia="ja-JP"/>
        </w:rPr>
        <w:t>ECGs</w:t>
      </w:r>
      <w:r>
        <w:rPr>
          <w:lang w:eastAsia="ja-JP"/>
        </w:rPr>
        <w:t>)</w:t>
      </w:r>
      <w:r w:rsidR="00BF4EBA" w:rsidRPr="00BF4EBA">
        <w:rPr>
          <w:lang w:eastAsia="ja-JP"/>
        </w:rPr>
        <w:t>, vital signs, hand grip strength by dynamometry (in kg) in the treated hand.</w:t>
      </w:r>
    </w:p>
    <w:p w:rsidR="00BF4EBA" w:rsidRPr="00BF4EBA" w:rsidRDefault="00BF4EBA" w:rsidP="00773879">
      <w:pPr>
        <w:pStyle w:val="ListBullet"/>
        <w:rPr>
          <w:lang w:eastAsia="ja-JP"/>
        </w:rPr>
      </w:pPr>
      <w:r w:rsidRPr="00BF4EBA">
        <w:rPr>
          <w:lang w:eastAsia="ja-JP"/>
        </w:rPr>
        <w:t xml:space="preserve">Immunogenicity with bloods drawn prior to each injection and 30 days </w:t>
      </w:r>
      <w:r w:rsidR="00FE3AC5">
        <w:rPr>
          <w:lang w:eastAsia="ja-JP"/>
        </w:rPr>
        <w:t>post each injection and at the D</w:t>
      </w:r>
      <w:r w:rsidRPr="00BF4EBA">
        <w:rPr>
          <w:lang w:eastAsia="ja-JP"/>
        </w:rPr>
        <w:t>ay 90 visit. Titres of anti-AUX-I and anti-AUX-II were determined.</w:t>
      </w:r>
    </w:p>
    <w:p w:rsidR="00BF4EBA" w:rsidRPr="00BF4EBA" w:rsidRDefault="00BF4EBA" w:rsidP="00773879">
      <w:pPr>
        <w:rPr>
          <w:lang w:eastAsia="ja-JP"/>
        </w:rPr>
      </w:pPr>
      <w:r w:rsidRPr="00BF4EBA">
        <w:rPr>
          <w:lang w:eastAsia="ja-JP"/>
        </w:rPr>
        <w:t xml:space="preserve">The small early </w:t>
      </w:r>
      <w:r w:rsidR="008208D2">
        <w:rPr>
          <w:lang w:eastAsia="ja-JP"/>
        </w:rPr>
        <w:t>Study DUPY</w:t>
      </w:r>
      <w:r w:rsidRPr="00BF4EBA">
        <w:rPr>
          <w:lang w:eastAsia="ja-JP"/>
        </w:rPr>
        <w:t>-303 provided some additional controlled safety data against placebo in 35 subjects. There were no pivotal safety studies however</w:t>
      </w:r>
      <w:r w:rsidR="00CD48FD">
        <w:rPr>
          <w:lang w:eastAsia="ja-JP"/>
        </w:rPr>
        <w:t xml:space="preserve"> Study AUX</w:t>
      </w:r>
      <w:r w:rsidRPr="00BF4EBA">
        <w:rPr>
          <w:lang w:eastAsia="ja-JP"/>
        </w:rPr>
        <w:t xml:space="preserve">-CC-860 was a non-treatment long-term follow-up which provided data on disease recurrence at two years. </w:t>
      </w:r>
    </w:p>
    <w:p w:rsidR="00BF4EBA" w:rsidRPr="00BF4EBA" w:rsidRDefault="00BF4EBA" w:rsidP="00773879">
      <w:pPr>
        <w:rPr>
          <w:lang w:eastAsia="ja-JP"/>
        </w:rPr>
      </w:pPr>
      <w:r w:rsidRPr="00BF4EBA">
        <w:rPr>
          <w:lang w:eastAsia="ja-JP"/>
        </w:rPr>
        <w:t xml:space="preserve">Longer term safety data to 12 months post the first dose was provided by </w:t>
      </w:r>
      <w:r w:rsidR="007F35DD" w:rsidRPr="00BF4EBA">
        <w:rPr>
          <w:lang w:eastAsia="ja-JP"/>
        </w:rPr>
        <w:t xml:space="preserve">Studies </w:t>
      </w:r>
      <w:r w:rsidRPr="00BF4EBA">
        <w:rPr>
          <w:lang w:eastAsia="ja-JP"/>
        </w:rPr>
        <w:t>DUPY-202, DUPY-303/404, AUX-CC-851/852, AUX-CC-853, AUX-CC-857/858, AUX-CC-859. These studies collected AEs, vital signs, grip strength, immunogenicity, and clinical laboratory tests (except in DUPY-303/404).</w:t>
      </w:r>
    </w:p>
    <w:p w:rsidR="00BF4EBA" w:rsidRPr="00BF4EBA" w:rsidRDefault="00BF4EBA" w:rsidP="00773879">
      <w:pPr>
        <w:rPr>
          <w:lang w:eastAsia="ja-JP"/>
        </w:rPr>
      </w:pPr>
      <w:r w:rsidRPr="00BF4EBA">
        <w:rPr>
          <w:lang w:eastAsia="ja-JP"/>
        </w:rPr>
        <w:t>The pooled safety analysis populations are listed belo</w:t>
      </w:r>
      <w:r w:rsidRPr="007F35DD">
        <w:rPr>
          <w:lang w:eastAsia="ja-JP"/>
        </w:rPr>
        <w:t xml:space="preserve">w in Table </w:t>
      </w:r>
      <w:r w:rsidR="007F35DD" w:rsidRPr="007F35DD">
        <w:rPr>
          <w:lang w:eastAsia="ja-JP"/>
        </w:rPr>
        <w:t>17</w:t>
      </w:r>
      <w:r w:rsidRPr="007F35DD">
        <w:rPr>
          <w:lang w:eastAsia="ja-JP"/>
        </w:rPr>
        <w:t xml:space="preserve"> b</w:t>
      </w:r>
      <w:r w:rsidRPr="00BF4EBA">
        <w:rPr>
          <w:lang w:eastAsia="ja-JP"/>
        </w:rPr>
        <w:t>elow</w:t>
      </w:r>
      <w:r w:rsidRPr="00BF4EBA">
        <w:rPr>
          <w:b/>
          <w:lang w:eastAsia="ja-JP"/>
        </w:rPr>
        <w:t xml:space="preserve">. </w:t>
      </w:r>
      <w:r w:rsidRPr="00BF4EBA">
        <w:rPr>
          <w:lang w:eastAsia="ja-JP"/>
        </w:rPr>
        <w:t xml:space="preserve">The </w:t>
      </w:r>
      <w:r w:rsidRPr="00BF4EBA">
        <w:rPr>
          <w:i/>
          <w:lang w:eastAsia="ja-JP"/>
        </w:rPr>
        <w:t xml:space="preserve">Phase </w:t>
      </w:r>
      <w:r w:rsidR="007F35DD">
        <w:rPr>
          <w:i/>
          <w:lang w:eastAsia="ja-JP"/>
        </w:rPr>
        <w:t>III</w:t>
      </w:r>
      <w:r w:rsidRPr="00BF4EBA">
        <w:rPr>
          <w:i/>
          <w:lang w:eastAsia="ja-JP"/>
        </w:rPr>
        <w:t xml:space="preserve"> double-blind</w:t>
      </w:r>
      <w:r w:rsidRPr="00BF4EBA">
        <w:rPr>
          <w:lang w:eastAsia="ja-JP"/>
        </w:rPr>
        <w:t xml:space="preserve"> </w:t>
      </w:r>
      <w:r w:rsidRPr="00BF4EBA">
        <w:rPr>
          <w:i/>
          <w:lang w:eastAsia="ja-JP"/>
        </w:rPr>
        <w:t>placebo-controlled</w:t>
      </w:r>
      <w:r w:rsidRPr="00BF4EBA">
        <w:rPr>
          <w:lang w:eastAsia="ja-JP"/>
        </w:rPr>
        <w:t xml:space="preserve"> population was used to compare AE rates to placebo. The </w:t>
      </w:r>
      <w:r w:rsidRPr="00BF4EBA">
        <w:rPr>
          <w:i/>
          <w:lang w:eastAsia="ja-JP"/>
        </w:rPr>
        <w:t>All subjects with at least one dose</w:t>
      </w:r>
      <w:r w:rsidRPr="00BF4EBA">
        <w:rPr>
          <w:lang w:eastAsia="ja-JP"/>
        </w:rPr>
        <w:t xml:space="preserve"> was used to identify common events, assess subgroups and assess adverse event rates with increasing injection number. The </w:t>
      </w:r>
      <w:r w:rsidRPr="00BF4EBA">
        <w:rPr>
          <w:i/>
          <w:lang w:eastAsia="ja-JP"/>
        </w:rPr>
        <w:t xml:space="preserve">All subjects with 12 months post first dose </w:t>
      </w:r>
      <w:r w:rsidRPr="00BF4EBA">
        <w:rPr>
          <w:lang w:eastAsia="ja-JP"/>
        </w:rPr>
        <w:t xml:space="preserve">was used to assess long term safety. There was also the group of </w:t>
      </w:r>
      <w:r w:rsidRPr="00BF4EBA">
        <w:rPr>
          <w:i/>
          <w:lang w:eastAsia="ja-JP"/>
        </w:rPr>
        <w:t>All subjects with at least 1 dose (antibody determination)</w:t>
      </w:r>
      <w:r w:rsidRPr="00BF4EBA">
        <w:rPr>
          <w:lang w:eastAsia="ja-JP"/>
        </w:rPr>
        <w:t xml:space="preserve"> which was used for immunogenicity analysis.</w:t>
      </w:r>
    </w:p>
    <w:p w:rsidR="00BF4EBA" w:rsidRPr="00BF4EBA" w:rsidRDefault="00BF4EBA" w:rsidP="00773879">
      <w:pPr>
        <w:rPr>
          <w:lang w:eastAsia="ja-JP"/>
        </w:rPr>
      </w:pPr>
      <w:r w:rsidRPr="00BF4EBA">
        <w:rPr>
          <w:lang w:eastAsia="ja-JP"/>
        </w:rPr>
        <w:t xml:space="preserve">Due to the varying follow up time, in the population </w:t>
      </w:r>
      <w:r w:rsidRPr="00BF4EBA">
        <w:rPr>
          <w:i/>
          <w:iCs/>
          <w:lang w:eastAsia="ja-JP"/>
        </w:rPr>
        <w:t xml:space="preserve">All Subjects With At Least 1 Dose of AA4500, </w:t>
      </w:r>
      <w:r w:rsidRPr="00BF4EBA">
        <w:rPr>
          <w:lang w:eastAsia="ja-JP"/>
        </w:rPr>
        <w:t xml:space="preserve">TEAEs were analysed if they occurred from the injection to the 30 day evaluation visit post the last injection. </w:t>
      </w:r>
    </w:p>
    <w:p w:rsidR="00BF4EBA" w:rsidRPr="00BF4EBA" w:rsidRDefault="00BF4EBA" w:rsidP="00773879">
      <w:pPr>
        <w:pStyle w:val="TableTitle"/>
        <w:rPr>
          <w:lang w:eastAsia="ja-JP"/>
        </w:rPr>
      </w:pPr>
      <w:bookmarkStart w:id="181" w:name="_Toc353960335"/>
      <w:r w:rsidRPr="00BF4EBA">
        <w:rPr>
          <w:lang w:eastAsia="ja-JP"/>
        </w:rPr>
        <w:t xml:space="preserve">Table </w:t>
      </w:r>
      <w:r w:rsidR="007F35DD">
        <w:rPr>
          <w:lang w:eastAsia="ja-JP"/>
        </w:rPr>
        <w:t xml:space="preserve">17. </w:t>
      </w:r>
      <w:r w:rsidRPr="00BF4EBA">
        <w:rPr>
          <w:lang w:eastAsia="ja-JP"/>
        </w:rPr>
        <w:t>Analysis Populations</w:t>
      </w:r>
      <w:bookmarkEnd w:id="181"/>
    </w:p>
    <w:p w:rsidR="00BF4EBA" w:rsidRPr="00BF4EBA" w:rsidRDefault="00BF4EBA" w:rsidP="00773879">
      <w:pPr>
        <w:rPr>
          <w:lang w:eastAsia="ja-JP"/>
        </w:rPr>
      </w:pPr>
      <w:r w:rsidRPr="00BF4EBA">
        <w:rPr>
          <w:noProof/>
          <w:lang w:eastAsia="en-AU"/>
        </w:rPr>
        <w:drawing>
          <wp:inline distT="0" distB="0" distL="0" distR="0">
            <wp:extent cx="5257800" cy="1933575"/>
            <wp:effectExtent l="19050" t="0" r="0" b="0"/>
            <wp:docPr id="5" name="Picture 3" descr="Table 17.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duotone>
                        <a:prstClr val="black"/>
                        <a:schemeClr val="bg1">
                          <a:tint val="45000"/>
                          <a:satMod val="400000"/>
                        </a:schemeClr>
                      </a:duotone>
                    </a:blip>
                    <a:srcRect l="1408" r="1408"/>
                    <a:stretch>
                      <a:fillRect/>
                    </a:stretch>
                  </pic:blipFill>
                  <pic:spPr bwMode="auto">
                    <a:xfrm>
                      <a:off x="0" y="0"/>
                      <a:ext cx="5257800" cy="1933575"/>
                    </a:xfrm>
                    <a:prstGeom prst="rect">
                      <a:avLst/>
                    </a:prstGeom>
                    <a:noFill/>
                    <a:ln w="9525">
                      <a:noFill/>
                      <a:miter lim="800000"/>
                      <a:headEnd/>
                      <a:tailEnd/>
                    </a:ln>
                  </pic:spPr>
                </pic:pic>
              </a:graphicData>
            </a:graphic>
          </wp:inline>
        </w:drawing>
      </w:r>
    </w:p>
    <w:p w:rsidR="00BF4EBA" w:rsidRPr="00BF4EBA" w:rsidRDefault="00BF4EBA" w:rsidP="00773879">
      <w:pPr>
        <w:pStyle w:val="Heading3"/>
      </w:pPr>
      <w:bookmarkStart w:id="182" w:name="_Ref269204367"/>
      <w:bookmarkStart w:id="183" w:name="_Ref271195835"/>
      <w:bookmarkStart w:id="184" w:name="_Ref271195841"/>
      <w:bookmarkStart w:id="185" w:name="_Toc272414660"/>
      <w:bookmarkStart w:id="186" w:name="_Toc290846285"/>
      <w:bookmarkStart w:id="187" w:name="_Toc353960266"/>
      <w:bookmarkStart w:id="188" w:name="_Toc374966969"/>
      <w:r w:rsidRPr="00BF4EBA">
        <w:t>Pivotal studies that assessed safety as a primary outcome</w:t>
      </w:r>
      <w:bookmarkEnd w:id="182"/>
      <w:bookmarkEnd w:id="183"/>
      <w:bookmarkEnd w:id="184"/>
      <w:bookmarkEnd w:id="185"/>
      <w:bookmarkEnd w:id="186"/>
      <w:bookmarkEnd w:id="187"/>
      <w:bookmarkEnd w:id="188"/>
    </w:p>
    <w:p w:rsidR="00BF4EBA" w:rsidRPr="00BF4EBA" w:rsidRDefault="00BF4EBA" w:rsidP="00773879">
      <w:pPr>
        <w:rPr>
          <w:lang w:eastAsia="ja-JP"/>
        </w:rPr>
      </w:pPr>
      <w:r w:rsidRPr="00BF4EBA">
        <w:rPr>
          <w:lang w:eastAsia="ja-JP"/>
        </w:rPr>
        <w:t>None.</w:t>
      </w:r>
    </w:p>
    <w:p w:rsidR="00BF4EBA" w:rsidRPr="00BF4EBA" w:rsidRDefault="00BF4EBA" w:rsidP="00773879">
      <w:pPr>
        <w:pStyle w:val="Heading3"/>
      </w:pPr>
      <w:bookmarkStart w:id="189" w:name="_Toc241374318"/>
      <w:bookmarkStart w:id="190" w:name="_Ref271196630"/>
      <w:bookmarkStart w:id="191" w:name="_Toc272414662"/>
      <w:bookmarkStart w:id="192" w:name="_Toc290846300"/>
      <w:bookmarkStart w:id="193" w:name="_Toc353960267"/>
      <w:bookmarkStart w:id="194" w:name="_Toc374966970"/>
      <w:r w:rsidRPr="00BF4EBA">
        <w:lastRenderedPageBreak/>
        <w:t>Patient exposure</w:t>
      </w:r>
      <w:bookmarkEnd w:id="189"/>
      <w:bookmarkEnd w:id="190"/>
      <w:bookmarkEnd w:id="191"/>
      <w:bookmarkEnd w:id="192"/>
      <w:bookmarkEnd w:id="193"/>
      <w:bookmarkEnd w:id="194"/>
    </w:p>
    <w:p w:rsidR="00BF4EBA" w:rsidRPr="00BF4EBA" w:rsidRDefault="00BF4EBA" w:rsidP="00773879">
      <w:pPr>
        <w:rPr>
          <w:lang w:eastAsia="ja-JP"/>
        </w:rPr>
      </w:pPr>
      <w:r w:rsidRPr="00BF4EBA">
        <w:rPr>
          <w:lang w:eastAsia="ja-JP"/>
        </w:rPr>
        <w:t>There were 11 clinical trials providing safety data on 1,112 subjects. In this group, 13 subjects received placebo only, 17 subjects received doses of AA4500 &lt;0.58 mg and 1,082 received at least one injection of AA4500 0.58 mg.</w:t>
      </w:r>
    </w:p>
    <w:p w:rsidR="00BF4EBA" w:rsidRPr="00BF4EBA" w:rsidRDefault="00BF4EBA" w:rsidP="00773879">
      <w:pPr>
        <w:rPr>
          <w:lang w:eastAsia="ja-JP"/>
        </w:rPr>
      </w:pPr>
      <w:r w:rsidRPr="00BF4EBA">
        <w:rPr>
          <w:lang w:eastAsia="ja-JP"/>
        </w:rPr>
        <w:t>In the ‘Phase III double-blind placebo-controlled’ (DB PC) studies there were 272 AA4500 0.58 mg and 137 placebo-treated subjects with 532 cords treated (392 AA4500 and 140 placebo) with 990 injections (597 AA4500 and 393 placebo). The median participation duration was 92 days.</w:t>
      </w:r>
    </w:p>
    <w:p w:rsidR="00BF4EBA" w:rsidRPr="00BF4EBA" w:rsidRDefault="00BF4EBA" w:rsidP="00773879">
      <w:pPr>
        <w:rPr>
          <w:lang w:eastAsia="ja-JP"/>
        </w:rPr>
      </w:pPr>
      <w:r w:rsidRPr="00BF4EBA">
        <w:rPr>
          <w:lang w:eastAsia="ja-JP"/>
        </w:rPr>
        <w:t>In the ‘Subjects with at least one dose’ group, there were 1082 subjects who had 1780 cords treated with 2630 injections and the median study participation duration was 275 days. In the ‘All subjects with 12 months post first dose’ group there 268 subjects who had 509 cords treated with 771 injections and 52% received 1 or 2 injections. For these subjects, the median study duration was 366 days.</w:t>
      </w:r>
    </w:p>
    <w:p w:rsidR="00BF4EBA" w:rsidRPr="00BF4EBA" w:rsidRDefault="00BF4EBA" w:rsidP="00773879">
      <w:pPr>
        <w:rPr>
          <w:lang w:eastAsia="ja-JP"/>
        </w:rPr>
      </w:pPr>
      <w:r w:rsidRPr="00BF4EBA">
        <w:rPr>
          <w:lang w:eastAsia="ja-JP"/>
        </w:rPr>
        <w:t>Demographics have been discussed with the efficacy data. It is noted that there was a substantial proportion of subjects in the trials from Australia</w:t>
      </w:r>
      <w:r w:rsidR="007F35DD">
        <w:rPr>
          <w:lang w:eastAsia="ja-JP"/>
        </w:rPr>
        <w:t>;</w:t>
      </w:r>
      <w:r w:rsidRPr="00BF4EBA">
        <w:rPr>
          <w:lang w:eastAsia="ja-JP"/>
        </w:rPr>
        <w:t xml:space="preserve"> approximately 15% in the double-blind population and 30% of subjects receiving at least one dose.</w:t>
      </w:r>
    </w:p>
    <w:p w:rsidR="00BF4EBA" w:rsidRPr="00BF4EBA" w:rsidRDefault="00BF4EBA" w:rsidP="00B531F2">
      <w:pPr>
        <w:pStyle w:val="Heading3"/>
      </w:pPr>
      <w:bookmarkStart w:id="195" w:name="_Toc241374319"/>
      <w:bookmarkStart w:id="196" w:name="_Ref271044764"/>
      <w:bookmarkStart w:id="197" w:name="_Toc272414663"/>
      <w:bookmarkStart w:id="198" w:name="_Toc290846301"/>
      <w:bookmarkStart w:id="199" w:name="_Toc353960268"/>
      <w:bookmarkStart w:id="200" w:name="_Toc374966971"/>
      <w:r w:rsidRPr="00BF4EBA">
        <w:t>Adverse events</w:t>
      </w:r>
      <w:bookmarkEnd w:id="195"/>
      <w:bookmarkEnd w:id="196"/>
      <w:bookmarkEnd w:id="197"/>
      <w:bookmarkEnd w:id="198"/>
      <w:bookmarkEnd w:id="199"/>
      <w:bookmarkEnd w:id="200"/>
    </w:p>
    <w:p w:rsidR="00BF4EBA" w:rsidRPr="00BF4EBA" w:rsidRDefault="00BF4EBA" w:rsidP="00B531F2">
      <w:pPr>
        <w:pStyle w:val="Heading4"/>
      </w:pPr>
      <w:bookmarkStart w:id="201" w:name="_Ref272317284"/>
      <w:bookmarkStart w:id="202" w:name="_Ref272333565"/>
      <w:bookmarkStart w:id="203" w:name="_Toc272414664"/>
      <w:bookmarkStart w:id="204" w:name="_Toc290846302"/>
      <w:bookmarkStart w:id="205" w:name="_Toc353960269"/>
      <w:r w:rsidRPr="00BF4EBA">
        <w:t>All adverse events (irrespective of relationship to study treatment)</w:t>
      </w:r>
      <w:bookmarkEnd w:id="201"/>
      <w:bookmarkEnd w:id="202"/>
      <w:bookmarkEnd w:id="203"/>
      <w:bookmarkEnd w:id="204"/>
      <w:bookmarkEnd w:id="205"/>
    </w:p>
    <w:p w:rsidR="00BF4EBA" w:rsidRPr="00BF4EBA" w:rsidRDefault="00BF4EBA" w:rsidP="00B531F2">
      <w:pPr>
        <w:pStyle w:val="Heading5"/>
        <w:rPr>
          <w:lang w:eastAsia="ja-JP"/>
        </w:rPr>
      </w:pPr>
      <w:bookmarkStart w:id="206" w:name="_Toc353960270"/>
      <w:r w:rsidRPr="00BF4EBA">
        <w:rPr>
          <w:lang w:eastAsia="ja-JP"/>
        </w:rPr>
        <w:t>Pivotal studies</w:t>
      </w:r>
      <w:bookmarkEnd w:id="206"/>
    </w:p>
    <w:p w:rsidR="007F35DD" w:rsidRDefault="00BF4EBA" w:rsidP="00B531F2">
      <w:pPr>
        <w:rPr>
          <w:lang w:eastAsia="ja-JP"/>
        </w:rPr>
      </w:pPr>
      <w:r w:rsidRPr="00BF4EBA">
        <w:rPr>
          <w:lang w:eastAsia="ja-JP"/>
        </w:rPr>
        <w:t xml:space="preserve">In the pooled </w:t>
      </w:r>
      <w:r w:rsidR="00F560BE">
        <w:rPr>
          <w:lang w:eastAsia="ja-JP"/>
        </w:rPr>
        <w:t>Phase I</w:t>
      </w:r>
      <w:r w:rsidRPr="00BF4EBA">
        <w:rPr>
          <w:lang w:eastAsia="ja-JP"/>
        </w:rPr>
        <w:t>II double-blind placebo-controlled (DB PC) studies, the rate of treatment emergent adverse events (TEAEs) was notably higher with AA4500 than placebo (97.8%</w:t>
      </w:r>
      <w:r w:rsidR="00CD48FD">
        <w:rPr>
          <w:lang w:eastAsia="ja-JP"/>
        </w:rPr>
        <w:t xml:space="preserve"> versus </w:t>
      </w:r>
      <w:r w:rsidRPr="00BF4EBA">
        <w:rPr>
          <w:lang w:eastAsia="ja-JP"/>
        </w:rPr>
        <w:t>54.0%</w:t>
      </w:r>
      <w:r w:rsidRPr="0067444B">
        <w:rPr>
          <w:lang w:eastAsia="ja-JP"/>
        </w:rPr>
        <w:t xml:space="preserve">)(Table </w:t>
      </w:r>
      <w:r w:rsidR="0067444B" w:rsidRPr="0067444B">
        <w:rPr>
          <w:lang w:eastAsia="ja-JP"/>
        </w:rPr>
        <w:t>18</w:t>
      </w:r>
      <w:r w:rsidRPr="0067444B">
        <w:rPr>
          <w:lang w:eastAsia="ja-JP"/>
        </w:rPr>
        <w:t>). I</w:t>
      </w:r>
      <w:r w:rsidRPr="00BF4EBA">
        <w:rPr>
          <w:lang w:eastAsia="ja-JP"/>
        </w:rPr>
        <w:t>n the AA4500 group, the rates of mild, moderate or severe TEAEs were 32.4%, 55.9% and 9.6%, while in the placebo group were 35.8%, 15.3% and 2.9%, respectively.</w:t>
      </w:r>
    </w:p>
    <w:p w:rsidR="007F35DD" w:rsidRPr="007F35DD" w:rsidRDefault="007F35DD" w:rsidP="00B531F2">
      <w:pPr>
        <w:pStyle w:val="TableTitle"/>
        <w:rPr>
          <w:lang w:eastAsia="ja-JP"/>
        </w:rPr>
      </w:pPr>
      <w:bookmarkStart w:id="207" w:name="_Ref343675862"/>
      <w:bookmarkStart w:id="208" w:name="_Toc353960386"/>
      <w:r w:rsidRPr="007F35DD">
        <w:rPr>
          <w:lang w:eastAsia="ja-JP"/>
        </w:rPr>
        <w:t>Table</w:t>
      </w:r>
      <w:bookmarkEnd w:id="207"/>
      <w:bookmarkEnd w:id="208"/>
      <w:r w:rsidR="0067444B">
        <w:rPr>
          <w:lang w:eastAsia="ja-JP"/>
        </w:rPr>
        <w:t xml:space="preserve"> </w:t>
      </w:r>
      <w:r>
        <w:rPr>
          <w:lang w:eastAsia="ja-JP"/>
        </w:rPr>
        <w:t xml:space="preserve">18. First dose to end of double-blind </w:t>
      </w:r>
      <w:proofErr w:type="spellStart"/>
      <w:r>
        <w:rPr>
          <w:lang w:eastAsia="ja-JP"/>
        </w:rPr>
        <w:t>study</w:t>
      </w:r>
      <w:r w:rsidRPr="007F35DD">
        <w:rPr>
          <w:vertAlign w:val="superscript"/>
          <w:lang w:eastAsia="ja-JP"/>
        </w:rPr>
        <w:t>a</w:t>
      </w:r>
      <w:proofErr w:type="spellEnd"/>
      <w:r>
        <w:rPr>
          <w:lang w:eastAsia="ja-JP"/>
        </w:rPr>
        <w:t>. Overall summary of Treatment-Emergent and Treatment Related AEs. Phase III Double-blind, Placebo-controlled studies</w:t>
      </w:r>
      <w:r w:rsidRPr="007F35DD">
        <w:rPr>
          <w:vertAlign w:val="superscript"/>
          <w:lang w:eastAsia="ja-JP"/>
        </w:rPr>
        <w:t>b</w:t>
      </w:r>
      <w:r>
        <w:rPr>
          <w:lang w:eastAsia="ja-JP"/>
        </w:rPr>
        <w:t>.  DUPY-303, AUX-CC-857 and AUX-CC-859 (double-blind phase).</w:t>
      </w:r>
    </w:p>
    <w:p w:rsidR="007F35DD" w:rsidRPr="007F35DD" w:rsidRDefault="007F35DD" w:rsidP="00B531F2">
      <w:pPr>
        <w:rPr>
          <w:lang w:eastAsia="ja-JP"/>
        </w:rPr>
      </w:pPr>
      <w:r w:rsidRPr="007F35DD">
        <w:rPr>
          <w:noProof/>
          <w:lang w:eastAsia="en-AU"/>
        </w:rPr>
        <w:drawing>
          <wp:inline distT="0" distB="0" distL="0" distR="0">
            <wp:extent cx="5248275" cy="3067050"/>
            <wp:effectExtent l="19050" t="0" r="9525" b="0"/>
            <wp:docPr id="77" name="Picture 99" descr="Table18. First dose to end of double-blind studya. Overall summary of Treatment-Emergent and Treatment Related AEs. Phase III Double-blind, Placebo-controlled studiesb.  DUPY-303, AUX-CC-857 and AUX-CC-859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duotone>
                        <a:prstClr val="black"/>
                        <a:schemeClr val="bg1">
                          <a:tint val="45000"/>
                          <a:satMod val="400000"/>
                        </a:schemeClr>
                      </a:duotone>
                    </a:blip>
                    <a:srcRect l="2661" r="5710" b="5455"/>
                    <a:stretch>
                      <a:fillRect/>
                    </a:stretch>
                  </pic:blipFill>
                  <pic:spPr bwMode="auto">
                    <a:xfrm>
                      <a:off x="0" y="0"/>
                      <a:ext cx="5248275" cy="3067050"/>
                    </a:xfrm>
                    <a:prstGeom prst="rect">
                      <a:avLst/>
                    </a:prstGeom>
                    <a:noFill/>
                    <a:ln w="9525">
                      <a:noFill/>
                      <a:miter lim="800000"/>
                      <a:headEnd/>
                      <a:tailEnd/>
                    </a:ln>
                  </pic:spPr>
                </pic:pic>
              </a:graphicData>
            </a:graphic>
          </wp:inline>
        </w:drawing>
      </w:r>
    </w:p>
    <w:p w:rsidR="00BF4EBA" w:rsidRPr="00BF4EBA" w:rsidRDefault="00BF4EBA" w:rsidP="00B531F2">
      <w:pPr>
        <w:rPr>
          <w:lang w:eastAsia="ja-JP"/>
        </w:rPr>
      </w:pPr>
      <w:r w:rsidRPr="00BF4EBA">
        <w:rPr>
          <w:lang w:eastAsia="ja-JP"/>
        </w:rPr>
        <w:t>The most frequent TEAEs were peripheral oedema (75.7%</w:t>
      </w:r>
      <w:r w:rsidR="00CD48FD">
        <w:rPr>
          <w:lang w:eastAsia="ja-JP"/>
        </w:rPr>
        <w:t xml:space="preserve"> versus </w:t>
      </w:r>
      <w:r w:rsidRPr="00BF4EBA">
        <w:rPr>
          <w:lang w:eastAsia="ja-JP"/>
        </w:rPr>
        <w:t>5.1%), contusion (50.7%</w:t>
      </w:r>
      <w:r w:rsidR="00CD48FD">
        <w:rPr>
          <w:lang w:eastAsia="ja-JP"/>
        </w:rPr>
        <w:t xml:space="preserve"> versus </w:t>
      </w:r>
      <w:r w:rsidRPr="00BF4EBA">
        <w:rPr>
          <w:lang w:eastAsia="ja-JP"/>
        </w:rPr>
        <w:t>2.9%), injection site pain (39.0%</w:t>
      </w:r>
      <w:r w:rsidR="00CD48FD">
        <w:rPr>
          <w:lang w:eastAsia="ja-JP"/>
        </w:rPr>
        <w:t xml:space="preserve"> versus </w:t>
      </w:r>
      <w:r w:rsidRPr="00BF4EBA">
        <w:rPr>
          <w:lang w:eastAsia="ja-JP"/>
        </w:rPr>
        <w:t>9.5%), injection site haemorrhage (34.9%</w:t>
      </w:r>
      <w:r w:rsidR="00CD48FD">
        <w:rPr>
          <w:lang w:eastAsia="ja-JP"/>
        </w:rPr>
        <w:t xml:space="preserve"> </w:t>
      </w:r>
      <w:r w:rsidR="00CD48FD">
        <w:rPr>
          <w:lang w:eastAsia="ja-JP"/>
        </w:rPr>
        <w:lastRenderedPageBreak/>
        <w:t xml:space="preserve">versus </w:t>
      </w:r>
      <w:r w:rsidRPr="00BF4EBA">
        <w:rPr>
          <w:lang w:eastAsia="ja-JP"/>
        </w:rPr>
        <w:t>2.9%) and pain in extremity (33.1%</w:t>
      </w:r>
      <w:r w:rsidR="00CD48FD">
        <w:rPr>
          <w:lang w:eastAsia="ja-JP"/>
        </w:rPr>
        <w:t xml:space="preserve"> versus </w:t>
      </w:r>
      <w:r w:rsidRPr="00BF4EBA">
        <w:rPr>
          <w:lang w:eastAsia="ja-JP"/>
        </w:rPr>
        <w:t>3.6%). Other frequent (&gt;10%) TEAEs were tenderness, ecchymosis, lymphadenopathy and pruritus.</w:t>
      </w:r>
    </w:p>
    <w:p w:rsidR="00BF4EBA" w:rsidRPr="00BF4EBA" w:rsidRDefault="00BF4EBA" w:rsidP="00B531F2">
      <w:pPr>
        <w:rPr>
          <w:lang w:eastAsia="ja-JP"/>
        </w:rPr>
      </w:pPr>
      <w:r w:rsidRPr="00BF4EBA">
        <w:rPr>
          <w:lang w:eastAsia="ja-JP"/>
        </w:rPr>
        <w:t xml:space="preserve">Due to regional coding differences, </w:t>
      </w:r>
      <w:r w:rsidR="008208D2">
        <w:rPr>
          <w:lang w:eastAsia="ja-JP"/>
        </w:rPr>
        <w:t>the sponsor</w:t>
      </w:r>
      <w:r w:rsidRPr="00BF4EBA">
        <w:rPr>
          <w:lang w:eastAsia="ja-JP"/>
        </w:rPr>
        <w:t xml:space="preserve"> also analysed pooled data from the two pivotal studies using grouping of preferred terms. The majority of events were in the </w:t>
      </w:r>
      <w:r w:rsidR="007F35DD">
        <w:rPr>
          <w:lang w:eastAsia="ja-JP"/>
        </w:rPr>
        <w:t>G</w:t>
      </w:r>
      <w:r w:rsidRPr="00BF4EBA">
        <w:rPr>
          <w:lang w:eastAsia="ja-JP"/>
        </w:rPr>
        <w:t xml:space="preserve">eneral disorders and </w:t>
      </w:r>
      <w:r w:rsidR="007F35DD">
        <w:rPr>
          <w:lang w:eastAsia="ja-JP"/>
        </w:rPr>
        <w:t>A</w:t>
      </w:r>
      <w:r w:rsidRPr="00BF4EBA">
        <w:rPr>
          <w:lang w:eastAsia="ja-JP"/>
        </w:rPr>
        <w:t xml:space="preserve">dministration site conditions </w:t>
      </w:r>
      <w:r w:rsidR="007F35DD">
        <w:rPr>
          <w:lang w:eastAsia="ja-JP"/>
        </w:rPr>
        <w:t>System Organ Class (</w:t>
      </w:r>
      <w:r w:rsidRPr="00BF4EBA">
        <w:rPr>
          <w:lang w:eastAsia="ja-JP"/>
        </w:rPr>
        <w:t>SOC</w:t>
      </w:r>
      <w:r w:rsidR="007F35DD">
        <w:rPr>
          <w:lang w:eastAsia="ja-JP"/>
        </w:rPr>
        <w:t>), the I</w:t>
      </w:r>
      <w:r w:rsidRPr="00BF4EBA">
        <w:rPr>
          <w:lang w:eastAsia="ja-JP"/>
        </w:rPr>
        <w:t>njury/procedural complications SOC (mainly contusion 69.9%</w:t>
      </w:r>
      <w:r w:rsidR="00CD48FD">
        <w:rPr>
          <w:lang w:eastAsia="ja-JP"/>
        </w:rPr>
        <w:t xml:space="preserve"> versus </w:t>
      </w:r>
      <w:r w:rsidRPr="00BF4EBA">
        <w:rPr>
          <w:lang w:eastAsia="ja-JP"/>
        </w:rPr>
        <w:t xml:space="preserve">3.2%) or </w:t>
      </w:r>
      <w:r w:rsidR="007F35DD">
        <w:rPr>
          <w:lang w:eastAsia="ja-JP"/>
        </w:rPr>
        <w:t>M</w:t>
      </w:r>
      <w:r w:rsidRPr="00BF4EBA">
        <w:rPr>
          <w:lang w:eastAsia="ja-JP"/>
        </w:rPr>
        <w:t>usculoskeletal disorders (mainly pain in extremity 34.9%</w:t>
      </w:r>
      <w:r w:rsidR="00CD48FD">
        <w:rPr>
          <w:lang w:eastAsia="ja-JP"/>
        </w:rPr>
        <w:t xml:space="preserve"> versus </w:t>
      </w:r>
      <w:r w:rsidRPr="00BF4EBA">
        <w:rPr>
          <w:lang w:eastAsia="ja-JP"/>
        </w:rPr>
        <w:t>4.0%).</w:t>
      </w:r>
    </w:p>
    <w:p w:rsidR="00BF4EBA" w:rsidRPr="00BF4EBA" w:rsidRDefault="00BF4EBA" w:rsidP="00B531F2">
      <w:pPr>
        <w:pStyle w:val="Heading5"/>
      </w:pPr>
      <w:bookmarkStart w:id="209" w:name="_Toc353960271"/>
      <w:r w:rsidRPr="00BF4EBA">
        <w:t>Other studies</w:t>
      </w:r>
      <w:bookmarkEnd w:id="209"/>
    </w:p>
    <w:p w:rsidR="00BF4EBA" w:rsidRPr="00BF4EBA" w:rsidRDefault="00BF4EBA" w:rsidP="00B531F2">
      <w:pPr>
        <w:rPr>
          <w:lang w:eastAsia="ja-JP"/>
        </w:rPr>
      </w:pPr>
      <w:r w:rsidRPr="00BF4EBA">
        <w:rPr>
          <w:lang w:eastAsia="ja-JP"/>
        </w:rPr>
        <w:t>For subjects who had at least one dose of study medication, TEAEs were virtually universal (98.3%) and 72.5% of subjects had a moderate or severe TEAE. In the 30 day period post last injection, the rate of TEAEs was 98.1%, with 68.2% of subjects having moderate/severe TEAEs. The rate of TEAEs then dropped to 32.3% i</w:t>
      </w:r>
      <w:r w:rsidR="007F35DD">
        <w:rPr>
          <w:lang w:eastAsia="ja-JP"/>
        </w:rPr>
        <w:t>n the period from D</w:t>
      </w:r>
      <w:r w:rsidRPr="00BF4EBA">
        <w:rPr>
          <w:lang w:eastAsia="ja-JP"/>
        </w:rPr>
        <w:t>ay 31 to the end of study. The data from the population of ‘Subjects with 12 months post first dose’ were similar to the population of subjects who received at least one dose.</w:t>
      </w:r>
    </w:p>
    <w:p w:rsidR="00BF4EBA" w:rsidRDefault="00BF4EBA" w:rsidP="00B531F2">
      <w:pPr>
        <w:rPr>
          <w:lang w:eastAsia="ja-JP"/>
        </w:rPr>
      </w:pPr>
      <w:r w:rsidRPr="00BF4EBA">
        <w:rPr>
          <w:lang w:eastAsia="ja-JP"/>
        </w:rPr>
        <w:t>The profile of TEAEs was similar to the DB PC studies when assessed</w:t>
      </w:r>
      <w:r w:rsidR="007F35DD">
        <w:rPr>
          <w:lang w:eastAsia="ja-JP"/>
        </w:rPr>
        <w:t xml:space="preserve"> </w:t>
      </w:r>
      <w:r w:rsidRPr="00BF4EBA">
        <w:rPr>
          <w:lang w:eastAsia="ja-JP"/>
        </w:rPr>
        <w:t>in the other safety pools</w:t>
      </w:r>
      <w:r w:rsidR="007F35DD">
        <w:rPr>
          <w:lang w:eastAsia="ja-JP"/>
        </w:rPr>
        <w:t>;</w:t>
      </w:r>
      <w:r w:rsidRPr="00BF4EBA">
        <w:rPr>
          <w:lang w:eastAsia="ja-JP"/>
        </w:rPr>
        <w:t xml:space="preserve"> subjects who had at least one dose of AA</w:t>
      </w:r>
      <w:r w:rsidRPr="000135F1">
        <w:rPr>
          <w:lang w:eastAsia="ja-JP"/>
        </w:rPr>
        <w:t xml:space="preserve">4500 (Table </w:t>
      </w:r>
      <w:r w:rsidR="000135F1" w:rsidRPr="000135F1">
        <w:rPr>
          <w:lang w:eastAsia="ja-JP"/>
        </w:rPr>
        <w:t>19</w:t>
      </w:r>
      <w:r w:rsidRPr="000135F1">
        <w:rPr>
          <w:lang w:eastAsia="ja-JP"/>
        </w:rPr>
        <w:t>) and subject</w:t>
      </w:r>
      <w:r w:rsidRPr="00BF4EBA">
        <w:rPr>
          <w:lang w:eastAsia="ja-JP"/>
        </w:rPr>
        <w:t xml:space="preserve">s with 12 months post first dose. The most common TEAEs were again peripheral oedema, contusion, injection site pain, pain in extremity, injection site haemorrhage and tenderness. In the post-treatment period (post </w:t>
      </w:r>
      <w:r w:rsidR="007F35DD">
        <w:rPr>
          <w:lang w:eastAsia="ja-JP"/>
        </w:rPr>
        <w:t>D</w:t>
      </w:r>
      <w:r w:rsidRPr="00BF4EBA">
        <w:rPr>
          <w:lang w:eastAsia="ja-JP"/>
        </w:rPr>
        <w:t xml:space="preserve">ay 31), the only TEAEs occurring in </w:t>
      </w:r>
      <w:r w:rsidR="007F35DD">
        <w:rPr>
          <w:lang w:eastAsia="ja-JP"/>
        </w:rPr>
        <w:t>≥</w:t>
      </w:r>
      <w:r w:rsidRPr="00BF4EBA">
        <w:rPr>
          <w:lang w:eastAsia="ja-JP"/>
        </w:rPr>
        <w:t xml:space="preserve">2% of subjects were recurrence of contracture (3.0%) and pain in extremity (2.3%). The rate of severe events in this period was 3.7%. </w:t>
      </w:r>
    </w:p>
    <w:p w:rsidR="00B531F2" w:rsidRDefault="00331D35" w:rsidP="00B531F2">
      <w:pPr>
        <w:pStyle w:val="TableTitle"/>
        <w:rPr>
          <w:lang w:eastAsia="ja-JP"/>
        </w:rPr>
      </w:pPr>
      <w:r>
        <w:rPr>
          <w:lang w:eastAsia="ja-JP"/>
        </w:rPr>
        <w:lastRenderedPageBreak/>
        <w:t>T</w:t>
      </w:r>
      <w:r w:rsidRPr="00331D35">
        <w:rPr>
          <w:lang w:eastAsia="ja-JP"/>
        </w:rPr>
        <w:t xml:space="preserve">able </w:t>
      </w:r>
      <w:r>
        <w:rPr>
          <w:lang w:eastAsia="ja-JP"/>
        </w:rPr>
        <w:t>19.  Percentage of subjects with Treatment-Emergent (≥2.0% of subjects) and Treatment-related AEs. First dose AA4500 0.58 mg to End of Study. All subjects with at least 1 dose of AA4500 0.58 mg.</w:t>
      </w:r>
    </w:p>
    <w:p w:rsidR="00331D35" w:rsidRPr="00331D35" w:rsidRDefault="00331D35" w:rsidP="00B531F2">
      <w:pPr>
        <w:rPr>
          <w:lang w:eastAsia="ja-JP"/>
        </w:rPr>
      </w:pPr>
      <w:r w:rsidRPr="00331D35">
        <w:rPr>
          <w:noProof/>
          <w:lang w:eastAsia="en-AU"/>
        </w:rPr>
        <w:drawing>
          <wp:inline distT="0" distB="0" distL="0" distR="0">
            <wp:extent cx="5581650" cy="6638925"/>
            <wp:effectExtent l="19050" t="0" r="0" b="0"/>
            <wp:docPr id="79" name="Picture 109" descr="Table 19.  Percentage of subjects with Treatment-Emergent (≥2.0% of subjects) and Treatment-related AEs. First dose AA4500 0.58 mg to End of Study. All subjects with at least 1 dose of AA4500 0.58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print">
                      <a:duotone>
                        <a:prstClr val="black"/>
                        <a:schemeClr val="bg1">
                          <a:tint val="45000"/>
                          <a:satMod val="400000"/>
                        </a:schemeClr>
                      </a:duotone>
                    </a:blip>
                    <a:srcRect l="997" r="1639" b="2789"/>
                    <a:stretch>
                      <a:fillRect/>
                    </a:stretch>
                  </pic:blipFill>
                  <pic:spPr bwMode="auto">
                    <a:xfrm>
                      <a:off x="0" y="0"/>
                      <a:ext cx="5581650" cy="6638925"/>
                    </a:xfrm>
                    <a:prstGeom prst="rect">
                      <a:avLst/>
                    </a:prstGeom>
                    <a:noFill/>
                    <a:ln w="9525">
                      <a:noFill/>
                      <a:miter lim="800000"/>
                      <a:headEnd/>
                      <a:tailEnd/>
                    </a:ln>
                  </pic:spPr>
                </pic:pic>
              </a:graphicData>
            </a:graphic>
          </wp:inline>
        </w:drawing>
      </w:r>
    </w:p>
    <w:p w:rsidR="00BF4EBA" w:rsidRPr="00BF4EBA" w:rsidRDefault="00BF4EBA" w:rsidP="00B531F2">
      <w:pPr>
        <w:pStyle w:val="Heading4"/>
      </w:pPr>
      <w:bookmarkStart w:id="210" w:name="_Ref272333567"/>
      <w:bookmarkStart w:id="211" w:name="_Toc272414665"/>
      <w:bookmarkStart w:id="212" w:name="_Toc290846303"/>
      <w:bookmarkStart w:id="213" w:name="_Toc353960272"/>
      <w:r w:rsidRPr="00BF4EBA">
        <w:t>Treatment-related adverse events (adverse drug reactions)</w:t>
      </w:r>
      <w:bookmarkEnd w:id="210"/>
      <w:bookmarkEnd w:id="211"/>
      <w:bookmarkEnd w:id="212"/>
      <w:bookmarkEnd w:id="213"/>
    </w:p>
    <w:p w:rsidR="00BF4EBA" w:rsidRPr="00BF4EBA" w:rsidRDefault="00BF4EBA" w:rsidP="00B531F2">
      <w:pPr>
        <w:pStyle w:val="Heading5"/>
        <w:rPr>
          <w:lang w:eastAsia="ja-JP"/>
        </w:rPr>
      </w:pPr>
      <w:bookmarkStart w:id="214" w:name="_Toc353960273"/>
      <w:r w:rsidRPr="00BF4EBA">
        <w:rPr>
          <w:lang w:eastAsia="ja-JP"/>
        </w:rPr>
        <w:t>Pivotal studies</w:t>
      </w:r>
      <w:bookmarkEnd w:id="214"/>
    </w:p>
    <w:p w:rsidR="00BF4EBA" w:rsidRDefault="00BF4EBA" w:rsidP="00B531F2">
      <w:pPr>
        <w:rPr>
          <w:lang w:eastAsia="ja-JP"/>
        </w:rPr>
      </w:pPr>
      <w:r w:rsidRPr="00BF4EBA">
        <w:rPr>
          <w:lang w:eastAsia="ja-JP"/>
        </w:rPr>
        <w:t xml:space="preserve">The rate of treatment-related TEAEs in the DB PC safety pool was 97.4% and 26.3% in the AA4500 and placebo groups, respectively. Therefore, virtually all TEAEs in the AA4500 group were deemed as treatment-related and the profile of events is the same as for TEAEs overall. Data from the two pivotal studies listing TEAEs by SOC are shown </w:t>
      </w:r>
      <w:r w:rsidRPr="00331D35">
        <w:rPr>
          <w:lang w:eastAsia="ja-JP"/>
        </w:rPr>
        <w:t xml:space="preserve">in Table </w:t>
      </w:r>
      <w:r w:rsidR="00331D35" w:rsidRPr="00331D35">
        <w:rPr>
          <w:lang w:eastAsia="ja-JP"/>
        </w:rPr>
        <w:t>20</w:t>
      </w:r>
      <w:r w:rsidRPr="00331D35">
        <w:rPr>
          <w:lang w:eastAsia="ja-JP"/>
        </w:rPr>
        <w:t>. T</w:t>
      </w:r>
      <w:r w:rsidRPr="00BF4EBA">
        <w:rPr>
          <w:lang w:eastAsia="ja-JP"/>
        </w:rPr>
        <w:t>he treatment-related TEAEs occurring in &lt;1% of the AA4500 group but at a higher rate than the placebo group are listed i</w:t>
      </w:r>
      <w:r w:rsidRPr="00331D35">
        <w:rPr>
          <w:lang w:eastAsia="ja-JP"/>
        </w:rPr>
        <w:t xml:space="preserve">n Table </w:t>
      </w:r>
      <w:r w:rsidR="00331D35" w:rsidRPr="00331D35">
        <w:rPr>
          <w:lang w:eastAsia="ja-JP"/>
        </w:rPr>
        <w:t>21</w:t>
      </w:r>
      <w:r w:rsidRPr="00331D35">
        <w:rPr>
          <w:lang w:eastAsia="ja-JP"/>
        </w:rPr>
        <w:t>. In these</w:t>
      </w:r>
      <w:r w:rsidRPr="00BF4EBA">
        <w:rPr>
          <w:lang w:eastAsia="ja-JP"/>
        </w:rPr>
        <w:t xml:space="preserve"> two pivotal studies, t</w:t>
      </w:r>
      <w:r w:rsidRPr="00BF4EBA">
        <w:rPr>
          <w:bCs/>
          <w:lang w:eastAsia="ja-JP"/>
        </w:rPr>
        <w:t xml:space="preserve">he rate of severe treatment-related </w:t>
      </w:r>
      <w:r w:rsidRPr="00BF4EBA">
        <w:rPr>
          <w:bCs/>
          <w:lang w:eastAsia="ja-JP"/>
        </w:rPr>
        <w:lastRenderedPageBreak/>
        <w:t>TEAEs in the AA4500 group was 9.2%</w:t>
      </w:r>
      <w:r w:rsidRPr="00BF4EBA">
        <w:rPr>
          <w:lang w:eastAsia="ja-JP"/>
        </w:rPr>
        <w:t xml:space="preserve"> (none in the placebo group). The severe treatment-related TEAEs in the AA4500 group (n=23) were: injection site reaction (2%), pain in extremity (2%), peripheral oedema (1.6%), contusion (1.6%), injection site haemorrhage (1.2%), tenderness, injection site cellulitis, ligament injury, skin laceration, tendon rupture, chest wall pain and irritability (all &lt;1%). </w:t>
      </w:r>
    </w:p>
    <w:p w:rsidR="00B531F2" w:rsidRDefault="00331D35" w:rsidP="00B531F2">
      <w:pPr>
        <w:pStyle w:val="TableTitle"/>
        <w:rPr>
          <w:lang w:eastAsia="ja-JP"/>
        </w:rPr>
      </w:pPr>
      <w:bookmarkStart w:id="215" w:name="_Toc353960388"/>
      <w:bookmarkStart w:id="216" w:name="_Ref343675871"/>
      <w:r w:rsidRPr="00331D35">
        <w:rPr>
          <w:lang w:eastAsia="ja-JP"/>
        </w:rPr>
        <w:t xml:space="preserve">Table </w:t>
      </w:r>
      <w:r>
        <w:rPr>
          <w:lang w:eastAsia="ja-JP"/>
        </w:rPr>
        <w:t xml:space="preserve">20. </w:t>
      </w:r>
      <w:bookmarkEnd w:id="215"/>
      <w:r>
        <w:rPr>
          <w:lang w:eastAsia="ja-JP"/>
        </w:rPr>
        <w:t>All and Treatment-related AEs occurring in ≥1% of AA4500 treated subjects and at a greater incidence that Placebo. Studies AUX-CC-857 and AUX_CC-859.</w:t>
      </w:r>
    </w:p>
    <w:p w:rsidR="00331D35" w:rsidRPr="00331D35" w:rsidRDefault="00331D35" w:rsidP="00B531F2">
      <w:pPr>
        <w:rPr>
          <w:lang w:eastAsia="ja-JP"/>
        </w:rPr>
      </w:pPr>
      <w:r w:rsidRPr="00331D35">
        <w:rPr>
          <w:noProof/>
          <w:lang w:eastAsia="en-AU"/>
        </w:rPr>
        <w:drawing>
          <wp:inline distT="0" distB="0" distL="0" distR="0">
            <wp:extent cx="5495925" cy="7029450"/>
            <wp:effectExtent l="19050" t="0" r="9525" b="0"/>
            <wp:docPr id="93" name="Picture 103" descr="Table 20. All and Treatment-related AEs occurring in ≥1% of AA4500 treated subjects and at a greater incidence that Placebo. Studies AUX-CC-857 and AUX_CC-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print">
                      <a:duotone>
                        <a:prstClr val="black"/>
                        <a:schemeClr val="bg1">
                          <a:tint val="45000"/>
                          <a:satMod val="400000"/>
                        </a:schemeClr>
                      </a:duotone>
                    </a:blip>
                    <a:srcRect r="4132" b="1862"/>
                    <a:stretch>
                      <a:fillRect/>
                    </a:stretch>
                  </pic:blipFill>
                  <pic:spPr bwMode="auto">
                    <a:xfrm>
                      <a:off x="0" y="0"/>
                      <a:ext cx="5495925" cy="7029450"/>
                    </a:xfrm>
                    <a:prstGeom prst="rect">
                      <a:avLst/>
                    </a:prstGeom>
                    <a:noFill/>
                    <a:ln w="9525">
                      <a:noFill/>
                      <a:miter lim="800000"/>
                      <a:headEnd/>
                      <a:tailEnd/>
                    </a:ln>
                  </pic:spPr>
                </pic:pic>
              </a:graphicData>
            </a:graphic>
          </wp:inline>
        </w:drawing>
      </w:r>
      <w:bookmarkEnd w:id="216"/>
    </w:p>
    <w:p w:rsidR="00331D35" w:rsidRPr="00331D35" w:rsidRDefault="00331D35" w:rsidP="00B531F2">
      <w:pPr>
        <w:pStyle w:val="TableTitle"/>
        <w:rPr>
          <w:lang w:eastAsia="ja-JP"/>
        </w:rPr>
      </w:pPr>
      <w:bookmarkStart w:id="217" w:name="_Ref343675894"/>
      <w:bookmarkStart w:id="218" w:name="_Toc353960392"/>
      <w:r w:rsidRPr="00331D35">
        <w:rPr>
          <w:iCs/>
          <w:lang w:eastAsia="ja-JP"/>
        </w:rPr>
        <w:lastRenderedPageBreak/>
        <w:t xml:space="preserve">Table </w:t>
      </w:r>
      <w:bookmarkEnd w:id="217"/>
      <w:bookmarkEnd w:id="218"/>
      <w:r>
        <w:rPr>
          <w:iCs/>
          <w:lang w:eastAsia="ja-JP"/>
        </w:rPr>
        <w:t xml:space="preserve">21. </w:t>
      </w:r>
      <w:r w:rsidRPr="00331D35">
        <w:rPr>
          <w:lang w:eastAsia="ja-JP"/>
        </w:rPr>
        <w:t>Treatment-related AEs occurring in &lt;1% of AA4500 treated subjects and at greater incidence than placebo. Studies AUX-CC-857 and AUX-CC-859.</w:t>
      </w:r>
    </w:p>
    <w:p w:rsidR="00331D35" w:rsidRPr="00331D35" w:rsidRDefault="00331D35" w:rsidP="00B531F2">
      <w:pPr>
        <w:rPr>
          <w:lang w:eastAsia="ja-JP"/>
        </w:rPr>
      </w:pPr>
      <w:r w:rsidRPr="00331D35">
        <w:rPr>
          <w:noProof/>
          <w:lang w:eastAsia="en-AU"/>
        </w:rPr>
        <w:drawing>
          <wp:inline distT="0" distB="0" distL="0" distR="0">
            <wp:extent cx="5267960" cy="5314950"/>
            <wp:effectExtent l="19050" t="0" r="8890" b="0"/>
            <wp:docPr id="94" name="Picture 110" descr="Table 21. Treatment-related AEs occurring in &lt;1% of AA4500 treated subjects and at greater incidence than placebo. Studies AUX-CC-857 and AUX-CC-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duotone>
                        <a:prstClr val="black"/>
                        <a:schemeClr val="bg1">
                          <a:tint val="45000"/>
                          <a:satMod val="400000"/>
                        </a:schemeClr>
                      </a:duotone>
                    </a:blip>
                    <a:srcRect l="1372" t="888" r="3810"/>
                    <a:stretch>
                      <a:fillRect/>
                    </a:stretch>
                  </pic:blipFill>
                  <pic:spPr bwMode="auto">
                    <a:xfrm>
                      <a:off x="0" y="0"/>
                      <a:ext cx="5267960" cy="5314950"/>
                    </a:xfrm>
                    <a:prstGeom prst="rect">
                      <a:avLst/>
                    </a:prstGeom>
                    <a:noFill/>
                    <a:ln w="9525">
                      <a:noFill/>
                      <a:miter lim="800000"/>
                      <a:headEnd/>
                      <a:tailEnd/>
                    </a:ln>
                  </pic:spPr>
                </pic:pic>
              </a:graphicData>
            </a:graphic>
          </wp:inline>
        </w:drawing>
      </w:r>
    </w:p>
    <w:p w:rsidR="00BF4EBA" w:rsidRPr="00BF4EBA" w:rsidRDefault="00BF4EBA" w:rsidP="00B531F2">
      <w:pPr>
        <w:pStyle w:val="Heading5"/>
        <w:rPr>
          <w:lang w:eastAsia="ja-JP"/>
        </w:rPr>
      </w:pPr>
      <w:bookmarkStart w:id="219" w:name="_Toc353960274"/>
      <w:r w:rsidRPr="00BF4EBA">
        <w:rPr>
          <w:lang w:eastAsia="ja-JP"/>
        </w:rPr>
        <w:t>Other studies</w:t>
      </w:r>
      <w:bookmarkEnd w:id="219"/>
    </w:p>
    <w:p w:rsidR="00BF4EBA" w:rsidRPr="00BF4EBA" w:rsidRDefault="00BF4EBA" w:rsidP="00B531F2">
      <w:pPr>
        <w:rPr>
          <w:lang w:eastAsia="ja-JP"/>
        </w:rPr>
      </w:pPr>
      <w:r w:rsidRPr="00BF4EBA">
        <w:rPr>
          <w:lang w:eastAsia="ja-JP"/>
        </w:rPr>
        <w:t>For subjects with at least one dose of AA4500, the rate of treatment-related TEAEs was 97.1% with the event profile again being very similar to the overall TEAE prof</w:t>
      </w:r>
      <w:r w:rsidRPr="00331D35">
        <w:rPr>
          <w:lang w:eastAsia="ja-JP"/>
        </w:rPr>
        <w:t xml:space="preserve">ile (Table </w:t>
      </w:r>
      <w:r w:rsidR="00331D35" w:rsidRPr="00331D35">
        <w:rPr>
          <w:lang w:eastAsia="ja-JP"/>
        </w:rPr>
        <w:t>19</w:t>
      </w:r>
      <w:r w:rsidRPr="00331D35">
        <w:rPr>
          <w:lang w:eastAsia="ja-JP"/>
        </w:rPr>
        <w:t>)</w:t>
      </w:r>
      <w:r w:rsidRPr="00BF4EBA">
        <w:rPr>
          <w:lang w:eastAsia="ja-JP"/>
        </w:rPr>
        <w:t xml:space="preserve">. In the subjects who had at least one injection of AA4500, most treatment-related TEAEs commenced on the injection day (80.6%) or the next day of finger manipulation (67.8%) compared to after </w:t>
      </w:r>
      <w:r w:rsidR="00331D35">
        <w:rPr>
          <w:lang w:eastAsia="ja-JP"/>
        </w:rPr>
        <w:t>D</w:t>
      </w:r>
      <w:r w:rsidRPr="00BF4EBA">
        <w:rPr>
          <w:lang w:eastAsia="ja-JP"/>
        </w:rPr>
        <w:t>ay 1 (33.4%). The rate of treatment-related TEAEs in the post-treatment period (</w:t>
      </w:r>
      <w:r w:rsidR="00331D35">
        <w:rPr>
          <w:lang w:eastAsia="ja-JP"/>
        </w:rPr>
        <w:t>D</w:t>
      </w:r>
      <w:r w:rsidRPr="00BF4EBA">
        <w:rPr>
          <w:lang w:eastAsia="ja-JP"/>
        </w:rPr>
        <w:t>ay 31 to end of study, median duration of 212 days) reduced to 7.8%. For subjects with 12 months of follow up, the rate of treatment-related TEAEs in this post-treatment period was 9.3%.</w:t>
      </w:r>
    </w:p>
    <w:p w:rsidR="00BF4EBA" w:rsidRPr="00BF4EBA" w:rsidRDefault="00BF4EBA" w:rsidP="00B531F2">
      <w:pPr>
        <w:rPr>
          <w:lang w:eastAsia="ja-JP"/>
        </w:rPr>
      </w:pPr>
      <w:r w:rsidRPr="00BF4EBA">
        <w:rPr>
          <w:lang w:eastAsia="ja-JP"/>
        </w:rPr>
        <w:t>The rate of treatment-related TEAEs was relatively constant when examined by number of injections administered (1 to 8) with the exception of pruritus which increased from 3.7% after injection 1 to 22.0% after injection 6. Subjects with peripheral oedema were noted to generally have this event after each injection.</w:t>
      </w:r>
    </w:p>
    <w:p w:rsidR="00BF4EBA" w:rsidRPr="00BF4EBA" w:rsidRDefault="00BF4EBA" w:rsidP="00B531F2">
      <w:pPr>
        <w:rPr>
          <w:lang w:eastAsia="ja-JP"/>
        </w:rPr>
      </w:pPr>
      <w:r w:rsidRPr="00BF4EBA">
        <w:rPr>
          <w:lang w:eastAsia="ja-JP"/>
        </w:rPr>
        <w:t>The mean duration of the treatment-related TEAEs of peripheral oedema, contusion, injection site pain and extremity pain did not appear to increase with increasing number of injections. This was also the case for other frequently reported treatment-related TEAEs. In addition, for the most frequently reported treatment-related TEAEs, the median treatment duration indicated that the event had in general resolved prior to the next scheduled injection.</w:t>
      </w:r>
    </w:p>
    <w:p w:rsidR="00BF4EBA" w:rsidRPr="00BF4EBA" w:rsidRDefault="00BF4EBA" w:rsidP="00B531F2">
      <w:pPr>
        <w:pStyle w:val="Heading4"/>
      </w:pPr>
      <w:bookmarkStart w:id="220" w:name="_Toc241374320"/>
      <w:bookmarkStart w:id="221" w:name="_Ref272333507"/>
      <w:bookmarkStart w:id="222" w:name="_Toc272414666"/>
      <w:bookmarkStart w:id="223" w:name="_Toc290846304"/>
      <w:bookmarkStart w:id="224" w:name="_Toc353960275"/>
      <w:r w:rsidRPr="00BF4EBA">
        <w:lastRenderedPageBreak/>
        <w:t>Deaths and other serious adverse events</w:t>
      </w:r>
      <w:bookmarkEnd w:id="220"/>
      <w:bookmarkEnd w:id="221"/>
      <w:bookmarkEnd w:id="222"/>
      <w:bookmarkEnd w:id="223"/>
      <w:bookmarkEnd w:id="224"/>
    </w:p>
    <w:p w:rsidR="00BF4EBA" w:rsidRPr="00BF4EBA" w:rsidRDefault="00BF4EBA" w:rsidP="00B531F2">
      <w:pPr>
        <w:pStyle w:val="Heading5"/>
        <w:rPr>
          <w:lang w:eastAsia="ja-JP"/>
        </w:rPr>
      </w:pPr>
      <w:bookmarkStart w:id="225" w:name="_Toc353960276"/>
      <w:r w:rsidRPr="00BF4EBA">
        <w:rPr>
          <w:lang w:eastAsia="ja-JP"/>
        </w:rPr>
        <w:t>Deaths</w:t>
      </w:r>
      <w:bookmarkEnd w:id="225"/>
    </w:p>
    <w:p w:rsidR="00BF4EBA" w:rsidRPr="00BF4EBA" w:rsidRDefault="00BF4EBA" w:rsidP="00B531F2">
      <w:pPr>
        <w:rPr>
          <w:lang w:eastAsia="ja-JP"/>
        </w:rPr>
      </w:pPr>
      <w:r w:rsidRPr="00BF4EBA">
        <w:rPr>
          <w:lang w:eastAsia="ja-JP"/>
        </w:rPr>
        <w:t>There were 7 deaths (0.6%) in the clinical development program for AA4500 as follows: 2 subjects in AUX-CC-856 (myocardial infarction and acute myocardial infarction ); 1 in AUX-CC-854 (acute myocardial infarction); 2 in DUPY-202 (iliac artery stenosis and liver cancer); and 2 in DUPY-101 (complications of pulmonary fibrosis and rupture of an aortic aneurysm). No death was considered treatment-related by the investigator.</w:t>
      </w:r>
    </w:p>
    <w:p w:rsidR="00BF4EBA" w:rsidRPr="00BF4EBA" w:rsidRDefault="00BF4EBA" w:rsidP="00B531F2">
      <w:pPr>
        <w:pStyle w:val="Heading5"/>
        <w:rPr>
          <w:lang w:eastAsia="ja-JP"/>
        </w:rPr>
      </w:pPr>
      <w:bookmarkStart w:id="226" w:name="_Toc353960277"/>
      <w:r w:rsidRPr="00BF4EBA">
        <w:rPr>
          <w:lang w:eastAsia="ja-JP"/>
        </w:rPr>
        <w:t>Other serious adverse events</w:t>
      </w:r>
      <w:bookmarkEnd w:id="226"/>
    </w:p>
    <w:p w:rsidR="00BF4EBA" w:rsidRPr="00BF4EBA" w:rsidRDefault="00BF4EBA" w:rsidP="00B531F2">
      <w:pPr>
        <w:rPr>
          <w:lang w:eastAsia="ja-JP"/>
        </w:rPr>
      </w:pPr>
      <w:r w:rsidRPr="00BF4EBA">
        <w:rPr>
          <w:lang w:eastAsia="ja-JP"/>
        </w:rPr>
        <w:t xml:space="preserve">There were 92/1196 (7.7%) subjects in the 13 clinical trials with a non-fatal </w:t>
      </w:r>
      <w:r w:rsidR="00DD5290">
        <w:rPr>
          <w:lang w:eastAsia="ja-JP"/>
        </w:rPr>
        <w:t>serious adverse event (</w:t>
      </w:r>
      <w:r w:rsidRPr="00BF4EBA">
        <w:rPr>
          <w:lang w:eastAsia="ja-JP"/>
        </w:rPr>
        <w:t>SAE</w:t>
      </w:r>
      <w:r w:rsidR="00DD5290">
        <w:rPr>
          <w:lang w:eastAsia="ja-JP"/>
        </w:rPr>
        <w:t>)</w:t>
      </w:r>
      <w:r w:rsidRPr="00BF4EBA">
        <w:rPr>
          <w:lang w:eastAsia="ja-JP"/>
        </w:rPr>
        <w:t xml:space="preserve">, 9 of whom had one that was deemed related to AA4500. These treatment-related non-fatal SAEs, which were typically associated with the treated hand, were: tendon rupture (n=3); ligament injury; tendonitis; finger deformity; </w:t>
      </w:r>
      <w:proofErr w:type="spellStart"/>
      <w:r w:rsidRPr="00BF4EBA">
        <w:rPr>
          <w:lang w:eastAsia="ja-JP"/>
        </w:rPr>
        <w:t>Dupuytren's</w:t>
      </w:r>
      <w:proofErr w:type="spellEnd"/>
      <w:r w:rsidRPr="00BF4EBA">
        <w:rPr>
          <w:lang w:eastAsia="ja-JP"/>
        </w:rPr>
        <w:t xml:space="preserve"> contracture and sensory disturbance of hand; DVT; and complex regional pain syndro</w:t>
      </w:r>
      <w:r w:rsidRPr="00DD5290">
        <w:rPr>
          <w:lang w:eastAsia="ja-JP"/>
        </w:rPr>
        <w:t>me (Table</w:t>
      </w:r>
      <w:r w:rsidR="00DD5290">
        <w:rPr>
          <w:lang w:eastAsia="ja-JP"/>
        </w:rPr>
        <w:t xml:space="preserve"> </w:t>
      </w:r>
      <w:r w:rsidR="00DD5290" w:rsidRPr="00DD5290">
        <w:rPr>
          <w:lang w:eastAsia="ja-JP"/>
        </w:rPr>
        <w:t>22</w:t>
      </w:r>
      <w:r w:rsidRPr="00DD5290">
        <w:rPr>
          <w:lang w:eastAsia="ja-JP"/>
        </w:rPr>
        <w:t>). It is</w:t>
      </w:r>
      <w:r w:rsidRPr="00BF4EBA">
        <w:rPr>
          <w:lang w:eastAsia="ja-JP"/>
        </w:rPr>
        <w:t xml:space="preserve"> noted that the three tendon ruptures and one ligament injury (flexor pulley rupture) all occurred at the </w:t>
      </w:r>
      <w:r w:rsidR="00DD5290">
        <w:rPr>
          <w:lang w:eastAsia="ja-JP"/>
        </w:rPr>
        <w:t xml:space="preserve">fifth </w:t>
      </w:r>
      <w:r w:rsidRPr="00BF4EBA">
        <w:rPr>
          <w:lang w:eastAsia="ja-JP"/>
        </w:rPr>
        <w:t xml:space="preserve">finger PIP joint. In the DB PC studies, there were 2 SAEs in the placebo groups (acute cholecystitis and surgery for hip osteoarthritis). </w:t>
      </w:r>
    </w:p>
    <w:p w:rsidR="00BF4EBA" w:rsidRDefault="00BF4EBA" w:rsidP="00B531F2">
      <w:pPr>
        <w:ind w:left="1418" w:hanging="1418"/>
        <w:rPr>
          <w:lang w:eastAsia="ja-JP"/>
        </w:rPr>
      </w:pPr>
      <w:r w:rsidRPr="00BF4EBA">
        <w:rPr>
          <w:lang w:eastAsia="ja-JP"/>
        </w:rPr>
        <w:t xml:space="preserve">Comment: </w:t>
      </w:r>
      <w:r w:rsidRPr="00BF4EBA">
        <w:rPr>
          <w:lang w:eastAsia="ja-JP"/>
        </w:rPr>
        <w:tab/>
      </w:r>
      <w:r w:rsidR="008208D2">
        <w:rPr>
          <w:lang w:eastAsia="ja-JP"/>
        </w:rPr>
        <w:t>The sponsor</w:t>
      </w:r>
      <w:r w:rsidRPr="00BF4EBA">
        <w:rPr>
          <w:lang w:eastAsia="ja-JP"/>
        </w:rPr>
        <w:t xml:space="preserve"> stated that after the two tendon ruptures and one ligament injury the study protocols were modified and investigators trained in a revised injection procedure particularly for the </w:t>
      </w:r>
      <w:r w:rsidR="00DD5290">
        <w:rPr>
          <w:lang w:eastAsia="ja-JP"/>
        </w:rPr>
        <w:t xml:space="preserve">fifth </w:t>
      </w:r>
      <w:r w:rsidRPr="00BF4EBA">
        <w:rPr>
          <w:lang w:eastAsia="ja-JP"/>
        </w:rPr>
        <w:t>finger PIP joints.</w:t>
      </w:r>
    </w:p>
    <w:p w:rsidR="00B531F2" w:rsidRDefault="00DD5290" w:rsidP="00B531F2">
      <w:pPr>
        <w:pStyle w:val="TableTitle"/>
        <w:rPr>
          <w:lang w:eastAsia="ja-JP"/>
        </w:rPr>
      </w:pPr>
      <w:bookmarkStart w:id="227" w:name="_Ref343675911"/>
      <w:bookmarkStart w:id="228" w:name="_Toc353960397"/>
      <w:r w:rsidRPr="00DD5290">
        <w:rPr>
          <w:lang w:eastAsia="ja-JP"/>
        </w:rPr>
        <w:t xml:space="preserve">Table </w:t>
      </w:r>
      <w:bookmarkEnd w:id="227"/>
      <w:bookmarkEnd w:id="228"/>
      <w:r>
        <w:rPr>
          <w:lang w:eastAsia="ja-JP"/>
        </w:rPr>
        <w:t>22. Serious AEs Possibly or Probably related to AA4500.</w:t>
      </w:r>
    </w:p>
    <w:p w:rsidR="00DD5290" w:rsidRDefault="00DD5290" w:rsidP="00B531F2">
      <w:pPr>
        <w:rPr>
          <w:lang w:eastAsia="ja-JP"/>
        </w:rPr>
      </w:pPr>
      <w:r w:rsidRPr="00DD5290">
        <w:rPr>
          <w:noProof/>
          <w:lang w:eastAsia="en-AU"/>
        </w:rPr>
        <w:drawing>
          <wp:inline distT="0" distB="0" distL="0" distR="0">
            <wp:extent cx="5948173" cy="3419475"/>
            <wp:effectExtent l="19050" t="19050" r="14477" b="28575"/>
            <wp:docPr id="96" name="Picture 124" descr="Table 22. Serious AEs Possibly or Probably related to A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cstate="print">
                      <a:duotone>
                        <a:prstClr val="black"/>
                        <a:schemeClr val="bg1">
                          <a:tint val="45000"/>
                          <a:satMod val="400000"/>
                        </a:schemeClr>
                      </a:duotone>
                    </a:blip>
                    <a:srcRect b="5376"/>
                    <a:stretch>
                      <a:fillRect/>
                    </a:stretch>
                  </pic:blipFill>
                  <pic:spPr bwMode="auto">
                    <a:xfrm>
                      <a:off x="0" y="0"/>
                      <a:ext cx="5948173" cy="3419475"/>
                    </a:xfrm>
                    <a:prstGeom prst="rect">
                      <a:avLst/>
                    </a:prstGeom>
                    <a:noFill/>
                    <a:ln w="9525">
                      <a:solidFill>
                        <a:schemeClr val="tx1"/>
                      </a:solidFill>
                      <a:miter lim="800000"/>
                      <a:headEnd/>
                      <a:tailEnd/>
                    </a:ln>
                  </pic:spPr>
                </pic:pic>
              </a:graphicData>
            </a:graphic>
          </wp:inline>
        </w:drawing>
      </w:r>
    </w:p>
    <w:p w:rsidR="00DD5290" w:rsidRDefault="00DD5290" w:rsidP="00B531F2">
      <w:pPr>
        <w:pStyle w:val="TableTitle"/>
        <w:rPr>
          <w:lang w:eastAsia="ja-JP"/>
        </w:rPr>
      </w:pPr>
      <w:r w:rsidRPr="00DD5290">
        <w:rPr>
          <w:lang w:eastAsia="ja-JP"/>
        </w:rPr>
        <w:lastRenderedPageBreak/>
        <w:t xml:space="preserve">Table </w:t>
      </w:r>
      <w:r>
        <w:rPr>
          <w:lang w:eastAsia="ja-JP"/>
        </w:rPr>
        <w:t>22 continued. Serious AEs Possibly or Probably related to AA4500.</w:t>
      </w:r>
    </w:p>
    <w:p w:rsidR="00DD5290" w:rsidRPr="00DD5290" w:rsidRDefault="00DD5290" w:rsidP="00B531F2">
      <w:pPr>
        <w:rPr>
          <w:lang w:eastAsia="ja-JP"/>
        </w:rPr>
      </w:pPr>
      <w:r w:rsidRPr="00DD5290">
        <w:rPr>
          <w:noProof/>
          <w:lang w:eastAsia="en-AU"/>
        </w:rPr>
        <w:drawing>
          <wp:inline distT="0" distB="0" distL="0" distR="0">
            <wp:extent cx="5725160" cy="3448050"/>
            <wp:effectExtent l="19050" t="0" r="8890" b="0"/>
            <wp:docPr id="97" name="Picture 125" descr="Table 22 continued. Serious AEs Possibly or Probably related to A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duotone>
                        <a:prstClr val="black"/>
                        <a:schemeClr val="bg1">
                          <a:tint val="45000"/>
                          <a:satMod val="400000"/>
                        </a:schemeClr>
                      </a:duotone>
                    </a:blip>
                    <a:srcRect b="4233"/>
                    <a:stretch>
                      <a:fillRect/>
                    </a:stretch>
                  </pic:blipFill>
                  <pic:spPr bwMode="auto">
                    <a:xfrm>
                      <a:off x="0" y="0"/>
                      <a:ext cx="5725160" cy="3448050"/>
                    </a:xfrm>
                    <a:prstGeom prst="rect">
                      <a:avLst/>
                    </a:prstGeom>
                    <a:noFill/>
                    <a:ln w="9525">
                      <a:noFill/>
                      <a:miter lim="800000"/>
                      <a:headEnd/>
                      <a:tailEnd/>
                    </a:ln>
                  </pic:spPr>
                </pic:pic>
              </a:graphicData>
            </a:graphic>
          </wp:inline>
        </w:drawing>
      </w:r>
    </w:p>
    <w:p w:rsidR="00BF4EBA" w:rsidRPr="00BF4EBA" w:rsidRDefault="00BF4EBA" w:rsidP="00B531F2">
      <w:pPr>
        <w:pStyle w:val="Heading4"/>
      </w:pPr>
      <w:bookmarkStart w:id="229" w:name="_Toc241374325"/>
      <w:bookmarkStart w:id="230" w:name="_Ref272333477"/>
      <w:bookmarkStart w:id="231" w:name="_Toc272414667"/>
      <w:bookmarkStart w:id="232" w:name="_Toc290846305"/>
      <w:bookmarkStart w:id="233" w:name="_Toc353960278"/>
      <w:r w:rsidRPr="00BF4EBA">
        <w:t>Discontinuation due to adverse events</w:t>
      </w:r>
      <w:bookmarkEnd w:id="229"/>
      <w:bookmarkEnd w:id="230"/>
      <w:bookmarkEnd w:id="231"/>
      <w:bookmarkEnd w:id="232"/>
      <w:bookmarkEnd w:id="233"/>
    </w:p>
    <w:p w:rsidR="00BF4EBA" w:rsidRPr="00BF4EBA" w:rsidRDefault="00BF4EBA" w:rsidP="00B531F2">
      <w:pPr>
        <w:pStyle w:val="Heading5"/>
        <w:rPr>
          <w:lang w:eastAsia="ja-JP"/>
        </w:rPr>
      </w:pPr>
      <w:bookmarkStart w:id="234" w:name="_Toc353960279"/>
      <w:r w:rsidRPr="00BF4EBA">
        <w:rPr>
          <w:lang w:eastAsia="ja-JP"/>
        </w:rPr>
        <w:t>Pivotal studies</w:t>
      </w:r>
      <w:bookmarkEnd w:id="234"/>
    </w:p>
    <w:p w:rsidR="00BF4EBA" w:rsidRPr="00BF4EBA" w:rsidRDefault="00BF4EBA" w:rsidP="00B531F2">
      <w:pPr>
        <w:rPr>
          <w:lang w:eastAsia="ja-JP"/>
        </w:rPr>
      </w:pPr>
      <w:r w:rsidRPr="00BF4EBA">
        <w:rPr>
          <w:lang w:eastAsia="ja-JP"/>
        </w:rPr>
        <w:t>In the three double-blind placebo-controlled studies, completion rates were high (94.5% and 95.6% in the AA4500 and placebo groups, respectively). Discontinuation due to adverse events was infrequent and only occurred in 3/272 (1.1%) subjects treated with AA4500 and there were no such cases in the placebo group. The cases were: injection site pain, dizziness and complex regional pain syndrome.</w:t>
      </w:r>
    </w:p>
    <w:p w:rsidR="00BF4EBA" w:rsidRPr="00BF4EBA" w:rsidRDefault="00BF4EBA" w:rsidP="00B531F2">
      <w:pPr>
        <w:pStyle w:val="Heading5"/>
        <w:rPr>
          <w:lang w:eastAsia="ja-JP"/>
        </w:rPr>
      </w:pPr>
      <w:bookmarkStart w:id="235" w:name="_Toc353960280"/>
      <w:r w:rsidRPr="00BF4EBA">
        <w:rPr>
          <w:lang w:eastAsia="ja-JP"/>
        </w:rPr>
        <w:t>Other studies</w:t>
      </w:r>
      <w:bookmarkEnd w:id="235"/>
    </w:p>
    <w:p w:rsidR="00BF4EBA" w:rsidRPr="00BF4EBA" w:rsidRDefault="00BF4EBA" w:rsidP="00B531F2">
      <w:pPr>
        <w:rPr>
          <w:lang w:eastAsia="ja-JP"/>
        </w:rPr>
      </w:pPr>
      <w:r w:rsidRPr="00BF4EBA">
        <w:rPr>
          <w:lang w:eastAsia="ja-JP"/>
        </w:rPr>
        <w:t>In the group of 1082 subjects who had received at least one injection of AA4500, 87.6% completed the studies. There were 9/1082 (0.8%) subjects who discontinued due to an adverse event. In the long term population of 268 subjects the study completion rate was 95.9% and there was one (0.4%) discontinuation due to an AE (death). The events leading to discontinuation (apart from those listed above) were liver cancer, prostate cancer, gastrointestinal cancer, pancreatic cancer, lung cancer and myocardial infarction.</w:t>
      </w:r>
    </w:p>
    <w:p w:rsidR="00BF4EBA" w:rsidRPr="00DD5290" w:rsidRDefault="00BF4EBA" w:rsidP="00B531F2">
      <w:pPr>
        <w:pStyle w:val="Heading4"/>
        <w:rPr>
          <w:b w:val="0"/>
        </w:rPr>
      </w:pPr>
      <w:bookmarkStart w:id="236" w:name="_Toc241374321"/>
      <w:bookmarkStart w:id="237" w:name="_Ref271044780"/>
      <w:bookmarkStart w:id="238" w:name="_Ref271196640"/>
      <w:bookmarkStart w:id="239" w:name="_Ref272333085"/>
      <w:bookmarkStart w:id="240" w:name="_Toc272414668"/>
      <w:bookmarkStart w:id="241" w:name="_Toc290846306"/>
      <w:bookmarkStart w:id="242" w:name="_Toc353960281"/>
      <w:r w:rsidRPr="00BF4EBA">
        <w:t>Laboratory tests</w:t>
      </w:r>
      <w:bookmarkEnd w:id="236"/>
      <w:bookmarkEnd w:id="237"/>
      <w:bookmarkEnd w:id="238"/>
      <w:bookmarkEnd w:id="239"/>
      <w:bookmarkEnd w:id="240"/>
      <w:bookmarkEnd w:id="241"/>
      <w:bookmarkEnd w:id="242"/>
    </w:p>
    <w:p w:rsidR="00BF4EBA" w:rsidRPr="00DD5290" w:rsidRDefault="00BF4EBA" w:rsidP="00B531F2">
      <w:pPr>
        <w:rPr>
          <w:lang w:eastAsia="ja-JP"/>
        </w:rPr>
      </w:pPr>
      <w:r w:rsidRPr="00DD5290">
        <w:rPr>
          <w:lang w:eastAsia="ja-JP"/>
        </w:rPr>
        <w:t xml:space="preserve">The sponsor defined clinically significant laboratory results are listed in Table </w:t>
      </w:r>
      <w:r w:rsidR="00DD5290" w:rsidRPr="00DD5290">
        <w:rPr>
          <w:lang w:eastAsia="ja-JP"/>
        </w:rPr>
        <w:t>23</w:t>
      </w:r>
      <w:r w:rsidRPr="00DD5290">
        <w:rPr>
          <w:lang w:eastAsia="ja-JP"/>
        </w:rPr>
        <w:t xml:space="preserve"> and clinically significant vital signs in Table </w:t>
      </w:r>
      <w:r w:rsidR="00DD5290" w:rsidRPr="00DD5290">
        <w:rPr>
          <w:lang w:eastAsia="ja-JP"/>
        </w:rPr>
        <w:t>24</w:t>
      </w:r>
      <w:r w:rsidRPr="00DD5290">
        <w:rPr>
          <w:lang w:eastAsia="ja-JP"/>
        </w:rPr>
        <w:t>.</w:t>
      </w:r>
    </w:p>
    <w:p w:rsidR="00DD5290" w:rsidRPr="00DD5290" w:rsidRDefault="00DD5290" w:rsidP="00B531F2">
      <w:pPr>
        <w:pStyle w:val="TableTitle"/>
        <w:rPr>
          <w:lang w:eastAsia="ja-JP"/>
        </w:rPr>
      </w:pPr>
      <w:bookmarkStart w:id="243" w:name="_Ref343675914"/>
      <w:bookmarkStart w:id="244" w:name="_Toc353960398"/>
      <w:r w:rsidRPr="00DD5290">
        <w:rPr>
          <w:lang w:eastAsia="ja-JP"/>
        </w:rPr>
        <w:lastRenderedPageBreak/>
        <w:t xml:space="preserve">Table </w:t>
      </w:r>
      <w:bookmarkEnd w:id="243"/>
      <w:bookmarkEnd w:id="244"/>
      <w:r>
        <w:rPr>
          <w:lang w:eastAsia="ja-JP"/>
        </w:rPr>
        <w:t>23. Sponsor defined clinically significant Laboratory criteria.</w:t>
      </w:r>
    </w:p>
    <w:p w:rsidR="00DD5290" w:rsidRPr="00DD5290" w:rsidRDefault="00DD5290" w:rsidP="00B531F2">
      <w:pPr>
        <w:rPr>
          <w:lang w:eastAsia="ja-JP"/>
        </w:rPr>
      </w:pPr>
      <w:r w:rsidRPr="00DD5290">
        <w:rPr>
          <w:noProof/>
          <w:lang w:eastAsia="en-AU"/>
        </w:rPr>
        <w:drawing>
          <wp:inline distT="0" distB="0" distL="0" distR="0">
            <wp:extent cx="5876925" cy="2047875"/>
            <wp:effectExtent l="19050" t="0" r="9525" b="0"/>
            <wp:docPr id="101" name="Picture 127" descr="Table 23. Sponsor defined clinically significant Laboratory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cstate="print">
                      <a:duotone>
                        <a:prstClr val="black"/>
                        <a:schemeClr val="bg1">
                          <a:tint val="45000"/>
                          <a:satMod val="400000"/>
                        </a:schemeClr>
                      </a:duotone>
                    </a:blip>
                    <a:srcRect l="963" t="3153"/>
                    <a:stretch>
                      <a:fillRect/>
                    </a:stretch>
                  </pic:blipFill>
                  <pic:spPr bwMode="auto">
                    <a:xfrm>
                      <a:off x="0" y="0"/>
                      <a:ext cx="5876925" cy="2047875"/>
                    </a:xfrm>
                    <a:prstGeom prst="rect">
                      <a:avLst/>
                    </a:prstGeom>
                    <a:noFill/>
                    <a:ln w="9525">
                      <a:noFill/>
                      <a:miter lim="800000"/>
                      <a:headEnd/>
                      <a:tailEnd/>
                    </a:ln>
                  </pic:spPr>
                </pic:pic>
              </a:graphicData>
            </a:graphic>
          </wp:inline>
        </w:drawing>
      </w:r>
    </w:p>
    <w:p w:rsidR="00DD5290" w:rsidRPr="00DD5290" w:rsidRDefault="00DD5290" w:rsidP="00B531F2">
      <w:pPr>
        <w:pStyle w:val="TableTitle"/>
        <w:rPr>
          <w:lang w:eastAsia="ja-JP"/>
        </w:rPr>
      </w:pPr>
      <w:bookmarkStart w:id="245" w:name="_Ref343675917"/>
      <w:bookmarkStart w:id="246" w:name="_Toc353960399"/>
      <w:r w:rsidRPr="00DD5290">
        <w:rPr>
          <w:lang w:eastAsia="ja-JP"/>
        </w:rPr>
        <w:t xml:space="preserve">Table </w:t>
      </w:r>
      <w:bookmarkEnd w:id="245"/>
      <w:bookmarkEnd w:id="246"/>
      <w:r>
        <w:rPr>
          <w:lang w:eastAsia="ja-JP"/>
        </w:rPr>
        <w:t>24. Sponsor defined clinically significant Vital Sign Values.</w:t>
      </w:r>
    </w:p>
    <w:p w:rsidR="00DD5290" w:rsidRPr="00DD5290" w:rsidRDefault="00DD5290" w:rsidP="00B531F2">
      <w:pPr>
        <w:rPr>
          <w:lang w:eastAsia="ja-JP"/>
        </w:rPr>
      </w:pPr>
      <w:r w:rsidRPr="00DD5290">
        <w:rPr>
          <w:noProof/>
          <w:lang w:eastAsia="en-AU"/>
        </w:rPr>
        <w:drawing>
          <wp:inline distT="0" distB="0" distL="0" distR="0">
            <wp:extent cx="5934075" cy="1847850"/>
            <wp:effectExtent l="19050" t="0" r="9525" b="0"/>
            <wp:docPr id="105" name="Picture 129" descr="Table 24. Sponsor defined clinically significant Vital Sig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cstate="print">
                      <a:duotone>
                        <a:prstClr val="black"/>
                        <a:schemeClr val="bg1">
                          <a:tint val="45000"/>
                          <a:satMod val="400000"/>
                        </a:schemeClr>
                      </a:duotone>
                    </a:blip>
                    <a:srcRect t="2513"/>
                    <a:stretch>
                      <a:fillRect/>
                    </a:stretch>
                  </pic:blipFill>
                  <pic:spPr bwMode="auto">
                    <a:xfrm>
                      <a:off x="0" y="0"/>
                      <a:ext cx="5934075" cy="1847850"/>
                    </a:xfrm>
                    <a:prstGeom prst="rect">
                      <a:avLst/>
                    </a:prstGeom>
                    <a:noFill/>
                    <a:ln w="9525">
                      <a:noFill/>
                      <a:miter lim="800000"/>
                      <a:headEnd/>
                      <a:tailEnd/>
                    </a:ln>
                  </pic:spPr>
                </pic:pic>
              </a:graphicData>
            </a:graphic>
          </wp:inline>
        </w:drawing>
      </w:r>
    </w:p>
    <w:p w:rsidR="00BF4EBA" w:rsidRPr="00BF4EBA" w:rsidRDefault="00BF4EBA" w:rsidP="00B531F2">
      <w:pPr>
        <w:pStyle w:val="Heading5"/>
        <w:rPr>
          <w:lang w:eastAsia="ja-JP"/>
        </w:rPr>
      </w:pPr>
      <w:bookmarkStart w:id="247" w:name="_Toc353960282"/>
      <w:r w:rsidRPr="00BF4EBA">
        <w:rPr>
          <w:lang w:eastAsia="ja-JP"/>
        </w:rPr>
        <w:t>Pivotal studies</w:t>
      </w:r>
      <w:bookmarkEnd w:id="247"/>
    </w:p>
    <w:p w:rsidR="00BF4EBA" w:rsidRPr="00BF4EBA" w:rsidRDefault="00BF4EBA" w:rsidP="00B531F2">
      <w:pPr>
        <w:rPr>
          <w:lang w:eastAsia="ja-JP"/>
        </w:rPr>
      </w:pPr>
      <w:r w:rsidRPr="00BF4EBA">
        <w:rPr>
          <w:lang w:eastAsia="ja-JP"/>
        </w:rPr>
        <w:t xml:space="preserve">There were no notable mean changes between baseline and final assessment in haematology or clinical chemistry (including liver and renal function, cholesterol, triglycerides and glucose) parameters in the DB PC safety population, nor were there any notable differences between the AA4500 and placebo groups. </w:t>
      </w:r>
      <w:r w:rsidR="008208D2">
        <w:rPr>
          <w:lang w:eastAsia="ja-JP"/>
        </w:rPr>
        <w:t>Study DUPY</w:t>
      </w:r>
      <w:r w:rsidRPr="00BF4EBA">
        <w:rPr>
          <w:lang w:eastAsia="ja-JP"/>
        </w:rPr>
        <w:t>-303 did not have post baseline laboratory assessments.</w:t>
      </w:r>
    </w:p>
    <w:p w:rsidR="00BF4EBA" w:rsidRPr="00BF4EBA" w:rsidRDefault="00BF4EBA" w:rsidP="00B531F2">
      <w:pPr>
        <w:rPr>
          <w:lang w:eastAsia="ja-JP"/>
        </w:rPr>
      </w:pPr>
      <w:r w:rsidRPr="00BF4EBA">
        <w:rPr>
          <w:lang w:eastAsia="ja-JP"/>
        </w:rPr>
        <w:t>Clinically significant laboratory values were infrequent. There were two subjects with low haemoglobin (</w:t>
      </w:r>
      <w:r w:rsidR="00DD5290">
        <w:rPr>
          <w:lang w:eastAsia="ja-JP"/>
        </w:rPr>
        <w:t>≤</w:t>
      </w:r>
      <w:r w:rsidRPr="00BF4EBA">
        <w:rPr>
          <w:lang w:eastAsia="ja-JP"/>
        </w:rPr>
        <w:t xml:space="preserve">100 g/L women, </w:t>
      </w:r>
      <w:r w:rsidR="00DD5290">
        <w:rPr>
          <w:lang w:eastAsia="ja-JP"/>
        </w:rPr>
        <w:t>≤</w:t>
      </w:r>
      <w:r w:rsidRPr="00BF4EBA">
        <w:rPr>
          <w:lang w:eastAsia="ja-JP"/>
        </w:rPr>
        <w:t>110 g/L men) (0.8%) and two with low platelets (</w:t>
      </w:r>
      <w:r w:rsidR="00DD5290">
        <w:rPr>
          <w:lang w:eastAsia="ja-JP"/>
        </w:rPr>
        <w:t>≤</w:t>
      </w:r>
      <w:r w:rsidRPr="00BF4EBA">
        <w:rPr>
          <w:lang w:eastAsia="ja-JP"/>
        </w:rPr>
        <w:t>100 x10</w:t>
      </w:r>
      <w:r w:rsidRPr="00BF4EBA">
        <w:rPr>
          <w:vertAlign w:val="superscript"/>
          <w:lang w:eastAsia="ja-JP"/>
        </w:rPr>
        <w:t>9</w:t>
      </w:r>
      <w:r w:rsidRPr="00BF4EBA">
        <w:rPr>
          <w:lang w:eastAsia="ja-JP"/>
        </w:rPr>
        <w:t>/L)(0.8%) in the AA4500 group, compared to none in the placebo group.</w:t>
      </w:r>
      <w:r w:rsidR="00516476">
        <w:rPr>
          <w:lang w:eastAsia="ja-JP"/>
        </w:rPr>
        <w:t xml:space="preserve"> </w:t>
      </w:r>
      <w:r w:rsidRPr="00BF4EBA">
        <w:rPr>
          <w:lang w:eastAsia="ja-JP"/>
        </w:rPr>
        <w:t xml:space="preserve">Increased blood urea nitrogen (BUN </w:t>
      </w:r>
      <w:r w:rsidR="00DD5290">
        <w:rPr>
          <w:lang w:eastAsia="ja-JP"/>
        </w:rPr>
        <w:t>≥</w:t>
      </w:r>
      <w:r w:rsidRPr="00BF4EBA">
        <w:rPr>
          <w:lang w:eastAsia="ja-JP"/>
        </w:rPr>
        <w:t xml:space="preserve">12 mmol/L) was noted in three (1.3%) and one (0.8%) and increased </w:t>
      </w:r>
      <w:r w:rsidR="00DD5290">
        <w:rPr>
          <w:lang w:eastAsia="ja-JP"/>
        </w:rPr>
        <w:t>aspartate aminotransferase (</w:t>
      </w:r>
      <w:r w:rsidRPr="00BF4EBA">
        <w:rPr>
          <w:lang w:eastAsia="ja-JP"/>
        </w:rPr>
        <w:t>AST</w:t>
      </w:r>
      <w:r w:rsidR="00DD5290">
        <w:rPr>
          <w:lang w:eastAsia="ja-JP"/>
        </w:rPr>
        <w:t>)</w:t>
      </w:r>
      <w:r w:rsidRPr="00BF4EBA">
        <w:rPr>
          <w:lang w:eastAsia="ja-JP"/>
        </w:rPr>
        <w:t xml:space="preserve"> (3x</w:t>
      </w:r>
      <w:r w:rsidR="00DD5290">
        <w:rPr>
          <w:lang w:eastAsia="ja-JP"/>
        </w:rPr>
        <w:t xml:space="preserve"> upper limit of normal (</w:t>
      </w:r>
      <w:r w:rsidRPr="00BF4EBA">
        <w:rPr>
          <w:lang w:eastAsia="ja-JP"/>
        </w:rPr>
        <w:t>ULN</w:t>
      </w:r>
      <w:r w:rsidR="00DD5290">
        <w:rPr>
          <w:lang w:eastAsia="ja-JP"/>
        </w:rPr>
        <w:t>)</w:t>
      </w:r>
      <w:r w:rsidRPr="00BF4EBA">
        <w:rPr>
          <w:lang w:eastAsia="ja-JP"/>
        </w:rPr>
        <w:t>) in two (0.9%) and one (0.8%) subject in the AA4500 and placebo groups, respectively. There was one placebo-treated subject with elevated ALT. One case of thrombocytopaenia and one increased AST in the AA4500 group were also AEs.</w:t>
      </w:r>
    </w:p>
    <w:p w:rsidR="00BF4EBA" w:rsidRPr="00BF4EBA" w:rsidRDefault="00BF4EBA" w:rsidP="00B531F2">
      <w:pPr>
        <w:pStyle w:val="Heading5"/>
        <w:rPr>
          <w:lang w:eastAsia="ja-JP"/>
        </w:rPr>
      </w:pPr>
      <w:bookmarkStart w:id="248" w:name="_Toc353960283"/>
      <w:r w:rsidRPr="00BF4EBA">
        <w:rPr>
          <w:lang w:eastAsia="ja-JP"/>
        </w:rPr>
        <w:t>Other studies</w:t>
      </w:r>
      <w:bookmarkEnd w:id="248"/>
    </w:p>
    <w:p w:rsidR="00BF4EBA" w:rsidRDefault="00BF4EBA" w:rsidP="00B531F2">
      <w:pPr>
        <w:rPr>
          <w:lang w:eastAsia="ja-JP"/>
        </w:rPr>
      </w:pPr>
      <w:r w:rsidRPr="00BF4EBA">
        <w:rPr>
          <w:lang w:eastAsia="ja-JP"/>
        </w:rPr>
        <w:t>For subjects with at least one dose of AA4500, the rate of clinically significant low haemoglobin or low platelets was 0.4% each and the rate of increased BUN, increased ALT and increased AST was 1.0%, 0.6% and 0.7%, respectively. Eight of these subjects had an associated AE with an approximate rate of 0.9%.</w:t>
      </w:r>
    </w:p>
    <w:p w:rsidR="00BF4EBA" w:rsidRPr="00BF4EBA" w:rsidRDefault="00BF4EBA" w:rsidP="00B531F2">
      <w:pPr>
        <w:rPr>
          <w:lang w:eastAsia="ja-JP"/>
        </w:rPr>
      </w:pPr>
      <w:r w:rsidRPr="00BF4EBA">
        <w:rPr>
          <w:lang w:eastAsia="ja-JP"/>
        </w:rPr>
        <w:t>In the long term population (subjects with 12 months post first dose) there was no meaningful change from baseline in laboratory assessments and the rates of clinically significant values were low. The highest rate was increased BUN (2.4%, n=4).</w:t>
      </w:r>
    </w:p>
    <w:p w:rsidR="00BF4EBA" w:rsidRPr="00BF4EBA" w:rsidRDefault="00BF4EBA" w:rsidP="00B531F2">
      <w:pPr>
        <w:pStyle w:val="Heading4"/>
      </w:pPr>
      <w:bookmarkStart w:id="249" w:name="_Toc272414676"/>
      <w:bookmarkStart w:id="250" w:name="_Toc290846314"/>
      <w:bookmarkStart w:id="251" w:name="_Toc353960284"/>
      <w:r w:rsidRPr="00BF4EBA">
        <w:lastRenderedPageBreak/>
        <w:t>Vital signs</w:t>
      </w:r>
      <w:bookmarkEnd w:id="249"/>
      <w:bookmarkEnd w:id="250"/>
      <w:bookmarkEnd w:id="251"/>
    </w:p>
    <w:p w:rsidR="00BF4EBA" w:rsidRPr="00BF4EBA" w:rsidRDefault="00BF4EBA" w:rsidP="00B531F2">
      <w:pPr>
        <w:pStyle w:val="Heading5"/>
        <w:rPr>
          <w:lang w:eastAsia="ja-JP"/>
        </w:rPr>
      </w:pPr>
      <w:bookmarkStart w:id="252" w:name="_Toc353960285"/>
      <w:r w:rsidRPr="00BF4EBA">
        <w:rPr>
          <w:lang w:eastAsia="ja-JP"/>
        </w:rPr>
        <w:t>Pivotal studies</w:t>
      </w:r>
      <w:bookmarkEnd w:id="252"/>
    </w:p>
    <w:p w:rsidR="00BF4EBA" w:rsidRPr="00BF4EBA" w:rsidRDefault="00BF4EBA" w:rsidP="00B531F2">
      <w:pPr>
        <w:rPr>
          <w:lang w:eastAsia="ja-JP"/>
        </w:rPr>
      </w:pPr>
      <w:r w:rsidRPr="00BF4EBA">
        <w:rPr>
          <w:lang w:eastAsia="ja-JP"/>
        </w:rPr>
        <w:t>There were no clinically relevant changes in vital signs in the DB PC population. The rates of clinically significant vital signs were similar between the AA4500 and placebo groups. Adverse event rates in the respective groups for increased blood pressure (0.7% both), increased body temperature (0.7% both), hypertension (1.5%</w:t>
      </w:r>
      <w:r w:rsidR="00CD48FD">
        <w:rPr>
          <w:lang w:eastAsia="ja-JP"/>
        </w:rPr>
        <w:t xml:space="preserve"> versus </w:t>
      </w:r>
      <w:r w:rsidRPr="00BF4EBA">
        <w:rPr>
          <w:lang w:eastAsia="ja-JP"/>
        </w:rPr>
        <w:t>2.9%) and hypotension (0.4%</w:t>
      </w:r>
      <w:r w:rsidR="00CD48FD">
        <w:rPr>
          <w:lang w:eastAsia="ja-JP"/>
        </w:rPr>
        <w:t xml:space="preserve"> versus </w:t>
      </w:r>
      <w:r w:rsidRPr="00BF4EBA">
        <w:rPr>
          <w:lang w:eastAsia="ja-JP"/>
        </w:rPr>
        <w:t>0%) were unremarkable.</w:t>
      </w:r>
    </w:p>
    <w:p w:rsidR="00BF4EBA" w:rsidRPr="00BF4EBA" w:rsidRDefault="00BF4EBA" w:rsidP="00B531F2">
      <w:pPr>
        <w:pStyle w:val="Heading5"/>
        <w:rPr>
          <w:lang w:eastAsia="ja-JP"/>
        </w:rPr>
      </w:pPr>
      <w:bookmarkStart w:id="253" w:name="_Toc353960286"/>
      <w:r w:rsidRPr="00BF4EBA">
        <w:rPr>
          <w:lang w:eastAsia="ja-JP"/>
        </w:rPr>
        <w:t>Other studies</w:t>
      </w:r>
      <w:bookmarkEnd w:id="253"/>
    </w:p>
    <w:p w:rsidR="00BF4EBA" w:rsidRPr="00BF4EBA" w:rsidRDefault="00BF4EBA" w:rsidP="00B531F2">
      <w:pPr>
        <w:rPr>
          <w:lang w:eastAsia="ja-JP"/>
        </w:rPr>
      </w:pPr>
      <w:r w:rsidRPr="00BF4EBA">
        <w:rPr>
          <w:lang w:eastAsia="ja-JP"/>
        </w:rPr>
        <w:t>For subjects with at least one dose of AA4500, there were no notable mean changes in vital signs and the rates of clinically significant vital signs were similar to the controlled population. The rate of TEAEs of tachycardia, blood pressure decreased and hypotension was 0.1% each, body temperature increased was 0.4%, blood pressure increased was 1.2% and hypertension was 2.2%. There were no other notable findings in the population of subjects with 12 months data.</w:t>
      </w:r>
    </w:p>
    <w:p w:rsidR="00BF4EBA" w:rsidRPr="00BF4EBA" w:rsidRDefault="00BF4EBA" w:rsidP="00B531F2">
      <w:pPr>
        <w:pStyle w:val="Heading4"/>
      </w:pPr>
      <w:bookmarkStart w:id="254" w:name="_Toc353960287"/>
      <w:r w:rsidRPr="00BF4EBA">
        <w:t>Grip Strength</w:t>
      </w:r>
      <w:bookmarkEnd w:id="254"/>
    </w:p>
    <w:p w:rsidR="00BF4EBA" w:rsidRPr="00BF4EBA" w:rsidRDefault="00BF4EBA" w:rsidP="00B531F2">
      <w:pPr>
        <w:pStyle w:val="Heading5"/>
        <w:rPr>
          <w:lang w:eastAsia="ja-JP"/>
        </w:rPr>
      </w:pPr>
      <w:bookmarkStart w:id="255" w:name="_Toc353960288"/>
      <w:r w:rsidRPr="00BF4EBA">
        <w:rPr>
          <w:lang w:eastAsia="ja-JP"/>
        </w:rPr>
        <w:t>Pivotal studies</w:t>
      </w:r>
      <w:bookmarkEnd w:id="255"/>
    </w:p>
    <w:p w:rsidR="00BF4EBA" w:rsidRPr="00BF4EBA" w:rsidRDefault="00BF4EBA" w:rsidP="00B531F2">
      <w:pPr>
        <w:rPr>
          <w:lang w:eastAsia="ja-JP"/>
        </w:rPr>
      </w:pPr>
      <w:r w:rsidRPr="00BF4EBA">
        <w:rPr>
          <w:lang w:eastAsia="ja-JP"/>
        </w:rPr>
        <w:t>In the primary hand, the mean change in hand grip strength, as measured by hand-held dynamometry, from baseline to final assessment was 0.8 kg (</w:t>
      </w:r>
      <w:r w:rsidR="00D22224">
        <w:rPr>
          <w:lang w:eastAsia="ja-JP"/>
        </w:rPr>
        <w:t>standard deviation (</w:t>
      </w:r>
      <w:r w:rsidRPr="00BF4EBA">
        <w:rPr>
          <w:lang w:eastAsia="ja-JP"/>
        </w:rPr>
        <w:t>SD</w:t>
      </w:r>
      <w:r w:rsidR="00D22224">
        <w:rPr>
          <w:lang w:eastAsia="ja-JP"/>
        </w:rPr>
        <w:t>)</w:t>
      </w:r>
      <w:r w:rsidRPr="00BF4EBA">
        <w:rPr>
          <w:lang w:eastAsia="ja-JP"/>
        </w:rPr>
        <w:t xml:space="preserve"> 9.3) and </w:t>
      </w:r>
      <w:r w:rsidR="00D22224">
        <w:rPr>
          <w:lang w:eastAsia="ja-JP"/>
        </w:rPr>
        <w:noBreakHyphen/>
      </w:r>
      <w:r w:rsidRPr="00BF4EBA">
        <w:rPr>
          <w:lang w:eastAsia="ja-JP"/>
        </w:rPr>
        <w:t>0.7 kg (SD 8.1) in the AA4500 and placebo groups, respectively. There were insufficient numbers with final visit assessments of the secondary hand to comment on the mean change.</w:t>
      </w:r>
    </w:p>
    <w:p w:rsidR="00BF4EBA" w:rsidRPr="00BF4EBA" w:rsidRDefault="00BF4EBA" w:rsidP="00B531F2">
      <w:pPr>
        <w:ind w:left="1418" w:hanging="1418"/>
        <w:rPr>
          <w:lang w:eastAsia="ja-JP"/>
        </w:rPr>
      </w:pPr>
      <w:r w:rsidRPr="00BF4EBA">
        <w:rPr>
          <w:lang w:eastAsia="ja-JP"/>
        </w:rPr>
        <w:t xml:space="preserve">Comment: </w:t>
      </w:r>
      <w:r w:rsidRPr="00BF4EBA">
        <w:rPr>
          <w:lang w:eastAsia="ja-JP"/>
        </w:rPr>
        <w:tab/>
        <w:t>These changes do not indicate any adverse findings in relation to hand grip strength.</w:t>
      </w:r>
    </w:p>
    <w:p w:rsidR="00BF4EBA" w:rsidRPr="00BF4EBA" w:rsidRDefault="00BF4EBA" w:rsidP="00B531F2">
      <w:pPr>
        <w:pStyle w:val="Heading5"/>
        <w:rPr>
          <w:lang w:eastAsia="ja-JP"/>
        </w:rPr>
      </w:pPr>
      <w:bookmarkStart w:id="256" w:name="_Toc353960289"/>
      <w:r w:rsidRPr="00BF4EBA">
        <w:rPr>
          <w:lang w:eastAsia="ja-JP"/>
        </w:rPr>
        <w:t>Other studies</w:t>
      </w:r>
      <w:bookmarkEnd w:id="256"/>
    </w:p>
    <w:p w:rsidR="00BF4EBA" w:rsidRPr="00BF4EBA" w:rsidRDefault="00BF4EBA" w:rsidP="00B531F2">
      <w:pPr>
        <w:rPr>
          <w:lang w:eastAsia="ja-JP"/>
        </w:rPr>
      </w:pPr>
      <w:r w:rsidRPr="00BF4EBA">
        <w:rPr>
          <w:lang w:eastAsia="ja-JP"/>
        </w:rPr>
        <w:t>In subjects with at least one dose of AA4500, the mean change in hand grip strength was 2.2 kg (SD 9.2) in the primary hand and 0.6 (SD 8.4) in the secondary hand. In subjects with 12 months post first dose of AA4500, the mean change in the primary hand was 2.9 kg (SD 9.1) and in the secondary hand was 0.9 kg (SD 7.3).</w:t>
      </w:r>
    </w:p>
    <w:p w:rsidR="00BF4EBA" w:rsidRPr="00BF4EBA" w:rsidRDefault="00BF4EBA" w:rsidP="00B531F2">
      <w:pPr>
        <w:pStyle w:val="Heading3"/>
      </w:pPr>
      <w:bookmarkStart w:id="257" w:name="_Toc241374326"/>
      <w:bookmarkStart w:id="258" w:name="_Ref272333048"/>
      <w:bookmarkStart w:id="259" w:name="_Toc272414679"/>
      <w:bookmarkStart w:id="260" w:name="_Toc290846317"/>
      <w:bookmarkStart w:id="261" w:name="_Toc353960290"/>
      <w:bookmarkStart w:id="262" w:name="_Toc374966972"/>
      <w:r w:rsidRPr="00BF4EBA">
        <w:t>Postmarketing experience</w:t>
      </w:r>
      <w:bookmarkEnd w:id="257"/>
      <w:bookmarkEnd w:id="258"/>
      <w:bookmarkEnd w:id="259"/>
      <w:bookmarkEnd w:id="260"/>
      <w:bookmarkEnd w:id="261"/>
      <w:bookmarkEnd w:id="262"/>
    </w:p>
    <w:p w:rsidR="00BF4EBA" w:rsidRPr="00BF4EBA" w:rsidRDefault="00BF4EBA" w:rsidP="00B531F2">
      <w:pPr>
        <w:rPr>
          <w:lang w:eastAsia="ja-JP"/>
        </w:rPr>
      </w:pPr>
      <w:r w:rsidRPr="00BF4EBA">
        <w:rPr>
          <w:lang w:eastAsia="ja-JP"/>
        </w:rPr>
        <w:t xml:space="preserve">The </w:t>
      </w:r>
      <w:r w:rsidR="00D22224">
        <w:rPr>
          <w:lang w:eastAsia="ja-JP"/>
        </w:rPr>
        <w:t>sponsor’s S</w:t>
      </w:r>
      <w:r w:rsidRPr="00BF4EBA">
        <w:rPr>
          <w:lang w:eastAsia="ja-JP"/>
        </w:rPr>
        <w:t xml:space="preserve">ummary of Clinical Safety contained a review of postmarketing reports to 31 March 2011 and Module 5 contained four reports covering this period from 2 February 2010 (data of approval in the US) to 31 March 2011. </w:t>
      </w:r>
      <w:r w:rsidR="008208D2">
        <w:rPr>
          <w:lang w:eastAsia="ja-JP"/>
        </w:rPr>
        <w:t>The sponsor</w:t>
      </w:r>
      <w:r w:rsidRPr="00BF4EBA">
        <w:rPr>
          <w:lang w:eastAsia="ja-JP"/>
        </w:rPr>
        <w:t xml:space="preserve"> reported that in the US between launch in March 2010 to 31 March 2011 more than 7300 vials have been sold. Over this period there were 160 reports of which 146 were non-serious and 14 were serious. The majority of reports were in the SOCs</w:t>
      </w:r>
      <w:r w:rsidR="00D22224">
        <w:rPr>
          <w:lang w:eastAsia="ja-JP"/>
        </w:rPr>
        <w:t xml:space="preserve"> of G</w:t>
      </w:r>
      <w:r w:rsidRPr="00BF4EBA">
        <w:rPr>
          <w:lang w:eastAsia="ja-JP"/>
        </w:rPr>
        <w:t xml:space="preserve">eneral disorders/administration site conditions (41/146 non serious and 1/14 serious) and </w:t>
      </w:r>
      <w:r w:rsidR="00D22224">
        <w:rPr>
          <w:lang w:eastAsia="ja-JP"/>
        </w:rPr>
        <w:t>P</w:t>
      </w:r>
      <w:r w:rsidRPr="00BF4EBA">
        <w:rPr>
          <w:lang w:eastAsia="ja-JP"/>
        </w:rPr>
        <w:t>rocedural complications (41/146 non-serious and 2/14 serious). The most frequent events were skin laceration (n=48), peripheral oedema (n=41), contusion (n=37), drug ineffective (n=19), pain in extremity (n=14), injection site haematoma (n=12) and lymphadenopathy (n=10). The serious events included: two cardiac events (one atrial fibrillation with possible allergic reaction and the other a fatal (heart attack) 5 days post injection in a 79 year old with cardiac risk factors); one pulmonary embolism one month post injection; one fatal aortic dissection 2 hours post injection; one death from a ruptured abdominal aortic aneurysm one month post injection; 2 tendon ruptures, 1 tendon damage and 5 skin tears requiring skin grafting.</w:t>
      </w:r>
    </w:p>
    <w:p w:rsidR="00BF4EBA" w:rsidRPr="00BF4EBA" w:rsidRDefault="00BF4EBA" w:rsidP="00B531F2">
      <w:pPr>
        <w:ind w:left="1418" w:hanging="1418"/>
        <w:rPr>
          <w:lang w:eastAsia="ja-JP"/>
        </w:rPr>
      </w:pPr>
      <w:r w:rsidRPr="00BF4EBA">
        <w:rPr>
          <w:lang w:eastAsia="ja-JP"/>
        </w:rPr>
        <w:t xml:space="preserve">Comment: </w:t>
      </w:r>
      <w:r w:rsidRPr="00BF4EBA">
        <w:rPr>
          <w:lang w:eastAsia="ja-JP"/>
        </w:rPr>
        <w:tab/>
      </w:r>
      <w:r w:rsidR="008208D2">
        <w:rPr>
          <w:lang w:eastAsia="ja-JP"/>
        </w:rPr>
        <w:t>The sponsor</w:t>
      </w:r>
      <w:r w:rsidRPr="00BF4EBA">
        <w:rPr>
          <w:lang w:eastAsia="ja-JP"/>
        </w:rPr>
        <w:t xml:space="preserve"> stated that the tendon damage and rupture is possibly due to inadvertent injection into collagen containing structures other than the </w:t>
      </w:r>
      <w:proofErr w:type="spellStart"/>
      <w:r w:rsidRPr="00BF4EBA">
        <w:rPr>
          <w:lang w:eastAsia="ja-JP"/>
        </w:rPr>
        <w:lastRenderedPageBreak/>
        <w:t>Dupuytren’s</w:t>
      </w:r>
      <w:proofErr w:type="spellEnd"/>
      <w:r w:rsidRPr="00BF4EBA">
        <w:rPr>
          <w:lang w:eastAsia="ja-JP"/>
        </w:rPr>
        <w:t xml:space="preserve"> cord and the skin tears are likely due to the finger manipulation procedure rather than the product.</w:t>
      </w:r>
    </w:p>
    <w:p w:rsidR="00BF4EBA" w:rsidRPr="00BF4EBA" w:rsidRDefault="00BF4EBA" w:rsidP="001E67A3">
      <w:pPr>
        <w:pStyle w:val="Heading3"/>
      </w:pPr>
      <w:bookmarkStart w:id="263" w:name="_Ref272333005"/>
      <w:bookmarkStart w:id="264" w:name="_Toc272414680"/>
      <w:bookmarkStart w:id="265" w:name="_Toc290846318"/>
      <w:bookmarkStart w:id="266" w:name="_Toc353960291"/>
      <w:bookmarkStart w:id="267" w:name="_Toc374966973"/>
      <w:r w:rsidRPr="00BF4EBA">
        <w:t>Safety issues with the potential for major regulatory imp</w:t>
      </w:r>
      <w:bookmarkEnd w:id="263"/>
      <w:bookmarkEnd w:id="264"/>
      <w:r w:rsidRPr="00BF4EBA">
        <w:t>act</w:t>
      </w:r>
      <w:bookmarkEnd w:id="265"/>
      <w:bookmarkEnd w:id="266"/>
      <w:bookmarkEnd w:id="267"/>
    </w:p>
    <w:p w:rsidR="00BF4EBA" w:rsidRPr="00BF4EBA" w:rsidRDefault="00BF4EBA" w:rsidP="001E67A3">
      <w:pPr>
        <w:pStyle w:val="Heading4"/>
      </w:pPr>
      <w:bookmarkStart w:id="268" w:name="_Toc241374323"/>
      <w:bookmarkStart w:id="269" w:name="_Toc272414685"/>
      <w:bookmarkStart w:id="270" w:name="_Toc290846323"/>
      <w:bookmarkStart w:id="271" w:name="_Ref343675674"/>
      <w:bookmarkStart w:id="272" w:name="_Toc353960292"/>
      <w:r w:rsidRPr="00BF4EBA">
        <w:t>Unwanted immunological events</w:t>
      </w:r>
      <w:bookmarkEnd w:id="268"/>
      <w:bookmarkEnd w:id="269"/>
      <w:bookmarkEnd w:id="270"/>
      <w:bookmarkEnd w:id="271"/>
      <w:bookmarkEnd w:id="272"/>
    </w:p>
    <w:p w:rsidR="00BF4EBA" w:rsidRPr="00BF4EBA" w:rsidRDefault="00BF4EBA" w:rsidP="001E67A3">
      <w:pPr>
        <w:rPr>
          <w:b/>
          <w:lang w:eastAsia="ja-JP"/>
        </w:rPr>
      </w:pPr>
      <w:r w:rsidRPr="00BF4EBA">
        <w:rPr>
          <w:lang w:eastAsia="ja-JP"/>
        </w:rPr>
        <w:t xml:space="preserve">In </w:t>
      </w:r>
      <w:r w:rsidR="00D22224">
        <w:rPr>
          <w:lang w:eastAsia="ja-JP"/>
        </w:rPr>
        <w:t>S</w:t>
      </w:r>
      <w:r w:rsidRPr="00BF4EBA">
        <w:rPr>
          <w:lang w:eastAsia="ja-JP"/>
        </w:rPr>
        <w:t xml:space="preserve">tudies AUX-CC-851/852, AUX-CC-853, AUX-CC-854, AUX-CC-856, AUX-CC-857, AUX-CC-858, and AUX-CC-859, serum samples were collected at screening and 30 days post injection for determination of anti- AUX-I and anti-AUX-II antibodies. The AA4500 used in these studies were produced by the commercial manufacturing process (Process 3). As discussed in </w:t>
      </w:r>
      <w:r w:rsidR="00D22224" w:rsidRPr="00D22224">
        <w:rPr>
          <w:i/>
          <w:lang w:eastAsia="ja-JP"/>
        </w:rPr>
        <w:t>Secondary pharmacodynamic effect</w:t>
      </w:r>
      <w:r w:rsidRPr="00BF4EBA">
        <w:rPr>
          <w:lang w:eastAsia="ja-JP"/>
        </w:rPr>
        <w:t xml:space="preserve">, over 85% of subjects had ADAs after one injection and all did so by the third or fourth injection. </w:t>
      </w:r>
    </w:p>
    <w:p w:rsidR="00BF4EBA" w:rsidRPr="00BF4EBA" w:rsidRDefault="00BF4EBA" w:rsidP="001E67A3">
      <w:pPr>
        <w:rPr>
          <w:lang w:eastAsia="ja-JP"/>
        </w:rPr>
      </w:pPr>
      <w:r w:rsidRPr="00BF4EBA">
        <w:rPr>
          <w:lang w:eastAsia="ja-JP"/>
        </w:rPr>
        <w:t>In the clinical program there were eight TEAEs coded as hypersensitivity reactions, three of which were classed as related and these were all local reactions on the treated hand (local allergic reactions of redness itch, heat and swelling of the treated hand). The other five cases were deemed non-related (rash behind knee, nasal allergy, allergic symptoms, allergic cough, and swollen lip from possible bee sting). There were also three cases of urticaria, two of which received a subsequent AA4500 injection without premedication or reappearance of the hives. There were no identified cases of systemic anaphylaxis.</w:t>
      </w:r>
    </w:p>
    <w:p w:rsidR="00BF4EBA" w:rsidRDefault="00BF4EBA" w:rsidP="001E67A3">
      <w:pPr>
        <w:rPr>
          <w:lang w:eastAsia="ja-JP"/>
        </w:rPr>
      </w:pPr>
      <w:r w:rsidRPr="00BF4EBA">
        <w:rPr>
          <w:lang w:eastAsia="ja-JP"/>
        </w:rPr>
        <w:t>Treatment-related events possibly associated with an immunologic event were examined by injection number and no association was found between increasing number of injections (and by inference an increase in antibody titre) with increasing event rates except for pruritus and to a less extent peripheral oed</w:t>
      </w:r>
      <w:r w:rsidRPr="0067444B">
        <w:rPr>
          <w:lang w:eastAsia="ja-JP"/>
        </w:rPr>
        <w:t xml:space="preserve">ema (Table </w:t>
      </w:r>
      <w:r w:rsidR="00E73060" w:rsidRPr="0067444B">
        <w:rPr>
          <w:lang w:eastAsia="ja-JP"/>
        </w:rPr>
        <w:t>25</w:t>
      </w:r>
      <w:r w:rsidRPr="0067444B">
        <w:rPr>
          <w:lang w:eastAsia="ja-JP"/>
        </w:rPr>
        <w:t>). In addition, there was no evident increase in the median duration of these TEAEs after receipt of a hi</w:t>
      </w:r>
      <w:r w:rsidRPr="00BF4EBA">
        <w:rPr>
          <w:lang w:eastAsia="ja-JP"/>
        </w:rPr>
        <w:t>gher number of injections.</w:t>
      </w:r>
    </w:p>
    <w:p w:rsidR="001E67A3" w:rsidRDefault="00E73060" w:rsidP="001E67A3">
      <w:pPr>
        <w:pStyle w:val="TableTitle"/>
        <w:rPr>
          <w:lang w:eastAsia="ja-JP"/>
        </w:rPr>
      </w:pPr>
      <w:bookmarkStart w:id="273" w:name="_Ref343675948"/>
      <w:bookmarkStart w:id="274" w:name="_Toc353960405"/>
      <w:r w:rsidRPr="00E73060">
        <w:rPr>
          <w:lang w:eastAsia="ja-JP"/>
        </w:rPr>
        <w:t xml:space="preserve">Table </w:t>
      </w:r>
      <w:bookmarkEnd w:id="273"/>
      <w:bookmarkEnd w:id="274"/>
      <w:r>
        <w:rPr>
          <w:lang w:eastAsia="ja-JP"/>
        </w:rPr>
        <w:t>25. Most frequently reported treatment-related AEs and those possibly consistent with an immunologic event by injection number. First Dose AA4500 0.58 mg to 30 days Post Last dose. All subjects with at least 1 dose of AA4500 0.58 mg.</w:t>
      </w:r>
    </w:p>
    <w:p w:rsidR="00E73060" w:rsidRPr="00E73060" w:rsidRDefault="00E73060" w:rsidP="001E67A3">
      <w:pPr>
        <w:rPr>
          <w:lang w:eastAsia="ja-JP"/>
        </w:rPr>
      </w:pPr>
      <w:r w:rsidRPr="00E73060">
        <w:rPr>
          <w:noProof/>
          <w:lang w:eastAsia="en-AU"/>
        </w:rPr>
        <w:drawing>
          <wp:inline distT="0" distB="0" distL="0" distR="0">
            <wp:extent cx="5800725" cy="2228850"/>
            <wp:effectExtent l="19050" t="19050" r="28575" b="19050"/>
            <wp:docPr id="6" name="Picture 141" descr="Table 25. Most frequently reported treatment-related AEs and those possibly consistent with an immunologic event by injection number. First Dose AA4500 0.58 mg to 30 days Post Last dose. All subjects with at least 1 dose of AA4500 0.58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 cstate="print">
                      <a:duotone>
                        <a:prstClr val="black"/>
                        <a:schemeClr val="bg1">
                          <a:tint val="45000"/>
                          <a:satMod val="400000"/>
                        </a:schemeClr>
                      </a:duotone>
                    </a:blip>
                    <a:srcRect l="801" t="2092" r="1603"/>
                    <a:stretch>
                      <a:fillRect/>
                    </a:stretch>
                  </pic:blipFill>
                  <pic:spPr bwMode="auto">
                    <a:xfrm>
                      <a:off x="0" y="0"/>
                      <a:ext cx="5800725" cy="2228850"/>
                    </a:xfrm>
                    <a:prstGeom prst="rect">
                      <a:avLst/>
                    </a:prstGeom>
                    <a:noFill/>
                    <a:ln w="9525">
                      <a:solidFill>
                        <a:schemeClr val="tx1"/>
                      </a:solidFill>
                      <a:miter lim="800000"/>
                      <a:headEnd/>
                      <a:tailEnd/>
                    </a:ln>
                  </pic:spPr>
                </pic:pic>
              </a:graphicData>
            </a:graphic>
          </wp:inline>
        </w:drawing>
      </w:r>
    </w:p>
    <w:p w:rsidR="00BF4EBA" w:rsidRPr="00BF4EBA" w:rsidRDefault="008208D2" w:rsidP="001E67A3">
      <w:pPr>
        <w:rPr>
          <w:lang w:eastAsia="ja-JP"/>
        </w:rPr>
      </w:pPr>
      <w:r>
        <w:rPr>
          <w:lang w:eastAsia="ja-JP"/>
        </w:rPr>
        <w:t>The sponsor</w:t>
      </w:r>
      <w:r w:rsidR="00BF4EBA" w:rsidRPr="00BF4EBA">
        <w:rPr>
          <w:lang w:eastAsia="ja-JP"/>
        </w:rPr>
        <w:t xml:space="preserve"> undertook an assessment of the relationship between ADA titre and the severity of adverse events of peripheral oedema, contusion, injection site pain, extremity pain, injection site swelling, pruritus, lymphadenopathy and injection site pruritus. This showed that there was no obvious increase in ADA titre in subjects with severe events. </w:t>
      </w:r>
    </w:p>
    <w:p w:rsidR="00BF4EBA" w:rsidRPr="00BF4EBA" w:rsidRDefault="00E73060" w:rsidP="001E67A3">
      <w:pPr>
        <w:rPr>
          <w:lang w:eastAsia="ja-JP"/>
        </w:rPr>
      </w:pPr>
      <w:r>
        <w:rPr>
          <w:lang w:eastAsia="ja-JP"/>
        </w:rPr>
        <w:t xml:space="preserve">Comment: </w:t>
      </w:r>
      <w:r>
        <w:rPr>
          <w:lang w:eastAsia="ja-JP"/>
        </w:rPr>
        <w:tab/>
        <w:t>N</w:t>
      </w:r>
      <w:r w:rsidR="00BF4EBA" w:rsidRPr="00BF4EBA">
        <w:rPr>
          <w:lang w:eastAsia="ja-JP"/>
        </w:rPr>
        <w:t>o formal statistical analysis of this was undertaken.</w:t>
      </w:r>
    </w:p>
    <w:p w:rsidR="00BF4EBA" w:rsidRPr="00BF4EBA" w:rsidRDefault="008208D2" w:rsidP="001E67A3">
      <w:pPr>
        <w:rPr>
          <w:lang w:eastAsia="ja-JP"/>
        </w:rPr>
      </w:pPr>
      <w:r>
        <w:rPr>
          <w:lang w:eastAsia="ja-JP"/>
        </w:rPr>
        <w:t>The sponsor</w:t>
      </w:r>
      <w:r w:rsidR="00BF4EBA" w:rsidRPr="00BF4EBA">
        <w:rPr>
          <w:lang w:eastAsia="ja-JP"/>
        </w:rPr>
        <w:t xml:space="preserve"> also medically reviewed the TEAEs for events possibly related to inhibition of endogenous </w:t>
      </w:r>
      <w:proofErr w:type="spellStart"/>
      <w:r w:rsidR="00BF4EBA" w:rsidRPr="00BF4EBA">
        <w:rPr>
          <w:lang w:eastAsia="ja-JP"/>
        </w:rPr>
        <w:t>collagenases</w:t>
      </w:r>
      <w:proofErr w:type="spellEnd"/>
      <w:r w:rsidR="00BF4EBA" w:rsidRPr="00BF4EBA">
        <w:rPr>
          <w:lang w:eastAsia="ja-JP"/>
        </w:rPr>
        <w:t xml:space="preserve"> (MMPs) by anti-AUX-I and anti-AUX-II antibodies. There were no musculoskeletal events of </w:t>
      </w:r>
      <w:proofErr w:type="spellStart"/>
      <w:r w:rsidR="00BF4EBA" w:rsidRPr="00BF4EBA">
        <w:rPr>
          <w:lang w:eastAsia="ja-JP"/>
        </w:rPr>
        <w:t>polyarthritis</w:t>
      </w:r>
      <w:proofErr w:type="spellEnd"/>
      <w:r w:rsidR="00BF4EBA" w:rsidRPr="00BF4EBA">
        <w:rPr>
          <w:lang w:eastAsia="ja-JP"/>
        </w:rPr>
        <w:t xml:space="preserve">, </w:t>
      </w:r>
      <w:proofErr w:type="spellStart"/>
      <w:r w:rsidR="00BF4EBA" w:rsidRPr="00BF4EBA">
        <w:rPr>
          <w:lang w:eastAsia="ja-JP"/>
        </w:rPr>
        <w:t>osteolysis</w:t>
      </w:r>
      <w:proofErr w:type="spellEnd"/>
      <w:r w:rsidR="00BF4EBA" w:rsidRPr="00BF4EBA">
        <w:rPr>
          <w:lang w:eastAsia="ja-JP"/>
        </w:rPr>
        <w:t xml:space="preserve"> or shoulder pain/reduction of range of motion. Joint stiffness and swelling was noted after the first as well as subsequent doses and </w:t>
      </w:r>
      <w:proofErr w:type="spellStart"/>
      <w:r w:rsidR="00BF4EBA" w:rsidRPr="00BF4EBA">
        <w:rPr>
          <w:lang w:eastAsia="ja-JP"/>
        </w:rPr>
        <w:lastRenderedPageBreak/>
        <w:t>Dupuytren's</w:t>
      </w:r>
      <w:proofErr w:type="spellEnd"/>
      <w:r w:rsidR="00BF4EBA" w:rsidRPr="00BF4EBA">
        <w:rPr>
          <w:lang w:eastAsia="ja-JP"/>
        </w:rPr>
        <w:t xml:space="preserve"> disease was not noted to worsen. </w:t>
      </w:r>
      <w:r>
        <w:rPr>
          <w:lang w:eastAsia="ja-JP"/>
        </w:rPr>
        <w:t>The sponsor</w:t>
      </w:r>
      <w:r w:rsidR="00BF4EBA" w:rsidRPr="00BF4EBA">
        <w:rPr>
          <w:lang w:eastAsia="ja-JP"/>
        </w:rPr>
        <w:t xml:space="preserve"> reported that </w:t>
      </w:r>
      <w:r w:rsidR="00BF4EBA" w:rsidRPr="00BF4EBA">
        <w:rPr>
          <w:i/>
          <w:lang w:eastAsia="ja-JP"/>
        </w:rPr>
        <w:t>in vitro</w:t>
      </w:r>
      <w:r w:rsidR="00BF4EBA" w:rsidRPr="00BF4EBA">
        <w:rPr>
          <w:lang w:eastAsia="ja-JP"/>
        </w:rPr>
        <w:t xml:space="preserve"> studies, using 71 samples from AUX-CC-860, found no potential for cross-reactivity of ADAs with the endogenous human MMPs (1, 2, 3, 8 and 13).</w:t>
      </w:r>
    </w:p>
    <w:p w:rsidR="00BF4EBA" w:rsidRPr="00BF4EBA" w:rsidRDefault="00BF4EBA" w:rsidP="001E67A3">
      <w:pPr>
        <w:pStyle w:val="Heading3"/>
      </w:pPr>
      <w:bookmarkStart w:id="275" w:name="_Toc272414686"/>
      <w:bookmarkStart w:id="276" w:name="_Ref273005527"/>
      <w:bookmarkStart w:id="277" w:name="_Toc290846324"/>
      <w:bookmarkStart w:id="278" w:name="_Toc353960293"/>
      <w:bookmarkStart w:id="279" w:name="_Toc374966974"/>
      <w:r w:rsidRPr="00BF4EBA">
        <w:t>Other safety issues</w:t>
      </w:r>
      <w:bookmarkEnd w:id="275"/>
      <w:bookmarkEnd w:id="276"/>
      <w:bookmarkEnd w:id="277"/>
      <w:bookmarkEnd w:id="278"/>
      <w:bookmarkEnd w:id="279"/>
    </w:p>
    <w:p w:rsidR="00BF4EBA" w:rsidRPr="00BF4EBA" w:rsidRDefault="00BF4EBA" w:rsidP="001E67A3">
      <w:pPr>
        <w:pStyle w:val="Heading4"/>
      </w:pPr>
      <w:bookmarkStart w:id="280" w:name="_Toc241374322"/>
      <w:bookmarkStart w:id="281" w:name="_Ref272331212"/>
      <w:bookmarkStart w:id="282" w:name="_Toc272414687"/>
      <w:bookmarkStart w:id="283" w:name="_Toc290846325"/>
      <w:bookmarkStart w:id="284" w:name="_Toc353960294"/>
      <w:r w:rsidRPr="00BF4EBA">
        <w:t>Safety in special populations</w:t>
      </w:r>
      <w:bookmarkEnd w:id="280"/>
      <w:bookmarkEnd w:id="281"/>
      <w:bookmarkEnd w:id="282"/>
      <w:bookmarkEnd w:id="283"/>
      <w:bookmarkEnd w:id="284"/>
    </w:p>
    <w:p w:rsidR="00E73060" w:rsidRDefault="00BF4EBA" w:rsidP="001E67A3">
      <w:pPr>
        <w:pStyle w:val="Heading5"/>
        <w:rPr>
          <w:lang w:eastAsia="ja-JP"/>
        </w:rPr>
      </w:pPr>
      <w:r w:rsidRPr="00BF4EBA">
        <w:rPr>
          <w:lang w:eastAsia="ja-JP"/>
        </w:rPr>
        <w:t>Age</w:t>
      </w:r>
    </w:p>
    <w:p w:rsidR="00BF4EBA" w:rsidRPr="00BF4EBA" w:rsidRDefault="00BF4EBA" w:rsidP="001E67A3">
      <w:pPr>
        <w:rPr>
          <w:lang w:eastAsia="ja-JP"/>
        </w:rPr>
      </w:pPr>
      <w:r w:rsidRPr="00BF4EBA">
        <w:rPr>
          <w:lang w:eastAsia="ja-JP"/>
        </w:rPr>
        <w:t xml:space="preserve">An assessment of the most frequent TEAEs by age group did not reveal any trends. The rate of severe TEAEs was slightly higher in those aged </w:t>
      </w:r>
      <w:r w:rsidR="000135F1">
        <w:rPr>
          <w:lang w:eastAsia="ja-JP"/>
        </w:rPr>
        <w:t>≥</w:t>
      </w:r>
      <w:r w:rsidRPr="00BF4EBA">
        <w:rPr>
          <w:lang w:eastAsia="ja-JP"/>
        </w:rPr>
        <w:t>75 years than those aged 45-74 years (18.5%</w:t>
      </w:r>
      <w:r w:rsidR="00CD48FD">
        <w:rPr>
          <w:lang w:eastAsia="ja-JP"/>
        </w:rPr>
        <w:t xml:space="preserve"> versus </w:t>
      </w:r>
      <w:r w:rsidRPr="00BF4EBA">
        <w:rPr>
          <w:lang w:eastAsia="ja-JP"/>
        </w:rPr>
        <w:t xml:space="preserve">14.3-15.5%) </w:t>
      </w:r>
    </w:p>
    <w:p w:rsidR="00E73060" w:rsidRDefault="00BF4EBA" w:rsidP="001E67A3">
      <w:pPr>
        <w:pStyle w:val="Heading5"/>
        <w:rPr>
          <w:lang w:eastAsia="ja-JP"/>
        </w:rPr>
      </w:pPr>
      <w:r w:rsidRPr="00BF4EBA">
        <w:rPr>
          <w:lang w:eastAsia="ja-JP"/>
        </w:rPr>
        <w:t>Gender</w:t>
      </w:r>
    </w:p>
    <w:p w:rsidR="00BF4EBA" w:rsidRPr="00BF4EBA" w:rsidRDefault="00BF4EBA" w:rsidP="001E67A3">
      <w:pPr>
        <w:rPr>
          <w:lang w:eastAsia="ja-JP"/>
        </w:rPr>
      </w:pPr>
      <w:r w:rsidRPr="00BF4EBA">
        <w:rPr>
          <w:lang w:eastAsia="ja-JP"/>
        </w:rPr>
        <w:t>The rates of TEAEs were similar between males and females.</w:t>
      </w:r>
    </w:p>
    <w:p w:rsidR="00E73060" w:rsidRDefault="001E67A3" w:rsidP="001E67A3">
      <w:pPr>
        <w:pStyle w:val="Heading5"/>
        <w:rPr>
          <w:lang w:eastAsia="ja-JP"/>
        </w:rPr>
      </w:pPr>
      <w:r>
        <w:rPr>
          <w:lang w:eastAsia="ja-JP"/>
        </w:rPr>
        <w:t>Weight/b</w:t>
      </w:r>
      <w:r w:rsidR="00BF4EBA" w:rsidRPr="00BF4EBA">
        <w:rPr>
          <w:lang w:eastAsia="ja-JP"/>
        </w:rPr>
        <w:t>ody mass index</w:t>
      </w:r>
    </w:p>
    <w:p w:rsidR="00BF4EBA" w:rsidRPr="00BF4EBA" w:rsidRDefault="00BF4EBA" w:rsidP="001E67A3">
      <w:pPr>
        <w:rPr>
          <w:lang w:eastAsia="ja-JP"/>
        </w:rPr>
      </w:pPr>
      <w:r w:rsidRPr="00BF4EBA">
        <w:rPr>
          <w:lang w:eastAsia="ja-JP"/>
        </w:rPr>
        <w:t>The rate of TEAEs was similar when assessed by body weight quartiles and by body mass index category (normal, overweight, obese).</w:t>
      </w:r>
    </w:p>
    <w:p w:rsidR="00E73060" w:rsidRDefault="00BF4EBA" w:rsidP="001E67A3">
      <w:pPr>
        <w:pStyle w:val="Heading5"/>
        <w:rPr>
          <w:lang w:eastAsia="ja-JP"/>
        </w:rPr>
      </w:pPr>
      <w:r w:rsidRPr="00BF4EBA">
        <w:rPr>
          <w:lang w:eastAsia="ja-JP"/>
        </w:rPr>
        <w:t>Race</w:t>
      </w:r>
    </w:p>
    <w:p w:rsidR="00BF4EBA" w:rsidRPr="00BF4EBA" w:rsidRDefault="00BF4EBA" w:rsidP="001E67A3">
      <w:pPr>
        <w:rPr>
          <w:lang w:eastAsia="ja-JP"/>
        </w:rPr>
      </w:pPr>
      <w:r w:rsidRPr="00BF4EBA">
        <w:rPr>
          <w:lang w:eastAsia="ja-JP"/>
        </w:rPr>
        <w:t>There were only five non-White subjects in the clinical program so assessment by race was not possible.</w:t>
      </w:r>
    </w:p>
    <w:p w:rsidR="00E73060" w:rsidRDefault="00BF4EBA" w:rsidP="001E67A3">
      <w:pPr>
        <w:pStyle w:val="Heading5"/>
        <w:rPr>
          <w:lang w:eastAsia="ja-JP"/>
        </w:rPr>
      </w:pPr>
      <w:r w:rsidRPr="00BF4EBA">
        <w:rPr>
          <w:lang w:eastAsia="ja-JP"/>
        </w:rPr>
        <w:t>Diabetes</w:t>
      </w:r>
    </w:p>
    <w:p w:rsidR="00BF4EBA" w:rsidRPr="00BF4EBA" w:rsidRDefault="00BF4EBA" w:rsidP="001E67A3">
      <w:pPr>
        <w:rPr>
          <w:lang w:eastAsia="ja-JP"/>
        </w:rPr>
      </w:pPr>
      <w:r w:rsidRPr="00BF4EBA">
        <w:rPr>
          <w:lang w:eastAsia="ja-JP"/>
        </w:rPr>
        <w:t xml:space="preserve">There were 104 subjects with a history of diabetes and the rate of TEAEs in this group was similar to those with no history of diabetes. TEAE severity was also similar. </w:t>
      </w:r>
    </w:p>
    <w:p w:rsidR="00BF4EBA" w:rsidRPr="00BF4EBA" w:rsidRDefault="00BF4EBA" w:rsidP="001E67A3">
      <w:pPr>
        <w:pStyle w:val="Heading3"/>
      </w:pPr>
      <w:bookmarkStart w:id="285" w:name="_Toc241374324"/>
      <w:bookmarkStart w:id="286" w:name="_Ref272331214"/>
      <w:bookmarkStart w:id="287" w:name="_Toc272414688"/>
      <w:bookmarkStart w:id="288" w:name="_Toc290846326"/>
      <w:bookmarkStart w:id="289" w:name="_Toc353960295"/>
      <w:bookmarkStart w:id="290" w:name="_Toc374966975"/>
      <w:r w:rsidRPr="00BF4EBA">
        <w:t>Safety related to drug-drug interactions and other interactions</w:t>
      </w:r>
      <w:bookmarkEnd w:id="285"/>
      <w:bookmarkEnd w:id="286"/>
      <w:bookmarkEnd w:id="287"/>
      <w:bookmarkEnd w:id="288"/>
      <w:bookmarkEnd w:id="289"/>
      <w:bookmarkEnd w:id="290"/>
    </w:p>
    <w:p w:rsidR="00BF4EBA" w:rsidRPr="00BF4EBA" w:rsidRDefault="00BF4EBA" w:rsidP="001E67A3">
      <w:pPr>
        <w:rPr>
          <w:lang w:eastAsia="ja-JP"/>
        </w:rPr>
      </w:pPr>
      <w:r w:rsidRPr="00BF4EBA">
        <w:rPr>
          <w:lang w:eastAsia="ja-JP"/>
        </w:rPr>
        <w:t>Subjects were excluded from the clinical development program if they had received anticoagulants (except low dose aspirin) within 7 days of AA4500 injection. Caution is recommended in subjects receiving anticoagulants due to the risk of haemorrhage and concomitant use not advised.</w:t>
      </w:r>
    </w:p>
    <w:p w:rsidR="00BF4EBA" w:rsidRPr="00BF4EBA" w:rsidRDefault="00BF4EBA" w:rsidP="001E67A3">
      <w:pPr>
        <w:rPr>
          <w:lang w:eastAsia="ja-JP"/>
        </w:rPr>
      </w:pPr>
      <w:r w:rsidRPr="00BF4EBA">
        <w:rPr>
          <w:lang w:eastAsia="ja-JP"/>
        </w:rPr>
        <w:t>Tetracycline derivatives may inhibit mammalian MMPs and therefore there exists a potential for these drugs to reduce the activity of AA4500. Subject who had received doxycycline or a doxycycline derivative within 14 days were excluded from the trials.</w:t>
      </w:r>
    </w:p>
    <w:p w:rsidR="00BF4EBA" w:rsidRPr="00BF4EBA" w:rsidRDefault="008208D2" w:rsidP="001E67A3">
      <w:pPr>
        <w:rPr>
          <w:lang w:eastAsia="ja-JP"/>
        </w:rPr>
      </w:pPr>
      <w:r>
        <w:rPr>
          <w:lang w:eastAsia="ja-JP"/>
        </w:rPr>
        <w:t>The sponsor</w:t>
      </w:r>
      <w:r w:rsidR="00BF4EBA" w:rsidRPr="00BF4EBA">
        <w:rPr>
          <w:lang w:eastAsia="ja-JP"/>
        </w:rPr>
        <w:t xml:space="preserve"> reported literature cases of </w:t>
      </w:r>
      <w:r w:rsidR="00BF4EBA" w:rsidRPr="00BF4EBA">
        <w:rPr>
          <w:i/>
          <w:lang w:eastAsia="ja-JP"/>
        </w:rPr>
        <w:t>in vitro</w:t>
      </w:r>
      <w:r w:rsidR="00BF4EBA" w:rsidRPr="00BF4EBA">
        <w:rPr>
          <w:lang w:eastAsia="ja-JP"/>
        </w:rPr>
        <w:t xml:space="preserve"> inhibition of </w:t>
      </w:r>
      <w:proofErr w:type="spellStart"/>
      <w:r w:rsidR="00BF4EBA" w:rsidRPr="00BF4EBA">
        <w:rPr>
          <w:lang w:eastAsia="ja-JP"/>
        </w:rPr>
        <w:t>clostridial</w:t>
      </w:r>
      <w:proofErr w:type="spellEnd"/>
      <w:r w:rsidR="00BF4EBA" w:rsidRPr="00BF4EBA">
        <w:rPr>
          <w:lang w:eastAsia="ja-JP"/>
        </w:rPr>
        <w:t xml:space="preserve"> </w:t>
      </w:r>
      <w:proofErr w:type="spellStart"/>
      <w:r w:rsidR="00BF4EBA" w:rsidRPr="00BF4EBA">
        <w:rPr>
          <w:lang w:eastAsia="ja-JP"/>
        </w:rPr>
        <w:t>collagenase</w:t>
      </w:r>
      <w:proofErr w:type="spellEnd"/>
      <w:r w:rsidR="00BF4EBA" w:rsidRPr="00BF4EBA">
        <w:rPr>
          <w:lang w:eastAsia="ja-JP"/>
        </w:rPr>
        <w:t xml:space="preserve"> by </w:t>
      </w:r>
      <w:proofErr w:type="spellStart"/>
      <w:r w:rsidR="00BF4EBA" w:rsidRPr="00BF4EBA">
        <w:rPr>
          <w:lang w:eastAsia="ja-JP"/>
        </w:rPr>
        <w:t>antimitotic</w:t>
      </w:r>
      <w:proofErr w:type="spellEnd"/>
      <w:r w:rsidR="00BF4EBA" w:rsidRPr="00BF4EBA">
        <w:rPr>
          <w:lang w:eastAsia="ja-JP"/>
        </w:rPr>
        <w:t xml:space="preserve"> agents </w:t>
      </w:r>
      <w:proofErr w:type="spellStart"/>
      <w:r w:rsidR="00BF4EBA" w:rsidRPr="00BF4EBA">
        <w:rPr>
          <w:lang w:eastAsia="ja-JP"/>
        </w:rPr>
        <w:t>daunomycin</w:t>
      </w:r>
      <w:proofErr w:type="spellEnd"/>
      <w:r w:rsidR="00BF4EBA" w:rsidRPr="00BF4EBA">
        <w:rPr>
          <w:lang w:eastAsia="ja-JP"/>
        </w:rPr>
        <w:t xml:space="preserve"> and </w:t>
      </w:r>
      <w:proofErr w:type="spellStart"/>
      <w:r w:rsidR="00BF4EBA" w:rsidRPr="00BF4EBA">
        <w:rPr>
          <w:lang w:eastAsia="ja-JP"/>
        </w:rPr>
        <w:t>adriamycin</w:t>
      </w:r>
      <w:proofErr w:type="spellEnd"/>
      <w:r w:rsidR="00BF4EBA" w:rsidRPr="00BF4EBA">
        <w:rPr>
          <w:lang w:eastAsia="ja-JP"/>
        </w:rPr>
        <w:t xml:space="preserve"> and the antimicrobial agent </w:t>
      </w:r>
      <w:proofErr w:type="spellStart"/>
      <w:r w:rsidR="00BF4EBA" w:rsidRPr="00BF4EBA">
        <w:rPr>
          <w:lang w:eastAsia="ja-JP"/>
        </w:rPr>
        <w:t>berberine</w:t>
      </w:r>
      <w:proofErr w:type="spellEnd"/>
      <w:r w:rsidR="00BF4EBA" w:rsidRPr="00BF4EBA">
        <w:rPr>
          <w:lang w:eastAsia="ja-JP"/>
        </w:rPr>
        <w:t xml:space="preserve"> and its derivatives. </w:t>
      </w:r>
    </w:p>
    <w:p w:rsidR="00BF4EBA" w:rsidRPr="00BF4EBA" w:rsidRDefault="00BF4EBA" w:rsidP="001E67A3">
      <w:pPr>
        <w:pStyle w:val="Heading3"/>
      </w:pPr>
      <w:bookmarkStart w:id="291" w:name="_Toc241374328"/>
      <w:bookmarkStart w:id="292" w:name="_Toc272414691"/>
      <w:bookmarkStart w:id="293" w:name="_Toc290846329"/>
      <w:bookmarkStart w:id="294" w:name="_Toc353960296"/>
      <w:bookmarkStart w:id="295" w:name="_Toc374966976"/>
      <w:r w:rsidRPr="00BF4EBA">
        <w:t>Evaluator’s overall conclusions on clinical safety</w:t>
      </w:r>
      <w:bookmarkEnd w:id="291"/>
      <w:bookmarkEnd w:id="292"/>
      <w:bookmarkEnd w:id="293"/>
      <w:bookmarkEnd w:id="294"/>
      <w:bookmarkEnd w:id="295"/>
    </w:p>
    <w:p w:rsidR="00BF4EBA" w:rsidRPr="00BF4EBA" w:rsidRDefault="00BF4EBA" w:rsidP="001E67A3">
      <w:pPr>
        <w:rPr>
          <w:lang w:eastAsia="ja-JP"/>
        </w:rPr>
      </w:pPr>
      <w:r w:rsidRPr="00BF4EBA">
        <w:rPr>
          <w:lang w:eastAsia="ja-JP"/>
        </w:rPr>
        <w:t xml:space="preserve">There were 13 clinical studies in the development program of AA4500 in </w:t>
      </w:r>
      <w:proofErr w:type="spellStart"/>
      <w:r w:rsidRPr="00BF4EBA">
        <w:rPr>
          <w:lang w:eastAsia="ja-JP"/>
        </w:rPr>
        <w:t>Dupuytren's</w:t>
      </w:r>
      <w:proofErr w:type="spellEnd"/>
      <w:r w:rsidRPr="00BF4EBA">
        <w:rPr>
          <w:lang w:eastAsia="ja-JP"/>
        </w:rPr>
        <w:t xml:space="preserve"> disease, although two early clinical studies were not included in the safety analyses due to the lack of clinical databases. In the 11 included clinical trials, there were 1,082 subjects who received at least one injection of AA4500 0.58 mg and 1780 cords were treated with 2630 injections. </w:t>
      </w:r>
    </w:p>
    <w:p w:rsidR="00BF4EBA" w:rsidRPr="00BF4EBA" w:rsidRDefault="00BF4EBA" w:rsidP="001E67A3">
      <w:pPr>
        <w:rPr>
          <w:lang w:eastAsia="ja-JP"/>
        </w:rPr>
      </w:pPr>
      <w:r w:rsidRPr="00BF4EBA">
        <w:rPr>
          <w:lang w:eastAsia="ja-JP"/>
        </w:rPr>
        <w:t>In the two pivotal efficacy studies, AUX-CC-857 and AUX-CC-859, there were 272 subjects who had 392 cords treated with AA4500 and 137 subjects with 393 cords treated with placebo over a median participation duration of 92 days. There were also 268 subjects with at least 12 months of data post the first dose of AA4500 and half of these subjects received one or two injections.</w:t>
      </w:r>
    </w:p>
    <w:p w:rsidR="00BF4EBA" w:rsidRPr="00BF4EBA" w:rsidRDefault="00BF4EBA" w:rsidP="001E67A3">
      <w:pPr>
        <w:rPr>
          <w:lang w:eastAsia="ja-JP"/>
        </w:rPr>
      </w:pPr>
      <w:r w:rsidRPr="00BF4EBA">
        <w:rPr>
          <w:lang w:eastAsia="ja-JP"/>
        </w:rPr>
        <w:lastRenderedPageBreak/>
        <w:t>Adverse events were virtually universal and notably higher than placebo (98%</w:t>
      </w:r>
      <w:r w:rsidR="00CD48FD">
        <w:rPr>
          <w:lang w:eastAsia="ja-JP"/>
        </w:rPr>
        <w:t xml:space="preserve"> versus </w:t>
      </w:r>
      <w:r w:rsidRPr="00BF4EBA">
        <w:rPr>
          <w:lang w:eastAsia="ja-JP"/>
        </w:rPr>
        <w:t>54%). Nearly all TEAEs were classed as treatment-related (97%</w:t>
      </w:r>
      <w:r w:rsidR="00CD48FD">
        <w:rPr>
          <w:lang w:eastAsia="ja-JP"/>
        </w:rPr>
        <w:t xml:space="preserve"> versus </w:t>
      </w:r>
      <w:r w:rsidRPr="00BF4EBA">
        <w:rPr>
          <w:lang w:eastAsia="ja-JP"/>
        </w:rPr>
        <w:t xml:space="preserve">26%) with most commencing on the injection day (80.6%) or the next day of finger manipulation (67.8%) rather than after </w:t>
      </w:r>
      <w:r w:rsidR="00CB2B6C">
        <w:rPr>
          <w:lang w:eastAsia="ja-JP"/>
        </w:rPr>
        <w:t>D</w:t>
      </w:r>
      <w:r w:rsidRPr="00BF4EBA">
        <w:rPr>
          <w:lang w:eastAsia="ja-JP"/>
        </w:rPr>
        <w:t>ay 1 (33.4%). The duration of the TEAEs was such that, in general, they had resolved prior to the next scheduled injection one month later.</w:t>
      </w:r>
    </w:p>
    <w:p w:rsidR="00BF4EBA" w:rsidRPr="00BF4EBA" w:rsidRDefault="00BF4EBA" w:rsidP="001E67A3">
      <w:pPr>
        <w:rPr>
          <w:lang w:eastAsia="ja-JP"/>
        </w:rPr>
      </w:pPr>
      <w:r w:rsidRPr="00BF4EBA">
        <w:rPr>
          <w:lang w:eastAsia="ja-JP"/>
        </w:rPr>
        <w:t>The profile of TEAEs was similar between the pivotal trials and the other safety populations and, as to be expected with a product lacking systemic exposure, the safety risks were mainly associated with the treated hand. The most frequent TEAEs were peripheral oedema (75.7%</w:t>
      </w:r>
      <w:r w:rsidR="00CD48FD">
        <w:rPr>
          <w:lang w:eastAsia="ja-JP"/>
        </w:rPr>
        <w:t xml:space="preserve"> versus </w:t>
      </w:r>
      <w:r w:rsidRPr="00BF4EBA">
        <w:rPr>
          <w:lang w:eastAsia="ja-JP"/>
        </w:rPr>
        <w:t>5.1%), contusion (50.7%</w:t>
      </w:r>
      <w:r w:rsidR="00CD48FD">
        <w:rPr>
          <w:lang w:eastAsia="ja-JP"/>
        </w:rPr>
        <w:t xml:space="preserve"> versus </w:t>
      </w:r>
      <w:r w:rsidRPr="00BF4EBA">
        <w:rPr>
          <w:lang w:eastAsia="ja-JP"/>
        </w:rPr>
        <w:t>2.9%), injection site pain (39.0%</w:t>
      </w:r>
      <w:r w:rsidR="00CD48FD">
        <w:rPr>
          <w:lang w:eastAsia="ja-JP"/>
        </w:rPr>
        <w:t xml:space="preserve"> versus </w:t>
      </w:r>
      <w:r w:rsidRPr="00BF4EBA">
        <w:rPr>
          <w:lang w:eastAsia="ja-JP"/>
        </w:rPr>
        <w:t>9.5%), injection site haemorrhage (34.9%</w:t>
      </w:r>
      <w:r w:rsidR="00CD48FD">
        <w:rPr>
          <w:lang w:eastAsia="ja-JP"/>
        </w:rPr>
        <w:t xml:space="preserve"> versus </w:t>
      </w:r>
      <w:r w:rsidRPr="00BF4EBA">
        <w:rPr>
          <w:lang w:eastAsia="ja-JP"/>
        </w:rPr>
        <w:t>2.9%) and pain in the extremity (33.1%</w:t>
      </w:r>
      <w:r w:rsidR="00CD48FD">
        <w:rPr>
          <w:lang w:eastAsia="ja-JP"/>
        </w:rPr>
        <w:t xml:space="preserve"> versus </w:t>
      </w:r>
      <w:r w:rsidRPr="00BF4EBA">
        <w:rPr>
          <w:lang w:eastAsia="ja-JP"/>
        </w:rPr>
        <w:t>3.6%). Other frequent (&gt;10%) TEAEs were tenderness, ecchymosis, lymphadenopathy and pruritus.</w:t>
      </w:r>
    </w:p>
    <w:p w:rsidR="00BF4EBA" w:rsidRPr="00BF4EBA" w:rsidRDefault="00BF4EBA" w:rsidP="001E67A3">
      <w:pPr>
        <w:rPr>
          <w:lang w:eastAsia="ja-JP"/>
        </w:rPr>
      </w:pPr>
      <w:r w:rsidRPr="00BF4EBA">
        <w:rPr>
          <w:lang w:eastAsia="ja-JP"/>
        </w:rPr>
        <w:t>Most events were mild (32%) or moderate (56%) with severe TEAEs being less frequent (10%). All, except three cases, of the severe TEAEs were treatment-related (9%</w:t>
      </w:r>
      <w:r w:rsidR="00CD48FD">
        <w:rPr>
          <w:lang w:eastAsia="ja-JP"/>
        </w:rPr>
        <w:t xml:space="preserve"> versus </w:t>
      </w:r>
      <w:r w:rsidRPr="00BF4EBA">
        <w:rPr>
          <w:lang w:eastAsia="ja-JP"/>
        </w:rPr>
        <w:t xml:space="preserve">0%) and these included injection site reaction, pain in extremity, peripheral oedema, contusion, injection site haemorrhage, tenderness, injection site cellulitis, ligament injury, skin laceration, tendon rupture, chest wall pain and irritability. </w:t>
      </w:r>
    </w:p>
    <w:p w:rsidR="00BF4EBA" w:rsidRPr="00BF4EBA" w:rsidRDefault="00BF4EBA" w:rsidP="001E67A3">
      <w:pPr>
        <w:rPr>
          <w:lang w:eastAsia="ja-JP"/>
        </w:rPr>
      </w:pPr>
      <w:r w:rsidRPr="00BF4EBA">
        <w:rPr>
          <w:lang w:eastAsia="ja-JP"/>
        </w:rPr>
        <w:t>The rate of treatment-related TEAEs was relatively constant when examined by number of injections administered (1 to 8) with the exception of pruritus which increased from 3.7% after injection 1 to 22.0% after injection 6. Peripheral oedema was noted to occur after each injection.</w:t>
      </w:r>
    </w:p>
    <w:p w:rsidR="00BF4EBA" w:rsidRPr="00BF4EBA" w:rsidRDefault="00BF4EBA" w:rsidP="001E67A3">
      <w:pPr>
        <w:rPr>
          <w:lang w:eastAsia="ja-JP"/>
        </w:rPr>
      </w:pPr>
      <w:r w:rsidRPr="00BF4EBA">
        <w:rPr>
          <w:lang w:eastAsia="ja-JP"/>
        </w:rPr>
        <w:t xml:space="preserve">There were 7 (0.6%) deaths in the clinical program with none being considered treatment-related. The rate of non-fatal SAEs was 7.7% and there were 9 (0.8%) treatment-related cases: tendon rupture (n=3, 0.3%); ligament injury; tendonitis; finger deformity; </w:t>
      </w:r>
      <w:proofErr w:type="spellStart"/>
      <w:r w:rsidRPr="00BF4EBA">
        <w:rPr>
          <w:lang w:eastAsia="ja-JP"/>
        </w:rPr>
        <w:t>Dupuytren's</w:t>
      </w:r>
      <w:proofErr w:type="spellEnd"/>
      <w:r w:rsidRPr="00BF4EBA">
        <w:rPr>
          <w:lang w:eastAsia="ja-JP"/>
        </w:rPr>
        <w:t xml:space="preserve"> contracture and sensory disturbance of hand; DVT; and complex regional pain syndrome. Post-marketing data (to March 2011) noted 160 reports with 14 serious cases including 2 tendon ruptures, 1 tendon damage and 5 skin tears requiring grafting. Discontinuation due to adverse events was infrequent (1.3% in the 13 clinical trials overall) and three cases were classed as treatment-related - injection site pain, dizziness and complex regional pain syndrome.</w:t>
      </w:r>
    </w:p>
    <w:p w:rsidR="00BF4EBA" w:rsidRPr="00BF4EBA" w:rsidRDefault="00BF4EBA" w:rsidP="001E67A3">
      <w:pPr>
        <w:rPr>
          <w:lang w:eastAsia="ja-JP"/>
        </w:rPr>
      </w:pPr>
      <w:r w:rsidRPr="00BF4EBA">
        <w:rPr>
          <w:lang w:eastAsia="ja-JP"/>
        </w:rPr>
        <w:t>Laboratory assessments and vital signs were unremarkable with no meaningful changes from baseline in mean values and few cases of clinically significant values. There was no reduction in grip strength assessed by hand held dynamometry.</w:t>
      </w:r>
    </w:p>
    <w:p w:rsidR="00BF4EBA" w:rsidRPr="00BF4EBA" w:rsidRDefault="00BF4EBA" w:rsidP="001E67A3">
      <w:pPr>
        <w:rPr>
          <w:lang w:eastAsia="ja-JP"/>
        </w:rPr>
      </w:pPr>
      <w:r w:rsidRPr="00BF4EBA">
        <w:rPr>
          <w:lang w:eastAsia="ja-JP"/>
        </w:rPr>
        <w:t xml:space="preserve">The product was notably immunogenic with over 85% of subjects after one injection and 100% by the third or fourth injection developing anti-drug antibodies. Assessment of unwanted immunologic events found no cases of systemic anaphylaxis although there were three cases of urticaria and three cases of local allergic type reactions on the hand. The database, however, may be too small to detect anaphylactic reactions. There was no overall association between increasing injection number, and by inference increasing antibody titre, and TEAEs except for pruritus. There was also no obvious association between the severity of events and antibody titre. In addition, there were no musculoskeletal events that may have indicated inhibition of endogenous </w:t>
      </w:r>
      <w:proofErr w:type="spellStart"/>
      <w:r w:rsidRPr="00BF4EBA">
        <w:rPr>
          <w:lang w:eastAsia="ja-JP"/>
        </w:rPr>
        <w:t>collagenases</w:t>
      </w:r>
      <w:proofErr w:type="spellEnd"/>
      <w:r w:rsidRPr="00BF4EBA">
        <w:rPr>
          <w:lang w:eastAsia="ja-JP"/>
        </w:rPr>
        <w:t>.</w:t>
      </w:r>
    </w:p>
    <w:p w:rsidR="00BF4EBA" w:rsidRPr="00586F98" w:rsidRDefault="00BF4EBA" w:rsidP="00BF4EBA">
      <w:pPr>
        <w:rPr>
          <w:lang w:eastAsia="ja-JP"/>
        </w:rPr>
      </w:pPr>
      <w:r w:rsidRPr="00BF4EBA">
        <w:rPr>
          <w:lang w:eastAsia="ja-JP"/>
        </w:rPr>
        <w:t xml:space="preserve">Analysis of the pivotal trials found a consistent safety profile across subgroups of age, gender, weight, BMI and diabetes. Racial groups could not be assessed due to the development only being conducted in Caucasians. Subjects on anticoagulants (except low dose aspirin) or </w:t>
      </w:r>
      <w:proofErr w:type="spellStart"/>
      <w:r w:rsidRPr="00BF4EBA">
        <w:rPr>
          <w:lang w:eastAsia="ja-JP"/>
        </w:rPr>
        <w:t>tetracyclines</w:t>
      </w:r>
      <w:proofErr w:type="spellEnd"/>
      <w:r w:rsidRPr="00BF4EBA">
        <w:rPr>
          <w:lang w:eastAsia="ja-JP"/>
        </w:rPr>
        <w:t xml:space="preserve"> were excluded from the trials due to possible drug interactions. Safety has not been established in pregnancy or lactation.</w:t>
      </w:r>
    </w:p>
    <w:p w:rsidR="00C22678" w:rsidRDefault="00C22678" w:rsidP="001E67A3">
      <w:pPr>
        <w:pStyle w:val="Heading2"/>
      </w:pPr>
      <w:bookmarkStart w:id="296" w:name="_Toc374966977"/>
      <w:r>
        <w:lastRenderedPageBreak/>
        <w:t>First round benefit-risk assessment</w:t>
      </w:r>
      <w:bookmarkEnd w:id="296"/>
    </w:p>
    <w:p w:rsidR="00BF4EBA" w:rsidRPr="00BF4EBA" w:rsidRDefault="00BF4EBA" w:rsidP="001E67A3">
      <w:pPr>
        <w:pStyle w:val="Heading3"/>
      </w:pPr>
      <w:bookmarkStart w:id="297" w:name="_Toc236802592"/>
      <w:bookmarkStart w:id="298" w:name="_Toc241374331"/>
      <w:bookmarkStart w:id="299" w:name="_Ref272160836"/>
      <w:bookmarkStart w:id="300" w:name="_Toc272414693"/>
      <w:bookmarkStart w:id="301" w:name="_Toc290846331"/>
      <w:bookmarkStart w:id="302" w:name="_Toc353960298"/>
      <w:bookmarkStart w:id="303" w:name="_Toc374966978"/>
      <w:r w:rsidRPr="00BF4EBA">
        <w:t>First round assessment of benefits</w:t>
      </w:r>
      <w:bookmarkEnd w:id="297"/>
      <w:bookmarkEnd w:id="298"/>
      <w:bookmarkEnd w:id="299"/>
      <w:bookmarkEnd w:id="300"/>
      <w:bookmarkEnd w:id="301"/>
      <w:bookmarkEnd w:id="302"/>
      <w:bookmarkEnd w:id="303"/>
    </w:p>
    <w:p w:rsidR="00BF4EBA" w:rsidRPr="00BF4EBA" w:rsidRDefault="00BF4EBA" w:rsidP="001E67A3">
      <w:pPr>
        <w:rPr>
          <w:lang w:eastAsia="ja-JP"/>
        </w:rPr>
      </w:pPr>
      <w:r w:rsidRPr="00BF4EBA">
        <w:rPr>
          <w:lang w:eastAsia="ja-JP"/>
        </w:rPr>
        <w:t xml:space="preserve">The benefits of </w:t>
      </w:r>
      <w:proofErr w:type="spellStart"/>
      <w:r w:rsidRPr="00BF4EBA">
        <w:rPr>
          <w:lang w:eastAsia="ja-JP"/>
        </w:rPr>
        <w:t>Xiaflex</w:t>
      </w:r>
      <w:proofErr w:type="spellEnd"/>
      <w:r w:rsidRPr="00BF4EBA">
        <w:rPr>
          <w:lang w:eastAsia="ja-JP"/>
        </w:rPr>
        <w:t xml:space="preserve"> 0.58 mg in the proposed usage are:</w:t>
      </w:r>
    </w:p>
    <w:p w:rsidR="00BF4EBA" w:rsidRPr="00BF4EBA" w:rsidRDefault="00BF4EBA" w:rsidP="00F11D7D">
      <w:pPr>
        <w:pStyle w:val="ListBullet"/>
        <w:rPr>
          <w:lang w:eastAsia="ja-JP"/>
        </w:rPr>
      </w:pPr>
      <w:r w:rsidRPr="00BF4EBA">
        <w:rPr>
          <w:lang w:eastAsia="ja-JP"/>
        </w:rPr>
        <w:t xml:space="preserve">A reduction in contracture in advanced </w:t>
      </w:r>
      <w:proofErr w:type="spellStart"/>
      <w:r w:rsidRPr="00BF4EBA">
        <w:rPr>
          <w:lang w:eastAsia="ja-JP"/>
        </w:rPr>
        <w:t>Dupuytren's</w:t>
      </w:r>
      <w:proofErr w:type="spellEnd"/>
      <w:r w:rsidRPr="00BF4EBA">
        <w:rPr>
          <w:lang w:eastAsia="ja-JP"/>
        </w:rPr>
        <w:t xml:space="preserve"> disease that was statistically significant over placebo </w:t>
      </w:r>
      <w:r w:rsidR="00CB2B6C">
        <w:rPr>
          <w:lang w:eastAsia="ja-JP"/>
        </w:rPr>
        <w:t xml:space="preserve">was </w:t>
      </w:r>
      <w:r w:rsidRPr="00BF4EBA">
        <w:rPr>
          <w:lang w:eastAsia="ja-JP"/>
        </w:rPr>
        <w:t>confirmed in the two pivotal studies. A reduction of contracture of the primary joint to five degrees or less was achieved in 64% of all treated joints in</w:t>
      </w:r>
      <w:r w:rsidR="00CD48FD">
        <w:rPr>
          <w:lang w:eastAsia="ja-JP"/>
        </w:rPr>
        <w:t xml:space="preserve"> Study AUX</w:t>
      </w:r>
      <w:r w:rsidRPr="00BF4EBA">
        <w:rPr>
          <w:lang w:eastAsia="ja-JP"/>
        </w:rPr>
        <w:t>-CC-857 and 44% of all treated joints in</w:t>
      </w:r>
      <w:r w:rsidR="00CD48FD">
        <w:rPr>
          <w:lang w:eastAsia="ja-JP"/>
        </w:rPr>
        <w:t xml:space="preserve"> Study AUX</w:t>
      </w:r>
      <w:r w:rsidRPr="00BF4EBA">
        <w:rPr>
          <w:lang w:eastAsia="ja-JP"/>
        </w:rPr>
        <w:t>-CC-859 (compared to 7% and 5% of the placebo joints, respectively).</w:t>
      </w:r>
    </w:p>
    <w:p w:rsidR="00BF4EBA" w:rsidRPr="00BF4EBA" w:rsidRDefault="00BF4EBA" w:rsidP="00F11D7D">
      <w:pPr>
        <w:pStyle w:val="ListBullet"/>
        <w:rPr>
          <w:lang w:eastAsia="ja-JP"/>
        </w:rPr>
      </w:pPr>
      <w:r w:rsidRPr="00BF4EBA">
        <w:rPr>
          <w:lang w:eastAsia="ja-JP"/>
        </w:rPr>
        <w:t>Efficacy was also seen in an improvement in the degree of contracture and range of motion and was consistent across subgroups of age, gender, weight and BMI. Efficacy was, however, less in PIP joints than the MP joints, as well as in the more severely contracted joints.</w:t>
      </w:r>
    </w:p>
    <w:p w:rsidR="00BF4EBA" w:rsidRPr="00BF4EBA" w:rsidRDefault="00BF4EBA" w:rsidP="00F11D7D">
      <w:pPr>
        <w:rPr>
          <w:lang w:eastAsia="ja-JP"/>
        </w:rPr>
      </w:pPr>
      <w:r w:rsidRPr="00BF4EBA">
        <w:rPr>
          <w:lang w:eastAsia="ja-JP"/>
        </w:rPr>
        <w:t xml:space="preserve">AA4500 offers a novel, non-surgical treatment for </w:t>
      </w:r>
      <w:proofErr w:type="spellStart"/>
      <w:r w:rsidRPr="00BF4EBA">
        <w:rPr>
          <w:lang w:eastAsia="ja-JP"/>
        </w:rPr>
        <w:t>Dupuytren's</w:t>
      </w:r>
      <w:proofErr w:type="spellEnd"/>
      <w:r w:rsidRPr="00BF4EBA">
        <w:rPr>
          <w:lang w:eastAsia="ja-JP"/>
        </w:rPr>
        <w:t xml:space="preserve"> disease and therefore avoids anaesthetic risks and possible surgical risks such as nerve or vessel injury and wound infections.</w:t>
      </w:r>
    </w:p>
    <w:p w:rsidR="00BF4EBA" w:rsidRPr="00BF4EBA" w:rsidRDefault="00BF4EBA" w:rsidP="00F11D7D">
      <w:pPr>
        <w:pStyle w:val="Heading3"/>
      </w:pPr>
      <w:bookmarkStart w:id="304" w:name="_Toc236802596"/>
      <w:bookmarkStart w:id="305" w:name="_Toc241374334"/>
      <w:bookmarkStart w:id="306" w:name="_Ref272160964"/>
      <w:bookmarkStart w:id="307" w:name="_Toc272414694"/>
      <w:bookmarkStart w:id="308" w:name="_Toc290846332"/>
      <w:bookmarkStart w:id="309" w:name="_Toc353960299"/>
      <w:bookmarkStart w:id="310" w:name="_Toc374966979"/>
      <w:r w:rsidRPr="00BF4EBA">
        <w:t>First round assessment of risks</w:t>
      </w:r>
      <w:bookmarkEnd w:id="304"/>
      <w:bookmarkEnd w:id="305"/>
      <w:bookmarkEnd w:id="306"/>
      <w:bookmarkEnd w:id="307"/>
      <w:bookmarkEnd w:id="308"/>
      <w:bookmarkEnd w:id="309"/>
      <w:bookmarkEnd w:id="310"/>
    </w:p>
    <w:p w:rsidR="00BF4EBA" w:rsidRPr="00BF4EBA" w:rsidRDefault="00BF4EBA" w:rsidP="00F11D7D">
      <w:pPr>
        <w:rPr>
          <w:lang w:eastAsia="ja-JP"/>
        </w:rPr>
      </w:pPr>
      <w:r w:rsidRPr="00BF4EBA">
        <w:rPr>
          <w:lang w:eastAsia="ja-JP"/>
        </w:rPr>
        <w:t xml:space="preserve">The risks of </w:t>
      </w:r>
      <w:proofErr w:type="spellStart"/>
      <w:r w:rsidRPr="00BF4EBA">
        <w:rPr>
          <w:bCs/>
          <w:lang w:eastAsia="ja-JP"/>
        </w:rPr>
        <w:t>Xiaflex</w:t>
      </w:r>
      <w:proofErr w:type="spellEnd"/>
      <w:r w:rsidRPr="00BF4EBA">
        <w:rPr>
          <w:bCs/>
          <w:lang w:eastAsia="ja-JP"/>
        </w:rPr>
        <w:t xml:space="preserve"> 0.58 mg</w:t>
      </w:r>
      <w:r w:rsidRPr="00BF4EBA">
        <w:rPr>
          <w:lang w:eastAsia="ja-JP"/>
        </w:rPr>
        <w:t xml:space="preserve"> in the proposed usage are:</w:t>
      </w:r>
    </w:p>
    <w:p w:rsidR="00BF4EBA" w:rsidRPr="00BF4EBA" w:rsidRDefault="00BF4EBA" w:rsidP="00F11D7D">
      <w:pPr>
        <w:pStyle w:val="ListBullet"/>
        <w:rPr>
          <w:lang w:eastAsia="ja-JP"/>
        </w:rPr>
      </w:pPr>
      <w:r w:rsidRPr="00BF4EBA">
        <w:rPr>
          <w:lang w:eastAsia="ja-JP"/>
        </w:rPr>
        <w:t>Localised reactions at the treatment site and in the treated limb</w:t>
      </w:r>
      <w:r w:rsidR="00CB2B6C">
        <w:rPr>
          <w:lang w:eastAsia="ja-JP"/>
        </w:rPr>
        <w:t>,</w:t>
      </w:r>
      <w:r w:rsidRPr="00BF4EBA">
        <w:rPr>
          <w:lang w:eastAsia="ja-JP"/>
        </w:rPr>
        <w:t xml:space="preserve"> including peripheral oedema, contusion, injection site pain, injection site haemorrhage and pain in the extremity. These events were generally mild or moderate in severity and resolved prior to the next injection. </w:t>
      </w:r>
    </w:p>
    <w:p w:rsidR="00BF4EBA" w:rsidRPr="00BF4EBA" w:rsidRDefault="00BF4EBA" w:rsidP="00F11D7D">
      <w:pPr>
        <w:pStyle w:val="ListBullet"/>
        <w:rPr>
          <w:lang w:eastAsia="ja-JP"/>
        </w:rPr>
      </w:pPr>
      <w:r w:rsidRPr="00BF4EBA">
        <w:rPr>
          <w:lang w:eastAsia="ja-JP"/>
        </w:rPr>
        <w:t xml:space="preserve">Tendon rupture and ligament damage, particularly in the fifth finger PIP joint (perhaps due to injection into other structures than the </w:t>
      </w:r>
      <w:proofErr w:type="spellStart"/>
      <w:r w:rsidRPr="00BF4EBA">
        <w:rPr>
          <w:lang w:eastAsia="ja-JP"/>
        </w:rPr>
        <w:t>Dupuytren's</w:t>
      </w:r>
      <w:proofErr w:type="spellEnd"/>
      <w:r w:rsidRPr="00BF4EBA">
        <w:rPr>
          <w:lang w:eastAsia="ja-JP"/>
        </w:rPr>
        <w:t xml:space="preserve"> cord). The rate of tendon rupture in the clinical program was 0.3%.</w:t>
      </w:r>
    </w:p>
    <w:p w:rsidR="00BF4EBA" w:rsidRPr="00BF4EBA" w:rsidRDefault="00BF4EBA" w:rsidP="00F11D7D">
      <w:pPr>
        <w:pStyle w:val="ListBullet"/>
        <w:rPr>
          <w:lang w:eastAsia="ja-JP"/>
        </w:rPr>
      </w:pPr>
      <w:r w:rsidRPr="00BF4EBA">
        <w:rPr>
          <w:lang w:eastAsia="ja-JP"/>
        </w:rPr>
        <w:t xml:space="preserve">Poor injection technique and </w:t>
      </w:r>
      <w:r w:rsidRPr="00BF4EBA">
        <w:rPr>
          <w:bCs/>
          <w:lang w:eastAsia="ja-JP"/>
        </w:rPr>
        <w:t>inadvertent injection into surrounding structures</w:t>
      </w:r>
      <w:r w:rsidRPr="00BF4EBA">
        <w:rPr>
          <w:lang w:eastAsia="ja-JP"/>
        </w:rPr>
        <w:t xml:space="preserve"> and overdos</w:t>
      </w:r>
      <w:r w:rsidR="00CB2B6C">
        <w:rPr>
          <w:lang w:eastAsia="ja-JP"/>
        </w:rPr>
        <w:t>ing</w:t>
      </w:r>
      <w:r w:rsidRPr="00BF4EBA">
        <w:rPr>
          <w:lang w:eastAsia="ja-JP"/>
        </w:rPr>
        <w:t xml:space="preserve"> from drawing up too much reconstituted product.</w:t>
      </w:r>
    </w:p>
    <w:p w:rsidR="00BF4EBA" w:rsidRPr="00BF4EBA" w:rsidRDefault="00BF4EBA" w:rsidP="00F11D7D">
      <w:pPr>
        <w:pStyle w:val="ListBullet"/>
        <w:rPr>
          <w:lang w:eastAsia="ja-JP"/>
        </w:rPr>
      </w:pPr>
      <w:r w:rsidRPr="00BF4EBA">
        <w:rPr>
          <w:lang w:eastAsia="ja-JP"/>
        </w:rPr>
        <w:t>Skin tears, including rarer cases requiring skin grafting, possibly due to adherent skin and the finger manipulation post injection.</w:t>
      </w:r>
    </w:p>
    <w:p w:rsidR="00BF4EBA" w:rsidRPr="00BF4EBA" w:rsidRDefault="00BF4EBA" w:rsidP="00F11D7D">
      <w:pPr>
        <w:pStyle w:val="ListBullet"/>
        <w:rPr>
          <w:lang w:eastAsia="ja-JP"/>
        </w:rPr>
      </w:pPr>
      <w:r w:rsidRPr="00BF4EBA">
        <w:rPr>
          <w:lang w:eastAsia="ja-JP"/>
        </w:rPr>
        <w:t>Localised haemorrhage and the need to avoid treatment in patients on anticoagulants.</w:t>
      </w:r>
    </w:p>
    <w:p w:rsidR="00BF4EBA" w:rsidRPr="00BF4EBA" w:rsidRDefault="00BF4EBA" w:rsidP="00F11D7D">
      <w:pPr>
        <w:pStyle w:val="ListBullet"/>
        <w:rPr>
          <w:lang w:eastAsia="ja-JP"/>
        </w:rPr>
      </w:pPr>
      <w:r w:rsidRPr="00BF4EBA">
        <w:rPr>
          <w:lang w:eastAsia="ja-JP"/>
        </w:rPr>
        <w:t>High immunogenicity and the potential for immunogenicity-related risks. Urticaria was reported but there were no cases of systemic anaphylaxis, nor was there evidence of reduced efficacy or increasing adverse events (apart from pruritus) with increasing injection numbers or antibody titre.</w:t>
      </w:r>
    </w:p>
    <w:p w:rsidR="00BF4EBA" w:rsidRPr="00BF4EBA" w:rsidRDefault="00BF4EBA" w:rsidP="00F11D7D">
      <w:pPr>
        <w:pStyle w:val="ListBullet"/>
        <w:rPr>
          <w:lang w:eastAsia="ja-JP"/>
        </w:rPr>
      </w:pPr>
      <w:r w:rsidRPr="00BF4EBA">
        <w:rPr>
          <w:lang w:eastAsia="ja-JP"/>
        </w:rPr>
        <w:t xml:space="preserve">The potential cross-reactivity of anti drug antibodies with endogenous </w:t>
      </w:r>
      <w:proofErr w:type="spellStart"/>
      <w:r w:rsidRPr="00BF4EBA">
        <w:rPr>
          <w:lang w:eastAsia="ja-JP"/>
        </w:rPr>
        <w:t>collagenases</w:t>
      </w:r>
      <w:proofErr w:type="spellEnd"/>
      <w:r w:rsidRPr="00BF4EBA">
        <w:rPr>
          <w:lang w:eastAsia="ja-JP"/>
        </w:rPr>
        <w:t xml:space="preserve"> leading to musculoskeletal syndrome. There were, however, no reported cases in the safety database of </w:t>
      </w:r>
      <w:r w:rsidRPr="00BF4EBA">
        <w:rPr>
          <w:bCs/>
          <w:lang w:eastAsia="ja-JP"/>
        </w:rPr>
        <w:t xml:space="preserve">musculoskeletal events of </w:t>
      </w:r>
      <w:proofErr w:type="spellStart"/>
      <w:r w:rsidRPr="00BF4EBA">
        <w:rPr>
          <w:bCs/>
          <w:lang w:eastAsia="ja-JP"/>
        </w:rPr>
        <w:t>polyarthritis</w:t>
      </w:r>
      <w:proofErr w:type="spellEnd"/>
      <w:r w:rsidRPr="00BF4EBA">
        <w:rPr>
          <w:bCs/>
          <w:lang w:eastAsia="ja-JP"/>
        </w:rPr>
        <w:t xml:space="preserve">, </w:t>
      </w:r>
      <w:proofErr w:type="spellStart"/>
      <w:r w:rsidRPr="00BF4EBA">
        <w:rPr>
          <w:bCs/>
          <w:lang w:eastAsia="ja-JP"/>
        </w:rPr>
        <w:t>osteolysis</w:t>
      </w:r>
      <w:proofErr w:type="spellEnd"/>
      <w:r w:rsidRPr="00BF4EBA">
        <w:rPr>
          <w:bCs/>
          <w:lang w:eastAsia="ja-JP"/>
        </w:rPr>
        <w:t xml:space="preserve"> or shoulder pain/reduction of range of motion</w:t>
      </w:r>
      <w:r w:rsidRPr="00BF4EBA">
        <w:rPr>
          <w:lang w:eastAsia="ja-JP"/>
        </w:rPr>
        <w:t xml:space="preserve">. </w:t>
      </w:r>
    </w:p>
    <w:p w:rsidR="00BF4EBA" w:rsidRPr="00BF4EBA" w:rsidRDefault="00BF4EBA" w:rsidP="00F11D7D">
      <w:pPr>
        <w:pStyle w:val="ListBullet"/>
        <w:rPr>
          <w:lang w:eastAsia="ja-JP"/>
        </w:rPr>
      </w:pPr>
      <w:r w:rsidRPr="00BF4EBA">
        <w:rPr>
          <w:lang w:eastAsia="ja-JP"/>
        </w:rPr>
        <w:t>The impact on subsequent surgery is unknown and there are no data on simultaneous injection of multiple cords.</w:t>
      </w:r>
    </w:p>
    <w:p w:rsidR="00BF4EBA" w:rsidRPr="00BF4EBA" w:rsidRDefault="00BF4EBA" w:rsidP="00F11D7D">
      <w:pPr>
        <w:pStyle w:val="ListBullet"/>
        <w:rPr>
          <w:lang w:eastAsia="ja-JP"/>
        </w:rPr>
      </w:pPr>
      <w:r w:rsidRPr="00BF4EBA">
        <w:rPr>
          <w:lang w:eastAsia="ja-JP"/>
        </w:rPr>
        <w:t>There are no studies in pregnancy or lactation and the clinical risks from anti-drug antibodies in these groups are not known.</w:t>
      </w:r>
    </w:p>
    <w:p w:rsidR="00BF4EBA" w:rsidRPr="00BF4EBA" w:rsidRDefault="00BF4EBA" w:rsidP="00F11D7D">
      <w:pPr>
        <w:pStyle w:val="ListBullet"/>
        <w:rPr>
          <w:lang w:eastAsia="ja-JP"/>
        </w:rPr>
      </w:pPr>
      <w:r w:rsidRPr="00BF4EBA">
        <w:rPr>
          <w:lang w:eastAsia="ja-JP"/>
        </w:rPr>
        <w:t xml:space="preserve">A reported recurrence rate of 4% at 9-12 months and 19% at two years as well as a lack of data on retreatment. </w:t>
      </w:r>
    </w:p>
    <w:p w:rsidR="00BF4EBA" w:rsidRPr="00BF4EBA" w:rsidRDefault="00BF4EBA" w:rsidP="00F11D7D">
      <w:pPr>
        <w:pStyle w:val="Heading3"/>
      </w:pPr>
      <w:bookmarkStart w:id="311" w:name="_Toc236802597"/>
      <w:bookmarkStart w:id="312" w:name="_Toc241374335"/>
      <w:bookmarkStart w:id="313" w:name="_Toc272414695"/>
      <w:bookmarkStart w:id="314" w:name="_Toc290846333"/>
      <w:bookmarkStart w:id="315" w:name="_Toc353960300"/>
      <w:bookmarkStart w:id="316" w:name="_Toc374966980"/>
      <w:r w:rsidRPr="00BF4EBA">
        <w:lastRenderedPageBreak/>
        <w:t>First round assessment of benefit-risk balance</w:t>
      </w:r>
      <w:bookmarkEnd w:id="311"/>
      <w:bookmarkEnd w:id="312"/>
      <w:bookmarkEnd w:id="313"/>
      <w:bookmarkEnd w:id="314"/>
      <w:bookmarkEnd w:id="315"/>
      <w:bookmarkEnd w:id="316"/>
    </w:p>
    <w:p w:rsidR="00BF4EBA" w:rsidRPr="00BF4EBA" w:rsidRDefault="00BF4EBA" w:rsidP="00F11D7D">
      <w:pPr>
        <w:rPr>
          <w:lang w:eastAsia="ja-JP"/>
        </w:rPr>
      </w:pPr>
      <w:proofErr w:type="spellStart"/>
      <w:r w:rsidRPr="00BF4EBA">
        <w:rPr>
          <w:lang w:eastAsia="ja-JP"/>
        </w:rPr>
        <w:t>Dupuytren's</w:t>
      </w:r>
      <w:proofErr w:type="spellEnd"/>
      <w:r w:rsidRPr="00BF4EBA">
        <w:rPr>
          <w:lang w:eastAsia="ja-JP"/>
        </w:rPr>
        <w:t xml:space="preserve"> disease is a relatively common, slowly progressive </w:t>
      </w:r>
      <w:proofErr w:type="spellStart"/>
      <w:r w:rsidRPr="00BF4EBA">
        <w:rPr>
          <w:lang w:eastAsia="ja-JP"/>
        </w:rPr>
        <w:t>fibroproliferative</w:t>
      </w:r>
      <w:proofErr w:type="spellEnd"/>
      <w:r w:rsidRPr="00BF4EBA">
        <w:rPr>
          <w:lang w:eastAsia="ja-JP"/>
        </w:rPr>
        <w:t xml:space="preserve"> disease of the palmar fascia in which the resultant flexion contracture can cause significant disability of the hand and interference with normal daily tasks. When hand function is impaired, surgery is the mainstay of treatment and is usually a </w:t>
      </w:r>
      <w:proofErr w:type="spellStart"/>
      <w:r w:rsidRPr="00BF4EBA">
        <w:rPr>
          <w:lang w:eastAsia="ja-JP"/>
        </w:rPr>
        <w:t>transection</w:t>
      </w:r>
      <w:proofErr w:type="spellEnd"/>
      <w:r w:rsidRPr="00BF4EBA">
        <w:rPr>
          <w:lang w:eastAsia="ja-JP"/>
        </w:rPr>
        <w:t xml:space="preserve"> of cords (</w:t>
      </w:r>
      <w:proofErr w:type="spellStart"/>
      <w:r w:rsidRPr="00BF4EBA">
        <w:rPr>
          <w:lang w:eastAsia="ja-JP"/>
        </w:rPr>
        <w:t>fasciotomy</w:t>
      </w:r>
      <w:proofErr w:type="spellEnd"/>
      <w:r w:rsidRPr="00BF4EBA">
        <w:rPr>
          <w:lang w:eastAsia="ja-JP"/>
        </w:rPr>
        <w:t xml:space="preserve">) or excision of the </w:t>
      </w:r>
      <w:proofErr w:type="spellStart"/>
      <w:r w:rsidRPr="00BF4EBA">
        <w:rPr>
          <w:lang w:eastAsia="ja-JP"/>
        </w:rPr>
        <w:t>fascial</w:t>
      </w:r>
      <w:proofErr w:type="spellEnd"/>
      <w:r w:rsidRPr="00BF4EBA">
        <w:rPr>
          <w:lang w:eastAsia="ja-JP"/>
        </w:rPr>
        <w:t xml:space="preserve"> bands (</w:t>
      </w:r>
      <w:proofErr w:type="spellStart"/>
      <w:r w:rsidRPr="00BF4EBA">
        <w:rPr>
          <w:lang w:eastAsia="ja-JP"/>
        </w:rPr>
        <w:t>fasciectomy</w:t>
      </w:r>
      <w:proofErr w:type="spellEnd"/>
      <w:r w:rsidRPr="00BF4EBA">
        <w:rPr>
          <w:lang w:eastAsia="ja-JP"/>
        </w:rPr>
        <w:t xml:space="preserve">). Flexion deformity of &gt;30-40° at the MP and &gt;20° at the PIP joint had been suggested as indication for surgery. Surgery is associated with good initial response but recurrence rates are reported to be high. There are currently no pharmacological therapies for the treatment of </w:t>
      </w:r>
      <w:proofErr w:type="spellStart"/>
      <w:r w:rsidRPr="00BF4EBA">
        <w:rPr>
          <w:lang w:eastAsia="ja-JP"/>
        </w:rPr>
        <w:t>Dupuytren's</w:t>
      </w:r>
      <w:proofErr w:type="spellEnd"/>
      <w:r w:rsidRPr="00BF4EBA">
        <w:rPr>
          <w:lang w:eastAsia="ja-JP"/>
        </w:rPr>
        <w:t xml:space="preserve"> disease and as such there is an evident unmet medical need. </w:t>
      </w:r>
    </w:p>
    <w:p w:rsidR="00BF4EBA" w:rsidRPr="00BF4EBA" w:rsidRDefault="00BF4EBA" w:rsidP="00F11D7D">
      <w:pPr>
        <w:rPr>
          <w:lang w:eastAsia="ja-JP"/>
        </w:rPr>
      </w:pPr>
      <w:proofErr w:type="spellStart"/>
      <w:r w:rsidRPr="00BF4EBA">
        <w:rPr>
          <w:lang w:eastAsia="ja-JP"/>
        </w:rPr>
        <w:t>Xiaflex</w:t>
      </w:r>
      <w:proofErr w:type="spellEnd"/>
      <w:r w:rsidRPr="00BF4EBA">
        <w:rPr>
          <w:lang w:eastAsia="ja-JP"/>
        </w:rPr>
        <w:t xml:space="preserve"> is a 1:1 ratio mix of </w:t>
      </w:r>
      <w:proofErr w:type="spellStart"/>
      <w:r w:rsidRPr="00BF4EBA">
        <w:rPr>
          <w:lang w:eastAsia="ja-JP"/>
        </w:rPr>
        <w:t>collagenase</w:t>
      </w:r>
      <w:proofErr w:type="spellEnd"/>
      <w:r w:rsidRPr="00BF4EBA">
        <w:rPr>
          <w:lang w:eastAsia="ja-JP"/>
        </w:rPr>
        <w:t xml:space="preserve"> enzymes produced by Clostridium </w:t>
      </w:r>
      <w:proofErr w:type="spellStart"/>
      <w:r w:rsidRPr="00BF4EBA">
        <w:rPr>
          <w:lang w:eastAsia="ja-JP"/>
        </w:rPr>
        <w:t>histolyticum</w:t>
      </w:r>
      <w:proofErr w:type="spellEnd"/>
      <w:r w:rsidRPr="00BF4EBA">
        <w:rPr>
          <w:lang w:eastAsia="ja-JP"/>
        </w:rPr>
        <w:t xml:space="preserve">. It is proposed at a dose of 0.58 mg injected into the affected cord at one month intervals to a maximum of three doses. Patients undergo a finger extension procedure on the day after injection if necessary to disrupt the cord. The treatment can be given in the practice rooms. The proposed indication is </w:t>
      </w:r>
      <w:proofErr w:type="spellStart"/>
      <w:r w:rsidRPr="00BF4EBA">
        <w:rPr>
          <w:i/>
          <w:lang w:eastAsia="ja-JP"/>
        </w:rPr>
        <w:t>Xiaflex</w:t>
      </w:r>
      <w:proofErr w:type="spellEnd"/>
      <w:r w:rsidRPr="00BF4EBA">
        <w:rPr>
          <w:i/>
          <w:lang w:eastAsia="ja-JP"/>
        </w:rPr>
        <w:t xml:space="preserve"> is indicated for the treatment of </w:t>
      </w:r>
      <w:proofErr w:type="spellStart"/>
      <w:r w:rsidRPr="00BF4EBA">
        <w:rPr>
          <w:i/>
          <w:lang w:eastAsia="ja-JP"/>
        </w:rPr>
        <w:t>Dupuytren’s</w:t>
      </w:r>
      <w:proofErr w:type="spellEnd"/>
      <w:r w:rsidRPr="00BF4EBA">
        <w:rPr>
          <w:i/>
          <w:lang w:eastAsia="ja-JP"/>
        </w:rPr>
        <w:t xml:space="preserve"> contracture in adult patients with palpable cord. </w:t>
      </w:r>
      <w:r w:rsidRPr="00BF4EBA">
        <w:rPr>
          <w:lang w:eastAsia="ja-JP"/>
        </w:rPr>
        <w:t xml:space="preserve">The development of AA4500 commenced with </w:t>
      </w:r>
      <w:proofErr w:type="spellStart"/>
      <w:r w:rsidRPr="00BF4EBA">
        <w:rPr>
          <w:lang w:eastAsia="ja-JP"/>
        </w:rPr>
        <w:t>Biospecifics</w:t>
      </w:r>
      <w:proofErr w:type="spellEnd"/>
      <w:r w:rsidRPr="00BF4EBA">
        <w:rPr>
          <w:lang w:eastAsia="ja-JP"/>
        </w:rPr>
        <w:t xml:space="preserve"> Technologies Corporation, which conducted five trials using an early formulation. </w:t>
      </w:r>
      <w:proofErr w:type="spellStart"/>
      <w:r w:rsidRPr="00BF4EBA">
        <w:rPr>
          <w:lang w:eastAsia="ja-JP"/>
        </w:rPr>
        <w:t>Auxilium</w:t>
      </w:r>
      <w:proofErr w:type="spellEnd"/>
      <w:r w:rsidRPr="00BF4EBA">
        <w:rPr>
          <w:lang w:eastAsia="ja-JP"/>
        </w:rPr>
        <w:t xml:space="preserve"> Pharmaceuticals acquired the global development rights in 2004 and the dossier included eight trials </w:t>
      </w:r>
      <w:proofErr w:type="spellStart"/>
      <w:r w:rsidRPr="00BF4EBA">
        <w:rPr>
          <w:lang w:eastAsia="ja-JP"/>
        </w:rPr>
        <w:t>Auxilium</w:t>
      </w:r>
      <w:proofErr w:type="spellEnd"/>
      <w:r w:rsidRPr="00BF4EBA">
        <w:rPr>
          <w:lang w:eastAsia="ja-JP"/>
        </w:rPr>
        <w:t xml:space="preserve"> sponsored using the proposed formulation for marketing. </w:t>
      </w:r>
    </w:p>
    <w:p w:rsidR="00BF4EBA" w:rsidRPr="00BF4EBA" w:rsidRDefault="00BF4EBA" w:rsidP="00F11D7D">
      <w:pPr>
        <w:rPr>
          <w:lang w:eastAsia="ja-JP"/>
        </w:rPr>
      </w:pPr>
      <w:r w:rsidRPr="00BF4EBA">
        <w:rPr>
          <w:lang w:eastAsia="ja-JP"/>
        </w:rPr>
        <w:t xml:space="preserve">Studies have been conducted in patients with </w:t>
      </w:r>
      <w:proofErr w:type="spellStart"/>
      <w:r w:rsidRPr="00BF4EBA">
        <w:rPr>
          <w:lang w:eastAsia="ja-JP"/>
        </w:rPr>
        <w:t>Dupuytren's</w:t>
      </w:r>
      <w:proofErr w:type="spellEnd"/>
      <w:r w:rsidRPr="00BF4EBA">
        <w:rPr>
          <w:lang w:eastAsia="ja-JP"/>
        </w:rPr>
        <w:t xml:space="preserve"> disease and sufficient efficacy data were provided including from the two pivotal randomised placebo-controlled double-blind studies in 374 subjects. These pivotal trials were conducted in a population representative of the target population. In addition, the smaller of the two pivotal trials, in which 45 subjects were treated with AA4500, was conducted in Australian subjects.</w:t>
      </w:r>
    </w:p>
    <w:p w:rsidR="00BF4EBA" w:rsidRPr="00BF4EBA" w:rsidRDefault="00BF4EBA" w:rsidP="00F11D7D">
      <w:pPr>
        <w:rPr>
          <w:lang w:eastAsia="ja-JP"/>
        </w:rPr>
      </w:pPr>
      <w:r w:rsidRPr="00BF4EBA">
        <w:rPr>
          <w:lang w:eastAsia="ja-JP"/>
        </w:rPr>
        <w:t xml:space="preserve">The primary endpoint was proportion of subjects achieving a reduction in flexion contracture to 5 degrees or less 30 days post last injection assessed at both MP and PIP joints. This endpoint is rigorous and being close to full extension represents a clinically meaningful outcome. The primary outcome was achieved in the two pivotal trials with a statistically significant success rate at the primary joint of 64% and 44%, compared to 7% and 5% with placebo, in the two pivotal trials. Up to 3 injections were given and benefit was seen with </w:t>
      </w:r>
      <w:r w:rsidR="00CB2B6C" w:rsidRPr="00BF4EBA">
        <w:rPr>
          <w:lang w:eastAsia="ja-JP"/>
        </w:rPr>
        <w:t xml:space="preserve">1 or 2 </w:t>
      </w:r>
      <w:r w:rsidRPr="00BF4EBA">
        <w:rPr>
          <w:lang w:eastAsia="ja-JP"/>
        </w:rPr>
        <w:t>additional injections in those not achieving response after the first injection. Lower efficacy was seen at the PIP joints and the more severely contracted joints, nevertheless there was still meaningful clinical improvement seen in these type</w:t>
      </w:r>
      <w:r w:rsidR="00CB2B6C">
        <w:rPr>
          <w:lang w:eastAsia="ja-JP"/>
        </w:rPr>
        <w:t>s</w:t>
      </w:r>
      <w:r w:rsidRPr="00BF4EBA">
        <w:rPr>
          <w:lang w:eastAsia="ja-JP"/>
        </w:rPr>
        <w:t xml:space="preserve"> of joints which are known to be more resilient to treatment. Results of the primary efficacy endpoint were supported by significant improvements in secondary endpoints including improved range of motion, physician rating of improvement, subject satisfaction as well as subgroup analysis of age, gender, weight and BMI. Overall, the evaluator believe</w:t>
      </w:r>
      <w:r w:rsidR="00CB2B6C">
        <w:rPr>
          <w:lang w:eastAsia="ja-JP"/>
        </w:rPr>
        <w:t>d</w:t>
      </w:r>
      <w:r w:rsidRPr="00BF4EBA">
        <w:rPr>
          <w:lang w:eastAsia="ja-JP"/>
        </w:rPr>
        <w:t xml:space="preserve"> the efficacy data </w:t>
      </w:r>
      <w:r w:rsidR="00CB2B6C">
        <w:rPr>
          <w:lang w:eastAsia="ja-JP"/>
        </w:rPr>
        <w:t>were</w:t>
      </w:r>
      <w:r w:rsidRPr="00BF4EBA">
        <w:rPr>
          <w:lang w:eastAsia="ja-JP"/>
        </w:rPr>
        <w:t xml:space="preserve"> sufficient to support the proposed wide range of severity implied by the indication.</w:t>
      </w:r>
    </w:p>
    <w:p w:rsidR="00BF4EBA" w:rsidRPr="00BF4EBA" w:rsidRDefault="00BF4EBA" w:rsidP="00F11D7D">
      <w:pPr>
        <w:rPr>
          <w:lang w:eastAsia="ja-JP"/>
        </w:rPr>
      </w:pPr>
      <w:r w:rsidRPr="00BF4EBA">
        <w:rPr>
          <w:lang w:eastAsia="ja-JP"/>
        </w:rPr>
        <w:t xml:space="preserve">The clinical development program did not include any trials against currently available treatment options such as surgery or </w:t>
      </w:r>
      <w:proofErr w:type="spellStart"/>
      <w:r w:rsidRPr="00BF4EBA">
        <w:rPr>
          <w:lang w:eastAsia="ja-JP"/>
        </w:rPr>
        <w:t>percutaneous</w:t>
      </w:r>
      <w:proofErr w:type="spellEnd"/>
      <w:r w:rsidRPr="00BF4EBA">
        <w:rPr>
          <w:lang w:eastAsia="ja-JP"/>
        </w:rPr>
        <w:t xml:space="preserve"> needle </w:t>
      </w:r>
      <w:proofErr w:type="spellStart"/>
      <w:r w:rsidRPr="00BF4EBA">
        <w:rPr>
          <w:lang w:eastAsia="ja-JP"/>
        </w:rPr>
        <w:t>fasciotomy</w:t>
      </w:r>
      <w:proofErr w:type="spellEnd"/>
      <w:r w:rsidRPr="00BF4EBA">
        <w:rPr>
          <w:lang w:eastAsia="ja-JP"/>
        </w:rPr>
        <w:t xml:space="preserve">. Consequently, any comparison of outcomes between interventions can only be approximated from the literature. This was undertaken by </w:t>
      </w:r>
      <w:r w:rsidR="008208D2">
        <w:rPr>
          <w:lang w:eastAsia="ja-JP"/>
        </w:rPr>
        <w:t>the sponsor</w:t>
      </w:r>
      <w:r w:rsidRPr="00BF4EBA">
        <w:rPr>
          <w:lang w:eastAsia="ja-JP"/>
        </w:rPr>
        <w:t xml:space="preserve"> and a series with surgical outcomes in 1150 patients reported full correction (0°) of contracture at the MP joint in 70-89% of cases and at the PIP joint in 13-29% (McFarlane 1990). The rate of clinical success in the pivotal trials was 65-77% at the MP joint and 28-40% at the PIP joint and these data provide an indication that AA4500 efficacy may be in line with surgical therapy.</w:t>
      </w:r>
    </w:p>
    <w:p w:rsidR="00BF4EBA" w:rsidRDefault="00BF4EBA" w:rsidP="00F11D7D">
      <w:pPr>
        <w:rPr>
          <w:bCs/>
          <w:lang w:eastAsia="ja-JP"/>
        </w:rPr>
      </w:pPr>
      <w:r w:rsidRPr="00BF4EBA">
        <w:rPr>
          <w:lang w:eastAsia="ja-JP"/>
        </w:rPr>
        <w:t xml:space="preserve">The natural history of the disease for many patients is progression and in the pivotal trials a recurrence rate of 4% was reported which increased to 19% after 2 years. The post-surgery recurrence rates from the literature, as quoted by </w:t>
      </w:r>
      <w:r w:rsidR="008208D2">
        <w:rPr>
          <w:lang w:eastAsia="ja-JP"/>
        </w:rPr>
        <w:t>the sponsor</w:t>
      </w:r>
      <w:r w:rsidRPr="00BF4EBA">
        <w:rPr>
          <w:lang w:eastAsia="ja-JP"/>
        </w:rPr>
        <w:t>, range from 2% to 60% with an average of 33</w:t>
      </w:r>
      <w:r w:rsidRPr="0067444B">
        <w:rPr>
          <w:lang w:eastAsia="ja-JP"/>
        </w:rPr>
        <w:t>% (Table</w:t>
      </w:r>
      <w:r w:rsidR="00CB2B6C" w:rsidRPr="0067444B">
        <w:rPr>
          <w:lang w:eastAsia="ja-JP"/>
        </w:rPr>
        <w:t xml:space="preserve"> 26</w:t>
      </w:r>
      <w:r w:rsidRPr="0067444B">
        <w:rPr>
          <w:lang w:eastAsia="ja-JP"/>
        </w:rPr>
        <w:t>). An alt</w:t>
      </w:r>
      <w:r w:rsidRPr="00BF4EBA">
        <w:rPr>
          <w:lang w:eastAsia="ja-JP"/>
        </w:rPr>
        <w:t xml:space="preserve">ernative therapy of </w:t>
      </w:r>
      <w:proofErr w:type="spellStart"/>
      <w:r w:rsidRPr="00BF4EBA">
        <w:rPr>
          <w:lang w:eastAsia="ja-JP"/>
        </w:rPr>
        <w:t>percutaneous</w:t>
      </w:r>
      <w:proofErr w:type="spellEnd"/>
      <w:r w:rsidRPr="00BF4EBA">
        <w:rPr>
          <w:lang w:eastAsia="ja-JP"/>
        </w:rPr>
        <w:t xml:space="preserve"> needle </w:t>
      </w:r>
      <w:proofErr w:type="spellStart"/>
      <w:r w:rsidRPr="00BF4EBA">
        <w:rPr>
          <w:lang w:eastAsia="ja-JP"/>
        </w:rPr>
        <w:t>fasciotomy</w:t>
      </w:r>
      <w:proofErr w:type="spellEnd"/>
      <w:r w:rsidRPr="00BF4EBA">
        <w:rPr>
          <w:lang w:eastAsia="ja-JP"/>
        </w:rPr>
        <w:t xml:space="preserve"> has been </w:t>
      </w:r>
      <w:r w:rsidRPr="00BF4EBA">
        <w:rPr>
          <w:lang w:eastAsia="ja-JP"/>
        </w:rPr>
        <w:lastRenderedPageBreak/>
        <w:t>reported to have even higher recurrence rates of 65%.</w:t>
      </w:r>
      <w:r w:rsidR="000135F1">
        <w:rPr>
          <w:rStyle w:val="FootnoteReference"/>
          <w:lang w:eastAsia="ja-JP"/>
        </w:rPr>
        <w:footnoteReference w:id="12"/>
      </w:r>
      <w:r w:rsidRPr="00BF4EBA">
        <w:rPr>
          <w:lang w:eastAsia="ja-JP"/>
        </w:rPr>
        <w:t xml:space="preserve"> This implies that, on available data, recurrence is no higher with AA4500 treatment than with the main treatment alternatives. </w:t>
      </w:r>
      <w:r w:rsidRPr="00BF4EBA">
        <w:rPr>
          <w:bCs/>
          <w:lang w:eastAsia="ja-JP"/>
        </w:rPr>
        <w:t>Currently, there has been insufficient follow up time to truly assess the persistence of efficacy and rates of recurrence. Therefore, the additional follow-up data from</w:t>
      </w:r>
      <w:r w:rsidR="00CD48FD">
        <w:rPr>
          <w:bCs/>
          <w:lang w:eastAsia="ja-JP"/>
        </w:rPr>
        <w:t xml:space="preserve"> Study AUX</w:t>
      </w:r>
      <w:r w:rsidRPr="00BF4EBA">
        <w:rPr>
          <w:bCs/>
          <w:lang w:eastAsia="ja-JP"/>
        </w:rPr>
        <w:t xml:space="preserve">-CC-860 should be submitted </w:t>
      </w:r>
      <w:r w:rsidR="00CB2B6C">
        <w:rPr>
          <w:bCs/>
          <w:lang w:eastAsia="ja-JP"/>
        </w:rPr>
        <w:t xml:space="preserve">to the TGA </w:t>
      </w:r>
      <w:r w:rsidRPr="00BF4EBA">
        <w:rPr>
          <w:bCs/>
          <w:lang w:eastAsia="ja-JP"/>
        </w:rPr>
        <w:t>for evaluation.</w:t>
      </w:r>
    </w:p>
    <w:p w:rsidR="00CB2B6C" w:rsidRPr="00CB2B6C" w:rsidRDefault="00CB2B6C" w:rsidP="00F11D7D">
      <w:pPr>
        <w:pStyle w:val="TableTitle"/>
        <w:rPr>
          <w:lang w:eastAsia="ja-JP"/>
        </w:rPr>
      </w:pPr>
      <w:bookmarkStart w:id="317" w:name="_Ref343675964"/>
      <w:bookmarkStart w:id="318" w:name="_Toc353960410"/>
      <w:r w:rsidRPr="00CB2B6C">
        <w:rPr>
          <w:lang w:eastAsia="ja-JP"/>
        </w:rPr>
        <w:t xml:space="preserve">Table </w:t>
      </w:r>
      <w:bookmarkEnd w:id="317"/>
      <w:bookmarkEnd w:id="318"/>
      <w:r>
        <w:rPr>
          <w:lang w:eastAsia="ja-JP"/>
        </w:rPr>
        <w:t>26. Extension and recurrence by surgical procedure.</w:t>
      </w:r>
    </w:p>
    <w:p w:rsidR="00CB2B6C" w:rsidRPr="00CB2B6C" w:rsidRDefault="00CB2B6C" w:rsidP="00F11D7D">
      <w:pPr>
        <w:rPr>
          <w:lang w:eastAsia="ja-JP"/>
        </w:rPr>
      </w:pPr>
      <w:r w:rsidRPr="00CB2B6C">
        <w:rPr>
          <w:noProof/>
          <w:lang w:eastAsia="en-AU"/>
        </w:rPr>
        <w:drawing>
          <wp:inline distT="0" distB="0" distL="0" distR="0">
            <wp:extent cx="5438775" cy="3571875"/>
            <wp:effectExtent l="19050" t="0" r="9525" b="0"/>
            <wp:docPr id="10" name="Picture 151" descr="Table 26. Extension and recurrence by surgica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cstate="print"/>
                    <a:srcRect l="2492" t="2089" r="2636"/>
                    <a:stretch>
                      <a:fillRect/>
                    </a:stretch>
                  </pic:blipFill>
                  <pic:spPr bwMode="auto">
                    <a:xfrm>
                      <a:off x="0" y="0"/>
                      <a:ext cx="5438775" cy="3571875"/>
                    </a:xfrm>
                    <a:prstGeom prst="rect">
                      <a:avLst/>
                    </a:prstGeom>
                    <a:noFill/>
                    <a:ln w="9525">
                      <a:noFill/>
                      <a:miter lim="800000"/>
                      <a:headEnd/>
                      <a:tailEnd/>
                    </a:ln>
                  </pic:spPr>
                </pic:pic>
              </a:graphicData>
            </a:graphic>
          </wp:inline>
        </w:drawing>
      </w:r>
    </w:p>
    <w:p w:rsidR="00BF4EBA" w:rsidRPr="00BF4EBA" w:rsidRDefault="00BF4EBA" w:rsidP="00F11D7D">
      <w:pPr>
        <w:rPr>
          <w:lang w:eastAsia="ja-JP"/>
        </w:rPr>
      </w:pPr>
      <w:r w:rsidRPr="00BF4EBA">
        <w:rPr>
          <w:lang w:eastAsia="ja-JP"/>
        </w:rPr>
        <w:t xml:space="preserve">The safety population consisted of 1082 subjects who received at least one dose of 0.58 mg </w:t>
      </w:r>
      <w:proofErr w:type="spellStart"/>
      <w:r w:rsidRPr="00BF4EBA">
        <w:rPr>
          <w:lang w:eastAsia="ja-JP"/>
        </w:rPr>
        <w:t>Xiaflex</w:t>
      </w:r>
      <w:proofErr w:type="spellEnd"/>
      <w:r w:rsidRPr="00BF4EBA">
        <w:rPr>
          <w:lang w:eastAsia="ja-JP"/>
        </w:rPr>
        <w:t xml:space="preserve"> and 1780 cords were treated with 2630 injections. The most frequent reactions were peripheral oedema, contusion, injection site pain, haemorrhage and tenderness. These effects may be a reaction to the actual product or a response to the collagen breakdown. These adverse events were frequent and nearly entirely related to treatment. They were, on the whole, confined to the treated extremity, the intensity generally mild to moderate and the duration such that they had resolved prior subsequent treatment if required one month later. The severe, albeit low frequency, safety risks were tendon rupture, ligament injury and skin tears requiring grafting. These risks may have in part been associated inadvertent injection into structures other than the </w:t>
      </w:r>
      <w:proofErr w:type="spellStart"/>
      <w:r w:rsidRPr="00BF4EBA">
        <w:rPr>
          <w:lang w:eastAsia="ja-JP"/>
        </w:rPr>
        <w:t>Dupuytren's</w:t>
      </w:r>
      <w:proofErr w:type="spellEnd"/>
      <w:r w:rsidRPr="00BF4EBA">
        <w:rPr>
          <w:lang w:eastAsia="ja-JP"/>
        </w:rPr>
        <w:t xml:space="preserve"> cord.</w:t>
      </w:r>
    </w:p>
    <w:p w:rsidR="00BF4EBA" w:rsidRPr="00BF4EBA" w:rsidRDefault="00BF4EBA" w:rsidP="00F11D7D">
      <w:pPr>
        <w:rPr>
          <w:lang w:eastAsia="ja-JP"/>
        </w:rPr>
      </w:pPr>
      <w:r w:rsidRPr="00BF4EBA">
        <w:rPr>
          <w:lang w:eastAsia="ja-JP"/>
        </w:rPr>
        <w:t xml:space="preserve">In order to address these severe risks, as well as to ensure the clinical success rates are maintained in patients with potentially varying levels of baseline severity, treating physicians must receive thorough training in the use of the product. This should include product reconstitution, dosage, injection technique and post treatment manipulation as well as adverse event information and monitoring. The evaluator assumes that in a clinical trial setting the training of physicians would have been extensive. </w:t>
      </w:r>
      <w:r w:rsidR="008208D2">
        <w:rPr>
          <w:lang w:eastAsia="ja-JP"/>
        </w:rPr>
        <w:t>The sponsor</w:t>
      </w:r>
      <w:r w:rsidRPr="00BF4EBA">
        <w:rPr>
          <w:lang w:eastAsia="ja-JP"/>
        </w:rPr>
        <w:t xml:space="preserve"> will need to ensure that the same level of expertise is imparted in the ‘real world’ to ensure maintenance of the benefit-risk balance and this should be a specific condition of registration. </w:t>
      </w:r>
      <w:r w:rsidR="007271BB">
        <w:rPr>
          <w:lang w:eastAsia="ja-JP"/>
        </w:rPr>
        <w:t>The evaluator also</w:t>
      </w:r>
      <w:r w:rsidRPr="00BF4EBA">
        <w:rPr>
          <w:lang w:eastAsia="ja-JP"/>
        </w:rPr>
        <w:t xml:space="preserve"> recommended that a further condition of registration be that the product is only distributed to prescribers who have undergone such training.</w:t>
      </w:r>
    </w:p>
    <w:p w:rsidR="00BF4EBA" w:rsidRPr="00BF4EBA" w:rsidRDefault="00BF4EBA" w:rsidP="00F11D7D">
      <w:pPr>
        <w:rPr>
          <w:lang w:eastAsia="ja-JP"/>
        </w:rPr>
      </w:pPr>
      <w:r w:rsidRPr="00BF4EBA">
        <w:rPr>
          <w:lang w:eastAsia="ja-JP"/>
        </w:rPr>
        <w:lastRenderedPageBreak/>
        <w:t xml:space="preserve">The high immunogenicity of AA4500 poses the other main safety risk. Although there was no evidence of systemic absorption, all patients developed anti-drug antibodies. These antibodies did not appear to affect the efficacy (clinical success or improvement) or safety (adverse event profile, severity or duration) of AA4500. There were no severe hypersensitivity reactions or anaphylaxis reported, although there was a small number of cases of urticaria and the increasing rate of pruritus with a greater number of injections could have immunologic basis. There is also the potential for cross-reactivity of anti-drug antibodies with endogenous human matrix </w:t>
      </w:r>
      <w:proofErr w:type="spellStart"/>
      <w:r w:rsidRPr="00BF4EBA">
        <w:rPr>
          <w:lang w:eastAsia="ja-JP"/>
        </w:rPr>
        <w:t>metalloproteinases</w:t>
      </w:r>
      <w:proofErr w:type="spellEnd"/>
      <w:r w:rsidRPr="00BF4EBA">
        <w:rPr>
          <w:lang w:eastAsia="ja-JP"/>
        </w:rPr>
        <w:t xml:space="preserve">. This was not found on assessment with five MMPs </w:t>
      </w:r>
      <w:r w:rsidRPr="00BF4EBA">
        <w:rPr>
          <w:i/>
          <w:lang w:eastAsia="ja-JP"/>
        </w:rPr>
        <w:t>in vitro</w:t>
      </w:r>
      <w:r w:rsidRPr="00BF4EBA">
        <w:rPr>
          <w:lang w:eastAsia="ja-JP"/>
        </w:rPr>
        <w:t xml:space="preserve"> and the safety data did not indicate any signals for musculoskeletal syndrome.</w:t>
      </w:r>
    </w:p>
    <w:p w:rsidR="00BF4EBA" w:rsidRPr="00BF4EBA" w:rsidRDefault="00BF4EBA" w:rsidP="00F11D7D">
      <w:pPr>
        <w:rPr>
          <w:lang w:eastAsia="ja-JP"/>
        </w:rPr>
      </w:pPr>
      <w:r w:rsidRPr="00BF4EBA">
        <w:rPr>
          <w:lang w:eastAsia="ja-JP"/>
        </w:rPr>
        <w:t>Despite these findings, the safety database may not have been large enough to detect rarer reactions. For this reason, ongoing post-marketing surveillance of immune-mediated reactions including possible case of musculoskeletal syndrome will be critical to monitor the product risks. The evaluator also recommend</w:t>
      </w:r>
      <w:r w:rsidR="007271BB">
        <w:rPr>
          <w:lang w:eastAsia="ja-JP"/>
        </w:rPr>
        <w:t>ed</w:t>
      </w:r>
      <w:r w:rsidRPr="00BF4EBA">
        <w:rPr>
          <w:lang w:eastAsia="ja-JP"/>
        </w:rPr>
        <w:t xml:space="preserve"> that this includes monitoring of auto-immune disorders in existing patients as well as new onset of cases and this needs to be addressed satisfactorily with the context of the Risk Management Plan. The immunogenicity risks have been covered in the draft PI and it </w:t>
      </w:r>
      <w:r w:rsidR="007271BB">
        <w:rPr>
          <w:lang w:eastAsia="ja-JP"/>
        </w:rPr>
        <w:t>wa</w:t>
      </w:r>
      <w:r w:rsidRPr="00BF4EBA">
        <w:rPr>
          <w:lang w:eastAsia="ja-JP"/>
        </w:rPr>
        <w:t xml:space="preserve">s also recommended </w:t>
      </w:r>
      <w:r w:rsidR="007271BB">
        <w:rPr>
          <w:lang w:eastAsia="ja-JP"/>
        </w:rPr>
        <w:t xml:space="preserve">by the evaluator </w:t>
      </w:r>
      <w:r w:rsidRPr="00BF4EBA">
        <w:rPr>
          <w:lang w:eastAsia="ja-JP"/>
        </w:rPr>
        <w:t>that treatment should only be used in a setting able to treat anaphylaxis. This setting may be the physician’s practice rooms but the ability to monitor vital signs and administer adrenalin, oxygen and intravenous fluids would need to be present. These setting requirements should also be covered in the context of the proposed Risk Management Plan.</w:t>
      </w:r>
    </w:p>
    <w:p w:rsidR="00BF4EBA" w:rsidRPr="00BF4EBA" w:rsidRDefault="00BF4EBA" w:rsidP="00F11D7D">
      <w:pPr>
        <w:rPr>
          <w:lang w:eastAsia="ja-JP"/>
        </w:rPr>
      </w:pPr>
      <w:r w:rsidRPr="00BF4EBA">
        <w:rPr>
          <w:lang w:eastAsia="ja-JP"/>
        </w:rPr>
        <w:t xml:space="preserve">The risk of drug interactions (anticoagulants and </w:t>
      </w:r>
      <w:proofErr w:type="spellStart"/>
      <w:r w:rsidRPr="00BF4EBA">
        <w:rPr>
          <w:lang w:eastAsia="ja-JP"/>
        </w:rPr>
        <w:t>tetracyclines</w:t>
      </w:r>
      <w:proofErr w:type="spellEnd"/>
      <w:r w:rsidRPr="00BF4EBA">
        <w:rPr>
          <w:lang w:eastAsia="ja-JP"/>
        </w:rPr>
        <w:t>) has been adequately covered in the draft PI. Pregnancy and lactation risks have also been covered, although the evaluator recommend</w:t>
      </w:r>
      <w:r w:rsidR="007271BB">
        <w:rPr>
          <w:lang w:eastAsia="ja-JP"/>
        </w:rPr>
        <w:t>ed</w:t>
      </w:r>
      <w:r w:rsidRPr="00BF4EBA">
        <w:rPr>
          <w:lang w:eastAsia="ja-JP"/>
        </w:rPr>
        <w:t xml:space="preserve"> that as there are no studies in pregnancy or lactation and the clinical risk from anti-drug antibodies is unknown, that treatment should be deferred until after pregnancy.</w:t>
      </w:r>
    </w:p>
    <w:p w:rsidR="00BF4EBA" w:rsidRPr="00BF4EBA" w:rsidRDefault="00BF4EBA" w:rsidP="00F11D7D">
      <w:pPr>
        <w:rPr>
          <w:lang w:eastAsia="ja-JP"/>
        </w:rPr>
      </w:pPr>
      <w:r w:rsidRPr="00BF4EBA">
        <w:rPr>
          <w:lang w:eastAsia="ja-JP"/>
        </w:rPr>
        <w:t>The clinical development program has not addressed the administration of concurrent injections. While this is not proposed in the indication, the evaluator recommends wording the dosage section to specify this fact. The evaluator has noted that further clinical development is being conducted in this area (</w:t>
      </w:r>
      <w:r w:rsidR="007271BB">
        <w:rPr>
          <w:lang w:eastAsia="ja-JP"/>
        </w:rPr>
        <w:t>S</w:t>
      </w:r>
      <w:r w:rsidRPr="00BF4EBA">
        <w:rPr>
          <w:lang w:eastAsia="ja-JP"/>
        </w:rPr>
        <w:t>tudies AUX-CC-861 and AUX-CC-864), although no data were included in the dossier.</w:t>
      </w:r>
    </w:p>
    <w:p w:rsidR="00BF4EBA" w:rsidRPr="00BF4EBA" w:rsidRDefault="00BF4EBA" w:rsidP="00F11D7D">
      <w:pPr>
        <w:rPr>
          <w:lang w:eastAsia="ja-JP"/>
        </w:rPr>
      </w:pPr>
      <w:r w:rsidRPr="00BF4EBA">
        <w:rPr>
          <w:lang w:eastAsia="ja-JP"/>
        </w:rPr>
        <w:t xml:space="preserve">Retreatment with A4500 of previously treated cords has not been addressed in this dossier. </w:t>
      </w:r>
      <w:r w:rsidR="008208D2">
        <w:rPr>
          <w:lang w:eastAsia="ja-JP"/>
        </w:rPr>
        <w:t>The sponsor</w:t>
      </w:r>
      <w:r w:rsidRPr="00BF4EBA">
        <w:rPr>
          <w:lang w:eastAsia="ja-JP"/>
        </w:rPr>
        <w:t xml:space="preserve"> stated that a new</w:t>
      </w:r>
      <w:r w:rsidR="00CD48FD">
        <w:rPr>
          <w:lang w:eastAsia="ja-JP"/>
        </w:rPr>
        <w:t xml:space="preserve"> Study AUX</w:t>
      </w:r>
      <w:r w:rsidRPr="00BF4EBA">
        <w:rPr>
          <w:lang w:eastAsia="ja-JP"/>
        </w:rPr>
        <w:t xml:space="preserve">-CC-862, together with further data from AUX-CC-860, will cover this issue. Until such time as these data are evaluated, </w:t>
      </w:r>
      <w:r w:rsidR="007271BB">
        <w:rPr>
          <w:lang w:eastAsia="ja-JP"/>
        </w:rPr>
        <w:t>the evaluator</w:t>
      </w:r>
      <w:r w:rsidRPr="00BF4EBA">
        <w:rPr>
          <w:lang w:eastAsia="ja-JP"/>
        </w:rPr>
        <w:t xml:space="preserve"> recommended that this lack of efficacy and safety data in retreatment should be included in the product information. </w:t>
      </w:r>
    </w:p>
    <w:p w:rsidR="00BF4EBA" w:rsidRPr="00BF4EBA" w:rsidRDefault="00BF4EBA" w:rsidP="00F11D7D">
      <w:pPr>
        <w:rPr>
          <w:lang w:eastAsia="ja-JP"/>
        </w:rPr>
      </w:pPr>
      <w:r w:rsidRPr="00BF4EBA">
        <w:rPr>
          <w:lang w:eastAsia="ja-JP"/>
        </w:rPr>
        <w:t xml:space="preserve">In summary, </w:t>
      </w:r>
      <w:proofErr w:type="spellStart"/>
      <w:r w:rsidRPr="00BF4EBA">
        <w:rPr>
          <w:lang w:eastAsia="ja-JP"/>
        </w:rPr>
        <w:t>Xiaflex</w:t>
      </w:r>
      <w:proofErr w:type="spellEnd"/>
      <w:r w:rsidRPr="00BF4EBA">
        <w:rPr>
          <w:lang w:eastAsia="ja-JP"/>
        </w:rPr>
        <w:t xml:space="preserve"> injection has a moderate level of efficacy which appears in line with current surgical options together with a safety profile of predominantly mild to moderate adverse events which are confined to treated limb and generally resolved in under a month. While the immunogenicity-related risks have to date not been concerning, there is an evident need for these to be closely monitored. The product’s safety is in part determined by the skill and knowledge of the administering physician and so it will be imperative that physicians using the product are adequately trained. </w:t>
      </w:r>
      <w:proofErr w:type="spellStart"/>
      <w:r w:rsidRPr="00BF4EBA">
        <w:rPr>
          <w:lang w:eastAsia="ja-JP"/>
        </w:rPr>
        <w:t>Xiaflex</w:t>
      </w:r>
      <w:proofErr w:type="spellEnd"/>
      <w:r w:rsidRPr="00BF4EBA">
        <w:rPr>
          <w:lang w:eastAsia="ja-JP"/>
        </w:rPr>
        <w:t xml:space="preserve"> offers a non-surgical treatment which can be administered in the clinical practice and so may offer a viable alternative to surgery which is currently the mainstay of treatment for advanced </w:t>
      </w:r>
      <w:proofErr w:type="spellStart"/>
      <w:r w:rsidRPr="00BF4EBA">
        <w:rPr>
          <w:lang w:eastAsia="ja-JP"/>
        </w:rPr>
        <w:t>Dupuytren's</w:t>
      </w:r>
      <w:proofErr w:type="spellEnd"/>
      <w:r w:rsidRPr="00BF4EBA">
        <w:rPr>
          <w:lang w:eastAsia="ja-JP"/>
        </w:rPr>
        <w:t xml:space="preserve"> disease. As such, the benefit-risk balance of </w:t>
      </w:r>
      <w:proofErr w:type="spellStart"/>
      <w:r w:rsidRPr="00BF4EBA">
        <w:rPr>
          <w:lang w:eastAsia="ja-JP"/>
        </w:rPr>
        <w:t>Xiaflex</w:t>
      </w:r>
      <w:proofErr w:type="spellEnd"/>
      <w:r w:rsidRPr="00BF4EBA">
        <w:rPr>
          <w:lang w:eastAsia="ja-JP"/>
        </w:rPr>
        <w:t xml:space="preserve"> 0.58 mg, given the proposed usage of treatment of </w:t>
      </w:r>
      <w:proofErr w:type="spellStart"/>
      <w:r w:rsidRPr="00BF4EBA">
        <w:rPr>
          <w:lang w:eastAsia="ja-JP"/>
        </w:rPr>
        <w:t>Dupuytren’s</w:t>
      </w:r>
      <w:proofErr w:type="spellEnd"/>
      <w:r w:rsidRPr="00BF4EBA">
        <w:rPr>
          <w:lang w:eastAsia="ja-JP"/>
        </w:rPr>
        <w:t xml:space="preserve"> contracture in adul</w:t>
      </w:r>
      <w:r w:rsidR="007271BB">
        <w:rPr>
          <w:lang w:eastAsia="ja-JP"/>
        </w:rPr>
        <w:t>t patients with palpable cord, wa</w:t>
      </w:r>
      <w:r w:rsidRPr="00BF4EBA">
        <w:rPr>
          <w:lang w:eastAsia="ja-JP"/>
        </w:rPr>
        <w:t xml:space="preserve">s </w:t>
      </w:r>
      <w:r w:rsidR="007271BB">
        <w:rPr>
          <w:lang w:eastAsia="ja-JP"/>
        </w:rPr>
        <w:t xml:space="preserve">considered to be </w:t>
      </w:r>
      <w:r w:rsidRPr="00BF4EBA">
        <w:rPr>
          <w:lang w:eastAsia="ja-JP"/>
        </w:rPr>
        <w:t>favourable. This finding is subject to no change in the benefit-risk balance after evaluation of satisfactory responses to the</w:t>
      </w:r>
      <w:r w:rsidR="007271BB">
        <w:rPr>
          <w:lang w:eastAsia="ja-JP"/>
        </w:rPr>
        <w:t xml:space="preserve"> comments </w:t>
      </w:r>
      <w:r w:rsidR="00C14246">
        <w:rPr>
          <w:lang w:eastAsia="ja-JP"/>
        </w:rPr>
        <w:t>a</w:t>
      </w:r>
      <w:r w:rsidR="007271BB">
        <w:rPr>
          <w:lang w:eastAsia="ja-JP"/>
        </w:rPr>
        <w:t xml:space="preserve">nd </w:t>
      </w:r>
      <w:r w:rsidR="007271BB">
        <w:rPr>
          <w:i/>
          <w:lang w:eastAsia="ja-JP"/>
        </w:rPr>
        <w:t xml:space="preserve">Clinical </w:t>
      </w:r>
      <w:r w:rsidR="007271BB" w:rsidRPr="007271BB">
        <w:rPr>
          <w:i/>
          <w:lang w:eastAsia="ja-JP"/>
        </w:rPr>
        <w:t>Questions</w:t>
      </w:r>
      <w:r w:rsidR="007271BB">
        <w:rPr>
          <w:lang w:eastAsia="ja-JP"/>
        </w:rPr>
        <w:t xml:space="preserve"> below</w:t>
      </w:r>
      <w:r w:rsidRPr="00BF4EBA">
        <w:rPr>
          <w:lang w:eastAsia="ja-JP"/>
        </w:rPr>
        <w:t xml:space="preserve">. </w:t>
      </w:r>
    </w:p>
    <w:p w:rsidR="00C22678" w:rsidRDefault="00C22678" w:rsidP="00F11D7D">
      <w:pPr>
        <w:pStyle w:val="Heading3"/>
      </w:pPr>
      <w:bookmarkStart w:id="319" w:name="_Toc374966981"/>
      <w:r>
        <w:lastRenderedPageBreak/>
        <w:t>First round recommendation regarding authorisation</w:t>
      </w:r>
      <w:bookmarkEnd w:id="319"/>
    </w:p>
    <w:p w:rsidR="00BF4EBA" w:rsidRPr="00426667" w:rsidRDefault="00BF4EBA" w:rsidP="00F11D7D">
      <w:r w:rsidRPr="00426667">
        <w:t>The evaluator recommend</w:t>
      </w:r>
      <w:r w:rsidR="007271BB">
        <w:t>ed</w:t>
      </w:r>
      <w:r w:rsidRPr="00426667">
        <w:t xml:space="preserve"> approval of </w:t>
      </w:r>
      <w:proofErr w:type="spellStart"/>
      <w:r w:rsidRPr="00426667">
        <w:t>X</w:t>
      </w:r>
      <w:r w:rsidR="007271BB">
        <w:t>i</w:t>
      </w:r>
      <w:r w:rsidRPr="00426667">
        <w:t>aflex</w:t>
      </w:r>
      <w:proofErr w:type="spellEnd"/>
      <w:r w:rsidRPr="00426667">
        <w:t xml:space="preserve"> 0.58 mg injection for the treatment of </w:t>
      </w:r>
      <w:proofErr w:type="spellStart"/>
      <w:r w:rsidRPr="00426667">
        <w:rPr>
          <w:bCs/>
        </w:rPr>
        <w:t>Dupuytren’s</w:t>
      </w:r>
      <w:proofErr w:type="spellEnd"/>
      <w:r w:rsidRPr="00426667">
        <w:rPr>
          <w:bCs/>
        </w:rPr>
        <w:t xml:space="preserve"> contracture in adult patients with palpable cord</w:t>
      </w:r>
      <w:r w:rsidRPr="00426667">
        <w:t xml:space="preserve">. This is subject to no change in the benefit-risk balance after review of responses to the comments and </w:t>
      </w:r>
      <w:r w:rsidR="007271BB">
        <w:rPr>
          <w:i/>
        </w:rPr>
        <w:t xml:space="preserve">Clinical </w:t>
      </w:r>
      <w:r w:rsidR="007271BB" w:rsidRPr="007271BB">
        <w:rPr>
          <w:i/>
        </w:rPr>
        <w:t>Q</w:t>
      </w:r>
      <w:r w:rsidRPr="007271BB">
        <w:rPr>
          <w:i/>
        </w:rPr>
        <w:t>uestions</w:t>
      </w:r>
      <w:r w:rsidRPr="00426667">
        <w:t xml:space="preserve"> </w:t>
      </w:r>
      <w:r w:rsidR="007271BB">
        <w:t>below</w:t>
      </w:r>
      <w:r w:rsidRPr="00426667">
        <w:t>.</w:t>
      </w:r>
    </w:p>
    <w:p w:rsidR="00BF4EBA" w:rsidRPr="00426667" w:rsidRDefault="00BF4EBA" w:rsidP="00F11D7D">
      <w:r w:rsidRPr="00426667">
        <w:t>In addition to pharmacovigilance requirements as set out i</w:t>
      </w:r>
      <w:r w:rsidR="007271BB">
        <w:t>n the Risk Management Plan, it wa</w:t>
      </w:r>
      <w:r w:rsidRPr="00426667">
        <w:t xml:space="preserve">s recommended that authorisation be subject to: </w:t>
      </w:r>
    </w:p>
    <w:p w:rsidR="00BF4EBA" w:rsidRPr="00426667" w:rsidRDefault="008208D2" w:rsidP="00F11D7D">
      <w:pPr>
        <w:pStyle w:val="ListBullet"/>
      </w:pPr>
      <w:r>
        <w:t>the sponsor</w:t>
      </w:r>
      <w:r w:rsidR="00BF4EBA" w:rsidRPr="00426667">
        <w:t xml:space="preserve"> ensuring that all doctors prescribing and using </w:t>
      </w:r>
      <w:proofErr w:type="spellStart"/>
      <w:r w:rsidR="00BF4EBA" w:rsidRPr="00426667">
        <w:t>Xiaflex</w:t>
      </w:r>
      <w:proofErr w:type="spellEnd"/>
      <w:r w:rsidR="00BF4EBA" w:rsidRPr="00426667">
        <w:t xml:space="preserve"> are experienced in the management of </w:t>
      </w:r>
      <w:proofErr w:type="spellStart"/>
      <w:r w:rsidR="00BF4EBA" w:rsidRPr="00426667">
        <w:t>Dupuytren's</w:t>
      </w:r>
      <w:proofErr w:type="spellEnd"/>
      <w:r w:rsidR="00BF4EBA" w:rsidRPr="00426667">
        <w:t xml:space="preserve"> disease and are appropriately trained in the product’s administration. Training must cover the areas of reconstitution of the product, volumes to inject, dosing interval, injection technique, post injection finger manipulation and management, as well as information on immune-mediated reactions including anaphylaxis and its management, matrix metalloproteinase cross-reactivity and musculoskeletal syndrome, and other potential adverse events and the requirement for reporting.</w:t>
      </w:r>
    </w:p>
    <w:p w:rsidR="00BF4EBA" w:rsidRPr="00426667" w:rsidRDefault="00BF4EBA" w:rsidP="00F11D7D">
      <w:pPr>
        <w:pStyle w:val="ListBullet"/>
      </w:pPr>
      <w:r w:rsidRPr="00426667">
        <w:t xml:space="preserve">the product is only distributed to doctors who have been appropriately trained as outlined above. </w:t>
      </w:r>
    </w:p>
    <w:p w:rsidR="00C22678" w:rsidRDefault="00C22678" w:rsidP="00F11D7D">
      <w:pPr>
        <w:pStyle w:val="Heading2"/>
      </w:pPr>
      <w:bookmarkStart w:id="320" w:name="_Toc374966982"/>
      <w:r>
        <w:t>Clinical questions</w:t>
      </w:r>
      <w:bookmarkEnd w:id="320"/>
    </w:p>
    <w:p w:rsidR="00C22678" w:rsidRDefault="00C618F7" w:rsidP="00F11D7D">
      <w:pPr>
        <w:pStyle w:val="Heading3"/>
      </w:pPr>
      <w:bookmarkStart w:id="321" w:name="_Toc374966983"/>
      <w:r>
        <w:t>Pharmacokinetics</w:t>
      </w:r>
      <w:bookmarkEnd w:id="321"/>
    </w:p>
    <w:p w:rsidR="00C618F7" w:rsidRPr="00586F98" w:rsidRDefault="00BF4EBA" w:rsidP="00F11D7D">
      <w:pPr>
        <w:rPr>
          <w:lang w:eastAsia="ja-JP"/>
        </w:rPr>
      </w:pPr>
      <w:r>
        <w:rPr>
          <w:lang w:eastAsia="ja-JP"/>
        </w:rPr>
        <w:t>Nil.</w:t>
      </w:r>
    </w:p>
    <w:p w:rsidR="00C618F7" w:rsidRDefault="00C618F7" w:rsidP="00F11D7D">
      <w:pPr>
        <w:pStyle w:val="Heading3"/>
      </w:pPr>
      <w:bookmarkStart w:id="322" w:name="_Toc374966984"/>
      <w:r>
        <w:t>Pharmacodynamics</w:t>
      </w:r>
      <w:bookmarkEnd w:id="322"/>
    </w:p>
    <w:p w:rsidR="00C618F7" w:rsidRPr="00586F98" w:rsidRDefault="00BF4EBA" w:rsidP="00F11D7D">
      <w:pPr>
        <w:rPr>
          <w:lang w:eastAsia="ja-JP"/>
        </w:rPr>
      </w:pPr>
      <w:r>
        <w:rPr>
          <w:lang w:eastAsia="ja-JP"/>
        </w:rPr>
        <w:t>Nil.</w:t>
      </w:r>
    </w:p>
    <w:p w:rsidR="00C618F7" w:rsidRDefault="00C618F7" w:rsidP="00F11D7D">
      <w:pPr>
        <w:pStyle w:val="Heading3"/>
      </w:pPr>
      <w:bookmarkStart w:id="323" w:name="_Toc374966985"/>
      <w:r>
        <w:t>Efficacy</w:t>
      </w:r>
      <w:bookmarkEnd w:id="323"/>
    </w:p>
    <w:p w:rsidR="00BF4EBA" w:rsidRPr="00426667" w:rsidRDefault="00BF4EBA" w:rsidP="00F11D7D">
      <w:pPr>
        <w:pStyle w:val="Numberbullet0"/>
      </w:pPr>
      <w:r w:rsidRPr="00426667">
        <w:t xml:space="preserve">In the pivotal efficacy </w:t>
      </w:r>
      <w:r w:rsidR="007271BB">
        <w:t>S</w:t>
      </w:r>
      <w:r w:rsidRPr="00426667">
        <w:t>tudies AUX-CC-857 and AUX-CC-859 there were no confidence interval provided on any of the efficacy outcomes, in particular clinical success rate, clinical improvement rate, change in degree of contracture and change in range of motion. These should be provided.</w:t>
      </w:r>
    </w:p>
    <w:p w:rsidR="00BF4EBA" w:rsidRPr="00426667" w:rsidRDefault="00BF4EBA" w:rsidP="00F11D7D">
      <w:pPr>
        <w:pStyle w:val="Numberbullet0"/>
      </w:pPr>
      <w:r w:rsidRPr="00426667">
        <w:t>The dossier included an interim report for</w:t>
      </w:r>
      <w:r w:rsidR="00CD48FD">
        <w:t xml:space="preserve"> Study AUX</w:t>
      </w:r>
      <w:r w:rsidRPr="00426667">
        <w:t xml:space="preserve">-CC-860 which summarised data for </w:t>
      </w:r>
      <w:r w:rsidR="007271BB">
        <w:t>Y</w:t>
      </w:r>
      <w:r w:rsidRPr="00426667">
        <w:t>ear 2. This included data up to April 2010. Given it is now the end of 2012, data s</w:t>
      </w:r>
      <w:r w:rsidR="007271BB">
        <w:t>hould now be available for the Year 3, and even Y</w:t>
      </w:r>
      <w:r w:rsidRPr="00426667">
        <w:t xml:space="preserve">ear 4, of the follow up. This data should be submitted </w:t>
      </w:r>
      <w:r w:rsidR="007271BB">
        <w:t xml:space="preserve">to the TGA </w:t>
      </w:r>
      <w:r w:rsidRPr="00426667">
        <w:t>for evaluation so that further assessment of long term recurrence rates can be made. Include a discussion on these recurrence rates compared to reported rates in the literature from other treatment options.</w:t>
      </w:r>
    </w:p>
    <w:p w:rsidR="00BF4EBA" w:rsidRPr="00426667" w:rsidRDefault="00BF4EBA" w:rsidP="00F11D7D">
      <w:pPr>
        <w:pStyle w:val="Numberbullet0"/>
      </w:pPr>
      <w:r w:rsidRPr="00426667">
        <w:t xml:space="preserve">The dossier included the protocol of </w:t>
      </w:r>
      <w:r w:rsidR="007271BB">
        <w:t>S</w:t>
      </w:r>
      <w:r w:rsidRPr="00426667">
        <w:t xml:space="preserve">tudy B1531002 sponsored by Pfizer. It is stated to be a prospective open label </w:t>
      </w:r>
      <w:r w:rsidR="00F560BE">
        <w:t>Phase I</w:t>
      </w:r>
      <w:r w:rsidRPr="00426667">
        <w:t>II study in 250 European subjects. What is the status of this study? Describe the study and comment on whether there any relevant efficacy data that are available and should be disclosed. If the study is completed, comment on why the data were not included in the dossier.</w:t>
      </w:r>
    </w:p>
    <w:p w:rsidR="00BF4EBA" w:rsidRPr="00426667" w:rsidRDefault="00BF4EBA" w:rsidP="00F11D7D">
      <w:pPr>
        <w:pStyle w:val="Numberbullet0"/>
      </w:pPr>
      <w:r w:rsidRPr="00426667">
        <w:t>Provide a summary of the clinical trials in progress</w:t>
      </w:r>
      <w:r w:rsidR="007271BB">
        <w:t xml:space="preserve"> or planned worldwide with all s</w:t>
      </w:r>
      <w:r w:rsidRPr="00426667">
        <w:t>ponsors and what additional data (efficacy, safety and pharmacokinetics) they are aiming to provide. Include timing for the trials and data availability.</w:t>
      </w:r>
    </w:p>
    <w:p w:rsidR="00C618F7" w:rsidRDefault="00C618F7" w:rsidP="00F11D7D">
      <w:pPr>
        <w:pStyle w:val="Heading3"/>
      </w:pPr>
      <w:bookmarkStart w:id="324" w:name="_Toc374966986"/>
      <w:r>
        <w:lastRenderedPageBreak/>
        <w:t>Safety</w:t>
      </w:r>
      <w:bookmarkEnd w:id="324"/>
    </w:p>
    <w:p w:rsidR="00BF4EBA" w:rsidRPr="00426667" w:rsidRDefault="00BF4EBA" w:rsidP="00F11D7D">
      <w:pPr>
        <w:pStyle w:val="Numberbullet0"/>
        <w:numPr>
          <w:ilvl w:val="0"/>
          <w:numId w:val="46"/>
        </w:numPr>
      </w:pPr>
      <w:r w:rsidRPr="00426667">
        <w:t>The dossier included an interim report for</w:t>
      </w:r>
      <w:r w:rsidR="00CD48FD">
        <w:t xml:space="preserve"> Study AUX</w:t>
      </w:r>
      <w:r w:rsidRPr="00426667">
        <w:t xml:space="preserve">-CC-860 which summarised data for </w:t>
      </w:r>
      <w:r w:rsidR="007271BB">
        <w:t>Y</w:t>
      </w:r>
      <w:r w:rsidRPr="00426667">
        <w:t xml:space="preserve">ear 2. This included data up to April 2010. Given it is now the end of 2012, data should now be available for the </w:t>
      </w:r>
      <w:r w:rsidR="007271BB">
        <w:t>Y</w:t>
      </w:r>
      <w:r w:rsidRPr="00426667">
        <w:t xml:space="preserve">ear 3, and even </w:t>
      </w:r>
      <w:r w:rsidR="007271BB">
        <w:t>Y</w:t>
      </w:r>
      <w:r w:rsidRPr="00426667">
        <w:t>ear 4, of the follow up. This data should be submitted for evaluation so that further assessment of long term safety can be made. Discuss any data and associated risks in subjects who may have had surgery on previously treated cords.</w:t>
      </w:r>
    </w:p>
    <w:p w:rsidR="00BF4EBA" w:rsidRPr="00426667" w:rsidRDefault="00BF4EBA" w:rsidP="00F11D7D">
      <w:pPr>
        <w:pStyle w:val="Numberbullet0"/>
      </w:pPr>
      <w:r w:rsidRPr="00426667">
        <w:t xml:space="preserve">The dossier included the protocol of </w:t>
      </w:r>
      <w:r w:rsidR="007271BB">
        <w:t>S</w:t>
      </w:r>
      <w:r w:rsidRPr="00426667">
        <w:t xml:space="preserve">tudy B1531002 sponsored by Pfizer. It is stated to be a prospective open label </w:t>
      </w:r>
      <w:r w:rsidR="00F560BE">
        <w:t>Phase I</w:t>
      </w:r>
      <w:r w:rsidRPr="00426667">
        <w:t>II study in 250 European subjects. What is the status of this study? Are there any relevant safety data that are available and should be disclosed? Comment on these data in relation to the safety profile reported in this dossier.</w:t>
      </w:r>
    </w:p>
    <w:p w:rsidR="00BF4EBA" w:rsidRPr="00426667" w:rsidRDefault="00BF4EBA" w:rsidP="00F11D7D">
      <w:pPr>
        <w:pStyle w:val="Numberbullet0"/>
      </w:pPr>
      <w:r w:rsidRPr="00426667">
        <w:t xml:space="preserve">The dossier also made reference to a post-approval study in the US, AUX-CC-861. The study was stated to be an open label study assessing the safety, tolerability and pharmacokinetics of two concurrent doses of AA4500 0.58 mg in the same hand of subjects with </w:t>
      </w:r>
      <w:proofErr w:type="spellStart"/>
      <w:r w:rsidRPr="00426667">
        <w:t>Dupuytren's</w:t>
      </w:r>
      <w:proofErr w:type="spellEnd"/>
      <w:r w:rsidRPr="00426667">
        <w:t xml:space="preserve"> contractures and a palpable cord. What is the status of this study? Are there data which should be submitted for evaluation? Again, comment on these data in relation to the safety profile reported in this dossier.</w:t>
      </w:r>
    </w:p>
    <w:p w:rsidR="00BF4EBA" w:rsidRPr="00426667" w:rsidRDefault="00BF4EBA" w:rsidP="00F11D7D">
      <w:pPr>
        <w:pStyle w:val="Numberbullet0"/>
      </w:pPr>
      <w:r w:rsidRPr="00426667">
        <w:t>Why is the reconstituted dose so much greater than needed (0.9 mg for a dose of 0.58 mg)? This would appear to lead to possibility for overdos</w:t>
      </w:r>
      <w:r w:rsidR="007271BB">
        <w:t>ing</w:t>
      </w:r>
      <w:r w:rsidRPr="00426667">
        <w:t xml:space="preserve"> if too much volume is drawn up and injected. Discuss the rationale behind this decision.</w:t>
      </w:r>
    </w:p>
    <w:p w:rsidR="00BF4EBA" w:rsidRPr="00426667" w:rsidRDefault="00BF4EBA" w:rsidP="00F11D7D">
      <w:pPr>
        <w:pStyle w:val="Numberbullet0"/>
      </w:pPr>
      <w:r w:rsidRPr="00426667">
        <w:t xml:space="preserve">Discuss what training the investigators in the clinical development program undertook to ensure they were adequately skilled to administer the study injections. How is </w:t>
      </w:r>
      <w:r w:rsidR="008208D2">
        <w:t>the sponsor</w:t>
      </w:r>
      <w:r w:rsidRPr="00426667">
        <w:t xml:space="preserve"> proposing to ensure comparable skill levels of physicians who may use the product in Australia if registered?</w:t>
      </w:r>
    </w:p>
    <w:p w:rsidR="00C618F7" w:rsidRDefault="00C618F7" w:rsidP="007271BB">
      <w:pPr>
        <w:pStyle w:val="Heading2"/>
      </w:pPr>
      <w:bookmarkStart w:id="325" w:name="_Toc374966987"/>
      <w:r>
        <w:t>Second round evaluation of clinical data submitted in response to questions</w:t>
      </w:r>
      <w:bookmarkEnd w:id="325"/>
    </w:p>
    <w:p w:rsidR="00BF4EBA" w:rsidRPr="00BF4EBA" w:rsidRDefault="00BF4EBA" w:rsidP="007271BB">
      <w:pPr>
        <w:pStyle w:val="Heading3"/>
      </w:pPr>
      <w:bookmarkStart w:id="326" w:name="_Toc353960315"/>
      <w:bookmarkStart w:id="327" w:name="_Toc374966988"/>
      <w:r w:rsidRPr="00BF4EBA">
        <w:t>Efficacy</w:t>
      </w:r>
      <w:bookmarkEnd w:id="326"/>
      <w:bookmarkEnd w:id="327"/>
    </w:p>
    <w:p w:rsidR="00BF4EBA" w:rsidRPr="00AC2DFF" w:rsidRDefault="00BF4EBA" w:rsidP="00AC2DFF">
      <w:pPr>
        <w:pStyle w:val="Numberbullet0"/>
        <w:numPr>
          <w:ilvl w:val="0"/>
          <w:numId w:val="50"/>
        </w:numPr>
        <w:rPr>
          <w:b/>
          <w:i/>
          <w:lang w:eastAsia="ja-JP"/>
        </w:rPr>
      </w:pPr>
      <w:r w:rsidRPr="00AC2DFF">
        <w:rPr>
          <w:b/>
          <w:i/>
          <w:lang w:eastAsia="ja-JP"/>
        </w:rPr>
        <w:t>In the pivotal efficacy studies AUX-CC-857 and AUX-CC-859 there were no confidence intervals provided on any of the efficacy outcomes, in particular clinical success rate, clinical improvement rate, change in degree of contracture and change in range of motion. These should be provided.</w:t>
      </w:r>
    </w:p>
    <w:p w:rsidR="00BF4EBA" w:rsidRPr="009D2ABF" w:rsidRDefault="00BF4EBA" w:rsidP="009D2ABF">
      <w:pPr>
        <w:rPr>
          <w:b/>
          <w:lang w:eastAsia="ja-JP"/>
        </w:rPr>
      </w:pPr>
      <w:r w:rsidRPr="009D2ABF">
        <w:rPr>
          <w:b/>
          <w:lang w:eastAsia="ja-JP"/>
        </w:rPr>
        <w:t>Sponsor’s response:</w:t>
      </w:r>
    </w:p>
    <w:p w:rsidR="00BF4EBA" w:rsidRPr="00BF4EBA" w:rsidRDefault="00BF4EBA" w:rsidP="005075C3">
      <w:pPr>
        <w:rPr>
          <w:lang w:eastAsia="ja-JP"/>
        </w:rPr>
      </w:pPr>
      <w:r w:rsidRPr="00BF4EBA">
        <w:rPr>
          <w:lang w:eastAsia="ja-JP"/>
        </w:rPr>
        <w:t xml:space="preserve">For the combined MP and PIP primary joint from </w:t>
      </w:r>
      <w:r w:rsidR="007271BB">
        <w:rPr>
          <w:lang w:eastAsia="ja-JP"/>
        </w:rPr>
        <w:t>S</w:t>
      </w:r>
      <w:r w:rsidRPr="00BF4EBA">
        <w:rPr>
          <w:lang w:eastAsia="ja-JP"/>
        </w:rPr>
        <w:t xml:space="preserve">tudies AUX-CC-857 and AUX-CC-859, </w:t>
      </w:r>
      <w:r w:rsidR="008208D2">
        <w:rPr>
          <w:lang w:eastAsia="ja-JP"/>
        </w:rPr>
        <w:t>the sponsor</w:t>
      </w:r>
      <w:r w:rsidRPr="00BF4EBA">
        <w:rPr>
          <w:lang w:eastAsia="ja-JP"/>
        </w:rPr>
        <w:t xml:space="preserve"> provided 95% confidence intervals for clinical success, clinical improvement, percentage change from baseline in contracture and change from baseline in ROM. </w:t>
      </w:r>
    </w:p>
    <w:p w:rsidR="00BF4EBA" w:rsidRPr="00BF4EBA" w:rsidRDefault="00BF4EBA" w:rsidP="005075C3">
      <w:pPr>
        <w:rPr>
          <w:lang w:eastAsia="ja-JP"/>
        </w:rPr>
      </w:pPr>
      <w:r w:rsidRPr="00BF4EBA">
        <w:rPr>
          <w:lang w:eastAsia="ja-JP"/>
        </w:rPr>
        <w:t>In the AA4500 and placebo groups, respectively, the clinical success rates were 64.0%</w:t>
      </w:r>
      <w:r w:rsidR="00CD48FD">
        <w:rPr>
          <w:lang w:eastAsia="ja-JP"/>
        </w:rPr>
        <w:t xml:space="preserve"> versus </w:t>
      </w:r>
      <w:r w:rsidRPr="00BF4EBA">
        <w:rPr>
          <w:lang w:eastAsia="ja-JP"/>
        </w:rPr>
        <w:t>6.8% in AUX-CC-857 and 44.4%</w:t>
      </w:r>
      <w:r w:rsidR="00CD48FD">
        <w:rPr>
          <w:lang w:eastAsia="ja-JP"/>
        </w:rPr>
        <w:t xml:space="preserve"> versus </w:t>
      </w:r>
      <w:r w:rsidRPr="00BF4EBA">
        <w:rPr>
          <w:lang w:eastAsia="ja-JP"/>
        </w:rPr>
        <w:t xml:space="preserve">4.8% in AUX-CC-859. The 95% CI for the difference in clinical success rates between AA4500 and placebo were 46.8-66.8 in </w:t>
      </w:r>
      <w:r w:rsidR="00F560BE">
        <w:rPr>
          <w:lang w:eastAsia="ja-JP"/>
        </w:rPr>
        <w:t>Study 85</w:t>
      </w:r>
      <w:r w:rsidRPr="00BF4EBA">
        <w:rPr>
          <w:lang w:eastAsia="ja-JP"/>
        </w:rPr>
        <w:t xml:space="preserve">7 and 13.7-62.3 in </w:t>
      </w:r>
      <w:r w:rsidR="00F560BE">
        <w:rPr>
          <w:lang w:eastAsia="ja-JP"/>
        </w:rPr>
        <w:t>Study 85</w:t>
      </w:r>
      <w:r w:rsidRPr="00BF4EBA">
        <w:rPr>
          <w:lang w:eastAsia="ja-JP"/>
        </w:rPr>
        <w:t>9.</w:t>
      </w:r>
    </w:p>
    <w:p w:rsidR="00BF4EBA" w:rsidRPr="00BF4EBA" w:rsidRDefault="00BF4EBA" w:rsidP="005075C3">
      <w:pPr>
        <w:rPr>
          <w:lang w:eastAsia="ja-JP"/>
        </w:rPr>
      </w:pPr>
      <w:r w:rsidRPr="00BF4EBA">
        <w:rPr>
          <w:lang w:eastAsia="ja-JP"/>
        </w:rPr>
        <w:t>The 95% CI for the difference in the rate of clinical improvement between the AA4500 and placebo groups were 63.7-81.7 and 40.1-81.9 for studies AUX-CC-857 and 859, respectively. The 95% CI for the adjusted mean difference in the percentage change from baseline in contracture was 62.1-74.3 and 46.4-70.8, respectively. The 95% CI for the adjusted mean difference in the change from baseline in range of motion was 27.8-34.9 and 18.3-32.5, respectively.</w:t>
      </w:r>
    </w:p>
    <w:p w:rsidR="00BF4EBA" w:rsidRPr="005075C3" w:rsidRDefault="00BF4EBA" w:rsidP="005075C3">
      <w:pPr>
        <w:rPr>
          <w:b/>
          <w:lang w:eastAsia="ja-JP"/>
        </w:rPr>
      </w:pPr>
      <w:r w:rsidRPr="005075C3">
        <w:rPr>
          <w:b/>
          <w:lang w:eastAsia="ja-JP"/>
        </w:rPr>
        <w:lastRenderedPageBreak/>
        <w:t>Evaluator’s response:</w:t>
      </w:r>
    </w:p>
    <w:p w:rsidR="00BF4EBA" w:rsidRPr="00BF4EBA" w:rsidRDefault="00BF4EBA" w:rsidP="005075C3">
      <w:pPr>
        <w:rPr>
          <w:lang w:eastAsia="ja-JP"/>
        </w:rPr>
      </w:pPr>
      <w:r w:rsidRPr="00BF4EBA">
        <w:rPr>
          <w:lang w:eastAsia="ja-JP"/>
        </w:rPr>
        <w:t>The data demonstrate satisfactory response ranges. The broader intervals seen in AUX-CC-859 would be a factor of the smaller sample size.</w:t>
      </w:r>
    </w:p>
    <w:p w:rsidR="00BF4EBA" w:rsidRPr="005075C3" w:rsidRDefault="00BF4EBA" w:rsidP="005075C3">
      <w:pPr>
        <w:pStyle w:val="Numberbullet0"/>
        <w:rPr>
          <w:b/>
          <w:i/>
          <w:lang w:eastAsia="ja-JP"/>
        </w:rPr>
      </w:pPr>
      <w:r w:rsidRPr="005075C3">
        <w:rPr>
          <w:b/>
          <w:i/>
          <w:lang w:eastAsia="ja-JP"/>
        </w:rPr>
        <w:t>The dossier included an interim report for</w:t>
      </w:r>
      <w:r w:rsidR="00CD48FD" w:rsidRPr="005075C3">
        <w:rPr>
          <w:b/>
          <w:i/>
          <w:lang w:eastAsia="ja-JP"/>
        </w:rPr>
        <w:t xml:space="preserve"> Study AUX</w:t>
      </w:r>
      <w:r w:rsidRPr="005075C3">
        <w:rPr>
          <w:b/>
          <w:i/>
          <w:lang w:eastAsia="ja-JP"/>
        </w:rPr>
        <w:t>-CC-860 which summarised data for year 2. This included data up to April 2010. Given it is now the end of 2012, data should be availab</w:t>
      </w:r>
      <w:r w:rsidR="000D74B8" w:rsidRPr="005075C3">
        <w:rPr>
          <w:b/>
          <w:i/>
          <w:lang w:eastAsia="ja-JP"/>
        </w:rPr>
        <w:t>le for the Year 3, and even Y</w:t>
      </w:r>
      <w:r w:rsidRPr="005075C3">
        <w:rPr>
          <w:b/>
          <w:i/>
          <w:lang w:eastAsia="ja-JP"/>
        </w:rPr>
        <w:t>ear 4, of the follow up. This data should be submitted for evaluation so that further assessment of long term recurrence rates can be made. Include a discussion on these recurrence rates compared to reported rates in the literature from other treatment options.</w:t>
      </w:r>
    </w:p>
    <w:p w:rsidR="00BF4EBA" w:rsidRPr="005075C3" w:rsidRDefault="00BF4EBA" w:rsidP="005075C3">
      <w:pPr>
        <w:rPr>
          <w:b/>
          <w:lang w:eastAsia="ja-JP"/>
        </w:rPr>
      </w:pPr>
      <w:r w:rsidRPr="005075C3">
        <w:rPr>
          <w:b/>
          <w:lang w:eastAsia="ja-JP"/>
        </w:rPr>
        <w:t>Sponsor’s response:</w:t>
      </w:r>
    </w:p>
    <w:p w:rsidR="00BF4EBA" w:rsidRPr="00BF4EBA" w:rsidRDefault="008208D2" w:rsidP="005075C3">
      <w:pPr>
        <w:rPr>
          <w:lang w:eastAsia="ja-JP"/>
        </w:rPr>
      </w:pPr>
      <w:r>
        <w:rPr>
          <w:lang w:eastAsia="ja-JP"/>
        </w:rPr>
        <w:t>The sponsor</w:t>
      </w:r>
      <w:r w:rsidR="00BF4EBA" w:rsidRPr="00BF4EBA">
        <w:rPr>
          <w:lang w:eastAsia="ja-JP"/>
        </w:rPr>
        <w:t xml:space="preserve"> provided the interim clinical study report for Year 4. The final report (</w:t>
      </w:r>
      <w:r w:rsidR="000D74B8">
        <w:rPr>
          <w:lang w:eastAsia="ja-JP"/>
        </w:rPr>
        <w:t>Y</w:t>
      </w:r>
      <w:r w:rsidR="00BF4EBA" w:rsidRPr="00BF4EBA">
        <w:rPr>
          <w:lang w:eastAsia="ja-JP"/>
        </w:rPr>
        <w:t xml:space="preserve">ear 5) will be available at the end of 2013. </w:t>
      </w:r>
    </w:p>
    <w:p w:rsidR="00BF4EBA" w:rsidRPr="00BF4EBA" w:rsidRDefault="00BF4EBA" w:rsidP="005075C3">
      <w:pPr>
        <w:rPr>
          <w:lang w:eastAsia="ja-JP"/>
        </w:rPr>
      </w:pPr>
      <w:r w:rsidRPr="00BF4EBA">
        <w:rPr>
          <w:lang w:eastAsia="ja-JP"/>
        </w:rPr>
        <w:t xml:space="preserve">At July 2012, there were 645 subjects enrolled, 644 had at least one post enrolment evaluation and 539 (83.7%) completed the </w:t>
      </w:r>
      <w:r w:rsidR="000D74B8">
        <w:rPr>
          <w:lang w:eastAsia="ja-JP"/>
        </w:rPr>
        <w:t>Y</w:t>
      </w:r>
      <w:r w:rsidRPr="00BF4EBA">
        <w:rPr>
          <w:lang w:eastAsia="ja-JP"/>
        </w:rPr>
        <w:t>ear 4 visit. The mean study duration was 682.6 days and the mean days since first injection of AA4500 was 1440.8 days (range 618 to 1185 days).</w:t>
      </w:r>
    </w:p>
    <w:p w:rsidR="00BF4EBA" w:rsidRPr="00BF4EBA" w:rsidRDefault="00BF4EBA" w:rsidP="005075C3">
      <w:pPr>
        <w:rPr>
          <w:lang w:eastAsia="ja-JP"/>
        </w:rPr>
      </w:pPr>
      <w:r w:rsidRPr="00BF4EBA">
        <w:rPr>
          <w:lang w:eastAsia="ja-JP"/>
        </w:rPr>
        <w:t>In joints that had been successfully treated, the cumulative recurrence rate through to 1460 days of follow up was 42.1% (262/623</w:t>
      </w:r>
      <w:r w:rsidRPr="000D74B8">
        <w:rPr>
          <w:lang w:eastAsia="ja-JP"/>
        </w:rPr>
        <w:t xml:space="preserve">) (Table </w:t>
      </w:r>
      <w:r w:rsidR="000D74B8" w:rsidRPr="000D74B8">
        <w:rPr>
          <w:lang w:eastAsia="ja-JP"/>
        </w:rPr>
        <w:t xml:space="preserve"> 27</w:t>
      </w:r>
      <w:r w:rsidRPr="000D74B8">
        <w:rPr>
          <w:lang w:eastAsia="ja-JP"/>
        </w:rPr>
        <w:t>). The recurrence rate at the PIP joint was higher than at the MP joint (61.6%</w:t>
      </w:r>
      <w:r w:rsidR="00CD48FD" w:rsidRPr="000D74B8">
        <w:rPr>
          <w:lang w:eastAsia="ja-JP"/>
        </w:rPr>
        <w:t xml:space="preserve"> versus </w:t>
      </w:r>
      <w:r w:rsidRPr="000D74B8">
        <w:rPr>
          <w:lang w:eastAsia="ja-JP"/>
        </w:rPr>
        <w:t xml:space="preserve">34.6%) (Table </w:t>
      </w:r>
      <w:r w:rsidR="000D74B8" w:rsidRPr="000D74B8">
        <w:rPr>
          <w:lang w:eastAsia="ja-JP"/>
        </w:rPr>
        <w:t>28</w:t>
      </w:r>
      <w:r w:rsidRPr="000D74B8">
        <w:rPr>
          <w:lang w:eastAsia="ja-JP"/>
        </w:rPr>
        <w:t>). Of the 623 joints that were successfully treated in the primary study, 12.8% had received medica</w:t>
      </w:r>
      <w:r w:rsidRPr="00BF4EBA">
        <w:rPr>
          <w:lang w:eastAsia="ja-JP"/>
        </w:rPr>
        <w:t>l o</w:t>
      </w:r>
      <w:r w:rsidR="000D74B8">
        <w:rPr>
          <w:lang w:eastAsia="ja-JP"/>
        </w:rPr>
        <w:t>r surgical intervention by the Y</w:t>
      </w:r>
      <w:r w:rsidRPr="00BF4EBA">
        <w:rPr>
          <w:lang w:eastAsia="ja-JP"/>
        </w:rPr>
        <w:t>ear 4 visit.</w:t>
      </w:r>
    </w:p>
    <w:p w:rsidR="00BF4EBA" w:rsidRPr="00BF4EBA" w:rsidRDefault="008208D2" w:rsidP="005075C3">
      <w:pPr>
        <w:rPr>
          <w:lang w:eastAsia="ja-JP"/>
        </w:rPr>
      </w:pPr>
      <w:r>
        <w:rPr>
          <w:lang w:eastAsia="ja-JP"/>
        </w:rPr>
        <w:t>The sponsor</w:t>
      </w:r>
      <w:r w:rsidR="00BF4EBA" w:rsidRPr="00BF4EBA">
        <w:rPr>
          <w:lang w:eastAsia="ja-JP"/>
        </w:rPr>
        <w:t xml:space="preserve"> also reported that the recurrence definitions and rates in the literature are variable and range from 12-73% for </w:t>
      </w:r>
      <w:proofErr w:type="spellStart"/>
      <w:r w:rsidR="00BF4EBA" w:rsidRPr="00BF4EBA">
        <w:rPr>
          <w:lang w:eastAsia="ja-JP"/>
        </w:rPr>
        <w:t>fasciectomy</w:t>
      </w:r>
      <w:proofErr w:type="spellEnd"/>
      <w:r w:rsidR="00BF4EBA" w:rsidRPr="00BF4EBA">
        <w:rPr>
          <w:lang w:eastAsia="ja-JP"/>
        </w:rPr>
        <w:t>/</w:t>
      </w:r>
      <w:proofErr w:type="spellStart"/>
      <w:r w:rsidR="00BF4EBA" w:rsidRPr="00BF4EBA">
        <w:rPr>
          <w:lang w:eastAsia="ja-JP"/>
        </w:rPr>
        <w:t>aponeurectomy</w:t>
      </w:r>
      <w:proofErr w:type="spellEnd"/>
      <w:r w:rsidR="00BF4EBA" w:rsidRPr="00BF4EBA">
        <w:rPr>
          <w:lang w:eastAsia="ja-JP"/>
        </w:rPr>
        <w:t xml:space="preserve"> and 33-100% for </w:t>
      </w:r>
      <w:proofErr w:type="spellStart"/>
      <w:r w:rsidR="00BF4EBA" w:rsidRPr="00BF4EBA">
        <w:rPr>
          <w:lang w:eastAsia="ja-JP"/>
        </w:rPr>
        <w:t>fasciotomy</w:t>
      </w:r>
      <w:proofErr w:type="spellEnd"/>
      <w:r w:rsidR="00BF4EBA" w:rsidRPr="00BF4EBA">
        <w:rPr>
          <w:lang w:eastAsia="ja-JP"/>
        </w:rPr>
        <w:t>/</w:t>
      </w:r>
      <w:proofErr w:type="spellStart"/>
      <w:r w:rsidR="00BF4EBA" w:rsidRPr="00BF4EBA">
        <w:rPr>
          <w:lang w:eastAsia="ja-JP"/>
        </w:rPr>
        <w:t>apoenurotomy</w:t>
      </w:r>
      <w:proofErr w:type="spellEnd"/>
      <w:r w:rsidR="00BF4EBA" w:rsidRPr="00BF4EBA">
        <w:rPr>
          <w:lang w:eastAsia="ja-JP"/>
        </w:rPr>
        <w:t>.</w:t>
      </w:r>
    </w:p>
    <w:p w:rsidR="00BF4EBA" w:rsidRPr="005075C3" w:rsidRDefault="00BF4EBA" w:rsidP="005075C3">
      <w:pPr>
        <w:rPr>
          <w:b/>
          <w:lang w:eastAsia="ja-JP"/>
        </w:rPr>
      </w:pPr>
      <w:r w:rsidRPr="005075C3">
        <w:rPr>
          <w:b/>
          <w:lang w:eastAsia="ja-JP"/>
        </w:rPr>
        <w:t>Evaluator’s response:</w:t>
      </w:r>
    </w:p>
    <w:p w:rsidR="00BF4EBA" w:rsidRDefault="00BF4EBA" w:rsidP="005075C3">
      <w:pPr>
        <w:rPr>
          <w:lang w:eastAsia="ja-JP"/>
        </w:rPr>
      </w:pPr>
      <w:r w:rsidRPr="00BF4EBA">
        <w:rPr>
          <w:lang w:eastAsia="ja-JP"/>
        </w:rPr>
        <w:t>Recurrence was shown to continue to increase over time, from 19% after 2 years to 42% after 4 years and remained higher at the PIP joint than the MP joint. These data indicate that for many patients treatment of this progressive condition with AA4500, as with other currently available options, is not permanent.</w:t>
      </w:r>
    </w:p>
    <w:p w:rsidR="0043374F" w:rsidRDefault="000D74B8" w:rsidP="0043374F">
      <w:pPr>
        <w:pStyle w:val="TableTitle"/>
        <w:rPr>
          <w:lang w:eastAsia="ja-JP"/>
        </w:rPr>
      </w:pPr>
      <w:bookmarkStart w:id="328" w:name="_Ref353960174"/>
      <w:bookmarkStart w:id="329" w:name="_Toc353960411"/>
      <w:r w:rsidRPr="000D74B8">
        <w:rPr>
          <w:lang w:eastAsia="ja-JP"/>
        </w:rPr>
        <w:lastRenderedPageBreak/>
        <w:t xml:space="preserve">Table </w:t>
      </w:r>
      <w:bookmarkEnd w:id="328"/>
      <w:bookmarkEnd w:id="329"/>
      <w:r>
        <w:rPr>
          <w:lang w:eastAsia="ja-JP"/>
        </w:rPr>
        <w:t>27. Recurrence and Days of Follow-up for successfully treated joints. 860 Study Population.</w:t>
      </w:r>
    </w:p>
    <w:p w:rsidR="000D74B8" w:rsidRPr="000D74B8" w:rsidRDefault="000D74B8" w:rsidP="0043374F">
      <w:pPr>
        <w:rPr>
          <w:lang w:eastAsia="ja-JP"/>
        </w:rPr>
      </w:pPr>
      <w:r w:rsidRPr="000D74B8">
        <w:rPr>
          <w:noProof/>
          <w:lang w:eastAsia="en-AU"/>
        </w:rPr>
        <w:drawing>
          <wp:inline distT="0" distB="0" distL="0" distR="0">
            <wp:extent cx="5095875" cy="3621970"/>
            <wp:effectExtent l="19050" t="0" r="9525" b="0"/>
            <wp:docPr id="15" name="Picture 153" descr="Table 27. Recurrence and Days of Follow-up for successfully treated joints. 860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duotone>
                        <a:prstClr val="black"/>
                        <a:schemeClr val="bg1">
                          <a:tint val="45000"/>
                          <a:satMod val="400000"/>
                        </a:schemeClr>
                      </a:duotone>
                    </a:blip>
                    <a:srcRect l="1929" t="1778" r="2386" b="4207"/>
                    <a:stretch>
                      <a:fillRect/>
                    </a:stretch>
                  </pic:blipFill>
                  <pic:spPr bwMode="auto">
                    <a:xfrm>
                      <a:off x="0" y="0"/>
                      <a:ext cx="5097948" cy="3623443"/>
                    </a:xfrm>
                    <a:prstGeom prst="rect">
                      <a:avLst/>
                    </a:prstGeom>
                    <a:noFill/>
                    <a:ln w="9525">
                      <a:noFill/>
                      <a:miter lim="800000"/>
                      <a:headEnd/>
                      <a:tailEnd/>
                    </a:ln>
                  </pic:spPr>
                </pic:pic>
              </a:graphicData>
            </a:graphic>
          </wp:inline>
        </w:drawing>
      </w:r>
    </w:p>
    <w:p w:rsidR="000D74B8" w:rsidRPr="000D74B8" w:rsidRDefault="000D74B8" w:rsidP="0043374F">
      <w:pPr>
        <w:pStyle w:val="TableTitle"/>
        <w:rPr>
          <w:iCs/>
          <w:lang w:eastAsia="ja-JP"/>
        </w:rPr>
      </w:pPr>
      <w:bookmarkStart w:id="330" w:name="_Ref353960177"/>
      <w:bookmarkStart w:id="331" w:name="_Toc353960412"/>
      <w:r w:rsidRPr="000D74B8">
        <w:rPr>
          <w:iCs/>
          <w:lang w:eastAsia="ja-JP"/>
        </w:rPr>
        <w:t xml:space="preserve">Table </w:t>
      </w:r>
      <w:bookmarkEnd w:id="330"/>
      <w:bookmarkEnd w:id="331"/>
      <w:r>
        <w:rPr>
          <w:iCs/>
          <w:lang w:eastAsia="ja-JP"/>
        </w:rPr>
        <w:t xml:space="preserve">28. </w:t>
      </w:r>
      <w:r w:rsidRPr="000D74B8">
        <w:rPr>
          <w:iCs/>
          <w:lang w:eastAsia="ja-JP"/>
        </w:rPr>
        <w:t xml:space="preserve"> </w:t>
      </w:r>
      <w:r>
        <w:rPr>
          <w:lang w:eastAsia="ja-JP"/>
        </w:rPr>
        <w:t>Recurrence and Days of Follow-up for successfully treated joints by joint type. 860 Study Population.</w:t>
      </w:r>
    </w:p>
    <w:p w:rsidR="000D74B8" w:rsidRPr="000D74B8" w:rsidRDefault="000D74B8" w:rsidP="0043374F">
      <w:pPr>
        <w:rPr>
          <w:lang w:eastAsia="ja-JP"/>
        </w:rPr>
      </w:pPr>
      <w:r w:rsidRPr="000D74B8">
        <w:rPr>
          <w:noProof/>
          <w:lang w:eastAsia="en-AU"/>
        </w:rPr>
        <w:drawing>
          <wp:inline distT="0" distB="0" distL="0" distR="0">
            <wp:extent cx="4895850" cy="4012787"/>
            <wp:effectExtent l="19050" t="0" r="0" b="0"/>
            <wp:docPr id="21" name="Picture 155" descr="Table 28.  Recurrence and Days of Follow-up for successfully treated joints by joint type. 860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 cstate="print">
                      <a:duotone>
                        <a:prstClr val="black"/>
                        <a:schemeClr val="bg1">
                          <a:tint val="45000"/>
                          <a:satMod val="400000"/>
                        </a:schemeClr>
                      </a:duotone>
                    </a:blip>
                    <a:srcRect l="1126" t="963" r="1758" b="3650"/>
                    <a:stretch>
                      <a:fillRect/>
                    </a:stretch>
                  </pic:blipFill>
                  <pic:spPr bwMode="auto">
                    <a:xfrm>
                      <a:off x="0" y="0"/>
                      <a:ext cx="4896411" cy="4013247"/>
                    </a:xfrm>
                    <a:prstGeom prst="rect">
                      <a:avLst/>
                    </a:prstGeom>
                    <a:noFill/>
                    <a:ln w="9525">
                      <a:noFill/>
                      <a:miter lim="800000"/>
                      <a:headEnd/>
                      <a:tailEnd/>
                    </a:ln>
                  </pic:spPr>
                </pic:pic>
              </a:graphicData>
            </a:graphic>
          </wp:inline>
        </w:drawing>
      </w:r>
    </w:p>
    <w:p w:rsidR="00BF4EBA" w:rsidRPr="0043374F" w:rsidRDefault="00BF4EBA" w:rsidP="0043374F">
      <w:pPr>
        <w:pStyle w:val="Numberbullet0"/>
        <w:rPr>
          <w:b/>
          <w:i/>
          <w:lang w:eastAsia="ja-JP"/>
        </w:rPr>
      </w:pPr>
      <w:r w:rsidRPr="0043374F">
        <w:rPr>
          <w:b/>
          <w:i/>
          <w:lang w:eastAsia="ja-JP"/>
        </w:rPr>
        <w:t xml:space="preserve">The dossier included the protocol of study B1531002 sponsored by Pfizer. It is stated to be a prospective open label </w:t>
      </w:r>
      <w:r w:rsidR="00F560BE" w:rsidRPr="0043374F">
        <w:rPr>
          <w:b/>
          <w:i/>
          <w:lang w:eastAsia="ja-JP"/>
        </w:rPr>
        <w:t>Phase I</w:t>
      </w:r>
      <w:r w:rsidRPr="0043374F">
        <w:rPr>
          <w:b/>
          <w:i/>
          <w:lang w:eastAsia="ja-JP"/>
        </w:rPr>
        <w:t xml:space="preserve">II study in 250 European subjects. What is the status </w:t>
      </w:r>
      <w:r w:rsidRPr="0043374F">
        <w:rPr>
          <w:b/>
          <w:i/>
          <w:lang w:eastAsia="ja-JP"/>
        </w:rPr>
        <w:lastRenderedPageBreak/>
        <w:t>of this study? Describe the study and comment on whether there any relevant efficacy data that are available and should be disclosed. If the study is completed, comment on why the data were not included in the dossier.</w:t>
      </w:r>
    </w:p>
    <w:p w:rsidR="00BF4EBA" w:rsidRPr="0043374F" w:rsidRDefault="00BF4EBA" w:rsidP="0043374F">
      <w:pPr>
        <w:rPr>
          <w:b/>
          <w:lang w:eastAsia="ja-JP"/>
        </w:rPr>
      </w:pPr>
      <w:r w:rsidRPr="0043374F">
        <w:rPr>
          <w:b/>
          <w:lang w:eastAsia="ja-JP"/>
        </w:rPr>
        <w:t>Sponsor’s response:</w:t>
      </w:r>
    </w:p>
    <w:p w:rsidR="00BF4EBA" w:rsidRPr="000D74B8" w:rsidRDefault="00BF4EBA" w:rsidP="0092528A">
      <w:pPr>
        <w:rPr>
          <w:lang w:eastAsia="ja-JP"/>
        </w:rPr>
      </w:pPr>
      <w:r w:rsidRPr="000D74B8">
        <w:rPr>
          <w:lang w:eastAsia="ja-JP"/>
        </w:rPr>
        <w:t xml:space="preserve">This Phase </w:t>
      </w:r>
      <w:r w:rsidR="000D74B8">
        <w:rPr>
          <w:lang w:eastAsia="ja-JP"/>
        </w:rPr>
        <w:t>III</w:t>
      </w:r>
      <w:r w:rsidRPr="000D74B8">
        <w:rPr>
          <w:lang w:eastAsia="ja-JP"/>
        </w:rPr>
        <w:t>b study remains ongoing. This multi-centre study has 2 phases: The first is an open-label treatment phase (up to 5 months in duration) and the second is a 6</w:t>
      </w:r>
      <w:r w:rsidR="000D74B8">
        <w:rPr>
          <w:lang w:eastAsia="ja-JP"/>
        </w:rPr>
        <w:t xml:space="preserve"> </w:t>
      </w:r>
      <w:r w:rsidRPr="000D74B8">
        <w:rPr>
          <w:lang w:eastAsia="ja-JP"/>
        </w:rPr>
        <w:t>month follow-up phase. To date, a total of 254 subjects have been treated. No clinically important information has emerged from this ongoing study.</w:t>
      </w:r>
    </w:p>
    <w:p w:rsidR="00BF4EBA" w:rsidRPr="0092528A" w:rsidRDefault="00BF4EBA" w:rsidP="0092528A">
      <w:pPr>
        <w:rPr>
          <w:b/>
          <w:lang w:eastAsia="ja-JP"/>
        </w:rPr>
      </w:pPr>
      <w:r w:rsidRPr="0092528A">
        <w:rPr>
          <w:b/>
          <w:lang w:eastAsia="ja-JP"/>
        </w:rPr>
        <w:t>Evaluator’s response:</w:t>
      </w:r>
    </w:p>
    <w:p w:rsidR="00BF4EBA" w:rsidRPr="00BF4EBA" w:rsidRDefault="00BF4EBA" w:rsidP="0092528A">
      <w:pPr>
        <w:rPr>
          <w:lang w:eastAsia="ja-JP"/>
        </w:rPr>
      </w:pPr>
      <w:r w:rsidRPr="00BF4EBA">
        <w:rPr>
          <w:lang w:eastAsia="ja-JP"/>
        </w:rPr>
        <w:t>Data should be provided when available.</w:t>
      </w:r>
    </w:p>
    <w:p w:rsidR="00BF4EBA" w:rsidRPr="0092528A" w:rsidRDefault="00BF4EBA" w:rsidP="0092528A">
      <w:pPr>
        <w:pStyle w:val="Numberbullet0"/>
        <w:rPr>
          <w:b/>
          <w:i/>
          <w:lang w:eastAsia="ja-JP"/>
        </w:rPr>
      </w:pPr>
      <w:r w:rsidRPr="0092528A">
        <w:rPr>
          <w:b/>
          <w:i/>
          <w:lang w:eastAsia="ja-JP"/>
        </w:rPr>
        <w:t>Provide a summary of the clinical trials in progress or planned worldwide with all Sponsors and what additional data (efficacy, safety and pharmacokinetics) they are aiming to provide. Include timing for the trials and data availability.</w:t>
      </w:r>
    </w:p>
    <w:p w:rsidR="00BF4EBA" w:rsidRPr="0092528A" w:rsidRDefault="00BF4EBA" w:rsidP="0092528A">
      <w:pPr>
        <w:rPr>
          <w:b/>
          <w:lang w:eastAsia="ja-JP"/>
        </w:rPr>
      </w:pPr>
      <w:r w:rsidRPr="0092528A">
        <w:rPr>
          <w:b/>
          <w:lang w:eastAsia="ja-JP"/>
        </w:rPr>
        <w:t>Sponsor’s response:</w:t>
      </w:r>
    </w:p>
    <w:p w:rsidR="00BF4EBA" w:rsidRPr="00BF4EBA" w:rsidRDefault="00BF4EBA" w:rsidP="0092528A">
      <w:pPr>
        <w:pStyle w:val="TableTitle"/>
        <w:rPr>
          <w:lang w:eastAsia="ja-JP"/>
        </w:rPr>
      </w:pPr>
      <w:bookmarkStart w:id="332" w:name="_Toc353960336"/>
      <w:r w:rsidRPr="00BF4EBA">
        <w:rPr>
          <w:lang w:eastAsia="ja-JP"/>
        </w:rPr>
        <w:t xml:space="preserve">Table </w:t>
      </w:r>
      <w:bookmarkEnd w:id="332"/>
      <w:r w:rsidR="000D74B8">
        <w:rPr>
          <w:lang w:eastAsia="ja-JP"/>
        </w:rPr>
        <w:t>29. Ongoing studies-</w:t>
      </w:r>
      <w:proofErr w:type="spellStart"/>
      <w:r w:rsidR="000D74B8">
        <w:rPr>
          <w:lang w:eastAsia="ja-JP"/>
        </w:rPr>
        <w:t>Xiaflex</w:t>
      </w:r>
      <w:proofErr w:type="spellEnd"/>
      <w:r w:rsidR="000D74B8">
        <w:rPr>
          <w:lang w:eastAsia="ja-JP"/>
        </w:rPr>
        <w:t xml:space="preserve"> in the treatment of </w:t>
      </w:r>
      <w:proofErr w:type="spellStart"/>
      <w:r w:rsidR="000D74B8">
        <w:rPr>
          <w:lang w:eastAsia="ja-JP"/>
        </w:rPr>
        <w:t>Dupuytren’s</w:t>
      </w:r>
      <w:proofErr w:type="spellEnd"/>
      <w:r w:rsidR="000D74B8">
        <w:rPr>
          <w:lang w:eastAsia="ja-JP"/>
        </w:rPr>
        <w:t xml:space="preserve"> contracture</w:t>
      </w:r>
    </w:p>
    <w:p w:rsidR="00BF4EBA" w:rsidRDefault="00BF4EBA" w:rsidP="0092528A">
      <w:pPr>
        <w:rPr>
          <w:lang w:eastAsia="ja-JP"/>
        </w:rPr>
      </w:pPr>
      <w:r w:rsidRPr="00BF4EBA">
        <w:rPr>
          <w:noProof/>
          <w:lang w:eastAsia="en-AU"/>
        </w:rPr>
        <w:drawing>
          <wp:inline distT="0" distB="0" distL="0" distR="0">
            <wp:extent cx="4933950" cy="1320717"/>
            <wp:effectExtent l="19050" t="0" r="0" b="0"/>
            <wp:docPr id="13" name="Picture 1" descr="Table 29. Ongoing studies-Xiaflex in the treatment of Dupuytren’s cont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duotone>
                        <a:prstClr val="black"/>
                        <a:schemeClr val="bg1">
                          <a:tint val="45000"/>
                          <a:satMod val="400000"/>
                        </a:schemeClr>
                      </a:duotone>
                    </a:blip>
                    <a:srcRect/>
                    <a:stretch>
                      <a:fillRect/>
                    </a:stretch>
                  </pic:blipFill>
                  <pic:spPr bwMode="auto">
                    <a:xfrm>
                      <a:off x="0" y="0"/>
                      <a:ext cx="4933950" cy="1320717"/>
                    </a:xfrm>
                    <a:prstGeom prst="rect">
                      <a:avLst/>
                    </a:prstGeom>
                    <a:noFill/>
                    <a:ln w="9525">
                      <a:noFill/>
                      <a:miter lim="800000"/>
                      <a:headEnd/>
                      <a:tailEnd/>
                    </a:ln>
                  </pic:spPr>
                </pic:pic>
              </a:graphicData>
            </a:graphic>
          </wp:inline>
        </w:drawing>
      </w:r>
    </w:p>
    <w:p w:rsidR="000D74B8" w:rsidRPr="000D74B8" w:rsidRDefault="000D74B8" w:rsidP="0092528A">
      <w:pPr>
        <w:pStyle w:val="TableDescription"/>
        <w:rPr>
          <w:lang w:eastAsia="ja-JP"/>
        </w:rPr>
      </w:pPr>
      <w:r w:rsidRPr="000D74B8">
        <w:rPr>
          <w:lang w:eastAsia="ja-JP"/>
        </w:rPr>
        <w:t>Q=quarter</w:t>
      </w:r>
    </w:p>
    <w:p w:rsidR="00BF4EBA" w:rsidRPr="0092528A" w:rsidRDefault="00BF4EBA" w:rsidP="0092528A">
      <w:pPr>
        <w:rPr>
          <w:b/>
          <w:lang w:eastAsia="ja-JP"/>
        </w:rPr>
      </w:pPr>
      <w:r w:rsidRPr="0092528A">
        <w:rPr>
          <w:b/>
          <w:lang w:eastAsia="ja-JP"/>
        </w:rPr>
        <w:t>Evaluator’s response:</w:t>
      </w:r>
    </w:p>
    <w:p w:rsidR="00BF4EBA" w:rsidRPr="00BF4EBA" w:rsidRDefault="00BF4EBA" w:rsidP="0092528A">
      <w:pPr>
        <w:rPr>
          <w:lang w:eastAsia="ja-JP"/>
        </w:rPr>
      </w:pPr>
      <w:r w:rsidRPr="00BF4EBA">
        <w:rPr>
          <w:lang w:eastAsia="ja-JP"/>
        </w:rPr>
        <w:t xml:space="preserve">This information is limited. Data should be provided </w:t>
      </w:r>
      <w:r w:rsidR="000D74B8">
        <w:rPr>
          <w:lang w:eastAsia="ja-JP"/>
        </w:rPr>
        <w:t xml:space="preserve">to the TGA </w:t>
      </w:r>
      <w:r w:rsidRPr="00BF4EBA">
        <w:rPr>
          <w:lang w:eastAsia="ja-JP"/>
        </w:rPr>
        <w:t>for evaluation when available.</w:t>
      </w:r>
    </w:p>
    <w:p w:rsidR="00BF4EBA" w:rsidRPr="00BF4EBA" w:rsidRDefault="00BF4EBA" w:rsidP="0092528A">
      <w:pPr>
        <w:pStyle w:val="Heading3"/>
      </w:pPr>
      <w:bookmarkStart w:id="333" w:name="_Toc353960316"/>
      <w:bookmarkStart w:id="334" w:name="_Toc374966989"/>
      <w:r w:rsidRPr="00BF4EBA">
        <w:t>Safety</w:t>
      </w:r>
      <w:bookmarkEnd w:id="333"/>
      <w:bookmarkEnd w:id="334"/>
    </w:p>
    <w:p w:rsidR="00BF4EBA" w:rsidRPr="00B6387D" w:rsidRDefault="00BF4EBA" w:rsidP="00B6387D">
      <w:pPr>
        <w:pStyle w:val="Numberbullet0"/>
        <w:numPr>
          <w:ilvl w:val="0"/>
          <w:numId w:val="48"/>
        </w:numPr>
        <w:rPr>
          <w:b/>
          <w:i/>
          <w:lang w:eastAsia="ja-JP"/>
        </w:rPr>
      </w:pPr>
      <w:r w:rsidRPr="00B6387D">
        <w:rPr>
          <w:b/>
          <w:i/>
          <w:lang w:eastAsia="ja-JP"/>
        </w:rPr>
        <w:t>The dossier included an interim report for</w:t>
      </w:r>
      <w:r w:rsidR="00CD48FD" w:rsidRPr="00B6387D">
        <w:rPr>
          <w:b/>
          <w:i/>
          <w:lang w:eastAsia="ja-JP"/>
        </w:rPr>
        <w:t xml:space="preserve"> Study AUX</w:t>
      </w:r>
      <w:r w:rsidRPr="00B6387D">
        <w:rPr>
          <w:b/>
          <w:i/>
          <w:lang w:eastAsia="ja-JP"/>
        </w:rPr>
        <w:t>-CC</w:t>
      </w:r>
      <w:r w:rsidR="000D74B8" w:rsidRPr="00B6387D">
        <w:rPr>
          <w:b/>
          <w:i/>
          <w:lang w:eastAsia="ja-JP"/>
        </w:rPr>
        <w:t>-860 which summarised data for Y</w:t>
      </w:r>
      <w:r w:rsidRPr="00B6387D">
        <w:rPr>
          <w:b/>
          <w:i/>
          <w:lang w:eastAsia="ja-JP"/>
        </w:rPr>
        <w:t xml:space="preserve">ear 2. This included data up to April 2010. Given it is now the end of 2012, data should be available for the </w:t>
      </w:r>
      <w:r w:rsidR="000D74B8" w:rsidRPr="00B6387D">
        <w:rPr>
          <w:b/>
          <w:i/>
          <w:lang w:eastAsia="ja-JP"/>
        </w:rPr>
        <w:t>Year 3, and even Y</w:t>
      </w:r>
      <w:r w:rsidRPr="00B6387D">
        <w:rPr>
          <w:b/>
          <w:i/>
          <w:lang w:eastAsia="ja-JP"/>
        </w:rPr>
        <w:t xml:space="preserve">ear 4, of the follow up. This data should be submitted </w:t>
      </w:r>
      <w:r w:rsidR="000D74B8" w:rsidRPr="00B6387D">
        <w:rPr>
          <w:b/>
          <w:i/>
          <w:lang w:eastAsia="ja-JP"/>
        </w:rPr>
        <w:t xml:space="preserve">to the TGA </w:t>
      </w:r>
      <w:r w:rsidRPr="00B6387D">
        <w:rPr>
          <w:b/>
          <w:i/>
          <w:lang w:eastAsia="ja-JP"/>
        </w:rPr>
        <w:t>for evaluation so that further assessment of long term safety can be made. Discuss any data and associated risks in subjects who may have had surgery on previously treated cords.</w:t>
      </w:r>
    </w:p>
    <w:p w:rsidR="00BF4EBA" w:rsidRPr="00BF4EBA" w:rsidRDefault="00BF4EBA" w:rsidP="00BF4EBA">
      <w:pPr>
        <w:rPr>
          <w:b/>
          <w:lang w:eastAsia="ja-JP"/>
        </w:rPr>
      </w:pPr>
      <w:r w:rsidRPr="00BF4EBA">
        <w:rPr>
          <w:b/>
          <w:lang w:eastAsia="ja-JP"/>
        </w:rPr>
        <w:t>Sponsor’s response:</w:t>
      </w:r>
    </w:p>
    <w:p w:rsidR="00BF4EBA" w:rsidRPr="00BF4EBA" w:rsidRDefault="008208D2" w:rsidP="00BF4EBA">
      <w:pPr>
        <w:rPr>
          <w:lang w:eastAsia="ja-JP"/>
        </w:rPr>
      </w:pPr>
      <w:r>
        <w:rPr>
          <w:lang w:eastAsia="ja-JP"/>
        </w:rPr>
        <w:t>The sponsor</w:t>
      </w:r>
      <w:r w:rsidR="00BF4EBA" w:rsidRPr="00BF4EBA">
        <w:rPr>
          <w:lang w:eastAsia="ja-JP"/>
        </w:rPr>
        <w:t xml:space="preserve"> quoted three abstracts presented at conferences which reported that post </w:t>
      </w:r>
      <w:proofErr w:type="spellStart"/>
      <w:r w:rsidR="00BF4EBA" w:rsidRPr="00BF4EBA">
        <w:rPr>
          <w:lang w:eastAsia="ja-JP"/>
        </w:rPr>
        <w:t>Xiaflex</w:t>
      </w:r>
      <w:proofErr w:type="spellEnd"/>
      <w:r w:rsidR="00BF4EBA" w:rsidRPr="00BF4EBA">
        <w:rPr>
          <w:lang w:eastAsia="ja-JP"/>
        </w:rPr>
        <w:t xml:space="preserve"> injection there was “no significant distortion of anatomy”, “a reduction in cord volume” and cords were “histologically similar” and “surgery was not found to be difficult during </w:t>
      </w:r>
      <w:proofErr w:type="spellStart"/>
      <w:r w:rsidR="00BF4EBA" w:rsidRPr="00BF4EBA">
        <w:rPr>
          <w:lang w:eastAsia="ja-JP"/>
        </w:rPr>
        <w:t>fascietomy</w:t>
      </w:r>
      <w:proofErr w:type="spellEnd"/>
      <w:r w:rsidR="00BF4EBA" w:rsidRPr="00BF4EBA">
        <w:rPr>
          <w:lang w:eastAsia="ja-JP"/>
        </w:rPr>
        <w:t xml:space="preserve"> performed after </w:t>
      </w:r>
      <w:proofErr w:type="spellStart"/>
      <w:r w:rsidR="00BF4EBA" w:rsidRPr="00BF4EBA">
        <w:rPr>
          <w:lang w:eastAsia="ja-JP"/>
        </w:rPr>
        <w:t>collagenase</w:t>
      </w:r>
      <w:proofErr w:type="spellEnd"/>
      <w:r w:rsidR="00BF4EBA" w:rsidRPr="00BF4EBA">
        <w:rPr>
          <w:lang w:eastAsia="ja-JP"/>
        </w:rPr>
        <w:t xml:space="preserve"> injections”.</w:t>
      </w:r>
    </w:p>
    <w:p w:rsidR="00BF4EBA" w:rsidRPr="00BF4EBA" w:rsidRDefault="00BF4EBA" w:rsidP="00BF4EBA">
      <w:pPr>
        <w:rPr>
          <w:lang w:eastAsia="ja-JP"/>
        </w:rPr>
      </w:pPr>
      <w:r w:rsidRPr="00BF4EBA">
        <w:rPr>
          <w:lang w:eastAsia="ja-JP"/>
        </w:rPr>
        <w:t>The safety data from</w:t>
      </w:r>
      <w:r w:rsidR="00CD48FD">
        <w:rPr>
          <w:lang w:eastAsia="ja-JP"/>
        </w:rPr>
        <w:t xml:space="preserve"> Study AUX</w:t>
      </w:r>
      <w:r w:rsidRPr="00BF4EBA">
        <w:rPr>
          <w:lang w:eastAsia="ja-JP"/>
        </w:rPr>
        <w:t xml:space="preserve">-CC-860 at year 4 did not report on any issues relating to surgery of previously treated cords. Of the 644 subjects enrolled in this study, 48 received at least one injection of commercially available </w:t>
      </w:r>
      <w:proofErr w:type="spellStart"/>
      <w:r w:rsidRPr="00BF4EBA">
        <w:rPr>
          <w:lang w:eastAsia="ja-JP"/>
        </w:rPr>
        <w:t>Xiaflex</w:t>
      </w:r>
      <w:proofErr w:type="spellEnd"/>
      <w:r w:rsidRPr="00BF4EBA">
        <w:rPr>
          <w:lang w:eastAsia="ja-JP"/>
        </w:rPr>
        <w:t xml:space="preserve">. In these subjects the rate of injection site haematoma and injection site oedema was 12.5% and 10.4%, respectively. In the overall study population, there were eight deaths and 81 subjects with at least one non-fatal SAE, none of which were attributed to study drug. </w:t>
      </w:r>
    </w:p>
    <w:p w:rsidR="00BF4EBA" w:rsidRPr="00BF4EBA" w:rsidRDefault="00BF4EBA" w:rsidP="00BF4EBA">
      <w:pPr>
        <w:rPr>
          <w:lang w:eastAsia="ja-JP"/>
        </w:rPr>
      </w:pPr>
      <w:r w:rsidRPr="00BF4EBA">
        <w:rPr>
          <w:lang w:eastAsia="ja-JP"/>
        </w:rPr>
        <w:lastRenderedPageBreak/>
        <w:t xml:space="preserve">Anti-drug antibodies were measured at </w:t>
      </w:r>
      <w:r w:rsidR="000D74B8">
        <w:rPr>
          <w:lang w:eastAsia="ja-JP"/>
        </w:rPr>
        <w:t>Y</w:t>
      </w:r>
      <w:r w:rsidRPr="00BF4EBA">
        <w:rPr>
          <w:lang w:eastAsia="ja-JP"/>
        </w:rPr>
        <w:t xml:space="preserve">ear 4 follow up and while the mean log titres for AUX-I and AUX-II had decreased somewhat by </w:t>
      </w:r>
      <w:r w:rsidR="000D74B8">
        <w:rPr>
          <w:lang w:eastAsia="ja-JP"/>
        </w:rPr>
        <w:t>Y</w:t>
      </w:r>
      <w:r w:rsidRPr="00BF4EBA">
        <w:rPr>
          <w:lang w:eastAsia="ja-JP"/>
        </w:rPr>
        <w:t>ear 3 the levels at</w:t>
      </w:r>
      <w:r w:rsidR="000D74B8">
        <w:rPr>
          <w:lang w:eastAsia="ja-JP"/>
        </w:rPr>
        <w:t xml:space="preserve"> Y</w:t>
      </w:r>
      <w:r w:rsidRPr="00BF4EBA">
        <w:rPr>
          <w:lang w:eastAsia="ja-JP"/>
        </w:rPr>
        <w:t xml:space="preserve">ear 4 were similar to </w:t>
      </w:r>
      <w:r w:rsidR="000D74B8">
        <w:rPr>
          <w:lang w:eastAsia="ja-JP"/>
        </w:rPr>
        <w:t>Y</w:t>
      </w:r>
      <w:r w:rsidRPr="00BF4EBA">
        <w:rPr>
          <w:lang w:eastAsia="ja-JP"/>
        </w:rPr>
        <w:t xml:space="preserve">ear 3 </w:t>
      </w:r>
      <w:r w:rsidRPr="0067444B">
        <w:rPr>
          <w:lang w:eastAsia="ja-JP"/>
        </w:rPr>
        <w:t>(Figure</w:t>
      </w:r>
      <w:r w:rsidR="00CA7912" w:rsidRPr="0067444B">
        <w:rPr>
          <w:lang w:eastAsia="ja-JP"/>
        </w:rPr>
        <w:t>s 16 and 17</w:t>
      </w:r>
      <w:r w:rsidRPr="0067444B">
        <w:rPr>
          <w:lang w:eastAsia="ja-JP"/>
        </w:rPr>
        <w:t>). By year 4</w:t>
      </w:r>
      <w:r w:rsidRPr="00BF4EBA">
        <w:rPr>
          <w:lang w:eastAsia="ja-JP"/>
        </w:rPr>
        <w:t>, 14.6% of subjects who had received one injection were seronegative (for AUX-I and for AUX-II) while for those who had received 2 injections only 1.9% and 1.0% were seronegative for AUX-I and AUX-II, respectively. In those who received 3 or more injections, all except one subject remained seropositive.</w:t>
      </w:r>
    </w:p>
    <w:p w:rsidR="00BF4EBA" w:rsidRPr="00BF4EBA" w:rsidRDefault="00BF4EBA" w:rsidP="00BF4EBA">
      <w:pPr>
        <w:rPr>
          <w:b/>
          <w:lang w:eastAsia="ja-JP"/>
        </w:rPr>
      </w:pPr>
      <w:r w:rsidRPr="00BF4EBA">
        <w:rPr>
          <w:b/>
          <w:lang w:eastAsia="ja-JP"/>
        </w:rPr>
        <w:t>Evaluator’s response:</w:t>
      </w:r>
    </w:p>
    <w:p w:rsidR="00BF4EBA" w:rsidRDefault="00BF4EBA" w:rsidP="00BF4EBA">
      <w:pPr>
        <w:rPr>
          <w:lang w:eastAsia="ja-JP"/>
        </w:rPr>
      </w:pPr>
      <w:r w:rsidRPr="00BF4EBA">
        <w:rPr>
          <w:lang w:eastAsia="ja-JP"/>
        </w:rPr>
        <w:t>Potential risks in subjects who have surgery on previously treated cords have not been defined. Anti-drug antibodies remain present 4 years after treatment in the vast majority of subjects irrespective of the number of injections received.</w:t>
      </w:r>
    </w:p>
    <w:p w:rsidR="000D74B8" w:rsidRPr="000D74B8" w:rsidRDefault="000D74B8" w:rsidP="00BA39D1">
      <w:pPr>
        <w:pStyle w:val="FigureTitle"/>
        <w:rPr>
          <w:lang w:eastAsia="ja-JP"/>
        </w:rPr>
      </w:pPr>
      <w:bookmarkStart w:id="335" w:name="_Ref353960183"/>
      <w:bookmarkStart w:id="336" w:name="_Toc353960413"/>
      <w:r w:rsidRPr="000D74B8">
        <w:rPr>
          <w:lang w:eastAsia="ja-JP"/>
        </w:rPr>
        <w:t xml:space="preserve">Figure </w:t>
      </w:r>
      <w:bookmarkEnd w:id="335"/>
      <w:bookmarkEnd w:id="336"/>
      <w:r w:rsidR="00CA7912">
        <w:rPr>
          <w:lang w:eastAsia="ja-JP"/>
        </w:rPr>
        <w:t>16</w:t>
      </w:r>
      <w:r>
        <w:rPr>
          <w:lang w:eastAsia="ja-JP"/>
        </w:rPr>
        <w:t>. Mean log Anti-AUX-I titers at the First positive sample, the Maximum sample, and Year 4 sample relative to the Last injection (Day 0) by Injection cohort.</w:t>
      </w:r>
    </w:p>
    <w:p w:rsidR="000D74B8" w:rsidRPr="000D74B8" w:rsidRDefault="000D74B8" w:rsidP="00BA39D1">
      <w:pPr>
        <w:rPr>
          <w:lang w:eastAsia="ja-JP"/>
        </w:rPr>
      </w:pPr>
      <w:r w:rsidRPr="000D74B8">
        <w:rPr>
          <w:noProof/>
          <w:lang w:eastAsia="en-AU"/>
        </w:rPr>
        <w:drawing>
          <wp:inline distT="0" distB="0" distL="0" distR="0">
            <wp:extent cx="5776428" cy="3248025"/>
            <wp:effectExtent l="19050" t="0" r="0" b="0"/>
            <wp:docPr id="26" name="Picture 157" descr="Figure 16. Mean log Anti-AUX-I titers at the First positive sample, the Maximum sample, and Year 4 sample relative to the Last injection (Day 0) by Inject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cstate="print">
                      <a:duotone>
                        <a:prstClr val="black"/>
                        <a:schemeClr val="bg1">
                          <a:tint val="45000"/>
                          <a:satMod val="400000"/>
                        </a:schemeClr>
                      </a:duotone>
                    </a:blip>
                    <a:srcRect l="804" t="1685" r="3623" b="4494"/>
                    <a:stretch>
                      <a:fillRect/>
                    </a:stretch>
                  </pic:blipFill>
                  <pic:spPr bwMode="auto">
                    <a:xfrm>
                      <a:off x="0" y="0"/>
                      <a:ext cx="5776428" cy="3248025"/>
                    </a:xfrm>
                    <a:prstGeom prst="rect">
                      <a:avLst/>
                    </a:prstGeom>
                    <a:noFill/>
                    <a:ln w="9525">
                      <a:noFill/>
                      <a:miter lim="800000"/>
                      <a:headEnd/>
                      <a:tailEnd/>
                    </a:ln>
                  </pic:spPr>
                </pic:pic>
              </a:graphicData>
            </a:graphic>
          </wp:inline>
        </w:drawing>
      </w:r>
    </w:p>
    <w:p w:rsidR="00CA7912" w:rsidRPr="000D74B8" w:rsidRDefault="000D74B8" w:rsidP="00BA39D1">
      <w:pPr>
        <w:pStyle w:val="FigureTitle"/>
        <w:rPr>
          <w:lang w:eastAsia="ja-JP"/>
        </w:rPr>
      </w:pPr>
      <w:bookmarkStart w:id="337" w:name="_Ref353960186"/>
      <w:bookmarkStart w:id="338" w:name="_Toc353960414"/>
      <w:r w:rsidRPr="000D74B8">
        <w:rPr>
          <w:lang w:eastAsia="ja-JP"/>
        </w:rPr>
        <w:lastRenderedPageBreak/>
        <w:t xml:space="preserve">Figure </w:t>
      </w:r>
      <w:bookmarkEnd w:id="337"/>
      <w:bookmarkEnd w:id="338"/>
      <w:r w:rsidR="00CA7912">
        <w:rPr>
          <w:lang w:eastAsia="ja-JP"/>
        </w:rPr>
        <w:t>17. Mean log Anti-AUX-II titers at the First positive sample, the Maximum sample, and Year 4 sample relative to the Last injection (Day 0) by Injection cohort.</w:t>
      </w:r>
    </w:p>
    <w:p w:rsidR="000D74B8" w:rsidRPr="00BF4EBA" w:rsidRDefault="000D74B8" w:rsidP="00BA39D1">
      <w:pPr>
        <w:rPr>
          <w:lang w:eastAsia="ja-JP"/>
        </w:rPr>
      </w:pPr>
      <w:r w:rsidRPr="000D74B8">
        <w:rPr>
          <w:noProof/>
          <w:lang w:eastAsia="en-AU"/>
        </w:rPr>
        <w:drawing>
          <wp:inline distT="0" distB="0" distL="0" distR="0">
            <wp:extent cx="5810250" cy="3286125"/>
            <wp:effectExtent l="19050" t="0" r="0" b="0"/>
            <wp:docPr id="31" name="Picture 159" descr="Figure 17. Mean log Anti-AUX-II titers at the First positive sample, the Maximum sample, and Year 4 sample relative to the Last injection (Day 0) by Inject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 cstate="print">
                      <a:duotone>
                        <a:prstClr val="black"/>
                        <a:schemeClr val="bg1">
                          <a:tint val="45000"/>
                          <a:satMod val="400000"/>
                        </a:schemeClr>
                      </a:duotone>
                    </a:blip>
                    <a:srcRect t="1989" r="1706"/>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BF4EBA" w:rsidRPr="00BA39D1" w:rsidRDefault="00BF4EBA" w:rsidP="00BA39D1">
      <w:pPr>
        <w:pStyle w:val="Numberbullet0"/>
        <w:rPr>
          <w:b/>
          <w:i/>
          <w:lang w:eastAsia="ja-JP"/>
        </w:rPr>
      </w:pPr>
      <w:r w:rsidRPr="00BA39D1">
        <w:rPr>
          <w:b/>
          <w:i/>
          <w:lang w:eastAsia="ja-JP"/>
        </w:rPr>
        <w:t xml:space="preserve">The dossier included the protocol of study B1531002 sponsored by Pfizer. It is stated to be a prospective open label </w:t>
      </w:r>
      <w:r w:rsidR="00F560BE" w:rsidRPr="00BA39D1">
        <w:rPr>
          <w:b/>
          <w:i/>
          <w:lang w:eastAsia="ja-JP"/>
        </w:rPr>
        <w:t>Phase I</w:t>
      </w:r>
      <w:r w:rsidRPr="00BA39D1">
        <w:rPr>
          <w:b/>
          <w:i/>
          <w:lang w:eastAsia="ja-JP"/>
        </w:rPr>
        <w:t>II study in 250 European subjects. What is the status of this study? Are there any relevant safety data that are available and should be disclosed? Comment on these data in relation to the safety profile reported in this dossier.</w:t>
      </w:r>
    </w:p>
    <w:p w:rsidR="00BF4EBA" w:rsidRPr="009D0631" w:rsidRDefault="00BF4EBA" w:rsidP="009D0631">
      <w:pPr>
        <w:rPr>
          <w:b/>
          <w:lang w:eastAsia="ja-JP"/>
        </w:rPr>
      </w:pPr>
      <w:r w:rsidRPr="009D0631">
        <w:rPr>
          <w:b/>
          <w:lang w:eastAsia="ja-JP"/>
        </w:rPr>
        <w:t>Sponsor’s response:</w:t>
      </w:r>
    </w:p>
    <w:p w:rsidR="00BF4EBA" w:rsidRPr="00CA7912" w:rsidRDefault="00CA7912" w:rsidP="009D0631">
      <w:pPr>
        <w:rPr>
          <w:lang w:eastAsia="ja-JP"/>
        </w:rPr>
      </w:pPr>
      <w:r>
        <w:rPr>
          <w:lang w:eastAsia="ja-JP"/>
        </w:rPr>
        <w:t>This Phase III</w:t>
      </w:r>
      <w:r w:rsidR="00BF4EBA" w:rsidRPr="00CA7912">
        <w:rPr>
          <w:lang w:eastAsia="ja-JP"/>
        </w:rPr>
        <w:t xml:space="preserve">b study remains ongoing. This multi-center study has 2 phases: The first is an open-label treatment phase (up to 5 months in </w:t>
      </w:r>
      <w:r>
        <w:rPr>
          <w:lang w:eastAsia="ja-JP"/>
        </w:rPr>
        <w:t xml:space="preserve">duration) and the second is a 6 </w:t>
      </w:r>
      <w:r w:rsidR="00BF4EBA" w:rsidRPr="00CA7912">
        <w:rPr>
          <w:lang w:eastAsia="ja-JP"/>
        </w:rPr>
        <w:t>month follow-up phase. To date, a total of 254 subjects have been treated. No new safety risks have been identified from this ongoing study.</w:t>
      </w:r>
    </w:p>
    <w:p w:rsidR="00BF4EBA" w:rsidRPr="009D0631" w:rsidRDefault="00BF4EBA" w:rsidP="009D0631">
      <w:pPr>
        <w:rPr>
          <w:b/>
          <w:lang w:eastAsia="ja-JP"/>
        </w:rPr>
      </w:pPr>
      <w:r w:rsidRPr="009D0631">
        <w:rPr>
          <w:b/>
          <w:lang w:eastAsia="ja-JP"/>
        </w:rPr>
        <w:t>Evaluator’s response:</w:t>
      </w:r>
    </w:p>
    <w:p w:rsidR="00BF4EBA" w:rsidRPr="00BF4EBA" w:rsidRDefault="00BF4EBA" w:rsidP="009D0631">
      <w:pPr>
        <w:rPr>
          <w:lang w:eastAsia="ja-JP"/>
        </w:rPr>
      </w:pPr>
      <w:r w:rsidRPr="00BF4EBA">
        <w:rPr>
          <w:lang w:eastAsia="ja-JP"/>
        </w:rPr>
        <w:t xml:space="preserve">Data should be provided </w:t>
      </w:r>
      <w:r w:rsidR="00CA7912">
        <w:rPr>
          <w:lang w:eastAsia="ja-JP"/>
        </w:rPr>
        <w:t xml:space="preserve">to the TGA </w:t>
      </w:r>
      <w:r w:rsidRPr="00BF4EBA">
        <w:rPr>
          <w:lang w:eastAsia="ja-JP"/>
        </w:rPr>
        <w:t>when available.</w:t>
      </w:r>
    </w:p>
    <w:p w:rsidR="00BF4EBA" w:rsidRPr="009D0631" w:rsidRDefault="00BF4EBA" w:rsidP="009D0631">
      <w:pPr>
        <w:pStyle w:val="Numberbullet0"/>
        <w:rPr>
          <w:b/>
          <w:i/>
          <w:lang w:eastAsia="ja-JP"/>
        </w:rPr>
      </w:pPr>
      <w:r w:rsidRPr="009D0631">
        <w:rPr>
          <w:b/>
          <w:i/>
          <w:lang w:eastAsia="ja-JP"/>
        </w:rPr>
        <w:t xml:space="preserve">The dossier also made reference to a post-approval study in the US, AUX-CC-861. The study was stated to be an open label study assessing the safety, tolerability and pharmacokinetics of two concurrent doses of AA4500 0.58 mg in the same hand of subjects with </w:t>
      </w:r>
      <w:proofErr w:type="spellStart"/>
      <w:r w:rsidRPr="009D0631">
        <w:rPr>
          <w:b/>
          <w:i/>
          <w:lang w:eastAsia="ja-JP"/>
        </w:rPr>
        <w:t>Dupuytren's</w:t>
      </w:r>
      <w:proofErr w:type="spellEnd"/>
      <w:r w:rsidRPr="009D0631">
        <w:rPr>
          <w:b/>
          <w:i/>
          <w:lang w:eastAsia="ja-JP"/>
        </w:rPr>
        <w:t xml:space="preserve"> contractures and a palpable cord. What is the status of this study? Are there data which should be submitted for evaluation? Again, comment on these data in relation to the safety profile reported in this dossier.</w:t>
      </w:r>
    </w:p>
    <w:p w:rsidR="00BF4EBA" w:rsidRPr="009D0631" w:rsidRDefault="00BF4EBA" w:rsidP="009D0631">
      <w:pPr>
        <w:rPr>
          <w:b/>
          <w:lang w:eastAsia="ja-JP"/>
        </w:rPr>
      </w:pPr>
      <w:r w:rsidRPr="009D0631">
        <w:rPr>
          <w:b/>
          <w:lang w:eastAsia="ja-JP"/>
        </w:rPr>
        <w:t>Sponsor’s response:</w:t>
      </w:r>
    </w:p>
    <w:p w:rsidR="00BF4EBA" w:rsidRPr="00BF4EBA" w:rsidRDefault="008208D2" w:rsidP="009D0631">
      <w:pPr>
        <w:rPr>
          <w:lang w:eastAsia="ja-JP"/>
        </w:rPr>
      </w:pPr>
      <w:r>
        <w:rPr>
          <w:lang w:eastAsia="ja-JP"/>
        </w:rPr>
        <w:t>The sponsor</w:t>
      </w:r>
      <w:r w:rsidR="00BF4EBA" w:rsidRPr="00BF4EBA">
        <w:rPr>
          <w:lang w:eastAsia="ja-JP"/>
        </w:rPr>
        <w:t xml:space="preserve"> provided a synopsis of this study and stated that the </w:t>
      </w:r>
      <w:r w:rsidR="00BF4EBA" w:rsidRPr="009D0631">
        <w:rPr>
          <w:i/>
          <w:lang w:eastAsia="ja-JP"/>
        </w:rPr>
        <w:t xml:space="preserve">study was conducted as part of an ongoing development program to evaluate the safety and efficacy of two concurrent injections of </w:t>
      </w:r>
      <w:proofErr w:type="spellStart"/>
      <w:r w:rsidR="00BF4EBA" w:rsidRPr="009D0631">
        <w:rPr>
          <w:i/>
          <w:lang w:eastAsia="ja-JP"/>
        </w:rPr>
        <w:t>Xiaflex</w:t>
      </w:r>
      <w:proofErr w:type="spellEnd"/>
      <w:r w:rsidR="00BF4EBA" w:rsidRPr="009D0631">
        <w:rPr>
          <w:i/>
          <w:lang w:eastAsia="ja-JP"/>
        </w:rPr>
        <w:t xml:space="preserve"> into multiple cords in the same hand. The safety data from this study indicate that the safety profile of </w:t>
      </w:r>
      <w:proofErr w:type="spellStart"/>
      <w:r w:rsidR="00BF4EBA" w:rsidRPr="009D0631">
        <w:rPr>
          <w:i/>
          <w:lang w:eastAsia="ja-JP"/>
        </w:rPr>
        <w:t>Xiaflex</w:t>
      </w:r>
      <w:proofErr w:type="spellEnd"/>
      <w:r w:rsidR="00BF4EBA" w:rsidRPr="009D0631">
        <w:rPr>
          <w:i/>
          <w:lang w:eastAsia="ja-JP"/>
        </w:rPr>
        <w:t xml:space="preserve"> after two concurrent injections is similar to that reported after a single injection and no new safety issues were found</w:t>
      </w:r>
      <w:r w:rsidR="00BF4EBA" w:rsidRPr="00BF4EBA">
        <w:rPr>
          <w:lang w:eastAsia="ja-JP"/>
        </w:rPr>
        <w:t>.</w:t>
      </w:r>
    </w:p>
    <w:p w:rsidR="00BF4EBA" w:rsidRPr="00BF4EBA" w:rsidRDefault="00BF4EBA" w:rsidP="009D0631">
      <w:pPr>
        <w:rPr>
          <w:lang w:eastAsia="ja-JP"/>
        </w:rPr>
      </w:pPr>
      <w:r w:rsidRPr="00BF4EBA">
        <w:rPr>
          <w:lang w:eastAsia="ja-JP"/>
        </w:rPr>
        <w:t xml:space="preserve">The study enrolled 12 subjects with at least 3 </w:t>
      </w:r>
      <w:proofErr w:type="spellStart"/>
      <w:r w:rsidRPr="00BF4EBA">
        <w:rPr>
          <w:lang w:eastAsia="ja-JP"/>
        </w:rPr>
        <w:t>Dupuytren’s</w:t>
      </w:r>
      <w:proofErr w:type="spellEnd"/>
      <w:r w:rsidRPr="00BF4EBA">
        <w:rPr>
          <w:lang w:eastAsia="ja-JP"/>
        </w:rPr>
        <w:t xml:space="preserve"> contractures and one cord was treated in the first period and 2 cords concurrently treated in the second period. There were no discontinuations due to AEs and no SAEs related to study drug reported.</w:t>
      </w:r>
    </w:p>
    <w:p w:rsidR="00BF4EBA" w:rsidRPr="00177659" w:rsidRDefault="00BF4EBA" w:rsidP="00177659">
      <w:pPr>
        <w:rPr>
          <w:b/>
          <w:lang w:eastAsia="ja-JP"/>
        </w:rPr>
      </w:pPr>
      <w:r w:rsidRPr="00177659">
        <w:rPr>
          <w:b/>
          <w:lang w:eastAsia="ja-JP"/>
        </w:rPr>
        <w:lastRenderedPageBreak/>
        <w:t>Evaluator’s response:</w:t>
      </w:r>
    </w:p>
    <w:p w:rsidR="00BF4EBA" w:rsidRPr="00BF4EBA" w:rsidRDefault="00BF4EBA" w:rsidP="00177659">
      <w:pPr>
        <w:rPr>
          <w:lang w:eastAsia="ja-JP"/>
        </w:rPr>
      </w:pPr>
      <w:r w:rsidRPr="00BF4EBA">
        <w:rPr>
          <w:lang w:eastAsia="ja-JP"/>
        </w:rPr>
        <w:t>Without the full clinical study report, conclusions on the relative safety of concurrent treatment of two cords cannot be made.</w:t>
      </w:r>
    </w:p>
    <w:p w:rsidR="00BF4EBA" w:rsidRPr="00177659" w:rsidRDefault="00BF4EBA" w:rsidP="00177659">
      <w:pPr>
        <w:pStyle w:val="Numberbullet0"/>
        <w:rPr>
          <w:b/>
          <w:i/>
          <w:lang w:eastAsia="ja-JP"/>
        </w:rPr>
      </w:pPr>
      <w:r w:rsidRPr="00177659">
        <w:rPr>
          <w:b/>
          <w:i/>
          <w:lang w:eastAsia="ja-JP"/>
        </w:rPr>
        <w:t>Why is the reconstituted dose so much greater than needed (0.9 mg for a dose of 0.58 mg)? This would appear to lead to possibility for overdos</w:t>
      </w:r>
      <w:r w:rsidR="00CA7912" w:rsidRPr="00177659">
        <w:rPr>
          <w:b/>
          <w:i/>
          <w:lang w:eastAsia="ja-JP"/>
        </w:rPr>
        <w:t>ing</w:t>
      </w:r>
      <w:r w:rsidRPr="00177659">
        <w:rPr>
          <w:b/>
          <w:i/>
          <w:lang w:eastAsia="ja-JP"/>
        </w:rPr>
        <w:t xml:space="preserve"> if too much volume is drawn up and injected. Discuss the rationale behind this decision.</w:t>
      </w:r>
    </w:p>
    <w:p w:rsidR="00BF4EBA" w:rsidRPr="007117A2" w:rsidRDefault="00BF4EBA" w:rsidP="007117A2">
      <w:pPr>
        <w:rPr>
          <w:b/>
          <w:lang w:eastAsia="ja-JP"/>
        </w:rPr>
      </w:pPr>
      <w:r w:rsidRPr="007117A2">
        <w:rPr>
          <w:b/>
          <w:lang w:eastAsia="ja-JP"/>
        </w:rPr>
        <w:t>Sponsor’s response:</w:t>
      </w:r>
    </w:p>
    <w:p w:rsidR="00BF4EBA" w:rsidRPr="00BF4EBA" w:rsidRDefault="008208D2" w:rsidP="007117A2">
      <w:pPr>
        <w:rPr>
          <w:lang w:eastAsia="ja-JP"/>
        </w:rPr>
      </w:pPr>
      <w:r>
        <w:rPr>
          <w:lang w:eastAsia="ja-JP"/>
        </w:rPr>
        <w:t>The sponsor</w:t>
      </w:r>
      <w:r w:rsidR="00BF4EBA" w:rsidRPr="00BF4EBA">
        <w:rPr>
          <w:lang w:eastAsia="ja-JP"/>
        </w:rPr>
        <w:t xml:space="preserve"> conducted a study (reported as </w:t>
      </w:r>
      <w:r w:rsidR="00BF4EBA" w:rsidRPr="00BF4EBA">
        <w:rPr>
          <w:b/>
          <w:lang w:eastAsia="ja-JP"/>
        </w:rPr>
        <w:t>50-1-0004</w:t>
      </w:r>
      <w:r w:rsidR="00BF4EBA" w:rsidRPr="00BF4EBA">
        <w:rPr>
          <w:lang w:eastAsia="ja-JP"/>
        </w:rPr>
        <w:t xml:space="preserve"> and </w:t>
      </w:r>
      <w:r w:rsidR="00BF4EBA" w:rsidRPr="00BF4EBA">
        <w:rPr>
          <w:b/>
          <w:lang w:eastAsia="ja-JP"/>
        </w:rPr>
        <w:t>50-1-0005</w:t>
      </w:r>
      <w:r w:rsidR="00BF4EBA" w:rsidRPr="00BF4EBA">
        <w:rPr>
          <w:lang w:eastAsia="ja-JP"/>
        </w:rPr>
        <w:t xml:space="preserve">) which evaluated the volume of reconstituted </w:t>
      </w:r>
      <w:proofErr w:type="spellStart"/>
      <w:r w:rsidR="00BF4EBA" w:rsidRPr="00BF4EBA">
        <w:rPr>
          <w:lang w:eastAsia="ja-JP"/>
        </w:rPr>
        <w:t>Xiaflex</w:t>
      </w:r>
      <w:proofErr w:type="spellEnd"/>
      <w:r w:rsidR="00BF4EBA" w:rsidRPr="00BF4EBA">
        <w:rPr>
          <w:lang w:eastAsia="ja-JP"/>
        </w:rPr>
        <w:t xml:space="preserve"> drug product that could be withdrawn from the vial by a healthcare provider (HCP) after removal of the required dosing volume. The average remaining volume withdrawn from the vial after removal of the dosage volume for an MP joint was 0.08 mL (95% CI: 0.07 to 0.1 mL). The average remaining volume withdrawn from the vial after removal of the dosage volume for a PIP joint was 0.05 mL (95% CI: 0.04 to 0.06 mL). The worst case scenarios were 0.03 mL for MP and 0 mL for PIP joints.</w:t>
      </w:r>
    </w:p>
    <w:p w:rsidR="00BF4EBA" w:rsidRPr="00BF4EBA" w:rsidRDefault="008208D2" w:rsidP="007117A2">
      <w:pPr>
        <w:rPr>
          <w:lang w:eastAsia="ja-JP"/>
        </w:rPr>
      </w:pPr>
      <w:r>
        <w:rPr>
          <w:lang w:eastAsia="ja-JP"/>
        </w:rPr>
        <w:t>The sponsor</w:t>
      </w:r>
      <w:r w:rsidR="00BF4EBA" w:rsidRPr="00BF4EBA">
        <w:rPr>
          <w:lang w:eastAsia="ja-JP"/>
        </w:rPr>
        <w:t xml:space="preserve"> stated that </w:t>
      </w:r>
      <w:r w:rsidR="00BF4EBA" w:rsidRPr="007117A2">
        <w:rPr>
          <w:i/>
          <w:lang w:eastAsia="ja-JP"/>
        </w:rPr>
        <w:t xml:space="preserve">these results demonstrate that the overage in the vial is necessary to allow an HCP to comfortably remove a dose from the vial and establish that 0.9 mg is the minimal amount of </w:t>
      </w:r>
      <w:proofErr w:type="spellStart"/>
      <w:r w:rsidR="00BF4EBA" w:rsidRPr="007117A2">
        <w:rPr>
          <w:i/>
          <w:lang w:eastAsia="ja-JP"/>
        </w:rPr>
        <w:t>collagenase</w:t>
      </w:r>
      <w:proofErr w:type="spellEnd"/>
      <w:r w:rsidR="00BF4EBA" w:rsidRPr="007117A2">
        <w:rPr>
          <w:i/>
          <w:lang w:eastAsia="ja-JP"/>
        </w:rPr>
        <w:t xml:space="preserve"> clostridium </w:t>
      </w:r>
      <w:proofErr w:type="spellStart"/>
      <w:r w:rsidR="00BF4EBA" w:rsidRPr="007117A2">
        <w:rPr>
          <w:i/>
          <w:lang w:eastAsia="ja-JP"/>
        </w:rPr>
        <w:t>histolyticum</w:t>
      </w:r>
      <w:proofErr w:type="spellEnd"/>
      <w:r w:rsidR="00BF4EBA" w:rsidRPr="007117A2">
        <w:rPr>
          <w:i/>
          <w:lang w:eastAsia="ja-JP"/>
        </w:rPr>
        <w:t xml:space="preserve"> per vial required to permit withdrawal of the appropriate dosage volume</w:t>
      </w:r>
      <w:r w:rsidR="00BF4EBA" w:rsidRPr="00BF4EBA">
        <w:rPr>
          <w:lang w:eastAsia="ja-JP"/>
        </w:rPr>
        <w:t>.</w:t>
      </w:r>
    </w:p>
    <w:p w:rsidR="00BF4EBA" w:rsidRPr="007117A2" w:rsidRDefault="00BF4EBA" w:rsidP="007117A2">
      <w:pPr>
        <w:rPr>
          <w:b/>
          <w:lang w:eastAsia="ja-JP"/>
        </w:rPr>
      </w:pPr>
      <w:r w:rsidRPr="007117A2">
        <w:rPr>
          <w:b/>
          <w:lang w:eastAsia="ja-JP"/>
        </w:rPr>
        <w:t>Evaluator’s response:</w:t>
      </w:r>
    </w:p>
    <w:p w:rsidR="00BF4EBA" w:rsidRPr="00BF4EBA" w:rsidRDefault="00BF4EBA" w:rsidP="007117A2">
      <w:pPr>
        <w:rPr>
          <w:lang w:eastAsia="ja-JP"/>
        </w:rPr>
      </w:pPr>
      <w:r w:rsidRPr="00BF4EBA">
        <w:rPr>
          <w:lang w:eastAsia="ja-JP"/>
        </w:rPr>
        <w:t>While the evaluator agree</w:t>
      </w:r>
      <w:r w:rsidR="00CA7912">
        <w:rPr>
          <w:lang w:eastAsia="ja-JP"/>
        </w:rPr>
        <w:t>d</w:t>
      </w:r>
      <w:r w:rsidRPr="00BF4EBA">
        <w:rPr>
          <w:lang w:eastAsia="ja-JP"/>
        </w:rPr>
        <w:t xml:space="preserve"> with the findings, the study does not take into account the risk of healthcare providers drawing up too much reconstituted product initially. Labelling must be very clear that the entire contents of the vial should not be drawn up and that the vials are single use only and the remaining contents should not be used for treating another joint. A sentence has been included in the PI that the</w:t>
      </w:r>
      <w:r w:rsidRPr="00BF4EBA">
        <w:rPr>
          <w:i/>
          <w:lang w:eastAsia="ja-JP"/>
        </w:rPr>
        <w:t xml:space="preserve"> entire reconstituted XIAFLEX solution contains 0.9 mg of XIAFLEX. Reconstituted XIAFLEX solution remaining in the vial after the injection should be discarded.</w:t>
      </w:r>
      <w:r w:rsidR="00516476">
        <w:rPr>
          <w:i/>
          <w:lang w:eastAsia="ja-JP"/>
        </w:rPr>
        <w:t xml:space="preserve"> </w:t>
      </w:r>
      <w:r w:rsidRPr="00BF4EBA">
        <w:rPr>
          <w:lang w:eastAsia="ja-JP"/>
        </w:rPr>
        <w:t>These issues must be covered in the doctor’s training.</w:t>
      </w:r>
    </w:p>
    <w:p w:rsidR="00BF4EBA" w:rsidRPr="007117A2" w:rsidRDefault="00BF4EBA" w:rsidP="007117A2">
      <w:pPr>
        <w:pStyle w:val="Numberbullet0"/>
        <w:rPr>
          <w:b/>
          <w:i/>
          <w:lang w:eastAsia="ja-JP"/>
        </w:rPr>
      </w:pPr>
      <w:r w:rsidRPr="007117A2">
        <w:rPr>
          <w:b/>
          <w:i/>
          <w:lang w:eastAsia="ja-JP"/>
        </w:rPr>
        <w:t xml:space="preserve">Discuss what training the investigators in the clinical development program undertook to ensure they were adequately skilled to administer the study injections. How is </w:t>
      </w:r>
      <w:r w:rsidR="008208D2" w:rsidRPr="007117A2">
        <w:rPr>
          <w:b/>
          <w:i/>
          <w:lang w:eastAsia="ja-JP"/>
        </w:rPr>
        <w:t>the sponsor</w:t>
      </w:r>
      <w:r w:rsidRPr="007117A2">
        <w:rPr>
          <w:b/>
          <w:i/>
          <w:lang w:eastAsia="ja-JP"/>
        </w:rPr>
        <w:t xml:space="preserve"> proposing to ensure comparable skill levels of physicians who may use the product in Australia if registered?</w:t>
      </w:r>
    </w:p>
    <w:p w:rsidR="00BF4EBA" w:rsidRPr="00C81C40" w:rsidRDefault="00BF4EBA" w:rsidP="00C81C40">
      <w:pPr>
        <w:rPr>
          <w:b/>
          <w:lang w:eastAsia="ja-JP"/>
        </w:rPr>
      </w:pPr>
      <w:r w:rsidRPr="00C81C40">
        <w:rPr>
          <w:b/>
          <w:lang w:eastAsia="ja-JP"/>
        </w:rPr>
        <w:t>Sponsor’s response:</w:t>
      </w:r>
    </w:p>
    <w:p w:rsidR="00BF4EBA" w:rsidRPr="00CA7912" w:rsidRDefault="00BF4EBA" w:rsidP="00C81C40">
      <w:pPr>
        <w:rPr>
          <w:lang w:eastAsia="ja-JP"/>
        </w:rPr>
      </w:pPr>
      <w:r w:rsidRPr="00CA7912">
        <w:rPr>
          <w:lang w:eastAsia="ja-JP"/>
        </w:rPr>
        <w:t xml:space="preserve">With initiation of the </w:t>
      </w:r>
      <w:proofErr w:type="spellStart"/>
      <w:r w:rsidRPr="00CA7912">
        <w:rPr>
          <w:lang w:eastAsia="ja-JP"/>
        </w:rPr>
        <w:t>Auxilium</w:t>
      </w:r>
      <w:proofErr w:type="spellEnd"/>
      <w:r w:rsidRPr="00CA7912">
        <w:rPr>
          <w:lang w:eastAsia="ja-JP"/>
        </w:rPr>
        <w:t xml:space="preserve"> clinical trial program, investigators were offered injection training in the form of a PowerPoint presentation with a video component and written material in the Investigator’s Brochure. The training material covered reconstitution of the lyophilised drug powder with sterile diluent, injection of the reconstituted drug into a </w:t>
      </w:r>
      <w:proofErr w:type="spellStart"/>
      <w:r w:rsidRPr="00CA7912">
        <w:rPr>
          <w:lang w:eastAsia="ja-JP"/>
        </w:rPr>
        <w:t>Dupuytren’s</w:t>
      </w:r>
      <w:proofErr w:type="spellEnd"/>
      <w:r w:rsidRPr="00CA7912">
        <w:rPr>
          <w:lang w:eastAsia="ja-JP"/>
        </w:rPr>
        <w:t xml:space="preserve"> cord and the finger extension procedure, which is carried out the day after each injection.</w:t>
      </w:r>
    </w:p>
    <w:p w:rsidR="00BF4EBA" w:rsidRPr="00BF4EBA" w:rsidRDefault="008208D2" w:rsidP="00C81C40">
      <w:pPr>
        <w:rPr>
          <w:lang w:eastAsia="ja-JP"/>
        </w:rPr>
      </w:pPr>
      <w:r>
        <w:rPr>
          <w:lang w:eastAsia="ja-JP"/>
        </w:rPr>
        <w:t>The sponsor</w:t>
      </w:r>
      <w:r w:rsidR="00BF4EBA" w:rsidRPr="00BF4EBA">
        <w:rPr>
          <w:lang w:eastAsia="ja-JP"/>
        </w:rPr>
        <w:t xml:space="preserve"> outlined the Training Plan for Australia in response to </w:t>
      </w:r>
      <w:r w:rsidR="00CA7912">
        <w:rPr>
          <w:lang w:eastAsia="ja-JP"/>
        </w:rPr>
        <w:t xml:space="preserve">a </w:t>
      </w:r>
      <w:r w:rsidR="00BF4EBA" w:rsidRPr="00BF4EBA">
        <w:rPr>
          <w:lang w:eastAsia="ja-JP"/>
        </w:rPr>
        <w:t xml:space="preserve">question </w:t>
      </w:r>
      <w:r w:rsidR="00CA7912">
        <w:rPr>
          <w:lang w:eastAsia="ja-JP"/>
        </w:rPr>
        <w:t>posed in</w:t>
      </w:r>
      <w:r w:rsidR="00BF4EBA" w:rsidRPr="00BF4EBA">
        <w:rPr>
          <w:lang w:eastAsia="ja-JP"/>
        </w:rPr>
        <w:t xml:space="preserve"> the </w:t>
      </w:r>
      <w:r w:rsidR="00CA7912">
        <w:rPr>
          <w:lang w:eastAsia="ja-JP"/>
        </w:rPr>
        <w:t>TGA Risk Management Plan (</w:t>
      </w:r>
      <w:r w:rsidR="00BF4EBA" w:rsidRPr="00BF4EBA">
        <w:rPr>
          <w:lang w:eastAsia="ja-JP"/>
        </w:rPr>
        <w:t>RMP</w:t>
      </w:r>
      <w:r w:rsidR="00CA7912">
        <w:rPr>
          <w:lang w:eastAsia="ja-JP"/>
        </w:rPr>
        <w:t>)</w:t>
      </w:r>
      <w:r w:rsidR="00BF4EBA" w:rsidRPr="00BF4EBA">
        <w:rPr>
          <w:lang w:eastAsia="ja-JP"/>
        </w:rPr>
        <w:t xml:space="preserve"> evaluation.</w:t>
      </w:r>
    </w:p>
    <w:p w:rsidR="00BF4EBA" w:rsidRPr="00C81C40" w:rsidRDefault="00BF4EBA" w:rsidP="00C81C40">
      <w:pPr>
        <w:rPr>
          <w:i/>
          <w:lang w:eastAsia="ja-JP"/>
        </w:rPr>
      </w:pPr>
      <w:r w:rsidRPr="00C81C40">
        <w:rPr>
          <w:i/>
          <w:lang w:eastAsia="ja-JP"/>
        </w:rPr>
        <w:t xml:space="preserve">The applicant’s training programme is designed to comprehensively train all appropriate users of the product. Training materials, therefore, will be delivered to specialist physicians through a variety of mechanisms and media. Physicians are provided access to 3 main elements of the training programme: </w:t>
      </w:r>
    </w:p>
    <w:p w:rsidR="00BF4EBA" w:rsidRPr="00C81C40" w:rsidRDefault="00BF4EBA" w:rsidP="00C81C40">
      <w:pPr>
        <w:pStyle w:val="Numberbullet0"/>
        <w:numPr>
          <w:ilvl w:val="0"/>
          <w:numId w:val="49"/>
        </w:numPr>
        <w:rPr>
          <w:i/>
          <w:lang w:eastAsia="ja-JP"/>
        </w:rPr>
      </w:pPr>
      <w:r w:rsidRPr="00C81C40">
        <w:rPr>
          <w:i/>
          <w:lang w:eastAsia="ja-JP"/>
        </w:rPr>
        <w:t xml:space="preserve">Training brochure and training video </w:t>
      </w:r>
    </w:p>
    <w:p w:rsidR="00BF4EBA" w:rsidRPr="00C81C40" w:rsidRDefault="00BF4EBA" w:rsidP="00C81C40">
      <w:pPr>
        <w:pStyle w:val="Numberbullet0"/>
        <w:rPr>
          <w:i/>
          <w:lang w:eastAsia="ja-JP"/>
        </w:rPr>
      </w:pPr>
      <w:r w:rsidRPr="00C81C40">
        <w:rPr>
          <w:i/>
          <w:lang w:eastAsia="ja-JP"/>
        </w:rPr>
        <w:t xml:space="preserve">Internet-based training </w:t>
      </w:r>
    </w:p>
    <w:p w:rsidR="00BF4EBA" w:rsidRPr="00C81C40" w:rsidRDefault="00BF4EBA" w:rsidP="00C81C40">
      <w:pPr>
        <w:pStyle w:val="Numberbullet0"/>
        <w:rPr>
          <w:i/>
          <w:lang w:eastAsia="ja-JP"/>
        </w:rPr>
      </w:pPr>
      <w:r w:rsidRPr="00C81C40">
        <w:rPr>
          <w:i/>
          <w:lang w:eastAsia="ja-JP"/>
        </w:rPr>
        <w:t xml:space="preserve">Peer-to-peer training meeting </w:t>
      </w:r>
    </w:p>
    <w:p w:rsidR="00BF4EBA" w:rsidRPr="00C81C40" w:rsidRDefault="00BF4EBA" w:rsidP="00C81C40">
      <w:pPr>
        <w:rPr>
          <w:b/>
          <w:i/>
          <w:lang w:eastAsia="ja-JP"/>
        </w:rPr>
      </w:pPr>
      <w:r w:rsidRPr="00C81C40">
        <w:rPr>
          <w:i/>
          <w:lang w:eastAsia="ja-JP"/>
        </w:rPr>
        <w:t>Training will be linked to a Prescriber Certification Program.</w:t>
      </w:r>
    </w:p>
    <w:p w:rsidR="00BF4EBA" w:rsidRPr="00E84DC4" w:rsidRDefault="00BF4EBA" w:rsidP="00E84DC4">
      <w:pPr>
        <w:rPr>
          <w:b/>
          <w:lang w:eastAsia="ja-JP"/>
        </w:rPr>
      </w:pPr>
      <w:r w:rsidRPr="00E84DC4">
        <w:rPr>
          <w:b/>
          <w:lang w:eastAsia="ja-JP"/>
        </w:rPr>
        <w:lastRenderedPageBreak/>
        <w:t>Evaluator’s response:</w:t>
      </w:r>
    </w:p>
    <w:p w:rsidR="00BF4EBA" w:rsidRPr="00BF4EBA" w:rsidRDefault="00BF4EBA" w:rsidP="00E84DC4">
      <w:pPr>
        <w:rPr>
          <w:lang w:eastAsia="ja-JP"/>
        </w:rPr>
      </w:pPr>
      <w:r w:rsidRPr="00BF4EBA">
        <w:rPr>
          <w:lang w:eastAsia="ja-JP"/>
        </w:rPr>
        <w:t>The proposed training appears suitable. The product should only be distributed to doctors who have undergone the training.</w:t>
      </w:r>
    </w:p>
    <w:p w:rsidR="00BF4EBA" w:rsidRPr="00BF4EBA" w:rsidRDefault="00BF4EBA" w:rsidP="00E84DC4">
      <w:pPr>
        <w:pStyle w:val="Heading3"/>
      </w:pPr>
      <w:bookmarkStart w:id="339" w:name="_Toc353960317"/>
      <w:bookmarkStart w:id="340" w:name="_Toc374966990"/>
      <w:r w:rsidRPr="00BF4EBA">
        <w:t>PI and CMI</w:t>
      </w:r>
      <w:bookmarkEnd w:id="339"/>
      <w:bookmarkEnd w:id="340"/>
    </w:p>
    <w:p w:rsidR="00CA7912" w:rsidRDefault="008208D2" w:rsidP="00E84DC4">
      <w:pPr>
        <w:rPr>
          <w:lang w:eastAsia="ja-JP"/>
        </w:rPr>
      </w:pPr>
      <w:r>
        <w:rPr>
          <w:lang w:eastAsia="ja-JP"/>
        </w:rPr>
        <w:t>The sponsor</w:t>
      </w:r>
      <w:r w:rsidR="00BF4EBA" w:rsidRPr="00BF4EBA">
        <w:rPr>
          <w:lang w:eastAsia="ja-JP"/>
        </w:rPr>
        <w:t xml:space="preserve"> satisfactorily responded to all comments on the PI and </w:t>
      </w:r>
      <w:r w:rsidR="006C44FA">
        <w:rPr>
          <w:lang w:eastAsia="ja-JP"/>
        </w:rPr>
        <w:t xml:space="preserve">the </w:t>
      </w:r>
      <w:r w:rsidR="00CA7912">
        <w:rPr>
          <w:lang w:eastAsia="ja-JP"/>
        </w:rPr>
        <w:t>Consumer Medicine Information (</w:t>
      </w:r>
      <w:r w:rsidR="00BF4EBA" w:rsidRPr="00BF4EBA">
        <w:rPr>
          <w:lang w:eastAsia="ja-JP"/>
        </w:rPr>
        <w:t>CM</w:t>
      </w:r>
      <w:r w:rsidR="00CA7912">
        <w:rPr>
          <w:lang w:eastAsia="ja-JP"/>
        </w:rPr>
        <w:t xml:space="preserve">I) documents </w:t>
      </w:r>
      <w:r w:rsidR="00BF4EBA" w:rsidRPr="00BF4EBA">
        <w:rPr>
          <w:lang w:eastAsia="ja-JP"/>
        </w:rPr>
        <w:t xml:space="preserve">with </w:t>
      </w:r>
      <w:r w:rsidR="00CA7912">
        <w:rPr>
          <w:lang w:eastAsia="ja-JP"/>
        </w:rPr>
        <w:t xml:space="preserve">a couple of </w:t>
      </w:r>
      <w:r w:rsidR="00BF4EBA" w:rsidRPr="00BF4EBA">
        <w:rPr>
          <w:lang w:eastAsia="ja-JP"/>
        </w:rPr>
        <w:t>exception</w:t>
      </w:r>
      <w:r w:rsidR="00CA7912">
        <w:rPr>
          <w:lang w:eastAsia="ja-JP"/>
        </w:rPr>
        <w:t xml:space="preserve">s as follows; </w:t>
      </w:r>
    </w:p>
    <w:p w:rsidR="00CA7912" w:rsidRDefault="00CA7912" w:rsidP="00E84DC4">
      <w:pPr>
        <w:pStyle w:val="ListBullet"/>
        <w:rPr>
          <w:lang w:eastAsia="ja-JP"/>
        </w:rPr>
      </w:pPr>
      <w:r>
        <w:rPr>
          <w:lang w:eastAsia="ja-JP"/>
        </w:rPr>
        <w:t>F</w:t>
      </w:r>
      <w:r w:rsidRPr="00BF4EBA">
        <w:rPr>
          <w:lang w:eastAsia="ja-JP"/>
        </w:rPr>
        <w:t>urther data on contracture recurrence from</w:t>
      </w:r>
      <w:r>
        <w:rPr>
          <w:lang w:eastAsia="ja-JP"/>
        </w:rPr>
        <w:t xml:space="preserve"> Study AUX</w:t>
      </w:r>
      <w:r w:rsidRPr="00BF4EBA">
        <w:rPr>
          <w:lang w:eastAsia="ja-JP"/>
        </w:rPr>
        <w:t xml:space="preserve">-CC-680 </w:t>
      </w:r>
      <w:r>
        <w:rPr>
          <w:lang w:eastAsia="ja-JP"/>
        </w:rPr>
        <w:t>should be</w:t>
      </w:r>
      <w:r w:rsidRPr="00BF4EBA">
        <w:rPr>
          <w:lang w:eastAsia="ja-JP"/>
        </w:rPr>
        <w:t xml:space="preserve"> included in the PI</w:t>
      </w:r>
      <w:r>
        <w:rPr>
          <w:lang w:eastAsia="ja-JP"/>
        </w:rPr>
        <w:t xml:space="preserve"> (including </w:t>
      </w:r>
      <w:r w:rsidRPr="00BF4EBA">
        <w:rPr>
          <w:lang w:eastAsia="ja-JP"/>
        </w:rPr>
        <w:t>recurrence rates at 2 and 4 years</w:t>
      </w:r>
      <w:r>
        <w:rPr>
          <w:lang w:eastAsia="ja-JP"/>
        </w:rPr>
        <w:t>);</w:t>
      </w:r>
      <w:r w:rsidRPr="00CA7912">
        <w:rPr>
          <w:lang w:eastAsia="ja-JP"/>
        </w:rPr>
        <w:t xml:space="preserve"> </w:t>
      </w:r>
    </w:p>
    <w:p w:rsidR="00BF4EBA" w:rsidRPr="00BF4EBA" w:rsidRDefault="00CA7912" w:rsidP="00E84DC4">
      <w:pPr>
        <w:pStyle w:val="ListBullet"/>
        <w:rPr>
          <w:lang w:eastAsia="ja-JP"/>
        </w:rPr>
      </w:pPr>
      <w:r w:rsidRPr="00BF4EBA">
        <w:rPr>
          <w:lang w:eastAsia="ja-JP"/>
        </w:rPr>
        <w:t>Adverse effect data should be presented according to the referenced TGA guidelines</w:t>
      </w:r>
      <w:r w:rsidRPr="00CA7912">
        <w:rPr>
          <w:lang w:eastAsia="ja-JP"/>
        </w:rPr>
        <w:t xml:space="preserve"> </w:t>
      </w:r>
      <w:r>
        <w:rPr>
          <w:lang w:eastAsia="ja-JP"/>
        </w:rPr>
        <w:t xml:space="preserve">and </w:t>
      </w:r>
      <w:r w:rsidRPr="00BF4EBA">
        <w:rPr>
          <w:lang w:eastAsia="ja-JP"/>
        </w:rPr>
        <w:t>includ</w:t>
      </w:r>
      <w:r>
        <w:rPr>
          <w:lang w:eastAsia="ja-JP"/>
        </w:rPr>
        <w:t>e a</w:t>
      </w:r>
      <w:r w:rsidRPr="00BF4EBA">
        <w:rPr>
          <w:lang w:eastAsia="ja-JP"/>
        </w:rPr>
        <w:t xml:space="preserve"> tabulation of the more frequent (≥1%) adverse events</w:t>
      </w:r>
      <w:r w:rsidRPr="00CA7912">
        <w:rPr>
          <w:lang w:eastAsia="ja-JP"/>
        </w:rPr>
        <w:t xml:space="preserve"> </w:t>
      </w:r>
      <w:r w:rsidRPr="00BF4EBA">
        <w:rPr>
          <w:lang w:eastAsia="ja-JP"/>
        </w:rPr>
        <w:t>as well as data on post marketing adverse reactions</w:t>
      </w:r>
      <w:r>
        <w:rPr>
          <w:lang w:eastAsia="ja-JP"/>
        </w:rPr>
        <w:t>.</w:t>
      </w:r>
    </w:p>
    <w:p w:rsidR="00C618F7" w:rsidRDefault="00C618F7" w:rsidP="00E84DC4">
      <w:pPr>
        <w:pStyle w:val="Heading2"/>
      </w:pPr>
      <w:bookmarkStart w:id="341" w:name="_Toc374966991"/>
      <w:r>
        <w:t>Second round benefit-risk assessment</w:t>
      </w:r>
      <w:bookmarkEnd w:id="341"/>
    </w:p>
    <w:p w:rsidR="00BF4EBA" w:rsidRPr="00426667" w:rsidRDefault="00BF4EBA" w:rsidP="00E84DC4">
      <w:pPr>
        <w:pStyle w:val="Heading3"/>
      </w:pPr>
      <w:bookmarkStart w:id="342" w:name="_Toc374966992"/>
      <w:r>
        <w:t>S</w:t>
      </w:r>
      <w:r w:rsidRPr="00426667">
        <w:t>econd round assessment of benefits</w:t>
      </w:r>
      <w:bookmarkEnd w:id="342"/>
    </w:p>
    <w:p w:rsidR="00BF4EBA" w:rsidRPr="00426667" w:rsidRDefault="00BF4EBA" w:rsidP="00E84DC4">
      <w:r w:rsidRPr="00426667">
        <w:t xml:space="preserve">After consideration of the responses to clinical questions, the benefits of </w:t>
      </w:r>
      <w:proofErr w:type="spellStart"/>
      <w:r w:rsidRPr="00426667">
        <w:rPr>
          <w:bCs/>
        </w:rPr>
        <w:t>Xiaflex</w:t>
      </w:r>
      <w:proofErr w:type="spellEnd"/>
      <w:r w:rsidRPr="00426667">
        <w:rPr>
          <w:bCs/>
        </w:rPr>
        <w:t xml:space="preserve"> 0.58 mg</w:t>
      </w:r>
      <w:r w:rsidRPr="00426667">
        <w:rPr>
          <w:b/>
          <w:bCs/>
        </w:rPr>
        <w:t xml:space="preserve"> </w:t>
      </w:r>
      <w:r w:rsidRPr="00426667">
        <w:t xml:space="preserve">in the proposed usage are unchanged from those identified in </w:t>
      </w:r>
      <w:r w:rsidR="00F45DEC">
        <w:t xml:space="preserve">the </w:t>
      </w:r>
      <w:r w:rsidR="00F45DEC" w:rsidRPr="00F45DEC">
        <w:rPr>
          <w:i/>
        </w:rPr>
        <w:t>First Round Assessment of benefits</w:t>
      </w:r>
      <w:r w:rsidRPr="00426667">
        <w:t>.</w:t>
      </w:r>
    </w:p>
    <w:p w:rsidR="00BF4EBA" w:rsidRPr="00426667" w:rsidRDefault="00BF4EBA" w:rsidP="00AF4E79">
      <w:pPr>
        <w:pStyle w:val="Heading3"/>
      </w:pPr>
      <w:bookmarkStart w:id="343" w:name="_Toc272414710"/>
      <w:bookmarkStart w:id="344" w:name="_Toc290846350"/>
      <w:bookmarkStart w:id="345" w:name="_Toc353960320"/>
      <w:bookmarkStart w:id="346" w:name="_Toc374966993"/>
      <w:r w:rsidRPr="00426667">
        <w:t>Second round assessment of risks</w:t>
      </w:r>
      <w:bookmarkEnd w:id="343"/>
      <w:bookmarkEnd w:id="344"/>
      <w:bookmarkEnd w:id="345"/>
      <w:bookmarkEnd w:id="346"/>
    </w:p>
    <w:p w:rsidR="00BF4EBA" w:rsidRPr="00426667" w:rsidRDefault="00BF4EBA" w:rsidP="00AF4E79">
      <w:r w:rsidRPr="00426667">
        <w:t xml:space="preserve">After consideration of the responses to clinical questions, the risks of </w:t>
      </w:r>
      <w:proofErr w:type="spellStart"/>
      <w:r w:rsidRPr="00426667">
        <w:rPr>
          <w:bCs/>
        </w:rPr>
        <w:t>Xiaflex</w:t>
      </w:r>
      <w:proofErr w:type="spellEnd"/>
      <w:r w:rsidRPr="00426667">
        <w:rPr>
          <w:bCs/>
        </w:rPr>
        <w:t xml:space="preserve"> 0.58 mg</w:t>
      </w:r>
      <w:r w:rsidRPr="00426667">
        <w:rPr>
          <w:b/>
          <w:bCs/>
        </w:rPr>
        <w:t xml:space="preserve"> </w:t>
      </w:r>
      <w:r w:rsidRPr="00426667">
        <w:t xml:space="preserve">in the proposed usage are unchanged from those identified in </w:t>
      </w:r>
      <w:r w:rsidR="00F45DEC" w:rsidRPr="00F45DEC">
        <w:rPr>
          <w:i/>
        </w:rPr>
        <w:t>First Round Assessment of</w:t>
      </w:r>
      <w:r w:rsidR="00F45DEC">
        <w:rPr>
          <w:i/>
        </w:rPr>
        <w:t xml:space="preserve"> Risks </w:t>
      </w:r>
      <w:r w:rsidRPr="00426667">
        <w:t xml:space="preserve"> apart from the following:</w:t>
      </w:r>
    </w:p>
    <w:p w:rsidR="00BF4EBA" w:rsidRPr="00426667" w:rsidRDefault="00BF4EBA" w:rsidP="00AF4E79">
      <w:pPr>
        <w:pStyle w:val="ListBullet"/>
      </w:pPr>
      <w:r w:rsidRPr="00426667">
        <w:t>The risk of recurrence was noted to continue to increase, from 4% at 9-12 months, to 19% at two years and to 42% at 4 years.</w:t>
      </w:r>
    </w:p>
    <w:p w:rsidR="00BF4EBA" w:rsidRPr="00426667" w:rsidRDefault="00BF4EBA" w:rsidP="00AF4E79">
      <w:pPr>
        <w:pStyle w:val="ListBullet"/>
      </w:pPr>
      <w:r w:rsidRPr="00426667">
        <w:t>The nonclinical evaluation found that the role of anti-drug antibodies in potential risks had not been examined in the nonclinical studies.</w:t>
      </w:r>
    </w:p>
    <w:p w:rsidR="00BF4EBA" w:rsidRPr="00426667" w:rsidRDefault="00BF4EBA" w:rsidP="00AF4E79">
      <w:pPr>
        <w:pStyle w:val="Heading3"/>
      </w:pPr>
      <w:bookmarkStart w:id="347" w:name="_Toc272414711"/>
      <w:bookmarkStart w:id="348" w:name="_Toc290846351"/>
      <w:bookmarkStart w:id="349" w:name="_Toc353960321"/>
      <w:bookmarkStart w:id="350" w:name="_Toc374966994"/>
      <w:r w:rsidRPr="00426667">
        <w:t>Second round assessment of benefit-risk balance</w:t>
      </w:r>
      <w:bookmarkEnd w:id="347"/>
      <w:bookmarkEnd w:id="348"/>
      <w:bookmarkEnd w:id="349"/>
      <w:bookmarkEnd w:id="350"/>
    </w:p>
    <w:p w:rsidR="00BF4EBA" w:rsidRPr="00426667" w:rsidRDefault="00BF4EBA" w:rsidP="00AF4E79">
      <w:r w:rsidRPr="00426667">
        <w:t xml:space="preserve">After review of information provided by </w:t>
      </w:r>
      <w:r w:rsidR="008208D2">
        <w:t>the sponsor</w:t>
      </w:r>
      <w:r w:rsidRPr="00426667">
        <w:t>, the benefit-risk balance at the end of the second round evaluation remains the same as discussed in</w:t>
      </w:r>
      <w:r w:rsidR="00F45DEC" w:rsidRPr="00F45DEC">
        <w:rPr>
          <w:i/>
        </w:rPr>
        <w:t xml:space="preserve"> First Round Assessment of</w:t>
      </w:r>
      <w:r w:rsidR="00F45DEC">
        <w:rPr>
          <w:i/>
        </w:rPr>
        <w:t xml:space="preserve"> Benefit-Risk Balance</w:t>
      </w:r>
      <w:r w:rsidRPr="00426667">
        <w:t>.</w:t>
      </w:r>
    </w:p>
    <w:p w:rsidR="00BF4EBA" w:rsidRPr="00426667" w:rsidRDefault="00BF4EBA" w:rsidP="00AF4E79">
      <w:r w:rsidRPr="00426667">
        <w:t xml:space="preserve">It was noted that the nonclinical evaluation found the risk of anti-drug antibodies had not been addressed in the nonclinical study program. This adds further weight to the importance of active monitoring of potential immunogenicity risks. The draft PI has </w:t>
      </w:r>
      <w:r w:rsidRPr="00426667">
        <w:rPr>
          <w:bCs/>
        </w:rPr>
        <w:t xml:space="preserve">adequately covered such risks </w:t>
      </w:r>
      <w:r w:rsidRPr="00426667">
        <w:t>and the draft RMP has been updated to ensure relevant immunogenicity-related risks are being monitored.</w:t>
      </w:r>
    </w:p>
    <w:p w:rsidR="00BF4EBA" w:rsidRPr="00426667" w:rsidRDefault="00BF4EBA" w:rsidP="00AF4E79">
      <w:r w:rsidRPr="00426667">
        <w:t xml:space="preserve">As previously discussed in the first round evaluation, the training of doctors using the product will be critical in ensuring maintenance of the benefit-risk balance. </w:t>
      </w:r>
      <w:r w:rsidR="008208D2">
        <w:t>The sponsor</w:t>
      </w:r>
      <w:r w:rsidRPr="00426667">
        <w:t xml:space="preserve"> provided a copy of the Training Brochure used in the US and confirms that a similar document will be used in Australia. This </w:t>
      </w:r>
      <w:r w:rsidR="00F45DEC">
        <w:t xml:space="preserve">will </w:t>
      </w:r>
      <w:r w:rsidRPr="00426667">
        <w:t>need to be part of the RMP together with ensuring distribution of the product is only to doctors who have satisfactorily completed the training.</w:t>
      </w:r>
    </w:p>
    <w:p w:rsidR="00BF4EBA" w:rsidRPr="00426667" w:rsidRDefault="00BF4EBA" w:rsidP="00AF4E79">
      <w:r w:rsidRPr="00426667">
        <w:t xml:space="preserve">It is known that the contractures may recur following available treatments and this was also the case with </w:t>
      </w:r>
      <w:proofErr w:type="spellStart"/>
      <w:r w:rsidRPr="00426667">
        <w:t>Xiaflex</w:t>
      </w:r>
      <w:proofErr w:type="spellEnd"/>
      <w:r w:rsidRPr="00426667">
        <w:t xml:space="preserve"> where the recurrence rate was 42% at 4 years. </w:t>
      </w:r>
      <w:r w:rsidR="008208D2">
        <w:t>The sponsor</w:t>
      </w:r>
      <w:r w:rsidRPr="00426667">
        <w:t xml:space="preserve"> stated that the PI </w:t>
      </w:r>
      <w:r w:rsidRPr="00426667">
        <w:lastRenderedPageBreak/>
        <w:t>will be updated with the final 5 year data from the follow-up study. Nevertheless, such data are available and prescribers should be provided with the most relevant information on which to base prescribing decisions. Therefore, the evaluator maintains that recurrence data beyond one year should be included in the current draft PI.</w:t>
      </w:r>
    </w:p>
    <w:p w:rsidR="00BF4EBA" w:rsidRPr="00426667" w:rsidRDefault="00BF4EBA" w:rsidP="00AF4E79">
      <w:r w:rsidRPr="00426667">
        <w:t xml:space="preserve">The recommended changes to the PI and CMI have been adopted apart from the comments relating to the presentation of data in the Adverse Effects section. These still need to be addressed as outlined </w:t>
      </w:r>
      <w:r w:rsidR="00F45DEC">
        <w:t xml:space="preserve">by the </w:t>
      </w:r>
      <w:proofErr w:type="spellStart"/>
      <w:r w:rsidR="00F45DEC">
        <w:t>evlautor</w:t>
      </w:r>
      <w:proofErr w:type="spellEnd"/>
      <w:r w:rsidRPr="00426667">
        <w:t>.</w:t>
      </w:r>
    </w:p>
    <w:p w:rsidR="00BF4EBA" w:rsidRPr="00426667" w:rsidRDefault="00BF4EBA" w:rsidP="00AF4E79">
      <w:r w:rsidRPr="00426667">
        <w:t xml:space="preserve">Overall, the benefit-risk balance of </w:t>
      </w:r>
      <w:proofErr w:type="spellStart"/>
      <w:r w:rsidRPr="00426667">
        <w:t>Xiaflex</w:t>
      </w:r>
      <w:proofErr w:type="spellEnd"/>
      <w:r w:rsidRPr="00426667">
        <w:t xml:space="preserve"> 0.58 mg, given the proposed usage of treatment of </w:t>
      </w:r>
      <w:proofErr w:type="spellStart"/>
      <w:r w:rsidRPr="00426667">
        <w:t>Dupuytren’s</w:t>
      </w:r>
      <w:proofErr w:type="spellEnd"/>
      <w:r w:rsidRPr="00426667">
        <w:t xml:space="preserve"> contracture in adul</w:t>
      </w:r>
      <w:r w:rsidR="00F45DEC">
        <w:t>t patients with palpable cord, wa</w:t>
      </w:r>
      <w:r w:rsidRPr="00426667">
        <w:t xml:space="preserve">s </w:t>
      </w:r>
      <w:r w:rsidR="00F45DEC">
        <w:t xml:space="preserve">considered to be </w:t>
      </w:r>
      <w:r w:rsidRPr="00426667">
        <w:t>favourable. This findi</w:t>
      </w:r>
      <w:r w:rsidR="00F45DEC">
        <w:t>ng wa</w:t>
      </w:r>
      <w:r w:rsidRPr="00426667">
        <w:t xml:space="preserve">s subject to satisfactory responses to the remaining comments on the PI. </w:t>
      </w:r>
    </w:p>
    <w:p w:rsidR="00C618F7" w:rsidRDefault="00C618F7" w:rsidP="00AF4E79">
      <w:pPr>
        <w:pStyle w:val="Heading3"/>
      </w:pPr>
      <w:bookmarkStart w:id="351" w:name="_Toc374966995"/>
      <w:r>
        <w:t>Second round recommendation regarding authorisation</w:t>
      </w:r>
      <w:bookmarkEnd w:id="351"/>
    </w:p>
    <w:p w:rsidR="00BF4EBA" w:rsidRPr="00426667" w:rsidRDefault="00BF4EBA" w:rsidP="00AF4E79">
      <w:r w:rsidRPr="00426667">
        <w:t xml:space="preserve">The evaluator recommends approval of </w:t>
      </w:r>
      <w:proofErr w:type="spellStart"/>
      <w:r w:rsidRPr="00426667">
        <w:t>Xiaflex</w:t>
      </w:r>
      <w:proofErr w:type="spellEnd"/>
      <w:r w:rsidRPr="00426667">
        <w:t xml:space="preserve"> 0.58 mg injection for the treatment of </w:t>
      </w:r>
      <w:proofErr w:type="spellStart"/>
      <w:r w:rsidRPr="00426667">
        <w:rPr>
          <w:bCs/>
        </w:rPr>
        <w:t>Dupuytren’s</w:t>
      </w:r>
      <w:proofErr w:type="spellEnd"/>
      <w:r w:rsidRPr="00426667">
        <w:rPr>
          <w:bCs/>
        </w:rPr>
        <w:t xml:space="preserve"> contracture in adult patients with palpable cord</w:t>
      </w:r>
      <w:r w:rsidRPr="00426667">
        <w:t xml:space="preserve">. </w:t>
      </w:r>
    </w:p>
    <w:p w:rsidR="00BF4EBA" w:rsidRPr="00426667" w:rsidRDefault="00BF4EBA" w:rsidP="00AF4E79">
      <w:r w:rsidRPr="00426667">
        <w:t>The product must only be distributed to doctors who have been appropriately trained.</w:t>
      </w:r>
      <w:r w:rsidRPr="00426667">
        <w:rPr>
          <w:b/>
        </w:rPr>
        <w:t xml:space="preserve"> </w:t>
      </w:r>
      <w:r w:rsidRPr="00426667">
        <w:t>Training must cover the areas of reconstitution of the product, volumes to inject, dosing interval, injection technique, post injection finger manipulation and management, as well as information on immune-mediated reactions including anaphylaxis and its management, matrix metalloproteinase cross-reactivity and musculoskeletal syndrome, and other potential adverse events and the requirements for reporting.</w:t>
      </w:r>
    </w:p>
    <w:p w:rsidR="00BF4EBA" w:rsidRPr="00426667" w:rsidRDefault="00BF4EBA" w:rsidP="00AF4E79">
      <w:r w:rsidRPr="00426667">
        <w:t xml:space="preserve">This recommendation is subject to satisfactory responses to the remaining comments on the </w:t>
      </w:r>
      <w:r w:rsidR="00F45DEC">
        <w:t xml:space="preserve">draft </w:t>
      </w:r>
      <w:r w:rsidRPr="00426667">
        <w:t>PI.</w:t>
      </w:r>
    </w:p>
    <w:p w:rsidR="00C618F7" w:rsidRDefault="00C618F7" w:rsidP="00AF4E79">
      <w:pPr>
        <w:pStyle w:val="Heading2"/>
      </w:pPr>
      <w:bookmarkStart w:id="352" w:name="_Toc374966996"/>
      <w:r>
        <w:t>References</w:t>
      </w:r>
      <w:bookmarkEnd w:id="352"/>
    </w:p>
    <w:bookmarkEnd w:id="2"/>
    <w:bookmarkEnd w:id="1"/>
    <w:bookmarkEnd w:id="0"/>
    <w:p w:rsidR="00231FC7" w:rsidRPr="00426667" w:rsidRDefault="00231FC7" w:rsidP="00AF4E79">
      <w:proofErr w:type="spellStart"/>
      <w:r w:rsidRPr="00426667">
        <w:t>Badalamente</w:t>
      </w:r>
      <w:proofErr w:type="spellEnd"/>
      <w:r w:rsidRPr="00426667">
        <w:t xml:space="preserve"> MA and Hurst LC. Enzyme injection as nonsurgical treatment of </w:t>
      </w:r>
      <w:proofErr w:type="spellStart"/>
      <w:r w:rsidRPr="00426667">
        <w:t>Dupuytren's</w:t>
      </w:r>
      <w:proofErr w:type="spellEnd"/>
      <w:r w:rsidRPr="00426667">
        <w:t xml:space="preserve"> disease. </w:t>
      </w:r>
      <w:r w:rsidRPr="00426667">
        <w:rPr>
          <w:i/>
        </w:rPr>
        <w:t>J Hand Surg</w:t>
      </w:r>
      <w:r w:rsidRPr="00426667">
        <w:t>. 2000; 25A: 629-636.</w:t>
      </w:r>
    </w:p>
    <w:p w:rsidR="00231FC7" w:rsidRPr="00426667" w:rsidRDefault="00231FC7" w:rsidP="00AF4E79">
      <w:pPr>
        <w:rPr>
          <w:lang w:eastAsia="zh-TW"/>
        </w:rPr>
      </w:pPr>
      <w:r w:rsidRPr="00426667">
        <w:rPr>
          <w:lang w:eastAsia="zh-TW"/>
        </w:rPr>
        <w:t xml:space="preserve">McFarlane R and </w:t>
      </w:r>
      <w:proofErr w:type="spellStart"/>
      <w:r w:rsidRPr="00426667">
        <w:rPr>
          <w:lang w:eastAsia="zh-TW"/>
        </w:rPr>
        <w:t>Botz</w:t>
      </w:r>
      <w:proofErr w:type="spellEnd"/>
      <w:r w:rsidRPr="00426667">
        <w:rPr>
          <w:lang w:eastAsia="zh-TW"/>
        </w:rPr>
        <w:t xml:space="preserve">, JS. The results of treatment. In: McFarlane RM, </w:t>
      </w:r>
      <w:proofErr w:type="spellStart"/>
      <w:r w:rsidRPr="00426667">
        <w:rPr>
          <w:lang w:eastAsia="zh-TW"/>
        </w:rPr>
        <w:t>McGrouther</w:t>
      </w:r>
      <w:proofErr w:type="spellEnd"/>
      <w:r w:rsidRPr="00426667">
        <w:rPr>
          <w:lang w:eastAsia="zh-TW"/>
        </w:rPr>
        <w:t xml:space="preserve"> DA, and Flint MH, eds. </w:t>
      </w:r>
      <w:proofErr w:type="spellStart"/>
      <w:r w:rsidRPr="00426667">
        <w:rPr>
          <w:i/>
          <w:iCs/>
          <w:lang w:eastAsia="zh-TW"/>
        </w:rPr>
        <w:t>Dupuytren’s</w:t>
      </w:r>
      <w:proofErr w:type="spellEnd"/>
      <w:r w:rsidRPr="00426667">
        <w:rPr>
          <w:i/>
          <w:iCs/>
          <w:lang w:eastAsia="zh-TW"/>
        </w:rPr>
        <w:t xml:space="preserve"> Disease Biology and Treatment. </w:t>
      </w:r>
      <w:r w:rsidRPr="00426667">
        <w:rPr>
          <w:lang w:eastAsia="zh-TW"/>
        </w:rPr>
        <w:t xml:space="preserve">Volume 5. Edinburgh, London, Melbourne, and New York: Churchill Livingstone; 1990:387-412 </w:t>
      </w:r>
    </w:p>
    <w:p w:rsidR="00231FC7" w:rsidRPr="00426667" w:rsidRDefault="00231FC7" w:rsidP="00AF4E79">
      <w:r w:rsidRPr="00426667">
        <w:t xml:space="preserve">van </w:t>
      </w:r>
      <w:proofErr w:type="spellStart"/>
      <w:r w:rsidRPr="00426667">
        <w:t>Rijssen</w:t>
      </w:r>
      <w:proofErr w:type="spellEnd"/>
      <w:r w:rsidRPr="00426667">
        <w:t xml:space="preserve"> AL, </w:t>
      </w:r>
      <w:proofErr w:type="spellStart"/>
      <w:r w:rsidRPr="00426667">
        <w:t>Werker</w:t>
      </w:r>
      <w:proofErr w:type="spellEnd"/>
      <w:r w:rsidRPr="00426667">
        <w:t xml:space="preserve"> PM. </w:t>
      </w:r>
      <w:proofErr w:type="spellStart"/>
      <w:r w:rsidRPr="00426667">
        <w:t>Percutaneous</w:t>
      </w:r>
      <w:proofErr w:type="spellEnd"/>
      <w:r w:rsidRPr="00426667">
        <w:t xml:space="preserve"> needle </w:t>
      </w:r>
      <w:proofErr w:type="spellStart"/>
      <w:r w:rsidRPr="00426667">
        <w:t>fasciotomy</w:t>
      </w:r>
      <w:proofErr w:type="spellEnd"/>
      <w:r w:rsidRPr="00426667">
        <w:t xml:space="preserve"> in </w:t>
      </w:r>
      <w:proofErr w:type="spellStart"/>
      <w:r w:rsidRPr="00426667">
        <w:t>dupuytren's</w:t>
      </w:r>
      <w:proofErr w:type="spellEnd"/>
      <w:r w:rsidRPr="00426667">
        <w:t xml:space="preserve"> </w:t>
      </w:r>
      <w:proofErr w:type="spellStart"/>
      <w:r w:rsidRPr="00426667">
        <w:t>disease.</w:t>
      </w:r>
      <w:r w:rsidRPr="00426667">
        <w:rPr>
          <w:i/>
        </w:rPr>
        <w:t>J</w:t>
      </w:r>
      <w:proofErr w:type="spellEnd"/>
      <w:r w:rsidRPr="00426667">
        <w:rPr>
          <w:i/>
        </w:rPr>
        <w:t xml:space="preserve"> Hand Surg Br</w:t>
      </w:r>
      <w:r w:rsidRPr="00426667">
        <w:t>. 2006; 31(5):498</w:t>
      </w:r>
    </w:p>
    <w:p w:rsidR="003D1E62" w:rsidRPr="001D043B" w:rsidRDefault="003D1E62" w:rsidP="002666AC">
      <w:pPr>
        <w:sectPr w:rsidR="003D1E62" w:rsidRPr="001D043B" w:rsidSect="008D770F">
          <w:headerReference w:type="even" r:id="rId59"/>
          <w:headerReference w:type="default" r:id="rId60"/>
          <w:footerReference w:type="default" r:id="rId61"/>
          <w:headerReference w:type="first" r:id="rId62"/>
          <w:footerReference w:type="first" r:id="rId63"/>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4"/>
      <w:headerReference w:type="default" r:id="rId65"/>
      <w:footerReference w:type="default" r:id="rId66"/>
      <w:headerReference w:type="first" r:id="rId67"/>
      <w:footerReference w:type="first" r:id="rId6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8FB" w:rsidRDefault="006C28FB" w:rsidP="00C40A36">
      <w:pPr>
        <w:spacing w:after="0"/>
      </w:pPr>
      <w:r>
        <w:separator/>
      </w:r>
    </w:p>
  </w:endnote>
  <w:endnote w:type="continuationSeparator" w:id="0">
    <w:p w:rsidR="006C28FB" w:rsidRDefault="006C28F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C28FB" w:rsidRPr="00487162" w:rsidTr="0053625B">
      <w:trPr>
        <w:trHeight w:val="269"/>
      </w:trPr>
      <w:tc>
        <w:tcPr>
          <w:tcW w:w="7938" w:type="dxa"/>
          <w:tcMar>
            <w:top w:w="142" w:type="dxa"/>
            <w:bottom w:w="0" w:type="dxa"/>
          </w:tcMar>
        </w:tcPr>
        <w:p w:rsidR="006C28FB" w:rsidRPr="00487162" w:rsidRDefault="006C28FB" w:rsidP="00BF4EBA">
          <w:pPr>
            <w:pStyle w:val="Footer"/>
          </w:pPr>
          <w:r>
            <w:t>Submission</w:t>
          </w:r>
          <w:r w:rsidRPr="00487162">
            <w:t xml:space="preserve"> PM-20</w:t>
          </w:r>
          <w:r>
            <w:t>12</w:t>
          </w:r>
          <w:r w:rsidRPr="00487162">
            <w:t>-</w:t>
          </w:r>
          <w:r>
            <w:t xml:space="preserve">01472-3-3 Extract from the Clinical Evaluation Report for </w:t>
          </w:r>
          <w:proofErr w:type="spellStart"/>
          <w:r w:rsidRPr="00FA4846">
            <w:t>Collagenase</w:t>
          </w:r>
          <w:proofErr w:type="spellEnd"/>
          <w:r w:rsidRPr="00FA4846">
            <w:t xml:space="preserve"> clostridium </w:t>
          </w:r>
          <w:proofErr w:type="spellStart"/>
          <w:r w:rsidRPr="00FA4846">
            <w:t>histolyticum</w:t>
          </w:r>
          <w:proofErr w:type="spellEnd"/>
          <w:r w:rsidRPr="00FA4846">
            <w:t xml:space="preserve"> </w:t>
          </w:r>
          <w:r>
            <w:t>(</w:t>
          </w:r>
          <w:proofErr w:type="spellStart"/>
          <w:r>
            <w:t>Xiaflex</w:t>
          </w:r>
          <w:proofErr w:type="spellEnd"/>
          <w:r>
            <w:t>)</w:t>
          </w:r>
        </w:p>
      </w:tc>
      <w:tc>
        <w:tcPr>
          <w:tcW w:w="923" w:type="dxa"/>
          <w:tcMar>
            <w:top w:w="142" w:type="dxa"/>
            <w:bottom w:w="0" w:type="dxa"/>
          </w:tcMar>
        </w:tcPr>
        <w:p w:rsidR="006C28FB" w:rsidRPr="00487162" w:rsidRDefault="006C28FB" w:rsidP="00D855D4">
          <w:pPr>
            <w:pStyle w:val="Footer"/>
            <w:jc w:val="right"/>
          </w:pPr>
          <w:r w:rsidRPr="00487162">
            <w:t xml:space="preserve">Page </w:t>
          </w:r>
          <w:r>
            <w:t>2</w:t>
          </w:r>
          <w:r w:rsidRPr="00487162">
            <w:t xml:space="preserve"> of </w:t>
          </w:r>
          <w:fldSimple w:instr=" NUMPAGES  \* Arabic ">
            <w:r w:rsidR="00AC2DFF">
              <w:rPr>
                <w:noProof/>
              </w:rPr>
              <w:t>69</w:t>
            </w:r>
          </w:fldSimple>
        </w:p>
      </w:tc>
    </w:tr>
  </w:tbl>
  <w:p w:rsidR="006C28FB" w:rsidRDefault="006C28FB"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C28FB" w:rsidRPr="00487162" w:rsidTr="00586F98">
      <w:trPr>
        <w:trHeight w:val="269"/>
      </w:trPr>
      <w:tc>
        <w:tcPr>
          <w:tcW w:w="7655" w:type="dxa"/>
          <w:tcMar>
            <w:top w:w="142" w:type="dxa"/>
            <w:bottom w:w="0" w:type="dxa"/>
          </w:tcMar>
        </w:tcPr>
        <w:p w:rsidR="006C28FB" w:rsidRPr="00487162" w:rsidRDefault="006C28FB" w:rsidP="00D855D4">
          <w:pPr>
            <w:pStyle w:val="Footer"/>
          </w:pPr>
          <w:r>
            <w:t>Submission</w:t>
          </w:r>
          <w:r w:rsidRPr="00487162">
            <w:t xml:space="preserve"> PM-20</w:t>
          </w:r>
          <w:r>
            <w:t>12</w:t>
          </w:r>
          <w:r w:rsidRPr="00487162">
            <w:t>-</w:t>
          </w:r>
          <w:r>
            <w:t xml:space="preserve">01472-3-3 Extract from the Clinical Evaluation Report for </w:t>
          </w:r>
          <w:proofErr w:type="spellStart"/>
          <w:r w:rsidRPr="00FA4846">
            <w:t>Collagenase</w:t>
          </w:r>
          <w:proofErr w:type="spellEnd"/>
          <w:r w:rsidRPr="00FA4846">
            <w:t xml:space="preserve"> clostridium </w:t>
          </w:r>
          <w:proofErr w:type="spellStart"/>
          <w:r w:rsidRPr="00FA4846">
            <w:t>histolyticum</w:t>
          </w:r>
          <w:proofErr w:type="spellEnd"/>
          <w:r w:rsidRPr="00FA4846">
            <w:t xml:space="preserve"> </w:t>
          </w:r>
          <w:r>
            <w:t>(</w:t>
          </w:r>
          <w:proofErr w:type="spellStart"/>
          <w:r>
            <w:t>Xiaflex</w:t>
          </w:r>
          <w:proofErr w:type="spellEnd"/>
          <w:r>
            <w:t>)</w:t>
          </w:r>
        </w:p>
      </w:tc>
      <w:tc>
        <w:tcPr>
          <w:tcW w:w="1206" w:type="dxa"/>
          <w:tcMar>
            <w:top w:w="142" w:type="dxa"/>
            <w:bottom w:w="0" w:type="dxa"/>
          </w:tcMar>
        </w:tcPr>
        <w:p w:rsidR="006C28FB" w:rsidRPr="00487162" w:rsidRDefault="006C28FB" w:rsidP="00E45619">
          <w:pPr>
            <w:pStyle w:val="Footer"/>
            <w:jc w:val="right"/>
          </w:pPr>
          <w:r w:rsidRPr="00487162">
            <w:t xml:space="preserve">Page </w:t>
          </w:r>
          <w:fldSimple w:instr="PAGE">
            <w:r w:rsidR="00AC2DFF">
              <w:rPr>
                <w:noProof/>
              </w:rPr>
              <w:t>60</w:t>
            </w:r>
          </w:fldSimple>
          <w:r w:rsidRPr="00487162">
            <w:t xml:space="preserve"> of </w:t>
          </w:r>
          <w:fldSimple w:instr=" NUMPAGES  \* Arabic ">
            <w:r w:rsidR="00AC2DFF">
              <w:rPr>
                <w:noProof/>
              </w:rPr>
              <w:t>69</w:t>
            </w:r>
          </w:fldSimple>
        </w:p>
      </w:tc>
    </w:tr>
  </w:tbl>
  <w:p w:rsidR="006C28FB" w:rsidRDefault="006C28FB"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C28FB" w:rsidRPr="00487162" w:rsidTr="00E45619">
      <w:trPr>
        <w:trHeight w:val="269"/>
      </w:trPr>
      <w:tc>
        <w:tcPr>
          <w:tcW w:w="4519" w:type="dxa"/>
          <w:tcBorders>
            <w:top w:val="single" w:sz="4" w:space="0" w:color="auto"/>
          </w:tcBorders>
          <w:tcMar>
            <w:top w:w="142" w:type="dxa"/>
            <w:bottom w:w="0" w:type="dxa"/>
          </w:tcMar>
        </w:tcPr>
        <w:p w:rsidR="006C28FB" w:rsidRPr="00487162" w:rsidRDefault="006C28FB" w:rsidP="00FE1DEE">
          <w:pPr>
            <w:pStyle w:val="Footer"/>
          </w:pPr>
          <w:r w:rsidRPr="00487162">
            <w:t>Document title, Part #, Section # - Section title</w:t>
          </w:r>
        </w:p>
        <w:p w:rsidR="006C28FB" w:rsidRPr="00487162" w:rsidRDefault="006C28FB" w:rsidP="00FE1DEE">
          <w:pPr>
            <w:pStyle w:val="Footer"/>
          </w:pPr>
          <w:r w:rsidRPr="00487162">
            <w:t>V1.0 October 2010</w:t>
          </w:r>
        </w:p>
      </w:tc>
      <w:tc>
        <w:tcPr>
          <w:tcW w:w="4342" w:type="dxa"/>
          <w:tcBorders>
            <w:top w:val="single" w:sz="4" w:space="0" w:color="auto"/>
          </w:tcBorders>
          <w:tcMar>
            <w:top w:w="142" w:type="dxa"/>
            <w:bottom w:w="0" w:type="dxa"/>
          </w:tcMar>
        </w:tcPr>
        <w:p w:rsidR="006C28FB" w:rsidRPr="00487162" w:rsidRDefault="006C28F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6C28FB" w:rsidRDefault="006C28F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C28FB" w:rsidRPr="00487162" w:rsidTr="008D770F">
              <w:trPr>
                <w:trHeight w:hRule="exact" w:val="564"/>
              </w:trPr>
              <w:tc>
                <w:tcPr>
                  <w:tcW w:w="9175" w:type="dxa"/>
                </w:tcPr>
                <w:p w:rsidR="006C28FB" w:rsidRPr="00487162" w:rsidRDefault="006C28FB" w:rsidP="008E7846">
                  <w:pPr>
                    <w:pStyle w:val="TGASignoff"/>
                  </w:pPr>
                  <w:r w:rsidRPr="00487162">
                    <w:t>Therapeutic Goods Administration</w:t>
                  </w:r>
                </w:p>
              </w:tc>
            </w:tr>
            <w:tr w:rsidR="006C28FB" w:rsidRPr="00487162" w:rsidTr="00E45619">
              <w:trPr>
                <w:trHeight w:val="1221"/>
              </w:trPr>
              <w:tc>
                <w:tcPr>
                  <w:tcW w:w="9175" w:type="dxa"/>
                  <w:tcMar>
                    <w:top w:w="28" w:type="dxa"/>
                  </w:tcMar>
                </w:tcPr>
                <w:p w:rsidR="006C28FB" w:rsidRPr="00487162" w:rsidRDefault="006C28FB" w:rsidP="00E45619">
                  <w:pPr>
                    <w:pStyle w:val="Address"/>
                  </w:pPr>
                  <w:r w:rsidRPr="00487162">
                    <w:t>PO Box 100 Woden ACT 2606 Australia</w:t>
                  </w:r>
                </w:p>
                <w:p w:rsidR="006C28FB" w:rsidRPr="00487162" w:rsidRDefault="006C28FB"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6C28FB" w:rsidRPr="008D770F" w:rsidRDefault="00B938C6" w:rsidP="008D770F">
                  <w:pPr>
                    <w:pStyle w:val="Address"/>
                    <w:spacing w:line="260" w:lineRule="atLeast"/>
                    <w:rPr>
                      <w:b/>
                      <w:color w:val="0000FF"/>
                      <w:u w:val="single"/>
                    </w:rPr>
                  </w:pPr>
                  <w:hyperlink r:id="rId2" w:history="1">
                    <w:r w:rsidR="006C28FB" w:rsidRPr="007C06C7">
                      <w:rPr>
                        <w:rStyle w:val="Hyperlink"/>
                        <w:b/>
                      </w:rPr>
                      <w:t>http://www.tga.gov.au</w:t>
                    </w:r>
                  </w:hyperlink>
                </w:p>
              </w:tc>
            </w:tr>
          </w:tbl>
          <w:p w:rsidR="006C28FB" w:rsidRDefault="00B938C6"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C28FB" w:rsidTr="0010601F">
      <w:trPr>
        <w:trHeight w:val="108"/>
      </w:trPr>
      <w:tc>
        <w:tcPr>
          <w:tcW w:w="8875" w:type="dxa"/>
          <w:gridSpan w:val="2"/>
          <w:tcBorders>
            <w:bottom w:val="single" w:sz="4" w:space="0" w:color="auto"/>
          </w:tcBorders>
          <w:tcMar>
            <w:right w:w="284" w:type="dxa"/>
          </w:tcMar>
        </w:tcPr>
        <w:p w:rsidR="006C28FB" w:rsidRDefault="006C28FB" w:rsidP="006E08B3">
          <w:pPr>
            <w:pStyle w:val="Heading3"/>
          </w:pPr>
          <w:r>
            <w:t>Copyright</w:t>
          </w:r>
        </w:p>
        <w:p w:rsidR="006C28FB" w:rsidRDefault="006C28FB" w:rsidP="006E08B3">
          <w:r>
            <w:rPr>
              <w:rFonts w:cs="Arial"/>
            </w:rPr>
            <w:t>©</w:t>
          </w:r>
          <w:r>
            <w:t xml:space="preserve"> Commonwealth of Australia [add year]</w:t>
          </w:r>
        </w:p>
        <w:p w:rsidR="006C28FB" w:rsidRDefault="006C28FB" w:rsidP="006E08B3"/>
        <w:p w:rsidR="006C28FB" w:rsidRDefault="006C28F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C28FB" w:rsidRDefault="006C28FB" w:rsidP="006E08B3"/>
        <w:p w:rsidR="006C28FB" w:rsidRDefault="006C28FB" w:rsidP="006E08B3">
          <w:pPr>
            <w:pStyle w:val="Heading3"/>
          </w:pPr>
          <w:r>
            <w:t>Confidentiality</w:t>
          </w:r>
        </w:p>
        <w:p w:rsidR="006C28FB" w:rsidRDefault="006C28F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C28FB" w:rsidRDefault="006C28FB" w:rsidP="006E08B3"/>
        <w:p w:rsidR="006C28FB" w:rsidRDefault="006C28FB" w:rsidP="006E08B3">
          <w:r>
            <w:t>For submission made by individuals, all personal details, other than your name, will be removed from your submission before it is published on the TGA’s Internet site.</w:t>
          </w:r>
        </w:p>
        <w:p w:rsidR="006C28FB" w:rsidRDefault="006C28FB" w:rsidP="006E08B3"/>
        <w:p w:rsidR="006C28FB" w:rsidRDefault="006C28FB" w:rsidP="006E08B3">
          <w:r>
            <w:t>In addition, a list of parties making submissions will be published. If you do not wish to be identified with your submission you must specifically request this in the space provided ib the submission coversheet.</w:t>
          </w:r>
        </w:p>
      </w:tc>
    </w:tr>
    <w:tr w:rsidR="006C28FB" w:rsidTr="0010601F">
      <w:trPr>
        <w:trHeight w:val="417"/>
      </w:trPr>
      <w:tc>
        <w:tcPr>
          <w:tcW w:w="4519" w:type="dxa"/>
          <w:tcBorders>
            <w:top w:val="single" w:sz="4" w:space="0" w:color="auto"/>
          </w:tcBorders>
          <w:tcMar>
            <w:top w:w="142" w:type="dxa"/>
            <w:bottom w:w="0" w:type="dxa"/>
          </w:tcMar>
        </w:tcPr>
        <w:p w:rsidR="006C28FB" w:rsidRDefault="006C28FB" w:rsidP="006E08B3">
          <w:r>
            <w:t>Document title, Part #, Section # - Section title</w:t>
          </w:r>
        </w:p>
        <w:p w:rsidR="006C28FB" w:rsidRDefault="006C28FB" w:rsidP="006E08B3">
          <w:r>
            <w:t>V1.0 October 2010</w:t>
          </w:r>
        </w:p>
      </w:tc>
      <w:tc>
        <w:tcPr>
          <w:tcW w:w="4356" w:type="dxa"/>
          <w:tcBorders>
            <w:top w:val="single" w:sz="4" w:space="0" w:color="auto"/>
          </w:tcBorders>
          <w:tcMar>
            <w:top w:w="142" w:type="dxa"/>
            <w:bottom w:w="0" w:type="dxa"/>
          </w:tcMar>
        </w:tcPr>
        <w:p w:rsidR="006C28FB" w:rsidRDefault="006C28FB"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6C28FB" w:rsidRDefault="006C28F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8FB" w:rsidRDefault="006C28FB" w:rsidP="00C40A36">
      <w:pPr>
        <w:spacing w:after="0"/>
      </w:pPr>
      <w:r>
        <w:separator/>
      </w:r>
    </w:p>
  </w:footnote>
  <w:footnote w:type="continuationSeparator" w:id="0">
    <w:p w:rsidR="006C28FB" w:rsidRDefault="006C28FB" w:rsidP="00C40A36">
      <w:pPr>
        <w:spacing w:after="0"/>
      </w:pPr>
      <w:r>
        <w:continuationSeparator/>
      </w:r>
    </w:p>
  </w:footnote>
  <w:footnote w:id="1">
    <w:p w:rsidR="006C28FB" w:rsidRPr="0064230A" w:rsidRDefault="006C28FB" w:rsidP="000135F1">
      <w:pPr>
        <w:pStyle w:val="FootnoteText"/>
        <w:ind w:left="142" w:hanging="142"/>
      </w:pPr>
      <w:r w:rsidRPr="0064230A">
        <w:rPr>
          <w:rStyle w:val="FootnoteReference"/>
        </w:rPr>
        <w:footnoteRef/>
      </w:r>
      <w:r w:rsidRPr="0064230A">
        <w:t xml:space="preserve"> Clinical success was defined as a reduction in contracture (flexion deformity) to ≤5° of normal as measure by finger goniometry 30 days after injection.</w:t>
      </w:r>
    </w:p>
  </w:footnote>
  <w:footnote w:id="2">
    <w:p w:rsidR="006C28FB" w:rsidRDefault="006C28FB" w:rsidP="00F513B2">
      <w:pPr>
        <w:pStyle w:val="FootnoteText"/>
      </w:pPr>
      <w:r>
        <w:rPr>
          <w:rStyle w:val="FootnoteReference"/>
        </w:rPr>
        <w:footnoteRef/>
      </w:r>
      <w:r>
        <w:t xml:space="preserve"> </w:t>
      </w:r>
      <w:proofErr w:type="spellStart"/>
      <w:r w:rsidRPr="00F45DEC">
        <w:t>Badalamente</w:t>
      </w:r>
      <w:proofErr w:type="spellEnd"/>
      <w:r w:rsidRPr="00F45DEC">
        <w:t xml:space="preserve"> MA and Hurst LC. Enzyme injection as nonsurgical treatment of </w:t>
      </w:r>
      <w:proofErr w:type="spellStart"/>
      <w:r w:rsidRPr="00F45DEC">
        <w:t>Dupuytren's</w:t>
      </w:r>
      <w:proofErr w:type="spellEnd"/>
      <w:r w:rsidRPr="00F45DEC">
        <w:t xml:space="preserve"> disease. </w:t>
      </w:r>
      <w:r w:rsidRPr="00F45DEC">
        <w:rPr>
          <w:i/>
        </w:rPr>
        <w:t>J Hand Surg</w:t>
      </w:r>
      <w:r w:rsidRPr="00F45DEC">
        <w:t>. 2000; 25A: 629-636.</w:t>
      </w:r>
    </w:p>
  </w:footnote>
  <w:footnote w:id="3">
    <w:p w:rsidR="006C28FB" w:rsidRPr="00CD48FD" w:rsidRDefault="006C28FB" w:rsidP="00F513B2">
      <w:pPr>
        <w:pStyle w:val="FootnoteText"/>
      </w:pPr>
      <w:r w:rsidRPr="00CD48FD">
        <w:rPr>
          <w:rStyle w:val="FootnoteReference"/>
          <w:sz w:val="20"/>
        </w:rPr>
        <w:footnoteRef/>
      </w:r>
      <w:r w:rsidRPr="00CD48FD">
        <w:t xml:space="preserve"> A positive “table top test” was defined as the inability to simultaneously place the affected finger(s) and palm flat against a table top.</w:t>
      </w:r>
    </w:p>
  </w:footnote>
  <w:footnote w:id="4">
    <w:p w:rsidR="006C28FB" w:rsidRPr="00CD48FD" w:rsidRDefault="006C28FB" w:rsidP="00F513B2">
      <w:pPr>
        <w:pStyle w:val="FootnoteText"/>
        <w:rPr>
          <w:b/>
        </w:rPr>
      </w:pPr>
      <w:r w:rsidRPr="00CD48FD">
        <w:rPr>
          <w:rStyle w:val="FootnoteReference"/>
          <w:sz w:val="20"/>
        </w:rPr>
        <w:footnoteRef/>
      </w:r>
      <w:r w:rsidRPr="00CD48FD">
        <w:t xml:space="preserve"> In the Neutral Zero Method to determine full extension and flexion all joint motions are measured with a </w:t>
      </w:r>
      <w:proofErr w:type="spellStart"/>
      <w:r w:rsidRPr="00CD48FD">
        <w:t>gonimeter</w:t>
      </w:r>
      <w:proofErr w:type="spellEnd"/>
      <w:r w:rsidRPr="00CD48FD">
        <w:t xml:space="preserve"> from a defining zero starting point. </w:t>
      </w:r>
      <w:r w:rsidRPr="00CD48FD">
        <w:rPr>
          <w:rFonts w:cs="TimesNewRomanPSMT"/>
          <w:lang w:eastAsia="zh-TW"/>
        </w:rPr>
        <w:t>The degree of motion of a joint is added in the direction the joint moved from the zero starting position. The extended “anatomical position” of an extremity is accepted as zero degrees rather than as 180 degrees.</w:t>
      </w:r>
    </w:p>
  </w:footnote>
  <w:footnote w:id="5">
    <w:p w:rsidR="006C28FB" w:rsidRPr="00516476" w:rsidRDefault="006C28FB" w:rsidP="00537A60">
      <w:pPr>
        <w:pStyle w:val="FootnoteText"/>
      </w:pPr>
      <w:r w:rsidRPr="00516476">
        <w:rPr>
          <w:rStyle w:val="FootnoteReference"/>
          <w:szCs w:val="18"/>
        </w:rPr>
        <w:footnoteRef/>
      </w:r>
      <w:r w:rsidRPr="00516476">
        <w:t xml:space="preserve"> There were 19 joints considered </w:t>
      </w:r>
      <w:proofErr w:type="spellStart"/>
      <w:r w:rsidRPr="00516476">
        <w:t>unevaluable</w:t>
      </w:r>
      <w:proofErr w:type="spellEnd"/>
      <w:r w:rsidRPr="00516476">
        <w:t xml:space="preserve"> due to contracture measurements ≤5° at first injection or there was no post-baseline measurement.</w:t>
      </w:r>
    </w:p>
  </w:footnote>
  <w:footnote w:id="6">
    <w:p w:rsidR="006C28FB" w:rsidRPr="00936DD6" w:rsidRDefault="006C28FB" w:rsidP="00182B06">
      <w:pPr>
        <w:pStyle w:val="FootnoteText"/>
      </w:pPr>
      <w:r w:rsidRPr="00936DD6">
        <w:rPr>
          <w:rStyle w:val="FootnoteReference"/>
          <w:szCs w:val="18"/>
        </w:rPr>
        <w:footnoteRef/>
      </w:r>
      <w:r w:rsidRPr="00936DD6">
        <w:t xml:space="preserve"> Low severity fixed-flexion MP contracture: </w:t>
      </w:r>
      <w:r w:rsidRPr="00936DD6">
        <w:rPr>
          <w:rFonts w:cs="Arial"/>
        </w:rPr>
        <w:t>≤</w:t>
      </w:r>
      <w:r w:rsidRPr="00936DD6">
        <w:t xml:space="preserve">50°, fixed-flexion PIP contracture </w:t>
      </w:r>
      <w:r w:rsidRPr="00936DD6">
        <w:rPr>
          <w:rFonts w:cs="Arial"/>
        </w:rPr>
        <w:t>≤</w:t>
      </w:r>
      <w:r w:rsidRPr="00936DD6">
        <w:t>40°; High severity fixed-flexion MP contracture: &gt;50°, fixed-flexion PIP contracture &gt;40°.</w:t>
      </w:r>
    </w:p>
  </w:footnote>
  <w:footnote w:id="7">
    <w:p w:rsidR="006C28FB" w:rsidRPr="00F45DEC" w:rsidRDefault="006C28FB" w:rsidP="00555A2E">
      <w:pPr>
        <w:pStyle w:val="FootnoteText"/>
      </w:pPr>
      <w:r w:rsidRPr="00F45DEC">
        <w:rPr>
          <w:rStyle w:val="FootnoteReference"/>
          <w:szCs w:val="18"/>
        </w:rPr>
        <w:footnoteRef/>
      </w:r>
      <w:r w:rsidRPr="00F45DEC">
        <w:t xml:space="preserve"> Recurrence was assessed in successfully treated joints (i.e. reduction in contracture to 5° or less at the Day 30 evaluation after the last injection of AA4500 in a previous study) and was defined as an increase in joint contracture by at least 20° in the presence of a palpable cord, or the joint undergoes medical or surgical intervention primarily to correct a new or worsening </w:t>
      </w:r>
      <w:proofErr w:type="spellStart"/>
      <w:r w:rsidRPr="00F45DEC">
        <w:t>Dupuytren’s</w:t>
      </w:r>
      <w:proofErr w:type="spellEnd"/>
      <w:r w:rsidRPr="00F45DEC">
        <w:t xml:space="preserve"> contracture in that joint.</w:t>
      </w:r>
    </w:p>
  </w:footnote>
  <w:footnote w:id="8">
    <w:p w:rsidR="006C28FB" w:rsidRPr="00F45DEC" w:rsidRDefault="006C28FB" w:rsidP="00555A2E">
      <w:pPr>
        <w:pStyle w:val="FootnoteText"/>
      </w:pPr>
      <w:r w:rsidRPr="00F45DEC">
        <w:rPr>
          <w:rStyle w:val="FootnoteReference"/>
          <w:szCs w:val="18"/>
        </w:rPr>
        <w:footnoteRef/>
      </w:r>
      <w:r w:rsidRPr="00F45DEC">
        <w:t xml:space="preserve"> Non-durability of response was assessed in joints with measurable improvement in contracture (i.e. did not achieve clinical success but did have a reduction in baseline contracture of at least 20° at the Day 30 evaluation after the last injection or at the final evaluation) and was defined as an increase in joint contracture by at least 20° in the presence of a palpable cord, or the joint undergoes medical or surgical intervention.</w:t>
      </w:r>
    </w:p>
  </w:footnote>
  <w:footnote w:id="9">
    <w:p w:rsidR="006C28FB" w:rsidRPr="00F45DEC" w:rsidRDefault="006C28FB" w:rsidP="00555A2E">
      <w:pPr>
        <w:pStyle w:val="FootnoteText"/>
      </w:pPr>
      <w:r w:rsidRPr="00F45DEC">
        <w:rPr>
          <w:rStyle w:val="FootnoteReference"/>
          <w:szCs w:val="18"/>
        </w:rPr>
        <w:footnoteRef/>
      </w:r>
      <w:r w:rsidRPr="00F45DEC">
        <w:t xml:space="preserve"> Disease progression was assessed in joints that either were not treated with AA4500 or not effectively treated (i.e. did not have at least a 20° reduction from baseline) and was defined as an increase in joint contracture by at least 20° in the presence of a palpable cord, or the joint undergoes medical or surgical intervention primarily to correct a new or worsening </w:t>
      </w:r>
      <w:proofErr w:type="spellStart"/>
      <w:r w:rsidRPr="00F45DEC">
        <w:t>Dupuytren’s</w:t>
      </w:r>
      <w:proofErr w:type="spellEnd"/>
      <w:r w:rsidRPr="00F45DEC">
        <w:t xml:space="preserve"> contracture in that joint.</w:t>
      </w:r>
    </w:p>
  </w:footnote>
  <w:footnote w:id="10">
    <w:p w:rsidR="006C28FB" w:rsidRPr="00F45DEC" w:rsidRDefault="006C28FB" w:rsidP="00555A2E">
      <w:pPr>
        <w:pStyle w:val="FootnoteText"/>
      </w:pPr>
      <w:r w:rsidRPr="00F45DEC">
        <w:rPr>
          <w:rStyle w:val="FootnoteReference"/>
          <w:szCs w:val="18"/>
        </w:rPr>
        <w:footnoteRef/>
      </w:r>
      <w:r w:rsidRPr="00F45DEC">
        <w:t xml:space="preserve"> Measurably improved joints were joints that did not have a reduction to 5° or less at the Day 30 evaluation after the last injection, but did have a reduction in baseline contracture of at least 20° at the Day 30 evaluation after the last injection or at the final evaluation. </w:t>
      </w:r>
    </w:p>
  </w:footnote>
  <w:footnote w:id="11">
    <w:p w:rsidR="006C28FB" w:rsidRDefault="006C28FB" w:rsidP="00773879">
      <w:pPr>
        <w:pStyle w:val="FootnoteText"/>
      </w:pPr>
      <w:r>
        <w:rPr>
          <w:rStyle w:val="FootnoteReference"/>
        </w:rPr>
        <w:footnoteRef/>
      </w:r>
      <w:r>
        <w:t xml:space="preserve"> </w:t>
      </w:r>
      <w:proofErr w:type="spellStart"/>
      <w:r w:rsidRPr="000135F1">
        <w:t>Badalamente</w:t>
      </w:r>
      <w:proofErr w:type="spellEnd"/>
      <w:r w:rsidRPr="000135F1">
        <w:t xml:space="preserve"> MA and Hurst LC. Enzyme injection as nonsurgical treatment of </w:t>
      </w:r>
      <w:proofErr w:type="spellStart"/>
      <w:r w:rsidRPr="000135F1">
        <w:t>Dupuytren's</w:t>
      </w:r>
      <w:proofErr w:type="spellEnd"/>
      <w:r w:rsidRPr="000135F1">
        <w:t xml:space="preserve"> disease. </w:t>
      </w:r>
      <w:r w:rsidRPr="000135F1">
        <w:rPr>
          <w:i/>
        </w:rPr>
        <w:t>J Hand Surg</w:t>
      </w:r>
      <w:r w:rsidRPr="000135F1">
        <w:t>. 2000; 25A: 629-636.</w:t>
      </w:r>
    </w:p>
  </w:footnote>
  <w:footnote w:id="12">
    <w:p w:rsidR="006C28FB" w:rsidRDefault="006C28FB" w:rsidP="00F11D7D">
      <w:pPr>
        <w:pStyle w:val="FootnoteText"/>
      </w:pPr>
      <w:r>
        <w:rPr>
          <w:rStyle w:val="FootnoteReference"/>
        </w:rPr>
        <w:footnoteRef/>
      </w:r>
      <w:r>
        <w:t xml:space="preserve"> </w:t>
      </w:r>
      <w:r w:rsidRPr="000135F1">
        <w:t xml:space="preserve">van </w:t>
      </w:r>
      <w:proofErr w:type="spellStart"/>
      <w:r w:rsidRPr="000135F1">
        <w:t>Rijssen</w:t>
      </w:r>
      <w:proofErr w:type="spellEnd"/>
      <w:r w:rsidRPr="000135F1">
        <w:t xml:space="preserve"> AL, </w:t>
      </w:r>
      <w:proofErr w:type="spellStart"/>
      <w:r w:rsidRPr="000135F1">
        <w:t>Werker</w:t>
      </w:r>
      <w:proofErr w:type="spellEnd"/>
      <w:r w:rsidRPr="000135F1">
        <w:t xml:space="preserve"> PM. </w:t>
      </w:r>
      <w:proofErr w:type="spellStart"/>
      <w:r w:rsidRPr="000135F1">
        <w:t>Percutaneous</w:t>
      </w:r>
      <w:proofErr w:type="spellEnd"/>
      <w:r w:rsidRPr="000135F1">
        <w:t xml:space="preserve"> needle </w:t>
      </w:r>
      <w:proofErr w:type="spellStart"/>
      <w:r w:rsidRPr="000135F1">
        <w:t>fasciotomy</w:t>
      </w:r>
      <w:proofErr w:type="spellEnd"/>
      <w:r w:rsidRPr="000135F1">
        <w:t xml:space="preserve"> in </w:t>
      </w:r>
      <w:proofErr w:type="spellStart"/>
      <w:r w:rsidRPr="000135F1">
        <w:t>dupuytren's</w:t>
      </w:r>
      <w:proofErr w:type="spellEnd"/>
      <w:r w:rsidRPr="000135F1">
        <w:t xml:space="preserve"> </w:t>
      </w:r>
      <w:proofErr w:type="spellStart"/>
      <w:r w:rsidRPr="000135F1">
        <w:t>disease.</w:t>
      </w:r>
      <w:r w:rsidRPr="000135F1">
        <w:rPr>
          <w:i/>
        </w:rPr>
        <w:t>J</w:t>
      </w:r>
      <w:proofErr w:type="spellEnd"/>
      <w:r w:rsidRPr="000135F1">
        <w:rPr>
          <w:i/>
        </w:rPr>
        <w:t xml:space="preserve"> Hand Surg Br</w:t>
      </w:r>
      <w:r w:rsidRPr="000135F1">
        <w:t>. 2006; 31(5):498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-1083031</wp:posOffset>
          </wp:positionH>
          <wp:positionV relativeFrom="paragraph">
            <wp:posOffset>-583260</wp:posOffset>
          </wp:positionV>
          <wp:extent cx="7566813" cy="10709453"/>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6813" cy="10709453"/>
                  </a:xfrm>
                  <a:prstGeom prst="rect">
                    <a:avLst/>
                  </a:prstGeom>
                </pic:spPr>
              </pic:pic>
            </a:graphicData>
          </a:graphic>
        </wp:anchor>
      </w:drawing>
    </w:r>
  </w:p>
  <w:p w:rsidR="006C28FB" w:rsidRDefault="00AC2DF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8FB" w:rsidRDefault="006C28FB" w:rsidP="006E08B3">
    <w:r>
      <w:t>Therapeutic Goods Administration</w:t>
    </w:r>
  </w:p>
  <w:p w:rsidR="006C28FB" w:rsidRDefault="006C28F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3989904"/>
    <w:lvl w:ilvl="0">
      <w:start w:val="1"/>
      <w:numFmt w:val="decimal"/>
      <w:lvlText w:val="%1."/>
      <w:lvlJc w:val="left"/>
      <w:pPr>
        <w:tabs>
          <w:tab w:val="num" w:pos="1492"/>
        </w:tabs>
        <w:ind w:left="1492" w:hanging="360"/>
      </w:pPr>
    </w:lvl>
  </w:abstractNum>
  <w:abstractNum w:abstractNumId="1">
    <w:nsid w:val="FFFFFF7D"/>
    <w:multiLevelType w:val="singleLevel"/>
    <w:tmpl w:val="0FC2F2EA"/>
    <w:lvl w:ilvl="0">
      <w:start w:val="1"/>
      <w:numFmt w:val="decimal"/>
      <w:lvlText w:val="%1."/>
      <w:lvlJc w:val="left"/>
      <w:pPr>
        <w:tabs>
          <w:tab w:val="num" w:pos="1209"/>
        </w:tabs>
        <w:ind w:left="1209" w:hanging="360"/>
      </w:pPr>
    </w:lvl>
  </w:abstractNum>
  <w:abstractNum w:abstractNumId="2">
    <w:nsid w:val="FFFFFF7E"/>
    <w:multiLevelType w:val="singleLevel"/>
    <w:tmpl w:val="AA4A7B34"/>
    <w:lvl w:ilvl="0">
      <w:start w:val="1"/>
      <w:numFmt w:val="decimal"/>
      <w:lvlText w:val="%1."/>
      <w:lvlJc w:val="left"/>
      <w:pPr>
        <w:tabs>
          <w:tab w:val="num" w:pos="926"/>
        </w:tabs>
        <w:ind w:left="926" w:hanging="360"/>
      </w:pPr>
    </w:lvl>
  </w:abstractNum>
  <w:abstractNum w:abstractNumId="3">
    <w:nsid w:val="FFFFFF7F"/>
    <w:multiLevelType w:val="singleLevel"/>
    <w:tmpl w:val="CD0E28DA"/>
    <w:lvl w:ilvl="0">
      <w:start w:val="1"/>
      <w:numFmt w:val="decimal"/>
      <w:lvlText w:val="%1."/>
      <w:lvlJc w:val="left"/>
      <w:pPr>
        <w:tabs>
          <w:tab w:val="num" w:pos="643"/>
        </w:tabs>
        <w:ind w:left="643" w:hanging="360"/>
      </w:pPr>
    </w:lvl>
  </w:abstractNum>
  <w:abstractNum w:abstractNumId="4">
    <w:nsid w:val="FFFFFF80"/>
    <w:multiLevelType w:val="singleLevel"/>
    <w:tmpl w:val="1A5235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7E01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BEEE476E"/>
    <w:lvl w:ilvl="0">
      <w:start w:val="1"/>
      <w:numFmt w:val="decimal"/>
      <w:lvlText w:val="%1."/>
      <w:lvlJc w:val="left"/>
      <w:pPr>
        <w:tabs>
          <w:tab w:val="num" w:pos="360"/>
        </w:tabs>
        <w:ind w:left="360" w:hanging="360"/>
      </w:pPr>
    </w:lvl>
  </w:abstractNum>
  <w:abstractNum w:abstractNumId="9">
    <w:nsid w:val="FFFFFF89"/>
    <w:multiLevelType w:val="singleLevel"/>
    <w:tmpl w:val="E9BEA07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1BD4CFE"/>
    <w:multiLevelType w:val="hybridMultilevel"/>
    <w:tmpl w:val="1F8C8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325E6C1F"/>
    <w:multiLevelType w:val="hybridMultilevel"/>
    <w:tmpl w:val="756E9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13555B7"/>
    <w:multiLevelType w:val="hybridMultilevel"/>
    <w:tmpl w:val="17C8B3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5B1D244D"/>
    <w:multiLevelType w:val="hybridMultilevel"/>
    <w:tmpl w:val="B08091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40F4CDC"/>
    <w:multiLevelType w:val="hybridMultilevel"/>
    <w:tmpl w:val="9D2C1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6D0B1B75"/>
    <w:multiLevelType w:val="multilevel"/>
    <w:tmpl w:val="D3FAAFB8"/>
    <w:lvl w:ilvl="0">
      <w:start w:val="1"/>
      <w:numFmt w:val="decimal"/>
      <w:pStyle w:val="Heading2"/>
      <w:lvlText w:val="%1."/>
      <w:lvlJc w:val="left"/>
      <w:pPr>
        <w:tabs>
          <w:tab w:val="num" w:pos="1985"/>
        </w:tabs>
        <w:ind w:left="1985"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3">
    <w:nsid w:val="785F32CB"/>
    <w:multiLevelType w:val="hybridMultilevel"/>
    <w:tmpl w:val="839C83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7"/>
  </w:num>
  <w:num w:numId="27">
    <w:abstractNumId w:val="19"/>
  </w:num>
  <w:num w:numId="28">
    <w:abstractNumId w:val="21"/>
  </w:num>
  <w:num w:numId="29">
    <w:abstractNumId w:val="22"/>
  </w:num>
  <w:num w:numId="30">
    <w:abstractNumId w:val="22"/>
  </w:num>
  <w:num w:numId="31">
    <w:abstractNumId w:val="22"/>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4"/>
  </w:num>
  <w:num w:numId="34">
    <w:abstractNumId w:val="11"/>
  </w:num>
  <w:num w:numId="35">
    <w:abstractNumId w:val="16"/>
  </w:num>
  <w:num w:numId="36">
    <w:abstractNumId w:val="23"/>
  </w:num>
  <w:num w:numId="37">
    <w:abstractNumId w:val="18"/>
  </w:num>
  <w:num w:numId="38">
    <w:abstractNumId w:val="20"/>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12"/>
    <w:lvlOverride w:ilvl="0">
      <w:startOverride w:val="1"/>
      <w:lvl w:ilvl="0">
        <w:start w:val="1"/>
        <w:numFmt w:val="decimal"/>
        <w:pStyle w:val="Numberbullet0"/>
        <w:lvlText w:val="%ӥ&#10;̊栄手栄捋ĀͶ栄摋˾栄敋Ā栄晋Ā栄杋Ā栄桋Ā"/>
        <w:lvlJc w:val="left"/>
      </w:lvl>
    </w:lvlOverride>
    <w:lvlOverride w:ilvl="1">
      <w:startOverride w:val="1"/>
      <w:lvl w:ilvl="1">
        <w:start w:val="1"/>
        <w:numFmt w:val="lowerLetter"/>
        <w:pStyle w:val="Numberbullet2"/>
        <w:lvlText w:val="%̡韰˚꘠Ҵ&#10;̊栄手栄捋ĀͶ栄摋˾栄敋Ā栄晋Ā栄杋Ā"/>
        <w:lvlJc w:val="left"/>
        <w:rPr>
          <w:rFonts w:hint="default"/>
        </w:rPr>
      </w:lvl>
    </w:lvlOverride>
    <w:lvlOverride w:ilvl="2">
      <w:startOverride w:val="1"/>
      <w:lvl w:ilvl="2">
        <w:start w:val="1"/>
        <w:numFmt w:val="lowerRoman"/>
        <w:pStyle w:val="Numberbullet3"/>
        <w:lvlText w:val="%ϛѐϒ⌘˰韰˚꘠Ҵ&#10;̊栄手栄捋ĀͶ栄摋˾栄敋Ā栄晋Ā"/>
        <w:lvlJc w:val="left"/>
        <w:rPr>
          <w:rFonts w:hint="default"/>
        </w:rPr>
      </w:lvl>
    </w:lvlOverride>
    <w:lvlOverride w:ilvl="3">
      <w:startOverride w:val="1"/>
      <w:lvl w:ilvl="3">
        <w:start w:val="1"/>
        <w:numFmt w:val="none"/>
        <w:lvlText w:val=""/>
        <w:lvlJc w:val="left"/>
        <w:rPr>
          <w:rFonts w:hint="default"/>
        </w:rPr>
      </w:lvl>
    </w:lvlOverride>
    <w:lvlOverride w:ilvl="4">
      <w:startOverride w:val="1"/>
      <w:lvl w:ilvl="4">
        <w:start w:val="1"/>
        <w:numFmt w:val="none"/>
        <w:lvlText w:val=""/>
        <w:lvlJc w:val="left"/>
        <w:rPr>
          <w:rFonts w:hint="default"/>
        </w:rPr>
      </w:lvl>
    </w:lvlOverride>
    <w:lvlOverride w:ilvl="5">
      <w:startOverride w:val="1"/>
      <w:lvl w:ilvl="5">
        <w:start w:val="1"/>
        <w:numFmt w:val="none"/>
        <w:lvlText w:val=""/>
        <w:lvlJc w:val="left"/>
        <w:rPr>
          <w:rFonts w:hint="default"/>
        </w:rPr>
      </w:lvl>
    </w:lvlOverride>
    <w:lvlOverride w:ilvl="6">
      <w:startOverride w:val="1"/>
      <w:lvl w:ilvl="6">
        <w:start w:val="1"/>
        <w:numFmt w:val="none"/>
        <w:lvlText w:val="%7"/>
        <w:lvlJc w:val="left"/>
        <w:rPr>
          <w:rFonts w:hint="default"/>
        </w:rPr>
      </w:lvl>
    </w:lvlOverride>
    <w:lvlOverride w:ilvl="7">
      <w:startOverride w:val="1"/>
      <w:lvl w:ilvl="7">
        <w:start w:val="1"/>
        <w:numFmt w:val="none"/>
        <w:lvlText w:val=""/>
        <w:lvlJc w:val="left"/>
        <w:rPr>
          <w:rFonts w:hint="default"/>
        </w:rPr>
      </w:lvl>
    </w:lvlOverride>
    <w:lvlOverride w:ilvl="8">
      <w:startOverride w:val="1"/>
      <w:lvl w:ilvl="8">
        <w:start w:val="1"/>
        <w:numFmt w:val="none"/>
        <w:lvlText w:val=""/>
        <w:lvlJc w:val="left"/>
        <w:rPr>
          <w:rFonts w:hint="default"/>
        </w:rPr>
      </w:lvl>
    </w:lvlOverride>
  </w:num>
  <w:num w:numId="48">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88066">
      <o:colormenu v:ext="edit" fillcolor="none [3206]"/>
    </o:shapedefaults>
  </w:hdrShapeDefaults>
  <w:footnotePr>
    <w:footnote w:id="-1"/>
    <w:footnote w:id="0"/>
  </w:footnotePr>
  <w:endnotePr>
    <w:endnote w:id="-1"/>
    <w:endnote w:id="0"/>
  </w:endnotePr>
  <w:compat/>
  <w:rsids>
    <w:rsidRoot w:val="00231FC7"/>
    <w:rsid w:val="00002031"/>
    <w:rsid w:val="00004734"/>
    <w:rsid w:val="00006B22"/>
    <w:rsid w:val="000119D4"/>
    <w:rsid w:val="0001276A"/>
    <w:rsid w:val="000135F1"/>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D74B8"/>
    <w:rsid w:val="000F02F9"/>
    <w:rsid w:val="000F4869"/>
    <w:rsid w:val="000F5B42"/>
    <w:rsid w:val="000F67C4"/>
    <w:rsid w:val="000F6E6F"/>
    <w:rsid w:val="00104613"/>
    <w:rsid w:val="0010601F"/>
    <w:rsid w:val="0010788A"/>
    <w:rsid w:val="00107A31"/>
    <w:rsid w:val="00110EA5"/>
    <w:rsid w:val="00112F56"/>
    <w:rsid w:val="00125318"/>
    <w:rsid w:val="001305A2"/>
    <w:rsid w:val="00133238"/>
    <w:rsid w:val="0013617E"/>
    <w:rsid w:val="0014197B"/>
    <w:rsid w:val="001447CD"/>
    <w:rsid w:val="001516B1"/>
    <w:rsid w:val="00154EBB"/>
    <w:rsid w:val="00156316"/>
    <w:rsid w:val="00165389"/>
    <w:rsid w:val="0017078F"/>
    <w:rsid w:val="0017693F"/>
    <w:rsid w:val="00177659"/>
    <w:rsid w:val="0018110E"/>
    <w:rsid w:val="00181684"/>
    <w:rsid w:val="00182B06"/>
    <w:rsid w:val="001843C6"/>
    <w:rsid w:val="001850E0"/>
    <w:rsid w:val="001A2158"/>
    <w:rsid w:val="001A525F"/>
    <w:rsid w:val="001B09F9"/>
    <w:rsid w:val="001B0DF3"/>
    <w:rsid w:val="001B58DB"/>
    <w:rsid w:val="001B6448"/>
    <w:rsid w:val="001E07CF"/>
    <w:rsid w:val="001E59F1"/>
    <w:rsid w:val="001E67A3"/>
    <w:rsid w:val="001F49EB"/>
    <w:rsid w:val="001F6B54"/>
    <w:rsid w:val="001F6CBA"/>
    <w:rsid w:val="00201D4E"/>
    <w:rsid w:val="002076C9"/>
    <w:rsid w:val="0021433B"/>
    <w:rsid w:val="00220B8A"/>
    <w:rsid w:val="002257F3"/>
    <w:rsid w:val="00231FC7"/>
    <w:rsid w:val="00233456"/>
    <w:rsid w:val="002339A5"/>
    <w:rsid w:val="00257848"/>
    <w:rsid w:val="002666AC"/>
    <w:rsid w:val="0027084A"/>
    <w:rsid w:val="00286434"/>
    <w:rsid w:val="00286C59"/>
    <w:rsid w:val="00292113"/>
    <w:rsid w:val="002942D1"/>
    <w:rsid w:val="0029501A"/>
    <w:rsid w:val="002B1638"/>
    <w:rsid w:val="002C223F"/>
    <w:rsid w:val="002C63ED"/>
    <w:rsid w:val="002D6161"/>
    <w:rsid w:val="002E4C9A"/>
    <w:rsid w:val="002F11F8"/>
    <w:rsid w:val="002F3F56"/>
    <w:rsid w:val="002F44B5"/>
    <w:rsid w:val="002F4C25"/>
    <w:rsid w:val="00303447"/>
    <w:rsid w:val="00311AC0"/>
    <w:rsid w:val="0032583B"/>
    <w:rsid w:val="00327883"/>
    <w:rsid w:val="00331D35"/>
    <w:rsid w:val="00335504"/>
    <w:rsid w:val="003521E8"/>
    <w:rsid w:val="00353A31"/>
    <w:rsid w:val="003728F3"/>
    <w:rsid w:val="0037496E"/>
    <w:rsid w:val="0037623D"/>
    <w:rsid w:val="00386150"/>
    <w:rsid w:val="003874CE"/>
    <w:rsid w:val="00390900"/>
    <w:rsid w:val="00396C92"/>
    <w:rsid w:val="003A7F6C"/>
    <w:rsid w:val="003B1113"/>
    <w:rsid w:val="003B4D60"/>
    <w:rsid w:val="003B634F"/>
    <w:rsid w:val="003B7E39"/>
    <w:rsid w:val="003C3E1C"/>
    <w:rsid w:val="003C58DC"/>
    <w:rsid w:val="003D0A3B"/>
    <w:rsid w:val="003D1E62"/>
    <w:rsid w:val="003E2486"/>
    <w:rsid w:val="003E3208"/>
    <w:rsid w:val="003F0B04"/>
    <w:rsid w:val="003F33C0"/>
    <w:rsid w:val="003F4A70"/>
    <w:rsid w:val="0040134E"/>
    <w:rsid w:val="00415D59"/>
    <w:rsid w:val="0043374F"/>
    <w:rsid w:val="00434B62"/>
    <w:rsid w:val="0043797D"/>
    <w:rsid w:val="00440A2D"/>
    <w:rsid w:val="00444B56"/>
    <w:rsid w:val="004564A7"/>
    <w:rsid w:val="004617BF"/>
    <w:rsid w:val="00463658"/>
    <w:rsid w:val="004722CC"/>
    <w:rsid w:val="004936E4"/>
    <w:rsid w:val="00494E60"/>
    <w:rsid w:val="00497487"/>
    <w:rsid w:val="004A0839"/>
    <w:rsid w:val="004A7E13"/>
    <w:rsid w:val="004B7B76"/>
    <w:rsid w:val="004C2DCA"/>
    <w:rsid w:val="004D475C"/>
    <w:rsid w:val="004F0F38"/>
    <w:rsid w:val="00501921"/>
    <w:rsid w:val="005075C3"/>
    <w:rsid w:val="00516476"/>
    <w:rsid w:val="00530354"/>
    <w:rsid w:val="0053625B"/>
    <w:rsid w:val="00537A60"/>
    <w:rsid w:val="005434C6"/>
    <w:rsid w:val="00543B39"/>
    <w:rsid w:val="00550096"/>
    <w:rsid w:val="00555A2E"/>
    <w:rsid w:val="00557FF9"/>
    <w:rsid w:val="00576378"/>
    <w:rsid w:val="00577945"/>
    <w:rsid w:val="00577E38"/>
    <w:rsid w:val="0058161D"/>
    <w:rsid w:val="00585322"/>
    <w:rsid w:val="005857C6"/>
    <w:rsid w:val="00586F98"/>
    <w:rsid w:val="00592F6E"/>
    <w:rsid w:val="00593AD1"/>
    <w:rsid w:val="005A68B6"/>
    <w:rsid w:val="005C34F7"/>
    <w:rsid w:val="005C5570"/>
    <w:rsid w:val="005C79A4"/>
    <w:rsid w:val="005D5442"/>
    <w:rsid w:val="005F3A02"/>
    <w:rsid w:val="00603F32"/>
    <w:rsid w:val="00617EBB"/>
    <w:rsid w:val="00620406"/>
    <w:rsid w:val="00632398"/>
    <w:rsid w:val="00640FC3"/>
    <w:rsid w:val="00642020"/>
    <w:rsid w:val="0064230A"/>
    <w:rsid w:val="00646206"/>
    <w:rsid w:val="0065337B"/>
    <w:rsid w:val="00653D70"/>
    <w:rsid w:val="0065419D"/>
    <w:rsid w:val="006604D8"/>
    <w:rsid w:val="00664A5B"/>
    <w:rsid w:val="0067444B"/>
    <w:rsid w:val="006763D2"/>
    <w:rsid w:val="00680C08"/>
    <w:rsid w:val="006931B1"/>
    <w:rsid w:val="006A15C0"/>
    <w:rsid w:val="006A6425"/>
    <w:rsid w:val="006C130C"/>
    <w:rsid w:val="006C28FB"/>
    <w:rsid w:val="006C3E2A"/>
    <w:rsid w:val="006C44FA"/>
    <w:rsid w:val="006C642F"/>
    <w:rsid w:val="006D03E5"/>
    <w:rsid w:val="006D5D3E"/>
    <w:rsid w:val="006E08B3"/>
    <w:rsid w:val="006F17AC"/>
    <w:rsid w:val="006F1D37"/>
    <w:rsid w:val="006F2796"/>
    <w:rsid w:val="006F572E"/>
    <w:rsid w:val="007046D6"/>
    <w:rsid w:val="00705DB0"/>
    <w:rsid w:val="007117A2"/>
    <w:rsid w:val="00722B57"/>
    <w:rsid w:val="007271BB"/>
    <w:rsid w:val="00731FA0"/>
    <w:rsid w:val="0074253D"/>
    <w:rsid w:val="0074429B"/>
    <w:rsid w:val="007513B4"/>
    <w:rsid w:val="00752EDC"/>
    <w:rsid w:val="007615BC"/>
    <w:rsid w:val="00762F05"/>
    <w:rsid w:val="007652FF"/>
    <w:rsid w:val="00770EF1"/>
    <w:rsid w:val="00773879"/>
    <w:rsid w:val="00773EF7"/>
    <w:rsid w:val="00774E1D"/>
    <w:rsid w:val="0077675A"/>
    <w:rsid w:val="00780355"/>
    <w:rsid w:val="00785721"/>
    <w:rsid w:val="00793A59"/>
    <w:rsid w:val="007B6E9F"/>
    <w:rsid w:val="007C1216"/>
    <w:rsid w:val="007C1AF7"/>
    <w:rsid w:val="007E6E27"/>
    <w:rsid w:val="007F1609"/>
    <w:rsid w:val="007F35DD"/>
    <w:rsid w:val="00805D27"/>
    <w:rsid w:val="00805EE0"/>
    <w:rsid w:val="008208D2"/>
    <w:rsid w:val="00821776"/>
    <w:rsid w:val="008321F5"/>
    <w:rsid w:val="00832369"/>
    <w:rsid w:val="00834660"/>
    <w:rsid w:val="00836BC2"/>
    <w:rsid w:val="008414A0"/>
    <w:rsid w:val="008454A3"/>
    <w:rsid w:val="0085641B"/>
    <w:rsid w:val="00857136"/>
    <w:rsid w:val="00861E6E"/>
    <w:rsid w:val="00886D15"/>
    <w:rsid w:val="00887DD8"/>
    <w:rsid w:val="00896018"/>
    <w:rsid w:val="008960DD"/>
    <w:rsid w:val="0089635C"/>
    <w:rsid w:val="008A2B9D"/>
    <w:rsid w:val="008A3CC8"/>
    <w:rsid w:val="008A5E0B"/>
    <w:rsid w:val="008A6D59"/>
    <w:rsid w:val="008A7610"/>
    <w:rsid w:val="008B4B03"/>
    <w:rsid w:val="008B596F"/>
    <w:rsid w:val="008B5A3E"/>
    <w:rsid w:val="008C159F"/>
    <w:rsid w:val="008C1623"/>
    <w:rsid w:val="008C1850"/>
    <w:rsid w:val="008C4B6C"/>
    <w:rsid w:val="008C51A9"/>
    <w:rsid w:val="008D770F"/>
    <w:rsid w:val="008E7846"/>
    <w:rsid w:val="008F1CCC"/>
    <w:rsid w:val="008F2967"/>
    <w:rsid w:val="008F6943"/>
    <w:rsid w:val="00902A21"/>
    <w:rsid w:val="00920330"/>
    <w:rsid w:val="009219D7"/>
    <w:rsid w:val="00922D53"/>
    <w:rsid w:val="00923B70"/>
    <w:rsid w:val="00924482"/>
    <w:rsid w:val="0092528A"/>
    <w:rsid w:val="00930237"/>
    <w:rsid w:val="00936DD6"/>
    <w:rsid w:val="00946EA5"/>
    <w:rsid w:val="0095160F"/>
    <w:rsid w:val="00963C08"/>
    <w:rsid w:val="0098585A"/>
    <w:rsid w:val="0098669D"/>
    <w:rsid w:val="009A4CED"/>
    <w:rsid w:val="009A690D"/>
    <w:rsid w:val="009B1D12"/>
    <w:rsid w:val="009B416B"/>
    <w:rsid w:val="009C4BD5"/>
    <w:rsid w:val="009D0631"/>
    <w:rsid w:val="009D2ABF"/>
    <w:rsid w:val="009D2FE8"/>
    <w:rsid w:val="009D7B77"/>
    <w:rsid w:val="009E0BB0"/>
    <w:rsid w:val="009E3FBB"/>
    <w:rsid w:val="00A102E4"/>
    <w:rsid w:val="00A12C42"/>
    <w:rsid w:val="00A14DF7"/>
    <w:rsid w:val="00A235D9"/>
    <w:rsid w:val="00A322B3"/>
    <w:rsid w:val="00A3246D"/>
    <w:rsid w:val="00A329E6"/>
    <w:rsid w:val="00A36FA7"/>
    <w:rsid w:val="00A475B7"/>
    <w:rsid w:val="00A47AF7"/>
    <w:rsid w:val="00A47C3E"/>
    <w:rsid w:val="00A50226"/>
    <w:rsid w:val="00A60BAD"/>
    <w:rsid w:val="00A964D1"/>
    <w:rsid w:val="00AA0ED0"/>
    <w:rsid w:val="00AA3499"/>
    <w:rsid w:val="00AA50BA"/>
    <w:rsid w:val="00AB1697"/>
    <w:rsid w:val="00AB5E92"/>
    <w:rsid w:val="00AC2B40"/>
    <w:rsid w:val="00AC2BB2"/>
    <w:rsid w:val="00AC2C3C"/>
    <w:rsid w:val="00AC2DFF"/>
    <w:rsid w:val="00AC512D"/>
    <w:rsid w:val="00AE01C2"/>
    <w:rsid w:val="00AE65EB"/>
    <w:rsid w:val="00AE67A7"/>
    <w:rsid w:val="00AF1D94"/>
    <w:rsid w:val="00AF4E79"/>
    <w:rsid w:val="00AF60C5"/>
    <w:rsid w:val="00B009C6"/>
    <w:rsid w:val="00B01548"/>
    <w:rsid w:val="00B02208"/>
    <w:rsid w:val="00B1425E"/>
    <w:rsid w:val="00B21D29"/>
    <w:rsid w:val="00B25034"/>
    <w:rsid w:val="00B33588"/>
    <w:rsid w:val="00B33863"/>
    <w:rsid w:val="00B37D17"/>
    <w:rsid w:val="00B4175E"/>
    <w:rsid w:val="00B452CE"/>
    <w:rsid w:val="00B531F2"/>
    <w:rsid w:val="00B54C25"/>
    <w:rsid w:val="00B6387D"/>
    <w:rsid w:val="00B76B91"/>
    <w:rsid w:val="00B77EB1"/>
    <w:rsid w:val="00B81032"/>
    <w:rsid w:val="00B811C6"/>
    <w:rsid w:val="00B85A87"/>
    <w:rsid w:val="00B92E08"/>
    <w:rsid w:val="00B938C6"/>
    <w:rsid w:val="00B96EBE"/>
    <w:rsid w:val="00BA39D1"/>
    <w:rsid w:val="00BC622A"/>
    <w:rsid w:val="00BC7B74"/>
    <w:rsid w:val="00BD45E3"/>
    <w:rsid w:val="00BE0A78"/>
    <w:rsid w:val="00BE32D5"/>
    <w:rsid w:val="00BE6252"/>
    <w:rsid w:val="00BE79F0"/>
    <w:rsid w:val="00BF046D"/>
    <w:rsid w:val="00BF1190"/>
    <w:rsid w:val="00BF4EBA"/>
    <w:rsid w:val="00BF5D04"/>
    <w:rsid w:val="00C0289D"/>
    <w:rsid w:val="00C1164D"/>
    <w:rsid w:val="00C14246"/>
    <w:rsid w:val="00C16861"/>
    <w:rsid w:val="00C22678"/>
    <w:rsid w:val="00C24EAC"/>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81C40"/>
    <w:rsid w:val="00CA71E8"/>
    <w:rsid w:val="00CA7912"/>
    <w:rsid w:val="00CB2B6C"/>
    <w:rsid w:val="00CB6BC0"/>
    <w:rsid w:val="00CC087C"/>
    <w:rsid w:val="00CC1B7C"/>
    <w:rsid w:val="00CC727F"/>
    <w:rsid w:val="00CD48FD"/>
    <w:rsid w:val="00CF15C3"/>
    <w:rsid w:val="00CF2B6F"/>
    <w:rsid w:val="00CF58B6"/>
    <w:rsid w:val="00D017ED"/>
    <w:rsid w:val="00D040D3"/>
    <w:rsid w:val="00D04C65"/>
    <w:rsid w:val="00D22224"/>
    <w:rsid w:val="00D224FE"/>
    <w:rsid w:val="00D331F2"/>
    <w:rsid w:val="00D53A31"/>
    <w:rsid w:val="00D6493E"/>
    <w:rsid w:val="00D66EC1"/>
    <w:rsid w:val="00D7301E"/>
    <w:rsid w:val="00D83AE1"/>
    <w:rsid w:val="00D85469"/>
    <w:rsid w:val="00D855D4"/>
    <w:rsid w:val="00D93466"/>
    <w:rsid w:val="00D945BB"/>
    <w:rsid w:val="00DA1124"/>
    <w:rsid w:val="00DB75B7"/>
    <w:rsid w:val="00DC6E02"/>
    <w:rsid w:val="00DD5290"/>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3F4F"/>
    <w:rsid w:val="00E55FCF"/>
    <w:rsid w:val="00E613FE"/>
    <w:rsid w:val="00E624A5"/>
    <w:rsid w:val="00E70112"/>
    <w:rsid w:val="00E73060"/>
    <w:rsid w:val="00E7344E"/>
    <w:rsid w:val="00E84DC4"/>
    <w:rsid w:val="00E936E3"/>
    <w:rsid w:val="00EB0798"/>
    <w:rsid w:val="00EB40AD"/>
    <w:rsid w:val="00EB586E"/>
    <w:rsid w:val="00EB5FC8"/>
    <w:rsid w:val="00ED3CAD"/>
    <w:rsid w:val="00ED5A41"/>
    <w:rsid w:val="00EE1DE8"/>
    <w:rsid w:val="00F033EC"/>
    <w:rsid w:val="00F04F68"/>
    <w:rsid w:val="00F11D7D"/>
    <w:rsid w:val="00F12670"/>
    <w:rsid w:val="00F14B27"/>
    <w:rsid w:val="00F3148D"/>
    <w:rsid w:val="00F325C5"/>
    <w:rsid w:val="00F32FE0"/>
    <w:rsid w:val="00F35298"/>
    <w:rsid w:val="00F45DEC"/>
    <w:rsid w:val="00F47333"/>
    <w:rsid w:val="00F47E37"/>
    <w:rsid w:val="00F513B2"/>
    <w:rsid w:val="00F53C07"/>
    <w:rsid w:val="00F54B65"/>
    <w:rsid w:val="00F560BE"/>
    <w:rsid w:val="00F640B6"/>
    <w:rsid w:val="00F66D19"/>
    <w:rsid w:val="00F80E40"/>
    <w:rsid w:val="00F848D9"/>
    <w:rsid w:val="00F9154F"/>
    <w:rsid w:val="00FA4846"/>
    <w:rsid w:val="00FA5B82"/>
    <w:rsid w:val="00FA639E"/>
    <w:rsid w:val="00FC25E4"/>
    <w:rsid w:val="00FC4EF7"/>
    <w:rsid w:val="00FE1DEE"/>
    <w:rsid w:val="00FE3AC5"/>
    <w:rsid w:val="00FE4191"/>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C223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1985"/>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F4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C223F"/>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E613FE"/>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BF4EBA"/>
    <w:rPr>
      <w:rFonts w:asciiTheme="majorHAnsi" w:eastAsiaTheme="majorEastAsia" w:hAnsiTheme="majorHAnsi" w:cstheme="majorBidi"/>
      <w:color w:val="404040" w:themeColor="text1" w:themeTint="BF"/>
      <w:sz w:val="20"/>
      <w:szCs w:val="20"/>
    </w:rPr>
  </w:style>
  <w:style w:type="paragraph" w:customStyle="1" w:styleId="Comment1">
    <w:name w:val="Comment 1"/>
    <w:basedOn w:val="Normal"/>
    <w:next w:val="Normal"/>
    <w:qFormat/>
    <w:rsid w:val="00BF4EB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FootnoteText">
    <w:name w:val="footnote text"/>
    <w:basedOn w:val="Normal"/>
    <w:link w:val="FootnoteTextChar"/>
    <w:semiHidden/>
    <w:rsid w:val="002C22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2C223F"/>
    <w:rPr>
      <w:rFonts w:ascii="Cambria" w:eastAsia="Times New Roman" w:hAnsi="Cambria" w:cs="Times New Roman"/>
      <w:kern w:val="16"/>
      <w:sz w:val="18"/>
      <w:szCs w:val="20"/>
      <w:lang w:eastAsia="en-AU"/>
    </w:rPr>
  </w:style>
  <w:style w:type="character" w:styleId="FootnoteReference">
    <w:name w:val="footnote reference"/>
    <w:semiHidden/>
    <w:rsid w:val="00BF4EBA"/>
    <w:rPr>
      <w:vertAlign w:val="superscript"/>
    </w:rPr>
  </w:style>
  <w:style w:type="paragraph" w:styleId="ListParagraph">
    <w:name w:val="List Paragraph"/>
    <w:basedOn w:val="Normal"/>
    <w:uiPriority w:val="34"/>
    <w:qFormat/>
    <w:rsid w:val="00BF4E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webSettings.xml><?xml version="1.0" encoding="utf-8"?>
<w:webSettings xmlns:r="http://schemas.openxmlformats.org/officeDocument/2006/relationships" xmlns:w="http://schemas.openxmlformats.org/wordprocessingml/2006/main">
  <w:divs>
    <w:div w:id="78332228">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547301897">
      <w:bodyDiv w:val="1"/>
      <w:marLeft w:val="0"/>
      <w:marRight w:val="0"/>
      <w:marTop w:val="0"/>
      <w:marBottom w:val="0"/>
      <w:divBdr>
        <w:top w:val="none" w:sz="0" w:space="0" w:color="auto"/>
        <w:left w:val="none" w:sz="0" w:space="0" w:color="auto"/>
        <w:bottom w:val="none" w:sz="0" w:space="0" w:color="auto"/>
        <w:right w:val="none" w:sz="0" w:space="0" w:color="auto"/>
      </w:divBdr>
    </w:div>
    <w:div w:id="985159505">
      <w:bodyDiv w:val="1"/>
      <w:marLeft w:val="0"/>
      <w:marRight w:val="0"/>
      <w:marTop w:val="0"/>
      <w:marBottom w:val="0"/>
      <w:divBdr>
        <w:top w:val="none" w:sz="0" w:space="0" w:color="auto"/>
        <w:left w:val="none" w:sz="0" w:space="0" w:color="auto"/>
        <w:bottom w:val="none" w:sz="0" w:space="0" w:color="auto"/>
        <w:right w:val="none" w:sz="0" w:space="0" w:color="auto"/>
      </w:divBdr>
    </w:div>
    <w:div w:id="1762407718">
      <w:bodyDiv w:val="1"/>
      <w:marLeft w:val="0"/>
      <w:marRight w:val="0"/>
      <w:marTop w:val="0"/>
      <w:marBottom w:val="0"/>
      <w:divBdr>
        <w:top w:val="none" w:sz="0" w:space="0" w:color="auto"/>
        <w:left w:val="none" w:sz="0" w:space="0" w:color="auto"/>
        <w:bottom w:val="none" w:sz="0" w:space="0" w:color="auto"/>
        <w:right w:val="none" w:sz="0" w:space="0" w:color="auto"/>
      </w:divBdr>
    </w:div>
    <w:div w:id="204479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4.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3.xml"/><Relationship Id="rId67" Type="http://schemas.openxmlformats.org/officeDocument/2006/relationships/header" Target="header8.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header" Target="header5.xml"/><Relationship Id="rId7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460\t0N678P5.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EDF88-627C-4E8A-97F9-EC6CD721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t0N678P5.DOTX</Template>
  <TotalTime>60</TotalTime>
  <Pages>69</Pages>
  <Words>20498</Words>
  <Characters>116840</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Collagenase clostridium histolyticum</vt:lpstr>
    </vt:vector>
  </TitlesOfParts>
  <Company>Department of Health Therapeutic Goods Administration</Company>
  <LinksUpToDate>false</LinksUpToDate>
  <CharactersWithSpaces>137064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Collagenase clostridium histolyticum</dc:title>
  <dc:subject>prescription medicine regulation</dc:subject>
  <dc:creator>Therapeutic Goods Administration</dc:creator>
  <cp:keywords>clinical, evaluation, report, medicine, assessment, regulation, australia, collagenase, clostridium, histolyticum, xiaflex, actelion, pharmaceuticals</cp:keywords>
  <cp:lastModifiedBy>dixonj</cp:lastModifiedBy>
  <cp:revision>35</cp:revision>
  <cp:lastPrinted>2010-12-20T22:59:00Z</cp:lastPrinted>
  <dcterms:created xsi:type="dcterms:W3CDTF">2013-11-18T00:07:00Z</dcterms:created>
  <dcterms:modified xsi:type="dcterms:W3CDTF">2013-12-16T03:37:00Z</dcterms:modified>
</cp:coreProperties>
</file>