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0C4D" w:rsidRDefault="009F6FC2" w:rsidP="00F22669">
      <w:pPr>
        <w:pStyle w:val="CLDTITLE"/>
      </w:pPr>
      <w:r w:rsidRPr="009F6FC2">
        <w:t>PRODUCT INFORMATION</w:t>
      </w:r>
    </w:p>
    <w:p w:rsidR="00F22669" w:rsidRPr="00F22669" w:rsidRDefault="009F6FC2" w:rsidP="00F22669">
      <w:pPr>
        <w:pStyle w:val="CLDTITLE"/>
      </w:pPr>
      <w:r w:rsidRPr="009F6FC2">
        <w:t>DUAVIVE</w:t>
      </w:r>
      <w:r w:rsidRPr="009F6FC2">
        <w:rPr>
          <w:vertAlign w:val="superscript"/>
        </w:rPr>
        <w:sym w:font="Symbol" w:char="F0D2"/>
      </w:r>
      <w:r w:rsidR="00F22669">
        <w:rPr>
          <w:vertAlign w:val="superscript"/>
        </w:rPr>
        <w:t xml:space="preserve"> </w:t>
      </w:r>
      <w:r w:rsidR="00F22669" w:rsidRPr="00F22669">
        <w:t>0.45/20</w:t>
      </w:r>
      <w:bookmarkStart w:id="0" w:name="_GoBack"/>
      <w:bookmarkEnd w:id="0"/>
    </w:p>
    <w:p w:rsidR="009F6FC2" w:rsidRPr="00384045" w:rsidRDefault="009F6FC2" w:rsidP="00400C4D">
      <w:pPr>
        <w:rPr>
          <w:rStyle w:val="Strong"/>
        </w:rPr>
      </w:pPr>
      <w:r w:rsidRPr="00384045">
        <w:rPr>
          <w:rStyle w:val="Strong"/>
        </w:rPr>
        <w:t>(</w:t>
      </w:r>
      <w:proofErr w:type="gramStart"/>
      <w:r w:rsidRPr="00384045">
        <w:rPr>
          <w:rStyle w:val="Strong"/>
        </w:rPr>
        <w:t>conjugated</w:t>
      </w:r>
      <w:proofErr w:type="gramEnd"/>
      <w:r w:rsidRPr="00384045">
        <w:rPr>
          <w:rStyle w:val="Strong"/>
        </w:rPr>
        <w:t xml:space="preserve"> </w:t>
      </w:r>
      <w:r w:rsidR="00156E84" w:rsidRPr="00384045">
        <w:rPr>
          <w:rStyle w:val="Strong"/>
        </w:rPr>
        <w:t>estrogens</w:t>
      </w:r>
      <w:r w:rsidRPr="00384045">
        <w:rPr>
          <w:rStyle w:val="Strong"/>
        </w:rPr>
        <w:t>/</w:t>
      </w:r>
      <w:proofErr w:type="spellStart"/>
      <w:r w:rsidRPr="00384045">
        <w:rPr>
          <w:rStyle w:val="Strong"/>
        </w:rPr>
        <w:t>bazedoxifene</w:t>
      </w:r>
      <w:proofErr w:type="spellEnd"/>
      <w:r w:rsidRPr="00384045">
        <w:rPr>
          <w:rStyle w:val="Strong"/>
        </w:rPr>
        <w:t>)</w:t>
      </w:r>
    </w:p>
    <w:p w:rsidR="00483C9A" w:rsidRPr="00400C4D" w:rsidRDefault="00FA23F1" w:rsidP="009B4BDB">
      <w:pPr>
        <w:pBdr>
          <w:top w:val="single" w:sz="4" w:space="1" w:color="auto"/>
          <w:left w:val="single" w:sz="4" w:space="4" w:color="auto"/>
          <w:bottom w:val="single" w:sz="4" w:space="1" w:color="auto"/>
          <w:right w:val="single" w:sz="4" w:space="4" w:color="auto"/>
        </w:pBdr>
        <w:spacing w:after="0"/>
        <w:rPr>
          <w:rStyle w:val="Strong"/>
        </w:rPr>
      </w:pPr>
      <w:r w:rsidRPr="00400C4D">
        <w:rPr>
          <w:rStyle w:val="Strong"/>
        </w:rPr>
        <w:t>Warning</w:t>
      </w:r>
    </w:p>
    <w:p w:rsidR="00400C4D" w:rsidRPr="00400C4D" w:rsidRDefault="00C57A09" w:rsidP="00C57A09">
      <w:pPr>
        <w:pStyle w:val="PINormal"/>
        <w:pBdr>
          <w:top w:val="single" w:sz="4" w:space="1" w:color="auto"/>
          <w:left w:val="single" w:sz="4" w:space="4" w:color="auto"/>
          <w:bottom w:val="single" w:sz="4" w:space="1" w:color="auto"/>
          <w:right w:val="single" w:sz="4" w:space="4" w:color="auto"/>
        </w:pBdr>
        <w:rPr>
          <w:rStyle w:val="Strong"/>
        </w:rPr>
      </w:pPr>
      <w:r w:rsidRPr="00400C4D">
        <w:rPr>
          <w:rStyle w:val="Strong"/>
        </w:rPr>
        <w:t>The risk associated with DUAVIVE is unknown due to the lack of long term safety data (see CONTRAINDICATIONS, PRECAUTIONS and ADVERSE EFFECTS, Description of Selected Adverse Reactions).</w:t>
      </w:r>
    </w:p>
    <w:p w:rsidR="009B4BDB" w:rsidRPr="00400C4D" w:rsidRDefault="00E56138" w:rsidP="009B4BDB">
      <w:pPr>
        <w:pStyle w:val="PINormal"/>
        <w:pBdr>
          <w:top w:val="single" w:sz="4" w:space="1" w:color="auto"/>
          <w:left w:val="single" w:sz="4" w:space="4" w:color="auto"/>
          <w:bottom w:val="single" w:sz="4" w:space="1" w:color="auto"/>
          <w:right w:val="single" w:sz="4" w:space="4" w:color="auto"/>
        </w:pBdr>
        <w:rPr>
          <w:rStyle w:val="Strong"/>
        </w:rPr>
      </w:pPr>
      <w:r w:rsidRPr="00400C4D">
        <w:rPr>
          <w:rStyle w:val="Strong"/>
          <w:rFonts w:eastAsia="TimesNewRoman" w:hint="eastAsia"/>
        </w:rPr>
        <w:t>The Women</w:t>
      </w:r>
      <w:r w:rsidRPr="00400C4D">
        <w:rPr>
          <w:rStyle w:val="Strong"/>
          <w:rFonts w:eastAsia="TimesNewRoman"/>
        </w:rPr>
        <w:t>’</w:t>
      </w:r>
      <w:r w:rsidRPr="00400C4D">
        <w:rPr>
          <w:rStyle w:val="Strong"/>
          <w:rFonts w:eastAsia="TimesNewRoman" w:hint="eastAsia"/>
        </w:rPr>
        <w:t xml:space="preserve">s Health Initiative (WHI) </w:t>
      </w:r>
      <w:r w:rsidR="000F1BFC" w:rsidRPr="00400C4D">
        <w:rPr>
          <w:rStyle w:val="Strong"/>
          <w:rFonts w:eastAsia="TimesNewRoman"/>
        </w:rPr>
        <w:t xml:space="preserve">estrogen-alone </w:t>
      </w:r>
      <w:proofErr w:type="spellStart"/>
      <w:r w:rsidR="000F1BFC" w:rsidRPr="00400C4D">
        <w:rPr>
          <w:rStyle w:val="Strong"/>
          <w:rFonts w:eastAsia="TimesNewRoman"/>
        </w:rPr>
        <w:t>sub</w:t>
      </w:r>
      <w:r w:rsidRPr="00400C4D">
        <w:rPr>
          <w:rStyle w:val="Strong"/>
          <w:rFonts w:eastAsia="TimesNewRoman"/>
        </w:rPr>
        <w:t>study</w:t>
      </w:r>
      <w:proofErr w:type="spellEnd"/>
      <w:r w:rsidRPr="00400C4D">
        <w:rPr>
          <w:rStyle w:val="Strong"/>
          <w:rFonts w:eastAsia="TimesNewRoman"/>
        </w:rPr>
        <w:t xml:space="preserve"> </w:t>
      </w:r>
      <w:r w:rsidR="000F1BFC" w:rsidRPr="00400C4D">
        <w:rPr>
          <w:rStyle w:val="Strong"/>
          <w:rFonts w:eastAsia="TimesNewRoman"/>
        </w:rPr>
        <w:t xml:space="preserve">reported increased risks of stroke and deep vein thrombosis (DVT) </w:t>
      </w:r>
      <w:r w:rsidRPr="00400C4D">
        <w:rPr>
          <w:rStyle w:val="Strong"/>
          <w:rFonts w:eastAsia="TimesNewRoman"/>
        </w:rPr>
        <w:t>in postmenopausal women aged 50 to 79 years</w:t>
      </w:r>
      <w:r w:rsidR="000F1BFC" w:rsidRPr="00400C4D">
        <w:rPr>
          <w:rStyle w:val="Strong"/>
          <w:rFonts w:eastAsia="TimesNewRoman"/>
        </w:rPr>
        <w:t xml:space="preserve"> </w:t>
      </w:r>
      <w:r w:rsidRPr="00400C4D">
        <w:rPr>
          <w:rStyle w:val="Strong"/>
          <w:rFonts w:eastAsia="TimesNewRoman"/>
        </w:rPr>
        <w:t xml:space="preserve">(mean age 63.6 years) </w:t>
      </w:r>
      <w:r w:rsidR="000F1BFC" w:rsidRPr="00400C4D">
        <w:rPr>
          <w:rStyle w:val="Strong"/>
          <w:rFonts w:eastAsia="TimesNewRoman"/>
        </w:rPr>
        <w:t xml:space="preserve">during 7.1 years of treatment with conjugated </w:t>
      </w:r>
      <w:r w:rsidRPr="00400C4D">
        <w:rPr>
          <w:rStyle w:val="Strong"/>
          <w:rFonts w:eastAsia="TimesNewRoman"/>
        </w:rPr>
        <w:t>estrogen</w:t>
      </w:r>
      <w:r w:rsidR="000F1BFC" w:rsidRPr="00400C4D">
        <w:rPr>
          <w:rStyle w:val="Strong"/>
          <w:rFonts w:eastAsia="TimesNewRoman"/>
        </w:rPr>
        <w:t>s</w:t>
      </w:r>
      <w:r w:rsidR="00156EC8">
        <w:rPr>
          <w:rStyle w:val="Strong"/>
          <w:rFonts w:eastAsia="TimesNewRoman"/>
        </w:rPr>
        <w:t xml:space="preserve"> </w:t>
      </w:r>
      <w:r w:rsidRPr="00400C4D">
        <w:rPr>
          <w:rStyle w:val="Strong"/>
          <w:rFonts w:eastAsia="TimesNewRoman"/>
        </w:rPr>
        <w:t>(0.625</w:t>
      </w:r>
      <w:r w:rsidRPr="00400C4D">
        <w:rPr>
          <w:rStyle w:val="Strong"/>
        </w:rPr>
        <w:t> </w:t>
      </w:r>
      <w:r w:rsidRPr="00400C4D">
        <w:rPr>
          <w:rStyle w:val="Strong"/>
          <w:rFonts w:eastAsia="TimesNewRoman"/>
        </w:rPr>
        <w:t xml:space="preserve">mg/day) </w:t>
      </w:r>
      <w:r w:rsidR="000F1BFC" w:rsidRPr="00400C4D">
        <w:rPr>
          <w:rStyle w:val="Strong"/>
          <w:rFonts w:eastAsia="TimesNewRoman"/>
        </w:rPr>
        <w:t>alone</w:t>
      </w:r>
      <w:r w:rsidRPr="00400C4D">
        <w:rPr>
          <w:rStyle w:val="Strong"/>
          <w:rFonts w:eastAsia="TimesNewRoman"/>
        </w:rPr>
        <w:t xml:space="preserve"> </w:t>
      </w:r>
      <w:r w:rsidR="006E1B4E" w:rsidRPr="00400C4D">
        <w:rPr>
          <w:rStyle w:val="Strong"/>
          <w:rFonts w:eastAsia="TimesNewRoman"/>
        </w:rPr>
        <w:t xml:space="preserve">therapy </w:t>
      </w:r>
      <w:r w:rsidR="009B4BDB" w:rsidRPr="00400C4D">
        <w:rPr>
          <w:rStyle w:val="Strong"/>
          <w:rFonts w:eastAsia="TimesNewRoman"/>
        </w:rPr>
        <w:t xml:space="preserve">relative to </w:t>
      </w:r>
      <w:r w:rsidRPr="00400C4D">
        <w:rPr>
          <w:rStyle w:val="Strong"/>
          <w:rFonts w:eastAsia="TimesNewRoman"/>
        </w:rPr>
        <w:t>placebo.</w:t>
      </w:r>
      <w:r w:rsidR="00156EC8">
        <w:rPr>
          <w:rStyle w:val="Strong"/>
        </w:rPr>
        <w:t xml:space="preserve"> </w:t>
      </w:r>
      <w:r w:rsidR="00E31935" w:rsidRPr="00400C4D">
        <w:rPr>
          <w:rStyle w:val="Strong"/>
        </w:rPr>
        <w:t>E</w:t>
      </w:r>
      <w:r w:rsidR="006C03FD" w:rsidRPr="00400C4D">
        <w:rPr>
          <w:rStyle w:val="Strong"/>
        </w:rPr>
        <w:t>strogen-alone therapy</w:t>
      </w:r>
      <w:r w:rsidR="00E31935" w:rsidRPr="00400C4D">
        <w:rPr>
          <w:rStyle w:val="Strong"/>
        </w:rPr>
        <w:t xml:space="preserve"> is also associated</w:t>
      </w:r>
      <w:r w:rsidR="00156EC8">
        <w:rPr>
          <w:rStyle w:val="Strong"/>
        </w:rPr>
        <w:t xml:space="preserve"> </w:t>
      </w:r>
      <w:r w:rsidR="00E31935" w:rsidRPr="00400C4D">
        <w:rPr>
          <w:rStyle w:val="Strong"/>
          <w:rFonts w:eastAsia="TimesNewRoman,Bold"/>
        </w:rPr>
        <w:t xml:space="preserve">with an </w:t>
      </w:r>
      <w:proofErr w:type="spellStart"/>
      <w:r w:rsidR="009B4BDB" w:rsidRPr="00400C4D">
        <w:rPr>
          <w:rStyle w:val="Strong"/>
          <w:rFonts w:eastAsia="TimesNewRoman,Bold"/>
        </w:rPr>
        <w:t>increase</w:t>
      </w:r>
      <w:proofErr w:type="spellEnd"/>
      <w:r w:rsidR="009B4BDB" w:rsidRPr="00400C4D">
        <w:rPr>
          <w:rStyle w:val="Strong"/>
          <w:rFonts w:eastAsia="TimesNewRoman,Bold"/>
        </w:rPr>
        <w:t xml:space="preserve"> risk </w:t>
      </w:r>
      <w:r w:rsidR="009B4BDB" w:rsidRPr="00400C4D">
        <w:rPr>
          <w:rStyle w:val="Strong"/>
        </w:rPr>
        <w:t>of ovarian cancer.</w:t>
      </w:r>
    </w:p>
    <w:p w:rsidR="00400C4D" w:rsidRDefault="002C62D5" w:rsidP="009F6FC2">
      <w:pPr>
        <w:pStyle w:val="PIHeading1"/>
      </w:pPr>
      <w:r w:rsidRPr="009F6FC2">
        <w:t>NAME OF THE MEDICINE</w:t>
      </w:r>
    </w:p>
    <w:p w:rsidR="00400C4D" w:rsidRDefault="002173CF" w:rsidP="002173CF">
      <w:pPr>
        <w:pStyle w:val="PINormal"/>
      </w:pPr>
      <w:r>
        <w:t xml:space="preserve">DUAVIVE </w:t>
      </w:r>
      <w:r w:rsidRPr="00562C80">
        <w:t xml:space="preserve">0.45 mg conjugated </w:t>
      </w:r>
      <w:r w:rsidR="00156E84">
        <w:t>estrogens</w:t>
      </w:r>
      <w:r w:rsidRPr="00562C80">
        <w:t xml:space="preserve"> and </w:t>
      </w:r>
      <w:r>
        <w:t xml:space="preserve">bazedoxifene </w:t>
      </w:r>
      <w:r w:rsidRPr="00562C80">
        <w:t xml:space="preserve">20 mg </w:t>
      </w:r>
      <w:r>
        <w:t>modified release tablet.</w:t>
      </w:r>
    </w:p>
    <w:p w:rsidR="00D00F2B" w:rsidRPr="00562C80" w:rsidRDefault="00D00F2B" w:rsidP="002173CF">
      <w:pPr>
        <w:pStyle w:val="PINormal"/>
      </w:pPr>
      <w:r w:rsidRPr="00D00F2B">
        <w:t xml:space="preserve">DUAVIVE pairs conjugated </w:t>
      </w:r>
      <w:r w:rsidR="00156E84">
        <w:t>estrogens</w:t>
      </w:r>
      <w:r w:rsidRPr="00D00F2B">
        <w:t xml:space="preserve"> with </w:t>
      </w:r>
      <w:proofErr w:type="spellStart"/>
      <w:r w:rsidRPr="00D00F2B">
        <w:t>bazedoxifene</w:t>
      </w:r>
      <w:proofErr w:type="spellEnd"/>
      <w:r w:rsidRPr="00D00F2B">
        <w:t>, a selective estrogen receptor modulator (SERM).</w:t>
      </w:r>
    </w:p>
    <w:p w:rsidR="00C3033F" w:rsidRPr="0045440C" w:rsidRDefault="00C3033F" w:rsidP="00C3033F">
      <w:pPr>
        <w:pStyle w:val="PIHeading2"/>
      </w:pPr>
      <w:r w:rsidRPr="0045440C">
        <w:t xml:space="preserve">Conjugated </w:t>
      </w:r>
      <w:r w:rsidR="00156E84">
        <w:t>Estrogens</w:t>
      </w:r>
      <w:r w:rsidR="002173CF">
        <w:t xml:space="preserve"> (CE)</w:t>
      </w:r>
    </w:p>
    <w:p w:rsidR="00400C4D" w:rsidRDefault="00100412" w:rsidP="00100412">
      <w:pPr>
        <w:pStyle w:val="PINormal"/>
      </w:pPr>
      <w:r w:rsidRPr="009A13ED">
        <w:t xml:space="preserve">CE is a mixture of natural </w:t>
      </w:r>
      <w:r w:rsidR="00156E84">
        <w:t>estrogens</w:t>
      </w:r>
      <w:r w:rsidRPr="009A13ED">
        <w:t xml:space="preserve"> (of equine origin) composed principally of the sodium salts of water soluble sulphate esters of estrone, equilin and 17α-dihydroequilin together with smaller amounts of 17α-estradiol, equilenin, and 17α-dihydroequilenin, 17β-dihydroequilin, 17β-</w:t>
      </w:r>
      <w:proofErr w:type="spellStart"/>
      <w:r w:rsidRPr="009A13ED">
        <w:t>dihydroequilenin</w:t>
      </w:r>
      <w:proofErr w:type="spellEnd"/>
      <w:r w:rsidRPr="009A13ED">
        <w:t>, 17β-</w:t>
      </w:r>
      <w:proofErr w:type="spellStart"/>
      <w:r w:rsidRPr="009A13ED">
        <w:t>estradiol</w:t>
      </w:r>
      <w:proofErr w:type="spellEnd"/>
      <w:r w:rsidRPr="009A13ED">
        <w:t xml:space="preserve"> and δ8,9-dihydroestrone.</w:t>
      </w:r>
    </w:p>
    <w:p w:rsidR="00400C4D" w:rsidRDefault="00C3033F" w:rsidP="00C3033F">
      <w:pPr>
        <w:pStyle w:val="PIHeading2"/>
      </w:pPr>
      <w:proofErr w:type="spellStart"/>
      <w:r w:rsidRPr="0045440C">
        <w:t>Bazedoxifene</w:t>
      </w:r>
      <w:proofErr w:type="spellEnd"/>
    </w:p>
    <w:p w:rsidR="00C3033F" w:rsidRDefault="00C3033F" w:rsidP="00C3033F">
      <w:pPr>
        <w:pStyle w:val="PINormal"/>
      </w:pPr>
      <w:r w:rsidRPr="0045440C">
        <w:t xml:space="preserve">Bazedoxifene is supplied as the acetate salt (bazedoxifene acetate) </w:t>
      </w:r>
      <w:r>
        <w:t>which has the</w:t>
      </w:r>
      <w:r w:rsidRPr="0045440C">
        <w:t xml:space="preserve"> chemical name 1</w:t>
      </w:r>
      <w:r w:rsidRPr="0045440C">
        <w:rPr>
          <w:i/>
          <w:iCs/>
        </w:rPr>
        <w:t>H</w:t>
      </w:r>
      <w:r w:rsidR="00FF04EA">
        <w:t>-</w:t>
      </w:r>
      <w:r w:rsidRPr="0045440C">
        <w:t>Indol-5-ol,1-[[4-[2-(hexahydro-1</w:t>
      </w:r>
      <w:r w:rsidRPr="0045440C">
        <w:rPr>
          <w:i/>
          <w:iCs/>
        </w:rPr>
        <w:t>H</w:t>
      </w:r>
      <w:r w:rsidRPr="0045440C">
        <w:t xml:space="preserve">-azepin-1-yl) </w:t>
      </w:r>
      <w:proofErr w:type="spellStart"/>
      <w:r w:rsidRPr="0045440C">
        <w:t>ethoxy</w:t>
      </w:r>
      <w:proofErr w:type="spellEnd"/>
      <w:r w:rsidRPr="0045440C">
        <w:t xml:space="preserve">]phenyl]methyl]-2-(4-hydroxyphenyl)-3-methyl-, </w:t>
      </w:r>
      <w:proofErr w:type="spellStart"/>
      <w:r w:rsidRPr="0045440C">
        <w:t>monoacetate</w:t>
      </w:r>
      <w:proofErr w:type="spellEnd"/>
      <w:r w:rsidRPr="0045440C">
        <w:t>.</w:t>
      </w:r>
      <w:r w:rsidR="00156EC8">
        <w:t xml:space="preserve"> </w:t>
      </w:r>
      <w:r>
        <w:t>The structural formula of bazedoxifene acetate is shown below.</w:t>
      </w:r>
    </w:p>
    <w:p w:rsidR="00156EC8" w:rsidRPr="0045440C" w:rsidRDefault="00156EC8" w:rsidP="00C3033F">
      <w:pPr>
        <w:pStyle w:val="PINormal"/>
      </w:pPr>
      <w:r>
        <w:rPr>
          <w:noProof/>
          <w:lang w:eastAsia="en-AU"/>
        </w:rPr>
        <w:drawing>
          <wp:inline distT="0" distB="0" distL="0" distR="0" wp14:anchorId="5D1AEBAD" wp14:editId="6CD039C4">
            <wp:extent cx="2438095" cy="1638095"/>
            <wp:effectExtent l="0" t="0" r="635" b="635"/>
            <wp:docPr id="1" name="Picture 1" descr="structural formula of bazedoxifene acetat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2438095" cy="1638095"/>
                    </a:xfrm>
                    <a:prstGeom prst="rect">
                      <a:avLst/>
                    </a:prstGeom>
                  </pic:spPr>
                </pic:pic>
              </a:graphicData>
            </a:graphic>
          </wp:inline>
        </w:drawing>
      </w:r>
    </w:p>
    <w:p w:rsidR="00C3033F" w:rsidRPr="00AD00AC" w:rsidRDefault="00C3033F" w:rsidP="00156EC8">
      <w:r w:rsidRPr="00AD00AC">
        <w:t>Molecular weight: 530.65</w:t>
      </w:r>
      <w:r w:rsidR="00AD00AC">
        <w:t>.</w:t>
      </w:r>
    </w:p>
    <w:p w:rsidR="00C3033F" w:rsidRPr="0021445B" w:rsidRDefault="00C3033F" w:rsidP="0021445B">
      <w:pPr>
        <w:pStyle w:val="PINormal"/>
      </w:pPr>
      <w:r w:rsidRPr="0021445B">
        <w:t>Molecular formula:</w:t>
      </w:r>
      <w:r w:rsidR="00AD00AC" w:rsidRPr="0021445B">
        <w:t xml:space="preserve"> </w:t>
      </w:r>
      <w:r w:rsidRPr="0021445B">
        <w:t>C</w:t>
      </w:r>
      <w:r w:rsidRPr="0021445B">
        <w:rPr>
          <w:vertAlign w:val="subscript"/>
        </w:rPr>
        <w:t>30</w:t>
      </w:r>
      <w:r w:rsidRPr="0021445B">
        <w:t>H</w:t>
      </w:r>
      <w:r w:rsidRPr="0021445B">
        <w:rPr>
          <w:vertAlign w:val="subscript"/>
        </w:rPr>
        <w:t>34</w:t>
      </w:r>
      <w:r w:rsidRPr="0021445B">
        <w:t>N</w:t>
      </w:r>
      <w:r w:rsidRPr="0021445B">
        <w:rPr>
          <w:vertAlign w:val="subscript"/>
        </w:rPr>
        <w:t>2</w:t>
      </w:r>
      <w:r w:rsidRPr="0021445B">
        <w:t>O</w:t>
      </w:r>
      <w:r w:rsidRPr="0021445B">
        <w:rPr>
          <w:vertAlign w:val="subscript"/>
        </w:rPr>
        <w:t>3</w:t>
      </w:r>
      <w:r w:rsidRPr="0021445B">
        <w:t>•C</w:t>
      </w:r>
      <w:r w:rsidRPr="0021445B">
        <w:rPr>
          <w:vertAlign w:val="subscript"/>
        </w:rPr>
        <w:t>2</w:t>
      </w:r>
      <w:r w:rsidRPr="0021445B">
        <w:t>H</w:t>
      </w:r>
      <w:r w:rsidRPr="0021445B">
        <w:rPr>
          <w:vertAlign w:val="subscript"/>
        </w:rPr>
        <w:t>4</w:t>
      </w:r>
      <w:r w:rsidRPr="0021445B">
        <w:t>O</w:t>
      </w:r>
      <w:r w:rsidRPr="0021445B">
        <w:rPr>
          <w:vertAlign w:val="subscript"/>
        </w:rPr>
        <w:t>2</w:t>
      </w:r>
      <w:r w:rsidR="00AD00AC" w:rsidRPr="0021445B">
        <w:rPr>
          <w:vertAlign w:val="subscript"/>
        </w:rPr>
        <w:t>.</w:t>
      </w:r>
    </w:p>
    <w:p w:rsidR="00910DF2" w:rsidRPr="00AD00AC" w:rsidRDefault="00910DF2" w:rsidP="00AD00AC">
      <w:pPr>
        <w:pStyle w:val="PINormal"/>
      </w:pPr>
      <w:r w:rsidRPr="00AD00AC">
        <w:t xml:space="preserve">CAS Number: </w:t>
      </w:r>
      <w:r w:rsidR="00AD00AC" w:rsidRPr="00AD00AC">
        <w:t>198481-33-3</w:t>
      </w:r>
      <w:r w:rsidR="009333B6">
        <w:t xml:space="preserve"> (bazedoxifene acetate), </w:t>
      </w:r>
      <w:r w:rsidR="009333B6" w:rsidRPr="00AD00AC">
        <w:t>198481-3</w:t>
      </w:r>
      <w:r w:rsidR="009333B6">
        <w:t>2</w:t>
      </w:r>
      <w:r w:rsidR="009333B6" w:rsidRPr="00AD00AC">
        <w:t>-</w:t>
      </w:r>
      <w:r w:rsidR="009333B6">
        <w:t>2 (bazedoxifene).</w:t>
      </w:r>
    </w:p>
    <w:p w:rsidR="008B1D5A" w:rsidRPr="00BE5F73" w:rsidRDefault="008B1D5A" w:rsidP="008B1D5A">
      <w:pPr>
        <w:pStyle w:val="PIHeading1"/>
      </w:pPr>
      <w:r w:rsidRPr="00BE5F73">
        <w:lastRenderedPageBreak/>
        <w:t>DESCRIPTION</w:t>
      </w:r>
    </w:p>
    <w:p w:rsidR="00B33EBB" w:rsidRPr="0045440C" w:rsidRDefault="00B33EBB" w:rsidP="00B33EBB">
      <w:pPr>
        <w:pStyle w:val="PIHeading2"/>
      </w:pPr>
      <w:r w:rsidRPr="0045440C">
        <w:t xml:space="preserve">Conjugated </w:t>
      </w:r>
      <w:r w:rsidR="00156E84">
        <w:t>Estrogens</w:t>
      </w:r>
    </w:p>
    <w:p w:rsidR="00B33EBB" w:rsidRPr="00BE5F73" w:rsidRDefault="00A446CB" w:rsidP="00B33EBB">
      <w:pPr>
        <w:pStyle w:val="PINormal"/>
      </w:pPr>
      <w:r>
        <w:t>CE are</w:t>
      </w:r>
      <w:r w:rsidR="00B33EBB" w:rsidRPr="0045440C">
        <w:t xml:space="preserve"> obtained exclusively from natural sources, occurring as the sodium salts of water-soluble estrogen sulfates blended to represent the average composition of material derived from pregnant mares’ urine.</w:t>
      </w:r>
    </w:p>
    <w:p w:rsidR="00400C4D" w:rsidRDefault="00362934" w:rsidP="00362934">
      <w:pPr>
        <w:pStyle w:val="PIHeading2"/>
      </w:pPr>
      <w:proofErr w:type="spellStart"/>
      <w:r w:rsidRPr="0045440C">
        <w:t>Bazedoxifene</w:t>
      </w:r>
      <w:proofErr w:type="spellEnd"/>
    </w:p>
    <w:p w:rsidR="008B1D5A" w:rsidRPr="00BE5F73" w:rsidRDefault="009B0D94" w:rsidP="00DD7573">
      <w:pPr>
        <w:pStyle w:val="PINormal"/>
      </w:pPr>
      <w:proofErr w:type="spellStart"/>
      <w:r w:rsidRPr="0045440C">
        <w:t>B</w:t>
      </w:r>
      <w:r w:rsidR="00B33EBB" w:rsidRPr="0045440C">
        <w:t>azedoxifene</w:t>
      </w:r>
      <w:proofErr w:type="spellEnd"/>
      <w:r w:rsidR="008B1D5A" w:rsidRPr="0045440C">
        <w:t xml:space="preserve"> </w:t>
      </w:r>
      <w:r w:rsidR="00A446CB">
        <w:t xml:space="preserve">acetate </w:t>
      </w:r>
      <w:r w:rsidR="008B1D5A" w:rsidRPr="0045440C">
        <w:t>is a white to tan powder.</w:t>
      </w:r>
      <w:r w:rsidR="00156EC8">
        <w:t xml:space="preserve"> </w:t>
      </w:r>
      <w:r w:rsidR="008B1D5A" w:rsidRPr="0045440C">
        <w:t xml:space="preserve">The aqueous solubility of </w:t>
      </w:r>
      <w:proofErr w:type="spellStart"/>
      <w:r w:rsidR="00B33EBB" w:rsidRPr="0045440C">
        <w:t>bazedoxifene</w:t>
      </w:r>
      <w:proofErr w:type="spellEnd"/>
      <w:r w:rsidR="00B33EBB" w:rsidRPr="0045440C">
        <w:t xml:space="preserve"> </w:t>
      </w:r>
      <w:r w:rsidR="00A446CB">
        <w:t xml:space="preserve">acetate </w:t>
      </w:r>
      <w:r w:rsidR="008B1D5A" w:rsidRPr="0045440C">
        <w:t>is pH-dependent</w:t>
      </w:r>
      <w:r w:rsidR="00D65A17" w:rsidRPr="0045440C">
        <w:t>.</w:t>
      </w:r>
      <w:r w:rsidR="00156EC8">
        <w:t xml:space="preserve"> </w:t>
      </w:r>
      <w:r w:rsidR="008B1D5A" w:rsidRPr="0045440C">
        <w:t xml:space="preserve">Solubility is higher at lower </w:t>
      </w:r>
      <w:proofErr w:type="spellStart"/>
      <w:r w:rsidR="008B1D5A" w:rsidRPr="0045440C">
        <w:t>pH.</w:t>
      </w:r>
      <w:proofErr w:type="spellEnd"/>
      <w:r w:rsidR="00156EC8">
        <w:t xml:space="preserve"> </w:t>
      </w:r>
      <w:r w:rsidR="008B1D5A" w:rsidRPr="0045440C">
        <w:t xml:space="preserve">The solubility of </w:t>
      </w:r>
      <w:proofErr w:type="spellStart"/>
      <w:r w:rsidR="00B33EBB" w:rsidRPr="0045440C">
        <w:t>bazedoxifene</w:t>
      </w:r>
      <w:proofErr w:type="spellEnd"/>
      <w:r w:rsidR="00B33EBB" w:rsidRPr="0045440C">
        <w:t xml:space="preserve"> </w:t>
      </w:r>
      <w:r w:rsidR="00A446CB">
        <w:t xml:space="preserve">acetate </w:t>
      </w:r>
      <w:r w:rsidR="008B1D5A" w:rsidRPr="0045440C">
        <w:t xml:space="preserve">in unbuffered sterile water was measured to be 923 </w:t>
      </w:r>
      <w:r w:rsidR="00FA23F1">
        <w:rPr>
          <w:spacing w:val="-1"/>
        </w:rPr>
        <w:t>μg/mL at</w:t>
      </w:r>
      <w:r w:rsidR="00FA23F1">
        <w:rPr>
          <w:spacing w:val="-2"/>
        </w:rPr>
        <w:t xml:space="preserve"> </w:t>
      </w:r>
      <w:r w:rsidR="00FA23F1">
        <w:rPr>
          <w:spacing w:val="2"/>
        </w:rPr>
        <w:t>pH</w:t>
      </w:r>
      <w:r w:rsidR="00FA23F1">
        <w:rPr>
          <w:spacing w:val="-4"/>
        </w:rPr>
        <w:t xml:space="preserve"> </w:t>
      </w:r>
      <w:r w:rsidR="00FA23F1">
        <w:rPr>
          <w:spacing w:val="2"/>
        </w:rPr>
        <w:t>5.4 (</w:t>
      </w:r>
      <w:r w:rsidR="00984F6B">
        <w:rPr>
          <w:spacing w:val="2"/>
        </w:rPr>
        <w:t xml:space="preserve">low </w:t>
      </w:r>
      <w:r w:rsidR="00FA23F1">
        <w:rPr>
          <w:spacing w:val="2"/>
        </w:rPr>
        <w:t>solub</w:t>
      </w:r>
      <w:r w:rsidR="00984F6B">
        <w:rPr>
          <w:spacing w:val="2"/>
        </w:rPr>
        <w:t>ility</w:t>
      </w:r>
      <w:r w:rsidR="00FA23F1">
        <w:rPr>
          <w:spacing w:val="2"/>
        </w:rPr>
        <w:t>)</w:t>
      </w:r>
      <w:r w:rsidR="008B1D5A" w:rsidRPr="0045440C">
        <w:t>.</w:t>
      </w:r>
    </w:p>
    <w:p w:rsidR="008B1D5A" w:rsidRPr="00BE5F73" w:rsidRDefault="0078549C" w:rsidP="008B1D5A">
      <w:pPr>
        <w:pStyle w:val="PIHeading2"/>
      </w:pPr>
      <w:r>
        <w:t>DUAVIVE</w:t>
      </w:r>
    </w:p>
    <w:p w:rsidR="00400C4D" w:rsidRDefault="00A446CB" w:rsidP="00A446CB">
      <w:pPr>
        <w:pStyle w:val="PINormal"/>
      </w:pPr>
      <w:r>
        <w:t>Each modified</w:t>
      </w:r>
      <w:r w:rsidR="00FF04EA">
        <w:t xml:space="preserve"> </w:t>
      </w:r>
      <w:r>
        <w:t>release tablet</w:t>
      </w:r>
      <w:r w:rsidRPr="00562C80">
        <w:t xml:space="preserve"> contain</w:t>
      </w:r>
      <w:r>
        <w:t>s</w:t>
      </w:r>
      <w:r w:rsidRPr="00562C80">
        <w:t xml:space="preserve"> 0.45 mg of CE and </w:t>
      </w:r>
      <w:r w:rsidR="00CF355F">
        <w:t xml:space="preserve">bazedoxifene acetate equivalent to </w:t>
      </w:r>
      <w:r w:rsidRPr="00562C80">
        <w:t xml:space="preserve">20 mg of </w:t>
      </w:r>
      <w:proofErr w:type="spellStart"/>
      <w:r w:rsidRPr="00562C80">
        <w:t>bazedoxifene</w:t>
      </w:r>
      <w:proofErr w:type="spellEnd"/>
      <w:r>
        <w:t>.</w:t>
      </w:r>
    </w:p>
    <w:p w:rsidR="00400C4D" w:rsidRDefault="009B0D94" w:rsidP="009B0D94">
      <w:pPr>
        <w:pStyle w:val="PINormal"/>
        <w:rPr>
          <w:szCs w:val="22"/>
        </w:rPr>
      </w:pPr>
      <w:r w:rsidRPr="00BE5F73">
        <w:rPr>
          <w:szCs w:val="22"/>
        </w:rPr>
        <w:t>In addition</w:t>
      </w:r>
      <w:r w:rsidR="00CF355F">
        <w:rPr>
          <w:szCs w:val="22"/>
        </w:rPr>
        <w:t xml:space="preserve"> to the active ingredients</w:t>
      </w:r>
      <w:r w:rsidR="00854066">
        <w:rPr>
          <w:szCs w:val="22"/>
        </w:rPr>
        <w:t xml:space="preserve">, </w:t>
      </w:r>
      <w:r w:rsidRPr="00BE5F73">
        <w:rPr>
          <w:szCs w:val="22"/>
        </w:rPr>
        <w:t>each DUAVIVE tablet also contains the following inactive ingredients:</w:t>
      </w:r>
    </w:p>
    <w:p w:rsidR="00E71E07" w:rsidRPr="002A4201" w:rsidRDefault="00050B9C" w:rsidP="002A4201">
      <w:pPr>
        <w:pStyle w:val="PINormal"/>
        <w:numPr>
          <w:ilvl w:val="0"/>
          <w:numId w:val="41"/>
        </w:numPr>
      </w:pPr>
      <w:r>
        <w:t>The c</w:t>
      </w:r>
      <w:r w:rsidR="0006265B" w:rsidRPr="002A4201">
        <w:t xml:space="preserve">onjugated </w:t>
      </w:r>
      <w:r w:rsidR="00156E84">
        <w:t>estrogens</w:t>
      </w:r>
      <w:r w:rsidR="0006265B" w:rsidRPr="002A4201">
        <w:t xml:space="preserve"> tablet core</w:t>
      </w:r>
      <w:r w:rsidR="00E71E07" w:rsidRPr="002A4201">
        <w:t>: l</w:t>
      </w:r>
      <w:r w:rsidR="0006265B" w:rsidRPr="002A4201">
        <w:t>actose</w:t>
      </w:r>
      <w:r w:rsidR="00EB79A9">
        <w:t xml:space="preserve"> monohydrate</w:t>
      </w:r>
      <w:r w:rsidR="00E71E07" w:rsidRPr="002A4201">
        <w:t>, mi</w:t>
      </w:r>
      <w:r w:rsidR="0006265B" w:rsidRPr="002A4201">
        <w:t>crocrystalline cellulose</w:t>
      </w:r>
      <w:r w:rsidR="00E71E07" w:rsidRPr="002A4201">
        <w:t>, p</w:t>
      </w:r>
      <w:r w:rsidR="0006265B" w:rsidRPr="002A4201">
        <w:t>owdered cellulose</w:t>
      </w:r>
      <w:r w:rsidR="00E71E07" w:rsidRPr="002A4201">
        <w:t>, h</w:t>
      </w:r>
      <w:r w:rsidR="0006265B" w:rsidRPr="002A4201">
        <w:t>ypromellose</w:t>
      </w:r>
      <w:r w:rsidR="00E71E07" w:rsidRPr="002A4201">
        <w:t>, m</w:t>
      </w:r>
      <w:r w:rsidR="0006265B" w:rsidRPr="002A4201">
        <w:t>agnesium stearate</w:t>
      </w:r>
      <w:r w:rsidR="007839C8" w:rsidRPr="002A4201">
        <w:t xml:space="preserve">, </w:t>
      </w:r>
      <w:r w:rsidR="00156E84">
        <w:t xml:space="preserve">tribasic </w:t>
      </w:r>
      <w:r w:rsidR="007839C8" w:rsidRPr="002A4201">
        <w:t>calcium phosphate</w:t>
      </w:r>
      <w:r w:rsidR="00585DEA" w:rsidRPr="002A4201">
        <w:t>,</w:t>
      </w:r>
      <w:r w:rsidR="00323112">
        <w:t xml:space="preserve"> </w:t>
      </w:r>
      <w:r w:rsidR="00E71E07" w:rsidRPr="002A4201">
        <w:t>s</w:t>
      </w:r>
      <w:r w:rsidR="0006265B" w:rsidRPr="002A4201">
        <w:t>ucrose</w:t>
      </w:r>
      <w:r w:rsidR="00E71E07" w:rsidRPr="002A4201">
        <w:t xml:space="preserve">, </w:t>
      </w:r>
      <w:r w:rsidR="00EB79A9">
        <w:t>hyprolose</w:t>
      </w:r>
      <w:r w:rsidR="00E71E07" w:rsidRPr="002A4201">
        <w:t>, m</w:t>
      </w:r>
      <w:r w:rsidR="0006265B" w:rsidRPr="002A4201">
        <w:t>acrogol 400</w:t>
      </w:r>
      <w:r w:rsidR="00E71E07" w:rsidRPr="002A4201">
        <w:t>.</w:t>
      </w:r>
    </w:p>
    <w:p w:rsidR="00400C4D" w:rsidRDefault="0006265B" w:rsidP="002A4201">
      <w:pPr>
        <w:pStyle w:val="PINormal"/>
        <w:numPr>
          <w:ilvl w:val="0"/>
          <w:numId w:val="41"/>
        </w:numPr>
      </w:pPr>
      <w:r w:rsidRPr="00766DF0">
        <w:t>Bazedoxifene active coating</w:t>
      </w:r>
      <w:r w:rsidR="00E71E07" w:rsidRPr="00766DF0">
        <w:t>:</w:t>
      </w:r>
      <w:r w:rsidR="00162FD6" w:rsidRPr="00766DF0">
        <w:t xml:space="preserve"> </w:t>
      </w:r>
      <w:r w:rsidR="00E71E07" w:rsidRPr="00766DF0">
        <w:t>s</w:t>
      </w:r>
      <w:r w:rsidRPr="00766DF0">
        <w:t>ucrose</w:t>
      </w:r>
      <w:r w:rsidR="00E71E07" w:rsidRPr="00766DF0">
        <w:t>, h</w:t>
      </w:r>
      <w:r w:rsidRPr="00766DF0">
        <w:t>ypromellose</w:t>
      </w:r>
      <w:r w:rsidR="00E71E07" w:rsidRPr="00766DF0">
        <w:t>, s</w:t>
      </w:r>
      <w:r w:rsidRPr="00766DF0">
        <w:t>ucrose palmitate</w:t>
      </w:r>
      <w:r w:rsidR="00E71E07" w:rsidRPr="00766DF0">
        <w:t>, a</w:t>
      </w:r>
      <w:r w:rsidRPr="00766DF0">
        <w:t>scorbic acid</w:t>
      </w:r>
      <w:r w:rsidR="00936EB8" w:rsidRPr="00766DF0">
        <w:t>,</w:t>
      </w:r>
      <w:r w:rsidR="00C9796F" w:rsidRPr="00766DF0">
        <w:t xml:space="preserve"> Opadry pink</w:t>
      </w:r>
      <w:r w:rsidR="00936EB8" w:rsidRPr="00766DF0">
        <w:t xml:space="preserve">, </w:t>
      </w:r>
      <w:r w:rsidR="00570E41" w:rsidRPr="00766DF0">
        <w:t xml:space="preserve">Opaglos 2 Clear and </w:t>
      </w:r>
      <w:proofErr w:type="spellStart"/>
      <w:r w:rsidR="00570E41" w:rsidRPr="00766DF0">
        <w:t>Opacode</w:t>
      </w:r>
      <w:proofErr w:type="spellEnd"/>
      <w:r w:rsidR="00570E41" w:rsidRPr="00766DF0">
        <w:t xml:space="preserve"> black ink.</w:t>
      </w:r>
    </w:p>
    <w:p w:rsidR="003759D0" w:rsidRPr="00BE5F73" w:rsidRDefault="003759D0" w:rsidP="009B0D94">
      <w:pPr>
        <w:pStyle w:val="PINormal"/>
      </w:pPr>
      <w:r w:rsidRPr="00B9411E">
        <w:rPr>
          <w:bCs/>
          <w:szCs w:val="22"/>
        </w:rPr>
        <w:t>Each tablet contains 96.</w:t>
      </w:r>
      <w:r>
        <w:rPr>
          <w:bCs/>
          <w:szCs w:val="22"/>
        </w:rPr>
        <w:t>9</w:t>
      </w:r>
      <w:r w:rsidRPr="00B9411E">
        <w:rPr>
          <w:bCs/>
          <w:szCs w:val="22"/>
        </w:rPr>
        <w:t> mg sucrose</w:t>
      </w:r>
      <w:r>
        <w:rPr>
          <w:bCs/>
          <w:szCs w:val="22"/>
        </w:rPr>
        <w:t xml:space="preserve"> (includes 0.7 mg sucrose as sucrose palmitate)</w:t>
      </w:r>
      <w:r w:rsidRPr="00B9411E">
        <w:rPr>
          <w:bCs/>
          <w:szCs w:val="22"/>
        </w:rPr>
        <w:t>, 59.8 mg lactose (as monohydrate)</w:t>
      </w:r>
      <w:r w:rsidR="00405F9D">
        <w:rPr>
          <w:bCs/>
          <w:szCs w:val="22"/>
        </w:rPr>
        <w:t xml:space="preserve">, </w:t>
      </w:r>
      <w:r w:rsidRPr="00B9411E">
        <w:rPr>
          <w:bCs/>
          <w:szCs w:val="22"/>
        </w:rPr>
        <w:t xml:space="preserve">0.2 mg maltitol </w:t>
      </w:r>
      <w:r w:rsidR="00D735CD" w:rsidRPr="009663A8">
        <w:t>solution</w:t>
      </w:r>
      <w:r w:rsidR="008F1CC5" w:rsidRPr="009663A8">
        <w:t xml:space="preserve"> </w:t>
      </w:r>
      <w:r w:rsidR="0097420E" w:rsidRPr="009663A8">
        <w:t>(</w:t>
      </w:r>
      <w:r w:rsidR="00405F9D" w:rsidRPr="009663A8">
        <w:t xml:space="preserve">a </w:t>
      </w:r>
      <w:r w:rsidR="00585DEA" w:rsidRPr="009663A8">
        <w:t xml:space="preserve">component of </w:t>
      </w:r>
      <w:r w:rsidR="00E30178" w:rsidRPr="009663A8">
        <w:t>Opaglos 2 Clear</w:t>
      </w:r>
      <w:r w:rsidR="0097420E" w:rsidRPr="009663A8">
        <w:t>)</w:t>
      </w:r>
      <w:r w:rsidR="00EA4EB1" w:rsidRPr="009A13ED">
        <w:t xml:space="preserve"> (see PRECAUTION</w:t>
      </w:r>
      <w:r w:rsidR="00991713">
        <w:t>S</w:t>
      </w:r>
      <w:r w:rsidR="00EA4EB1" w:rsidRPr="009A13ED">
        <w:t xml:space="preserve">, </w:t>
      </w:r>
      <w:r w:rsidR="008F1CC5" w:rsidRPr="009A13ED">
        <w:t>Other Conditions)</w:t>
      </w:r>
      <w:r w:rsidRPr="009A13ED">
        <w:rPr>
          <w:bCs/>
          <w:szCs w:val="22"/>
        </w:rPr>
        <w:t>.</w:t>
      </w:r>
    </w:p>
    <w:p w:rsidR="00B64A7C" w:rsidRPr="00562C80" w:rsidRDefault="00B64A7C" w:rsidP="001E1FC1">
      <w:pPr>
        <w:pStyle w:val="PIHeading1"/>
      </w:pPr>
      <w:r w:rsidRPr="00562C80">
        <w:t>PHARMACOLOGY</w:t>
      </w:r>
    </w:p>
    <w:p w:rsidR="00FD2F1C" w:rsidRPr="00562C80" w:rsidRDefault="00FD2F1C" w:rsidP="001E1FC1">
      <w:pPr>
        <w:pStyle w:val="PIHeading2"/>
      </w:pPr>
      <w:r w:rsidRPr="00562C80">
        <w:t>Pharmacodynamics</w:t>
      </w:r>
    </w:p>
    <w:p w:rsidR="001E42E9" w:rsidRPr="00786DDF" w:rsidRDefault="0006265B" w:rsidP="0006265B">
      <w:pPr>
        <w:rPr>
          <w:szCs w:val="22"/>
        </w:rPr>
      </w:pPr>
      <w:r w:rsidRPr="00786DDF">
        <w:rPr>
          <w:szCs w:val="22"/>
        </w:rPr>
        <w:t>DUAVIVE pairs CE with the selective estrogen receptor modulator (SERM), bazedo</w:t>
      </w:r>
      <w:r w:rsidRPr="00B94CA8">
        <w:rPr>
          <w:szCs w:val="22"/>
        </w:rPr>
        <w:t>xifene</w:t>
      </w:r>
      <w:r w:rsidR="00C16568">
        <w:rPr>
          <w:szCs w:val="22"/>
        </w:rPr>
        <w:t>;</w:t>
      </w:r>
      <w:r w:rsidRPr="00B94CA8">
        <w:rPr>
          <w:szCs w:val="22"/>
        </w:rPr>
        <w:t xml:space="preserve"> </w:t>
      </w:r>
      <w:r w:rsidR="00C16568">
        <w:rPr>
          <w:szCs w:val="22"/>
        </w:rPr>
        <w:t>this pairing</w:t>
      </w:r>
      <w:r w:rsidR="00A446CB">
        <w:rPr>
          <w:szCs w:val="22"/>
        </w:rPr>
        <w:t xml:space="preserve"> </w:t>
      </w:r>
      <w:r w:rsidRPr="00B94CA8">
        <w:rPr>
          <w:szCs w:val="22"/>
        </w:rPr>
        <w:t xml:space="preserve">is defined as </w:t>
      </w:r>
      <w:r>
        <w:rPr>
          <w:szCs w:val="22"/>
        </w:rPr>
        <w:t xml:space="preserve">a </w:t>
      </w:r>
      <w:r w:rsidRPr="00B94CA8">
        <w:rPr>
          <w:szCs w:val="22"/>
        </w:rPr>
        <w:t>tissue selective estrogen complex (TSEC).</w:t>
      </w:r>
      <w:r w:rsidR="00156EC8">
        <w:rPr>
          <w:szCs w:val="22"/>
        </w:rPr>
        <w:t xml:space="preserve"> </w:t>
      </w:r>
      <w:r w:rsidRPr="00B94CA8">
        <w:rPr>
          <w:szCs w:val="22"/>
        </w:rPr>
        <w:t>The active ingredients of CE are primarily the sul</w:t>
      </w:r>
      <w:r w:rsidR="00854CA2">
        <w:rPr>
          <w:szCs w:val="22"/>
        </w:rPr>
        <w:t>f</w:t>
      </w:r>
      <w:r w:rsidRPr="00B94CA8">
        <w:rPr>
          <w:szCs w:val="22"/>
        </w:rPr>
        <w:t>ate esters of estro</w:t>
      </w:r>
      <w:r w:rsidR="00A446CB">
        <w:rPr>
          <w:szCs w:val="22"/>
        </w:rPr>
        <w:t>ne, equilin sul</w:t>
      </w:r>
      <w:r w:rsidR="00854CA2">
        <w:rPr>
          <w:szCs w:val="22"/>
        </w:rPr>
        <w:t>f</w:t>
      </w:r>
      <w:r w:rsidR="00A446CB">
        <w:rPr>
          <w:szCs w:val="22"/>
        </w:rPr>
        <w:t>ates and 17α/β</w:t>
      </w:r>
      <w:r w:rsidR="0006561B">
        <w:rPr>
          <w:szCs w:val="22"/>
        </w:rPr>
        <w:t>-</w:t>
      </w:r>
      <w:r w:rsidR="00FF04EA">
        <w:rPr>
          <w:szCs w:val="22"/>
        </w:rPr>
        <w:t>estradiol</w:t>
      </w:r>
      <w:r w:rsidR="00A446CB">
        <w:rPr>
          <w:szCs w:val="22"/>
        </w:rPr>
        <w:t xml:space="preserve"> </w:t>
      </w:r>
      <w:r w:rsidR="00A446CB" w:rsidRPr="00DE0947">
        <w:rPr>
          <w:szCs w:val="22"/>
        </w:rPr>
        <w:t>which demonstrate tissue selective estrogen receptor agonist activity</w:t>
      </w:r>
      <w:r w:rsidRPr="00DE0947">
        <w:rPr>
          <w:szCs w:val="22"/>
        </w:rPr>
        <w:t>.</w:t>
      </w:r>
      <w:r w:rsidR="00156EC8">
        <w:rPr>
          <w:szCs w:val="22"/>
        </w:rPr>
        <w:t xml:space="preserve"> </w:t>
      </w:r>
      <w:r w:rsidRPr="00DE0947">
        <w:rPr>
          <w:szCs w:val="22"/>
        </w:rPr>
        <w:t>These substitute for the loss</w:t>
      </w:r>
      <w:r w:rsidRPr="00B94CA8">
        <w:rPr>
          <w:szCs w:val="22"/>
        </w:rPr>
        <w:t xml:space="preserve"> of estrogen production in menopausal women, and alleviate menopausal symptoms.</w:t>
      </w:r>
      <w:r w:rsidR="00156EC8">
        <w:rPr>
          <w:szCs w:val="22"/>
        </w:rPr>
        <w:t xml:space="preserve"> </w:t>
      </w:r>
      <w:r w:rsidRPr="00B94CA8">
        <w:rPr>
          <w:szCs w:val="22"/>
        </w:rPr>
        <w:t xml:space="preserve">As </w:t>
      </w:r>
      <w:r w:rsidR="00156E84">
        <w:rPr>
          <w:szCs w:val="22"/>
        </w:rPr>
        <w:t>estrogens</w:t>
      </w:r>
      <w:r w:rsidRPr="00B94CA8">
        <w:rPr>
          <w:szCs w:val="22"/>
        </w:rPr>
        <w:t xml:space="preserve"> promote the growth of the endometrium, unopposed </w:t>
      </w:r>
      <w:r w:rsidR="00156E84">
        <w:rPr>
          <w:szCs w:val="22"/>
        </w:rPr>
        <w:t>estrogens</w:t>
      </w:r>
      <w:r w:rsidRPr="00B94CA8">
        <w:rPr>
          <w:szCs w:val="22"/>
        </w:rPr>
        <w:t xml:space="preserve"> increase the risk of endometrial hyperplasia and cancer.</w:t>
      </w:r>
      <w:r w:rsidR="00156EC8">
        <w:rPr>
          <w:szCs w:val="22"/>
        </w:rPr>
        <w:t xml:space="preserve"> </w:t>
      </w:r>
      <w:r w:rsidRPr="00B94CA8">
        <w:rPr>
          <w:szCs w:val="22"/>
        </w:rPr>
        <w:t xml:space="preserve">The addition of </w:t>
      </w:r>
      <w:proofErr w:type="spellStart"/>
      <w:r w:rsidRPr="00B94CA8">
        <w:rPr>
          <w:szCs w:val="22"/>
        </w:rPr>
        <w:t>bazedoxifene</w:t>
      </w:r>
      <w:proofErr w:type="spellEnd"/>
      <w:r w:rsidRPr="00B94CA8">
        <w:rPr>
          <w:szCs w:val="22"/>
        </w:rPr>
        <w:t>, acting as an estrogen receptor antagonist in the uterus, greatly reduces the estrogen-induced risk of endometrial hyperplasia in non-hysterectomised women.</w:t>
      </w:r>
    </w:p>
    <w:p w:rsidR="0063437E" w:rsidRPr="00A16E63" w:rsidRDefault="0063437E" w:rsidP="00E71E07">
      <w:pPr>
        <w:pStyle w:val="PIHeading2"/>
      </w:pPr>
      <w:r w:rsidRPr="00E71E07">
        <w:t>Pharmacokinetics</w:t>
      </w:r>
    </w:p>
    <w:p w:rsidR="005E1EEE" w:rsidRPr="001C0EB8" w:rsidRDefault="0006265B" w:rsidP="00506142">
      <w:pPr>
        <w:pStyle w:val="PINormal"/>
      </w:pPr>
      <w:r>
        <w:t>P</w:t>
      </w:r>
      <w:r w:rsidR="005E1EEE" w:rsidRPr="001C0EB8">
        <w:t>harmacokinetic</w:t>
      </w:r>
      <w:r>
        <w:t xml:space="preserve"> </w:t>
      </w:r>
      <w:r w:rsidR="00A16E63" w:rsidRPr="001C0EB8">
        <w:t>s</w:t>
      </w:r>
      <w:r>
        <w:t>tudies</w:t>
      </w:r>
      <w:r w:rsidR="00A16E63" w:rsidRPr="001C0EB8">
        <w:t xml:space="preserve"> </w:t>
      </w:r>
      <w:r>
        <w:t>for</w:t>
      </w:r>
      <w:r w:rsidR="005E1EEE" w:rsidRPr="001C0EB8">
        <w:t xml:space="preserve"> CE/</w:t>
      </w:r>
      <w:r w:rsidR="00B33EBB" w:rsidRPr="001C0EB8">
        <w:t xml:space="preserve">bazedoxifene </w:t>
      </w:r>
      <w:r w:rsidR="005E1EEE" w:rsidRPr="001C0EB8">
        <w:t xml:space="preserve">were </w:t>
      </w:r>
      <w:r>
        <w:t>conducted</w:t>
      </w:r>
      <w:r w:rsidR="005E1EEE" w:rsidRPr="001C0EB8">
        <w:t xml:space="preserve"> in healthy </w:t>
      </w:r>
      <w:r>
        <w:t xml:space="preserve">postmenopausal </w:t>
      </w:r>
      <w:r w:rsidR="005E1EEE" w:rsidRPr="001C0EB8">
        <w:t>women who were naturally postmenopausal or who had undergone bilateral oophorectomy.</w:t>
      </w:r>
    </w:p>
    <w:p w:rsidR="005E1EEE" w:rsidRDefault="005E1EEE" w:rsidP="00506142">
      <w:pPr>
        <w:pStyle w:val="PINormal"/>
      </w:pPr>
      <w:r w:rsidRPr="004D5F31">
        <w:t>Following multiple doses of CE 0.45 mg/</w:t>
      </w:r>
      <w:r w:rsidR="00B33EBB" w:rsidRPr="001C0EB8">
        <w:t xml:space="preserve">bazedoxifene </w:t>
      </w:r>
      <w:r w:rsidRPr="004D5F31">
        <w:t xml:space="preserve">20 mg, the mean steady state pharmacokinetic parameters for CE </w:t>
      </w:r>
      <w:r w:rsidR="00A16E63" w:rsidRPr="004D5F31">
        <w:t>(baseline</w:t>
      </w:r>
      <w:r w:rsidR="00B82ADF" w:rsidRPr="004D5F31">
        <w:t xml:space="preserve"> adjusted for total </w:t>
      </w:r>
      <w:r w:rsidR="00A16E63" w:rsidRPr="004D5F31">
        <w:t xml:space="preserve">estrone) </w:t>
      </w:r>
      <w:r w:rsidRPr="004D5F31">
        <w:t xml:space="preserve">and </w:t>
      </w:r>
      <w:r w:rsidR="00B33EBB" w:rsidRPr="001C0EB8">
        <w:t xml:space="preserve">bazedoxifene </w:t>
      </w:r>
      <w:r w:rsidRPr="004D5F31">
        <w:t xml:space="preserve">are summarised </w:t>
      </w:r>
      <w:r w:rsidR="00506142" w:rsidRPr="004D5F31">
        <w:t>in</w:t>
      </w:r>
      <w:r w:rsidR="003F7D80">
        <w:t xml:space="preserve"> Table 1</w:t>
      </w:r>
      <w:r w:rsidRPr="004D5F31">
        <w:t>.</w:t>
      </w:r>
    </w:p>
    <w:p w:rsidR="00DE0947" w:rsidRPr="004D5F31" w:rsidRDefault="00DE0947" w:rsidP="00EE0DB0">
      <w:pPr>
        <w:pStyle w:val="CLDTableTitle"/>
      </w:pPr>
      <w:r w:rsidRPr="001C0EB8">
        <w:lastRenderedPageBreak/>
        <w:t xml:space="preserve">Table </w:t>
      </w:r>
      <w:r w:rsidRPr="001C0EB8">
        <w:fldChar w:fldCharType="begin"/>
      </w:r>
      <w:r w:rsidRPr="001C0EB8">
        <w:instrText xml:space="preserve"> SEQ Table \* ARABIC </w:instrText>
      </w:r>
      <w:r w:rsidRPr="001C0EB8">
        <w:fldChar w:fldCharType="separate"/>
      </w:r>
      <w:r w:rsidR="00F0108C">
        <w:rPr>
          <w:noProof/>
        </w:rPr>
        <w:t>1</w:t>
      </w:r>
      <w:r w:rsidRPr="001C0EB8">
        <w:fldChar w:fldCharType="end"/>
      </w:r>
      <w:r w:rsidRPr="001C0EB8">
        <w:t>: Mean ± SD Steady-State</w:t>
      </w:r>
      <w:r>
        <w:t xml:space="preserve"> (ss)</w:t>
      </w:r>
      <w:r w:rsidRPr="001C0EB8">
        <w:t xml:space="preserve"> Pharmacokinetic Parameters (n=24)</w:t>
      </w:r>
    </w:p>
    <w:tbl>
      <w:tblPr>
        <w:tblW w:w="0" w:type="auto"/>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Table 1: Mean ± SD Steady-State (ss) Pharmacokinetic Parameters (n=24)"/>
      </w:tblPr>
      <w:tblGrid>
        <w:gridCol w:w="3725"/>
        <w:gridCol w:w="1701"/>
        <w:gridCol w:w="1275"/>
        <w:gridCol w:w="2505"/>
      </w:tblGrid>
      <w:tr w:rsidR="005E1EEE" w:rsidRPr="001C0EB8" w:rsidTr="009F6FC2">
        <w:trPr>
          <w:tblHeader/>
        </w:trPr>
        <w:tc>
          <w:tcPr>
            <w:tcW w:w="3725" w:type="dxa"/>
            <w:tcBorders>
              <w:top w:val="single" w:sz="4" w:space="0" w:color="auto"/>
              <w:left w:val="single" w:sz="4" w:space="0" w:color="auto"/>
              <w:bottom w:val="single" w:sz="4" w:space="0" w:color="auto"/>
              <w:right w:val="single" w:sz="4" w:space="0" w:color="auto"/>
            </w:tcBorders>
          </w:tcPr>
          <w:p w:rsidR="005E1EEE" w:rsidRPr="001C0EB8" w:rsidRDefault="005E1EEE" w:rsidP="00EE0DB0">
            <w:pPr>
              <w:keepNext/>
              <w:keepLines/>
              <w:overflowPunct w:val="0"/>
              <w:autoSpaceDE w:val="0"/>
              <w:autoSpaceDN w:val="0"/>
              <w:adjustRightInd w:val="0"/>
              <w:textAlignment w:val="baseline"/>
              <w:rPr>
                <w:szCs w:val="22"/>
                <w:lang w:val="en-GB"/>
              </w:rPr>
            </w:pPr>
          </w:p>
        </w:tc>
        <w:tc>
          <w:tcPr>
            <w:tcW w:w="1701" w:type="dxa"/>
            <w:tcBorders>
              <w:top w:val="single" w:sz="4" w:space="0" w:color="auto"/>
              <w:left w:val="single" w:sz="4" w:space="0" w:color="auto"/>
              <w:bottom w:val="single" w:sz="4" w:space="0" w:color="auto"/>
              <w:right w:val="single" w:sz="4" w:space="0" w:color="auto"/>
            </w:tcBorders>
          </w:tcPr>
          <w:p w:rsidR="005E1EEE" w:rsidRPr="001C0EB8" w:rsidRDefault="005E1EEE" w:rsidP="00EE0DB0">
            <w:pPr>
              <w:pStyle w:val="CLDTableTitle"/>
            </w:pPr>
            <w:r w:rsidRPr="001C0EB8">
              <w:t>C</w:t>
            </w:r>
            <w:r w:rsidRPr="001C0EB8">
              <w:rPr>
                <w:vertAlign w:val="subscript"/>
              </w:rPr>
              <w:t>max</w:t>
            </w:r>
            <w:r w:rsidR="003E3732">
              <w:rPr>
                <w:vertAlign w:val="subscript"/>
              </w:rPr>
              <w:t xml:space="preserve"> </w:t>
            </w:r>
            <w:r w:rsidRPr="001C0EB8">
              <w:t>(ng/mL)</w:t>
            </w:r>
          </w:p>
        </w:tc>
        <w:tc>
          <w:tcPr>
            <w:tcW w:w="1275" w:type="dxa"/>
            <w:tcBorders>
              <w:top w:val="single" w:sz="4" w:space="0" w:color="auto"/>
              <w:left w:val="single" w:sz="4" w:space="0" w:color="auto"/>
              <w:bottom w:val="single" w:sz="4" w:space="0" w:color="auto"/>
              <w:right w:val="single" w:sz="4" w:space="0" w:color="auto"/>
            </w:tcBorders>
          </w:tcPr>
          <w:p w:rsidR="005E1EEE" w:rsidRPr="001C0EB8" w:rsidRDefault="005E1EEE" w:rsidP="00EE0DB0">
            <w:pPr>
              <w:pStyle w:val="CLDTableTitle"/>
            </w:pPr>
            <w:r w:rsidRPr="001C0EB8">
              <w:t>T</w:t>
            </w:r>
            <w:r w:rsidRPr="001C0EB8">
              <w:rPr>
                <w:vertAlign w:val="subscript"/>
              </w:rPr>
              <w:t>max</w:t>
            </w:r>
            <w:r w:rsidR="003E3732">
              <w:rPr>
                <w:vertAlign w:val="subscript"/>
              </w:rPr>
              <w:t xml:space="preserve"> </w:t>
            </w:r>
            <w:r w:rsidRPr="001C0EB8">
              <w:t>(hr)</w:t>
            </w:r>
          </w:p>
        </w:tc>
        <w:tc>
          <w:tcPr>
            <w:tcW w:w="2505" w:type="dxa"/>
            <w:tcBorders>
              <w:top w:val="single" w:sz="4" w:space="0" w:color="auto"/>
              <w:left w:val="single" w:sz="4" w:space="0" w:color="auto"/>
              <w:bottom w:val="single" w:sz="4" w:space="0" w:color="auto"/>
              <w:right w:val="single" w:sz="4" w:space="0" w:color="auto"/>
            </w:tcBorders>
          </w:tcPr>
          <w:p w:rsidR="005E1EEE" w:rsidRPr="001C0EB8" w:rsidRDefault="005E1EEE" w:rsidP="00EE0DB0">
            <w:pPr>
              <w:pStyle w:val="CLDTableTitle"/>
            </w:pPr>
            <w:r w:rsidRPr="001C0EB8">
              <w:t>AUCss</w:t>
            </w:r>
            <w:r w:rsidR="003E3732">
              <w:t xml:space="preserve"> </w:t>
            </w:r>
            <w:r w:rsidRPr="001C0EB8">
              <w:t>(ng</w:t>
            </w:r>
            <w:r w:rsidRPr="001C0EB8">
              <w:sym w:font="Symbol" w:char="F0D7"/>
            </w:r>
            <w:r w:rsidRPr="001C0EB8">
              <w:t>hr/mL)</w:t>
            </w:r>
          </w:p>
        </w:tc>
      </w:tr>
      <w:tr w:rsidR="005E1EEE" w:rsidRPr="001C0EB8" w:rsidTr="009F6FC2">
        <w:tc>
          <w:tcPr>
            <w:tcW w:w="3725" w:type="dxa"/>
            <w:tcBorders>
              <w:top w:val="single" w:sz="4" w:space="0" w:color="auto"/>
              <w:left w:val="single" w:sz="4" w:space="0" w:color="auto"/>
              <w:bottom w:val="single" w:sz="4" w:space="0" w:color="auto"/>
              <w:right w:val="single" w:sz="4" w:space="0" w:color="auto"/>
            </w:tcBorders>
          </w:tcPr>
          <w:p w:rsidR="005E1EEE" w:rsidRPr="003E3732" w:rsidRDefault="005E1EEE" w:rsidP="00EE0DB0">
            <w:pPr>
              <w:pStyle w:val="PITableTextListText"/>
              <w:keepNext/>
              <w:keepLines/>
            </w:pPr>
            <w:r w:rsidRPr="003E3732">
              <w:t>Bazedoxifene</w:t>
            </w:r>
          </w:p>
        </w:tc>
        <w:tc>
          <w:tcPr>
            <w:tcW w:w="1701" w:type="dxa"/>
            <w:tcBorders>
              <w:top w:val="single" w:sz="4" w:space="0" w:color="auto"/>
              <w:left w:val="single" w:sz="4" w:space="0" w:color="auto"/>
              <w:bottom w:val="single" w:sz="4" w:space="0" w:color="auto"/>
              <w:right w:val="single" w:sz="4" w:space="0" w:color="auto"/>
            </w:tcBorders>
          </w:tcPr>
          <w:p w:rsidR="005E1EEE" w:rsidRPr="003E3732" w:rsidRDefault="005E1EEE" w:rsidP="00EE0DB0">
            <w:pPr>
              <w:pStyle w:val="PITableTextListText"/>
              <w:keepNext/>
              <w:keepLines/>
            </w:pPr>
            <w:r w:rsidRPr="003E3732">
              <w:t>6.9 ± 3.9</w:t>
            </w:r>
          </w:p>
        </w:tc>
        <w:tc>
          <w:tcPr>
            <w:tcW w:w="1275" w:type="dxa"/>
            <w:tcBorders>
              <w:top w:val="single" w:sz="4" w:space="0" w:color="auto"/>
              <w:left w:val="single" w:sz="4" w:space="0" w:color="auto"/>
              <w:bottom w:val="single" w:sz="4" w:space="0" w:color="auto"/>
              <w:right w:val="single" w:sz="4" w:space="0" w:color="auto"/>
            </w:tcBorders>
          </w:tcPr>
          <w:p w:rsidR="005E1EEE" w:rsidRPr="003E3732" w:rsidRDefault="005E1EEE" w:rsidP="00EE0DB0">
            <w:pPr>
              <w:pStyle w:val="PITableTextListText"/>
              <w:keepNext/>
              <w:keepLines/>
            </w:pPr>
            <w:r w:rsidRPr="003E3732">
              <w:t>2.5 ± 2.1</w:t>
            </w:r>
          </w:p>
        </w:tc>
        <w:tc>
          <w:tcPr>
            <w:tcW w:w="2505" w:type="dxa"/>
            <w:tcBorders>
              <w:top w:val="single" w:sz="4" w:space="0" w:color="auto"/>
              <w:left w:val="single" w:sz="4" w:space="0" w:color="auto"/>
              <w:bottom w:val="single" w:sz="4" w:space="0" w:color="auto"/>
              <w:right w:val="single" w:sz="4" w:space="0" w:color="auto"/>
            </w:tcBorders>
          </w:tcPr>
          <w:p w:rsidR="005E1EEE" w:rsidRPr="003E3732" w:rsidRDefault="005E1EEE" w:rsidP="00EE0DB0">
            <w:pPr>
              <w:pStyle w:val="PITableTextListText"/>
              <w:keepNext/>
              <w:keepLines/>
            </w:pPr>
            <w:r w:rsidRPr="003E3732">
              <w:t>71 ± 34</w:t>
            </w:r>
          </w:p>
        </w:tc>
      </w:tr>
      <w:tr w:rsidR="005E1EEE" w:rsidRPr="001C0EB8" w:rsidTr="007E5B06">
        <w:tc>
          <w:tcPr>
            <w:tcW w:w="3725" w:type="dxa"/>
            <w:tcBorders>
              <w:top w:val="single" w:sz="4" w:space="0" w:color="auto"/>
              <w:left w:val="single" w:sz="4" w:space="0" w:color="auto"/>
              <w:bottom w:val="single" w:sz="4" w:space="0" w:color="auto"/>
              <w:right w:val="single" w:sz="4" w:space="0" w:color="auto"/>
            </w:tcBorders>
          </w:tcPr>
          <w:p w:rsidR="005E1EEE" w:rsidRPr="003E3732" w:rsidRDefault="005E1EEE" w:rsidP="00EE0DB0">
            <w:pPr>
              <w:pStyle w:val="PITableTextListText"/>
              <w:keepNext/>
              <w:keepLines/>
            </w:pPr>
            <w:r w:rsidRPr="003E3732">
              <w:t>Baseline-adjusted total estrone</w:t>
            </w:r>
          </w:p>
        </w:tc>
        <w:tc>
          <w:tcPr>
            <w:tcW w:w="1701" w:type="dxa"/>
            <w:tcBorders>
              <w:top w:val="single" w:sz="4" w:space="0" w:color="auto"/>
              <w:left w:val="single" w:sz="4" w:space="0" w:color="auto"/>
              <w:bottom w:val="single" w:sz="4" w:space="0" w:color="auto"/>
              <w:right w:val="single" w:sz="4" w:space="0" w:color="auto"/>
            </w:tcBorders>
          </w:tcPr>
          <w:p w:rsidR="005E1EEE" w:rsidRPr="003E3732" w:rsidRDefault="005E1EEE" w:rsidP="00EE0DB0">
            <w:pPr>
              <w:pStyle w:val="PITableTextListText"/>
              <w:keepNext/>
              <w:keepLines/>
            </w:pPr>
            <w:r w:rsidRPr="003E3732">
              <w:t>2.6 ± 0.8</w:t>
            </w:r>
          </w:p>
        </w:tc>
        <w:tc>
          <w:tcPr>
            <w:tcW w:w="1275" w:type="dxa"/>
            <w:tcBorders>
              <w:top w:val="single" w:sz="4" w:space="0" w:color="auto"/>
              <w:left w:val="single" w:sz="4" w:space="0" w:color="auto"/>
              <w:bottom w:val="single" w:sz="4" w:space="0" w:color="auto"/>
              <w:right w:val="single" w:sz="4" w:space="0" w:color="auto"/>
            </w:tcBorders>
          </w:tcPr>
          <w:p w:rsidR="005E1EEE" w:rsidRPr="003E3732" w:rsidRDefault="005E1EEE" w:rsidP="00EE0DB0">
            <w:pPr>
              <w:pStyle w:val="PITableTextListText"/>
              <w:keepNext/>
              <w:keepLines/>
            </w:pPr>
            <w:r w:rsidRPr="003E3732">
              <w:t>6.5 ± 1.6</w:t>
            </w:r>
          </w:p>
        </w:tc>
        <w:tc>
          <w:tcPr>
            <w:tcW w:w="2505" w:type="dxa"/>
            <w:tcBorders>
              <w:top w:val="single" w:sz="4" w:space="0" w:color="auto"/>
              <w:left w:val="single" w:sz="4" w:space="0" w:color="auto"/>
              <w:bottom w:val="single" w:sz="4" w:space="0" w:color="auto"/>
              <w:right w:val="single" w:sz="4" w:space="0" w:color="auto"/>
            </w:tcBorders>
          </w:tcPr>
          <w:p w:rsidR="005E1EEE" w:rsidRPr="003E3732" w:rsidRDefault="005E1EEE" w:rsidP="00EE0DB0">
            <w:pPr>
              <w:pStyle w:val="PITableTextListText"/>
              <w:keepNext/>
              <w:keepLines/>
            </w:pPr>
            <w:r w:rsidRPr="003E3732">
              <w:t>35 ± 12</w:t>
            </w:r>
          </w:p>
        </w:tc>
      </w:tr>
      <w:tr w:rsidR="007E5B06" w:rsidRPr="001C0EB8" w:rsidTr="007E5B06">
        <w:tc>
          <w:tcPr>
            <w:tcW w:w="9206" w:type="dxa"/>
            <w:gridSpan w:val="4"/>
            <w:tcBorders>
              <w:top w:val="single" w:sz="4" w:space="0" w:color="auto"/>
              <w:left w:val="nil"/>
              <w:bottom w:val="nil"/>
              <w:right w:val="nil"/>
            </w:tcBorders>
          </w:tcPr>
          <w:p w:rsidR="007E5B06" w:rsidRPr="003E3732" w:rsidRDefault="007E5B06" w:rsidP="00EE0DB0">
            <w:pPr>
              <w:pStyle w:val="CLDTableFootnote"/>
              <w:keepNext/>
              <w:keepLines/>
            </w:pPr>
            <w:r w:rsidRPr="00252CBF">
              <w:rPr>
                <w:rFonts w:eastAsia="TimesNewRoman"/>
              </w:rPr>
              <w:t>C</w:t>
            </w:r>
            <w:r w:rsidRPr="00252CBF">
              <w:rPr>
                <w:rFonts w:eastAsia="TimesNewRoman"/>
                <w:vertAlign w:val="subscript"/>
              </w:rPr>
              <w:t>max</w:t>
            </w:r>
            <w:r w:rsidRPr="00252CBF">
              <w:rPr>
                <w:rFonts w:eastAsia="TimesNewRoman"/>
              </w:rPr>
              <w:t xml:space="preserve"> – maximum observed concentration</w:t>
            </w:r>
            <w:r>
              <w:rPr>
                <w:rFonts w:eastAsia="TimesNewRoman"/>
              </w:rPr>
              <w:t>.</w:t>
            </w:r>
            <w:r>
              <w:rPr>
                <w:rFonts w:eastAsia="TimesNewRoman"/>
              </w:rPr>
              <w:br/>
            </w:r>
            <w:r w:rsidRPr="00252CBF">
              <w:rPr>
                <w:rFonts w:eastAsia="TimesNewRoman"/>
              </w:rPr>
              <w:t>t</w:t>
            </w:r>
            <w:r w:rsidRPr="00252CBF">
              <w:rPr>
                <w:rFonts w:eastAsia="TimesNewRoman"/>
                <w:vertAlign w:val="subscript"/>
              </w:rPr>
              <w:t>max</w:t>
            </w:r>
            <w:r w:rsidRPr="00252CBF">
              <w:rPr>
                <w:rFonts w:eastAsia="TimesNewRoman"/>
              </w:rPr>
              <w:t xml:space="preserve"> – time to C</w:t>
            </w:r>
            <w:r w:rsidRPr="00570E41">
              <w:rPr>
                <w:rFonts w:eastAsia="TimesNewRoman"/>
                <w:vertAlign w:val="subscript"/>
              </w:rPr>
              <w:t>max</w:t>
            </w:r>
            <w:r>
              <w:rPr>
                <w:rFonts w:eastAsia="TimesNewRoman"/>
              </w:rPr>
              <w:t>.</w:t>
            </w:r>
            <w:r>
              <w:rPr>
                <w:rFonts w:eastAsia="TimesNewRoman"/>
              </w:rPr>
              <w:br/>
            </w:r>
            <w:r w:rsidRPr="00252CBF">
              <w:rPr>
                <w:rFonts w:eastAsia="TimesNewRoman"/>
              </w:rPr>
              <w:t>AUC – area under the concentration-time curve from time 0 to 24 hours</w:t>
            </w:r>
            <w:r>
              <w:rPr>
                <w:rFonts w:eastAsia="TimesNewRoman"/>
              </w:rPr>
              <w:t>.</w:t>
            </w:r>
          </w:p>
        </w:tc>
      </w:tr>
    </w:tbl>
    <w:p w:rsidR="0006265B" w:rsidRPr="00442EB6" w:rsidRDefault="0006265B" w:rsidP="00E71E07">
      <w:pPr>
        <w:pStyle w:val="PIHeading3"/>
        <w:rPr>
          <w:lang w:val="en-GB"/>
        </w:rPr>
      </w:pPr>
      <w:r w:rsidRPr="00442EB6">
        <w:t>Absorption</w:t>
      </w:r>
    </w:p>
    <w:p w:rsidR="0006265B" w:rsidRDefault="0006265B" w:rsidP="00E71E07">
      <w:pPr>
        <w:pStyle w:val="PINormal"/>
      </w:pPr>
      <w:r w:rsidRPr="00B9411E">
        <w:t>After a single dose of CE/bazedoxifene, bazedoxifene and baseline-adjusted total estrone were absorbed with a t</w:t>
      </w:r>
      <w:r w:rsidRPr="00B9411E">
        <w:rPr>
          <w:vertAlign w:val="subscript"/>
        </w:rPr>
        <w:t>max</w:t>
      </w:r>
      <w:r w:rsidRPr="00B9411E">
        <w:t xml:space="preserve"> of approximately 2 hours and 8.5 hours, respectively.</w:t>
      </w:r>
      <w:r w:rsidR="00156EC8">
        <w:t xml:space="preserve"> </w:t>
      </w:r>
      <w:r w:rsidRPr="00B9411E">
        <w:t>When single doses of CE 0.625 mg/bazedoxifene 20 mg were administered with a high-fat meal, bazedoxifene C</w:t>
      </w:r>
      <w:r w:rsidRPr="00B9411E">
        <w:rPr>
          <w:vertAlign w:val="subscript"/>
        </w:rPr>
        <w:t>max</w:t>
      </w:r>
      <w:r w:rsidRPr="00B9411E">
        <w:t xml:space="preserve"> was unaffected, but AUC increased by approximately 25%.</w:t>
      </w:r>
      <w:r w:rsidR="00156EC8">
        <w:t xml:space="preserve"> </w:t>
      </w:r>
      <w:r w:rsidRPr="00B9411E">
        <w:t xml:space="preserve">Food had little or no effect on the exposure of </w:t>
      </w:r>
      <w:r>
        <w:t>CE</w:t>
      </w:r>
      <w:r w:rsidRPr="00B9411E">
        <w:t>.</w:t>
      </w:r>
    </w:p>
    <w:p w:rsidR="0006265B" w:rsidRPr="00B9411E" w:rsidRDefault="0006265B" w:rsidP="00E71E07">
      <w:pPr>
        <w:pStyle w:val="PINormal"/>
      </w:pPr>
      <w:r w:rsidRPr="00B9411E">
        <w:t>CE/bazedoxifene can be administered with or without food.</w:t>
      </w:r>
    </w:p>
    <w:p w:rsidR="00400C4D" w:rsidRDefault="0006265B" w:rsidP="00E71E07">
      <w:pPr>
        <w:pStyle w:val="PINormal"/>
      </w:pPr>
      <w:r w:rsidRPr="00B9411E">
        <w:t>Following administration of bazedoxifene alone, a linear increase in plasma concentrations for single doses from 0.5 mg up to 120 mg and multiple daily doses from 1 mg to 80 mg was observed.</w:t>
      </w:r>
      <w:r w:rsidR="00156EC8">
        <w:t xml:space="preserve"> </w:t>
      </w:r>
      <w:r w:rsidRPr="00B9411E">
        <w:t xml:space="preserve">The absolute bioavailability of </w:t>
      </w:r>
      <w:proofErr w:type="spellStart"/>
      <w:r w:rsidRPr="00B9411E">
        <w:t>bazedoxifene</w:t>
      </w:r>
      <w:proofErr w:type="spellEnd"/>
      <w:r w:rsidRPr="00B9411E">
        <w:t xml:space="preserve"> is approximately 6%.</w:t>
      </w:r>
    </w:p>
    <w:p w:rsidR="0006265B" w:rsidRDefault="0006265B" w:rsidP="00E71E07">
      <w:pPr>
        <w:pStyle w:val="PINormal"/>
      </w:pPr>
      <w:r>
        <w:t>CE</w:t>
      </w:r>
      <w:r w:rsidRPr="00B9411E">
        <w:t xml:space="preserve"> </w:t>
      </w:r>
      <w:proofErr w:type="gramStart"/>
      <w:r w:rsidRPr="00B9411E">
        <w:t>are</w:t>
      </w:r>
      <w:proofErr w:type="gramEnd"/>
      <w:r w:rsidRPr="00B9411E">
        <w:t xml:space="preserve"> soluble in water and are well-absorbed from the gastrointestinal tract after release from the medicinal product formulation.</w:t>
      </w:r>
      <w:r w:rsidR="00156EC8">
        <w:t xml:space="preserve"> </w:t>
      </w:r>
      <w:r w:rsidR="007F3951">
        <w:t>E</w:t>
      </w:r>
      <w:r w:rsidRPr="00B9411E">
        <w:t>strogen dose proportionality was assessed in two studies of CE.</w:t>
      </w:r>
      <w:r w:rsidR="00156EC8">
        <w:t xml:space="preserve"> </w:t>
      </w:r>
      <w:r w:rsidRPr="00B9411E">
        <w:t>Dose-proportional increases in both AUC and C</w:t>
      </w:r>
      <w:r w:rsidRPr="00B9411E">
        <w:rPr>
          <w:vertAlign w:val="subscript"/>
        </w:rPr>
        <w:t>max</w:t>
      </w:r>
      <w:r w:rsidRPr="00B9411E">
        <w:t xml:space="preserve"> were observed across the dose range from 0.3 mg to 0.625 mg of CE for total (conjugated plus unconjugated) equilin, total estrone adjusted for baseline, and unconjugated estrone adjusted for baseline.</w:t>
      </w:r>
    </w:p>
    <w:p w:rsidR="0006265B" w:rsidRPr="00B9411E" w:rsidRDefault="0006265B" w:rsidP="00E71E07">
      <w:pPr>
        <w:pStyle w:val="PIHeading3"/>
        <w:rPr>
          <w:lang w:val="en-GB"/>
        </w:rPr>
      </w:pPr>
      <w:r w:rsidRPr="00B9411E">
        <w:rPr>
          <w:lang w:val="en-GB"/>
        </w:rPr>
        <w:t>Distribution</w:t>
      </w:r>
    </w:p>
    <w:p w:rsidR="00400C4D" w:rsidRDefault="0006265B" w:rsidP="00E71E07">
      <w:pPr>
        <w:pStyle w:val="PINormal"/>
      </w:pPr>
      <w:r w:rsidRPr="00B9411E">
        <w:t>The distribution of CE and bazedoxifene after administration of CE/bazedoxifene has not been studied.</w:t>
      </w:r>
    </w:p>
    <w:p w:rsidR="00400C4D" w:rsidRDefault="0006265B" w:rsidP="00E71E07">
      <w:pPr>
        <w:pStyle w:val="PINormal"/>
      </w:pPr>
      <w:r w:rsidRPr="00B9411E">
        <w:t xml:space="preserve">Following intravenous administration of a 3 mg dose of bazedoxifene alone, the volume of distribution is 14.7 </w:t>
      </w:r>
      <w:r w:rsidRPr="00B9411E">
        <w:sym w:font="Symbol" w:char="F0B1"/>
      </w:r>
      <w:r w:rsidRPr="00B9411E">
        <w:t>3.9 </w:t>
      </w:r>
      <w:r w:rsidR="00B92E52">
        <w:t>L</w:t>
      </w:r>
      <w:r w:rsidRPr="00B9411E">
        <w:t>/kg.</w:t>
      </w:r>
      <w:r w:rsidR="00156EC8">
        <w:t xml:space="preserve"> </w:t>
      </w:r>
      <w:proofErr w:type="spellStart"/>
      <w:r w:rsidRPr="00B9411E">
        <w:t>Bazedoxifene</w:t>
      </w:r>
      <w:proofErr w:type="spellEnd"/>
      <w:r w:rsidRPr="00B9411E">
        <w:t xml:space="preserve"> is highly bound (</w:t>
      </w:r>
      <w:r w:rsidR="00DE1C6F">
        <w:t>approximately</w:t>
      </w:r>
      <w:r w:rsidRPr="00B9411E">
        <w:t xml:space="preserve"> 99%) to plasma proteins</w:t>
      </w:r>
      <w:r w:rsidR="00DE1C6F">
        <w:t xml:space="preserve"> at therapeutic concentrations</w:t>
      </w:r>
      <w:r w:rsidRPr="00B9411E">
        <w:t xml:space="preserve"> </w:t>
      </w:r>
      <w:r w:rsidR="0008215A">
        <w:rPr>
          <w:i/>
        </w:rPr>
        <w:t>in </w:t>
      </w:r>
      <w:r w:rsidRPr="00B9411E">
        <w:rPr>
          <w:i/>
        </w:rPr>
        <w:t>vitro</w:t>
      </w:r>
      <w:r w:rsidRPr="00B9411E">
        <w:t>, but does not</w:t>
      </w:r>
      <w:r w:rsidR="00DE1C6F">
        <w:t xml:space="preserve"> appear to</w:t>
      </w:r>
      <w:r w:rsidRPr="00B9411E">
        <w:t xml:space="preserve"> bind to sex hormone binding globulin (SHBG).</w:t>
      </w:r>
    </w:p>
    <w:p w:rsidR="00400C4D" w:rsidRDefault="0006265B" w:rsidP="00E71E07">
      <w:pPr>
        <w:pStyle w:val="PINormal"/>
      </w:pPr>
      <w:r w:rsidRPr="00B9411E">
        <w:t xml:space="preserve">The distribution of exogenous </w:t>
      </w:r>
      <w:r w:rsidR="00156E84">
        <w:t>estrogens</w:t>
      </w:r>
      <w:r w:rsidRPr="00B9411E">
        <w:t xml:space="preserve"> is similar to that of endogenous </w:t>
      </w:r>
      <w:r w:rsidR="00156E84">
        <w:t>estrogens</w:t>
      </w:r>
      <w:r w:rsidRPr="00B9411E">
        <w:t>.</w:t>
      </w:r>
      <w:r w:rsidR="00156EC8">
        <w:t xml:space="preserve"> </w:t>
      </w:r>
      <w:r w:rsidR="00156E84">
        <w:t>Estrogens</w:t>
      </w:r>
      <w:r w:rsidRPr="00B9411E">
        <w:t xml:space="preserve"> are widely distributed in the body and are generally found in higher concentrations in the sex hormone target organs.</w:t>
      </w:r>
      <w:r w:rsidR="00156EC8">
        <w:t xml:space="preserve"> </w:t>
      </w:r>
      <w:r w:rsidR="00156E84">
        <w:t>Estrogens</w:t>
      </w:r>
      <w:r w:rsidRPr="00B9411E">
        <w:t xml:space="preserve"> circulate in the blood largely bound to SHBG and albumin.</w:t>
      </w:r>
    </w:p>
    <w:p w:rsidR="0006265B" w:rsidRPr="00B9411E" w:rsidRDefault="00E71E07" w:rsidP="00E71E07">
      <w:pPr>
        <w:pStyle w:val="PIHeading3"/>
        <w:rPr>
          <w:lang w:val="en-GB"/>
        </w:rPr>
      </w:pPr>
      <w:r>
        <w:rPr>
          <w:lang w:val="en-GB"/>
        </w:rPr>
        <w:t>Metabolism</w:t>
      </w:r>
    </w:p>
    <w:p w:rsidR="00400C4D" w:rsidRDefault="0006265B" w:rsidP="00E71E07">
      <w:pPr>
        <w:pStyle w:val="PINormal"/>
      </w:pPr>
      <w:r w:rsidRPr="00B9411E">
        <w:t>The metabolic disposition of CE and bazedoxifene, after administration of CE/bazedoxifene, has not been studied.</w:t>
      </w:r>
    </w:p>
    <w:p w:rsidR="0006265B" w:rsidRPr="00B9411E" w:rsidRDefault="0006265B" w:rsidP="00E71E07">
      <w:pPr>
        <w:pStyle w:val="PINormal"/>
      </w:pPr>
      <w:r w:rsidRPr="00B9411E">
        <w:t xml:space="preserve">Exogenous </w:t>
      </w:r>
      <w:r w:rsidR="00156E84">
        <w:t>estrogens</w:t>
      </w:r>
      <w:r w:rsidRPr="00B9411E">
        <w:t xml:space="preserve"> are metabolised in the same manner as endogenous </w:t>
      </w:r>
      <w:r w:rsidR="00156E84">
        <w:t>estrogens</w:t>
      </w:r>
      <w:r w:rsidRPr="00B9411E">
        <w:t>.</w:t>
      </w:r>
      <w:r w:rsidR="00156EC8">
        <w:t xml:space="preserve"> </w:t>
      </w:r>
      <w:r w:rsidRPr="00B9411E">
        <w:t xml:space="preserve">Circulating </w:t>
      </w:r>
      <w:r w:rsidR="00156E84">
        <w:t>estrogens</w:t>
      </w:r>
      <w:r w:rsidRPr="00B9411E">
        <w:t xml:space="preserve"> exist in a dynamic equilibrium of metabolic interconversions. </w:t>
      </w:r>
      <w:r w:rsidR="00E71E07">
        <w:t>17β</w:t>
      </w:r>
      <w:r w:rsidR="00FF04EA">
        <w:t>-estradiol</w:t>
      </w:r>
      <w:r w:rsidRPr="00B9411E">
        <w:t xml:space="preserve"> is converted reversibly to estrone, and both can be converted to estriol, which is the major urinary metabolite.</w:t>
      </w:r>
      <w:r w:rsidR="00156EC8">
        <w:t xml:space="preserve"> </w:t>
      </w:r>
      <w:r w:rsidRPr="00B9411E">
        <w:t>In postmenopausal women</w:t>
      </w:r>
      <w:r>
        <w:t>,</w:t>
      </w:r>
      <w:r w:rsidRPr="00B9411E">
        <w:t xml:space="preserve"> a significant proportion of the circulating </w:t>
      </w:r>
      <w:r w:rsidR="00156E84">
        <w:t>estrogens</w:t>
      </w:r>
      <w:r w:rsidRPr="00B9411E">
        <w:t xml:space="preserve"> exists as sulfate conjugates, especially estrone sulfate, which serves as a circulating reservoir for the formation of more active </w:t>
      </w:r>
      <w:r w:rsidR="00156E84">
        <w:t>estrogens</w:t>
      </w:r>
      <w:r w:rsidRPr="00B9411E">
        <w:t>.</w:t>
      </w:r>
    </w:p>
    <w:p w:rsidR="002A4201" w:rsidRDefault="0006265B" w:rsidP="002A4201">
      <w:pPr>
        <w:pStyle w:val="PINormal"/>
      </w:pPr>
      <w:r w:rsidRPr="00B9411E">
        <w:lastRenderedPageBreak/>
        <w:t>The metabolic disposition of bazedoxifene in postmenopausal women has been determined following oral administration of 20 mg of radiolabe</w:t>
      </w:r>
      <w:r w:rsidR="00854066">
        <w:t>l</w:t>
      </w:r>
      <w:r w:rsidRPr="00B9411E">
        <w:t xml:space="preserve">led </w:t>
      </w:r>
      <w:proofErr w:type="spellStart"/>
      <w:r w:rsidRPr="00B9411E">
        <w:t>bazedoxifene</w:t>
      </w:r>
      <w:proofErr w:type="spellEnd"/>
      <w:r w:rsidRPr="00B9411E">
        <w:t>.</w:t>
      </w:r>
      <w:r w:rsidR="00156EC8">
        <w:t xml:space="preserve"> </w:t>
      </w:r>
      <w:proofErr w:type="spellStart"/>
      <w:r w:rsidRPr="00B9411E">
        <w:t>Bazedoxifene</w:t>
      </w:r>
      <w:proofErr w:type="spellEnd"/>
      <w:r w:rsidRPr="00B9411E">
        <w:t xml:space="preserve"> is extensively metabolised in women.</w:t>
      </w:r>
      <w:r w:rsidR="00156EC8">
        <w:t xml:space="preserve"> </w:t>
      </w:r>
      <w:proofErr w:type="spellStart"/>
      <w:r w:rsidRPr="00B9411E">
        <w:t>Glucuronidation</w:t>
      </w:r>
      <w:proofErr w:type="spellEnd"/>
      <w:r w:rsidRPr="00B9411E">
        <w:t xml:space="preserve"> is the major metabolic pathway.</w:t>
      </w:r>
      <w:r w:rsidR="00156EC8">
        <w:t xml:space="preserve"> </w:t>
      </w:r>
      <w:r w:rsidR="00DE1C6F">
        <w:rPr>
          <w:i/>
        </w:rPr>
        <w:t xml:space="preserve">In vitro </w:t>
      </w:r>
      <w:r w:rsidR="00DE1C6F">
        <w:t>studies indicated that this occurs in the liver, kidney and intestines, and principally involves UGT1A1 and UGT1A10 with a smaller role for UGT1A9.</w:t>
      </w:r>
      <w:r w:rsidR="00156EC8">
        <w:t xml:space="preserve"> </w:t>
      </w:r>
      <w:r w:rsidRPr="00B9411E">
        <w:t>Little or no cytochrome P450-mediated metabolism is evident.</w:t>
      </w:r>
      <w:r w:rsidR="00156EC8">
        <w:t xml:space="preserve"> </w:t>
      </w:r>
      <w:r w:rsidRPr="00B9411E">
        <w:t>Bazedoxifene-5-glucuronide is the major circulating metabolite</w:t>
      </w:r>
      <w:r w:rsidR="00963BC2">
        <w:t>, and retains some pharmacological activity</w:t>
      </w:r>
      <w:r w:rsidRPr="00B9411E">
        <w:t>.</w:t>
      </w:r>
      <w:r w:rsidR="00156EC8">
        <w:t xml:space="preserve"> </w:t>
      </w:r>
      <w:r w:rsidRPr="00B9411E">
        <w:t>The concentrations of this glucuronide are approximately 10-fold higher than those of unchanged bazedoxifene in plasma.</w:t>
      </w:r>
    </w:p>
    <w:p w:rsidR="0006265B" w:rsidRDefault="00C3033F" w:rsidP="002A4201">
      <w:pPr>
        <w:pStyle w:val="PIHeading3"/>
        <w:rPr>
          <w:lang w:val="en-GB"/>
        </w:rPr>
      </w:pPr>
      <w:r>
        <w:rPr>
          <w:lang w:val="en-GB"/>
        </w:rPr>
        <w:t>Excretion</w:t>
      </w:r>
    </w:p>
    <w:p w:rsidR="00400C4D" w:rsidRDefault="0006265B" w:rsidP="00E71E07">
      <w:pPr>
        <w:pStyle w:val="PINormal"/>
      </w:pPr>
      <w:r w:rsidRPr="00B9411E">
        <w:t>After a single dose of CE/bazedoxifene</w:t>
      </w:r>
      <w:r>
        <w:t>,</w:t>
      </w:r>
      <w:r w:rsidRPr="00B9411E">
        <w:t xml:space="preserve"> baseline-adjusted total estrone (representing </w:t>
      </w:r>
      <w:r>
        <w:t>CE</w:t>
      </w:r>
      <w:r w:rsidRPr="00B9411E">
        <w:t>) is eliminated with a half-life of approximately 17 hours.</w:t>
      </w:r>
      <w:r w:rsidR="00156EC8">
        <w:t xml:space="preserve"> </w:t>
      </w:r>
      <w:proofErr w:type="spellStart"/>
      <w:r w:rsidRPr="00B9411E">
        <w:t>Bazedoxifene</w:t>
      </w:r>
      <w:proofErr w:type="spellEnd"/>
      <w:r w:rsidRPr="00B9411E">
        <w:t xml:space="preserve"> is eliminated with a half-life of approximately 30 hours.</w:t>
      </w:r>
      <w:r w:rsidR="00156EC8">
        <w:t xml:space="preserve"> </w:t>
      </w:r>
      <w:r w:rsidRPr="00B9411E">
        <w:t>Steady-state concentrations are achieved by the second week of once-daily administration.</w:t>
      </w:r>
    </w:p>
    <w:p w:rsidR="0006265B" w:rsidRPr="00B9411E" w:rsidRDefault="0006265B" w:rsidP="00E71E07">
      <w:pPr>
        <w:pStyle w:val="PINormal"/>
      </w:pPr>
      <w:r>
        <w:t>CE</w:t>
      </w:r>
      <w:r w:rsidRPr="00B9411E">
        <w:t xml:space="preserve"> components, 17β-</w:t>
      </w:r>
      <w:proofErr w:type="spellStart"/>
      <w:r w:rsidR="00FF04EA">
        <w:t>estradiol</w:t>
      </w:r>
      <w:proofErr w:type="spellEnd"/>
      <w:r w:rsidRPr="00B9411E">
        <w:t xml:space="preserve">, </w:t>
      </w:r>
      <w:proofErr w:type="spellStart"/>
      <w:r w:rsidRPr="00B9411E">
        <w:t>estrone</w:t>
      </w:r>
      <w:proofErr w:type="spellEnd"/>
      <w:r w:rsidRPr="00B9411E">
        <w:t>, and estriol are excreted in the urine, along with glucuronide and sulfate conjugates.</w:t>
      </w:r>
    </w:p>
    <w:p w:rsidR="00494D9E" w:rsidRPr="00B9411E" w:rsidRDefault="0006265B" w:rsidP="00E71E07">
      <w:pPr>
        <w:pStyle w:val="PINormal"/>
      </w:pPr>
      <w:r w:rsidRPr="00B9411E">
        <w:t>The clearance of bazedoxifene is 0.4 ±0.1 L/h/kg based on IV administration.</w:t>
      </w:r>
      <w:r w:rsidR="00156EC8">
        <w:t xml:space="preserve"> </w:t>
      </w:r>
      <w:r w:rsidRPr="00B9411E">
        <w:t>The major route of excretion of radiolabel</w:t>
      </w:r>
      <w:r w:rsidR="0006561B">
        <w:t>l</w:t>
      </w:r>
      <w:r w:rsidRPr="00B9411E">
        <w:t>ed bazedoxifene is the faeces, and less than 1% of the dose is eliminated in urine.</w:t>
      </w:r>
    </w:p>
    <w:p w:rsidR="0006265B" w:rsidRPr="00B9411E" w:rsidRDefault="0006265B" w:rsidP="00E71E07">
      <w:pPr>
        <w:pStyle w:val="PIHeading3"/>
        <w:rPr>
          <w:lang w:val="en-GB"/>
        </w:rPr>
      </w:pPr>
      <w:r w:rsidRPr="00B9411E">
        <w:rPr>
          <w:lang w:val="en-GB"/>
        </w:rPr>
        <w:t xml:space="preserve">Special </w:t>
      </w:r>
      <w:r w:rsidR="009A41ED">
        <w:rPr>
          <w:lang w:val="en-GB"/>
        </w:rPr>
        <w:t>P</w:t>
      </w:r>
      <w:r w:rsidR="009A41ED" w:rsidRPr="00B9411E">
        <w:rPr>
          <w:lang w:val="en-GB"/>
        </w:rPr>
        <w:t>opulations</w:t>
      </w:r>
    </w:p>
    <w:p w:rsidR="00400C4D" w:rsidRDefault="0006265B" w:rsidP="00E71E07">
      <w:pPr>
        <w:pStyle w:val="PIHeading4"/>
      </w:pPr>
      <w:r w:rsidRPr="00B9411E">
        <w:t>Elderly</w:t>
      </w:r>
    </w:p>
    <w:p w:rsidR="0006265B" w:rsidRDefault="0006265B" w:rsidP="000D11A5">
      <w:pPr>
        <w:pStyle w:val="PINormal"/>
        <w:rPr>
          <w:i/>
          <w:iCs/>
        </w:rPr>
      </w:pPr>
      <w:r w:rsidRPr="00B9411E">
        <w:t>The pharmacokinetics of CE/</w:t>
      </w:r>
      <w:proofErr w:type="spellStart"/>
      <w:r w:rsidRPr="00B9411E">
        <w:t>bazedoxifene</w:t>
      </w:r>
      <w:proofErr w:type="spellEnd"/>
      <w:r w:rsidRPr="00B9411E">
        <w:t xml:space="preserve"> </w:t>
      </w:r>
      <w:proofErr w:type="gramStart"/>
      <w:r w:rsidRPr="00B9411E">
        <w:t>have</w:t>
      </w:r>
      <w:proofErr w:type="gramEnd"/>
      <w:r w:rsidRPr="00B9411E">
        <w:t xml:space="preserve"> not been evaluated in women over 75 years of age</w:t>
      </w:r>
      <w:r w:rsidRPr="00B9411E">
        <w:rPr>
          <w:i/>
          <w:iCs/>
        </w:rPr>
        <w:t>.</w:t>
      </w:r>
    </w:p>
    <w:p w:rsidR="008D1607" w:rsidRPr="008D1607" w:rsidRDefault="008D1607" w:rsidP="00C21FA4">
      <w:pPr>
        <w:pStyle w:val="PINormal"/>
      </w:pPr>
      <w:r w:rsidRPr="002368E9">
        <w:t>No pharmacokinetic trials for CE were conducted in specific populations, including women over 75 years of age.</w:t>
      </w:r>
    </w:p>
    <w:p w:rsidR="00400C4D" w:rsidRDefault="0006265B" w:rsidP="000D11A5">
      <w:pPr>
        <w:pStyle w:val="PINormal"/>
      </w:pPr>
      <w:r w:rsidRPr="00B9411E">
        <w:t>The pha</w:t>
      </w:r>
      <w:r w:rsidR="0045440C">
        <w:t xml:space="preserve">rmacokinetics of a 20 mg single </w:t>
      </w:r>
      <w:r w:rsidRPr="00B9411E">
        <w:t xml:space="preserve">dose of bazedoxifene </w:t>
      </w:r>
      <w:proofErr w:type="gramStart"/>
      <w:r w:rsidRPr="00B9411E">
        <w:t>were</w:t>
      </w:r>
      <w:proofErr w:type="gramEnd"/>
      <w:r w:rsidRPr="00B9411E">
        <w:t xml:space="preserve"> evaluated in a study in 26</w:t>
      </w:r>
      <w:r w:rsidR="0008215A">
        <w:t> </w:t>
      </w:r>
      <w:r w:rsidRPr="00B9411E">
        <w:t>healthy postmenopausal women.</w:t>
      </w:r>
      <w:r w:rsidR="00156EC8">
        <w:t xml:space="preserve"> </w:t>
      </w:r>
      <w:r w:rsidRPr="00B9411E">
        <w:t xml:space="preserve">On average, compared to women 51 to 64 years of age (n=8), women 65 to 74 years of age (n=8) showed a 1.5-fold increase in AUC, and women </w:t>
      </w:r>
      <w:r w:rsidRPr="00B9411E">
        <w:sym w:font="Symbol" w:char="F03E"/>
      </w:r>
      <w:r w:rsidRPr="00B9411E">
        <w:t>75 years of age (n=8) showed a 2.6</w:t>
      </w:r>
      <w:r w:rsidR="00FF04EA">
        <w:t>-</w:t>
      </w:r>
      <w:r w:rsidRPr="00B9411E">
        <w:t>fold increase in AUC.</w:t>
      </w:r>
      <w:r w:rsidR="00156EC8">
        <w:t xml:space="preserve"> </w:t>
      </w:r>
      <w:r w:rsidRPr="00B9411E">
        <w:t xml:space="preserve">This increase is </w:t>
      </w:r>
      <w:r w:rsidR="000D11A5">
        <w:t>most likely attributable to age</w:t>
      </w:r>
      <w:r w:rsidR="00FF04EA">
        <w:t>-</w:t>
      </w:r>
      <w:r w:rsidRPr="00B9411E">
        <w:t>related changes in hepatic function.</w:t>
      </w:r>
    </w:p>
    <w:p w:rsidR="00AA30F2" w:rsidRPr="0045440C" w:rsidRDefault="00AA30F2" w:rsidP="00AA30F2">
      <w:pPr>
        <w:pStyle w:val="PIHeading4"/>
      </w:pPr>
      <w:r w:rsidRPr="0045440C">
        <w:t>Children</w:t>
      </w:r>
      <w:r>
        <w:t xml:space="preserve"> and Adolescents</w:t>
      </w:r>
    </w:p>
    <w:p w:rsidR="00AA30F2" w:rsidRPr="00635473" w:rsidRDefault="00AA30F2" w:rsidP="00AA30F2">
      <w:pPr>
        <w:pStyle w:val="PINormal"/>
      </w:pPr>
      <w:r w:rsidRPr="0045440C">
        <w:t>The pharmacokinetics of CE/bazedoxifene have not been evaluated in a paediatric population.</w:t>
      </w:r>
    </w:p>
    <w:p w:rsidR="0006265B" w:rsidRPr="00B9411E" w:rsidRDefault="0006265B" w:rsidP="000D11A5">
      <w:pPr>
        <w:pStyle w:val="PIHeading4"/>
      </w:pPr>
      <w:r w:rsidRPr="00B9411E">
        <w:t xml:space="preserve">Renal </w:t>
      </w:r>
      <w:r w:rsidR="009A41ED">
        <w:t>I</w:t>
      </w:r>
      <w:r w:rsidR="009A41ED" w:rsidRPr="00B9411E">
        <w:t>mpairment</w:t>
      </w:r>
    </w:p>
    <w:p w:rsidR="0006265B" w:rsidRDefault="0006265B" w:rsidP="000D11A5">
      <w:pPr>
        <w:pStyle w:val="PINormal"/>
      </w:pPr>
      <w:r w:rsidRPr="00B9411E">
        <w:t>The pharmacokinetics of CE/bazedoxifene have not been evaluated in patients with renal impairment.</w:t>
      </w:r>
    </w:p>
    <w:p w:rsidR="002D7D53" w:rsidRDefault="008D1607" w:rsidP="000D11A5">
      <w:pPr>
        <w:pStyle w:val="PINormal"/>
      </w:pPr>
      <w:r w:rsidRPr="005B1545">
        <w:t>No pharmacokinetic trials for CE were conducted in specific populations, including women with renal impairment.</w:t>
      </w:r>
    </w:p>
    <w:p w:rsidR="0006265B" w:rsidRDefault="0006265B" w:rsidP="000D11A5">
      <w:pPr>
        <w:pStyle w:val="PINormal"/>
      </w:pPr>
      <w:r w:rsidRPr="00B9411E">
        <w:t>Limited clinical data (n=5) for bazedoxifene are available in subjects with moderate renal impairment (</w:t>
      </w:r>
      <w:r w:rsidRPr="00B9411E">
        <w:rPr>
          <w:color w:val="000000"/>
        </w:rPr>
        <w:t>creatinine clearance</w:t>
      </w:r>
      <w:r w:rsidRPr="00B9411E">
        <w:t> </w:t>
      </w:r>
      <w:r w:rsidRPr="00B9411E">
        <w:sym w:font="Symbol" w:char="F03C"/>
      </w:r>
      <w:r w:rsidRPr="00B9411E">
        <w:t>50 m</w:t>
      </w:r>
      <w:r w:rsidR="00050B9C">
        <w:t>L</w:t>
      </w:r>
      <w:r w:rsidRPr="00B9411E">
        <w:t>/min).</w:t>
      </w:r>
      <w:r w:rsidR="00156EC8">
        <w:t xml:space="preserve"> </w:t>
      </w:r>
      <w:r w:rsidRPr="00B9411E">
        <w:t>A single 20 mg dose of bazedoxifene was administered to these subjects.</w:t>
      </w:r>
      <w:r w:rsidR="00156EC8">
        <w:t xml:space="preserve"> </w:t>
      </w:r>
      <w:r w:rsidRPr="00B9411E">
        <w:t>Negligible (</w:t>
      </w:r>
      <w:r w:rsidRPr="00B9411E">
        <w:sym w:font="Symbol" w:char="F03C"/>
      </w:r>
      <w:r w:rsidRPr="00B9411E">
        <w:t>1%) amounts of bazedoxifene are eliminated in urine.</w:t>
      </w:r>
      <w:r w:rsidR="00156EC8">
        <w:t xml:space="preserve"> </w:t>
      </w:r>
      <w:r w:rsidRPr="00B9411E">
        <w:t>Impaired renal function showed little or no influence on bazedoxifene pharmacokinetics.</w:t>
      </w:r>
    </w:p>
    <w:p w:rsidR="00400C4D" w:rsidRDefault="0006265B" w:rsidP="000D11A5">
      <w:pPr>
        <w:pStyle w:val="PIHeading4"/>
      </w:pPr>
      <w:r w:rsidRPr="00B9411E">
        <w:lastRenderedPageBreak/>
        <w:t xml:space="preserve">Hepatic </w:t>
      </w:r>
      <w:r w:rsidR="009A41ED">
        <w:t>I</w:t>
      </w:r>
      <w:r w:rsidRPr="00B9411E">
        <w:t>mpairment</w:t>
      </w:r>
    </w:p>
    <w:p w:rsidR="00400C4D" w:rsidRDefault="0006265B" w:rsidP="00C21FA4">
      <w:pPr>
        <w:pStyle w:val="PINormal"/>
        <w:rPr>
          <w:iCs/>
        </w:rPr>
      </w:pPr>
      <w:r w:rsidRPr="00B9411E">
        <w:t>The pharmacokinetics of CE/</w:t>
      </w:r>
      <w:proofErr w:type="spellStart"/>
      <w:r w:rsidRPr="00B9411E">
        <w:t>bazedoxifene</w:t>
      </w:r>
      <w:proofErr w:type="spellEnd"/>
      <w:r w:rsidRPr="00B9411E">
        <w:t xml:space="preserve"> </w:t>
      </w:r>
      <w:proofErr w:type="gramStart"/>
      <w:r w:rsidRPr="00B9411E">
        <w:t>have</w:t>
      </w:r>
      <w:proofErr w:type="gramEnd"/>
      <w:r w:rsidRPr="00B9411E">
        <w:t xml:space="preserve"> not been evaluated in women with hepatic impairment</w:t>
      </w:r>
      <w:r w:rsidR="00E019AF" w:rsidRPr="00E019AF">
        <w:rPr>
          <w:szCs w:val="24"/>
        </w:rPr>
        <w:t xml:space="preserve"> </w:t>
      </w:r>
      <w:r w:rsidR="00E019AF" w:rsidRPr="00185F63">
        <w:rPr>
          <w:szCs w:val="24"/>
        </w:rPr>
        <w:t>or past history of cholestatic jaundice</w:t>
      </w:r>
      <w:r w:rsidRPr="00B9411E">
        <w:t>.</w:t>
      </w:r>
      <w:r w:rsidRPr="00B9411E">
        <w:rPr>
          <w:iCs/>
        </w:rPr>
        <w:t xml:space="preserve"> </w:t>
      </w:r>
    </w:p>
    <w:p w:rsidR="00603BB5" w:rsidRPr="00C21FA4" w:rsidRDefault="00603BB5" w:rsidP="00C21FA4">
      <w:pPr>
        <w:pStyle w:val="PINormal"/>
        <w:rPr>
          <w:lang w:val="en-US"/>
        </w:rPr>
      </w:pPr>
      <w:r w:rsidRPr="00185F63">
        <w:t>No pharmacokinetic trials for CE were conducted in specific populations, including women with hepatic impairment</w:t>
      </w:r>
    </w:p>
    <w:p w:rsidR="00D56285" w:rsidRPr="00B9411E" w:rsidRDefault="0006265B" w:rsidP="005577A9">
      <w:pPr>
        <w:pStyle w:val="PINormal"/>
        <w:rPr>
          <w:bCs/>
          <w:iCs/>
        </w:rPr>
      </w:pPr>
      <w:r w:rsidRPr="00B9411E">
        <w:t>T</w:t>
      </w:r>
      <w:r w:rsidRPr="00B9411E">
        <w:rPr>
          <w:bCs/>
        </w:rPr>
        <w:t xml:space="preserve">he </w:t>
      </w:r>
      <w:r w:rsidRPr="00B9411E">
        <w:t>disposition of a single 20 mg dose of bazedoxifene was compared in women with hepatic impairment (Child</w:t>
      </w:r>
      <w:r w:rsidR="0006561B">
        <w:t>-</w:t>
      </w:r>
      <w:r w:rsidRPr="00B9411E">
        <w:t xml:space="preserve">Pugh Class A [n=6], B [n=6], and C [n=6]) and </w:t>
      </w:r>
      <w:r w:rsidR="00D56285">
        <w:t>women</w:t>
      </w:r>
      <w:r w:rsidR="00D56285" w:rsidRPr="00B9411E">
        <w:t xml:space="preserve"> </w:t>
      </w:r>
      <w:r w:rsidRPr="00B9411E">
        <w:t>with normal hepatic function (n=18).</w:t>
      </w:r>
      <w:r w:rsidR="00156EC8">
        <w:t xml:space="preserve"> </w:t>
      </w:r>
      <w:r w:rsidRPr="00B9411E">
        <w:t>On average, women with hepatic impairment showed a 4.3</w:t>
      </w:r>
      <w:r w:rsidR="0006561B">
        <w:t>-</w:t>
      </w:r>
      <w:r w:rsidRPr="00B9411E">
        <w:t>fold increase in AUC compared with controls.</w:t>
      </w:r>
      <w:r w:rsidR="00156EC8">
        <w:t xml:space="preserve"> </w:t>
      </w:r>
      <w:r w:rsidRPr="00B9411E">
        <w:t>Safety and efficacy have not been evaluated further in women with hepatic insufficiency.</w:t>
      </w:r>
      <w:r w:rsidR="00156EC8">
        <w:t xml:space="preserve"> </w:t>
      </w:r>
      <w:r w:rsidRPr="00B9411E">
        <w:t>Use of CE/</w:t>
      </w:r>
      <w:proofErr w:type="spellStart"/>
      <w:r w:rsidRPr="00B9411E">
        <w:t>bazedoxifene</w:t>
      </w:r>
      <w:proofErr w:type="spellEnd"/>
      <w:r w:rsidRPr="00B9411E">
        <w:t xml:space="preserve"> in this population is contraindicated (see</w:t>
      </w:r>
      <w:r w:rsidR="0008215A">
        <w:t> </w:t>
      </w:r>
      <w:r w:rsidR="005577A9">
        <w:t>PRECAUTIONS</w:t>
      </w:r>
      <w:r w:rsidR="00D67648">
        <w:t xml:space="preserve">, </w:t>
      </w:r>
      <w:r w:rsidR="005577A9" w:rsidRPr="0045440C">
        <w:rPr>
          <w:rFonts w:eastAsia="TimesNewRoman,Bold"/>
          <w:lang w:val="en-US"/>
        </w:rPr>
        <w:t xml:space="preserve">Impaired </w:t>
      </w:r>
      <w:r w:rsidR="005577A9" w:rsidRPr="0045440C">
        <w:rPr>
          <w:rFonts w:eastAsia="TimesNewRoman,Bold"/>
        </w:rPr>
        <w:t>Liver</w:t>
      </w:r>
      <w:r w:rsidR="005577A9" w:rsidRPr="0045440C">
        <w:rPr>
          <w:rFonts w:eastAsia="TimesNewRoman,Bold"/>
          <w:lang w:val="en-US"/>
        </w:rPr>
        <w:t xml:space="preserve"> Function and Past History of Cholestatic Jaundice</w:t>
      </w:r>
      <w:r w:rsidR="005577A9">
        <w:rPr>
          <w:rFonts w:eastAsia="TimesNewRoman,Bold"/>
          <w:lang w:val="en-US"/>
        </w:rPr>
        <w:t xml:space="preserve">, </w:t>
      </w:r>
      <w:r w:rsidR="00D67648">
        <w:t xml:space="preserve">CONTRAINDICATIONS </w:t>
      </w:r>
      <w:r w:rsidR="00C9464F">
        <w:t xml:space="preserve">and </w:t>
      </w:r>
      <w:r w:rsidR="005577A9">
        <w:t>DOSAGE AND ADMINISTRATION, Dosage Adjustments in Hepatic Impairment</w:t>
      </w:r>
      <w:r w:rsidRPr="00B9411E">
        <w:t>).</w:t>
      </w:r>
    </w:p>
    <w:p w:rsidR="00F717D7" w:rsidRPr="0045440C" w:rsidRDefault="00F717D7" w:rsidP="00F717D7">
      <w:pPr>
        <w:pStyle w:val="PIHeading4"/>
      </w:pPr>
      <w:r w:rsidRPr="0045440C">
        <w:t>Body Mass Index (BMI)</w:t>
      </w:r>
    </w:p>
    <w:p w:rsidR="00F717D7" w:rsidRPr="00635473" w:rsidRDefault="00F717D7" w:rsidP="00F717D7">
      <w:pPr>
        <w:pStyle w:val="PINormal"/>
      </w:pPr>
      <w:r w:rsidRPr="0045440C">
        <w:t xml:space="preserve">In a clinical study, BMI was shown to have minimal impact on the relative systemic exposures of </w:t>
      </w:r>
      <w:r w:rsidR="00491E7E" w:rsidRPr="0045440C">
        <w:t>CE</w:t>
      </w:r>
      <w:r w:rsidRPr="0045440C">
        <w:t xml:space="preserve"> and </w:t>
      </w:r>
      <w:proofErr w:type="spellStart"/>
      <w:r w:rsidR="00B33EBB" w:rsidRPr="0045440C">
        <w:t>bazedoxifene</w:t>
      </w:r>
      <w:proofErr w:type="spellEnd"/>
      <w:r w:rsidR="00D65A17" w:rsidRPr="0045440C">
        <w:t>.</w:t>
      </w:r>
      <w:r w:rsidR="00156EC8">
        <w:t xml:space="preserve"> </w:t>
      </w:r>
      <w:r w:rsidRPr="0045440C">
        <w:t>A single dose of CE 0.45 mg/</w:t>
      </w:r>
      <w:r w:rsidR="00B33EBB" w:rsidRPr="0045440C">
        <w:t xml:space="preserve">bazedoxifene </w:t>
      </w:r>
      <w:r w:rsidRPr="0045440C">
        <w:t>20 mg was administered to 12</w:t>
      </w:r>
      <w:r w:rsidR="00635473" w:rsidRPr="0045440C">
        <w:t> </w:t>
      </w:r>
      <w:r w:rsidR="0045440C" w:rsidRPr="0045440C">
        <w:t>obese (BMI ≥</w:t>
      </w:r>
      <w:r w:rsidRPr="0045440C">
        <w:t>30 kg/m</w:t>
      </w:r>
      <w:r w:rsidR="00D65A17" w:rsidRPr="0045440C">
        <w:rPr>
          <w:vertAlign w:val="superscript"/>
        </w:rPr>
        <w:t>2</w:t>
      </w:r>
      <w:r w:rsidRPr="0045440C">
        <w:t>) and 12 non</w:t>
      </w:r>
      <w:r w:rsidR="0006561B">
        <w:t>-</w:t>
      </w:r>
      <w:r w:rsidRPr="0045440C">
        <w:t>obese (BMI &lt;30 kg/m</w:t>
      </w:r>
      <w:r w:rsidRPr="009B5085">
        <w:rPr>
          <w:vertAlign w:val="superscript"/>
        </w:rPr>
        <w:t>2</w:t>
      </w:r>
      <w:r w:rsidRPr="0045440C">
        <w:t>) postmenopausal women</w:t>
      </w:r>
      <w:r w:rsidR="00D65A17" w:rsidRPr="0045440C">
        <w:t>.</w:t>
      </w:r>
      <w:r w:rsidR="00156EC8">
        <w:t xml:space="preserve"> </w:t>
      </w:r>
      <w:r w:rsidRPr="0045440C">
        <w:t xml:space="preserve">In obese subjects, the systemic exposures of </w:t>
      </w:r>
      <w:r w:rsidR="00EF02AF" w:rsidRPr="0045440C">
        <w:t>estrone</w:t>
      </w:r>
      <w:r w:rsidRPr="0045440C">
        <w:t xml:space="preserve">, equilin, and </w:t>
      </w:r>
      <w:r w:rsidR="00B33EBB" w:rsidRPr="0045440C">
        <w:t xml:space="preserve">bazedoxifene </w:t>
      </w:r>
      <w:r w:rsidRPr="0045440C">
        <w:t>were 21%, 32%, and 13% lower, respectively, compared to non-obese subjects.</w:t>
      </w:r>
    </w:p>
    <w:p w:rsidR="00FA23F1" w:rsidRDefault="00FA23F1" w:rsidP="00FA23F1">
      <w:pPr>
        <w:pStyle w:val="Heading1"/>
        <w:rPr>
          <w:b w:val="0"/>
          <w:bCs/>
        </w:rPr>
      </w:pPr>
      <w:r>
        <w:t>CLINICAL</w:t>
      </w:r>
      <w:r>
        <w:rPr>
          <w:spacing w:val="-41"/>
        </w:rPr>
        <w:t xml:space="preserve"> </w:t>
      </w:r>
      <w:r>
        <w:t>TRIALS</w:t>
      </w:r>
    </w:p>
    <w:p w:rsidR="00921CB2" w:rsidRDefault="004E49B8" w:rsidP="009235F1">
      <w:pPr>
        <w:pStyle w:val="PINormal"/>
      </w:pPr>
      <w:r w:rsidRPr="00387429">
        <w:t xml:space="preserve">The safety and efficacy of CE/bazedoxifene as a treatment for moderate to severe </w:t>
      </w:r>
      <w:r>
        <w:t>vasomotor symptoms (</w:t>
      </w:r>
      <w:r w:rsidRPr="00387429">
        <w:t>VMS</w:t>
      </w:r>
      <w:r>
        <w:t>)</w:t>
      </w:r>
      <w:r w:rsidRPr="00387429">
        <w:t xml:space="preserve"> associated with menopause was established in </w:t>
      </w:r>
      <w:r w:rsidR="00D81237">
        <w:t>a</w:t>
      </w:r>
      <w:r w:rsidRPr="00387429">
        <w:t xml:space="preserve"> randomi</w:t>
      </w:r>
      <w:r>
        <w:t>s</w:t>
      </w:r>
      <w:r w:rsidRPr="00387429">
        <w:t xml:space="preserve">ed, double-blind, placebo-controlled </w:t>
      </w:r>
      <w:r w:rsidR="00AD2558">
        <w:t>study</w:t>
      </w:r>
      <w:r w:rsidR="006C03FD">
        <w:t>.</w:t>
      </w:r>
      <w:r w:rsidR="00156EC8">
        <w:t xml:space="preserve"> </w:t>
      </w:r>
      <w:r w:rsidR="00217D6A">
        <w:t xml:space="preserve">The </w:t>
      </w:r>
      <w:r w:rsidR="00E2566B" w:rsidRPr="00387429">
        <w:t xml:space="preserve">Selective Estrogens, Menopause, and Response to Therapy </w:t>
      </w:r>
      <w:r w:rsidR="00D81237">
        <w:t>(</w:t>
      </w:r>
      <w:r w:rsidR="00E2566B" w:rsidRPr="00C04AF6" w:rsidDel="004E49B8">
        <w:t>SMART</w:t>
      </w:r>
      <w:r w:rsidR="00E2566B">
        <w:t xml:space="preserve">) </w:t>
      </w:r>
      <w:r w:rsidR="006C03FD">
        <w:t xml:space="preserve">2 </w:t>
      </w:r>
      <w:r w:rsidR="00E2566B">
        <w:t>trial</w:t>
      </w:r>
      <w:r w:rsidR="006C03FD">
        <w:t xml:space="preserve"> </w:t>
      </w:r>
      <w:r w:rsidR="00D81237" w:rsidRPr="00D81237">
        <w:t>enrolled a total of 318 women, age 42-64 (mean age of 53 years), who had at least 7 moderate to severe hot flushes per day or at least 50 per week at baseline.</w:t>
      </w:r>
      <w:r w:rsidR="00156EC8">
        <w:t xml:space="preserve"> </w:t>
      </w:r>
      <w:r w:rsidR="00D81237" w:rsidRPr="00D81237">
        <w:t>The mean number of years since menopause was 4.5 years with all women undergoing natural menopause.</w:t>
      </w:r>
      <w:r w:rsidR="00156EC8">
        <w:t xml:space="preserve"> </w:t>
      </w:r>
      <w:r w:rsidR="00D81237" w:rsidRPr="00D81237">
        <w:t xml:space="preserve">A total of 127 women were assigned to </w:t>
      </w:r>
      <w:r w:rsidR="007137DF" w:rsidRPr="00C04AF6">
        <w:t>CE 0.45</w:t>
      </w:r>
      <w:r w:rsidR="007137DF">
        <w:t> mg</w:t>
      </w:r>
      <w:r w:rsidR="007137DF" w:rsidRPr="00C04AF6">
        <w:t>/</w:t>
      </w:r>
      <w:r w:rsidR="007137DF">
        <w:t xml:space="preserve">bazedoxifene </w:t>
      </w:r>
      <w:r w:rsidR="007137DF" w:rsidRPr="00C04AF6">
        <w:t>20 mg</w:t>
      </w:r>
      <w:r w:rsidR="00D81237" w:rsidRPr="00D81237">
        <w:t xml:space="preserve"> and 63 women were assigned to placebo.</w:t>
      </w:r>
    </w:p>
    <w:p w:rsidR="00AB4222" w:rsidRDefault="00AB4222" w:rsidP="00AB4222">
      <w:pPr>
        <w:pStyle w:val="PINormal"/>
      </w:pPr>
      <w:r>
        <w:rPr>
          <w:rFonts w:eastAsia="TimesNewRoman"/>
          <w:lang w:val="en-US"/>
        </w:rPr>
        <w:t xml:space="preserve">In the SMART </w:t>
      </w:r>
      <w:r w:rsidR="006C03FD">
        <w:rPr>
          <w:rFonts w:eastAsia="TimesNewRoman"/>
          <w:lang w:val="en-US"/>
        </w:rPr>
        <w:t xml:space="preserve">2 </w:t>
      </w:r>
      <w:r>
        <w:rPr>
          <w:rFonts w:eastAsia="TimesNewRoman"/>
          <w:lang w:val="en-US"/>
        </w:rPr>
        <w:t xml:space="preserve">trial, </w:t>
      </w:r>
      <w:r w:rsidR="006C03FD" w:rsidRPr="00C04AF6">
        <w:t>CE 0.45</w:t>
      </w:r>
      <w:r w:rsidR="006C03FD">
        <w:t> mg</w:t>
      </w:r>
      <w:r w:rsidR="006C03FD" w:rsidRPr="00C04AF6">
        <w:t>/</w:t>
      </w:r>
      <w:r w:rsidR="006C03FD">
        <w:t xml:space="preserve">bazedoxifene </w:t>
      </w:r>
      <w:r w:rsidR="006C03FD" w:rsidRPr="00C04AF6">
        <w:t>20 mg</w:t>
      </w:r>
      <w:r>
        <w:rPr>
          <w:rFonts w:eastAsia="TimesNewRoman"/>
          <w:lang w:val="en-US"/>
        </w:rPr>
        <w:t xml:space="preserve"> significantly reduced the number and severity of moderate to severe hot flushes, as measured by the daily severity score, compared with placebo at Weeks 4 and 12. The change from baseline in the number and severity of moderate to severe hot flushes observed and the difference from placebo are shown in Table 2.</w:t>
      </w:r>
    </w:p>
    <w:p w:rsidR="006C03FD" w:rsidRDefault="006C03FD" w:rsidP="006C03FD">
      <w:pPr>
        <w:pStyle w:val="CLDTableTitle"/>
      </w:pPr>
      <w:r>
        <w:lastRenderedPageBreak/>
        <w:t xml:space="preserve">Table </w:t>
      </w:r>
      <w:r>
        <w:fldChar w:fldCharType="begin"/>
      </w:r>
      <w:r>
        <w:instrText xml:space="preserve"> SEQ Table \* ARABIC </w:instrText>
      </w:r>
      <w:r>
        <w:fldChar w:fldCharType="separate"/>
      </w:r>
      <w:r>
        <w:rPr>
          <w:noProof/>
        </w:rPr>
        <w:t>2</w:t>
      </w:r>
      <w:r>
        <w:fldChar w:fldCharType="end"/>
      </w:r>
      <w:r>
        <w:t xml:space="preserve">: </w:t>
      </w:r>
      <w:r w:rsidRPr="00A37447">
        <w:t>Adjusted Mean Change from Baseline in the Average Daily Frequency and Severity of Hot Flushes</w:t>
      </w:r>
    </w:p>
    <w:p w:rsidR="007137DF" w:rsidRPr="007137DF" w:rsidRDefault="007137DF" w:rsidP="006C03FD">
      <w:pPr>
        <w:keepNext/>
        <w:kinsoku w:val="0"/>
        <w:overflowPunct w:val="0"/>
        <w:autoSpaceDE w:val="0"/>
        <w:autoSpaceDN w:val="0"/>
        <w:adjustRightInd w:val="0"/>
        <w:spacing w:before="7" w:after="0" w:line="60" w:lineRule="exact"/>
        <w:rPr>
          <w:sz w:val="6"/>
          <w:szCs w:val="6"/>
          <w:lang w:val="en-US"/>
        </w:rPr>
      </w:pPr>
    </w:p>
    <w:tbl>
      <w:tblPr>
        <w:tblW w:w="9454" w:type="dxa"/>
        <w:tblInd w:w="5" w:type="dxa"/>
        <w:tblLayout w:type="fixed"/>
        <w:tblCellMar>
          <w:left w:w="0" w:type="dxa"/>
          <w:right w:w="0" w:type="dxa"/>
        </w:tblCellMar>
        <w:tblLook w:val="0000" w:firstRow="0" w:lastRow="0" w:firstColumn="0" w:lastColumn="0" w:noHBand="0" w:noVBand="0"/>
        <w:tblDescription w:val="Table 2: Adjusted Mean Change from Baseline in the Average Daily Frequency and Severity of Hot Flushes"/>
      </w:tblPr>
      <w:tblGrid>
        <w:gridCol w:w="2127"/>
        <w:gridCol w:w="2409"/>
        <w:gridCol w:w="1276"/>
        <w:gridCol w:w="2268"/>
        <w:gridCol w:w="1374"/>
      </w:tblGrid>
      <w:tr w:rsidR="00AB4222" w:rsidRPr="00921CB2" w:rsidTr="00A71EB0">
        <w:trPr>
          <w:trHeight w:hRule="exact" w:val="329"/>
        </w:trPr>
        <w:tc>
          <w:tcPr>
            <w:tcW w:w="2127" w:type="dxa"/>
            <w:tcBorders>
              <w:top w:val="single" w:sz="4" w:space="0" w:color="000000"/>
              <w:left w:val="single" w:sz="4" w:space="0" w:color="000000"/>
              <w:bottom w:val="single" w:sz="6" w:space="0" w:color="000000"/>
              <w:right w:val="single" w:sz="6" w:space="0" w:color="000000"/>
            </w:tcBorders>
          </w:tcPr>
          <w:p w:rsidR="007137DF" w:rsidRPr="00921CB2" w:rsidRDefault="007137DF" w:rsidP="00217D6A">
            <w:pPr>
              <w:pStyle w:val="CLDTableTextListText"/>
              <w:spacing w:after="80"/>
              <w:rPr>
                <w:b/>
                <w:bCs/>
                <w:sz w:val="22"/>
              </w:rPr>
            </w:pPr>
          </w:p>
        </w:tc>
        <w:tc>
          <w:tcPr>
            <w:tcW w:w="3685" w:type="dxa"/>
            <w:gridSpan w:val="2"/>
            <w:tcBorders>
              <w:top w:val="single" w:sz="4" w:space="0" w:color="000000"/>
              <w:left w:val="single" w:sz="6" w:space="0" w:color="000000"/>
              <w:bottom w:val="single" w:sz="6" w:space="0" w:color="000000"/>
              <w:right w:val="single" w:sz="6" w:space="0" w:color="000000"/>
            </w:tcBorders>
          </w:tcPr>
          <w:p w:rsidR="007137DF" w:rsidRPr="00A71EB0" w:rsidRDefault="007137DF" w:rsidP="00A71EB0">
            <w:pPr>
              <w:pStyle w:val="CLDTableTitle"/>
              <w:spacing w:before="20"/>
              <w:rPr>
                <w:sz w:val="22"/>
                <w:szCs w:val="22"/>
              </w:rPr>
            </w:pPr>
            <w:r w:rsidRPr="00A71EB0">
              <w:rPr>
                <w:sz w:val="22"/>
                <w:szCs w:val="22"/>
              </w:rPr>
              <w:t>Frequency</w:t>
            </w:r>
          </w:p>
        </w:tc>
        <w:tc>
          <w:tcPr>
            <w:tcW w:w="3642" w:type="dxa"/>
            <w:gridSpan w:val="2"/>
            <w:tcBorders>
              <w:top w:val="single" w:sz="4" w:space="0" w:color="000000"/>
              <w:left w:val="single" w:sz="6" w:space="0" w:color="000000"/>
              <w:bottom w:val="single" w:sz="6" w:space="0" w:color="000000"/>
              <w:right w:val="single" w:sz="4" w:space="0" w:color="000000"/>
            </w:tcBorders>
          </w:tcPr>
          <w:p w:rsidR="007137DF" w:rsidRPr="00A71EB0" w:rsidRDefault="007137DF" w:rsidP="00A71EB0">
            <w:pPr>
              <w:pStyle w:val="CLDTableTitle"/>
              <w:spacing w:before="20"/>
              <w:rPr>
                <w:sz w:val="22"/>
                <w:szCs w:val="22"/>
              </w:rPr>
            </w:pPr>
            <w:r w:rsidRPr="00A71EB0">
              <w:rPr>
                <w:sz w:val="22"/>
                <w:szCs w:val="22"/>
              </w:rPr>
              <w:t>Severity</w:t>
            </w:r>
          </w:p>
        </w:tc>
      </w:tr>
      <w:tr w:rsidR="00AB4222" w:rsidRPr="00921CB2" w:rsidTr="00A71EB0">
        <w:trPr>
          <w:trHeight w:hRule="exact" w:val="566"/>
        </w:trPr>
        <w:tc>
          <w:tcPr>
            <w:tcW w:w="2127" w:type="dxa"/>
            <w:tcBorders>
              <w:top w:val="single" w:sz="6" w:space="0" w:color="000000"/>
              <w:left w:val="single" w:sz="4" w:space="0" w:color="000000"/>
              <w:bottom w:val="single" w:sz="6" w:space="0" w:color="000000"/>
              <w:right w:val="single" w:sz="6" w:space="0" w:color="000000"/>
            </w:tcBorders>
          </w:tcPr>
          <w:p w:rsidR="007137DF" w:rsidRPr="00921CB2" w:rsidRDefault="007137DF" w:rsidP="00217D6A">
            <w:pPr>
              <w:pStyle w:val="CLDTableTextListText"/>
              <w:spacing w:after="80"/>
              <w:rPr>
                <w:b/>
                <w:bCs/>
                <w:sz w:val="22"/>
              </w:rPr>
            </w:pPr>
          </w:p>
        </w:tc>
        <w:tc>
          <w:tcPr>
            <w:tcW w:w="2409" w:type="dxa"/>
            <w:tcBorders>
              <w:top w:val="single" w:sz="6" w:space="0" w:color="000000"/>
              <w:left w:val="single" w:sz="6" w:space="0" w:color="000000"/>
              <w:bottom w:val="single" w:sz="6" w:space="0" w:color="000000"/>
              <w:right w:val="single" w:sz="6" w:space="0" w:color="000000"/>
            </w:tcBorders>
          </w:tcPr>
          <w:p w:rsidR="007137DF" w:rsidRPr="00A71EB0" w:rsidRDefault="007137DF" w:rsidP="00A71EB0">
            <w:pPr>
              <w:pStyle w:val="CLDTableTitle"/>
              <w:spacing w:before="20"/>
              <w:rPr>
                <w:sz w:val="22"/>
                <w:szCs w:val="22"/>
              </w:rPr>
            </w:pPr>
            <w:r w:rsidRPr="00A71EB0">
              <w:rPr>
                <w:sz w:val="22"/>
                <w:szCs w:val="22"/>
              </w:rPr>
              <w:t>CE 0.45 mg/</w:t>
            </w:r>
            <w:r w:rsidR="00217D6A" w:rsidRPr="00A71EB0">
              <w:rPr>
                <w:sz w:val="22"/>
                <w:szCs w:val="22"/>
              </w:rPr>
              <w:t xml:space="preserve"> </w:t>
            </w:r>
            <w:r w:rsidRPr="00A71EB0">
              <w:rPr>
                <w:sz w:val="22"/>
                <w:szCs w:val="22"/>
              </w:rPr>
              <w:t>bazedoxifene 20 mg</w:t>
            </w:r>
          </w:p>
        </w:tc>
        <w:tc>
          <w:tcPr>
            <w:tcW w:w="1276" w:type="dxa"/>
            <w:tcBorders>
              <w:top w:val="single" w:sz="6" w:space="0" w:color="000000"/>
              <w:left w:val="single" w:sz="6" w:space="0" w:color="000000"/>
              <w:bottom w:val="single" w:sz="6" w:space="0" w:color="000000"/>
              <w:right w:val="single" w:sz="6" w:space="0" w:color="000000"/>
            </w:tcBorders>
          </w:tcPr>
          <w:p w:rsidR="007137DF" w:rsidRPr="00A71EB0" w:rsidRDefault="007137DF" w:rsidP="00A71EB0">
            <w:pPr>
              <w:pStyle w:val="CLDTableTitle"/>
              <w:spacing w:before="20"/>
              <w:rPr>
                <w:sz w:val="22"/>
                <w:szCs w:val="22"/>
              </w:rPr>
            </w:pPr>
            <w:r w:rsidRPr="00A71EB0">
              <w:rPr>
                <w:sz w:val="22"/>
                <w:szCs w:val="22"/>
              </w:rPr>
              <w:t>Placebo</w:t>
            </w:r>
          </w:p>
        </w:tc>
        <w:tc>
          <w:tcPr>
            <w:tcW w:w="2268" w:type="dxa"/>
            <w:tcBorders>
              <w:top w:val="single" w:sz="6" w:space="0" w:color="000000"/>
              <w:left w:val="single" w:sz="6" w:space="0" w:color="000000"/>
              <w:bottom w:val="single" w:sz="6" w:space="0" w:color="000000"/>
              <w:right w:val="single" w:sz="6" w:space="0" w:color="000000"/>
            </w:tcBorders>
          </w:tcPr>
          <w:p w:rsidR="007137DF" w:rsidRPr="00A71EB0" w:rsidRDefault="007137DF" w:rsidP="00A71EB0">
            <w:pPr>
              <w:pStyle w:val="CLDTableTitle"/>
              <w:spacing w:before="20"/>
              <w:rPr>
                <w:sz w:val="22"/>
                <w:szCs w:val="22"/>
              </w:rPr>
            </w:pPr>
            <w:r w:rsidRPr="00A71EB0">
              <w:rPr>
                <w:sz w:val="22"/>
                <w:szCs w:val="22"/>
              </w:rPr>
              <w:t>CE 0.45 mg/</w:t>
            </w:r>
            <w:r w:rsidR="00217D6A" w:rsidRPr="00A71EB0">
              <w:rPr>
                <w:sz w:val="22"/>
                <w:szCs w:val="22"/>
              </w:rPr>
              <w:t xml:space="preserve"> </w:t>
            </w:r>
            <w:r w:rsidRPr="00A71EB0">
              <w:rPr>
                <w:sz w:val="22"/>
                <w:szCs w:val="22"/>
              </w:rPr>
              <w:t>bazedoxifene 20 mg</w:t>
            </w:r>
          </w:p>
        </w:tc>
        <w:tc>
          <w:tcPr>
            <w:tcW w:w="1374" w:type="dxa"/>
            <w:tcBorders>
              <w:top w:val="single" w:sz="6" w:space="0" w:color="000000"/>
              <w:left w:val="single" w:sz="6" w:space="0" w:color="000000"/>
              <w:bottom w:val="single" w:sz="6" w:space="0" w:color="000000"/>
              <w:right w:val="single" w:sz="4" w:space="0" w:color="000000"/>
            </w:tcBorders>
          </w:tcPr>
          <w:p w:rsidR="007137DF" w:rsidRPr="00A71EB0" w:rsidRDefault="007137DF" w:rsidP="00A71EB0">
            <w:pPr>
              <w:pStyle w:val="CLDTableTitle"/>
              <w:spacing w:before="20"/>
              <w:rPr>
                <w:sz w:val="22"/>
                <w:szCs w:val="22"/>
              </w:rPr>
            </w:pPr>
            <w:r w:rsidRPr="00A71EB0">
              <w:rPr>
                <w:sz w:val="22"/>
                <w:szCs w:val="22"/>
              </w:rPr>
              <w:t>Placebo</w:t>
            </w:r>
          </w:p>
        </w:tc>
      </w:tr>
      <w:tr w:rsidR="00217D6A" w:rsidRPr="00921CB2" w:rsidTr="00FB7E1D">
        <w:trPr>
          <w:trHeight w:hRule="exact" w:val="365"/>
        </w:trPr>
        <w:tc>
          <w:tcPr>
            <w:tcW w:w="2127" w:type="dxa"/>
            <w:tcBorders>
              <w:top w:val="single" w:sz="6" w:space="0" w:color="000000"/>
              <w:left w:val="single" w:sz="4" w:space="0" w:color="000000"/>
              <w:bottom w:val="single" w:sz="6" w:space="0" w:color="000000"/>
              <w:right w:val="single" w:sz="6" w:space="0" w:color="000000"/>
            </w:tcBorders>
          </w:tcPr>
          <w:p w:rsidR="007137DF" w:rsidRPr="00921CB2" w:rsidRDefault="007137DF" w:rsidP="006C03FD">
            <w:pPr>
              <w:pStyle w:val="PITableTextListText"/>
              <w:keepNext/>
            </w:pPr>
            <w:r w:rsidRPr="00921CB2">
              <w:t>N</w:t>
            </w:r>
          </w:p>
        </w:tc>
        <w:tc>
          <w:tcPr>
            <w:tcW w:w="2409" w:type="dxa"/>
            <w:tcBorders>
              <w:top w:val="single" w:sz="6" w:space="0" w:color="000000"/>
              <w:left w:val="single" w:sz="6" w:space="0" w:color="000000"/>
              <w:bottom w:val="single" w:sz="6" w:space="0" w:color="000000"/>
              <w:right w:val="single" w:sz="6" w:space="0" w:color="000000"/>
            </w:tcBorders>
          </w:tcPr>
          <w:p w:rsidR="007137DF" w:rsidRPr="00921CB2" w:rsidRDefault="007137DF" w:rsidP="006C03FD">
            <w:pPr>
              <w:pStyle w:val="PITableTextListText"/>
              <w:keepNext/>
            </w:pPr>
            <w:r w:rsidRPr="00921CB2">
              <w:t>122</w:t>
            </w:r>
          </w:p>
        </w:tc>
        <w:tc>
          <w:tcPr>
            <w:tcW w:w="1276" w:type="dxa"/>
            <w:tcBorders>
              <w:top w:val="single" w:sz="6" w:space="0" w:color="000000"/>
              <w:left w:val="single" w:sz="6" w:space="0" w:color="000000"/>
              <w:bottom w:val="single" w:sz="6" w:space="0" w:color="000000"/>
              <w:right w:val="single" w:sz="6" w:space="0" w:color="000000"/>
            </w:tcBorders>
          </w:tcPr>
          <w:p w:rsidR="007137DF" w:rsidRPr="00921CB2" w:rsidRDefault="007137DF" w:rsidP="006C03FD">
            <w:pPr>
              <w:pStyle w:val="PITableTextListText"/>
              <w:keepNext/>
            </w:pPr>
            <w:r w:rsidRPr="00921CB2">
              <w:t>63</w:t>
            </w:r>
          </w:p>
        </w:tc>
        <w:tc>
          <w:tcPr>
            <w:tcW w:w="2268" w:type="dxa"/>
            <w:tcBorders>
              <w:top w:val="single" w:sz="6" w:space="0" w:color="000000"/>
              <w:left w:val="single" w:sz="6" w:space="0" w:color="000000"/>
              <w:bottom w:val="single" w:sz="6" w:space="0" w:color="000000"/>
              <w:right w:val="single" w:sz="6" w:space="0" w:color="000000"/>
            </w:tcBorders>
          </w:tcPr>
          <w:p w:rsidR="007137DF" w:rsidRPr="00921CB2" w:rsidRDefault="007137DF" w:rsidP="006C03FD">
            <w:pPr>
              <w:pStyle w:val="PITableTextListText"/>
              <w:keepNext/>
            </w:pPr>
            <w:r w:rsidRPr="00921CB2">
              <w:t>122</w:t>
            </w:r>
          </w:p>
        </w:tc>
        <w:tc>
          <w:tcPr>
            <w:tcW w:w="1374" w:type="dxa"/>
            <w:tcBorders>
              <w:top w:val="single" w:sz="6" w:space="0" w:color="000000"/>
              <w:left w:val="single" w:sz="6" w:space="0" w:color="000000"/>
              <w:bottom w:val="single" w:sz="6" w:space="0" w:color="000000"/>
              <w:right w:val="single" w:sz="4" w:space="0" w:color="000000"/>
            </w:tcBorders>
          </w:tcPr>
          <w:p w:rsidR="007137DF" w:rsidRPr="00921CB2" w:rsidRDefault="007137DF" w:rsidP="006C03FD">
            <w:pPr>
              <w:pStyle w:val="PITableTextListText"/>
              <w:keepNext/>
            </w:pPr>
            <w:r w:rsidRPr="00921CB2">
              <w:t>63</w:t>
            </w:r>
          </w:p>
        </w:tc>
      </w:tr>
      <w:tr w:rsidR="00217D6A" w:rsidRPr="00921CB2" w:rsidTr="00FB7E1D">
        <w:trPr>
          <w:trHeight w:hRule="exact" w:val="365"/>
        </w:trPr>
        <w:tc>
          <w:tcPr>
            <w:tcW w:w="2127" w:type="dxa"/>
            <w:tcBorders>
              <w:top w:val="single" w:sz="6" w:space="0" w:color="000000"/>
              <w:left w:val="single" w:sz="4" w:space="0" w:color="000000"/>
              <w:bottom w:val="single" w:sz="6" w:space="0" w:color="000000"/>
              <w:right w:val="single" w:sz="6" w:space="0" w:color="000000"/>
            </w:tcBorders>
          </w:tcPr>
          <w:p w:rsidR="007137DF" w:rsidRPr="00921CB2" w:rsidRDefault="007137DF" w:rsidP="006C03FD">
            <w:pPr>
              <w:pStyle w:val="PITableTextListText"/>
              <w:keepNext/>
            </w:pPr>
            <w:r w:rsidRPr="00921CB2">
              <w:t>Baseline</w:t>
            </w:r>
          </w:p>
        </w:tc>
        <w:tc>
          <w:tcPr>
            <w:tcW w:w="2409" w:type="dxa"/>
            <w:tcBorders>
              <w:top w:val="single" w:sz="6" w:space="0" w:color="000000"/>
              <w:left w:val="single" w:sz="6" w:space="0" w:color="000000"/>
              <w:bottom w:val="single" w:sz="6" w:space="0" w:color="000000"/>
              <w:right w:val="single" w:sz="6" w:space="0" w:color="000000"/>
            </w:tcBorders>
          </w:tcPr>
          <w:p w:rsidR="007137DF" w:rsidRPr="00921CB2" w:rsidRDefault="007137DF" w:rsidP="006C03FD">
            <w:pPr>
              <w:pStyle w:val="PITableTextListText"/>
              <w:keepNext/>
            </w:pPr>
            <w:r w:rsidRPr="00921CB2">
              <w:t>10.3</w:t>
            </w:r>
          </w:p>
        </w:tc>
        <w:tc>
          <w:tcPr>
            <w:tcW w:w="1276" w:type="dxa"/>
            <w:tcBorders>
              <w:top w:val="single" w:sz="6" w:space="0" w:color="000000"/>
              <w:left w:val="single" w:sz="6" w:space="0" w:color="000000"/>
              <w:bottom w:val="single" w:sz="6" w:space="0" w:color="000000"/>
              <w:right w:val="single" w:sz="6" w:space="0" w:color="000000"/>
            </w:tcBorders>
          </w:tcPr>
          <w:p w:rsidR="007137DF" w:rsidRPr="00921CB2" w:rsidRDefault="007137DF" w:rsidP="006C03FD">
            <w:pPr>
              <w:pStyle w:val="PITableTextListText"/>
              <w:keepNext/>
            </w:pPr>
            <w:r w:rsidRPr="00921CB2">
              <w:t>10.5</w:t>
            </w:r>
          </w:p>
        </w:tc>
        <w:tc>
          <w:tcPr>
            <w:tcW w:w="2268" w:type="dxa"/>
            <w:tcBorders>
              <w:top w:val="single" w:sz="6" w:space="0" w:color="000000"/>
              <w:left w:val="single" w:sz="6" w:space="0" w:color="000000"/>
              <w:bottom w:val="single" w:sz="6" w:space="0" w:color="000000"/>
              <w:right w:val="single" w:sz="6" w:space="0" w:color="000000"/>
            </w:tcBorders>
          </w:tcPr>
          <w:p w:rsidR="007137DF" w:rsidRPr="00921CB2" w:rsidRDefault="007137DF" w:rsidP="006C03FD">
            <w:pPr>
              <w:pStyle w:val="PITableTextListText"/>
              <w:keepNext/>
            </w:pPr>
            <w:r w:rsidRPr="00921CB2">
              <w:t>2.3</w:t>
            </w:r>
          </w:p>
        </w:tc>
        <w:tc>
          <w:tcPr>
            <w:tcW w:w="1374" w:type="dxa"/>
            <w:tcBorders>
              <w:top w:val="single" w:sz="6" w:space="0" w:color="000000"/>
              <w:left w:val="single" w:sz="6" w:space="0" w:color="000000"/>
              <w:bottom w:val="single" w:sz="6" w:space="0" w:color="000000"/>
              <w:right w:val="single" w:sz="4" w:space="0" w:color="000000"/>
            </w:tcBorders>
          </w:tcPr>
          <w:p w:rsidR="007137DF" w:rsidRPr="00921CB2" w:rsidRDefault="007137DF" w:rsidP="006C03FD">
            <w:pPr>
              <w:pStyle w:val="PITableTextListText"/>
              <w:keepNext/>
            </w:pPr>
            <w:r w:rsidRPr="00921CB2">
              <w:t>2.3</w:t>
            </w:r>
          </w:p>
        </w:tc>
      </w:tr>
      <w:tr w:rsidR="007137DF" w:rsidRPr="006E1B4E" w:rsidTr="00217D6A">
        <w:trPr>
          <w:trHeight w:hRule="exact" w:val="365"/>
        </w:trPr>
        <w:tc>
          <w:tcPr>
            <w:tcW w:w="2127" w:type="dxa"/>
            <w:tcBorders>
              <w:top w:val="single" w:sz="6" w:space="0" w:color="000000"/>
              <w:left w:val="single" w:sz="4" w:space="0" w:color="000000"/>
              <w:bottom w:val="single" w:sz="6" w:space="0" w:color="000000"/>
              <w:right w:val="single" w:sz="6" w:space="0" w:color="000000"/>
            </w:tcBorders>
          </w:tcPr>
          <w:p w:rsidR="007137DF" w:rsidRPr="006E1B4E" w:rsidRDefault="007137DF" w:rsidP="006C03FD">
            <w:pPr>
              <w:pStyle w:val="PITableTextListText"/>
              <w:keepNext/>
              <w:rPr>
                <w:szCs w:val="22"/>
                <w:lang w:val="en-US"/>
              </w:rPr>
            </w:pPr>
            <w:r w:rsidRPr="006E1B4E">
              <w:rPr>
                <w:i/>
                <w:iCs/>
                <w:spacing w:val="-1"/>
                <w:szCs w:val="22"/>
                <w:lang w:val="en-US"/>
              </w:rPr>
              <w:t>Week</w:t>
            </w:r>
            <w:r w:rsidRPr="006E1B4E">
              <w:rPr>
                <w:i/>
                <w:iCs/>
                <w:spacing w:val="-7"/>
                <w:szCs w:val="22"/>
                <w:lang w:val="en-US"/>
              </w:rPr>
              <w:t xml:space="preserve"> </w:t>
            </w:r>
            <w:r w:rsidRPr="006E1B4E">
              <w:rPr>
                <w:i/>
                <w:iCs/>
                <w:szCs w:val="22"/>
                <w:lang w:val="en-US"/>
              </w:rPr>
              <w:t>4</w:t>
            </w:r>
          </w:p>
        </w:tc>
        <w:tc>
          <w:tcPr>
            <w:tcW w:w="7327" w:type="dxa"/>
            <w:gridSpan w:val="4"/>
            <w:tcBorders>
              <w:top w:val="single" w:sz="6" w:space="0" w:color="000000"/>
              <w:left w:val="single" w:sz="6" w:space="0" w:color="000000"/>
              <w:bottom w:val="single" w:sz="6" w:space="0" w:color="000000"/>
              <w:right w:val="single" w:sz="4" w:space="0" w:color="000000"/>
            </w:tcBorders>
          </w:tcPr>
          <w:p w:rsidR="007137DF" w:rsidRPr="006E1B4E" w:rsidRDefault="007137DF" w:rsidP="006C03FD">
            <w:pPr>
              <w:pStyle w:val="PITableTextListText"/>
              <w:keepNext/>
              <w:rPr>
                <w:szCs w:val="22"/>
                <w:lang w:val="en-US"/>
              </w:rPr>
            </w:pPr>
          </w:p>
        </w:tc>
      </w:tr>
      <w:tr w:rsidR="00217D6A" w:rsidRPr="00921CB2" w:rsidTr="00FB7E1D">
        <w:trPr>
          <w:trHeight w:hRule="exact" w:val="365"/>
        </w:trPr>
        <w:tc>
          <w:tcPr>
            <w:tcW w:w="2127" w:type="dxa"/>
            <w:tcBorders>
              <w:top w:val="single" w:sz="6" w:space="0" w:color="000000"/>
              <w:left w:val="single" w:sz="4" w:space="0" w:color="000000"/>
              <w:bottom w:val="single" w:sz="6" w:space="0" w:color="000000"/>
              <w:right w:val="single" w:sz="6" w:space="0" w:color="000000"/>
            </w:tcBorders>
          </w:tcPr>
          <w:p w:rsidR="007137DF" w:rsidRPr="00921CB2" w:rsidRDefault="007137DF" w:rsidP="006C03FD">
            <w:pPr>
              <w:pStyle w:val="PITableTextListText"/>
              <w:keepNext/>
            </w:pPr>
            <w:r w:rsidRPr="00921CB2">
              <w:t>Mean Change</w:t>
            </w:r>
            <w:r w:rsidRPr="00921CB2">
              <w:rPr>
                <w:vertAlign w:val="superscript"/>
              </w:rPr>
              <w:t>1</w:t>
            </w:r>
          </w:p>
        </w:tc>
        <w:tc>
          <w:tcPr>
            <w:tcW w:w="2409" w:type="dxa"/>
            <w:tcBorders>
              <w:top w:val="single" w:sz="6" w:space="0" w:color="000000"/>
              <w:left w:val="single" w:sz="6" w:space="0" w:color="000000"/>
              <w:bottom w:val="single" w:sz="6" w:space="0" w:color="000000"/>
              <w:right w:val="single" w:sz="6" w:space="0" w:color="000000"/>
            </w:tcBorders>
          </w:tcPr>
          <w:p w:rsidR="007137DF" w:rsidRPr="00921CB2" w:rsidRDefault="007137DF" w:rsidP="006C03FD">
            <w:pPr>
              <w:pStyle w:val="PITableTextListText"/>
              <w:keepNext/>
            </w:pPr>
            <w:r w:rsidRPr="00921CB2">
              <w:t>-5.9</w:t>
            </w:r>
          </w:p>
        </w:tc>
        <w:tc>
          <w:tcPr>
            <w:tcW w:w="1276" w:type="dxa"/>
            <w:tcBorders>
              <w:top w:val="single" w:sz="6" w:space="0" w:color="000000"/>
              <w:left w:val="single" w:sz="6" w:space="0" w:color="000000"/>
              <w:bottom w:val="single" w:sz="6" w:space="0" w:color="000000"/>
              <w:right w:val="single" w:sz="6" w:space="0" w:color="000000"/>
            </w:tcBorders>
          </w:tcPr>
          <w:p w:rsidR="007137DF" w:rsidRPr="00921CB2" w:rsidRDefault="007137DF" w:rsidP="006C03FD">
            <w:pPr>
              <w:pStyle w:val="PITableTextListText"/>
              <w:keepNext/>
            </w:pPr>
            <w:r w:rsidRPr="00921CB2">
              <w:t>-2.8</w:t>
            </w:r>
          </w:p>
        </w:tc>
        <w:tc>
          <w:tcPr>
            <w:tcW w:w="2268" w:type="dxa"/>
            <w:tcBorders>
              <w:top w:val="single" w:sz="6" w:space="0" w:color="000000"/>
              <w:left w:val="single" w:sz="6" w:space="0" w:color="000000"/>
              <w:bottom w:val="single" w:sz="6" w:space="0" w:color="000000"/>
              <w:right w:val="single" w:sz="6" w:space="0" w:color="000000"/>
            </w:tcBorders>
          </w:tcPr>
          <w:p w:rsidR="007137DF" w:rsidRPr="00921CB2" w:rsidRDefault="007137DF" w:rsidP="006C03FD">
            <w:pPr>
              <w:pStyle w:val="PITableTextListText"/>
              <w:keepNext/>
            </w:pPr>
            <w:r w:rsidRPr="00921CB2">
              <w:t>-0.6</w:t>
            </w:r>
          </w:p>
        </w:tc>
        <w:tc>
          <w:tcPr>
            <w:tcW w:w="1374" w:type="dxa"/>
            <w:tcBorders>
              <w:top w:val="single" w:sz="6" w:space="0" w:color="000000"/>
              <w:left w:val="single" w:sz="6" w:space="0" w:color="000000"/>
              <w:bottom w:val="single" w:sz="6" w:space="0" w:color="000000"/>
              <w:right w:val="single" w:sz="4" w:space="0" w:color="000000"/>
            </w:tcBorders>
          </w:tcPr>
          <w:p w:rsidR="007137DF" w:rsidRPr="00921CB2" w:rsidRDefault="007137DF" w:rsidP="006C03FD">
            <w:pPr>
              <w:pStyle w:val="PITableTextListText"/>
              <w:keepNext/>
            </w:pPr>
            <w:r w:rsidRPr="00921CB2">
              <w:t>-0.1</w:t>
            </w:r>
          </w:p>
        </w:tc>
      </w:tr>
      <w:tr w:rsidR="00217D6A" w:rsidRPr="00921CB2" w:rsidTr="00FB7E1D">
        <w:trPr>
          <w:trHeight w:hRule="exact" w:val="365"/>
        </w:trPr>
        <w:tc>
          <w:tcPr>
            <w:tcW w:w="2127" w:type="dxa"/>
            <w:tcBorders>
              <w:top w:val="single" w:sz="6" w:space="0" w:color="000000"/>
              <w:left w:val="single" w:sz="4" w:space="0" w:color="000000"/>
              <w:bottom w:val="single" w:sz="6" w:space="0" w:color="000000"/>
              <w:right w:val="single" w:sz="6" w:space="0" w:color="000000"/>
            </w:tcBorders>
          </w:tcPr>
          <w:p w:rsidR="007137DF" w:rsidRPr="00921CB2" w:rsidRDefault="007137DF" w:rsidP="006C03FD">
            <w:pPr>
              <w:pStyle w:val="PITableTextListText"/>
              <w:keepNext/>
            </w:pPr>
            <w:r w:rsidRPr="00921CB2">
              <w:t>Treatment Difference</w:t>
            </w:r>
            <w:r w:rsidRPr="00921CB2">
              <w:rPr>
                <w:vertAlign w:val="superscript"/>
              </w:rPr>
              <w:t>2</w:t>
            </w:r>
          </w:p>
        </w:tc>
        <w:tc>
          <w:tcPr>
            <w:tcW w:w="2409" w:type="dxa"/>
            <w:tcBorders>
              <w:top w:val="single" w:sz="6" w:space="0" w:color="000000"/>
              <w:left w:val="single" w:sz="6" w:space="0" w:color="000000"/>
              <w:bottom w:val="single" w:sz="6" w:space="0" w:color="000000"/>
              <w:right w:val="single" w:sz="6" w:space="0" w:color="000000"/>
            </w:tcBorders>
          </w:tcPr>
          <w:p w:rsidR="007137DF" w:rsidRPr="00921CB2" w:rsidRDefault="007137DF" w:rsidP="006C03FD">
            <w:pPr>
              <w:pStyle w:val="PITableTextListText"/>
              <w:keepNext/>
            </w:pPr>
            <w:r w:rsidRPr="00921CB2">
              <w:t>-3.1 (-4.4, -1.7)*</w:t>
            </w:r>
          </w:p>
        </w:tc>
        <w:tc>
          <w:tcPr>
            <w:tcW w:w="1276" w:type="dxa"/>
            <w:tcBorders>
              <w:top w:val="single" w:sz="6" w:space="0" w:color="000000"/>
              <w:left w:val="single" w:sz="6" w:space="0" w:color="000000"/>
              <w:bottom w:val="single" w:sz="6" w:space="0" w:color="000000"/>
              <w:right w:val="single" w:sz="6" w:space="0" w:color="000000"/>
            </w:tcBorders>
          </w:tcPr>
          <w:p w:rsidR="007137DF" w:rsidRPr="00921CB2" w:rsidRDefault="007137DF" w:rsidP="006C03FD">
            <w:pPr>
              <w:pStyle w:val="PITableTextListText"/>
              <w:keepNext/>
            </w:pPr>
            <w:r w:rsidRPr="00921CB2">
              <w:t>--</w:t>
            </w:r>
          </w:p>
        </w:tc>
        <w:tc>
          <w:tcPr>
            <w:tcW w:w="2268" w:type="dxa"/>
            <w:tcBorders>
              <w:top w:val="single" w:sz="6" w:space="0" w:color="000000"/>
              <w:left w:val="single" w:sz="6" w:space="0" w:color="000000"/>
              <w:bottom w:val="single" w:sz="6" w:space="0" w:color="000000"/>
              <w:right w:val="single" w:sz="6" w:space="0" w:color="000000"/>
            </w:tcBorders>
          </w:tcPr>
          <w:p w:rsidR="007137DF" w:rsidRPr="00921CB2" w:rsidRDefault="007137DF" w:rsidP="006C03FD">
            <w:pPr>
              <w:pStyle w:val="PITableTextListText"/>
              <w:keepNext/>
            </w:pPr>
            <w:r w:rsidRPr="00921CB2">
              <w:t>-0.5 (-0.7, -0.3)*</w:t>
            </w:r>
          </w:p>
        </w:tc>
        <w:tc>
          <w:tcPr>
            <w:tcW w:w="1374" w:type="dxa"/>
            <w:tcBorders>
              <w:top w:val="single" w:sz="6" w:space="0" w:color="000000"/>
              <w:left w:val="single" w:sz="6" w:space="0" w:color="000000"/>
              <w:bottom w:val="single" w:sz="6" w:space="0" w:color="000000"/>
              <w:right w:val="single" w:sz="4" w:space="0" w:color="000000"/>
            </w:tcBorders>
          </w:tcPr>
          <w:p w:rsidR="007137DF" w:rsidRPr="00921CB2" w:rsidRDefault="007137DF" w:rsidP="006C03FD">
            <w:pPr>
              <w:pStyle w:val="PITableTextListText"/>
              <w:keepNext/>
            </w:pPr>
            <w:r w:rsidRPr="00921CB2">
              <w:t>--</w:t>
            </w:r>
          </w:p>
        </w:tc>
      </w:tr>
      <w:tr w:rsidR="007137DF" w:rsidRPr="006E1B4E" w:rsidTr="00217D6A">
        <w:trPr>
          <w:trHeight w:hRule="exact" w:val="365"/>
        </w:trPr>
        <w:tc>
          <w:tcPr>
            <w:tcW w:w="2127" w:type="dxa"/>
            <w:tcBorders>
              <w:top w:val="single" w:sz="6" w:space="0" w:color="000000"/>
              <w:left w:val="single" w:sz="4" w:space="0" w:color="000000"/>
              <w:bottom w:val="single" w:sz="6" w:space="0" w:color="000000"/>
              <w:right w:val="single" w:sz="6" w:space="0" w:color="000000"/>
            </w:tcBorders>
          </w:tcPr>
          <w:p w:rsidR="007137DF" w:rsidRPr="006E1B4E" w:rsidRDefault="007137DF" w:rsidP="006C03FD">
            <w:pPr>
              <w:pStyle w:val="PITableTextListText"/>
              <w:keepNext/>
              <w:rPr>
                <w:szCs w:val="22"/>
                <w:lang w:val="en-US"/>
              </w:rPr>
            </w:pPr>
            <w:r w:rsidRPr="006E1B4E">
              <w:rPr>
                <w:i/>
                <w:iCs/>
                <w:szCs w:val="22"/>
                <w:lang w:val="en-US"/>
              </w:rPr>
              <w:t>Week</w:t>
            </w:r>
            <w:r w:rsidRPr="006E1B4E">
              <w:rPr>
                <w:i/>
                <w:iCs/>
                <w:spacing w:val="-8"/>
                <w:szCs w:val="22"/>
                <w:lang w:val="en-US"/>
              </w:rPr>
              <w:t xml:space="preserve"> </w:t>
            </w:r>
            <w:r w:rsidRPr="006E1B4E">
              <w:rPr>
                <w:i/>
                <w:iCs/>
                <w:szCs w:val="22"/>
                <w:lang w:val="en-US"/>
              </w:rPr>
              <w:t>12</w:t>
            </w:r>
          </w:p>
        </w:tc>
        <w:tc>
          <w:tcPr>
            <w:tcW w:w="7327" w:type="dxa"/>
            <w:gridSpan w:val="4"/>
            <w:tcBorders>
              <w:top w:val="single" w:sz="6" w:space="0" w:color="000000"/>
              <w:left w:val="single" w:sz="6" w:space="0" w:color="000000"/>
              <w:bottom w:val="single" w:sz="6" w:space="0" w:color="000000"/>
              <w:right w:val="single" w:sz="4" w:space="0" w:color="000000"/>
            </w:tcBorders>
          </w:tcPr>
          <w:p w:rsidR="007137DF" w:rsidRPr="006E1B4E" w:rsidRDefault="007137DF" w:rsidP="006C03FD">
            <w:pPr>
              <w:pStyle w:val="PITableTextListText"/>
              <w:keepNext/>
              <w:rPr>
                <w:szCs w:val="22"/>
                <w:lang w:val="en-US"/>
              </w:rPr>
            </w:pPr>
          </w:p>
        </w:tc>
      </w:tr>
      <w:tr w:rsidR="00217D6A" w:rsidRPr="00921CB2" w:rsidTr="00FB7E1D">
        <w:trPr>
          <w:trHeight w:hRule="exact" w:val="367"/>
        </w:trPr>
        <w:tc>
          <w:tcPr>
            <w:tcW w:w="2127" w:type="dxa"/>
            <w:tcBorders>
              <w:top w:val="single" w:sz="6" w:space="0" w:color="000000"/>
              <w:left w:val="single" w:sz="4" w:space="0" w:color="000000"/>
              <w:bottom w:val="single" w:sz="6" w:space="0" w:color="000000"/>
              <w:right w:val="single" w:sz="6" w:space="0" w:color="000000"/>
            </w:tcBorders>
          </w:tcPr>
          <w:p w:rsidR="007137DF" w:rsidRPr="00921CB2" w:rsidRDefault="007137DF" w:rsidP="006C03FD">
            <w:pPr>
              <w:pStyle w:val="PITableTextListText"/>
              <w:keepNext/>
            </w:pPr>
            <w:r w:rsidRPr="00921CB2">
              <w:t>Mean Change</w:t>
            </w:r>
            <w:r w:rsidRPr="00921CB2">
              <w:rPr>
                <w:vertAlign w:val="superscript"/>
              </w:rPr>
              <w:t>1</w:t>
            </w:r>
          </w:p>
        </w:tc>
        <w:tc>
          <w:tcPr>
            <w:tcW w:w="2409" w:type="dxa"/>
            <w:tcBorders>
              <w:top w:val="single" w:sz="6" w:space="0" w:color="000000"/>
              <w:left w:val="single" w:sz="6" w:space="0" w:color="000000"/>
              <w:bottom w:val="single" w:sz="6" w:space="0" w:color="000000"/>
              <w:right w:val="single" w:sz="6" w:space="0" w:color="000000"/>
            </w:tcBorders>
          </w:tcPr>
          <w:p w:rsidR="007137DF" w:rsidRPr="00921CB2" w:rsidRDefault="007137DF" w:rsidP="006C03FD">
            <w:pPr>
              <w:pStyle w:val="PITableTextListText"/>
              <w:keepNext/>
            </w:pPr>
            <w:r w:rsidRPr="00921CB2">
              <w:t>-7.6</w:t>
            </w:r>
          </w:p>
        </w:tc>
        <w:tc>
          <w:tcPr>
            <w:tcW w:w="1276" w:type="dxa"/>
            <w:tcBorders>
              <w:top w:val="single" w:sz="6" w:space="0" w:color="000000"/>
              <w:left w:val="single" w:sz="6" w:space="0" w:color="000000"/>
              <w:bottom w:val="single" w:sz="6" w:space="0" w:color="000000"/>
              <w:right w:val="single" w:sz="6" w:space="0" w:color="000000"/>
            </w:tcBorders>
          </w:tcPr>
          <w:p w:rsidR="007137DF" w:rsidRPr="00921CB2" w:rsidRDefault="007137DF" w:rsidP="006C03FD">
            <w:pPr>
              <w:pStyle w:val="PITableTextListText"/>
              <w:keepNext/>
            </w:pPr>
            <w:r w:rsidRPr="00921CB2">
              <w:t>-4.9</w:t>
            </w:r>
          </w:p>
        </w:tc>
        <w:tc>
          <w:tcPr>
            <w:tcW w:w="2268" w:type="dxa"/>
            <w:tcBorders>
              <w:top w:val="single" w:sz="6" w:space="0" w:color="000000"/>
              <w:left w:val="single" w:sz="6" w:space="0" w:color="000000"/>
              <w:bottom w:val="single" w:sz="6" w:space="0" w:color="000000"/>
              <w:right w:val="single" w:sz="6" w:space="0" w:color="000000"/>
            </w:tcBorders>
          </w:tcPr>
          <w:p w:rsidR="007137DF" w:rsidRPr="00921CB2" w:rsidRDefault="007137DF" w:rsidP="006C03FD">
            <w:pPr>
              <w:pStyle w:val="PITableTextListText"/>
              <w:keepNext/>
            </w:pPr>
            <w:r w:rsidRPr="00921CB2">
              <w:t>-0.9</w:t>
            </w:r>
          </w:p>
        </w:tc>
        <w:tc>
          <w:tcPr>
            <w:tcW w:w="1374" w:type="dxa"/>
            <w:tcBorders>
              <w:top w:val="single" w:sz="6" w:space="0" w:color="000000"/>
              <w:left w:val="single" w:sz="6" w:space="0" w:color="000000"/>
              <w:bottom w:val="single" w:sz="6" w:space="0" w:color="000000"/>
              <w:right w:val="single" w:sz="4" w:space="0" w:color="000000"/>
            </w:tcBorders>
          </w:tcPr>
          <w:p w:rsidR="007137DF" w:rsidRPr="00921CB2" w:rsidRDefault="007137DF" w:rsidP="006C03FD">
            <w:pPr>
              <w:pStyle w:val="PITableTextListText"/>
              <w:keepNext/>
            </w:pPr>
            <w:r w:rsidRPr="00921CB2">
              <w:t>-0.3</w:t>
            </w:r>
          </w:p>
        </w:tc>
      </w:tr>
      <w:tr w:rsidR="00217D6A" w:rsidRPr="00921CB2" w:rsidTr="00FB7E1D">
        <w:trPr>
          <w:trHeight w:hRule="exact" w:val="365"/>
        </w:trPr>
        <w:tc>
          <w:tcPr>
            <w:tcW w:w="2127" w:type="dxa"/>
            <w:tcBorders>
              <w:top w:val="single" w:sz="6" w:space="0" w:color="000000"/>
              <w:left w:val="single" w:sz="4" w:space="0" w:color="000000"/>
              <w:bottom w:val="single" w:sz="6" w:space="0" w:color="000000"/>
              <w:right w:val="single" w:sz="6" w:space="0" w:color="000000"/>
            </w:tcBorders>
          </w:tcPr>
          <w:p w:rsidR="007137DF" w:rsidRPr="00921CB2" w:rsidRDefault="007137DF" w:rsidP="006C03FD">
            <w:pPr>
              <w:pStyle w:val="PITableTextListText"/>
              <w:keepNext/>
            </w:pPr>
            <w:r w:rsidRPr="00921CB2">
              <w:t>Treatment Difference</w:t>
            </w:r>
            <w:r w:rsidRPr="00921CB2">
              <w:rPr>
                <w:vertAlign w:val="superscript"/>
              </w:rPr>
              <w:t>2</w:t>
            </w:r>
          </w:p>
        </w:tc>
        <w:tc>
          <w:tcPr>
            <w:tcW w:w="2409" w:type="dxa"/>
            <w:tcBorders>
              <w:top w:val="single" w:sz="6" w:space="0" w:color="000000"/>
              <w:left w:val="single" w:sz="6" w:space="0" w:color="000000"/>
              <w:bottom w:val="single" w:sz="6" w:space="0" w:color="000000"/>
              <w:right w:val="single" w:sz="6" w:space="0" w:color="000000"/>
            </w:tcBorders>
          </w:tcPr>
          <w:p w:rsidR="007137DF" w:rsidRPr="00921CB2" w:rsidRDefault="007137DF" w:rsidP="006C03FD">
            <w:pPr>
              <w:pStyle w:val="PITableTextListText"/>
              <w:keepNext/>
            </w:pPr>
            <w:r w:rsidRPr="00921CB2">
              <w:t>-2.7 (-3.8, -1.6)*</w:t>
            </w:r>
          </w:p>
        </w:tc>
        <w:tc>
          <w:tcPr>
            <w:tcW w:w="1276" w:type="dxa"/>
            <w:tcBorders>
              <w:top w:val="single" w:sz="6" w:space="0" w:color="000000"/>
              <w:left w:val="single" w:sz="6" w:space="0" w:color="000000"/>
              <w:bottom w:val="single" w:sz="6" w:space="0" w:color="000000"/>
              <w:right w:val="single" w:sz="6" w:space="0" w:color="000000"/>
            </w:tcBorders>
          </w:tcPr>
          <w:p w:rsidR="007137DF" w:rsidRPr="00921CB2" w:rsidRDefault="007137DF" w:rsidP="006C03FD">
            <w:pPr>
              <w:pStyle w:val="PITableTextListText"/>
              <w:keepNext/>
            </w:pPr>
            <w:r w:rsidRPr="00921CB2">
              <w:t>--</w:t>
            </w:r>
          </w:p>
        </w:tc>
        <w:tc>
          <w:tcPr>
            <w:tcW w:w="2268" w:type="dxa"/>
            <w:tcBorders>
              <w:top w:val="single" w:sz="6" w:space="0" w:color="000000"/>
              <w:left w:val="single" w:sz="6" w:space="0" w:color="000000"/>
              <w:bottom w:val="single" w:sz="6" w:space="0" w:color="000000"/>
              <w:right w:val="single" w:sz="6" w:space="0" w:color="000000"/>
            </w:tcBorders>
          </w:tcPr>
          <w:p w:rsidR="007137DF" w:rsidRPr="00921CB2" w:rsidRDefault="007137DF" w:rsidP="006C03FD">
            <w:pPr>
              <w:pStyle w:val="PITableTextListText"/>
              <w:keepNext/>
            </w:pPr>
            <w:r w:rsidRPr="00921CB2">
              <w:t>-0.6 (-0.9, -0.4)*</w:t>
            </w:r>
          </w:p>
        </w:tc>
        <w:tc>
          <w:tcPr>
            <w:tcW w:w="1374" w:type="dxa"/>
            <w:tcBorders>
              <w:top w:val="single" w:sz="6" w:space="0" w:color="000000"/>
              <w:left w:val="single" w:sz="6" w:space="0" w:color="000000"/>
              <w:bottom w:val="single" w:sz="6" w:space="0" w:color="000000"/>
              <w:right w:val="single" w:sz="4" w:space="0" w:color="000000"/>
            </w:tcBorders>
          </w:tcPr>
          <w:p w:rsidR="007137DF" w:rsidRPr="00921CB2" w:rsidRDefault="007137DF" w:rsidP="006C03FD">
            <w:pPr>
              <w:pStyle w:val="PITableTextListText"/>
              <w:keepNext/>
            </w:pPr>
            <w:r w:rsidRPr="00921CB2">
              <w:t>--</w:t>
            </w:r>
          </w:p>
        </w:tc>
      </w:tr>
      <w:tr w:rsidR="007137DF" w:rsidRPr="007137DF" w:rsidTr="00217D6A">
        <w:trPr>
          <w:trHeight w:hRule="exact" w:val="932"/>
        </w:trPr>
        <w:tc>
          <w:tcPr>
            <w:tcW w:w="9454" w:type="dxa"/>
            <w:gridSpan w:val="5"/>
            <w:tcBorders>
              <w:top w:val="single" w:sz="6" w:space="0" w:color="000000"/>
              <w:left w:val="single" w:sz="4" w:space="0" w:color="000000"/>
              <w:bottom w:val="single" w:sz="4" w:space="0" w:color="000000"/>
              <w:right w:val="single" w:sz="4" w:space="0" w:color="000000"/>
            </w:tcBorders>
          </w:tcPr>
          <w:p w:rsidR="007137DF" w:rsidRPr="007137DF" w:rsidRDefault="007137DF" w:rsidP="006C03FD">
            <w:pPr>
              <w:pStyle w:val="CLDTableFootnote"/>
              <w:keepNext/>
              <w:spacing w:before="0"/>
            </w:pPr>
            <w:r w:rsidRPr="007137DF">
              <w:t>*p&lt;0.001</w:t>
            </w:r>
          </w:p>
          <w:p w:rsidR="007137DF" w:rsidRPr="007137DF" w:rsidRDefault="007137DF" w:rsidP="006C03FD">
            <w:pPr>
              <w:pStyle w:val="CLDTableFootnote"/>
              <w:keepNext/>
              <w:spacing w:before="0"/>
            </w:pPr>
            <w:r w:rsidRPr="007137DF">
              <w:rPr>
                <w:position w:val="7"/>
              </w:rPr>
              <w:t>1</w:t>
            </w:r>
            <w:r w:rsidRPr="007137DF">
              <w:rPr>
                <w:spacing w:val="1"/>
                <w:position w:val="7"/>
              </w:rPr>
              <w:t xml:space="preserve"> </w:t>
            </w:r>
            <w:r w:rsidRPr="007137DF">
              <w:t>Change from baseline</w:t>
            </w:r>
            <w:r w:rsidRPr="007137DF">
              <w:rPr>
                <w:spacing w:val="-3"/>
              </w:rPr>
              <w:t xml:space="preserve"> </w:t>
            </w:r>
            <w:r w:rsidRPr="007137DF">
              <w:t>using ANCOVA</w:t>
            </w:r>
            <w:r w:rsidRPr="007137DF">
              <w:rPr>
                <w:spacing w:val="-2"/>
              </w:rPr>
              <w:t xml:space="preserve"> </w:t>
            </w:r>
            <w:r w:rsidRPr="007137DF">
              <w:t>model</w:t>
            </w:r>
          </w:p>
          <w:p w:rsidR="007137DF" w:rsidRPr="007137DF" w:rsidRDefault="007137DF" w:rsidP="006C03FD">
            <w:pPr>
              <w:pStyle w:val="CLDTableFootnote"/>
              <w:keepNext/>
              <w:spacing w:before="0"/>
            </w:pPr>
            <w:r w:rsidRPr="007137DF">
              <w:rPr>
                <w:position w:val="7"/>
              </w:rPr>
              <w:t>2</w:t>
            </w:r>
            <w:r w:rsidRPr="007137DF">
              <w:rPr>
                <w:spacing w:val="15"/>
                <w:position w:val="7"/>
              </w:rPr>
              <w:t xml:space="preserve"> </w:t>
            </w:r>
            <w:r w:rsidRPr="007137DF">
              <w:t>Based on raw data analysis using ANCOVA model: Difference= Treatment + Baseline + Site</w:t>
            </w:r>
          </w:p>
        </w:tc>
      </w:tr>
    </w:tbl>
    <w:p w:rsidR="00CC1A5F" w:rsidRPr="00387429" w:rsidRDefault="00CC1A5F" w:rsidP="009235F1">
      <w:pPr>
        <w:pStyle w:val="PIHeading2"/>
      </w:pPr>
      <w:r w:rsidRPr="00387429">
        <w:t xml:space="preserve">Effects on the </w:t>
      </w:r>
      <w:r>
        <w:t>E</w:t>
      </w:r>
      <w:r w:rsidRPr="00387429">
        <w:t>ndometrium</w:t>
      </w:r>
    </w:p>
    <w:p w:rsidR="00CC1A5F" w:rsidRDefault="00CC1A5F" w:rsidP="00474816">
      <w:pPr>
        <w:pStyle w:val="PINormal"/>
      </w:pPr>
      <w:r w:rsidRPr="00387429">
        <w:t>Effects of CE/</w:t>
      </w:r>
      <w:proofErr w:type="spellStart"/>
      <w:r w:rsidRPr="00387429">
        <w:t>bazedoxifene</w:t>
      </w:r>
      <w:proofErr w:type="spellEnd"/>
      <w:r w:rsidRPr="00387429">
        <w:t xml:space="preserve"> on endometrial hyperplasia and endometrial malignancy were assessed in SMART 1</w:t>
      </w:r>
      <w:r w:rsidR="00217D6A">
        <w:t xml:space="preserve">, </w:t>
      </w:r>
      <w:r w:rsidR="00C82E2C">
        <w:rPr>
          <w:rFonts w:eastAsia="TimesNewRoman"/>
          <w:lang w:val="en-US"/>
        </w:rPr>
        <w:t xml:space="preserve">a 24-month, double-blind, </w:t>
      </w:r>
      <w:proofErr w:type="spellStart"/>
      <w:r w:rsidR="00C82E2C">
        <w:rPr>
          <w:rFonts w:eastAsia="TimesNewRoman"/>
          <w:lang w:val="en-US"/>
        </w:rPr>
        <w:t>randomised</w:t>
      </w:r>
      <w:proofErr w:type="spellEnd"/>
      <w:r w:rsidR="00C82E2C">
        <w:rPr>
          <w:rFonts w:eastAsia="TimesNewRoman"/>
          <w:lang w:val="en-US"/>
        </w:rPr>
        <w:t xml:space="preserve">, placebo- and active-controlled </w:t>
      </w:r>
      <w:r w:rsidR="00217D6A">
        <w:rPr>
          <w:rFonts w:eastAsia="TimesNewRoman"/>
          <w:lang w:val="en-US"/>
        </w:rPr>
        <w:t xml:space="preserve">trial and </w:t>
      </w:r>
      <w:r w:rsidR="00C82E2C" w:rsidRPr="00C04AF6">
        <w:t>SMART 5</w:t>
      </w:r>
      <w:r w:rsidR="00217D6A">
        <w:t xml:space="preserve">, </w:t>
      </w:r>
      <w:r w:rsidR="00C82E2C" w:rsidRPr="00C04AF6">
        <w:t>a 12-month, double-blind, randomi</w:t>
      </w:r>
      <w:r w:rsidR="00C82E2C">
        <w:t>s</w:t>
      </w:r>
      <w:r w:rsidR="00C82E2C" w:rsidRPr="00C04AF6">
        <w:t>ed, place</w:t>
      </w:r>
      <w:r w:rsidR="00C82E2C">
        <w:t>bo- and active-controlled trial.</w:t>
      </w:r>
      <w:r w:rsidR="00156EC8">
        <w:t xml:space="preserve"> </w:t>
      </w:r>
      <w:r w:rsidR="00913066">
        <w:rPr>
          <w:rFonts w:eastAsia="TimesNewRoman"/>
          <w:lang w:val="en-US"/>
        </w:rPr>
        <w:t>The Efficacy Evaluable population included patients who had taken at least one dose of CE/Bazedoxifene, had baseline and post baseline endometrial biopsies, or had been diagnosed with hyperplasia.</w:t>
      </w:r>
      <w:r w:rsidR="00156EC8">
        <w:rPr>
          <w:rFonts w:eastAsia="TimesNewRoman"/>
          <w:lang w:val="en-US"/>
        </w:rPr>
        <w:t xml:space="preserve"> </w:t>
      </w:r>
      <w:r w:rsidRPr="00387429">
        <w:t xml:space="preserve">The incidence of endometrial hyperplasia for CE/bazedoxifene was below 1% in both trials (see </w:t>
      </w:r>
      <w:r w:rsidR="003F7D80">
        <w:t xml:space="preserve">Table </w:t>
      </w:r>
      <w:r w:rsidR="00DD3473">
        <w:t>3</w:t>
      </w:r>
      <w:r w:rsidRPr="00387429">
        <w:t>).</w:t>
      </w:r>
    </w:p>
    <w:p w:rsidR="00851E56" w:rsidRDefault="00851E56" w:rsidP="00851E56">
      <w:pPr>
        <w:pStyle w:val="Caption"/>
        <w:keepNext/>
      </w:pPr>
      <w:r>
        <w:t xml:space="preserve">Table </w:t>
      </w:r>
      <w:r>
        <w:fldChar w:fldCharType="begin"/>
      </w:r>
      <w:r>
        <w:instrText xml:space="preserve"> SEQ Table \* ARABIC </w:instrText>
      </w:r>
      <w:r>
        <w:fldChar w:fldCharType="separate"/>
      </w:r>
      <w:r>
        <w:rPr>
          <w:noProof/>
        </w:rPr>
        <w:t>3</w:t>
      </w:r>
      <w:r>
        <w:fldChar w:fldCharType="end"/>
      </w:r>
      <w:r>
        <w:t xml:space="preserve">: </w:t>
      </w:r>
      <w:r w:rsidRPr="00867B15">
        <w:t>Incidence of Endometrial Hyperplasia at Month 12 and Month 24</w:t>
      </w:r>
    </w:p>
    <w:tbl>
      <w:tblPr>
        <w:tblW w:w="8825" w:type="dxa"/>
        <w:tblInd w:w="111" w:type="dxa"/>
        <w:tblLayout w:type="fixed"/>
        <w:tblCellMar>
          <w:left w:w="0" w:type="dxa"/>
          <w:right w:w="0" w:type="dxa"/>
        </w:tblCellMar>
        <w:tblLook w:val="0000" w:firstRow="0" w:lastRow="0" w:firstColumn="0" w:lastColumn="0" w:noHBand="0" w:noVBand="0"/>
        <w:tblDescription w:val="Table 3: Incidence of Endometrial Hyperplasia at Month 12 and Month 24"/>
      </w:tblPr>
      <w:tblGrid>
        <w:gridCol w:w="2230"/>
        <w:gridCol w:w="909"/>
        <w:gridCol w:w="1575"/>
        <w:gridCol w:w="1281"/>
        <w:gridCol w:w="1554"/>
        <w:gridCol w:w="1276"/>
      </w:tblGrid>
      <w:tr w:rsidR="00913066" w:rsidRPr="00913066" w:rsidTr="00FB7E1D">
        <w:trPr>
          <w:trHeight w:hRule="exact" w:val="448"/>
        </w:trPr>
        <w:tc>
          <w:tcPr>
            <w:tcW w:w="2230" w:type="dxa"/>
            <w:tcBorders>
              <w:top w:val="single" w:sz="4" w:space="0" w:color="000000"/>
              <w:left w:val="single" w:sz="4" w:space="0" w:color="000000"/>
              <w:bottom w:val="single" w:sz="4" w:space="0" w:color="000000"/>
              <w:right w:val="single" w:sz="4" w:space="0" w:color="000000"/>
            </w:tcBorders>
          </w:tcPr>
          <w:p w:rsidR="00913066" w:rsidRPr="00A71EB0" w:rsidRDefault="00913066" w:rsidP="00A71EB0">
            <w:pPr>
              <w:pStyle w:val="CLDTableTitle"/>
              <w:spacing w:before="20"/>
              <w:rPr>
                <w:sz w:val="22"/>
                <w:szCs w:val="22"/>
              </w:rPr>
            </w:pPr>
          </w:p>
        </w:tc>
        <w:tc>
          <w:tcPr>
            <w:tcW w:w="909" w:type="dxa"/>
            <w:tcBorders>
              <w:top w:val="single" w:sz="4" w:space="0" w:color="000000"/>
              <w:left w:val="single" w:sz="4" w:space="0" w:color="000000"/>
              <w:bottom w:val="single" w:sz="4" w:space="0" w:color="000000"/>
              <w:right w:val="single" w:sz="4" w:space="0" w:color="000000"/>
            </w:tcBorders>
          </w:tcPr>
          <w:p w:rsidR="00913066" w:rsidRPr="00A71EB0" w:rsidRDefault="00913066" w:rsidP="00A71EB0">
            <w:pPr>
              <w:pStyle w:val="CLDTableTitle"/>
              <w:spacing w:before="20"/>
              <w:rPr>
                <w:sz w:val="22"/>
                <w:szCs w:val="22"/>
              </w:rPr>
            </w:pPr>
          </w:p>
        </w:tc>
        <w:tc>
          <w:tcPr>
            <w:tcW w:w="2856" w:type="dxa"/>
            <w:gridSpan w:val="2"/>
            <w:tcBorders>
              <w:top w:val="single" w:sz="4" w:space="0" w:color="000000"/>
              <w:left w:val="single" w:sz="4" w:space="0" w:color="000000"/>
              <w:bottom w:val="single" w:sz="4" w:space="0" w:color="000000"/>
              <w:right w:val="single" w:sz="4" w:space="0" w:color="000000"/>
            </w:tcBorders>
          </w:tcPr>
          <w:p w:rsidR="00913066" w:rsidRPr="00A71EB0" w:rsidRDefault="00474816" w:rsidP="00A71EB0">
            <w:pPr>
              <w:pStyle w:val="CLDTableTitle"/>
              <w:spacing w:before="20"/>
              <w:rPr>
                <w:sz w:val="22"/>
                <w:szCs w:val="22"/>
              </w:rPr>
            </w:pPr>
            <w:r w:rsidRPr="00A71EB0">
              <w:rPr>
                <w:bCs/>
                <w:spacing w:val="-1"/>
                <w:sz w:val="22"/>
                <w:szCs w:val="22"/>
              </w:rPr>
              <w:t>SMART</w:t>
            </w:r>
            <w:r w:rsidR="00913066" w:rsidRPr="00A71EB0">
              <w:rPr>
                <w:bCs/>
                <w:spacing w:val="-1"/>
                <w:sz w:val="22"/>
                <w:szCs w:val="22"/>
              </w:rPr>
              <w:t xml:space="preserve"> </w:t>
            </w:r>
            <w:r w:rsidR="00913066" w:rsidRPr="00A71EB0">
              <w:rPr>
                <w:bCs/>
                <w:sz w:val="22"/>
                <w:szCs w:val="22"/>
              </w:rPr>
              <w:t>1*</w:t>
            </w:r>
          </w:p>
        </w:tc>
        <w:tc>
          <w:tcPr>
            <w:tcW w:w="2830" w:type="dxa"/>
            <w:gridSpan w:val="2"/>
            <w:tcBorders>
              <w:top w:val="single" w:sz="4" w:space="0" w:color="000000"/>
              <w:left w:val="single" w:sz="4" w:space="0" w:color="000000"/>
              <w:bottom w:val="single" w:sz="4" w:space="0" w:color="000000"/>
              <w:right w:val="single" w:sz="4" w:space="0" w:color="000000"/>
            </w:tcBorders>
          </w:tcPr>
          <w:p w:rsidR="00913066" w:rsidRPr="00A71EB0" w:rsidRDefault="00474816" w:rsidP="00A71EB0">
            <w:pPr>
              <w:pStyle w:val="CLDTableTitle"/>
              <w:spacing w:before="20"/>
              <w:rPr>
                <w:sz w:val="22"/>
                <w:szCs w:val="22"/>
              </w:rPr>
            </w:pPr>
            <w:r w:rsidRPr="00A71EB0">
              <w:rPr>
                <w:bCs/>
                <w:spacing w:val="-1"/>
                <w:sz w:val="22"/>
                <w:szCs w:val="22"/>
              </w:rPr>
              <w:t>SMART 5</w:t>
            </w:r>
            <w:r w:rsidR="00913066" w:rsidRPr="00A71EB0">
              <w:rPr>
                <w:bCs/>
                <w:sz w:val="22"/>
                <w:szCs w:val="22"/>
              </w:rPr>
              <w:t>*</w:t>
            </w:r>
          </w:p>
        </w:tc>
      </w:tr>
      <w:tr w:rsidR="00913066" w:rsidRPr="00851E56" w:rsidTr="00A71EB0">
        <w:trPr>
          <w:trHeight w:hRule="exact" w:val="592"/>
        </w:trPr>
        <w:tc>
          <w:tcPr>
            <w:tcW w:w="2230" w:type="dxa"/>
            <w:tcBorders>
              <w:top w:val="single" w:sz="4" w:space="0" w:color="000000"/>
              <w:left w:val="single" w:sz="4" w:space="0" w:color="000000"/>
              <w:bottom w:val="single" w:sz="4" w:space="0" w:color="000000"/>
              <w:right w:val="single" w:sz="4" w:space="0" w:color="000000"/>
            </w:tcBorders>
          </w:tcPr>
          <w:p w:rsidR="00913066" w:rsidRPr="00A71EB0" w:rsidRDefault="00913066" w:rsidP="00A71EB0">
            <w:pPr>
              <w:pStyle w:val="CLDTableTitle"/>
              <w:spacing w:before="20"/>
              <w:rPr>
                <w:sz w:val="22"/>
                <w:szCs w:val="22"/>
              </w:rPr>
            </w:pPr>
            <w:r w:rsidRPr="00A71EB0">
              <w:rPr>
                <w:sz w:val="22"/>
                <w:szCs w:val="22"/>
              </w:rPr>
              <w:t>Treatment Group</w:t>
            </w:r>
          </w:p>
        </w:tc>
        <w:tc>
          <w:tcPr>
            <w:tcW w:w="909" w:type="dxa"/>
            <w:tcBorders>
              <w:top w:val="single" w:sz="4" w:space="0" w:color="000000"/>
              <w:left w:val="single" w:sz="4" w:space="0" w:color="000000"/>
              <w:bottom w:val="single" w:sz="4" w:space="0" w:color="000000"/>
              <w:right w:val="single" w:sz="4" w:space="0" w:color="000000"/>
            </w:tcBorders>
          </w:tcPr>
          <w:p w:rsidR="00913066" w:rsidRPr="00A71EB0" w:rsidRDefault="00913066" w:rsidP="00A71EB0">
            <w:pPr>
              <w:pStyle w:val="CLDTableTitle"/>
              <w:spacing w:before="20"/>
              <w:rPr>
                <w:sz w:val="22"/>
                <w:szCs w:val="22"/>
              </w:rPr>
            </w:pPr>
            <w:r w:rsidRPr="00A71EB0">
              <w:rPr>
                <w:sz w:val="22"/>
                <w:szCs w:val="22"/>
              </w:rPr>
              <w:t>Month</w:t>
            </w:r>
          </w:p>
        </w:tc>
        <w:tc>
          <w:tcPr>
            <w:tcW w:w="1575" w:type="dxa"/>
            <w:tcBorders>
              <w:top w:val="single" w:sz="4" w:space="0" w:color="000000"/>
              <w:left w:val="single" w:sz="4" w:space="0" w:color="000000"/>
              <w:bottom w:val="single" w:sz="4" w:space="0" w:color="000000"/>
              <w:right w:val="single" w:sz="4" w:space="0" w:color="000000"/>
            </w:tcBorders>
          </w:tcPr>
          <w:p w:rsidR="00913066" w:rsidRPr="00A71EB0" w:rsidRDefault="00913066" w:rsidP="00A71EB0">
            <w:pPr>
              <w:pStyle w:val="CLDTableTitle"/>
              <w:spacing w:before="20"/>
              <w:rPr>
                <w:sz w:val="22"/>
                <w:szCs w:val="22"/>
              </w:rPr>
            </w:pPr>
            <w:r w:rsidRPr="00A71EB0">
              <w:rPr>
                <w:sz w:val="22"/>
                <w:szCs w:val="22"/>
              </w:rPr>
              <w:t>% (n/N)</w:t>
            </w:r>
          </w:p>
        </w:tc>
        <w:tc>
          <w:tcPr>
            <w:tcW w:w="1281" w:type="dxa"/>
            <w:tcBorders>
              <w:top w:val="single" w:sz="4" w:space="0" w:color="000000"/>
              <w:left w:val="single" w:sz="4" w:space="0" w:color="000000"/>
              <w:bottom w:val="single" w:sz="4" w:space="0" w:color="000000"/>
              <w:right w:val="single" w:sz="4" w:space="0" w:color="000000"/>
            </w:tcBorders>
          </w:tcPr>
          <w:p w:rsidR="00913066" w:rsidRPr="00A71EB0" w:rsidRDefault="00913066" w:rsidP="00A71EB0">
            <w:pPr>
              <w:pStyle w:val="CLDTableTitle"/>
              <w:spacing w:before="20"/>
              <w:rPr>
                <w:sz w:val="22"/>
                <w:szCs w:val="22"/>
              </w:rPr>
            </w:pPr>
            <w:r w:rsidRPr="00A71EB0">
              <w:rPr>
                <w:sz w:val="22"/>
                <w:szCs w:val="22"/>
              </w:rPr>
              <w:t>1 – Sided</w:t>
            </w:r>
            <w:r w:rsidR="00217D6A" w:rsidRPr="00A71EB0">
              <w:rPr>
                <w:sz w:val="22"/>
                <w:szCs w:val="22"/>
              </w:rPr>
              <w:t xml:space="preserve"> </w:t>
            </w:r>
            <w:r w:rsidRPr="00A71EB0">
              <w:rPr>
                <w:sz w:val="22"/>
                <w:szCs w:val="22"/>
              </w:rPr>
              <w:t>95% UL</w:t>
            </w:r>
          </w:p>
        </w:tc>
        <w:tc>
          <w:tcPr>
            <w:tcW w:w="1554" w:type="dxa"/>
            <w:tcBorders>
              <w:top w:val="single" w:sz="4" w:space="0" w:color="000000"/>
              <w:left w:val="single" w:sz="4" w:space="0" w:color="000000"/>
              <w:bottom w:val="single" w:sz="4" w:space="0" w:color="000000"/>
              <w:right w:val="single" w:sz="4" w:space="0" w:color="000000"/>
            </w:tcBorders>
          </w:tcPr>
          <w:p w:rsidR="00913066" w:rsidRPr="00A71EB0" w:rsidRDefault="00913066" w:rsidP="00A71EB0">
            <w:pPr>
              <w:pStyle w:val="CLDTableTitle"/>
              <w:spacing w:before="20"/>
              <w:rPr>
                <w:sz w:val="22"/>
                <w:szCs w:val="22"/>
              </w:rPr>
            </w:pPr>
            <w:r w:rsidRPr="00A71EB0">
              <w:rPr>
                <w:sz w:val="22"/>
                <w:szCs w:val="22"/>
              </w:rPr>
              <w:t>% (n/N)</w:t>
            </w:r>
          </w:p>
        </w:tc>
        <w:tc>
          <w:tcPr>
            <w:tcW w:w="1276" w:type="dxa"/>
            <w:tcBorders>
              <w:top w:val="single" w:sz="4" w:space="0" w:color="000000"/>
              <w:left w:val="single" w:sz="4" w:space="0" w:color="000000"/>
              <w:bottom w:val="single" w:sz="4" w:space="0" w:color="000000"/>
              <w:right w:val="single" w:sz="4" w:space="0" w:color="000000"/>
            </w:tcBorders>
          </w:tcPr>
          <w:p w:rsidR="00913066" w:rsidRPr="00A71EB0" w:rsidRDefault="00913066" w:rsidP="00A71EB0">
            <w:pPr>
              <w:pStyle w:val="CLDTableTitle"/>
              <w:spacing w:before="20"/>
              <w:rPr>
                <w:sz w:val="22"/>
                <w:szCs w:val="22"/>
              </w:rPr>
            </w:pPr>
            <w:r w:rsidRPr="00A71EB0">
              <w:rPr>
                <w:sz w:val="22"/>
                <w:szCs w:val="22"/>
              </w:rPr>
              <w:t>1 – Sided</w:t>
            </w:r>
            <w:r w:rsidR="00217D6A" w:rsidRPr="00A71EB0">
              <w:rPr>
                <w:sz w:val="22"/>
                <w:szCs w:val="22"/>
              </w:rPr>
              <w:t xml:space="preserve"> </w:t>
            </w:r>
            <w:r w:rsidRPr="00A71EB0">
              <w:rPr>
                <w:sz w:val="22"/>
                <w:szCs w:val="22"/>
              </w:rPr>
              <w:t>95% UL</w:t>
            </w:r>
          </w:p>
        </w:tc>
      </w:tr>
      <w:tr w:rsidR="00913066" w:rsidRPr="00A71EB0" w:rsidTr="00B54F8B">
        <w:trPr>
          <w:trHeight w:hRule="exact" w:val="297"/>
        </w:trPr>
        <w:tc>
          <w:tcPr>
            <w:tcW w:w="2230" w:type="dxa"/>
            <w:vMerge w:val="restart"/>
            <w:tcBorders>
              <w:top w:val="single" w:sz="4" w:space="0" w:color="000000"/>
              <w:left w:val="single" w:sz="4" w:space="0" w:color="000000"/>
              <w:bottom w:val="single" w:sz="4" w:space="0" w:color="000000"/>
              <w:right w:val="single" w:sz="4" w:space="0" w:color="000000"/>
            </w:tcBorders>
          </w:tcPr>
          <w:p w:rsidR="00913066" w:rsidRPr="00A71EB0" w:rsidRDefault="00913066" w:rsidP="00913066">
            <w:pPr>
              <w:kinsoku w:val="0"/>
              <w:overflowPunct w:val="0"/>
              <w:autoSpaceDE w:val="0"/>
              <w:autoSpaceDN w:val="0"/>
              <w:adjustRightInd w:val="0"/>
              <w:spacing w:before="2" w:after="0" w:line="150" w:lineRule="exact"/>
              <w:rPr>
                <w:sz w:val="22"/>
                <w:szCs w:val="22"/>
                <w:lang w:val="en-US"/>
              </w:rPr>
            </w:pPr>
          </w:p>
          <w:p w:rsidR="00913066" w:rsidRPr="00A71EB0" w:rsidRDefault="00474816" w:rsidP="00474816">
            <w:pPr>
              <w:kinsoku w:val="0"/>
              <w:overflowPunct w:val="0"/>
              <w:autoSpaceDE w:val="0"/>
              <w:autoSpaceDN w:val="0"/>
              <w:adjustRightInd w:val="0"/>
              <w:spacing w:after="0"/>
              <w:ind w:left="644" w:hanging="644"/>
              <w:rPr>
                <w:sz w:val="22"/>
                <w:szCs w:val="22"/>
                <w:lang w:val="en-US"/>
              </w:rPr>
            </w:pPr>
            <w:r w:rsidRPr="00A71EB0">
              <w:rPr>
                <w:sz w:val="22"/>
                <w:szCs w:val="22"/>
              </w:rPr>
              <w:t>CE 0.45 mg/BZA 20 m</w:t>
            </w:r>
          </w:p>
        </w:tc>
        <w:tc>
          <w:tcPr>
            <w:tcW w:w="909" w:type="dxa"/>
            <w:tcBorders>
              <w:top w:val="single" w:sz="4" w:space="0" w:color="000000"/>
              <w:left w:val="single" w:sz="4" w:space="0" w:color="000000"/>
              <w:bottom w:val="single" w:sz="4" w:space="0" w:color="000000"/>
              <w:right w:val="single" w:sz="4" w:space="0" w:color="000000"/>
            </w:tcBorders>
          </w:tcPr>
          <w:p w:rsidR="00913066" w:rsidRPr="00A71EB0" w:rsidRDefault="00913066" w:rsidP="00851E56">
            <w:pPr>
              <w:pStyle w:val="CLDTableTextListText"/>
              <w:rPr>
                <w:sz w:val="22"/>
                <w:szCs w:val="22"/>
              </w:rPr>
            </w:pPr>
            <w:r w:rsidRPr="00A71EB0">
              <w:rPr>
                <w:sz w:val="22"/>
                <w:szCs w:val="22"/>
              </w:rPr>
              <w:t>12</w:t>
            </w:r>
          </w:p>
        </w:tc>
        <w:tc>
          <w:tcPr>
            <w:tcW w:w="1575" w:type="dxa"/>
            <w:tcBorders>
              <w:top w:val="single" w:sz="4" w:space="0" w:color="000000"/>
              <w:left w:val="single" w:sz="4" w:space="0" w:color="000000"/>
              <w:bottom w:val="single" w:sz="4" w:space="0" w:color="000000"/>
              <w:right w:val="single" w:sz="4" w:space="0" w:color="000000"/>
            </w:tcBorders>
          </w:tcPr>
          <w:p w:rsidR="00913066" w:rsidRPr="00A71EB0" w:rsidRDefault="00913066" w:rsidP="00851E56">
            <w:pPr>
              <w:pStyle w:val="CLDTableTextListText"/>
              <w:rPr>
                <w:sz w:val="22"/>
                <w:szCs w:val="22"/>
              </w:rPr>
            </w:pPr>
            <w:r w:rsidRPr="00A71EB0">
              <w:rPr>
                <w:spacing w:val="-1"/>
                <w:sz w:val="22"/>
                <w:szCs w:val="22"/>
              </w:rPr>
              <w:t>0.00% (0/336)</w:t>
            </w:r>
          </w:p>
        </w:tc>
        <w:tc>
          <w:tcPr>
            <w:tcW w:w="1281" w:type="dxa"/>
            <w:tcBorders>
              <w:top w:val="single" w:sz="4" w:space="0" w:color="000000"/>
              <w:left w:val="single" w:sz="4" w:space="0" w:color="000000"/>
              <w:bottom w:val="single" w:sz="4" w:space="0" w:color="000000"/>
              <w:right w:val="single" w:sz="4" w:space="0" w:color="000000"/>
            </w:tcBorders>
          </w:tcPr>
          <w:p w:rsidR="00913066" w:rsidRPr="00A71EB0" w:rsidRDefault="00913066" w:rsidP="00851E56">
            <w:pPr>
              <w:pStyle w:val="CLDTableTextListText"/>
              <w:rPr>
                <w:sz w:val="22"/>
                <w:szCs w:val="22"/>
              </w:rPr>
            </w:pPr>
            <w:r w:rsidRPr="00A71EB0">
              <w:rPr>
                <w:sz w:val="22"/>
                <w:szCs w:val="22"/>
              </w:rPr>
              <w:t>0.89</w:t>
            </w:r>
          </w:p>
        </w:tc>
        <w:tc>
          <w:tcPr>
            <w:tcW w:w="1554" w:type="dxa"/>
            <w:tcBorders>
              <w:top w:val="single" w:sz="4" w:space="0" w:color="000000"/>
              <w:left w:val="single" w:sz="4" w:space="0" w:color="000000"/>
              <w:bottom w:val="single" w:sz="4" w:space="0" w:color="000000"/>
              <w:right w:val="single" w:sz="4" w:space="0" w:color="000000"/>
            </w:tcBorders>
          </w:tcPr>
          <w:p w:rsidR="00913066" w:rsidRPr="00A71EB0" w:rsidRDefault="00913066" w:rsidP="00851E56">
            <w:pPr>
              <w:pStyle w:val="CLDTableTextListText"/>
              <w:rPr>
                <w:sz w:val="22"/>
                <w:szCs w:val="22"/>
              </w:rPr>
            </w:pPr>
            <w:r w:rsidRPr="00A71EB0">
              <w:rPr>
                <w:sz w:val="22"/>
                <w:szCs w:val="22"/>
              </w:rPr>
              <w:t>0.30%</w:t>
            </w:r>
            <w:r w:rsidRPr="00A71EB0">
              <w:rPr>
                <w:spacing w:val="-2"/>
                <w:sz w:val="22"/>
                <w:szCs w:val="22"/>
              </w:rPr>
              <w:t xml:space="preserve"> </w:t>
            </w:r>
            <w:r w:rsidRPr="00A71EB0">
              <w:rPr>
                <w:spacing w:val="-1"/>
                <w:sz w:val="22"/>
                <w:szCs w:val="22"/>
              </w:rPr>
              <w:t>(1/335)</w:t>
            </w:r>
          </w:p>
        </w:tc>
        <w:tc>
          <w:tcPr>
            <w:tcW w:w="1276" w:type="dxa"/>
            <w:tcBorders>
              <w:top w:val="single" w:sz="4" w:space="0" w:color="000000"/>
              <w:left w:val="single" w:sz="4" w:space="0" w:color="000000"/>
              <w:bottom w:val="single" w:sz="4" w:space="0" w:color="000000"/>
              <w:right w:val="single" w:sz="4" w:space="0" w:color="000000"/>
            </w:tcBorders>
          </w:tcPr>
          <w:p w:rsidR="00913066" w:rsidRPr="00A71EB0" w:rsidRDefault="00913066" w:rsidP="00851E56">
            <w:pPr>
              <w:pStyle w:val="CLDTableTextListText"/>
              <w:rPr>
                <w:sz w:val="22"/>
                <w:szCs w:val="22"/>
              </w:rPr>
            </w:pPr>
            <w:r w:rsidRPr="00A71EB0">
              <w:rPr>
                <w:sz w:val="22"/>
                <w:szCs w:val="22"/>
              </w:rPr>
              <w:t>1.41</w:t>
            </w:r>
          </w:p>
        </w:tc>
      </w:tr>
      <w:tr w:rsidR="00913066" w:rsidRPr="00A71EB0" w:rsidTr="00B54F8B">
        <w:trPr>
          <w:trHeight w:hRule="exact" w:val="388"/>
        </w:trPr>
        <w:tc>
          <w:tcPr>
            <w:tcW w:w="2230" w:type="dxa"/>
            <w:vMerge/>
            <w:tcBorders>
              <w:top w:val="single" w:sz="4" w:space="0" w:color="000000"/>
              <w:left w:val="single" w:sz="4" w:space="0" w:color="000000"/>
              <w:bottom w:val="single" w:sz="4" w:space="0" w:color="000000"/>
              <w:right w:val="single" w:sz="4" w:space="0" w:color="000000"/>
            </w:tcBorders>
          </w:tcPr>
          <w:p w:rsidR="00913066" w:rsidRPr="00A71EB0" w:rsidRDefault="00913066" w:rsidP="00913066">
            <w:pPr>
              <w:kinsoku w:val="0"/>
              <w:overflowPunct w:val="0"/>
              <w:autoSpaceDE w:val="0"/>
              <w:autoSpaceDN w:val="0"/>
              <w:adjustRightInd w:val="0"/>
              <w:spacing w:before="101" w:after="0"/>
              <w:ind w:left="503" w:right="501"/>
              <w:jc w:val="center"/>
              <w:rPr>
                <w:sz w:val="22"/>
                <w:szCs w:val="22"/>
                <w:lang w:val="en-US"/>
              </w:rPr>
            </w:pPr>
          </w:p>
        </w:tc>
        <w:tc>
          <w:tcPr>
            <w:tcW w:w="909" w:type="dxa"/>
            <w:tcBorders>
              <w:top w:val="single" w:sz="4" w:space="0" w:color="000000"/>
              <w:left w:val="single" w:sz="4" w:space="0" w:color="000000"/>
              <w:bottom w:val="single" w:sz="4" w:space="0" w:color="000000"/>
              <w:right w:val="single" w:sz="4" w:space="0" w:color="000000"/>
            </w:tcBorders>
          </w:tcPr>
          <w:p w:rsidR="00913066" w:rsidRPr="00A71EB0" w:rsidRDefault="00913066" w:rsidP="00851E56">
            <w:pPr>
              <w:pStyle w:val="CLDTableTextListText"/>
              <w:rPr>
                <w:sz w:val="22"/>
                <w:szCs w:val="22"/>
              </w:rPr>
            </w:pPr>
            <w:r w:rsidRPr="00A71EB0">
              <w:rPr>
                <w:sz w:val="22"/>
                <w:szCs w:val="22"/>
              </w:rPr>
              <w:t>24</w:t>
            </w:r>
          </w:p>
        </w:tc>
        <w:tc>
          <w:tcPr>
            <w:tcW w:w="1575" w:type="dxa"/>
            <w:tcBorders>
              <w:top w:val="single" w:sz="4" w:space="0" w:color="000000"/>
              <w:left w:val="single" w:sz="4" w:space="0" w:color="000000"/>
              <w:bottom w:val="single" w:sz="4" w:space="0" w:color="000000"/>
              <w:right w:val="single" w:sz="4" w:space="0" w:color="000000"/>
            </w:tcBorders>
          </w:tcPr>
          <w:p w:rsidR="00913066" w:rsidRPr="00A71EB0" w:rsidRDefault="00913066" w:rsidP="00851E56">
            <w:pPr>
              <w:pStyle w:val="CLDTableTextListText"/>
              <w:rPr>
                <w:sz w:val="22"/>
                <w:szCs w:val="22"/>
              </w:rPr>
            </w:pPr>
            <w:r w:rsidRPr="00A71EB0">
              <w:rPr>
                <w:spacing w:val="-1"/>
                <w:sz w:val="22"/>
                <w:szCs w:val="22"/>
              </w:rPr>
              <w:t>0.68%</w:t>
            </w:r>
            <w:r w:rsidRPr="00A71EB0">
              <w:rPr>
                <w:sz w:val="22"/>
                <w:szCs w:val="22"/>
              </w:rPr>
              <w:t xml:space="preserve"> </w:t>
            </w:r>
            <w:r w:rsidRPr="00A71EB0">
              <w:rPr>
                <w:spacing w:val="-1"/>
                <w:sz w:val="22"/>
                <w:szCs w:val="22"/>
              </w:rPr>
              <w:t>(2/294)</w:t>
            </w:r>
          </w:p>
        </w:tc>
        <w:tc>
          <w:tcPr>
            <w:tcW w:w="1281" w:type="dxa"/>
            <w:tcBorders>
              <w:top w:val="single" w:sz="4" w:space="0" w:color="000000"/>
              <w:left w:val="single" w:sz="4" w:space="0" w:color="000000"/>
              <w:bottom w:val="single" w:sz="4" w:space="0" w:color="000000"/>
              <w:right w:val="single" w:sz="4" w:space="0" w:color="000000"/>
            </w:tcBorders>
          </w:tcPr>
          <w:p w:rsidR="00913066" w:rsidRPr="00A71EB0" w:rsidRDefault="00913066" w:rsidP="00851E56">
            <w:pPr>
              <w:pStyle w:val="CLDTableTextListText"/>
              <w:rPr>
                <w:sz w:val="22"/>
                <w:szCs w:val="22"/>
              </w:rPr>
            </w:pPr>
            <w:r w:rsidRPr="00A71EB0">
              <w:rPr>
                <w:sz w:val="22"/>
                <w:szCs w:val="22"/>
              </w:rPr>
              <w:t>2.13</w:t>
            </w:r>
          </w:p>
        </w:tc>
        <w:tc>
          <w:tcPr>
            <w:tcW w:w="1554" w:type="dxa"/>
            <w:tcBorders>
              <w:top w:val="single" w:sz="4" w:space="0" w:color="000000"/>
              <w:left w:val="single" w:sz="4" w:space="0" w:color="000000"/>
              <w:bottom w:val="single" w:sz="4" w:space="0" w:color="000000"/>
              <w:right w:val="single" w:sz="4" w:space="0" w:color="000000"/>
            </w:tcBorders>
          </w:tcPr>
          <w:p w:rsidR="00913066" w:rsidRPr="00A71EB0" w:rsidRDefault="00913066" w:rsidP="00851E56">
            <w:pPr>
              <w:pStyle w:val="CLDTableTextListText"/>
              <w:rPr>
                <w:sz w:val="22"/>
                <w:szCs w:val="22"/>
              </w:rPr>
            </w:pPr>
            <w:r w:rsidRPr="00A71EB0">
              <w:rPr>
                <w:spacing w:val="-2"/>
                <w:sz w:val="22"/>
                <w:szCs w:val="22"/>
              </w:rPr>
              <w:t>--</w:t>
            </w:r>
          </w:p>
        </w:tc>
        <w:tc>
          <w:tcPr>
            <w:tcW w:w="1276" w:type="dxa"/>
            <w:tcBorders>
              <w:top w:val="single" w:sz="4" w:space="0" w:color="000000"/>
              <w:left w:val="single" w:sz="4" w:space="0" w:color="000000"/>
              <w:bottom w:val="single" w:sz="4" w:space="0" w:color="000000"/>
              <w:right w:val="single" w:sz="4" w:space="0" w:color="000000"/>
            </w:tcBorders>
          </w:tcPr>
          <w:p w:rsidR="00913066" w:rsidRPr="00A71EB0" w:rsidRDefault="00913066" w:rsidP="00851E56">
            <w:pPr>
              <w:pStyle w:val="CLDTableTextListText"/>
              <w:rPr>
                <w:sz w:val="22"/>
                <w:szCs w:val="22"/>
              </w:rPr>
            </w:pPr>
            <w:r w:rsidRPr="00A71EB0">
              <w:rPr>
                <w:spacing w:val="-2"/>
                <w:sz w:val="22"/>
                <w:szCs w:val="22"/>
              </w:rPr>
              <w:t>--</w:t>
            </w:r>
          </w:p>
        </w:tc>
      </w:tr>
      <w:tr w:rsidR="00913066" w:rsidRPr="00913066" w:rsidTr="00A71EB0">
        <w:trPr>
          <w:trHeight w:hRule="exact" w:val="440"/>
        </w:trPr>
        <w:tc>
          <w:tcPr>
            <w:tcW w:w="8825" w:type="dxa"/>
            <w:gridSpan w:val="6"/>
            <w:tcBorders>
              <w:top w:val="single" w:sz="4" w:space="0" w:color="000000"/>
              <w:left w:val="single" w:sz="4" w:space="0" w:color="000000"/>
              <w:bottom w:val="single" w:sz="4" w:space="0" w:color="000000"/>
              <w:right w:val="single" w:sz="4" w:space="0" w:color="000000"/>
            </w:tcBorders>
          </w:tcPr>
          <w:p w:rsidR="00913066" w:rsidRPr="00913066" w:rsidRDefault="00913066" w:rsidP="00A71EB0">
            <w:pPr>
              <w:pStyle w:val="CLDTableFootnote"/>
              <w:spacing w:before="0"/>
            </w:pPr>
            <w:r w:rsidRPr="00913066">
              <w:t>UL = Upper limit</w:t>
            </w:r>
          </w:p>
          <w:p w:rsidR="00913066" w:rsidRPr="00913066" w:rsidRDefault="00913066" w:rsidP="00A71EB0">
            <w:pPr>
              <w:pStyle w:val="CLDTableFootnote"/>
              <w:spacing w:before="0"/>
            </w:pPr>
            <w:r w:rsidRPr="00913066">
              <w:t>* = Efficacy Evaluable population</w:t>
            </w:r>
          </w:p>
        </w:tc>
      </w:tr>
    </w:tbl>
    <w:p w:rsidR="00CC1A5F" w:rsidRPr="00387429" w:rsidRDefault="00CC1A5F" w:rsidP="00CC1A5F">
      <w:pPr>
        <w:pStyle w:val="PIHeading3"/>
      </w:pPr>
      <w:r w:rsidRPr="00387429">
        <w:t xml:space="preserve">Effects on </w:t>
      </w:r>
      <w:r>
        <w:t>U</w:t>
      </w:r>
      <w:r w:rsidRPr="00387429">
        <w:t xml:space="preserve">terine </w:t>
      </w:r>
      <w:r>
        <w:t>B</w:t>
      </w:r>
      <w:r w:rsidRPr="00387429">
        <w:t xml:space="preserve">leeding or </w:t>
      </w:r>
      <w:r>
        <w:t>S</w:t>
      </w:r>
      <w:r w:rsidRPr="00387429">
        <w:t>potting</w:t>
      </w:r>
    </w:p>
    <w:p w:rsidR="00CC1A5F" w:rsidRDefault="00CC1A5F" w:rsidP="00CC1A5F">
      <w:pPr>
        <w:pStyle w:val="PINormal"/>
        <w:rPr>
          <w:rFonts w:eastAsia="TimesNewRoman"/>
        </w:rPr>
      </w:pPr>
      <w:r w:rsidRPr="00387429">
        <w:t>Cumulative amenorrh</w:t>
      </w:r>
      <w:r>
        <w:t>o</w:t>
      </w:r>
      <w:r w:rsidRPr="00387429">
        <w:t xml:space="preserve">ea (uterine bleeding or spotting) was </w:t>
      </w:r>
      <w:r w:rsidR="009235F1">
        <w:t xml:space="preserve">a key secondary endpoint </w:t>
      </w:r>
      <w:r w:rsidRPr="00387429">
        <w:t>evaluated in two clinical trials (SMART 1 and SMART 5).</w:t>
      </w:r>
      <w:r w:rsidR="00156EC8">
        <w:t xml:space="preserve"> </w:t>
      </w:r>
      <w:r w:rsidRPr="00387429">
        <w:t>In SMART 1, cumulative amenorrh</w:t>
      </w:r>
      <w:r>
        <w:t>o</w:t>
      </w:r>
      <w:r w:rsidRPr="00387429">
        <w:t xml:space="preserve">ea at Year 1 was 83% </w:t>
      </w:r>
      <w:r w:rsidR="00C82E2C">
        <w:t xml:space="preserve">and 85% </w:t>
      </w:r>
      <w:r w:rsidRPr="00387429">
        <w:t>in women treated with CE 0.45</w:t>
      </w:r>
      <w:r>
        <w:t> mg</w:t>
      </w:r>
      <w:r w:rsidRPr="00387429">
        <w:t>/</w:t>
      </w:r>
      <w:proofErr w:type="spellStart"/>
      <w:r w:rsidRPr="00387429">
        <w:t>bazedoxifene</w:t>
      </w:r>
      <w:proofErr w:type="spellEnd"/>
      <w:r w:rsidRPr="00387429">
        <w:t xml:space="preserve"> 20</w:t>
      </w:r>
      <w:r>
        <w:t> mg</w:t>
      </w:r>
      <w:r w:rsidR="00C82E2C">
        <w:t xml:space="preserve"> and</w:t>
      </w:r>
      <w:r>
        <w:rPr>
          <w:color w:val="000000"/>
          <w:szCs w:val="24"/>
        </w:rPr>
        <w:t xml:space="preserve"> </w:t>
      </w:r>
      <w:r w:rsidRPr="00387429">
        <w:rPr>
          <w:color w:val="000000"/>
          <w:szCs w:val="24"/>
        </w:rPr>
        <w:t xml:space="preserve">placebo </w:t>
      </w:r>
      <w:r w:rsidR="00C82E2C">
        <w:rPr>
          <w:color w:val="000000"/>
          <w:szCs w:val="24"/>
        </w:rPr>
        <w:t>respectively</w:t>
      </w:r>
      <w:r w:rsidRPr="00387429">
        <w:t>.</w:t>
      </w:r>
      <w:r w:rsidR="00156EC8">
        <w:t xml:space="preserve"> </w:t>
      </w:r>
      <w:r w:rsidRPr="00387429">
        <w:t>In SMART 5, cumulative amenorrh</w:t>
      </w:r>
      <w:r>
        <w:t>o</w:t>
      </w:r>
      <w:r w:rsidRPr="00387429">
        <w:t xml:space="preserve">ea at Year 1 was 88% </w:t>
      </w:r>
      <w:r w:rsidR="00C82E2C">
        <w:t xml:space="preserve">in women treated </w:t>
      </w:r>
      <w:r w:rsidRPr="00387429">
        <w:t>with CE 0.45</w:t>
      </w:r>
      <w:r>
        <w:t> mg</w:t>
      </w:r>
      <w:r w:rsidRPr="00387429">
        <w:t>/</w:t>
      </w:r>
      <w:proofErr w:type="spellStart"/>
      <w:r w:rsidRPr="00387429">
        <w:t>bazedoxifene</w:t>
      </w:r>
      <w:proofErr w:type="spellEnd"/>
      <w:r w:rsidRPr="00387429">
        <w:t xml:space="preserve"> 20</w:t>
      </w:r>
      <w:r>
        <w:t> mg</w:t>
      </w:r>
      <w:r w:rsidR="00716699">
        <w:t xml:space="preserve">, </w:t>
      </w:r>
      <w:r w:rsidRPr="00387429">
        <w:t xml:space="preserve">82% with </w:t>
      </w:r>
      <w:proofErr w:type="spellStart"/>
      <w:r w:rsidRPr="00387429">
        <w:t>bazedoxifene</w:t>
      </w:r>
      <w:proofErr w:type="spellEnd"/>
      <w:r w:rsidRPr="00387429">
        <w:t xml:space="preserve"> 20</w:t>
      </w:r>
      <w:r>
        <w:t> mg</w:t>
      </w:r>
      <w:r w:rsidR="00C82E2C">
        <w:t xml:space="preserve"> and 84% in women who received </w:t>
      </w:r>
      <w:r w:rsidRPr="00387429">
        <w:rPr>
          <w:rFonts w:eastAsia="TimesNewRoman"/>
        </w:rPr>
        <w:t>placebo.</w:t>
      </w:r>
      <w:r w:rsidR="00156EC8">
        <w:rPr>
          <w:rFonts w:eastAsia="TimesNewRoman"/>
        </w:rPr>
        <w:t xml:space="preserve"> </w:t>
      </w:r>
      <w:r w:rsidR="006C4F43">
        <w:rPr>
          <w:rFonts w:eastAsia="TimesNewRoman"/>
        </w:rPr>
        <w:t xml:space="preserve">For women treated </w:t>
      </w:r>
      <w:r w:rsidRPr="00387429">
        <w:rPr>
          <w:rFonts w:eastAsia="TimesNewRoman"/>
        </w:rPr>
        <w:t>with CE 0.45</w:t>
      </w:r>
      <w:r>
        <w:rPr>
          <w:rFonts w:eastAsia="TimesNewRoman"/>
        </w:rPr>
        <w:t> mg</w:t>
      </w:r>
      <w:r w:rsidRPr="00387429">
        <w:rPr>
          <w:rFonts w:eastAsia="TimesNewRoman"/>
        </w:rPr>
        <w:t>/medroxyprogesterone 1.5</w:t>
      </w:r>
      <w:r>
        <w:rPr>
          <w:rFonts w:eastAsia="TimesNewRoman"/>
        </w:rPr>
        <w:t> mg</w:t>
      </w:r>
      <w:r w:rsidR="00601838">
        <w:rPr>
          <w:rFonts w:eastAsia="TimesNewRoman"/>
        </w:rPr>
        <w:t>,</w:t>
      </w:r>
      <w:r w:rsidRPr="00387429">
        <w:rPr>
          <w:rFonts w:eastAsia="TimesNewRoman"/>
        </w:rPr>
        <w:t xml:space="preserve"> </w:t>
      </w:r>
      <w:r w:rsidR="006C4F43">
        <w:rPr>
          <w:rFonts w:eastAsia="TimesNewRoman"/>
        </w:rPr>
        <w:t xml:space="preserve">the </w:t>
      </w:r>
      <w:r w:rsidRPr="00387429">
        <w:rPr>
          <w:rFonts w:eastAsia="TimesNewRoman"/>
        </w:rPr>
        <w:t>cumulative amenorrh</w:t>
      </w:r>
      <w:r>
        <w:rPr>
          <w:rFonts w:eastAsia="TimesNewRoman"/>
        </w:rPr>
        <w:t>o</w:t>
      </w:r>
      <w:r w:rsidRPr="00387429">
        <w:rPr>
          <w:rFonts w:eastAsia="TimesNewRoman"/>
        </w:rPr>
        <w:t xml:space="preserve">ea </w:t>
      </w:r>
      <w:r w:rsidR="006C4F43">
        <w:rPr>
          <w:rFonts w:eastAsia="TimesNewRoman"/>
        </w:rPr>
        <w:t xml:space="preserve">was </w:t>
      </w:r>
      <w:r w:rsidRPr="00387429">
        <w:rPr>
          <w:rFonts w:eastAsia="TimesNewRoman"/>
        </w:rPr>
        <w:t>54%.</w:t>
      </w:r>
    </w:p>
    <w:p w:rsidR="002158D5" w:rsidRDefault="00CC1A5F" w:rsidP="002C71B8">
      <w:pPr>
        <w:pStyle w:val="PIHeading3"/>
      </w:pPr>
      <w:r w:rsidRPr="00387429">
        <w:lastRenderedPageBreak/>
        <w:t xml:space="preserve">Effects on </w:t>
      </w:r>
      <w:r>
        <w:t>B</w:t>
      </w:r>
      <w:r w:rsidRPr="00387429">
        <w:t>reast</w:t>
      </w:r>
    </w:p>
    <w:p w:rsidR="002158D5" w:rsidRPr="00D70E63" w:rsidRDefault="003E2666" w:rsidP="002C71B8">
      <w:pPr>
        <w:pStyle w:val="PIHeading4"/>
        <w:rPr>
          <w:szCs w:val="24"/>
        </w:rPr>
      </w:pPr>
      <w:bookmarkStart w:id="1" w:name="SMART_3"/>
      <w:bookmarkStart w:id="2" w:name="Breast_Pain"/>
      <w:bookmarkEnd w:id="1"/>
      <w:bookmarkEnd w:id="2"/>
      <w:r w:rsidRPr="00D70E63">
        <w:t>Breast</w:t>
      </w:r>
      <w:r w:rsidRPr="00D70E63">
        <w:rPr>
          <w:spacing w:val="-5"/>
        </w:rPr>
        <w:t xml:space="preserve"> </w:t>
      </w:r>
      <w:r w:rsidRPr="00D70E63">
        <w:t>Pain</w:t>
      </w:r>
    </w:p>
    <w:p w:rsidR="003E2666" w:rsidRDefault="003E2666" w:rsidP="003E2666">
      <w:pPr>
        <w:pStyle w:val="PINormal"/>
      </w:pPr>
      <w:r>
        <w:t>The</w:t>
      </w:r>
      <w:r>
        <w:rPr>
          <w:spacing w:val="8"/>
        </w:rPr>
        <w:t xml:space="preserve"> </w:t>
      </w:r>
      <w:r>
        <w:t>effect</w:t>
      </w:r>
      <w:r>
        <w:rPr>
          <w:spacing w:val="10"/>
        </w:rPr>
        <w:t xml:space="preserve"> </w:t>
      </w:r>
      <w:r>
        <w:rPr>
          <w:spacing w:val="2"/>
        </w:rPr>
        <w:t xml:space="preserve">of </w:t>
      </w:r>
      <w:r>
        <w:t>CE/bazedoxifene</w:t>
      </w:r>
      <w:r>
        <w:rPr>
          <w:spacing w:val="9"/>
        </w:rPr>
        <w:t xml:space="preserve"> </w:t>
      </w:r>
      <w:r>
        <w:t>on</w:t>
      </w:r>
      <w:r>
        <w:rPr>
          <w:spacing w:val="9"/>
        </w:rPr>
        <w:t xml:space="preserve"> </w:t>
      </w:r>
      <w:r>
        <w:t>breast</w:t>
      </w:r>
      <w:r>
        <w:rPr>
          <w:spacing w:val="5"/>
        </w:rPr>
        <w:t xml:space="preserve"> </w:t>
      </w:r>
      <w:r>
        <w:t>pain</w:t>
      </w:r>
      <w:r>
        <w:rPr>
          <w:spacing w:val="14"/>
        </w:rPr>
        <w:t xml:space="preserve"> </w:t>
      </w:r>
      <w:r>
        <w:t>was</w:t>
      </w:r>
      <w:r>
        <w:rPr>
          <w:spacing w:val="7"/>
        </w:rPr>
        <w:t xml:space="preserve"> </w:t>
      </w:r>
      <w:r w:rsidRPr="00F22575">
        <w:t>evaluated</w:t>
      </w:r>
      <w:r w:rsidRPr="00F22575">
        <w:rPr>
          <w:spacing w:val="13"/>
        </w:rPr>
        <w:t xml:space="preserve"> </w:t>
      </w:r>
      <w:r w:rsidR="00F22575">
        <w:rPr>
          <w:spacing w:val="13"/>
        </w:rPr>
        <w:t xml:space="preserve">as a key </w:t>
      </w:r>
      <w:r w:rsidR="00F22575" w:rsidRPr="00F22575">
        <w:t xml:space="preserve">secondary </w:t>
      </w:r>
      <w:r w:rsidR="00F22575">
        <w:t>endpoint</w:t>
      </w:r>
      <w:r w:rsidR="00F22575" w:rsidRPr="00F22575">
        <w:t xml:space="preserve"> </w:t>
      </w:r>
      <w:r w:rsidRPr="00F22575">
        <w:t>in SMART 1, 2 and 5.</w:t>
      </w:r>
      <w:r w:rsidR="00156EC8">
        <w:rPr>
          <w:spacing w:val="16"/>
        </w:rPr>
        <w:t xml:space="preserve"> </w:t>
      </w:r>
      <w:r>
        <w:rPr>
          <w:spacing w:val="-4"/>
        </w:rPr>
        <w:t>In</w:t>
      </w:r>
      <w:r>
        <w:rPr>
          <w:spacing w:val="28"/>
        </w:rPr>
        <w:t xml:space="preserve"> </w:t>
      </w:r>
      <w:r>
        <w:rPr>
          <w:spacing w:val="-2"/>
        </w:rPr>
        <w:t>SMART</w:t>
      </w:r>
      <w:r>
        <w:rPr>
          <w:spacing w:val="25"/>
        </w:rPr>
        <w:t xml:space="preserve"> </w:t>
      </w:r>
      <w:r>
        <w:t>1</w:t>
      </w:r>
      <w:r w:rsidR="00FB7E1D">
        <w:t>,</w:t>
      </w:r>
      <w:r>
        <w:rPr>
          <w:spacing w:val="28"/>
        </w:rPr>
        <w:t xml:space="preserve"> </w:t>
      </w:r>
      <w:r>
        <w:rPr>
          <w:spacing w:val="-2"/>
        </w:rPr>
        <w:t>the</w:t>
      </w:r>
      <w:r>
        <w:rPr>
          <w:spacing w:val="72"/>
          <w:w w:val="99"/>
        </w:rPr>
        <w:t xml:space="preserve"> </w:t>
      </w:r>
      <w:r>
        <w:t>rates</w:t>
      </w:r>
      <w:r>
        <w:rPr>
          <w:spacing w:val="25"/>
        </w:rPr>
        <w:t xml:space="preserve"> </w:t>
      </w:r>
      <w:r>
        <w:rPr>
          <w:spacing w:val="-2"/>
        </w:rPr>
        <w:t>for</w:t>
      </w:r>
      <w:r>
        <w:rPr>
          <w:spacing w:val="20"/>
        </w:rPr>
        <w:t xml:space="preserve"> </w:t>
      </w:r>
      <w:r>
        <w:rPr>
          <w:spacing w:val="1"/>
        </w:rPr>
        <w:t>CE</w:t>
      </w:r>
      <w:r w:rsidR="008D1DDF">
        <w:t> </w:t>
      </w:r>
      <w:r>
        <w:t>0.45 mg/</w:t>
      </w:r>
      <w:proofErr w:type="spellStart"/>
      <w:r>
        <w:t>bazedoxifene</w:t>
      </w:r>
      <w:proofErr w:type="spellEnd"/>
      <w:r>
        <w:rPr>
          <w:spacing w:val="22"/>
        </w:rPr>
        <w:t xml:space="preserve"> </w:t>
      </w:r>
      <w:r>
        <w:t>20</w:t>
      </w:r>
      <w:r w:rsidR="008D1DDF">
        <w:t> </w:t>
      </w:r>
      <w:r>
        <w:t>mg</w:t>
      </w:r>
      <w:r>
        <w:rPr>
          <w:spacing w:val="16"/>
        </w:rPr>
        <w:t xml:space="preserve"> </w:t>
      </w:r>
      <w:r>
        <w:t>and</w:t>
      </w:r>
      <w:r>
        <w:rPr>
          <w:spacing w:val="18"/>
        </w:rPr>
        <w:t xml:space="preserve"> </w:t>
      </w:r>
      <w:r>
        <w:t>placebo</w:t>
      </w:r>
      <w:r>
        <w:rPr>
          <w:spacing w:val="23"/>
        </w:rPr>
        <w:t xml:space="preserve"> </w:t>
      </w:r>
      <w:r>
        <w:t>were</w:t>
      </w:r>
      <w:r>
        <w:rPr>
          <w:spacing w:val="66"/>
          <w:w w:val="99"/>
        </w:rPr>
        <w:t xml:space="preserve"> </w:t>
      </w:r>
      <w:r>
        <w:rPr>
          <w:spacing w:val="1"/>
        </w:rPr>
        <w:t>9%</w:t>
      </w:r>
      <w:r w:rsidR="00716699">
        <w:rPr>
          <w:spacing w:val="1"/>
        </w:rPr>
        <w:t xml:space="preserve"> </w:t>
      </w:r>
      <w:r>
        <w:t>and</w:t>
      </w:r>
      <w:r>
        <w:rPr>
          <w:spacing w:val="20"/>
        </w:rPr>
        <w:t xml:space="preserve"> </w:t>
      </w:r>
      <w:r>
        <w:rPr>
          <w:spacing w:val="2"/>
        </w:rPr>
        <w:t>6%</w:t>
      </w:r>
      <w:r>
        <w:rPr>
          <w:spacing w:val="22"/>
        </w:rPr>
        <w:t xml:space="preserve"> </w:t>
      </w:r>
      <w:r>
        <w:t>respectively.</w:t>
      </w:r>
      <w:r w:rsidR="00156EC8">
        <w:rPr>
          <w:spacing w:val="38"/>
        </w:rPr>
        <w:t xml:space="preserve"> </w:t>
      </w:r>
      <w:r>
        <w:rPr>
          <w:spacing w:val="2"/>
        </w:rPr>
        <w:t>The</w:t>
      </w:r>
      <w:r>
        <w:rPr>
          <w:spacing w:val="24"/>
        </w:rPr>
        <w:t xml:space="preserve"> </w:t>
      </w:r>
      <w:r>
        <w:t>rates</w:t>
      </w:r>
      <w:r>
        <w:rPr>
          <w:spacing w:val="23"/>
        </w:rPr>
        <w:t xml:space="preserve"> </w:t>
      </w:r>
      <w:r>
        <w:rPr>
          <w:spacing w:val="-3"/>
        </w:rPr>
        <w:t>in</w:t>
      </w:r>
      <w:r>
        <w:rPr>
          <w:spacing w:val="25"/>
        </w:rPr>
        <w:t xml:space="preserve"> </w:t>
      </w:r>
      <w:r>
        <w:rPr>
          <w:spacing w:val="-2"/>
        </w:rPr>
        <w:t>SMART</w:t>
      </w:r>
      <w:r>
        <w:rPr>
          <w:spacing w:val="23"/>
        </w:rPr>
        <w:t xml:space="preserve"> </w:t>
      </w:r>
      <w:r>
        <w:t>2</w:t>
      </w:r>
      <w:r>
        <w:rPr>
          <w:spacing w:val="25"/>
        </w:rPr>
        <w:t xml:space="preserve"> </w:t>
      </w:r>
      <w:r>
        <w:t>were</w:t>
      </w:r>
      <w:r>
        <w:rPr>
          <w:spacing w:val="19"/>
        </w:rPr>
        <w:t xml:space="preserve"> </w:t>
      </w:r>
      <w:r>
        <w:rPr>
          <w:spacing w:val="1"/>
        </w:rPr>
        <w:t>10%</w:t>
      </w:r>
      <w:r w:rsidR="003851A7">
        <w:rPr>
          <w:spacing w:val="22"/>
        </w:rPr>
        <w:t xml:space="preserve"> </w:t>
      </w:r>
      <w:r>
        <w:rPr>
          <w:spacing w:val="-2"/>
        </w:rPr>
        <w:t>and</w:t>
      </w:r>
      <w:r>
        <w:rPr>
          <w:spacing w:val="25"/>
        </w:rPr>
        <w:t xml:space="preserve"> </w:t>
      </w:r>
      <w:r>
        <w:t>5%</w:t>
      </w:r>
      <w:r>
        <w:rPr>
          <w:spacing w:val="22"/>
        </w:rPr>
        <w:t xml:space="preserve"> </w:t>
      </w:r>
      <w:r>
        <w:t>respectively</w:t>
      </w:r>
      <w:r w:rsidR="00FB7E1D">
        <w:t xml:space="preserve"> and </w:t>
      </w:r>
      <w:r w:rsidR="00FB7E1D">
        <w:rPr>
          <w:spacing w:val="-8"/>
        </w:rPr>
        <w:t>i</w:t>
      </w:r>
      <w:r>
        <w:rPr>
          <w:spacing w:val="-8"/>
        </w:rPr>
        <w:t>n</w:t>
      </w:r>
      <w:r>
        <w:rPr>
          <w:spacing w:val="32"/>
        </w:rPr>
        <w:t xml:space="preserve"> </w:t>
      </w:r>
      <w:r>
        <w:rPr>
          <w:spacing w:val="-2"/>
        </w:rPr>
        <w:t>SMART</w:t>
      </w:r>
      <w:r>
        <w:rPr>
          <w:spacing w:val="12"/>
        </w:rPr>
        <w:t xml:space="preserve"> </w:t>
      </w:r>
      <w:r>
        <w:rPr>
          <w:spacing w:val="2"/>
        </w:rPr>
        <w:t>5,</w:t>
      </w:r>
      <w:r>
        <w:rPr>
          <w:spacing w:val="3"/>
        </w:rPr>
        <w:t xml:space="preserve"> </w:t>
      </w:r>
      <w:r>
        <w:t>the</w:t>
      </w:r>
      <w:r>
        <w:rPr>
          <w:spacing w:val="10"/>
        </w:rPr>
        <w:t xml:space="preserve"> </w:t>
      </w:r>
      <w:r>
        <w:rPr>
          <w:spacing w:val="-2"/>
        </w:rPr>
        <w:t>rates</w:t>
      </w:r>
      <w:r>
        <w:rPr>
          <w:spacing w:val="8"/>
        </w:rPr>
        <w:t xml:space="preserve"> </w:t>
      </w:r>
      <w:r>
        <w:t>were</w:t>
      </w:r>
      <w:r>
        <w:rPr>
          <w:spacing w:val="10"/>
        </w:rPr>
        <w:t xml:space="preserve"> </w:t>
      </w:r>
      <w:r>
        <w:t>6%</w:t>
      </w:r>
      <w:r w:rsidR="003851A7">
        <w:rPr>
          <w:spacing w:val="7"/>
        </w:rPr>
        <w:t xml:space="preserve"> </w:t>
      </w:r>
      <w:r>
        <w:rPr>
          <w:spacing w:val="-2"/>
        </w:rPr>
        <w:t>and</w:t>
      </w:r>
      <w:r>
        <w:rPr>
          <w:spacing w:val="11"/>
        </w:rPr>
        <w:t xml:space="preserve"> </w:t>
      </w:r>
      <w:r>
        <w:t>5%</w:t>
      </w:r>
      <w:r>
        <w:rPr>
          <w:spacing w:val="7"/>
        </w:rPr>
        <w:t xml:space="preserve"> </w:t>
      </w:r>
      <w:r>
        <w:t>respectively.</w:t>
      </w:r>
      <w:r w:rsidR="00156EC8">
        <w:rPr>
          <w:spacing w:val="9"/>
        </w:rPr>
        <w:t xml:space="preserve"> </w:t>
      </w:r>
      <w:r>
        <w:rPr>
          <w:spacing w:val="1"/>
        </w:rPr>
        <w:t>For</w:t>
      </w:r>
      <w:r>
        <w:rPr>
          <w:spacing w:val="3"/>
        </w:rPr>
        <w:t xml:space="preserve"> </w:t>
      </w:r>
      <w:proofErr w:type="spellStart"/>
      <w:r>
        <w:t>bazedoxifene</w:t>
      </w:r>
      <w:proofErr w:type="spellEnd"/>
      <w:r w:rsidR="008D1DDF">
        <w:t> </w:t>
      </w:r>
      <w:r>
        <w:t>20</w:t>
      </w:r>
      <w:r>
        <w:rPr>
          <w:spacing w:val="1"/>
        </w:rPr>
        <w:t xml:space="preserve"> </w:t>
      </w:r>
      <w:r>
        <w:t>mg</w:t>
      </w:r>
      <w:r w:rsidR="00A71EB0">
        <w:t>,</w:t>
      </w:r>
      <w:r>
        <w:rPr>
          <w:spacing w:val="6"/>
        </w:rPr>
        <w:t xml:space="preserve"> </w:t>
      </w:r>
      <w:r>
        <w:t>the</w:t>
      </w:r>
      <w:r>
        <w:rPr>
          <w:spacing w:val="5"/>
        </w:rPr>
        <w:t xml:space="preserve"> </w:t>
      </w:r>
      <w:r>
        <w:t>breast</w:t>
      </w:r>
      <w:r>
        <w:rPr>
          <w:spacing w:val="1"/>
        </w:rPr>
        <w:t xml:space="preserve"> </w:t>
      </w:r>
      <w:r>
        <w:t>pain</w:t>
      </w:r>
      <w:r>
        <w:rPr>
          <w:spacing w:val="56"/>
        </w:rPr>
        <w:t xml:space="preserve"> </w:t>
      </w:r>
      <w:r>
        <w:rPr>
          <w:spacing w:val="-2"/>
        </w:rPr>
        <w:t>rate</w:t>
      </w:r>
      <w:r>
        <w:rPr>
          <w:spacing w:val="27"/>
        </w:rPr>
        <w:t xml:space="preserve"> </w:t>
      </w:r>
      <w:r>
        <w:t>was</w:t>
      </w:r>
      <w:r>
        <w:rPr>
          <w:spacing w:val="22"/>
        </w:rPr>
        <w:t xml:space="preserve"> </w:t>
      </w:r>
      <w:r>
        <w:rPr>
          <w:spacing w:val="1"/>
        </w:rPr>
        <w:t>7%.</w:t>
      </w:r>
      <w:r w:rsidR="00156EC8">
        <w:rPr>
          <w:spacing w:val="46"/>
        </w:rPr>
        <w:t xml:space="preserve"> </w:t>
      </w:r>
      <w:r>
        <w:rPr>
          <w:spacing w:val="-4"/>
        </w:rPr>
        <w:t>In</w:t>
      </w:r>
      <w:r>
        <w:rPr>
          <w:spacing w:val="29"/>
        </w:rPr>
        <w:t xml:space="preserve"> </w:t>
      </w:r>
      <w:r>
        <w:rPr>
          <w:spacing w:val="-2"/>
        </w:rPr>
        <w:t>SMART</w:t>
      </w:r>
      <w:r>
        <w:rPr>
          <w:spacing w:val="26"/>
        </w:rPr>
        <w:t xml:space="preserve"> </w:t>
      </w:r>
      <w:r>
        <w:rPr>
          <w:spacing w:val="2"/>
        </w:rPr>
        <w:t>5,</w:t>
      </w:r>
      <w:r>
        <w:rPr>
          <w:spacing w:val="21"/>
        </w:rPr>
        <w:t xml:space="preserve"> </w:t>
      </w:r>
      <w:r>
        <w:rPr>
          <w:spacing w:val="-2"/>
        </w:rPr>
        <w:t>the</w:t>
      </w:r>
      <w:r>
        <w:rPr>
          <w:spacing w:val="28"/>
        </w:rPr>
        <w:t xml:space="preserve"> </w:t>
      </w:r>
      <w:r>
        <w:rPr>
          <w:spacing w:val="-2"/>
        </w:rPr>
        <w:t>rate</w:t>
      </w:r>
      <w:r>
        <w:rPr>
          <w:spacing w:val="28"/>
        </w:rPr>
        <w:t xml:space="preserve"> </w:t>
      </w:r>
      <w:r>
        <w:rPr>
          <w:spacing w:val="-2"/>
        </w:rPr>
        <w:t>for</w:t>
      </w:r>
      <w:r>
        <w:rPr>
          <w:spacing w:val="21"/>
        </w:rPr>
        <w:t xml:space="preserve"> </w:t>
      </w:r>
      <w:r>
        <w:rPr>
          <w:spacing w:val="1"/>
        </w:rPr>
        <w:t>CE</w:t>
      </w:r>
      <w:r w:rsidR="008D1DDF">
        <w:t> </w:t>
      </w:r>
      <w:r>
        <w:t>0.45 mg/medroxyprogesterone</w:t>
      </w:r>
      <w:r>
        <w:rPr>
          <w:spacing w:val="28"/>
        </w:rPr>
        <w:t xml:space="preserve"> </w:t>
      </w:r>
      <w:r>
        <w:t>acetate</w:t>
      </w:r>
      <w:r w:rsidR="008D1DDF">
        <w:t> </w:t>
      </w:r>
      <w:r>
        <w:rPr>
          <w:spacing w:val="-2"/>
        </w:rPr>
        <w:t>1.5</w:t>
      </w:r>
      <w:r>
        <w:rPr>
          <w:spacing w:val="1"/>
        </w:rPr>
        <w:t xml:space="preserve"> </w:t>
      </w:r>
      <w:r>
        <w:t>mg</w:t>
      </w:r>
      <w:r>
        <w:rPr>
          <w:spacing w:val="23"/>
        </w:rPr>
        <w:t xml:space="preserve"> </w:t>
      </w:r>
      <w:r>
        <w:t>was</w:t>
      </w:r>
      <w:r>
        <w:rPr>
          <w:spacing w:val="60"/>
        </w:rPr>
        <w:t xml:space="preserve"> </w:t>
      </w:r>
      <w:r>
        <w:rPr>
          <w:spacing w:val="1"/>
        </w:rPr>
        <w:t>24%</w:t>
      </w:r>
      <w:r>
        <w:t>.</w:t>
      </w:r>
    </w:p>
    <w:p w:rsidR="003E2666" w:rsidRPr="00AA4E76" w:rsidRDefault="003E2666" w:rsidP="00D359DA">
      <w:pPr>
        <w:pStyle w:val="PIHeading4"/>
      </w:pPr>
      <w:bookmarkStart w:id="3" w:name="Breast_Density"/>
      <w:bookmarkEnd w:id="3"/>
      <w:r w:rsidRPr="00AA4E76">
        <w:t>Breast Density</w:t>
      </w:r>
    </w:p>
    <w:p w:rsidR="004B3541" w:rsidRPr="00C51C45" w:rsidRDefault="004B3541" w:rsidP="004B3541">
      <w:pPr>
        <w:pStyle w:val="PINormal"/>
      </w:pPr>
      <w:r w:rsidRPr="00C51C45">
        <w:t>The effect of CE/bazedoxifene on mammographic density w</w:t>
      </w:r>
      <w:r>
        <w:t xml:space="preserve">as </w:t>
      </w:r>
      <w:r w:rsidR="00F22575">
        <w:t>a</w:t>
      </w:r>
      <w:r>
        <w:t xml:space="preserve"> </w:t>
      </w:r>
      <w:r w:rsidR="00F22575">
        <w:t>key secondary</w:t>
      </w:r>
      <w:r>
        <w:t xml:space="preserve"> </w:t>
      </w:r>
      <w:r w:rsidR="00F22575">
        <w:t>endpoint</w:t>
      </w:r>
      <w:r>
        <w:t xml:space="preserve"> </w:t>
      </w:r>
      <w:r w:rsidR="00F22575">
        <w:t>in</w:t>
      </w:r>
      <w:r>
        <w:t xml:space="preserve"> </w:t>
      </w:r>
      <w:r w:rsidRPr="00C51C45">
        <w:t xml:space="preserve">the SMART </w:t>
      </w:r>
      <w:r>
        <w:t xml:space="preserve">1 and SMART 5 </w:t>
      </w:r>
      <w:r w:rsidRPr="00C51C45">
        <w:t>studies.</w:t>
      </w:r>
    </w:p>
    <w:p w:rsidR="003E2666" w:rsidRPr="009B5381" w:rsidRDefault="003E2666" w:rsidP="009B5381">
      <w:pPr>
        <w:pStyle w:val="PINormal"/>
        <w:rPr>
          <w:szCs w:val="24"/>
        </w:rPr>
      </w:pPr>
      <w:r w:rsidRPr="009B5381">
        <w:rPr>
          <w:szCs w:val="24"/>
        </w:rPr>
        <w:t>In SMART 5, the change in mammographic density in postmenopausal women (mean age=54 years) treated with CE</w:t>
      </w:r>
      <w:r w:rsidR="008D1DDF">
        <w:t> </w:t>
      </w:r>
      <w:r w:rsidRPr="009B5381">
        <w:rPr>
          <w:szCs w:val="24"/>
        </w:rPr>
        <w:t>0.45 mg/bazedoxifene</w:t>
      </w:r>
      <w:r w:rsidR="008D1DDF">
        <w:t> </w:t>
      </w:r>
      <w:r w:rsidRPr="009B5381">
        <w:rPr>
          <w:szCs w:val="24"/>
        </w:rPr>
        <w:t>20 mg (n=186) or bazedoxifene</w:t>
      </w:r>
      <w:r w:rsidR="008D1DDF">
        <w:t> </w:t>
      </w:r>
      <w:r w:rsidRPr="009B5381">
        <w:rPr>
          <w:szCs w:val="24"/>
        </w:rPr>
        <w:t xml:space="preserve">20 mg (n=97) was not different </w:t>
      </w:r>
      <w:proofErr w:type="spellStart"/>
      <w:r w:rsidRPr="009B5381">
        <w:rPr>
          <w:szCs w:val="24"/>
        </w:rPr>
        <w:t>fromplacebo</w:t>
      </w:r>
      <w:proofErr w:type="spellEnd"/>
      <w:r w:rsidRPr="009B5381">
        <w:rPr>
          <w:szCs w:val="24"/>
        </w:rPr>
        <w:t xml:space="preserve"> (n=181).</w:t>
      </w:r>
      <w:r w:rsidR="00156EC8">
        <w:rPr>
          <w:szCs w:val="24"/>
        </w:rPr>
        <w:t xml:space="preserve"> </w:t>
      </w:r>
      <w:r w:rsidR="006A77E5">
        <w:rPr>
          <w:szCs w:val="24"/>
        </w:rPr>
        <w:t xml:space="preserve">In women treated with </w:t>
      </w:r>
      <w:r w:rsidRPr="009B5381">
        <w:rPr>
          <w:szCs w:val="24"/>
        </w:rPr>
        <w:t>CE</w:t>
      </w:r>
      <w:r w:rsidR="008D1DDF">
        <w:t> </w:t>
      </w:r>
      <w:r w:rsidR="008D1DDF">
        <w:rPr>
          <w:szCs w:val="24"/>
        </w:rPr>
        <w:t>0</w:t>
      </w:r>
      <w:r w:rsidRPr="009B5381">
        <w:rPr>
          <w:szCs w:val="24"/>
        </w:rPr>
        <w:t>.45</w:t>
      </w:r>
      <w:r w:rsidR="008D1DDF">
        <w:t> </w:t>
      </w:r>
      <w:r w:rsidRPr="009B5381">
        <w:rPr>
          <w:szCs w:val="24"/>
        </w:rPr>
        <w:t>mg/medroxyprogesterone</w:t>
      </w:r>
      <w:r w:rsidR="008D1DDF">
        <w:t> </w:t>
      </w:r>
      <w:r w:rsidRPr="009B5381">
        <w:rPr>
          <w:szCs w:val="24"/>
        </w:rPr>
        <w:t>1.5 mg (n=68)</w:t>
      </w:r>
      <w:r w:rsidR="00C46041">
        <w:rPr>
          <w:szCs w:val="24"/>
        </w:rPr>
        <w:t>,</w:t>
      </w:r>
      <w:r w:rsidR="006A77E5" w:rsidRPr="006A77E5">
        <w:rPr>
          <w:szCs w:val="24"/>
        </w:rPr>
        <w:t xml:space="preserve"> </w:t>
      </w:r>
      <w:r w:rsidR="006A77E5">
        <w:rPr>
          <w:szCs w:val="24"/>
        </w:rPr>
        <w:t>m</w:t>
      </w:r>
      <w:r w:rsidR="006A77E5" w:rsidRPr="009B5381">
        <w:rPr>
          <w:szCs w:val="24"/>
        </w:rPr>
        <w:t>ammographic density</w:t>
      </w:r>
      <w:r w:rsidR="006A77E5">
        <w:rPr>
          <w:szCs w:val="24"/>
        </w:rPr>
        <w:t xml:space="preserve"> was increased compared to placebo</w:t>
      </w:r>
      <w:r w:rsidRPr="009B5381">
        <w:rPr>
          <w:szCs w:val="24"/>
        </w:rPr>
        <w:t>.</w:t>
      </w:r>
      <w:r w:rsidR="00156EC8">
        <w:rPr>
          <w:szCs w:val="24"/>
        </w:rPr>
        <w:t xml:space="preserve"> </w:t>
      </w:r>
      <w:r w:rsidRPr="009B5381">
        <w:rPr>
          <w:szCs w:val="24"/>
        </w:rPr>
        <w:t>Supplemental evaluation of mammograms from the SMART 1 trial yielded results consistent with SMART 5.</w:t>
      </w:r>
    </w:p>
    <w:p w:rsidR="00400C4D" w:rsidRDefault="003E2666" w:rsidP="009B5381">
      <w:pPr>
        <w:pStyle w:val="PINormal"/>
        <w:rPr>
          <w:szCs w:val="24"/>
        </w:rPr>
      </w:pPr>
      <w:r w:rsidRPr="009B5381">
        <w:rPr>
          <w:szCs w:val="24"/>
        </w:rPr>
        <w:t>In an ancillary study</w:t>
      </w:r>
      <w:r w:rsidR="006A77E5">
        <w:rPr>
          <w:szCs w:val="24"/>
        </w:rPr>
        <w:t xml:space="preserve">, </w:t>
      </w:r>
      <w:r w:rsidRPr="009B5381">
        <w:rPr>
          <w:szCs w:val="24"/>
        </w:rPr>
        <w:t xml:space="preserve">mammographic breast density changes at 2 </w:t>
      </w:r>
      <w:proofErr w:type="spellStart"/>
      <w:r w:rsidRPr="009B5381">
        <w:rPr>
          <w:szCs w:val="24"/>
        </w:rPr>
        <w:t>years.</w:t>
      </w:r>
      <w:r w:rsidR="006A77E5">
        <w:rPr>
          <w:szCs w:val="24"/>
        </w:rPr>
        <w:t>for</w:t>
      </w:r>
      <w:proofErr w:type="spellEnd"/>
      <w:r w:rsidR="006A77E5">
        <w:rPr>
          <w:szCs w:val="24"/>
        </w:rPr>
        <w:t xml:space="preserve"> the </w:t>
      </w:r>
      <w:proofErr w:type="spellStart"/>
      <w:r w:rsidRPr="009B5381">
        <w:rPr>
          <w:szCs w:val="24"/>
        </w:rPr>
        <w:t>bazedoxifene</w:t>
      </w:r>
      <w:proofErr w:type="spellEnd"/>
      <w:r w:rsidRPr="009B5381">
        <w:rPr>
          <w:szCs w:val="24"/>
        </w:rPr>
        <w:t xml:space="preserve"> 20</w:t>
      </w:r>
      <w:r w:rsidR="008D1DDF">
        <w:t> </w:t>
      </w:r>
      <w:r w:rsidRPr="009B5381">
        <w:rPr>
          <w:szCs w:val="24"/>
        </w:rPr>
        <w:t xml:space="preserve">mg group were (-1.45 percentage points,) while no changes were observed in the placebo group (-0.15 percentage points). </w:t>
      </w:r>
    </w:p>
    <w:p w:rsidR="0006265B" w:rsidRPr="001E42E9" w:rsidRDefault="000D11A5" w:rsidP="001E42E9">
      <w:pPr>
        <w:pStyle w:val="PIHeading3"/>
      </w:pPr>
      <w:r w:rsidRPr="001E42E9">
        <w:t>Effects on B</w:t>
      </w:r>
      <w:r w:rsidR="0006265B" w:rsidRPr="001E42E9">
        <w:t xml:space="preserve">one </w:t>
      </w:r>
      <w:r w:rsidRPr="001E42E9">
        <w:t>Mineral D</w:t>
      </w:r>
      <w:r w:rsidR="0006265B" w:rsidRPr="001E42E9">
        <w:t>ensity (BMD)</w:t>
      </w:r>
    </w:p>
    <w:p w:rsidR="00400C4D" w:rsidRDefault="00B06513" w:rsidP="00FB7E1D">
      <w:pPr>
        <w:pStyle w:val="PINormal"/>
      </w:pPr>
      <w:proofErr w:type="gramStart"/>
      <w:r>
        <w:rPr>
          <w:rFonts w:eastAsia="TimesNewRoman"/>
          <w:lang w:val="en-US"/>
        </w:rPr>
        <w:t>BMD changes at the lumbar spine was</w:t>
      </w:r>
      <w:proofErr w:type="gramEnd"/>
      <w:r>
        <w:rPr>
          <w:rFonts w:eastAsia="TimesNewRoman"/>
          <w:lang w:val="en-US"/>
        </w:rPr>
        <w:t xml:space="preserve"> a key secondary endpoint, assessed</w:t>
      </w:r>
      <w:r>
        <w:t xml:space="preserve"> in the SMART 5 study.</w:t>
      </w:r>
      <w:r w:rsidR="00156EC8">
        <w:t xml:space="preserve"> </w:t>
      </w:r>
      <w:r>
        <w:t>I</w:t>
      </w:r>
      <w:r w:rsidR="0006265B" w:rsidRPr="000D11A5">
        <w:t xml:space="preserve">n </w:t>
      </w:r>
      <w:r w:rsidR="00701ED0">
        <w:t>th</w:t>
      </w:r>
      <w:r w:rsidR="00B54F8B">
        <w:t xml:space="preserve">is </w:t>
      </w:r>
      <w:r w:rsidR="0006265B" w:rsidRPr="000D11A5">
        <w:t xml:space="preserve">study, </w:t>
      </w:r>
      <w:r w:rsidR="00701ED0">
        <w:t xml:space="preserve">women treated with </w:t>
      </w:r>
      <w:r w:rsidR="0006265B" w:rsidRPr="000D11A5">
        <w:t>CE</w:t>
      </w:r>
      <w:r w:rsidR="008D1DDF">
        <w:t> </w:t>
      </w:r>
      <w:r w:rsidR="0006265B" w:rsidRPr="000D11A5">
        <w:t>0.45 mg/bazedoxifene</w:t>
      </w:r>
      <w:r w:rsidR="008D1DDF">
        <w:t> </w:t>
      </w:r>
      <w:r w:rsidR="0006265B" w:rsidRPr="000D11A5">
        <w:t xml:space="preserve">20 mg showed </w:t>
      </w:r>
      <w:r w:rsidR="006A77E5">
        <w:t>a</w:t>
      </w:r>
      <w:r w:rsidR="00601838">
        <w:t xml:space="preserve"> change </w:t>
      </w:r>
      <w:r w:rsidR="0006265B" w:rsidRPr="000D11A5">
        <w:t>from baseline in lumbar spine BMD (+1.52%) at Month 12 compared to placebo.</w:t>
      </w:r>
      <w:r w:rsidR="00156EC8">
        <w:t xml:space="preserve"> </w:t>
      </w:r>
      <w:r w:rsidR="00A71EB0">
        <w:t>In the same study, t</w:t>
      </w:r>
      <w:r w:rsidR="0006265B" w:rsidRPr="000D11A5">
        <w:t>h</w:t>
      </w:r>
      <w:r w:rsidR="00601838">
        <w:t xml:space="preserve">e </w:t>
      </w:r>
      <w:r w:rsidR="0006265B" w:rsidRPr="000D11A5">
        <w:t xml:space="preserve">change in BMD with </w:t>
      </w:r>
      <w:proofErr w:type="spellStart"/>
      <w:r w:rsidR="0006265B" w:rsidRPr="000D11A5">
        <w:t>bazedoxifene</w:t>
      </w:r>
      <w:proofErr w:type="spellEnd"/>
      <w:r w:rsidR="0006265B" w:rsidRPr="000D11A5">
        <w:t xml:space="preserve"> 20 mg alone </w:t>
      </w:r>
      <w:r w:rsidR="00601838">
        <w:t xml:space="preserve">and </w:t>
      </w:r>
      <w:r w:rsidR="0006265B" w:rsidRPr="000D11A5">
        <w:t>CE</w:t>
      </w:r>
      <w:r w:rsidR="0008215A">
        <w:t> </w:t>
      </w:r>
      <w:r w:rsidR="0006265B" w:rsidRPr="000D11A5">
        <w:t>0.45 mg/</w:t>
      </w:r>
      <w:r w:rsidR="0006265B" w:rsidRPr="000D11A5">
        <w:rPr>
          <w:rFonts w:eastAsia="TimesNewRoman"/>
        </w:rPr>
        <w:t>medroxyprogesterone</w:t>
      </w:r>
      <w:r w:rsidR="008D1DDF">
        <w:t> </w:t>
      </w:r>
      <w:r w:rsidR="0006265B" w:rsidRPr="000D11A5">
        <w:t>1.5 mg</w:t>
      </w:r>
      <w:r w:rsidR="00601838">
        <w:t xml:space="preserve"> was </w:t>
      </w:r>
      <w:r w:rsidR="00601838" w:rsidRPr="000D11A5">
        <w:t>+1.35%</w:t>
      </w:r>
      <w:r w:rsidR="00601838">
        <w:t xml:space="preserve">, </w:t>
      </w:r>
      <w:r w:rsidR="0006265B" w:rsidRPr="000D11A5">
        <w:t>+2.58%</w:t>
      </w:r>
      <w:r w:rsidR="00601838">
        <w:t xml:space="preserve">, respectively. </w:t>
      </w:r>
    </w:p>
    <w:p w:rsidR="0034484A" w:rsidRPr="005D5282" w:rsidRDefault="0034484A" w:rsidP="00581222">
      <w:pPr>
        <w:pStyle w:val="PIHeading1"/>
      </w:pPr>
      <w:r w:rsidRPr="005D5282">
        <w:t>INDICATIONS</w:t>
      </w:r>
    </w:p>
    <w:p w:rsidR="00400C4D" w:rsidRDefault="00966986" w:rsidP="00966986">
      <w:pPr>
        <w:pStyle w:val="PINormal"/>
      </w:pPr>
      <w:r w:rsidRPr="007E0BF4">
        <w:rPr>
          <w:rStyle w:val="TableText12"/>
        </w:rPr>
        <w:t>DUAVIVE</w:t>
      </w:r>
      <w:r w:rsidR="00156EC8">
        <w:rPr>
          <w:rStyle w:val="TableText12"/>
        </w:rPr>
        <w:t xml:space="preserve"> </w:t>
      </w:r>
      <w:r w:rsidRPr="007E0BF4">
        <w:rPr>
          <w:rStyle w:val="TableText12"/>
        </w:rPr>
        <w:t>is indicated for</w:t>
      </w:r>
      <w:r w:rsidRPr="007E0BF4">
        <w:t xml:space="preserve"> t</w:t>
      </w:r>
      <w:r w:rsidR="00D64A0F" w:rsidRPr="007E0BF4">
        <w:t>reatment of moderate to severe vasomotor symptoms associated with menopause in women with a uterus.</w:t>
      </w:r>
    </w:p>
    <w:p w:rsidR="00400C4D" w:rsidRDefault="00D64A0F" w:rsidP="007E0BF4">
      <w:pPr>
        <w:pStyle w:val="ListBullet"/>
      </w:pPr>
      <w:r w:rsidRPr="007E0BF4">
        <w:t>DUAVIVE should be used for the shortest duration consistent with treatment goals and risks for the individual woman.</w:t>
      </w:r>
    </w:p>
    <w:p w:rsidR="0001617C" w:rsidRPr="005D5282" w:rsidRDefault="007E0BF4" w:rsidP="007E0BF4">
      <w:pPr>
        <w:pStyle w:val="ListBullet"/>
        <w:rPr>
          <w:szCs w:val="24"/>
          <w:lang w:val="en-GB"/>
        </w:rPr>
      </w:pPr>
      <w:r>
        <w:rPr>
          <w:lang w:val="en-GB"/>
        </w:rPr>
        <w:t>E</w:t>
      </w:r>
      <w:r w:rsidR="0001617C" w:rsidRPr="006D1087">
        <w:rPr>
          <w:lang w:val="en-GB"/>
        </w:rPr>
        <w:t xml:space="preserve">xperience </w:t>
      </w:r>
      <w:r>
        <w:rPr>
          <w:lang w:val="en-GB"/>
        </w:rPr>
        <w:t>in</w:t>
      </w:r>
      <w:r w:rsidRPr="006D1087">
        <w:rPr>
          <w:lang w:val="en-GB"/>
        </w:rPr>
        <w:t xml:space="preserve"> </w:t>
      </w:r>
      <w:r w:rsidR="0001617C" w:rsidRPr="006D1087">
        <w:rPr>
          <w:lang w:val="en-GB"/>
        </w:rPr>
        <w:t>w</w:t>
      </w:r>
      <w:r w:rsidR="0001617C" w:rsidRPr="006D1087">
        <w:rPr>
          <w:bCs/>
          <w:iCs/>
          <w:lang w:val="en-GB"/>
        </w:rPr>
        <w:t>o</w:t>
      </w:r>
      <w:r w:rsidR="0001617C" w:rsidRPr="006D1087">
        <w:rPr>
          <w:lang w:val="en-GB"/>
        </w:rPr>
        <w:t>men older than 65 years is limited.</w:t>
      </w:r>
    </w:p>
    <w:p w:rsidR="00782CEE" w:rsidRPr="00C8562F" w:rsidRDefault="00782CEE" w:rsidP="001E1FC1">
      <w:pPr>
        <w:pStyle w:val="PIHeading1"/>
      </w:pPr>
      <w:r w:rsidRPr="00C8562F">
        <w:t>CONTRAINDICATIONS</w:t>
      </w:r>
    </w:p>
    <w:p w:rsidR="003759D0" w:rsidRPr="00B9411E" w:rsidRDefault="003759D0" w:rsidP="00DD7573">
      <w:r w:rsidRPr="00B9411E">
        <w:t xml:space="preserve">Hypersensitivity to the active substances or to any of the excipients listed in </w:t>
      </w:r>
      <w:r w:rsidR="000D11A5">
        <w:t>DESCRIPTION</w:t>
      </w:r>
      <w:r w:rsidR="0006561B">
        <w:t>.</w:t>
      </w:r>
    </w:p>
    <w:p w:rsidR="003759D0" w:rsidRPr="00B9411E" w:rsidRDefault="003759D0" w:rsidP="00DD7573">
      <w:r w:rsidRPr="00B9411E">
        <w:t xml:space="preserve">Known, suspected, or past history of </w:t>
      </w:r>
      <w:r w:rsidR="000D11A5">
        <w:t>breast cancer</w:t>
      </w:r>
      <w:r w:rsidR="0006561B">
        <w:t>.</w:t>
      </w:r>
    </w:p>
    <w:p w:rsidR="003759D0" w:rsidRPr="00B9411E" w:rsidRDefault="003759D0" w:rsidP="00DD7573">
      <w:r w:rsidRPr="00B9411E">
        <w:t>Known, past or suspected estrogen-dependent malignant tumours (</w:t>
      </w:r>
      <w:r w:rsidR="005428C0">
        <w:t>e.g.,</w:t>
      </w:r>
      <w:r w:rsidR="000D11A5">
        <w:t xml:space="preserve"> endometrial cancer)</w:t>
      </w:r>
      <w:r w:rsidR="0006561B">
        <w:t>.</w:t>
      </w:r>
    </w:p>
    <w:p w:rsidR="003759D0" w:rsidRPr="00B9411E" w:rsidRDefault="003759D0" w:rsidP="00DD7573">
      <w:r w:rsidRPr="00B9411E">
        <w:t xml:space="preserve">Undiagnosed genital </w:t>
      </w:r>
      <w:r w:rsidR="000D11A5">
        <w:t>bleeding</w:t>
      </w:r>
      <w:r w:rsidR="0006561B">
        <w:t>.</w:t>
      </w:r>
    </w:p>
    <w:p w:rsidR="003759D0" w:rsidRPr="00B9411E" w:rsidRDefault="003759D0" w:rsidP="00DD7573">
      <w:r w:rsidRPr="00B9411E">
        <w:t>Un</w:t>
      </w:r>
      <w:r w:rsidR="000D11A5">
        <w:t>treated endometrial hyperplasia</w:t>
      </w:r>
      <w:r w:rsidR="0006561B">
        <w:t>.</w:t>
      </w:r>
    </w:p>
    <w:p w:rsidR="003759D0" w:rsidRPr="00B9411E" w:rsidRDefault="003759D0" w:rsidP="00DD7573">
      <w:r w:rsidRPr="00B9411E">
        <w:lastRenderedPageBreak/>
        <w:t>Active or past history of venous thromboembolism (</w:t>
      </w:r>
      <w:r w:rsidR="005428C0">
        <w:t>e.g.,</w:t>
      </w:r>
      <w:r>
        <w:t xml:space="preserve"> </w:t>
      </w:r>
      <w:r w:rsidRPr="00B9411E">
        <w:t>deep venous thrombosis, pulmonary embolis</w:t>
      </w:r>
      <w:r w:rsidR="000D11A5">
        <w:t>m, and retinal vein thrombosis)</w:t>
      </w:r>
      <w:r w:rsidR="0006561B">
        <w:t>.</w:t>
      </w:r>
    </w:p>
    <w:p w:rsidR="003759D0" w:rsidRPr="00B9411E" w:rsidRDefault="003759D0" w:rsidP="00DD7573">
      <w:pPr>
        <w:rPr>
          <w:bCs/>
        </w:rPr>
      </w:pPr>
      <w:r w:rsidRPr="00B9411E">
        <w:t>Known thrombophilic disorders (</w:t>
      </w:r>
      <w:r w:rsidR="005428C0">
        <w:t>e.g.,</w:t>
      </w:r>
      <w:r w:rsidRPr="00B9411E">
        <w:t xml:space="preserve"> protein C, protein S, or antithrombin deficiency, see </w:t>
      </w:r>
      <w:r w:rsidR="000D11A5">
        <w:t>PRECAUTIONS</w:t>
      </w:r>
      <w:r w:rsidRPr="00B9411E">
        <w:t>)</w:t>
      </w:r>
      <w:r w:rsidR="0006561B">
        <w:t>.</w:t>
      </w:r>
    </w:p>
    <w:p w:rsidR="003759D0" w:rsidRPr="00B9411E" w:rsidRDefault="003759D0" w:rsidP="00DD7573">
      <w:r w:rsidRPr="00B9411E">
        <w:t>Active or past history of arterial thromboembolic disease (</w:t>
      </w:r>
      <w:r w:rsidR="005428C0">
        <w:t>e.g.,</w:t>
      </w:r>
      <w:r w:rsidRPr="00B9411E">
        <w:t xml:space="preserve"> myocardial infarction, stroke)</w:t>
      </w:r>
      <w:r w:rsidR="0006561B">
        <w:t>.</w:t>
      </w:r>
    </w:p>
    <w:p w:rsidR="003759D0" w:rsidRPr="00B9411E" w:rsidRDefault="003759D0" w:rsidP="00DD7573">
      <w:r w:rsidRPr="00B9411E">
        <w:t>Acute liver disease or a history of liver disease as long as liver function tests have failed to return to normal</w:t>
      </w:r>
      <w:r w:rsidR="0006561B">
        <w:t>.</w:t>
      </w:r>
    </w:p>
    <w:p w:rsidR="00F2141C" w:rsidRDefault="00097A1C" w:rsidP="00DD7573">
      <w:r>
        <w:rPr>
          <w:lang w:eastAsia="de-DE"/>
        </w:rPr>
        <w:t xml:space="preserve">Pregnancy, women who may become pregnant, and nursing mothers </w:t>
      </w:r>
      <w:r w:rsidR="003759D0" w:rsidRPr="00B9411E">
        <w:rPr>
          <w:lang w:eastAsia="de-DE"/>
        </w:rPr>
        <w:t xml:space="preserve">(see </w:t>
      </w:r>
      <w:r w:rsidR="000D11A5">
        <w:rPr>
          <w:lang w:eastAsia="de-DE"/>
        </w:rPr>
        <w:t>PRECAUTIONS</w:t>
      </w:r>
      <w:r w:rsidR="00092100">
        <w:rPr>
          <w:lang w:eastAsia="de-DE"/>
        </w:rPr>
        <w:t>, Use in Pregnancy</w:t>
      </w:r>
      <w:r w:rsidR="00C9464F">
        <w:rPr>
          <w:lang w:eastAsia="de-DE"/>
        </w:rPr>
        <w:t xml:space="preserve"> and Use in Lactation</w:t>
      </w:r>
      <w:r w:rsidR="00F2141C">
        <w:rPr>
          <w:lang w:eastAsia="de-DE"/>
        </w:rPr>
        <w:t>)</w:t>
      </w:r>
      <w:r w:rsidR="0006561B">
        <w:rPr>
          <w:lang w:eastAsia="de-DE"/>
        </w:rPr>
        <w:t>.</w:t>
      </w:r>
    </w:p>
    <w:p w:rsidR="003759D0" w:rsidRPr="00F2141C" w:rsidRDefault="003759D0" w:rsidP="00DD7573">
      <w:r w:rsidRPr="00F2141C">
        <w:t>Porphyria</w:t>
      </w:r>
      <w:r w:rsidR="000D11A5" w:rsidRPr="00F2141C">
        <w:t>.</w:t>
      </w:r>
    </w:p>
    <w:p w:rsidR="002A22C1" w:rsidRPr="00A16E63" w:rsidRDefault="00782CEE" w:rsidP="001E1FC1">
      <w:pPr>
        <w:pStyle w:val="PIHeading1"/>
      </w:pPr>
      <w:r w:rsidRPr="00A16E63">
        <w:t>PRECAUTIONS</w:t>
      </w:r>
    </w:p>
    <w:p w:rsidR="003759D0" w:rsidRPr="00B9411E" w:rsidRDefault="003759D0" w:rsidP="000D11A5">
      <w:pPr>
        <w:pStyle w:val="PINormal"/>
      </w:pPr>
      <w:r w:rsidRPr="00B9411E">
        <w:t>For the treatment of postmenopausal symptoms, DUAVIVE should only be initiated for symptoms that adversely affect quality of life.</w:t>
      </w:r>
      <w:r w:rsidR="00156EC8">
        <w:t xml:space="preserve"> </w:t>
      </w:r>
      <w:r w:rsidRPr="00B9411E">
        <w:t>In all cases, a careful appraisal of the risks and benefits should be undertaken at least annually, and treatment should only be continued as long as the benefit outweighs the risk.</w:t>
      </w:r>
    </w:p>
    <w:p w:rsidR="00400C4D" w:rsidRDefault="003759D0" w:rsidP="007B5FBF">
      <w:pPr>
        <w:pStyle w:val="PINormal"/>
      </w:pPr>
      <w:r w:rsidRPr="00B9411E">
        <w:t xml:space="preserve">Women taking DUAVIVE </w:t>
      </w:r>
      <w:r w:rsidRPr="000D11A5">
        <w:t>should</w:t>
      </w:r>
      <w:r w:rsidRPr="00B9411E">
        <w:t xml:space="preserve"> not be taking</w:t>
      </w:r>
      <w:r w:rsidR="00815B02">
        <w:t xml:space="preserve"> </w:t>
      </w:r>
      <w:r w:rsidRPr="00B9411E">
        <w:t>progest</w:t>
      </w:r>
      <w:r w:rsidR="00C1442D">
        <w:t>ogens</w:t>
      </w:r>
      <w:r w:rsidRPr="00B9411E">
        <w:t xml:space="preserve">, additional </w:t>
      </w:r>
      <w:r w:rsidR="00156E84">
        <w:t>estrogens</w:t>
      </w:r>
      <w:r w:rsidRPr="00B9411E">
        <w:t xml:space="preserve"> or selective estrogen receptor modulators (SERMs)</w:t>
      </w:r>
      <w:r w:rsidR="00370CF3">
        <w:t xml:space="preserve"> (see DOSAGE AND ADMINISTRATION)</w:t>
      </w:r>
      <w:r w:rsidRPr="00B9411E">
        <w:t>.</w:t>
      </w:r>
    </w:p>
    <w:p w:rsidR="00400C4D" w:rsidRDefault="003759D0" w:rsidP="000D11A5">
      <w:pPr>
        <w:pStyle w:val="PINormal"/>
        <w:rPr>
          <w:rFonts w:eastAsia="TimesNewRoman"/>
        </w:rPr>
      </w:pPr>
      <w:r w:rsidRPr="00B9411E">
        <w:t>DUAVIVE</w:t>
      </w:r>
      <w:r w:rsidRPr="00B9411E">
        <w:rPr>
          <w:rFonts w:eastAsia="TimesNewRoman"/>
        </w:rPr>
        <w:t xml:space="preserve"> has not been studied in the treatment of premature menopause.</w:t>
      </w:r>
    </w:p>
    <w:p w:rsidR="003759D0" w:rsidRPr="00B9411E" w:rsidRDefault="003759D0" w:rsidP="000D11A5">
      <w:pPr>
        <w:pStyle w:val="PIHeading2"/>
        <w:rPr>
          <w:lang w:val="en-GB"/>
        </w:rPr>
      </w:pPr>
      <w:r w:rsidRPr="00B9411E">
        <w:rPr>
          <w:lang w:val="en-GB"/>
        </w:rPr>
        <w:t xml:space="preserve">Medical </w:t>
      </w:r>
      <w:r w:rsidR="000D11A5">
        <w:rPr>
          <w:lang w:val="en-GB"/>
        </w:rPr>
        <w:t>Examination/F</w:t>
      </w:r>
      <w:r w:rsidRPr="00B9411E">
        <w:rPr>
          <w:lang w:val="en-GB"/>
        </w:rPr>
        <w:t>ollow-up</w:t>
      </w:r>
    </w:p>
    <w:p w:rsidR="003759D0" w:rsidRPr="00B9411E" w:rsidRDefault="003759D0" w:rsidP="000D11A5">
      <w:pPr>
        <w:pStyle w:val="PINormal"/>
      </w:pPr>
      <w:r w:rsidRPr="00B9411E">
        <w:t>Before initiating or reinstituting treatment with DUAVIVE, a complete personal and family medical history should be taken.</w:t>
      </w:r>
      <w:r w:rsidR="00156EC8">
        <w:t xml:space="preserve"> </w:t>
      </w:r>
      <w:r w:rsidRPr="00B9411E">
        <w:t>Physical (including pelvic and breast) examination should be guided by this and by the contraindications and warnings for use.</w:t>
      </w:r>
      <w:r w:rsidR="00156EC8">
        <w:t xml:space="preserve"> </w:t>
      </w:r>
      <w:r w:rsidRPr="00B9411E">
        <w:t>During treatment, periodic check-ups are recommended of a frequency and nature adapted to the individual woman.</w:t>
      </w:r>
      <w:r w:rsidR="00156EC8">
        <w:t xml:space="preserve"> </w:t>
      </w:r>
      <w:r w:rsidRPr="00B9411E">
        <w:t>Women should be advised what changes in their breasts should be reported to thei</w:t>
      </w:r>
      <w:r w:rsidR="0008215A">
        <w:t>r doctor or nurse (see Breast C</w:t>
      </w:r>
      <w:r w:rsidRPr="00B9411E">
        <w:t>ancer below).</w:t>
      </w:r>
      <w:r w:rsidR="00156EC8">
        <w:t xml:space="preserve"> </w:t>
      </w:r>
      <w:r w:rsidRPr="00B9411E">
        <w:t xml:space="preserve">Investigations, including </w:t>
      </w:r>
      <w:r w:rsidR="0008215A">
        <w:t xml:space="preserve">appropriate imaging tools, </w:t>
      </w:r>
      <w:r w:rsidR="005428C0">
        <w:t>e.g.,</w:t>
      </w:r>
      <w:r w:rsidR="00A74E3D">
        <w:t xml:space="preserve"> </w:t>
      </w:r>
      <w:r w:rsidRPr="00B9411E">
        <w:t>mammography, should be carried out in accordance with currently accepted screening practices, modified to the clinical needs of the individual.</w:t>
      </w:r>
    </w:p>
    <w:p w:rsidR="003759D0" w:rsidRPr="00B9411E" w:rsidRDefault="000D11A5" w:rsidP="000D11A5">
      <w:pPr>
        <w:pStyle w:val="PIHeading2"/>
        <w:rPr>
          <w:lang w:val="en-GB"/>
        </w:rPr>
      </w:pPr>
      <w:r>
        <w:rPr>
          <w:lang w:val="en-GB"/>
        </w:rPr>
        <w:t>Conditions W</w:t>
      </w:r>
      <w:r w:rsidR="003759D0" w:rsidRPr="00B9411E">
        <w:rPr>
          <w:lang w:val="en-GB"/>
        </w:rPr>
        <w:t xml:space="preserve">hich </w:t>
      </w:r>
      <w:r>
        <w:rPr>
          <w:lang w:val="en-GB"/>
        </w:rPr>
        <w:t>N</w:t>
      </w:r>
      <w:r w:rsidR="003759D0" w:rsidRPr="00B9411E">
        <w:rPr>
          <w:lang w:val="en-GB"/>
        </w:rPr>
        <w:t xml:space="preserve">eed </w:t>
      </w:r>
      <w:r>
        <w:rPr>
          <w:lang w:val="en-GB"/>
        </w:rPr>
        <w:t>S</w:t>
      </w:r>
      <w:r w:rsidR="003759D0" w:rsidRPr="00B9411E">
        <w:rPr>
          <w:lang w:val="en-GB"/>
        </w:rPr>
        <w:t>upervision</w:t>
      </w:r>
    </w:p>
    <w:p w:rsidR="003759D0" w:rsidRPr="00B9411E" w:rsidRDefault="003759D0" w:rsidP="000D11A5">
      <w:pPr>
        <w:pStyle w:val="PINormal"/>
        <w:rPr>
          <w:lang w:val="en-GB"/>
        </w:rPr>
      </w:pPr>
      <w:r w:rsidRPr="00B9411E">
        <w:rPr>
          <w:lang w:val="en-GB"/>
        </w:rPr>
        <w:t xml:space="preserve">If any of the following conditions are present, have occurred previously, and/or have been aggravated during pregnancy or previous hormone treatment, the patient </w:t>
      </w:r>
      <w:proofErr w:type="gramStart"/>
      <w:r w:rsidRPr="00B9411E">
        <w:rPr>
          <w:lang w:val="en-GB"/>
        </w:rPr>
        <w:t>should be closely supervised</w:t>
      </w:r>
      <w:proofErr w:type="gramEnd"/>
      <w:r w:rsidRPr="00B9411E">
        <w:rPr>
          <w:lang w:val="en-GB"/>
        </w:rPr>
        <w:t>.</w:t>
      </w:r>
      <w:r w:rsidR="00156EC8">
        <w:rPr>
          <w:lang w:val="en-GB"/>
        </w:rPr>
        <w:t xml:space="preserve"> </w:t>
      </w:r>
      <w:r w:rsidRPr="00B9411E">
        <w:rPr>
          <w:lang w:val="en-GB"/>
        </w:rPr>
        <w:t>It should be taken into account that these conditions may recur or be aggravated during treatment with DUAVIVE, in particular:</w:t>
      </w:r>
    </w:p>
    <w:p w:rsidR="003759D0" w:rsidRPr="000D11A5" w:rsidRDefault="003759D0" w:rsidP="008D1DDF">
      <w:pPr>
        <w:pStyle w:val="CLDTableTextListText"/>
        <w:keepNext w:val="0"/>
        <w:numPr>
          <w:ilvl w:val="0"/>
          <w:numId w:val="42"/>
        </w:numPr>
        <w:ind w:left="357" w:hanging="357"/>
      </w:pPr>
      <w:r w:rsidRPr="000D11A5">
        <w:t>Leiomyoma (uterine fibroids) or endometriosis</w:t>
      </w:r>
    </w:p>
    <w:p w:rsidR="003759D0" w:rsidRPr="000D11A5" w:rsidRDefault="003759D0" w:rsidP="008D1DDF">
      <w:pPr>
        <w:pStyle w:val="CLDTableTextListText"/>
        <w:keepNext w:val="0"/>
        <w:numPr>
          <w:ilvl w:val="0"/>
          <w:numId w:val="42"/>
        </w:numPr>
        <w:ind w:left="357" w:hanging="357"/>
      </w:pPr>
      <w:r w:rsidRPr="000D11A5">
        <w:t xml:space="preserve">Risk factors for thromboembolic disorders (see </w:t>
      </w:r>
      <w:r w:rsidR="00A74E3D">
        <w:t xml:space="preserve">Venous Thromboembolism </w:t>
      </w:r>
      <w:r w:rsidRPr="000D11A5">
        <w:t>below)</w:t>
      </w:r>
    </w:p>
    <w:p w:rsidR="003759D0" w:rsidRPr="000D11A5" w:rsidRDefault="003759D0" w:rsidP="008D1DDF">
      <w:pPr>
        <w:pStyle w:val="CLDTableTextListText"/>
        <w:keepNext w:val="0"/>
        <w:numPr>
          <w:ilvl w:val="0"/>
          <w:numId w:val="42"/>
        </w:numPr>
        <w:ind w:left="357" w:hanging="357"/>
      </w:pPr>
      <w:r w:rsidRPr="000D11A5">
        <w:t xml:space="preserve">Risk factors for estrogen-dependent tumours, </w:t>
      </w:r>
      <w:r w:rsidR="005428C0">
        <w:t>e.g.,</w:t>
      </w:r>
      <w:r w:rsidRPr="000D11A5">
        <w:t xml:space="preserve"> 1</w:t>
      </w:r>
      <w:r w:rsidRPr="000D11A5">
        <w:rPr>
          <w:vertAlign w:val="superscript"/>
        </w:rPr>
        <w:t>st</w:t>
      </w:r>
      <w:r w:rsidRPr="000D11A5">
        <w:t xml:space="preserve"> degree heredity for breast cancer</w:t>
      </w:r>
    </w:p>
    <w:p w:rsidR="003759D0" w:rsidRPr="000D11A5" w:rsidRDefault="003759D0" w:rsidP="008D1DDF">
      <w:pPr>
        <w:pStyle w:val="CLDTableTextListText"/>
        <w:keepNext w:val="0"/>
        <w:numPr>
          <w:ilvl w:val="0"/>
          <w:numId w:val="42"/>
        </w:numPr>
        <w:ind w:left="357" w:hanging="357"/>
      </w:pPr>
      <w:r w:rsidRPr="000D11A5">
        <w:t>Hypertension</w:t>
      </w:r>
    </w:p>
    <w:p w:rsidR="00B5712F" w:rsidRDefault="003759D0" w:rsidP="00B5712F">
      <w:pPr>
        <w:pStyle w:val="CLDTableTextListText"/>
        <w:keepNext w:val="0"/>
        <w:numPr>
          <w:ilvl w:val="0"/>
          <w:numId w:val="42"/>
        </w:numPr>
        <w:ind w:left="357" w:hanging="357"/>
      </w:pPr>
      <w:r w:rsidRPr="000D11A5">
        <w:t>Liver disorders (</w:t>
      </w:r>
      <w:r w:rsidR="005428C0">
        <w:t>e.g.,</w:t>
      </w:r>
      <w:r w:rsidRPr="000D11A5">
        <w:t xml:space="preserve"> </w:t>
      </w:r>
      <w:r w:rsidR="00B5712F">
        <w:t>hepatic</w:t>
      </w:r>
      <w:r w:rsidR="00B5712F" w:rsidRPr="000D11A5">
        <w:t xml:space="preserve"> </w:t>
      </w:r>
      <w:r w:rsidRPr="000D11A5">
        <w:t>adenoma</w:t>
      </w:r>
      <w:r w:rsidR="00B5712F">
        <w:t>, hepatic haemangiomas</w:t>
      </w:r>
    </w:p>
    <w:p w:rsidR="003759D0" w:rsidRPr="000D11A5" w:rsidRDefault="003759D0" w:rsidP="008D1DDF">
      <w:pPr>
        <w:pStyle w:val="CLDTableTextListText"/>
        <w:keepNext w:val="0"/>
        <w:numPr>
          <w:ilvl w:val="0"/>
          <w:numId w:val="42"/>
        </w:numPr>
        <w:ind w:left="357" w:hanging="357"/>
      </w:pPr>
      <w:r w:rsidRPr="000D11A5">
        <w:t>Diabetes mellitus with or without vascular involvement</w:t>
      </w:r>
    </w:p>
    <w:p w:rsidR="003759D0" w:rsidRPr="000D11A5" w:rsidRDefault="003759D0" w:rsidP="008D1DDF">
      <w:pPr>
        <w:pStyle w:val="CLDTableTextListText"/>
        <w:keepNext w:val="0"/>
        <w:numPr>
          <w:ilvl w:val="0"/>
          <w:numId w:val="42"/>
        </w:numPr>
        <w:ind w:left="357" w:hanging="357"/>
      </w:pPr>
      <w:r w:rsidRPr="000D11A5">
        <w:t>Cholelithiasis</w:t>
      </w:r>
    </w:p>
    <w:p w:rsidR="00045C68" w:rsidRDefault="003759D0" w:rsidP="00045C68">
      <w:pPr>
        <w:pStyle w:val="CLDTableTextListText"/>
        <w:keepNext w:val="0"/>
        <w:numPr>
          <w:ilvl w:val="0"/>
          <w:numId w:val="42"/>
        </w:numPr>
        <w:ind w:left="357" w:hanging="357"/>
      </w:pPr>
      <w:r w:rsidRPr="000D11A5">
        <w:t>Migraine or (severe) headache</w:t>
      </w:r>
    </w:p>
    <w:p w:rsidR="003759D0" w:rsidRPr="000D11A5" w:rsidRDefault="003759D0" w:rsidP="008D1DDF">
      <w:pPr>
        <w:pStyle w:val="CLDTableTextListText"/>
        <w:keepNext w:val="0"/>
        <w:numPr>
          <w:ilvl w:val="0"/>
          <w:numId w:val="42"/>
        </w:numPr>
        <w:ind w:left="357" w:hanging="357"/>
      </w:pPr>
      <w:r w:rsidRPr="000D11A5">
        <w:lastRenderedPageBreak/>
        <w:t>Systemic lupus erythematosus</w:t>
      </w:r>
    </w:p>
    <w:p w:rsidR="003759D0" w:rsidRPr="000D11A5" w:rsidRDefault="003759D0" w:rsidP="008D1DDF">
      <w:pPr>
        <w:pStyle w:val="CLDTableTextListText"/>
        <w:keepNext w:val="0"/>
        <w:numPr>
          <w:ilvl w:val="0"/>
          <w:numId w:val="42"/>
        </w:numPr>
        <w:ind w:left="357" w:hanging="357"/>
      </w:pPr>
      <w:r w:rsidRPr="000D11A5">
        <w:t xml:space="preserve">A history of endometrial hyperplasia (see </w:t>
      </w:r>
      <w:r w:rsidR="00A74E3D">
        <w:t xml:space="preserve">Endometrial Hyperplasia and Carcinoma </w:t>
      </w:r>
      <w:r w:rsidRPr="000D11A5">
        <w:t>below)</w:t>
      </w:r>
    </w:p>
    <w:p w:rsidR="003759D0" w:rsidRPr="000D11A5" w:rsidRDefault="003759D0" w:rsidP="00156EC8">
      <w:pPr>
        <w:pStyle w:val="CLDTableTextListText"/>
        <w:keepNext w:val="0"/>
        <w:numPr>
          <w:ilvl w:val="0"/>
          <w:numId w:val="42"/>
        </w:numPr>
        <w:ind w:left="357" w:hanging="357"/>
      </w:pPr>
      <w:r w:rsidRPr="000D11A5">
        <w:t>Epilepsy</w:t>
      </w:r>
    </w:p>
    <w:p w:rsidR="003759D0" w:rsidRPr="000D11A5" w:rsidRDefault="003759D0" w:rsidP="00156EC8">
      <w:pPr>
        <w:pStyle w:val="CLDTableTextListText"/>
        <w:keepNext w:val="0"/>
        <w:numPr>
          <w:ilvl w:val="0"/>
          <w:numId w:val="42"/>
        </w:numPr>
        <w:ind w:left="357" w:hanging="357"/>
      </w:pPr>
      <w:r w:rsidRPr="000D11A5">
        <w:t>Asthma</w:t>
      </w:r>
    </w:p>
    <w:p w:rsidR="003759D0" w:rsidRPr="000D11A5" w:rsidRDefault="003759D0" w:rsidP="00156EC8">
      <w:pPr>
        <w:pStyle w:val="CLDTableTextListText"/>
        <w:keepNext w:val="0"/>
        <w:numPr>
          <w:ilvl w:val="0"/>
          <w:numId w:val="42"/>
        </w:numPr>
        <w:ind w:left="357" w:hanging="357"/>
      </w:pPr>
      <w:r w:rsidRPr="000D11A5">
        <w:t>Otosclerosis</w:t>
      </w:r>
      <w:r w:rsidR="00F2141C">
        <w:t>.</w:t>
      </w:r>
    </w:p>
    <w:p w:rsidR="003759D0" w:rsidRPr="00B9411E" w:rsidRDefault="003759D0" w:rsidP="00F2141C">
      <w:pPr>
        <w:pStyle w:val="PIHeading2"/>
        <w:rPr>
          <w:lang w:val="en-GB"/>
        </w:rPr>
      </w:pPr>
      <w:r w:rsidRPr="00B9411E">
        <w:rPr>
          <w:lang w:val="en-GB"/>
        </w:rPr>
        <w:t xml:space="preserve">Reasons for </w:t>
      </w:r>
      <w:r w:rsidR="00F2141C">
        <w:rPr>
          <w:lang w:val="en-GB"/>
        </w:rPr>
        <w:t>I</w:t>
      </w:r>
      <w:r w:rsidRPr="00B9411E">
        <w:rPr>
          <w:lang w:val="en-GB"/>
        </w:rPr>
        <w:t xml:space="preserve">mmediate </w:t>
      </w:r>
      <w:r w:rsidR="00F2141C">
        <w:rPr>
          <w:lang w:val="en-GB"/>
        </w:rPr>
        <w:t>W</w:t>
      </w:r>
      <w:r w:rsidRPr="00B9411E">
        <w:rPr>
          <w:lang w:val="en-GB"/>
        </w:rPr>
        <w:t xml:space="preserve">ithdrawal of </w:t>
      </w:r>
      <w:r w:rsidR="00F2141C">
        <w:rPr>
          <w:lang w:val="en-GB"/>
        </w:rPr>
        <w:t>T</w:t>
      </w:r>
      <w:r w:rsidRPr="00B9411E">
        <w:rPr>
          <w:lang w:val="en-GB"/>
        </w:rPr>
        <w:t>herapy</w:t>
      </w:r>
    </w:p>
    <w:p w:rsidR="00400C4D" w:rsidRDefault="003759D0" w:rsidP="00540D26">
      <w:pPr>
        <w:pStyle w:val="PINormal"/>
        <w:rPr>
          <w:lang w:val="en-GB"/>
        </w:rPr>
      </w:pPr>
      <w:r w:rsidRPr="00B9411E">
        <w:rPr>
          <w:lang w:val="en-GB"/>
        </w:rPr>
        <w:t xml:space="preserve">Therapy should be discontinued </w:t>
      </w:r>
      <w:r w:rsidR="0019249D">
        <w:rPr>
          <w:lang w:val="en-GB"/>
        </w:rPr>
        <w:t>where a contradiction to therapy presents</w:t>
      </w:r>
      <w:r w:rsidR="002D7D53">
        <w:rPr>
          <w:lang w:val="en-GB"/>
        </w:rPr>
        <w:t>,</w:t>
      </w:r>
      <w:r w:rsidR="0019249D">
        <w:rPr>
          <w:lang w:val="en-GB"/>
        </w:rPr>
        <w:t xml:space="preserve"> e.g</w:t>
      </w:r>
      <w:proofErr w:type="gramStart"/>
      <w:r w:rsidR="0019249D">
        <w:rPr>
          <w:lang w:val="en-GB"/>
        </w:rPr>
        <w:t>.</w:t>
      </w:r>
      <w:r w:rsidR="002D7D53">
        <w:rPr>
          <w:lang w:val="en-GB"/>
        </w:rPr>
        <w:t>,</w:t>
      </w:r>
      <w:proofErr w:type="gramEnd"/>
    </w:p>
    <w:p w:rsidR="0019249D" w:rsidRDefault="0019249D" w:rsidP="00540D26">
      <w:pPr>
        <w:pStyle w:val="CLDTableTextListText"/>
        <w:keepNext w:val="0"/>
        <w:numPr>
          <w:ilvl w:val="0"/>
          <w:numId w:val="42"/>
        </w:numPr>
      </w:pPr>
      <w:r>
        <w:t>V</w:t>
      </w:r>
      <w:r w:rsidR="003759D0" w:rsidRPr="0019249D">
        <w:t>enous thromboembolism</w:t>
      </w:r>
    </w:p>
    <w:p w:rsidR="0019249D" w:rsidRDefault="0019249D" w:rsidP="00540D26">
      <w:pPr>
        <w:pStyle w:val="CLDTableTextListText"/>
        <w:keepNext w:val="0"/>
        <w:numPr>
          <w:ilvl w:val="0"/>
          <w:numId w:val="42"/>
        </w:numPr>
      </w:pPr>
      <w:r>
        <w:t>S</w:t>
      </w:r>
      <w:r w:rsidR="003759D0" w:rsidRPr="00B9411E">
        <w:t>troke</w:t>
      </w:r>
    </w:p>
    <w:p w:rsidR="00400C4D" w:rsidRDefault="0019249D" w:rsidP="00540D26">
      <w:pPr>
        <w:pStyle w:val="CLDTableTextListText"/>
        <w:keepNext w:val="0"/>
        <w:numPr>
          <w:ilvl w:val="0"/>
          <w:numId w:val="42"/>
        </w:numPr>
      </w:pPr>
      <w:r>
        <w:t>P</w:t>
      </w:r>
      <w:r w:rsidR="003759D0" w:rsidRPr="00B9411E">
        <w:t>regnancy</w:t>
      </w:r>
    </w:p>
    <w:p w:rsidR="003759D0" w:rsidRPr="00F2141C" w:rsidRDefault="003759D0" w:rsidP="00540D26">
      <w:pPr>
        <w:pStyle w:val="CLDTableTextListText"/>
        <w:keepNext w:val="0"/>
        <w:numPr>
          <w:ilvl w:val="0"/>
          <w:numId w:val="42"/>
        </w:numPr>
      </w:pPr>
      <w:r w:rsidRPr="00F2141C">
        <w:t>Jaundice or deterioration in liver function</w:t>
      </w:r>
    </w:p>
    <w:p w:rsidR="003759D0" w:rsidRPr="00F2141C" w:rsidRDefault="003759D0" w:rsidP="00540D26">
      <w:pPr>
        <w:pStyle w:val="CLDTableTextListText"/>
        <w:keepNext w:val="0"/>
        <w:numPr>
          <w:ilvl w:val="0"/>
          <w:numId w:val="43"/>
        </w:numPr>
      </w:pPr>
      <w:r w:rsidRPr="00F2141C">
        <w:t>Significant increase in blood pressure</w:t>
      </w:r>
    </w:p>
    <w:p w:rsidR="003759D0" w:rsidRDefault="003759D0" w:rsidP="00540D26">
      <w:pPr>
        <w:pStyle w:val="CLDTableTextListText"/>
        <w:keepNext w:val="0"/>
        <w:numPr>
          <w:ilvl w:val="0"/>
          <w:numId w:val="43"/>
        </w:numPr>
      </w:pPr>
      <w:r w:rsidRPr="00F2141C">
        <w:t>New onset of migraine-type headache</w:t>
      </w:r>
      <w:r w:rsidR="00F2141C">
        <w:t>.</w:t>
      </w:r>
    </w:p>
    <w:p w:rsidR="003759D0" w:rsidRPr="00B9411E" w:rsidRDefault="003759D0" w:rsidP="00F2141C">
      <w:pPr>
        <w:pStyle w:val="PIHeading2"/>
        <w:rPr>
          <w:lang w:val="en-GB"/>
        </w:rPr>
      </w:pPr>
      <w:r w:rsidRPr="00B9411E">
        <w:rPr>
          <w:lang w:val="en-GB"/>
        </w:rPr>
        <w:t xml:space="preserve">Endometrial </w:t>
      </w:r>
      <w:r w:rsidR="00F2141C">
        <w:rPr>
          <w:lang w:val="en-GB"/>
        </w:rPr>
        <w:t>H</w:t>
      </w:r>
      <w:r w:rsidRPr="00B9411E">
        <w:rPr>
          <w:lang w:val="en-GB"/>
        </w:rPr>
        <w:t xml:space="preserve">yperplasia and </w:t>
      </w:r>
      <w:r w:rsidR="00F2141C">
        <w:rPr>
          <w:lang w:val="en-GB"/>
        </w:rPr>
        <w:t>C</w:t>
      </w:r>
      <w:r w:rsidRPr="00B9411E">
        <w:rPr>
          <w:lang w:val="en-GB"/>
        </w:rPr>
        <w:t>arcinoma</w:t>
      </w:r>
    </w:p>
    <w:p w:rsidR="00400C4D" w:rsidRDefault="009542A7" w:rsidP="009542A7">
      <w:pPr>
        <w:pStyle w:val="PINormal"/>
      </w:pPr>
      <w:bookmarkStart w:id="4" w:name="_5.9__Elevated"/>
      <w:bookmarkStart w:id="5" w:name="_5.10__Exacerbation"/>
      <w:bookmarkStart w:id="6" w:name="section-8.10"/>
      <w:bookmarkStart w:id="7" w:name="section-8.11"/>
      <w:bookmarkStart w:id="8" w:name="section-8.12"/>
      <w:bookmarkEnd w:id="4"/>
      <w:bookmarkEnd w:id="5"/>
      <w:bookmarkEnd w:id="6"/>
      <w:bookmarkEnd w:id="7"/>
      <w:bookmarkEnd w:id="8"/>
      <w:r w:rsidRPr="00B9411E">
        <w:t xml:space="preserve">In women with an intact uterus, the risk of endometrial hyperplasia and carcinoma is increased when </w:t>
      </w:r>
      <w:r w:rsidR="00156E84">
        <w:t>estrogens</w:t>
      </w:r>
      <w:r w:rsidRPr="00B9411E">
        <w:t xml:space="preserve"> are administered alone for prolonged periods.</w:t>
      </w:r>
      <w:r w:rsidR="00156EC8">
        <w:t xml:space="preserve"> </w:t>
      </w:r>
      <w:r w:rsidRPr="00B9411E">
        <w:t>The reported increase in endometrial cancer risk among estrogen-only users varies from 2- to 12-fold greater compared with non-users, depending on duration of treatment and estrogen dose.</w:t>
      </w:r>
      <w:r w:rsidR="00156EC8">
        <w:t xml:space="preserve"> </w:t>
      </w:r>
      <w:r>
        <w:t>After stopping treatment, risk may remain elevated for at least 10 years.</w:t>
      </w:r>
      <w:r w:rsidR="00156EC8">
        <w:t xml:space="preserve"> </w:t>
      </w:r>
      <w:r w:rsidRPr="00B9411E">
        <w:t xml:space="preserve">Women taking DUAVIVE should not take additional </w:t>
      </w:r>
      <w:r w:rsidR="00156E84">
        <w:t>estrogens</w:t>
      </w:r>
      <w:r w:rsidRPr="00B9411E">
        <w:t xml:space="preserve"> as this may increase the risk of endometrial hyperplasia and endometrial carcinoma.</w:t>
      </w:r>
    </w:p>
    <w:p w:rsidR="009542A7" w:rsidRPr="00B9411E" w:rsidRDefault="009542A7" w:rsidP="009542A7">
      <w:pPr>
        <w:pStyle w:val="PINormal"/>
      </w:pPr>
      <w:r w:rsidRPr="00B9411E">
        <w:t xml:space="preserve">The addition of </w:t>
      </w:r>
      <w:proofErr w:type="spellStart"/>
      <w:r w:rsidRPr="00B9411E">
        <w:t>bazedoxifene</w:t>
      </w:r>
      <w:proofErr w:type="spellEnd"/>
      <w:r w:rsidRPr="00B9411E">
        <w:t xml:space="preserve"> in DUAVIVE reduces the risk of endometrial hyperplasia</w:t>
      </w:r>
      <w:r>
        <w:t>,</w:t>
      </w:r>
      <w:r w:rsidRPr="00B9411E">
        <w:t xml:space="preserve"> which may be a precursor of endometrial carcinoma</w:t>
      </w:r>
      <w:r w:rsidR="00A01A9E">
        <w:t xml:space="preserve"> (see CLINICAL TRIALS, Effects on the Endometrium and ADVERSE EFFECTS, </w:t>
      </w:r>
      <w:r w:rsidR="00A01A9E" w:rsidRPr="00CC53C9">
        <w:t xml:space="preserve">Description of </w:t>
      </w:r>
      <w:r w:rsidR="00A01A9E" w:rsidRPr="00DA6AD3">
        <w:t>Selected</w:t>
      </w:r>
      <w:r w:rsidR="00A01A9E" w:rsidRPr="00CC53C9">
        <w:t xml:space="preserve"> Adverse Reactions</w:t>
      </w:r>
      <w:r w:rsidR="00A01A9E">
        <w:t>, Endometrial C</w:t>
      </w:r>
      <w:r w:rsidR="00A01A9E" w:rsidRPr="00B9411E">
        <w:t xml:space="preserve">ancer </w:t>
      </w:r>
      <w:r w:rsidR="00A01A9E">
        <w:t>R</w:t>
      </w:r>
      <w:r w:rsidR="00A01A9E" w:rsidRPr="00B9411E">
        <w:t>isk</w:t>
      </w:r>
      <w:r w:rsidR="00A01A9E">
        <w:t>s)</w:t>
      </w:r>
      <w:r w:rsidRPr="00B9411E">
        <w:t>.</w:t>
      </w:r>
    </w:p>
    <w:p w:rsidR="00400C4D" w:rsidRDefault="009542A7" w:rsidP="009542A7">
      <w:pPr>
        <w:pStyle w:val="PINormal"/>
      </w:pPr>
      <w:r w:rsidRPr="00B9411E">
        <w:t>Break-through bleeding and spotting may occur during treatment.</w:t>
      </w:r>
      <w:r w:rsidR="00156EC8">
        <w:t xml:space="preserve"> </w:t>
      </w:r>
      <w:r w:rsidRPr="00B9411E">
        <w:t>If break-through bleeding or spotting appears after some time on therapy, or continues after treatment has been discontinued, the reason should be investigated, which may include endometrial biopsy to exclude endometrial malignancy.</w:t>
      </w:r>
    </w:p>
    <w:p w:rsidR="00B34717" w:rsidRDefault="00B34717" w:rsidP="009542A7">
      <w:pPr>
        <w:pStyle w:val="PIHeading2"/>
        <w:rPr>
          <w:lang w:val="en-GB"/>
        </w:rPr>
      </w:pPr>
      <w:r>
        <w:rPr>
          <w:lang w:val="en-GB"/>
        </w:rPr>
        <w:t>Breast</w:t>
      </w:r>
      <w:r w:rsidR="007B2EDA">
        <w:rPr>
          <w:lang w:val="en-GB"/>
        </w:rPr>
        <w:t xml:space="preserve"> Cancer</w:t>
      </w:r>
    </w:p>
    <w:p w:rsidR="000A1623" w:rsidDel="00B82211" w:rsidRDefault="000A1623" w:rsidP="000A1623">
      <w:pPr>
        <w:pStyle w:val="BodyText"/>
        <w:jc w:val="both"/>
      </w:pPr>
      <w:r w:rsidDel="00B82211">
        <w:t>The</w:t>
      </w:r>
      <w:r w:rsidDel="00B82211">
        <w:rPr>
          <w:spacing w:val="-4"/>
        </w:rPr>
        <w:t xml:space="preserve"> </w:t>
      </w:r>
      <w:r w:rsidDel="00B82211">
        <w:rPr>
          <w:spacing w:val="-1"/>
        </w:rPr>
        <w:t>effect</w:t>
      </w:r>
      <w:r w:rsidDel="00B82211">
        <w:rPr>
          <w:spacing w:val="-2"/>
        </w:rPr>
        <w:t xml:space="preserve"> </w:t>
      </w:r>
      <w:r w:rsidDel="00B82211">
        <w:rPr>
          <w:spacing w:val="2"/>
        </w:rPr>
        <w:t>of</w:t>
      </w:r>
      <w:r w:rsidDel="00B82211">
        <w:rPr>
          <w:spacing w:val="-6"/>
        </w:rPr>
        <w:t xml:space="preserve"> </w:t>
      </w:r>
      <w:r w:rsidDel="00B82211">
        <w:rPr>
          <w:spacing w:val="-1"/>
        </w:rPr>
        <w:t xml:space="preserve">DUAVIVE </w:t>
      </w:r>
      <w:r w:rsidDel="00B82211">
        <w:rPr>
          <w:spacing w:val="2"/>
        </w:rPr>
        <w:t xml:space="preserve">on </w:t>
      </w:r>
      <w:r w:rsidDel="00B82211">
        <w:rPr>
          <w:spacing w:val="-2"/>
        </w:rPr>
        <w:t>the</w:t>
      </w:r>
      <w:r w:rsidDel="00B82211">
        <w:rPr>
          <w:spacing w:val="1"/>
        </w:rPr>
        <w:t xml:space="preserve"> </w:t>
      </w:r>
      <w:r w:rsidDel="00B82211">
        <w:rPr>
          <w:spacing w:val="-1"/>
        </w:rPr>
        <w:t>risk</w:t>
      </w:r>
      <w:r w:rsidDel="00B82211">
        <w:rPr>
          <w:spacing w:val="-3"/>
        </w:rPr>
        <w:t xml:space="preserve"> </w:t>
      </w:r>
      <w:r w:rsidDel="00B82211">
        <w:rPr>
          <w:spacing w:val="2"/>
        </w:rPr>
        <w:t>of</w:t>
      </w:r>
      <w:r w:rsidDel="00B82211">
        <w:rPr>
          <w:spacing w:val="-11"/>
        </w:rPr>
        <w:t xml:space="preserve"> </w:t>
      </w:r>
      <w:r w:rsidDel="00B82211">
        <w:t>breast</w:t>
      </w:r>
      <w:r w:rsidDel="00B82211">
        <w:rPr>
          <w:spacing w:val="-2"/>
        </w:rPr>
        <w:t xml:space="preserve"> </w:t>
      </w:r>
      <w:r w:rsidDel="00B82211">
        <w:t>cancer</w:t>
      </w:r>
      <w:r w:rsidDel="00B82211">
        <w:rPr>
          <w:spacing w:val="-6"/>
        </w:rPr>
        <w:t xml:space="preserve"> </w:t>
      </w:r>
      <w:r w:rsidDel="00B82211">
        <w:t>is unknown.</w:t>
      </w:r>
    </w:p>
    <w:p w:rsidR="009542A7" w:rsidRPr="00B9411E" w:rsidRDefault="009542A7" w:rsidP="009542A7">
      <w:pPr>
        <w:pStyle w:val="PINormal"/>
      </w:pPr>
      <w:r w:rsidRPr="00B9411E">
        <w:t>The overall evidence suggests a possible increased risk of breast cancer in women taking estrogen-only therapy that is dependent on the duration of therapy</w:t>
      </w:r>
      <w:r w:rsidR="00B64995">
        <w:t xml:space="preserve"> and age at initiation of therapy</w:t>
      </w:r>
      <w:r w:rsidRPr="00B9411E">
        <w:t>.</w:t>
      </w:r>
    </w:p>
    <w:p w:rsidR="007E2C7B" w:rsidRPr="00B9411E" w:rsidRDefault="009542A7" w:rsidP="007E2C7B">
      <w:pPr>
        <w:pStyle w:val="PINormal"/>
      </w:pPr>
      <w:r w:rsidRPr="00B9411E">
        <w:t>The Women’s Health Initiative (WHI) trial found no increase in the risk of breast cancer in hysterectomised women using estrogen-only therapy</w:t>
      </w:r>
      <w:r w:rsidR="007E2C7B">
        <w:t xml:space="preserve"> (see ADVERSE EFFECTS, </w:t>
      </w:r>
      <w:r w:rsidR="007E2C7B" w:rsidRPr="00CC53C9">
        <w:t xml:space="preserve">Description of </w:t>
      </w:r>
      <w:r w:rsidR="007E2C7B" w:rsidRPr="00DA6AD3">
        <w:t>Selected</w:t>
      </w:r>
      <w:r w:rsidR="007E2C7B" w:rsidRPr="00CC53C9">
        <w:t xml:space="preserve"> Adverse Reactions</w:t>
      </w:r>
      <w:r w:rsidR="007E2C7B">
        <w:t>, Breast C</w:t>
      </w:r>
      <w:r w:rsidR="007E2C7B" w:rsidRPr="00B9411E">
        <w:t xml:space="preserve">ancer </w:t>
      </w:r>
      <w:r w:rsidR="007E2C7B">
        <w:t>R</w:t>
      </w:r>
      <w:r w:rsidR="007E2C7B" w:rsidRPr="00B9411E">
        <w:t>isk</w:t>
      </w:r>
      <w:r w:rsidR="00C01D39">
        <w:t>).</w:t>
      </w:r>
    </w:p>
    <w:p w:rsidR="00400C4D" w:rsidRDefault="009542A7" w:rsidP="009542A7">
      <w:pPr>
        <w:pStyle w:val="PINormal"/>
      </w:pPr>
      <w:r w:rsidRPr="00B9411E">
        <w:t xml:space="preserve">Observational studies </w:t>
      </w:r>
      <w:r w:rsidR="00D62BD4">
        <w:rPr>
          <w:spacing w:val="-1"/>
        </w:rPr>
        <w:t>have</w:t>
      </w:r>
      <w:r w:rsidRPr="00B9411E">
        <w:t xml:space="preserve"> mostly reported a small increase in risk of having breast cancer diagnosed </w:t>
      </w:r>
      <w:r w:rsidR="00D62BD4">
        <w:t xml:space="preserve">in women treated with estrogens-alone therapy </w:t>
      </w:r>
      <w:r w:rsidRPr="00B9411E">
        <w:t>that is substantially lower than that found in users of estrogen-progest</w:t>
      </w:r>
      <w:r w:rsidR="009E5D5D">
        <w:t>o</w:t>
      </w:r>
      <w:r w:rsidRPr="00B9411E">
        <w:t xml:space="preserve">gen combinations (see </w:t>
      </w:r>
      <w:r>
        <w:t>ADVERSE EFFECTS</w:t>
      </w:r>
      <w:r w:rsidR="007E2C7B">
        <w:t xml:space="preserve">, </w:t>
      </w:r>
      <w:r w:rsidR="007E2C7B" w:rsidRPr="00CC53C9">
        <w:t xml:space="preserve">Description of </w:t>
      </w:r>
      <w:r w:rsidR="007E2C7B" w:rsidRPr="00DA6AD3">
        <w:t>Selected</w:t>
      </w:r>
      <w:r w:rsidR="007E2C7B" w:rsidRPr="00CC53C9">
        <w:t xml:space="preserve"> Adverse Reactions</w:t>
      </w:r>
      <w:r w:rsidR="007E2C7B">
        <w:t>, Breast C</w:t>
      </w:r>
      <w:r w:rsidR="007E2C7B" w:rsidRPr="00B9411E">
        <w:t xml:space="preserve">ancer </w:t>
      </w:r>
      <w:r w:rsidR="007E2C7B">
        <w:t>R</w:t>
      </w:r>
      <w:r w:rsidR="007E2C7B" w:rsidRPr="00B9411E">
        <w:t>isk</w:t>
      </w:r>
      <w:r w:rsidRPr="00B9411E">
        <w:t>).</w:t>
      </w:r>
      <w:r w:rsidR="00156EC8">
        <w:t xml:space="preserve"> </w:t>
      </w:r>
      <w:r w:rsidRPr="00B9411E">
        <w:t>The excess risk becomes apparent within a few years of use but returns to baseline within a few (at most five) years after stopping treatment.</w:t>
      </w:r>
    </w:p>
    <w:p w:rsidR="009542A7" w:rsidRDefault="009542A7" w:rsidP="009542A7">
      <w:pPr>
        <w:pStyle w:val="PIHeading2"/>
        <w:rPr>
          <w:lang w:val="en-GB"/>
        </w:rPr>
      </w:pPr>
      <w:r w:rsidRPr="00B9411E">
        <w:rPr>
          <w:lang w:val="en-GB"/>
        </w:rPr>
        <w:lastRenderedPageBreak/>
        <w:t>Ova</w:t>
      </w:r>
      <w:r>
        <w:rPr>
          <w:lang w:val="en-GB"/>
        </w:rPr>
        <w:t>rian C</w:t>
      </w:r>
      <w:r w:rsidRPr="00B9411E">
        <w:rPr>
          <w:lang w:val="en-GB"/>
        </w:rPr>
        <w:t>ancer</w:t>
      </w:r>
    </w:p>
    <w:p w:rsidR="00221412" w:rsidRDefault="00221412" w:rsidP="00221412">
      <w:pPr>
        <w:pStyle w:val="BodyText"/>
        <w:jc w:val="both"/>
      </w:pPr>
      <w:r>
        <w:t>The</w:t>
      </w:r>
      <w:r>
        <w:rPr>
          <w:spacing w:val="-4"/>
        </w:rPr>
        <w:t xml:space="preserve"> </w:t>
      </w:r>
      <w:r>
        <w:rPr>
          <w:spacing w:val="-1"/>
        </w:rPr>
        <w:t>effect</w:t>
      </w:r>
      <w:r>
        <w:rPr>
          <w:spacing w:val="-2"/>
        </w:rPr>
        <w:t xml:space="preserve"> </w:t>
      </w:r>
      <w:r>
        <w:rPr>
          <w:spacing w:val="2"/>
        </w:rPr>
        <w:t>of</w:t>
      </w:r>
      <w:r>
        <w:rPr>
          <w:spacing w:val="-6"/>
        </w:rPr>
        <w:t xml:space="preserve"> </w:t>
      </w:r>
      <w:r>
        <w:rPr>
          <w:spacing w:val="-1"/>
        </w:rPr>
        <w:t xml:space="preserve">DUAVIVE </w:t>
      </w:r>
      <w:r>
        <w:rPr>
          <w:spacing w:val="2"/>
        </w:rPr>
        <w:t xml:space="preserve">on </w:t>
      </w:r>
      <w:r>
        <w:rPr>
          <w:spacing w:val="-2"/>
        </w:rPr>
        <w:t>the</w:t>
      </w:r>
      <w:r>
        <w:rPr>
          <w:spacing w:val="1"/>
        </w:rPr>
        <w:t xml:space="preserve"> </w:t>
      </w:r>
      <w:r>
        <w:rPr>
          <w:spacing w:val="-1"/>
        </w:rPr>
        <w:t>risk</w:t>
      </w:r>
      <w:r>
        <w:rPr>
          <w:spacing w:val="-3"/>
        </w:rPr>
        <w:t xml:space="preserve"> </w:t>
      </w:r>
      <w:r>
        <w:rPr>
          <w:spacing w:val="2"/>
        </w:rPr>
        <w:t>of</w:t>
      </w:r>
      <w:r>
        <w:rPr>
          <w:spacing w:val="-11"/>
        </w:rPr>
        <w:t xml:space="preserve"> </w:t>
      </w:r>
      <w:r>
        <w:rPr>
          <w:spacing w:val="-1"/>
        </w:rPr>
        <w:t>ovarian</w:t>
      </w:r>
      <w:r>
        <w:rPr>
          <w:spacing w:val="2"/>
        </w:rPr>
        <w:t xml:space="preserve"> </w:t>
      </w:r>
      <w:r>
        <w:t>cancer</w:t>
      </w:r>
      <w:r>
        <w:rPr>
          <w:spacing w:val="-6"/>
        </w:rPr>
        <w:t xml:space="preserve"> </w:t>
      </w:r>
      <w:r>
        <w:t>is unknown.</w:t>
      </w:r>
    </w:p>
    <w:p w:rsidR="009542A7" w:rsidRPr="00B9411E" w:rsidRDefault="009542A7" w:rsidP="009542A7">
      <w:pPr>
        <w:pStyle w:val="PINormal"/>
      </w:pPr>
      <w:r w:rsidRPr="00B9411E">
        <w:t>Ovarian cancer is much rarer than breast cancer.</w:t>
      </w:r>
      <w:r w:rsidR="00156EC8">
        <w:t xml:space="preserve"> </w:t>
      </w:r>
      <w:r w:rsidR="00FF691A" w:rsidRPr="007E0BF4">
        <w:rPr>
          <w:rFonts w:eastAsia="TimesNewRoman"/>
          <w:lang w:val="en-US"/>
        </w:rPr>
        <w:t>Epidemiological evidence from a large meta-analysis suggests a slightly increased risk in women taking estrogen-only HRT, which becomes apparent within 5 years of use and diminishes over time after stopping.</w:t>
      </w:r>
      <w:r w:rsidR="00156EC8">
        <w:rPr>
          <w:rFonts w:eastAsia="TimesNewRoman"/>
          <w:lang w:val="en-US"/>
        </w:rPr>
        <w:t xml:space="preserve"> </w:t>
      </w:r>
      <w:r w:rsidR="00331409" w:rsidRPr="007E0BF4">
        <w:rPr>
          <w:rFonts w:eastAsia="TimesNewRoman"/>
        </w:rPr>
        <w:t xml:space="preserve">Some other studies, including the WHI trial, suggest that use of combined HRTs may be associated with a similar or slightly smaller risk </w:t>
      </w:r>
      <w:r w:rsidRPr="007E0BF4">
        <w:t>(see</w:t>
      </w:r>
      <w:r w:rsidR="00331409" w:rsidRPr="006D1087">
        <w:t xml:space="preserve"> </w:t>
      </w:r>
      <w:r w:rsidRPr="006D1087">
        <w:t>ADVERSE EFFECTS</w:t>
      </w:r>
      <w:r w:rsidR="00A01A9E" w:rsidRPr="006D1087">
        <w:t>, Description of Selected Adverse Reactions, Ovarian Cancer</w:t>
      </w:r>
      <w:r w:rsidRPr="006D1087">
        <w:t>).</w:t>
      </w:r>
    </w:p>
    <w:p w:rsidR="009542A7" w:rsidRDefault="009542A7" w:rsidP="009542A7">
      <w:pPr>
        <w:pStyle w:val="PIHeading2"/>
        <w:rPr>
          <w:lang w:val="en-GB"/>
        </w:rPr>
      </w:pPr>
      <w:r>
        <w:rPr>
          <w:lang w:val="en-GB"/>
        </w:rPr>
        <w:t>Venous T</w:t>
      </w:r>
      <w:r w:rsidRPr="00B9411E">
        <w:rPr>
          <w:lang w:val="en-GB"/>
        </w:rPr>
        <w:t>hromboembolism (VTE)</w:t>
      </w:r>
    </w:p>
    <w:p w:rsidR="009542A7" w:rsidRPr="00B9411E" w:rsidRDefault="009542A7" w:rsidP="009542A7">
      <w:pPr>
        <w:pStyle w:val="PINormal"/>
        <w:rPr>
          <w:lang w:val="en-GB"/>
        </w:rPr>
      </w:pPr>
      <w:r w:rsidRPr="00B9411E">
        <w:rPr>
          <w:lang w:val="en-GB"/>
        </w:rPr>
        <w:t>In clinical trials of up to 2 years duration in postmenopausal women with CE/</w:t>
      </w:r>
      <w:proofErr w:type="spellStart"/>
      <w:r w:rsidRPr="00B9411E">
        <w:rPr>
          <w:lang w:val="en-GB"/>
        </w:rPr>
        <w:t>bazedoxifene</w:t>
      </w:r>
      <w:proofErr w:type="spellEnd"/>
      <w:r w:rsidRPr="00B9411E">
        <w:rPr>
          <w:lang w:val="en-GB"/>
        </w:rPr>
        <w:t xml:space="preserve">, cases of VTE have been reported </w:t>
      </w:r>
      <w:r>
        <w:rPr>
          <w:lang w:val="en-GB"/>
        </w:rPr>
        <w:t>(see ADVERSE EFFECTS</w:t>
      </w:r>
      <w:r w:rsidR="00A01A9E">
        <w:rPr>
          <w:lang w:val="en-GB"/>
        </w:rPr>
        <w:t xml:space="preserve">, </w:t>
      </w:r>
      <w:r w:rsidR="00A01A9E" w:rsidRPr="00CC53C9">
        <w:t xml:space="preserve">Description of </w:t>
      </w:r>
      <w:r w:rsidR="00A01A9E" w:rsidRPr="00DA6AD3">
        <w:t>Selected</w:t>
      </w:r>
      <w:r w:rsidR="00A01A9E" w:rsidRPr="00CC53C9">
        <w:t xml:space="preserve"> Adverse Reactions</w:t>
      </w:r>
      <w:r w:rsidR="00A01A9E">
        <w:t xml:space="preserve">, </w:t>
      </w:r>
      <w:proofErr w:type="gramStart"/>
      <w:r w:rsidR="00A01A9E">
        <w:t>Risk</w:t>
      </w:r>
      <w:proofErr w:type="gramEnd"/>
      <w:r w:rsidR="00A01A9E">
        <w:t xml:space="preserve"> of Venous Thromboembolism</w:t>
      </w:r>
      <w:r w:rsidRPr="00B9411E">
        <w:rPr>
          <w:lang w:val="en-GB"/>
        </w:rPr>
        <w:t>).</w:t>
      </w:r>
      <w:r w:rsidR="00156EC8">
        <w:rPr>
          <w:lang w:val="en-GB"/>
        </w:rPr>
        <w:t xml:space="preserve"> </w:t>
      </w:r>
      <w:r w:rsidRPr="00B9411E">
        <w:rPr>
          <w:lang w:val="en-GB"/>
        </w:rPr>
        <w:t>Should a VTE event occur or be suspected, DUAVIVE should be discontinued immediately.</w:t>
      </w:r>
    </w:p>
    <w:p w:rsidR="009542A7" w:rsidRPr="00B9411E" w:rsidRDefault="009542A7" w:rsidP="009542A7">
      <w:pPr>
        <w:pStyle w:val="PINormal"/>
      </w:pPr>
      <w:r w:rsidRPr="00B9411E">
        <w:t xml:space="preserve">SERMs (including bazedoxifene) and </w:t>
      </w:r>
      <w:r w:rsidR="00156E84">
        <w:t>estrogens</w:t>
      </w:r>
      <w:r w:rsidRPr="00B9411E">
        <w:t xml:space="preserve"> individuall</w:t>
      </w:r>
      <w:r>
        <w:t>y increase the risk of VTE (see ADVERSE EFFECTS</w:t>
      </w:r>
      <w:r w:rsidR="00A01A9E">
        <w:t xml:space="preserve">, </w:t>
      </w:r>
      <w:r w:rsidR="00A01A9E" w:rsidRPr="00CC53C9">
        <w:t xml:space="preserve">Description of </w:t>
      </w:r>
      <w:r w:rsidR="00A01A9E" w:rsidRPr="00DA6AD3">
        <w:t>Selected</w:t>
      </w:r>
      <w:r w:rsidR="00A01A9E" w:rsidRPr="00CC53C9">
        <w:t xml:space="preserve"> Adverse Reactions</w:t>
      </w:r>
      <w:r w:rsidR="00A01A9E">
        <w:t>, Risk of Venous Thromboembolism</w:t>
      </w:r>
      <w:r w:rsidRPr="00B9411E">
        <w:t>).</w:t>
      </w:r>
    </w:p>
    <w:p w:rsidR="00400C4D" w:rsidRDefault="009542A7" w:rsidP="009542A7">
      <w:pPr>
        <w:pStyle w:val="PINormal"/>
        <w:rPr>
          <w:lang w:eastAsia="en-GB"/>
        </w:rPr>
      </w:pPr>
      <w:r w:rsidRPr="00B9411E">
        <w:rPr>
          <w:lang w:eastAsia="en-GB"/>
        </w:rPr>
        <w:t xml:space="preserve">Hormone therapy </w:t>
      </w:r>
      <w:r w:rsidR="009A733B">
        <w:rPr>
          <w:lang w:eastAsia="en-GB"/>
        </w:rPr>
        <w:t xml:space="preserve">(HRT) </w:t>
      </w:r>
      <w:r w:rsidRPr="00B9411E">
        <w:rPr>
          <w:lang w:eastAsia="en-GB"/>
        </w:rPr>
        <w:t>is associated with a 1.3-3 fold risk of developing VTE.</w:t>
      </w:r>
      <w:r w:rsidR="00156EC8">
        <w:rPr>
          <w:lang w:eastAsia="en-GB"/>
        </w:rPr>
        <w:t xml:space="preserve"> </w:t>
      </w:r>
      <w:r w:rsidRPr="00B9411E">
        <w:rPr>
          <w:lang w:eastAsia="en-GB"/>
        </w:rPr>
        <w:t xml:space="preserve">The occurrence of such an event is more likely in the first year of HRT than later (see </w:t>
      </w:r>
      <w:r>
        <w:rPr>
          <w:lang w:eastAsia="en-GB"/>
        </w:rPr>
        <w:t>ADVERSE EFFECTS</w:t>
      </w:r>
      <w:r w:rsidR="00A01A9E">
        <w:rPr>
          <w:lang w:eastAsia="en-GB"/>
        </w:rPr>
        <w:t xml:space="preserve">, </w:t>
      </w:r>
      <w:r w:rsidR="00A01A9E" w:rsidRPr="00CC53C9">
        <w:t xml:space="preserve">Description of </w:t>
      </w:r>
      <w:r w:rsidR="00A01A9E" w:rsidRPr="00DA6AD3">
        <w:t>Selected</w:t>
      </w:r>
      <w:r w:rsidR="00A01A9E" w:rsidRPr="00CC53C9">
        <w:t xml:space="preserve"> Adverse Reactions</w:t>
      </w:r>
      <w:r w:rsidR="00A01A9E">
        <w:t xml:space="preserve">, </w:t>
      </w:r>
      <w:proofErr w:type="gramStart"/>
      <w:r w:rsidR="00A01A9E">
        <w:t>Risk</w:t>
      </w:r>
      <w:proofErr w:type="gramEnd"/>
      <w:r w:rsidR="00A01A9E">
        <w:t xml:space="preserve"> of Venous Thromboembolism</w:t>
      </w:r>
      <w:r w:rsidRPr="00B9411E">
        <w:rPr>
          <w:lang w:eastAsia="en-GB"/>
        </w:rPr>
        <w:t>).</w:t>
      </w:r>
    </w:p>
    <w:p w:rsidR="009542A7" w:rsidRPr="00B9411E" w:rsidRDefault="009542A7" w:rsidP="009542A7">
      <w:pPr>
        <w:pStyle w:val="PINormal"/>
        <w:rPr>
          <w:lang w:eastAsia="en-GB"/>
        </w:rPr>
      </w:pPr>
      <w:r w:rsidRPr="00B9411E">
        <w:rPr>
          <w:lang w:eastAsia="en-GB"/>
        </w:rPr>
        <w:t xml:space="preserve">Patients with known </w:t>
      </w:r>
      <w:proofErr w:type="spellStart"/>
      <w:r w:rsidRPr="00B9411E">
        <w:rPr>
          <w:lang w:eastAsia="en-GB"/>
        </w:rPr>
        <w:t>thrombophilic</w:t>
      </w:r>
      <w:proofErr w:type="spellEnd"/>
      <w:r w:rsidRPr="00B9411E">
        <w:rPr>
          <w:lang w:eastAsia="en-GB"/>
        </w:rPr>
        <w:t xml:space="preserve"> states have an increased risk of VTE and hormone therapy may add to this risk.</w:t>
      </w:r>
      <w:r w:rsidR="00156EC8">
        <w:rPr>
          <w:lang w:eastAsia="en-GB"/>
        </w:rPr>
        <w:t xml:space="preserve"> </w:t>
      </w:r>
      <w:r w:rsidRPr="00B9411E">
        <w:rPr>
          <w:lang w:eastAsia="en-GB"/>
        </w:rPr>
        <w:t xml:space="preserve">DUAVIVE is contraindicated in these patients (see </w:t>
      </w:r>
      <w:r>
        <w:rPr>
          <w:lang w:eastAsia="en-GB"/>
        </w:rPr>
        <w:t>CONTRAINDICATIONS</w:t>
      </w:r>
      <w:r w:rsidRPr="00B9411E">
        <w:rPr>
          <w:lang w:eastAsia="en-GB"/>
        </w:rPr>
        <w:t>).</w:t>
      </w:r>
    </w:p>
    <w:p w:rsidR="009542A7" w:rsidRPr="00B9411E" w:rsidRDefault="009542A7" w:rsidP="009542A7">
      <w:pPr>
        <w:pStyle w:val="PINormal"/>
        <w:rPr>
          <w:bCs/>
        </w:rPr>
      </w:pPr>
      <w:r w:rsidRPr="00B9411E">
        <w:rPr>
          <w:lang w:eastAsia="en-GB"/>
        </w:rPr>
        <w:t xml:space="preserve">Generally recognised risk factors for VTE include, use of </w:t>
      </w:r>
      <w:r w:rsidR="00156E84">
        <w:rPr>
          <w:lang w:eastAsia="en-GB"/>
        </w:rPr>
        <w:t>estrogens</w:t>
      </w:r>
      <w:r w:rsidRPr="00B9411E">
        <w:rPr>
          <w:lang w:eastAsia="en-GB"/>
        </w:rPr>
        <w:t>, older age, major surgery, prolonged immobilisation, obesity (BMI &gt; 30 kg/m</w:t>
      </w:r>
      <w:r w:rsidRPr="00B9411E">
        <w:rPr>
          <w:vertAlign w:val="superscript"/>
          <w:lang w:eastAsia="en-GB"/>
        </w:rPr>
        <w:t>2</w:t>
      </w:r>
      <w:r w:rsidRPr="00B9411E">
        <w:rPr>
          <w:lang w:eastAsia="en-GB"/>
        </w:rPr>
        <w:t>), pregnancy/postpartum period, systemic lupus erythematosus (SLE), and cancer.</w:t>
      </w:r>
      <w:r w:rsidR="00156EC8">
        <w:rPr>
          <w:lang w:eastAsia="en-GB"/>
        </w:rPr>
        <w:t xml:space="preserve"> </w:t>
      </w:r>
      <w:r w:rsidRPr="00B9411E">
        <w:rPr>
          <w:lang w:eastAsia="en-GB"/>
        </w:rPr>
        <w:t>There is no consensus about the possible role of varicose veins in VTE.</w:t>
      </w:r>
      <w:r w:rsidR="00156EC8">
        <w:rPr>
          <w:lang w:eastAsia="en-GB"/>
        </w:rPr>
        <w:t xml:space="preserve"> </w:t>
      </w:r>
      <w:r w:rsidRPr="00B9411E">
        <w:rPr>
          <w:lang w:eastAsia="en-GB"/>
        </w:rPr>
        <w:t>As in all postoperative patients, prophylactic measures need be considered to prevent VTE following surgery.</w:t>
      </w:r>
      <w:r w:rsidR="00156EC8">
        <w:rPr>
          <w:lang w:eastAsia="en-GB"/>
        </w:rPr>
        <w:t xml:space="preserve"> </w:t>
      </w:r>
      <w:r w:rsidRPr="00B9411E">
        <w:rPr>
          <w:lang w:eastAsia="en-GB"/>
        </w:rPr>
        <w:t>If prolonged immobilisation is to follow elective surgery temporarily stopping DUAVIVE 4 to 6 weeks earlier is recommended.</w:t>
      </w:r>
      <w:r w:rsidR="00156EC8">
        <w:rPr>
          <w:lang w:eastAsia="en-GB"/>
        </w:rPr>
        <w:t xml:space="preserve"> </w:t>
      </w:r>
      <w:r w:rsidRPr="00B9411E">
        <w:rPr>
          <w:lang w:eastAsia="en-GB"/>
        </w:rPr>
        <w:t>Treatment should not be restarted until the woman is completely mobilised.</w:t>
      </w:r>
      <w:r w:rsidR="00156EC8">
        <w:rPr>
          <w:lang w:eastAsia="en-GB"/>
        </w:rPr>
        <w:t xml:space="preserve"> </w:t>
      </w:r>
      <w:r w:rsidRPr="00B9411E">
        <w:rPr>
          <w:lang w:eastAsia="en-GB"/>
        </w:rPr>
        <w:t>In</w:t>
      </w:r>
      <w:r w:rsidRPr="00B9411E">
        <w:rPr>
          <w:bCs/>
        </w:rPr>
        <w:t xml:space="preserve"> addition, women taking DUAVIVE should be advised to move about periodically during travel involving prolonged immobilisation.</w:t>
      </w:r>
    </w:p>
    <w:p w:rsidR="009542A7" w:rsidRPr="00B9411E" w:rsidRDefault="009542A7" w:rsidP="009542A7">
      <w:pPr>
        <w:pStyle w:val="PINormal"/>
        <w:rPr>
          <w:lang w:eastAsia="en-GB"/>
        </w:rPr>
      </w:pPr>
      <w:r w:rsidRPr="00B9411E">
        <w:rPr>
          <w:lang w:eastAsia="en-GB"/>
        </w:rPr>
        <w:t>In women with no personal history of VTE but with a first</w:t>
      </w:r>
      <w:r>
        <w:rPr>
          <w:lang w:eastAsia="en-GB"/>
        </w:rPr>
        <w:t>-</w:t>
      </w:r>
      <w:r w:rsidRPr="00B9411E">
        <w:rPr>
          <w:lang w:eastAsia="en-GB"/>
        </w:rPr>
        <w:t>degree relative with a history of thrombosis at young age, screening may be offered after careful counselling regarding its limitations (only a proportion of thrombophilic defects are identified by screening).</w:t>
      </w:r>
      <w:r w:rsidR="00156EC8">
        <w:rPr>
          <w:lang w:eastAsia="en-GB"/>
        </w:rPr>
        <w:t xml:space="preserve"> </w:t>
      </w:r>
      <w:r w:rsidRPr="00B9411E">
        <w:rPr>
          <w:lang w:eastAsia="en-GB"/>
        </w:rPr>
        <w:t xml:space="preserve">If a </w:t>
      </w:r>
      <w:proofErr w:type="spellStart"/>
      <w:r w:rsidRPr="00B9411E">
        <w:rPr>
          <w:lang w:eastAsia="en-GB"/>
        </w:rPr>
        <w:t>thrombophilic</w:t>
      </w:r>
      <w:proofErr w:type="spellEnd"/>
      <w:r w:rsidRPr="00B9411E">
        <w:rPr>
          <w:lang w:eastAsia="en-GB"/>
        </w:rPr>
        <w:t xml:space="preserve"> defect is identified which segregates with thrombosis in family members or if the defect is ‘severe’ (e.g.</w:t>
      </w:r>
      <w:r w:rsidR="007B2EDA">
        <w:rPr>
          <w:lang w:eastAsia="en-GB"/>
        </w:rPr>
        <w:t>,</w:t>
      </w:r>
      <w:r w:rsidRPr="00B9411E">
        <w:rPr>
          <w:lang w:eastAsia="en-GB"/>
        </w:rPr>
        <w:t xml:space="preserve"> antithrombin, protein S, or protein C deficiencies or a combination of defects) hormone therapy is contraindicated.</w:t>
      </w:r>
    </w:p>
    <w:p w:rsidR="009542A7" w:rsidRPr="00B9411E" w:rsidRDefault="009542A7" w:rsidP="009542A7">
      <w:pPr>
        <w:pStyle w:val="PINormal"/>
        <w:rPr>
          <w:lang w:eastAsia="en-GB"/>
        </w:rPr>
      </w:pPr>
      <w:r w:rsidRPr="00B9411E">
        <w:rPr>
          <w:lang w:eastAsia="en-GB"/>
        </w:rPr>
        <w:t>Women already on chronic anticoagulant treatment require careful consideration of the benefit risk of use of hormone therapy.</w:t>
      </w:r>
    </w:p>
    <w:p w:rsidR="009542A7" w:rsidRPr="00B9411E" w:rsidRDefault="009542A7" w:rsidP="009542A7">
      <w:pPr>
        <w:pStyle w:val="PINormal"/>
        <w:rPr>
          <w:lang w:eastAsia="en-GB"/>
        </w:rPr>
      </w:pPr>
      <w:r w:rsidRPr="00B9411E">
        <w:rPr>
          <w:lang w:eastAsia="en-GB"/>
        </w:rPr>
        <w:t xml:space="preserve">If VTE develops after initiating therapy, or </w:t>
      </w:r>
      <w:r>
        <w:rPr>
          <w:lang w:eastAsia="en-GB"/>
        </w:rPr>
        <w:t>is</w:t>
      </w:r>
      <w:r w:rsidRPr="00B9411E">
        <w:rPr>
          <w:lang w:eastAsia="en-GB"/>
        </w:rPr>
        <w:t xml:space="preserve"> suspected, DUAVIVE should be discontinued immediately.</w:t>
      </w:r>
      <w:r w:rsidR="00156EC8">
        <w:rPr>
          <w:lang w:eastAsia="en-GB"/>
        </w:rPr>
        <w:t xml:space="preserve"> </w:t>
      </w:r>
      <w:r w:rsidRPr="00B9411E">
        <w:rPr>
          <w:lang w:eastAsia="en-GB"/>
        </w:rPr>
        <w:t>Women should be told to contact their doctors immediately when they are aware of a potential thromboembolic symptom (e.g.</w:t>
      </w:r>
      <w:r w:rsidR="007B2EDA">
        <w:rPr>
          <w:lang w:eastAsia="en-GB"/>
        </w:rPr>
        <w:t>,</w:t>
      </w:r>
      <w:r w:rsidRPr="00B9411E">
        <w:rPr>
          <w:lang w:eastAsia="en-GB"/>
        </w:rPr>
        <w:t xml:space="preserve"> painful swelling of a leg, sudden pain in the chest, dyspnoea).</w:t>
      </w:r>
    </w:p>
    <w:p w:rsidR="009542A7" w:rsidRDefault="009542A7" w:rsidP="009542A7">
      <w:pPr>
        <w:pStyle w:val="PIHeading2"/>
        <w:rPr>
          <w:rStyle w:val="Heading4Char"/>
          <w:i w:val="0"/>
          <w:szCs w:val="22"/>
          <w:lang w:val="en-GB"/>
        </w:rPr>
      </w:pPr>
      <w:r w:rsidRPr="00B9411E">
        <w:rPr>
          <w:rStyle w:val="Heading4Char"/>
          <w:i w:val="0"/>
          <w:szCs w:val="22"/>
          <w:lang w:val="en-GB"/>
        </w:rPr>
        <w:lastRenderedPageBreak/>
        <w:t xml:space="preserve">Coronary </w:t>
      </w:r>
      <w:r>
        <w:rPr>
          <w:rStyle w:val="Heading4Char"/>
          <w:i w:val="0"/>
          <w:szCs w:val="22"/>
          <w:lang w:val="en-GB"/>
        </w:rPr>
        <w:t>A</w:t>
      </w:r>
      <w:r w:rsidRPr="00B9411E">
        <w:rPr>
          <w:rStyle w:val="Heading4Char"/>
          <w:i w:val="0"/>
          <w:szCs w:val="22"/>
          <w:lang w:val="en-GB"/>
        </w:rPr>
        <w:t xml:space="preserve">rtery </w:t>
      </w:r>
      <w:r>
        <w:rPr>
          <w:rStyle w:val="Heading4Char"/>
          <w:i w:val="0"/>
          <w:szCs w:val="22"/>
          <w:lang w:val="en-GB"/>
        </w:rPr>
        <w:t>D</w:t>
      </w:r>
      <w:r w:rsidRPr="00B9411E">
        <w:rPr>
          <w:rStyle w:val="Heading4Char"/>
          <w:i w:val="0"/>
          <w:szCs w:val="22"/>
          <w:lang w:val="en-GB"/>
        </w:rPr>
        <w:t>isease (CAD)</w:t>
      </w:r>
    </w:p>
    <w:p w:rsidR="00204D79" w:rsidRPr="0016433B" w:rsidRDefault="00204D79" w:rsidP="00204D79">
      <w:pPr>
        <w:pStyle w:val="PINormal"/>
        <w:rPr>
          <w:spacing w:val="-1"/>
        </w:rPr>
      </w:pPr>
      <w:r w:rsidRPr="0016433B">
        <w:rPr>
          <w:spacing w:val="-1"/>
        </w:rPr>
        <w:t>The effect of DUAVIVE on the risk of CAD is unknown.</w:t>
      </w:r>
    </w:p>
    <w:p w:rsidR="009542A7" w:rsidRPr="006C3179" w:rsidRDefault="009542A7" w:rsidP="009542A7">
      <w:pPr>
        <w:pStyle w:val="PINormal"/>
      </w:pPr>
      <w:r w:rsidRPr="006C3179">
        <w:t>There is no evidence from randomised controlled trials of protection against myocardial infarction in women with or without existing CAD who received estrogen-only therapy.</w:t>
      </w:r>
      <w:r w:rsidR="00156EC8">
        <w:t xml:space="preserve"> </w:t>
      </w:r>
      <w:r w:rsidRPr="006C3179">
        <w:t xml:space="preserve">Randomised controlled data found no increased risk of CAD in hysterectomised women using estrogen-only </w:t>
      </w:r>
      <w:r w:rsidR="00655338">
        <w:rPr>
          <w:spacing w:val="-1"/>
        </w:rPr>
        <w:t>therapy.</w:t>
      </w:r>
    </w:p>
    <w:p w:rsidR="009542A7" w:rsidRPr="00B9411E" w:rsidRDefault="009542A7" w:rsidP="009542A7">
      <w:pPr>
        <w:pStyle w:val="PIHeading2"/>
        <w:rPr>
          <w:lang w:val="en-GB"/>
        </w:rPr>
      </w:pPr>
      <w:r w:rsidRPr="00B9411E">
        <w:rPr>
          <w:lang w:val="en-GB"/>
        </w:rPr>
        <w:t xml:space="preserve">Ischaemic </w:t>
      </w:r>
      <w:r>
        <w:rPr>
          <w:lang w:val="en-GB"/>
        </w:rPr>
        <w:t>S</w:t>
      </w:r>
      <w:r w:rsidRPr="00B9411E">
        <w:rPr>
          <w:lang w:val="en-GB"/>
        </w:rPr>
        <w:t>troke</w:t>
      </w:r>
    </w:p>
    <w:p w:rsidR="00CC7D55" w:rsidRPr="0016433B" w:rsidRDefault="00CC7D55" w:rsidP="00CC7D55">
      <w:pPr>
        <w:pStyle w:val="PINormal"/>
        <w:rPr>
          <w:spacing w:val="-1"/>
          <w:szCs w:val="24"/>
        </w:rPr>
      </w:pPr>
      <w:r w:rsidRPr="0016433B">
        <w:rPr>
          <w:spacing w:val="-1"/>
          <w:szCs w:val="24"/>
        </w:rPr>
        <w:t>The effect of DUAVIVE on the risk of stroke is unknown.</w:t>
      </w:r>
    </w:p>
    <w:p w:rsidR="009542A7" w:rsidRPr="00B9411E" w:rsidRDefault="007F3951" w:rsidP="009542A7">
      <w:pPr>
        <w:pStyle w:val="PINormal"/>
        <w:rPr>
          <w:lang w:val="en-GB"/>
        </w:rPr>
      </w:pPr>
      <w:r>
        <w:rPr>
          <w:lang w:val="en-GB"/>
        </w:rPr>
        <w:t>E</w:t>
      </w:r>
      <w:r w:rsidR="009542A7" w:rsidRPr="00B9411E">
        <w:rPr>
          <w:lang w:val="en-GB"/>
        </w:rPr>
        <w:t>estrogen-only therapy is associated with an up to 1.5-fold increase in risk of ischaemic stroke.</w:t>
      </w:r>
      <w:r w:rsidR="00156EC8">
        <w:rPr>
          <w:lang w:val="en-GB"/>
        </w:rPr>
        <w:t xml:space="preserve"> </w:t>
      </w:r>
      <w:r w:rsidR="009542A7" w:rsidRPr="00B9411E">
        <w:rPr>
          <w:lang w:val="en-GB"/>
        </w:rPr>
        <w:t>The relative risk does not change with age or time since menopause.</w:t>
      </w:r>
      <w:r w:rsidR="00156EC8">
        <w:rPr>
          <w:lang w:val="en-GB"/>
        </w:rPr>
        <w:t xml:space="preserve"> </w:t>
      </w:r>
      <w:r w:rsidR="009542A7" w:rsidRPr="00B9411E">
        <w:rPr>
          <w:lang w:val="en-GB"/>
        </w:rPr>
        <w:t xml:space="preserve">However, as the baseline risk of stroke is strongly age-dependent, the overall risk of stroke in women who use hormone therapy will increase with age (see </w:t>
      </w:r>
      <w:r w:rsidR="009542A7">
        <w:rPr>
          <w:lang w:val="en-GB"/>
        </w:rPr>
        <w:t>ADVERSE EFFECTS</w:t>
      </w:r>
      <w:r w:rsidR="00A01A9E">
        <w:rPr>
          <w:lang w:val="en-GB"/>
        </w:rPr>
        <w:t xml:space="preserve">, </w:t>
      </w:r>
      <w:r w:rsidR="00A01A9E" w:rsidRPr="00CC53C9">
        <w:t xml:space="preserve">Description of </w:t>
      </w:r>
      <w:r w:rsidR="00A01A9E" w:rsidRPr="00DA6AD3">
        <w:t>Selected</w:t>
      </w:r>
      <w:r w:rsidR="00A01A9E" w:rsidRPr="00CC53C9">
        <w:t xml:space="preserve"> Adverse Reactions</w:t>
      </w:r>
      <w:r w:rsidR="00A01A9E">
        <w:t>, Risk of Ischaemic Stroke</w:t>
      </w:r>
      <w:r w:rsidR="009542A7" w:rsidRPr="00B9411E">
        <w:rPr>
          <w:lang w:val="en-GB"/>
        </w:rPr>
        <w:t>).</w:t>
      </w:r>
    </w:p>
    <w:p w:rsidR="009542A7" w:rsidRPr="00B9411E" w:rsidRDefault="009542A7" w:rsidP="009542A7">
      <w:pPr>
        <w:pStyle w:val="PINormal"/>
        <w:rPr>
          <w:lang w:val="en-GB"/>
        </w:rPr>
      </w:pPr>
      <w:r w:rsidRPr="00B9411E">
        <w:rPr>
          <w:lang w:val="en-GB"/>
        </w:rPr>
        <w:t xml:space="preserve">Should a stroke occur or be suspected, DUAVIVE should be discontinued immediately (see </w:t>
      </w:r>
      <w:r>
        <w:rPr>
          <w:lang w:val="en-GB"/>
        </w:rPr>
        <w:t>CONTRAINDICATIONS</w:t>
      </w:r>
      <w:r w:rsidRPr="00B9411E">
        <w:rPr>
          <w:lang w:val="en-GB"/>
        </w:rPr>
        <w:t>).</w:t>
      </w:r>
    </w:p>
    <w:p w:rsidR="00091B07" w:rsidRDefault="00091B07" w:rsidP="00091B07">
      <w:pPr>
        <w:pStyle w:val="PIHeading2"/>
        <w:rPr>
          <w:rFonts w:eastAsia="TimesNewRoman,Bold"/>
          <w:lang w:val="en-US"/>
        </w:rPr>
      </w:pPr>
      <w:r>
        <w:rPr>
          <w:rFonts w:eastAsia="TimesNewRoman,Bold"/>
          <w:lang w:val="en-US"/>
        </w:rPr>
        <w:t>Visual Abnormalities</w:t>
      </w:r>
    </w:p>
    <w:p w:rsidR="00091B07" w:rsidRDefault="00091B07" w:rsidP="00091B07">
      <w:pPr>
        <w:pStyle w:val="PINormal"/>
      </w:pPr>
      <w:r>
        <w:rPr>
          <w:rFonts w:eastAsia="TimesNewRoman"/>
          <w:lang w:val="en-US"/>
        </w:rPr>
        <w:t>Retinal vascular thrombosis has been reported in patients receiving estrogens.</w:t>
      </w:r>
      <w:r w:rsidR="00156EC8">
        <w:rPr>
          <w:rFonts w:eastAsia="TimesNewRoman"/>
          <w:lang w:val="en-US"/>
        </w:rPr>
        <w:t xml:space="preserve"> </w:t>
      </w:r>
      <w:r>
        <w:rPr>
          <w:rFonts w:eastAsia="TimesNewRoman"/>
          <w:lang w:val="en-US"/>
        </w:rPr>
        <w:t>Discontinue medication pending examination if there is sudden partial or complete loss of vision, or a sudden onset of proptosis, diplopia, or migraine.</w:t>
      </w:r>
      <w:r w:rsidR="00156EC8">
        <w:rPr>
          <w:rFonts w:eastAsia="TimesNewRoman"/>
          <w:lang w:val="en-US"/>
        </w:rPr>
        <w:t xml:space="preserve"> </w:t>
      </w:r>
      <w:r>
        <w:rPr>
          <w:rFonts w:eastAsia="TimesNewRoman"/>
          <w:lang w:val="en-US"/>
        </w:rPr>
        <w:t xml:space="preserve">If examination reveals </w:t>
      </w:r>
      <w:proofErr w:type="spellStart"/>
      <w:r>
        <w:rPr>
          <w:rFonts w:eastAsia="TimesNewRoman"/>
          <w:lang w:val="en-US"/>
        </w:rPr>
        <w:t>papilloedema</w:t>
      </w:r>
      <w:proofErr w:type="spellEnd"/>
      <w:r>
        <w:rPr>
          <w:rFonts w:eastAsia="TimesNewRoman"/>
          <w:lang w:val="en-US"/>
        </w:rPr>
        <w:t xml:space="preserve"> or retinal vascular lesions, DUAVIVE should be permanently discontinued.</w:t>
      </w:r>
    </w:p>
    <w:p w:rsidR="009542A7" w:rsidRPr="002F3BCF" w:rsidRDefault="009542A7" w:rsidP="009542A7">
      <w:pPr>
        <w:pStyle w:val="PIHeading2"/>
      </w:pPr>
      <w:r w:rsidRPr="0045440C">
        <w:t>Gallbladder Disease</w:t>
      </w:r>
    </w:p>
    <w:p w:rsidR="009542A7" w:rsidRPr="00B9411E" w:rsidRDefault="009542A7" w:rsidP="009542A7">
      <w:pPr>
        <w:pStyle w:val="PINormal"/>
        <w:rPr>
          <w:lang w:val="en-GB"/>
        </w:rPr>
      </w:pPr>
      <w:r w:rsidRPr="00B9411E">
        <w:rPr>
          <w:lang w:val="en-GB"/>
        </w:rPr>
        <w:t>Cases (&lt;1%) of cholecystitis have been reported in CE/</w:t>
      </w:r>
      <w:proofErr w:type="spellStart"/>
      <w:r w:rsidRPr="00B9411E">
        <w:rPr>
          <w:lang w:val="en-GB"/>
        </w:rPr>
        <w:t>bazedoxifene</w:t>
      </w:r>
      <w:proofErr w:type="spellEnd"/>
      <w:r w:rsidRPr="00B9411E">
        <w:rPr>
          <w:lang w:val="en-GB"/>
        </w:rPr>
        <w:t xml:space="preserve"> clinical trials.</w:t>
      </w:r>
      <w:r w:rsidR="00156EC8">
        <w:rPr>
          <w:lang w:val="en-GB"/>
        </w:rPr>
        <w:t xml:space="preserve"> </w:t>
      </w:r>
      <w:r w:rsidRPr="00B9411E">
        <w:rPr>
          <w:lang w:val="en-GB"/>
        </w:rPr>
        <w:t xml:space="preserve">A 2 to 4-fold increase in the risk of gallbladder disease requiring surgery in postmenopausal women receiving </w:t>
      </w:r>
      <w:r w:rsidR="00156E84">
        <w:rPr>
          <w:lang w:val="en-GB"/>
        </w:rPr>
        <w:t>estrogens</w:t>
      </w:r>
      <w:r w:rsidRPr="00B9411E">
        <w:rPr>
          <w:lang w:val="en-GB"/>
        </w:rPr>
        <w:t xml:space="preserve"> has been reported (see </w:t>
      </w:r>
      <w:r>
        <w:rPr>
          <w:lang w:val="en-GB"/>
        </w:rPr>
        <w:t>ADVERSE EFFECTS</w:t>
      </w:r>
      <w:r w:rsidRPr="00B9411E">
        <w:rPr>
          <w:lang w:val="en-GB"/>
        </w:rPr>
        <w:t>).</w:t>
      </w:r>
    </w:p>
    <w:p w:rsidR="00006D32" w:rsidRDefault="00006D32" w:rsidP="00006D32">
      <w:pPr>
        <w:pStyle w:val="Heading2"/>
        <w:rPr>
          <w:rFonts w:eastAsia="TimesNewRoman,Bold"/>
          <w:lang w:val="en-US"/>
        </w:rPr>
      </w:pPr>
      <w:r>
        <w:rPr>
          <w:rFonts w:eastAsia="TimesNewRoman,Bold"/>
          <w:lang w:val="en-US"/>
        </w:rPr>
        <w:t>Elevated Blood Pressure</w:t>
      </w:r>
    </w:p>
    <w:p w:rsidR="00006D32" w:rsidRDefault="00006D32" w:rsidP="00006D32">
      <w:pPr>
        <w:pStyle w:val="PINormal"/>
        <w:rPr>
          <w:rFonts w:eastAsia="TimesNewRoman"/>
          <w:lang w:val="en-US"/>
        </w:rPr>
      </w:pPr>
      <w:r>
        <w:rPr>
          <w:rFonts w:eastAsia="TimesNewRoman"/>
          <w:lang w:val="en-US"/>
        </w:rPr>
        <w:t>In a small number of case reports in women receiving estrogens, substantial increases in blood pressure have been attributed to idiosyncratic reactions to estrogens.</w:t>
      </w:r>
      <w:r w:rsidR="00156EC8">
        <w:rPr>
          <w:rFonts w:eastAsia="TimesNewRoman"/>
          <w:lang w:val="en-US"/>
        </w:rPr>
        <w:t xml:space="preserve"> </w:t>
      </w:r>
      <w:r>
        <w:rPr>
          <w:rFonts w:eastAsia="TimesNewRoman"/>
          <w:lang w:val="en-US"/>
        </w:rPr>
        <w:t xml:space="preserve">In a large, </w:t>
      </w:r>
      <w:proofErr w:type="spellStart"/>
      <w:r>
        <w:rPr>
          <w:rFonts w:eastAsia="TimesNewRoman"/>
          <w:lang w:val="en-US"/>
        </w:rPr>
        <w:t>randomised</w:t>
      </w:r>
      <w:proofErr w:type="spellEnd"/>
      <w:r>
        <w:rPr>
          <w:rFonts w:eastAsia="TimesNewRoman"/>
          <w:lang w:val="en-US"/>
        </w:rPr>
        <w:t>,</w:t>
      </w:r>
      <w:r w:rsidR="00AD2558">
        <w:rPr>
          <w:rFonts w:eastAsia="TimesNewRoman"/>
          <w:lang w:val="en-US"/>
        </w:rPr>
        <w:t xml:space="preserve"> </w:t>
      </w:r>
      <w:r>
        <w:rPr>
          <w:rFonts w:eastAsia="TimesNewRoman"/>
          <w:lang w:val="en-US"/>
        </w:rPr>
        <w:t>placebo-controlled clinical study, a generalised effect of estrogens on blood pressure was not seen</w:t>
      </w:r>
      <w:r w:rsidR="00AD2558">
        <w:rPr>
          <w:rFonts w:eastAsia="TimesNewRoman"/>
          <w:lang w:val="en-US"/>
        </w:rPr>
        <w:t>.</w:t>
      </w:r>
    </w:p>
    <w:p w:rsidR="009542A7" w:rsidRPr="002F3BCF" w:rsidRDefault="009542A7" w:rsidP="00006D32">
      <w:pPr>
        <w:pStyle w:val="Heading2"/>
        <w:rPr>
          <w:lang w:val="en-GB"/>
        </w:rPr>
      </w:pPr>
      <w:r w:rsidRPr="0045440C">
        <w:rPr>
          <w:lang w:val="en-GB"/>
        </w:rPr>
        <w:t>Hypertriglyceridaemia</w:t>
      </w:r>
    </w:p>
    <w:p w:rsidR="009542A7" w:rsidRPr="00B9411E" w:rsidRDefault="009542A7" w:rsidP="009542A7">
      <w:pPr>
        <w:pStyle w:val="PINormal"/>
        <w:rPr>
          <w:lang w:val="en-GB"/>
        </w:rPr>
      </w:pPr>
      <w:r w:rsidRPr="00E12AF0">
        <w:rPr>
          <w:lang w:val="en-GB"/>
        </w:rPr>
        <w:t xml:space="preserve">Women with pre-existing hypertriglyceridaemia </w:t>
      </w:r>
      <w:proofErr w:type="gramStart"/>
      <w:r w:rsidRPr="00E12AF0">
        <w:rPr>
          <w:lang w:val="en-GB"/>
        </w:rPr>
        <w:t>should be followed</w:t>
      </w:r>
      <w:proofErr w:type="gramEnd"/>
      <w:r w:rsidRPr="00E12AF0">
        <w:rPr>
          <w:lang w:val="en-GB"/>
        </w:rPr>
        <w:t xml:space="preserve"> closely during treatment with </w:t>
      </w:r>
      <w:r w:rsidR="00156E84">
        <w:rPr>
          <w:lang w:val="en-GB"/>
        </w:rPr>
        <w:t>estrogens</w:t>
      </w:r>
      <w:r w:rsidRPr="00E12AF0">
        <w:rPr>
          <w:lang w:val="en-GB"/>
        </w:rPr>
        <w:t>, since rare cases of large increases of plasma triglycerides leading to pancreatitis have been reported with estrogen therapy in this condition.</w:t>
      </w:r>
      <w:r w:rsidR="00156EC8">
        <w:rPr>
          <w:lang w:val="en-GB"/>
        </w:rPr>
        <w:t xml:space="preserve"> </w:t>
      </w:r>
      <w:r w:rsidRPr="00B9411E">
        <w:rPr>
          <w:lang w:val="en-GB"/>
        </w:rPr>
        <w:t>CE/</w:t>
      </w:r>
      <w:proofErr w:type="spellStart"/>
      <w:r w:rsidRPr="00B9411E">
        <w:rPr>
          <w:lang w:val="en-GB"/>
        </w:rPr>
        <w:t>bazedoxifene</w:t>
      </w:r>
      <w:proofErr w:type="spellEnd"/>
      <w:r w:rsidRPr="00B9411E">
        <w:rPr>
          <w:lang w:val="en-GB"/>
        </w:rPr>
        <w:t xml:space="preserve"> has not been studied in women with baseline triglyceride levels </w:t>
      </w:r>
      <w:r w:rsidR="004C017C" w:rsidRPr="00B9411E">
        <w:rPr>
          <w:rFonts w:eastAsia="TimesNewRoman"/>
          <w:lang w:val="en-GB"/>
        </w:rPr>
        <w:t>&gt;3.4 </w:t>
      </w:r>
      <w:proofErr w:type="spellStart"/>
      <w:r w:rsidR="004C017C" w:rsidRPr="00B9411E">
        <w:rPr>
          <w:rFonts w:eastAsia="TimesNewRoman"/>
          <w:lang w:val="en-GB"/>
        </w:rPr>
        <w:t>mmol</w:t>
      </w:r>
      <w:proofErr w:type="spellEnd"/>
      <w:r w:rsidR="004C017C" w:rsidRPr="00B9411E">
        <w:rPr>
          <w:rFonts w:eastAsia="TimesNewRoman"/>
          <w:lang w:val="en-GB"/>
        </w:rPr>
        <w:t>/L</w:t>
      </w:r>
      <w:r w:rsidR="004C017C">
        <w:rPr>
          <w:rFonts w:eastAsia="TimesNewRoman"/>
          <w:lang w:val="en-GB"/>
        </w:rPr>
        <w:t>.</w:t>
      </w:r>
      <w:r w:rsidR="00156EC8">
        <w:rPr>
          <w:rFonts w:eastAsia="TimesNewRoman"/>
          <w:lang w:val="en-GB"/>
        </w:rPr>
        <w:t xml:space="preserve"> </w:t>
      </w:r>
      <w:r w:rsidRPr="00B9411E">
        <w:rPr>
          <w:lang w:val="en-GB"/>
        </w:rPr>
        <w:t>In clinical trials of up to 2</w:t>
      </w:r>
      <w:r>
        <w:rPr>
          <w:lang w:val="en-GB"/>
        </w:rPr>
        <w:t> </w:t>
      </w:r>
      <w:r w:rsidRPr="00B9411E">
        <w:rPr>
          <w:lang w:val="en-GB"/>
        </w:rPr>
        <w:t>years duration, CE/bazedoxifene was associated with an increase from baseline in the concentration of serum triglycerides of approximately 16% at month 12 and 20% at month 24</w:t>
      </w:r>
      <w:r>
        <w:rPr>
          <w:lang w:val="en-GB"/>
        </w:rPr>
        <w:t>.</w:t>
      </w:r>
      <w:r w:rsidR="00156EC8">
        <w:rPr>
          <w:lang w:val="en-GB"/>
        </w:rPr>
        <w:t xml:space="preserve"> </w:t>
      </w:r>
      <w:r>
        <w:rPr>
          <w:lang w:val="en-GB"/>
        </w:rPr>
        <w:t>Annual monitoring of serum triglyceride levels should therefore be considered.</w:t>
      </w:r>
    </w:p>
    <w:p w:rsidR="009542A7" w:rsidRPr="002F3BCF" w:rsidRDefault="009542A7" w:rsidP="009542A7">
      <w:pPr>
        <w:pStyle w:val="PIHeading2"/>
        <w:rPr>
          <w:rFonts w:eastAsia="TimesNewRoman,Bold"/>
          <w:lang w:val="en-US"/>
        </w:rPr>
      </w:pPr>
      <w:r w:rsidRPr="0045440C">
        <w:rPr>
          <w:rFonts w:eastAsia="TimesNewRoman,Bold"/>
          <w:lang w:val="en-US"/>
        </w:rPr>
        <w:t xml:space="preserve">Impaired </w:t>
      </w:r>
      <w:r w:rsidRPr="0045440C">
        <w:rPr>
          <w:rFonts w:eastAsia="TimesNewRoman,Bold"/>
        </w:rPr>
        <w:t>Liver</w:t>
      </w:r>
      <w:r w:rsidRPr="0045440C">
        <w:rPr>
          <w:rFonts w:eastAsia="TimesNewRoman,Bold"/>
          <w:lang w:val="en-US"/>
        </w:rPr>
        <w:t xml:space="preserve"> Function and Past History of Cholestatic Jaundice</w:t>
      </w:r>
    </w:p>
    <w:p w:rsidR="009542A7" w:rsidRPr="00B9411E" w:rsidRDefault="009542A7" w:rsidP="009542A7">
      <w:pPr>
        <w:pStyle w:val="PINormal"/>
        <w:rPr>
          <w:lang w:val="en-GB"/>
        </w:rPr>
      </w:pPr>
      <w:r w:rsidRPr="00B9411E">
        <w:rPr>
          <w:lang w:val="en-GB"/>
        </w:rPr>
        <w:t xml:space="preserve">CE/bazedoxifene </w:t>
      </w:r>
      <w:proofErr w:type="gramStart"/>
      <w:r w:rsidRPr="00B9411E">
        <w:rPr>
          <w:lang w:val="en-GB"/>
        </w:rPr>
        <w:t>has not been studied</w:t>
      </w:r>
      <w:proofErr w:type="gramEnd"/>
      <w:r w:rsidRPr="00B9411E">
        <w:rPr>
          <w:lang w:val="en-GB"/>
        </w:rPr>
        <w:t xml:space="preserve"> in patients with impaired liver function or history of </w:t>
      </w:r>
      <w:proofErr w:type="spellStart"/>
      <w:r w:rsidRPr="00B9411E">
        <w:rPr>
          <w:lang w:val="en-GB"/>
        </w:rPr>
        <w:t>cholestatic</w:t>
      </w:r>
      <w:proofErr w:type="spellEnd"/>
      <w:r w:rsidRPr="00B9411E">
        <w:rPr>
          <w:lang w:val="en-GB"/>
        </w:rPr>
        <w:t xml:space="preserve"> jaundice.</w:t>
      </w:r>
      <w:r w:rsidR="00156EC8">
        <w:rPr>
          <w:lang w:val="en-GB"/>
        </w:rPr>
        <w:t xml:space="preserve"> </w:t>
      </w:r>
      <w:proofErr w:type="spellStart"/>
      <w:r w:rsidR="00156E84">
        <w:rPr>
          <w:lang w:val="en-GB"/>
        </w:rPr>
        <w:t>Estrogens</w:t>
      </w:r>
      <w:proofErr w:type="spellEnd"/>
      <w:r w:rsidRPr="00B9411E">
        <w:rPr>
          <w:lang w:val="en-GB"/>
        </w:rPr>
        <w:t xml:space="preserve"> may be poorly metabolised in women with impaired liver function.</w:t>
      </w:r>
      <w:r w:rsidR="00156EC8">
        <w:rPr>
          <w:lang w:val="en-GB"/>
        </w:rPr>
        <w:t xml:space="preserve"> </w:t>
      </w:r>
      <w:r w:rsidRPr="00B9411E">
        <w:rPr>
          <w:lang w:val="en-GB"/>
        </w:rPr>
        <w:t xml:space="preserve">For women with a history of cholestatic jaundice associated with past estrogen use or </w:t>
      </w:r>
      <w:r w:rsidRPr="00B9411E">
        <w:rPr>
          <w:lang w:val="en-GB"/>
        </w:rPr>
        <w:lastRenderedPageBreak/>
        <w:t>with pregnancy, caution should be exercised, and in the case of recurrence, DUAVIVE should be discontinued</w:t>
      </w:r>
      <w:r w:rsidR="008524B2">
        <w:rPr>
          <w:lang w:val="en-GB"/>
        </w:rPr>
        <w:t xml:space="preserve"> </w:t>
      </w:r>
      <w:r w:rsidR="008524B2" w:rsidRPr="00B9411E">
        <w:rPr>
          <w:lang w:val="en-GB"/>
        </w:rPr>
        <w:t xml:space="preserve">(see </w:t>
      </w:r>
      <w:r w:rsidR="008524B2">
        <w:rPr>
          <w:lang w:val="en-GB"/>
        </w:rPr>
        <w:t>PHARMACOKINETICS, Hepatic Impairment and DOSAGE AND ADMINISTRATION, Dosage Adjustment in Hepatic Impairment</w:t>
      </w:r>
      <w:r w:rsidR="008524B2" w:rsidRPr="00B9411E">
        <w:rPr>
          <w:lang w:val="en-GB"/>
        </w:rPr>
        <w:t>)</w:t>
      </w:r>
      <w:r w:rsidRPr="00B9411E">
        <w:rPr>
          <w:lang w:val="en-GB"/>
        </w:rPr>
        <w:t>.</w:t>
      </w:r>
    </w:p>
    <w:p w:rsidR="009542A7" w:rsidRPr="002F3BCF" w:rsidRDefault="009542A7" w:rsidP="009542A7">
      <w:pPr>
        <w:pStyle w:val="PIHeading2"/>
        <w:rPr>
          <w:lang w:val="en-GB"/>
        </w:rPr>
      </w:pPr>
      <w:r w:rsidRPr="0045440C">
        <w:rPr>
          <w:lang w:val="en-GB"/>
        </w:rPr>
        <w:t>Fluid Retention</w:t>
      </w:r>
    </w:p>
    <w:p w:rsidR="00400C4D" w:rsidRDefault="00A369BB" w:rsidP="009542A7">
      <w:pPr>
        <w:pStyle w:val="PINormal"/>
        <w:rPr>
          <w:lang w:val="en-GB"/>
        </w:rPr>
      </w:pPr>
      <w:r>
        <w:t>E</w:t>
      </w:r>
      <w:r w:rsidR="00156E84">
        <w:t>strogens</w:t>
      </w:r>
      <w:r w:rsidR="009542A7" w:rsidRPr="00EC13BB">
        <w:t xml:space="preserve"> may cause fluid retention, and therefore patients with cardiac or renal </w:t>
      </w:r>
      <w:r w:rsidR="00E67192">
        <w:t>impairment</w:t>
      </w:r>
      <w:r w:rsidR="00E67192" w:rsidRPr="00EC13BB">
        <w:t xml:space="preserve"> </w:t>
      </w:r>
      <w:r w:rsidR="009542A7" w:rsidRPr="00EC13BB">
        <w:t>should be carefully monitored when being treated with DUAVIVE</w:t>
      </w:r>
      <w:r w:rsidR="009542A7" w:rsidRPr="00B9411E">
        <w:rPr>
          <w:lang w:val="en-GB"/>
        </w:rPr>
        <w:t xml:space="preserve">, since it is expected that the level of circulating </w:t>
      </w:r>
      <w:r w:rsidR="00156E84">
        <w:rPr>
          <w:lang w:val="en-GB"/>
        </w:rPr>
        <w:t>estrogens</w:t>
      </w:r>
      <w:r w:rsidR="009542A7" w:rsidRPr="00B9411E">
        <w:rPr>
          <w:lang w:val="en-GB"/>
        </w:rPr>
        <w:t xml:space="preserve"> components of DUAVIVE will be increased.</w:t>
      </w:r>
      <w:r w:rsidR="00156EC8">
        <w:rPr>
          <w:lang w:val="en-GB"/>
        </w:rPr>
        <w:t xml:space="preserve"> </w:t>
      </w:r>
      <w:r w:rsidR="009542A7" w:rsidRPr="00B9411E">
        <w:rPr>
          <w:lang w:val="en-GB"/>
        </w:rPr>
        <w:t xml:space="preserve">Use in this population </w:t>
      </w:r>
      <w:proofErr w:type="gramStart"/>
      <w:r w:rsidR="009542A7" w:rsidRPr="00B9411E">
        <w:rPr>
          <w:lang w:val="en-GB"/>
        </w:rPr>
        <w:t>is not recommended</w:t>
      </w:r>
      <w:proofErr w:type="gramEnd"/>
      <w:r w:rsidR="009542A7" w:rsidRPr="00B9411E">
        <w:rPr>
          <w:lang w:val="en-GB"/>
        </w:rPr>
        <w:t xml:space="preserve"> (see </w:t>
      </w:r>
      <w:r w:rsidR="009B42DE">
        <w:rPr>
          <w:lang w:val="en-GB"/>
        </w:rPr>
        <w:t>PHARMACOKINETICS, Renal Impairme</w:t>
      </w:r>
      <w:r w:rsidR="00C9464F">
        <w:rPr>
          <w:lang w:val="en-GB"/>
        </w:rPr>
        <w:t xml:space="preserve">nt and </w:t>
      </w:r>
      <w:r w:rsidR="009542A7">
        <w:rPr>
          <w:lang w:val="en-GB"/>
        </w:rPr>
        <w:t>DOSAGE AND ADMINISTRATION</w:t>
      </w:r>
      <w:r w:rsidR="009B42DE">
        <w:rPr>
          <w:lang w:val="en-GB"/>
        </w:rPr>
        <w:t>, Dosage Adjustment in Renal Impairment</w:t>
      </w:r>
      <w:r w:rsidR="009542A7" w:rsidRPr="00B9411E">
        <w:rPr>
          <w:lang w:val="en-GB"/>
        </w:rPr>
        <w:t>).</w:t>
      </w:r>
    </w:p>
    <w:p w:rsidR="00400C4D" w:rsidRDefault="009542A7" w:rsidP="009542A7">
      <w:pPr>
        <w:pStyle w:val="PIHeading2"/>
      </w:pPr>
      <w:r w:rsidRPr="0045440C">
        <w:t>Dementia</w:t>
      </w:r>
    </w:p>
    <w:p w:rsidR="00400C4D" w:rsidRDefault="005B1F42" w:rsidP="000E6F22">
      <w:pPr>
        <w:pStyle w:val="PINormal"/>
      </w:pPr>
      <w:r w:rsidRPr="00B9411E">
        <w:t>The effect of DUAVIVE on the risk of dementia is unknown.</w:t>
      </w:r>
    </w:p>
    <w:p w:rsidR="009542A7" w:rsidRDefault="007F3951" w:rsidP="00DA6ED9">
      <w:pPr>
        <w:pStyle w:val="PINormal"/>
        <w:rPr>
          <w:lang w:eastAsia="en-GB"/>
        </w:rPr>
      </w:pPr>
      <w:r>
        <w:t>E</w:t>
      </w:r>
      <w:r w:rsidRPr="00B9411E">
        <w:t xml:space="preserve">strogen </w:t>
      </w:r>
      <w:r w:rsidR="009542A7" w:rsidRPr="00B9411E">
        <w:t xml:space="preserve">therapy </w:t>
      </w:r>
      <w:r w:rsidR="009542A7" w:rsidRPr="00B9411E">
        <w:rPr>
          <w:lang w:eastAsia="en-GB"/>
        </w:rPr>
        <w:t>use does not improve cognitive function.</w:t>
      </w:r>
      <w:r w:rsidR="00156EC8">
        <w:rPr>
          <w:lang w:eastAsia="en-GB"/>
        </w:rPr>
        <w:t xml:space="preserve"> </w:t>
      </w:r>
      <w:r w:rsidR="005B1F42" w:rsidRPr="005B1F42">
        <w:rPr>
          <w:color w:val="000000"/>
          <w:sz w:val="23"/>
          <w:szCs w:val="23"/>
          <w:lang w:val="en-US"/>
        </w:rPr>
        <w:t xml:space="preserve">The Women’s Health Initiative Memory Study (WHIMS), a substudy of WHI, reported increased risk </w:t>
      </w:r>
      <w:r w:rsidR="00985128">
        <w:rPr>
          <w:color w:val="000000"/>
          <w:sz w:val="23"/>
          <w:szCs w:val="23"/>
          <w:lang w:val="en-US"/>
        </w:rPr>
        <w:t xml:space="preserve">of </w:t>
      </w:r>
      <w:r w:rsidR="00A33B6E">
        <w:t>probable</w:t>
      </w:r>
      <w:r w:rsidR="00A33B6E">
        <w:rPr>
          <w:spacing w:val="18"/>
        </w:rPr>
        <w:t xml:space="preserve"> </w:t>
      </w:r>
      <w:r w:rsidR="00A33B6E">
        <w:t>dementia</w:t>
      </w:r>
      <w:r w:rsidR="00A33B6E">
        <w:rPr>
          <w:spacing w:val="19"/>
        </w:rPr>
        <w:t xml:space="preserve"> </w:t>
      </w:r>
      <w:r w:rsidR="009542A7" w:rsidRPr="00B9411E">
        <w:rPr>
          <w:lang w:eastAsia="en-GB"/>
        </w:rPr>
        <w:t xml:space="preserve">in women who start using continuous </w:t>
      </w:r>
      <w:r>
        <w:rPr>
          <w:lang w:eastAsia="en-GB"/>
        </w:rPr>
        <w:t>e</w:t>
      </w:r>
      <w:r w:rsidRPr="00B9411E">
        <w:rPr>
          <w:lang w:eastAsia="en-GB"/>
        </w:rPr>
        <w:t>strogen</w:t>
      </w:r>
      <w:r w:rsidR="009542A7" w:rsidRPr="00B9411E">
        <w:rPr>
          <w:lang w:eastAsia="en-GB"/>
        </w:rPr>
        <w:t>-only therapy after the age of 65.</w:t>
      </w:r>
    </w:p>
    <w:p w:rsidR="00045C68" w:rsidRDefault="00045C68" w:rsidP="00045C68">
      <w:pPr>
        <w:pStyle w:val="PIHeading2"/>
        <w:rPr>
          <w:rFonts w:eastAsia="TimesNewRoman,Bold"/>
          <w:lang w:val="en-US"/>
        </w:rPr>
      </w:pPr>
      <w:r>
        <w:rPr>
          <w:rFonts w:eastAsia="TimesNewRoman,Bold"/>
          <w:lang w:val="en-US"/>
        </w:rPr>
        <w:t>Hypothyroidism</w:t>
      </w:r>
    </w:p>
    <w:p w:rsidR="00045C68" w:rsidRDefault="00045C68" w:rsidP="00045C68">
      <w:pPr>
        <w:pStyle w:val="PINormal"/>
        <w:rPr>
          <w:rFonts w:eastAsia="TimesNewRoman,Bold"/>
          <w:lang w:val="en-US"/>
        </w:rPr>
      </w:pPr>
      <w:r>
        <w:rPr>
          <w:rFonts w:eastAsia="TimesNewRoman"/>
          <w:lang w:val="en-US"/>
        </w:rPr>
        <w:t>Estrogen administration leads to increased thyroid-binding globulin (TBG) levels.</w:t>
      </w:r>
      <w:r w:rsidR="00156EC8">
        <w:rPr>
          <w:rFonts w:eastAsia="TimesNewRoman"/>
          <w:lang w:val="en-US"/>
        </w:rPr>
        <w:t xml:space="preserve"> </w:t>
      </w:r>
      <w:r>
        <w:rPr>
          <w:rFonts w:eastAsia="TimesNewRoman"/>
          <w:lang w:val="en-US"/>
        </w:rPr>
        <w:t>Women with normal thyroid function can compensate for the increased TBG by making more thyroid hormone, thus maintaining free T4 and T3 serum concentrations in the normal range.</w:t>
      </w:r>
      <w:r w:rsidR="00156EC8">
        <w:rPr>
          <w:rFonts w:eastAsia="TimesNewRoman"/>
          <w:lang w:val="en-US"/>
        </w:rPr>
        <w:t xml:space="preserve"> </w:t>
      </w:r>
      <w:r>
        <w:rPr>
          <w:rFonts w:eastAsia="TimesNewRoman"/>
          <w:lang w:val="en-US"/>
        </w:rPr>
        <w:t>Women dependent on thyroid hormone replacement therapy who are also receiving estrogens may require increased doses of their thyroid replacement therapy.</w:t>
      </w:r>
      <w:r w:rsidR="00156EC8">
        <w:rPr>
          <w:rFonts w:eastAsia="TimesNewRoman"/>
          <w:lang w:val="en-US"/>
        </w:rPr>
        <w:t xml:space="preserve"> </w:t>
      </w:r>
      <w:r>
        <w:rPr>
          <w:rFonts w:eastAsia="TimesNewRoman"/>
          <w:lang w:val="en-US"/>
        </w:rPr>
        <w:t>These women should have their thyroid function monitored in order to maintain their free thyroid hormone levels in an acceptable range.</w:t>
      </w:r>
    </w:p>
    <w:p w:rsidR="00006D32" w:rsidRDefault="00006D32" w:rsidP="00091B07">
      <w:pPr>
        <w:pStyle w:val="Heading2"/>
        <w:rPr>
          <w:rFonts w:eastAsia="TimesNewRoman,Bold"/>
          <w:lang w:val="en-US"/>
        </w:rPr>
      </w:pPr>
      <w:r>
        <w:rPr>
          <w:rFonts w:eastAsia="TimesNewRoman,Bold"/>
          <w:lang w:val="en-US"/>
        </w:rPr>
        <w:t>Hypocalcemia</w:t>
      </w:r>
    </w:p>
    <w:p w:rsidR="00400C4D" w:rsidRDefault="00006D32" w:rsidP="00091B07">
      <w:pPr>
        <w:pStyle w:val="PINormal"/>
        <w:rPr>
          <w:rFonts w:ascii="TimesNewRoman,Bold" w:eastAsia="TimesNewRoman,Bold" w:cs="TimesNewRoman,Bold"/>
          <w:b/>
          <w:bCs/>
          <w:lang w:val="en-US"/>
        </w:rPr>
      </w:pPr>
      <w:r>
        <w:rPr>
          <w:rFonts w:eastAsia="TimesNewRoman"/>
          <w:lang w:val="en-US"/>
        </w:rPr>
        <w:t>Estrogen therapy should be used with caution in women with hypoparathyroidism as estrogen</w:t>
      </w:r>
      <w:r w:rsidR="00091B07">
        <w:rPr>
          <w:rFonts w:eastAsia="TimesNewRoman"/>
          <w:lang w:val="en-US"/>
        </w:rPr>
        <w:t xml:space="preserve"> </w:t>
      </w:r>
      <w:r>
        <w:rPr>
          <w:rFonts w:eastAsia="TimesNewRoman"/>
          <w:lang w:val="en-US"/>
        </w:rPr>
        <w:t>induced</w:t>
      </w:r>
      <w:r w:rsidR="00091B07">
        <w:rPr>
          <w:rFonts w:eastAsia="TimesNewRoman"/>
          <w:lang w:val="en-US"/>
        </w:rPr>
        <w:t xml:space="preserve"> </w:t>
      </w:r>
      <w:r>
        <w:rPr>
          <w:rFonts w:eastAsia="TimesNewRoman"/>
          <w:lang w:val="en-US"/>
        </w:rPr>
        <w:t>hypocalc</w:t>
      </w:r>
      <w:r w:rsidR="00616C32">
        <w:rPr>
          <w:rFonts w:eastAsia="TimesNewRoman"/>
          <w:lang w:val="en-US"/>
        </w:rPr>
        <w:t>a</w:t>
      </w:r>
      <w:r>
        <w:rPr>
          <w:rFonts w:eastAsia="TimesNewRoman"/>
          <w:lang w:val="en-US"/>
        </w:rPr>
        <w:t>emia may occur.</w:t>
      </w:r>
    </w:p>
    <w:p w:rsidR="00006D32" w:rsidRDefault="00006D32" w:rsidP="00091B07">
      <w:pPr>
        <w:pStyle w:val="PIHeading2"/>
        <w:rPr>
          <w:rFonts w:eastAsia="TimesNewRoman,Bold"/>
          <w:lang w:val="en-US"/>
        </w:rPr>
      </w:pPr>
      <w:r>
        <w:rPr>
          <w:rFonts w:eastAsia="TimesNewRoman,Bold"/>
          <w:lang w:val="en-US"/>
        </w:rPr>
        <w:t>Hereditary Angioedema</w:t>
      </w:r>
    </w:p>
    <w:p w:rsidR="00400C4D" w:rsidRDefault="00006D32" w:rsidP="00091B07">
      <w:pPr>
        <w:pStyle w:val="PINormal"/>
        <w:rPr>
          <w:lang w:val="en-GB"/>
        </w:rPr>
      </w:pPr>
      <w:r>
        <w:rPr>
          <w:rFonts w:eastAsia="TimesNewRoman"/>
          <w:lang w:val="en-US"/>
        </w:rPr>
        <w:t>Exogenous estrogens may exacerbate symptoms of angioedema in women with hereditary</w:t>
      </w:r>
      <w:r w:rsidR="0025705E">
        <w:rPr>
          <w:rFonts w:eastAsia="TimesNewRoman"/>
          <w:lang w:val="en-US"/>
        </w:rPr>
        <w:t xml:space="preserve"> </w:t>
      </w:r>
      <w:r>
        <w:rPr>
          <w:rFonts w:eastAsia="TimesNewRoman"/>
          <w:lang w:val="en-US"/>
        </w:rPr>
        <w:t>angioedema.</w:t>
      </w:r>
    </w:p>
    <w:p w:rsidR="009542A7" w:rsidRPr="00B9411E" w:rsidRDefault="009542A7" w:rsidP="00091B07">
      <w:pPr>
        <w:pStyle w:val="PIHeading2"/>
        <w:rPr>
          <w:lang w:val="en-GB"/>
        </w:rPr>
      </w:pPr>
      <w:r>
        <w:rPr>
          <w:lang w:val="en-GB"/>
        </w:rPr>
        <w:t>Other C</w:t>
      </w:r>
      <w:r w:rsidRPr="00B9411E">
        <w:rPr>
          <w:lang w:val="en-GB"/>
        </w:rPr>
        <w:t>onditions</w:t>
      </w:r>
    </w:p>
    <w:p w:rsidR="009542A7" w:rsidRPr="00100412" w:rsidRDefault="009542A7" w:rsidP="00100412">
      <w:pPr>
        <w:pStyle w:val="PINormal"/>
      </w:pPr>
      <w:r w:rsidRPr="00100412">
        <w:t>DUAVIVE contains lactose, sucrose, glucose</w:t>
      </w:r>
      <w:r w:rsidR="00100412" w:rsidRPr="00100412">
        <w:t xml:space="preserve"> (in </w:t>
      </w:r>
      <w:r w:rsidR="00D62BD4">
        <w:rPr>
          <w:spacing w:val="4"/>
        </w:rPr>
        <w:t xml:space="preserve">the </w:t>
      </w:r>
      <w:r w:rsidR="00D62BD4">
        <w:t>polydextrose and maltitol liquid</w:t>
      </w:r>
      <w:r w:rsidR="00D62BD4">
        <w:rPr>
          <w:spacing w:val="4"/>
        </w:rPr>
        <w:t xml:space="preserve"> components of Opaglos 2 Clear</w:t>
      </w:r>
      <w:r w:rsidR="00D62BD4">
        <w:rPr>
          <w:spacing w:val="-1"/>
        </w:rPr>
        <w:t xml:space="preserve">) and sorbitol </w:t>
      </w:r>
      <w:r w:rsidR="00D62BD4">
        <w:rPr>
          <w:spacing w:val="-2"/>
        </w:rPr>
        <w:t>(in</w:t>
      </w:r>
      <w:r w:rsidR="00D62BD4">
        <w:rPr>
          <w:spacing w:val="4"/>
        </w:rPr>
        <w:t xml:space="preserve"> the polydextrose component of </w:t>
      </w:r>
      <w:proofErr w:type="spellStart"/>
      <w:r w:rsidR="00D62BD4">
        <w:rPr>
          <w:spacing w:val="4"/>
        </w:rPr>
        <w:t>Opaglos</w:t>
      </w:r>
      <w:proofErr w:type="spellEnd"/>
      <w:r w:rsidR="00D62BD4">
        <w:rPr>
          <w:spacing w:val="4"/>
        </w:rPr>
        <w:t xml:space="preserve"> 2 Clear)</w:t>
      </w:r>
      <w:r w:rsidR="00D62BD4">
        <w:rPr>
          <w:spacing w:val="-1"/>
        </w:rPr>
        <w:t>.</w:t>
      </w:r>
      <w:r w:rsidR="00156EC8">
        <w:t xml:space="preserve"> </w:t>
      </w:r>
      <w:r w:rsidRPr="00100412">
        <w:t>Patients with rare hereditary problems of galactose intolerance, the Lapp lactase deficiency, fructose intolerance, glucose-galactose malabsorption or sucrase-isomaltase insufficiency should not take this medicine.</w:t>
      </w:r>
    </w:p>
    <w:p w:rsidR="00653F81" w:rsidRPr="00440272" w:rsidRDefault="00653F81" w:rsidP="001E1FC1">
      <w:pPr>
        <w:pStyle w:val="PIHeading2"/>
      </w:pPr>
      <w:r w:rsidRPr="00440272">
        <w:t xml:space="preserve">Effects on </w:t>
      </w:r>
      <w:r w:rsidR="00ED1A46" w:rsidRPr="00440272">
        <w:t>F</w:t>
      </w:r>
      <w:r w:rsidRPr="00440272">
        <w:t>ertility</w:t>
      </w:r>
    </w:p>
    <w:p w:rsidR="00987367" w:rsidRPr="00B9411E" w:rsidRDefault="00A446CB" w:rsidP="00987367">
      <w:pPr>
        <w:pStyle w:val="PINormal"/>
      </w:pPr>
      <w:r>
        <w:t xml:space="preserve">Fertility </w:t>
      </w:r>
      <w:r w:rsidR="00987367" w:rsidRPr="00B9411E">
        <w:t>studies with CE/bazedoxifene have not been conducted.</w:t>
      </w:r>
      <w:r w:rsidR="00156EC8">
        <w:t xml:space="preserve"> </w:t>
      </w:r>
      <w:r w:rsidR="00987367" w:rsidRPr="00B9411E">
        <w:t>The following data are based on the findings in studies with bazedoxifene.</w:t>
      </w:r>
    </w:p>
    <w:p w:rsidR="00987367" w:rsidRDefault="00987367" w:rsidP="00987367">
      <w:pPr>
        <w:pStyle w:val="PINormal"/>
      </w:pPr>
      <w:r w:rsidRPr="00B9411E">
        <w:t>Female rats were administered</w:t>
      </w:r>
      <w:r w:rsidR="00C7445C">
        <w:t xml:space="preserve"> oral</w:t>
      </w:r>
      <w:r w:rsidRPr="00B9411E">
        <w:t xml:space="preserve"> daily dosages of 0.3 to 30 mg/kg (</w:t>
      </w:r>
      <w:r w:rsidR="00C7445C">
        <w:t>yielding 0.03 to 10 times the plasma AUC in patients at the maximum recommended human dose of 20 mg/day</w:t>
      </w:r>
      <w:r w:rsidRPr="00B9411E">
        <w:t>) prior to and during mating with untreated males.</w:t>
      </w:r>
      <w:r w:rsidR="00156EC8">
        <w:t xml:space="preserve"> </w:t>
      </w:r>
      <w:proofErr w:type="spellStart"/>
      <w:r w:rsidR="0086170D">
        <w:t>E</w:t>
      </w:r>
      <w:r w:rsidR="0086170D" w:rsidRPr="00B9411E">
        <w:t>strous</w:t>
      </w:r>
      <w:proofErr w:type="spellEnd"/>
      <w:r w:rsidR="0086170D" w:rsidRPr="00B9411E">
        <w:t xml:space="preserve"> </w:t>
      </w:r>
      <w:r w:rsidRPr="00B9411E">
        <w:t xml:space="preserve">cycles and fertility were adversely affected in all </w:t>
      </w:r>
      <w:proofErr w:type="spellStart"/>
      <w:r w:rsidRPr="00B9411E">
        <w:t>bazedoxifene</w:t>
      </w:r>
      <w:proofErr w:type="spellEnd"/>
      <w:r w:rsidRPr="00B9411E">
        <w:t>-treated female groups.</w:t>
      </w:r>
      <w:r w:rsidR="00156EC8">
        <w:t xml:space="preserve"> </w:t>
      </w:r>
      <w:r w:rsidRPr="00B9411E">
        <w:t>The potential risk for humans is unknown.</w:t>
      </w:r>
    </w:p>
    <w:p w:rsidR="00165923" w:rsidRPr="00165923" w:rsidRDefault="00653F81" w:rsidP="001E1FC1">
      <w:pPr>
        <w:pStyle w:val="PIHeading2"/>
      </w:pPr>
      <w:r w:rsidRPr="00165923">
        <w:lastRenderedPageBreak/>
        <w:t xml:space="preserve">Use in </w:t>
      </w:r>
      <w:r w:rsidR="00ED1A46" w:rsidRPr="00165923">
        <w:t>P</w:t>
      </w:r>
      <w:r w:rsidR="00165923" w:rsidRPr="00165923">
        <w:t>regnancy</w:t>
      </w:r>
    </w:p>
    <w:p w:rsidR="00653F81" w:rsidRPr="00165923" w:rsidRDefault="00E40420" w:rsidP="00165923">
      <w:pPr>
        <w:pStyle w:val="PINormal"/>
      </w:pPr>
      <w:r w:rsidRPr="00165923">
        <w:t>Category D</w:t>
      </w:r>
    </w:p>
    <w:p w:rsidR="003759D0" w:rsidRDefault="003759D0" w:rsidP="00987367">
      <w:pPr>
        <w:pStyle w:val="PINormal"/>
      </w:pPr>
      <w:r w:rsidRPr="00B9411E">
        <w:t xml:space="preserve">DUAVIVE is only for use in postmenopausal women, and is contraindicated in women who are or may become pregnant (see </w:t>
      </w:r>
      <w:r w:rsidR="00987367">
        <w:t>CONTRAINDICATIONS</w:t>
      </w:r>
      <w:r w:rsidRPr="00B9411E">
        <w:t>).</w:t>
      </w:r>
      <w:r w:rsidR="00156EC8">
        <w:t xml:space="preserve"> </w:t>
      </w:r>
      <w:r w:rsidRPr="00B9411E">
        <w:t>There are no data from the use of DUAVIVE</w:t>
      </w:r>
      <w:r w:rsidRPr="00B9411E">
        <w:rPr>
          <w:i/>
        </w:rPr>
        <w:t xml:space="preserve"> </w:t>
      </w:r>
      <w:r w:rsidRPr="00B9411E">
        <w:t>in pregnant women.</w:t>
      </w:r>
      <w:r w:rsidR="00156EC8">
        <w:t xml:space="preserve"> </w:t>
      </w:r>
      <w:r w:rsidRPr="00B9411E">
        <w:t>If pregnancy occurs during treatment with DUAVIVE</w:t>
      </w:r>
      <w:r>
        <w:t>,</w:t>
      </w:r>
      <w:r w:rsidRPr="00B9411E">
        <w:t xml:space="preserve"> it should be withdrawn immediately.</w:t>
      </w:r>
    </w:p>
    <w:p w:rsidR="00EB5B1C" w:rsidRPr="00B9411E" w:rsidRDefault="00EB5B1C" w:rsidP="00987367">
      <w:pPr>
        <w:pStyle w:val="PINormal"/>
      </w:pPr>
      <w:r>
        <w:t xml:space="preserve">Treatment of pregnant rats with bazedoxifene at oral doses ≥ 1 mg/kg/day (yielding ≥ 0.3 times the human exposure based on plasma AUC) resulted in increased post-implantation loss, reduced numbers of live </w:t>
      </w:r>
      <w:r w:rsidR="009E411A">
        <w:t>fetuses</w:t>
      </w:r>
      <w:r>
        <w:t xml:space="preserve">, reduced fetal weight, increased fetal vascular variations and impaired </w:t>
      </w:r>
      <w:proofErr w:type="spellStart"/>
      <w:r>
        <w:t>fetal</w:t>
      </w:r>
      <w:proofErr w:type="spellEnd"/>
      <w:r>
        <w:t xml:space="preserve"> ossification.</w:t>
      </w:r>
      <w:r w:rsidR="00156EC8">
        <w:t xml:space="preserve"> </w:t>
      </w:r>
      <w:r w:rsidRPr="004D5F31">
        <w:t>In rabbit studies with bazedoxifene, abortion and increased incidence</w:t>
      </w:r>
      <w:r>
        <w:t>s</w:t>
      </w:r>
      <w:r w:rsidRPr="004D5F31">
        <w:t xml:space="preserve"> of</w:t>
      </w:r>
      <w:r>
        <w:t xml:space="preserve"> fetal</w:t>
      </w:r>
      <w:r w:rsidRPr="004D5F31">
        <w:t xml:space="preserve"> heart</w:t>
      </w:r>
      <w:r>
        <w:t xml:space="preserve"> malformation</w:t>
      </w:r>
      <w:r w:rsidRPr="004D5F31">
        <w:t xml:space="preserve"> (ventricular septal defect) and</w:t>
      </w:r>
      <w:r>
        <w:t xml:space="preserve"> fetal</w:t>
      </w:r>
      <w:r w:rsidRPr="004D5F31">
        <w:t xml:space="preserve"> skeletal system</w:t>
      </w:r>
      <w:r>
        <w:t xml:space="preserve"> anomalies</w:t>
      </w:r>
      <w:r w:rsidRPr="004D5F31">
        <w:t xml:space="preserve"> (ossification delays, misshapen or misaligned bones, primarily of the</w:t>
      </w:r>
      <w:r>
        <w:t xml:space="preserve"> skull and</w:t>
      </w:r>
      <w:r w:rsidRPr="004D5F31">
        <w:t xml:space="preserve"> spine) were</w:t>
      </w:r>
      <w:r>
        <w:t xml:space="preserve"> observed</w:t>
      </w:r>
      <w:r w:rsidRPr="004D5F31">
        <w:t xml:space="preserve"> at</w:t>
      </w:r>
      <w:r>
        <w:t xml:space="preserve"> oral</w:t>
      </w:r>
      <w:r w:rsidRPr="004D5F31">
        <w:t xml:space="preserve"> doses </w:t>
      </w:r>
      <w:r w:rsidRPr="004D5F31">
        <w:sym w:font="Symbol" w:char="F0B3"/>
      </w:r>
      <w:r w:rsidRPr="004D5F31">
        <w:t> 0.5 mg/kg/day (</w:t>
      </w:r>
      <w:r>
        <w:t xml:space="preserve">≥ </w:t>
      </w:r>
      <w:r w:rsidRPr="004D5F31">
        <w:t>1.</w:t>
      </w:r>
      <w:r>
        <w:t>7</w:t>
      </w:r>
      <w:r w:rsidRPr="004D5F31">
        <w:t> times the human exposure).</w:t>
      </w:r>
      <w:r w:rsidR="00156EC8">
        <w:t xml:space="preserve"> </w:t>
      </w:r>
      <w:r>
        <w:t xml:space="preserve">Adverse effects on </w:t>
      </w:r>
      <w:proofErr w:type="spellStart"/>
      <w:r>
        <w:t>embryofetal</w:t>
      </w:r>
      <w:proofErr w:type="spellEnd"/>
      <w:r>
        <w:t xml:space="preserve"> development in animals occurred at maternally toxic doses but at exposure</w:t>
      </w:r>
      <w:r w:rsidR="009E411A">
        <w:t xml:space="preserve"> levels below or only slightly above that of patients.</w:t>
      </w:r>
      <w:r w:rsidR="00156EC8">
        <w:t xml:space="preserve"> </w:t>
      </w:r>
      <w:r w:rsidR="009E411A">
        <w:t>The animal studies suggest a potential risk to the human fetus.</w:t>
      </w:r>
    </w:p>
    <w:p w:rsidR="00653F81" w:rsidRPr="00165923" w:rsidRDefault="00653F81" w:rsidP="001E1FC1">
      <w:pPr>
        <w:pStyle w:val="PIHeading2"/>
      </w:pPr>
      <w:r w:rsidRPr="00165923">
        <w:t xml:space="preserve">Use in </w:t>
      </w:r>
      <w:r w:rsidR="00ED1A46" w:rsidRPr="00165923">
        <w:t>L</w:t>
      </w:r>
      <w:r w:rsidRPr="00165923">
        <w:t>actation</w:t>
      </w:r>
    </w:p>
    <w:p w:rsidR="003759D0" w:rsidRPr="00B9411E" w:rsidRDefault="003759D0" w:rsidP="003759D0">
      <w:pPr>
        <w:autoSpaceDE w:val="0"/>
        <w:autoSpaceDN w:val="0"/>
        <w:adjustRightInd w:val="0"/>
        <w:rPr>
          <w:szCs w:val="22"/>
        </w:rPr>
      </w:pPr>
      <w:r w:rsidRPr="00B9411E">
        <w:rPr>
          <w:szCs w:val="22"/>
        </w:rPr>
        <w:t xml:space="preserve">DUAVIVE is contraindicated during breast-feeding (see </w:t>
      </w:r>
      <w:r w:rsidR="00D67648">
        <w:rPr>
          <w:szCs w:val="22"/>
        </w:rPr>
        <w:t>CONTRAINDICATIONS</w:t>
      </w:r>
      <w:r w:rsidRPr="00B9411E">
        <w:rPr>
          <w:szCs w:val="22"/>
        </w:rPr>
        <w:t>).</w:t>
      </w:r>
      <w:r w:rsidR="00156EC8">
        <w:rPr>
          <w:szCs w:val="22"/>
        </w:rPr>
        <w:t xml:space="preserve"> </w:t>
      </w:r>
      <w:r w:rsidRPr="00B9411E">
        <w:rPr>
          <w:szCs w:val="22"/>
        </w:rPr>
        <w:t>It is not known whether bazedoxifene is excreted in human milk.</w:t>
      </w:r>
      <w:r w:rsidR="00156EC8">
        <w:rPr>
          <w:szCs w:val="22"/>
        </w:rPr>
        <w:t xml:space="preserve"> </w:t>
      </w:r>
      <w:r w:rsidRPr="00B9411E">
        <w:rPr>
          <w:szCs w:val="22"/>
        </w:rPr>
        <w:t xml:space="preserve">Detectable amounts of </w:t>
      </w:r>
      <w:r w:rsidR="00156E84">
        <w:rPr>
          <w:szCs w:val="22"/>
        </w:rPr>
        <w:t>estrogens</w:t>
      </w:r>
      <w:r w:rsidRPr="00B9411E">
        <w:rPr>
          <w:szCs w:val="22"/>
        </w:rPr>
        <w:t xml:space="preserve"> have been identified in the milk of mothers receiving CE.</w:t>
      </w:r>
      <w:r w:rsidR="00156EC8">
        <w:rPr>
          <w:szCs w:val="22"/>
        </w:rPr>
        <w:t xml:space="preserve"> </w:t>
      </w:r>
      <w:r w:rsidR="007F3951">
        <w:rPr>
          <w:szCs w:val="22"/>
        </w:rPr>
        <w:t>E</w:t>
      </w:r>
      <w:r w:rsidRPr="00B9411E">
        <w:rPr>
          <w:szCs w:val="22"/>
        </w:rPr>
        <w:t>strogen administration to breast-feeding mothers has been shown to decrease the quantity and quality of the milk.</w:t>
      </w:r>
    </w:p>
    <w:p w:rsidR="00165923" w:rsidRPr="000A047B" w:rsidRDefault="00323112" w:rsidP="00165923">
      <w:pPr>
        <w:pStyle w:val="PIHeading2"/>
        <w:rPr>
          <w:lang w:eastAsia="en-GB"/>
        </w:rPr>
      </w:pPr>
      <w:r>
        <w:rPr>
          <w:lang w:eastAsia="en-GB"/>
        </w:rPr>
        <w:t>Paediatric</w:t>
      </w:r>
      <w:r w:rsidR="00AA30F2">
        <w:rPr>
          <w:lang w:eastAsia="en-GB"/>
        </w:rPr>
        <w:t xml:space="preserve"> Use</w:t>
      </w:r>
    </w:p>
    <w:p w:rsidR="00A446CB" w:rsidRDefault="00A446CB" w:rsidP="00A446CB">
      <w:r w:rsidRPr="00B9411E">
        <w:rPr>
          <w:lang w:eastAsia="en-GB"/>
        </w:rPr>
        <w:t>There is no relevant use of DUAVIVE in the paediatric population</w:t>
      </w:r>
      <w:r>
        <w:t>.</w:t>
      </w:r>
    </w:p>
    <w:p w:rsidR="00165923" w:rsidRPr="00165923" w:rsidRDefault="00987367" w:rsidP="00165923">
      <w:pPr>
        <w:pStyle w:val="PIHeading2"/>
      </w:pPr>
      <w:r>
        <w:t>Use in the Elderly</w:t>
      </w:r>
    </w:p>
    <w:p w:rsidR="00400C4D" w:rsidRDefault="00A446CB" w:rsidP="00165923">
      <w:pPr>
        <w:pStyle w:val="PINormal"/>
      </w:pPr>
      <w:r>
        <w:t>DUAVIVE</w:t>
      </w:r>
      <w:r w:rsidR="00165923" w:rsidRPr="00165923">
        <w:t xml:space="preserve"> has not been studied in women </w:t>
      </w:r>
      <w:r>
        <w:t>over</w:t>
      </w:r>
      <w:r w:rsidR="00165923" w:rsidRPr="00165923">
        <w:t xml:space="preserve"> 75 years </w:t>
      </w:r>
      <w:r>
        <w:t>of age</w:t>
      </w:r>
      <w:r w:rsidR="00165923" w:rsidRPr="00165923">
        <w:t>.</w:t>
      </w:r>
      <w:r w:rsidR="00156EC8">
        <w:t xml:space="preserve"> </w:t>
      </w:r>
      <w:r w:rsidR="00165923" w:rsidRPr="00165923">
        <w:t xml:space="preserve">Of the total number of women in Phase 3 clinical trials who received </w:t>
      </w:r>
      <w:r w:rsidR="00165923">
        <w:t>CE/bazedoxifene</w:t>
      </w:r>
      <w:r w:rsidR="00C16568">
        <w:t xml:space="preserve"> 20 mg</w:t>
      </w:r>
      <w:r w:rsidR="00165923">
        <w:t>, 2.4% (n=77) were aged ≥65 </w:t>
      </w:r>
      <w:r w:rsidR="00165923" w:rsidRPr="00165923">
        <w:t>years.</w:t>
      </w:r>
      <w:r w:rsidR="00156EC8">
        <w:t xml:space="preserve"> </w:t>
      </w:r>
      <w:r w:rsidR="00165923" w:rsidRPr="00165923">
        <w:t>No overall differences in safety or effectiveness were observed between women aged</w:t>
      </w:r>
      <w:r w:rsidR="00B80FFD">
        <w:t> </w:t>
      </w:r>
      <w:r w:rsidR="00165923" w:rsidRPr="00165923">
        <w:t>&gt;65 years and younger women, but greater sensitivity of some older individuals cannot be ruled out</w:t>
      </w:r>
      <w:r w:rsidR="008D556B">
        <w:t xml:space="preserve"> (see PHARMACOKINETICS,</w:t>
      </w:r>
      <w:r w:rsidR="009E5D5D">
        <w:t xml:space="preserve"> </w:t>
      </w:r>
      <w:r w:rsidR="0078549C">
        <w:t>Special Population</w:t>
      </w:r>
      <w:r w:rsidR="002560C2">
        <w:t>s</w:t>
      </w:r>
      <w:r w:rsidR="0078549C">
        <w:t>, Elderly</w:t>
      </w:r>
      <w:r w:rsidR="0083220C">
        <w:t>)</w:t>
      </w:r>
      <w:r w:rsidR="00165923" w:rsidRPr="00165923">
        <w:t>.</w:t>
      </w:r>
    </w:p>
    <w:p w:rsidR="00AA30F2" w:rsidRDefault="003E3732" w:rsidP="00AA30F2">
      <w:pPr>
        <w:pStyle w:val="CLDHeading2"/>
      </w:pPr>
      <w:r>
        <w:t>Use in Renal Impairment</w:t>
      </w:r>
    </w:p>
    <w:p w:rsidR="003E3732" w:rsidRDefault="003E3732" w:rsidP="003E3732">
      <w:pPr>
        <w:pStyle w:val="PINormal"/>
      </w:pPr>
      <w:r w:rsidRPr="00C8562F">
        <w:t xml:space="preserve">The pharmacokinetics of CE/bazedoxifene </w:t>
      </w:r>
      <w:proofErr w:type="gramStart"/>
      <w:r w:rsidRPr="00C8562F">
        <w:t>have</w:t>
      </w:r>
      <w:proofErr w:type="gramEnd"/>
      <w:r w:rsidRPr="00C8562F">
        <w:t xml:space="preserve"> not been evaluated in patients with renal impairment.</w:t>
      </w:r>
      <w:r w:rsidR="00156EC8">
        <w:t xml:space="preserve"> </w:t>
      </w:r>
      <w:r w:rsidRPr="00C8562F">
        <w:t>Use in this population is</w:t>
      </w:r>
      <w:r w:rsidR="00E019AF">
        <w:t>,</w:t>
      </w:r>
      <w:r w:rsidRPr="00C8562F">
        <w:t xml:space="preserve"> </w:t>
      </w:r>
      <w:r>
        <w:t>therefore</w:t>
      </w:r>
      <w:r w:rsidR="00E019AF">
        <w:t>,</w:t>
      </w:r>
      <w:r>
        <w:t xml:space="preserve"> </w:t>
      </w:r>
      <w:r w:rsidRPr="00C8562F">
        <w:t xml:space="preserve">not recommended (see </w:t>
      </w:r>
      <w:r w:rsidR="002560C2">
        <w:t xml:space="preserve">PHARMACOKINETICS, Special Populations, </w:t>
      </w:r>
      <w:r w:rsidR="00E019AF">
        <w:t>Renal Impairment</w:t>
      </w:r>
      <w:r w:rsidRPr="00C8562F">
        <w:t>).</w:t>
      </w:r>
    </w:p>
    <w:p w:rsidR="00400C4D" w:rsidRDefault="0065229F" w:rsidP="003E3732">
      <w:pPr>
        <w:pStyle w:val="PINormal"/>
        <w:rPr>
          <w:lang w:val="en-GB"/>
        </w:rPr>
      </w:pPr>
      <w:r w:rsidRPr="00B9411E">
        <w:rPr>
          <w:lang w:val="en-GB"/>
        </w:rPr>
        <w:t xml:space="preserve">Patients with </w:t>
      </w:r>
      <w:r w:rsidR="005B1F42">
        <w:t>renal impairment</w:t>
      </w:r>
      <w:r w:rsidR="00A33B6E">
        <w:rPr>
          <w:spacing w:val="18"/>
        </w:rPr>
        <w:t xml:space="preserve"> </w:t>
      </w:r>
      <w:proofErr w:type="gramStart"/>
      <w:r w:rsidRPr="00B9411E">
        <w:rPr>
          <w:lang w:val="en-GB"/>
        </w:rPr>
        <w:t>should be closely monitored</w:t>
      </w:r>
      <w:proofErr w:type="gramEnd"/>
      <w:r w:rsidRPr="00B9411E">
        <w:rPr>
          <w:lang w:val="en-GB"/>
        </w:rPr>
        <w:t xml:space="preserve"> since it is expected that the level of circulating </w:t>
      </w:r>
      <w:r w:rsidR="00156E84">
        <w:rPr>
          <w:lang w:val="en-GB"/>
        </w:rPr>
        <w:t>estrogens</w:t>
      </w:r>
      <w:r w:rsidRPr="00B9411E">
        <w:rPr>
          <w:lang w:val="en-GB"/>
        </w:rPr>
        <w:t xml:space="preserve"> components of DUAVIVE will be increased.</w:t>
      </w:r>
      <w:r w:rsidR="00156EC8">
        <w:rPr>
          <w:lang w:val="en-GB"/>
        </w:rPr>
        <w:t xml:space="preserve"> </w:t>
      </w:r>
      <w:r w:rsidRPr="00B9411E">
        <w:rPr>
          <w:lang w:val="en-GB"/>
        </w:rPr>
        <w:t xml:space="preserve">Use in this population </w:t>
      </w:r>
      <w:proofErr w:type="gramStart"/>
      <w:r w:rsidRPr="00B9411E">
        <w:rPr>
          <w:lang w:val="en-GB"/>
        </w:rPr>
        <w:t>is not recommended</w:t>
      </w:r>
      <w:proofErr w:type="gramEnd"/>
      <w:r w:rsidRPr="00B9411E">
        <w:rPr>
          <w:lang w:val="en-GB"/>
        </w:rPr>
        <w:t xml:space="preserve"> (see </w:t>
      </w:r>
      <w:r>
        <w:rPr>
          <w:lang w:val="en-GB"/>
        </w:rPr>
        <w:t>PHARMACOKINETICS, Renal Impairment and DOSAGE AND ADMINISTRATION, Dosage Adjustment in Renal Impairment</w:t>
      </w:r>
      <w:r w:rsidRPr="00B9411E">
        <w:rPr>
          <w:lang w:val="en-GB"/>
        </w:rPr>
        <w:t>).</w:t>
      </w:r>
    </w:p>
    <w:p w:rsidR="00AA30F2" w:rsidRDefault="00AA30F2" w:rsidP="00AA30F2">
      <w:pPr>
        <w:pStyle w:val="CLDHeading2"/>
      </w:pPr>
      <w:r>
        <w:t>Use in Hepatic Impairment</w:t>
      </w:r>
    </w:p>
    <w:p w:rsidR="0065229F" w:rsidRPr="00B80FFD" w:rsidRDefault="003E3732" w:rsidP="003E3732">
      <w:pPr>
        <w:pStyle w:val="PINormal"/>
      </w:pPr>
      <w:r w:rsidRPr="00B80FFD">
        <w:t>The safety and efficacy of CE/bazedoxifene have not been evaluated in patients with hepatic impairment.</w:t>
      </w:r>
      <w:r w:rsidR="00156EC8">
        <w:t xml:space="preserve"> </w:t>
      </w:r>
      <w:r w:rsidRPr="00B80FFD">
        <w:t xml:space="preserve">Use in this population is contraindicated (see </w:t>
      </w:r>
      <w:r w:rsidR="00E019AF">
        <w:t>PHARMACOKINETICS, Special Populations, Hepatic Impairment</w:t>
      </w:r>
      <w:r w:rsidR="005577A9">
        <w:t xml:space="preserve"> and</w:t>
      </w:r>
      <w:r w:rsidR="00E019AF">
        <w:t xml:space="preserve"> </w:t>
      </w:r>
      <w:r w:rsidR="005577A9">
        <w:t xml:space="preserve">PRECAUTIONS, </w:t>
      </w:r>
      <w:r w:rsidR="005577A9" w:rsidRPr="0045440C">
        <w:rPr>
          <w:rFonts w:eastAsia="TimesNewRoman,Bold"/>
          <w:lang w:val="en-US"/>
        </w:rPr>
        <w:t xml:space="preserve">Impaired </w:t>
      </w:r>
      <w:r w:rsidR="005577A9" w:rsidRPr="0045440C">
        <w:rPr>
          <w:rFonts w:eastAsia="TimesNewRoman,Bold"/>
        </w:rPr>
        <w:t>Liver</w:t>
      </w:r>
      <w:r w:rsidR="005577A9" w:rsidRPr="0045440C">
        <w:rPr>
          <w:rFonts w:eastAsia="TimesNewRoman,Bold"/>
          <w:lang w:val="en-US"/>
        </w:rPr>
        <w:t xml:space="preserve"> Function and Past History of Cholestatic Jaundice</w:t>
      </w:r>
      <w:r w:rsidRPr="00B80FFD">
        <w:t>).</w:t>
      </w:r>
    </w:p>
    <w:p w:rsidR="00653F81" w:rsidRPr="00165923" w:rsidRDefault="00653F81" w:rsidP="001E1FC1">
      <w:pPr>
        <w:pStyle w:val="PIHeading2"/>
      </w:pPr>
      <w:r w:rsidRPr="00165923">
        <w:lastRenderedPageBreak/>
        <w:t>Genotoxicity</w:t>
      </w:r>
    </w:p>
    <w:p w:rsidR="0006265B" w:rsidRPr="00B9411E" w:rsidRDefault="009E411A" w:rsidP="00987367">
      <w:pPr>
        <w:pStyle w:val="PINormal"/>
      </w:pPr>
      <w:r>
        <w:t>Genotoxicity</w:t>
      </w:r>
      <w:r w:rsidR="0006265B" w:rsidRPr="00B9411E">
        <w:t xml:space="preserve"> studies with CE/bazedoxifene have not been conducted.</w:t>
      </w:r>
      <w:r w:rsidR="00156EC8">
        <w:t xml:space="preserve"> </w:t>
      </w:r>
      <w:r w:rsidR="0006265B" w:rsidRPr="00B9411E">
        <w:t>The following data are based on the findings in studies with bazedoxifene.</w:t>
      </w:r>
    </w:p>
    <w:p w:rsidR="0006265B" w:rsidRPr="00B9411E" w:rsidRDefault="0006265B" w:rsidP="00987367">
      <w:pPr>
        <w:pStyle w:val="PINormal"/>
      </w:pPr>
      <w:r w:rsidRPr="00B9411E">
        <w:t xml:space="preserve">Bazedoxifene was not genotoxic </w:t>
      </w:r>
      <w:r w:rsidRPr="00B9411E">
        <w:rPr>
          <w:i/>
        </w:rPr>
        <w:t>in vitro</w:t>
      </w:r>
      <w:r w:rsidRPr="00B9411E">
        <w:t xml:space="preserve"> </w:t>
      </w:r>
      <w:r w:rsidR="009E411A">
        <w:t xml:space="preserve">in assays for </w:t>
      </w:r>
      <w:r w:rsidRPr="00B9411E">
        <w:t>bacterial reverse mutation</w:t>
      </w:r>
      <w:r w:rsidR="00D12981">
        <w:t>,</w:t>
      </w:r>
      <w:r w:rsidRPr="00B9411E">
        <w:t xml:space="preserve"> mammalian forward mutation in mouse lymphoma cells, </w:t>
      </w:r>
      <w:r w:rsidR="009E411A">
        <w:t xml:space="preserve">and for </w:t>
      </w:r>
      <w:r w:rsidRPr="00B9411E">
        <w:t>chromosom</w:t>
      </w:r>
      <w:r w:rsidR="009E411A">
        <w:t>al</w:t>
      </w:r>
      <w:r w:rsidRPr="00B9411E">
        <w:t xml:space="preserve"> aberration</w:t>
      </w:r>
      <w:r w:rsidR="009E411A">
        <w:t>s</w:t>
      </w:r>
      <w:r w:rsidRPr="00B9411E">
        <w:t xml:space="preserve"> in Chinese hamster ovary (CHO) cells, </w:t>
      </w:r>
      <w:r w:rsidR="009E411A">
        <w:t>or</w:t>
      </w:r>
      <w:r w:rsidRPr="00B9411E">
        <w:t xml:space="preserve"> </w:t>
      </w:r>
      <w:r w:rsidRPr="00B9411E">
        <w:rPr>
          <w:i/>
        </w:rPr>
        <w:t>in vivo</w:t>
      </w:r>
      <w:r w:rsidRPr="00B9411E">
        <w:t xml:space="preserve"> </w:t>
      </w:r>
      <w:r w:rsidR="009E411A">
        <w:t xml:space="preserve">in the </w:t>
      </w:r>
      <w:r w:rsidRPr="00B9411E">
        <w:t>mouse micronucleus assay.</w:t>
      </w:r>
    </w:p>
    <w:p w:rsidR="00653F81" w:rsidRPr="00165923" w:rsidRDefault="00653F81" w:rsidP="001E1FC1">
      <w:pPr>
        <w:pStyle w:val="PIHeading2"/>
      </w:pPr>
      <w:r w:rsidRPr="00165923">
        <w:t>Carcinogenicity</w:t>
      </w:r>
    </w:p>
    <w:p w:rsidR="00987367" w:rsidRDefault="000962A0" w:rsidP="00987367">
      <w:pPr>
        <w:pStyle w:val="PINormal"/>
      </w:pPr>
      <w:r w:rsidRPr="00165923">
        <w:rPr>
          <w:szCs w:val="22"/>
        </w:rPr>
        <w:t>Carcinogenicity</w:t>
      </w:r>
      <w:r w:rsidR="005E1EEE" w:rsidRPr="00165923">
        <w:rPr>
          <w:szCs w:val="22"/>
        </w:rPr>
        <w:t xml:space="preserve"> studies with CE/</w:t>
      </w:r>
      <w:r w:rsidR="00B8193C" w:rsidRPr="00165923">
        <w:t xml:space="preserve">bazedoxifene </w:t>
      </w:r>
      <w:r w:rsidR="005E1EEE" w:rsidRPr="00165923">
        <w:rPr>
          <w:szCs w:val="22"/>
        </w:rPr>
        <w:t>have not been conducted</w:t>
      </w:r>
      <w:r w:rsidR="00D65A17" w:rsidRPr="00165923">
        <w:rPr>
          <w:szCs w:val="22"/>
        </w:rPr>
        <w:t>.</w:t>
      </w:r>
    </w:p>
    <w:p w:rsidR="00400C4D" w:rsidRDefault="009548A2" w:rsidP="00987367">
      <w:pPr>
        <w:pStyle w:val="PINormal"/>
      </w:pPr>
      <w:r>
        <w:t>Long-term, continuous administration of natural and synthetic estrogens in certain animal species increases the frequency of carcinomas of the breast, cervix, vagina and liver.</w:t>
      </w:r>
    </w:p>
    <w:p w:rsidR="00987367" w:rsidRPr="00B9411E" w:rsidRDefault="00987367" w:rsidP="00987367">
      <w:pPr>
        <w:pStyle w:val="PINormal"/>
      </w:pPr>
      <w:r w:rsidRPr="00B9411E">
        <w:t>In 6-month</w:t>
      </w:r>
      <w:r w:rsidR="00041EB2">
        <w:t xml:space="preserve"> oral</w:t>
      </w:r>
      <w:r w:rsidRPr="00B9411E">
        <w:t xml:space="preserve"> carcinogenicity studies in transgenic</w:t>
      </w:r>
      <w:r w:rsidR="00041EB2">
        <w:t xml:space="preserve"> Tg.rasH2</w:t>
      </w:r>
      <w:r w:rsidRPr="00B9411E">
        <w:t xml:space="preserve"> mice, </w:t>
      </w:r>
      <w:r w:rsidR="00041EB2">
        <w:t>bazedoxifene</w:t>
      </w:r>
      <w:r w:rsidRPr="00B9411E">
        <w:t xml:space="preserve"> increased</w:t>
      </w:r>
      <w:r w:rsidR="00041EB2">
        <w:t xml:space="preserve"> the</w:t>
      </w:r>
      <w:r w:rsidRPr="00B9411E">
        <w:t xml:space="preserve"> incidence of benign, ovarian granulosa-cell tumours in female mice given 150 or 500 mg/kg/day.</w:t>
      </w:r>
      <w:r w:rsidR="00156EC8">
        <w:t xml:space="preserve"> </w:t>
      </w:r>
      <w:r w:rsidRPr="00B9411E">
        <w:t>Systemic exposure (AUC) to bazedoxifene in these groups was</w:t>
      </w:r>
      <w:r w:rsidR="00041EB2">
        <w:t xml:space="preserve"> approximately 40</w:t>
      </w:r>
      <w:r w:rsidRPr="00B9411E">
        <w:t xml:space="preserve"> and </w:t>
      </w:r>
      <w:r w:rsidR="00041EB2">
        <w:t>110</w:t>
      </w:r>
      <w:r w:rsidRPr="00B9411E">
        <w:t xml:space="preserve"> times that in postmenopausal women</w:t>
      </w:r>
      <w:r w:rsidR="00156EC8">
        <w:t xml:space="preserve"> </w:t>
      </w:r>
      <w:r w:rsidR="00041EB2">
        <w:t xml:space="preserve">at the clinical dose </w:t>
      </w:r>
      <w:r w:rsidR="003166AE">
        <w:t>of</w:t>
      </w:r>
      <w:r w:rsidRPr="00B9411E">
        <w:t xml:space="preserve"> 20 mg/day.</w:t>
      </w:r>
      <w:r w:rsidR="00156EC8">
        <w:t xml:space="preserve"> </w:t>
      </w:r>
      <w:r w:rsidRPr="00B9411E">
        <w:t>In a 2-year carcinogenicity study in rats, an increased incidence of benign, ovarian granulosa-cell tumours was observed in female rats at dietary concentrations of 0.03% and 0.1%</w:t>
      </w:r>
      <w:r w:rsidR="00A801A1">
        <w:t xml:space="preserve"> (equivalent to ~17 and 57 mg/kg/day)</w:t>
      </w:r>
      <w:r w:rsidRPr="00B9411E">
        <w:t>.</w:t>
      </w:r>
      <w:r w:rsidR="00156EC8">
        <w:t xml:space="preserve"> </w:t>
      </w:r>
      <w:r w:rsidRPr="00B9411E">
        <w:t xml:space="preserve">Systemic exposure (AUC) of bazedoxifene in these groups was </w:t>
      </w:r>
      <w:r w:rsidR="00A801A1">
        <w:t>3</w:t>
      </w:r>
      <w:r w:rsidRPr="00B9411E">
        <w:t xml:space="preserve"> and </w:t>
      </w:r>
      <w:r w:rsidR="00A801A1">
        <w:t>8</w:t>
      </w:r>
      <w:r w:rsidRPr="00B9411E">
        <w:t xml:space="preserve"> times</w:t>
      </w:r>
      <w:r w:rsidR="00A801A1">
        <w:t xml:space="preserve"> higher than in patients</w:t>
      </w:r>
      <w:r w:rsidRPr="00B9411E">
        <w:t>.</w:t>
      </w:r>
      <w:r w:rsidR="00156EC8">
        <w:t xml:space="preserve"> </w:t>
      </w:r>
      <w:r w:rsidRPr="00B9411E">
        <w:t>The observation of benign, ovarian granulosa-cell tumours in female mice and rats administered bazedoxifene is a class effect of SERMs related to its pharmacology in rodents when treated during their reproductive lives, when their ovaries are functional and responsive to hormonal stimulation.</w:t>
      </w:r>
    </w:p>
    <w:p w:rsidR="0027024E" w:rsidRPr="00B9411E" w:rsidRDefault="0027024E" w:rsidP="00987367">
      <w:pPr>
        <w:pStyle w:val="PINormal"/>
      </w:pPr>
      <w:r>
        <w:rPr>
          <w:rFonts w:eastAsia="TimesNewRoman"/>
        </w:rPr>
        <w:t xml:space="preserve">Renal tumours (adenomas and carcinomas) were observed with bazedoxifene in male rats at all dose levels tested (dietary concentrations ≥ 0.003%; equivalent to ≥ </w:t>
      </w:r>
      <w:r w:rsidR="00ED360F">
        <w:rPr>
          <w:rFonts w:eastAsia="TimesNewRoman"/>
        </w:rPr>
        <w:t>1.3</w:t>
      </w:r>
      <w:r>
        <w:rPr>
          <w:rFonts w:eastAsia="TimesNewRoman"/>
        </w:rPr>
        <w:t xml:space="preserve"> mg/kg/day), yielding systemic exposure (plasma AUC) 0.06 to 5 times that of patients at 20 mg/day.</w:t>
      </w:r>
      <w:r w:rsidR="00156EC8">
        <w:rPr>
          <w:rFonts w:eastAsia="TimesNewRoman"/>
        </w:rPr>
        <w:t xml:space="preserve"> </w:t>
      </w:r>
      <w:r>
        <w:rPr>
          <w:rFonts w:eastAsia="TimesNewRoman"/>
        </w:rPr>
        <w:t xml:space="preserve">This occurred in </w:t>
      </w:r>
      <w:proofErr w:type="spellStart"/>
      <w:r>
        <w:rPr>
          <w:rFonts w:eastAsia="TimesNewRoman"/>
        </w:rPr>
        <w:t>conjuction</w:t>
      </w:r>
      <w:proofErr w:type="spellEnd"/>
      <w:r>
        <w:rPr>
          <w:rFonts w:eastAsia="TimesNewRoman"/>
        </w:rPr>
        <w:t xml:space="preserve"> with renal toxicity.</w:t>
      </w:r>
      <w:r w:rsidR="00156EC8">
        <w:rPr>
          <w:rFonts w:eastAsia="TimesNewRoman"/>
        </w:rPr>
        <w:t xml:space="preserve"> </w:t>
      </w:r>
      <w:r>
        <w:rPr>
          <w:rFonts w:eastAsia="TimesNewRoman"/>
        </w:rPr>
        <w:t>Renal tumours were not observed with bazedoxifene in mice or female rats.</w:t>
      </w:r>
    </w:p>
    <w:p w:rsidR="00400C4D" w:rsidRDefault="00FB51CD" w:rsidP="00FB51CD">
      <w:pPr>
        <w:pStyle w:val="PIHeading2"/>
      </w:pPr>
      <w:r>
        <w:t>Effects on Laboratory Tests</w:t>
      </w:r>
    </w:p>
    <w:p w:rsidR="00400C4D" w:rsidRDefault="00FB51CD" w:rsidP="00FB51CD">
      <w:pPr>
        <w:pStyle w:val="PINormal"/>
      </w:pPr>
      <w:r>
        <w:t>Estrogens</w:t>
      </w:r>
      <w:r w:rsidRPr="00B9411E">
        <w:t xml:space="preserve"> increase thyroid binding globulin (TBG), leading to increased circulating total thyroid hormone, as measured by protein-bound iodine (PBI), T4 levels (by column or by radioimmunoassay) or T3 levels (by radio-immunoassay).</w:t>
      </w:r>
      <w:r w:rsidR="00156EC8">
        <w:t xml:space="preserve"> </w:t>
      </w:r>
      <w:r w:rsidRPr="00B9411E">
        <w:t>T3 resin uptake is decreased, reflecting the elevated TBG.</w:t>
      </w:r>
      <w:r w:rsidR="00156EC8">
        <w:t xml:space="preserve"> </w:t>
      </w:r>
      <w:r w:rsidRPr="00B9411E">
        <w:t xml:space="preserve">Free T4 and free T3 concentrations are unaltered. </w:t>
      </w:r>
    </w:p>
    <w:p w:rsidR="00FB51CD" w:rsidRPr="00B9411E" w:rsidRDefault="00FB51CD" w:rsidP="00FB51CD">
      <w:pPr>
        <w:pStyle w:val="PINormal"/>
      </w:pPr>
      <w:r w:rsidRPr="00B9411E">
        <w:t>Other binding proteins may be elevated in serum, i.e. corticoid binding globulin (CBG), sex-hormone-binding globulin (SHBG) leading to increased circulating corticosteroids and sex steroids, respectively.</w:t>
      </w:r>
      <w:r w:rsidR="00156EC8">
        <w:t xml:space="preserve"> </w:t>
      </w:r>
      <w:r w:rsidRPr="00B9411E">
        <w:t>Free or biological active hormone concentrations are unchanged.</w:t>
      </w:r>
      <w:r w:rsidR="00156EC8">
        <w:t xml:space="preserve"> </w:t>
      </w:r>
      <w:r w:rsidRPr="00B9411E">
        <w:t>Other plasma proteins may be increased (angiotensinogen/renin substrate, alpha-1 antitrypsin, ceruloplasmin).</w:t>
      </w:r>
    </w:p>
    <w:p w:rsidR="00653F81" w:rsidRPr="003E4ECD" w:rsidRDefault="001E1FC1" w:rsidP="001E1FC1">
      <w:pPr>
        <w:pStyle w:val="PIHeading2"/>
      </w:pPr>
      <w:r w:rsidRPr="003E4ECD">
        <w:t>Effect</w:t>
      </w:r>
      <w:r w:rsidR="00ED1A46" w:rsidRPr="003E4ECD">
        <w:t xml:space="preserve"> on A</w:t>
      </w:r>
      <w:r w:rsidR="00653F81" w:rsidRPr="003E4ECD">
        <w:t xml:space="preserve">bility to </w:t>
      </w:r>
      <w:r w:rsidR="00ED1A46" w:rsidRPr="003E4ECD">
        <w:t>Drive and U</w:t>
      </w:r>
      <w:r w:rsidR="00653F81" w:rsidRPr="003E4ECD">
        <w:t xml:space="preserve">se </w:t>
      </w:r>
      <w:r w:rsidR="00ED1A46" w:rsidRPr="003E4ECD">
        <w:t>M</w:t>
      </w:r>
      <w:r w:rsidR="00653F81" w:rsidRPr="003E4ECD">
        <w:t>achines</w:t>
      </w:r>
    </w:p>
    <w:p w:rsidR="00400C4D" w:rsidRDefault="003759D0" w:rsidP="00DA6AD3">
      <w:pPr>
        <w:pStyle w:val="PINormal"/>
      </w:pPr>
      <w:r w:rsidRPr="00B9411E">
        <w:t>DUAVIVE has a minor influence on the ability to drive and use machines.</w:t>
      </w:r>
    </w:p>
    <w:p w:rsidR="003759D0" w:rsidRPr="00B9411E" w:rsidRDefault="003759D0" w:rsidP="00DA6AD3">
      <w:pPr>
        <w:pStyle w:val="PINormal"/>
      </w:pPr>
      <w:r w:rsidRPr="00B9411E">
        <w:t>In clinical trials with bazedoxifene monotherapy, somnolence was reported as an adverse reaction, and patients should be advised on the potential effect on driving and using machines.</w:t>
      </w:r>
    </w:p>
    <w:p w:rsidR="00400C4D" w:rsidRDefault="003759D0" w:rsidP="00DA6AD3">
      <w:pPr>
        <w:pStyle w:val="PINormal"/>
        <w:rPr>
          <w:szCs w:val="22"/>
        </w:rPr>
      </w:pPr>
      <w:r w:rsidRPr="00B9411E">
        <w:rPr>
          <w:szCs w:val="22"/>
        </w:rPr>
        <w:t>In patients receiving bazedoxifene monotherapy there have been post-marketing reports of</w:t>
      </w:r>
      <w:r w:rsidRPr="00B9411E">
        <w:t xml:space="preserve"> visual symptoms such as visual acuity disturbance or blurred vision.</w:t>
      </w:r>
      <w:r w:rsidR="00156EC8">
        <w:t xml:space="preserve"> </w:t>
      </w:r>
      <w:r w:rsidRPr="00B9411E">
        <w:t xml:space="preserve">If such symptoms occur, patients </w:t>
      </w:r>
      <w:r w:rsidRPr="00B9411E">
        <w:lastRenderedPageBreak/>
        <w:t>should avoid driving or use of machines that requires accurate visual perception until symptoms have resolved, or until they have received medical advice that it is safe to do so</w:t>
      </w:r>
      <w:r w:rsidR="00D64A0F">
        <w:t xml:space="preserve"> </w:t>
      </w:r>
      <w:r w:rsidR="00D64A0F" w:rsidRPr="007E0BF4">
        <w:t>(see Post-marketing experience)</w:t>
      </w:r>
      <w:r w:rsidRPr="007E0BF4">
        <w:t>.</w:t>
      </w:r>
    </w:p>
    <w:p w:rsidR="00254827" w:rsidRPr="00FF7433" w:rsidRDefault="00254827" w:rsidP="00450EA2">
      <w:pPr>
        <w:pStyle w:val="PIHeading1"/>
      </w:pPr>
      <w:r w:rsidRPr="00FF7433">
        <w:t>Interactions with Other Medicines</w:t>
      </w:r>
    </w:p>
    <w:p w:rsidR="006B559D" w:rsidRPr="0045440C" w:rsidRDefault="006B559D" w:rsidP="006B559D">
      <w:pPr>
        <w:pStyle w:val="PINormal"/>
      </w:pPr>
      <w:r w:rsidRPr="0045440C">
        <w:t xml:space="preserve">Results from </w:t>
      </w:r>
      <w:r w:rsidR="007537DA" w:rsidRPr="0045440C">
        <w:t xml:space="preserve">a clinical </w:t>
      </w:r>
      <w:r w:rsidRPr="0045440C">
        <w:t>drug</w:t>
      </w:r>
      <w:r w:rsidR="00FF04EA">
        <w:t>-</w:t>
      </w:r>
      <w:r w:rsidRPr="0045440C">
        <w:t>drug interaction stu</w:t>
      </w:r>
      <w:r w:rsidR="007537DA" w:rsidRPr="0045440C">
        <w:t>dy</w:t>
      </w:r>
      <w:r w:rsidRPr="0045440C">
        <w:t xml:space="preserve"> conducted with DUAVIVE </w:t>
      </w:r>
      <w:r w:rsidR="007537DA" w:rsidRPr="0045440C">
        <w:t>and from interaction studies</w:t>
      </w:r>
      <w:r w:rsidRPr="0045440C">
        <w:t xml:space="preserve"> with CE or </w:t>
      </w:r>
      <w:r w:rsidR="00B8193C" w:rsidRPr="0045440C">
        <w:t>bazedoxifene</w:t>
      </w:r>
      <w:r w:rsidR="007537DA" w:rsidRPr="0045440C">
        <w:t xml:space="preserve"> monotherapy</w:t>
      </w:r>
      <w:r w:rsidRPr="0045440C">
        <w:t xml:space="preserve"> are </w:t>
      </w:r>
      <w:r w:rsidR="007537DA" w:rsidRPr="0045440C">
        <w:t xml:space="preserve">summarised </w:t>
      </w:r>
      <w:r w:rsidRPr="0045440C">
        <w:t>below.</w:t>
      </w:r>
    </w:p>
    <w:p w:rsidR="006B559D" w:rsidRPr="0045440C" w:rsidRDefault="006B559D" w:rsidP="006B559D">
      <w:pPr>
        <w:pStyle w:val="PIHeading2"/>
      </w:pPr>
      <w:r w:rsidRPr="0045440C">
        <w:t>Cytochrome P450</w:t>
      </w:r>
    </w:p>
    <w:p w:rsidR="006B559D" w:rsidRPr="0045440C" w:rsidRDefault="006B559D" w:rsidP="006B559D">
      <w:pPr>
        <w:pStyle w:val="PINormal"/>
        <w:rPr>
          <w:color w:val="000000"/>
        </w:rPr>
      </w:pPr>
      <w:r w:rsidRPr="0045440C">
        <w:rPr>
          <w:i/>
        </w:rPr>
        <w:t>In vitro</w:t>
      </w:r>
      <w:r w:rsidRPr="0045440C">
        <w:t xml:space="preserve"> and </w:t>
      </w:r>
      <w:r w:rsidRPr="0045440C">
        <w:rPr>
          <w:i/>
        </w:rPr>
        <w:t xml:space="preserve">in vivo </w:t>
      </w:r>
      <w:r w:rsidR="007537DA" w:rsidRPr="0045440C">
        <w:t>studies</w:t>
      </w:r>
      <w:r w:rsidRPr="0045440C">
        <w:t xml:space="preserve"> have shown that </w:t>
      </w:r>
      <w:r w:rsidR="00156E84">
        <w:t>estrogens</w:t>
      </w:r>
      <w:r w:rsidRPr="0045440C">
        <w:t xml:space="preserve"> are partially metaboli</w:t>
      </w:r>
      <w:r w:rsidR="00A75A60" w:rsidRPr="0045440C">
        <w:t>s</w:t>
      </w:r>
      <w:r w:rsidRPr="0045440C">
        <w:t xml:space="preserve">ed by cytochrome P450 </w:t>
      </w:r>
      <w:r w:rsidR="007537DA" w:rsidRPr="0045440C">
        <w:t xml:space="preserve">enzymes, including </w:t>
      </w:r>
      <w:r w:rsidRPr="0045440C">
        <w:t>CYP3A4</w:t>
      </w:r>
      <w:r w:rsidR="00D65A17" w:rsidRPr="0045440C">
        <w:t>.</w:t>
      </w:r>
      <w:r w:rsidR="00156EC8">
        <w:t xml:space="preserve"> </w:t>
      </w:r>
      <w:r w:rsidRPr="0045440C">
        <w:rPr>
          <w:rFonts w:eastAsia="TimesNewRoman,Bold"/>
        </w:rPr>
        <w:t xml:space="preserve">However, in a clinical drug-drug interaction study, repeat administration of 200 mg itraconazole, a strong CYP3A4 inhibitor, had minimal impact on the pharmacokinetics of </w:t>
      </w:r>
      <w:r w:rsidR="00491E7E" w:rsidRPr="0045440C">
        <w:rPr>
          <w:rFonts w:eastAsia="TimesNewRoman,Bold"/>
        </w:rPr>
        <w:t>CE</w:t>
      </w:r>
      <w:r w:rsidRPr="0045440C">
        <w:rPr>
          <w:rFonts w:eastAsia="TimesNewRoman,Bold"/>
        </w:rPr>
        <w:t xml:space="preserve"> (as measured by </w:t>
      </w:r>
      <w:proofErr w:type="spellStart"/>
      <w:r w:rsidRPr="0045440C">
        <w:rPr>
          <w:rFonts w:eastAsia="TimesNewRoman,Bold"/>
        </w:rPr>
        <w:t>estrone</w:t>
      </w:r>
      <w:proofErr w:type="spellEnd"/>
      <w:r w:rsidRPr="0045440C">
        <w:rPr>
          <w:rFonts w:eastAsia="TimesNewRoman,Bold"/>
        </w:rPr>
        <w:t xml:space="preserve"> and </w:t>
      </w:r>
      <w:proofErr w:type="spellStart"/>
      <w:r w:rsidRPr="0045440C">
        <w:rPr>
          <w:rFonts w:eastAsia="TimesNewRoman,Bold"/>
        </w:rPr>
        <w:t>equilin</w:t>
      </w:r>
      <w:proofErr w:type="spellEnd"/>
      <w:r w:rsidRPr="0045440C">
        <w:rPr>
          <w:rFonts w:eastAsia="TimesNewRoman,Bold"/>
        </w:rPr>
        <w:t xml:space="preserve">) and </w:t>
      </w:r>
      <w:r w:rsidR="00B8193C" w:rsidRPr="0045440C">
        <w:t xml:space="preserve">bazedoxifene </w:t>
      </w:r>
      <w:r w:rsidRPr="0045440C">
        <w:rPr>
          <w:rFonts w:eastAsia="TimesNewRoman,Bold"/>
        </w:rPr>
        <w:t>when administered with a single dose of CE 0.45 mg/</w:t>
      </w:r>
      <w:r w:rsidR="00B8193C" w:rsidRPr="0045440C">
        <w:t xml:space="preserve">bazedoxifene </w:t>
      </w:r>
      <w:r w:rsidRPr="0045440C">
        <w:rPr>
          <w:rFonts w:eastAsia="TimesNewRoman,Bold"/>
        </w:rPr>
        <w:t>20 mg.</w:t>
      </w:r>
    </w:p>
    <w:p w:rsidR="00474128" w:rsidRDefault="00474128" w:rsidP="00474128">
      <w:pPr>
        <w:keepNext/>
        <w:keepLines/>
        <w:autoSpaceDE w:val="0"/>
        <w:autoSpaceDN w:val="0"/>
        <w:adjustRightInd w:val="0"/>
        <w:rPr>
          <w:szCs w:val="22"/>
        </w:rPr>
      </w:pPr>
      <w:r w:rsidRPr="00474128">
        <w:rPr>
          <w:szCs w:val="22"/>
        </w:rPr>
        <w:t xml:space="preserve">The metabolism of </w:t>
      </w:r>
      <w:r w:rsidR="00156E84">
        <w:rPr>
          <w:szCs w:val="22"/>
        </w:rPr>
        <w:t>estrogens</w:t>
      </w:r>
      <w:r w:rsidRPr="00474128">
        <w:rPr>
          <w:szCs w:val="22"/>
        </w:rPr>
        <w:t xml:space="preserve"> may be increased by concomitant use of substances known to induce drug-metabolising enzymes, such as anticonvulsants (e.g.</w:t>
      </w:r>
      <w:r w:rsidR="005428C0">
        <w:rPr>
          <w:szCs w:val="22"/>
        </w:rPr>
        <w:t>,</w:t>
      </w:r>
      <w:r w:rsidRPr="00474128">
        <w:rPr>
          <w:szCs w:val="22"/>
        </w:rPr>
        <w:t xml:space="preserve"> phenobarbital, phenytoin, </w:t>
      </w:r>
      <w:proofErr w:type="gramStart"/>
      <w:r w:rsidRPr="00474128">
        <w:rPr>
          <w:szCs w:val="22"/>
        </w:rPr>
        <w:t>carbamaz</w:t>
      </w:r>
      <w:r w:rsidR="007537DA">
        <w:rPr>
          <w:szCs w:val="22"/>
        </w:rPr>
        <w:t>e</w:t>
      </w:r>
      <w:r w:rsidRPr="00474128">
        <w:rPr>
          <w:szCs w:val="22"/>
        </w:rPr>
        <w:t>pine</w:t>
      </w:r>
      <w:proofErr w:type="gramEnd"/>
      <w:r w:rsidRPr="00474128">
        <w:rPr>
          <w:szCs w:val="22"/>
        </w:rPr>
        <w:t>) and anti</w:t>
      </w:r>
      <w:r w:rsidR="007537DA">
        <w:rPr>
          <w:szCs w:val="22"/>
        </w:rPr>
        <w:t>-</w:t>
      </w:r>
      <w:r w:rsidRPr="00474128">
        <w:rPr>
          <w:szCs w:val="22"/>
        </w:rPr>
        <w:t>infectives (</w:t>
      </w:r>
      <w:r w:rsidR="005428C0">
        <w:rPr>
          <w:szCs w:val="22"/>
        </w:rPr>
        <w:t>e.g.,</w:t>
      </w:r>
      <w:r w:rsidRPr="00474128">
        <w:rPr>
          <w:szCs w:val="22"/>
        </w:rPr>
        <w:t xml:space="preserve"> rifampicin, </w:t>
      </w:r>
      <w:proofErr w:type="spellStart"/>
      <w:r w:rsidRPr="00474128">
        <w:rPr>
          <w:szCs w:val="22"/>
        </w:rPr>
        <w:t>rifabutin</w:t>
      </w:r>
      <w:proofErr w:type="spellEnd"/>
      <w:r w:rsidRPr="00474128">
        <w:rPr>
          <w:szCs w:val="22"/>
        </w:rPr>
        <w:t xml:space="preserve">, </w:t>
      </w:r>
      <w:proofErr w:type="spellStart"/>
      <w:r w:rsidRPr="00474128">
        <w:rPr>
          <w:szCs w:val="22"/>
        </w:rPr>
        <w:t>nevirapine</w:t>
      </w:r>
      <w:proofErr w:type="spellEnd"/>
      <w:r w:rsidRPr="00474128">
        <w:rPr>
          <w:szCs w:val="22"/>
        </w:rPr>
        <w:t xml:space="preserve">, </w:t>
      </w:r>
      <w:proofErr w:type="spellStart"/>
      <w:r w:rsidRPr="00474128">
        <w:rPr>
          <w:szCs w:val="22"/>
        </w:rPr>
        <w:t>efavirenz</w:t>
      </w:r>
      <w:proofErr w:type="spellEnd"/>
      <w:r w:rsidRPr="00474128">
        <w:rPr>
          <w:szCs w:val="22"/>
        </w:rPr>
        <w:t>).</w:t>
      </w:r>
      <w:r w:rsidR="00156EC8">
        <w:rPr>
          <w:szCs w:val="22"/>
        </w:rPr>
        <w:t xml:space="preserve"> </w:t>
      </w:r>
      <w:r w:rsidRPr="00474128">
        <w:rPr>
          <w:szCs w:val="22"/>
        </w:rPr>
        <w:t>Ritonavir and nelfinavir, although known as strong inhibitors, by contrast exhibit inducing properties when used concomitantly with steroid hormones.</w:t>
      </w:r>
      <w:r w:rsidR="00156EC8">
        <w:rPr>
          <w:szCs w:val="22"/>
        </w:rPr>
        <w:t xml:space="preserve"> </w:t>
      </w:r>
      <w:r w:rsidRPr="00474128">
        <w:rPr>
          <w:szCs w:val="22"/>
        </w:rPr>
        <w:t>Herbal preparations containing St John’s wort (</w:t>
      </w:r>
      <w:r w:rsidRPr="00474128">
        <w:rPr>
          <w:i/>
          <w:szCs w:val="22"/>
        </w:rPr>
        <w:t>Hypericum perforatum</w:t>
      </w:r>
      <w:r w:rsidRPr="00474128">
        <w:rPr>
          <w:szCs w:val="22"/>
        </w:rPr>
        <w:t xml:space="preserve">) may induce the metabolism of </w:t>
      </w:r>
      <w:r w:rsidR="00156E84">
        <w:rPr>
          <w:szCs w:val="22"/>
        </w:rPr>
        <w:t>estrogens</w:t>
      </w:r>
      <w:r w:rsidRPr="00474128">
        <w:rPr>
          <w:szCs w:val="22"/>
        </w:rPr>
        <w:t>.</w:t>
      </w:r>
      <w:r w:rsidR="00156EC8">
        <w:rPr>
          <w:szCs w:val="22"/>
        </w:rPr>
        <w:t xml:space="preserve"> </w:t>
      </w:r>
      <w:r w:rsidRPr="00474128">
        <w:rPr>
          <w:szCs w:val="22"/>
        </w:rPr>
        <w:t xml:space="preserve">Clinically, an increased metabolism of </w:t>
      </w:r>
      <w:r w:rsidR="00156E84">
        <w:rPr>
          <w:szCs w:val="22"/>
        </w:rPr>
        <w:t>estrogens</w:t>
      </w:r>
      <w:r w:rsidRPr="00474128">
        <w:rPr>
          <w:szCs w:val="22"/>
        </w:rPr>
        <w:t xml:space="preserve"> may lead to decreased effect and changes in the uterine bleeding profile.</w:t>
      </w:r>
    </w:p>
    <w:p w:rsidR="00652A47" w:rsidRPr="00474128" w:rsidRDefault="00652A47" w:rsidP="00652A47">
      <w:r>
        <w:t xml:space="preserve">Inhibitors of CYP3A4, such as erythromycin, clarithromycin, ketoconazole, ritonavir and grapefruit juice, may increase plasma concentrations of </w:t>
      </w:r>
      <w:r w:rsidR="00156E84">
        <w:t>estrogens</w:t>
      </w:r>
      <w:r>
        <w:t xml:space="preserve"> and may result in adverse reactions.</w:t>
      </w:r>
    </w:p>
    <w:p w:rsidR="00474128" w:rsidRPr="00474128" w:rsidRDefault="00474128" w:rsidP="00474128">
      <w:pPr>
        <w:pStyle w:val="PINormal"/>
        <w:rPr>
          <w:szCs w:val="22"/>
        </w:rPr>
      </w:pPr>
      <w:r w:rsidRPr="00474128">
        <w:rPr>
          <w:szCs w:val="22"/>
        </w:rPr>
        <w:t>Bazedoxifene undergoes little or no cytochrome P450 (CYP)-mediated metabolism.</w:t>
      </w:r>
      <w:r w:rsidR="00156EC8">
        <w:rPr>
          <w:szCs w:val="22"/>
        </w:rPr>
        <w:t xml:space="preserve"> </w:t>
      </w:r>
      <w:proofErr w:type="spellStart"/>
      <w:r w:rsidR="005D1D05">
        <w:rPr>
          <w:szCs w:val="22"/>
        </w:rPr>
        <w:t>Bazedoxifene</w:t>
      </w:r>
      <w:proofErr w:type="spellEnd"/>
      <w:r w:rsidR="005D1D05">
        <w:rPr>
          <w:szCs w:val="22"/>
        </w:rPr>
        <w:t xml:space="preserve"> does not inhibit the activities of major CYP isoenzymes at clinically relevant systemic concentrations.</w:t>
      </w:r>
      <w:r w:rsidR="00156EC8">
        <w:rPr>
          <w:szCs w:val="22"/>
        </w:rPr>
        <w:t xml:space="preserve"> </w:t>
      </w:r>
      <w:proofErr w:type="spellStart"/>
      <w:r w:rsidR="005D1D05">
        <w:rPr>
          <w:szCs w:val="22"/>
        </w:rPr>
        <w:t>Bazedoxifene</w:t>
      </w:r>
      <w:proofErr w:type="spellEnd"/>
      <w:r w:rsidR="005D1D05">
        <w:rPr>
          <w:szCs w:val="22"/>
        </w:rPr>
        <w:t xml:space="preserve"> does not induce the activities of the major CYP isoenzymes.</w:t>
      </w:r>
    </w:p>
    <w:p w:rsidR="006B559D" w:rsidRPr="00474128" w:rsidRDefault="006B559D" w:rsidP="006B559D">
      <w:pPr>
        <w:pStyle w:val="PIHeading2"/>
      </w:pPr>
      <w:r w:rsidRPr="00474128">
        <w:t>Uridine Diphosphate Glucuronosyltransferase (UGT)</w:t>
      </w:r>
    </w:p>
    <w:p w:rsidR="00474128" w:rsidRPr="00474128" w:rsidRDefault="00B8193C" w:rsidP="00474128">
      <w:pPr>
        <w:pStyle w:val="PINormal"/>
        <w:rPr>
          <w:color w:val="000000"/>
          <w:lang w:val="en-GB"/>
        </w:rPr>
      </w:pPr>
      <w:r w:rsidRPr="00474128">
        <w:t xml:space="preserve">Bazedoxifene </w:t>
      </w:r>
      <w:r w:rsidR="006B559D" w:rsidRPr="00474128">
        <w:t>undergoes metabolism by UGT enzymes in the in</w:t>
      </w:r>
      <w:r w:rsidR="00CD4E53" w:rsidRPr="00474128">
        <w:t>testinal tract</w:t>
      </w:r>
      <w:r w:rsidR="005D1D05">
        <w:t>, kidney</w:t>
      </w:r>
      <w:r w:rsidR="00CD4E53" w:rsidRPr="00474128">
        <w:t xml:space="preserve"> and liver (see </w:t>
      </w:r>
      <w:r w:rsidR="00FF7433" w:rsidRPr="00474128">
        <w:rPr>
          <w:rFonts w:eastAsia="TimesNewRoman"/>
        </w:rPr>
        <w:t>PHARMACOLOGY, Pharmacokinetics</w:t>
      </w:r>
      <w:r w:rsidR="006B559D" w:rsidRPr="00474128">
        <w:t>)</w:t>
      </w:r>
      <w:r w:rsidR="00D65A17" w:rsidRPr="00474128">
        <w:t>.</w:t>
      </w:r>
      <w:r w:rsidR="00156EC8">
        <w:t xml:space="preserve"> </w:t>
      </w:r>
      <w:r w:rsidR="006B559D" w:rsidRPr="00474128">
        <w:t xml:space="preserve">The metabolism of </w:t>
      </w:r>
      <w:proofErr w:type="spellStart"/>
      <w:r w:rsidRPr="00474128">
        <w:t>bazedoxifene</w:t>
      </w:r>
      <w:proofErr w:type="spellEnd"/>
      <w:r w:rsidRPr="00474128">
        <w:t xml:space="preserve"> </w:t>
      </w:r>
      <w:r w:rsidR="006B559D" w:rsidRPr="00474128">
        <w:t xml:space="preserve">may be increased by concomitant use of substances known to induce UGTs, such as rifampin, phenobarbital, carbamazepine, and phenytoin, potentially leading to decreased systemic concentrations of </w:t>
      </w:r>
      <w:proofErr w:type="spellStart"/>
      <w:r w:rsidRPr="00474128">
        <w:t>bazedoxifene</w:t>
      </w:r>
      <w:proofErr w:type="spellEnd"/>
      <w:r w:rsidR="00D65A17" w:rsidRPr="00474128">
        <w:t>.</w:t>
      </w:r>
      <w:r w:rsidR="00156EC8">
        <w:t xml:space="preserve"> </w:t>
      </w:r>
      <w:r w:rsidR="006B559D" w:rsidRPr="00474128">
        <w:t xml:space="preserve">A reduction in </w:t>
      </w:r>
      <w:proofErr w:type="spellStart"/>
      <w:r w:rsidRPr="00474128">
        <w:t>bazedoxifene</w:t>
      </w:r>
      <w:proofErr w:type="spellEnd"/>
      <w:r w:rsidRPr="00474128">
        <w:t xml:space="preserve"> </w:t>
      </w:r>
      <w:r w:rsidR="006B559D" w:rsidRPr="00474128">
        <w:t xml:space="preserve">exposure may be associated with an </w:t>
      </w:r>
      <w:r w:rsidR="00D65A17" w:rsidRPr="00474128">
        <w:t>increased</w:t>
      </w:r>
      <w:r w:rsidR="006B559D" w:rsidRPr="00474128">
        <w:t xml:space="preserve"> risk of endometrial hyperplasia</w:t>
      </w:r>
      <w:r w:rsidR="00D65A17" w:rsidRPr="00474128">
        <w:t>.</w:t>
      </w:r>
      <w:r w:rsidR="00156EC8">
        <w:t xml:space="preserve"> </w:t>
      </w:r>
      <w:r w:rsidR="006B559D" w:rsidRPr="00474128">
        <w:t xml:space="preserve">If break-through bleeding or spotting appears after some time on therapy, or continues after treatment has been discontinued, the reason should be investigated, </w:t>
      </w:r>
      <w:r w:rsidR="00FF7433" w:rsidRPr="00474128">
        <w:rPr>
          <w:rFonts w:eastAsia="TimesNewRoman"/>
        </w:rPr>
        <w:t xml:space="preserve">which may include endometrial </w:t>
      </w:r>
      <w:r w:rsidR="00474128" w:rsidRPr="00474128">
        <w:rPr>
          <w:color w:val="000000"/>
          <w:lang w:val="en-GB"/>
        </w:rPr>
        <w:t>endometrial biopsy to exclude endometrial malignancy (see PRECAUTIONS).</w:t>
      </w:r>
    </w:p>
    <w:p w:rsidR="006B559D" w:rsidRPr="00474128" w:rsidRDefault="006B559D" w:rsidP="00FF7433">
      <w:pPr>
        <w:pStyle w:val="PIHeading2"/>
      </w:pPr>
      <w:r w:rsidRPr="00474128">
        <w:t>Ibuprofen</w:t>
      </w:r>
    </w:p>
    <w:p w:rsidR="006B559D" w:rsidRPr="00474128" w:rsidRDefault="006B559D" w:rsidP="006B559D">
      <w:pPr>
        <w:pStyle w:val="PINormal"/>
      </w:pPr>
      <w:r w:rsidRPr="004D5F31">
        <w:t xml:space="preserve">The pharmacokinetics of </w:t>
      </w:r>
      <w:r w:rsidR="00B8193C" w:rsidRPr="00474128">
        <w:t xml:space="preserve">bazedoxifene </w:t>
      </w:r>
      <w:r w:rsidRPr="004D5F31">
        <w:t>and ibuprofen are not significantly altered when the drugs are co</w:t>
      </w:r>
      <w:r w:rsidR="00FF04EA">
        <w:t>-</w:t>
      </w:r>
      <w:r w:rsidRPr="004D5F31">
        <w:t>administered.</w:t>
      </w:r>
    </w:p>
    <w:p w:rsidR="006B559D" w:rsidRPr="00474128" w:rsidRDefault="006B559D" w:rsidP="006B559D">
      <w:pPr>
        <w:pStyle w:val="PIHeading2"/>
      </w:pPr>
      <w:r w:rsidRPr="00474128">
        <w:lastRenderedPageBreak/>
        <w:t>Atorvastatin</w:t>
      </w:r>
    </w:p>
    <w:p w:rsidR="006B559D" w:rsidRPr="00474128" w:rsidRDefault="006B559D" w:rsidP="006B559D">
      <w:pPr>
        <w:pStyle w:val="PINormal"/>
      </w:pPr>
      <w:r w:rsidRPr="004D5F31">
        <w:t xml:space="preserve">Concomitant administration of </w:t>
      </w:r>
      <w:r w:rsidR="00B8193C" w:rsidRPr="00474128">
        <w:t xml:space="preserve">bazedoxifene </w:t>
      </w:r>
      <w:r w:rsidRPr="004D5F31">
        <w:t xml:space="preserve">(40 mg daily) and atorvastatin (20 mg, single-dose) to healthy postmenopausal women did not affect the pharmacokinetics of </w:t>
      </w:r>
      <w:r w:rsidR="00B8193C" w:rsidRPr="00474128">
        <w:t>bazedoxifene</w:t>
      </w:r>
      <w:r w:rsidRPr="004D5F31">
        <w:t>, atorvastatin or its active metabolites.</w:t>
      </w:r>
    </w:p>
    <w:p w:rsidR="006B559D" w:rsidRPr="00474128" w:rsidRDefault="006B559D" w:rsidP="006B559D">
      <w:pPr>
        <w:pStyle w:val="PIHeading2"/>
      </w:pPr>
      <w:r w:rsidRPr="00474128">
        <w:t>Azithromycin</w:t>
      </w:r>
    </w:p>
    <w:p w:rsidR="006B559D" w:rsidRPr="00474128" w:rsidRDefault="006B559D" w:rsidP="006B559D">
      <w:pPr>
        <w:pStyle w:val="PINormal"/>
      </w:pPr>
      <w:r w:rsidRPr="004D5F31">
        <w:t xml:space="preserve">The pharmacokinetics of </w:t>
      </w:r>
      <w:r w:rsidR="00B8193C" w:rsidRPr="00474128">
        <w:t xml:space="preserve">bazedoxifene </w:t>
      </w:r>
      <w:r w:rsidRPr="004D5F31">
        <w:t>were not significantly altered when co-administered with azithromycin.</w:t>
      </w:r>
    </w:p>
    <w:p w:rsidR="006B559D" w:rsidRPr="00474128" w:rsidRDefault="00D65A17" w:rsidP="006B559D">
      <w:pPr>
        <w:pStyle w:val="PIHeading2"/>
      </w:pPr>
      <w:r w:rsidRPr="00474128">
        <w:t>Aluminium</w:t>
      </w:r>
      <w:r w:rsidR="006B559D" w:rsidRPr="00474128">
        <w:t xml:space="preserve"> and Magnesium Hydroxide</w:t>
      </w:r>
    </w:p>
    <w:p w:rsidR="006B559D" w:rsidRPr="00474128" w:rsidRDefault="006B559D" w:rsidP="006B559D">
      <w:pPr>
        <w:pStyle w:val="PINormal"/>
      </w:pPr>
      <w:r w:rsidRPr="004D5F31">
        <w:t xml:space="preserve">There was no clinically relevant pharmacokinetic interaction of antacids containing </w:t>
      </w:r>
      <w:r w:rsidR="00D65A17" w:rsidRPr="004D5F31">
        <w:t>aluminium</w:t>
      </w:r>
      <w:r w:rsidRPr="004D5F31">
        <w:t xml:space="preserve"> and magnesium hydroxide with </w:t>
      </w:r>
      <w:r w:rsidR="00B8193C" w:rsidRPr="00474128">
        <w:t>bazedoxifene</w:t>
      </w:r>
      <w:r w:rsidRPr="004D5F31">
        <w:t>.</w:t>
      </w:r>
    </w:p>
    <w:p w:rsidR="006B559D" w:rsidRPr="00474128" w:rsidRDefault="006B559D" w:rsidP="006B559D">
      <w:pPr>
        <w:pStyle w:val="PIHeading2"/>
      </w:pPr>
      <w:r w:rsidRPr="00474128">
        <w:t>Drugs Highly Bound to Plasma Proteins</w:t>
      </w:r>
    </w:p>
    <w:p w:rsidR="00474128" w:rsidRPr="00293A36" w:rsidRDefault="00474128" w:rsidP="00293A36">
      <w:pPr>
        <w:pStyle w:val="PINormal"/>
      </w:pPr>
      <w:r w:rsidRPr="00293A36">
        <w:t xml:space="preserve">Based on </w:t>
      </w:r>
      <w:r w:rsidRPr="006D38E8">
        <w:rPr>
          <w:i/>
        </w:rPr>
        <w:t>in vitro</w:t>
      </w:r>
      <w:r w:rsidRPr="00293A36">
        <w:t xml:space="preserve"> bazedoxifene plasma protein-binding characteristics, interactions with warfarin, digoxin or diazepam are unlikely</w:t>
      </w:r>
      <w:r w:rsidR="004B6CAD">
        <w:t>.</w:t>
      </w:r>
    </w:p>
    <w:p w:rsidR="0062454C" w:rsidRPr="00FF7433" w:rsidRDefault="0062454C" w:rsidP="001E1FC1">
      <w:pPr>
        <w:pStyle w:val="PIHeading1"/>
      </w:pPr>
      <w:r w:rsidRPr="00FF7433">
        <w:t>Adverse Effects</w:t>
      </w:r>
    </w:p>
    <w:p w:rsidR="00400C4D" w:rsidRDefault="005C4E6D" w:rsidP="005C4E6D">
      <w:pPr>
        <w:pStyle w:val="PINormal"/>
        <w:rPr>
          <w:lang w:val="en-US"/>
        </w:rPr>
      </w:pPr>
      <w:r w:rsidRPr="005C4E6D">
        <w:rPr>
          <w:lang w:val="en-US"/>
        </w:rPr>
        <w:t>The safety of CE/</w:t>
      </w:r>
      <w:proofErr w:type="spellStart"/>
      <w:r w:rsidRPr="005C4E6D">
        <w:rPr>
          <w:lang w:val="en-US"/>
        </w:rPr>
        <w:t>bazedoxifene</w:t>
      </w:r>
      <w:proofErr w:type="spellEnd"/>
      <w:r w:rsidRPr="005C4E6D">
        <w:rPr>
          <w:lang w:val="en-US"/>
        </w:rPr>
        <w:t xml:space="preserve"> was evaluated in 4,868 post-menopausal women who participated in </w:t>
      </w:r>
      <w:r w:rsidR="00B57B74">
        <w:rPr>
          <w:lang w:val="en-US"/>
        </w:rPr>
        <w:t xml:space="preserve">the </w:t>
      </w:r>
      <w:r w:rsidR="00B57B74" w:rsidRPr="00B57B74">
        <w:rPr>
          <w:lang w:val="en-US"/>
        </w:rPr>
        <w:t xml:space="preserve">five </w:t>
      </w:r>
      <w:r w:rsidR="00B57B74">
        <w:rPr>
          <w:lang w:val="en-US"/>
        </w:rPr>
        <w:t>Phase</w:t>
      </w:r>
      <w:r w:rsidR="00B57B74" w:rsidRPr="00B57B74">
        <w:rPr>
          <w:lang w:val="en-US"/>
        </w:rPr>
        <w:t xml:space="preserve"> </w:t>
      </w:r>
      <w:r w:rsidR="00BF6D20">
        <w:rPr>
          <w:lang w:val="en-US"/>
        </w:rPr>
        <w:t xml:space="preserve">3 </w:t>
      </w:r>
      <w:r w:rsidRPr="005C4E6D">
        <w:rPr>
          <w:lang w:val="en-US"/>
        </w:rPr>
        <w:t>trials.</w:t>
      </w:r>
      <w:r w:rsidR="00156EC8">
        <w:rPr>
          <w:lang w:val="en-US"/>
        </w:rPr>
        <w:t xml:space="preserve"> </w:t>
      </w:r>
      <w:r w:rsidRPr="005C4E6D">
        <w:rPr>
          <w:lang w:val="en-US"/>
        </w:rPr>
        <w:t>Among these, 1,585 women were treated with CE 0.45 mg/bazedoxifene 20 mg and 1,241 received placebo.</w:t>
      </w:r>
      <w:r w:rsidR="00156EC8">
        <w:rPr>
          <w:lang w:val="en-US"/>
        </w:rPr>
        <w:t xml:space="preserve"> </w:t>
      </w:r>
      <w:r w:rsidRPr="005C4E6D">
        <w:rPr>
          <w:lang w:val="en-US"/>
        </w:rPr>
        <w:t>Long-term exposure to CE/</w:t>
      </w:r>
      <w:proofErr w:type="spellStart"/>
      <w:r w:rsidRPr="005C4E6D">
        <w:rPr>
          <w:lang w:val="en-US"/>
        </w:rPr>
        <w:t>bazedoxifene</w:t>
      </w:r>
      <w:proofErr w:type="spellEnd"/>
      <w:r w:rsidRPr="005C4E6D">
        <w:rPr>
          <w:lang w:val="en-US"/>
        </w:rPr>
        <w:t xml:space="preserve"> for up to 2 years was evaluated; 3,322 women were exposed to CE/bazedoxifene for at least 1 year, and 1,999 women were exposed for 2 years.</w:t>
      </w:r>
    </w:p>
    <w:p w:rsidR="00400C4D" w:rsidRDefault="005C4E6D" w:rsidP="00D62BD4">
      <w:pPr>
        <w:pStyle w:val="PINormal"/>
      </w:pPr>
      <w:r w:rsidRPr="00F93BEE">
        <w:rPr>
          <w:rStyle w:val="CDSOptionalconceptsChar"/>
          <w:color w:val="000000"/>
          <w:sz w:val="24"/>
          <w:szCs w:val="24"/>
        </w:rPr>
        <w:t xml:space="preserve">In </w:t>
      </w:r>
      <w:r w:rsidR="00F9039A" w:rsidRPr="00F93BEE">
        <w:rPr>
          <w:rStyle w:val="CDSOptionalconceptsChar"/>
          <w:color w:val="000000"/>
          <w:sz w:val="24"/>
          <w:szCs w:val="24"/>
        </w:rPr>
        <w:t xml:space="preserve">the five Phase 3 placebo-controlled, </w:t>
      </w:r>
      <w:r w:rsidRPr="00F93BEE">
        <w:rPr>
          <w:rStyle w:val="CDSOptionalconceptsChar"/>
          <w:color w:val="000000"/>
          <w:sz w:val="24"/>
          <w:szCs w:val="24"/>
        </w:rPr>
        <w:t>randomised clinical trials, 8.4% of the 3,168 women treated with CE/bazedoxifene discontinued treatment due to an adverse event, compared with 10.2% of the 1,241 women who received placebo.</w:t>
      </w:r>
      <w:r w:rsidR="00156EC8">
        <w:rPr>
          <w:rStyle w:val="CDSOptionalconceptsChar"/>
          <w:color w:val="000000"/>
          <w:sz w:val="24"/>
          <w:szCs w:val="24"/>
        </w:rPr>
        <w:t xml:space="preserve"> </w:t>
      </w:r>
      <w:r w:rsidR="00D62BD4" w:rsidRPr="005B1F42">
        <w:t xml:space="preserve">The </w:t>
      </w:r>
      <w:r w:rsidR="00E02686">
        <w:t xml:space="preserve">most common reasons </w:t>
      </w:r>
      <w:r w:rsidR="00D62BD4" w:rsidRPr="005B1F42">
        <w:t xml:space="preserve">leading to discontinuation </w:t>
      </w:r>
      <w:r w:rsidR="002A74A3" w:rsidRPr="005B1F42">
        <w:t>w</w:t>
      </w:r>
      <w:r w:rsidR="002A74A3">
        <w:t>ere</w:t>
      </w:r>
      <w:r w:rsidR="002A74A3" w:rsidRPr="005B1F42">
        <w:t xml:space="preserve"> </w:t>
      </w:r>
      <w:r w:rsidR="00291A34">
        <w:t>abdominal pain and nausea</w:t>
      </w:r>
      <w:r w:rsidR="00E02686">
        <w:t xml:space="preserve"> in the treatment arms and continuing hot flushes in the placebo arms</w:t>
      </w:r>
      <w:r w:rsidR="00946AE2">
        <w:t>.</w:t>
      </w:r>
    </w:p>
    <w:p w:rsidR="00291A34" w:rsidRPr="005C4E6D" w:rsidRDefault="00291A34" w:rsidP="00291A34">
      <w:pPr>
        <w:pStyle w:val="PINormal"/>
      </w:pPr>
      <w:r w:rsidRPr="005C4E6D">
        <w:t xml:space="preserve">Table </w:t>
      </w:r>
      <w:r>
        <w:t>4</w:t>
      </w:r>
      <w:r w:rsidRPr="005C4E6D">
        <w:t xml:space="preserve"> below lists the adverse events (regardless of causality) occurring in ≥1% of women treated with DUAVIVE in double-blind, placebo-controlled </w:t>
      </w:r>
      <w:r>
        <w:t>Phase</w:t>
      </w:r>
      <w:r w:rsidRPr="005C4E6D">
        <w:t xml:space="preserve"> 3 studies of up to 2 years duration.</w:t>
      </w:r>
    </w:p>
    <w:p w:rsidR="00CB3EC0" w:rsidRDefault="00851E56" w:rsidP="00851E56">
      <w:pPr>
        <w:pStyle w:val="Caption"/>
      </w:pPr>
      <w:r>
        <w:t xml:space="preserve">Table </w:t>
      </w:r>
      <w:r>
        <w:fldChar w:fldCharType="begin"/>
      </w:r>
      <w:r>
        <w:instrText xml:space="preserve"> SEQ Table \* ARABIC </w:instrText>
      </w:r>
      <w:r>
        <w:fldChar w:fldCharType="separate"/>
      </w:r>
      <w:r>
        <w:rPr>
          <w:noProof/>
        </w:rPr>
        <w:t>4</w:t>
      </w:r>
      <w:r>
        <w:fldChar w:fldCharType="end"/>
      </w:r>
      <w:r>
        <w:t xml:space="preserve">: </w:t>
      </w:r>
      <w:r w:rsidRPr="005C7989">
        <w:t>Adverse Events (regardless of causality) with an Incidence Exceeding the Placebo Rate Reported by ≥ 1% of Patients in Placebo-Controlled Phase 3 trials of DUAVIVE</w:t>
      </w:r>
    </w:p>
    <w:tbl>
      <w:tblPr>
        <w:tblStyle w:val="TableGrid"/>
        <w:tblW w:w="0" w:type="auto"/>
        <w:tblLayout w:type="fixed"/>
        <w:tblLook w:val="04A0" w:firstRow="1" w:lastRow="0" w:firstColumn="1" w:lastColumn="0" w:noHBand="0" w:noVBand="1"/>
        <w:tblDescription w:val="Table 4: Adverse Events (regardless of causality) with an Incidence Exceeding the Placebo Rate Reported by ≥ 1% of Patients in Placebo-Controlled Phase 3 trials of DUAVIVE"/>
      </w:tblPr>
      <w:tblGrid>
        <w:gridCol w:w="3369"/>
        <w:gridCol w:w="2268"/>
        <w:gridCol w:w="2409"/>
        <w:gridCol w:w="1276"/>
      </w:tblGrid>
      <w:tr w:rsidR="00540D26" w:rsidRPr="00540D26" w:rsidTr="00C677B4">
        <w:trPr>
          <w:tblHeader/>
        </w:trPr>
        <w:tc>
          <w:tcPr>
            <w:tcW w:w="3369" w:type="dxa"/>
          </w:tcPr>
          <w:p w:rsidR="00F20EB5" w:rsidRPr="00540D26" w:rsidRDefault="00F20EB5" w:rsidP="00540D26">
            <w:pPr>
              <w:pStyle w:val="CLDTableTextListText"/>
              <w:rPr>
                <w:b/>
                <w:sz w:val="22"/>
              </w:rPr>
            </w:pPr>
            <w:r w:rsidRPr="00540D26">
              <w:rPr>
                <w:b/>
                <w:sz w:val="22"/>
              </w:rPr>
              <w:t xml:space="preserve">System Organ Class </w:t>
            </w:r>
            <w:r w:rsidRPr="00540D26">
              <w:rPr>
                <w:b/>
                <w:sz w:val="22"/>
              </w:rPr>
              <w:br/>
              <w:t>Preferred Term</w:t>
            </w:r>
          </w:p>
        </w:tc>
        <w:tc>
          <w:tcPr>
            <w:tcW w:w="2268" w:type="dxa"/>
          </w:tcPr>
          <w:p w:rsidR="00F20EB5" w:rsidRPr="00540D26" w:rsidRDefault="00F20EB5" w:rsidP="00540D26">
            <w:pPr>
              <w:pStyle w:val="CLDTableTextListText"/>
              <w:rPr>
                <w:b/>
                <w:sz w:val="22"/>
              </w:rPr>
            </w:pPr>
            <w:r w:rsidRPr="00540D26">
              <w:rPr>
                <w:b/>
                <w:sz w:val="22"/>
              </w:rPr>
              <w:t>CE 0.45/BZA 20*</w:t>
            </w:r>
            <w:r w:rsidRPr="00540D26" w:rsidDel="006F10D0">
              <w:rPr>
                <w:b/>
                <w:sz w:val="22"/>
              </w:rPr>
              <w:t xml:space="preserve"> </w:t>
            </w:r>
            <w:r w:rsidRPr="00540D26">
              <w:rPr>
                <w:b/>
                <w:sz w:val="22"/>
              </w:rPr>
              <w:br/>
              <w:t>n=1585</w:t>
            </w:r>
          </w:p>
        </w:tc>
        <w:tc>
          <w:tcPr>
            <w:tcW w:w="2409" w:type="dxa"/>
          </w:tcPr>
          <w:p w:rsidR="00F20EB5" w:rsidRPr="00AA4E76" w:rsidRDefault="00F20EB5" w:rsidP="00540D26">
            <w:pPr>
              <w:pStyle w:val="CLDTableTextListText"/>
              <w:rPr>
                <w:b/>
                <w:sz w:val="22"/>
              </w:rPr>
            </w:pPr>
            <w:r w:rsidRPr="00AA4E76">
              <w:rPr>
                <w:b/>
                <w:sz w:val="22"/>
              </w:rPr>
              <w:t>CE 0.45/BZA 20 &amp; CE 0.625/BZA</w:t>
            </w:r>
            <w:r w:rsidR="002158D5">
              <w:rPr>
                <w:b/>
                <w:sz w:val="22"/>
              </w:rPr>
              <w:t xml:space="preserve"> </w:t>
            </w:r>
            <w:r w:rsidRPr="00AA4E76">
              <w:rPr>
                <w:b/>
                <w:sz w:val="22"/>
              </w:rPr>
              <w:t>20</w:t>
            </w:r>
            <w:r w:rsidRPr="00AA4E76">
              <w:rPr>
                <w:b/>
                <w:sz w:val="22"/>
              </w:rPr>
              <w:br/>
              <w:t>n=3168</w:t>
            </w:r>
          </w:p>
        </w:tc>
        <w:tc>
          <w:tcPr>
            <w:tcW w:w="1276" w:type="dxa"/>
          </w:tcPr>
          <w:p w:rsidR="00F20EB5" w:rsidRPr="00540D26" w:rsidRDefault="00F20EB5" w:rsidP="00540D26">
            <w:pPr>
              <w:pStyle w:val="CLDTableTextListText"/>
              <w:rPr>
                <w:b/>
                <w:sz w:val="22"/>
              </w:rPr>
            </w:pPr>
            <w:r w:rsidRPr="00540D26">
              <w:rPr>
                <w:b/>
                <w:sz w:val="22"/>
              </w:rPr>
              <w:t>Placebo</w:t>
            </w:r>
            <w:r w:rsidRPr="00540D26">
              <w:rPr>
                <w:b/>
                <w:sz w:val="22"/>
              </w:rPr>
              <w:br/>
              <w:t>n=1241</w:t>
            </w:r>
          </w:p>
        </w:tc>
      </w:tr>
      <w:tr w:rsidR="00F20EB5" w:rsidTr="00C677B4">
        <w:tc>
          <w:tcPr>
            <w:tcW w:w="3369" w:type="dxa"/>
          </w:tcPr>
          <w:p w:rsidR="00F20EB5" w:rsidRPr="007031C3" w:rsidRDefault="00F20EB5" w:rsidP="007B0F06">
            <w:pPr>
              <w:pStyle w:val="CLDTableTextListText"/>
              <w:keepNext w:val="0"/>
              <w:rPr>
                <w:b/>
                <w:sz w:val="22"/>
                <w:szCs w:val="22"/>
              </w:rPr>
            </w:pPr>
            <w:r w:rsidRPr="007031C3">
              <w:rPr>
                <w:b/>
                <w:sz w:val="22"/>
                <w:szCs w:val="22"/>
              </w:rPr>
              <w:t>Any Adverse Event</w:t>
            </w:r>
          </w:p>
        </w:tc>
        <w:tc>
          <w:tcPr>
            <w:tcW w:w="2268" w:type="dxa"/>
          </w:tcPr>
          <w:p w:rsidR="00F20EB5" w:rsidRPr="007031C3" w:rsidRDefault="00F20EB5" w:rsidP="007B0F06">
            <w:pPr>
              <w:pStyle w:val="CLDTableTextListText"/>
              <w:keepNext w:val="0"/>
              <w:rPr>
                <w:sz w:val="22"/>
                <w:szCs w:val="22"/>
              </w:rPr>
            </w:pPr>
            <w:r w:rsidRPr="007031C3">
              <w:rPr>
                <w:sz w:val="22"/>
                <w:szCs w:val="22"/>
              </w:rPr>
              <w:t>1334 (84.2)</w:t>
            </w:r>
          </w:p>
        </w:tc>
        <w:tc>
          <w:tcPr>
            <w:tcW w:w="2409" w:type="dxa"/>
          </w:tcPr>
          <w:p w:rsidR="00F20EB5" w:rsidRPr="007031C3" w:rsidRDefault="00F20EB5" w:rsidP="007B0F06">
            <w:pPr>
              <w:pStyle w:val="CLDTableTextListText"/>
              <w:keepNext w:val="0"/>
              <w:rPr>
                <w:sz w:val="22"/>
                <w:szCs w:val="22"/>
              </w:rPr>
            </w:pPr>
            <w:r w:rsidRPr="007031C3">
              <w:rPr>
                <w:sz w:val="22"/>
                <w:szCs w:val="22"/>
              </w:rPr>
              <w:t>2676 (84.5)</w:t>
            </w:r>
          </w:p>
        </w:tc>
        <w:tc>
          <w:tcPr>
            <w:tcW w:w="1276" w:type="dxa"/>
          </w:tcPr>
          <w:p w:rsidR="00F20EB5" w:rsidRPr="007031C3" w:rsidRDefault="00F20EB5" w:rsidP="007B0F06">
            <w:pPr>
              <w:pStyle w:val="CLDTableTextListText"/>
              <w:keepNext w:val="0"/>
              <w:rPr>
                <w:sz w:val="22"/>
                <w:szCs w:val="22"/>
              </w:rPr>
            </w:pPr>
            <w:r w:rsidRPr="007031C3">
              <w:rPr>
                <w:sz w:val="22"/>
                <w:szCs w:val="22"/>
              </w:rPr>
              <w:t>1053 (84.9)</w:t>
            </w:r>
          </w:p>
        </w:tc>
      </w:tr>
      <w:tr w:rsidR="00F20EB5" w:rsidTr="00540D26">
        <w:tc>
          <w:tcPr>
            <w:tcW w:w="9322" w:type="dxa"/>
            <w:gridSpan w:val="4"/>
          </w:tcPr>
          <w:p w:rsidR="00F20EB5" w:rsidRPr="00F20EB5" w:rsidRDefault="00F20EB5" w:rsidP="00F24A4B">
            <w:pPr>
              <w:pStyle w:val="CLDTableTitle"/>
              <w:keepNext w:val="0"/>
            </w:pPr>
            <w:r w:rsidRPr="00F20EB5">
              <w:rPr>
                <w:i/>
                <w:sz w:val="22"/>
                <w:szCs w:val="22"/>
              </w:rPr>
              <w:t>Cardiac Disorders</w:t>
            </w:r>
          </w:p>
        </w:tc>
      </w:tr>
      <w:tr w:rsidR="00F20EB5" w:rsidTr="00C677B4">
        <w:tc>
          <w:tcPr>
            <w:tcW w:w="3369" w:type="dxa"/>
          </w:tcPr>
          <w:p w:rsidR="00F20EB5" w:rsidRPr="007031C3" w:rsidRDefault="00F20EB5" w:rsidP="007B0F06">
            <w:pPr>
              <w:pStyle w:val="CLDTableTextListText"/>
              <w:keepNext w:val="0"/>
              <w:rPr>
                <w:sz w:val="22"/>
                <w:szCs w:val="22"/>
              </w:rPr>
            </w:pPr>
            <w:r w:rsidRPr="007031C3">
              <w:rPr>
                <w:sz w:val="22"/>
                <w:szCs w:val="22"/>
              </w:rPr>
              <w:t>Palpitations</w:t>
            </w:r>
          </w:p>
        </w:tc>
        <w:tc>
          <w:tcPr>
            <w:tcW w:w="2268" w:type="dxa"/>
          </w:tcPr>
          <w:p w:rsidR="00F20EB5" w:rsidRPr="007031C3" w:rsidRDefault="00F20EB5" w:rsidP="007B0F06">
            <w:pPr>
              <w:pStyle w:val="CLDTableTextListText"/>
              <w:keepNext w:val="0"/>
              <w:rPr>
                <w:sz w:val="22"/>
                <w:szCs w:val="22"/>
              </w:rPr>
            </w:pPr>
            <w:r w:rsidRPr="007031C3">
              <w:rPr>
                <w:sz w:val="22"/>
                <w:szCs w:val="22"/>
              </w:rPr>
              <w:t>24 (1.5)</w:t>
            </w:r>
          </w:p>
        </w:tc>
        <w:tc>
          <w:tcPr>
            <w:tcW w:w="2409" w:type="dxa"/>
          </w:tcPr>
          <w:p w:rsidR="00F20EB5" w:rsidRPr="007031C3" w:rsidRDefault="00F20EB5" w:rsidP="007B0F06">
            <w:pPr>
              <w:pStyle w:val="CLDTableTextListText"/>
              <w:keepNext w:val="0"/>
              <w:rPr>
                <w:sz w:val="22"/>
                <w:szCs w:val="22"/>
              </w:rPr>
            </w:pPr>
            <w:r w:rsidRPr="007031C3">
              <w:rPr>
                <w:sz w:val="22"/>
                <w:szCs w:val="22"/>
              </w:rPr>
              <w:t>37 (1.2)</w:t>
            </w:r>
          </w:p>
        </w:tc>
        <w:tc>
          <w:tcPr>
            <w:tcW w:w="1276" w:type="dxa"/>
          </w:tcPr>
          <w:p w:rsidR="00F20EB5" w:rsidRPr="007031C3" w:rsidRDefault="00F20EB5" w:rsidP="007B0F06">
            <w:pPr>
              <w:pStyle w:val="CLDTableTextListText"/>
              <w:keepNext w:val="0"/>
              <w:rPr>
                <w:sz w:val="22"/>
                <w:szCs w:val="22"/>
              </w:rPr>
            </w:pPr>
            <w:r w:rsidRPr="007031C3">
              <w:rPr>
                <w:sz w:val="22"/>
                <w:szCs w:val="22"/>
              </w:rPr>
              <w:t>17 (1.4)</w:t>
            </w:r>
          </w:p>
        </w:tc>
      </w:tr>
      <w:tr w:rsidR="00F20EB5" w:rsidTr="00C677B4">
        <w:tc>
          <w:tcPr>
            <w:tcW w:w="3369" w:type="dxa"/>
          </w:tcPr>
          <w:p w:rsidR="00F20EB5" w:rsidRPr="007031C3" w:rsidRDefault="00F20EB5" w:rsidP="007B0F06">
            <w:pPr>
              <w:pStyle w:val="CLDTableTextListText"/>
              <w:keepNext w:val="0"/>
              <w:rPr>
                <w:sz w:val="22"/>
                <w:szCs w:val="22"/>
              </w:rPr>
            </w:pPr>
            <w:r w:rsidRPr="007031C3">
              <w:rPr>
                <w:sz w:val="22"/>
                <w:szCs w:val="22"/>
              </w:rPr>
              <w:t>Tachycardia</w:t>
            </w:r>
          </w:p>
        </w:tc>
        <w:tc>
          <w:tcPr>
            <w:tcW w:w="2268" w:type="dxa"/>
          </w:tcPr>
          <w:p w:rsidR="00F20EB5" w:rsidRPr="007031C3" w:rsidRDefault="00F20EB5" w:rsidP="007B0F06">
            <w:pPr>
              <w:pStyle w:val="CLDTableTextListText"/>
              <w:keepNext w:val="0"/>
              <w:rPr>
                <w:sz w:val="22"/>
                <w:szCs w:val="22"/>
              </w:rPr>
            </w:pPr>
            <w:r w:rsidRPr="007031C3">
              <w:rPr>
                <w:sz w:val="22"/>
                <w:szCs w:val="22"/>
              </w:rPr>
              <w:t>16 (1.0)</w:t>
            </w:r>
          </w:p>
        </w:tc>
        <w:tc>
          <w:tcPr>
            <w:tcW w:w="2409" w:type="dxa"/>
          </w:tcPr>
          <w:p w:rsidR="00F20EB5" w:rsidRPr="007031C3" w:rsidRDefault="00F20EB5" w:rsidP="007B0F06">
            <w:pPr>
              <w:pStyle w:val="CLDTableTextListText"/>
              <w:keepNext w:val="0"/>
              <w:rPr>
                <w:sz w:val="22"/>
                <w:szCs w:val="22"/>
              </w:rPr>
            </w:pPr>
            <w:r w:rsidRPr="007031C3">
              <w:rPr>
                <w:sz w:val="22"/>
                <w:szCs w:val="22"/>
              </w:rPr>
              <w:t>20 (0.6)</w:t>
            </w:r>
          </w:p>
        </w:tc>
        <w:tc>
          <w:tcPr>
            <w:tcW w:w="1276" w:type="dxa"/>
          </w:tcPr>
          <w:p w:rsidR="00F20EB5" w:rsidRPr="007031C3" w:rsidRDefault="00F20EB5" w:rsidP="007B0F06">
            <w:pPr>
              <w:pStyle w:val="CLDTableTextListText"/>
              <w:keepNext w:val="0"/>
              <w:rPr>
                <w:sz w:val="22"/>
                <w:szCs w:val="22"/>
              </w:rPr>
            </w:pPr>
            <w:r w:rsidRPr="007031C3">
              <w:rPr>
                <w:sz w:val="22"/>
                <w:szCs w:val="22"/>
              </w:rPr>
              <w:t>10 (0.8)</w:t>
            </w:r>
          </w:p>
        </w:tc>
      </w:tr>
      <w:tr w:rsidR="00F20EB5" w:rsidTr="00540D26">
        <w:tc>
          <w:tcPr>
            <w:tcW w:w="9322" w:type="dxa"/>
            <w:gridSpan w:val="4"/>
          </w:tcPr>
          <w:p w:rsidR="00F20EB5" w:rsidRPr="007031C3" w:rsidRDefault="00F20EB5" w:rsidP="007B0F06">
            <w:pPr>
              <w:pStyle w:val="CLDTableTextListText"/>
              <w:keepNext w:val="0"/>
              <w:rPr>
                <w:sz w:val="22"/>
                <w:szCs w:val="22"/>
              </w:rPr>
            </w:pPr>
            <w:r>
              <w:rPr>
                <w:b/>
                <w:i/>
                <w:sz w:val="22"/>
                <w:szCs w:val="22"/>
              </w:rPr>
              <w:t>Ear and L</w:t>
            </w:r>
            <w:r w:rsidRPr="007031C3">
              <w:rPr>
                <w:b/>
                <w:i/>
                <w:sz w:val="22"/>
                <w:szCs w:val="22"/>
              </w:rPr>
              <w:t xml:space="preserve">abyrinth </w:t>
            </w:r>
            <w:r>
              <w:rPr>
                <w:b/>
                <w:i/>
                <w:sz w:val="22"/>
                <w:szCs w:val="22"/>
              </w:rPr>
              <w:t>D</w:t>
            </w:r>
            <w:r w:rsidRPr="007031C3">
              <w:rPr>
                <w:b/>
                <w:i/>
                <w:sz w:val="22"/>
                <w:szCs w:val="22"/>
              </w:rPr>
              <w:t>isorders</w:t>
            </w:r>
          </w:p>
        </w:tc>
      </w:tr>
      <w:tr w:rsidR="00F20EB5" w:rsidTr="00C677B4">
        <w:tc>
          <w:tcPr>
            <w:tcW w:w="3369" w:type="dxa"/>
          </w:tcPr>
          <w:p w:rsidR="00F20EB5" w:rsidRPr="006D4812" w:rsidRDefault="00F20EB5" w:rsidP="007B0F06">
            <w:pPr>
              <w:pStyle w:val="CLDTableTextListText"/>
              <w:keepNext w:val="0"/>
              <w:rPr>
                <w:sz w:val="22"/>
                <w:szCs w:val="22"/>
              </w:rPr>
            </w:pPr>
            <w:r w:rsidRPr="006D4812">
              <w:rPr>
                <w:sz w:val="22"/>
                <w:szCs w:val="22"/>
              </w:rPr>
              <w:t>Ear Pain</w:t>
            </w:r>
          </w:p>
        </w:tc>
        <w:tc>
          <w:tcPr>
            <w:tcW w:w="2268" w:type="dxa"/>
          </w:tcPr>
          <w:p w:rsidR="00F20EB5" w:rsidRPr="006D4812" w:rsidRDefault="00F20EB5" w:rsidP="007B0F06">
            <w:pPr>
              <w:pStyle w:val="CLDTableTextListText"/>
              <w:keepNext w:val="0"/>
              <w:rPr>
                <w:sz w:val="22"/>
                <w:szCs w:val="22"/>
              </w:rPr>
            </w:pPr>
            <w:r w:rsidRPr="006D4812">
              <w:rPr>
                <w:sz w:val="22"/>
                <w:szCs w:val="22"/>
              </w:rPr>
              <w:t>16 (1.0)</w:t>
            </w:r>
          </w:p>
        </w:tc>
        <w:tc>
          <w:tcPr>
            <w:tcW w:w="2409" w:type="dxa"/>
          </w:tcPr>
          <w:p w:rsidR="00F20EB5" w:rsidRPr="006D4812" w:rsidRDefault="00F20EB5" w:rsidP="007B0F06">
            <w:pPr>
              <w:pStyle w:val="CLDTableTextListText"/>
              <w:keepNext w:val="0"/>
              <w:rPr>
                <w:sz w:val="22"/>
                <w:szCs w:val="22"/>
              </w:rPr>
            </w:pPr>
            <w:r w:rsidRPr="006D4812">
              <w:rPr>
                <w:sz w:val="22"/>
                <w:szCs w:val="22"/>
              </w:rPr>
              <w:t>35 (1.1)</w:t>
            </w:r>
          </w:p>
        </w:tc>
        <w:tc>
          <w:tcPr>
            <w:tcW w:w="1276" w:type="dxa"/>
          </w:tcPr>
          <w:p w:rsidR="00F20EB5" w:rsidRPr="006D4812" w:rsidRDefault="00F20EB5" w:rsidP="007B0F06">
            <w:pPr>
              <w:pStyle w:val="CLDTableTextListText"/>
              <w:keepNext w:val="0"/>
              <w:rPr>
                <w:sz w:val="22"/>
                <w:szCs w:val="22"/>
              </w:rPr>
            </w:pPr>
            <w:r w:rsidRPr="006D4812">
              <w:rPr>
                <w:sz w:val="22"/>
                <w:szCs w:val="22"/>
              </w:rPr>
              <w:t>13 (1.0)</w:t>
            </w:r>
          </w:p>
        </w:tc>
      </w:tr>
      <w:tr w:rsidR="00F20EB5" w:rsidTr="00C677B4">
        <w:tc>
          <w:tcPr>
            <w:tcW w:w="3369" w:type="dxa"/>
          </w:tcPr>
          <w:p w:rsidR="00F20EB5" w:rsidRPr="007031C3" w:rsidRDefault="00F20EB5" w:rsidP="007B0F06">
            <w:pPr>
              <w:pStyle w:val="CLDTableTextListText"/>
              <w:keepNext w:val="0"/>
              <w:rPr>
                <w:sz w:val="22"/>
                <w:szCs w:val="22"/>
              </w:rPr>
            </w:pPr>
            <w:r w:rsidRPr="007031C3">
              <w:rPr>
                <w:sz w:val="22"/>
                <w:szCs w:val="22"/>
              </w:rPr>
              <w:t>Vertigo</w:t>
            </w:r>
          </w:p>
        </w:tc>
        <w:tc>
          <w:tcPr>
            <w:tcW w:w="2268" w:type="dxa"/>
          </w:tcPr>
          <w:p w:rsidR="00F20EB5" w:rsidRPr="007031C3" w:rsidRDefault="00F20EB5" w:rsidP="007B0F06">
            <w:pPr>
              <w:pStyle w:val="CLDTableTextListText"/>
              <w:keepNext w:val="0"/>
              <w:rPr>
                <w:sz w:val="22"/>
                <w:szCs w:val="22"/>
              </w:rPr>
            </w:pPr>
            <w:r w:rsidRPr="007031C3">
              <w:rPr>
                <w:sz w:val="22"/>
                <w:szCs w:val="22"/>
              </w:rPr>
              <w:t>32 (2.0)</w:t>
            </w:r>
          </w:p>
        </w:tc>
        <w:tc>
          <w:tcPr>
            <w:tcW w:w="2409" w:type="dxa"/>
          </w:tcPr>
          <w:p w:rsidR="00F20EB5" w:rsidRPr="007031C3" w:rsidRDefault="00F20EB5" w:rsidP="007B0F06">
            <w:pPr>
              <w:pStyle w:val="CLDTableTextListText"/>
              <w:keepNext w:val="0"/>
              <w:rPr>
                <w:sz w:val="22"/>
                <w:szCs w:val="22"/>
              </w:rPr>
            </w:pPr>
            <w:r w:rsidRPr="007031C3">
              <w:rPr>
                <w:sz w:val="22"/>
                <w:szCs w:val="22"/>
              </w:rPr>
              <w:t>68 (2.1)</w:t>
            </w:r>
          </w:p>
        </w:tc>
        <w:tc>
          <w:tcPr>
            <w:tcW w:w="1276" w:type="dxa"/>
          </w:tcPr>
          <w:p w:rsidR="00F20EB5" w:rsidRPr="007031C3" w:rsidRDefault="00F20EB5" w:rsidP="007B0F06">
            <w:pPr>
              <w:pStyle w:val="CLDTableTextListText"/>
              <w:keepNext w:val="0"/>
              <w:rPr>
                <w:sz w:val="22"/>
                <w:szCs w:val="22"/>
              </w:rPr>
            </w:pPr>
            <w:r w:rsidRPr="007031C3">
              <w:rPr>
                <w:sz w:val="22"/>
                <w:szCs w:val="22"/>
              </w:rPr>
              <w:t>19 (1.5)</w:t>
            </w:r>
          </w:p>
        </w:tc>
      </w:tr>
      <w:tr w:rsidR="00F20EB5" w:rsidTr="00540D26">
        <w:tc>
          <w:tcPr>
            <w:tcW w:w="9322" w:type="dxa"/>
            <w:gridSpan w:val="4"/>
          </w:tcPr>
          <w:p w:rsidR="00F20EB5" w:rsidRPr="007031C3" w:rsidRDefault="00F20EB5" w:rsidP="007B0F06">
            <w:pPr>
              <w:pStyle w:val="CLDTableTextListText"/>
              <w:keepNext w:val="0"/>
              <w:rPr>
                <w:sz w:val="22"/>
                <w:szCs w:val="22"/>
              </w:rPr>
            </w:pPr>
            <w:r>
              <w:rPr>
                <w:b/>
                <w:i/>
                <w:sz w:val="22"/>
                <w:szCs w:val="22"/>
              </w:rPr>
              <w:t>Gastrointestinal D</w:t>
            </w:r>
            <w:r w:rsidRPr="007031C3">
              <w:rPr>
                <w:b/>
                <w:i/>
                <w:sz w:val="22"/>
                <w:szCs w:val="22"/>
              </w:rPr>
              <w:t>isorders</w:t>
            </w:r>
          </w:p>
        </w:tc>
      </w:tr>
      <w:tr w:rsidR="00F20EB5" w:rsidTr="00C677B4">
        <w:tc>
          <w:tcPr>
            <w:tcW w:w="3369" w:type="dxa"/>
          </w:tcPr>
          <w:p w:rsidR="00F20EB5" w:rsidRPr="007031C3" w:rsidRDefault="00F20EB5" w:rsidP="007B0F06">
            <w:pPr>
              <w:pStyle w:val="CLDTableTextListText"/>
              <w:keepNext w:val="0"/>
              <w:rPr>
                <w:sz w:val="22"/>
                <w:szCs w:val="22"/>
              </w:rPr>
            </w:pPr>
            <w:r w:rsidRPr="007031C3">
              <w:rPr>
                <w:sz w:val="22"/>
                <w:szCs w:val="22"/>
              </w:rPr>
              <w:t>Abdominal discomfort</w:t>
            </w:r>
          </w:p>
        </w:tc>
        <w:tc>
          <w:tcPr>
            <w:tcW w:w="2268" w:type="dxa"/>
          </w:tcPr>
          <w:p w:rsidR="00F20EB5" w:rsidRPr="007031C3" w:rsidRDefault="00F20EB5" w:rsidP="007B0F06">
            <w:pPr>
              <w:pStyle w:val="CLDTableTextListText"/>
              <w:keepNext w:val="0"/>
              <w:rPr>
                <w:sz w:val="22"/>
                <w:szCs w:val="22"/>
              </w:rPr>
            </w:pPr>
            <w:r w:rsidRPr="007031C3">
              <w:rPr>
                <w:sz w:val="22"/>
                <w:szCs w:val="22"/>
              </w:rPr>
              <w:t>30 (1.9)</w:t>
            </w:r>
          </w:p>
        </w:tc>
        <w:tc>
          <w:tcPr>
            <w:tcW w:w="2409" w:type="dxa"/>
          </w:tcPr>
          <w:p w:rsidR="00F20EB5" w:rsidRPr="007031C3" w:rsidRDefault="00F20EB5" w:rsidP="007B0F06">
            <w:pPr>
              <w:pStyle w:val="CLDTableTextListText"/>
              <w:keepNext w:val="0"/>
              <w:rPr>
                <w:sz w:val="22"/>
                <w:szCs w:val="22"/>
              </w:rPr>
            </w:pPr>
            <w:r w:rsidRPr="007031C3">
              <w:rPr>
                <w:sz w:val="22"/>
                <w:szCs w:val="22"/>
              </w:rPr>
              <w:t>59 (1.9)</w:t>
            </w:r>
          </w:p>
        </w:tc>
        <w:tc>
          <w:tcPr>
            <w:tcW w:w="1276" w:type="dxa"/>
          </w:tcPr>
          <w:p w:rsidR="00F20EB5" w:rsidRPr="007031C3" w:rsidRDefault="00F20EB5" w:rsidP="007B0F06">
            <w:pPr>
              <w:pStyle w:val="CLDTableTextListText"/>
              <w:keepNext w:val="0"/>
              <w:rPr>
                <w:sz w:val="22"/>
                <w:szCs w:val="22"/>
              </w:rPr>
            </w:pPr>
            <w:r w:rsidRPr="007031C3">
              <w:rPr>
                <w:sz w:val="22"/>
                <w:szCs w:val="22"/>
              </w:rPr>
              <w:t>16 (1.3)</w:t>
            </w:r>
          </w:p>
        </w:tc>
      </w:tr>
      <w:tr w:rsidR="00F20EB5" w:rsidTr="00C677B4">
        <w:tc>
          <w:tcPr>
            <w:tcW w:w="3369" w:type="dxa"/>
          </w:tcPr>
          <w:p w:rsidR="00F20EB5" w:rsidRPr="007031C3" w:rsidRDefault="00F20EB5" w:rsidP="007B0F06">
            <w:pPr>
              <w:pStyle w:val="CLDTableTextListText"/>
              <w:keepNext w:val="0"/>
              <w:rPr>
                <w:sz w:val="22"/>
                <w:szCs w:val="22"/>
              </w:rPr>
            </w:pPr>
            <w:r w:rsidRPr="007031C3">
              <w:rPr>
                <w:sz w:val="22"/>
                <w:szCs w:val="22"/>
              </w:rPr>
              <w:lastRenderedPageBreak/>
              <w:t>Abdominal pain</w:t>
            </w:r>
          </w:p>
        </w:tc>
        <w:tc>
          <w:tcPr>
            <w:tcW w:w="2268" w:type="dxa"/>
          </w:tcPr>
          <w:p w:rsidR="00F20EB5" w:rsidRPr="007031C3" w:rsidRDefault="00F20EB5" w:rsidP="007B0F06">
            <w:pPr>
              <w:pStyle w:val="CLDTableTextListText"/>
              <w:keepNext w:val="0"/>
              <w:rPr>
                <w:sz w:val="22"/>
                <w:szCs w:val="22"/>
              </w:rPr>
            </w:pPr>
            <w:r w:rsidRPr="007031C3">
              <w:rPr>
                <w:sz w:val="22"/>
                <w:szCs w:val="22"/>
              </w:rPr>
              <w:t>89 (5.6)</w:t>
            </w:r>
          </w:p>
        </w:tc>
        <w:tc>
          <w:tcPr>
            <w:tcW w:w="2409" w:type="dxa"/>
          </w:tcPr>
          <w:p w:rsidR="00F20EB5" w:rsidRPr="007031C3" w:rsidRDefault="00F20EB5" w:rsidP="007B0F06">
            <w:pPr>
              <w:pStyle w:val="CLDTableTextListText"/>
              <w:keepNext w:val="0"/>
              <w:rPr>
                <w:sz w:val="22"/>
                <w:szCs w:val="22"/>
              </w:rPr>
            </w:pPr>
            <w:r w:rsidRPr="007031C3">
              <w:rPr>
                <w:sz w:val="22"/>
                <w:szCs w:val="22"/>
              </w:rPr>
              <w:t>183 (5.8)</w:t>
            </w:r>
          </w:p>
        </w:tc>
        <w:tc>
          <w:tcPr>
            <w:tcW w:w="1276" w:type="dxa"/>
          </w:tcPr>
          <w:p w:rsidR="00F20EB5" w:rsidRPr="007031C3" w:rsidRDefault="00F20EB5" w:rsidP="007B0F06">
            <w:pPr>
              <w:pStyle w:val="CLDTableTextListText"/>
              <w:keepNext w:val="0"/>
              <w:rPr>
                <w:sz w:val="22"/>
                <w:szCs w:val="22"/>
              </w:rPr>
            </w:pPr>
            <w:r w:rsidRPr="007031C3">
              <w:rPr>
                <w:sz w:val="22"/>
                <w:szCs w:val="22"/>
              </w:rPr>
              <w:t>58 (4.7)</w:t>
            </w:r>
          </w:p>
        </w:tc>
      </w:tr>
      <w:tr w:rsidR="00F20EB5" w:rsidTr="00C677B4">
        <w:tc>
          <w:tcPr>
            <w:tcW w:w="3369" w:type="dxa"/>
          </w:tcPr>
          <w:p w:rsidR="00F20EB5" w:rsidRPr="007031C3" w:rsidRDefault="00F20EB5" w:rsidP="007B0F06">
            <w:pPr>
              <w:pStyle w:val="CLDTableTextListText"/>
              <w:keepNext w:val="0"/>
              <w:rPr>
                <w:sz w:val="22"/>
                <w:szCs w:val="22"/>
              </w:rPr>
            </w:pPr>
            <w:r w:rsidRPr="007031C3">
              <w:rPr>
                <w:sz w:val="22"/>
                <w:szCs w:val="22"/>
              </w:rPr>
              <w:t>Abdominal pain lower</w:t>
            </w:r>
          </w:p>
        </w:tc>
        <w:tc>
          <w:tcPr>
            <w:tcW w:w="2268" w:type="dxa"/>
          </w:tcPr>
          <w:p w:rsidR="00F20EB5" w:rsidRPr="007031C3" w:rsidRDefault="00F20EB5" w:rsidP="007B0F06">
            <w:pPr>
              <w:pStyle w:val="CLDTableTextListText"/>
              <w:keepNext w:val="0"/>
              <w:rPr>
                <w:sz w:val="22"/>
                <w:szCs w:val="22"/>
              </w:rPr>
            </w:pPr>
            <w:r w:rsidRPr="007031C3">
              <w:rPr>
                <w:sz w:val="22"/>
                <w:szCs w:val="22"/>
              </w:rPr>
              <w:t>25 (1.6)</w:t>
            </w:r>
          </w:p>
        </w:tc>
        <w:tc>
          <w:tcPr>
            <w:tcW w:w="2409" w:type="dxa"/>
          </w:tcPr>
          <w:p w:rsidR="00F20EB5" w:rsidRPr="007031C3" w:rsidRDefault="00F20EB5" w:rsidP="007B0F06">
            <w:pPr>
              <w:pStyle w:val="CLDTableTextListText"/>
              <w:keepNext w:val="0"/>
              <w:rPr>
                <w:sz w:val="22"/>
                <w:szCs w:val="22"/>
              </w:rPr>
            </w:pPr>
            <w:r w:rsidRPr="007031C3">
              <w:rPr>
                <w:sz w:val="22"/>
                <w:szCs w:val="22"/>
              </w:rPr>
              <w:t>45 (1.4)</w:t>
            </w:r>
          </w:p>
        </w:tc>
        <w:tc>
          <w:tcPr>
            <w:tcW w:w="1276" w:type="dxa"/>
          </w:tcPr>
          <w:p w:rsidR="00F20EB5" w:rsidRPr="007031C3" w:rsidRDefault="00F20EB5" w:rsidP="007B0F06">
            <w:pPr>
              <w:pStyle w:val="CLDTableTextListText"/>
              <w:keepNext w:val="0"/>
              <w:rPr>
                <w:sz w:val="22"/>
                <w:szCs w:val="22"/>
              </w:rPr>
            </w:pPr>
            <w:r w:rsidRPr="007031C3">
              <w:rPr>
                <w:sz w:val="22"/>
                <w:szCs w:val="22"/>
              </w:rPr>
              <w:t>13 (1.0)</w:t>
            </w:r>
          </w:p>
        </w:tc>
      </w:tr>
      <w:tr w:rsidR="00F20EB5" w:rsidTr="00C677B4">
        <w:tc>
          <w:tcPr>
            <w:tcW w:w="3369" w:type="dxa"/>
          </w:tcPr>
          <w:p w:rsidR="00F20EB5" w:rsidRPr="007031C3" w:rsidRDefault="00F20EB5" w:rsidP="007B0F06">
            <w:pPr>
              <w:pStyle w:val="CLDTableTextListText"/>
              <w:keepNext w:val="0"/>
              <w:rPr>
                <w:sz w:val="22"/>
                <w:szCs w:val="22"/>
              </w:rPr>
            </w:pPr>
            <w:r w:rsidRPr="007031C3">
              <w:rPr>
                <w:sz w:val="22"/>
                <w:szCs w:val="22"/>
              </w:rPr>
              <w:t>Abdominal pain upper</w:t>
            </w:r>
          </w:p>
        </w:tc>
        <w:tc>
          <w:tcPr>
            <w:tcW w:w="2268" w:type="dxa"/>
          </w:tcPr>
          <w:p w:rsidR="00F20EB5" w:rsidRPr="007031C3" w:rsidRDefault="00F20EB5" w:rsidP="007B0F06">
            <w:pPr>
              <w:pStyle w:val="CLDTableTextListText"/>
              <w:keepNext w:val="0"/>
              <w:rPr>
                <w:sz w:val="22"/>
                <w:szCs w:val="22"/>
              </w:rPr>
            </w:pPr>
            <w:r w:rsidRPr="007031C3">
              <w:rPr>
                <w:sz w:val="22"/>
                <w:szCs w:val="22"/>
              </w:rPr>
              <w:t>100 (6.3)</w:t>
            </w:r>
          </w:p>
        </w:tc>
        <w:tc>
          <w:tcPr>
            <w:tcW w:w="2409" w:type="dxa"/>
          </w:tcPr>
          <w:p w:rsidR="00F20EB5" w:rsidRPr="007031C3" w:rsidRDefault="00F20EB5" w:rsidP="007B0F06">
            <w:pPr>
              <w:pStyle w:val="CLDTableTextListText"/>
              <w:keepNext w:val="0"/>
              <w:rPr>
                <w:sz w:val="22"/>
                <w:szCs w:val="22"/>
              </w:rPr>
            </w:pPr>
            <w:r w:rsidRPr="007031C3">
              <w:rPr>
                <w:sz w:val="22"/>
                <w:szCs w:val="22"/>
              </w:rPr>
              <w:t>189 (6.0)</w:t>
            </w:r>
          </w:p>
        </w:tc>
        <w:tc>
          <w:tcPr>
            <w:tcW w:w="1276" w:type="dxa"/>
          </w:tcPr>
          <w:p w:rsidR="00F20EB5" w:rsidRPr="007031C3" w:rsidRDefault="00F20EB5" w:rsidP="007B0F06">
            <w:pPr>
              <w:pStyle w:val="CLDTableTextListText"/>
              <w:keepNext w:val="0"/>
              <w:rPr>
                <w:sz w:val="22"/>
                <w:szCs w:val="22"/>
              </w:rPr>
            </w:pPr>
            <w:r w:rsidRPr="007031C3">
              <w:rPr>
                <w:sz w:val="22"/>
                <w:szCs w:val="22"/>
              </w:rPr>
              <w:t>53 (4.3)</w:t>
            </w:r>
          </w:p>
        </w:tc>
      </w:tr>
      <w:tr w:rsidR="00F20EB5" w:rsidTr="00C677B4">
        <w:tc>
          <w:tcPr>
            <w:tcW w:w="3369" w:type="dxa"/>
          </w:tcPr>
          <w:p w:rsidR="00F20EB5" w:rsidRPr="007031C3" w:rsidRDefault="00F20EB5" w:rsidP="007B0F06">
            <w:pPr>
              <w:pStyle w:val="CLDTableTextListText"/>
              <w:keepNext w:val="0"/>
              <w:rPr>
                <w:sz w:val="22"/>
                <w:szCs w:val="22"/>
              </w:rPr>
            </w:pPr>
            <w:r w:rsidRPr="007031C3">
              <w:rPr>
                <w:sz w:val="22"/>
                <w:szCs w:val="22"/>
              </w:rPr>
              <w:t>Constipation</w:t>
            </w:r>
          </w:p>
        </w:tc>
        <w:tc>
          <w:tcPr>
            <w:tcW w:w="2268" w:type="dxa"/>
          </w:tcPr>
          <w:p w:rsidR="00F20EB5" w:rsidRPr="007031C3" w:rsidRDefault="00F20EB5" w:rsidP="007B0F06">
            <w:pPr>
              <w:pStyle w:val="CLDTableTextListText"/>
              <w:keepNext w:val="0"/>
              <w:rPr>
                <w:sz w:val="22"/>
                <w:szCs w:val="22"/>
              </w:rPr>
            </w:pPr>
            <w:r w:rsidRPr="007031C3">
              <w:rPr>
                <w:sz w:val="22"/>
                <w:szCs w:val="22"/>
              </w:rPr>
              <w:t>74 (4.7)</w:t>
            </w:r>
          </w:p>
        </w:tc>
        <w:tc>
          <w:tcPr>
            <w:tcW w:w="2409" w:type="dxa"/>
          </w:tcPr>
          <w:p w:rsidR="00F20EB5" w:rsidRPr="007031C3" w:rsidRDefault="00F20EB5" w:rsidP="007B0F06">
            <w:pPr>
              <w:pStyle w:val="CLDTableTextListText"/>
              <w:keepNext w:val="0"/>
              <w:rPr>
                <w:sz w:val="22"/>
                <w:szCs w:val="22"/>
              </w:rPr>
            </w:pPr>
            <w:r w:rsidRPr="007031C3">
              <w:rPr>
                <w:sz w:val="22"/>
                <w:szCs w:val="22"/>
              </w:rPr>
              <w:t>150 (4.7)</w:t>
            </w:r>
          </w:p>
        </w:tc>
        <w:tc>
          <w:tcPr>
            <w:tcW w:w="1276" w:type="dxa"/>
          </w:tcPr>
          <w:p w:rsidR="00F20EB5" w:rsidRPr="007031C3" w:rsidRDefault="00F20EB5" w:rsidP="007B0F06">
            <w:pPr>
              <w:pStyle w:val="CLDTableTextListText"/>
              <w:keepNext w:val="0"/>
              <w:rPr>
                <w:sz w:val="22"/>
                <w:szCs w:val="22"/>
              </w:rPr>
            </w:pPr>
            <w:r w:rsidRPr="007031C3">
              <w:rPr>
                <w:sz w:val="22"/>
                <w:szCs w:val="22"/>
              </w:rPr>
              <w:t>55 (4.4)</w:t>
            </w:r>
          </w:p>
        </w:tc>
      </w:tr>
      <w:tr w:rsidR="00F20EB5" w:rsidTr="00C677B4">
        <w:tc>
          <w:tcPr>
            <w:tcW w:w="3369" w:type="dxa"/>
          </w:tcPr>
          <w:p w:rsidR="00F20EB5" w:rsidRPr="007031C3" w:rsidRDefault="00F20EB5" w:rsidP="007B0F06">
            <w:pPr>
              <w:pStyle w:val="CLDTableTextListText"/>
              <w:keepNext w:val="0"/>
              <w:rPr>
                <w:sz w:val="22"/>
                <w:szCs w:val="22"/>
              </w:rPr>
            </w:pPr>
            <w:r w:rsidRPr="007031C3">
              <w:rPr>
                <w:sz w:val="22"/>
                <w:szCs w:val="22"/>
              </w:rPr>
              <w:t>Diarrhoea</w:t>
            </w:r>
          </w:p>
        </w:tc>
        <w:tc>
          <w:tcPr>
            <w:tcW w:w="2268" w:type="dxa"/>
          </w:tcPr>
          <w:p w:rsidR="00F20EB5" w:rsidRPr="007031C3" w:rsidRDefault="00F20EB5" w:rsidP="007B0F06">
            <w:pPr>
              <w:pStyle w:val="CLDTableTextListText"/>
              <w:keepNext w:val="0"/>
              <w:rPr>
                <w:sz w:val="22"/>
                <w:szCs w:val="22"/>
              </w:rPr>
            </w:pPr>
            <w:r w:rsidRPr="007031C3">
              <w:rPr>
                <w:sz w:val="22"/>
                <w:szCs w:val="22"/>
              </w:rPr>
              <w:t>107 (6.8)</w:t>
            </w:r>
          </w:p>
        </w:tc>
        <w:tc>
          <w:tcPr>
            <w:tcW w:w="2409" w:type="dxa"/>
          </w:tcPr>
          <w:p w:rsidR="00F20EB5" w:rsidRPr="007031C3" w:rsidRDefault="00F20EB5" w:rsidP="007B0F06">
            <w:pPr>
              <w:pStyle w:val="CLDTableTextListText"/>
              <w:keepNext w:val="0"/>
              <w:rPr>
                <w:sz w:val="22"/>
                <w:szCs w:val="22"/>
              </w:rPr>
            </w:pPr>
            <w:r w:rsidRPr="007031C3">
              <w:rPr>
                <w:sz w:val="22"/>
                <w:szCs w:val="22"/>
              </w:rPr>
              <w:t>186 (5.9)</w:t>
            </w:r>
          </w:p>
        </w:tc>
        <w:tc>
          <w:tcPr>
            <w:tcW w:w="1276" w:type="dxa"/>
          </w:tcPr>
          <w:p w:rsidR="00F20EB5" w:rsidRPr="007031C3" w:rsidRDefault="00F20EB5" w:rsidP="007B0F06">
            <w:pPr>
              <w:pStyle w:val="CLDTableTextListText"/>
              <w:keepNext w:val="0"/>
              <w:rPr>
                <w:sz w:val="22"/>
                <w:szCs w:val="22"/>
              </w:rPr>
            </w:pPr>
            <w:r w:rsidRPr="007031C3">
              <w:rPr>
                <w:sz w:val="22"/>
                <w:szCs w:val="22"/>
              </w:rPr>
              <w:t>67 (5.4)</w:t>
            </w:r>
          </w:p>
        </w:tc>
      </w:tr>
      <w:tr w:rsidR="00F20EB5" w:rsidTr="00C677B4">
        <w:tc>
          <w:tcPr>
            <w:tcW w:w="3369" w:type="dxa"/>
          </w:tcPr>
          <w:p w:rsidR="00F20EB5" w:rsidRPr="007031C3" w:rsidRDefault="00F20EB5" w:rsidP="007B0F06">
            <w:pPr>
              <w:pStyle w:val="CLDTableTextListText"/>
              <w:keepNext w:val="0"/>
              <w:rPr>
                <w:sz w:val="22"/>
                <w:szCs w:val="22"/>
              </w:rPr>
            </w:pPr>
            <w:r w:rsidRPr="007031C3">
              <w:rPr>
                <w:sz w:val="22"/>
                <w:szCs w:val="22"/>
              </w:rPr>
              <w:t>Dyspepsia</w:t>
            </w:r>
          </w:p>
        </w:tc>
        <w:tc>
          <w:tcPr>
            <w:tcW w:w="2268" w:type="dxa"/>
          </w:tcPr>
          <w:p w:rsidR="00F20EB5" w:rsidRPr="007031C3" w:rsidRDefault="00F20EB5" w:rsidP="007B0F06">
            <w:pPr>
              <w:pStyle w:val="CLDTableTextListText"/>
              <w:keepNext w:val="0"/>
              <w:rPr>
                <w:sz w:val="22"/>
                <w:szCs w:val="22"/>
              </w:rPr>
            </w:pPr>
            <w:r w:rsidRPr="007031C3">
              <w:rPr>
                <w:sz w:val="22"/>
                <w:szCs w:val="22"/>
              </w:rPr>
              <w:t>90 (5.7)</w:t>
            </w:r>
          </w:p>
        </w:tc>
        <w:tc>
          <w:tcPr>
            <w:tcW w:w="2409" w:type="dxa"/>
          </w:tcPr>
          <w:p w:rsidR="00F20EB5" w:rsidRPr="007031C3" w:rsidRDefault="00F20EB5" w:rsidP="007B0F06">
            <w:pPr>
              <w:pStyle w:val="CLDTableTextListText"/>
              <w:keepNext w:val="0"/>
              <w:rPr>
                <w:sz w:val="22"/>
                <w:szCs w:val="22"/>
              </w:rPr>
            </w:pPr>
            <w:r w:rsidRPr="007031C3">
              <w:rPr>
                <w:sz w:val="22"/>
                <w:szCs w:val="22"/>
              </w:rPr>
              <w:t>163 (5.1)</w:t>
            </w:r>
          </w:p>
        </w:tc>
        <w:tc>
          <w:tcPr>
            <w:tcW w:w="1276" w:type="dxa"/>
          </w:tcPr>
          <w:p w:rsidR="00F20EB5" w:rsidRPr="007031C3" w:rsidRDefault="00F20EB5" w:rsidP="007B0F06">
            <w:pPr>
              <w:pStyle w:val="CLDTableTextListText"/>
              <w:keepNext w:val="0"/>
              <w:rPr>
                <w:sz w:val="22"/>
                <w:szCs w:val="22"/>
              </w:rPr>
            </w:pPr>
            <w:r w:rsidRPr="007031C3">
              <w:rPr>
                <w:sz w:val="22"/>
                <w:szCs w:val="22"/>
              </w:rPr>
              <w:t>67 (5.4)</w:t>
            </w:r>
          </w:p>
        </w:tc>
      </w:tr>
      <w:tr w:rsidR="00F20EB5" w:rsidTr="00C677B4">
        <w:tc>
          <w:tcPr>
            <w:tcW w:w="3369" w:type="dxa"/>
          </w:tcPr>
          <w:p w:rsidR="00F20EB5" w:rsidRPr="00E835C0" w:rsidRDefault="00F20EB5" w:rsidP="007B0F06">
            <w:pPr>
              <w:pStyle w:val="CLDTableTextListText"/>
              <w:keepNext w:val="0"/>
              <w:rPr>
                <w:color w:val="auto"/>
                <w:sz w:val="22"/>
                <w:szCs w:val="22"/>
              </w:rPr>
            </w:pPr>
            <w:r w:rsidRPr="00E835C0">
              <w:rPr>
                <w:color w:val="auto"/>
                <w:sz w:val="22"/>
                <w:szCs w:val="22"/>
              </w:rPr>
              <w:t>Gastrooesophageal reflux disease</w:t>
            </w:r>
          </w:p>
        </w:tc>
        <w:tc>
          <w:tcPr>
            <w:tcW w:w="2268" w:type="dxa"/>
          </w:tcPr>
          <w:p w:rsidR="00F20EB5" w:rsidRPr="00E835C0" w:rsidRDefault="00F20EB5" w:rsidP="007B0F06">
            <w:pPr>
              <w:pStyle w:val="CLDTableTextListText"/>
              <w:keepNext w:val="0"/>
              <w:rPr>
                <w:color w:val="auto"/>
                <w:sz w:val="22"/>
                <w:szCs w:val="22"/>
              </w:rPr>
            </w:pPr>
            <w:r w:rsidRPr="00E835C0">
              <w:rPr>
                <w:color w:val="auto"/>
                <w:sz w:val="22"/>
                <w:szCs w:val="22"/>
              </w:rPr>
              <w:t>29 (1.8)</w:t>
            </w:r>
          </w:p>
        </w:tc>
        <w:tc>
          <w:tcPr>
            <w:tcW w:w="2409" w:type="dxa"/>
          </w:tcPr>
          <w:p w:rsidR="00F20EB5" w:rsidRPr="00E835C0" w:rsidRDefault="00F20EB5" w:rsidP="007B0F06">
            <w:pPr>
              <w:pStyle w:val="CLDTableTextListText"/>
              <w:keepNext w:val="0"/>
              <w:rPr>
                <w:color w:val="auto"/>
                <w:sz w:val="22"/>
                <w:szCs w:val="22"/>
              </w:rPr>
            </w:pPr>
            <w:r w:rsidRPr="00E835C0">
              <w:rPr>
                <w:color w:val="auto"/>
                <w:sz w:val="22"/>
                <w:szCs w:val="22"/>
              </w:rPr>
              <w:t>51 (1.6)</w:t>
            </w:r>
          </w:p>
        </w:tc>
        <w:tc>
          <w:tcPr>
            <w:tcW w:w="1276" w:type="dxa"/>
          </w:tcPr>
          <w:p w:rsidR="00F20EB5" w:rsidRPr="00E835C0" w:rsidRDefault="00F20EB5" w:rsidP="007B0F06">
            <w:pPr>
              <w:pStyle w:val="CLDTableTextListText"/>
              <w:keepNext w:val="0"/>
              <w:rPr>
                <w:color w:val="auto"/>
                <w:sz w:val="22"/>
                <w:szCs w:val="22"/>
              </w:rPr>
            </w:pPr>
            <w:r w:rsidRPr="00E835C0">
              <w:rPr>
                <w:color w:val="auto"/>
                <w:sz w:val="22"/>
                <w:szCs w:val="22"/>
              </w:rPr>
              <w:t>22 (1.8)</w:t>
            </w:r>
          </w:p>
        </w:tc>
      </w:tr>
      <w:tr w:rsidR="00F20EB5" w:rsidTr="00C677B4">
        <w:tc>
          <w:tcPr>
            <w:tcW w:w="3369" w:type="dxa"/>
          </w:tcPr>
          <w:p w:rsidR="00F20EB5" w:rsidRPr="007031C3" w:rsidRDefault="00F20EB5" w:rsidP="007B0F06">
            <w:pPr>
              <w:pStyle w:val="CLDTableTextListText"/>
              <w:keepNext w:val="0"/>
              <w:rPr>
                <w:sz w:val="22"/>
                <w:szCs w:val="22"/>
              </w:rPr>
            </w:pPr>
            <w:r w:rsidRPr="007031C3">
              <w:rPr>
                <w:sz w:val="22"/>
                <w:szCs w:val="22"/>
              </w:rPr>
              <w:t>Nausea</w:t>
            </w:r>
          </w:p>
        </w:tc>
        <w:tc>
          <w:tcPr>
            <w:tcW w:w="2268" w:type="dxa"/>
          </w:tcPr>
          <w:p w:rsidR="00F20EB5" w:rsidRPr="007031C3" w:rsidRDefault="00F20EB5" w:rsidP="007B0F06">
            <w:pPr>
              <w:pStyle w:val="CLDTableTextListText"/>
              <w:keepNext w:val="0"/>
              <w:rPr>
                <w:sz w:val="22"/>
                <w:szCs w:val="22"/>
              </w:rPr>
            </w:pPr>
            <w:r w:rsidRPr="007031C3">
              <w:rPr>
                <w:sz w:val="22"/>
                <w:szCs w:val="22"/>
              </w:rPr>
              <w:t>118 (7.4)</w:t>
            </w:r>
          </w:p>
        </w:tc>
        <w:tc>
          <w:tcPr>
            <w:tcW w:w="2409" w:type="dxa"/>
          </w:tcPr>
          <w:p w:rsidR="00F20EB5" w:rsidRPr="007031C3" w:rsidRDefault="00F20EB5" w:rsidP="007B0F06">
            <w:pPr>
              <w:pStyle w:val="CLDTableTextListText"/>
              <w:keepNext w:val="0"/>
              <w:rPr>
                <w:sz w:val="22"/>
                <w:szCs w:val="22"/>
              </w:rPr>
            </w:pPr>
            <w:r w:rsidRPr="007031C3">
              <w:rPr>
                <w:sz w:val="22"/>
                <w:szCs w:val="22"/>
              </w:rPr>
              <w:t>208 (6.6)</w:t>
            </w:r>
          </w:p>
        </w:tc>
        <w:tc>
          <w:tcPr>
            <w:tcW w:w="1276" w:type="dxa"/>
          </w:tcPr>
          <w:p w:rsidR="00F20EB5" w:rsidRPr="007031C3" w:rsidRDefault="00F20EB5" w:rsidP="007B0F06">
            <w:pPr>
              <w:pStyle w:val="CLDTableTextListText"/>
              <w:keepNext w:val="0"/>
              <w:rPr>
                <w:sz w:val="22"/>
                <w:szCs w:val="22"/>
              </w:rPr>
            </w:pPr>
            <w:r w:rsidRPr="007031C3">
              <w:rPr>
                <w:sz w:val="22"/>
                <w:szCs w:val="22"/>
              </w:rPr>
              <w:t>60 (4.8)</w:t>
            </w:r>
          </w:p>
        </w:tc>
      </w:tr>
      <w:tr w:rsidR="00F20EB5" w:rsidTr="00C677B4">
        <w:tc>
          <w:tcPr>
            <w:tcW w:w="3369" w:type="dxa"/>
          </w:tcPr>
          <w:p w:rsidR="00F20EB5" w:rsidRPr="007031C3" w:rsidRDefault="00F20EB5" w:rsidP="007B0F06">
            <w:pPr>
              <w:pStyle w:val="CLDTableTextListText"/>
              <w:keepNext w:val="0"/>
              <w:rPr>
                <w:sz w:val="22"/>
                <w:szCs w:val="22"/>
              </w:rPr>
            </w:pPr>
            <w:r w:rsidRPr="007031C3">
              <w:rPr>
                <w:sz w:val="22"/>
                <w:szCs w:val="22"/>
              </w:rPr>
              <w:t>Toothache</w:t>
            </w:r>
          </w:p>
        </w:tc>
        <w:tc>
          <w:tcPr>
            <w:tcW w:w="2268" w:type="dxa"/>
          </w:tcPr>
          <w:p w:rsidR="00F20EB5" w:rsidRPr="007031C3" w:rsidRDefault="00F20EB5" w:rsidP="007B0F06">
            <w:pPr>
              <w:pStyle w:val="CLDTableTextListText"/>
              <w:keepNext w:val="0"/>
              <w:rPr>
                <w:sz w:val="22"/>
                <w:szCs w:val="22"/>
              </w:rPr>
            </w:pPr>
            <w:r w:rsidRPr="007031C3">
              <w:rPr>
                <w:sz w:val="22"/>
                <w:szCs w:val="22"/>
              </w:rPr>
              <w:t>65 (4.1)</w:t>
            </w:r>
          </w:p>
        </w:tc>
        <w:tc>
          <w:tcPr>
            <w:tcW w:w="2409" w:type="dxa"/>
          </w:tcPr>
          <w:p w:rsidR="00F20EB5" w:rsidRPr="007031C3" w:rsidRDefault="00F20EB5" w:rsidP="007B0F06">
            <w:pPr>
              <w:pStyle w:val="CLDTableTextListText"/>
              <w:keepNext w:val="0"/>
              <w:rPr>
                <w:sz w:val="22"/>
                <w:szCs w:val="22"/>
              </w:rPr>
            </w:pPr>
            <w:r w:rsidRPr="007031C3">
              <w:rPr>
                <w:sz w:val="22"/>
                <w:szCs w:val="22"/>
              </w:rPr>
              <w:t>117 (3.7)</w:t>
            </w:r>
          </w:p>
        </w:tc>
        <w:tc>
          <w:tcPr>
            <w:tcW w:w="1276" w:type="dxa"/>
          </w:tcPr>
          <w:p w:rsidR="00F20EB5" w:rsidRPr="007031C3" w:rsidRDefault="00F20EB5" w:rsidP="007B0F06">
            <w:pPr>
              <w:pStyle w:val="CLDTableTextListText"/>
              <w:keepNext w:val="0"/>
              <w:rPr>
                <w:sz w:val="22"/>
                <w:szCs w:val="22"/>
              </w:rPr>
            </w:pPr>
            <w:r w:rsidRPr="007031C3">
              <w:rPr>
                <w:sz w:val="22"/>
                <w:szCs w:val="22"/>
              </w:rPr>
              <w:t>45 (3.6)</w:t>
            </w:r>
          </w:p>
        </w:tc>
      </w:tr>
      <w:tr w:rsidR="00F20EB5" w:rsidTr="00C677B4">
        <w:tc>
          <w:tcPr>
            <w:tcW w:w="3369" w:type="dxa"/>
          </w:tcPr>
          <w:p w:rsidR="00F20EB5" w:rsidRPr="007031C3" w:rsidRDefault="00F20EB5" w:rsidP="007B0F06">
            <w:pPr>
              <w:pStyle w:val="CLDTableTextListText"/>
              <w:keepNext w:val="0"/>
              <w:rPr>
                <w:sz w:val="22"/>
                <w:szCs w:val="22"/>
              </w:rPr>
            </w:pPr>
            <w:r w:rsidRPr="007031C3">
              <w:rPr>
                <w:sz w:val="22"/>
                <w:szCs w:val="22"/>
              </w:rPr>
              <w:t>Vomiting</w:t>
            </w:r>
          </w:p>
        </w:tc>
        <w:tc>
          <w:tcPr>
            <w:tcW w:w="2268" w:type="dxa"/>
          </w:tcPr>
          <w:p w:rsidR="00F20EB5" w:rsidRPr="007031C3" w:rsidRDefault="00F20EB5" w:rsidP="007B0F06">
            <w:pPr>
              <w:pStyle w:val="CLDTableTextListText"/>
              <w:keepNext w:val="0"/>
              <w:rPr>
                <w:sz w:val="22"/>
                <w:szCs w:val="22"/>
              </w:rPr>
            </w:pPr>
            <w:r w:rsidRPr="007031C3">
              <w:rPr>
                <w:sz w:val="22"/>
                <w:szCs w:val="22"/>
              </w:rPr>
              <w:t>49 (3.1)</w:t>
            </w:r>
          </w:p>
        </w:tc>
        <w:tc>
          <w:tcPr>
            <w:tcW w:w="2409" w:type="dxa"/>
          </w:tcPr>
          <w:p w:rsidR="00F20EB5" w:rsidRPr="007031C3" w:rsidRDefault="00F20EB5" w:rsidP="007B0F06">
            <w:pPr>
              <w:pStyle w:val="CLDTableTextListText"/>
              <w:keepNext w:val="0"/>
              <w:rPr>
                <w:sz w:val="22"/>
                <w:szCs w:val="22"/>
              </w:rPr>
            </w:pPr>
            <w:r w:rsidRPr="007031C3">
              <w:rPr>
                <w:sz w:val="22"/>
                <w:szCs w:val="22"/>
              </w:rPr>
              <w:t>86 (2.7)</w:t>
            </w:r>
          </w:p>
        </w:tc>
        <w:tc>
          <w:tcPr>
            <w:tcW w:w="1276" w:type="dxa"/>
          </w:tcPr>
          <w:p w:rsidR="00F20EB5" w:rsidRPr="007031C3" w:rsidRDefault="00F20EB5" w:rsidP="007B0F06">
            <w:pPr>
              <w:pStyle w:val="CLDTableTextListText"/>
              <w:keepNext w:val="0"/>
              <w:rPr>
                <w:sz w:val="22"/>
                <w:szCs w:val="22"/>
              </w:rPr>
            </w:pPr>
            <w:r w:rsidRPr="007031C3">
              <w:rPr>
                <w:sz w:val="22"/>
                <w:szCs w:val="22"/>
              </w:rPr>
              <w:t>33 (2.7)</w:t>
            </w:r>
          </w:p>
        </w:tc>
      </w:tr>
      <w:tr w:rsidR="00F20EB5" w:rsidTr="00540D26">
        <w:tc>
          <w:tcPr>
            <w:tcW w:w="9322" w:type="dxa"/>
            <w:gridSpan w:val="4"/>
          </w:tcPr>
          <w:p w:rsidR="00F20EB5" w:rsidRPr="007031C3" w:rsidRDefault="00F20EB5" w:rsidP="007B0F06">
            <w:pPr>
              <w:pStyle w:val="CLDTableTextListText"/>
              <w:keepNext w:val="0"/>
              <w:rPr>
                <w:sz w:val="22"/>
                <w:szCs w:val="22"/>
              </w:rPr>
            </w:pPr>
            <w:r w:rsidRPr="00C76859">
              <w:rPr>
                <w:b/>
                <w:i/>
                <w:sz w:val="22"/>
                <w:szCs w:val="22"/>
              </w:rPr>
              <w:t xml:space="preserve">General </w:t>
            </w:r>
            <w:r>
              <w:rPr>
                <w:b/>
                <w:i/>
                <w:sz w:val="22"/>
                <w:szCs w:val="22"/>
              </w:rPr>
              <w:t>D</w:t>
            </w:r>
            <w:r w:rsidRPr="00C76859">
              <w:rPr>
                <w:b/>
                <w:i/>
                <w:sz w:val="22"/>
                <w:szCs w:val="22"/>
              </w:rPr>
              <w:t xml:space="preserve">isorders and </w:t>
            </w:r>
            <w:r>
              <w:rPr>
                <w:b/>
                <w:i/>
                <w:sz w:val="22"/>
                <w:szCs w:val="22"/>
              </w:rPr>
              <w:t>A</w:t>
            </w:r>
            <w:r w:rsidRPr="00C76859">
              <w:rPr>
                <w:b/>
                <w:i/>
                <w:sz w:val="22"/>
                <w:szCs w:val="22"/>
              </w:rPr>
              <w:t xml:space="preserve">dministration </w:t>
            </w:r>
            <w:r>
              <w:rPr>
                <w:b/>
                <w:i/>
                <w:sz w:val="22"/>
                <w:szCs w:val="22"/>
              </w:rPr>
              <w:t>S</w:t>
            </w:r>
            <w:r w:rsidRPr="00C76859">
              <w:rPr>
                <w:b/>
                <w:i/>
                <w:sz w:val="22"/>
                <w:szCs w:val="22"/>
              </w:rPr>
              <w:t xml:space="preserve">ite </w:t>
            </w:r>
            <w:r>
              <w:rPr>
                <w:b/>
                <w:i/>
                <w:sz w:val="22"/>
                <w:szCs w:val="22"/>
              </w:rPr>
              <w:t>C</w:t>
            </w:r>
            <w:r w:rsidRPr="00C76859">
              <w:rPr>
                <w:b/>
                <w:i/>
                <w:sz w:val="22"/>
                <w:szCs w:val="22"/>
              </w:rPr>
              <w:t>onditions</w:t>
            </w:r>
          </w:p>
        </w:tc>
      </w:tr>
      <w:tr w:rsidR="00F20EB5" w:rsidRPr="000A22E6" w:rsidTr="00C677B4">
        <w:tc>
          <w:tcPr>
            <w:tcW w:w="3369" w:type="dxa"/>
          </w:tcPr>
          <w:p w:rsidR="00F20EB5" w:rsidRPr="000A22E6" w:rsidRDefault="00F20EB5" w:rsidP="000A22E6">
            <w:pPr>
              <w:pStyle w:val="CLDTableTextListText"/>
              <w:rPr>
                <w:sz w:val="22"/>
              </w:rPr>
            </w:pPr>
            <w:r w:rsidRPr="000A22E6">
              <w:rPr>
                <w:sz w:val="22"/>
              </w:rPr>
              <w:t>Fatigue</w:t>
            </w:r>
          </w:p>
        </w:tc>
        <w:tc>
          <w:tcPr>
            <w:tcW w:w="2268" w:type="dxa"/>
          </w:tcPr>
          <w:p w:rsidR="00F20EB5" w:rsidRPr="000A22E6" w:rsidRDefault="00F20EB5" w:rsidP="000A22E6">
            <w:pPr>
              <w:pStyle w:val="CLDTableTextListText"/>
              <w:rPr>
                <w:sz w:val="22"/>
              </w:rPr>
            </w:pPr>
            <w:r w:rsidRPr="000A22E6">
              <w:rPr>
                <w:sz w:val="22"/>
              </w:rPr>
              <w:t>56 (3.5)</w:t>
            </w:r>
          </w:p>
        </w:tc>
        <w:tc>
          <w:tcPr>
            <w:tcW w:w="2409" w:type="dxa"/>
          </w:tcPr>
          <w:p w:rsidR="00F20EB5" w:rsidRPr="000A22E6" w:rsidRDefault="00F20EB5" w:rsidP="000A22E6">
            <w:pPr>
              <w:pStyle w:val="CLDTableTextListText"/>
              <w:rPr>
                <w:sz w:val="22"/>
              </w:rPr>
            </w:pPr>
            <w:r w:rsidRPr="000A22E6">
              <w:rPr>
                <w:sz w:val="22"/>
              </w:rPr>
              <w:t>109 (3.4)</w:t>
            </w:r>
          </w:p>
        </w:tc>
        <w:tc>
          <w:tcPr>
            <w:tcW w:w="1276" w:type="dxa"/>
          </w:tcPr>
          <w:p w:rsidR="00F20EB5" w:rsidRPr="000A22E6" w:rsidRDefault="00F20EB5" w:rsidP="000A22E6">
            <w:pPr>
              <w:pStyle w:val="CLDTableTextListText"/>
              <w:rPr>
                <w:sz w:val="22"/>
              </w:rPr>
            </w:pPr>
            <w:r w:rsidRPr="000A22E6">
              <w:rPr>
                <w:sz w:val="22"/>
              </w:rPr>
              <w:t>43 (3.5)</w:t>
            </w:r>
          </w:p>
        </w:tc>
      </w:tr>
      <w:tr w:rsidR="00F20EB5" w:rsidRPr="000A22E6" w:rsidTr="00C677B4">
        <w:tc>
          <w:tcPr>
            <w:tcW w:w="3369" w:type="dxa"/>
          </w:tcPr>
          <w:p w:rsidR="00F20EB5" w:rsidRPr="000A22E6" w:rsidRDefault="00F20EB5" w:rsidP="000A22E6">
            <w:pPr>
              <w:pStyle w:val="CLDTableTextListText"/>
              <w:rPr>
                <w:sz w:val="22"/>
              </w:rPr>
            </w:pPr>
            <w:r w:rsidRPr="000A22E6">
              <w:rPr>
                <w:sz w:val="22"/>
              </w:rPr>
              <w:t>Non-cardiac chest pain</w:t>
            </w:r>
          </w:p>
        </w:tc>
        <w:tc>
          <w:tcPr>
            <w:tcW w:w="2268" w:type="dxa"/>
          </w:tcPr>
          <w:p w:rsidR="00F20EB5" w:rsidRPr="000A22E6" w:rsidRDefault="00F20EB5" w:rsidP="000A22E6">
            <w:pPr>
              <w:pStyle w:val="CLDTableTextListText"/>
              <w:rPr>
                <w:sz w:val="22"/>
              </w:rPr>
            </w:pPr>
            <w:r w:rsidRPr="000A22E6">
              <w:rPr>
                <w:sz w:val="22"/>
              </w:rPr>
              <w:t>20 (1.3)</w:t>
            </w:r>
          </w:p>
        </w:tc>
        <w:tc>
          <w:tcPr>
            <w:tcW w:w="2409" w:type="dxa"/>
          </w:tcPr>
          <w:p w:rsidR="00F20EB5" w:rsidRPr="000A22E6" w:rsidRDefault="00F20EB5" w:rsidP="000A22E6">
            <w:pPr>
              <w:pStyle w:val="CLDTableTextListText"/>
              <w:rPr>
                <w:sz w:val="22"/>
              </w:rPr>
            </w:pPr>
            <w:r w:rsidRPr="000A22E6">
              <w:rPr>
                <w:sz w:val="22"/>
              </w:rPr>
              <w:t>35 (1.1)</w:t>
            </w:r>
          </w:p>
        </w:tc>
        <w:tc>
          <w:tcPr>
            <w:tcW w:w="1276" w:type="dxa"/>
          </w:tcPr>
          <w:p w:rsidR="00F20EB5" w:rsidRPr="000A22E6" w:rsidRDefault="00F20EB5" w:rsidP="000A22E6">
            <w:pPr>
              <w:pStyle w:val="CLDTableTextListText"/>
              <w:rPr>
                <w:sz w:val="22"/>
              </w:rPr>
            </w:pPr>
            <w:r w:rsidRPr="000A22E6">
              <w:rPr>
                <w:sz w:val="22"/>
              </w:rPr>
              <w:t>11 (0.9)</w:t>
            </w:r>
          </w:p>
        </w:tc>
      </w:tr>
      <w:tr w:rsidR="00F20EB5" w:rsidRPr="000A22E6" w:rsidTr="00C677B4">
        <w:tc>
          <w:tcPr>
            <w:tcW w:w="3369" w:type="dxa"/>
          </w:tcPr>
          <w:p w:rsidR="00F20EB5" w:rsidRPr="000A22E6" w:rsidRDefault="00F20EB5" w:rsidP="000A22E6">
            <w:pPr>
              <w:pStyle w:val="CLDTableTextListText"/>
              <w:rPr>
                <w:sz w:val="22"/>
              </w:rPr>
            </w:pPr>
            <w:r w:rsidRPr="000A22E6">
              <w:rPr>
                <w:sz w:val="22"/>
              </w:rPr>
              <w:t>Pain</w:t>
            </w:r>
          </w:p>
        </w:tc>
        <w:tc>
          <w:tcPr>
            <w:tcW w:w="2268" w:type="dxa"/>
          </w:tcPr>
          <w:p w:rsidR="00F20EB5" w:rsidRPr="000A22E6" w:rsidRDefault="00F20EB5" w:rsidP="000A22E6">
            <w:pPr>
              <w:pStyle w:val="CLDTableTextListText"/>
              <w:rPr>
                <w:sz w:val="22"/>
              </w:rPr>
            </w:pPr>
            <w:r w:rsidRPr="000A22E6">
              <w:rPr>
                <w:sz w:val="22"/>
              </w:rPr>
              <w:t>61 (3.8)</w:t>
            </w:r>
          </w:p>
        </w:tc>
        <w:tc>
          <w:tcPr>
            <w:tcW w:w="2409" w:type="dxa"/>
          </w:tcPr>
          <w:p w:rsidR="00F20EB5" w:rsidRPr="000A22E6" w:rsidRDefault="00F20EB5" w:rsidP="000A22E6">
            <w:pPr>
              <w:pStyle w:val="CLDTableTextListText"/>
              <w:rPr>
                <w:sz w:val="22"/>
              </w:rPr>
            </w:pPr>
            <w:r w:rsidRPr="000A22E6">
              <w:rPr>
                <w:sz w:val="22"/>
              </w:rPr>
              <w:t>125 (3.9)</w:t>
            </w:r>
          </w:p>
        </w:tc>
        <w:tc>
          <w:tcPr>
            <w:tcW w:w="1276" w:type="dxa"/>
          </w:tcPr>
          <w:p w:rsidR="00F20EB5" w:rsidRPr="000A22E6" w:rsidRDefault="00F20EB5" w:rsidP="000A22E6">
            <w:pPr>
              <w:pStyle w:val="CLDTableTextListText"/>
              <w:rPr>
                <w:sz w:val="22"/>
              </w:rPr>
            </w:pPr>
            <w:r w:rsidRPr="000A22E6">
              <w:rPr>
                <w:sz w:val="22"/>
              </w:rPr>
              <w:t>49 (3.9)</w:t>
            </w:r>
          </w:p>
        </w:tc>
      </w:tr>
      <w:tr w:rsidR="00F20EB5" w:rsidTr="00540D26">
        <w:tc>
          <w:tcPr>
            <w:tcW w:w="9322" w:type="dxa"/>
            <w:gridSpan w:val="4"/>
          </w:tcPr>
          <w:p w:rsidR="00F20EB5" w:rsidRPr="008C16FB" w:rsidRDefault="00F20EB5" w:rsidP="007B0F06">
            <w:pPr>
              <w:pStyle w:val="CLDTableTextListText"/>
              <w:keepNext w:val="0"/>
              <w:rPr>
                <w:color w:val="A6A6A6" w:themeColor="background1" w:themeShade="A6"/>
                <w:sz w:val="22"/>
                <w:szCs w:val="22"/>
              </w:rPr>
            </w:pPr>
            <w:r w:rsidRPr="00B54798">
              <w:rPr>
                <w:b/>
                <w:i/>
                <w:sz w:val="22"/>
                <w:szCs w:val="22"/>
              </w:rPr>
              <w:t>Immune System Disorders</w:t>
            </w:r>
          </w:p>
        </w:tc>
      </w:tr>
      <w:tr w:rsidR="00F20EB5" w:rsidTr="00C677B4">
        <w:tc>
          <w:tcPr>
            <w:tcW w:w="3369" w:type="dxa"/>
          </w:tcPr>
          <w:p w:rsidR="00F20EB5" w:rsidRPr="007031C3" w:rsidRDefault="00F20EB5" w:rsidP="007B0F06">
            <w:pPr>
              <w:pStyle w:val="CLDTableTextListText"/>
              <w:keepNext w:val="0"/>
              <w:rPr>
                <w:sz w:val="22"/>
                <w:szCs w:val="22"/>
              </w:rPr>
            </w:pPr>
            <w:r w:rsidRPr="007031C3">
              <w:rPr>
                <w:sz w:val="22"/>
                <w:szCs w:val="22"/>
              </w:rPr>
              <w:t xml:space="preserve">Hypersensitivity </w:t>
            </w:r>
          </w:p>
        </w:tc>
        <w:tc>
          <w:tcPr>
            <w:tcW w:w="2268" w:type="dxa"/>
          </w:tcPr>
          <w:p w:rsidR="00F20EB5" w:rsidRPr="007031C3" w:rsidRDefault="00F20EB5" w:rsidP="007B0F06">
            <w:pPr>
              <w:pStyle w:val="CLDTableTextListText"/>
              <w:keepNext w:val="0"/>
              <w:rPr>
                <w:sz w:val="22"/>
                <w:szCs w:val="22"/>
              </w:rPr>
            </w:pPr>
            <w:r w:rsidRPr="007031C3">
              <w:rPr>
                <w:sz w:val="22"/>
                <w:szCs w:val="22"/>
              </w:rPr>
              <w:t>24 (1.5)</w:t>
            </w:r>
          </w:p>
        </w:tc>
        <w:tc>
          <w:tcPr>
            <w:tcW w:w="2409" w:type="dxa"/>
          </w:tcPr>
          <w:p w:rsidR="00F20EB5" w:rsidRPr="007031C3" w:rsidRDefault="00F20EB5" w:rsidP="007B0F06">
            <w:pPr>
              <w:pStyle w:val="CLDTableTextListText"/>
              <w:keepNext w:val="0"/>
              <w:rPr>
                <w:sz w:val="22"/>
                <w:szCs w:val="22"/>
              </w:rPr>
            </w:pPr>
            <w:r w:rsidRPr="007031C3">
              <w:rPr>
                <w:sz w:val="22"/>
                <w:szCs w:val="22"/>
              </w:rPr>
              <w:t>52 (1.6)</w:t>
            </w:r>
          </w:p>
        </w:tc>
        <w:tc>
          <w:tcPr>
            <w:tcW w:w="1276" w:type="dxa"/>
          </w:tcPr>
          <w:p w:rsidR="00F20EB5" w:rsidRPr="007031C3" w:rsidRDefault="00F20EB5" w:rsidP="007B0F06">
            <w:pPr>
              <w:pStyle w:val="CLDTableTextListText"/>
              <w:keepNext w:val="0"/>
              <w:rPr>
                <w:sz w:val="22"/>
                <w:szCs w:val="22"/>
              </w:rPr>
            </w:pPr>
            <w:r w:rsidRPr="007031C3">
              <w:rPr>
                <w:sz w:val="22"/>
                <w:szCs w:val="22"/>
              </w:rPr>
              <w:t>17 (1.4)</w:t>
            </w:r>
          </w:p>
        </w:tc>
      </w:tr>
      <w:tr w:rsidR="00F20EB5" w:rsidTr="00C677B4">
        <w:tc>
          <w:tcPr>
            <w:tcW w:w="3369" w:type="dxa"/>
          </w:tcPr>
          <w:p w:rsidR="00F20EB5" w:rsidRPr="007031C3" w:rsidRDefault="00F20EB5" w:rsidP="007B0F06">
            <w:pPr>
              <w:pStyle w:val="CLDTableTextListText"/>
              <w:keepNext w:val="0"/>
              <w:rPr>
                <w:sz w:val="22"/>
                <w:szCs w:val="22"/>
              </w:rPr>
            </w:pPr>
            <w:r w:rsidRPr="007031C3">
              <w:rPr>
                <w:sz w:val="22"/>
                <w:szCs w:val="22"/>
              </w:rPr>
              <w:t>Seasonal allergy</w:t>
            </w:r>
          </w:p>
        </w:tc>
        <w:tc>
          <w:tcPr>
            <w:tcW w:w="2268" w:type="dxa"/>
          </w:tcPr>
          <w:p w:rsidR="00F20EB5" w:rsidRPr="007031C3" w:rsidRDefault="00F20EB5" w:rsidP="007B0F06">
            <w:pPr>
              <w:pStyle w:val="CLDTableTextListText"/>
              <w:keepNext w:val="0"/>
              <w:rPr>
                <w:sz w:val="22"/>
                <w:szCs w:val="22"/>
              </w:rPr>
            </w:pPr>
            <w:r w:rsidRPr="007031C3">
              <w:rPr>
                <w:sz w:val="22"/>
                <w:szCs w:val="22"/>
              </w:rPr>
              <w:t>33 (2.1)</w:t>
            </w:r>
          </w:p>
        </w:tc>
        <w:tc>
          <w:tcPr>
            <w:tcW w:w="2409" w:type="dxa"/>
          </w:tcPr>
          <w:p w:rsidR="00F20EB5" w:rsidRPr="007031C3" w:rsidRDefault="00F20EB5" w:rsidP="007B0F06">
            <w:pPr>
              <w:pStyle w:val="CLDTableTextListText"/>
              <w:keepNext w:val="0"/>
              <w:rPr>
                <w:sz w:val="22"/>
                <w:szCs w:val="22"/>
              </w:rPr>
            </w:pPr>
            <w:r w:rsidRPr="007031C3">
              <w:rPr>
                <w:sz w:val="22"/>
                <w:szCs w:val="22"/>
              </w:rPr>
              <w:t>66 (2.1)</w:t>
            </w:r>
          </w:p>
        </w:tc>
        <w:tc>
          <w:tcPr>
            <w:tcW w:w="1276" w:type="dxa"/>
          </w:tcPr>
          <w:p w:rsidR="00F20EB5" w:rsidRPr="007031C3" w:rsidRDefault="00F20EB5" w:rsidP="007B0F06">
            <w:pPr>
              <w:pStyle w:val="CLDTableTextListText"/>
              <w:keepNext w:val="0"/>
              <w:rPr>
                <w:sz w:val="22"/>
                <w:szCs w:val="22"/>
              </w:rPr>
            </w:pPr>
            <w:r w:rsidRPr="007031C3">
              <w:rPr>
                <w:sz w:val="22"/>
                <w:szCs w:val="22"/>
              </w:rPr>
              <w:t>22 (1.8)</w:t>
            </w:r>
          </w:p>
        </w:tc>
      </w:tr>
      <w:tr w:rsidR="00F20EB5" w:rsidTr="00540D26">
        <w:tc>
          <w:tcPr>
            <w:tcW w:w="9322" w:type="dxa"/>
            <w:gridSpan w:val="4"/>
          </w:tcPr>
          <w:p w:rsidR="00F20EB5" w:rsidRPr="007031C3" w:rsidRDefault="00F20EB5" w:rsidP="007B0F06">
            <w:pPr>
              <w:pStyle w:val="CLDTableTextListText"/>
              <w:keepNext w:val="0"/>
              <w:rPr>
                <w:sz w:val="22"/>
                <w:szCs w:val="22"/>
              </w:rPr>
            </w:pPr>
            <w:r w:rsidRPr="00E21AA7">
              <w:rPr>
                <w:b/>
                <w:i/>
                <w:sz w:val="22"/>
                <w:szCs w:val="22"/>
              </w:rPr>
              <w:t>Infections and Infestations</w:t>
            </w:r>
          </w:p>
        </w:tc>
      </w:tr>
      <w:tr w:rsidR="00F20EB5" w:rsidTr="00C677B4">
        <w:tc>
          <w:tcPr>
            <w:tcW w:w="3369" w:type="dxa"/>
          </w:tcPr>
          <w:p w:rsidR="00F20EB5" w:rsidRPr="007031C3" w:rsidRDefault="00F20EB5" w:rsidP="007B0F06">
            <w:pPr>
              <w:pStyle w:val="CLDTableTextListText"/>
              <w:keepNext w:val="0"/>
              <w:rPr>
                <w:sz w:val="22"/>
                <w:szCs w:val="22"/>
              </w:rPr>
            </w:pPr>
            <w:r w:rsidRPr="007031C3">
              <w:rPr>
                <w:sz w:val="22"/>
                <w:szCs w:val="22"/>
              </w:rPr>
              <w:t xml:space="preserve">Hypersensitivity </w:t>
            </w:r>
          </w:p>
        </w:tc>
        <w:tc>
          <w:tcPr>
            <w:tcW w:w="2268" w:type="dxa"/>
          </w:tcPr>
          <w:p w:rsidR="00F20EB5" w:rsidRPr="007031C3" w:rsidRDefault="00F20EB5" w:rsidP="007B0F06">
            <w:pPr>
              <w:pStyle w:val="CLDTableTextListText"/>
              <w:keepNext w:val="0"/>
              <w:rPr>
                <w:sz w:val="22"/>
                <w:szCs w:val="22"/>
              </w:rPr>
            </w:pPr>
            <w:r w:rsidRPr="007031C3">
              <w:rPr>
                <w:sz w:val="22"/>
                <w:szCs w:val="22"/>
              </w:rPr>
              <w:t>24 (1.5)</w:t>
            </w:r>
          </w:p>
        </w:tc>
        <w:tc>
          <w:tcPr>
            <w:tcW w:w="2409" w:type="dxa"/>
          </w:tcPr>
          <w:p w:rsidR="00F20EB5" w:rsidRPr="007031C3" w:rsidRDefault="00F20EB5" w:rsidP="007B0F06">
            <w:pPr>
              <w:pStyle w:val="CLDTableTextListText"/>
              <w:keepNext w:val="0"/>
              <w:rPr>
                <w:sz w:val="22"/>
                <w:szCs w:val="22"/>
              </w:rPr>
            </w:pPr>
            <w:r w:rsidRPr="007031C3">
              <w:rPr>
                <w:sz w:val="22"/>
                <w:szCs w:val="22"/>
              </w:rPr>
              <w:t>52 (1.6)</w:t>
            </w:r>
          </w:p>
        </w:tc>
        <w:tc>
          <w:tcPr>
            <w:tcW w:w="1276" w:type="dxa"/>
          </w:tcPr>
          <w:p w:rsidR="00F20EB5" w:rsidRPr="007031C3" w:rsidRDefault="00F20EB5" w:rsidP="007B0F06">
            <w:pPr>
              <w:pStyle w:val="CLDTableTextListText"/>
              <w:keepNext w:val="0"/>
              <w:rPr>
                <w:sz w:val="22"/>
                <w:szCs w:val="22"/>
              </w:rPr>
            </w:pPr>
            <w:r w:rsidRPr="007031C3">
              <w:rPr>
                <w:sz w:val="22"/>
                <w:szCs w:val="22"/>
              </w:rPr>
              <w:t>17 (1.4)</w:t>
            </w:r>
          </w:p>
        </w:tc>
      </w:tr>
      <w:tr w:rsidR="00F20EB5" w:rsidTr="00C677B4">
        <w:tc>
          <w:tcPr>
            <w:tcW w:w="3369" w:type="dxa"/>
          </w:tcPr>
          <w:p w:rsidR="00F20EB5" w:rsidRPr="007031C3" w:rsidRDefault="00F20EB5" w:rsidP="007B0F06">
            <w:pPr>
              <w:pStyle w:val="CLDTableTextListText"/>
              <w:keepNext w:val="0"/>
              <w:rPr>
                <w:sz w:val="22"/>
                <w:szCs w:val="22"/>
              </w:rPr>
            </w:pPr>
            <w:r w:rsidRPr="007031C3">
              <w:rPr>
                <w:sz w:val="22"/>
                <w:szCs w:val="22"/>
              </w:rPr>
              <w:t>Seasonal allergy</w:t>
            </w:r>
          </w:p>
        </w:tc>
        <w:tc>
          <w:tcPr>
            <w:tcW w:w="2268" w:type="dxa"/>
          </w:tcPr>
          <w:p w:rsidR="00F20EB5" w:rsidRPr="007031C3" w:rsidRDefault="00F20EB5" w:rsidP="007B0F06">
            <w:pPr>
              <w:pStyle w:val="CLDTableTextListText"/>
              <w:keepNext w:val="0"/>
              <w:rPr>
                <w:sz w:val="22"/>
                <w:szCs w:val="22"/>
              </w:rPr>
            </w:pPr>
            <w:r w:rsidRPr="007031C3">
              <w:rPr>
                <w:sz w:val="22"/>
                <w:szCs w:val="22"/>
              </w:rPr>
              <w:t>33 (2.1)</w:t>
            </w:r>
          </w:p>
        </w:tc>
        <w:tc>
          <w:tcPr>
            <w:tcW w:w="2409" w:type="dxa"/>
          </w:tcPr>
          <w:p w:rsidR="00F20EB5" w:rsidRPr="007031C3" w:rsidRDefault="00F20EB5" w:rsidP="007B0F06">
            <w:pPr>
              <w:pStyle w:val="CLDTableTextListText"/>
              <w:keepNext w:val="0"/>
              <w:rPr>
                <w:sz w:val="22"/>
                <w:szCs w:val="22"/>
              </w:rPr>
            </w:pPr>
            <w:r w:rsidRPr="007031C3">
              <w:rPr>
                <w:sz w:val="22"/>
                <w:szCs w:val="22"/>
              </w:rPr>
              <w:t>66 (2.1)</w:t>
            </w:r>
          </w:p>
        </w:tc>
        <w:tc>
          <w:tcPr>
            <w:tcW w:w="1276" w:type="dxa"/>
          </w:tcPr>
          <w:p w:rsidR="00F20EB5" w:rsidRPr="007031C3" w:rsidRDefault="00F20EB5" w:rsidP="007B0F06">
            <w:pPr>
              <w:pStyle w:val="CLDTableTextListText"/>
              <w:keepNext w:val="0"/>
              <w:rPr>
                <w:sz w:val="22"/>
                <w:szCs w:val="22"/>
              </w:rPr>
            </w:pPr>
            <w:r w:rsidRPr="007031C3">
              <w:rPr>
                <w:sz w:val="22"/>
                <w:szCs w:val="22"/>
              </w:rPr>
              <w:t>22 (1.8)</w:t>
            </w:r>
          </w:p>
        </w:tc>
      </w:tr>
      <w:tr w:rsidR="00A12889" w:rsidTr="00540D26">
        <w:tc>
          <w:tcPr>
            <w:tcW w:w="9322" w:type="dxa"/>
            <w:gridSpan w:val="4"/>
          </w:tcPr>
          <w:p w:rsidR="00A12889" w:rsidRPr="007031C3" w:rsidRDefault="00A12889" w:rsidP="007B0F06">
            <w:pPr>
              <w:pStyle w:val="CLDTableTextListText"/>
              <w:keepNext w:val="0"/>
              <w:rPr>
                <w:sz w:val="22"/>
                <w:szCs w:val="22"/>
              </w:rPr>
            </w:pPr>
            <w:r w:rsidRPr="00E21AA7">
              <w:rPr>
                <w:b/>
                <w:i/>
                <w:sz w:val="22"/>
                <w:szCs w:val="22"/>
              </w:rPr>
              <w:t>Infections and Infestations</w:t>
            </w:r>
          </w:p>
        </w:tc>
      </w:tr>
      <w:tr w:rsidR="00A12889" w:rsidTr="00C677B4">
        <w:tc>
          <w:tcPr>
            <w:tcW w:w="3369" w:type="dxa"/>
          </w:tcPr>
          <w:p w:rsidR="00A12889" w:rsidRPr="007031C3" w:rsidRDefault="00A12889" w:rsidP="007B0F06">
            <w:pPr>
              <w:pStyle w:val="CLDTableTextListText"/>
              <w:keepNext w:val="0"/>
              <w:rPr>
                <w:sz w:val="22"/>
                <w:szCs w:val="22"/>
              </w:rPr>
            </w:pPr>
            <w:r w:rsidRPr="007031C3">
              <w:rPr>
                <w:sz w:val="22"/>
                <w:szCs w:val="22"/>
              </w:rPr>
              <w:t>Bronchitis</w:t>
            </w:r>
          </w:p>
        </w:tc>
        <w:tc>
          <w:tcPr>
            <w:tcW w:w="2268" w:type="dxa"/>
          </w:tcPr>
          <w:p w:rsidR="00A12889" w:rsidRPr="007031C3" w:rsidRDefault="00A12889" w:rsidP="007B0F06">
            <w:pPr>
              <w:pStyle w:val="CLDTableTextListText"/>
              <w:keepNext w:val="0"/>
              <w:rPr>
                <w:sz w:val="22"/>
                <w:szCs w:val="22"/>
              </w:rPr>
            </w:pPr>
            <w:r w:rsidRPr="007031C3">
              <w:rPr>
                <w:sz w:val="22"/>
                <w:szCs w:val="22"/>
              </w:rPr>
              <w:t>43 (2.7)</w:t>
            </w:r>
          </w:p>
        </w:tc>
        <w:tc>
          <w:tcPr>
            <w:tcW w:w="2409" w:type="dxa"/>
          </w:tcPr>
          <w:p w:rsidR="00A12889" w:rsidRPr="007031C3" w:rsidRDefault="00A12889" w:rsidP="007B0F06">
            <w:pPr>
              <w:pStyle w:val="CLDTableTextListText"/>
              <w:keepNext w:val="0"/>
              <w:rPr>
                <w:sz w:val="22"/>
                <w:szCs w:val="22"/>
              </w:rPr>
            </w:pPr>
            <w:r w:rsidRPr="007031C3">
              <w:rPr>
                <w:sz w:val="22"/>
                <w:szCs w:val="22"/>
              </w:rPr>
              <w:t>86 (2.7)</w:t>
            </w:r>
          </w:p>
        </w:tc>
        <w:tc>
          <w:tcPr>
            <w:tcW w:w="1276" w:type="dxa"/>
          </w:tcPr>
          <w:p w:rsidR="00A12889" w:rsidRPr="007031C3" w:rsidRDefault="00A12889" w:rsidP="007B0F06">
            <w:pPr>
              <w:pStyle w:val="CLDTableTextListText"/>
              <w:keepNext w:val="0"/>
              <w:rPr>
                <w:sz w:val="22"/>
                <w:szCs w:val="22"/>
              </w:rPr>
            </w:pPr>
            <w:r w:rsidRPr="007031C3">
              <w:rPr>
                <w:sz w:val="22"/>
                <w:szCs w:val="22"/>
              </w:rPr>
              <w:t>31 (2.5)</w:t>
            </w:r>
          </w:p>
        </w:tc>
      </w:tr>
      <w:tr w:rsidR="00A12889" w:rsidTr="00C677B4">
        <w:tc>
          <w:tcPr>
            <w:tcW w:w="3369" w:type="dxa"/>
          </w:tcPr>
          <w:p w:rsidR="00A12889" w:rsidRPr="007031C3" w:rsidRDefault="00A12889" w:rsidP="007B0F06">
            <w:pPr>
              <w:pStyle w:val="CLDTableTextListText"/>
              <w:keepNext w:val="0"/>
              <w:rPr>
                <w:sz w:val="22"/>
                <w:szCs w:val="22"/>
              </w:rPr>
            </w:pPr>
            <w:r w:rsidRPr="007031C3">
              <w:rPr>
                <w:sz w:val="22"/>
                <w:szCs w:val="22"/>
              </w:rPr>
              <w:t>Cystitis</w:t>
            </w:r>
          </w:p>
        </w:tc>
        <w:tc>
          <w:tcPr>
            <w:tcW w:w="2268" w:type="dxa"/>
          </w:tcPr>
          <w:p w:rsidR="00A12889" w:rsidRPr="007031C3" w:rsidRDefault="00A12889" w:rsidP="007B0F06">
            <w:pPr>
              <w:pStyle w:val="CLDTableTextListText"/>
              <w:keepNext w:val="0"/>
              <w:rPr>
                <w:sz w:val="22"/>
                <w:szCs w:val="22"/>
              </w:rPr>
            </w:pPr>
            <w:r w:rsidRPr="007031C3">
              <w:rPr>
                <w:sz w:val="22"/>
                <w:szCs w:val="22"/>
              </w:rPr>
              <w:t>26 (1.6)</w:t>
            </w:r>
          </w:p>
        </w:tc>
        <w:tc>
          <w:tcPr>
            <w:tcW w:w="2409" w:type="dxa"/>
          </w:tcPr>
          <w:p w:rsidR="00A12889" w:rsidRPr="007031C3" w:rsidRDefault="00A12889" w:rsidP="007B0F06">
            <w:pPr>
              <w:pStyle w:val="CLDTableTextListText"/>
              <w:keepNext w:val="0"/>
              <w:rPr>
                <w:sz w:val="22"/>
                <w:szCs w:val="22"/>
              </w:rPr>
            </w:pPr>
            <w:r w:rsidRPr="007031C3">
              <w:rPr>
                <w:sz w:val="22"/>
                <w:szCs w:val="22"/>
              </w:rPr>
              <w:t>56 (1.8)</w:t>
            </w:r>
          </w:p>
        </w:tc>
        <w:tc>
          <w:tcPr>
            <w:tcW w:w="1276" w:type="dxa"/>
          </w:tcPr>
          <w:p w:rsidR="00A12889" w:rsidRPr="007031C3" w:rsidRDefault="00A12889" w:rsidP="007B0F06">
            <w:pPr>
              <w:pStyle w:val="CLDTableTextListText"/>
              <w:keepNext w:val="0"/>
              <w:rPr>
                <w:sz w:val="22"/>
                <w:szCs w:val="22"/>
              </w:rPr>
            </w:pPr>
            <w:r w:rsidRPr="007031C3">
              <w:rPr>
                <w:sz w:val="22"/>
                <w:szCs w:val="22"/>
              </w:rPr>
              <w:t>19 (1.5)</w:t>
            </w:r>
          </w:p>
        </w:tc>
      </w:tr>
      <w:tr w:rsidR="00A12889" w:rsidTr="00C677B4">
        <w:tc>
          <w:tcPr>
            <w:tcW w:w="3369" w:type="dxa"/>
          </w:tcPr>
          <w:p w:rsidR="00A12889" w:rsidRPr="007031C3" w:rsidRDefault="00A12889" w:rsidP="007B0F06">
            <w:pPr>
              <w:pStyle w:val="CLDTableTextListText"/>
              <w:keepNext w:val="0"/>
              <w:rPr>
                <w:sz w:val="22"/>
                <w:szCs w:val="22"/>
              </w:rPr>
            </w:pPr>
            <w:r w:rsidRPr="007031C3">
              <w:rPr>
                <w:sz w:val="22"/>
                <w:szCs w:val="22"/>
              </w:rPr>
              <w:t>Gastroenteritis viral</w:t>
            </w:r>
          </w:p>
        </w:tc>
        <w:tc>
          <w:tcPr>
            <w:tcW w:w="2268" w:type="dxa"/>
          </w:tcPr>
          <w:p w:rsidR="00A12889" w:rsidRPr="007031C3" w:rsidRDefault="00A12889" w:rsidP="007B0F06">
            <w:pPr>
              <w:pStyle w:val="CLDTableTextListText"/>
              <w:keepNext w:val="0"/>
              <w:rPr>
                <w:sz w:val="22"/>
                <w:szCs w:val="22"/>
              </w:rPr>
            </w:pPr>
            <w:r w:rsidRPr="007031C3">
              <w:rPr>
                <w:sz w:val="22"/>
                <w:szCs w:val="22"/>
              </w:rPr>
              <w:t>32 (2.0)</w:t>
            </w:r>
          </w:p>
        </w:tc>
        <w:tc>
          <w:tcPr>
            <w:tcW w:w="2409" w:type="dxa"/>
          </w:tcPr>
          <w:p w:rsidR="00A12889" w:rsidRPr="007031C3" w:rsidRDefault="00A12889" w:rsidP="007B0F06">
            <w:pPr>
              <w:pStyle w:val="CLDTableTextListText"/>
              <w:keepNext w:val="0"/>
              <w:rPr>
                <w:sz w:val="22"/>
                <w:szCs w:val="22"/>
              </w:rPr>
            </w:pPr>
            <w:r w:rsidRPr="007031C3">
              <w:rPr>
                <w:sz w:val="22"/>
                <w:szCs w:val="22"/>
              </w:rPr>
              <w:t>61 (1.9)</w:t>
            </w:r>
          </w:p>
        </w:tc>
        <w:tc>
          <w:tcPr>
            <w:tcW w:w="1276" w:type="dxa"/>
          </w:tcPr>
          <w:p w:rsidR="00A12889" w:rsidRPr="007031C3" w:rsidRDefault="00A12889" w:rsidP="007B0F06">
            <w:pPr>
              <w:pStyle w:val="CLDTableTextListText"/>
              <w:keepNext w:val="0"/>
              <w:rPr>
                <w:sz w:val="22"/>
                <w:szCs w:val="22"/>
              </w:rPr>
            </w:pPr>
            <w:r w:rsidRPr="007031C3">
              <w:rPr>
                <w:sz w:val="22"/>
                <w:szCs w:val="22"/>
              </w:rPr>
              <w:t>12 (1.0)</w:t>
            </w:r>
          </w:p>
        </w:tc>
      </w:tr>
      <w:tr w:rsidR="00A12889" w:rsidTr="00C677B4">
        <w:tc>
          <w:tcPr>
            <w:tcW w:w="3369" w:type="dxa"/>
          </w:tcPr>
          <w:p w:rsidR="00A12889" w:rsidRPr="007031C3" w:rsidRDefault="00A12889" w:rsidP="007B0F06">
            <w:pPr>
              <w:pStyle w:val="CLDTableTextListText"/>
              <w:keepNext w:val="0"/>
              <w:rPr>
                <w:sz w:val="22"/>
                <w:szCs w:val="22"/>
              </w:rPr>
            </w:pPr>
            <w:r w:rsidRPr="007031C3">
              <w:rPr>
                <w:sz w:val="22"/>
                <w:szCs w:val="22"/>
              </w:rPr>
              <w:t>Influenza</w:t>
            </w:r>
          </w:p>
        </w:tc>
        <w:tc>
          <w:tcPr>
            <w:tcW w:w="2268" w:type="dxa"/>
          </w:tcPr>
          <w:p w:rsidR="00A12889" w:rsidRPr="007031C3" w:rsidRDefault="00A12889" w:rsidP="007B0F06">
            <w:pPr>
              <w:pStyle w:val="CLDTableTextListText"/>
              <w:keepNext w:val="0"/>
              <w:rPr>
                <w:sz w:val="22"/>
                <w:szCs w:val="22"/>
              </w:rPr>
            </w:pPr>
            <w:r w:rsidRPr="007031C3">
              <w:rPr>
                <w:sz w:val="22"/>
                <w:szCs w:val="22"/>
              </w:rPr>
              <w:t>161 (10.2)</w:t>
            </w:r>
          </w:p>
        </w:tc>
        <w:tc>
          <w:tcPr>
            <w:tcW w:w="2409" w:type="dxa"/>
          </w:tcPr>
          <w:p w:rsidR="00A12889" w:rsidRPr="007031C3" w:rsidRDefault="00A12889" w:rsidP="007B0F06">
            <w:pPr>
              <w:pStyle w:val="CLDTableTextListText"/>
              <w:keepNext w:val="0"/>
              <w:rPr>
                <w:sz w:val="22"/>
                <w:szCs w:val="22"/>
              </w:rPr>
            </w:pPr>
            <w:r w:rsidRPr="007031C3">
              <w:rPr>
                <w:sz w:val="22"/>
                <w:szCs w:val="22"/>
              </w:rPr>
              <w:t>298 (9.4)</w:t>
            </w:r>
          </w:p>
        </w:tc>
        <w:tc>
          <w:tcPr>
            <w:tcW w:w="1276" w:type="dxa"/>
          </w:tcPr>
          <w:p w:rsidR="00A12889" w:rsidRPr="007031C3" w:rsidRDefault="00A12889" w:rsidP="007B0F06">
            <w:pPr>
              <w:pStyle w:val="CLDTableTextListText"/>
              <w:keepNext w:val="0"/>
              <w:rPr>
                <w:sz w:val="22"/>
                <w:szCs w:val="22"/>
              </w:rPr>
            </w:pPr>
            <w:r w:rsidRPr="007031C3">
              <w:rPr>
                <w:sz w:val="22"/>
                <w:szCs w:val="22"/>
              </w:rPr>
              <w:t>122 (9.8)</w:t>
            </w:r>
          </w:p>
        </w:tc>
      </w:tr>
      <w:tr w:rsidR="00A12889" w:rsidTr="00C677B4">
        <w:tc>
          <w:tcPr>
            <w:tcW w:w="3369" w:type="dxa"/>
          </w:tcPr>
          <w:p w:rsidR="00A12889" w:rsidRPr="007031C3" w:rsidRDefault="00A12889" w:rsidP="007B0F06">
            <w:pPr>
              <w:pStyle w:val="CLDTableTextListText"/>
              <w:keepNext w:val="0"/>
              <w:rPr>
                <w:sz w:val="22"/>
                <w:szCs w:val="22"/>
              </w:rPr>
            </w:pPr>
            <w:r w:rsidRPr="007031C3">
              <w:rPr>
                <w:sz w:val="22"/>
                <w:szCs w:val="22"/>
              </w:rPr>
              <w:t>Nasopharyngitis</w:t>
            </w:r>
          </w:p>
        </w:tc>
        <w:tc>
          <w:tcPr>
            <w:tcW w:w="2268" w:type="dxa"/>
          </w:tcPr>
          <w:p w:rsidR="00A12889" w:rsidRPr="007031C3" w:rsidRDefault="00A12889" w:rsidP="007B0F06">
            <w:pPr>
              <w:pStyle w:val="CLDTableTextListText"/>
              <w:keepNext w:val="0"/>
              <w:rPr>
                <w:sz w:val="22"/>
                <w:szCs w:val="22"/>
              </w:rPr>
            </w:pPr>
            <w:r w:rsidRPr="007031C3">
              <w:rPr>
                <w:sz w:val="22"/>
                <w:szCs w:val="22"/>
              </w:rPr>
              <w:t>248 (15.6)</w:t>
            </w:r>
          </w:p>
        </w:tc>
        <w:tc>
          <w:tcPr>
            <w:tcW w:w="2409" w:type="dxa"/>
          </w:tcPr>
          <w:p w:rsidR="00A12889" w:rsidRPr="007031C3" w:rsidRDefault="00A12889" w:rsidP="007B0F06">
            <w:pPr>
              <w:pStyle w:val="CLDTableTextListText"/>
              <w:keepNext w:val="0"/>
              <w:rPr>
                <w:sz w:val="22"/>
                <w:szCs w:val="22"/>
              </w:rPr>
            </w:pPr>
            <w:r w:rsidRPr="007031C3">
              <w:rPr>
                <w:sz w:val="22"/>
                <w:szCs w:val="22"/>
              </w:rPr>
              <w:t>480 (15.2)</w:t>
            </w:r>
          </w:p>
        </w:tc>
        <w:tc>
          <w:tcPr>
            <w:tcW w:w="1276" w:type="dxa"/>
          </w:tcPr>
          <w:p w:rsidR="00A12889" w:rsidRPr="007031C3" w:rsidRDefault="00A12889" w:rsidP="007B0F06">
            <w:pPr>
              <w:pStyle w:val="CLDTableTextListText"/>
              <w:keepNext w:val="0"/>
              <w:rPr>
                <w:sz w:val="22"/>
                <w:szCs w:val="22"/>
              </w:rPr>
            </w:pPr>
            <w:r w:rsidRPr="007031C3">
              <w:rPr>
                <w:sz w:val="22"/>
                <w:szCs w:val="22"/>
              </w:rPr>
              <w:t>154 (12.4)</w:t>
            </w:r>
          </w:p>
        </w:tc>
      </w:tr>
      <w:tr w:rsidR="00A12889" w:rsidTr="00C677B4">
        <w:tc>
          <w:tcPr>
            <w:tcW w:w="3369" w:type="dxa"/>
          </w:tcPr>
          <w:p w:rsidR="00A12889" w:rsidRPr="00E835C0" w:rsidRDefault="00A12889" w:rsidP="007B0F06">
            <w:pPr>
              <w:pStyle w:val="CLDTableTextListText"/>
              <w:keepNext w:val="0"/>
              <w:rPr>
                <w:color w:val="auto"/>
                <w:sz w:val="22"/>
                <w:szCs w:val="22"/>
              </w:rPr>
            </w:pPr>
            <w:r w:rsidRPr="00E835C0">
              <w:rPr>
                <w:color w:val="auto"/>
                <w:sz w:val="22"/>
                <w:szCs w:val="22"/>
              </w:rPr>
              <w:t>Pneumonia</w:t>
            </w:r>
          </w:p>
        </w:tc>
        <w:tc>
          <w:tcPr>
            <w:tcW w:w="2268" w:type="dxa"/>
          </w:tcPr>
          <w:p w:rsidR="00A12889" w:rsidRPr="00E835C0" w:rsidRDefault="00A12889" w:rsidP="007B0F06">
            <w:pPr>
              <w:pStyle w:val="CLDTableTextListText"/>
              <w:keepNext w:val="0"/>
              <w:rPr>
                <w:color w:val="auto"/>
                <w:sz w:val="22"/>
                <w:szCs w:val="22"/>
              </w:rPr>
            </w:pPr>
            <w:r w:rsidRPr="00E835C0">
              <w:rPr>
                <w:color w:val="auto"/>
                <w:sz w:val="22"/>
                <w:szCs w:val="22"/>
              </w:rPr>
              <w:t>14 (0.9)</w:t>
            </w:r>
          </w:p>
        </w:tc>
        <w:tc>
          <w:tcPr>
            <w:tcW w:w="2409" w:type="dxa"/>
          </w:tcPr>
          <w:p w:rsidR="00A12889" w:rsidRPr="00E835C0" w:rsidRDefault="00A12889" w:rsidP="007B0F06">
            <w:pPr>
              <w:pStyle w:val="CLDTableTextListText"/>
              <w:keepNext w:val="0"/>
              <w:rPr>
                <w:color w:val="auto"/>
                <w:sz w:val="22"/>
                <w:szCs w:val="22"/>
              </w:rPr>
            </w:pPr>
            <w:r w:rsidRPr="00E835C0">
              <w:rPr>
                <w:color w:val="auto"/>
                <w:sz w:val="22"/>
                <w:szCs w:val="22"/>
              </w:rPr>
              <w:t>32 (1.0)</w:t>
            </w:r>
          </w:p>
        </w:tc>
        <w:tc>
          <w:tcPr>
            <w:tcW w:w="1276" w:type="dxa"/>
          </w:tcPr>
          <w:p w:rsidR="00A12889" w:rsidRPr="00E835C0" w:rsidRDefault="00A12889" w:rsidP="007B0F06">
            <w:pPr>
              <w:pStyle w:val="CLDTableTextListText"/>
              <w:keepNext w:val="0"/>
              <w:rPr>
                <w:color w:val="auto"/>
                <w:sz w:val="22"/>
                <w:szCs w:val="22"/>
              </w:rPr>
            </w:pPr>
            <w:r w:rsidRPr="00E835C0">
              <w:rPr>
                <w:color w:val="auto"/>
                <w:sz w:val="22"/>
                <w:szCs w:val="22"/>
              </w:rPr>
              <w:t>13 (1.0)</w:t>
            </w:r>
          </w:p>
        </w:tc>
      </w:tr>
      <w:tr w:rsidR="00A12889" w:rsidRPr="000A22E6" w:rsidTr="00C677B4">
        <w:tc>
          <w:tcPr>
            <w:tcW w:w="3369" w:type="dxa"/>
          </w:tcPr>
          <w:p w:rsidR="00A12889" w:rsidRPr="000A22E6" w:rsidRDefault="00A12889" w:rsidP="000A22E6">
            <w:pPr>
              <w:pStyle w:val="CLDTableTextListText"/>
              <w:rPr>
                <w:sz w:val="22"/>
              </w:rPr>
            </w:pPr>
            <w:r w:rsidRPr="000A22E6">
              <w:rPr>
                <w:sz w:val="22"/>
              </w:rPr>
              <w:t>Upper respiratory tract infection</w:t>
            </w:r>
          </w:p>
        </w:tc>
        <w:tc>
          <w:tcPr>
            <w:tcW w:w="2268" w:type="dxa"/>
          </w:tcPr>
          <w:p w:rsidR="00A12889" w:rsidRPr="000A22E6" w:rsidRDefault="00A12889" w:rsidP="000A22E6">
            <w:pPr>
              <w:pStyle w:val="CLDTableTextListText"/>
              <w:rPr>
                <w:sz w:val="22"/>
              </w:rPr>
            </w:pPr>
            <w:r w:rsidRPr="000A22E6">
              <w:rPr>
                <w:sz w:val="22"/>
              </w:rPr>
              <w:t>120 (7.6)</w:t>
            </w:r>
          </w:p>
        </w:tc>
        <w:tc>
          <w:tcPr>
            <w:tcW w:w="2409" w:type="dxa"/>
          </w:tcPr>
          <w:p w:rsidR="00A12889" w:rsidRPr="000A22E6" w:rsidRDefault="00A12889" w:rsidP="000A22E6">
            <w:pPr>
              <w:pStyle w:val="CLDTableTextListText"/>
              <w:rPr>
                <w:sz w:val="22"/>
              </w:rPr>
            </w:pPr>
            <w:r w:rsidRPr="000A22E6">
              <w:rPr>
                <w:sz w:val="22"/>
              </w:rPr>
              <w:t>238 (7.5)</w:t>
            </w:r>
          </w:p>
        </w:tc>
        <w:tc>
          <w:tcPr>
            <w:tcW w:w="1276" w:type="dxa"/>
          </w:tcPr>
          <w:p w:rsidR="00A12889" w:rsidRPr="000A22E6" w:rsidRDefault="00A12889" w:rsidP="000A22E6">
            <w:pPr>
              <w:pStyle w:val="CLDTableTextListText"/>
              <w:rPr>
                <w:sz w:val="22"/>
              </w:rPr>
            </w:pPr>
            <w:r w:rsidRPr="000A22E6">
              <w:rPr>
                <w:sz w:val="22"/>
              </w:rPr>
              <w:t>90 (7.3)</w:t>
            </w:r>
          </w:p>
        </w:tc>
      </w:tr>
      <w:tr w:rsidR="00A12889" w:rsidRPr="000A22E6" w:rsidTr="00C677B4">
        <w:tc>
          <w:tcPr>
            <w:tcW w:w="3369" w:type="dxa"/>
          </w:tcPr>
          <w:p w:rsidR="00A12889" w:rsidRPr="000A22E6" w:rsidRDefault="00A12889" w:rsidP="000A22E6">
            <w:pPr>
              <w:pStyle w:val="CLDTableTextListText"/>
              <w:rPr>
                <w:sz w:val="22"/>
              </w:rPr>
            </w:pPr>
            <w:r w:rsidRPr="000A22E6">
              <w:rPr>
                <w:sz w:val="22"/>
              </w:rPr>
              <w:t>Urinary tract infection</w:t>
            </w:r>
          </w:p>
        </w:tc>
        <w:tc>
          <w:tcPr>
            <w:tcW w:w="2268" w:type="dxa"/>
          </w:tcPr>
          <w:p w:rsidR="00A12889" w:rsidRPr="000A22E6" w:rsidRDefault="00A12889" w:rsidP="000A22E6">
            <w:pPr>
              <w:pStyle w:val="CLDTableTextListText"/>
              <w:rPr>
                <w:sz w:val="22"/>
              </w:rPr>
            </w:pPr>
            <w:r w:rsidRPr="000A22E6">
              <w:rPr>
                <w:sz w:val="22"/>
              </w:rPr>
              <w:t>91 (5.7)</w:t>
            </w:r>
          </w:p>
        </w:tc>
        <w:tc>
          <w:tcPr>
            <w:tcW w:w="2409" w:type="dxa"/>
          </w:tcPr>
          <w:p w:rsidR="00A12889" w:rsidRPr="000A22E6" w:rsidRDefault="00A12889" w:rsidP="000A22E6">
            <w:pPr>
              <w:pStyle w:val="CLDTableTextListText"/>
              <w:rPr>
                <w:sz w:val="22"/>
              </w:rPr>
            </w:pPr>
            <w:r w:rsidRPr="000A22E6">
              <w:rPr>
                <w:sz w:val="22"/>
              </w:rPr>
              <w:t>170 (5.4)</w:t>
            </w:r>
          </w:p>
        </w:tc>
        <w:tc>
          <w:tcPr>
            <w:tcW w:w="1276" w:type="dxa"/>
          </w:tcPr>
          <w:p w:rsidR="00A12889" w:rsidRPr="000A22E6" w:rsidRDefault="00A12889" w:rsidP="000A22E6">
            <w:pPr>
              <w:pStyle w:val="CLDTableTextListText"/>
              <w:rPr>
                <w:sz w:val="22"/>
              </w:rPr>
            </w:pPr>
            <w:r w:rsidRPr="000A22E6">
              <w:rPr>
                <w:sz w:val="22"/>
              </w:rPr>
              <w:t>71 (5.7)</w:t>
            </w:r>
          </w:p>
        </w:tc>
      </w:tr>
      <w:tr w:rsidR="00A12889" w:rsidRPr="000A22E6" w:rsidTr="00C677B4">
        <w:tc>
          <w:tcPr>
            <w:tcW w:w="3369" w:type="dxa"/>
          </w:tcPr>
          <w:p w:rsidR="00A12889" w:rsidRPr="000A22E6" w:rsidRDefault="00A12889" w:rsidP="000A22E6">
            <w:pPr>
              <w:pStyle w:val="CLDTableTextListText"/>
              <w:rPr>
                <w:sz w:val="22"/>
              </w:rPr>
            </w:pPr>
            <w:r w:rsidRPr="000A22E6">
              <w:rPr>
                <w:sz w:val="22"/>
              </w:rPr>
              <w:t xml:space="preserve">Vulvovaginal mycotic infection </w:t>
            </w:r>
          </w:p>
        </w:tc>
        <w:tc>
          <w:tcPr>
            <w:tcW w:w="2268" w:type="dxa"/>
          </w:tcPr>
          <w:p w:rsidR="00A12889" w:rsidRPr="000A22E6" w:rsidRDefault="00A12889" w:rsidP="000A22E6">
            <w:pPr>
              <w:pStyle w:val="CLDTableTextListText"/>
              <w:rPr>
                <w:sz w:val="22"/>
              </w:rPr>
            </w:pPr>
            <w:r w:rsidRPr="000A22E6">
              <w:rPr>
                <w:sz w:val="22"/>
              </w:rPr>
              <w:t>37 (2.3)</w:t>
            </w:r>
          </w:p>
        </w:tc>
        <w:tc>
          <w:tcPr>
            <w:tcW w:w="2409" w:type="dxa"/>
          </w:tcPr>
          <w:p w:rsidR="00A12889" w:rsidRPr="000A22E6" w:rsidRDefault="00A12889" w:rsidP="000A22E6">
            <w:pPr>
              <w:pStyle w:val="CLDTableTextListText"/>
              <w:rPr>
                <w:sz w:val="22"/>
              </w:rPr>
            </w:pPr>
            <w:r w:rsidRPr="000A22E6">
              <w:rPr>
                <w:sz w:val="22"/>
              </w:rPr>
              <w:t>83 (2.6)</w:t>
            </w:r>
          </w:p>
        </w:tc>
        <w:tc>
          <w:tcPr>
            <w:tcW w:w="1276" w:type="dxa"/>
          </w:tcPr>
          <w:p w:rsidR="00A12889" w:rsidRPr="000A22E6" w:rsidRDefault="00A12889" w:rsidP="000A22E6">
            <w:pPr>
              <w:pStyle w:val="CLDTableTextListText"/>
              <w:rPr>
                <w:sz w:val="22"/>
              </w:rPr>
            </w:pPr>
            <w:r w:rsidRPr="000A22E6">
              <w:rPr>
                <w:sz w:val="22"/>
              </w:rPr>
              <w:t>9 (0.7)</w:t>
            </w:r>
          </w:p>
        </w:tc>
      </w:tr>
      <w:tr w:rsidR="00A12889" w:rsidTr="00540D26">
        <w:tc>
          <w:tcPr>
            <w:tcW w:w="9322" w:type="dxa"/>
            <w:gridSpan w:val="4"/>
          </w:tcPr>
          <w:p w:rsidR="00A12889" w:rsidRPr="007031C3" w:rsidRDefault="00A12889" w:rsidP="007B0F06">
            <w:pPr>
              <w:pStyle w:val="CLDTableTextListText"/>
              <w:keepNext w:val="0"/>
              <w:rPr>
                <w:sz w:val="22"/>
                <w:szCs w:val="22"/>
              </w:rPr>
            </w:pPr>
            <w:r w:rsidRPr="00C76859">
              <w:rPr>
                <w:b/>
                <w:i/>
                <w:sz w:val="22"/>
                <w:szCs w:val="22"/>
              </w:rPr>
              <w:t xml:space="preserve">Injury, </w:t>
            </w:r>
            <w:r>
              <w:rPr>
                <w:b/>
                <w:i/>
                <w:sz w:val="22"/>
                <w:szCs w:val="22"/>
              </w:rPr>
              <w:t>P</w:t>
            </w:r>
            <w:r w:rsidRPr="00C76859">
              <w:rPr>
                <w:b/>
                <w:i/>
                <w:sz w:val="22"/>
                <w:szCs w:val="22"/>
              </w:rPr>
              <w:t xml:space="preserve">oisoning and </w:t>
            </w:r>
            <w:r>
              <w:rPr>
                <w:b/>
                <w:i/>
                <w:sz w:val="22"/>
                <w:szCs w:val="22"/>
              </w:rPr>
              <w:t>P</w:t>
            </w:r>
            <w:r w:rsidRPr="00C76859">
              <w:rPr>
                <w:b/>
                <w:i/>
                <w:sz w:val="22"/>
                <w:szCs w:val="22"/>
              </w:rPr>
              <w:t xml:space="preserve">rocedural </w:t>
            </w:r>
            <w:r>
              <w:rPr>
                <w:b/>
                <w:i/>
                <w:sz w:val="22"/>
                <w:szCs w:val="22"/>
              </w:rPr>
              <w:t>C</w:t>
            </w:r>
            <w:r w:rsidRPr="00C76859">
              <w:rPr>
                <w:b/>
                <w:i/>
                <w:sz w:val="22"/>
                <w:szCs w:val="22"/>
              </w:rPr>
              <w:t>omplications</w:t>
            </w:r>
          </w:p>
        </w:tc>
      </w:tr>
      <w:tr w:rsidR="00A12889" w:rsidTr="00C677B4">
        <w:tc>
          <w:tcPr>
            <w:tcW w:w="3369" w:type="dxa"/>
          </w:tcPr>
          <w:p w:rsidR="00A12889" w:rsidRPr="007031C3" w:rsidRDefault="00A12889" w:rsidP="007B0F06">
            <w:pPr>
              <w:pStyle w:val="CLDTableTextListText"/>
              <w:keepNext w:val="0"/>
              <w:rPr>
                <w:sz w:val="22"/>
                <w:szCs w:val="22"/>
              </w:rPr>
            </w:pPr>
            <w:r w:rsidRPr="007031C3">
              <w:rPr>
                <w:sz w:val="22"/>
                <w:szCs w:val="22"/>
              </w:rPr>
              <w:t>Arthropod bite</w:t>
            </w:r>
          </w:p>
        </w:tc>
        <w:tc>
          <w:tcPr>
            <w:tcW w:w="2268" w:type="dxa"/>
          </w:tcPr>
          <w:p w:rsidR="00A12889" w:rsidRPr="007031C3" w:rsidRDefault="00A12889" w:rsidP="007B0F06">
            <w:pPr>
              <w:pStyle w:val="CLDTableTextListText"/>
              <w:keepNext w:val="0"/>
              <w:rPr>
                <w:sz w:val="22"/>
                <w:szCs w:val="22"/>
              </w:rPr>
            </w:pPr>
            <w:r w:rsidRPr="007031C3">
              <w:rPr>
                <w:sz w:val="22"/>
                <w:szCs w:val="22"/>
              </w:rPr>
              <w:t>22 (1.4)</w:t>
            </w:r>
          </w:p>
        </w:tc>
        <w:tc>
          <w:tcPr>
            <w:tcW w:w="2409" w:type="dxa"/>
          </w:tcPr>
          <w:p w:rsidR="00A12889" w:rsidRPr="007031C3" w:rsidRDefault="00A12889" w:rsidP="007B0F06">
            <w:pPr>
              <w:pStyle w:val="CLDTableTextListText"/>
              <w:keepNext w:val="0"/>
              <w:rPr>
                <w:sz w:val="22"/>
                <w:szCs w:val="22"/>
              </w:rPr>
            </w:pPr>
            <w:r w:rsidRPr="007031C3">
              <w:rPr>
                <w:sz w:val="22"/>
                <w:szCs w:val="22"/>
              </w:rPr>
              <w:t>37 (1.2)</w:t>
            </w:r>
          </w:p>
        </w:tc>
        <w:tc>
          <w:tcPr>
            <w:tcW w:w="1276" w:type="dxa"/>
          </w:tcPr>
          <w:p w:rsidR="00A12889" w:rsidRPr="007031C3" w:rsidRDefault="00A12889" w:rsidP="007B0F06">
            <w:pPr>
              <w:pStyle w:val="CLDTableTextListText"/>
              <w:keepNext w:val="0"/>
              <w:rPr>
                <w:sz w:val="22"/>
                <w:szCs w:val="22"/>
              </w:rPr>
            </w:pPr>
            <w:r w:rsidRPr="007031C3">
              <w:rPr>
                <w:sz w:val="22"/>
                <w:szCs w:val="22"/>
              </w:rPr>
              <w:t>6 (0.5)</w:t>
            </w:r>
          </w:p>
        </w:tc>
      </w:tr>
      <w:tr w:rsidR="00A12889" w:rsidTr="00C677B4">
        <w:tc>
          <w:tcPr>
            <w:tcW w:w="3369" w:type="dxa"/>
          </w:tcPr>
          <w:p w:rsidR="00A12889" w:rsidRPr="006D4812" w:rsidRDefault="00A12889" w:rsidP="007B0F06">
            <w:pPr>
              <w:pStyle w:val="CLDTableTextListText"/>
              <w:keepNext w:val="0"/>
              <w:rPr>
                <w:color w:val="A6A6A6" w:themeColor="background1" w:themeShade="A6"/>
                <w:sz w:val="22"/>
                <w:szCs w:val="22"/>
              </w:rPr>
            </w:pPr>
            <w:r w:rsidRPr="00C76859">
              <w:rPr>
                <w:b/>
                <w:i/>
                <w:sz w:val="22"/>
                <w:szCs w:val="22"/>
              </w:rPr>
              <w:t>Investigations</w:t>
            </w:r>
          </w:p>
        </w:tc>
        <w:tc>
          <w:tcPr>
            <w:tcW w:w="2268" w:type="dxa"/>
          </w:tcPr>
          <w:p w:rsidR="00A12889" w:rsidRPr="00FC5E26" w:rsidRDefault="00A12889" w:rsidP="007B0F06">
            <w:pPr>
              <w:pStyle w:val="CLDTableTextListText"/>
              <w:keepNext w:val="0"/>
              <w:rPr>
                <w:color w:val="A6A6A6" w:themeColor="background1" w:themeShade="A6"/>
                <w:sz w:val="22"/>
                <w:szCs w:val="22"/>
              </w:rPr>
            </w:pPr>
          </w:p>
        </w:tc>
        <w:tc>
          <w:tcPr>
            <w:tcW w:w="2409" w:type="dxa"/>
          </w:tcPr>
          <w:p w:rsidR="00A12889" w:rsidRPr="00FC5E26" w:rsidRDefault="00A12889" w:rsidP="007B0F06">
            <w:pPr>
              <w:pStyle w:val="CLDTableTextListText"/>
              <w:keepNext w:val="0"/>
              <w:rPr>
                <w:color w:val="A6A6A6" w:themeColor="background1" w:themeShade="A6"/>
                <w:sz w:val="22"/>
                <w:szCs w:val="22"/>
              </w:rPr>
            </w:pPr>
          </w:p>
        </w:tc>
        <w:tc>
          <w:tcPr>
            <w:tcW w:w="1276" w:type="dxa"/>
          </w:tcPr>
          <w:p w:rsidR="00A12889" w:rsidRPr="00FC5E26" w:rsidRDefault="00A12889" w:rsidP="007B0F06">
            <w:pPr>
              <w:pStyle w:val="CLDTableTextListText"/>
              <w:keepNext w:val="0"/>
              <w:rPr>
                <w:color w:val="A6A6A6" w:themeColor="background1" w:themeShade="A6"/>
                <w:sz w:val="22"/>
                <w:szCs w:val="22"/>
              </w:rPr>
            </w:pPr>
          </w:p>
        </w:tc>
      </w:tr>
      <w:tr w:rsidR="00ED7D1C" w:rsidRPr="000A22E6" w:rsidTr="00C677B4">
        <w:tc>
          <w:tcPr>
            <w:tcW w:w="3369" w:type="dxa"/>
            <w:hideMark/>
          </w:tcPr>
          <w:p w:rsidR="00A12889" w:rsidRPr="000A22E6" w:rsidRDefault="00A12889" w:rsidP="000A22E6">
            <w:pPr>
              <w:pStyle w:val="CLDTableTextListText"/>
              <w:rPr>
                <w:sz w:val="22"/>
              </w:rPr>
            </w:pPr>
            <w:r w:rsidRPr="000A22E6">
              <w:rPr>
                <w:sz w:val="22"/>
              </w:rPr>
              <w:t>Blood pressure increased</w:t>
            </w:r>
          </w:p>
        </w:tc>
        <w:tc>
          <w:tcPr>
            <w:tcW w:w="2268" w:type="dxa"/>
            <w:hideMark/>
          </w:tcPr>
          <w:p w:rsidR="00A12889" w:rsidRPr="000A22E6" w:rsidRDefault="00A12889" w:rsidP="000A22E6">
            <w:pPr>
              <w:pStyle w:val="CLDTableTextListText"/>
              <w:rPr>
                <w:sz w:val="22"/>
              </w:rPr>
            </w:pPr>
            <w:r w:rsidRPr="000A22E6">
              <w:rPr>
                <w:sz w:val="22"/>
              </w:rPr>
              <w:t>17 (1.1)</w:t>
            </w:r>
          </w:p>
        </w:tc>
        <w:tc>
          <w:tcPr>
            <w:tcW w:w="2409" w:type="dxa"/>
          </w:tcPr>
          <w:p w:rsidR="00A12889" w:rsidRPr="000A22E6" w:rsidRDefault="00A12889" w:rsidP="000A22E6">
            <w:pPr>
              <w:pStyle w:val="CLDTableTextListText"/>
              <w:rPr>
                <w:sz w:val="22"/>
              </w:rPr>
            </w:pPr>
            <w:r w:rsidRPr="000A22E6">
              <w:rPr>
                <w:sz w:val="22"/>
              </w:rPr>
              <w:t>46 (1.5)</w:t>
            </w:r>
          </w:p>
        </w:tc>
        <w:tc>
          <w:tcPr>
            <w:tcW w:w="1276" w:type="dxa"/>
            <w:hideMark/>
          </w:tcPr>
          <w:p w:rsidR="00A12889" w:rsidRPr="000A22E6" w:rsidRDefault="00A12889" w:rsidP="000A22E6">
            <w:pPr>
              <w:pStyle w:val="CLDTableTextListText"/>
              <w:rPr>
                <w:sz w:val="22"/>
              </w:rPr>
            </w:pPr>
            <w:r w:rsidRPr="000A22E6">
              <w:rPr>
                <w:sz w:val="22"/>
              </w:rPr>
              <w:t>16 (1.3)</w:t>
            </w:r>
          </w:p>
        </w:tc>
      </w:tr>
      <w:tr w:rsidR="00ED7D1C" w:rsidRPr="000A22E6" w:rsidTr="00C677B4">
        <w:tc>
          <w:tcPr>
            <w:tcW w:w="3369" w:type="dxa"/>
            <w:hideMark/>
          </w:tcPr>
          <w:p w:rsidR="00A12889" w:rsidRPr="000A22E6" w:rsidRDefault="00A12889" w:rsidP="000A22E6">
            <w:pPr>
              <w:pStyle w:val="CLDTableTextListText"/>
              <w:rPr>
                <w:sz w:val="22"/>
              </w:rPr>
            </w:pPr>
            <w:r w:rsidRPr="000A22E6">
              <w:rPr>
                <w:sz w:val="22"/>
              </w:rPr>
              <w:t>Blood triglycerides increased</w:t>
            </w:r>
          </w:p>
        </w:tc>
        <w:tc>
          <w:tcPr>
            <w:tcW w:w="2268" w:type="dxa"/>
            <w:hideMark/>
          </w:tcPr>
          <w:p w:rsidR="00A12889" w:rsidRPr="000A22E6" w:rsidRDefault="00A12889" w:rsidP="000A22E6">
            <w:pPr>
              <w:pStyle w:val="CLDTableTextListText"/>
              <w:rPr>
                <w:sz w:val="22"/>
              </w:rPr>
            </w:pPr>
            <w:r w:rsidRPr="000A22E6">
              <w:rPr>
                <w:sz w:val="22"/>
              </w:rPr>
              <w:t>34 (2.1)</w:t>
            </w:r>
          </w:p>
        </w:tc>
        <w:tc>
          <w:tcPr>
            <w:tcW w:w="2409" w:type="dxa"/>
          </w:tcPr>
          <w:p w:rsidR="00A12889" w:rsidRPr="000A22E6" w:rsidRDefault="00A12889" w:rsidP="000A22E6">
            <w:pPr>
              <w:pStyle w:val="CLDTableTextListText"/>
              <w:rPr>
                <w:sz w:val="22"/>
              </w:rPr>
            </w:pPr>
            <w:r w:rsidRPr="000A22E6">
              <w:rPr>
                <w:sz w:val="22"/>
              </w:rPr>
              <w:t>58 (1.8)</w:t>
            </w:r>
          </w:p>
        </w:tc>
        <w:tc>
          <w:tcPr>
            <w:tcW w:w="1276" w:type="dxa"/>
            <w:hideMark/>
          </w:tcPr>
          <w:p w:rsidR="00A12889" w:rsidRPr="000A22E6" w:rsidRDefault="00A12889" w:rsidP="000A22E6">
            <w:pPr>
              <w:pStyle w:val="CLDTableTextListText"/>
              <w:rPr>
                <w:sz w:val="22"/>
              </w:rPr>
            </w:pPr>
            <w:r w:rsidRPr="000A22E6">
              <w:rPr>
                <w:sz w:val="22"/>
              </w:rPr>
              <w:t>18 (1.5)</w:t>
            </w:r>
          </w:p>
        </w:tc>
      </w:tr>
      <w:tr w:rsidR="00A12889" w:rsidRPr="000A22E6" w:rsidTr="00C677B4">
        <w:tc>
          <w:tcPr>
            <w:tcW w:w="3369" w:type="dxa"/>
          </w:tcPr>
          <w:p w:rsidR="00A12889" w:rsidRPr="000A22E6" w:rsidRDefault="00A12889" w:rsidP="000A22E6">
            <w:pPr>
              <w:pStyle w:val="CLDTableTextListText"/>
              <w:rPr>
                <w:sz w:val="22"/>
              </w:rPr>
            </w:pPr>
            <w:r w:rsidRPr="000A22E6">
              <w:rPr>
                <w:sz w:val="22"/>
              </w:rPr>
              <w:t>Smear cervix abnormal</w:t>
            </w:r>
          </w:p>
        </w:tc>
        <w:tc>
          <w:tcPr>
            <w:tcW w:w="2268" w:type="dxa"/>
          </w:tcPr>
          <w:p w:rsidR="00A12889" w:rsidRPr="000A22E6" w:rsidRDefault="00A12889" w:rsidP="000A22E6">
            <w:pPr>
              <w:pStyle w:val="CLDTableTextListText"/>
              <w:rPr>
                <w:sz w:val="22"/>
              </w:rPr>
            </w:pPr>
            <w:r w:rsidRPr="000A22E6">
              <w:rPr>
                <w:sz w:val="22"/>
              </w:rPr>
              <w:t>22 (1.4)</w:t>
            </w:r>
          </w:p>
        </w:tc>
        <w:tc>
          <w:tcPr>
            <w:tcW w:w="2409" w:type="dxa"/>
          </w:tcPr>
          <w:p w:rsidR="00A12889" w:rsidRPr="000A22E6" w:rsidRDefault="00A12889" w:rsidP="000A22E6">
            <w:pPr>
              <w:pStyle w:val="CLDTableTextListText"/>
              <w:rPr>
                <w:sz w:val="22"/>
              </w:rPr>
            </w:pPr>
            <w:r w:rsidRPr="000A22E6">
              <w:rPr>
                <w:sz w:val="22"/>
              </w:rPr>
              <w:t>44 (1.4)</w:t>
            </w:r>
          </w:p>
        </w:tc>
        <w:tc>
          <w:tcPr>
            <w:tcW w:w="1276" w:type="dxa"/>
          </w:tcPr>
          <w:p w:rsidR="00A12889" w:rsidRPr="000A22E6" w:rsidRDefault="00A12889" w:rsidP="000A22E6">
            <w:pPr>
              <w:pStyle w:val="CLDTableTextListText"/>
              <w:rPr>
                <w:sz w:val="22"/>
              </w:rPr>
            </w:pPr>
            <w:r w:rsidRPr="000A22E6">
              <w:rPr>
                <w:sz w:val="22"/>
              </w:rPr>
              <w:t>16 (1.3)</w:t>
            </w:r>
          </w:p>
        </w:tc>
      </w:tr>
      <w:tr w:rsidR="00A12889" w:rsidRPr="007031C3" w:rsidTr="00540D26">
        <w:tc>
          <w:tcPr>
            <w:tcW w:w="9322" w:type="dxa"/>
            <w:gridSpan w:val="4"/>
          </w:tcPr>
          <w:p w:rsidR="00A12889" w:rsidRPr="007031C3" w:rsidRDefault="00A12889" w:rsidP="007B0F06">
            <w:pPr>
              <w:pStyle w:val="CLDTableTextListText"/>
              <w:keepNext w:val="0"/>
              <w:rPr>
                <w:sz w:val="22"/>
                <w:szCs w:val="22"/>
              </w:rPr>
            </w:pPr>
            <w:r w:rsidRPr="00C76859">
              <w:rPr>
                <w:b/>
                <w:i/>
                <w:sz w:val="22"/>
                <w:szCs w:val="22"/>
              </w:rPr>
              <w:t>Metabolism and Nutrition Disorders</w:t>
            </w:r>
          </w:p>
        </w:tc>
      </w:tr>
      <w:tr w:rsidR="00A12889" w:rsidRPr="000A22E6" w:rsidTr="00C677B4">
        <w:tc>
          <w:tcPr>
            <w:tcW w:w="3369" w:type="dxa"/>
          </w:tcPr>
          <w:p w:rsidR="00A12889" w:rsidRPr="000A22E6" w:rsidRDefault="00A12889" w:rsidP="000A22E6">
            <w:pPr>
              <w:pStyle w:val="CLDTableTextListText"/>
              <w:rPr>
                <w:sz w:val="22"/>
              </w:rPr>
            </w:pPr>
            <w:r w:rsidRPr="000A22E6">
              <w:rPr>
                <w:sz w:val="22"/>
              </w:rPr>
              <w:t>Hypertriglyceridaemia</w:t>
            </w:r>
          </w:p>
        </w:tc>
        <w:tc>
          <w:tcPr>
            <w:tcW w:w="2268" w:type="dxa"/>
          </w:tcPr>
          <w:p w:rsidR="00A12889" w:rsidRPr="000A22E6" w:rsidRDefault="00A12889" w:rsidP="000A22E6">
            <w:pPr>
              <w:pStyle w:val="CLDTableTextListText"/>
              <w:rPr>
                <w:sz w:val="22"/>
              </w:rPr>
            </w:pPr>
            <w:r w:rsidRPr="000A22E6">
              <w:rPr>
                <w:sz w:val="22"/>
              </w:rPr>
              <w:t>29 (1.8)</w:t>
            </w:r>
          </w:p>
        </w:tc>
        <w:tc>
          <w:tcPr>
            <w:tcW w:w="2409" w:type="dxa"/>
          </w:tcPr>
          <w:p w:rsidR="00A12889" w:rsidRPr="000A22E6" w:rsidRDefault="00A12889" w:rsidP="000A22E6">
            <w:pPr>
              <w:pStyle w:val="CLDTableTextListText"/>
              <w:rPr>
                <w:sz w:val="22"/>
              </w:rPr>
            </w:pPr>
            <w:r w:rsidRPr="000A22E6">
              <w:rPr>
                <w:sz w:val="22"/>
              </w:rPr>
              <w:t>56 (1.8)</w:t>
            </w:r>
          </w:p>
        </w:tc>
        <w:tc>
          <w:tcPr>
            <w:tcW w:w="1276" w:type="dxa"/>
          </w:tcPr>
          <w:p w:rsidR="00A12889" w:rsidRPr="000A22E6" w:rsidRDefault="00A12889" w:rsidP="000A22E6">
            <w:pPr>
              <w:pStyle w:val="CLDTableTextListText"/>
              <w:rPr>
                <w:sz w:val="22"/>
              </w:rPr>
            </w:pPr>
            <w:r w:rsidRPr="000A22E6">
              <w:rPr>
                <w:sz w:val="22"/>
              </w:rPr>
              <w:t>20 (1.6)</w:t>
            </w:r>
          </w:p>
        </w:tc>
      </w:tr>
      <w:tr w:rsidR="00A12889" w:rsidRPr="007031C3" w:rsidTr="00540D26">
        <w:tc>
          <w:tcPr>
            <w:tcW w:w="9322" w:type="dxa"/>
            <w:gridSpan w:val="4"/>
          </w:tcPr>
          <w:p w:rsidR="00A12889" w:rsidRPr="007031C3" w:rsidRDefault="00A12889" w:rsidP="007B0F06">
            <w:pPr>
              <w:pStyle w:val="CLDTableTextListText"/>
              <w:keepNext w:val="0"/>
              <w:rPr>
                <w:sz w:val="22"/>
                <w:szCs w:val="22"/>
              </w:rPr>
            </w:pPr>
            <w:r w:rsidRPr="00C76859">
              <w:rPr>
                <w:b/>
                <w:i/>
                <w:sz w:val="22"/>
                <w:szCs w:val="22"/>
              </w:rPr>
              <w:t xml:space="preserve">Musculoskeletal and </w:t>
            </w:r>
            <w:r>
              <w:rPr>
                <w:b/>
                <w:i/>
                <w:sz w:val="22"/>
                <w:szCs w:val="22"/>
              </w:rPr>
              <w:t>C</w:t>
            </w:r>
            <w:r w:rsidRPr="00C76859">
              <w:rPr>
                <w:b/>
                <w:i/>
                <w:sz w:val="22"/>
                <w:szCs w:val="22"/>
              </w:rPr>
              <w:t xml:space="preserve">onnective tissue </w:t>
            </w:r>
            <w:r>
              <w:rPr>
                <w:b/>
                <w:i/>
                <w:sz w:val="22"/>
                <w:szCs w:val="22"/>
              </w:rPr>
              <w:t>D</w:t>
            </w:r>
            <w:r w:rsidRPr="00C76859">
              <w:rPr>
                <w:b/>
                <w:i/>
                <w:sz w:val="22"/>
                <w:szCs w:val="22"/>
              </w:rPr>
              <w:t>isorders</w:t>
            </w:r>
          </w:p>
        </w:tc>
      </w:tr>
      <w:tr w:rsidR="00A12889" w:rsidRPr="000A22E6" w:rsidTr="00C677B4">
        <w:tc>
          <w:tcPr>
            <w:tcW w:w="3369" w:type="dxa"/>
          </w:tcPr>
          <w:p w:rsidR="00A12889" w:rsidRPr="000A22E6" w:rsidRDefault="00A12889" w:rsidP="00E044DB">
            <w:pPr>
              <w:pStyle w:val="CLDTableTextListText"/>
              <w:keepNext w:val="0"/>
              <w:widowControl w:val="0"/>
              <w:rPr>
                <w:sz w:val="22"/>
              </w:rPr>
            </w:pPr>
            <w:r w:rsidRPr="000A22E6">
              <w:rPr>
                <w:sz w:val="22"/>
              </w:rPr>
              <w:t>Arthritis</w:t>
            </w:r>
          </w:p>
        </w:tc>
        <w:tc>
          <w:tcPr>
            <w:tcW w:w="2268" w:type="dxa"/>
          </w:tcPr>
          <w:p w:rsidR="00A12889" w:rsidRPr="000A22E6" w:rsidRDefault="00A12889" w:rsidP="00E044DB">
            <w:pPr>
              <w:pStyle w:val="CLDTableTextListText"/>
              <w:keepNext w:val="0"/>
              <w:widowControl w:val="0"/>
              <w:rPr>
                <w:sz w:val="22"/>
              </w:rPr>
            </w:pPr>
            <w:r w:rsidRPr="000A22E6">
              <w:rPr>
                <w:sz w:val="22"/>
              </w:rPr>
              <w:t>16 (1.0)</w:t>
            </w:r>
          </w:p>
        </w:tc>
        <w:tc>
          <w:tcPr>
            <w:tcW w:w="2409" w:type="dxa"/>
          </w:tcPr>
          <w:p w:rsidR="00A12889" w:rsidRPr="000A22E6" w:rsidRDefault="00A12889" w:rsidP="00E044DB">
            <w:pPr>
              <w:pStyle w:val="CLDTableTextListText"/>
              <w:keepNext w:val="0"/>
              <w:widowControl w:val="0"/>
              <w:rPr>
                <w:sz w:val="22"/>
              </w:rPr>
            </w:pPr>
            <w:r w:rsidRPr="000A22E6">
              <w:rPr>
                <w:sz w:val="22"/>
              </w:rPr>
              <w:t>34 (1.1)</w:t>
            </w:r>
          </w:p>
        </w:tc>
        <w:tc>
          <w:tcPr>
            <w:tcW w:w="1276" w:type="dxa"/>
          </w:tcPr>
          <w:p w:rsidR="00A12889" w:rsidRPr="000A22E6" w:rsidRDefault="00A12889" w:rsidP="00E044DB">
            <w:pPr>
              <w:pStyle w:val="CLDTableTextListText"/>
              <w:keepNext w:val="0"/>
              <w:widowControl w:val="0"/>
              <w:rPr>
                <w:sz w:val="22"/>
              </w:rPr>
            </w:pPr>
            <w:r w:rsidRPr="000A22E6">
              <w:rPr>
                <w:sz w:val="22"/>
              </w:rPr>
              <w:t>13 (1.0)</w:t>
            </w:r>
          </w:p>
        </w:tc>
      </w:tr>
      <w:tr w:rsidR="00A12889" w:rsidRPr="000A22E6" w:rsidTr="00C677B4">
        <w:tc>
          <w:tcPr>
            <w:tcW w:w="3369" w:type="dxa"/>
          </w:tcPr>
          <w:p w:rsidR="00A12889" w:rsidRPr="000A22E6" w:rsidRDefault="00A12889" w:rsidP="00E044DB">
            <w:pPr>
              <w:pStyle w:val="CLDTableTextListText"/>
              <w:keepNext w:val="0"/>
              <w:widowControl w:val="0"/>
              <w:rPr>
                <w:sz w:val="22"/>
              </w:rPr>
            </w:pPr>
            <w:r w:rsidRPr="000A22E6">
              <w:rPr>
                <w:sz w:val="22"/>
              </w:rPr>
              <w:t>Back pain</w:t>
            </w:r>
          </w:p>
        </w:tc>
        <w:tc>
          <w:tcPr>
            <w:tcW w:w="2268" w:type="dxa"/>
          </w:tcPr>
          <w:p w:rsidR="00A12889" w:rsidRPr="000A22E6" w:rsidRDefault="00A12889" w:rsidP="00E044DB">
            <w:pPr>
              <w:pStyle w:val="CLDTableTextListText"/>
              <w:keepNext w:val="0"/>
              <w:widowControl w:val="0"/>
              <w:rPr>
                <w:sz w:val="22"/>
              </w:rPr>
            </w:pPr>
            <w:r w:rsidRPr="000A22E6">
              <w:rPr>
                <w:sz w:val="22"/>
              </w:rPr>
              <w:t>226 (14.3)</w:t>
            </w:r>
          </w:p>
        </w:tc>
        <w:tc>
          <w:tcPr>
            <w:tcW w:w="2409" w:type="dxa"/>
          </w:tcPr>
          <w:p w:rsidR="00A12889" w:rsidRPr="000A22E6" w:rsidRDefault="00A12889" w:rsidP="00E044DB">
            <w:pPr>
              <w:pStyle w:val="CLDTableTextListText"/>
              <w:keepNext w:val="0"/>
              <w:widowControl w:val="0"/>
              <w:rPr>
                <w:sz w:val="22"/>
              </w:rPr>
            </w:pPr>
            <w:r w:rsidRPr="000A22E6">
              <w:rPr>
                <w:sz w:val="22"/>
              </w:rPr>
              <w:t>482 (15.2)</w:t>
            </w:r>
          </w:p>
        </w:tc>
        <w:tc>
          <w:tcPr>
            <w:tcW w:w="1276" w:type="dxa"/>
          </w:tcPr>
          <w:p w:rsidR="00A12889" w:rsidRPr="000A22E6" w:rsidRDefault="00A12889" w:rsidP="00E044DB">
            <w:pPr>
              <w:pStyle w:val="CLDTableTextListText"/>
              <w:keepNext w:val="0"/>
              <w:widowControl w:val="0"/>
              <w:rPr>
                <w:sz w:val="22"/>
              </w:rPr>
            </w:pPr>
            <w:r w:rsidRPr="000A22E6">
              <w:rPr>
                <w:sz w:val="22"/>
              </w:rPr>
              <w:t>171 (13.8)</w:t>
            </w:r>
          </w:p>
        </w:tc>
      </w:tr>
      <w:tr w:rsidR="00A12889" w:rsidRPr="000A22E6" w:rsidTr="00C677B4">
        <w:tc>
          <w:tcPr>
            <w:tcW w:w="3369" w:type="dxa"/>
          </w:tcPr>
          <w:p w:rsidR="00A12889" w:rsidRPr="000A22E6" w:rsidRDefault="00A12889" w:rsidP="00E044DB">
            <w:pPr>
              <w:pStyle w:val="CLDTableTextListText"/>
              <w:keepNext w:val="0"/>
              <w:widowControl w:val="0"/>
              <w:rPr>
                <w:sz w:val="22"/>
              </w:rPr>
            </w:pPr>
            <w:r w:rsidRPr="000A22E6">
              <w:rPr>
                <w:sz w:val="22"/>
              </w:rPr>
              <w:t>Muscle spasms</w:t>
            </w:r>
          </w:p>
        </w:tc>
        <w:tc>
          <w:tcPr>
            <w:tcW w:w="2268" w:type="dxa"/>
          </w:tcPr>
          <w:p w:rsidR="00A12889" w:rsidRPr="000A22E6" w:rsidRDefault="00A12889" w:rsidP="00E044DB">
            <w:pPr>
              <w:pStyle w:val="CLDTableTextListText"/>
              <w:keepNext w:val="0"/>
              <w:widowControl w:val="0"/>
              <w:rPr>
                <w:sz w:val="22"/>
              </w:rPr>
            </w:pPr>
            <w:r w:rsidRPr="000A22E6">
              <w:rPr>
                <w:sz w:val="22"/>
              </w:rPr>
              <w:t>137 (8.6)</w:t>
            </w:r>
          </w:p>
        </w:tc>
        <w:tc>
          <w:tcPr>
            <w:tcW w:w="2409" w:type="dxa"/>
          </w:tcPr>
          <w:p w:rsidR="00A12889" w:rsidRPr="000A22E6" w:rsidRDefault="00A12889" w:rsidP="00E044DB">
            <w:pPr>
              <w:pStyle w:val="CLDTableTextListText"/>
              <w:keepNext w:val="0"/>
              <w:widowControl w:val="0"/>
              <w:rPr>
                <w:sz w:val="22"/>
              </w:rPr>
            </w:pPr>
            <w:r w:rsidRPr="000A22E6">
              <w:rPr>
                <w:sz w:val="22"/>
              </w:rPr>
              <w:t>252 (8.0)</w:t>
            </w:r>
          </w:p>
        </w:tc>
        <w:tc>
          <w:tcPr>
            <w:tcW w:w="1276" w:type="dxa"/>
          </w:tcPr>
          <w:p w:rsidR="00A12889" w:rsidRPr="000A22E6" w:rsidRDefault="00A12889" w:rsidP="00E044DB">
            <w:pPr>
              <w:pStyle w:val="CLDTableTextListText"/>
              <w:keepNext w:val="0"/>
              <w:widowControl w:val="0"/>
              <w:rPr>
                <w:sz w:val="22"/>
              </w:rPr>
            </w:pPr>
            <w:r w:rsidRPr="000A22E6">
              <w:rPr>
                <w:sz w:val="22"/>
              </w:rPr>
              <w:t>70 (5.6)</w:t>
            </w:r>
          </w:p>
        </w:tc>
      </w:tr>
      <w:tr w:rsidR="00A12889" w:rsidRPr="000A22E6" w:rsidTr="00C677B4">
        <w:tc>
          <w:tcPr>
            <w:tcW w:w="3369" w:type="dxa"/>
          </w:tcPr>
          <w:p w:rsidR="00A12889" w:rsidRPr="000A22E6" w:rsidRDefault="00A12889" w:rsidP="00E044DB">
            <w:pPr>
              <w:pStyle w:val="CLDTableTextListText"/>
              <w:keepNext w:val="0"/>
              <w:widowControl w:val="0"/>
              <w:rPr>
                <w:sz w:val="22"/>
              </w:rPr>
            </w:pPr>
            <w:r w:rsidRPr="000A22E6">
              <w:rPr>
                <w:sz w:val="22"/>
              </w:rPr>
              <w:t>Musculoskeletal chest pain</w:t>
            </w:r>
          </w:p>
        </w:tc>
        <w:tc>
          <w:tcPr>
            <w:tcW w:w="2268" w:type="dxa"/>
          </w:tcPr>
          <w:p w:rsidR="00A12889" w:rsidRPr="000A22E6" w:rsidRDefault="00A12889" w:rsidP="00E044DB">
            <w:pPr>
              <w:pStyle w:val="CLDTableTextListText"/>
              <w:keepNext w:val="0"/>
              <w:widowControl w:val="0"/>
              <w:rPr>
                <w:sz w:val="22"/>
              </w:rPr>
            </w:pPr>
            <w:r w:rsidRPr="000A22E6">
              <w:rPr>
                <w:sz w:val="22"/>
              </w:rPr>
              <w:t>24 (1.5)</w:t>
            </w:r>
          </w:p>
        </w:tc>
        <w:tc>
          <w:tcPr>
            <w:tcW w:w="2409" w:type="dxa"/>
          </w:tcPr>
          <w:p w:rsidR="00A12889" w:rsidRPr="000A22E6" w:rsidRDefault="00A12889" w:rsidP="00E044DB">
            <w:pPr>
              <w:pStyle w:val="CLDTableTextListText"/>
              <w:keepNext w:val="0"/>
              <w:widowControl w:val="0"/>
              <w:rPr>
                <w:sz w:val="22"/>
              </w:rPr>
            </w:pPr>
            <w:r w:rsidRPr="000A22E6">
              <w:rPr>
                <w:sz w:val="22"/>
              </w:rPr>
              <w:t>39 (1.2)</w:t>
            </w:r>
          </w:p>
        </w:tc>
        <w:tc>
          <w:tcPr>
            <w:tcW w:w="1276" w:type="dxa"/>
          </w:tcPr>
          <w:p w:rsidR="00A12889" w:rsidRPr="000A22E6" w:rsidRDefault="00A12889" w:rsidP="00E044DB">
            <w:pPr>
              <w:pStyle w:val="CLDTableTextListText"/>
              <w:keepNext w:val="0"/>
              <w:widowControl w:val="0"/>
              <w:rPr>
                <w:sz w:val="22"/>
              </w:rPr>
            </w:pPr>
            <w:r w:rsidRPr="000A22E6">
              <w:rPr>
                <w:sz w:val="22"/>
              </w:rPr>
              <w:t>9 (0.7)</w:t>
            </w:r>
          </w:p>
        </w:tc>
      </w:tr>
      <w:tr w:rsidR="00A12889" w:rsidRPr="000A22E6" w:rsidTr="00C677B4">
        <w:tc>
          <w:tcPr>
            <w:tcW w:w="3369" w:type="dxa"/>
          </w:tcPr>
          <w:p w:rsidR="00A12889" w:rsidRPr="000A22E6" w:rsidRDefault="00A12889" w:rsidP="00E044DB">
            <w:pPr>
              <w:pStyle w:val="CLDTableTextListText"/>
              <w:keepNext w:val="0"/>
              <w:widowControl w:val="0"/>
              <w:rPr>
                <w:sz w:val="22"/>
              </w:rPr>
            </w:pPr>
            <w:r w:rsidRPr="000A22E6">
              <w:rPr>
                <w:sz w:val="22"/>
              </w:rPr>
              <w:t>Musculoskeletal stiffness</w:t>
            </w:r>
          </w:p>
        </w:tc>
        <w:tc>
          <w:tcPr>
            <w:tcW w:w="2268" w:type="dxa"/>
          </w:tcPr>
          <w:p w:rsidR="00A12889" w:rsidRPr="000A22E6" w:rsidRDefault="00A12889" w:rsidP="00E044DB">
            <w:pPr>
              <w:pStyle w:val="CLDTableTextListText"/>
              <w:keepNext w:val="0"/>
              <w:widowControl w:val="0"/>
              <w:rPr>
                <w:sz w:val="22"/>
              </w:rPr>
            </w:pPr>
            <w:r w:rsidRPr="000A22E6">
              <w:rPr>
                <w:sz w:val="22"/>
              </w:rPr>
              <w:t>22 (1.4)</w:t>
            </w:r>
          </w:p>
        </w:tc>
        <w:tc>
          <w:tcPr>
            <w:tcW w:w="2409" w:type="dxa"/>
          </w:tcPr>
          <w:p w:rsidR="00A12889" w:rsidRPr="000A22E6" w:rsidRDefault="00A12889" w:rsidP="00E044DB">
            <w:pPr>
              <w:pStyle w:val="CLDTableTextListText"/>
              <w:keepNext w:val="0"/>
              <w:widowControl w:val="0"/>
              <w:rPr>
                <w:sz w:val="22"/>
              </w:rPr>
            </w:pPr>
            <w:r w:rsidRPr="000A22E6">
              <w:rPr>
                <w:sz w:val="22"/>
              </w:rPr>
              <w:t>46 (1.5)</w:t>
            </w:r>
          </w:p>
        </w:tc>
        <w:tc>
          <w:tcPr>
            <w:tcW w:w="1276" w:type="dxa"/>
          </w:tcPr>
          <w:p w:rsidR="00A12889" w:rsidRPr="000A22E6" w:rsidRDefault="00A12889" w:rsidP="00E044DB">
            <w:pPr>
              <w:pStyle w:val="CLDTableTextListText"/>
              <w:keepNext w:val="0"/>
              <w:widowControl w:val="0"/>
              <w:rPr>
                <w:sz w:val="22"/>
              </w:rPr>
            </w:pPr>
            <w:r w:rsidRPr="000A22E6">
              <w:rPr>
                <w:sz w:val="22"/>
              </w:rPr>
              <w:t>19 (1.5)</w:t>
            </w:r>
          </w:p>
        </w:tc>
      </w:tr>
      <w:tr w:rsidR="00A12889" w:rsidRPr="000A22E6" w:rsidTr="00C677B4">
        <w:tc>
          <w:tcPr>
            <w:tcW w:w="3369" w:type="dxa"/>
          </w:tcPr>
          <w:p w:rsidR="00A12889" w:rsidRPr="000A22E6" w:rsidRDefault="00A12889" w:rsidP="00E044DB">
            <w:pPr>
              <w:pStyle w:val="CLDTableTextListText"/>
              <w:keepNext w:val="0"/>
              <w:widowControl w:val="0"/>
              <w:rPr>
                <w:sz w:val="22"/>
              </w:rPr>
            </w:pPr>
            <w:r w:rsidRPr="000A22E6">
              <w:rPr>
                <w:sz w:val="22"/>
              </w:rPr>
              <w:t xml:space="preserve">Myalgia </w:t>
            </w:r>
          </w:p>
        </w:tc>
        <w:tc>
          <w:tcPr>
            <w:tcW w:w="2268" w:type="dxa"/>
          </w:tcPr>
          <w:p w:rsidR="00A12889" w:rsidRPr="000A22E6" w:rsidRDefault="00A12889" w:rsidP="00E044DB">
            <w:pPr>
              <w:pStyle w:val="CLDTableTextListText"/>
              <w:keepNext w:val="0"/>
              <w:widowControl w:val="0"/>
              <w:rPr>
                <w:sz w:val="22"/>
              </w:rPr>
            </w:pPr>
            <w:r w:rsidRPr="000A22E6">
              <w:rPr>
                <w:sz w:val="22"/>
              </w:rPr>
              <w:t>130 (8.2)</w:t>
            </w:r>
          </w:p>
        </w:tc>
        <w:tc>
          <w:tcPr>
            <w:tcW w:w="2409" w:type="dxa"/>
          </w:tcPr>
          <w:p w:rsidR="00A12889" w:rsidRPr="000A22E6" w:rsidRDefault="00A12889" w:rsidP="00E044DB">
            <w:pPr>
              <w:pStyle w:val="CLDTableTextListText"/>
              <w:keepNext w:val="0"/>
              <w:widowControl w:val="0"/>
              <w:rPr>
                <w:sz w:val="22"/>
              </w:rPr>
            </w:pPr>
            <w:r w:rsidRPr="000A22E6">
              <w:rPr>
                <w:sz w:val="22"/>
              </w:rPr>
              <w:t>249 (7.9)</w:t>
            </w:r>
          </w:p>
        </w:tc>
        <w:tc>
          <w:tcPr>
            <w:tcW w:w="1276" w:type="dxa"/>
          </w:tcPr>
          <w:p w:rsidR="00A12889" w:rsidRPr="000A22E6" w:rsidRDefault="00A12889" w:rsidP="00E044DB">
            <w:pPr>
              <w:pStyle w:val="CLDTableTextListText"/>
              <w:keepNext w:val="0"/>
              <w:widowControl w:val="0"/>
              <w:rPr>
                <w:sz w:val="22"/>
              </w:rPr>
            </w:pPr>
            <w:r w:rsidRPr="000A22E6">
              <w:rPr>
                <w:sz w:val="22"/>
              </w:rPr>
              <w:t>99 (8.0)</w:t>
            </w:r>
          </w:p>
        </w:tc>
      </w:tr>
      <w:tr w:rsidR="00A12889" w:rsidRPr="000A22E6" w:rsidTr="00C677B4">
        <w:tc>
          <w:tcPr>
            <w:tcW w:w="3369" w:type="dxa"/>
          </w:tcPr>
          <w:p w:rsidR="00A12889" w:rsidRPr="000A22E6" w:rsidRDefault="00A12889" w:rsidP="000A22E6">
            <w:pPr>
              <w:pStyle w:val="CLDTableTextListText"/>
              <w:rPr>
                <w:sz w:val="22"/>
              </w:rPr>
            </w:pPr>
            <w:r w:rsidRPr="000A22E6">
              <w:rPr>
                <w:sz w:val="22"/>
              </w:rPr>
              <w:lastRenderedPageBreak/>
              <w:t>Neck pain</w:t>
            </w:r>
          </w:p>
        </w:tc>
        <w:tc>
          <w:tcPr>
            <w:tcW w:w="2268" w:type="dxa"/>
          </w:tcPr>
          <w:p w:rsidR="00A12889" w:rsidRPr="000A22E6" w:rsidRDefault="00A12889" w:rsidP="000A22E6">
            <w:pPr>
              <w:pStyle w:val="CLDTableTextListText"/>
              <w:rPr>
                <w:sz w:val="22"/>
              </w:rPr>
            </w:pPr>
            <w:r w:rsidRPr="000A22E6">
              <w:rPr>
                <w:sz w:val="22"/>
              </w:rPr>
              <w:t>71 (4.5)</w:t>
            </w:r>
          </w:p>
        </w:tc>
        <w:tc>
          <w:tcPr>
            <w:tcW w:w="2409" w:type="dxa"/>
          </w:tcPr>
          <w:p w:rsidR="00A12889" w:rsidRPr="000A22E6" w:rsidRDefault="00A12889" w:rsidP="000A22E6">
            <w:pPr>
              <w:pStyle w:val="CLDTableTextListText"/>
              <w:rPr>
                <w:sz w:val="22"/>
              </w:rPr>
            </w:pPr>
            <w:r w:rsidRPr="000A22E6">
              <w:rPr>
                <w:sz w:val="22"/>
              </w:rPr>
              <w:t>136 (4.3)</w:t>
            </w:r>
          </w:p>
        </w:tc>
        <w:tc>
          <w:tcPr>
            <w:tcW w:w="1276" w:type="dxa"/>
          </w:tcPr>
          <w:p w:rsidR="00A12889" w:rsidRPr="000A22E6" w:rsidRDefault="00A12889" w:rsidP="000A22E6">
            <w:pPr>
              <w:pStyle w:val="CLDTableTextListText"/>
              <w:rPr>
                <w:sz w:val="22"/>
              </w:rPr>
            </w:pPr>
            <w:r w:rsidRPr="000A22E6">
              <w:rPr>
                <w:sz w:val="22"/>
              </w:rPr>
              <w:t>53 (4.3)</w:t>
            </w:r>
          </w:p>
        </w:tc>
      </w:tr>
      <w:tr w:rsidR="00A12889" w:rsidRPr="000A22E6" w:rsidTr="00C677B4">
        <w:tc>
          <w:tcPr>
            <w:tcW w:w="3369" w:type="dxa"/>
          </w:tcPr>
          <w:p w:rsidR="00A12889" w:rsidRPr="000A22E6" w:rsidRDefault="00A12889" w:rsidP="000A22E6">
            <w:pPr>
              <w:pStyle w:val="CLDTableTextListText"/>
              <w:rPr>
                <w:sz w:val="22"/>
              </w:rPr>
            </w:pPr>
            <w:r w:rsidRPr="000A22E6">
              <w:rPr>
                <w:sz w:val="22"/>
              </w:rPr>
              <w:t>Tendonitis</w:t>
            </w:r>
          </w:p>
        </w:tc>
        <w:tc>
          <w:tcPr>
            <w:tcW w:w="2268" w:type="dxa"/>
          </w:tcPr>
          <w:p w:rsidR="00A12889" w:rsidRPr="000A22E6" w:rsidRDefault="00A12889" w:rsidP="000A22E6">
            <w:pPr>
              <w:pStyle w:val="CLDTableTextListText"/>
              <w:rPr>
                <w:sz w:val="22"/>
              </w:rPr>
            </w:pPr>
            <w:r w:rsidRPr="000A22E6">
              <w:rPr>
                <w:sz w:val="22"/>
              </w:rPr>
              <w:t>10 (0.6)</w:t>
            </w:r>
          </w:p>
        </w:tc>
        <w:tc>
          <w:tcPr>
            <w:tcW w:w="2409" w:type="dxa"/>
          </w:tcPr>
          <w:p w:rsidR="00A12889" w:rsidRPr="000A22E6" w:rsidRDefault="00A12889" w:rsidP="000A22E6">
            <w:pPr>
              <w:pStyle w:val="CLDTableTextListText"/>
              <w:rPr>
                <w:sz w:val="22"/>
              </w:rPr>
            </w:pPr>
            <w:r w:rsidRPr="000A22E6">
              <w:rPr>
                <w:sz w:val="22"/>
              </w:rPr>
              <w:t>32 (1.0)</w:t>
            </w:r>
          </w:p>
        </w:tc>
        <w:tc>
          <w:tcPr>
            <w:tcW w:w="1276" w:type="dxa"/>
          </w:tcPr>
          <w:p w:rsidR="00A12889" w:rsidRPr="000A22E6" w:rsidRDefault="00A12889" w:rsidP="000A22E6">
            <w:pPr>
              <w:pStyle w:val="CLDTableTextListText"/>
              <w:rPr>
                <w:sz w:val="22"/>
              </w:rPr>
            </w:pPr>
            <w:r w:rsidRPr="000A22E6">
              <w:rPr>
                <w:sz w:val="22"/>
              </w:rPr>
              <w:t>6 (0.5)</w:t>
            </w:r>
          </w:p>
        </w:tc>
      </w:tr>
      <w:tr w:rsidR="00A12889" w:rsidRPr="007031C3" w:rsidTr="00540D26">
        <w:tc>
          <w:tcPr>
            <w:tcW w:w="9322" w:type="dxa"/>
            <w:gridSpan w:val="4"/>
          </w:tcPr>
          <w:p w:rsidR="00A12889" w:rsidRPr="00C76859" w:rsidRDefault="00A12889" w:rsidP="007B0F06">
            <w:pPr>
              <w:pStyle w:val="CLDTableTextListText"/>
              <w:keepNext w:val="0"/>
              <w:rPr>
                <w:b/>
                <w:i/>
                <w:sz w:val="22"/>
                <w:szCs w:val="22"/>
              </w:rPr>
            </w:pPr>
            <w:r w:rsidRPr="00C76859">
              <w:rPr>
                <w:b/>
                <w:i/>
                <w:sz w:val="22"/>
                <w:szCs w:val="22"/>
              </w:rPr>
              <w:t>Nervous System Disorders</w:t>
            </w:r>
          </w:p>
        </w:tc>
      </w:tr>
      <w:tr w:rsidR="00A12889" w:rsidRPr="007031C3" w:rsidTr="00C677B4">
        <w:tc>
          <w:tcPr>
            <w:tcW w:w="3369" w:type="dxa"/>
          </w:tcPr>
          <w:p w:rsidR="00A12889" w:rsidRPr="007031C3" w:rsidRDefault="00A12889" w:rsidP="007B0F06">
            <w:pPr>
              <w:pStyle w:val="CLDTableTextListText"/>
              <w:keepNext w:val="0"/>
              <w:rPr>
                <w:sz w:val="22"/>
                <w:szCs w:val="22"/>
              </w:rPr>
            </w:pPr>
            <w:r w:rsidRPr="007031C3">
              <w:rPr>
                <w:sz w:val="22"/>
                <w:szCs w:val="22"/>
              </w:rPr>
              <w:t>Dizziness</w:t>
            </w:r>
          </w:p>
        </w:tc>
        <w:tc>
          <w:tcPr>
            <w:tcW w:w="2268" w:type="dxa"/>
          </w:tcPr>
          <w:p w:rsidR="00A12889" w:rsidRPr="007031C3" w:rsidRDefault="00A12889" w:rsidP="007B0F06">
            <w:pPr>
              <w:pStyle w:val="CLDTableTextListText"/>
              <w:keepNext w:val="0"/>
              <w:rPr>
                <w:sz w:val="22"/>
                <w:szCs w:val="22"/>
              </w:rPr>
            </w:pPr>
            <w:r w:rsidRPr="007031C3">
              <w:rPr>
                <w:sz w:val="22"/>
                <w:szCs w:val="22"/>
              </w:rPr>
              <w:t>69 (4.4)</w:t>
            </w:r>
          </w:p>
        </w:tc>
        <w:tc>
          <w:tcPr>
            <w:tcW w:w="2409" w:type="dxa"/>
          </w:tcPr>
          <w:p w:rsidR="00A12889" w:rsidRPr="007031C3" w:rsidRDefault="00A12889" w:rsidP="007B0F06">
            <w:pPr>
              <w:pStyle w:val="CLDTableTextListText"/>
              <w:keepNext w:val="0"/>
              <w:rPr>
                <w:sz w:val="22"/>
                <w:szCs w:val="22"/>
              </w:rPr>
            </w:pPr>
            <w:r w:rsidRPr="007031C3">
              <w:rPr>
                <w:sz w:val="22"/>
                <w:szCs w:val="22"/>
              </w:rPr>
              <w:t>130 (4.1)</w:t>
            </w:r>
          </w:p>
        </w:tc>
        <w:tc>
          <w:tcPr>
            <w:tcW w:w="1276" w:type="dxa"/>
          </w:tcPr>
          <w:p w:rsidR="00A12889" w:rsidRPr="007031C3" w:rsidRDefault="00A12889" w:rsidP="007B0F06">
            <w:pPr>
              <w:pStyle w:val="CLDTableTextListText"/>
              <w:keepNext w:val="0"/>
              <w:rPr>
                <w:sz w:val="22"/>
                <w:szCs w:val="22"/>
              </w:rPr>
            </w:pPr>
            <w:r w:rsidRPr="007031C3">
              <w:rPr>
                <w:sz w:val="22"/>
                <w:szCs w:val="22"/>
              </w:rPr>
              <w:t>40 (3.2)</w:t>
            </w:r>
          </w:p>
        </w:tc>
      </w:tr>
      <w:tr w:rsidR="00A12889" w:rsidRPr="007031C3" w:rsidTr="00C677B4">
        <w:tc>
          <w:tcPr>
            <w:tcW w:w="3369" w:type="dxa"/>
          </w:tcPr>
          <w:p w:rsidR="00A12889" w:rsidRPr="007031C3" w:rsidRDefault="00A12889" w:rsidP="007B0F06">
            <w:pPr>
              <w:pStyle w:val="CLDTableTextListText"/>
              <w:keepNext w:val="0"/>
              <w:rPr>
                <w:sz w:val="22"/>
                <w:szCs w:val="22"/>
              </w:rPr>
            </w:pPr>
            <w:r w:rsidRPr="007031C3">
              <w:rPr>
                <w:sz w:val="22"/>
                <w:szCs w:val="22"/>
              </w:rPr>
              <w:t>Hypoaesthesia</w:t>
            </w:r>
          </w:p>
        </w:tc>
        <w:tc>
          <w:tcPr>
            <w:tcW w:w="2268" w:type="dxa"/>
          </w:tcPr>
          <w:p w:rsidR="00A12889" w:rsidRPr="007031C3" w:rsidRDefault="00A12889" w:rsidP="007B0F06">
            <w:pPr>
              <w:pStyle w:val="CLDTableTextListText"/>
              <w:keepNext w:val="0"/>
              <w:rPr>
                <w:sz w:val="22"/>
                <w:szCs w:val="22"/>
              </w:rPr>
            </w:pPr>
            <w:r w:rsidRPr="007031C3">
              <w:rPr>
                <w:sz w:val="22"/>
                <w:szCs w:val="22"/>
              </w:rPr>
              <w:t>17 (1.1)</w:t>
            </w:r>
          </w:p>
        </w:tc>
        <w:tc>
          <w:tcPr>
            <w:tcW w:w="2409" w:type="dxa"/>
          </w:tcPr>
          <w:p w:rsidR="00A12889" w:rsidRPr="007031C3" w:rsidRDefault="00A12889" w:rsidP="007B0F06">
            <w:pPr>
              <w:pStyle w:val="CLDTableTextListText"/>
              <w:keepNext w:val="0"/>
              <w:rPr>
                <w:sz w:val="22"/>
                <w:szCs w:val="22"/>
              </w:rPr>
            </w:pPr>
            <w:r w:rsidRPr="007031C3">
              <w:rPr>
                <w:sz w:val="22"/>
                <w:szCs w:val="22"/>
              </w:rPr>
              <w:t>29 (0.9)</w:t>
            </w:r>
          </w:p>
        </w:tc>
        <w:tc>
          <w:tcPr>
            <w:tcW w:w="1276" w:type="dxa"/>
          </w:tcPr>
          <w:p w:rsidR="00A12889" w:rsidRPr="007031C3" w:rsidRDefault="00A12889" w:rsidP="007B0F06">
            <w:pPr>
              <w:pStyle w:val="CLDTableTextListText"/>
              <w:keepNext w:val="0"/>
              <w:rPr>
                <w:sz w:val="22"/>
                <w:szCs w:val="22"/>
              </w:rPr>
            </w:pPr>
            <w:r w:rsidRPr="007031C3">
              <w:rPr>
                <w:sz w:val="22"/>
                <w:szCs w:val="22"/>
              </w:rPr>
              <w:t>9 (0.7)</w:t>
            </w:r>
          </w:p>
        </w:tc>
      </w:tr>
      <w:tr w:rsidR="00A12889" w:rsidRPr="000A22E6" w:rsidTr="00C677B4">
        <w:tc>
          <w:tcPr>
            <w:tcW w:w="3369" w:type="dxa"/>
          </w:tcPr>
          <w:p w:rsidR="00A12889" w:rsidRPr="000A22E6" w:rsidRDefault="00A12889" w:rsidP="000A22E6">
            <w:pPr>
              <w:pStyle w:val="CLDTableTextListText"/>
              <w:rPr>
                <w:sz w:val="22"/>
              </w:rPr>
            </w:pPr>
            <w:r w:rsidRPr="000A22E6">
              <w:rPr>
                <w:sz w:val="22"/>
              </w:rPr>
              <w:t>Sinus headache</w:t>
            </w:r>
          </w:p>
        </w:tc>
        <w:tc>
          <w:tcPr>
            <w:tcW w:w="2268" w:type="dxa"/>
          </w:tcPr>
          <w:p w:rsidR="00A12889" w:rsidRPr="000A22E6" w:rsidRDefault="00A12889" w:rsidP="000A22E6">
            <w:pPr>
              <w:pStyle w:val="CLDTableTextListText"/>
              <w:rPr>
                <w:sz w:val="22"/>
              </w:rPr>
            </w:pPr>
            <w:r w:rsidRPr="000A22E6">
              <w:rPr>
                <w:sz w:val="22"/>
              </w:rPr>
              <w:t>65 (4.1)</w:t>
            </w:r>
          </w:p>
        </w:tc>
        <w:tc>
          <w:tcPr>
            <w:tcW w:w="2409" w:type="dxa"/>
          </w:tcPr>
          <w:p w:rsidR="00A12889" w:rsidRPr="000A22E6" w:rsidRDefault="00A12889" w:rsidP="000A22E6">
            <w:pPr>
              <w:pStyle w:val="CLDTableTextListText"/>
              <w:rPr>
                <w:sz w:val="22"/>
              </w:rPr>
            </w:pPr>
            <w:r w:rsidRPr="000A22E6">
              <w:rPr>
                <w:sz w:val="22"/>
              </w:rPr>
              <w:t>108 (3.4)</w:t>
            </w:r>
          </w:p>
        </w:tc>
        <w:tc>
          <w:tcPr>
            <w:tcW w:w="1276" w:type="dxa"/>
          </w:tcPr>
          <w:p w:rsidR="00A12889" w:rsidRPr="000A22E6" w:rsidRDefault="00A12889" w:rsidP="000A22E6">
            <w:pPr>
              <w:pStyle w:val="CLDTableTextListText"/>
              <w:rPr>
                <w:sz w:val="22"/>
              </w:rPr>
            </w:pPr>
            <w:r w:rsidRPr="000A22E6">
              <w:rPr>
                <w:sz w:val="22"/>
              </w:rPr>
              <w:t>31 (2.5)</w:t>
            </w:r>
          </w:p>
        </w:tc>
      </w:tr>
      <w:tr w:rsidR="00A12889" w:rsidRPr="007031C3" w:rsidTr="00540D26">
        <w:tc>
          <w:tcPr>
            <w:tcW w:w="9322" w:type="dxa"/>
            <w:gridSpan w:val="4"/>
          </w:tcPr>
          <w:p w:rsidR="00A12889" w:rsidRPr="007031C3" w:rsidRDefault="00A12889" w:rsidP="007B0F06">
            <w:pPr>
              <w:pStyle w:val="CLDTableTextListText"/>
              <w:keepNext w:val="0"/>
              <w:rPr>
                <w:sz w:val="22"/>
                <w:szCs w:val="22"/>
              </w:rPr>
            </w:pPr>
            <w:r w:rsidRPr="00A12889">
              <w:rPr>
                <w:b/>
                <w:i/>
                <w:sz w:val="22"/>
                <w:szCs w:val="22"/>
              </w:rPr>
              <w:t>Renal and urinary disorders</w:t>
            </w:r>
          </w:p>
        </w:tc>
      </w:tr>
      <w:tr w:rsidR="00ED7D1C" w:rsidRPr="007031C3" w:rsidTr="00C677B4">
        <w:tc>
          <w:tcPr>
            <w:tcW w:w="3369" w:type="dxa"/>
          </w:tcPr>
          <w:p w:rsidR="00A12889" w:rsidRPr="007031C3" w:rsidRDefault="00A12889" w:rsidP="007B0F06">
            <w:pPr>
              <w:pStyle w:val="CLDTableTextListText"/>
              <w:keepNext w:val="0"/>
              <w:rPr>
                <w:sz w:val="22"/>
                <w:szCs w:val="22"/>
              </w:rPr>
            </w:pPr>
            <w:r w:rsidRPr="007031C3">
              <w:rPr>
                <w:sz w:val="22"/>
                <w:szCs w:val="22"/>
              </w:rPr>
              <w:t>Dysuria</w:t>
            </w:r>
          </w:p>
        </w:tc>
        <w:tc>
          <w:tcPr>
            <w:tcW w:w="2268" w:type="dxa"/>
          </w:tcPr>
          <w:p w:rsidR="00A12889" w:rsidRPr="007031C3" w:rsidRDefault="00A12889" w:rsidP="007B0F06">
            <w:pPr>
              <w:pStyle w:val="CLDTableTextListText"/>
              <w:keepNext w:val="0"/>
              <w:rPr>
                <w:sz w:val="22"/>
                <w:szCs w:val="22"/>
              </w:rPr>
            </w:pPr>
            <w:r w:rsidRPr="007031C3">
              <w:rPr>
                <w:sz w:val="22"/>
                <w:szCs w:val="22"/>
              </w:rPr>
              <w:t>20 (1.3)</w:t>
            </w:r>
          </w:p>
        </w:tc>
        <w:tc>
          <w:tcPr>
            <w:tcW w:w="2409" w:type="dxa"/>
          </w:tcPr>
          <w:p w:rsidR="00A12889" w:rsidRPr="007031C3" w:rsidRDefault="00A12889" w:rsidP="007B0F06">
            <w:pPr>
              <w:pStyle w:val="CLDTableTextListText"/>
              <w:keepNext w:val="0"/>
              <w:rPr>
                <w:sz w:val="22"/>
                <w:szCs w:val="22"/>
              </w:rPr>
            </w:pPr>
            <w:r w:rsidRPr="007031C3">
              <w:rPr>
                <w:sz w:val="22"/>
                <w:szCs w:val="22"/>
              </w:rPr>
              <w:t>36 (1.1)</w:t>
            </w:r>
          </w:p>
        </w:tc>
        <w:tc>
          <w:tcPr>
            <w:tcW w:w="1276" w:type="dxa"/>
          </w:tcPr>
          <w:p w:rsidR="00A12889" w:rsidRPr="007031C3" w:rsidRDefault="00A12889" w:rsidP="007B0F06">
            <w:pPr>
              <w:pStyle w:val="CLDTableTextListText"/>
              <w:keepNext w:val="0"/>
              <w:rPr>
                <w:sz w:val="22"/>
                <w:szCs w:val="22"/>
              </w:rPr>
            </w:pPr>
            <w:r w:rsidRPr="007031C3">
              <w:rPr>
                <w:sz w:val="22"/>
                <w:szCs w:val="22"/>
              </w:rPr>
              <w:t>13 (1.0)</w:t>
            </w:r>
          </w:p>
        </w:tc>
      </w:tr>
      <w:tr w:rsidR="00A12889" w:rsidRPr="007031C3" w:rsidTr="00540D26">
        <w:tc>
          <w:tcPr>
            <w:tcW w:w="9322" w:type="dxa"/>
            <w:gridSpan w:val="4"/>
          </w:tcPr>
          <w:p w:rsidR="00A12889" w:rsidRPr="007031C3" w:rsidRDefault="00A12889" w:rsidP="007B0F06">
            <w:pPr>
              <w:pStyle w:val="CLDTableTextListText"/>
              <w:keepNext w:val="0"/>
              <w:rPr>
                <w:sz w:val="22"/>
                <w:szCs w:val="22"/>
              </w:rPr>
            </w:pPr>
            <w:r w:rsidRPr="00757399">
              <w:rPr>
                <w:b/>
                <w:i/>
                <w:sz w:val="22"/>
                <w:szCs w:val="22"/>
              </w:rPr>
              <w:t>Reproductive System and Breast Disorders</w:t>
            </w:r>
          </w:p>
        </w:tc>
      </w:tr>
      <w:tr w:rsidR="00ED7D1C" w:rsidRPr="007031C3" w:rsidTr="00C677B4">
        <w:tc>
          <w:tcPr>
            <w:tcW w:w="3369" w:type="dxa"/>
          </w:tcPr>
          <w:p w:rsidR="00A12889" w:rsidRPr="007031C3" w:rsidRDefault="00A12889" w:rsidP="007B0F06">
            <w:pPr>
              <w:pStyle w:val="CLDTableTextListText"/>
              <w:keepNext w:val="0"/>
              <w:rPr>
                <w:sz w:val="22"/>
                <w:szCs w:val="22"/>
              </w:rPr>
            </w:pPr>
            <w:r w:rsidRPr="007031C3">
              <w:rPr>
                <w:sz w:val="22"/>
                <w:szCs w:val="22"/>
              </w:rPr>
              <w:t>Breast pain</w:t>
            </w:r>
          </w:p>
        </w:tc>
        <w:tc>
          <w:tcPr>
            <w:tcW w:w="2268" w:type="dxa"/>
          </w:tcPr>
          <w:p w:rsidR="00A12889" w:rsidRPr="007031C3" w:rsidRDefault="00A12889" w:rsidP="007B0F06">
            <w:pPr>
              <w:pStyle w:val="CLDTableTextListText"/>
              <w:keepNext w:val="0"/>
              <w:rPr>
                <w:sz w:val="22"/>
                <w:szCs w:val="22"/>
              </w:rPr>
            </w:pPr>
            <w:r w:rsidRPr="007031C3">
              <w:rPr>
                <w:sz w:val="22"/>
                <w:szCs w:val="22"/>
              </w:rPr>
              <w:t>52 (3.3)</w:t>
            </w:r>
          </w:p>
        </w:tc>
        <w:tc>
          <w:tcPr>
            <w:tcW w:w="2409" w:type="dxa"/>
          </w:tcPr>
          <w:p w:rsidR="00A12889" w:rsidRPr="007031C3" w:rsidRDefault="00A12889" w:rsidP="007B0F06">
            <w:pPr>
              <w:pStyle w:val="CLDTableTextListText"/>
              <w:keepNext w:val="0"/>
              <w:rPr>
                <w:sz w:val="22"/>
                <w:szCs w:val="22"/>
              </w:rPr>
            </w:pPr>
            <w:r w:rsidRPr="007031C3">
              <w:rPr>
                <w:sz w:val="22"/>
                <w:szCs w:val="22"/>
              </w:rPr>
              <w:t>92 (2.9)</w:t>
            </w:r>
          </w:p>
        </w:tc>
        <w:tc>
          <w:tcPr>
            <w:tcW w:w="1276" w:type="dxa"/>
          </w:tcPr>
          <w:p w:rsidR="00A12889" w:rsidRPr="007031C3" w:rsidRDefault="00A12889" w:rsidP="007B0F06">
            <w:pPr>
              <w:pStyle w:val="CLDTableTextListText"/>
              <w:keepNext w:val="0"/>
              <w:rPr>
                <w:sz w:val="22"/>
                <w:szCs w:val="22"/>
              </w:rPr>
            </w:pPr>
            <w:r w:rsidRPr="007031C3">
              <w:rPr>
                <w:sz w:val="22"/>
                <w:szCs w:val="22"/>
              </w:rPr>
              <w:t>22 (1.8)</w:t>
            </w:r>
          </w:p>
        </w:tc>
      </w:tr>
      <w:tr w:rsidR="00ED7D1C" w:rsidRPr="007031C3" w:rsidTr="00C677B4">
        <w:tc>
          <w:tcPr>
            <w:tcW w:w="3369" w:type="dxa"/>
          </w:tcPr>
          <w:p w:rsidR="00A12889" w:rsidRPr="007031C3" w:rsidRDefault="00A12889" w:rsidP="007B0F06">
            <w:pPr>
              <w:pStyle w:val="CLDTableTextListText"/>
              <w:keepNext w:val="0"/>
              <w:rPr>
                <w:sz w:val="22"/>
                <w:szCs w:val="22"/>
              </w:rPr>
            </w:pPr>
            <w:r w:rsidRPr="007031C3">
              <w:rPr>
                <w:sz w:val="22"/>
                <w:szCs w:val="22"/>
              </w:rPr>
              <w:t>Breast tenderness</w:t>
            </w:r>
          </w:p>
        </w:tc>
        <w:tc>
          <w:tcPr>
            <w:tcW w:w="2268" w:type="dxa"/>
          </w:tcPr>
          <w:p w:rsidR="00A12889" w:rsidRPr="007031C3" w:rsidRDefault="00A12889" w:rsidP="007B0F06">
            <w:pPr>
              <w:pStyle w:val="CLDTableTextListText"/>
              <w:keepNext w:val="0"/>
              <w:rPr>
                <w:sz w:val="22"/>
                <w:szCs w:val="22"/>
              </w:rPr>
            </w:pPr>
            <w:r w:rsidRPr="007031C3">
              <w:rPr>
                <w:sz w:val="22"/>
                <w:szCs w:val="22"/>
              </w:rPr>
              <w:t>26 (1.6)</w:t>
            </w:r>
          </w:p>
        </w:tc>
        <w:tc>
          <w:tcPr>
            <w:tcW w:w="2409" w:type="dxa"/>
          </w:tcPr>
          <w:p w:rsidR="00A12889" w:rsidRPr="007031C3" w:rsidRDefault="00A12889" w:rsidP="007B0F06">
            <w:pPr>
              <w:pStyle w:val="CLDTableTextListText"/>
              <w:keepNext w:val="0"/>
              <w:rPr>
                <w:sz w:val="22"/>
                <w:szCs w:val="22"/>
              </w:rPr>
            </w:pPr>
            <w:r w:rsidRPr="007031C3">
              <w:rPr>
                <w:sz w:val="22"/>
                <w:szCs w:val="22"/>
              </w:rPr>
              <w:t>46 (1.5)</w:t>
            </w:r>
          </w:p>
        </w:tc>
        <w:tc>
          <w:tcPr>
            <w:tcW w:w="1276" w:type="dxa"/>
          </w:tcPr>
          <w:p w:rsidR="00A12889" w:rsidRPr="007031C3" w:rsidRDefault="00A12889" w:rsidP="007B0F06">
            <w:pPr>
              <w:pStyle w:val="CLDTableTextListText"/>
              <w:keepNext w:val="0"/>
              <w:rPr>
                <w:sz w:val="22"/>
                <w:szCs w:val="22"/>
              </w:rPr>
            </w:pPr>
            <w:r w:rsidRPr="007031C3">
              <w:rPr>
                <w:sz w:val="22"/>
                <w:szCs w:val="22"/>
              </w:rPr>
              <w:t>17 (1.4)</w:t>
            </w:r>
          </w:p>
        </w:tc>
      </w:tr>
      <w:tr w:rsidR="00ED7D1C" w:rsidRPr="007031C3" w:rsidTr="00C677B4">
        <w:tc>
          <w:tcPr>
            <w:tcW w:w="3369" w:type="dxa"/>
          </w:tcPr>
          <w:p w:rsidR="00A12889" w:rsidRPr="007031C3" w:rsidRDefault="00A12889" w:rsidP="007B0F06">
            <w:pPr>
              <w:pStyle w:val="CLDTableTextListText"/>
              <w:keepNext w:val="0"/>
              <w:rPr>
                <w:sz w:val="22"/>
                <w:szCs w:val="22"/>
              </w:rPr>
            </w:pPr>
            <w:r w:rsidRPr="007031C3">
              <w:rPr>
                <w:sz w:val="22"/>
                <w:szCs w:val="22"/>
              </w:rPr>
              <w:t>Pelvic pain</w:t>
            </w:r>
          </w:p>
        </w:tc>
        <w:tc>
          <w:tcPr>
            <w:tcW w:w="2268" w:type="dxa"/>
          </w:tcPr>
          <w:p w:rsidR="00A12889" w:rsidRPr="007031C3" w:rsidRDefault="00A12889" w:rsidP="007B0F06">
            <w:pPr>
              <w:pStyle w:val="CLDTableTextListText"/>
              <w:keepNext w:val="0"/>
              <w:rPr>
                <w:sz w:val="22"/>
                <w:szCs w:val="22"/>
              </w:rPr>
            </w:pPr>
            <w:r w:rsidRPr="007031C3">
              <w:rPr>
                <w:sz w:val="22"/>
                <w:szCs w:val="22"/>
              </w:rPr>
              <w:t>15 (0.9)</w:t>
            </w:r>
          </w:p>
        </w:tc>
        <w:tc>
          <w:tcPr>
            <w:tcW w:w="2409" w:type="dxa"/>
          </w:tcPr>
          <w:p w:rsidR="00A12889" w:rsidRPr="007031C3" w:rsidRDefault="00A12889" w:rsidP="007B0F06">
            <w:pPr>
              <w:pStyle w:val="CLDTableTextListText"/>
              <w:keepNext w:val="0"/>
              <w:rPr>
                <w:sz w:val="22"/>
                <w:szCs w:val="22"/>
              </w:rPr>
            </w:pPr>
            <w:r w:rsidRPr="007031C3">
              <w:rPr>
                <w:sz w:val="22"/>
                <w:szCs w:val="22"/>
              </w:rPr>
              <w:t>36 (1.1)</w:t>
            </w:r>
          </w:p>
        </w:tc>
        <w:tc>
          <w:tcPr>
            <w:tcW w:w="1276" w:type="dxa"/>
          </w:tcPr>
          <w:p w:rsidR="00A12889" w:rsidRPr="007031C3" w:rsidRDefault="00A12889" w:rsidP="007B0F06">
            <w:pPr>
              <w:pStyle w:val="CLDTableTextListText"/>
              <w:keepNext w:val="0"/>
              <w:rPr>
                <w:sz w:val="22"/>
                <w:szCs w:val="22"/>
              </w:rPr>
            </w:pPr>
            <w:r w:rsidRPr="007031C3">
              <w:rPr>
                <w:sz w:val="22"/>
                <w:szCs w:val="22"/>
              </w:rPr>
              <w:t>14 (1.1)</w:t>
            </w:r>
          </w:p>
        </w:tc>
      </w:tr>
      <w:tr w:rsidR="00ED7D1C" w:rsidRPr="007031C3" w:rsidTr="00C677B4">
        <w:tc>
          <w:tcPr>
            <w:tcW w:w="3369" w:type="dxa"/>
          </w:tcPr>
          <w:p w:rsidR="00A12889" w:rsidRPr="007031C3" w:rsidRDefault="00A12889" w:rsidP="007B0F06">
            <w:pPr>
              <w:pStyle w:val="CLDTableTextListText"/>
              <w:keepNext w:val="0"/>
              <w:rPr>
                <w:sz w:val="22"/>
                <w:szCs w:val="22"/>
              </w:rPr>
            </w:pPr>
            <w:r w:rsidRPr="007031C3">
              <w:rPr>
                <w:sz w:val="22"/>
                <w:szCs w:val="22"/>
              </w:rPr>
              <w:t>Vaginal discharge</w:t>
            </w:r>
          </w:p>
        </w:tc>
        <w:tc>
          <w:tcPr>
            <w:tcW w:w="2268" w:type="dxa"/>
          </w:tcPr>
          <w:p w:rsidR="00A12889" w:rsidRPr="007031C3" w:rsidRDefault="00A12889" w:rsidP="007B0F06">
            <w:pPr>
              <w:pStyle w:val="CLDTableTextListText"/>
              <w:keepNext w:val="0"/>
              <w:rPr>
                <w:sz w:val="22"/>
                <w:szCs w:val="22"/>
              </w:rPr>
            </w:pPr>
            <w:r w:rsidRPr="007031C3">
              <w:rPr>
                <w:sz w:val="22"/>
                <w:szCs w:val="22"/>
              </w:rPr>
              <w:t>26 (1.6)</w:t>
            </w:r>
          </w:p>
        </w:tc>
        <w:tc>
          <w:tcPr>
            <w:tcW w:w="2409" w:type="dxa"/>
          </w:tcPr>
          <w:p w:rsidR="00A12889" w:rsidRPr="007031C3" w:rsidRDefault="00A12889" w:rsidP="007B0F06">
            <w:pPr>
              <w:pStyle w:val="CLDTableTextListText"/>
              <w:keepNext w:val="0"/>
              <w:rPr>
                <w:sz w:val="22"/>
                <w:szCs w:val="22"/>
              </w:rPr>
            </w:pPr>
            <w:r w:rsidRPr="007031C3">
              <w:rPr>
                <w:sz w:val="22"/>
                <w:szCs w:val="22"/>
              </w:rPr>
              <w:t>63 (2.0)</w:t>
            </w:r>
          </w:p>
        </w:tc>
        <w:tc>
          <w:tcPr>
            <w:tcW w:w="1276" w:type="dxa"/>
          </w:tcPr>
          <w:p w:rsidR="00A12889" w:rsidRPr="007031C3" w:rsidRDefault="00A12889" w:rsidP="007B0F06">
            <w:pPr>
              <w:pStyle w:val="CLDTableTextListText"/>
              <w:keepNext w:val="0"/>
              <w:rPr>
                <w:sz w:val="22"/>
                <w:szCs w:val="22"/>
              </w:rPr>
            </w:pPr>
            <w:r w:rsidRPr="007031C3">
              <w:rPr>
                <w:sz w:val="22"/>
                <w:szCs w:val="22"/>
              </w:rPr>
              <w:t>20 (1.6)</w:t>
            </w:r>
          </w:p>
        </w:tc>
      </w:tr>
      <w:tr w:rsidR="00A12889" w:rsidRPr="007031C3" w:rsidTr="00C677B4">
        <w:tc>
          <w:tcPr>
            <w:tcW w:w="3369" w:type="dxa"/>
          </w:tcPr>
          <w:p w:rsidR="00A12889" w:rsidRPr="007031C3" w:rsidRDefault="00A12889" w:rsidP="007B0F06">
            <w:pPr>
              <w:pStyle w:val="CLDTableTextListText"/>
              <w:keepNext w:val="0"/>
              <w:rPr>
                <w:sz w:val="22"/>
                <w:szCs w:val="22"/>
              </w:rPr>
            </w:pPr>
            <w:r w:rsidRPr="007031C3">
              <w:rPr>
                <w:sz w:val="22"/>
                <w:szCs w:val="22"/>
              </w:rPr>
              <w:t>Vulvovaginal pruritus</w:t>
            </w:r>
          </w:p>
        </w:tc>
        <w:tc>
          <w:tcPr>
            <w:tcW w:w="2268" w:type="dxa"/>
          </w:tcPr>
          <w:p w:rsidR="00A12889" w:rsidRPr="007031C3" w:rsidRDefault="00A12889" w:rsidP="007B0F06">
            <w:pPr>
              <w:pStyle w:val="CLDTableTextListText"/>
              <w:keepNext w:val="0"/>
              <w:rPr>
                <w:sz w:val="22"/>
                <w:szCs w:val="22"/>
              </w:rPr>
            </w:pPr>
            <w:r w:rsidRPr="007031C3">
              <w:rPr>
                <w:sz w:val="22"/>
                <w:szCs w:val="22"/>
              </w:rPr>
              <w:t>20 (1.3)</w:t>
            </w:r>
          </w:p>
        </w:tc>
        <w:tc>
          <w:tcPr>
            <w:tcW w:w="2409" w:type="dxa"/>
          </w:tcPr>
          <w:p w:rsidR="00A12889" w:rsidRPr="007031C3" w:rsidRDefault="00A12889" w:rsidP="007B0F06">
            <w:pPr>
              <w:pStyle w:val="CLDTableTextListText"/>
              <w:keepNext w:val="0"/>
              <w:rPr>
                <w:sz w:val="22"/>
                <w:szCs w:val="22"/>
              </w:rPr>
            </w:pPr>
            <w:r w:rsidRPr="007031C3">
              <w:rPr>
                <w:sz w:val="22"/>
                <w:szCs w:val="22"/>
              </w:rPr>
              <w:t>41 (1.3)</w:t>
            </w:r>
          </w:p>
        </w:tc>
        <w:tc>
          <w:tcPr>
            <w:tcW w:w="1276" w:type="dxa"/>
          </w:tcPr>
          <w:p w:rsidR="00A12889" w:rsidRPr="007031C3" w:rsidRDefault="00A12889" w:rsidP="007B0F06">
            <w:pPr>
              <w:pStyle w:val="CLDTableTextListText"/>
              <w:keepNext w:val="0"/>
              <w:rPr>
                <w:sz w:val="22"/>
                <w:szCs w:val="22"/>
              </w:rPr>
            </w:pPr>
            <w:r w:rsidRPr="007031C3">
              <w:rPr>
                <w:sz w:val="22"/>
                <w:szCs w:val="22"/>
              </w:rPr>
              <w:t>14 (1.1)</w:t>
            </w:r>
          </w:p>
        </w:tc>
      </w:tr>
      <w:tr w:rsidR="00A12889" w:rsidRPr="007031C3" w:rsidTr="00540D26">
        <w:tc>
          <w:tcPr>
            <w:tcW w:w="9322" w:type="dxa"/>
            <w:gridSpan w:val="4"/>
          </w:tcPr>
          <w:p w:rsidR="00A12889" w:rsidRPr="00FC5E26" w:rsidRDefault="00A12889" w:rsidP="007B0F06">
            <w:pPr>
              <w:pStyle w:val="CLDTableTextListText"/>
              <w:keepNext w:val="0"/>
              <w:rPr>
                <w:color w:val="A6A6A6" w:themeColor="background1" w:themeShade="A6"/>
                <w:sz w:val="22"/>
                <w:szCs w:val="22"/>
              </w:rPr>
            </w:pPr>
            <w:r w:rsidRPr="00757399">
              <w:rPr>
                <w:b/>
                <w:i/>
                <w:sz w:val="22"/>
                <w:szCs w:val="22"/>
              </w:rPr>
              <w:t>Respiratory, Thoracic and Mediastinal Disorders</w:t>
            </w:r>
          </w:p>
        </w:tc>
      </w:tr>
      <w:tr w:rsidR="00ED7D1C" w:rsidRPr="007031C3" w:rsidTr="00C677B4">
        <w:tc>
          <w:tcPr>
            <w:tcW w:w="3369" w:type="dxa"/>
          </w:tcPr>
          <w:p w:rsidR="00ED7D1C" w:rsidRPr="007031C3" w:rsidRDefault="00ED7D1C" w:rsidP="007B0F06">
            <w:pPr>
              <w:pStyle w:val="CLDTableTextListText"/>
              <w:keepNext w:val="0"/>
              <w:rPr>
                <w:sz w:val="22"/>
                <w:szCs w:val="22"/>
              </w:rPr>
            </w:pPr>
            <w:r w:rsidRPr="007031C3">
              <w:rPr>
                <w:sz w:val="22"/>
                <w:szCs w:val="22"/>
              </w:rPr>
              <w:t>Cough</w:t>
            </w:r>
          </w:p>
        </w:tc>
        <w:tc>
          <w:tcPr>
            <w:tcW w:w="2268" w:type="dxa"/>
          </w:tcPr>
          <w:p w:rsidR="00ED7D1C" w:rsidRPr="007031C3" w:rsidRDefault="00ED7D1C" w:rsidP="007B0F06">
            <w:pPr>
              <w:pStyle w:val="CLDTableTextListText"/>
              <w:keepNext w:val="0"/>
              <w:rPr>
                <w:sz w:val="22"/>
                <w:szCs w:val="22"/>
              </w:rPr>
            </w:pPr>
            <w:r w:rsidRPr="007031C3">
              <w:rPr>
                <w:sz w:val="22"/>
                <w:szCs w:val="22"/>
              </w:rPr>
              <w:t>91 (5.7)</w:t>
            </w:r>
          </w:p>
        </w:tc>
        <w:tc>
          <w:tcPr>
            <w:tcW w:w="2409" w:type="dxa"/>
          </w:tcPr>
          <w:p w:rsidR="00ED7D1C" w:rsidRPr="007031C3" w:rsidRDefault="00ED7D1C" w:rsidP="007B0F06">
            <w:pPr>
              <w:pStyle w:val="CLDTableTextListText"/>
              <w:keepNext w:val="0"/>
              <w:rPr>
                <w:sz w:val="22"/>
                <w:szCs w:val="22"/>
              </w:rPr>
            </w:pPr>
            <w:r w:rsidRPr="007031C3">
              <w:rPr>
                <w:sz w:val="22"/>
                <w:szCs w:val="22"/>
              </w:rPr>
              <w:t>183 (5.8)</w:t>
            </w:r>
          </w:p>
        </w:tc>
        <w:tc>
          <w:tcPr>
            <w:tcW w:w="1276" w:type="dxa"/>
          </w:tcPr>
          <w:p w:rsidR="00ED7D1C" w:rsidRPr="007031C3" w:rsidRDefault="00ED7D1C" w:rsidP="007B0F06">
            <w:pPr>
              <w:pStyle w:val="CLDTableTextListText"/>
              <w:keepNext w:val="0"/>
              <w:rPr>
                <w:sz w:val="22"/>
                <w:szCs w:val="22"/>
              </w:rPr>
            </w:pPr>
            <w:r w:rsidRPr="007031C3">
              <w:rPr>
                <w:sz w:val="22"/>
                <w:szCs w:val="22"/>
              </w:rPr>
              <w:t>69 (5.6)</w:t>
            </w:r>
          </w:p>
        </w:tc>
      </w:tr>
      <w:tr w:rsidR="00ED7D1C" w:rsidRPr="007031C3" w:rsidTr="00C677B4">
        <w:tc>
          <w:tcPr>
            <w:tcW w:w="3369" w:type="dxa"/>
          </w:tcPr>
          <w:p w:rsidR="00ED7D1C" w:rsidRPr="007031C3" w:rsidRDefault="00ED7D1C" w:rsidP="007B0F06">
            <w:pPr>
              <w:pStyle w:val="CLDTableTextListText"/>
              <w:keepNext w:val="0"/>
              <w:rPr>
                <w:sz w:val="22"/>
                <w:szCs w:val="22"/>
              </w:rPr>
            </w:pPr>
            <w:r w:rsidRPr="007031C3">
              <w:rPr>
                <w:sz w:val="22"/>
                <w:szCs w:val="22"/>
              </w:rPr>
              <w:t>Dyspnoea</w:t>
            </w:r>
          </w:p>
        </w:tc>
        <w:tc>
          <w:tcPr>
            <w:tcW w:w="2268" w:type="dxa"/>
          </w:tcPr>
          <w:p w:rsidR="00ED7D1C" w:rsidRPr="007031C3" w:rsidRDefault="00ED7D1C" w:rsidP="007B0F06">
            <w:pPr>
              <w:pStyle w:val="CLDTableTextListText"/>
              <w:keepNext w:val="0"/>
              <w:rPr>
                <w:sz w:val="22"/>
                <w:szCs w:val="22"/>
              </w:rPr>
            </w:pPr>
            <w:r w:rsidRPr="007031C3">
              <w:rPr>
                <w:sz w:val="22"/>
                <w:szCs w:val="22"/>
              </w:rPr>
              <w:t>13 (0.8)</w:t>
            </w:r>
          </w:p>
        </w:tc>
        <w:tc>
          <w:tcPr>
            <w:tcW w:w="2409" w:type="dxa"/>
          </w:tcPr>
          <w:p w:rsidR="00ED7D1C" w:rsidRPr="007031C3" w:rsidRDefault="00ED7D1C" w:rsidP="007B0F06">
            <w:pPr>
              <w:pStyle w:val="CLDTableTextListText"/>
              <w:keepNext w:val="0"/>
              <w:rPr>
                <w:sz w:val="22"/>
                <w:szCs w:val="22"/>
              </w:rPr>
            </w:pPr>
            <w:r w:rsidRPr="007031C3">
              <w:rPr>
                <w:sz w:val="22"/>
                <w:szCs w:val="22"/>
              </w:rPr>
              <w:t>32 (1.0)</w:t>
            </w:r>
          </w:p>
        </w:tc>
        <w:tc>
          <w:tcPr>
            <w:tcW w:w="1276" w:type="dxa"/>
          </w:tcPr>
          <w:p w:rsidR="00ED7D1C" w:rsidRPr="007031C3" w:rsidRDefault="00ED7D1C" w:rsidP="007B0F06">
            <w:pPr>
              <w:pStyle w:val="CLDTableTextListText"/>
              <w:keepNext w:val="0"/>
              <w:rPr>
                <w:sz w:val="22"/>
                <w:szCs w:val="22"/>
              </w:rPr>
            </w:pPr>
            <w:r w:rsidRPr="007031C3">
              <w:rPr>
                <w:sz w:val="22"/>
                <w:szCs w:val="22"/>
              </w:rPr>
              <w:t>8 (0.6)</w:t>
            </w:r>
          </w:p>
        </w:tc>
      </w:tr>
      <w:tr w:rsidR="00ED7D1C" w:rsidRPr="007031C3" w:rsidTr="00C677B4">
        <w:tc>
          <w:tcPr>
            <w:tcW w:w="3369" w:type="dxa"/>
          </w:tcPr>
          <w:p w:rsidR="00ED7D1C" w:rsidRPr="007031C3" w:rsidRDefault="00ED7D1C" w:rsidP="007B0F06">
            <w:pPr>
              <w:pStyle w:val="CLDTableTextListText"/>
              <w:keepNext w:val="0"/>
              <w:rPr>
                <w:sz w:val="22"/>
                <w:szCs w:val="22"/>
              </w:rPr>
            </w:pPr>
            <w:r w:rsidRPr="007031C3">
              <w:rPr>
                <w:sz w:val="22"/>
                <w:szCs w:val="22"/>
              </w:rPr>
              <w:t xml:space="preserve">Nasal </w:t>
            </w:r>
            <w:r>
              <w:rPr>
                <w:sz w:val="22"/>
                <w:szCs w:val="22"/>
              </w:rPr>
              <w:t>c</w:t>
            </w:r>
            <w:r w:rsidRPr="007031C3">
              <w:rPr>
                <w:sz w:val="22"/>
                <w:szCs w:val="22"/>
              </w:rPr>
              <w:t>ongestion</w:t>
            </w:r>
          </w:p>
        </w:tc>
        <w:tc>
          <w:tcPr>
            <w:tcW w:w="2268" w:type="dxa"/>
          </w:tcPr>
          <w:p w:rsidR="00ED7D1C" w:rsidRPr="007031C3" w:rsidRDefault="00ED7D1C" w:rsidP="007B0F06">
            <w:pPr>
              <w:pStyle w:val="CLDTableTextListText"/>
              <w:keepNext w:val="0"/>
              <w:rPr>
                <w:sz w:val="22"/>
                <w:szCs w:val="22"/>
              </w:rPr>
            </w:pPr>
            <w:r w:rsidRPr="007031C3">
              <w:rPr>
                <w:sz w:val="22"/>
                <w:szCs w:val="22"/>
              </w:rPr>
              <w:t>49 (3.1)</w:t>
            </w:r>
          </w:p>
        </w:tc>
        <w:tc>
          <w:tcPr>
            <w:tcW w:w="2409" w:type="dxa"/>
          </w:tcPr>
          <w:p w:rsidR="00ED7D1C" w:rsidRPr="007031C3" w:rsidRDefault="00ED7D1C" w:rsidP="007B0F06">
            <w:pPr>
              <w:pStyle w:val="CLDTableTextListText"/>
              <w:keepNext w:val="0"/>
              <w:rPr>
                <w:sz w:val="22"/>
                <w:szCs w:val="22"/>
              </w:rPr>
            </w:pPr>
            <w:r w:rsidRPr="007031C3">
              <w:rPr>
                <w:sz w:val="22"/>
                <w:szCs w:val="22"/>
              </w:rPr>
              <w:t>82 (2.6)</w:t>
            </w:r>
          </w:p>
        </w:tc>
        <w:tc>
          <w:tcPr>
            <w:tcW w:w="1276" w:type="dxa"/>
          </w:tcPr>
          <w:p w:rsidR="00ED7D1C" w:rsidRPr="007031C3" w:rsidRDefault="00ED7D1C" w:rsidP="007B0F06">
            <w:pPr>
              <w:pStyle w:val="CLDTableTextListText"/>
              <w:keepNext w:val="0"/>
              <w:rPr>
                <w:sz w:val="22"/>
                <w:szCs w:val="22"/>
              </w:rPr>
            </w:pPr>
            <w:r w:rsidRPr="007031C3">
              <w:rPr>
                <w:sz w:val="22"/>
                <w:szCs w:val="22"/>
              </w:rPr>
              <w:t>25 (2.0)</w:t>
            </w:r>
          </w:p>
        </w:tc>
      </w:tr>
      <w:tr w:rsidR="00ED7D1C" w:rsidRPr="007031C3" w:rsidTr="00C677B4">
        <w:tc>
          <w:tcPr>
            <w:tcW w:w="3369" w:type="dxa"/>
          </w:tcPr>
          <w:p w:rsidR="00ED7D1C" w:rsidRPr="007031C3" w:rsidRDefault="00ED7D1C" w:rsidP="007B0F06">
            <w:pPr>
              <w:pStyle w:val="CLDTableTextListText"/>
              <w:keepNext w:val="0"/>
              <w:rPr>
                <w:sz w:val="22"/>
                <w:szCs w:val="22"/>
              </w:rPr>
            </w:pPr>
            <w:r w:rsidRPr="007031C3">
              <w:rPr>
                <w:sz w:val="22"/>
                <w:szCs w:val="22"/>
              </w:rPr>
              <w:t>Oropharyngeal pain</w:t>
            </w:r>
          </w:p>
        </w:tc>
        <w:tc>
          <w:tcPr>
            <w:tcW w:w="2268" w:type="dxa"/>
          </w:tcPr>
          <w:p w:rsidR="00ED7D1C" w:rsidRPr="007031C3" w:rsidRDefault="00ED7D1C" w:rsidP="007B0F06">
            <w:pPr>
              <w:pStyle w:val="CLDTableTextListText"/>
              <w:keepNext w:val="0"/>
              <w:rPr>
                <w:sz w:val="22"/>
                <w:szCs w:val="22"/>
              </w:rPr>
            </w:pPr>
            <w:r w:rsidRPr="007031C3">
              <w:rPr>
                <w:sz w:val="22"/>
                <w:szCs w:val="22"/>
              </w:rPr>
              <w:t>69 (4.4)</w:t>
            </w:r>
          </w:p>
        </w:tc>
        <w:tc>
          <w:tcPr>
            <w:tcW w:w="2409" w:type="dxa"/>
          </w:tcPr>
          <w:p w:rsidR="00ED7D1C" w:rsidRPr="007031C3" w:rsidRDefault="00ED7D1C" w:rsidP="007B0F06">
            <w:pPr>
              <w:pStyle w:val="CLDTableTextListText"/>
              <w:keepNext w:val="0"/>
              <w:rPr>
                <w:sz w:val="22"/>
                <w:szCs w:val="22"/>
              </w:rPr>
            </w:pPr>
            <w:r w:rsidRPr="007031C3">
              <w:rPr>
                <w:sz w:val="22"/>
                <w:szCs w:val="22"/>
              </w:rPr>
              <w:t>131 (4.1)</w:t>
            </w:r>
          </w:p>
        </w:tc>
        <w:tc>
          <w:tcPr>
            <w:tcW w:w="1276" w:type="dxa"/>
          </w:tcPr>
          <w:p w:rsidR="00ED7D1C" w:rsidRPr="007031C3" w:rsidRDefault="00ED7D1C" w:rsidP="007B0F06">
            <w:pPr>
              <w:pStyle w:val="CLDTableTextListText"/>
              <w:keepNext w:val="0"/>
              <w:rPr>
                <w:sz w:val="22"/>
                <w:szCs w:val="22"/>
              </w:rPr>
            </w:pPr>
            <w:r w:rsidRPr="007031C3">
              <w:rPr>
                <w:sz w:val="22"/>
                <w:szCs w:val="22"/>
              </w:rPr>
              <w:t>50 (4.0)</w:t>
            </w:r>
          </w:p>
        </w:tc>
      </w:tr>
      <w:tr w:rsidR="00ED7D1C" w:rsidRPr="007031C3" w:rsidTr="00C677B4">
        <w:tc>
          <w:tcPr>
            <w:tcW w:w="3369" w:type="dxa"/>
          </w:tcPr>
          <w:p w:rsidR="00ED7D1C" w:rsidRPr="007031C3" w:rsidRDefault="00ED7D1C" w:rsidP="007B0F06">
            <w:pPr>
              <w:pStyle w:val="CLDTableTextListText"/>
              <w:keepNext w:val="0"/>
              <w:rPr>
                <w:sz w:val="22"/>
                <w:szCs w:val="22"/>
              </w:rPr>
            </w:pPr>
            <w:r w:rsidRPr="007031C3">
              <w:rPr>
                <w:sz w:val="22"/>
                <w:szCs w:val="22"/>
              </w:rPr>
              <w:t>Pharyngolaryngeal pain</w:t>
            </w:r>
          </w:p>
        </w:tc>
        <w:tc>
          <w:tcPr>
            <w:tcW w:w="2268" w:type="dxa"/>
          </w:tcPr>
          <w:p w:rsidR="00ED7D1C" w:rsidRPr="007031C3" w:rsidRDefault="00ED7D1C" w:rsidP="007B0F06">
            <w:pPr>
              <w:pStyle w:val="CLDTableTextListText"/>
              <w:keepNext w:val="0"/>
              <w:rPr>
                <w:sz w:val="22"/>
                <w:szCs w:val="22"/>
              </w:rPr>
            </w:pPr>
            <w:r w:rsidRPr="007031C3">
              <w:rPr>
                <w:sz w:val="22"/>
                <w:szCs w:val="22"/>
              </w:rPr>
              <w:t>28 (1.8)</w:t>
            </w:r>
          </w:p>
        </w:tc>
        <w:tc>
          <w:tcPr>
            <w:tcW w:w="2409" w:type="dxa"/>
          </w:tcPr>
          <w:p w:rsidR="00ED7D1C" w:rsidRPr="007031C3" w:rsidRDefault="00ED7D1C" w:rsidP="007B0F06">
            <w:pPr>
              <w:pStyle w:val="CLDTableTextListText"/>
              <w:keepNext w:val="0"/>
              <w:rPr>
                <w:sz w:val="22"/>
                <w:szCs w:val="22"/>
              </w:rPr>
            </w:pPr>
            <w:r w:rsidRPr="007031C3">
              <w:rPr>
                <w:sz w:val="22"/>
                <w:szCs w:val="22"/>
              </w:rPr>
              <w:t>64 (2.0)</w:t>
            </w:r>
          </w:p>
        </w:tc>
        <w:tc>
          <w:tcPr>
            <w:tcW w:w="1276" w:type="dxa"/>
          </w:tcPr>
          <w:p w:rsidR="00ED7D1C" w:rsidRPr="007031C3" w:rsidRDefault="00ED7D1C" w:rsidP="007B0F06">
            <w:pPr>
              <w:pStyle w:val="CLDTableTextListText"/>
              <w:keepNext w:val="0"/>
              <w:rPr>
                <w:sz w:val="22"/>
                <w:szCs w:val="22"/>
              </w:rPr>
            </w:pPr>
            <w:r w:rsidRPr="007031C3">
              <w:rPr>
                <w:sz w:val="22"/>
                <w:szCs w:val="22"/>
              </w:rPr>
              <w:t>19 (1.5)</w:t>
            </w:r>
          </w:p>
        </w:tc>
      </w:tr>
      <w:tr w:rsidR="00ED7D1C" w:rsidRPr="00FC5E26" w:rsidTr="00C677B4">
        <w:tc>
          <w:tcPr>
            <w:tcW w:w="3369" w:type="dxa"/>
          </w:tcPr>
          <w:p w:rsidR="00ED7D1C" w:rsidRPr="00C47FEB" w:rsidRDefault="00ED7D1C" w:rsidP="007B0F06">
            <w:pPr>
              <w:pStyle w:val="CLDTableTextListText"/>
              <w:keepNext w:val="0"/>
              <w:rPr>
                <w:sz w:val="22"/>
                <w:szCs w:val="22"/>
              </w:rPr>
            </w:pPr>
            <w:r w:rsidRPr="00C47FEB">
              <w:rPr>
                <w:sz w:val="22"/>
                <w:szCs w:val="22"/>
              </w:rPr>
              <w:t>Rhinitis allergic</w:t>
            </w:r>
          </w:p>
        </w:tc>
        <w:tc>
          <w:tcPr>
            <w:tcW w:w="2268" w:type="dxa"/>
          </w:tcPr>
          <w:p w:rsidR="00ED7D1C" w:rsidRPr="00C47FEB" w:rsidRDefault="00ED7D1C" w:rsidP="007B0F06">
            <w:pPr>
              <w:pStyle w:val="CLDTableTextListText"/>
              <w:keepNext w:val="0"/>
              <w:rPr>
                <w:sz w:val="22"/>
                <w:szCs w:val="22"/>
              </w:rPr>
            </w:pPr>
            <w:r w:rsidRPr="00C47FEB">
              <w:rPr>
                <w:sz w:val="22"/>
                <w:szCs w:val="22"/>
              </w:rPr>
              <w:t>16 (1.0)</w:t>
            </w:r>
          </w:p>
        </w:tc>
        <w:tc>
          <w:tcPr>
            <w:tcW w:w="2409" w:type="dxa"/>
          </w:tcPr>
          <w:p w:rsidR="00ED7D1C" w:rsidRPr="00C47FEB" w:rsidRDefault="00ED7D1C" w:rsidP="007B0F06">
            <w:pPr>
              <w:pStyle w:val="CLDTableTextListText"/>
              <w:keepNext w:val="0"/>
              <w:rPr>
                <w:sz w:val="22"/>
                <w:szCs w:val="22"/>
              </w:rPr>
            </w:pPr>
            <w:r w:rsidRPr="00C47FEB">
              <w:rPr>
                <w:sz w:val="22"/>
                <w:szCs w:val="22"/>
              </w:rPr>
              <w:t>26 (0.8)</w:t>
            </w:r>
          </w:p>
        </w:tc>
        <w:tc>
          <w:tcPr>
            <w:tcW w:w="1276" w:type="dxa"/>
          </w:tcPr>
          <w:p w:rsidR="00ED7D1C" w:rsidRPr="00C47FEB" w:rsidRDefault="00ED7D1C" w:rsidP="007B0F06">
            <w:pPr>
              <w:pStyle w:val="CLDTableTextListText"/>
              <w:keepNext w:val="0"/>
              <w:rPr>
                <w:sz w:val="22"/>
                <w:szCs w:val="22"/>
              </w:rPr>
            </w:pPr>
            <w:r w:rsidRPr="00C47FEB">
              <w:rPr>
                <w:sz w:val="22"/>
                <w:szCs w:val="22"/>
              </w:rPr>
              <w:t>10 (0.8)</w:t>
            </w:r>
          </w:p>
        </w:tc>
      </w:tr>
      <w:tr w:rsidR="00ED7D1C" w:rsidRPr="00FC5E26" w:rsidTr="00C677B4">
        <w:tc>
          <w:tcPr>
            <w:tcW w:w="3369" w:type="dxa"/>
          </w:tcPr>
          <w:p w:rsidR="00ED7D1C" w:rsidRPr="007031C3" w:rsidRDefault="00ED7D1C" w:rsidP="007B0F06">
            <w:pPr>
              <w:pStyle w:val="CLDTableTextListText"/>
              <w:keepNext w:val="0"/>
              <w:rPr>
                <w:sz w:val="22"/>
                <w:szCs w:val="22"/>
              </w:rPr>
            </w:pPr>
            <w:r w:rsidRPr="007031C3">
              <w:rPr>
                <w:sz w:val="22"/>
                <w:szCs w:val="22"/>
              </w:rPr>
              <w:t>Rhinorrhoea</w:t>
            </w:r>
          </w:p>
        </w:tc>
        <w:tc>
          <w:tcPr>
            <w:tcW w:w="2268" w:type="dxa"/>
          </w:tcPr>
          <w:p w:rsidR="00ED7D1C" w:rsidRPr="007031C3" w:rsidRDefault="00ED7D1C" w:rsidP="007B0F06">
            <w:pPr>
              <w:pStyle w:val="CLDTableTextListText"/>
              <w:keepNext w:val="0"/>
              <w:rPr>
                <w:sz w:val="22"/>
                <w:szCs w:val="22"/>
              </w:rPr>
            </w:pPr>
            <w:r w:rsidRPr="007031C3">
              <w:rPr>
                <w:sz w:val="22"/>
                <w:szCs w:val="22"/>
              </w:rPr>
              <w:t>14 (0.9)</w:t>
            </w:r>
          </w:p>
        </w:tc>
        <w:tc>
          <w:tcPr>
            <w:tcW w:w="2409" w:type="dxa"/>
          </w:tcPr>
          <w:p w:rsidR="00ED7D1C" w:rsidRPr="007031C3" w:rsidRDefault="00ED7D1C" w:rsidP="007B0F06">
            <w:pPr>
              <w:pStyle w:val="CLDTableTextListText"/>
              <w:keepNext w:val="0"/>
              <w:rPr>
                <w:sz w:val="22"/>
                <w:szCs w:val="22"/>
              </w:rPr>
            </w:pPr>
            <w:r w:rsidRPr="007031C3">
              <w:rPr>
                <w:sz w:val="22"/>
                <w:szCs w:val="22"/>
              </w:rPr>
              <w:t>36 (1.1)</w:t>
            </w:r>
          </w:p>
        </w:tc>
        <w:tc>
          <w:tcPr>
            <w:tcW w:w="1276" w:type="dxa"/>
          </w:tcPr>
          <w:p w:rsidR="00ED7D1C" w:rsidRPr="007031C3" w:rsidRDefault="00ED7D1C" w:rsidP="007B0F06">
            <w:pPr>
              <w:pStyle w:val="CLDTableTextListText"/>
              <w:keepNext w:val="0"/>
              <w:rPr>
                <w:sz w:val="22"/>
                <w:szCs w:val="22"/>
              </w:rPr>
            </w:pPr>
            <w:r w:rsidRPr="007031C3">
              <w:rPr>
                <w:sz w:val="22"/>
                <w:szCs w:val="22"/>
              </w:rPr>
              <w:t>12 (1.0)</w:t>
            </w:r>
          </w:p>
        </w:tc>
      </w:tr>
      <w:tr w:rsidR="00ED7D1C" w:rsidRPr="00FC5E26" w:rsidTr="00C677B4">
        <w:tc>
          <w:tcPr>
            <w:tcW w:w="3369" w:type="dxa"/>
          </w:tcPr>
          <w:p w:rsidR="00ED7D1C" w:rsidRPr="007031C3" w:rsidRDefault="00ED7D1C" w:rsidP="007B0F06">
            <w:pPr>
              <w:pStyle w:val="CLDTableTextListText"/>
              <w:keepNext w:val="0"/>
              <w:rPr>
                <w:sz w:val="22"/>
                <w:szCs w:val="22"/>
              </w:rPr>
            </w:pPr>
            <w:r w:rsidRPr="007031C3">
              <w:rPr>
                <w:sz w:val="22"/>
                <w:szCs w:val="22"/>
              </w:rPr>
              <w:t>Sinus congestion</w:t>
            </w:r>
          </w:p>
        </w:tc>
        <w:tc>
          <w:tcPr>
            <w:tcW w:w="2268" w:type="dxa"/>
          </w:tcPr>
          <w:p w:rsidR="00ED7D1C" w:rsidRPr="007031C3" w:rsidRDefault="00ED7D1C" w:rsidP="007B0F06">
            <w:pPr>
              <w:pStyle w:val="CLDTableTextListText"/>
              <w:keepNext w:val="0"/>
              <w:rPr>
                <w:sz w:val="22"/>
                <w:szCs w:val="22"/>
              </w:rPr>
            </w:pPr>
            <w:r w:rsidRPr="007031C3">
              <w:rPr>
                <w:sz w:val="22"/>
                <w:szCs w:val="22"/>
              </w:rPr>
              <w:t>43 (2.7)</w:t>
            </w:r>
          </w:p>
        </w:tc>
        <w:tc>
          <w:tcPr>
            <w:tcW w:w="2409" w:type="dxa"/>
          </w:tcPr>
          <w:p w:rsidR="00ED7D1C" w:rsidRPr="007031C3" w:rsidRDefault="00ED7D1C" w:rsidP="007B0F06">
            <w:pPr>
              <w:pStyle w:val="CLDTableTextListText"/>
              <w:keepNext w:val="0"/>
              <w:rPr>
                <w:sz w:val="22"/>
                <w:szCs w:val="22"/>
              </w:rPr>
            </w:pPr>
            <w:r w:rsidRPr="007031C3">
              <w:rPr>
                <w:sz w:val="22"/>
                <w:szCs w:val="22"/>
              </w:rPr>
              <w:t>92 (2.9)</w:t>
            </w:r>
          </w:p>
        </w:tc>
        <w:tc>
          <w:tcPr>
            <w:tcW w:w="1276" w:type="dxa"/>
          </w:tcPr>
          <w:p w:rsidR="00ED7D1C" w:rsidRPr="007031C3" w:rsidRDefault="00ED7D1C" w:rsidP="007B0F06">
            <w:pPr>
              <w:pStyle w:val="CLDTableTextListText"/>
              <w:keepNext w:val="0"/>
              <w:rPr>
                <w:sz w:val="22"/>
                <w:szCs w:val="22"/>
              </w:rPr>
            </w:pPr>
            <w:r w:rsidRPr="007031C3">
              <w:rPr>
                <w:sz w:val="22"/>
                <w:szCs w:val="22"/>
              </w:rPr>
              <w:t>26 (2.1)</w:t>
            </w:r>
          </w:p>
        </w:tc>
      </w:tr>
      <w:tr w:rsidR="00ED7D1C" w:rsidRPr="00FC5E26" w:rsidTr="00540D26">
        <w:tc>
          <w:tcPr>
            <w:tcW w:w="9322" w:type="dxa"/>
            <w:gridSpan w:val="4"/>
          </w:tcPr>
          <w:p w:rsidR="00ED7D1C" w:rsidRPr="007031C3" w:rsidRDefault="00ED7D1C" w:rsidP="007B0F06">
            <w:pPr>
              <w:pStyle w:val="CLDTableTextListText"/>
              <w:keepNext w:val="0"/>
              <w:rPr>
                <w:sz w:val="22"/>
                <w:szCs w:val="22"/>
              </w:rPr>
            </w:pPr>
            <w:r w:rsidRPr="00B54798">
              <w:rPr>
                <w:b/>
                <w:i/>
                <w:sz w:val="22"/>
                <w:szCs w:val="22"/>
              </w:rPr>
              <w:t>Skin and Subcutaneous Tissue Disorders</w:t>
            </w:r>
          </w:p>
        </w:tc>
      </w:tr>
      <w:tr w:rsidR="00ED7D1C" w:rsidRPr="00FC5E26" w:rsidTr="00C677B4">
        <w:tc>
          <w:tcPr>
            <w:tcW w:w="3369" w:type="dxa"/>
          </w:tcPr>
          <w:p w:rsidR="00ED7D1C" w:rsidRPr="007031C3" w:rsidRDefault="00ED7D1C" w:rsidP="007B0F06">
            <w:pPr>
              <w:pStyle w:val="CLDTableTextListText"/>
              <w:keepNext w:val="0"/>
              <w:rPr>
                <w:sz w:val="22"/>
                <w:szCs w:val="22"/>
              </w:rPr>
            </w:pPr>
            <w:r w:rsidRPr="007031C3">
              <w:rPr>
                <w:sz w:val="22"/>
                <w:szCs w:val="22"/>
              </w:rPr>
              <w:t>Acne</w:t>
            </w:r>
          </w:p>
        </w:tc>
        <w:tc>
          <w:tcPr>
            <w:tcW w:w="2268" w:type="dxa"/>
          </w:tcPr>
          <w:p w:rsidR="00ED7D1C" w:rsidRPr="007031C3" w:rsidRDefault="00ED7D1C" w:rsidP="007B0F06">
            <w:pPr>
              <w:pStyle w:val="CLDTableTextListText"/>
              <w:keepNext w:val="0"/>
              <w:rPr>
                <w:sz w:val="22"/>
                <w:szCs w:val="22"/>
              </w:rPr>
            </w:pPr>
            <w:r w:rsidRPr="007031C3">
              <w:rPr>
                <w:sz w:val="22"/>
                <w:szCs w:val="22"/>
              </w:rPr>
              <w:t>17 (1.1)</w:t>
            </w:r>
          </w:p>
        </w:tc>
        <w:tc>
          <w:tcPr>
            <w:tcW w:w="2409" w:type="dxa"/>
          </w:tcPr>
          <w:p w:rsidR="00ED7D1C" w:rsidRPr="007031C3" w:rsidRDefault="00ED7D1C" w:rsidP="007B0F06">
            <w:pPr>
              <w:pStyle w:val="CLDTableTextListText"/>
              <w:keepNext w:val="0"/>
              <w:rPr>
                <w:sz w:val="22"/>
                <w:szCs w:val="22"/>
              </w:rPr>
            </w:pPr>
            <w:r w:rsidRPr="007031C3">
              <w:rPr>
                <w:sz w:val="22"/>
                <w:szCs w:val="22"/>
              </w:rPr>
              <w:t>27 (0.9)</w:t>
            </w:r>
          </w:p>
        </w:tc>
        <w:tc>
          <w:tcPr>
            <w:tcW w:w="1276" w:type="dxa"/>
          </w:tcPr>
          <w:p w:rsidR="00ED7D1C" w:rsidRPr="007031C3" w:rsidRDefault="00ED7D1C" w:rsidP="007B0F06">
            <w:pPr>
              <w:pStyle w:val="CLDTableTextListText"/>
              <w:keepNext w:val="0"/>
              <w:rPr>
                <w:sz w:val="22"/>
                <w:szCs w:val="22"/>
              </w:rPr>
            </w:pPr>
            <w:r w:rsidRPr="007031C3">
              <w:rPr>
                <w:sz w:val="22"/>
                <w:szCs w:val="22"/>
              </w:rPr>
              <w:t>10 (0.8)</w:t>
            </w:r>
          </w:p>
        </w:tc>
      </w:tr>
      <w:tr w:rsidR="00ED7D1C" w:rsidRPr="00FC5E26" w:rsidTr="00C677B4">
        <w:tc>
          <w:tcPr>
            <w:tcW w:w="3369" w:type="dxa"/>
          </w:tcPr>
          <w:p w:rsidR="00ED7D1C" w:rsidRPr="007031C3" w:rsidRDefault="00ED7D1C" w:rsidP="007B0F06">
            <w:pPr>
              <w:pStyle w:val="CLDTableTextListText"/>
              <w:keepNext w:val="0"/>
              <w:rPr>
                <w:sz w:val="22"/>
                <w:szCs w:val="22"/>
              </w:rPr>
            </w:pPr>
            <w:r w:rsidRPr="007031C3">
              <w:rPr>
                <w:sz w:val="22"/>
                <w:szCs w:val="22"/>
              </w:rPr>
              <w:t>Alopecia</w:t>
            </w:r>
          </w:p>
        </w:tc>
        <w:tc>
          <w:tcPr>
            <w:tcW w:w="2268" w:type="dxa"/>
          </w:tcPr>
          <w:p w:rsidR="00ED7D1C" w:rsidRPr="007031C3" w:rsidRDefault="00ED7D1C" w:rsidP="007B0F06">
            <w:pPr>
              <w:pStyle w:val="CLDTableTextListText"/>
              <w:keepNext w:val="0"/>
              <w:rPr>
                <w:sz w:val="22"/>
                <w:szCs w:val="22"/>
              </w:rPr>
            </w:pPr>
            <w:r w:rsidRPr="007031C3">
              <w:rPr>
                <w:sz w:val="22"/>
                <w:szCs w:val="22"/>
              </w:rPr>
              <w:t>31 (2.0)</w:t>
            </w:r>
          </w:p>
        </w:tc>
        <w:tc>
          <w:tcPr>
            <w:tcW w:w="2409" w:type="dxa"/>
          </w:tcPr>
          <w:p w:rsidR="00ED7D1C" w:rsidRPr="007031C3" w:rsidRDefault="00ED7D1C" w:rsidP="007B0F06">
            <w:pPr>
              <w:pStyle w:val="CLDTableTextListText"/>
              <w:keepNext w:val="0"/>
              <w:rPr>
                <w:sz w:val="22"/>
                <w:szCs w:val="22"/>
              </w:rPr>
            </w:pPr>
            <w:r w:rsidRPr="007031C3">
              <w:rPr>
                <w:sz w:val="22"/>
                <w:szCs w:val="22"/>
              </w:rPr>
              <w:t>60 (1.9)</w:t>
            </w:r>
          </w:p>
        </w:tc>
        <w:tc>
          <w:tcPr>
            <w:tcW w:w="1276" w:type="dxa"/>
          </w:tcPr>
          <w:p w:rsidR="00ED7D1C" w:rsidRPr="007031C3" w:rsidRDefault="00ED7D1C" w:rsidP="007B0F06">
            <w:pPr>
              <w:pStyle w:val="CLDTableTextListText"/>
              <w:keepNext w:val="0"/>
              <w:rPr>
                <w:sz w:val="22"/>
                <w:szCs w:val="22"/>
              </w:rPr>
            </w:pPr>
            <w:r w:rsidRPr="007031C3">
              <w:rPr>
                <w:sz w:val="22"/>
                <w:szCs w:val="22"/>
              </w:rPr>
              <w:t>13 (1.0)</w:t>
            </w:r>
          </w:p>
        </w:tc>
      </w:tr>
      <w:tr w:rsidR="00ED7D1C" w:rsidRPr="00FC5E26" w:rsidTr="00C677B4">
        <w:tc>
          <w:tcPr>
            <w:tcW w:w="3369" w:type="dxa"/>
          </w:tcPr>
          <w:p w:rsidR="00ED7D1C" w:rsidRPr="007031C3" w:rsidRDefault="00ED7D1C" w:rsidP="007B0F06">
            <w:pPr>
              <w:pStyle w:val="CLDTableTextListText"/>
              <w:keepNext w:val="0"/>
              <w:rPr>
                <w:sz w:val="22"/>
                <w:szCs w:val="22"/>
              </w:rPr>
            </w:pPr>
            <w:r w:rsidRPr="007031C3">
              <w:rPr>
                <w:sz w:val="22"/>
                <w:szCs w:val="22"/>
              </w:rPr>
              <w:t>Dermatitis contact</w:t>
            </w:r>
          </w:p>
        </w:tc>
        <w:tc>
          <w:tcPr>
            <w:tcW w:w="2268" w:type="dxa"/>
          </w:tcPr>
          <w:p w:rsidR="00ED7D1C" w:rsidRPr="007031C3" w:rsidRDefault="00ED7D1C" w:rsidP="007B0F06">
            <w:pPr>
              <w:pStyle w:val="CLDTableTextListText"/>
              <w:keepNext w:val="0"/>
              <w:rPr>
                <w:sz w:val="22"/>
                <w:szCs w:val="22"/>
              </w:rPr>
            </w:pPr>
            <w:r w:rsidRPr="007031C3">
              <w:rPr>
                <w:sz w:val="22"/>
                <w:szCs w:val="22"/>
              </w:rPr>
              <w:t>22 (1.4)</w:t>
            </w:r>
          </w:p>
        </w:tc>
        <w:tc>
          <w:tcPr>
            <w:tcW w:w="2409" w:type="dxa"/>
          </w:tcPr>
          <w:p w:rsidR="00ED7D1C" w:rsidRPr="007031C3" w:rsidRDefault="00ED7D1C" w:rsidP="007B0F06">
            <w:pPr>
              <w:pStyle w:val="CLDTableTextListText"/>
              <w:keepNext w:val="0"/>
              <w:rPr>
                <w:sz w:val="22"/>
                <w:szCs w:val="22"/>
              </w:rPr>
            </w:pPr>
            <w:r w:rsidRPr="007031C3">
              <w:rPr>
                <w:sz w:val="22"/>
                <w:szCs w:val="22"/>
              </w:rPr>
              <w:t>40 (1.3)</w:t>
            </w:r>
          </w:p>
        </w:tc>
        <w:tc>
          <w:tcPr>
            <w:tcW w:w="1276" w:type="dxa"/>
          </w:tcPr>
          <w:p w:rsidR="00ED7D1C" w:rsidRPr="007031C3" w:rsidRDefault="00ED7D1C" w:rsidP="007B0F06">
            <w:pPr>
              <w:pStyle w:val="CLDTableTextListText"/>
              <w:keepNext w:val="0"/>
              <w:rPr>
                <w:sz w:val="22"/>
                <w:szCs w:val="22"/>
              </w:rPr>
            </w:pPr>
            <w:r w:rsidRPr="007031C3">
              <w:rPr>
                <w:sz w:val="22"/>
                <w:szCs w:val="22"/>
              </w:rPr>
              <w:t>10 (0.8)</w:t>
            </w:r>
          </w:p>
        </w:tc>
      </w:tr>
      <w:tr w:rsidR="00ED7D1C" w:rsidRPr="00FC5E26" w:rsidTr="00C677B4">
        <w:tc>
          <w:tcPr>
            <w:tcW w:w="3369" w:type="dxa"/>
          </w:tcPr>
          <w:p w:rsidR="00ED7D1C" w:rsidRPr="007031C3" w:rsidRDefault="00ED7D1C" w:rsidP="007B0F06">
            <w:pPr>
              <w:pStyle w:val="CLDTableTextListText"/>
              <w:keepNext w:val="0"/>
              <w:rPr>
                <w:sz w:val="22"/>
                <w:szCs w:val="22"/>
              </w:rPr>
            </w:pPr>
            <w:r w:rsidRPr="007031C3">
              <w:rPr>
                <w:sz w:val="22"/>
                <w:szCs w:val="22"/>
              </w:rPr>
              <w:t>Dry skin</w:t>
            </w:r>
          </w:p>
        </w:tc>
        <w:tc>
          <w:tcPr>
            <w:tcW w:w="2268" w:type="dxa"/>
          </w:tcPr>
          <w:p w:rsidR="00ED7D1C" w:rsidRPr="007031C3" w:rsidRDefault="00ED7D1C" w:rsidP="007B0F06">
            <w:pPr>
              <w:pStyle w:val="CLDTableTextListText"/>
              <w:keepNext w:val="0"/>
              <w:rPr>
                <w:sz w:val="22"/>
                <w:szCs w:val="22"/>
              </w:rPr>
            </w:pPr>
            <w:r w:rsidRPr="007031C3">
              <w:rPr>
                <w:sz w:val="22"/>
                <w:szCs w:val="22"/>
              </w:rPr>
              <w:t>18 (1.1)</w:t>
            </w:r>
          </w:p>
        </w:tc>
        <w:tc>
          <w:tcPr>
            <w:tcW w:w="2409" w:type="dxa"/>
          </w:tcPr>
          <w:p w:rsidR="00ED7D1C" w:rsidRPr="007031C3" w:rsidRDefault="00ED7D1C" w:rsidP="007B0F06">
            <w:pPr>
              <w:pStyle w:val="CLDTableTextListText"/>
              <w:keepNext w:val="0"/>
              <w:rPr>
                <w:sz w:val="22"/>
                <w:szCs w:val="22"/>
              </w:rPr>
            </w:pPr>
            <w:r w:rsidRPr="007031C3">
              <w:rPr>
                <w:sz w:val="22"/>
                <w:szCs w:val="22"/>
              </w:rPr>
              <w:t>35 (1.1)</w:t>
            </w:r>
          </w:p>
        </w:tc>
        <w:tc>
          <w:tcPr>
            <w:tcW w:w="1276" w:type="dxa"/>
          </w:tcPr>
          <w:p w:rsidR="00ED7D1C" w:rsidRPr="007031C3" w:rsidRDefault="00ED7D1C" w:rsidP="007B0F06">
            <w:pPr>
              <w:pStyle w:val="CLDTableTextListText"/>
              <w:keepNext w:val="0"/>
              <w:rPr>
                <w:sz w:val="22"/>
                <w:szCs w:val="22"/>
              </w:rPr>
            </w:pPr>
            <w:r w:rsidRPr="007031C3">
              <w:rPr>
                <w:sz w:val="22"/>
                <w:szCs w:val="22"/>
              </w:rPr>
              <w:t>6 (0.5)</w:t>
            </w:r>
          </w:p>
        </w:tc>
      </w:tr>
      <w:tr w:rsidR="00ED7D1C" w:rsidRPr="00FC5E26" w:rsidTr="00C677B4">
        <w:tc>
          <w:tcPr>
            <w:tcW w:w="3369" w:type="dxa"/>
          </w:tcPr>
          <w:p w:rsidR="00ED7D1C" w:rsidRPr="007031C3" w:rsidRDefault="00ED7D1C" w:rsidP="007B0F06">
            <w:pPr>
              <w:pStyle w:val="CLDTableTextListText"/>
              <w:keepNext w:val="0"/>
              <w:rPr>
                <w:sz w:val="22"/>
                <w:szCs w:val="22"/>
              </w:rPr>
            </w:pPr>
            <w:r w:rsidRPr="007031C3">
              <w:rPr>
                <w:sz w:val="22"/>
                <w:szCs w:val="22"/>
              </w:rPr>
              <w:t>Pruritus</w:t>
            </w:r>
          </w:p>
        </w:tc>
        <w:tc>
          <w:tcPr>
            <w:tcW w:w="2268" w:type="dxa"/>
          </w:tcPr>
          <w:p w:rsidR="00ED7D1C" w:rsidRPr="007031C3" w:rsidRDefault="00ED7D1C" w:rsidP="007B0F06">
            <w:pPr>
              <w:pStyle w:val="CLDTableTextListText"/>
              <w:keepNext w:val="0"/>
              <w:rPr>
                <w:sz w:val="22"/>
                <w:szCs w:val="22"/>
              </w:rPr>
            </w:pPr>
            <w:r w:rsidRPr="007031C3">
              <w:rPr>
                <w:sz w:val="22"/>
                <w:szCs w:val="22"/>
              </w:rPr>
              <w:t>30 (1.9)</w:t>
            </w:r>
          </w:p>
        </w:tc>
        <w:tc>
          <w:tcPr>
            <w:tcW w:w="2409" w:type="dxa"/>
          </w:tcPr>
          <w:p w:rsidR="00ED7D1C" w:rsidRPr="007031C3" w:rsidRDefault="00ED7D1C" w:rsidP="007B0F06">
            <w:pPr>
              <w:pStyle w:val="CLDTableTextListText"/>
              <w:keepNext w:val="0"/>
              <w:rPr>
                <w:sz w:val="22"/>
                <w:szCs w:val="22"/>
              </w:rPr>
            </w:pPr>
            <w:r w:rsidRPr="007031C3">
              <w:rPr>
                <w:sz w:val="22"/>
                <w:szCs w:val="22"/>
              </w:rPr>
              <w:t>60 (1.9)</w:t>
            </w:r>
          </w:p>
        </w:tc>
        <w:tc>
          <w:tcPr>
            <w:tcW w:w="1276" w:type="dxa"/>
          </w:tcPr>
          <w:p w:rsidR="00ED7D1C" w:rsidRPr="007031C3" w:rsidRDefault="00ED7D1C" w:rsidP="007B0F06">
            <w:pPr>
              <w:pStyle w:val="CLDTableTextListText"/>
              <w:keepNext w:val="0"/>
              <w:rPr>
                <w:sz w:val="22"/>
                <w:szCs w:val="22"/>
              </w:rPr>
            </w:pPr>
            <w:r w:rsidRPr="007031C3">
              <w:rPr>
                <w:sz w:val="22"/>
                <w:szCs w:val="22"/>
              </w:rPr>
              <w:t>16 (1.3)</w:t>
            </w:r>
          </w:p>
        </w:tc>
      </w:tr>
      <w:tr w:rsidR="00ED7D1C" w:rsidRPr="00FC5E26" w:rsidTr="00C677B4">
        <w:tc>
          <w:tcPr>
            <w:tcW w:w="3369" w:type="dxa"/>
          </w:tcPr>
          <w:p w:rsidR="00ED7D1C" w:rsidRPr="007031C3" w:rsidRDefault="00ED7D1C" w:rsidP="007B0F06">
            <w:pPr>
              <w:pStyle w:val="CLDTableTextListText"/>
              <w:keepNext w:val="0"/>
              <w:rPr>
                <w:sz w:val="22"/>
                <w:szCs w:val="22"/>
              </w:rPr>
            </w:pPr>
            <w:r w:rsidRPr="007031C3">
              <w:rPr>
                <w:sz w:val="22"/>
                <w:szCs w:val="22"/>
              </w:rPr>
              <w:t>Rash</w:t>
            </w:r>
          </w:p>
        </w:tc>
        <w:tc>
          <w:tcPr>
            <w:tcW w:w="2268" w:type="dxa"/>
          </w:tcPr>
          <w:p w:rsidR="00ED7D1C" w:rsidRPr="007031C3" w:rsidRDefault="00ED7D1C" w:rsidP="007B0F06">
            <w:pPr>
              <w:pStyle w:val="CLDTableTextListText"/>
              <w:keepNext w:val="0"/>
              <w:rPr>
                <w:sz w:val="22"/>
                <w:szCs w:val="22"/>
              </w:rPr>
            </w:pPr>
            <w:r w:rsidRPr="007031C3">
              <w:rPr>
                <w:sz w:val="22"/>
                <w:szCs w:val="22"/>
              </w:rPr>
              <w:t>42 (2.6)</w:t>
            </w:r>
          </w:p>
        </w:tc>
        <w:tc>
          <w:tcPr>
            <w:tcW w:w="2409" w:type="dxa"/>
          </w:tcPr>
          <w:p w:rsidR="00ED7D1C" w:rsidRPr="007031C3" w:rsidRDefault="00ED7D1C" w:rsidP="007B0F06">
            <w:pPr>
              <w:pStyle w:val="CLDTableTextListText"/>
              <w:keepNext w:val="0"/>
              <w:rPr>
                <w:sz w:val="22"/>
                <w:szCs w:val="22"/>
              </w:rPr>
            </w:pPr>
            <w:r w:rsidRPr="007031C3">
              <w:rPr>
                <w:sz w:val="22"/>
                <w:szCs w:val="22"/>
              </w:rPr>
              <w:t>92 (2.9)</w:t>
            </w:r>
          </w:p>
        </w:tc>
        <w:tc>
          <w:tcPr>
            <w:tcW w:w="1276" w:type="dxa"/>
          </w:tcPr>
          <w:p w:rsidR="00ED7D1C" w:rsidRPr="007031C3" w:rsidRDefault="00ED7D1C" w:rsidP="007B0F06">
            <w:pPr>
              <w:pStyle w:val="CLDTableTextListText"/>
              <w:keepNext w:val="0"/>
              <w:rPr>
                <w:sz w:val="22"/>
                <w:szCs w:val="22"/>
              </w:rPr>
            </w:pPr>
            <w:r w:rsidRPr="007031C3">
              <w:rPr>
                <w:sz w:val="22"/>
                <w:szCs w:val="22"/>
              </w:rPr>
              <w:t>25 (2.0)</w:t>
            </w:r>
          </w:p>
        </w:tc>
      </w:tr>
      <w:tr w:rsidR="00ED7D1C" w:rsidRPr="00FC5E26" w:rsidTr="00C677B4">
        <w:tc>
          <w:tcPr>
            <w:tcW w:w="3369" w:type="dxa"/>
          </w:tcPr>
          <w:p w:rsidR="00ED7D1C" w:rsidRPr="00B54798" w:rsidRDefault="00ED7D1C" w:rsidP="007B0F06">
            <w:pPr>
              <w:pStyle w:val="CLDTableTextListText"/>
              <w:keepNext w:val="0"/>
              <w:rPr>
                <w:b/>
                <w:i/>
                <w:sz w:val="22"/>
                <w:szCs w:val="22"/>
              </w:rPr>
            </w:pPr>
            <w:r w:rsidRPr="00B54798">
              <w:rPr>
                <w:b/>
                <w:i/>
                <w:sz w:val="22"/>
                <w:szCs w:val="22"/>
              </w:rPr>
              <w:t>Vascular Disorders</w:t>
            </w:r>
          </w:p>
        </w:tc>
        <w:tc>
          <w:tcPr>
            <w:tcW w:w="2268" w:type="dxa"/>
          </w:tcPr>
          <w:p w:rsidR="00ED7D1C" w:rsidRPr="007031C3" w:rsidRDefault="00ED7D1C" w:rsidP="007B0F06">
            <w:pPr>
              <w:pStyle w:val="CLDTableTextListText"/>
              <w:keepNext w:val="0"/>
              <w:rPr>
                <w:sz w:val="22"/>
                <w:szCs w:val="22"/>
              </w:rPr>
            </w:pPr>
          </w:p>
        </w:tc>
        <w:tc>
          <w:tcPr>
            <w:tcW w:w="2409" w:type="dxa"/>
          </w:tcPr>
          <w:p w:rsidR="00ED7D1C" w:rsidRPr="007031C3" w:rsidRDefault="00ED7D1C" w:rsidP="007B0F06">
            <w:pPr>
              <w:pStyle w:val="CLDTableTextListText"/>
              <w:keepNext w:val="0"/>
              <w:rPr>
                <w:sz w:val="22"/>
                <w:szCs w:val="22"/>
              </w:rPr>
            </w:pPr>
          </w:p>
        </w:tc>
        <w:tc>
          <w:tcPr>
            <w:tcW w:w="1276" w:type="dxa"/>
          </w:tcPr>
          <w:p w:rsidR="00ED7D1C" w:rsidRPr="007031C3" w:rsidRDefault="00ED7D1C" w:rsidP="007B0F06">
            <w:pPr>
              <w:pStyle w:val="CLDTableTextListText"/>
              <w:keepNext w:val="0"/>
              <w:rPr>
                <w:sz w:val="22"/>
                <w:szCs w:val="22"/>
              </w:rPr>
            </w:pPr>
          </w:p>
        </w:tc>
      </w:tr>
      <w:tr w:rsidR="00540D26" w:rsidRPr="000A22E6" w:rsidTr="00C677B4">
        <w:tc>
          <w:tcPr>
            <w:tcW w:w="3369" w:type="dxa"/>
            <w:tcBorders>
              <w:bottom w:val="single" w:sz="2" w:space="0" w:color="auto"/>
            </w:tcBorders>
          </w:tcPr>
          <w:p w:rsidR="00ED7D1C" w:rsidRPr="000A22E6" w:rsidRDefault="00ED7D1C" w:rsidP="000A22E6">
            <w:pPr>
              <w:pStyle w:val="CLDTableTextListText"/>
              <w:rPr>
                <w:sz w:val="22"/>
              </w:rPr>
            </w:pPr>
            <w:r w:rsidRPr="000A22E6">
              <w:rPr>
                <w:sz w:val="22"/>
              </w:rPr>
              <w:t>Hypertension</w:t>
            </w:r>
          </w:p>
        </w:tc>
        <w:tc>
          <w:tcPr>
            <w:tcW w:w="2268" w:type="dxa"/>
            <w:tcBorders>
              <w:bottom w:val="single" w:sz="2" w:space="0" w:color="auto"/>
            </w:tcBorders>
          </w:tcPr>
          <w:p w:rsidR="00ED7D1C" w:rsidRPr="000A22E6" w:rsidRDefault="00ED7D1C" w:rsidP="000A22E6">
            <w:pPr>
              <w:pStyle w:val="CLDTableTextListText"/>
              <w:rPr>
                <w:sz w:val="22"/>
              </w:rPr>
            </w:pPr>
            <w:r w:rsidRPr="000A22E6">
              <w:rPr>
                <w:sz w:val="22"/>
              </w:rPr>
              <w:t>61 (3.8)</w:t>
            </w:r>
          </w:p>
        </w:tc>
        <w:tc>
          <w:tcPr>
            <w:tcW w:w="2409" w:type="dxa"/>
            <w:tcBorders>
              <w:bottom w:val="single" w:sz="2" w:space="0" w:color="auto"/>
            </w:tcBorders>
          </w:tcPr>
          <w:p w:rsidR="00ED7D1C" w:rsidRPr="000A22E6" w:rsidRDefault="00ED7D1C" w:rsidP="000A22E6">
            <w:pPr>
              <w:pStyle w:val="CLDTableTextListText"/>
              <w:rPr>
                <w:sz w:val="22"/>
              </w:rPr>
            </w:pPr>
            <w:r w:rsidRPr="000A22E6">
              <w:rPr>
                <w:sz w:val="22"/>
              </w:rPr>
              <w:t>111 (3.5)</w:t>
            </w:r>
          </w:p>
        </w:tc>
        <w:tc>
          <w:tcPr>
            <w:tcW w:w="1276" w:type="dxa"/>
            <w:tcBorders>
              <w:bottom w:val="single" w:sz="2" w:space="0" w:color="auto"/>
            </w:tcBorders>
          </w:tcPr>
          <w:p w:rsidR="00ED7D1C" w:rsidRPr="000A22E6" w:rsidRDefault="00ED7D1C" w:rsidP="000A22E6">
            <w:pPr>
              <w:pStyle w:val="CLDTableTextListText"/>
              <w:rPr>
                <w:sz w:val="22"/>
              </w:rPr>
            </w:pPr>
            <w:r w:rsidRPr="000A22E6">
              <w:rPr>
                <w:sz w:val="22"/>
              </w:rPr>
              <w:t>45 (3.6)</w:t>
            </w:r>
          </w:p>
        </w:tc>
      </w:tr>
      <w:tr w:rsidR="00ED7D1C" w:rsidRPr="00FC5E26" w:rsidTr="00540D26">
        <w:tc>
          <w:tcPr>
            <w:tcW w:w="9322" w:type="dxa"/>
            <w:gridSpan w:val="4"/>
            <w:tcBorders>
              <w:top w:val="single" w:sz="2" w:space="0" w:color="auto"/>
              <w:left w:val="nil"/>
              <w:bottom w:val="nil"/>
              <w:right w:val="nil"/>
            </w:tcBorders>
          </w:tcPr>
          <w:p w:rsidR="00ED7D1C" w:rsidRPr="004B5C12" w:rsidRDefault="00ED7D1C" w:rsidP="00C677B4">
            <w:pPr>
              <w:pStyle w:val="CLDTableFootnote"/>
              <w:rPr>
                <w:szCs w:val="20"/>
              </w:rPr>
            </w:pPr>
            <w:r w:rsidRPr="00372700">
              <w:rPr>
                <w:szCs w:val="20"/>
              </w:rPr>
              <w:t>*</w:t>
            </w:r>
            <w:r w:rsidR="00057C60">
              <w:rPr>
                <w:szCs w:val="20"/>
              </w:rPr>
              <w:t xml:space="preserve">approved </w:t>
            </w:r>
            <w:r w:rsidR="00372700">
              <w:rPr>
                <w:szCs w:val="20"/>
              </w:rPr>
              <w:t>strength</w:t>
            </w:r>
            <w:r w:rsidRPr="00372700">
              <w:rPr>
                <w:szCs w:val="20"/>
              </w:rPr>
              <w:t>.</w:t>
            </w:r>
          </w:p>
        </w:tc>
      </w:tr>
    </w:tbl>
    <w:p w:rsidR="00400C4D" w:rsidRDefault="00B50069" w:rsidP="00B50069">
      <w:pPr>
        <w:pStyle w:val="PINormal"/>
        <w:rPr>
          <w:b/>
        </w:rPr>
      </w:pPr>
      <w:r w:rsidRPr="006F10D0">
        <w:rPr>
          <w:b/>
        </w:rPr>
        <w:t>Adverse Reactions Observed with CE/</w:t>
      </w:r>
      <w:proofErr w:type="spellStart"/>
      <w:r w:rsidRPr="006F10D0">
        <w:rPr>
          <w:b/>
        </w:rPr>
        <w:t>bazedoxifene</w:t>
      </w:r>
      <w:proofErr w:type="spellEnd"/>
    </w:p>
    <w:p w:rsidR="00A769ED" w:rsidRPr="006D1087" w:rsidRDefault="00B50069" w:rsidP="004E5A58">
      <w:pPr>
        <w:pStyle w:val="PINormal"/>
      </w:pPr>
      <w:r w:rsidRPr="004E5A58">
        <w:t xml:space="preserve">Table </w:t>
      </w:r>
      <w:r w:rsidR="00851E56">
        <w:t>5</w:t>
      </w:r>
      <w:r w:rsidRPr="004E5A58">
        <w:t xml:space="preserve"> below lists the adverse reactions observed with</w:t>
      </w:r>
      <w:r w:rsidR="00F44971" w:rsidRPr="004E5A58">
        <w:t xml:space="preserve"> </w:t>
      </w:r>
      <w:r w:rsidR="006F10D0" w:rsidRPr="004E5A58">
        <w:t xml:space="preserve">both </w:t>
      </w:r>
      <w:r w:rsidR="00F44971" w:rsidRPr="004E5A58">
        <w:t>CE</w:t>
      </w:r>
      <w:r w:rsidR="006F10D0" w:rsidRPr="004E5A58">
        <w:t xml:space="preserve"> 0.45 mg</w:t>
      </w:r>
      <w:r w:rsidR="00F44971" w:rsidRPr="004E5A58">
        <w:t>/</w:t>
      </w:r>
      <w:r w:rsidRPr="004E5A58">
        <w:t xml:space="preserve">bazedoxifene </w:t>
      </w:r>
      <w:r w:rsidR="006F10D0" w:rsidRPr="004E5A58">
        <w:t xml:space="preserve">20 mg and CE 0.625 mg/bazedoxifene 20 mg treatment groups </w:t>
      </w:r>
      <w:r w:rsidRPr="004E5A58">
        <w:t>(n=3,168) in placebo controlled clinical trials.</w:t>
      </w:r>
      <w:r w:rsidR="00156EC8">
        <w:t xml:space="preserve"> </w:t>
      </w:r>
      <w:r w:rsidR="00A769ED" w:rsidRPr="004E5A58">
        <w:t>Adverse reactions were categorised as very comm</w:t>
      </w:r>
      <w:r w:rsidR="00A769ED" w:rsidRPr="006D1087">
        <w:t>on</w:t>
      </w:r>
      <w:r w:rsidR="00A769ED" w:rsidRPr="007E0BF4">
        <w:t>, common</w:t>
      </w:r>
      <w:r w:rsidR="001128A6" w:rsidRPr="007E0BF4">
        <w:t xml:space="preserve">, </w:t>
      </w:r>
      <w:r w:rsidR="00A769ED" w:rsidRPr="007E0BF4">
        <w:t>uncommon</w:t>
      </w:r>
      <w:r w:rsidR="001128A6" w:rsidRPr="007E0BF4">
        <w:t xml:space="preserve"> </w:t>
      </w:r>
      <w:r w:rsidR="00A769ED" w:rsidRPr="007E0BF4">
        <w:t>or rare.</w:t>
      </w:r>
    </w:p>
    <w:p w:rsidR="00851E56" w:rsidRDefault="00851E56" w:rsidP="00851E56">
      <w:pPr>
        <w:pStyle w:val="Caption"/>
        <w:keepNext/>
      </w:pPr>
      <w:r>
        <w:t xml:space="preserve">Table </w:t>
      </w:r>
      <w:r>
        <w:fldChar w:fldCharType="begin"/>
      </w:r>
      <w:r>
        <w:instrText xml:space="preserve"> SEQ Table \* ARABIC </w:instrText>
      </w:r>
      <w:r>
        <w:fldChar w:fldCharType="separate"/>
      </w:r>
      <w:r>
        <w:rPr>
          <w:noProof/>
        </w:rPr>
        <w:t>5</w:t>
      </w:r>
      <w:r>
        <w:fldChar w:fldCharType="end"/>
      </w:r>
      <w:r>
        <w:t xml:space="preserve">: </w:t>
      </w:r>
      <w:r w:rsidRPr="00A04D64">
        <w:t>Adverse Reactions Observed with CE/bazedoxifene</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Table 5: Adverse Reactions Observed with CE/bazedoxifene"/>
      </w:tblPr>
      <w:tblGrid>
        <w:gridCol w:w="1789"/>
        <w:gridCol w:w="12"/>
        <w:gridCol w:w="1619"/>
        <w:gridCol w:w="2172"/>
        <w:gridCol w:w="1511"/>
        <w:gridCol w:w="2219"/>
      </w:tblGrid>
      <w:tr w:rsidR="00B50069" w:rsidRPr="006D1087" w:rsidTr="0016433B">
        <w:trPr>
          <w:trHeight w:val="293"/>
          <w:tblHeader/>
        </w:trPr>
        <w:tc>
          <w:tcPr>
            <w:tcW w:w="1789" w:type="dxa"/>
            <w:vMerge w:val="restart"/>
          </w:tcPr>
          <w:p w:rsidR="00B50069" w:rsidRPr="006D1087" w:rsidRDefault="00B50069" w:rsidP="004E5A58">
            <w:pPr>
              <w:pStyle w:val="CLDTableTextListText"/>
              <w:keepNext w:val="0"/>
              <w:rPr>
                <w:b/>
              </w:rPr>
            </w:pPr>
            <w:r w:rsidRPr="006D1087">
              <w:rPr>
                <w:b/>
              </w:rPr>
              <w:t>System organ class</w:t>
            </w:r>
          </w:p>
        </w:tc>
        <w:tc>
          <w:tcPr>
            <w:tcW w:w="7533" w:type="dxa"/>
            <w:gridSpan w:val="5"/>
          </w:tcPr>
          <w:p w:rsidR="00B50069" w:rsidRPr="006D1087" w:rsidRDefault="00B50069" w:rsidP="004E5A58">
            <w:pPr>
              <w:pStyle w:val="CLDTableTextListText"/>
              <w:keepNext w:val="0"/>
              <w:rPr>
                <w:b/>
              </w:rPr>
            </w:pPr>
            <w:r w:rsidRPr="006D1087">
              <w:rPr>
                <w:b/>
              </w:rPr>
              <w:t>Frequency of occurrence of adverse reactions</w:t>
            </w:r>
          </w:p>
        </w:tc>
      </w:tr>
      <w:tr w:rsidR="00B50069" w:rsidRPr="006D1087" w:rsidTr="0016433B">
        <w:trPr>
          <w:trHeight w:val="397"/>
          <w:tblHeader/>
        </w:trPr>
        <w:tc>
          <w:tcPr>
            <w:tcW w:w="1789" w:type="dxa"/>
            <w:vMerge/>
          </w:tcPr>
          <w:p w:rsidR="00B50069" w:rsidRPr="006D1087" w:rsidRDefault="00B50069" w:rsidP="004E5A58">
            <w:pPr>
              <w:pStyle w:val="CLDTableTextListText"/>
              <w:keepNext w:val="0"/>
              <w:rPr>
                <w:b/>
              </w:rPr>
            </w:pPr>
          </w:p>
        </w:tc>
        <w:tc>
          <w:tcPr>
            <w:tcW w:w="1631" w:type="dxa"/>
            <w:gridSpan w:val="2"/>
          </w:tcPr>
          <w:p w:rsidR="00B50069" w:rsidRPr="006D1087" w:rsidRDefault="00B50069" w:rsidP="001128A6">
            <w:pPr>
              <w:pStyle w:val="CLDTableTextListText"/>
              <w:keepNext w:val="0"/>
              <w:rPr>
                <w:b/>
              </w:rPr>
            </w:pPr>
            <w:r w:rsidRPr="006D1087">
              <w:rPr>
                <w:b/>
              </w:rPr>
              <w:t>Very common</w:t>
            </w:r>
            <w:r w:rsidR="001128A6" w:rsidRPr="006D1087">
              <w:rPr>
                <w:b/>
              </w:rPr>
              <w:t xml:space="preserve"> </w:t>
            </w:r>
            <w:r w:rsidR="001128A6" w:rsidRPr="007E0BF4">
              <w:t>(</w:t>
            </w:r>
            <w:r w:rsidR="001128A6" w:rsidRPr="007E0BF4">
              <w:sym w:font="Symbol" w:char="00B3"/>
            </w:r>
            <w:r w:rsidR="001128A6" w:rsidRPr="007E0BF4">
              <w:t> 1/10)</w:t>
            </w:r>
          </w:p>
        </w:tc>
        <w:tc>
          <w:tcPr>
            <w:tcW w:w="2172" w:type="dxa"/>
          </w:tcPr>
          <w:p w:rsidR="00B50069" w:rsidRPr="006D1087" w:rsidRDefault="00B50069" w:rsidP="001128A6">
            <w:pPr>
              <w:pStyle w:val="CLDTableTextListText"/>
              <w:keepNext w:val="0"/>
              <w:rPr>
                <w:b/>
              </w:rPr>
            </w:pPr>
            <w:r w:rsidRPr="006D1087">
              <w:rPr>
                <w:b/>
              </w:rPr>
              <w:t>Common</w:t>
            </w:r>
            <w:r w:rsidR="001128A6" w:rsidRPr="006D1087">
              <w:t xml:space="preserve"> (</w:t>
            </w:r>
            <w:r w:rsidR="001128A6" w:rsidRPr="007E0BF4">
              <w:sym w:font="Symbol" w:char="00B3"/>
            </w:r>
            <w:r w:rsidR="001128A6" w:rsidRPr="007E0BF4">
              <w:t> 1/100 to &lt; 1/10)</w:t>
            </w:r>
          </w:p>
        </w:tc>
        <w:tc>
          <w:tcPr>
            <w:tcW w:w="1511" w:type="dxa"/>
          </w:tcPr>
          <w:p w:rsidR="00B50069" w:rsidRPr="006D1087" w:rsidRDefault="00B50069" w:rsidP="001128A6">
            <w:pPr>
              <w:pStyle w:val="CLDTableTextListText"/>
              <w:keepNext w:val="0"/>
              <w:rPr>
                <w:b/>
              </w:rPr>
            </w:pPr>
            <w:r w:rsidRPr="006D1087">
              <w:rPr>
                <w:b/>
              </w:rPr>
              <w:t>Uncommon</w:t>
            </w:r>
            <w:r w:rsidR="001128A6" w:rsidRPr="006D1087">
              <w:rPr>
                <w:b/>
              </w:rPr>
              <w:t xml:space="preserve"> </w:t>
            </w:r>
            <w:r w:rsidR="001128A6" w:rsidRPr="007E0BF4">
              <w:t>(</w:t>
            </w:r>
            <w:r w:rsidR="001128A6" w:rsidRPr="007E0BF4">
              <w:sym w:font="Symbol" w:char="00B3"/>
            </w:r>
            <w:r w:rsidR="001128A6" w:rsidRPr="007E0BF4">
              <w:t> 1/1,000 to &lt; 1/100)</w:t>
            </w:r>
          </w:p>
        </w:tc>
        <w:tc>
          <w:tcPr>
            <w:tcW w:w="2219" w:type="dxa"/>
          </w:tcPr>
          <w:p w:rsidR="00B50069" w:rsidRPr="006D1087" w:rsidRDefault="00B50069" w:rsidP="001128A6">
            <w:pPr>
              <w:pStyle w:val="CLDTableTextListText"/>
              <w:keepNext w:val="0"/>
              <w:rPr>
                <w:b/>
              </w:rPr>
            </w:pPr>
            <w:r w:rsidRPr="006D1087">
              <w:rPr>
                <w:b/>
              </w:rPr>
              <w:t>Rare</w:t>
            </w:r>
            <w:r w:rsidR="001128A6" w:rsidRPr="006D1087">
              <w:rPr>
                <w:b/>
              </w:rPr>
              <w:t xml:space="preserve"> </w:t>
            </w:r>
            <w:r w:rsidR="001128A6" w:rsidRPr="007E0BF4">
              <w:t>(</w:t>
            </w:r>
            <w:r w:rsidR="001128A6" w:rsidRPr="007E0BF4">
              <w:sym w:font="Symbol" w:char="00B3"/>
            </w:r>
            <w:r w:rsidR="001128A6" w:rsidRPr="007E0BF4">
              <w:t> 1/10,000 to &lt; 1/1,000)</w:t>
            </w:r>
          </w:p>
        </w:tc>
      </w:tr>
      <w:tr w:rsidR="00B50069" w:rsidRPr="009B3038" w:rsidTr="0016433B">
        <w:trPr>
          <w:trHeight w:val="431"/>
        </w:trPr>
        <w:tc>
          <w:tcPr>
            <w:tcW w:w="1801" w:type="dxa"/>
            <w:gridSpan w:val="2"/>
          </w:tcPr>
          <w:p w:rsidR="00B50069" w:rsidRPr="006D1087" w:rsidRDefault="00B50069" w:rsidP="004E5A58">
            <w:pPr>
              <w:pStyle w:val="CLDTableTextListText"/>
              <w:keepNext w:val="0"/>
              <w:rPr>
                <w:b/>
                <w:i/>
                <w:sz w:val="22"/>
              </w:rPr>
            </w:pPr>
            <w:r w:rsidRPr="006D1087">
              <w:rPr>
                <w:b/>
                <w:i/>
                <w:sz w:val="22"/>
              </w:rPr>
              <w:lastRenderedPageBreak/>
              <w:t>Infections and infestations</w:t>
            </w:r>
          </w:p>
        </w:tc>
        <w:tc>
          <w:tcPr>
            <w:tcW w:w="1619" w:type="dxa"/>
          </w:tcPr>
          <w:p w:rsidR="00B50069" w:rsidRPr="006D1087" w:rsidRDefault="00B50069" w:rsidP="004E5A58">
            <w:pPr>
              <w:pStyle w:val="CLDTableTextListText"/>
              <w:keepNext w:val="0"/>
              <w:rPr>
                <w:sz w:val="22"/>
              </w:rPr>
            </w:pPr>
          </w:p>
        </w:tc>
        <w:tc>
          <w:tcPr>
            <w:tcW w:w="2172" w:type="dxa"/>
          </w:tcPr>
          <w:p w:rsidR="00B50069" w:rsidRPr="004E5A58" w:rsidRDefault="00B50069" w:rsidP="004E5A58">
            <w:pPr>
              <w:pStyle w:val="CLDTableTextListText"/>
              <w:keepNext w:val="0"/>
              <w:rPr>
                <w:sz w:val="22"/>
                <w:szCs w:val="22"/>
              </w:rPr>
            </w:pPr>
            <w:r w:rsidRPr="006D1087">
              <w:rPr>
                <w:sz w:val="22"/>
                <w:szCs w:val="22"/>
              </w:rPr>
              <w:t>Vulvovaginal candidiasis</w:t>
            </w:r>
          </w:p>
        </w:tc>
        <w:tc>
          <w:tcPr>
            <w:tcW w:w="1511" w:type="dxa"/>
          </w:tcPr>
          <w:p w:rsidR="00B50069" w:rsidRPr="004E5A58" w:rsidRDefault="00B50069" w:rsidP="004E5A58">
            <w:pPr>
              <w:pStyle w:val="CLDTableTextListText"/>
              <w:keepNext w:val="0"/>
              <w:rPr>
                <w:sz w:val="22"/>
              </w:rPr>
            </w:pPr>
          </w:p>
        </w:tc>
        <w:tc>
          <w:tcPr>
            <w:tcW w:w="2219" w:type="dxa"/>
          </w:tcPr>
          <w:p w:rsidR="00B50069" w:rsidRPr="004E5A58" w:rsidRDefault="00B50069" w:rsidP="004E5A58">
            <w:pPr>
              <w:pStyle w:val="CLDTableTextListText"/>
              <w:keepNext w:val="0"/>
              <w:rPr>
                <w:sz w:val="22"/>
              </w:rPr>
            </w:pPr>
          </w:p>
        </w:tc>
      </w:tr>
      <w:tr w:rsidR="00B50069" w:rsidRPr="009B3038" w:rsidTr="0016433B">
        <w:trPr>
          <w:trHeight w:val="283"/>
        </w:trPr>
        <w:tc>
          <w:tcPr>
            <w:tcW w:w="1801" w:type="dxa"/>
            <w:gridSpan w:val="2"/>
          </w:tcPr>
          <w:p w:rsidR="00B50069" w:rsidRPr="00540D26" w:rsidRDefault="00B50069" w:rsidP="004E5A58">
            <w:pPr>
              <w:pStyle w:val="CLDTableTextListText"/>
              <w:keepNext w:val="0"/>
              <w:rPr>
                <w:b/>
                <w:i/>
                <w:sz w:val="22"/>
              </w:rPr>
            </w:pPr>
            <w:r w:rsidRPr="00540D26">
              <w:rPr>
                <w:b/>
                <w:i/>
                <w:sz w:val="22"/>
              </w:rPr>
              <w:t>Vascular disorders</w:t>
            </w:r>
          </w:p>
        </w:tc>
        <w:tc>
          <w:tcPr>
            <w:tcW w:w="1619" w:type="dxa"/>
          </w:tcPr>
          <w:p w:rsidR="00B50069" w:rsidRPr="004E5A58" w:rsidRDefault="00B50069" w:rsidP="004E5A58">
            <w:pPr>
              <w:pStyle w:val="CLDTableTextListText"/>
              <w:keepNext w:val="0"/>
              <w:rPr>
                <w:sz w:val="22"/>
              </w:rPr>
            </w:pPr>
          </w:p>
        </w:tc>
        <w:tc>
          <w:tcPr>
            <w:tcW w:w="2172" w:type="dxa"/>
          </w:tcPr>
          <w:p w:rsidR="00B50069" w:rsidRPr="004E5A58" w:rsidRDefault="00B50069" w:rsidP="004E5A58">
            <w:pPr>
              <w:pStyle w:val="CLDTableTextListText"/>
              <w:keepNext w:val="0"/>
              <w:rPr>
                <w:sz w:val="22"/>
              </w:rPr>
            </w:pPr>
          </w:p>
        </w:tc>
        <w:tc>
          <w:tcPr>
            <w:tcW w:w="1511" w:type="dxa"/>
          </w:tcPr>
          <w:p w:rsidR="00B50069" w:rsidRPr="004E5A58" w:rsidRDefault="00B50069" w:rsidP="004E5A58">
            <w:pPr>
              <w:pStyle w:val="CLDTableTextListText"/>
              <w:keepNext w:val="0"/>
              <w:rPr>
                <w:sz w:val="22"/>
              </w:rPr>
            </w:pPr>
          </w:p>
        </w:tc>
        <w:tc>
          <w:tcPr>
            <w:tcW w:w="2219" w:type="dxa"/>
          </w:tcPr>
          <w:p w:rsidR="00B50069" w:rsidRPr="004E5A58" w:rsidRDefault="00B50069" w:rsidP="004E5A58">
            <w:pPr>
              <w:pStyle w:val="CLDTableTextListText"/>
              <w:keepNext w:val="0"/>
              <w:rPr>
                <w:sz w:val="22"/>
              </w:rPr>
            </w:pPr>
            <w:r w:rsidRPr="004E5A58">
              <w:rPr>
                <w:sz w:val="22"/>
              </w:rPr>
              <w:t>Venous thromboembolic events (including, pulmonary embolism, retinal vein thrombosis, deep vein thrombosis and thrombophlebitis)</w:t>
            </w:r>
          </w:p>
        </w:tc>
      </w:tr>
      <w:tr w:rsidR="00B50069" w:rsidRPr="009B3038" w:rsidTr="0016433B">
        <w:trPr>
          <w:trHeight w:val="269"/>
        </w:trPr>
        <w:tc>
          <w:tcPr>
            <w:tcW w:w="1801" w:type="dxa"/>
            <w:gridSpan w:val="2"/>
          </w:tcPr>
          <w:p w:rsidR="00B50069" w:rsidRPr="00540D26" w:rsidRDefault="00B50069" w:rsidP="004E5A58">
            <w:pPr>
              <w:pStyle w:val="CLDTableTextListText"/>
              <w:keepNext w:val="0"/>
              <w:rPr>
                <w:b/>
                <w:i/>
                <w:sz w:val="22"/>
              </w:rPr>
            </w:pPr>
            <w:r w:rsidRPr="00540D26">
              <w:rPr>
                <w:b/>
                <w:i/>
                <w:sz w:val="22"/>
              </w:rPr>
              <w:t>Gastrointestinal disorders</w:t>
            </w:r>
          </w:p>
        </w:tc>
        <w:tc>
          <w:tcPr>
            <w:tcW w:w="1619" w:type="dxa"/>
          </w:tcPr>
          <w:p w:rsidR="00B50069" w:rsidRPr="004E5A58" w:rsidRDefault="00B50069" w:rsidP="004E5A58">
            <w:pPr>
              <w:pStyle w:val="CLDTableTextListText"/>
              <w:keepNext w:val="0"/>
              <w:rPr>
                <w:sz w:val="22"/>
              </w:rPr>
            </w:pPr>
            <w:r w:rsidRPr="004E5A58">
              <w:rPr>
                <w:sz w:val="22"/>
              </w:rPr>
              <w:t>Abdominal pain</w:t>
            </w:r>
          </w:p>
        </w:tc>
        <w:tc>
          <w:tcPr>
            <w:tcW w:w="2172" w:type="dxa"/>
          </w:tcPr>
          <w:p w:rsidR="00B50069" w:rsidRPr="004E5A58" w:rsidRDefault="00B50069" w:rsidP="00E2729D">
            <w:pPr>
              <w:pStyle w:val="CLDTableTextListText"/>
              <w:keepNext w:val="0"/>
              <w:rPr>
                <w:sz w:val="22"/>
                <w:szCs w:val="22"/>
              </w:rPr>
            </w:pPr>
            <w:r w:rsidRPr="004E5A58">
              <w:rPr>
                <w:sz w:val="22"/>
                <w:szCs w:val="22"/>
              </w:rPr>
              <w:t>Constipation</w:t>
            </w:r>
            <w:r w:rsidR="00570E41">
              <w:rPr>
                <w:sz w:val="22"/>
                <w:szCs w:val="22"/>
              </w:rPr>
              <w:t xml:space="preserve">, </w:t>
            </w:r>
            <w:r w:rsidR="007B2EDA">
              <w:rPr>
                <w:sz w:val="22"/>
                <w:szCs w:val="22"/>
              </w:rPr>
              <w:t>D</w:t>
            </w:r>
            <w:r w:rsidRPr="004E5A58">
              <w:rPr>
                <w:sz w:val="22"/>
                <w:szCs w:val="22"/>
              </w:rPr>
              <w:t>iarrhoea</w:t>
            </w:r>
            <w:r w:rsidR="00570E41">
              <w:rPr>
                <w:sz w:val="22"/>
                <w:szCs w:val="22"/>
              </w:rPr>
              <w:t xml:space="preserve">, </w:t>
            </w:r>
            <w:r w:rsidR="007B2EDA">
              <w:rPr>
                <w:sz w:val="22"/>
                <w:szCs w:val="22"/>
              </w:rPr>
              <w:t>N</w:t>
            </w:r>
            <w:r w:rsidRPr="004E5A58">
              <w:rPr>
                <w:sz w:val="22"/>
                <w:szCs w:val="22"/>
              </w:rPr>
              <w:t>ausea</w:t>
            </w:r>
          </w:p>
        </w:tc>
        <w:tc>
          <w:tcPr>
            <w:tcW w:w="1511" w:type="dxa"/>
          </w:tcPr>
          <w:p w:rsidR="00B50069" w:rsidRPr="004E5A58" w:rsidRDefault="00B50069" w:rsidP="004E5A58">
            <w:pPr>
              <w:pStyle w:val="CLDTableTextListText"/>
              <w:keepNext w:val="0"/>
              <w:rPr>
                <w:sz w:val="22"/>
              </w:rPr>
            </w:pPr>
          </w:p>
        </w:tc>
        <w:tc>
          <w:tcPr>
            <w:tcW w:w="2219" w:type="dxa"/>
          </w:tcPr>
          <w:p w:rsidR="00B50069" w:rsidRPr="004E5A58" w:rsidRDefault="00B50069" w:rsidP="004E5A58">
            <w:pPr>
              <w:pStyle w:val="CLDTableTextListText"/>
              <w:keepNext w:val="0"/>
              <w:rPr>
                <w:sz w:val="22"/>
              </w:rPr>
            </w:pPr>
          </w:p>
        </w:tc>
      </w:tr>
      <w:tr w:rsidR="00B50069" w:rsidRPr="009B3038" w:rsidTr="0016433B">
        <w:trPr>
          <w:trHeight w:val="287"/>
        </w:trPr>
        <w:tc>
          <w:tcPr>
            <w:tcW w:w="1801" w:type="dxa"/>
            <w:gridSpan w:val="2"/>
          </w:tcPr>
          <w:p w:rsidR="00B50069" w:rsidRPr="00540D26" w:rsidRDefault="00B50069" w:rsidP="004E5A58">
            <w:pPr>
              <w:pStyle w:val="CLDTableTextListText"/>
              <w:keepNext w:val="0"/>
              <w:rPr>
                <w:b/>
                <w:i/>
                <w:sz w:val="22"/>
              </w:rPr>
            </w:pPr>
            <w:r w:rsidRPr="00540D26">
              <w:rPr>
                <w:b/>
                <w:i/>
                <w:sz w:val="22"/>
              </w:rPr>
              <w:t>Hepatobiliary disorders</w:t>
            </w:r>
          </w:p>
        </w:tc>
        <w:tc>
          <w:tcPr>
            <w:tcW w:w="1619" w:type="dxa"/>
          </w:tcPr>
          <w:p w:rsidR="00B50069" w:rsidRPr="004E5A58" w:rsidRDefault="00B50069" w:rsidP="004E5A58">
            <w:pPr>
              <w:pStyle w:val="CLDTableTextListText"/>
              <w:keepNext w:val="0"/>
              <w:rPr>
                <w:sz w:val="22"/>
              </w:rPr>
            </w:pPr>
          </w:p>
        </w:tc>
        <w:tc>
          <w:tcPr>
            <w:tcW w:w="2172" w:type="dxa"/>
          </w:tcPr>
          <w:p w:rsidR="00B50069" w:rsidRPr="004E5A58" w:rsidRDefault="00B50069" w:rsidP="004E5A58">
            <w:pPr>
              <w:pStyle w:val="CLDTableTextListText"/>
              <w:keepNext w:val="0"/>
              <w:rPr>
                <w:sz w:val="22"/>
              </w:rPr>
            </w:pPr>
          </w:p>
        </w:tc>
        <w:tc>
          <w:tcPr>
            <w:tcW w:w="1511" w:type="dxa"/>
          </w:tcPr>
          <w:p w:rsidR="00B50069" w:rsidRPr="004E5A58" w:rsidRDefault="00B50069" w:rsidP="004E5A58">
            <w:pPr>
              <w:pStyle w:val="CLDTableTextListText"/>
              <w:keepNext w:val="0"/>
              <w:rPr>
                <w:sz w:val="22"/>
              </w:rPr>
            </w:pPr>
            <w:r w:rsidRPr="004E5A58">
              <w:rPr>
                <w:sz w:val="22"/>
              </w:rPr>
              <w:t>Cholecystitis</w:t>
            </w:r>
          </w:p>
        </w:tc>
        <w:tc>
          <w:tcPr>
            <w:tcW w:w="2219" w:type="dxa"/>
          </w:tcPr>
          <w:p w:rsidR="00B50069" w:rsidRPr="004E5A58" w:rsidRDefault="00B50069" w:rsidP="004E5A58">
            <w:pPr>
              <w:pStyle w:val="CLDTableTextListText"/>
              <w:keepNext w:val="0"/>
              <w:rPr>
                <w:sz w:val="22"/>
              </w:rPr>
            </w:pPr>
          </w:p>
        </w:tc>
      </w:tr>
      <w:tr w:rsidR="00B50069" w:rsidRPr="009B3038" w:rsidTr="0016433B">
        <w:trPr>
          <w:trHeight w:val="701"/>
        </w:trPr>
        <w:tc>
          <w:tcPr>
            <w:tcW w:w="1801" w:type="dxa"/>
            <w:gridSpan w:val="2"/>
          </w:tcPr>
          <w:p w:rsidR="00B50069" w:rsidRPr="00540D26" w:rsidRDefault="00B50069" w:rsidP="004E5A58">
            <w:pPr>
              <w:pStyle w:val="CLDTableTextListText"/>
              <w:keepNext w:val="0"/>
              <w:rPr>
                <w:b/>
                <w:i/>
                <w:sz w:val="22"/>
              </w:rPr>
            </w:pPr>
            <w:r w:rsidRPr="00540D26">
              <w:rPr>
                <w:b/>
                <w:i/>
                <w:sz w:val="22"/>
              </w:rPr>
              <w:t>Musculoskeletal and connective tissue disorders</w:t>
            </w:r>
          </w:p>
        </w:tc>
        <w:tc>
          <w:tcPr>
            <w:tcW w:w="1619" w:type="dxa"/>
          </w:tcPr>
          <w:p w:rsidR="00B50069" w:rsidRPr="004E5A58" w:rsidRDefault="00B50069" w:rsidP="004E5A58">
            <w:pPr>
              <w:pStyle w:val="CLDTableTextListText"/>
              <w:keepNext w:val="0"/>
              <w:rPr>
                <w:sz w:val="22"/>
              </w:rPr>
            </w:pPr>
          </w:p>
        </w:tc>
        <w:tc>
          <w:tcPr>
            <w:tcW w:w="2172" w:type="dxa"/>
          </w:tcPr>
          <w:p w:rsidR="00B50069" w:rsidRPr="004E5A58" w:rsidRDefault="00B50069" w:rsidP="004E5A58">
            <w:pPr>
              <w:pStyle w:val="CLDTableTextListText"/>
              <w:keepNext w:val="0"/>
              <w:rPr>
                <w:sz w:val="22"/>
              </w:rPr>
            </w:pPr>
            <w:r w:rsidRPr="004E5A58">
              <w:rPr>
                <w:sz w:val="22"/>
              </w:rPr>
              <w:t>Muscle spasms</w:t>
            </w:r>
          </w:p>
        </w:tc>
        <w:tc>
          <w:tcPr>
            <w:tcW w:w="1511" w:type="dxa"/>
          </w:tcPr>
          <w:p w:rsidR="00B50069" w:rsidRPr="004E5A58" w:rsidRDefault="00B50069" w:rsidP="004E5A58">
            <w:pPr>
              <w:pStyle w:val="CLDTableTextListText"/>
              <w:keepNext w:val="0"/>
              <w:rPr>
                <w:sz w:val="22"/>
              </w:rPr>
            </w:pPr>
          </w:p>
        </w:tc>
        <w:tc>
          <w:tcPr>
            <w:tcW w:w="2219" w:type="dxa"/>
          </w:tcPr>
          <w:p w:rsidR="00B50069" w:rsidRPr="004E5A58" w:rsidRDefault="00B50069" w:rsidP="004E5A58">
            <w:pPr>
              <w:pStyle w:val="CLDTableTextListText"/>
              <w:keepNext w:val="0"/>
              <w:rPr>
                <w:sz w:val="22"/>
              </w:rPr>
            </w:pPr>
          </w:p>
        </w:tc>
      </w:tr>
      <w:tr w:rsidR="00B50069" w:rsidRPr="008A1CC6" w:rsidTr="0016433B">
        <w:trPr>
          <w:trHeight w:val="296"/>
        </w:trPr>
        <w:tc>
          <w:tcPr>
            <w:tcW w:w="1801" w:type="dxa"/>
            <w:gridSpan w:val="2"/>
          </w:tcPr>
          <w:p w:rsidR="00B50069" w:rsidRPr="00540D26" w:rsidRDefault="00B50069" w:rsidP="004E5A58">
            <w:pPr>
              <w:pStyle w:val="CLDTableTextListText"/>
              <w:keepNext w:val="0"/>
              <w:rPr>
                <w:b/>
                <w:i/>
                <w:sz w:val="22"/>
              </w:rPr>
            </w:pPr>
            <w:r w:rsidRPr="00540D26">
              <w:rPr>
                <w:b/>
                <w:i/>
                <w:sz w:val="22"/>
              </w:rPr>
              <w:t>Investigations</w:t>
            </w:r>
          </w:p>
        </w:tc>
        <w:tc>
          <w:tcPr>
            <w:tcW w:w="1619" w:type="dxa"/>
          </w:tcPr>
          <w:p w:rsidR="00B50069" w:rsidRPr="004E5A58" w:rsidRDefault="00B50069" w:rsidP="004E5A58">
            <w:pPr>
              <w:pStyle w:val="CLDTableTextListText"/>
              <w:keepNext w:val="0"/>
              <w:rPr>
                <w:sz w:val="22"/>
              </w:rPr>
            </w:pPr>
          </w:p>
        </w:tc>
        <w:tc>
          <w:tcPr>
            <w:tcW w:w="2172" w:type="dxa"/>
          </w:tcPr>
          <w:p w:rsidR="00F204B9" w:rsidRPr="004E5A58" w:rsidRDefault="00B50069" w:rsidP="00EA1B6A">
            <w:pPr>
              <w:pStyle w:val="CLDTableTextListText"/>
              <w:keepNext w:val="0"/>
              <w:rPr>
                <w:sz w:val="22"/>
                <w:szCs w:val="22"/>
              </w:rPr>
            </w:pPr>
            <w:r w:rsidRPr="004E5A58">
              <w:rPr>
                <w:sz w:val="22"/>
                <w:szCs w:val="22"/>
              </w:rPr>
              <w:t>Blood triglycerides increased</w:t>
            </w:r>
          </w:p>
        </w:tc>
        <w:tc>
          <w:tcPr>
            <w:tcW w:w="1511" w:type="dxa"/>
          </w:tcPr>
          <w:p w:rsidR="00B50069" w:rsidRPr="004E5A58" w:rsidRDefault="00B50069" w:rsidP="004E5A58">
            <w:pPr>
              <w:pStyle w:val="CLDTableTextListText"/>
              <w:keepNext w:val="0"/>
              <w:rPr>
                <w:sz w:val="22"/>
              </w:rPr>
            </w:pPr>
          </w:p>
        </w:tc>
        <w:tc>
          <w:tcPr>
            <w:tcW w:w="2219" w:type="dxa"/>
          </w:tcPr>
          <w:p w:rsidR="00B50069" w:rsidRPr="004E5A58" w:rsidRDefault="00B50069" w:rsidP="004E5A58">
            <w:pPr>
              <w:pStyle w:val="CLDTableTextListText"/>
              <w:keepNext w:val="0"/>
              <w:rPr>
                <w:sz w:val="22"/>
              </w:rPr>
            </w:pPr>
          </w:p>
        </w:tc>
      </w:tr>
    </w:tbl>
    <w:p w:rsidR="0016433B" w:rsidRPr="00CC53C9" w:rsidRDefault="0016433B" w:rsidP="0016433B">
      <w:pPr>
        <w:pStyle w:val="PIHeading2"/>
      </w:pPr>
      <w:r w:rsidRPr="00CC53C9">
        <w:t xml:space="preserve">Description of </w:t>
      </w:r>
      <w:r w:rsidRPr="00DA6AD3">
        <w:t>Selected</w:t>
      </w:r>
      <w:r w:rsidRPr="00CC53C9">
        <w:t xml:space="preserve"> Adverse Reactions</w:t>
      </w:r>
    </w:p>
    <w:p w:rsidR="00400C4D" w:rsidRDefault="009542A7" w:rsidP="00735BAB">
      <w:pPr>
        <w:pStyle w:val="PIHeading3"/>
      </w:pPr>
      <w:r>
        <w:t>Breast C</w:t>
      </w:r>
      <w:r w:rsidRPr="00B9411E">
        <w:t xml:space="preserve">ancer </w:t>
      </w:r>
      <w:r>
        <w:t>R</w:t>
      </w:r>
      <w:r w:rsidRPr="00B9411E">
        <w:t>isk</w:t>
      </w:r>
      <w:r w:rsidR="00C21C04" w:rsidRPr="00321FF8" w:rsidDel="00D75A5C">
        <w:t xml:space="preserve"> </w:t>
      </w:r>
    </w:p>
    <w:p w:rsidR="00400C4D" w:rsidRDefault="009542A7" w:rsidP="009542A7">
      <w:pPr>
        <w:spacing w:after="0"/>
      </w:pPr>
      <w:r w:rsidRPr="00B9411E">
        <w:t xml:space="preserve">Breast cancer risk associated with the use of </w:t>
      </w:r>
      <w:r w:rsidR="00156E84">
        <w:t>estrogens</w:t>
      </w:r>
      <w:r w:rsidRPr="00B9411E">
        <w:t xml:space="preserve"> alone is represented by several studies.</w:t>
      </w:r>
      <w:r w:rsidR="00156EC8">
        <w:t xml:space="preserve"> </w:t>
      </w:r>
      <w:r w:rsidRPr="00B9411E">
        <w:t>Any increased risk to users of estrogen-only therapy is substantially lower than that seen in users of estrogen</w:t>
      </w:r>
      <w:r w:rsidR="000D2DF9">
        <w:t>-</w:t>
      </w:r>
      <w:r w:rsidRPr="00B9411E">
        <w:t>progest</w:t>
      </w:r>
      <w:r w:rsidR="009E5D5D">
        <w:t>o</w:t>
      </w:r>
      <w:r w:rsidRPr="00B9411E">
        <w:t>gen combinations.</w:t>
      </w:r>
      <w:r w:rsidR="00156EC8">
        <w:t xml:space="preserve"> </w:t>
      </w:r>
      <w:r w:rsidRPr="00B9411E">
        <w:t xml:space="preserve">The level of risk is dependent on duration of use (see </w:t>
      </w:r>
      <w:r>
        <w:t>PRECAUTIONS</w:t>
      </w:r>
      <w:r w:rsidRPr="00B9411E">
        <w:t>).</w:t>
      </w:r>
      <w:r w:rsidR="00156EC8">
        <w:t xml:space="preserve"> </w:t>
      </w:r>
      <w:r w:rsidRPr="00B9411E">
        <w:t>Results of the largest randomised placebo-controlled trial (WHI-study) and largest epidemiological study (M</w:t>
      </w:r>
      <w:r w:rsidR="00C677B4">
        <w:t xml:space="preserve">illion </w:t>
      </w:r>
      <w:r w:rsidRPr="00B9411E">
        <w:t>W</w:t>
      </w:r>
      <w:r w:rsidR="00C677B4">
        <w:t xml:space="preserve">omen </w:t>
      </w:r>
      <w:r w:rsidRPr="00B9411E">
        <w:t>S</w:t>
      </w:r>
      <w:r w:rsidR="00C677B4">
        <w:t>tudy</w:t>
      </w:r>
      <w:r w:rsidRPr="00B9411E">
        <w:t>) are presented</w:t>
      </w:r>
      <w:r>
        <w:t xml:space="preserve"> in </w:t>
      </w:r>
      <w:r w:rsidR="004E5A58">
        <w:t xml:space="preserve">Table </w:t>
      </w:r>
      <w:r w:rsidR="00851E56">
        <w:t>6</w:t>
      </w:r>
      <w:r w:rsidR="00CC1A5F" w:rsidRPr="00CC1A5F">
        <w:t xml:space="preserve"> </w:t>
      </w:r>
      <w:r>
        <w:t xml:space="preserve">and </w:t>
      </w:r>
      <w:r w:rsidR="004E5A58">
        <w:t xml:space="preserve">Table </w:t>
      </w:r>
      <w:r w:rsidR="00851E56">
        <w:t>7</w:t>
      </w:r>
      <w:r>
        <w:t>.</w:t>
      </w:r>
    </w:p>
    <w:p w:rsidR="008D556B" w:rsidRPr="008D556B" w:rsidRDefault="00851E56" w:rsidP="00851E56">
      <w:pPr>
        <w:pStyle w:val="Caption"/>
        <w:keepNext/>
      </w:pPr>
      <w:bookmarkStart w:id="9" w:name="_Ref424821112"/>
      <w:bookmarkStart w:id="10" w:name="_Ref424821100"/>
      <w:r>
        <w:t xml:space="preserve">Table </w:t>
      </w:r>
      <w:r>
        <w:fldChar w:fldCharType="begin"/>
      </w:r>
      <w:r>
        <w:instrText xml:space="preserve"> SEQ Table \* ARABIC </w:instrText>
      </w:r>
      <w:r>
        <w:fldChar w:fldCharType="separate"/>
      </w:r>
      <w:r>
        <w:rPr>
          <w:noProof/>
        </w:rPr>
        <w:t>6</w:t>
      </w:r>
      <w:r>
        <w:fldChar w:fldCharType="end"/>
      </w:r>
      <w:r>
        <w:t xml:space="preserve">: </w:t>
      </w:r>
      <w:r w:rsidRPr="00722AF8">
        <w:t xml:space="preserve">US WHI Estrogen Only (ET) Arm – Additional Risk of Breast Cancer </w:t>
      </w:r>
      <w:proofErr w:type="gramStart"/>
      <w:r w:rsidRPr="00722AF8">
        <w:t>After</w:t>
      </w:r>
      <w:proofErr w:type="gramEnd"/>
      <w:r w:rsidRPr="00722AF8">
        <w:t xml:space="preserve"> 5 Years Use</w:t>
      </w:r>
      <w:bookmarkEnd w:id="9"/>
      <w:bookmarkEnd w:id="10"/>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Table 6: US WHI Estrogen Only (ET) Arm – Additional Risk of Breast Cancer After 5 Years Use"/>
      </w:tblPr>
      <w:tblGrid>
        <w:gridCol w:w="1701"/>
        <w:gridCol w:w="2619"/>
        <w:gridCol w:w="2343"/>
        <w:gridCol w:w="2551"/>
      </w:tblGrid>
      <w:tr w:rsidR="009542A7" w:rsidRPr="00DA6AD3" w:rsidTr="00A800AE">
        <w:tc>
          <w:tcPr>
            <w:tcW w:w="1701" w:type="dxa"/>
            <w:tcBorders>
              <w:bottom w:val="single" w:sz="4" w:space="0" w:color="auto"/>
            </w:tcBorders>
          </w:tcPr>
          <w:p w:rsidR="009542A7" w:rsidRPr="008D556B" w:rsidRDefault="009542A7" w:rsidP="008D556B">
            <w:pPr>
              <w:pStyle w:val="CLDTableTextListText"/>
              <w:rPr>
                <w:b/>
                <w:color w:val="auto"/>
                <w:sz w:val="22"/>
              </w:rPr>
            </w:pPr>
            <w:r w:rsidRPr="008D556B">
              <w:rPr>
                <w:b/>
                <w:color w:val="auto"/>
                <w:sz w:val="22"/>
              </w:rPr>
              <w:t>Age range (years)</w:t>
            </w:r>
          </w:p>
        </w:tc>
        <w:tc>
          <w:tcPr>
            <w:tcW w:w="2619" w:type="dxa"/>
            <w:tcBorders>
              <w:bottom w:val="single" w:sz="4" w:space="0" w:color="auto"/>
            </w:tcBorders>
          </w:tcPr>
          <w:p w:rsidR="009542A7" w:rsidRPr="008D556B" w:rsidRDefault="009542A7" w:rsidP="008D556B">
            <w:pPr>
              <w:pStyle w:val="CLDTableTextListText"/>
              <w:rPr>
                <w:b/>
                <w:color w:val="auto"/>
                <w:sz w:val="22"/>
              </w:rPr>
            </w:pPr>
            <w:r w:rsidRPr="008D556B">
              <w:rPr>
                <w:b/>
                <w:color w:val="auto"/>
                <w:sz w:val="22"/>
              </w:rPr>
              <w:t>Incidence per 1,000 women in placebo arm over 5 years</w:t>
            </w:r>
          </w:p>
        </w:tc>
        <w:tc>
          <w:tcPr>
            <w:tcW w:w="2343" w:type="dxa"/>
            <w:tcBorders>
              <w:bottom w:val="single" w:sz="4" w:space="0" w:color="auto"/>
            </w:tcBorders>
          </w:tcPr>
          <w:p w:rsidR="009542A7" w:rsidRPr="008D556B" w:rsidRDefault="009542A7" w:rsidP="008D556B">
            <w:pPr>
              <w:pStyle w:val="CLDTableTextListText"/>
              <w:rPr>
                <w:b/>
                <w:color w:val="auto"/>
                <w:sz w:val="22"/>
              </w:rPr>
            </w:pPr>
            <w:r w:rsidRPr="008D556B">
              <w:rPr>
                <w:b/>
                <w:color w:val="auto"/>
                <w:sz w:val="22"/>
              </w:rPr>
              <w:t>Risk ratio &amp; 95% CI</w:t>
            </w:r>
          </w:p>
        </w:tc>
        <w:tc>
          <w:tcPr>
            <w:tcW w:w="2551" w:type="dxa"/>
            <w:tcBorders>
              <w:bottom w:val="single" w:sz="4" w:space="0" w:color="auto"/>
            </w:tcBorders>
          </w:tcPr>
          <w:p w:rsidR="009542A7" w:rsidRPr="008D556B" w:rsidRDefault="009542A7" w:rsidP="008D556B">
            <w:pPr>
              <w:pStyle w:val="CLDTableTextListText"/>
              <w:rPr>
                <w:b/>
                <w:color w:val="auto"/>
                <w:sz w:val="22"/>
              </w:rPr>
            </w:pPr>
            <w:r w:rsidRPr="008D556B">
              <w:rPr>
                <w:b/>
                <w:color w:val="auto"/>
                <w:sz w:val="22"/>
              </w:rPr>
              <w:t>Additional cases per 1,000 ET users over 5 years (95% CI)</w:t>
            </w:r>
          </w:p>
        </w:tc>
      </w:tr>
      <w:tr w:rsidR="009542A7" w:rsidRPr="00DA6AD3" w:rsidTr="00A800AE">
        <w:tc>
          <w:tcPr>
            <w:tcW w:w="9214" w:type="dxa"/>
            <w:gridSpan w:val="4"/>
            <w:tcBorders>
              <w:bottom w:val="single" w:sz="4" w:space="0" w:color="auto"/>
            </w:tcBorders>
          </w:tcPr>
          <w:p w:rsidR="009542A7" w:rsidRPr="008D556B" w:rsidRDefault="009542A7" w:rsidP="007F3951">
            <w:pPr>
              <w:pStyle w:val="CLDTableTextListText"/>
              <w:rPr>
                <w:color w:val="auto"/>
                <w:sz w:val="22"/>
              </w:rPr>
            </w:pPr>
            <w:r w:rsidRPr="008D556B">
              <w:rPr>
                <w:color w:val="auto"/>
                <w:sz w:val="22"/>
              </w:rPr>
              <w:t xml:space="preserve">CE </w:t>
            </w:r>
            <w:r w:rsidR="007F3951">
              <w:rPr>
                <w:color w:val="auto"/>
                <w:sz w:val="22"/>
              </w:rPr>
              <w:t>E</w:t>
            </w:r>
            <w:r w:rsidR="007F3951" w:rsidRPr="008D556B">
              <w:rPr>
                <w:color w:val="auto"/>
                <w:sz w:val="22"/>
              </w:rPr>
              <w:t xml:space="preserve">strogen </w:t>
            </w:r>
            <w:r w:rsidRPr="008D556B">
              <w:rPr>
                <w:color w:val="auto"/>
                <w:sz w:val="22"/>
              </w:rPr>
              <w:t>only</w:t>
            </w:r>
          </w:p>
        </w:tc>
      </w:tr>
      <w:tr w:rsidR="009542A7" w:rsidRPr="00DA6AD3" w:rsidTr="00A800AE">
        <w:tc>
          <w:tcPr>
            <w:tcW w:w="1701" w:type="dxa"/>
            <w:tcBorders>
              <w:bottom w:val="single" w:sz="4" w:space="0" w:color="auto"/>
            </w:tcBorders>
          </w:tcPr>
          <w:p w:rsidR="009542A7" w:rsidRPr="008D556B" w:rsidRDefault="009542A7" w:rsidP="008D556B">
            <w:pPr>
              <w:pStyle w:val="CLDTableTextListText"/>
              <w:rPr>
                <w:color w:val="auto"/>
                <w:sz w:val="22"/>
              </w:rPr>
            </w:pPr>
            <w:r w:rsidRPr="008D556B">
              <w:rPr>
                <w:color w:val="auto"/>
                <w:sz w:val="22"/>
              </w:rPr>
              <w:t>50-79</w:t>
            </w:r>
          </w:p>
        </w:tc>
        <w:tc>
          <w:tcPr>
            <w:tcW w:w="2619" w:type="dxa"/>
            <w:tcBorders>
              <w:bottom w:val="single" w:sz="4" w:space="0" w:color="auto"/>
            </w:tcBorders>
          </w:tcPr>
          <w:p w:rsidR="009542A7" w:rsidRPr="008D556B" w:rsidRDefault="009542A7" w:rsidP="008D556B">
            <w:pPr>
              <w:pStyle w:val="CLDTableTextListText"/>
              <w:rPr>
                <w:color w:val="auto"/>
                <w:sz w:val="22"/>
              </w:rPr>
            </w:pPr>
            <w:r w:rsidRPr="008D556B">
              <w:rPr>
                <w:color w:val="auto"/>
                <w:sz w:val="22"/>
              </w:rPr>
              <w:t>21</w:t>
            </w:r>
          </w:p>
        </w:tc>
        <w:tc>
          <w:tcPr>
            <w:tcW w:w="2343" w:type="dxa"/>
            <w:tcBorders>
              <w:bottom w:val="single" w:sz="4" w:space="0" w:color="auto"/>
            </w:tcBorders>
          </w:tcPr>
          <w:p w:rsidR="009542A7" w:rsidRPr="008D556B" w:rsidRDefault="009542A7" w:rsidP="008D556B">
            <w:pPr>
              <w:pStyle w:val="CLDTableTextListText"/>
              <w:rPr>
                <w:color w:val="auto"/>
                <w:sz w:val="22"/>
              </w:rPr>
            </w:pPr>
            <w:r w:rsidRPr="008D556B">
              <w:rPr>
                <w:color w:val="auto"/>
                <w:sz w:val="22"/>
              </w:rPr>
              <w:t>0.8 (0.7-1.0)</w:t>
            </w:r>
          </w:p>
        </w:tc>
        <w:tc>
          <w:tcPr>
            <w:tcW w:w="2551" w:type="dxa"/>
            <w:tcBorders>
              <w:bottom w:val="single" w:sz="4" w:space="0" w:color="auto"/>
            </w:tcBorders>
          </w:tcPr>
          <w:p w:rsidR="009542A7" w:rsidRPr="008D556B" w:rsidRDefault="009542A7" w:rsidP="008D556B">
            <w:pPr>
              <w:pStyle w:val="CLDTableTextListText"/>
              <w:rPr>
                <w:color w:val="auto"/>
                <w:sz w:val="22"/>
              </w:rPr>
            </w:pPr>
            <w:r w:rsidRPr="008D556B">
              <w:rPr>
                <w:color w:val="auto"/>
                <w:sz w:val="22"/>
              </w:rPr>
              <w:t>-4 (-6 – 0)*</w:t>
            </w:r>
          </w:p>
        </w:tc>
      </w:tr>
      <w:tr w:rsidR="009542A7" w:rsidRPr="00DA6AD3" w:rsidTr="00A800AE">
        <w:tc>
          <w:tcPr>
            <w:tcW w:w="9214" w:type="dxa"/>
            <w:gridSpan w:val="4"/>
            <w:tcBorders>
              <w:left w:val="nil"/>
              <w:bottom w:val="nil"/>
              <w:right w:val="nil"/>
            </w:tcBorders>
          </w:tcPr>
          <w:p w:rsidR="009542A7" w:rsidRPr="00DA6AD3" w:rsidRDefault="009542A7" w:rsidP="008D556B">
            <w:pPr>
              <w:pStyle w:val="CLDTableFootnote"/>
            </w:pPr>
            <w:r w:rsidRPr="00DA6AD3">
              <w:t>*WHI study in women with no uterus, which did not show an increase in risk of breast cancer</w:t>
            </w:r>
            <w:r w:rsidR="00EF6539">
              <w:t>.</w:t>
            </w:r>
          </w:p>
        </w:tc>
      </w:tr>
    </w:tbl>
    <w:p w:rsidR="009542A7" w:rsidRPr="00B9411E" w:rsidRDefault="00851E56" w:rsidP="00851E56">
      <w:pPr>
        <w:pStyle w:val="Caption"/>
        <w:keepNext/>
      </w:pPr>
      <w:bookmarkStart w:id="11" w:name="_Ref420406642"/>
      <w:r>
        <w:t xml:space="preserve">Table </w:t>
      </w:r>
      <w:r>
        <w:fldChar w:fldCharType="begin"/>
      </w:r>
      <w:r>
        <w:instrText xml:space="preserve"> SEQ Table \* ARABIC </w:instrText>
      </w:r>
      <w:r>
        <w:fldChar w:fldCharType="separate"/>
      </w:r>
      <w:r>
        <w:rPr>
          <w:noProof/>
        </w:rPr>
        <w:t>7</w:t>
      </w:r>
      <w:r>
        <w:fldChar w:fldCharType="end"/>
      </w:r>
      <w:r>
        <w:t xml:space="preserve">: </w:t>
      </w:r>
      <w:r w:rsidRPr="004B79AD">
        <w:t>Million Women Study (Oestradiol Estradiol Only Arm) – Estimated Additional Risk of Breast Cancer after 5 Years Use</w:t>
      </w:r>
      <w:bookmarkEnd w:id="11"/>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Table 7: Million Women Study (Oestradiol Estradiol Only Arm) – Estimated Additional Risk of Breast Cancer after 5 Years Use"/>
      </w:tblPr>
      <w:tblGrid>
        <w:gridCol w:w="1701"/>
        <w:gridCol w:w="2552"/>
        <w:gridCol w:w="2410"/>
        <w:gridCol w:w="2551"/>
      </w:tblGrid>
      <w:tr w:rsidR="009542A7" w:rsidRPr="00DA6AD3" w:rsidTr="00F9039A">
        <w:trPr>
          <w:trHeight w:val="864"/>
        </w:trPr>
        <w:tc>
          <w:tcPr>
            <w:tcW w:w="1701" w:type="dxa"/>
            <w:tcBorders>
              <w:bottom w:val="single" w:sz="4" w:space="0" w:color="auto"/>
            </w:tcBorders>
          </w:tcPr>
          <w:p w:rsidR="009542A7" w:rsidRPr="008D556B" w:rsidRDefault="009542A7" w:rsidP="009B42DE">
            <w:pPr>
              <w:pStyle w:val="CLDTableTextListText"/>
              <w:rPr>
                <w:b/>
                <w:color w:val="auto"/>
                <w:sz w:val="22"/>
              </w:rPr>
            </w:pPr>
            <w:r w:rsidRPr="008D556B">
              <w:rPr>
                <w:b/>
                <w:color w:val="auto"/>
                <w:sz w:val="22"/>
              </w:rPr>
              <w:t>Age range (years)</w:t>
            </w:r>
          </w:p>
        </w:tc>
        <w:tc>
          <w:tcPr>
            <w:tcW w:w="2552" w:type="dxa"/>
            <w:tcBorders>
              <w:bottom w:val="single" w:sz="4" w:space="0" w:color="auto"/>
            </w:tcBorders>
          </w:tcPr>
          <w:p w:rsidR="009542A7" w:rsidRPr="008D556B" w:rsidRDefault="009542A7" w:rsidP="009B42DE">
            <w:pPr>
              <w:pStyle w:val="CLDTableTextListText"/>
              <w:rPr>
                <w:b/>
                <w:color w:val="auto"/>
                <w:sz w:val="22"/>
              </w:rPr>
            </w:pPr>
            <w:r w:rsidRPr="008D556B">
              <w:rPr>
                <w:b/>
                <w:color w:val="auto"/>
                <w:sz w:val="22"/>
              </w:rPr>
              <w:t>Additional cases per 1,000 never-users of HRT over a 5 year period*</w:t>
            </w:r>
          </w:p>
        </w:tc>
        <w:tc>
          <w:tcPr>
            <w:tcW w:w="2410" w:type="dxa"/>
            <w:tcBorders>
              <w:bottom w:val="single" w:sz="4" w:space="0" w:color="auto"/>
            </w:tcBorders>
          </w:tcPr>
          <w:p w:rsidR="00400C4D" w:rsidRDefault="009542A7" w:rsidP="009B42DE">
            <w:pPr>
              <w:pStyle w:val="CLDTableTextListText"/>
              <w:rPr>
                <w:b/>
                <w:color w:val="auto"/>
                <w:sz w:val="22"/>
              </w:rPr>
            </w:pPr>
            <w:r w:rsidRPr="008D556B">
              <w:rPr>
                <w:b/>
                <w:color w:val="auto"/>
                <w:sz w:val="22"/>
              </w:rPr>
              <w:t>Risk ratio</w:t>
            </w:r>
            <w:r w:rsidRPr="002158D5">
              <w:rPr>
                <w:b/>
                <w:color w:val="auto"/>
                <w:sz w:val="22"/>
                <w:vertAlign w:val="superscript"/>
              </w:rPr>
              <w:t>#</w:t>
            </w:r>
          </w:p>
          <w:p w:rsidR="009542A7" w:rsidRPr="008D556B" w:rsidRDefault="009542A7" w:rsidP="009B42DE">
            <w:pPr>
              <w:pStyle w:val="CLDTableTextListText"/>
              <w:rPr>
                <w:b/>
                <w:color w:val="auto"/>
                <w:sz w:val="22"/>
              </w:rPr>
            </w:pPr>
          </w:p>
        </w:tc>
        <w:tc>
          <w:tcPr>
            <w:tcW w:w="2551" w:type="dxa"/>
            <w:tcBorders>
              <w:bottom w:val="single" w:sz="4" w:space="0" w:color="auto"/>
            </w:tcBorders>
          </w:tcPr>
          <w:p w:rsidR="009542A7" w:rsidRPr="008D556B" w:rsidRDefault="009542A7" w:rsidP="009B42DE">
            <w:pPr>
              <w:pStyle w:val="CLDTableTextListText"/>
              <w:rPr>
                <w:b/>
                <w:color w:val="auto"/>
                <w:sz w:val="22"/>
              </w:rPr>
            </w:pPr>
            <w:r w:rsidRPr="008D556B">
              <w:rPr>
                <w:b/>
                <w:color w:val="auto"/>
                <w:sz w:val="22"/>
              </w:rPr>
              <w:t>Additional cases per 1,000 ET users over 5 years (95%CI)</w:t>
            </w:r>
          </w:p>
        </w:tc>
      </w:tr>
      <w:tr w:rsidR="009542A7" w:rsidRPr="00DA6AD3" w:rsidTr="00F9039A">
        <w:trPr>
          <w:trHeight w:val="332"/>
        </w:trPr>
        <w:tc>
          <w:tcPr>
            <w:tcW w:w="9214" w:type="dxa"/>
            <w:gridSpan w:val="4"/>
            <w:tcBorders>
              <w:bottom w:val="single" w:sz="4" w:space="0" w:color="auto"/>
            </w:tcBorders>
          </w:tcPr>
          <w:p w:rsidR="009542A7" w:rsidRPr="008D556B" w:rsidRDefault="0086170D" w:rsidP="009B42DE">
            <w:pPr>
              <w:pStyle w:val="CLDTableTextListText"/>
              <w:rPr>
                <w:color w:val="auto"/>
                <w:sz w:val="22"/>
              </w:rPr>
            </w:pPr>
            <w:r>
              <w:rPr>
                <w:color w:val="auto"/>
                <w:sz w:val="22"/>
              </w:rPr>
              <w:t>E</w:t>
            </w:r>
            <w:r w:rsidRPr="008D556B">
              <w:rPr>
                <w:color w:val="auto"/>
                <w:sz w:val="22"/>
              </w:rPr>
              <w:t xml:space="preserve">stradiol </w:t>
            </w:r>
            <w:r w:rsidR="009542A7" w:rsidRPr="008D556B">
              <w:rPr>
                <w:color w:val="auto"/>
                <w:sz w:val="22"/>
              </w:rPr>
              <w:t>only</w:t>
            </w:r>
          </w:p>
        </w:tc>
      </w:tr>
      <w:tr w:rsidR="009542A7" w:rsidRPr="00DA6AD3" w:rsidTr="00F9039A">
        <w:tc>
          <w:tcPr>
            <w:tcW w:w="1701" w:type="dxa"/>
            <w:tcBorders>
              <w:bottom w:val="single" w:sz="4" w:space="0" w:color="auto"/>
            </w:tcBorders>
          </w:tcPr>
          <w:p w:rsidR="009542A7" w:rsidRPr="008D556B" w:rsidRDefault="009542A7" w:rsidP="009B42DE">
            <w:pPr>
              <w:pStyle w:val="CLDTableTextListText"/>
              <w:rPr>
                <w:color w:val="auto"/>
                <w:sz w:val="22"/>
              </w:rPr>
            </w:pPr>
            <w:r w:rsidRPr="008D556B">
              <w:rPr>
                <w:color w:val="auto"/>
                <w:sz w:val="22"/>
              </w:rPr>
              <w:t>50-65</w:t>
            </w:r>
          </w:p>
        </w:tc>
        <w:tc>
          <w:tcPr>
            <w:tcW w:w="2552" w:type="dxa"/>
            <w:tcBorders>
              <w:bottom w:val="single" w:sz="4" w:space="0" w:color="auto"/>
            </w:tcBorders>
          </w:tcPr>
          <w:p w:rsidR="009542A7" w:rsidRPr="008D556B" w:rsidRDefault="009542A7" w:rsidP="009B42DE">
            <w:pPr>
              <w:pStyle w:val="CLDTableTextListText"/>
              <w:rPr>
                <w:color w:val="auto"/>
                <w:sz w:val="22"/>
              </w:rPr>
            </w:pPr>
            <w:r w:rsidRPr="008D556B">
              <w:rPr>
                <w:color w:val="auto"/>
                <w:sz w:val="22"/>
              </w:rPr>
              <w:t>9-12</w:t>
            </w:r>
          </w:p>
        </w:tc>
        <w:tc>
          <w:tcPr>
            <w:tcW w:w="2410" w:type="dxa"/>
            <w:tcBorders>
              <w:bottom w:val="single" w:sz="4" w:space="0" w:color="auto"/>
            </w:tcBorders>
          </w:tcPr>
          <w:p w:rsidR="009542A7" w:rsidRPr="008D556B" w:rsidRDefault="009542A7" w:rsidP="009B42DE">
            <w:pPr>
              <w:pStyle w:val="CLDTableTextListText"/>
              <w:rPr>
                <w:color w:val="auto"/>
                <w:sz w:val="22"/>
              </w:rPr>
            </w:pPr>
            <w:r w:rsidRPr="008D556B">
              <w:rPr>
                <w:color w:val="auto"/>
                <w:sz w:val="22"/>
              </w:rPr>
              <w:t>1.2</w:t>
            </w:r>
          </w:p>
        </w:tc>
        <w:tc>
          <w:tcPr>
            <w:tcW w:w="2551" w:type="dxa"/>
            <w:tcBorders>
              <w:bottom w:val="single" w:sz="4" w:space="0" w:color="auto"/>
            </w:tcBorders>
          </w:tcPr>
          <w:p w:rsidR="009542A7" w:rsidRPr="008D556B" w:rsidRDefault="009542A7" w:rsidP="009B42DE">
            <w:pPr>
              <w:pStyle w:val="CLDTableTextListText"/>
              <w:rPr>
                <w:color w:val="auto"/>
                <w:sz w:val="22"/>
              </w:rPr>
            </w:pPr>
            <w:r w:rsidRPr="008D556B">
              <w:rPr>
                <w:color w:val="auto"/>
                <w:sz w:val="22"/>
              </w:rPr>
              <w:t>1-2 (0-3)</w:t>
            </w:r>
          </w:p>
        </w:tc>
      </w:tr>
      <w:tr w:rsidR="009542A7" w:rsidRPr="00DA6AD3" w:rsidTr="004E5A58">
        <w:trPr>
          <w:trHeight w:val="622"/>
        </w:trPr>
        <w:tc>
          <w:tcPr>
            <w:tcW w:w="9214" w:type="dxa"/>
            <w:gridSpan w:val="4"/>
            <w:tcBorders>
              <w:left w:val="nil"/>
              <w:bottom w:val="nil"/>
              <w:right w:val="nil"/>
            </w:tcBorders>
          </w:tcPr>
          <w:p w:rsidR="009542A7" w:rsidRPr="00DA6AD3" w:rsidRDefault="009542A7" w:rsidP="009B42DE">
            <w:pPr>
              <w:pStyle w:val="CLDTableFootnote"/>
            </w:pPr>
            <w:r w:rsidRPr="00DA6AD3">
              <w:t>*Taken from baseline incidence rates in developed countries</w:t>
            </w:r>
            <w:r w:rsidR="00EF6539">
              <w:t>.</w:t>
            </w:r>
          </w:p>
          <w:p w:rsidR="00B50069" w:rsidRPr="00DA6AD3" w:rsidRDefault="009542A7" w:rsidP="004E5A58">
            <w:pPr>
              <w:pStyle w:val="CLDTableFootnote"/>
            </w:pPr>
            <w:proofErr w:type="gramStart"/>
            <w:r w:rsidRPr="00DA6AD3">
              <w:rPr>
                <w:szCs w:val="22"/>
                <w:vertAlign w:val="superscript"/>
              </w:rPr>
              <w:t>#</w:t>
            </w:r>
            <w:r w:rsidRPr="00DA6AD3">
              <w:rPr>
                <w:szCs w:val="22"/>
              </w:rPr>
              <w:t>Overall risk ratio.</w:t>
            </w:r>
            <w:proofErr w:type="gramEnd"/>
            <w:r w:rsidR="00156EC8">
              <w:rPr>
                <w:szCs w:val="22"/>
              </w:rPr>
              <w:t xml:space="preserve"> </w:t>
            </w:r>
            <w:r w:rsidRPr="00DA6AD3">
              <w:rPr>
                <w:szCs w:val="22"/>
              </w:rPr>
              <w:t>The risk ratio is not constant but will increase with increasing duration on use.</w:t>
            </w:r>
          </w:p>
        </w:tc>
      </w:tr>
    </w:tbl>
    <w:p w:rsidR="009542A7" w:rsidRPr="00B9411E" w:rsidRDefault="009542A7" w:rsidP="009B42DE">
      <w:pPr>
        <w:pStyle w:val="PIHeading3"/>
        <w:spacing w:before="240"/>
      </w:pPr>
      <w:r w:rsidRPr="00B9411E">
        <w:t xml:space="preserve">Endometrial </w:t>
      </w:r>
      <w:r>
        <w:t>C</w:t>
      </w:r>
      <w:r w:rsidRPr="00B9411E">
        <w:t xml:space="preserve">ancer </w:t>
      </w:r>
      <w:r>
        <w:t>R</w:t>
      </w:r>
      <w:r w:rsidRPr="00B9411E">
        <w:t>isk</w:t>
      </w:r>
    </w:p>
    <w:p w:rsidR="00400C4D" w:rsidRDefault="009542A7" w:rsidP="009B42DE">
      <w:pPr>
        <w:pStyle w:val="PIHeading4"/>
        <w:rPr>
          <w:lang w:eastAsia="en-GB"/>
        </w:rPr>
      </w:pPr>
      <w:r>
        <w:rPr>
          <w:lang w:eastAsia="en-GB"/>
        </w:rPr>
        <w:t>Postmenopausal W</w:t>
      </w:r>
      <w:r w:rsidRPr="00617BFA">
        <w:rPr>
          <w:lang w:eastAsia="en-GB"/>
        </w:rPr>
        <w:t xml:space="preserve">omen with a </w:t>
      </w:r>
      <w:r>
        <w:rPr>
          <w:lang w:eastAsia="en-GB"/>
        </w:rPr>
        <w:t>U</w:t>
      </w:r>
      <w:r w:rsidRPr="00617BFA">
        <w:rPr>
          <w:lang w:eastAsia="en-GB"/>
        </w:rPr>
        <w:t>terus</w:t>
      </w:r>
    </w:p>
    <w:p w:rsidR="009542A7" w:rsidRPr="00B9411E" w:rsidRDefault="009542A7" w:rsidP="00714691">
      <w:pPr>
        <w:pStyle w:val="PINormal"/>
        <w:keepNext/>
        <w:rPr>
          <w:lang w:val="en-GB" w:eastAsia="en-GB"/>
        </w:rPr>
      </w:pPr>
      <w:r w:rsidRPr="00B9411E">
        <w:rPr>
          <w:lang w:val="en-GB" w:eastAsia="en-GB"/>
        </w:rPr>
        <w:t xml:space="preserve">In women with a uterus, use of </w:t>
      </w:r>
      <w:proofErr w:type="spellStart"/>
      <w:r w:rsidRPr="00B9411E">
        <w:rPr>
          <w:lang w:val="en-GB" w:eastAsia="en-GB"/>
        </w:rPr>
        <w:t>estrogen</w:t>
      </w:r>
      <w:proofErr w:type="spellEnd"/>
      <w:r w:rsidRPr="00B9411E">
        <w:rPr>
          <w:lang w:val="en-GB" w:eastAsia="en-GB"/>
        </w:rPr>
        <w:t xml:space="preserve">-only HRT </w:t>
      </w:r>
      <w:proofErr w:type="gramStart"/>
      <w:r w:rsidRPr="00B9411E">
        <w:rPr>
          <w:lang w:val="en-GB" w:eastAsia="en-GB"/>
        </w:rPr>
        <w:t>is not recommended</w:t>
      </w:r>
      <w:proofErr w:type="gramEnd"/>
      <w:r w:rsidRPr="00B9411E">
        <w:rPr>
          <w:lang w:val="en-GB" w:eastAsia="en-GB"/>
        </w:rPr>
        <w:t xml:space="preserve"> because it increases the risk of endometrial cancer (see </w:t>
      </w:r>
      <w:r w:rsidR="009B42DE">
        <w:rPr>
          <w:lang w:val="en-GB" w:eastAsia="en-GB"/>
        </w:rPr>
        <w:t xml:space="preserve">CLINICAL TRIALS, Effect on the Endometrium and </w:t>
      </w:r>
      <w:r>
        <w:rPr>
          <w:lang w:val="en-GB" w:eastAsia="en-GB"/>
        </w:rPr>
        <w:t>PRECAUTIONS</w:t>
      </w:r>
      <w:r w:rsidR="009B42DE">
        <w:rPr>
          <w:lang w:val="en-GB" w:eastAsia="en-GB"/>
        </w:rPr>
        <w:t>, E</w:t>
      </w:r>
      <w:proofErr w:type="spellStart"/>
      <w:r w:rsidR="009B42DE">
        <w:t>ndometrial</w:t>
      </w:r>
      <w:proofErr w:type="spellEnd"/>
      <w:r w:rsidR="009B42DE">
        <w:t xml:space="preserve"> Hyperplasia and C</w:t>
      </w:r>
      <w:r w:rsidR="009B42DE" w:rsidRPr="00B9411E">
        <w:t>arcinoma</w:t>
      </w:r>
      <w:r w:rsidRPr="00B9411E">
        <w:rPr>
          <w:lang w:val="en-GB" w:eastAsia="en-GB"/>
        </w:rPr>
        <w:t>).</w:t>
      </w:r>
      <w:r w:rsidR="00156EC8">
        <w:rPr>
          <w:lang w:val="en-GB" w:eastAsia="en-GB"/>
        </w:rPr>
        <w:t xml:space="preserve"> </w:t>
      </w:r>
      <w:r w:rsidRPr="00B9411E">
        <w:rPr>
          <w:lang w:val="en-GB" w:eastAsia="en-GB"/>
        </w:rPr>
        <w:t xml:space="preserve">Depending on the duration of estrogen-only use and estrogen dose, the increase in risk of endometrial cancer in epidemiology studies varied from 5 </w:t>
      </w:r>
      <w:r>
        <w:rPr>
          <w:lang w:val="en-GB" w:eastAsia="en-GB"/>
        </w:rPr>
        <w:t>to</w:t>
      </w:r>
      <w:r w:rsidRPr="00B9411E">
        <w:rPr>
          <w:lang w:val="en-GB" w:eastAsia="en-GB"/>
        </w:rPr>
        <w:t xml:space="preserve"> 55 extra cases diagnosed in every 1</w:t>
      </w:r>
      <w:r>
        <w:rPr>
          <w:lang w:val="en-GB" w:eastAsia="en-GB"/>
        </w:rPr>
        <w:t>,</w:t>
      </w:r>
      <w:r w:rsidRPr="00B9411E">
        <w:rPr>
          <w:lang w:val="en-GB" w:eastAsia="en-GB"/>
        </w:rPr>
        <w:t>000 women between the ages of 50 and 65 years.</w:t>
      </w:r>
    </w:p>
    <w:p w:rsidR="009542A7" w:rsidRPr="00B9411E" w:rsidRDefault="009542A7" w:rsidP="009542A7">
      <w:pPr>
        <w:pStyle w:val="PINormal"/>
        <w:rPr>
          <w:lang w:val="en-GB" w:eastAsia="en-GB"/>
        </w:rPr>
      </w:pPr>
      <w:r w:rsidRPr="00B9411E">
        <w:rPr>
          <w:lang w:val="en-GB"/>
        </w:rPr>
        <w:t xml:space="preserve">DUAVIVE contains </w:t>
      </w:r>
      <w:proofErr w:type="spellStart"/>
      <w:r w:rsidRPr="00B9411E">
        <w:rPr>
          <w:lang w:val="en-GB"/>
        </w:rPr>
        <w:t>bazedoxifene</w:t>
      </w:r>
      <w:proofErr w:type="spellEnd"/>
      <w:r>
        <w:rPr>
          <w:lang w:val="en-GB"/>
        </w:rPr>
        <w:t>,</w:t>
      </w:r>
      <w:r w:rsidRPr="00B9411E">
        <w:rPr>
          <w:lang w:val="en-GB"/>
        </w:rPr>
        <w:t xml:space="preserve"> which reduces the risk of endometrial hyperplasia that can occur with </w:t>
      </w:r>
      <w:proofErr w:type="spellStart"/>
      <w:r w:rsidRPr="00B9411E">
        <w:rPr>
          <w:lang w:val="en-GB"/>
        </w:rPr>
        <w:t>estrogen</w:t>
      </w:r>
      <w:proofErr w:type="spellEnd"/>
      <w:r w:rsidRPr="00B9411E">
        <w:rPr>
          <w:lang w:val="en-GB"/>
        </w:rPr>
        <w:t xml:space="preserve">-only use (see </w:t>
      </w:r>
      <w:r w:rsidR="009B42DE">
        <w:rPr>
          <w:lang w:val="en-GB" w:eastAsia="en-GB"/>
        </w:rPr>
        <w:t xml:space="preserve">CLINICAL TRIALS, Effect on the Endometrium and </w:t>
      </w:r>
      <w:r>
        <w:rPr>
          <w:lang w:val="en-GB"/>
        </w:rPr>
        <w:t>PRECAUTIONS</w:t>
      </w:r>
      <w:r w:rsidR="009B42DE">
        <w:rPr>
          <w:lang w:val="en-GB"/>
        </w:rPr>
        <w:t xml:space="preserve">, </w:t>
      </w:r>
      <w:r w:rsidR="009B42DE">
        <w:rPr>
          <w:lang w:val="en-GB" w:eastAsia="en-GB"/>
        </w:rPr>
        <w:t>E</w:t>
      </w:r>
      <w:proofErr w:type="spellStart"/>
      <w:r w:rsidR="009B42DE">
        <w:t>ndometrial</w:t>
      </w:r>
      <w:proofErr w:type="spellEnd"/>
      <w:r w:rsidR="009B42DE">
        <w:t xml:space="preserve"> Hyperplasia and C</w:t>
      </w:r>
      <w:r w:rsidR="009B42DE" w:rsidRPr="00B9411E">
        <w:t>arcinoma</w:t>
      </w:r>
      <w:r w:rsidRPr="00B9411E">
        <w:rPr>
          <w:lang w:val="en-GB"/>
        </w:rPr>
        <w:t>).</w:t>
      </w:r>
      <w:r w:rsidR="00156EC8">
        <w:rPr>
          <w:lang w:val="en-GB"/>
        </w:rPr>
        <w:t xml:space="preserve"> </w:t>
      </w:r>
      <w:r w:rsidRPr="00B9411E">
        <w:rPr>
          <w:lang w:val="en-GB"/>
        </w:rPr>
        <w:t>Endometrial hyperplasia may be a precursor to endometrial cancer.</w:t>
      </w:r>
    </w:p>
    <w:p w:rsidR="009542A7" w:rsidRPr="00331409" w:rsidRDefault="009542A7" w:rsidP="009542A7">
      <w:pPr>
        <w:pStyle w:val="PIHeading3"/>
      </w:pPr>
      <w:r w:rsidRPr="00331409">
        <w:t>Ovarian Cancer</w:t>
      </w:r>
    </w:p>
    <w:p w:rsidR="00400C4D" w:rsidRDefault="00735BAB" w:rsidP="00331409">
      <w:pPr>
        <w:pStyle w:val="PINormal"/>
      </w:pPr>
      <w:r>
        <w:t>U</w:t>
      </w:r>
      <w:r w:rsidR="009542A7" w:rsidRPr="00331409">
        <w:t xml:space="preserve">se of estrogen-only HRT has been associated with a slightly increased risk of </w:t>
      </w:r>
      <w:r>
        <w:t xml:space="preserve">having </w:t>
      </w:r>
      <w:r w:rsidR="009542A7" w:rsidRPr="00331409">
        <w:t xml:space="preserve">ovarian </w:t>
      </w:r>
      <w:r w:rsidR="009542A7" w:rsidRPr="006D1087">
        <w:t>cancer</w:t>
      </w:r>
      <w:r w:rsidR="00331409" w:rsidRPr="006D1087">
        <w:t xml:space="preserve"> </w:t>
      </w:r>
      <w:r>
        <w:t xml:space="preserve">diagnosed </w:t>
      </w:r>
      <w:r w:rsidR="00331409" w:rsidRPr="007E0BF4">
        <w:rPr>
          <w:rFonts w:eastAsia="TimesNewRoman"/>
          <w:lang w:val="en-US"/>
        </w:rPr>
        <w:t>(see PRECAUTIONS)</w:t>
      </w:r>
      <w:r w:rsidR="009542A7" w:rsidRPr="007E0BF4">
        <w:t xml:space="preserve">. </w:t>
      </w:r>
    </w:p>
    <w:p w:rsidR="00331409" w:rsidRPr="00331409" w:rsidRDefault="00331409" w:rsidP="00735BAB">
      <w:pPr>
        <w:pStyle w:val="PINormal"/>
      </w:pPr>
      <w:r w:rsidRPr="007E0BF4">
        <w:rPr>
          <w:rFonts w:eastAsia="TimesNewRoman"/>
        </w:rPr>
        <w:t>A meta-analysis from 52 epidemiological studies reported an increased risk of ovarian cancer in women currently using HRT compared to women who have never used HRT (RR 1.43, 95% CI 1.31-1.56).</w:t>
      </w:r>
      <w:r w:rsidR="00156EC8">
        <w:rPr>
          <w:rFonts w:eastAsia="TimesNewRoman"/>
        </w:rPr>
        <w:t xml:space="preserve"> </w:t>
      </w:r>
      <w:r w:rsidRPr="007E0BF4">
        <w:rPr>
          <w:rFonts w:eastAsia="TimesNewRoman"/>
        </w:rPr>
        <w:t>For women aged 50 to 54 years taking 5 years of HRT, this results in about 1 extra case per 2,000 users. In women aged 50 to 54 who are not taking HRT, about 2 women in 2,000 will be diagnosed with ovarian cancer over a 5-year period.</w:t>
      </w:r>
    </w:p>
    <w:p w:rsidR="009542A7" w:rsidRPr="00B9411E" w:rsidRDefault="009542A7" w:rsidP="009542A7">
      <w:pPr>
        <w:pStyle w:val="PIHeading3"/>
        <w:rPr>
          <w:lang w:val="en-GB"/>
        </w:rPr>
      </w:pPr>
      <w:r w:rsidRPr="00B9411E">
        <w:rPr>
          <w:lang w:val="en-GB"/>
        </w:rPr>
        <w:t xml:space="preserve">Risk of </w:t>
      </w:r>
      <w:r>
        <w:rPr>
          <w:lang w:val="en-GB"/>
        </w:rPr>
        <w:t>V</w:t>
      </w:r>
      <w:r w:rsidRPr="00B9411E">
        <w:rPr>
          <w:lang w:val="en-GB"/>
        </w:rPr>
        <w:t xml:space="preserve">enous </w:t>
      </w:r>
      <w:r>
        <w:rPr>
          <w:lang w:val="en-GB"/>
        </w:rPr>
        <w:t>T</w:t>
      </w:r>
      <w:r w:rsidRPr="00B9411E">
        <w:rPr>
          <w:lang w:val="en-GB"/>
        </w:rPr>
        <w:t>hromboembolism</w:t>
      </w:r>
    </w:p>
    <w:p w:rsidR="009542A7" w:rsidRPr="00B9411E" w:rsidRDefault="009542A7" w:rsidP="009542A7">
      <w:pPr>
        <w:pStyle w:val="PINormal"/>
      </w:pPr>
      <w:r w:rsidRPr="00B9411E">
        <w:t>In the bazedoxifene osteoporosis treatment trial (mean age = 66.5 years), the VTE rate per 1,000 women</w:t>
      </w:r>
      <w:r w:rsidRPr="00B9411E">
        <w:noBreakHyphen/>
        <w:t>years through the 3</w:t>
      </w:r>
      <w:r w:rsidR="00BB60A0">
        <w:t>-</w:t>
      </w:r>
      <w:r w:rsidRPr="00B9411E">
        <w:t>year study period was 2.86 in the bazedoxifene (20 mg) group and 1.76 in the placebo group and through the 5-year study period was 2.34 in the bazedoxifene 20 mg group and 1.56 in the placebo group.</w:t>
      </w:r>
      <w:r w:rsidR="00156EC8">
        <w:t xml:space="preserve"> </w:t>
      </w:r>
      <w:r w:rsidRPr="00B9411E">
        <w:t>After 7 years</w:t>
      </w:r>
      <w:r>
        <w:t>,</w:t>
      </w:r>
      <w:r w:rsidRPr="00B9411E">
        <w:t xml:space="preserve"> the VTE rate per 1,000 women-years was 2.06 in the bazedoxifene 20 mg group and 1.36 in the placebo group.</w:t>
      </w:r>
    </w:p>
    <w:p w:rsidR="009542A7" w:rsidRPr="00B9411E" w:rsidRDefault="00156E84" w:rsidP="009542A7">
      <w:pPr>
        <w:pStyle w:val="PINormal"/>
      </w:pPr>
      <w:r>
        <w:t>Estrogens</w:t>
      </w:r>
      <w:r w:rsidR="009542A7" w:rsidRPr="00B9411E">
        <w:t xml:space="preserve"> are known to increase the risk of VTE (see </w:t>
      </w:r>
      <w:r w:rsidR="009542A7">
        <w:t>PRECAUTIONS</w:t>
      </w:r>
      <w:r w:rsidR="009B42DE">
        <w:t>, Venous Thromboembolism</w:t>
      </w:r>
      <w:r w:rsidR="009542A7" w:rsidRPr="00B9411E">
        <w:t>).</w:t>
      </w:r>
      <w:r w:rsidR="00156EC8">
        <w:t xml:space="preserve"> </w:t>
      </w:r>
      <w:r w:rsidR="009542A7" w:rsidRPr="00B9411E">
        <w:t>The occurrence of such a reaction is more likely in the first year of treatment.</w:t>
      </w:r>
      <w:r w:rsidR="00156EC8">
        <w:t xml:space="preserve"> </w:t>
      </w:r>
      <w:r w:rsidR="009542A7" w:rsidRPr="00B9411E">
        <w:t>The data from the largest randomised trial are su</w:t>
      </w:r>
      <w:r w:rsidR="009542A7">
        <w:t>m</w:t>
      </w:r>
      <w:r w:rsidR="009542A7" w:rsidRPr="00B9411E">
        <w:t>marised below</w:t>
      </w:r>
      <w:r w:rsidR="009542A7">
        <w:t xml:space="preserve"> in </w:t>
      </w:r>
      <w:r w:rsidR="004E5A58">
        <w:t xml:space="preserve">Table </w:t>
      </w:r>
      <w:r w:rsidR="00F0108C">
        <w:t>8</w:t>
      </w:r>
      <w:r w:rsidR="009542A7">
        <w:t>.</w:t>
      </w:r>
    </w:p>
    <w:p w:rsidR="009542A7" w:rsidRPr="00B9411E" w:rsidRDefault="00F0108C" w:rsidP="00F0108C">
      <w:pPr>
        <w:pStyle w:val="Caption"/>
      </w:pPr>
      <w:r>
        <w:t xml:space="preserve">Table </w:t>
      </w:r>
      <w:r>
        <w:fldChar w:fldCharType="begin"/>
      </w:r>
      <w:r>
        <w:instrText xml:space="preserve"> SEQ Table \* ARABIC </w:instrText>
      </w:r>
      <w:r>
        <w:fldChar w:fldCharType="separate"/>
      </w:r>
      <w:r>
        <w:rPr>
          <w:noProof/>
        </w:rPr>
        <w:t>8</w:t>
      </w:r>
      <w:r>
        <w:fldChar w:fldCharType="end"/>
      </w:r>
      <w:r>
        <w:t xml:space="preserve">: </w:t>
      </w:r>
      <w:r w:rsidRPr="008E59E1">
        <w:t>WHI Studies Estrogen Only Arm – Additional Risk of VTE Over 5 Years Use</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Table 8: WHI Studies Estrogen Only Arm – Additional Risk of VTE Over 5 Years Use"/>
      </w:tblPr>
      <w:tblGrid>
        <w:gridCol w:w="2106"/>
        <w:gridCol w:w="2714"/>
        <w:gridCol w:w="2268"/>
        <w:gridCol w:w="2126"/>
      </w:tblGrid>
      <w:tr w:rsidR="009542A7" w:rsidRPr="00DA6AD3" w:rsidTr="00A800AE">
        <w:tc>
          <w:tcPr>
            <w:tcW w:w="2106" w:type="dxa"/>
            <w:tcBorders>
              <w:bottom w:val="single" w:sz="4" w:space="0" w:color="auto"/>
            </w:tcBorders>
          </w:tcPr>
          <w:p w:rsidR="009542A7" w:rsidRPr="008D556B" w:rsidRDefault="009542A7" w:rsidP="008D556B">
            <w:pPr>
              <w:pStyle w:val="CLDTableTextListText"/>
              <w:rPr>
                <w:b/>
                <w:color w:val="auto"/>
                <w:sz w:val="22"/>
              </w:rPr>
            </w:pPr>
            <w:r w:rsidRPr="008D556B">
              <w:rPr>
                <w:b/>
                <w:color w:val="auto"/>
                <w:sz w:val="22"/>
              </w:rPr>
              <w:lastRenderedPageBreak/>
              <w:t>Age range (years)</w:t>
            </w:r>
          </w:p>
        </w:tc>
        <w:tc>
          <w:tcPr>
            <w:tcW w:w="2714" w:type="dxa"/>
            <w:tcBorders>
              <w:bottom w:val="single" w:sz="4" w:space="0" w:color="auto"/>
            </w:tcBorders>
          </w:tcPr>
          <w:p w:rsidR="009542A7" w:rsidRPr="008D556B" w:rsidRDefault="009542A7" w:rsidP="008D556B">
            <w:pPr>
              <w:pStyle w:val="CLDTableTextListText"/>
              <w:rPr>
                <w:b/>
                <w:color w:val="auto"/>
                <w:sz w:val="22"/>
              </w:rPr>
            </w:pPr>
            <w:r w:rsidRPr="008D556B">
              <w:rPr>
                <w:b/>
                <w:color w:val="auto"/>
                <w:sz w:val="22"/>
              </w:rPr>
              <w:t>Incidence per 1,000 women in placebo arm over 5 years</w:t>
            </w:r>
          </w:p>
        </w:tc>
        <w:tc>
          <w:tcPr>
            <w:tcW w:w="2268" w:type="dxa"/>
            <w:tcBorders>
              <w:bottom w:val="single" w:sz="4" w:space="0" w:color="auto"/>
            </w:tcBorders>
          </w:tcPr>
          <w:p w:rsidR="009542A7" w:rsidRPr="008D556B" w:rsidRDefault="009542A7" w:rsidP="008D556B">
            <w:pPr>
              <w:pStyle w:val="CLDTableTextListText"/>
              <w:rPr>
                <w:b/>
                <w:color w:val="auto"/>
                <w:sz w:val="22"/>
              </w:rPr>
            </w:pPr>
            <w:r w:rsidRPr="008D556B">
              <w:rPr>
                <w:b/>
                <w:color w:val="auto"/>
                <w:sz w:val="22"/>
              </w:rPr>
              <w:t>Risk ratio &amp; 95%CI</w:t>
            </w:r>
          </w:p>
        </w:tc>
        <w:tc>
          <w:tcPr>
            <w:tcW w:w="2126" w:type="dxa"/>
            <w:tcBorders>
              <w:bottom w:val="single" w:sz="4" w:space="0" w:color="auto"/>
            </w:tcBorders>
          </w:tcPr>
          <w:p w:rsidR="009542A7" w:rsidRPr="008D556B" w:rsidRDefault="009542A7" w:rsidP="008D556B">
            <w:pPr>
              <w:pStyle w:val="CLDTableTextListText"/>
              <w:rPr>
                <w:b/>
                <w:color w:val="auto"/>
                <w:sz w:val="22"/>
              </w:rPr>
            </w:pPr>
            <w:r w:rsidRPr="008D556B">
              <w:rPr>
                <w:b/>
                <w:color w:val="auto"/>
                <w:sz w:val="22"/>
              </w:rPr>
              <w:t>Additional cases per 1,000 ET users</w:t>
            </w:r>
          </w:p>
        </w:tc>
      </w:tr>
      <w:tr w:rsidR="009542A7" w:rsidRPr="00DA6AD3" w:rsidTr="00A800AE">
        <w:tc>
          <w:tcPr>
            <w:tcW w:w="9214" w:type="dxa"/>
            <w:gridSpan w:val="4"/>
            <w:shd w:val="clear" w:color="auto" w:fill="auto"/>
          </w:tcPr>
          <w:p w:rsidR="009542A7" w:rsidRPr="008D556B" w:rsidRDefault="009542A7" w:rsidP="007F3951">
            <w:pPr>
              <w:pStyle w:val="CLDTableTextListText"/>
              <w:rPr>
                <w:color w:val="auto"/>
                <w:sz w:val="22"/>
              </w:rPr>
            </w:pPr>
            <w:r w:rsidRPr="008D556B">
              <w:rPr>
                <w:color w:val="auto"/>
                <w:sz w:val="22"/>
              </w:rPr>
              <w:t>Oral estrogen-only*</w:t>
            </w:r>
          </w:p>
        </w:tc>
      </w:tr>
      <w:tr w:rsidR="009542A7" w:rsidRPr="00DA6AD3" w:rsidTr="00A800AE">
        <w:tc>
          <w:tcPr>
            <w:tcW w:w="2106" w:type="dxa"/>
            <w:tcBorders>
              <w:bottom w:val="single" w:sz="4" w:space="0" w:color="auto"/>
            </w:tcBorders>
          </w:tcPr>
          <w:p w:rsidR="009542A7" w:rsidRPr="008D556B" w:rsidRDefault="009542A7" w:rsidP="008D556B">
            <w:pPr>
              <w:pStyle w:val="CLDTableTextListText"/>
              <w:rPr>
                <w:color w:val="auto"/>
                <w:sz w:val="22"/>
              </w:rPr>
            </w:pPr>
            <w:r w:rsidRPr="008D556B">
              <w:rPr>
                <w:color w:val="auto"/>
                <w:sz w:val="22"/>
              </w:rPr>
              <w:t>50-59</w:t>
            </w:r>
          </w:p>
        </w:tc>
        <w:tc>
          <w:tcPr>
            <w:tcW w:w="2714" w:type="dxa"/>
            <w:tcBorders>
              <w:bottom w:val="single" w:sz="4" w:space="0" w:color="auto"/>
            </w:tcBorders>
          </w:tcPr>
          <w:p w:rsidR="009542A7" w:rsidRPr="008D556B" w:rsidRDefault="009542A7" w:rsidP="008D556B">
            <w:pPr>
              <w:pStyle w:val="CLDTableTextListText"/>
              <w:rPr>
                <w:color w:val="auto"/>
                <w:sz w:val="22"/>
              </w:rPr>
            </w:pPr>
            <w:r w:rsidRPr="008D556B">
              <w:rPr>
                <w:color w:val="auto"/>
                <w:sz w:val="22"/>
              </w:rPr>
              <w:t>7</w:t>
            </w:r>
          </w:p>
        </w:tc>
        <w:tc>
          <w:tcPr>
            <w:tcW w:w="2268" w:type="dxa"/>
            <w:tcBorders>
              <w:bottom w:val="single" w:sz="4" w:space="0" w:color="auto"/>
            </w:tcBorders>
          </w:tcPr>
          <w:p w:rsidR="009542A7" w:rsidRPr="008D556B" w:rsidRDefault="009542A7" w:rsidP="008D556B">
            <w:pPr>
              <w:pStyle w:val="CLDTableTextListText"/>
              <w:rPr>
                <w:color w:val="auto"/>
                <w:sz w:val="22"/>
              </w:rPr>
            </w:pPr>
            <w:r w:rsidRPr="008D556B">
              <w:rPr>
                <w:color w:val="auto"/>
                <w:sz w:val="22"/>
              </w:rPr>
              <w:t>1.2 (0.6-2.4)</w:t>
            </w:r>
          </w:p>
        </w:tc>
        <w:tc>
          <w:tcPr>
            <w:tcW w:w="2126" w:type="dxa"/>
            <w:tcBorders>
              <w:bottom w:val="single" w:sz="4" w:space="0" w:color="auto"/>
            </w:tcBorders>
          </w:tcPr>
          <w:p w:rsidR="009542A7" w:rsidRPr="008D556B" w:rsidRDefault="009542A7" w:rsidP="008D556B">
            <w:pPr>
              <w:pStyle w:val="CLDTableTextListText"/>
              <w:rPr>
                <w:color w:val="auto"/>
                <w:sz w:val="22"/>
              </w:rPr>
            </w:pPr>
            <w:r w:rsidRPr="008D556B">
              <w:rPr>
                <w:color w:val="auto"/>
                <w:sz w:val="22"/>
              </w:rPr>
              <w:t>1 (-3-10)</w:t>
            </w:r>
          </w:p>
        </w:tc>
      </w:tr>
      <w:tr w:rsidR="009542A7" w:rsidRPr="007B385E" w:rsidTr="00A800AE">
        <w:tc>
          <w:tcPr>
            <w:tcW w:w="9214" w:type="dxa"/>
            <w:gridSpan w:val="4"/>
            <w:tcBorders>
              <w:left w:val="nil"/>
              <w:bottom w:val="nil"/>
              <w:right w:val="nil"/>
            </w:tcBorders>
          </w:tcPr>
          <w:p w:rsidR="009542A7" w:rsidRPr="007B385E" w:rsidRDefault="009542A7" w:rsidP="007B385E">
            <w:pPr>
              <w:pStyle w:val="CLDTableFootnote"/>
            </w:pPr>
            <w:r w:rsidRPr="007B385E">
              <w:t>*study in women with no uterus</w:t>
            </w:r>
            <w:r w:rsidR="00EF6539">
              <w:t>.</w:t>
            </w:r>
          </w:p>
        </w:tc>
      </w:tr>
    </w:tbl>
    <w:p w:rsidR="00DE0947" w:rsidRDefault="00DE0947" w:rsidP="00DE0947">
      <w:pPr>
        <w:pStyle w:val="CLDTableFootnote"/>
      </w:pPr>
    </w:p>
    <w:p w:rsidR="009542A7" w:rsidRPr="00B9411E" w:rsidRDefault="009542A7" w:rsidP="009542A7">
      <w:pPr>
        <w:pStyle w:val="PIHeading3"/>
      </w:pPr>
      <w:r w:rsidRPr="00B9411E">
        <w:t xml:space="preserve">Risk of </w:t>
      </w:r>
      <w:r>
        <w:t>I</w:t>
      </w:r>
      <w:r w:rsidRPr="00B9411E">
        <w:t xml:space="preserve">schaemic </w:t>
      </w:r>
      <w:r>
        <w:t>S</w:t>
      </w:r>
      <w:r w:rsidRPr="00B9411E">
        <w:t>troke</w:t>
      </w:r>
    </w:p>
    <w:p w:rsidR="009542A7" w:rsidRPr="00B9411E" w:rsidRDefault="009542A7" w:rsidP="009542A7">
      <w:pPr>
        <w:pStyle w:val="PINormal"/>
      </w:pPr>
      <w:r w:rsidRPr="00B9411E">
        <w:rPr>
          <w:lang w:eastAsia="en-GB"/>
        </w:rPr>
        <w:t>The use of estrogen-only therapy is associated with an up to 1.5 fold increased relative risk of ischaemic stroke.</w:t>
      </w:r>
      <w:r w:rsidR="00156EC8">
        <w:rPr>
          <w:lang w:eastAsia="en-GB"/>
        </w:rPr>
        <w:t xml:space="preserve"> </w:t>
      </w:r>
      <w:proofErr w:type="gramStart"/>
      <w:r w:rsidRPr="00B9411E">
        <w:rPr>
          <w:lang w:eastAsia="en-GB"/>
        </w:rPr>
        <w:t>This relative risk is not dependent on age or on duration of use, but as the baseline risk is strongly age-dependent, the overall risk of stroke in women who use estrogen therapy will increase with age (see</w:t>
      </w:r>
      <w:proofErr w:type="gramEnd"/>
      <w:r w:rsidRPr="00B9411E">
        <w:rPr>
          <w:lang w:eastAsia="en-GB"/>
        </w:rPr>
        <w:t xml:space="preserve"> </w:t>
      </w:r>
      <w:r>
        <w:rPr>
          <w:lang w:eastAsia="en-GB"/>
        </w:rPr>
        <w:t>PRECAUTIONS</w:t>
      </w:r>
      <w:r w:rsidR="009B42DE">
        <w:rPr>
          <w:lang w:eastAsia="en-GB"/>
        </w:rPr>
        <w:t>, Ischaemic Stroke</w:t>
      </w:r>
      <w:r w:rsidRPr="00B9411E">
        <w:rPr>
          <w:lang w:eastAsia="en-GB"/>
        </w:rPr>
        <w:t>).</w:t>
      </w:r>
      <w:r w:rsidR="00156EC8">
        <w:rPr>
          <w:lang w:eastAsia="en-GB"/>
        </w:rPr>
        <w:t xml:space="preserve"> </w:t>
      </w:r>
      <w:r w:rsidRPr="00B9411E">
        <w:t>The additional risk of ischaemic stroke over five years of use was assessed in the largest randomised trial in women without a uterus (WHI) from 50-59 years of age</w:t>
      </w:r>
      <w:r>
        <w:t xml:space="preserve"> (see </w:t>
      </w:r>
      <w:r w:rsidR="003F7D80">
        <w:t xml:space="preserve">Table </w:t>
      </w:r>
      <w:r w:rsidR="00F0108C">
        <w:t>9</w:t>
      </w:r>
      <w:r>
        <w:t>)</w:t>
      </w:r>
      <w:r w:rsidRPr="00B9411E">
        <w:t>.</w:t>
      </w:r>
    </w:p>
    <w:p w:rsidR="009542A7" w:rsidRPr="00B9411E" w:rsidRDefault="00F0108C" w:rsidP="00F0108C">
      <w:pPr>
        <w:pStyle w:val="Caption"/>
        <w:keepNext/>
      </w:pPr>
      <w:bookmarkStart w:id="12" w:name="_Ref420406780"/>
      <w:r>
        <w:t xml:space="preserve">Table </w:t>
      </w:r>
      <w:r>
        <w:fldChar w:fldCharType="begin"/>
      </w:r>
      <w:r>
        <w:instrText xml:space="preserve"> SEQ Table \* ARABIC </w:instrText>
      </w:r>
      <w:r>
        <w:fldChar w:fldCharType="separate"/>
      </w:r>
      <w:r>
        <w:rPr>
          <w:noProof/>
        </w:rPr>
        <w:t>9</w:t>
      </w:r>
      <w:r>
        <w:fldChar w:fldCharType="end"/>
      </w:r>
      <w:r>
        <w:t xml:space="preserve">: </w:t>
      </w:r>
      <w:r w:rsidRPr="00961DCF">
        <w:t>WHI Studies Combined – Additional Risk of Ischaemic Stroke* Over 5 Years Use</w:t>
      </w:r>
      <w:bookmarkEnd w:id="12"/>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Table 9: WHI Studies Combined – Additional Risk of Ischaemic Stroke* Over 5 Years Use"/>
      </w:tblPr>
      <w:tblGrid>
        <w:gridCol w:w="2106"/>
        <w:gridCol w:w="2714"/>
        <w:gridCol w:w="2268"/>
        <w:gridCol w:w="2126"/>
      </w:tblGrid>
      <w:tr w:rsidR="009542A7" w:rsidRPr="004F6426" w:rsidTr="009B42DE">
        <w:tc>
          <w:tcPr>
            <w:tcW w:w="2106" w:type="dxa"/>
            <w:tcBorders>
              <w:bottom w:val="single" w:sz="4" w:space="0" w:color="auto"/>
            </w:tcBorders>
          </w:tcPr>
          <w:p w:rsidR="009542A7" w:rsidRPr="004F6426" w:rsidRDefault="009542A7" w:rsidP="00BF3F42">
            <w:pPr>
              <w:keepNext/>
              <w:spacing w:after="0"/>
              <w:rPr>
                <w:b/>
                <w:sz w:val="22"/>
                <w:szCs w:val="22"/>
              </w:rPr>
            </w:pPr>
            <w:r w:rsidRPr="004F6426">
              <w:rPr>
                <w:b/>
                <w:sz w:val="22"/>
                <w:szCs w:val="22"/>
              </w:rPr>
              <w:t>Age range (years)</w:t>
            </w:r>
          </w:p>
        </w:tc>
        <w:tc>
          <w:tcPr>
            <w:tcW w:w="2714" w:type="dxa"/>
            <w:tcBorders>
              <w:bottom w:val="single" w:sz="4" w:space="0" w:color="auto"/>
            </w:tcBorders>
          </w:tcPr>
          <w:p w:rsidR="009542A7" w:rsidRPr="004F6426" w:rsidRDefault="009542A7" w:rsidP="00BF3F42">
            <w:pPr>
              <w:keepNext/>
              <w:spacing w:after="0"/>
              <w:rPr>
                <w:b/>
                <w:sz w:val="22"/>
                <w:szCs w:val="22"/>
              </w:rPr>
            </w:pPr>
            <w:r w:rsidRPr="004F6426">
              <w:rPr>
                <w:b/>
                <w:sz w:val="22"/>
                <w:szCs w:val="22"/>
              </w:rPr>
              <w:t>Incidence per 1,000 women in placebo arm over 5 years</w:t>
            </w:r>
          </w:p>
        </w:tc>
        <w:tc>
          <w:tcPr>
            <w:tcW w:w="2268" w:type="dxa"/>
            <w:tcBorders>
              <w:bottom w:val="single" w:sz="4" w:space="0" w:color="auto"/>
            </w:tcBorders>
          </w:tcPr>
          <w:p w:rsidR="009542A7" w:rsidRPr="004F6426" w:rsidRDefault="009542A7" w:rsidP="00BF3F42">
            <w:pPr>
              <w:keepNext/>
              <w:spacing w:after="0"/>
              <w:rPr>
                <w:b/>
                <w:sz w:val="22"/>
                <w:szCs w:val="22"/>
              </w:rPr>
            </w:pPr>
            <w:r w:rsidRPr="004F6426">
              <w:rPr>
                <w:b/>
                <w:sz w:val="22"/>
                <w:szCs w:val="22"/>
              </w:rPr>
              <w:t>Risk ratio &amp; 95%CI</w:t>
            </w:r>
          </w:p>
        </w:tc>
        <w:tc>
          <w:tcPr>
            <w:tcW w:w="2126" w:type="dxa"/>
            <w:tcBorders>
              <w:bottom w:val="single" w:sz="4" w:space="0" w:color="auto"/>
            </w:tcBorders>
          </w:tcPr>
          <w:p w:rsidR="009542A7" w:rsidRPr="004F6426" w:rsidRDefault="009542A7" w:rsidP="00BF3F42">
            <w:pPr>
              <w:keepNext/>
              <w:spacing w:after="0"/>
              <w:rPr>
                <w:b/>
                <w:sz w:val="22"/>
                <w:szCs w:val="22"/>
              </w:rPr>
            </w:pPr>
            <w:r w:rsidRPr="004F6426">
              <w:rPr>
                <w:b/>
                <w:sz w:val="22"/>
                <w:szCs w:val="22"/>
              </w:rPr>
              <w:t>Additional cases per 1,000 HRT users over 5 years</w:t>
            </w:r>
          </w:p>
        </w:tc>
      </w:tr>
      <w:tr w:rsidR="009542A7" w:rsidRPr="004F6426" w:rsidTr="009B42DE">
        <w:tc>
          <w:tcPr>
            <w:tcW w:w="2106" w:type="dxa"/>
            <w:tcBorders>
              <w:bottom w:val="single" w:sz="4" w:space="0" w:color="auto"/>
            </w:tcBorders>
          </w:tcPr>
          <w:p w:rsidR="009542A7" w:rsidRPr="004F6426" w:rsidRDefault="009542A7" w:rsidP="00BF3F42">
            <w:pPr>
              <w:keepNext/>
              <w:spacing w:after="0"/>
              <w:jc w:val="center"/>
              <w:rPr>
                <w:sz w:val="22"/>
                <w:szCs w:val="22"/>
              </w:rPr>
            </w:pPr>
            <w:r w:rsidRPr="004F6426">
              <w:rPr>
                <w:sz w:val="22"/>
                <w:szCs w:val="22"/>
              </w:rPr>
              <w:t>50-59</w:t>
            </w:r>
          </w:p>
        </w:tc>
        <w:tc>
          <w:tcPr>
            <w:tcW w:w="2714" w:type="dxa"/>
            <w:tcBorders>
              <w:bottom w:val="single" w:sz="4" w:space="0" w:color="auto"/>
            </w:tcBorders>
          </w:tcPr>
          <w:p w:rsidR="009542A7" w:rsidRPr="004F6426" w:rsidRDefault="009542A7" w:rsidP="00BF3F42">
            <w:pPr>
              <w:keepNext/>
              <w:spacing w:after="0"/>
              <w:jc w:val="center"/>
              <w:rPr>
                <w:sz w:val="22"/>
                <w:szCs w:val="22"/>
              </w:rPr>
            </w:pPr>
            <w:r w:rsidRPr="004F6426">
              <w:rPr>
                <w:sz w:val="22"/>
                <w:szCs w:val="22"/>
              </w:rPr>
              <w:t>8</w:t>
            </w:r>
          </w:p>
        </w:tc>
        <w:tc>
          <w:tcPr>
            <w:tcW w:w="2268" w:type="dxa"/>
            <w:tcBorders>
              <w:bottom w:val="single" w:sz="4" w:space="0" w:color="auto"/>
            </w:tcBorders>
          </w:tcPr>
          <w:p w:rsidR="009542A7" w:rsidRPr="004F6426" w:rsidRDefault="009542A7" w:rsidP="00BF3F42">
            <w:pPr>
              <w:keepNext/>
              <w:spacing w:after="0"/>
              <w:jc w:val="center"/>
              <w:rPr>
                <w:sz w:val="22"/>
                <w:szCs w:val="22"/>
              </w:rPr>
            </w:pPr>
            <w:r w:rsidRPr="004F6426">
              <w:rPr>
                <w:sz w:val="22"/>
                <w:szCs w:val="22"/>
              </w:rPr>
              <w:t>1.3 (1.1-1.6)</w:t>
            </w:r>
          </w:p>
        </w:tc>
        <w:tc>
          <w:tcPr>
            <w:tcW w:w="2126" w:type="dxa"/>
            <w:tcBorders>
              <w:bottom w:val="single" w:sz="4" w:space="0" w:color="auto"/>
            </w:tcBorders>
          </w:tcPr>
          <w:p w:rsidR="009542A7" w:rsidRPr="004F6426" w:rsidRDefault="009542A7" w:rsidP="00BF3F42">
            <w:pPr>
              <w:keepNext/>
              <w:spacing w:after="0"/>
              <w:jc w:val="center"/>
              <w:rPr>
                <w:sz w:val="22"/>
                <w:szCs w:val="22"/>
              </w:rPr>
            </w:pPr>
            <w:r w:rsidRPr="004F6426">
              <w:rPr>
                <w:sz w:val="22"/>
                <w:szCs w:val="22"/>
              </w:rPr>
              <w:t>3 (1-5)</w:t>
            </w:r>
          </w:p>
        </w:tc>
      </w:tr>
      <w:tr w:rsidR="009B42DE" w:rsidRPr="004F6426" w:rsidTr="009B42DE">
        <w:tc>
          <w:tcPr>
            <w:tcW w:w="9214" w:type="dxa"/>
            <w:gridSpan w:val="4"/>
            <w:tcBorders>
              <w:top w:val="single" w:sz="4" w:space="0" w:color="auto"/>
              <w:left w:val="nil"/>
              <w:bottom w:val="nil"/>
              <w:right w:val="nil"/>
            </w:tcBorders>
          </w:tcPr>
          <w:p w:rsidR="009B42DE" w:rsidRPr="004F6426" w:rsidRDefault="009B42DE" w:rsidP="00BF3F42">
            <w:pPr>
              <w:pStyle w:val="CLDTableFootnote"/>
              <w:keepNext/>
              <w:rPr>
                <w:sz w:val="22"/>
                <w:szCs w:val="22"/>
              </w:rPr>
            </w:pPr>
            <w:r w:rsidRPr="004F6426">
              <w:t xml:space="preserve">*no differentiation was made between ischaemic and haemorrhagic stroke. </w:t>
            </w:r>
          </w:p>
        </w:tc>
      </w:tr>
    </w:tbl>
    <w:p w:rsidR="001128A6" w:rsidRPr="007E0BF4" w:rsidRDefault="001128A6" w:rsidP="001128A6">
      <w:pPr>
        <w:pStyle w:val="PIHeading2"/>
        <w:rPr>
          <w:vertAlign w:val="superscript"/>
        </w:rPr>
      </w:pPr>
      <w:bookmarkStart w:id="13" w:name="SystemOrgan"/>
      <w:bookmarkEnd w:id="13"/>
      <w:r w:rsidRPr="007E0BF4">
        <w:t>Post-marketing experience</w:t>
      </w:r>
    </w:p>
    <w:p w:rsidR="001128A6" w:rsidRPr="007F5D27" w:rsidRDefault="001128A6" w:rsidP="001128A6">
      <w:pPr>
        <w:pStyle w:val="PINormal"/>
      </w:pPr>
      <w:r w:rsidRPr="007E0BF4">
        <w:t>In patients receiving bazedoxifene monotherapy there have been post-marketing reports of ocular events other than retinal vein thrombosis.</w:t>
      </w:r>
      <w:r w:rsidR="00156EC8">
        <w:t xml:space="preserve"> </w:t>
      </w:r>
      <w:r w:rsidRPr="007E0BF4">
        <w:t xml:space="preserve">These reports include visual acuity reduced, blurred vision, photopsia, visual field defect, visual impairment, dry eye, eyelid </w:t>
      </w:r>
      <w:r w:rsidR="007743AF" w:rsidRPr="007E0BF4">
        <w:t>o</w:t>
      </w:r>
      <w:r w:rsidRPr="007E0BF4">
        <w:t>edema, blepharospasm, eye pain and eye swelling.</w:t>
      </w:r>
      <w:r w:rsidR="00156EC8">
        <w:t xml:space="preserve"> </w:t>
      </w:r>
      <w:r w:rsidRPr="007E0BF4">
        <w:t>The underlying nature of these events is uncertain.</w:t>
      </w:r>
      <w:r w:rsidR="00156EC8">
        <w:t xml:space="preserve"> </w:t>
      </w:r>
      <w:r w:rsidRPr="007E0BF4">
        <w:t>If ocular symptoms occur, patients should be advised to seek medical attention.</w:t>
      </w:r>
    </w:p>
    <w:p w:rsidR="007A4F6F" w:rsidRPr="004D5F31" w:rsidRDefault="00A946D9" w:rsidP="004D5F31">
      <w:pPr>
        <w:pStyle w:val="PIHeading1"/>
      </w:pPr>
      <w:r w:rsidRPr="004D5F31">
        <w:t>DOSAGE AND ADMINISTRATION</w:t>
      </w:r>
    </w:p>
    <w:p w:rsidR="003759D0" w:rsidRPr="00B9411E" w:rsidRDefault="003759D0" w:rsidP="002A4201">
      <w:pPr>
        <w:pStyle w:val="PINormal"/>
        <w:rPr>
          <w:rFonts w:eastAsia="TimesNewRoman"/>
          <w:lang w:eastAsia="ja-JP"/>
        </w:rPr>
      </w:pPr>
      <w:r w:rsidRPr="00B9411E">
        <w:rPr>
          <w:rFonts w:eastAsia="TimesNewRoman"/>
          <w:lang w:eastAsia="ja-JP"/>
        </w:rPr>
        <w:t xml:space="preserve">For initiation and continuation of treatment of postmenopausal symptoms, the lowest effective dose for the shortest duration (see </w:t>
      </w:r>
      <w:r w:rsidR="00D67648">
        <w:rPr>
          <w:rFonts w:eastAsia="TimesNewRoman"/>
          <w:lang w:eastAsia="ja-JP"/>
        </w:rPr>
        <w:t>PRECAUTIONS</w:t>
      </w:r>
      <w:r w:rsidRPr="00B9411E">
        <w:rPr>
          <w:rFonts w:eastAsia="TimesNewRoman"/>
          <w:lang w:eastAsia="ja-JP"/>
        </w:rPr>
        <w:t>) should be used.</w:t>
      </w:r>
    </w:p>
    <w:p w:rsidR="00057C60" w:rsidRDefault="00057C60" w:rsidP="00FA69AE">
      <w:pPr>
        <w:pStyle w:val="PINormal"/>
      </w:pPr>
      <w:r w:rsidRPr="00743D4D">
        <w:t xml:space="preserve">Women taking DUAVIVE should not take additional </w:t>
      </w:r>
      <w:r w:rsidR="005B1F42">
        <w:t xml:space="preserve">progestogens, </w:t>
      </w:r>
      <w:r w:rsidRPr="00743D4D">
        <w:t>estrogens</w:t>
      </w:r>
      <w:r>
        <w:t xml:space="preserve"> or SERMS</w:t>
      </w:r>
      <w:r w:rsidR="007B2EDA">
        <w:t xml:space="preserve"> (see PRECAUTIONS)</w:t>
      </w:r>
      <w:r w:rsidRPr="00743D4D">
        <w:t>.</w:t>
      </w:r>
    </w:p>
    <w:p w:rsidR="00C8562F" w:rsidRDefault="00C8562F" w:rsidP="00C8562F">
      <w:pPr>
        <w:pStyle w:val="PINormal"/>
      </w:pPr>
      <w:r>
        <w:t>DUAVIVE</w:t>
      </w:r>
      <w:r w:rsidRPr="003A1FDD">
        <w:t xml:space="preserve"> </w:t>
      </w:r>
      <w:r w:rsidRPr="002C3714">
        <w:t>may be given at any time of day, with</w:t>
      </w:r>
      <w:r w:rsidR="00C21FA4">
        <w:t xml:space="preserve"> or with</w:t>
      </w:r>
      <w:r w:rsidRPr="002C3714">
        <w:t xml:space="preserve">out </w:t>
      </w:r>
      <w:r w:rsidR="00C21FA4">
        <w:t>food</w:t>
      </w:r>
      <w:r w:rsidRPr="00DA42D7">
        <w:rPr>
          <w:iCs/>
        </w:rPr>
        <w:t>.</w:t>
      </w:r>
      <w:r w:rsidR="00156EC8">
        <w:rPr>
          <w:iCs/>
        </w:rPr>
        <w:t xml:space="preserve"> </w:t>
      </w:r>
      <w:r w:rsidRPr="002C3714">
        <w:t>Tablets should be swallowed whole.</w:t>
      </w:r>
      <w:r w:rsidR="00156EC8">
        <w:t xml:space="preserve"> </w:t>
      </w:r>
      <w:r w:rsidR="00B47163">
        <w:t>Tablets should not be chewed, crushed or broken.</w:t>
      </w:r>
    </w:p>
    <w:p w:rsidR="00C8562F" w:rsidRPr="00C8562F" w:rsidRDefault="00C8562F" w:rsidP="00C8562F">
      <w:pPr>
        <w:pStyle w:val="PIHeading2"/>
      </w:pPr>
      <w:r w:rsidRPr="00C8562F">
        <w:t>Recommended Dose</w:t>
      </w:r>
    </w:p>
    <w:p w:rsidR="00C8562F" w:rsidRPr="00C8562F" w:rsidRDefault="00C8562F" w:rsidP="00C8562F">
      <w:pPr>
        <w:pStyle w:val="PINormal"/>
        <w:rPr>
          <w:lang w:val="en-GB"/>
        </w:rPr>
      </w:pPr>
      <w:r w:rsidRPr="00C8562F">
        <w:rPr>
          <w:lang w:val="en-GB"/>
        </w:rPr>
        <w:t xml:space="preserve">The recommended dose for </w:t>
      </w:r>
      <w:r w:rsidRPr="00C8562F">
        <w:rPr>
          <w:bCs/>
          <w:iCs/>
          <w:lang w:val="en-GB"/>
        </w:rPr>
        <w:t>DUAVIVE</w:t>
      </w:r>
      <w:r w:rsidRPr="00C8562F">
        <w:rPr>
          <w:lang w:val="en-GB"/>
        </w:rPr>
        <w:t xml:space="preserve"> is CE 0.45 mg/</w:t>
      </w:r>
      <w:r w:rsidRPr="00C8562F">
        <w:t xml:space="preserve">bazedoxifene 20 mg </w:t>
      </w:r>
      <w:r w:rsidRPr="00C8562F">
        <w:rPr>
          <w:lang w:val="en-GB"/>
        </w:rPr>
        <w:t>taken as a single oral tablet, once daily.</w:t>
      </w:r>
    </w:p>
    <w:p w:rsidR="00400C4D" w:rsidRDefault="00AA30F2" w:rsidP="001E1FC1">
      <w:pPr>
        <w:pStyle w:val="PIHeading2"/>
      </w:pPr>
      <w:r>
        <w:t>Children and Adolescents</w:t>
      </w:r>
    </w:p>
    <w:p w:rsidR="00400C4D" w:rsidRDefault="00AA30F2" w:rsidP="00162FD6">
      <w:pPr>
        <w:pStyle w:val="PINormal"/>
      </w:pPr>
      <w:r w:rsidRPr="00B9411E">
        <w:rPr>
          <w:lang w:eastAsia="en-GB"/>
        </w:rPr>
        <w:t>There is no relevant use of DUAVIVE in the paediatric population</w:t>
      </w:r>
      <w:r w:rsidR="007B385E">
        <w:rPr>
          <w:lang w:eastAsia="en-GB"/>
        </w:rPr>
        <w:t xml:space="preserve"> (see PRECAUTIONS, </w:t>
      </w:r>
      <w:r w:rsidR="009E5D5D">
        <w:rPr>
          <w:lang w:eastAsia="en-GB"/>
        </w:rPr>
        <w:t>Paediatrics</w:t>
      </w:r>
      <w:r w:rsidR="007B385E">
        <w:rPr>
          <w:lang w:eastAsia="en-GB"/>
        </w:rPr>
        <w:t xml:space="preserve"> Use)</w:t>
      </w:r>
      <w:r w:rsidRPr="00B9411E">
        <w:rPr>
          <w:lang w:eastAsia="en-GB"/>
        </w:rPr>
        <w:t>.</w:t>
      </w:r>
    </w:p>
    <w:p w:rsidR="00BA7DFA" w:rsidRPr="00C8562F" w:rsidRDefault="00AA30F2" w:rsidP="001E1FC1">
      <w:pPr>
        <w:pStyle w:val="PIHeading2"/>
      </w:pPr>
      <w:r>
        <w:t xml:space="preserve">Dosage Adjustment in </w:t>
      </w:r>
      <w:r w:rsidR="00BA7DFA" w:rsidRPr="00C8562F">
        <w:t>the Elderly</w:t>
      </w:r>
    </w:p>
    <w:p w:rsidR="00B357E5" w:rsidRDefault="00B357E5" w:rsidP="00C8562F">
      <w:pPr>
        <w:pStyle w:val="PINormal"/>
        <w:rPr>
          <w:szCs w:val="22"/>
        </w:rPr>
      </w:pPr>
      <w:r w:rsidRPr="00B9411E">
        <w:rPr>
          <w:szCs w:val="22"/>
        </w:rPr>
        <w:t>The experience treating w</w:t>
      </w:r>
      <w:r w:rsidRPr="00B9411E">
        <w:rPr>
          <w:bCs/>
          <w:iCs/>
          <w:szCs w:val="22"/>
        </w:rPr>
        <w:t>o</w:t>
      </w:r>
      <w:r w:rsidRPr="00B9411E">
        <w:rPr>
          <w:szCs w:val="22"/>
        </w:rPr>
        <w:t>men older than 65</w:t>
      </w:r>
      <w:r>
        <w:rPr>
          <w:szCs w:val="22"/>
        </w:rPr>
        <w:t> </w:t>
      </w:r>
      <w:r w:rsidRPr="00B9411E">
        <w:rPr>
          <w:szCs w:val="22"/>
        </w:rPr>
        <w:t>years is limited.</w:t>
      </w:r>
    </w:p>
    <w:p w:rsidR="005E1EEE" w:rsidRDefault="00B357E5" w:rsidP="00C8562F">
      <w:pPr>
        <w:pStyle w:val="PINormal"/>
      </w:pPr>
      <w:r w:rsidRPr="00C8562F">
        <w:lastRenderedPageBreak/>
        <w:t xml:space="preserve">In 224 women included in clinical trials, </w:t>
      </w:r>
      <w:r>
        <w:t xml:space="preserve">aged between </w:t>
      </w:r>
      <w:r w:rsidRPr="00C8562F">
        <w:t xml:space="preserve">65 and 75 years, no dosage adjustment was required </w:t>
      </w:r>
      <w:r>
        <w:t>(see PHARMACOKINETICS, Special Populations, Elderly</w:t>
      </w:r>
      <w:r w:rsidRPr="00C8562F">
        <w:t>).</w:t>
      </w:r>
      <w:r w:rsidR="00156EC8">
        <w:t xml:space="preserve"> </w:t>
      </w:r>
      <w:r w:rsidRPr="00C8562F">
        <w:t>DUAVIVE has not been studied in women over 75 years of age</w:t>
      </w:r>
      <w:r>
        <w:t>.</w:t>
      </w:r>
    </w:p>
    <w:p w:rsidR="00B927C7" w:rsidRPr="00B357E5" w:rsidRDefault="00B927C7" w:rsidP="00540D26">
      <w:pPr>
        <w:pStyle w:val="PINormal"/>
        <w:keepNext/>
      </w:pPr>
      <w:r w:rsidRPr="00B357E5">
        <w:rPr>
          <w:b/>
        </w:rPr>
        <w:t>Dosage Adjustment in Renal Impairment</w:t>
      </w:r>
    </w:p>
    <w:p w:rsidR="00B927C7" w:rsidRPr="00C8562F" w:rsidRDefault="00B927C7" w:rsidP="00540D26">
      <w:pPr>
        <w:pStyle w:val="PINormal"/>
        <w:keepNext/>
      </w:pPr>
      <w:r w:rsidRPr="00C8562F">
        <w:t xml:space="preserve">The pharmacokinetics of CE/bazedoxifene </w:t>
      </w:r>
      <w:proofErr w:type="gramStart"/>
      <w:r w:rsidRPr="00C8562F">
        <w:t>have</w:t>
      </w:r>
      <w:proofErr w:type="gramEnd"/>
      <w:r w:rsidRPr="00C8562F">
        <w:t xml:space="preserve"> not been evaluated in patients with renal impairment.</w:t>
      </w:r>
      <w:r w:rsidR="00156EC8">
        <w:t xml:space="preserve"> </w:t>
      </w:r>
      <w:r w:rsidRPr="00C8562F">
        <w:t xml:space="preserve">Use in this population is </w:t>
      </w:r>
      <w:r>
        <w:t xml:space="preserve">therefore </w:t>
      </w:r>
      <w:r w:rsidRPr="00C8562F">
        <w:t xml:space="preserve">not recommended (see </w:t>
      </w:r>
      <w:r w:rsidR="007B385E">
        <w:rPr>
          <w:szCs w:val="22"/>
        </w:rPr>
        <w:t>PHARMACOKINETICS, Special Populations</w:t>
      </w:r>
      <w:r w:rsidR="007B385E">
        <w:t xml:space="preserve">, Renal Impairment and </w:t>
      </w:r>
      <w:r>
        <w:t>PRECAUTIONS</w:t>
      </w:r>
      <w:r w:rsidR="007B385E">
        <w:t>, Use in Renal Impairment</w:t>
      </w:r>
      <w:r w:rsidRPr="00C8562F">
        <w:t>).</w:t>
      </w:r>
    </w:p>
    <w:p w:rsidR="00B927C7" w:rsidRPr="00B80FFD" w:rsidRDefault="00B927C7" w:rsidP="00B927C7">
      <w:pPr>
        <w:pStyle w:val="PIHeading2"/>
      </w:pPr>
      <w:r>
        <w:t>Dosage Adjustment in</w:t>
      </w:r>
      <w:r w:rsidRPr="00B80FFD">
        <w:t xml:space="preserve"> Hepatic Impairment</w:t>
      </w:r>
    </w:p>
    <w:p w:rsidR="00B927C7" w:rsidRPr="00C8562F" w:rsidRDefault="00B927C7" w:rsidP="00C8562F">
      <w:pPr>
        <w:pStyle w:val="PINormal"/>
      </w:pPr>
      <w:r w:rsidRPr="00B80FFD">
        <w:t>The safety and efficacy of CE/bazedoxifene have not been evaluated in patients with hepatic impairment.</w:t>
      </w:r>
      <w:r w:rsidR="00156EC8">
        <w:t xml:space="preserve"> </w:t>
      </w:r>
      <w:r w:rsidRPr="00B80FFD">
        <w:t xml:space="preserve">Use in this population is contraindicated (see </w:t>
      </w:r>
      <w:r w:rsidR="007B385E">
        <w:rPr>
          <w:szCs w:val="22"/>
        </w:rPr>
        <w:t>PHARMACOKINETICS, Special Populations</w:t>
      </w:r>
      <w:r w:rsidR="007B385E">
        <w:t>, Hepatic Impairmen</w:t>
      </w:r>
      <w:r w:rsidR="009E5D5D">
        <w:t>t</w:t>
      </w:r>
      <w:r w:rsidR="007B385E">
        <w:t xml:space="preserve"> and </w:t>
      </w:r>
      <w:r w:rsidRPr="00B80FFD">
        <w:t>CONTRAINDICATIONS).</w:t>
      </w:r>
    </w:p>
    <w:p w:rsidR="00042C4F" w:rsidRPr="00B80FFD" w:rsidRDefault="00042C4F" w:rsidP="001E1FC1">
      <w:pPr>
        <w:pStyle w:val="PIHeading1"/>
      </w:pPr>
      <w:r w:rsidRPr="00B80FFD">
        <w:t>Overdosage</w:t>
      </w:r>
    </w:p>
    <w:p w:rsidR="0006265B" w:rsidRPr="00B9411E" w:rsidRDefault="0006265B" w:rsidP="004F6426">
      <w:pPr>
        <w:pStyle w:val="PINormal"/>
      </w:pPr>
      <w:r w:rsidRPr="00B9411E">
        <w:t>In case of overdose of DUAVIVE, there is no specific antidote, and the treatment should reflect the symptoms.</w:t>
      </w:r>
    </w:p>
    <w:p w:rsidR="0006265B" w:rsidRPr="00B9411E" w:rsidRDefault="0006265B" w:rsidP="004F6426">
      <w:pPr>
        <w:pStyle w:val="PINormal"/>
        <w:rPr>
          <w:szCs w:val="22"/>
          <w:lang w:val="en-GB"/>
        </w:rPr>
      </w:pPr>
      <w:r w:rsidRPr="00B9411E">
        <w:t>Symptoms of overdose of estrogen-containing medicinal products in adults and children may include nausea, vomiting, breast tenderness, dizziness, abdominal pain, drowsiness/fatigue; withdrawal bleeding may occur in females.</w:t>
      </w:r>
    </w:p>
    <w:p w:rsidR="00956C17" w:rsidRPr="00B80FFD" w:rsidRDefault="00956C17" w:rsidP="00956C17">
      <w:pPr>
        <w:pStyle w:val="PINormal"/>
        <w:rPr>
          <w:b/>
          <w:bCs/>
        </w:rPr>
      </w:pPr>
      <w:r w:rsidRPr="003E3732">
        <w:t xml:space="preserve">Contact the Poisons Information Centre </w:t>
      </w:r>
      <w:r w:rsidR="003E3732" w:rsidRPr="0086024F">
        <w:t>on 131126</w:t>
      </w:r>
      <w:r w:rsidR="003E3732">
        <w:t xml:space="preserve"> </w:t>
      </w:r>
      <w:r w:rsidRPr="003E3732">
        <w:t>for advice on the management of an overdose.</w:t>
      </w:r>
    </w:p>
    <w:p w:rsidR="00BA7DFA" w:rsidRPr="00562C80" w:rsidRDefault="00BA7DFA" w:rsidP="001E1FC1">
      <w:pPr>
        <w:pStyle w:val="PIHeading1"/>
      </w:pPr>
      <w:r w:rsidRPr="00562C80">
        <w:t>PRESENTATION AND STORAGE CONDITIONS</w:t>
      </w:r>
    </w:p>
    <w:p w:rsidR="003E3732" w:rsidRDefault="003E3732" w:rsidP="002A4640">
      <w:pPr>
        <w:pStyle w:val="PIHeading2"/>
      </w:pPr>
      <w:r>
        <w:t>Presentations</w:t>
      </w:r>
    </w:p>
    <w:p w:rsidR="00950E99" w:rsidRPr="00B9411E" w:rsidRDefault="00950E99" w:rsidP="00950E99">
      <w:pPr>
        <w:widowControl w:val="0"/>
        <w:rPr>
          <w:szCs w:val="22"/>
        </w:rPr>
      </w:pPr>
      <w:r w:rsidRPr="00B9411E">
        <w:rPr>
          <w:szCs w:val="22"/>
        </w:rPr>
        <w:t>The DUAVIVE 0.45 mg/20 mg modified</w:t>
      </w:r>
      <w:r w:rsidR="00FF04EA">
        <w:rPr>
          <w:szCs w:val="22"/>
        </w:rPr>
        <w:t xml:space="preserve"> </w:t>
      </w:r>
      <w:r w:rsidRPr="00B9411E">
        <w:rPr>
          <w:szCs w:val="22"/>
        </w:rPr>
        <w:t>release tablet is a pink, oval</w:t>
      </w:r>
      <w:r w:rsidR="00FF04EA">
        <w:rPr>
          <w:szCs w:val="22"/>
        </w:rPr>
        <w:t xml:space="preserve"> </w:t>
      </w:r>
      <w:r w:rsidRPr="00B9411E">
        <w:rPr>
          <w:szCs w:val="22"/>
        </w:rPr>
        <w:t>shaped, tablet marked on one side with “0.45/20”.</w:t>
      </w:r>
    </w:p>
    <w:p w:rsidR="00400C4D" w:rsidRDefault="00B80FFD" w:rsidP="00B80FFD">
      <w:pPr>
        <w:widowControl w:val="0"/>
        <w:rPr>
          <w:szCs w:val="22"/>
        </w:rPr>
      </w:pPr>
      <w:r w:rsidRPr="00B80FFD">
        <w:rPr>
          <w:szCs w:val="22"/>
        </w:rPr>
        <w:t>The tablets are provided in PVC/</w:t>
      </w:r>
      <w:r w:rsidR="004B5C12">
        <w:rPr>
          <w:szCs w:val="22"/>
        </w:rPr>
        <w:t>Aclar/PVC/Al</w:t>
      </w:r>
      <w:r w:rsidRPr="00B80FFD">
        <w:rPr>
          <w:szCs w:val="22"/>
        </w:rPr>
        <w:t xml:space="preserve"> blister packs containing 7</w:t>
      </w:r>
      <w:r w:rsidR="006B45D5">
        <w:rPr>
          <w:szCs w:val="22"/>
        </w:rPr>
        <w:t xml:space="preserve"> or</w:t>
      </w:r>
      <w:r w:rsidR="008B3B85">
        <w:rPr>
          <w:szCs w:val="22"/>
        </w:rPr>
        <w:t xml:space="preserve"> </w:t>
      </w:r>
      <w:r w:rsidRPr="00B80FFD">
        <w:rPr>
          <w:szCs w:val="22"/>
        </w:rPr>
        <w:t xml:space="preserve">28 tablets. </w:t>
      </w:r>
    </w:p>
    <w:p w:rsidR="003E3732" w:rsidRDefault="003E3732" w:rsidP="002158D5">
      <w:pPr>
        <w:pStyle w:val="PIHeading2"/>
        <w:keepNext w:val="0"/>
        <w:widowControl w:val="0"/>
      </w:pPr>
      <w:r>
        <w:t>Storage Conditions</w:t>
      </w:r>
    </w:p>
    <w:p w:rsidR="00400C4D" w:rsidRDefault="00D735CD" w:rsidP="00156EC8">
      <w:r>
        <w:t>Store below</w:t>
      </w:r>
      <w:r w:rsidR="006A6003" w:rsidRPr="00B80FFD">
        <w:t xml:space="preserve"> 25ºC.</w:t>
      </w:r>
    </w:p>
    <w:p w:rsidR="00400C4D" w:rsidRDefault="005E1EEE" w:rsidP="00156EC8">
      <w:proofErr w:type="gramStart"/>
      <w:r w:rsidRPr="00B80FFD">
        <w:rPr>
          <w:lang w:eastAsia="en-GB"/>
        </w:rPr>
        <w:t>Store in the original package in order to protect from moisture.</w:t>
      </w:r>
      <w:proofErr w:type="gramEnd"/>
    </w:p>
    <w:p w:rsidR="006A6003" w:rsidRPr="00B80FFD" w:rsidRDefault="006A6003" w:rsidP="00156EC8">
      <w:r w:rsidRPr="00B80FFD">
        <w:t>After opening the blister pouch, use within 60 days.</w:t>
      </w:r>
    </w:p>
    <w:p w:rsidR="006A6003" w:rsidRPr="00B80FFD" w:rsidRDefault="006A6003" w:rsidP="001E1FC1">
      <w:pPr>
        <w:pStyle w:val="PIHeading1"/>
      </w:pPr>
      <w:r w:rsidRPr="00B80FFD">
        <w:t>NAME AND ADDRESS OF the SPONSOR</w:t>
      </w:r>
    </w:p>
    <w:p w:rsidR="00400C4D" w:rsidRDefault="003E3732" w:rsidP="00156EC8">
      <w:pPr>
        <w:pStyle w:val="CLDTableTextListText"/>
        <w:keepNext w:val="0"/>
      </w:pPr>
      <w:r>
        <w:t>Pfizer Australia Pty Ltd</w:t>
      </w:r>
    </w:p>
    <w:p w:rsidR="003E3732" w:rsidRDefault="003E3732" w:rsidP="00156EC8">
      <w:pPr>
        <w:pStyle w:val="CLDTableTextListText"/>
        <w:keepNext w:val="0"/>
      </w:pPr>
      <w:r>
        <w:t>ABN 5000 8422 348</w:t>
      </w:r>
    </w:p>
    <w:p w:rsidR="00400C4D" w:rsidRDefault="003E3732" w:rsidP="00156EC8">
      <w:pPr>
        <w:pStyle w:val="CLDTableTextListText"/>
        <w:keepNext w:val="0"/>
      </w:pPr>
      <w:r>
        <w:t>38-42 Wharf Road</w:t>
      </w:r>
    </w:p>
    <w:p w:rsidR="00400C4D" w:rsidRDefault="003E3732" w:rsidP="00156EC8">
      <w:pPr>
        <w:pStyle w:val="CLDTableTextListText"/>
        <w:keepNext w:val="0"/>
        <w:rPr>
          <w:color w:val="auto"/>
        </w:rPr>
      </w:pPr>
      <w:proofErr w:type="gramStart"/>
      <w:r>
        <w:t>WEST RYDE</w:t>
      </w:r>
      <w:r w:rsidR="00156EC8">
        <w:t xml:space="preserve"> </w:t>
      </w:r>
      <w:r>
        <w:t>NSW</w:t>
      </w:r>
      <w:r w:rsidR="00156EC8">
        <w:t xml:space="preserve"> </w:t>
      </w:r>
      <w:r>
        <w:t>2114</w:t>
      </w:r>
      <w:r w:rsidRPr="002A4640">
        <w:rPr>
          <w:color w:val="auto"/>
        </w:rPr>
        <w:t>.</w:t>
      </w:r>
      <w:proofErr w:type="gramEnd"/>
    </w:p>
    <w:p w:rsidR="003E3732" w:rsidRDefault="003E3732" w:rsidP="003E3732">
      <w:pPr>
        <w:pStyle w:val="CLDHeading1"/>
      </w:pPr>
      <w:r>
        <w:t>POISO</w:t>
      </w:r>
      <w:r w:rsidRPr="00BA4894">
        <w:t>N SCHEDULE</w:t>
      </w:r>
      <w:r>
        <w:t xml:space="preserve"> OF THE MEDICINE</w:t>
      </w:r>
    </w:p>
    <w:p w:rsidR="00613E64" w:rsidRPr="00B80FFD" w:rsidRDefault="003E3732" w:rsidP="002A4640">
      <w:pPr>
        <w:pStyle w:val="PINormal"/>
      </w:pPr>
      <w:r>
        <w:rPr>
          <w:lang w:val="en"/>
        </w:rPr>
        <w:t xml:space="preserve">S4, </w:t>
      </w:r>
      <w:r w:rsidR="00613E64" w:rsidRPr="00B80FFD">
        <w:t xml:space="preserve">Prescription </w:t>
      </w:r>
      <w:r w:rsidR="00D735CD">
        <w:t xml:space="preserve">Only </w:t>
      </w:r>
      <w:r w:rsidR="00613E64" w:rsidRPr="00B80FFD">
        <w:t>Medicine</w:t>
      </w:r>
      <w:r w:rsidR="008B3B85">
        <w:t>.</w:t>
      </w:r>
    </w:p>
    <w:p w:rsidR="00400C4D" w:rsidRDefault="00EB4D43" w:rsidP="00D735CD">
      <w:pPr>
        <w:pStyle w:val="PIHeading1"/>
      </w:pPr>
      <w:r w:rsidRPr="00B80FFD">
        <w:lastRenderedPageBreak/>
        <w:t xml:space="preserve">Date of </w:t>
      </w:r>
      <w:r w:rsidR="00D735CD">
        <w:t>FIRST INCLUSION IN THE AUSTRALIAN REGISTER OF THERAPEUTIC GOODS (THE ARTG)</w:t>
      </w:r>
    </w:p>
    <w:p w:rsidR="003E3732" w:rsidRDefault="005909E8" w:rsidP="00D735CD">
      <w:pPr>
        <w:pStyle w:val="PINormal"/>
      </w:pPr>
      <w:r>
        <w:t>15 December 2016</w:t>
      </w:r>
      <w:r w:rsidR="004E5A58">
        <w:t>.</w:t>
      </w:r>
    </w:p>
    <w:p w:rsidR="003E3732" w:rsidRPr="002A4640" w:rsidRDefault="003E3732" w:rsidP="003E3732">
      <w:pPr>
        <w:pStyle w:val="CLDNormal"/>
        <w:rPr>
          <w:b/>
          <w:szCs w:val="24"/>
        </w:rPr>
      </w:pPr>
      <w:r w:rsidRPr="008B3A95">
        <w:rPr>
          <w:vertAlign w:val="superscript"/>
        </w:rPr>
        <w:sym w:font="Symbol" w:char="F0D2"/>
      </w:r>
      <w:r>
        <w:rPr>
          <w:vertAlign w:val="superscript"/>
        </w:rPr>
        <w:t xml:space="preserve"> </w:t>
      </w:r>
      <w:proofErr w:type="gramStart"/>
      <w:r>
        <w:t>Registered trademark.</w:t>
      </w:r>
      <w:proofErr w:type="gramEnd"/>
    </w:p>
    <w:sectPr w:rsidR="003E3732" w:rsidRPr="002A4640" w:rsidSect="009B6445">
      <w:headerReference w:type="even" r:id="rId14"/>
      <w:headerReference w:type="default" r:id="rId15"/>
      <w:footerReference w:type="even" r:id="rId16"/>
      <w:footerReference w:type="default" r:id="rId17"/>
      <w:headerReference w:type="first" r:id="rId18"/>
      <w:endnotePr>
        <w:numFmt w:val="decimal"/>
      </w:endnotePr>
      <w:type w:val="oddPage"/>
      <w:pgSz w:w="11907" w:h="16840" w:code="9"/>
      <w:pgMar w:top="1247" w:right="1247" w:bottom="993" w:left="1247" w:header="284" w:footer="220" w:gutter="0"/>
      <w:cols w:space="73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7397" w:rsidRDefault="00477397">
      <w:r>
        <w:separator/>
      </w:r>
    </w:p>
  </w:endnote>
  <w:endnote w:type="continuationSeparator" w:id="0">
    <w:p w:rsidR="00477397" w:rsidRDefault="00477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Bold">
    <w:panose1 w:val="00000000000000000000"/>
    <w:charset w:val="00"/>
    <w:family w:val="roman"/>
    <w:notTrueType/>
    <w:pitch w:val="default"/>
  </w:font>
  <w:font w:name="Times">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KGFENB+TimesNew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NewRoman">
    <w:altName w:val="MS Gothic"/>
    <w:panose1 w:val="00000000000000000000"/>
    <w:charset w:val="80"/>
    <w:family w:val="auto"/>
    <w:notTrueType/>
    <w:pitch w:val="default"/>
    <w:sig w:usb0="00000001" w:usb1="08070000" w:usb2="00000010" w:usb3="00000000" w:csb0="00020001" w:csb1="00000000"/>
  </w:font>
  <w:font w:name="TimesNewRoman,Bold">
    <w:altName w:val="MS Gothic"/>
    <w:panose1 w:val="00000000000000000000"/>
    <w:charset w:val="80"/>
    <w:family w:val="auto"/>
    <w:notTrueType/>
    <w:pitch w:val="default"/>
    <w:sig w:usb0="00000000" w:usb1="08070000" w:usb2="00000010" w:usb3="00000000" w:csb0="0002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1E60" w:rsidRPr="00054F74" w:rsidRDefault="00601E60" w:rsidP="00054F74">
    <w:r w:rsidRPr="00054F74">
      <w:t>Version: &lt;insert filename&gt;</w:t>
    </w:r>
    <w:r w:rsidRPr="00054F74">
      <w:tab/>
      <w:t>Supersedes: &lt;insert filename&gt;</w:t>
    </w:r>
  </w:p>
  <w:p w:rsidR="00601E60" w:rsidRPr="00054F74" w:rsidRDefault="00601E60" w:rsidP="00054F74">
    <w:r w:rsidRPr="00054F74">
      <w:t>MOH Approved:</w:t>
    </w:r>
  </w:p>
  <w:p w:rsidR="00601E60" w:rsidRPr="00054F74" w:rsidRDefault="00601E60" w:rsidP="00054F74">
    <w:r w:rsidRPr="00054F74">
      <w:t>Commercial/Non-Commercial</w:t>
    </w:r>
    <w:r w:rsidRPr="00054F74">
      <w:tab/>
      <w:t xml:space="preserve">Page </w:t>
    </w:r>
    <w:r>
      <w:fldChar w:fldCharType="begin"/>
    </w:r>
    <w:r>
      <w:instrText xml:space="preserve"> PAGE </w:instrText>
    </w:r>
    <w:r>
      <w:fldChar w:fldCharType="separate"/>
    </w:r>
    <w:r>
      <w:rPr>
        <w:noProof/>
      </w:rPr>
      <w:t>25</w:t>
    </w:r>
    <w:r>
      <w:fldChar w:fldCharType="end"/>
    </w:r>
    <w:r w:rsidRPr="00054F74">
      <w:t xml:space="preserve"> of </w:t>
    </w:r>
    <w:r>
      <w:fldChar w:fldCharType="begin"/>
    </w:r>
    <w:r>
      <w:instrText xml:space="preserve"> NUMPAGES </w:instrText>
    </w:r>
    <w:r>
      <w:fldChar w:fldCharType="separate"/>
    </w:r>
    <w:r>
      <w:rPr>
        <w:noProof/>
      </w:rPr>
      <w:t>26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1E60" w:rsidRPr="003459E3" w:rsidRDefault="00601E60" w:rsidP="003459E3">
    <w:pPr>
      <w:pStyle w:val="CLDFooter"/>
    </w:pPr>
    <w:r w:rsidRPr="003459E3">
      <w:t xml:space="preserve">Version: </w:t>
    </w:r>
    <w:r w:rsidRPr="003459E3">
      <w:rPr>
        <w:lang w:val="fr-FR"/>
      </w:rPr>
      <w:t>pfpduavt</w:t>
    </w:r>
    <w:r w:rsidR="005909E8">
      <w:rPr>
        <w:lang w:val="fr-FR"/>
      </w:rPr>
      <w:t>1</w:t>
    </w:r>
    <w:r>
      <w:rPr>
        <w:lang w:val="fr-FR"/>
      </w:rPr>
      <w:t>1</w:t>
    </w:r>
    <w:r w:rsidR="005909E8">
      <w:rPr>
        <w:lang w:val="fr-FR"/>
      </w:rPr>
      <w:t>2</w:t>
    </w:r>
    <w:r>
      <w:rPr>
        <w:lang w:val="fr-FR"/>
      </w:rPr>
      <w:t>16</w:t>
    </w:r>
    <w:r w:rsidRPr="003459E3">
      <w:tab/>
      <w:t>Supersedes: n/a</w:t>
    </w:r>
  </w:p>
  <w:p w:rsidR="00601E60" w:rsidRPr="00F76494" w:rsidRDefault="00601E60" w:rsidP="003459E3">
    <w:pPr>
      <w:pStyle w:val="CLDFooter"/>
    </w:pPr>
    <w:r>
      <w:tab/>
    </w:r>
    <w:r>
      <w:rPr>
        <w:lang w:val="en-US"/>
      </w:rPr>
      <w:t xml:space="preserve">Page </w:t>
    </w:r>
    <w:r>
      <w:rPr>
        <w:lang w:val="en-US"/>
      </w:rPr>
      <w:fldChar w:fldCharType="begin"/>
    </w:r>
    <w:r>
      <w:rPr>
        <w:lang w:val="en-US"/>
      </w:rPr>
      <w:instrText xml:space="preserve"> PAGE </w:instrText>
    </w:r>
    <w:r>
      <w:rPr>
        <w:lang w:val="en-US"/>
      </w:rPr>
      <w:fldChar w:fldCharType="separate"/>
    </w:r>
    <w:r w:rsidR="00384045">
      <w:rPr>
        <w:noProof/>
        <w:lang w:val="en-US"/>
      </w:rPr>
      <w:t>1</w:t>
    </w:r>
    <w:r>
      <w:rPr>
        <w:lang w:val="en-US"/>
      </w:rPr>
      <w:fldChar w:fldCharType="end"/>
    </w:r>
    <w:r>
      <w:rPr>
        <w:lang w:val="en-US"/>
      </w:rPr>
      <w:t xml:space="preserve"> of </w:t>
    </w:r>
    <w:r>
      <w:rPr>
        <w:lang w:val="en-US"/>
      </w:rPr>
      <w:fldChar w:fldCharType="begin"/>
    </w:r>
    <w:r>
      <w:rPr>
        <w:lang w:val="en-US"/>
      </w:rPr>
      <w:instrText xml:space="preserve"> NUMPAGES </w:instrText>
    </w:r>
    <w:r>
      <w:rPr>
        <w:lang w:val="en-US"/>
      </w:rPr>
      <w:fldChar w:fldCharType="separate"/>
    </w:r>
    <w:r w:rsidR="00384045">
      <w:rPr>
        <w:noProof/>
        <w:lang w:val="en-US"/>
      </w:rPr>
      <w:t>21</w:t>
    </w:r>
    <w:r>
      <w:rPr>
        <w:lang w:val="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7397" w:rsidRDefault="00477397">
      <w:r>
        <w:separator/>
      </w:r>
    </w:p>
  </w:footnote>
  <w:footnote w:type="continuationSeparator" w:id="0">
    <w:p w:rsidR="00477397" w:rsidRDefault="004773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1E60" w:rsidRDefault="00601E60"/>
  <w:tbl>
    <w:tblPr>
      <w:tblW w:w="9855"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ayout w:type="fixed"/>
      <w:tblLook w:val="0000" w:firstRow="0" w:lastRow="0" w:firstColumn="0" w:lastColumn="0" w:noHBand="0" w:noVBand="0"/>
    </w:tblPr>
    <w:tblGrid>
      <w:gridCol w:w="1410"/>
      <w:gridCol w:w="3225"/>
      <w:gridCol w:w="1468"/>
      <w:gridCol w:w="1966"/>
      <w:gridCol w:w="734"/>
      <w:gridCol w:w="1052"/>
    </w:tblGrid>
    <w:tr w:rsidR="00601E60" w:rsidTr="00343757">
      <w:tc>
        <w:tcPr>
          <w:tcW w:w="9855" w:type="dxa"/>
          <w:gridSpan w:val="6"/>
          <w:shd w:val="clear" w:color="auto" w:fill="E6E6E6"/>
        </w:tcPr>
        <w:p w:rsidR="00601E60" w:rsidRPr="00EB4D43" w:rsidRDefault="00601E60" w:rsidP="00343757">
          <w:pPr>
            <w:pStyle w:val="Heading3"/>
            <w:spacing w:before="0"/>
            <w:jc w:val="center"/>
            <w:rPr>
              <w:rFonts w:ascii="Arial" w:hAnsi="Arial" w:cs="Arial"/>
              <w:i w:val="0"/>
              <w:sz w:val="20"/>
            </w:rPr>
          </w:pPr>
          <w:r w:rsidRPr="00EB4D43">
            <w:rPr>
              <w:rFonts w:ascii="Arial" w:hAnsi="Arial" w:cs="Arial"/>
              <w:i w:val="0"/>
            </w:rPr>
            <w:t xml:space="preserve"> AUSTRALIAN WORKING PRACTICE GUIDELINE</w:t>
          </w:r>
        </w:p>
      </w:tc>
    </w:tr>
    <w:tr w:rsidR="00601E60" w:rsidTr="00343757">
      <w:tc>
        <w:tcPr>
          <w:tcW w:w="1410" w:type="dxa"/>
          <w:shd w:val="clear" w:color="auto" w:fill="E6E6E6"/>
        </w:tcPr>
        <w:p w:rsidR="00601E60" w:rsidRPr="00EB4D43" w:rsidRDefault="00601E60" w:rsidP="00343757">
          <w:pPr>
            <w:pStyle w:val="Heading3"/>
            <w:rPr>
              <w:rFonts w:ascii="Arial" w:hAnsi="Arial" w:cs="Arial"/>
              <w:i w:val="0"/>
              <w:sz w:val="18"/>
            </w:rPr>
          </w:pPr>
          <w:r w:rsidRPr="00EB4D43">
            <w:rPr>
              <w:rFonts w:ascii="Arial" w:hAnsi="Arial" w:cs="Arial"/>
              <w:i w:val="0"/>
              <w:sz w:val="18"/>
            </w:rPr>
            <w:t>Title</w:t>
          </w:r>
        </w:p>
      </w:tc>
      <w:tc>
        <w:tcPr>
          <w:tcW w:w="8445" w:type="dxa"/>
          <w:gridSpan w:val="5"/>
          <w:shd w:val="clear" w:color="auto" w:fill="FFFFFF"/>
        </w:tcPr>
        <w:p w:rsidR="00601E60" w:rsidRPr="00EB4D43" w:rsidRDefault="00601E60" w:rsidP="00343757">
          <w:pPr>
            <w:pStyle w:val="Heading1"/>
            <w:spacing w:before="120"/>
            <w:rPr>
              <w:rFonts w:ascii="Arial" w:hAnsi="Arial" w:cs="Arial"/>
              <w:sz w:val="22"/>
            </w:rPr>
          </w:pPr>
          <w:r w:rsidRPr="00EB4D43">
            <w:rPr>
              <w:rFonts w:ascii="Arial" w:hAnsi="Arial" w:cs="Arial"/>
              <w:sz w:val="22"/>
            </w:rPr>
            <w:t>Preparation of local product documents (lpd) and implemenTation dates in new zealand</w:t>
          </w:r>
        </w:p>
      </w:tc>
    </w:tr>
    <w:tr w:rsidR="00601E60" w:rsidTr="00343757">
      <w:tc>
        <w:tcPr>
          <w:tcW w:w="1410" w:type="dxa"/>
          <w:shd w:val="clear" w:color="auto" w:fill="E6E6E6"/>
        </w:tcPr>
        <w:p w:rsidR="00601E60" w:rsidRPr="00EB4D43" w:rsidRDefault="00601E60" w:rsidP="00343757">
          <w:pPr>
            <w:pStyle w:val="Heading3"/>
            <w:rPr>
              <w:rFonts w:ascii="Arial" w:hAnsi="Arial" w:cs="Arial"/>
              <w:i w:val="0"/>
              <w:sz w:val="18"/>
            </w:rPr>
          </w:pPr>
          <w:r w:rsidRPr="00EB4D43">
            <w:rPr>
              <w:rFonts w:ascii="Arial" w:hAnsi="Arial" w:cs="Arial"/>
              <w:i w:val="0"/>
              <w:sz w:val="18"/>
            </w:rPr>
            <w:t>Identifier</w:t>
          </w:r>
        </w:p>
      </w:tc>
      <w:tc>
        <w:tcPr>
          <w:tcW w:w="3225" w:type="dxa"/>
          <w:shd w:val="clear" w:color="auto" w:fill="FFFFFF"/>
        </w:tcPr>
        <w:p w:rsidR="00601E60" w:rsidRPr="00EB4D43" w:rsidRDefault="00601E60" w:rsidP="00343757">
          <w:pPr>
            <w:pStyle w:val="Heading1"/>
            <w:keepNext w:val="0"/>
            <w:spacing w:before="120" w:after="0"/>
            <w:rPr>
              <w:rFonts w:ascii="Arial" w:hAnsi="Arial" w:cs="Arial"/>
              <w:sz w:val="20"/>
            </w:rPr>
          </w:pPr>
          <w:r>
            <w:rPr>
              <w:rFonts w:ascii="Arial" w:hAnsi="Arial" w:cs="Arial"/>
              <w:sz w:val="20"/>
            </w:rPr>
            <w:t>WPG-RA-30-01</w:t>
          </w:r>
        </w:p>
      </w:tc>
      <w:tc>
        <w:tcPr>
          <w:tcW w:w="1468" w:type="dxa"/>
          <w:shd w:val="clear" w:color="auto" w:fill="E6E6E6"/>
        </w:tcPr>
        <w:p w:rsidR="00601E60" w:rsidRPr="00EB4D43" w:rsidRDefault="00601E60" w:rsidP="00343757">
          <w:pPr>
            <w:pStyle w:val="Heading3"/>
            <w:rPr>
              <w:rFonts w:ascii="Arial" w:hAnsi="Arial" w:cs="Arial"/>
              <w:i w:val="0"/>
              <w:sz w:val="18"/>
            </w:rPr>
          </w:pPr>
          <w:r w:rsidRPr="00EB4D43">
            <w:rPr>
              <w:rFonts w:ascii="Arial" w:hAnsi="Arial" w:cs="Arial"/>
              <w:i w:val="0"/>
              <w:sz w:val="18"/>
            </w:rPr>
            <w:t>Effective Date</w:t>
          </w:r>
        </w:p>
      </w:tc>
      <w:tc>
        <w:tcPr>
          <w:tcW w:w="1966" w:type="dxa"/>
        </w:tcPr>
        <w:p w:rsidR="00601E60" w:rsidRPr="00EB4D43" w:rsidRDefault="00601E60" w:rsidP="00343757">
          <w:pPr>
            <w:pStyle w:val="Heading3"/>
            <w:rPr>
              <w:rFonts w:ascii="Arial" w:hAnsi="Arial" w:cs="Arial"/>
              <w:i w:val="0"/>
              <w:sz w:val="20"/>
            </w:rPr>
          </w:pPr>
          <w:r w:rsidRPr="00EB4D43">
            <w:rPr>
              <w:rFonts w:ascii="Arial" w:hAnsi="Arial" w:cs="Arial"/>
              <w:i w:val="0"/>
              <w:sz w:val="20"/>
            </w:rPr>
            <w:t>01 May 2009</w:t>
          </w:r>
        </w:p>
      </w:tc>
      <w:tc>
        <w:tcPr>
          <w:tcW w:w="734" w:type="dxa"/>
          <w:tcBorders>
            <w:bottom w:val="single" w:sz="4" w:space="0" w:color="auto"/>
          </w:tcBorders>
          <w:shd w:val="clear" w:color="auto" w:fill="E6E6E6"/>
        </w:tcPr>
        <w:p w:rsidR="00601E60" w:rsidRPr="00EB4D43" w:rsidRDefault="00601E60" w:rsidP="00343757">
          <w:pPr>
            <w:pStyle w:val="Heading3"/>
            <w:rPr>
              <w:rFonts w:ascii="Arial" w:hAnsi="Arial" w:cs="Arial"/>
              <w:i w:val="0"/>
              <w:sz w:val="20"/>
            </w:rPr>
          </w:pPr>
          <w:r w:rsidRPr="00EB4D43">
            <w:rPr>
              <w:rFonts w:ascii="Arial" w:hAnsi="Arial" w:cs="Arial"/>
              <w:i w:val="0"/>
              <w:sz w:val="20"/>
            </w:rPr>
            <w:t>Page</w:t>
          </w:r>
        </w:p>
      </w:tc>
      <w:tc>
        <w:tcPr>
          <w:tcW w:w="1052" w:type="dxa"/>
          <w:tcBorders>
            <w:bottom w:val="single" w:sz="4" w:space="0" w:color="auto"/>
          </w:tcBorders>
        </w:tcPr>
        <w:p w:rsidR="00601E60" w:rsidRPr="00EB4D43" w:rsidRDefault="00601E60" w:rsidP="00343757">
          <w:pPr>
            <w:pStyle w:val="Heading3"/>
            <w:rPr>
              <w:rFonts w:ascii="Arial" w:hAnsi="Arial" w:cs="Arial"/>
              <w:i w:val="0"/>
              <w:sz w:val="20"/>
            </w:rPr>
          </w:pPr>
          <w:r w:rsidRPr="00EB4D43">
            <w:rPr>
              <w:rFonts w:ascii="Arial" w:hAnsi="Arial" w:cs="Arial"/>
              <w:b w:val="0"/>
              <w:i w:val="0"/>
              <w:sz w:val="18"/>
              <w:szCs w:val="18"/>
            </w:rPr>
            <w:fldChar w:fldCharType="begin"/>
          </w:r>
          <w:r w:rsidRPr="00EB4D43">
            <w:rPr>
              <w:rFonts w:ascii="Arial" w:hAnsi="Arial" w:cs="Arial"/>
              <w:b w:val="0"/>
              <w:i w:val="0"/>
              <w:sz w:val="18"/>
              <w:szCs w:val="18"/>
            </w:rPr>
            <w:instrText xml:space="preserve"> PAGE </w:instrText>
          </w:r>
          <w:r w:rsidRPr="00EB4D43">
            <w:rPr>
              <w:rFonts w:ascii="Arial" w:hAnsi="Arial" w:cs="Arial"/>
              <w:b w:val="0"/>
              <w:i w:val="0"/>
              <w:sz w:val="18"/>
              <w:szCs w:val="18"/>
            </w:rPr>
            <w:fldChar w:fldCharType="separate"/>
          </w:r>
          <w:r>
            <w:rPr>
              <w:rFonts w:ascii="Arial" w:hAnsi="Arial" w:cs="Arial"/>
              <w:b w:val="0"/>
              <w:i w:val="0"/>
              <w:noProof/>
              <w:sz w:val="18"/>
              <w:szCs w:val="18"/>
            </w:rPr>
            <w:t>25</w:t>
          </w:r>
          <w:r w:rsidRPr="00EB4D43">
            <w:rPr>
              <w:rFonts w:ascii="Arial" w:hAnsi="Arial" w:cs="Arial"/>
              <w:b w:val="0"/>
              <w:i w:val="0"/>
              <w:sz w:val="18"/>
              <w:szCs w:val="18"/>
            </w:rPr>
            <w:fldChar w:fldCharType="end"/>
          </w:r>
          <w:r w:rsidRPr="00EB4D43">
            <w:rPr>
              <w:rFonts w:ascii="Arial" w:hAnsi="Arial" w:cs="Arial"/>
              <w:b w:val="0"/>
              <w:bCs/>
              <w:i w:val="0"/>
              <w:snapToGrid w:val="0"/>
              <w:sz w:val="20"/>
            </w:rPr>
            <w:t xml:space="preserve"> of</w:t>
          </w:r>
          <w:r w:rsidRPr="00EB4D43">
            <w:rPr>
              <w:rFonts w:ascii="Arial" w:hAnsi="Arial" w:cs="Arial"/>
              <w:i w:val="0"/>
              <w:snapToGrid w:val="0"/>
              <w:sz w:val="20"/>
            </w:rPr>
            <w:t xml:space="preserve"> </w:t>
          </w:r>
          <w:r w:rsidRPr="00EB4D43">
            <w:rPr>
              <w:rFonts w:ascii="Arial" w:hAnsi="Arial" w:cs="Arial"/>
              <w:b w:val="0"/>
              <w:i w:val="0"/>
              <w:sz w:val="20"/>
            </w:rPr>
            <w:fldChar w:fldCharType="begin"/>
          </w:r>
          <w:r w:rsidRPr="00EB4D43">
            <w:rPr>
              <w:rFonts w:ascii="Arial" w:hAnsi="Arial" w:cs="Arial"/>
              <w:b w:val="0"/>
              <w:i w:val="0"/>
              <w:sz w:val="20"/>
            </w:rPr>
            <w:instrText xml:space="preserve"> NUMPAGES </w:instrText>
          </w:r>
          <w:r w:rsidRPr="00EB4D43">
            <w:rPr>
              <w:rFonts w:ascii="Arial" w:hAnsi="Arial" w:cs="Arial"/>
              <w:b w:val="0"/>
              <w:i w:val="0"/>
              <w:sz w:val="20"/>
            </w:rPr>
            <w:fldChar w:fldCharType="separate"/>
          </w:r>
          <w:r>
            <w:rPr>
              <w:rFonts w:ascii="Arial" w:hAnsi="Arial" w:cs="Arial"/>
              <w:b w:val="0"/>
              <w:i w:val="0"/>
              <w:noProof/>
              <w:sz w:val="20"/>
            </w:rPr>
            <w:t>26</w:t>
          </w:r>
          <w:r w:rsidRPr="00EB4D43">
            <w:rPr>
              <w:rFonts w:ascii="Arial" w:hAnsi="Arial" w:cs="Arial"/>
              <w:b w:val="0"/>
              <w:i w:val="0"/>
              <w:sz w:val="20"/>
            </w:rPr>
            <w:fldChar w:fldCharType="end"/>
          </w:r>
        </w:p>
      </w:tc>
    </w:tr>
    <w:tr w:rsidR="00601E60" w:rsidTr="00343757">
      <w:trPr>
        <w:cantSplit/>
      </w:trPr>
      <w:tc>
        <w:tcPr>
          <w:tcW w:w="1410" w:type="dxa"/>
          <w:shd w:val="clear" w:color="auto" w:fill="E6E6E6"/>
        </w:tcPr>
        <w:p w:rsidR="00601E60" w:rsidRPr="00EB4D43" w:rsidRDefault="00601E60" w:rsidP="00343757">
          <w:pPr>
            <w:pStyle w:val="Heading3"/>
            <w:rPr>
              <w:rFonts w:ascii="Arial" w:hAnsi="Arial" w:cs="Arial"/>
              <w:i w:val="0"/>
              <w:sz w:val="18"/>
            </w:rPr>
          </w:pPr>
          <w:r w:rsidRPr="00EB4D43">
            <w:rPr>
              <w:rFonts w:ascii="Arial" w:hAnsi="Arial" w:cs="Arial"/>
              <w:i w:val="0"/>
              <w:sz w:val="18"/>
            </w:rPr>
            <w:t>Supersedes</w:t>
          </w:r>
        </w:p>
      </w:tc>
      <w:tc>
        <w:tcPr>
          <w:tcW w:w="3225" w:type="dxa"/>
          <w:shd w:val="clear" w:color="auto" w:fill="FFFFFF"/>
        </w:tcPr>
        <w:p w:rsidR="00601E60" w:rsidRPr="00EB4D43" w:rsidRDefault="00601E60" w:rsidP="00343757">
          <w:pPr>
            <w:pStyle w:val="Heading1"/>
            <w:keepNext w:val="0"/>
            <w:spacing w:before="120" w:after="0"/>
            <w:rPr>
              <w:rFonts w:ascii="Arial" w:hAnsi="Arial" w:cs="Arial"/>
              <w:sz w:val="20"/>
            </w:rPr>
          </w:pPr>
          <w:r w:rsidRPr="00EB4D43">
            <w:rPr>
              <w:rFonts w:ascii="Arial" w:hAnsi="Arial" w:cs="Arial"/>
              <w:sz w:val="20"/>
            </w:rPr>
            <w:t>N/A</w:t>
          </w:r>
        </w:p>
      </w:tc>
      <w:tc>
        <w:tcPr>
          <w:tcW w:w="1468" w:type="dxa"/>
          <w:shd w:val="clear" w:color="auto" w:fill="E6E6E6"/>
        </w:tcPr>
        <w:p w:rsidR="00601E60" w:rsidRPr="00EB4D43" w:rsidRDefault="00601E60" w:rsidP="00343757">
          <w:pPr>
            <w:pStyle w:val="Heading3"/>
            <w:rPr>
              <w:rFonts w:ascii="Arial" w:hAnsi="Arial" w:cs="Arial"/>
              <w:i w:val="0"/>
              <w:sz w:val="18"/>
            </w:rPr>
          </w:pPr>
          <w:r w:rsidRPr="00EB4D43">
            <w:rPr>
              <w:rFonts w:ascii="Arial" w:hAnsi="Arial" w:cs="Arial"/>
              <w:i w:val="0"/>
              <w:sz w:val="18"/>
            </w:rPr>
            <w:t>Effective Date</w:t>
          </w:r>
        </w:p>
      </w:tc>
      <w:tc>
        <w:tcPr>
          <w:tcW w:w="1966" w:type="dxa"/>
        </w:tcPr>
        <w:p w:rsidR="00601E60" w:rsidRPr="00EB4D43" w:rsidRDefault="00601E60" w:rsidP="00343757">
          <w:pPr>
            <w:pStyle w:val="Heading3"/>
            <w:rPr>
              <w:rFonts w:ascii="Arial" w:hAnsi="Arial" w:cs="Arial"/>
              <w:i w:val="0"/>
              <w:sz w:val="20"/>
            </w:rPr>
          </w:pPr>
        </w:p>
      </w:tc>
      <w:tc>
        <w:tcPr>
          <w:tcW w:w="1786" w:type="dxa"/>
          <w:gridSpan w:val="2"/>
          <w:shd w:val="clear" w:color="auto" w:fill="E6E6E6"/>
        </w:tcPr>
        <w:p w:rsidR="00601E60" w:rsidRPr="00EB4D43" w:rsidRDefault="00601E60" w:rsidP="00343757">
          <w:pPr>
            <w:pStyle w:val="Heading3"/>
            <w:rPr>
              <w:rFonts w:ascii="Arial" w:hAnsi="Arial" w:cs="Arial"/>
              <w:i w:val="0"/>
              <w:snapToGrid w:val="0"/>
              <w:sz w:val="20"/>
            </w:rPr>
          </w:pPr>
        </w:p>
      </w:tc>
    </w:tr>
  </w:tbl>
  <w:p w:rsidR="00601E60" w:rsidRDefault="00601E6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6445" w:rsidRPr="009B6445" w:rsidRDefault="009B6445" w:rsidP="009B6445">
    <w:pPr>
      <w:pBdr>
        <w:top w:val="single" w:sz="4" w:space="1" w:color="auto"/>
        <w:left w:val="single" w:sz="4" w:space="4" w:color="auto"/>
        <w:bottom w:val="single" w:sz="4" w:space="1" w:color="auto"/>
        <w:right w:val="single" w:sz="4" w:space="4" w:color="auto"/>
      </w:pBdr>
      <w:shd w:val="clear" w:color="auto" w:fill="E4F2E0"/>
      <w:spacing w:before="240" w:after="40"/>
      <w:rPr>
        <w:b/>
        <w:sz w:val="20"/>
      </w:rPr>
    </w:pPr>
    <w:r w:rsidRPr="00D361CA">
      <w:rPr>
        <w:b/>
        <w:sz w:val="20"/>
      </w:rPr>
      <w:t xml:space="preserve">Attachment 1: Product information for </w:t>
    </w:r>
    <w:proofErr w:type="spellStart"/>
    <w:r w:rsidRPr="009B6445">
      <w:rPr>
        <w:b/>
        <w:sz w:val="20"/>
      </w:rPr>
      <w:t>AusPAR</w:t>
    </w:r>
    <w:proofErr w:type="spellEnd"/>
    <w:r w:rsidRPr="009B6445">
      <w:rPr>
        <w:b/>
        <w:sz w:val="20"/>
      </w:rPr>
      <w:t xml:space="preserve"> </w:t>
    </w:r>
    <w:proofErr w:type="spellStart"/>
    <w:r w:rsidRPr="009B6445">
      <w:rPr>
        <w:b/>
        <w:sz w:val="20"/>
      </w:rPr>
      <w:t>Duavive</w:t>
    </w:r>
    <w:proofErr w:type="spellEnd"/>
    <w:r w:rsidRPr="009B6445">
      <w:rPr>
        <w:b/>
        <w:sz w:val="20"/>
      </w:rPr>
      <w:t xml:space="preserve"> Pfizer Australia Pty Ltd PM-2015-03089-1-5 Final 2 February 2018</w:t>
    </w:r>
    <w:r w:rsidRPr="00D361CA">
      <w:rPr>
        <w:b/>
        <w:sz w:val="20"/>
      </w:rPr>
      <w:t xml:space="preserve">. This Product Information was approved at the time this </w:t>
    </w:r>
    <w:proofErr w:type="spellStart"/>
    <w:r w:rsidRPr="00D361CA">
      <w:rPr>
        <w:b/>
        <w:sz w:val="20"/>
      </w:rPr>
      <w:t>AusPAR</w:t>
    </w:r>
    <w:proofErr w:type="spellEnd"/>
    <w:r w:rsidRPr="00D361CA">
      <w:rPr>
        <w:b/>
        <w:sz w:val="20"/>
      </w:rPr>
      <w:t xml:space="preserve"> was published.</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1E60" w:rsidRDefault="00601E60"/>
  <w:tbl>
    <w:tblPr>
      <w:tblW w:w="9855"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ayout w:type="fixed"/>
      <w:tblLook w:val="0000" w:firstRow="0" w:lastRow="0" w:firstColumn="0" w:lastColumn="0" w:noHBand="0" w:noVBand="0"/>
    </w:tblPr>
    <w:tblGrid>
      <w:gridCol w:w="1410"/>
      <w:gridCol w:w="3225"/>
      <w:gridCol w:w="1468"/>
      <w:gridCol w:w="1966"/>
      <w:gridCol w:w="734"/>
      <w:gridCol w:w="1052"/>
    </w:tblGrid>
    <w:tr w:rsidR="00601E60" w:rsidTr="00121B3A">
      <w:tc>
        <w:tcPr>
          <w:tcW w:w="9855" w:type="dxa"/>
          <w:gridSpan w:val="6"/>
          <w:shd w:val="clear" w:color="auto" w:fill="E6E6E6"/>
        </w:tcPr>
        <w:p w:rsidR="00601E60" w:rsidRPr="00EB4D43" w:rsidRDefault="00601E60" w:rsidP="00121B3A">
          <w:pPr>
            <w:pStyle w:val="Heading3"/>
            <w:spacing w:before="0"/>
            <w:jc w:val="center"/>
            <w:rPr>
              <w:rFonts w:ascii="Arial" w:hAnsi="Arial" w:cs="Arial"/>
              <w:i w:val="0"/>
              <w:sz w:val="20"/>
            </w:rPr>
          </w:pPr>
          <w:r w:rsidRPr="00EB4D43">
            <w:rPr>
              <w:rFonts w:ascii="Arial" w:hAnsi="Arial" w:cs="Arial"/>
              <w:i w:val="0"/>
            </w:rPr>
            <w:t xml:space="preserve"> AUSTRALIAN WORKING PRACTICE GUIDELINE</w:t>
          </w:r>
        </w:p>
      </w:tc>
    </w:tr>
    <w:tr w:rsidR="00601E60" w:rsidTr="00121B3A">
      <w:tc>
        <w:tcPr>
          <w:tcW w:w="1410" w:type="dxa"/>
          <w:shd w:val="clear" w:color="auto" w:fill="E6E6E6"/>
        </w:tcPr>
        <w:p w:rsidR="00601E60" w:rsidRPr="00EB4D43" w:rsidRDefault="00601E60" w:rsidP="00121B3A">
          <w:pPr>
            <w:pStyle w:val="Heading3"/>
            <w:rPr>
              <w:rFonts w:ascii="Arial" w:hAnsi="Arial" w:cs="Arial"/>
              <w:i w:val="0"/>
              <w:sz w:val="18"/>
            </w:rPr>
          </w:pPr>
          <w:r w:rsidRPr="00EB4D43">
            <w:rPr>
              <w:rFonts w:ascii="Arial" w:hAnsi="Arial" w:cs="Arial"/>
              <w:i w:val="0"/>
              <w:sz w:val="18"/>
            </w:rPr>
            <w:t>Title</w:t>
          </w:r>
        </w:p>
      </w:tc>
      <w:tc>
        <w:tcPr>
          <w:tcW w:w="8445" w:type="dxa"/>
          <w:gridSpan w:val="5"/>
          <w:shd w:val="clear" w:color="auto" w:fill="FFFFFF"/>
        </w:tcPr>
        <w:p w:rsidR="00601E60" w:rsidRPr="00EB4D43" w:rsidRDefault="00601E60" w:rsidP="00121B3A">
          <w:pPr>
            <w:pStyle w:val="Heading1"/>
            <w:spacing w:before="120"/>
            <w:rPr>
              <w:rFonts w:ascii="Arial" w:hAnsi="Arial" w:cs="Arial"/>
              <w:sz w:val="22"/>
            </w:rPr>
          </w:pPr>
          <w:r w:rsidRPr="00EB4D43">
            <w:rPr>
              <w:rFonts w:ascii="Arial" w:hAnsi="Arial" w:cs="Arial"/>
              <w:sz w:val="22"/>
            </w:rPr>
            <w:t>Preparation of local product documents (lpd) and implemenTation dates in new zealand</w:t>
          </w:r>
        </w:p>
      </w:tc>
    </w:tr>
    <w:tr w:rsidR="00601E60" w:rsidTr="00121B3A">
      <w:tc>
        <w:tcPr>
          <w:tcW w:w="1410" w:type="dxa"/>
          <w:shd w:val="clear" w:color="auto" w:fill="E6E6E6"/>
        </w:tcPr>
        <w:p w:rsidR="00601E60" w:rsidRPr="00EB4D43" w:rsidRDefault="00601E60" w:rsidP="00121B3A">
          <w:pPr>
            <w:pStyle w:val="Heading3"/>
            <w:rPr>
              <w:rFonts w:ascii="Arial" w:hAnsi="Arial" w:cs="Arial"/>
              <w:i w:val="0"/>
              <w:sz w:val="18"/>
            </w:rPr>
          </w:pPr>
          <w:r w:rsidRPr="00EB4D43">
            <w:rPr>
              <w:rFonts w:ascii="Arial" w:hAnsi="Arial" w:cs="Arial"/>
              <w:i w:val="0"/>
              <w:sz w:val="18"/>
            </w:rPr>
            <w:t>Identifier</w:t>
          </w:r>
        </w:p>
      </w:tc>
      <w:tc>
        <w:tcPr>
          <w:tcW w:w="3225" w:type="dxa"/>
          <w:shd w:val="clear" w:color="auto" w:fill="FFFFFF"/>
        </w:tcPr>
        <w:p w:rsidR="00601E60" w:rsidRPr="00EB4D43" w:rsidRDefault="00601E60" w:rsidP="00121B3A">
          <w:pPr>
            <w:pStyle w:val="Heading1"/>
            <w:keepNext w:val="0"/>
            <w:spacing w:before="120" w:after="0"/>
            <w:rPr>
              <w:rFonts w:ascii="Arial" w:hAnsi="Arial" w:cs="Arial"/>
              <w:sz w:val="20"/>
            </w:rPr>
          </w:pPr>
          <w:r>
            <w:rPr>
              <w:rFonts w:ascii="Arial" w:hAnsi="Arial" w:cs="Arial"/>
              <w:sz w:val="20"/>
            </w:rPr>
            <w:t>WPG-RA-30-01</w:t>
          </w:r>
        </w:p>
      </w:tc>
      <w:tc>
        <w:tcPr>
          <w:tcW w:w="1468" w:type="dxa"/>
          <w:shd w:val="clear" w:color="auto" w:fill="E6E6E6"/>
        </w:tcPr>
        <w:p w:rsidR="00601E60" w:rsidRPr="00EB4D43" w:rsidRDefault="00601E60" w:rsidP="00121B3A">
          <w:pPr>
            <w:pStyle w:val="Heading3"/>
            <w:rPr>
              <w:rFonts w:ascii="Arial" w:hAnsi="Arial" w:cs="Arial"/>
              <w:i w:val="0"/>
              <w:sz w:val="18"/>
            </w:rPr>
          </w:pPr>
          <w:r w:rsidRPr="00EB4D43">
            <w:rPr>
              <w:rFonts w:ascii="Arial" w:hAnsi="Arial" w:cs="Arial"/>
              <w:i w:val="0"/>
              <w:sz w:val="18"/>
            </w:rPr>
            <w:t>Effective Date</w:t>
          </w:r>
        </w:p>
      </w:tc>
      <w:tc>
        <w:tcPr>
          <w:tcW w:w="1966" w:type="dxa"/>
        </w:tcPr>
        <w:p w:rsidR="00601E60" w:rsidRPr="00EB4D43" w:rsidRDefault="00601E60" w:rsidP="00121B3A">
          <w:pPr>
            <w:pStyle w:val="Heading3"/>
            <w:rPr>
              <w:rFonts w:ascii="Arial" w:hAnsi="Arial" w:cs="Arial"/>
              <w:i w:val="0"/>
              <w:sz w:val="20"/>
            </w:rPr>
          </w:pPr>
          <w:r>
            <w:rPr>
              <w:rFonts w:ascii="Arial" w:hAnsi="Arial" w:cs="Arial"/>
              <w:i w:val="0"/>
              <w:sz w:val="20"/>
            </w:rPr>
            <w:t xml:space="preserve">01 December </w:t>
          </w:r>
          <w:r w:rsidRPr="00EB4D43">
            <w:rPr>
              <w:rFonts w:ascii="Arial" w:hAnsi="Arial" w:cs="Arial"/>
              <w:i w:val="0"/>
              <w:sz w:val="20"/>
            </w:rPr>
            <w:t>2009</w:t>
          </w:r>
        </w:p>
      </w:tc>
      <w:tc>
        <w:tcPr>
          <w:tcW w:w="734" w:type="dxa"/>
          <w:tcBorders>
            <w:bottom w:val="single" w:sz="4" w:space="0" w:color="auto"/>
          </w:tcBorders>
          <w:shd w:val="clear" w:color="auto" w:fill="E6E6E6"/>
        </w:tcPr>
        <w:p w:rsidR="00601E60" w:rsidRPr="00EB4D43" w:rsidRDefault="00601E60" w:rsidP="00121B3A">
          <w:pPr>
            <w:pStyle w:val="Heading3"/>
            <w:rPr>
              <w:rFonts w:ascii="Arial" w:hAnsi="Arial" w:cs="Arial"/>
              <w:i w:val="0"/>
              <w:sz w:val="20"/>
            </w:rPr>
          </w:pPr>
          <w:r w:rsidRPr="00EB4D43">
            <w:rPr>
              <w:rFonts w:ascii="Arial" w:hAnsi="Arial" w:cs="Arial"/>
              <w:i w:val="0"/>
              <w:sz w:val="20"/>
            </w:rPr>
            <w:t>Page</w:t>
          </w:r>
        </w:p>
      </w:tc>
      <w:tc>
        <w:tcPr>
          <w:tcW w:w="1052" w:type="dxa"/>
          <w:tcBorders>
            <w:bottom w:val="single" w:sz="4" w:space="0" w:color="auto"/>
          </w:tcBorders>
        </w:tcPr>
        <w:p w:rsidR="00601E60" w:rsidRPr="00EB4D43" w:rsidRDefault="00601E60" w:rsidP="00121B3A">
          <w:pPr>
            <w:pStyle w:val="Heading3"/>
            <w:rPr>
              <w:rFonts w:ascii="Arial" w:hAnsi="Arial" w:cs="Arial"/>
              <w:i w:val="0"/>
              <w:sz w:val="20"/>
            </w:rPr>
          </w:pPr>
          <w:r>
            <w:rPr>
              <w:rFonts w:ascii="Arial" w:hAnsi="Arial" w:cs="Arial"/>
              <w:b w:val="0"/>
              <w:i w:val="0"/>
              <w:sz w:val="18"/>
              <w:szCs w:val="18"/>
            </w:rPr>
            <w:t>1</w:t>
          </w:r>
          <w:r w:rsidRPr="00EB4D43">
            <w:rPr>
              <w:rFonts w:ascii="Arial" w:hAnsi="Arial" w:cs="Arial"/>
              <w:b w:val="0"/>
              <w:bCs/>
              <w:i w:val="0"/>
              <w:snapToGrid w:val="0"/>
              <w:sz w:val="20"/>
            </w:rPr>
            <w:t>of</w:t>
          </w:r>
          <w:r w:rsidRPr="00EB4D43">
            <w:rPr>
              <w:rFonts w:ascii="Arial" w:hAnsi="Arial" w:cs="Arial"/>
              <w:i w:val="0"/>
              <w:snapToGrid w:val="0"/>
              <w:sz w:val="20"/>
            </w:rPr>
            <w:t xml:space="preserve"> </w:t>
          </w:r>
          <w:r w:rsidRPr="00EB4D43">
            <w:rPr>
              <w:rFonts w:ascii="Arial" w:hAnsi="Arial" w:cs="Arial"/>
              <w:b w:val="0"/>
              <w:i w:val="0"/>
              <w:sz w:val="20"/>
            </w:rPr>
            <w:fldChar w:fldCharType="begin"/>
          </w:r>
          <w:r w:rsidRPr="00EB4D43">
            <w:rPr>
              <w:rFonts w:ascii="Arial" w:hAnsi="Arial" w:cs="Arial"/>
              <w:b w:val="0"/>
              <w:i w:val="0"/>
              <w:sz w:val="20"/>
            </w:rPr>
            <w:instrText xml:space="preserve"> NUMPAGES </w:instrText>
          </w:r>
          <w:r w:rsidRPr="00EB4D43">
            <w:rPr>
              <w:rFonts w:ascii="Arial" w:hAnsi="Arial" w:cs="Arial"/>
              <w:b w:val="0"/>
              <w:i w:val="0"/>
              <w:sz w:val="20"/>
            </w:rPr>
            <w:fldChar w:fldCharType="separate"/>
          </w:r>
          <w:r>
            <w:rPr>
              <w:rFonts w:ascii="Arial" w:hAnsi="Arial" w:cs="Arial"/>
              <w:b w:val="0"/>
              <w:i w:val="0"/>
              <w:noProof/>
              <w:sz w:val="20"/>
            </w:rPr>
            <w:t>26</w:t>
          </w:r>
          <w:r w:rsidRPr="00EB4D43">
            <w:rPr>
              <w:rFonts w:ascii="Arial" w:hAnsi="Arial" w:cs="Arial"/>
              <w:b w:val="0"/>
              <w:i w:val="0"/>
              <w:sz w:val="20"/>
            </w:rPr>
            <w:fldChar w:fldCharType="end"/>
          </w:r>
        </w:p>
      </w:tc>
    </w:tr>
    <w:tr w:rsidR="00601E60" w:rsidTr="00121B3A">
      <w:trPr>
        <w:cantSplit/>
      </w:trPr>
      <w:tc>
        <w:tcPr>
          <w:tcW w:w="1410" w:type="dxa"/>
          <w:shd w:val="clear" w:color="auto" w:fill="E6E6E6"/>
        </w:tcPr>
        <w:p w:rsidR="00601E60" w:rsidRPr="00EB4D43" w:rsidRDefault="00601E60" w:rsidP="00121B3A">
          <w:pPr>
            <w:pStyle w:val="Heading3"/>
            <w:rPr>
              <w:rFonts w:ascii="Arial" w:hAnsi="Arial" w:cs="Arial"/>
              <w:i w:val="0"/>
              <w:sz w:val="18"/>
            </w:rPr>
          </w:pPr>
          <w:r w:rsidRPr="00EB4D43">
            <w:rPr>
              <w:rFonts w:ascii="Arial" w:hAnsi="Arial" w:cs="Arial"/>
              <w:i w:val="0"/>
              <w:sz w:val="18"/>
            </w:rPr>
            <w:t>Supersedes</w:t>
          </w:r>
        </w:p>
      </w:tc>
      <w:tc>
        <w:tcPr>
          <w:tcW w:w="3225" w:type="dxa"/>
          <w:shd w:val="clear" w:color="auto" w:fill="FFFFFF"/>
        </w:tcPr>
        <w:p w:rsidR="00601E60" w:rsidRPr="00EB4D43" w:rsidRDefault="00601E60" w:rsidP="00121B3A">
          <w:pPr>
            <w:pStyle w:val="Heading1"/>
            <w:keepNext w:val="0"/>
            <w:spacing w:before="120" w:after="0"/>
            <w:rPr>
              <w:rFonts w:ascii="Arial" w:hAnsi="Arial" w:cs="Arial"/>
              <w:sz w:val="20"/>
            </w:rPr>
          </w:pPr>
          <w:r w:rsidRPr="00EB4D43">
            <w:rPr>
              <w:rFonts w:ascii="Arial" w:hAnsi="Arial" w:cs="Arial"/>
              <w:sz w:val="20"/>
            </w:rPr>
            <w:t>N/A</w:t>
          </w:r>
        </w:p>
      </w:tc>
      <w:tc>
        <w:tcPr>
          <w:tcW w:w="1468" w:type="dxa"/>
          <w:shd w:val="clear" w:color="auto" w:fill="E6E6E6"/>
        </w:tcPr>
        <w:p w:rsidR="00601E60" w:rsidRPr="00EB4D43" w:rsidRDefault="00601E60" w:rsidP="00121B3A">
          <w:pPr>
            <w:pStyle w:val="Heading3"/>
            <w:rPr>
              <w:rFonts w:ascii="Arial" w:hAnsi="Arial" w:cs="Arial"/>
              <w:i w:val="0"/>
              <w:sz w:val="18"/>
            </w:rPr>
          </w:pPr>
          <w:r w:rsidRPr="00EB4D43">
            <w:rPr>
              <w:rFonts w:ascii="Arial" w:hAnsi="Arial" w:cs="Arial"/>
              <w:i w:val="0"/>
              <w:sz w:val="18"/>
            </w:rPr>
            <w:t>Effective Date</w:t>
          </w:r>
        </w:p>
      </w:tc>
      <w:tc>
        <w:tcPr>
          <w:tcW w:w="1966" w:type="dxa"/>
        </w:tcPr>
        <w:p w:rsidR="00601E60" w:rsidRPr="00EB4D43" w:rsidRDefault="00601E60" w:rsidP="00121B3A">
          <w:pPr>
            <w:pStyle w:val="Heading3"/>
            <w:rPr>
              <w:rFonts w:ascii="Arial" w:hAnsi="Arial" w:cs="Arial"/>
              <w:i w:val="0"/>
              <w:sz w:val="20"/>
            </w:rPr>
          </w:pPr>
          <w:r>
            <w:rPr>
              <w:rFonts w:ascii="Arial" w:hAnsi="Arial" w:cs="Arial"/>
              <w:i w:val="0"/>
              <w:sz w:val="20"/>
            </w:rPr>
            <w:t>N/A</w:t>
          </w:r>
        </w:p>
      </w:tc>
      <w:tc>
        <w:tcPr>
          <w:tcW w:w="1786" w:type="dxa"/>
          <w:gridSpan w:val="2"/>
          <w:shd w:val="clear" w:color="auto" w:fill="E6E6E6"/>
        </w:tcPr>
        <w:p w:rsidR="00601E60" w:rsidRPr="00EB4D43" w:rsidRDefault="00601E60" w:rsidP="00121B3A">
          <w:pPr>
            <w:pStyle w:val="Heading3"/>
            <w:rPr>
              <w:rFonts w:ascii="Arial" w:hAnsi="Arial" w:cs="Arial"/>
              <w:i w:val="0"/>
              <w:snapToGrid w:val="0"/>
              <w:sz w:val="20"/>
            </w:rPr>
          </w:pPr>
        </w:p>
      </w:tc>
    </w:tr>
  </w:tbl>
  <w:p w:rsidR="00601E60" w:rsidRDefault="00601E60" w:rsidP="006D464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4DF85EB"/>
    <w:multiLevelType w:val="hybridMultilevel"/>
    <w:tmpl w:val="D8DB77C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FFFFFF89"/>
    <w:multiLevelType w:val="singleLevel"/>
    <w:tmpl w:val="C5A4CE98"/>
    <w:lvl w:ilvl="0">
      <w:start w:val="1"/>
      <w:numFmt w:val="bullet"/>
      <w:lvlText w:val=""/>
      <w:lvlJc w:val="left"/>
      <w:pPr>
        <w:tabs>
          <w:tab w:val="num" w:pos="360"/>
        </w:tabs>
        <w:ind w:left="360" w:hanging="360"/>
      </w:pPr>
      <w:rPr>
        <w:rFonts w:ascii="Symbol" w:hAnsi="Symbol" w:hint="default"/>
      </w:rPr>
    </w:lvl>
  </w:abstractNum>
  <w:abstractNum w:abstractNumId="2">
    <w:nsid w:val="00E201D4"/>
    <w:multiLevelType w:val="hybridMultilevel"/>
    <w:tmpl w:val="819CC12E"/>
    <w:lvl w:ilvl="0" w:tplc="637C2A9E">
      <w:start w:val="1"/>
      <w:numFmt w:val="bullet"/>
      <w:lvlText w:val=""/>
      <w:lvlJc w:val="left"/>
      <w:pPr>
        <w:ind w:left="360" w:hanging="360"/>
      </w:pPr>
      <w:rPr>
        <w:rFonts w:ascii="Symbol" w:hAnsi="Symbol"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80F6781"/>
    <w:multiLevelType w:val="singleLevel"/>
    <w:tmpl w:val="687CF104"/>
    <w:name w:val="dtNM List Alpha 2"/>
    <w:lvl w:ilvl="0">
      <w:start w:val="1"/>
      <w:numFmt w:val="lowerLetter"/>
      <w:lvlRestart w:val="0"/>
      <w:lvlText w:val="%1."/>
      <w:lvlJc w:val="left"/>
      <w:pPr>
        <w:tabs>
          <w:tab w:val="num" w:pos="720"/>
        </w:tabs>
        <w:ind w:left="720" w:hanging="360"/>
      </w:pPr>
      <w:rPr>
        <w:caps w:val="0"/>
        <w:u w:val="none"/>
      </w:rPr>
    </w:lvl>
  </w:abstractNum>
  <w:abstractNum w:abstractNumId="4">
    <w:nsid w:val="09815146"/>
    <w:multiLevelType w:val="hybridMultilevel"/>
    <w:tmpl w:val="779C2BE8"/>
    <w:lvl w:ilvl="0" w:tplc="DD6E4D42">
      <w:start w:val="1"/>
      <w:numFmt w:val="bullet"/>
      <w:lvlText w:val="-"/>
      <w:lvlJc w:val="left"/>
      <w:pPr>
        <w:ind w:left="1080" w:hanging="360"/>
      </w:pPr>
      <w:rPr>
        <w:rFonts w:ascii="Arial" w:hAnsi="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nsid w:val="0D0F1C0F"/>
    <w:multiLevelType w:val="hybridMultilevel"/>
    <w:tmpl w:val="42063DBC"/>
    <w:lvl w:ilvl="0" w:tplc="DD6E4D42">
      <w:start w:val="1"/>
      <w:numFmt w:val="bullet"/>
      <w:lvlText w:val="-"/>
      <w:lvlJc w:val="left"/>
      <w:pPr>
        <w:ind w:left="1004" w:hanging="360"/>
      </w:pPr>
      <w:rPr>
        <w:rFonts w:ascii="Arial" w:hAnsi="Aria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6">
    <w:nsid w:val="0DCC00C3"/>
    <w:multiLevelType w:val="hybridMultilevel"/>
    <w:tmpl w:val="E3221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DFA5BCE"/>
    <w:multiLevelType w:val="hybridMultilevel"/>
    <w:tmpl w:val="59A20FD6"/>
    <w:lvl w:ilvl="0" w:tplc="14BCD552">
      <w:start w:val="1"/>
      <w:numFmt w:val="bullet"/>
      <w:pStyle w:val="ListBullet"/>
      <w:lvlText w:val=""/>
      <w:lvlJc w:val="left"/>
      <w:pPr>
        <w:ind w:left="360" w:hanging="360"/>
      </w:pPr>
      <w:rPr>
        <w:rFonts w:ascii="Symbol" w:hAnsi="Symbol" w:hint="default"/>
        <w:caps w:val="0"/>
        <w:color w:val="auto"/>
        <w:u w:val="no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0E6312FD"/>
    <w:multiLevelType w:val="hybridMultilevel"/>
    <w:tmpl w:val="3CAC0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FE20948"/>
    <w:multiLevelType w:val="hybridMultilevel"/>
    <w:tmpl w:val="99CC9AF6"/>
    <w:lvl w:ilvl="0" w:tplc="637C2A9E">
      <w:start w:val="1"/>
      <w:numFmt w:val="bullet"/>
      <w:lvlText w:val=""/>
      <w:lvlJc w:val="left"/>
      <w:pPr>
        <w:ind w:left="360" w:hanging="360"/>
      </w:pPr>
      <w:rPr>
        <w:rFonts w:ascii="Symbol" w:hAnsi="Symbol"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49E218E"/>
    <w:multiLevelType w:val="multilevel"/>
    <w:tmpl w:val="C3F2A23E"/>
    <w:name w:val="dtHD0"/>
    <w:lvl w:ilvl="0">
      <w:start w:val="1"/>
      <w:numFmt w:val="decimal"/>
      <w:lvlRestart w:val="0"/>
      <w:suff w:val="space"/>
      <w:lvlText w:val="%1."/>
      <w:lvlJc w:val="left"/>
      <w:pPr>
        <w:tabs>
          <w:tab w:val="num" w:pos="2160"/>
        </w:tabs>
        <w:ind w:left="2160" w:firstLine="0"/>
      </w:pPr>
      <w:rPr>
        <w:rFonts w:ascii="Times New Roman Bold" w:hAnsi="Times New Roman Bold"/>
        <w:b/>
        <w:i w:val="0"/>
        <w:caps w:val="0"/>
        <w:smallCaps w:val="0"/>
        <w:sz w:val="24"/>
        <w:u w:val="none"/>
      </w:rPr>
    </w:lvl>
    <w:lvl w:ilvl="1">
      <w:start w:val="1"/>
      <w:numFmt w:val="decimal"/>
      <w:suff w:val="space"/>
      <w:lvlText w:val="%1.%2."/>
      <w:lvlJc w:val="left"/>
      <w:pPr>
        <w:tabs>
          <w:tab w:val="num" w:pos="1260"/>
        </w:tabs>
        <w:ind w:left="1260" w:firstLine="0"/>
      </w:pPr>
      <w:rPr>
        <w:rFonts w:ascii="Times New Roman Bold" w:hAnsi="Times New Roman Bold"/>
        <w:b/>
        <w:i w:val="0"/>
        <w:caps w:val="0"/>
        <w:sz w:val="24"/>
        <w:u w:val="none"/>
      </w:rPr>
    </w:lvl>
    <w:lvl w:ilvl="2">
      <w:start w:val="1"/>
      <w:numFmt w:val="decimal"/>
      <w:suff w:val="space"/>
      <w:lvlText w:val="%1.%2.%3."/>
      <w:lvlJc w:val="left"/>
      <w:pPr>
        <w:tabs>
          <w:tab w:val="num" w:pos="0"/>
        </w:tabs>
        <w:ind w:left="0" w:firstLine="0"/>
      </w:pPr>
      <w:rPr>
        <w:rFonts w:ascii="Times New Roman Bold" w:hAnsi="Times New Roman Bold"/>
        <w:b/>
        <w:i w:val="0"/>
        <w:caps w:val="0"/>
        <w:sz w:val="24"/>
        <w:u w:val="none"/>
      </w:rPr>
    </w:lvl>
    <w:lvl w:ilvl="3">
      <w:start w:val="1"/>
      <w:numFmt w:val="decimal"/>
      <w:suff w:val="space"/>
      <w:lvlText w:val="%1.%2.%3.%4."/>
      <w:lvlJc w:val="left"/>
      <w:pPr>
        <w:tabs>
          <w:tab w:val="num" w:pos="0"/>
        </w:tabs>
        <w:ind w:left="0" w:firstLine="0"/>
      </w:pPr>
      <w:rPr>
        <w:rFonts w:ascii="Times New Roman Bold" w:hAnsi="Times New Roman Bold"/>
        <w:b/>
        <w:i w:val="0"/>
        <w:caps w:val="0"/>
        <w:sz w:val="24"/>
        <w:u w:val="none"/>
      </w:rPr>
    </w:lvl>
    <w:lvl w:ilvl="4">
      <w:start w:val="1"/>
      <w:numFmt w:val="decimal"/>
      <w:suff w:val="space"/>
      <w:lvlText w:val="%1.%2.%3.%4.%5."/>
      <w:lvlJc w:val="left"/>
      <w:pPr>
        <w:tabs>
          <w:tab w:val="num" w:pos="0"/>
        </w:tabs>
        <w:ind w:left="0" w:firstLine="0"/>
      </w:pPr>
      <w:rPr>
        <w:rFonts w:ascii="Times New Roman Bold" w:hAnsi="Times New Roman Bold"/>
        <w:b/>
        <w:i w:val="0"/>
        <w:caps w:val="0"/>
        <w:sz w:val="24"/>
        <w:u w:val="none"/>
      </w:rPr>
    </w:lvl>
    <w:lvl w:ilvl="5">
      <w:start w:val="1"/>
      <w:numFmt w:val="decimal"/>
      <w:suff w:val="space"/>
      <w:lvlText w:val="%1.%2.%3.%4.%5.%6."/>
      <w:lvlJc w:val="left"/>
      <w:pPr>
        <w:tabs>
          <w:tab w:val="num" w:pos="0"/>
        </w:tabs>
        <w:ind w:left="0" w:firstLine="0"/>
      </w:pPr>
      <w:rPr>
        <w:rFonts w:ascii="Times New Roman Bold" w:hAnsi="Times New Roman Bold"/>
        <w:b/>
        <w:i w:val="0"/>
        <w:caps w:val="0"/>
        <w:sz w:val="24"/>
        <w:u w:val="none"/>
      </w:rPr>
    </w:lvl>
    <w:lvl w:ilvl="6">
      <w:start w:val="1"/>
      <w:numFmt w:val="decimal"/>
      <w:suff w:val="space"/>
      <w:lvlText w:val="%1.%2.%3.%4.%5.%6.%7."/>
      <w:lvlJc w:val="left"/>
      <w:pPr>
        <w:tabs>
          <w:tab w:val="num" w:pos="0"/>
        </w:tabs>
        <w:ind w:left="0" w:firstLine="0"/>
      </w:pPr>
      <w:rPr>
        <w:rFonts w:ascii="Times New Roman Bold" w:hAnsi="Times New Roman Bold"/>
        <w:b/>
        <w:i w:val="0"/>
        <w:caps w:val="0"/>
        <w:sz w:val="24"/>
        <w:u w:val="none"/>
      </w:rPr>
    </w:lvl>
    <w:lvl w:ilvl="7">
      <w:start w:val="1"/>
      <w:numFmt w:val="decimal"/>
      <w:suff w:val="space"/>
      <w:lvlText w:val="%1.%2.%3.%4.%5.%6.%7.%8."/>
      <w:lvlJc w:val="left"/>
      <w:pPr>
        <w:tabs>
          <w:tab w:val="num" w:pos="0"/>
        </w:tabs>
        <w:ind w:left="0" w:firstLine="0"/>
      </w:pPr>
      <w:rPr>
        <w:rFonts w:ascii="Times New Roman Bold" w:hAnsi="Times New Roman Bold"/>
        <w:b/>
        <w:i w:val="0"/>
        <w:caps w:val="0"/>
        <w:sz w:val="24"/>
        <w:u w:val="none"/>
      </w:rPr>
    </w:lvl>
    <w:lvl w:ilvl="8">
      <w:start w:val="1"/>
      <w:numFmt w:val="decimal"/>
      <w:suff w:val="space"/>
      <w:lvlText w:val="%1.%2.%3.%4.%5.%6.%7.%8.%9."/>
      <w:lvlJc w:val="left"/>
      <w:pPr>
        <w:tabs>
          <w:tab w:val="num" w:pos="0"/>
        </w:tabs>
        <w:ind w:left="0" w:firstLine="0"/>
      </w:pPr>
      <w:rPr>
        <w:rFonts w:ascii="Times New Roman Bold" w:hAnsi="Times New Roman Bold"/>
        <w:b/>
        <w:i w:val="0"/>
        <w:caps w:val="0"/>
        <w:sz w:val="24"/>
        <w:u w:val="none"/>
      </w:rPr>
    </w:lvl>
  </w:abstractNum>
  <w:abstractNum w:abstractNumId="11">
    <w:nsid w:val="15C557D5"/>
    <w:multiLevelType w:val="hybridMultilevel"/>
    <w:tmpl w:val="BC047D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1BF37BE3"/>
    <w:multiLevelType w:val="singleLevel"/>
    <w:tmpl w:val="661E16DC"/>
    <w:name w:val="dtNM List Number"/>
    <w:lvl w:ilvl="0">
      <w:start w:val="1"/>
      <w:numFmt w:val="decimal"/>
      <w:lvlRestart w:val="0"/>
      <w:lvlText w:val="%1."/>
      <w:lvlJc w:val="left"/>
      <w:pPr>
        <w:tabs>
          <w:tab w:val="num" w:pos="360"/>
        </w:tabs>
        <w:ind w:left="360" w:hanging="360"/>
      </w:pPr>
      <w:rPr>
        <w:caps w:val="0"/>
        <w:u w:val="none"/>
      </w:rPr>
    </w:lvl>
  </w:abstractNum>
  <w:abstractNum w:abstractNumId="13">
    <w:nsid w:val="2146401F"/>
    <w:multiLevelType w:val="hybridMultilevel"/>
    <w:tmpl w:val="6C544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6CD4F33"/>
    <w:multiLevelType w:val="singleLevel"/>
    <w:tmpl w:val="F36C1A00"/>
    <w:name w:val="dtNM List Alpha 4"/>
    <w:lvl w:ilvl="0">
      <w:start w:val="1"/>
      <w:numFmt w:val="lowerLetter"/>
      <w:lvlRestart w:val="0"/>
      <w:lvlText w:val="%1."/>
      <w:lvlJc w:val="left"/>
      <w:pPr>
        <w:tabs>
          <w:tab w:val="num" w:pos="1440"/>
        </w:tabs>
        <w:ind w:left="1440" w:hanging="360"/>
      </w:pPr>
      <w:rPr>
        <w:caps w:val="0"/>
        <w:u w:val="none"/>
      </w:rPr>
    </w:lvl>
  </w:abstractNum>
  <w:abstractNum w:abstractNumId="15">
    <w:nsid w:val="2B1D34B1"/>
    <w:multiLevelType w:val="hybridMultilevel"/>
    <w:tmpl w:val="63AC3298"/>
    <w:lvl w:ilvl="0" w:tplc="CCF0A772">
      <w:start w:val="1"/>
      <w:numFmt w:val="bullet"/>
      <w:lvlText w:val=""/>
      <w:lvlJc w:val="left"/>
      <w:pPr>
        <w:ind w:left="1440" w:hanging="360"/>
      </w:pPr>
      <w:rPr>
        <w:rFonts w:ascii="Symbol" w:hAnsi="Symbol" w:hint="default"/>
        <w:sz w:val="1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2CB31455"/>
    <w:multiLevelType w:val="hybridMultilevel"/>
    <w:tmpl w:val="5566A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E344A41"/>
    <w:multiLevelType w:val="hybridMultilevel"/>
    <w:tmpl w:val="A49C9FAA"/>
    <w:lvl w:ilvl="0" w:tplc="04090001">
      <w:start w:val="1"/>
      <w:numFmt w:val="bullet"/>
      <w:lvlText w:val=""/>
      <w:lvlJc w:val="left"/>
      <w:pPr>
        <w:ind w:left="152" w:hanging="360"/>
      </w:pPr>
      <w:rPr>
        <w:rFonts w:ascii="Symbol" w:hAnsi="Symbol" w:hint="default"/>
      </w:rPr>
    </w:lvl>
    <w:lvl w:ilvl="1" w:tplc="04090003" w:tentative="1">
      <w:start w:val="1"/>
      <w:numFmt w:val="bullet"/>
      <w:lvlText w:val="o"/>
      <w:lvlJc w:val="left"/>
      <w:pPr>
        <w:ind w:left="872" w:hanging="360"/>
      </w:pPr>
      <w:rPr>
        <w:rFonts w:ascii="Courier New" w:hAnsi="Courier New" w:cs="Courier New" w:hint="default"/>
      </w:rPr>
    </w:lvl>
    <w:lvl w:ilvl="2" w:tplc="04090005" w:tentative="1">
      <w:start w:val="1"/>
      <w:numFmt w:val="bullet"/>
      <w:lvlText w:val=""/>
      <w:lvlJc w:val="left"/>
      <w:pPr>
        <w:ind w:left="1592" w:hanging="360"/>
      </w:pPr>
      <w:rPr>
        <w:rFonts w:ascii="Wingdings" w:hAnsi="Wingdings" w:hint="default"/>
      </w:rPr>
    </w:lvl>
    <w:lvl w:ilvl="3" w:tplc="04090001" w:tentative="1">
      <w:start w:val="1"/>
      <w:numFmt w:val="bullet"/>
      <w:lvlText w:val=""/>
      <w:lvlJc w:val="left"/>
      <w:pPr>
        <w:ind w:left="2312" w:hanging="360"/>
      </w:pPr>
      <w:rPr>
        <w:rFonts w:ascii="Symbol" w:hAnsi="Symbol" w:hint="default"/>
      </w:rPr>
    </w:lvl>
    <w:lvl w:ilvl="4" w:tplc="04090003" w:tentative="1">
      <w:start w:val="1"/>
      <w:numFmt w:val="bullet"/>
      <w:lvlText w:val="o"/>
      <w:lvlJc w:val="left"/>
      <w:pPr>
        <w:ind w:left="3032" w:hanging="360"/>
      </w:pPr>
      <w:rPr>
        <w:rFonts w:ascii="Courier New" w:hAnsi="Courier New" w:cs="Courier New" w:hint="default"/>
      </w:rPr>
    </w:lvl>
    <w:lvl w:ilvl="5" w:tplc="04090005" w:tentative="1">
      <w:start w:val="1"/>
      <w:numFmt w:val="bullet"/>
      <w:lvlText w:val=""/>
      <w:lvlJc w:val="left"/>
      <w:pPr>
        <w:ind w:left="3752" w:hanging="360"/>
      </w:pPr>
      <w:rPr>
        <w:rFonts w:ascii="Wingdings" w:hAnsi="Wingdings" w:hint="default"/>
      </w:rPr>
    </w:lvl>
    <w:lvl w:ilvl="6" w:tplc="04090001" w:tentative="1">
      <w:start w:val="1"/>
      <w:numFmt w:val="bullet"/>
      <w:lvlText w:val=""/>
      <w:lvlJc w:val="left"/>
      <w:pPr>
        <w:ind w:left="4472" w:hanging="360"/>
      </w:pPr>
      <w:rPr>
        <w:rFonts w:ascii="Symbol" w:hAnsi="Symbol" w:hint="default"/>
      </w:rPr>
    </w:lvl>
    <w:lvl w:ilvl="7" w:tplc="04090003" w:tentative="1">
      <w:start w:val="1"/>
      <w:numFmt w:val="bullet"/>
      <w:lvlText w:val="o"/>
      <w:lvlJc w:val="left"/>
      <w:pPr>
        <w:ind w:left="5192" w:hanging="360"/>
      </w:pPr>
      <w:rPr>
        <w:rFonts w:ascii="Courier New" w:hAnsi="Courier New" w:cs="Courier New" w:hint="default"/>
      </w:rPr>
    </w:lvl>
    <w:lvl w:ilvl="8" w:tplc="04090005" w:tentative="1">
      <w:start w:val="1"/>
      <w:numFmt w:val="bullet"/>
      <w:lvlText w:val=""/>
      <w:lvlJc w:val="left"/>
      <w:pPr>
        <w:ind w:left="5912" w:hanging="360"/>
      </w:pPr>
      <w:rPr>
        <w:rFonts w:ascii="Wingdings" w:hAnsi="Wingdings" w:hint="default"/>
      </w:rPr>
    </w:lvl>
  </w:abstractNum>
  <w:abstractNum w:abstractNumId="18">
    <w:nsid w:val="2F436082"/>
    <w:multiLevelType w:val="hybridMultilevel"/>
    <w:tmpl w:val="A9B05A86"/>
    <w:lvl w:ilvl="0" w:tplc="7D2EF2E4">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30E86045"/>
    <w:multiLevelType w:val="singleLevel"/>
    <w:tmpl w:val="90FA2CE4"/>
    <w:name w:val="dtNM List Alpha 3"/>
    <w:lvl w:ilvl="0">
      <w:start w:val="1"/>
      <w:numFmt w:val="lowerLetter"/>
      <w:lvlRestart w:val="0"/>
      <w:lvlText w:val="%1."/>
      <w:lvlJc w:val="left"/>
      <w:pPr>
        <w:tabs>
          <w:tab w:val="num" w:pos="1080"/>
        </w:tabs>
        <w:ind w:left="1080" w:hanging="360"/>
      </w:pPr>
      <w:rPr>
        <w:caps w:val="0"/>
        <w:u w:val="none"/>
      </w:rPr>
    </w:lvl>
  </w:abstractNum>
  <w:abstractNum w:abstractNumId="20">
    <w:nsid w:val="332F4C6A"/>
    <w:multiLevelType w:val="hybridMultilevel"/>
    <w:tmpl w:val="9BB03E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359F6587"/>
    <w:multiLevelType w:val="hybridMultilevel"/>
    <w:tmpl w:val="E97CB8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3704440C"/>
    <w:multiLevelType w:val="singleLevel"/>
    <w:tmpl w:val="079E9202"/>
    <w:name w:val="dtBL List Bullet 4"/>
    <w:lvl w:ilvl="0">
      <w:start w:val="1"/>
      <w:numFmt w:val="bullet"/>
      <w:lvlRestart w:val="0"/>
      <w:lvlText w:val=""/>
      <w:lvlJc w:val="left"/>
      <w:pPr>
        <w:tabs>
          <w:tab w:val="num" w:pos="1440"/>
        </w:tabs>
        <w:ind w:left="1440" w:hanging="360"/>
      </w:pPr>
      <w:rPr>
        <w:rFonts w:ascii="Symbol" w:hAnsi="Symbol" w:hint="default"/>
        <w:caps w:val="0"/>
        <w:u w:val="none"/>
      </w:rPr>
    </w:lvl>
  </w:abstractNum>
  <w:abstractNum w:abstractNumId="23">
    <w:nsid w:val="44E263DF"/>
    <w:multiLevelType w:val="hybridMultilevel"/>
    <w:tmpl w:val="710C74BE"/>
    <w:lvl w:ilvl="0" w:tplc="637C2A9E">
      <w:start w:val="1"/>
      <w:numFmt w:val="bullet"/>
      <w:lvlText w:val=""/>
      <w:lvlJc w:val="left"/>
      <w:pPr>
        <w:ind w:left="360" w:hanging="360"/>
      </w:pPr>
      <w:rPr>
        <w:rFonts w:ascii="Symbol" w:hAnsi="Symbol"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48506678"/>
    <w:multiLevelType w:val="hybridMultilevel"/>
    <w:tmpl w:val="AB58F6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EE57663"/>
    <w:multiLevelType w:val="singleLevel"/>
    <w:tmpl w:val="72720D18"/>
    <w:name w:val="dtBL List Bullet 3"/>
    <w:lvl w:ilvl="0">
      <w:start w:val="1"/>
      <w:numFmt w:val="bullet"/>
      <w:lvlRestart w:val="0"/>
      <w:lvlText w:val=""/>
      <w:lvlJc w:val="left"/>
      <w:pPr>
        <w:tabs>
          <w:tab w:val="num" w:pos="1080"/>
        </w:tabs>
        <w:ind w:left="1080" w:hanging="360"/>
      </w:pPr>
      <w:rPr>
        <w:rFonts w:ascii="Symbol" w:hAnsi="Symbol" w:hint="default"/>
        <w:caps w:val="0"/>
        <w:u w:val="none"/>
      </w:rPr>
    </w:lvl>
  </w:abstractNum>
  <w:abstractNum w:abstractNumId="26">
    <w:nsid w:val="4F0C474D"/>
    <w:multiLevelType w:val="hybridMultilevel"/>
    <w:tmpl w:val="19A89904"/>
    <w:lvl w:ilvl="0" w:tplc="0C090001">
      <w:start w:val="1"/>
      <w:numFmt w:val="bullet"/>
      <w:lvlText w:val=""/>
      <w:lvlJc w:val="left"/>
      <w:pPr>
        <w:ind w:left="772" w:hanging="360"/>
      </w:pPr>
      <w:rPr>
        <w:rFonts w:ascii="Symbol" w:hAnsi="Symbol" w:hint="default"/>
      </w:rPr>
    </w:lvl>
    <w:lvl w:ilvl="1" w:tplc="0C090003" w:tentative="1">
      <w:start w:val="1"/>
      <w:numFmt w:val="bullet"/>
      <w:lvlText w:val="o"/>
      <w:lvlJc w:val="left"/>
      <w:pPr>
        <w:ind w:left="1492" w:hanging="360"/>
      </w:pPr>
      <w:rPr>
        <w:rFonts w:ascii="Courier New" w:hAnsi="Courier New" w:cs="Courier New" w:hint="default"/>
      </w:rPr>
    </w:lvl>
    <w:lvl w:ilvl="2" w:tplc="0C090005" w:tentative="1">
      <w:start w:val="1"/>
      <w:numFmt w:val="bullet"/>
      <w:lvlText w:val=""/>
      <w:lvlJc w:val="left"/>
      <w:pPr>
        <w:ind w:left="2212" w:hanging="360"/>
      </w:pPr>
      <w:rPr>
        <w:rFonts w:ascii="Wingdings" w:hAnsi="Wingdings" w:hint="default"/>
      </w:rPr>
    </w:lvl>
    <w:lvl w:ilvl="3" w:tplc="0C090001" w:tentative="1">
      <w:start w:val="1"/>
      <w:numFmt w:val="bullet"/>
      <w:lvlText w:val=""/>
      <w:lvlJc w:val="left"/>
      <w:pPr>
        <w:ind w:left="2932" w:hanging="360"/>
      </w:pPr>
      <w:rPr>
        <w:rFonts w:ascii="Symbol" w:hAnsi="Symbol" w:hint="default"/>
      </w:rPr>
    </w:lvl>
    <w:lvl w:ilvl="4" w:tplc="0C090003" w:tentative="1">
      <w:start w:val="1"/>
      <w:numFmt w:val="bullet"/>
      <w:lvlText w:val="o"/>
      <w:lvlJc w:val="left"/>
      <w:pPr>
        <w:ind w:left="3652" w:hanging="360"/>
      </w:pPr>
      <w:rPr>
        <w:rFonts w:ascii="Courier New" w:hAnsi="Courier New" w:cs="Courier New" w:hint="default"/>
      </w:rPr>
    </w:lvl>
    <w:lvl w:ilvl="5" w:tplc="0C090005" w:tentative="1">
      <w:start w:val="1"/>
      <w:numFmt w:val="bullet"/>
      <w:lvlText w:val=""/>
      <w:lvlJc w:val="left"/>
      <w:pPr>
        <w:ind w:left="4372" w:hanging="360"/>
      </w:pPr>
      <w:rPr>
        <w:rFonts w:ascii="Wingdings" w:hAnsi="Wingdings" w:hint="default"/>
      </w:rPr>
    </w:lvl>
    <w:lvl w:ilvl="6" w:tplc="0C090001" w:tentative="1">
      <w:start w:val="1"/>
      <w:numFmt w:val="bullet"/>
      <w:lvlText w:val=""/>
      <w:lvlJc w:val="left"/>
      <w:pPr>
        <w:ind w:left="5092" w:hanging="360"/>
      </w:pPr>
      <w:rPr>
        <w:rFonts w:ascii="Symbol" w:hAnsi="Symbol" w:hint="default"/>
      </w:rPr>
    </w:lvl>
    <w:lvl w:ilvl="7" w:tplc="0C090003" w:tentative="1">
      <w:start w:val="1"/>
      <w:numFmt w:val="bullet"/>
      <w:lvlText w:val="o"/>
      <w:lvlJc w:val="left"/>
      <w:pPr>
        <w:ind w:left="5812" w:hanging="360"/>
      </w:pPr>
      <w:rPr>
        <w:rFonts w:ascii="Courier New" w:hAnsi="Courier New" w:cs="Courier New" w:hint="default"/>
      </w:rPr>
    </w:lvl>
    <w:lvl w:ilvl="8" w:tplc="0C090005" w:tentative="1">
      <w:start w:val="1"/>
      <w:numFmt w:val="bullet"/>
      <w:lvlText w:val=""/>
      <w:lvlJc w:val="left"/>
      <w:pPr>
        <w:ind w:left="6532" w:hanging="360"/>
      </w:pPr>
      <w:rPr>
        <w:rFonts w:ascii="Wingdings" w:hAnsi="Wingdings" w:hint="default"/>
      </w:rPr>
    </w:lvl>
  </w:abstractNum>
  <w:abstractNum w:abstractNumId="27">
    <w:nsid w:val="515C7BBD"/>
    <w:multiLevelType w:val="singleLevel"/>
    <w:tmpl w:val="27C4FDA0"/>
    <w:name w:val="dtBL List Bullet"/>
    <w:lvl w:ilvl="0">
      <w:start w:val="1"/>
      <w:numFmt w:val="bullet"/>
      <w:lvlRestart w:val="0"/>
      <w:lvlText w:val=""/>
      <w:lvlJc w:val="left"/>
      <w:pPr>
        <w:tabs>
          <w:tab w:val="num" w:pos="360"/>
        </w:tabs>
        <w:ind w:left="360" w:hanging="360"/>
      </w:pPr>
      <w:rPr>
        <w:rFonts w:ascii="Symbol" w:hAnsi="Symbol" w:hint="default"/>
        <w:caps w:val="0"/>
        <w:u w:val="none"/>
      </w:rPr>
    </w:lvl>
  </w:abstractNum>
  <w:abstractNum w:abstractNumId="28">
    <w:nsid w:val="52A67C87"/>
    <w:multiLevelType w:val="hybridMultilevel"/>
    <w:tmpl w:val="307A2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5295326"/>
    <w:multiLevelType w:val="hybridMultilevel"/>
    <w:tmpl w:val="475AA1D0"/>
    <w:lvl w:ilvl="0" w:tplc="637C2A9E">
      <w:start w:val="1"/>
      <w:numFmt w:val="bullet"/>
      <w:lvlText w:val=""/>
      <w:lvlJc w:val="left"/>
      <w:pPr>
        <w:ind w:left="360" w:hanging="360"/>
      </w:pPr>
      <w:rPr>
        <w:rFonts w:ascii="Symbol" w:hAnsi="Symbol"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555D0A74"/>
    <w:multiLevelType w:val="hybridMultilevel"/>
    <w:tmpl w:val="5B5AE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7186971"/>
    <w:multiLevelType w:val="singleLevel"/>
    <w:tmpl w:val="CA581034"/>
    <w:name w:val="dtNM List Number 5"/>
    <w:lvl w:ilvl="0">
      <w:start w:val="1"/>
      <w:numFmt w:val="decimal"/>
      <w:lvlRestart w:val="0"/>
      <w:lvlText w:val="%1."/>
      <w:lvlJc w:val="left"/>
      <w:pPr>
        <w:tabs>
          <w:tab w:val="num" w:pos="1800"/>
        </w:tabs>
        <w:ind w:left="1800" w:hanging="360"/>
      </w:pPr>
      <w:rPr>
        <w:caps w:val="0"/>
        <w:u w:val="none"/>
      </w:rPr>
    </w:lvl>
  </w:abstractNum>
  <w:abstractNum w:abstractNumId="32">
    <w:nsid w:val="59072DA0"/>
    <w:multiLevelType w:val="hybridMultilevel"/>
    <w:tmpl w:val="149AD3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5EFA77C9"/>
    <w:multiLevelType w:val="hybridMultilevel"/>
    <w:tmpl w:val="5D60C490"/>
    <w:lvl w:ilvl="0" w:tplc="637C2A9E">
      <w:start w:val="1"/>
      <w:numFmt w:val="bullet"/>
      <w:lvlText w:val=""/>
      <w:lvlJc w:val="left"/>
      <w:pPr>
        <w:ind w:left="360" w:hanging="360"/>
      </w:pPr>
      <w:rPr>
        <w:rFonts w:ascii="Symbol" w:hAnsi="Symbol"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5F922024"/>
    <w:multiLevelType w:val="singleLevel"/>
    <w:tmpl w:val="780855CA"/>
    <w:name w:val="dtNM List Alpha Table"/>
    <w:lvl w:ilvl="0">
      <w:start w:val="1"/>
      <w:numFmt w:val="lowerLetter"/>
      <w:lvlRestart w:val="0"/>
      <w:lvlText w:val="%1."/>
      <w:lvlJc w:val="left"/>
      <w:pPr>
        <w:tabs>
          <w:tab w:val="num" w:pos="360"/>
        </w:tabs>
        <w:ind w:left="360" w:hanging="360"/>
      </w:pPr>
      <w:rPr>
        <w:caps w:val="0"/>
        <w:u w:val="none"/>
      </w:rPr>
    </w:lvl>
  </w:abstractNum>
  <w:abstractNum w:abstractNumId="35">
    <w:nsid w:val="63697486"/>
    <w:multiLevelType w:val="singleLevel"/>
    <w:tmpl w:val="3ADA23B6"/>
    <w:name w:val="dtNM List Alpha"/>
    <w:lvl w:ilvl="0">
      <w:start w:val="1"/>
      <w:numFmt w:val="lowerLetter"/>
      <w:lvlRestart w:val="0"/>
      <w:lvlText w:val="%1."/>
      <w:lvlJc w:val="left"/>
      <w:pPr>
        <w:tabs>
          <w:tab w:val="num" w:pos="360"/>
        </w:tabs>
        <w:ind w:left="360" w:hanging="360"/>
      </w:pPr>
      <w:rPr>
        <w:caps w:val="0"/>
        <w:u w:val="none"/>
      </w:rPr>
    </w:lvl>
  </w:abstractNum>
  <w:abstractNum w:abstractNumId="36">
    <w:nsid w:val="66CE35AA"/>
    <w:multiLevelType w:val="hybridMultilevel"/>
    <w:tmpl w:val="141CDD04"/>
    <w:lvl w:ilvl="0" w:tplc="DD6E4D42">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6935626C"/>
    <w:multiLevelType w:val="hybridMultilevel"/>
    <w:tmpl w:val="1BC47940"/>
    <w:lvl w:ilvl="0" w:tplc="104A452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
    <w:nsid w:val="69B51315"/>
    <w:multiLevelType w:val="hybridMultilevel"/>
    <w:tmpl w:val="0E38E0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6E3D6D4D"/>
    <w:multiLevelType w:val="multilevel"/>
    <w:tmpl w:val="B66C00A6"/>
    <w:name w:val="dtMLAppendix0"/>
    <w:lvl w:ilvl="0">
      <w:start w:val="1"/>
      <w:numFmt w:val="decimal"/>
      <w:lvlRestart w:val="0"/>
      <w:suff w:val="space"/>
      <w:lvlText w:val="Appendix %1."/>
      <w:lvlJc w:val="left"/>
      <w:pPr>
        <w:tabs>
          <w:tab w:val="num" w:pos="0"/>
        </w:tabs>
        <w:ind w:left="0" w:firstLine="0"/>
      </w:pPr>
      <w:rPr>
        <w:rFonts w:ascii="Times New Roman Bold" w:hAnsi="Times New Roman Bold" w:cs="Times New Roman"/>
        <w:b/>
        <w:i w:val="0"/>
        <w:caps w:val="0"/>
        <w:sz w:val="24"/>
        <w:u w:val="none"/>
      </w:rPr>
    </w:lvl>
    <w:lvl w:ilvl="1">
      <w:start w:val="1"/>
      <w:numFmt w:val="decimal"/>
      <w:suff w:val="space"/>
      <w:lvlText w:val="Appendix %1.%2."/>
      <w:lvlJc w:val="left"/>
      <w:pPr>
        <w:tabs>
          <w:tab w:val="num" w:pos="0"/>
        </w:tabs>
        <w:ind w:left="0" w:firstLine="0"/>
      </w:pPr>
      <w:rPr>
        <w:rFonts w:ascii="Times New Roman Bold" w:hAnsi="Times New Roman Bold" w:cs="Times New Roman"/>
        <w:b/>
        <w:i w:val="0"/>
        <w:caps w:val="0"/>
        <w:sz w:val="24"/>
        <w:u w:val="none"/>
      </w:rPr>
    </w:lvl>
    <w:lvl w:ilvl="2">
      <w:start w:val="1"/>
      <w:numFmt w:val="decimal"/>
      <w:suff w:val="space"/>
      <w:lvlText w:val="Appendix %1.%2.%3."/>
      <w:lvlJc w:val="left"/>
      <w:pPr>
        <w:tabs>
          <w:tab w:val="num" w:pos="0"/>
        </w:tabs>
        <w:ind w:left="0" w:firstLine="0"/>
      </w:pPr>
      <w:rPr>
        <w:rFonts w:ascii="Times New Roman Bold" w:hAnsi="Times New Roman Bold" w:cs="Times New Roman"/>
        <w:b/>
        <w:i w:val="0"/>
        <w:caps w:val="0"/>
        <w:sz w:val="24"/>
        <w:u w:val="none"/>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0">
    <w:nsid w:val="6E992D4C"/>
    <w:multiLevelType w:val="singleLevel"/>
    <w:tmpl w:val="ABE4C696"/>
    <w:name w:val="dtNM List Number 2"/>
    <w:lvl w:ilvl="0">
      <w:start w:val="1"/>
      <w:numFmt w:val="decimal"/>
      <w:lvlRestart w:val="0"/>
      <w:lvlText w:val="%1."/>
      <w:lvlJc w:val="left"/>
      <w:pPr>
        <w:tabs>
          <w:tab w:val="num" w:pos="720"/>
        </w:tabs>
        <w:ind w:left="720" w:hanging="360"/>
      </w:pPr>
      <w:rPr>
        <w:caps w:val="0"/>
        <w:u w:val="none"/>
      </w:rPr>
    </w:lvl>
  </w:abstractNum>
  <w:abstractNum w:abstractNumId="41">
    <w:nsid w:val="74ED04D6"/>
    <w:multiLevelType w:val="singleLevel"/>
    <w:tmpl w:val="5E124F6A"/>
    <w:name w:val="dtBL List Bullet 2"/>
    <w:lvl w:ilvl="0">
      <w:start w:val="1"/>
      <w:numFmt w:val="bullet"/>
      <w:lvlRestart w:val="0"/>
      <w:lvlText w:val=""/>
      <w:lvlJc w:val="left"/>
      <w:pPr>
        <w:tabs>
          <w:tab w:val="num" w:pos="720"/>
        </w:tabs>
        <w:ind w:left="720" w:hanging="360"/>
      </w:pPr>
      <w:rPr>
        <w:rFonts w:ascii="Symbol" w:hAnsi="Symbol" w:hint="default"/>
        <w:caps w:val="0"/>
        <w:u w:val="none"/>
      </w:rPr>
    </w:lvl>
  </w:abstractNum>
  <w:abstractNum w:abstractNumId="42">
    <w:nsid w:val="76C94F11"/>
    <w:multiLevelType w:val="singleLevel"/>
    <w:tmpl w:val="E89E8684"/>
    <w:name w:val="dtBL List Bullet Table"/>
    <w:lvl w:ilvl="0">
      <w:start w:val="1"/>
      <w:numFmt w:val="bullet"/>
      <w:lvlRestart w:val="0"/>
      <w:lvlText w:val=""/>
      <w:lvlJc w:val="left"/>
      <w:pPr>
        <w:tabs>
          <w:tab w:val="num" w:pos="360"/>
        </w:tabs>
        <w:ind w:left="360" w:hanging="360"/>
      </w:pPr>
      <w:rPr>
        <w:rFonts w:ascii="Symbol" w:hAnsi="Symbol" w:hint="default"/>
        <w:caps w:val="0"/>
        <w:u w:val="none"/>
      </w:rPr>
    </w:lvl>
  </w:abstractNum>
  <w:abstractNum w:abstractNumId="43">
    <w:nsid w:val="775251B6"/>
    <w:multiLevelType w:val="singleLevel"/>
    <w:tmpl w:val="EE90B51C"/>
    <w:name w:val="dtNM RefText"/>
    <w:lvl w:ilvl="0">
      <w:start w:val="1"/>
      <w:numFmt w:val="decimal"/>
      <w:lvlRestart w:val="0"/>
      <w:lvlText w:val="%1."/>
      <w:lvlJc w:val="left"/>
      <w:pPr>
        <w:tabs>
          <w:tab w:val="num" w:pos="501"/>
        </w:tabs>
        <w:ind w:left="501" w:hanging="501"/>
      </w:pPr>
      <w:rPr>
        <w:caps w:val="0"/>
        <w:u w:val="none"/>
      </w:rPr>
    </w:lvl>
  </w:abstractNum>
  <w:abstractNum w:abstractNumId="44">
    <w:nsid w:val="797D7AE9"/>
    <w:multiLevelType w:val="singleLevel"/>
    <w:tmpl w:val="D2300490"/>
    <w:name w:val="dtBL List Bullet 5"/>
    <w:lvl w:ilvl="0">
      <w:start w:val="1"/>
      <w:numFmt w:val="bullet"/>
      <w:lvlRestart w:val="0"/>
      <w:lvlText w:val=""/>
      <w:lvlJc w:val="left"/>
      <w:pPr>
        <w:tabs>
          <w:tab w:val="num" w:pos="1800"/>
        </w:tabs>
        <w:ind w:left="1800" w:hanging="360"/>
      </w:pPr>
      <w:rPr>
        <w:rFonts w:ascii="Symbol" w:hAnsi="Symbol" w:hint="default"/>
        <w:caps w:val="0"/>
        <w:u w:val="none"/>
      </w:rPr>
    </w:lvl>
  </w:abstractNum>
  <w:abstractNum w:abstractNumId="45">
    <w:nsid w:val="7ADC2F8B"/>
    <w:multiLevelType w:val="singleLevel"/>
    <w:tmpl w:val="EFB47184"/>
    <w:name w:val="dtNM List Number Table"/>
    <w:lvl w:ilvl="0">
      <w:start w:val="1"/>
      <w:numFmt w:val="decimal"/>
      <w:lvlRestart w:val="0"/>
      <w:lvlText w:val="%1."/>
      <w:lvlJc w:val="left"/>
      <w:pPr>
        <w:tabs>
          <w:tab w:val="num" w:pos="360"/>
        </w:tabs>
        <w:ind w:left="360" w:hanging="360"/>
      </w:pPr>
      <w:rPr>
        <w:caps w:val="0"/>
        <w:u w:val="none"/>
      </w:rPr>
    </w:lvl>
  </w:abstractNum>
  <w:abstractNum w:abstractNumId="46">
    <w:nsid w:val="7C191111"/>
    <w:multiLevelType w:val="hybridMultilevel"/>
    <w:tmpl w:val="CFF81E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nsid w:val="7DB723E2"/>
    <w:multiLevelType w:val="hybridMultilevel"/>
    <w:tmpl w:val="88D48CB2"/>
    <w:lvl w:ilvl="0" w:tplc="CD88998A">
      <w:start w:val="1"/>
      <w:numFmt w:val="bullet"/>
      <w:lvlText w:val="-"/>
      <w:lvlJc w:val="left"/>
      <w:pPr>
        <w:tabs>
          <w:tab w:val="num" w:pos="360"/>
        </w:tabs>
        <w:ind w:left="360" w:hanging="360"/>
      </w:pPr>
      <w:rPr>
        <w:rFonts w:ascii="Times New Roman" w:hAnsi="Times New Roman" w:cs="Times New Roman" w:hint="default"/>
      </w:rPr>
    </w:lvl>
    <w:lvl w:ilvl="1" w:tplc="04090003" w:tentative="1">
      <w:start w:val="1"/>
      <w:numFmt w:val="bullet"/>
      <w:lvlText w:val="o"/>
      <w:lvlJc w:val="left"/>
      <w:pPr>
        <w:tabs>
          <w:tab w:val="num" w:pos="792"/>
        </w:tabs>
        <w:ind w:left="792" w:hanging="360"/>
      </w:pPr>
      <w:rPr>
        <w:rFonts w:ascii="Courier New" w:hAnsi="Courier New" w:cs="Courier New" w:hint="default"/>
      </w:rPr>
    </w:lvl>
    <w:lvl w:ilvl="2" w:tplc="04090005" w:tentative="1">
      <w:start w:val="1"/>
      <w:numFmt w:val="bullet"/>
      <w:lvlText w:val=""/>
      <w:lvlJc w:val="left"/>
      <w:pPr>
        <w:tabs>
          <w:tab w:val="num" w:pos="1512"/>
        </w:tabs>
        <w:ind w:left="1512" w:hanging="360"/>
      </w:pPr>
      <w:rPr>
        <w:rFonts w:ascii="Wingdings" w:hAnsi="Wingdings" w:hint="default"/>
      </w:rPr>
    </w:lvl>
    <w:lvl w:ilvl="3" w:tplc="04090001" w:tentative="1">
      <w:start w:val="1"/>
      <w:numFmt w:val="bullet"/>
      <w:lvlText w:val=""/>
      <w:lvlJc w:val="left"/>
      <w:pPr>
        <w:tabs>
          <w:tab w:val="num" w:pos="2232"/>
        </w:tabs>
        <w:ind w:left="2232" w:hanging="360"/>
      </w:pPr>
      <w:rPr>
        <w:rFonts w:ascii="Symbol" w:hAnsi="Symbol" w:hint="default"/>
      </w:rPr>
    </w:lvl>
    <w:lvl w:ilvl="4" w:tplc="04090003" w:tentative="1">
      <w:start w:val="1"/>
      <w:numFmt w:val="bullet"/>
      <w:lvlText w:val="o"/>
      <w:lvlJc w:val="left"/>
      <w:pPr>
        <w:tabs>
          <w:tab w:val="num" w:pos="2952"/>
        </w:tabs>
        <w:ind w:left="2952" w:hanging="360"/>
      </w:pPr>
      <w:rPr>
        <w:rFonts w:ascii="Courier New" w:hAnsi="Courier New" w:cs="Courier New" w:hint="default"/>
      </w:rPr>
    </w:lvl>
    <w:lvl w:ilvl="5" w:tplc="04090005" w:tentative="1">
      <w:start w:val="1"/>
      <w:numFmt w:val="bullet"/>
      <w:lvlText w:val=""/>
      <w:lvlJc w:val="left"/>
      <w:pPr>
        <w:tabs>
          <w:tab w:val="num" w:pos="3672"/>
        </w:tabs>
        <w:ind w:left="3672" w:hanging="360"/>
      </w:pPr>
      <w:rPr>
        <w:rFonts w:ascii="Wingdings" w:hAnsi="Wingdings" w:hint="default"/>
      </w:rPr>
    </w:lvl>
    <w:lvl w:ilvl="6" w:tplc="04090001" w:tentative="1">
      <w:start w:val="1"/>
      <w:numFmt w:val="bullet"/>
      <w:lvlText w:val=""/>
      <w:lvlJc w:val="left"/>
      <w:pPr>
        <w:tabs>
          <w:tab w:val="num" w:pos="4392"/>
        </w:tabs>
        <w:ind w:left="4392" w:hanging="360"/>
      </w:pPr>
      <w:rPr>
        <w:rFonts w:ascii="Symbol" w:hAnsi="Symbol" w:hint="default"/>
      </w:rPr>
    </w:lvl>
    <w:lvl w:ilvl="7" w:tplc="04090003" w:tentative="1">
      <w:start w:val="1"/>
      <w:numFmt w:val="bullet"/>
      <w:lvlText w:val="o"/>
      <w:lvlJc w:val="left"/>
      <w:pPr>
        <w:tabs>
          <w:tab w:val="num" w:pos="5112"/>
        </w:tabs>
        <w:ind w:left="5112" w:hanging="360"/>
      </w:pPr>
      <w:rPr>
        <w:rFonts w:ascii="Courier New" w:hAnsi="Courier New" w:cs="Courier New" w:hint="default"/>
      </w:rPr>
    </w:lvl>
    <w:lvl w:ilvl="8" w:tplc="04090005" w:tentative="1">
      <w:start w:val="1"/>
      <w:numFmt w:val="bullet"/>
      <w:lvlText w:val=""/>
      <w:lvlJc w:val="left"/>
      <w:pPr>
        <w:tabs>
          <w:tab w:val="num" w:pos="5832"/>
        </w:tabs>
        <w:ind w:left="5832" w:hanging="360"/>
      </w:pPr>
      <w:rPr>
        <w:rFonts w:ascii="Wingdings" w:hAnsi="Wingdings" w:hint="default"/>
      </w:rPr>
    </w:lvl>
  </w:abstractNum>
  <w:abstractNum w:abstractNumId="48">
    <w:nsid w:val="7EC40A95"/>
    <w:multiLevelType w:val="singleLevel"/>
    <w:tmpl w:val="8E8055A0"/>
    <w:lvl w:ilvl="0">
      <w:start w:val="1"/>
      <w:numFmt w:val="decimal"/>
      <w:lvlRestart w:val="0"/>
      <w:lvlText w:val="%1."/>
      <w:lvlJc w:val="left"/>
      <w:pPr>
        <w:tabs>
          <w:tab w:val="num" w:pos="1080"/>
        </w:tabs>
        <w:ind w:left="1080" w:hanging="360"/>
      </w:pPr>
      <w:rPr>
        <w:caps w:val="0"/>
        <w:u w:val="none"/>
      </w:rPr>
    </w:lvl>
  </w:abstractNum>
  <w:abstractNum w:abstractNumId="49">
    <w:nsid w:val="7F467793"/>
    <w:multiLevelType w:val="singleLevel"/>
    <w:tmpl w:val="4BEE5878"/>
    <w:lvl w:ilvl="0">
      <w:start w:val="1"/>
      <w:numFmt w:val="decimal"/>
      <w:lvlRestart w:val="0"/>
      <w:lvlText w:val="%1."/>
      <w:lvlJc w:val="left"/>
      <w:pPr>
        <w:tabs>
          <w:tab w:val="num" w:pos="1440"/>
        </w:tabs>
        <w:ind w:left="1440" w:hanging="360"/>
      </w:pPr>
      <w:rPr>
        <w:caps w:val="0"/>
        <w:u w:val="none"/>
      </w:rPr>
    </w:lvl>
  </w:abstractNum>
  <w:num w:numId="1">
    <w:abstractNumId w:val="16"/>
  </w:num>
  <w:num w:numId="2">
    <w:abstractNumId w:val="30"/>
  </w:num>
  <w:num w:numId="3">
    <w:abstractNumId w:val="8"/>
  </w:num>
  <w:num w:numId="4">
    <w:abstractNumId w:val="6"/>
  </w:num>
  <w:num w:numId="5">
    <w:abstractNumId w:val="39"/>
  </w:num>
  <w:num w:numId="6">
    <w:abstractNumId w:val="27"/>
  </w:num>
  <w:num w:numId="7">
    <w:abstractNumId w:val="41"/>
  </w:num>
  <w:num w:numId="8">
    <w:abstractNumId w:val="25"/>
  </w:num>
  <w:num w:numId="9">
    <w:abstractNumId w:val="22"/>
  </w:num>
  <w:num w:numId="10">
    <w:abstractNumId w:val="12"/>
  </w:num>
  <w:num w:numId="11">
    <w:abstractNumId w:val="40"/>
  </w:num>
  <w:num w:numId="12">
    <w:abstractNumId w:val="48"/>
  </w:num>
  <w:num w:numId="13">
    <w:abstractNumId w:val="49"/>
  </w:num>
  <w:num w:numId="14">
    <w:abstractNumId w:val="31"/>
  </w:num>
  <w:num w:numId="15">
    <w:abstractNumId w:val="35"/>
  </w:num>
  <w:num w:numId="16">
    <w:abstractNumId w:val="3"/>
  </w:num>
  <w:num w:numId="17">
    <w:abstractNumId w:val="19"/>
  </w:num>
  <w:num w:numId="18">
    <w:abstractNumId w:val="14"/>
  </w:num>
  <w:num w:numId="19">
    <w:abstractNumId w:val="43"/>
  </w:num>
  <w:num w:numId="20">
    <w:abstractNumId w:val="45"/>
  </w:num>
  <w:num w:numId="21">
    <w:abstractNumId w:val="34"/>
  </w:num>
  <w:num w:numId="22">
    <w:abstractNumId w:val="42"/>
  </w:num>
  <w:num w:numId="23">
    <w:abstractNumId w:val="44"/>
  </w:num>
  <w:num w:numId="24">
    <w:abstractNumId w:val="15"/>
  </w:num>
  <w:num w:numId="25">
    <w:abstractNumId w:val="28"/>
  </w:num>
  <w:num w:numId="26">
    <w:abstractNumId w:val="21"/>
  </w:num>
  <w:num w:numId="27">
    <w:abstractNumId w:val="36"/>
  </w:num>
  <w:num w:numId="28">
    <w:abstractNumId w:val="47"/>
  </w:num>
  <w:num w:numId="29">
    <w:abstractNumId w:val="38"/>
  </w:num>
  <w:num w:numId="30">
    <w:abstractNumId w:val="37"/>
  </w:num>
  <w:num w:numId="31">
    <w:abstractNumId w:val="4"/>
  </w:num>
  <w:num w:numId="32">
    <w:abstractNumId w:val="5"/>
  </w:num>
  <w:num w:numId="33">
    <w:abstractNumId w:val="11"/>
  </w:num>
  <w:num w:numId="34">
    <w:abstractNumId w:val="17"/>
  </w:num>
  <w:num w:numId="35">
    <w:abstractNumId w:val="13"/>
  </w:num>
  <w:num w:numId="36">
    <w:abstractNumId w:val="24"/>
  </w:num>
  <w:num w:numId="37">
    <w:abstractNumId w:val="18"/>
  </w:num>
  <w:num w:numId="38">
    <w:abstractNumId w:val="32"/>
  </w:num>
  <w:num w:numId="39">
    <w:abstractNumId w:val="29"/>
  </w:num>
  <w:num w:numId="40">
    <w:abstractNumId w:val="33"/>
  </w:num>
  <w:num w:numId="41">
    <w:abstractNumId w:val="23"/>
  </w:num>
  <w:num w:numId="42">
    <w:abstractNumId w:val="2"/>
  </w:num>
  <w:num w:numId="43">
    <w:abstractNumId w:val="9"/>
  </w:num>
  <w:num w:numId="44">
    <w:abstractNumId w:val="1"/>
  </w:num>
  <w:num w:numId="45">
    <w:abstractNumId w:val="7"/>
  </w:num>
  <w:num w:numId="46">
    <w:abstractNumId w:val="0"/>
  </w:num>
  <w:num w:numId="47">
    <w:abstractNumId w:val="26"/>
  </w:num>
  <w:num w:numId="48">
    <w:abstractNumId w:val="20"/>
  </w:num>
  <w:num w:numId="49">
    <w:abstractNumId w:val="4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ctiveWritingStyle w:appName="MSWord" w:lang="en-AU" w:vendorID="64" w:dllVersion="131078" w:nlCheck="1" w:checkStyle="1"/>
  <w:activeWritingStyle w:appName="MSWord" w:lang="en-GB" w:vendorID="64" w:dllVersion="131078" w:nlCheck="1" w:checkStyle="0"/>
  <w:activeWritingStyle w:appName="MSWord" w:lang="en-US" w:vendorID="64" w:dllVersion="131078" w:nlCheck="1" w:checkStyle="1"/>
  <w:activeWritingStyle w:appName="MSWord" w:lang="fr-FR" w:vendorID="64" w:dllVersion="131078" w:nlCheck="1" w:checkStyle="1"/>
  <w:activeWritingStyle w:appName="MSWord" w:lang="en-CA"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0"/>
  <w:doNotHyphenateCaps/>
  <w:drawingGridHorizontalSpacing w:val="120"/>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5B62"/>
    <w:rsid w:val="00001B42"/>
    <w:rsid w:val="0000445A"/>
    <w:rsid w:val="00006D32"/>
    <w:rsid w:val="000101C8"/>
    <w:rsid w:val="000101E2"/>
    <w:rsid w:val="00011A4A"/>
    <w:rsid w:val="00014564"/>
    <w:rsid w:val="0001617C"/>
    <w:rsid w:val="00016F60"/>
    <w:rsid w:val="00021A08"/>
    <w:rsid w:val="00022FE7"/>
    <w:rsid w:val="0002672B"/>
    <w:rsid w:val="0002735E"/>
    <w:rsid w:val="00032C6F"/>
    <w:rsid w:val="00036316"/>
    <w:rsid w:val="0004004D"/>
    <w:rsid w:val="00040CE8"/>
    <w:rsid w:val="00041EB2"/>
    <w:rsid w:val="00042C4F"/>
    <w:rsid w:val="00045C68"/>
    <w:rsid w:val="00046BD1"/>
    <w:rsid w:val="00050846"/>
    <w:rsid w:val="00050B9C"/>
    <w:rsid w:val="00052B66"/>
    <w:rsid w:val="00054767"/>
    <w:rsid w:val="00054F74"/>
    <w:rsid w:val="00055A21"/>
    <w:rsid w:val="00057C60"/>
    <w:rsid w:val="0006008A"/>
    <w:rsid w:val="00061A68"/>
    <w:rsid w:val="0006265B"/>
    <w:rsid w:val="0006374D"/>
    <w:rsid w:val="00064B88"/>
    <w:rsid w:val="0006561B"/>
    <w:rsid w:val="00070575"/>
    <w:rsid w:val="0007225E"/>
    <w:rsid w:val="00075114"/>
    <w:rsid w:val="00076050"/>
    <w:rsid w:val="0008215A"/>
    <w:rsid w:val="00087219"/>
    <w:rsid w:val="00090628"/>
    <w:rsid w:val="00091B07"/>
    <w:rsid w:val="00092100"/>
    <w:rsid w:val="000962A0"/>
    <w:rsid w:val="00097A1C"/>
    <w:rsid w:val="00097E4B"/>
    <w:rsid w:val="000A1623"/>
    <w:rsid w:val="000A22E6"/>
    <w:rsid w:val="000A2904"/>
    <w:rsid w:val="000A70AE"/>
    <w:rsid w:val="000B283B"/>
    <w:rsid w:val="000C368F"/>
    <w:rsid w:val="000C3B79"/>
    <w:rsid w:val="000C5D4D"/>
    <w:rsid w:val="000C78D0"/>
    <w:rsid w:val="000D0CB4"/>
    <w:rsid w:val="000D11A5"/>
    <w:rsid w:val="000D224A"/>
    <w:rsid w:val="000D2DF9"/>
    <w:rsid w:val="000D2EB7"/>
    <w:rsid w:val="000D7CB5"/>
    <w:rsid w:val="000E1A6B"/>
    <w:rsid w:val="000E6215"/>
    <w:rsid w:val="000E6AD5"/>
    <w:rsid w:val="000E6F22"/>
    <w:rsid w:val="000F08AA"/>
    <w:rsid w:val="000F1BFC"/>
    <w:rsid w:val="000F4492"/>
    <w:rsid w:val="000F5B5D"/>
    <w:rsid w:val="000F64DE"/>
    <w:rsid w:val="000F6F5E"/>
    <w:rsid w:val="00100412"/>
    <w:rsid w:val="00100438"/>
    <w:rsid w:val="00103A37"/>
    <w:rsid w:val="001112E0"/>
    <w:rsid w:val="00112257"/>
    <w:rsid w:val="001128A6"/>
    <w:rsid w:val="00121B3A"/>
    <w:rsid w:val="00122F71"/>
    <w:rsid w:val="001257E5"/>
    <w:rsid w:val="00137BF6"/>
    <w:rsid w:val="00144C88"/>
    <w:rsid w:val="001460D0"/>
    <w:rsid w:val="00154C3B"/>
    <w:rsid w:val="0015569C"/>
    <w:rsid w:val="00155A95"/>
    <w:rsid w:val="00156E84"/>
    <w:rsid w:val="00156EC8"/>
    <w:rsid w:val="00157E8F"/>
    <w:rsid w:val="00162FD6"/>
    <w:rsid w:val="0016433B"/>
    <w:rsid w:val="00164E24"/>
    <w:rsid w:val="001657B2"/>
    <w:rsid w:val="00165923"/>
    <w:rsid w:val="00171E79"/>
    <w:rsid w:val="00172B99"/>
    <w:rsid w:val="00175DA1"/>
    <w:rsid w:val="00175EFA"/>
    <w:rsid w:val="00181B3B"/>
    <w:rsid w:val="0018471B"/>
    <w:rsid w:val="00186459"/>
    <w:rsid w:val="00191EA8"/>
    <w:rsid w:val="0019249D"/>
    <w:rsid w:val="00192AC6"/>
    <w:rsid w:val="00193D8B"/>
    <w:rsid w:val="0019453E"/>
    <w:rsid w:val="00195804"/>
    <w:rsid w:val="00196F51"/>
    <w:rsid w:val="00197E31"/>
    <w:rsid w:val="001A13BD"/>
    <w:rsid w:val="001A700C"/>
    <w:rsid w:val="001B0E15"/>
    <w:rsid w:val="001B1F17"/>
    <w:rsid w:val="001B6182"/>
    <w:rsid w:val="001B628A"/>
    <w:rsid w:val="001C0EB8"/>
    <w:rsid w:val="001C2040"/>
    <w:rsid w:val="001D19EC"/>
    <w:rsid w:val="001D2CC5"/>
    <w:rsid w:val="001D5271"/>
    <w:rsid w:val="001D5EF6"/>
    <w:rsid w:val="001D64B0"/>
    <w:rsid w:val="001D730B"/>
    <w:rsid w:val="001E13A0"/>
    <w:rsid w:val="001E1FC1"/>
    <w:rsid w:val="001E3344"/>
    <w:rsid w:val="001E42E9"/>
    <w:rsid w:val="001E4939"/>
    <w:rsid w:val="001E6537"/>
    <w:rsid w:val="001F1840"/>
    <w:rsid w:val="001F77E8"/>
    <w:rsid w:val="0020215B"/>
    <w:rsid w:val="002042BC"/>
    <w:rsid w:val="00204D79"/>
    <w:rsid w:val="0020591C"/>
    <w:rsid w:val="0021445B"/>
    <w:rsid w:val="002158D5"/>
    <w:rsid w:val="00215B95"/>
    <w:rsid w:val="002173CF"/>
    <w:rsid w:val="00217D6A"/>
    <w:rsid w:val="00221412"/>
    <w:rsid w:val="00221B59"/>
    <w:rsid w:val="00222A50"/>
    <w:rsid w:val="0022601B"/>
    <w:rsid w:val="0022674E"/>
    <w:rsid w:val="0022797C"/>
    <w:rsid w:val="00230601"/>
    <w:rsid w:val="00233598"/>
    <w:rsid w:val="00234AF2"/>
    <w:rsid w:val="00234C45"/>
    <w:rsid w:val="002417D1"/>
    <w:rsid w:val="00242792"/>
    <w:rsid w:val="00243734"/>
    <w:rsid w:val="002474AC"/>
    <w:rsid w:val="0025079A"/>
    <w:rsid w:val="00251B00"/>
    <w:rsid w:val="00252ACD"/>
    <w:rsid w:val="00254827"/>
    <w:rsid w:val="00254B6B"/>
    <w:rsid w:val="002560C2"/>
    <w:rsid w:val="002562E2"/>
    <w:rsid w:val="0025705E"/>
    <w:rsid w:val="0025712B"/>
    <w:rsid w:val="00260396"/>
    <w:rsid w:val="002609A4"/>
    <w:rsid w:val="0027024E"/>
    <w:rsid w:val="00270BD1"/>
    <w:rsid w:val="0027724C"/>
    <w:rsid w:val="00277EDC"/>
    <w:rsid w:val="00281FD5"/>
    <w:rsid w:val="00285BF4"/>
    <w:rsid w:val="002901D6"/>
    <w:rsid w:val="0029199D"/>
    <w:rsid w:val="00291A34"/>
    <w:rsid w:val="00291C8C"/>
    <w:rsid w:val="0029227E"/>
    <w:rsid w:val="00293A36"/>
    <w:rsid w:val="00296E1B"/>
    <w:rsid w:val="00297704"/>
    <w:rsid w:val="002A22C1"/>
    <w:rsid w:val="002A4201"/>
    <w:rsid w:val="002A4640"/>
    <w:rsid w:val="002A6C9B"/>
    <w:rsid w:val="002A74A3"/>
    <w:rsid w:val="002B1775"/>
    <w:rsid w:val="002B261C"/>
    <w:rsid w:val="002B7F8A"/>
    <w:rsid w:val="002C62D5"/>
    <w:rsid w:val="002C71B8"/>
    <w:rsid w:val="002D3971"/>
    <w:rsid w:val="002D652F"/>
    <w:rsid w:val="002D7D53"/>
    <w:rsid w:val="002E0348"/>
    <w:rsid w:val="002E46CC"/>
    <w:rsid w:val="002E584F"/>
    <w:rsid w:val="002E779E"/>
    <w:rsid w:val="002F3BCF"/>
    <w:rsid w:val="002F45F7"/>
    <w:rsid w:val="002F5C6E"/>
    <w:rsid w:val="002F614A"/>
    <w:rsid w:val="003043ED"/>
    <w:rsid w:val="0030452B"/>
    <w:rsid w:val="00307D74"/>
    <w:rsid w:val="003121CD"/>
    <w:rsid w:val="0031310F"/>
    <w:rsid w:val="00314A8A"/>
    <w:rsid w:val="0031634F"/>
    <w:rsid w:val="00316580"/>
    <w:rsid w:val="003166AE"/>
    <w:rsid w:val="00320C29"/>
    <w:rsid w:val="00321FF8"/>
    <w:rsid w:val="00323112"/>
    <w:rsid w:val="00327714"/>
    <w:rsid w:val="00330890"/>
    <w:rsid w:val="003312A2"/>
    <w:rsid w:val="00331409"/>
    <w:rsid w:val="00331790"/>
    <w:rsid w:val="0034276C"/>
    <w:rsid w:val="00343757"/>
    <w:rsid w:val="003440A5"/>
    <w:rsid w:val="0034484A"/>
    <w:rsid w:val="003450BD"/>
    <w:rsid w:val="003459E3"/>
    <w:rsid w:val="00346793"/>
    <w:rsid w:val="00351F49"/>
    <w:rsid w:val="0036233F"/>
    <w:rsid w:val="00362934"/>
    <w:rsid w:val="00365A23"/>
    <w:rsid w:val="00365EA8"/>
    <w:rsid w:val="00370866"/>
    <w:rsid w:val="00370CF3"/>
    <w:rsid w:val="003713BC"/>
    <w:rsid w:val="00372700"/>
    <w:rsid w:val="003759D0"/>
    <w:rsid w:val="003812E1"/>
    <w:rsid w:val="00381583"/>
    <w:rsid w:val="00384045"/>
    <w:rsid w:val="003851A7"/>
    <w:rsid w:val="003873C3"/>
    <w:rsid w:val="00392048"/>
    <w:rsid w:val="0039485D"/>
    <w:rsid w:val="00394879"/>
    <w:rsid w:val="00396174"/>
    <w:rsid w:val="003A0A14"/>
    <w:rsid w:val="003B3538"/>
    <w:rsid w:val="003B35D1"/>
    <w:rsid w:val="003B76E2"/>
    <w:rsid w:val="003C0C71"/>
    <w:rsid w:val="003C1D6B"/>
    <w:rsid w:val="003C276F"/>
    <w:rsid w:val="003C2929"/>
    <w:rsid w:val="003D382C"/>
    <w:rsid w:val="003D4153"/>
    <w:rsid w:val="003D667E"/>
    <w:rsid w:val="003E18AD"/>
    <w:rsid w:val="003E2666"/>
    <w:rsid w:val="003E3732"/>
    <w:rsid w:val="003E3BC3"/>
    <w:rsid w:val="003E3F04"/>
    <w:rsid w:val="003E4ECD"/>
    <w:rsid w:val="003F3B1E"/>
    <w:rsid w:val="003F6160"/>
    <w:rsid w:val="003F7D80"/>
    <w:rsid w:val="00400C4D"/>
    <w:rsid w:val="00401F78"/>
    <w:rsid w:val="00402F6A"/>
    <w:rsid w:val="004053A7"/>
    <w:rsid w:val="0040587C"/>
    <w:rsid w:val="00405F9D"/>
    <w:rsid w:val="00407DF5"/>
    <w:rsid w:val="00410889"/>
    <w:rsid w:val="00412DD9"/>
    <w:rsid w:val="00416386"/>
    <w:rsid w:val="00421952"/>
    <w:rsid w:val="00421967"/>
    <w:rsid w:val="00426EAF"/>
    <w:rsid w:val="00440272"/>
    <w:rsid w:val="00442CFA"/>
    <w:rsid w:val="004434B6"/>
    <w:rsid w:val="00443BD3"/>
    <w:rsid w:val="00444F24"/>
    <w:rsid w:val="004461FF"/>
    <w:rsid w:val="004471A1"/>
    <w:rsid w:val="00450EA2"/>
    <w:rsid w:val="00452E0D"/>
    <w:rsid w:val="0045440C"/>
    <w:rsid w:val="00457956"/>
    <w:rsid w:val="0046014B"/>
    <w:rsid w:val="00464861"/>
    <w:rsid w:val="00465E90"/>
    <w:rsid w:val="00467099"/>
    <w:rsid w:val="004711B3"/>
    <w:rsid w:val="00474128"/>
    <w:rsid w:val="00474483"/>
    <w:rsid w:val="00474816"/>
    <w:rsid w:val="00476C04"/>
    <w:rsid w:val="00477397"/>
    <w:rsid w:val="00483C9A"/>
    <w:rsid w:val="004842EB"/>
    <w:rsid w:val="00484991"/>
    <w:rsid w:val="004861E5"/>
    <w:rsid w:val="00486CCB"/>
    <w:rsid w:val="004916EC"/>
    <w:rsid w:val="00491E7E"/>
    <w:rsid w:val="00494D9E"/>
    <w:rsid w:val="004A21A6"/>
    <w:rsid w:val="004A333D"/>
    <w:rsid w:val="004A3A44"/>
    <w:rsid w:val="004A4A05"/>
    <w:rsid w:val="004A5D91"/>
    <w:rsid w:val="004B3541"/>
    <w:rsid w:val="004B5C12"/>
    <w:rsid w:val="004B6CAD"/>
    <w:rsid w:val="004C017C"/>
    <w:rsid w:val="004C0BAD"/>
    <w:rsid w:val="004C2009"/>
    <w:rsid w:val="004C2E29"/>
    <w:rsid w:val="004C32BE"/>
    <w:rsid w:val="004C6630"/>
    <w:rsid w:val="004D18BF"/>
    <w:rsid w:val="004D3C8A"/>
    <w:rsid w:val="004D3CC7"/>
    <w:rsid w:val="004D5E66"/>
    <w:rsid w:val="004D5F31"/>
    <w:rsid w:val="004E139A"/>
    <w:rsid w:val="004E42B7"/>
    <w:rsid w:val="004E49B8"/>
    <w:rsid w:val="004E50C4"/>
    <w:rsid w:val="004E5A58"/>
    <w:rsid w:val="004F1FFD"/>
    <w:rsid w:val="004F6426"/>
    <w:rsid w:val="0050096E"/>
    <w:rsid w:val="00501FA9"/>
    <w:rsid w:val="00506142"/>
    <w:rsid w:val="00506EEB"/>
    <w:rsid w:val="00506F82"/>
    <w:rsid w:val="00507BF8"/>
    <w:rsid w:val="00511A9F"/>
    <w:rsid w:val="005130F4"/>
    <w:rsid w:val="00514F58"/>
    <w:rsid w:val="005154CB"/>
    <w:rsid w:val="00515FFA"/>
    <w:rsid w:val="00516022"/>
    <w:rsid w:val="00517B42"/>
    <w:rsid w:val="00522D96"/>
    <w:rsid w:val="0052396C"/>
    <w:rsid w:val="0052774B"/>
    <w:rsid w:val="00536BA1"/>
    <w:rsid w:val="00540C26"/>
    <w:rsid w:val="00540D26"/>
    <w:rsid w:val="005428C0"/>
    <w:rsid w:val="00545B90"/>
    <w:rsid w:val="00545D25"/>
    <w:rsid w:val="005469E0"/>
    <w:rsid w:val="00547FA2"/>
    <w:rsid w:val="00552DEB"/>
    <w:rsid w:val="00553E65"/>
    <w:rsid w:val="00554880"/>
    <w:rsid w:val="00554FB1"/>
    <w:rsid w:val="00557300"/>
    <w:rsid w:val="005577A9"/>
    <w:rsid w:val="00557910"/>
    <w:rsid w:val="00562C80"/>
    <w:rsid w:val="00563804"/>
    <w:rsid w:val="005671E2"/>
    <w:rsid w:val="00570E41"/>
    <w:rsid w:val="00571921"/>
    <w:rsid w:val="00571FF3"/>
    <w:rsid w:val="00572432"/>
    <w:rsid w:val="00576584"/>
    <w:rsid w:val="00581222"/>
    <w:rsid w:val="005837B1"/>
    <w:rsid w:val="00585263"/>
    <w:rsid w:val="00585695"/>
    <w:rsid w:val="00585DEA"/>
    <w:rsid w:val="00586B51"/>
    <w:rsid w:val="005909E8"/>
    <w:rsid w:val="00592CA8"/>
    <w:rsid w:val="00593A3C"/>
    <w:rsid w:val="00594A91"/>
    <w:rsid w:val="00595BE2"/>
    <w:rsid w:val="0059664D"/>
    <w:rsid w:val="005A5C66"/>
    <w:rsid w:val="005A6C24"/>
    <w:rsid w:val="005B1F42"/>
    <w:rsid w:val="005B2A88"/>
    <w:rsid w:val="005B2B96"/>
    <w:rsid w:val="005B2FC6"/>
    <w:rsid w:val="005B35A7"/>
    <w:rsid w:val="005B4EEC"/>
    <w:rsid w:val="005B56C1"/>
    <w:rsid w:val="005B625A"/>
    <w:rsid w:val="005C4E6D"/>
    <w:rsid w:val="005C5031"/>
    <w:rsid w:val="005C54F1"/>
    <w:rsid w:val="005D01D4"/>
    <w:rsid w:val="005D0582"/>
    <w:rsid w:val="005D1D05"/>
    <w:rsid w:val="005D5282"/>
    <w:rsid w:val="005D5309"/>
    <w:rsid w:val="005D65A6"/>
    <w:rsid w:val="005D7D3C"/>
    <w:rsid w:val="005E1B09"/>
    <w:rsid w:val="005E1EEE"/>
    <w:rsid w:val="005E383D"/>
    <w:rsid w:val="005E3FB4"/>
    <w:rsid w:val="005E46D1"/>
    <w:rsid w:val="005E4C3B"/>
    <w:rsid w:val="005E6B9B"/>
    <w:rsid w:val="005F0573"/>
    <w:rsid w:val="005F2A8D"/>
    <w:rsid w:val="005F426E"/>
    <w:rsid w:val="005F4524"/>
    <w:rsid w:val="006010E6"/>
    <w:rsid w:val="00601838"/>
    <w:rsid w:val="00601E60"/>
    <w:rsid w:val="006024BA"/>
    <w:rsid w:val="00603BB5"/>
    <w:rsid w:val="00613E64"/>
    <w:rsid w:val="00616C32"/>
    <w:rsid w:val="0062127E"/>
    <w:rsid w:val="0062454C"/>
    <w:rsid w:val="00630814"/>
    <w:rsid w:val="00631E5E"/>
    <w:rsid w:val="0063395A"/>
    <w:rsid w:val="00633E9D"/>
    <w:rsid w:val="0063437E"/>
    <w:rsid w:val="00635473"/>
    <w:rsid w:val="00643249"/>
    <w:rsid w:val="006478AC"/>
    <w:rsid w:val="0065229F"/>
    <w:rsid w:val="00652772"/>
    <w:rsid w:val="00652A47"/>
    <w:rsid w:val="006539E1"/>
    <w:rsid w:val="00653F81"/>
    <w:rsid w:val="00655338"/>
    <w:rsid w:val="006615F2"/>
    <w:rsid w:val="006669BC"/>
    <w:rsid w:val="006669F1"/>
    <w:rsid w:val="00667524"/>
    <w:rsid w:val="00670FAF"/>
    <w:rsid w:val="0067130E"/>
    <w:rsid w:val="0067380F"/>
    <w:rsid w:val="0069102C"/>
    <w:rsid w:val="006925DF"/>
    <w:rsid w:val="006A0194"/>
    <w:rsid w:val="006A260A"/>
    <w:rsid w:val="006A6003"/>
    <w:rsid w:val="006A77E5"/>
    <w:rsid w:val="006B0089"/>
    <w:rsid w:val="006B45D5"/>
    <w:rsid w:val="006B4BD6"/>
    <w:rsid w:val="006B546D"/>
    <w:rsid w:val="006B559D"/>
    <w:rsid w:val="006C03FD"/>
    <w:rsid w:val="006C4F43"/>
    <w:rsid w:val="006C5385"/>
    <w:rsid w:val="006D1087"/>
    <w:rsid w:val="006D13BF"/>
    <w:rsid w:val="006D2175"/>
    <w:rsid w:val="006D38E8"/>
    <w:rsid w:val="006D4645"/>
    <w:rsid w:val="006E1B4E"/>
    <w:rsid w:val="006E5E9E"/>
    <w:rsid w:val="006E669D"/>
    <w:rsid w:val="006E7F40"/>
    <w:rsid w:val="006F10D0"/>
    <w:rsid w:val="006F4014"/>
    <w:rsid w:val="006F5C02"/>
    <w:rsid w:val="0070133E"/>
    <w:rsid w:val="00701AF0"/>
    <w:rsid w:val="00701ED0"/>
    <w:rsid w:val="007031C3"/>
    <w:rsid w:val="00706F63"/>
    <w:rsid w:val="00707DE7"/>
    <w:rsid w:val="007137DF"/>
    <w:rsid w:val="00714691"/>
    <w:rsid w:val="00715BA1"/>
    <w:rsid w:val="00716699"/>
    <w:rsid w:val="00717425"/>
    <w:rsid w:val="00726389"/>
    <w:rsid w:val="00730167"/>
    <w:rsid w:val="00731A5A"/>
    <w:rsid w:val="00733D55"/>
    <w:rsid w:val="00735BAB"/>
    <w:rsid w:val="007403A4"/>
    <w:rsid w:val="007411BB"/>
    <w:rsid w:val="00744576"/>
    <w:rsid w:val="007537DA"/>
    <w:rsid w:val="00754C9C"/>
    <w:rsid w:val="00755944"/>
    <w:rsid w:val="00755D24"/>
    <w:rsid w:val="00757399"/>
    <w:rsid w:val="00760229"/>
    <w:rsid w:val="00762DAE"/>
    <w:rsid w:val="007633BB"/>
    <w:rsid w:val="00766DF0"/>
    <w:rsid w:val="007703ED"/>
    <w:rsid w:val="007743AF"/>
    <w:rsid w:val="00775A1A"/>
    <w:rsid w:val="007819FE"/>
    <w:rsid w:val="00782CEE"/>
    <w:rsid w:val="007839C8"/>
    <w:rsid w:val="0078549C"/>
    <w:rsid w:val="00794EFA"/>
    <w:rsid w:val="00795CC0"/>
    <w:rsid w:val="00796BEA"/>
    <w:rsid w:val="00797040"/>
    <w:rsid w:val="007A3D75"/>
    <w:rsid w:val="007A42BC"/>
    <w:rsid w:val="007A4F6F"/>
    <w:rsid w:val="007A7F07"/>
    <w:rsid w:val="007B017E"/>
    <w:rsid w:val="007B0F06"/>
    <w:rsid w:val="007B2EDA"/>
    <w:rsid w:val="007B3683"/>
    <w:rsid w:val="007B385E"/>
    <w:rsid w:val="007B5FBF"/>
    <w:rsid w:val="007C0524"/>
    <w:rsid w:val="007C0A0B"/>
    <w:rsid w:val="007C39E7"/>
    <w:rsid w:val="007C533F"/>
    <w:rsid w:val="007C73EB"/>
    <w:rsid w:val="007C7C5E"/>
    <w:rsid w:val="007D15F9"/>
    <w:rsid w:val="007D34F8"/>
    <w:rsid w:val="007D405B"/>
    <w:rsid w:val="007D4106"/>
    <w:rsid w:val="007D5C66"/>
    <w:rsid w:val="007D660C"/>
    <w:rsid w:val="007D6E47"/>
    <w:rsid w:val="007E0BF4"/>
    <w:rsid w:val="007E1A67"/>
    <w:rsid w:val="007E2C7B"/>
    <w:rsid w:val="007E5B06"/>
    <w:rsid w:val="007E68C2"/>
    <w:rsid w:val="007E6B8D"/>
    <w:rsid w:val="007E6F0E"/>
    <w:rsid w:val="007F362D"/>
    <w:rsid w:val="007F3748"/>
    <w:rsid w:val="007F3951"/>
    <w:rsid w:val="007F4810"/>
    <w:rsid w:val="007F4EA8"/>
    <w:rsid w:val="00802103"/>
    <w:rsid w:val="00802150"/>
    <w:rsid w:val="008024B4"/>
    <w:rsid w:val="00807203"/>
    <w:rsid w:val="00813EA1"/>
    <w:rsid w:val="00814261"/>
    <w:rsid w:val="00815B02"/>
    <w:rsid w:val="00817098"/>
    <w:rsid w:val="00817968"/>
    <w:rsid w:val="008239F0"/>
    <w:rsid w:val="008257C3"/>
    <w:rsid w:val="00825B7F"/>
    <w:rsid w:val="00825D96"/>
    <w:rsid w:val="00826272"/>
    <w:rsid w:val="0083220C"/>
    <w:rsid w:val="00832E31"/>
    <w:rsid w:val="00840B56"/>
    <w:rsid w:val="00841C8B"/>
    <w:rsid w:val="00843FA0"/>
    <w:rsid w:val="0084427A"/>
    <w:rsid w:val="00850DDD"/>
    <w:rsid w:val="00851E56"/>
    <w:rsid w:val="008524B2"/>
    <w:rsid w:val="00852C9A"/>
    <w:rsid w:val="00853B63"/>
    <w:rsid w:val="00854066"/>
    <w:rsid w:val="00854CA2"/>
    <w:rsid w:val="0086170D"/>
    <w:rsid w:val="00861E50"/>
    <w:rsid w:val="00862F5A"/>
    <w:rsid w:val="00864137"/>
    <w:rsid w:val="008656CA"/>
    <w:rsid w:val="00871C6C"/>
    <w:rsid w:val="00873423"/>
    <w:rsid w:val="00884093"/>
    <w:rsid w:val="008923CA"/>
    <w:rsid w:val="008940FE"/>
    <w:rsid w:val="008968DA"/>
    <w:rsid w:val="008A0B56"/>
    <w:rsid w:val="008A1CC6"/>
    <w:rsid w:val="008A5BEE"/>
    <w:rsid w:val="008B0E1D"/>
    <w:rsid w:val="008B175F"/>
    <w:rsid w:val="008B1870"/>
    <w:rsid w:val="008B1C52"/>
    <w:rsid w:val="008B1D5A"/>
    <w:rsid w:val="008B3A2C"/>
    <w:rsid w:val="008B3B85"/>
    <w:rsid w:val="008B5875"/>
    <w:rsid w:val="008C25EB"/>
    <w:rsid w:val="008C2FD0"/>
    <w:rsid w:val="008C3CD4"/>
    <w:rsid w:val="008C5D34"/>
    <w:rsid w:val="008D1607"/>
    <w:rsid w:val="008D1DDF"/>
    <w:rsid w:val="008D4B10"/>
    <w:rsid w:val="008D5257"/>
    <w:rsid w:val="008D556B"/>
    <w:rsid w:val="008E1814"/>
    <w:rsid w:val="008E2CF7"/>
    <w:rsid w:val="008E435F"/>
    <w:rsid w:val="008E5738"/>
    <w:rsid w:val="008E5D19"/>
    <w:rsid w:val="008E7A86"/>
    <w:rsid w:val="008F1CC5"/>
    <w:rsid w:val="008F2853"/>
    <w:rsid w:val="008F4C9C"/>
    <w:rsid w:val="008F58DB"/>
    <w:rsid w:val="008F6CBC"/>
    <w:rsid w:val="00900DB6"/>
    <w:rsid w:val="009021BA"/>
    <w:rsid w:val="009041EA"/>
    <w:rsid w:val="009053D7"/>
    <w:rsid w:val="00910DF2"/>
    <w:rsid w:val="00912ABC"/>
    <w:rsid w:val="00913066"/>
    <w:rsid w:val="00921CB2"/>
    <w:rsid w:val="009235F1"/>
    <w:rsid w:val="0092432B"/>
    <w:rsid w:val="009271F8"/>
    <w:rsid w:val="009333B4"/>
    <w:rsid w:val="009333B6"/>
    <w:rsid w:val="00935162"/>
    <w:rsid w:val="0093634D"/>
    <w:rsid w:val="00936EB8"/>
    <w:rsid w:val="0093729C"/>
    <w:rsid w:val="00937FB1"/>
    <w:rsid w:val="00942532"/>
    <w:rsid w:val="009456D9"/>
    <w:rsid w:val="00945BCB"/>
    <w:rsid w:val="00946AE2"/>
    <w:rsid w:val="00950E99"/>
    <w:rsid w:val="009521A3"/>
    <w:rsid w:val="00954176"/>
    <w:rsid w:val="009542A7"/>
    <w:rsid w:val="009548A2"/>
    <w:rsid w:val="009549B6"/>
    <w:rsid w:val="00956C17"/>
    <w:rsid w:val="00963BC2"/>
    <w:rsid w:val="00964DEA"/>
    <w:rsid w:val="00965981"/>
    <w:rsid w:val="009663A8"/>
    <w:rsid w:val="00966986"/>
    <w:rsid w:val="009710C9"/>
    <w:rsid w:val="00973319"/>
    <w:rsid w:val="00973CF6"/>
    <w:rsid w:val="0097420E"/>
    <w:rsid w:val="00975A34"/>
    <w:rsid w:val="00984128"/>
    <w:rsid w:val="00984F6B"/>
    <w:rsid w:val="00985128"/>
    <w:rsid w:val="00987367"/>
    <w:rsid w:val="00991713"/>
    <w:rsid w:val="00992131"/>
    <w:rsid w:val="00992310"/>
    <w:rsid w:val="009A13ED"/>
    <w:rsid w:val="009A2285"/>
    <w:rsid w:val="009A41ED"/>
    <w:rsid w:val="009A5B62"/>
    <w:rsid w:val="009A733B"/>
    <w:rsid w:val="009B0125"/>
    <w:rsid w:val="009B0D94"/>
    <w:rsid w:val="009B0E7A"/>
    <w:rsid w:val="009B3038"/>
    <w:rsid w:val="009B42DE"/>
    <w:rsid w:val="009B4BDB"/>
    <w:rsid w:val="009B5085"/>
    <w:rsid w:val="009B5204"/>
    <w:rsid w:val="009B5381"/>
    <w:rsid w:val="009B59F8"/>
    <w:rsid w:val="009B6445"/>
    <w:rsid w:val="009C0839"/>
    <w:rsid w:val="009D15DA"/>
    <w:rsid w:val="009D2C81"/>
    <w:rsid w:val="009D56CA"/>
    <w:rsid w:val="009E14CF"/>
    <w:rsid w:val="009E411A"/>
    <w:rsid w:val="009E5D5D"/>
    <w:rsid w:val="009F0494"/>
    <w:rsid w:val="009F1FF8"/>
    <w:rsid w:val="009F2AA8"/>
    <w:rsid w:val="009F39F0"/>
    <w:rsid w:val="009F5143"/>
    <w:rsid w:val="009F56A6"/>
    <w:rsid w:val="009F6FC2"/>
    <w:rsid w:val="009F77D8"/>
    <w:rsid w:val="00A003FE"/>
    <w:rsid w:val="00A01A9E"/>
    <w:rsid w:val="00A01E6B"/>
    <w:rsid w:val="00A03174"/>
    <w:rsid w:val="00A12889"/>
    <w:rsid w:val="00A12BEB"/>
    <w:rsid w:val="00A16E63"/>
    <w:rsid w:val="00A17B9C"/>
    <w:rsid w:val="00A17F0B"/>
    <w:rsid w:val="00A20846"/>
    <w:rsid w:val="00A225DD"/>
    <w:rsid w:val="00A24B92"/>
    <w:rsid w:val="00A27B71"/>
    <w:rsid w:val="00A32956"/>
    <w:rsid w:val="00A33B6E"/>
    <w:rsid w:val="00A369BB"/>
    <w:rsid w:val="00A37D15"/>
    <w:rsid w:val="00A415D5"/>
    <w:rsid w:val="00A43EC0"/>
    <w:rsid w:val="00A446CB"/>
    <w:rsid w:val="00A62C43"/>
    <w:rsid w:val="00A64439"/>
    <w:rsid w:val="00A65F32"/>
    <w:rsid w:val="00A702E5"/>
    <w:rsid w:val="00A71EB0"/>
    <w:rsid w:val="00A74E3D"/>
    <w:rsid w:val="00A75A60"/>
    <w:rsid w:val="00A769ED"/>
    <w:rsid w:val="00A800AE"/>
    <w:rsid w:val="00A801A1"/>
    <w:rsid w:val="00A81983"/>
    <w:rsid w:val="00A8264B"/>
    <w:rsid w:val="00A86638"/>
    <w:rsid w:val="00A87816"/>
    <w:rsid w:val="00A946D9"/>
    <w:rsid w:val="00A95A89"/>
    <w:rsid w:val="00AA1A27"/>
    <w:rsid w:val="00AA30F2"/>
    <w:rsid w:val="00AA4D5E"/>
    <w:rsid w:val="00AA4E76"/>
    <w:rsid w:val="00AA5FEF"/>
    <w:rsid w:val="00AA646C"/>
    <w:rsid w:val="00AB20FD"/>
    <w:rsid w:val="00AB2C8B"/>
    <w:rsid w:val="00AB4222"/>
    <w:rsid w:val="00AB4503"/>
    <w:rsid w:val="00AC179A"/>
    <w:rsid w:val="00AC1C62"/>
    <w:rsid w:val="00AD00AC"/>
    <w:rsid w:val="00AD2558"/>
    <w:rsid w:val="00AD45AF"/>
    <w:rsid w:val="00AF2159"/>
    <w:rsid w:val="00AF57E1"/>
    <w:rsid w:val="00B000CB"/>
    <w:rsid w:val="00B04670"/>
    <w:rsid w:val="00B0502A"/>
    <w:rsid w:val="00B05E0B"/>
    <w:rsid w:val="00B06513"/>
    <w:rsid w:val="00B112EA"/>
    <w:rsid w:val="00B141FE"/>
    <w:rsid w:val="00B15475"/>
    <w:rsid w:val="00B20668"/>
    <w:rsid w:val="00B21CE8"/>
    <w:rsid w:val="00B2311C"/>
    <w:rsid w:val="00B251C5"/>
    <w:rsid w:val="00B254CE"/>
    <w:rsid w:val="00B25A82"/>
    <w:rsid w:val="00B30713"/>
    <w:rsid w:val="00B33EBB"/>
    <w:rsid w:val="00B34717"/>
    <w:rsid w:val="00B357E5"/>
    <w:rsid w:val="00B4005D"/>
    <w:rsid w:val="00B41B1F"/>
    <w:rsid w:val="00B42647"/>
    <w:rsid w:val="00B433C4"/>
    <w:rsid w:val="00B43A0B"/>
    <w:rsid w:val="00B47163"/>
    <w:rsid w:val="00B47473"/>
    <w:rsid w:val="00B50069"/>
    <w:rsid w:val="00B51537"/>
    <w:rsid w:val="00B54705"/>
    <w:rsid w:val="00B54798"/>
    <w:rsid w:val="00B54F8B"/>
    <w:rsid w:val="00B5712F"/>
    <w:rsid w:val="00B57B74"/>
    <w:rsid w:val="00B62EBF"/>
    <w:rsid w:val="00B6381A"/>
    <w:rsid w:val="00B64995"/>
    <w:rsid w:val="00B64A7C"/>
    <w:rsid w:val="00B67A48"/>
    <w:rsid w:val="00B714E2"/>
    <w:rsid w:val="00B75999"/>
    <w:rsid w:val="00B80FFD"/>
    <w:rsid w:val="00B81926"/>
    <w:rsid w:val="00B8193C"/>
    <w:rsid w:val="00B82ADF"/>
    <w:rsid w:val="00B842C9"/>
    <w:rsid w:val="00B86702"/>
    <w:rsid w:val="00B86CD8"/>
    <w:rsid w:val="00B927C7"/>
    <w:rsid w:val="00B92E52"/>
    <w:rsid w:val="00BA184F"/>
    <w:rsid w:val="00BA5070"/>
    <w:rsid w:val="00BA7DFA"/>
    <w:rsid w:val="00BB4929"/>
    <w:rsid w:val="00BB5E6A"/>
    <w:rsid w:val="00BB60A0"/>
    <w:rsid w:val="00BC413C"/>
    <w:rsid w:val="00BC5795"/>
    <w:rsid w:val="00BD37AF"/>
    <w:rsid w:val="00BD7537"/>
    <w:rsid w:val="00BE30DB"/>
    <w:rsid w:val="00BE3277"/>
    <w:rsid w:val="00BE5F73"/>
    <w:rsid w:val="00BF3D3E"/>
    <w:rsid w:val="00BF3F42"/>
    <w:rsid w:val="00BF6D20"/>
    <w:rsid w:val="00C002EB"/>
    <w:rsid w:val="00C00538"/>
    <w:rsid w:val="00C01D39"/>
    <w:rsid w:val="00C11AE6"/>
    <w:rsid w:val="00C1271A"/>
    <w:rsid w:val="00C1442D"/>
    <w:rsid w:val="00C15112"/>
    <w:rsid w:val="00C16568"/>
    <w:rsid w:val="00C21C04"/>
    <w:rsid w:val="00C21FA4"/>
    <w:rsid w:val="00C22B53"/>
    <w:rsid w:val="00C22E67"/>
    <w:rsid w:val="00C27183"/>
    <w:rsid w:val="00C3033F"/>
    <w:rsid w:val="00C316D8"/>
    <w:rsid w:val="00C324B7"/>
    <w:rsid w:val="00C34960"/>
    <w:rsid w:val="00C35BA0"/>
    <w:rsid w:val="00C40F8F"/>
    <w:rsid w:val="00C41696"/>
    <w:rsid w:val="00C43F72"/>
    <w:rsid w:val="00C46041"/>
    <w:rsid w:val="00C51C45"/>
    <w:rsid w:val="00C51D59"/>
    <w:rsid w:val="00C554EE"/>
    <w:rsid w:val="00C57A09"/>
    <w:rsid w:val="00C617FC"/>
    <w:rsid w:val="00C629AB"/>
    <w:rsid w:val="00C65C7A"/>
    <w:rsid w:val="00C66617"/>
    <w:rsid w:val="00C677B4"/>
    <w:rsid w:val="00C7445C"/>
    <w:rsid w:val="00C76859"/>
    <w:rsid w:val="00C82E2C"/>
    <w:rsid w:val="00C8562F"/>
    <w:rsid w:val="00C87653"/>
    <w:rsid w:val="00C91932"/>
    <w:rsid w:val="00C93349"/>
    <w:rsid w:val="00C9464F"/>
    <w:rsid w:val="00C9796F"/>
    <w:rsid w:val="00CA0381"/>
    <w:rsid w:val="00CB01E9"/>
    <w:rsid w:val="00CB30AC"/>
    <w:rsid w:val="00CB3EC0"/>
    <w:rsid w:val="00CB418F"/>
    <w:rsid w:val="00CB477B"/>
    <w:rsid w:val="00CC121C"/>
    <w:rsid w:val="00CC1A5F"/>
    <w:rsid w:val="00CC325B"/>
    <w:rsid w:val="00CC3AA1"/>
    <w:rsid w:val="00CC53C9"/>
    <w:rsid w:val="00CC7D55"/>
    <w:rsid w:val="00CD05F1"/>
    <w:rsid w:val="00CD3191"/>
    <w:rsid w:val="00CD3F27"/>
    <w:rsid w:val="00CD412B"/>
    <w:rsid w:val="00CD4E53"/>
    <w:rsid w:val="00CD53AC"/>
    <w:rsid w:val="00CD6A43"/>
    <w:rsid w:val="00CD703D"/>
    <w:rsid w:val="00CE2FD8"/>
    <w:rsid w:val="00CE3DF9"/>
    <w:rsid w:val="00CE4C3F"/>
    <w:rsid w:val="00CE6B5F"/>
    <w:rsid w:val="00CE7AE7"/>
    <w:rsid w:val="00CF355F"/>
    <w:rsid w:val="00CF3DF1"/>
    <w:rsid w:val="00CF5CE6"/>
    <w:rsid w:val="00CF68A7"/>
    <w:rsid w:val="00CF7923"/>
    <w:rsid w:val="00D00F2B"/>
    <w:rsid w:val="00D01092"/>
    <w:rsid w:val="00D02365"/>
    <w:rsid w:val="00D03915"/>
    <w:rsid w:val="00D11FC1"/>
    <w:rsid w:val="00D12981"/>
    <w:rsid w:val="00D13519"/>
    <w:rsid w:val="00D14FB1"/>
    <w:rsid w:val="00D22326"/>
    <w:rsid w:val="00D23338"/>
    <w:rsid w:val="00D2374F"/>
    <w:rsid w:val="00D24932"/>
    <w:rsid w:val="00D25467"/>
    <w:rsid w:val="00D26D39"/>
    <w:rsid w:val="00D32BEF"/>
    <w:rsid w:val="00D357A4"/>
    <w:rsid w:val="00D359DA"/>
    <w:rsid w:val="00D43714"/>
    <w:rsid w:val="00D44D98"/>
    <w:rsid w:val="00D44FA7"/>
    <w:rsid w:val="00D4568B"/>
    <w:rsid w:val="00D45962"/>
    <w:rsid w:val="00D46F5F"/>
    <w:rsid w:val="00D47292"/>
    <w:rsid w:val="00D50228"/>
    <w:rsid w:val="00D522CF"/>
    <w:rsid w:val="00D538FA"/>
    <w:rsid w:val="00D53A91"/>
    <w:rsid w:val="00D556FF"/>
    <w:rsid w:val="00D56163"/>
    <w:rsid w:val="00D56285"/>
    <w:rsid w:val="00D62BD4"/>
    <w:rsid w:val="00D62C5E"/>
    <w:rsid w:val="00D64337"/>
    <w:rsid w:val="00D64A0F"/>
    <w:rsid w:val="00D65A17"/>
    <w:rsid w:val="00D661B6"/>
    <w:rsid w:val="00D66CF2"/>
    <w:rsid w:val="00D67648"/>
    <w:rsid w:val="00D70E63"/>
    <w:rsid w:val="00D735CD"/>
    <w:rsid w:val="00D75A5C"/>
    <w:rsid w:val="00D77095"/>
    <w:rsid w:val="00D77569"/>
    <w:rsid w:val="00D81237"/>
    <w:rsid w:val="00D86023"/>
    <w:rsid w:val="00D907D8"/>
    <w:rsid w:val="00D92B52"/>
    <w:rsid w:val="00D9318D"/>
    <w:rsid w:val="00DA6AD3"/>
    <w:rsid w:val="00DA6ED9"/>
    <w:rsid w:val="00DA78AA"/>
    <w:rsid w:val="00DB099E"/>
    <w:rsid w:val="00DB2D45"/>
    <w:rsid w:val="00DB3737"/>
    <w:rsid w:val="00DC6A63"/>
    <w:rsid w:val="00DD2B1D"/>
    <w:rsid w:val="00DD3473"/>
    <w:rsid w:val="00DD3529"/>
    <w:rsid w:val="00DD7573"/>
    <w:rsid w:val="00DE0947"/>
    <w:rsid w:val="00DE1C6F"/>
    <w:rsid w:val="00DE5E86"/>
    <w:rsid w:val="00DE6DDA"/>
    <w:rsid w:val="00DF4CCF"/>
    <w:rsid w:val="00DF5209"/>
    <w:rsid w:val="00DF68E1"/>
    <w:rsid w:val="00E019AF"/>
    <w:rsid w:val="00E02686"/>
    <w:rsid w:val="00E044DB"/>
    <w:rsid w:val="00E0524E"/>
    <w:rsid w:val="00E10572"/>
    <w:rsid w:val="00E12741"/>
    <w:rsid w:val="00E12AF0"/>
    <w:rsid w:val="00E1380A"/>
    <w:rsid w:val="00E165F5"/>
    <w:rsid w:val="00E21359"/>
    <w:rsid w:val="00E21AA7"/>
    <w:rsid w:val="00E21AEC"/>
    <w:rsid w:val="00E22DB8"/>
    <w:rsid w:val="00E2566B"/>
    <w:rsid w:val="00E26CA5"/>
    <w:rsid w:val="00E2729D"/>
    <w:rsid w:val="00E30178"/>
    <w:rsid w:val="00E31935"/>
    <w:rsid w:val="00E31F8E"/>
    <w:rsid w:val="00E3327D"/>
    <w:rsid w:val="00E34CC5"/>
    <w:rsid w:val="00E36B36"/>
    <w:rsid w:val="00E40420"/>
    <w:rsid w:val="00E40520"/>
    <w:rsid w:val="00E40F18"/>
    <w:rsid w:val="00E41399"/>
    <w:rsid w:val="00E47138"/>
    <w:rsid w:val="00E50026"/>
    <w:rsid w:val="00E52A6E"/>
    <w:rsid w:val="00E54E82"/>
    <w:rsid w:val="00E56138"/>
    <w:rsid w:val="00E6124D"/>
    <w:rsid w:val="00E635DD"/>
    <w:rsid w:val="00E64375"/>
    <w:rsid w:val="00E67192"/>
    <w:rsid w:val="00E70697"/>
    <w:rsid w:val="00E717EC"/>
    <w:rsid w:val="00E71E07"/>
    <w:rsid w:val="00E72AE2"/>
    <w:rsid w:val="00E76F3C"/>
    <w:rsid w:val="00E80A45"/>
    <w:rsid w:val="00E8341D"/>
    <w:rsid w:val="00E868C1"/>
    <w:rsid w:val="00E87AC2"/>
    <w:rsid w:val="00E92C0C"/>
    <w:rsid w:val="00E95D34"/>
    <w:rsid w:val="00EA14FE"/>
    <w:rsid w:val="00EA1B6A"/>
    <w:rsid w:val="00EA3E0E"/>
    <w:rsid w:val="00EA4EB1"/>
    <w:rsid w:val="00EB1915"/>
    <w:rsid w:val="00EB4D43"/>
    <w:rsid w:val="00EB5B1C"/>
    <w:rsid w:val="00EB75EB"/>
    <w:rsid w:val="00EB79A9"/>
    <w:rsid w:val="00EC13BB"/>
    <w:rsid w:val="00ED1A46"/>
    <w:rsid w:val="00ED2DAC"/>
    <w:rsid w:val="00ED360F"/>
    <w:rsid w:val="00ED58D3"/>
    <w:rsid w:val="00ED7D1C"/>
    <w:rsid w:val="00EE0724"/>
    <w:rsid w:val="00EE0DB0"/>
    <w:rsid w:val="00EE3CCB"/>
    <w:rsid w:val="00EE3E08"/>
    <w:rsid w:val="00EE62B7"/>
    <w:rsid w:val="00EE652A"/>
    <w:rsid w:val="00EE6CD4"/>
    <w:rsid w:val="00EE7113"/>
    <w:rsid w:val="00EE7247"/>
    <w:rsid w:val="00EF02AF"/>
    <w:rsid w:val="00EF2EF9"/>
    <w:rsid w:val="00EF3605"/>
    <w:rsid w:val="00EF6539"/>
    <w:rsid w:val="00F00BF0"/>
    <w:rsid w:val="00F0108C"/>
    <w:rsid w:val="00F01107"/>
    <w:rsid w:val="00F05654"/>
    <w:rsid w:val="00F16F07"/>
    <w:rsid w:val="00F2047A"/>
    <w:rsid w:val="00F204B4"/>
    <w:rsid w:val="00F204B9"/>
    <w:rsid w:val="00F20EB5"/>
    <w:rsid w:val="00F2141C"/>
    <w:rsid w:val="00F217CD"/>
    <w:rsid w:val="00F22575"/>
    <w:rsid w:val="00F22669"/>
    <w:rsid w:val="00F23324"/>
    <w:rsid w:val="00F24A4B"/>
    <w:rsid w:val="00F24E87"/>
    <w:rsid w:val="00F32E55"/>
    <w:rsid w:val="00F34FFA"/>
    <w:rsid w:val="00F428B7"/>
    <w:rsid w:val="00F42FD1"/>
    <w:rsid w:val="00F44971"/>
    <w:rsid w:val="00F50701"/>
    <w:rsid w:val="00F51AEC"/>
    <w:rsid w:val="00F5550E"/>
    <w:rsid w:val="00F6246C"/>
    <w:rsid w:val="00F63D9E"/>
    <w:rsid w:val="00F6662F"/>
    <w:rsid w:val="00F66A05"/>
    <w:rsid w:val="00F66D14"/>
    <w:rsid w:val="00F70E99"/>
    <w:rsid w:val="00F717D7"/>
    <w:rsid w:val="00F74A43"/>
    <w:rsid w:val="00F752E3"/>
    <w:rsid w:val="00F753AF"/>
    <w:rsid w:val="00F81391"/>
    <w:rsid w:val="00F8678E"/>
    <w:rsid w:val="00F9039A"/>
    <w:rsid w:val="00F93BEE"/>
    <w:rsid w:val="00F9543A"/>
    <w:rsid w:val="00F973EC"/>
    <w:rsid w:val="00FA23F1"/>
    <w:rsid w:val="00FA29E8"/>
    <w:rsid w:val="00FA4E2D"/>
    <w:rsid w:val="00FA69AE"/>
    <w:rsid w:val="00FA7BC1"/>
    <w:rsid w:val="00FB0FB5"/>
    <w:rsid w:val="00FB51CD"/>
    <w:rsid w:val="00FB7E1D"/>
    <w:rsid w:val="00FC06E8"/>
    <w:rsid w:val="00FC20AF"/>
    <w:rsid w:val="00FC2DE1"/>
    <w:rsid w:val="00FD122D"/>
    <w:rsid w:val="00FD1E35"/>
    <w:rsid w:val="00FD25C0"/>
    <w:rsid w:val="00FD2734"/>
    <w:rsid w:val="00FD29E1"/>
    <w:rsid w:val="00FD2F1C"/>
    <w:rsid w:val="00FE201F"/>
    <w:rsid w:val="00FE737D"/>
    <w:rsid w:val="00FF029B"/>
    <w:rsid w:val="00FF04EA"/>
    <w:rsid w:val="00FF51AE"/>
    <w:rsid w:val="00FF691A"/>
    <w:rsid w:val="00FF6EB7"/>
    <w:rsid w:val="00FF74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3" w:qFormat="1"/>
    <w:lsdException w:name="heading 4"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semiHidden="1" w:unhideWhenUsed="1" w:qFormat="1"/>
    <w:lsdException w:name="table of figures" w:uiPriority="99"/>
    <w:lsdException w:name="annotation reference" w:uiPriority="99"/>
    <w:lsdException w:name="Title" w:qFormat="1"/>
    <w:lsdException w:name="Body Text" w:qFormat="1"/>
    <w:lsdException w:name="Subtitle" w:qFormat="1"/>
    <w:lsdException w:name="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56EC8"/>
    <w:pPr>
      <w:spacing w:after="120"/>
    </w:pPr>
    <w:rPr>
      <w:sz w:val="24"/>
      <w:lang w:val="en-AU"/>
    </w:rPr>
  </w:style>
  <w:style w:type="paragraph" w:styleId="Heading1">
    <w:name w:val="heading 1"/>
    <w:basedOn w:val="Normal"/>
    <w:next w:val="Normal"/>
    <w:link w:val="Heading1Char"/>
    <w:rsid w:val="00BE30DB"/>
    <w:pPr>
      <w:keepNext/>
      <w:spacing w:before="360" w:line="280" w:lineRule="exact"/>
      <w:outlineLvl w:val="0"/>
    </w:pPr>
    <w:rPr>
      <w:b/>
      <w:caps/>
      <w:kern w:val="28"/>
      <w:sz w:val="28"/>
    </w:rPr>
  </w:style>
  <w:style w:type="paragraph" w:styleId="Heading2">
    <w:name w:val="heading 2"/>
    <w:basedOn w:val="Normal"/>
    <w:next w:val="Normal"/>
    <w:rsid w:val="00BE30DB"/>
    <w:pPr>
      <w:keepNext/>
      <w:spacing w:before="240" w:line="280" w:lineRule="exact"/>
      <w:outlineLvl w:val="1"/>
    </w:pPr>
    <w:rPr>
      <w:b/>
    </w:rPr>
  </w:style>
  <w:style w:type="paragraph" w:styleId="Heading3">
    <w:name w:val="heading 3"/>
    <w:basedOn w:val="Normal"/>
    <w:next w:val="Normal"/>
    <w:qFormat/>
    <w:rsid w:val="00BE30DB"/>
    <w:pPr>
      <w:keepNext/>
      <w:spacing w:before="120"/>
      <w:outlineLvl w:val="2"/>
    </w:pPr>
    <w:rPr>
      <w:b/>
      <w:i/>
      <w:iCs/>
    </w:rPr>
  </w:style>
  <w:style w:type="paragraph" w:styleId="Heading4">
    <w:name w:val="heading 4"/>
    <w:basedOn w:val="Normal"/>
    <w:next w:val="Normal"/>
    <w:link w:val="Heading4Char"/>
    <w:qFormat/>
    <w:rsid w:val="00BE30DB"/>
    <w:pPr>
      <w:keepNext/>
      <w:outlineLvl w:val="3"/>
    </w:pPr>
    <w:rPr>
      <w:i/>
      <w:iCs/>
    </w:rPr>
  </w:style>
  <w:style w:type="paragraph" w:styleId="Heading5">
    <w:name w:val="heading 5"/>
    <w:basedOn w:val="Normal"/>
    <w:next w:val="Normal"/>
    <w:rsid w:val="00945BCB"/>
    <w:pPr>
      <w:keepNext/>
      <w:outlineLvl w:val="4"/>
    </w:pPr>
    <w:rPr>
      <w:sz w:val="22"/>
      <w:u w:val="single"/>
    </w:rPr>
  </w:style>
  <w:style w:type="paragraph" w:styleId="Heading6">
    <w:name w:val="heading 6"/>
    <w:basedOn w:val="Normal"/>
    <w:next w:val="Normal"/>
    <w:qFormat/>
    <w:rsid w:val="00945BCB"/>
    <w:pPr>
      <w:keepNext/>
      <w:outlineLvl w:val="5"/>
    </w:pPr>
    <w:rPr>
      <w:rFonts w:ascii="Times" w:hAnsi="Times"/>
      <w:b/>
      <w:color w:val="3366FF"/>
      <w:sz w:val="22"/>
      <w:u w:val="double"/>
    </w:rPr>
  </w:style>
  <w:style w:type="paragraph" w:styleId="Heading7">
    <w:name w:val="heading 7"/>
    <w:basedOn w:val="Normal"/>
    <w:next w:val="Normal"/>
    <w:qFormat/>
    <w:rsid w:val="00945BCB"/>
    <w:pPr>
      <w:keepNext/>
      <w:outlineLvl w:val="6"/>
    </w:pPr>
    <w:rPr>
      <w:rFonts w:ascii="Times" w:hAnsi="Times"/>
      <w:bCs/>
      <w:color w:val="3366FF"/>
      <w:sz w:val="22"/>
      <w:u w:val="double"/>
    </w:rPr>
  </w:style>
  <w:style w:type="paragraph" w:styleId="Heading8">
    <w:name w:val="heading 8"/>
    <w:basedOn w:val="Normal"/>
    <w:next w:val="Normal"/>
    <w:qFormat/>
    <w:rsid w:val="00945BCB"/>
    <w:pPr>
      <w:keepNext/>
      <w:outlineLvl w:val="7"/>
    </w:pPr>
    <w:rPr>
      <w:b/>
      <w:sz w:val="22"/>
    </w:rPr>
  </w:style>
  <w:style w:type="paragraph" w:styleId="Heading9">
    <w:name w:val="heading 9"/>
    <w:basedOn w:val="Normal"/>
    <w:next w:val="Normal"/>
    <w:qFormat/>
    <w:rsid w:val="00945BCB"/>
    <w:pPr>
      <w:keepNext/>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F717D7"/>
    <w:rPr>
      <w:b/>
      <w:caps/>
      <w:kern w:val="28"/>
      <w:sz w:val="28"/>
      <w:lang w:val="en-AU"/>
    </w:rPr>
  </w:style>
  <w:style w:type="character" w:customStyle="1" w:styleId="Heading4Char">
    <w:name w:val="Heading 4 Char"/>
    <w:link w:val="Heading4"/>
    <w:rsid w:val="00EB4D43"/>
    <w:rPr>
      <w:i/>
      <w:iCs/>
      <w:sz w:val="24"/>
      <w:lang w:val="en-AU" w:eastAsia="en-US" w:bidi="ar-SA"/>
    </w:rPr>
  </w:style>
  <w:style w:type="paragraph" w:styleId="BalloonText">
    <w:name w:val="Balloon Text"/>
    <w:basedOn w:val="Normal"/>
    <w:link w:val="BalloonTextChar"/>
    <w:rsid w:val="004D5F31"/>
    <w:pPr>
      <w:spacing w:after="0"/>
    </w:pPr>
    <w:rPr>
      <w:rFonts w:ascii="Tahoma" w:hAnsi="Tahoma" w:cs="Tahoma"/>
      <w:sz w:val="16"/>
      <w:szCs w:val="16"/>
    </w:rPr>
  </w:style>
  <w:style w:type="character" w:customStyle="1" w:styleId="BalloonTextChar">
    <w:name w:val="Balloon Text Char"/>
    <w:basedOn w:val="DefaultParagraphFont"/>
    <w:link w:val="BalloonText"/>
    <w:rsid w:val="004D5F31"/>
    <w:rPr>
      <w:rFonts w:ascii="Tahoma" w:hAnsi="Tahoma" w:cs="Tahoma"/>
      <w:sz w:val="16"/>
      <w:szCs w:val="16"/>
      <w:lang w:val="en-AU"/>
    </w:rPr>
  </w:style>
  <w:style w:type="paragraph" w:customStyle="1" w:styleId="CLDFooter">
    <w:name w:val="CLD Footer"/>
    <w:basedOn w:val="Normal"/>
    <w:uiPriority w:val="7"/>
    <w:qFormat/>
    <w:rsid w:val="00162FD6"/>
    <w:pPr>
      <w:pBdr>
        <w:top w:val="single" w:sz="6" w:space="1" w:color="auto"/>
      </w:pBdr>
      <w:tabs>
        <w:tab w:val="right" w:pos="8800"/>
      </w:tabs>
      <w:spacing w:after="0"/>
    </w:pPr>
    <w:rPr>
      <w:sz w:val="20"/>
      <w:lang w:val="en-GB"/>
    </w:rPr>
  </w:style>
  <w:style w:type="paragraph" w:customStyle="1" w:styleId="CLDSubtitle">
    <w:name w:val="CLD Subtitle"/>
    <w:basedOn w:val="Normal"/>
    <w:uiPriority w:val="1"/>
    <w:qFormat/>
    <w:rsid w:val="009F6FC2"/>
    <w:pPr>
      <w:spacing w:after="60"/>
      <w:outlineLvl w:val="1"/>
    </w:pPr>
    <w:rPr>
      <w:b/>
      <w:sz w:val="28"/>
      <w:lang w:val="en-GB"/>
    </w:rPr>
  </w:style>
  <w:style w:type="character" w:styleId="CommentReference">
    <w:name w:val="annotation reference"/>
    <w:uiPriority w:val="99"/>
    <w:rsid w:val="00C87653"/>
    <w:rPr>
      <w:sz w:val="16"/>
      <w:szCs w:val="16"/>
    </w:rPr>
  </w:style>
  <w:style w:type="paragraph" w:customStyle="1" w:styleId="CLDTITLE">
    <w:name w:val="CLD TITLE"/>
    <w:basedOn w:val="Normal"/>
    <w:qFormat/>
    <w:rsid w:val="00CD703D"/>
    <w:pPr>
      <w:spacing w:before="240" w:after="60"/>
    </w:pPr>
    <w:rPr>
      <w:b/>
      <w:kern w:val="28"/>
      <w:sz w:val="40"/>
      <w:lang w:val="en-GB"/>
    </w:rPr>
  </w:style>
  <w:style w:type="paragraph" w:customStyle="1" w:styleId="Default">
    <w:name w:val="Default"/>
    <w:link w:val="DefaultChar"/>
    <w:rsid w:val="00040CE8"/>
    <w:pPr>
      <w:autoSpaceDE w:val="0"/>
      <w:autoSpaceDN w:val="0"/>
      <w:adjustRightInd w:val="0"/>
    </w:pPr>
    <w:rPr>
      <w:rFonts w:ascii="KGFENB+TimesNewRoman" w:hAnsi="KGFENB+TimesNewRoman" w:cs="KGFENB+TimesNewRoman"/>
      <w:color w:val="000000"/>
      <w:sz w:val="24"/>
      <w:szCs w:val="24"/>
    </w:rPr>
  </w:style>
  <w:style w:type="character" w:customStyle="1" w:styleId="DefaultChar">
    <w:name w:val="Default Char"/>
    <w:link w:val="Default"/>
    <w:rsid w:val="00040CE8"/>
    <w:rPr>
      <w:rFonts w:ascii="KGFENB+TimesNewRoman" w:hAnsi="KGFENB+TimesNewRoman" w:cs="KGFENB+TimesNewRoman"/>
      <w:color w:val="000000"/>
      <w:sz w:val="24"/>
      <w:szCs w:val="24"/>
      <w:lang w:val="en-US" w:eastAsia="en-US"/>
    </w:rPr>
  </w:style>
  <w:style w:type="paragraph" w:customStyle="1" w:styleId="TableParagraph">
    <w:name w:val="Table Paragraph"/>
    <w:basedOn w:val="Normal"/>
    <w:uiPriority w:val="1"/>
    <w:qFormat/>
    <w:rsid w:val="00A86638"/>
    <w:pPr>
      <w:widowControl w:val="0"/>
      <w:spacing w:after="0"/>
    </w:pPr>
    <w:rPr>
      <w:rFonts w:asciiTheme="minorHAnsi" w:eastAsiaTheme="minorHAnsi" w:hAnsiTheme="minorHAnsi" w:cstheme="minorBidi"/>
      <w:sz w:val="22"/>
      <w:szCs w:val="22"/>
      <w:lang w:val="en-US"/>
    </w:rPr>
  </w:style>
  <w:style w:type="paragraph" w:customStyle="1" w:styleId="PIHeading2">
    <w:name w:val="PI Heading 2"/>
    <w:basedOn w:val="Heading2"/>
    <w:uiPriority w:val="3"/>
    <w:qFormat/>
    <w:rsid w:val="002C62D5"/>
  </w:style>
  <w:style w:type="paragraph" w:customStyle="1" w:styleId="PIHeading1">
    <w:name w:val="PI Heading 1"/>
    <w:basedOn w:val="Heading1"/>
    <w:uiPriority w:val="2"/>
    <w:qFormat/>
    <w:rsid w:val="002C62D5"/>
  </w:style>
  <w:style w:type="paragraph" w:customStyle="1" w:styleId="PINormal">
    <w:name w:val="PI Normal"/>
    <w:basedOn w:val="Normal"/>
    <w:uiPriority w:val="6"/>
    <w:qFormat/>
    <w:rsid w:val="00782CEE"/>
  </w:style>
  <w:style w:type="paragraph" w:customStyle="1" w:styleId="PIHeading3">
    <w:name w:val="PI Heading 3"/>
    <w:basedOn w:val="Heading3"/>
    <w:uiPriority w:val="4"/>
    <w:qFormat/>
    <w:rsid w:val="00782CEE"/>
  </w:style>
  <w:style w:type="paragraph" w:customStyle="1" w:styleId="PIHeading4">
    <w:name w:val="PI Heading 4"/>
    <w:basedOn w:val="Heading4"/>
    <w:uiPriority w:val="5"/>
    <w:qFormat/>
    <w:rsid w:val="00782CEE"/>
    <w:pPr>
      <w:spacing w:before="120"/>
    </w:pPr>
  </w:style>
  <w:style w:type="paragraph" w:customStyle="1" w:styleId="PITableTextListText">
    <w:name w:val="PI Table Text/List Text"/>
    <w:basedOn w:val="Normal"/>
    <w:uiPriority w:val="7"/>
    <w:qFormat/>
    <w:rsid w:val="002609A4"/>
    <w:pPr>
      <w:spacing w:before="20" w:after="20"/>
    </w:pPr>
    <w:rPr>
      <w:snapToGrid w:val="0"/>
      <w:color w:val="000000"/>
      <w:sz w:val="22"/>
      <w:szCs w:val="24"/>
    </w:rPr>
  </w:style>
  <w:style w:type="paragraph" w:styleId="Revision">
    <w:name w:val="Revision"/>
    <w:hidden/>
    <w:uiPriority w:val="99"/>
    <w:semiHidden/>
    <w:rsid w:val="000C3B79"/>
    <w:rPr>
      <w:sz w:val="24"/>
      <w:lang w:val="en-AU"/>
    </w:rPr>
  </w:style>
  <w:style w:type="paragraph" w:styleId="TOC1">
    <w:name w:val="toc 1"/>
    <w:basedOn w:val="Normal"/>
    <w:autoRedefine/>
    <w:rsid w:val="00C316D8"/>
    <w:pPr>
      <w:keepLines/>
      <w:tabs>
        <w:tab w:val="left" w:pos="576"/>
        <w:tab w:val="right" w:leader="dot" w:pos="9360"/>
      </w:tabs>
      <w:spacing w:before="120"/>
      <w:ind w:left="576" w:right="576" w:hanging="576"/>
    </w:pPr>
    <w:rPr>
      <w:caps/>
      <w:color w:val="0000FF"/>
      <w:szCs w:val="24"/>
      <w:lang w:val="en-US"/>
    </w:rPr>
  </w:style>
  <w:style w:type="paragraph" w:styleId="TOC2">
    <w:name w:val="toc 2"/>
    <w:basedOn w:val="Normal"/>
    <w:autoRedefine/>
    <w:rsid w:val="00C316D8"/>
    <w:pPr>
      <w:keepLines/>
      <w:tabs>
        <w:tab w:val="left" w:pos="1152"/>
        <w:tab w:val="right" w:leader="dot" w:pos="9360"/>
      </w:tabs>
      <w:ind w:left="1152" w:right="576" w:hanging="576"/>
    </w:pPr>
    <w:rPr>
      <w:color w:val="0000FF"/>
      <w:szCs w:val="24"/>
      <w:lang w:val="en-US"/>
    </w:rPr>
  </w:style>
  <w:style w:type="paragraph" w:styleId="TOC3">
    <w:name w:val="toc 3"/>
    <w:basedOn w:val="Normal"/>
    <w:autoRedefine/>
    <w:rsid w:val="00C316D8"/>
    <w:pPr>
      <w:keepLines/>
      <w:tabs>
        <w:tab w:val="left" w:pos="2160"/>
        <w:tab w:val="right" w:leader="dot" w:pos="9360"/>
      </w:tabs>
      <w:ind w:left="2016" w:right="576" w:hanging="864"/>
    </w:pPr>
    <w:rPr>
      <w:color w:val="0000FF"/>
      <w:szCs w:val="24"/>
      <w:lang w:val="en-US"/>
    </w:rPr>
  </w:style>
  <w:style w:type="paragraph" w:styleId="TOC4">
    <w:name w:val="toc 4"/>
    <w:basedOn w:val="Normal"/>
    <w:autoRedefine/>
    <w:rsid w:val="00C316D8"/>
    <w:pPr>
      <w:keepLines/>
      <w:tabs>
        <w:tab w:val="left" w:pos="2160"/>
        <w:tab w:val="right" w:leader="dot" w:pos="9360"/>
      </w:tabs>
      <w:ind w:left="2880" w:right="576" w:hanging="864"/>
    </w:pPr>
    <w:rPr>
      <w:color w:val="0000FF"/>
      <w:szCs w:val="24"/>
      <w:lang w:val="en-US"/>
    </w:rPr>
  </w:style>
  <w:style w:type="paragraph" w:styleId="TOC5">
    <w:name w:val="toc 5"/>
    <w:basedOn w:val="Normal"/>
    <w:next w:val="Normal"/>
    <w:autoRedefine/>
    <w:rsid w:val="00F717D7"/>
    <w:pPr>
      <w:overflowPunct w:val="0"/>
      <w:autoSpaceDE w:val="0"/>
      <w:autoSpaceDN w:val="0"/>
      <w:adjustRightInd w:val="0"/>
      <w:spacing w:after="0"/>
      <w:ind w:left="960"/>
      <w:textAlignment w:val="baseline"/>
    </w:pPr>
    <w:rPr>
      <w:szCs w:val="24"/>
      <w:lang w:val="en-US"/>
    </w:rPr>
  </w:style>
  <w:style w:type="paragraph" w:styleId="TOC6">
    <w:name w:val="toc 6"/>
    <w:basedOn w:val="Normal"/>
    <w:next w:val="Normal"/>
    <w:autoRedefine/>
    <w:rsid w:val="00F717D7"/>
    <w:pPr>
      <w:overflowPunct w:val="0"/>
      <w:autoSpaceDE w:val="0"/>
      <w:autoSpaceDN w:val="0"/>
      <w:adjustRightInd w:val="0"/>
      <w:spacing w:after="0"/>
      <w:ind w:left="1200"/>
      <w:textAlignment w:val="baseline"/>
    </w:pPr>
    <w:rPr>
      <w:szCs w:val="24"/>
      <w:lang w:val="en-US"/>
    </w:rPr>
  </w:style>
  <w:style w:type="paragraph" w:styleId="TOC7">
    <w:name w:val="toc 7"/>
    <w:basedOn w:val="Normal"/>
    <w:next w:val="Normal"/>
    <w:autoRedefine/>
    <w:rsid w:val="00F717D7"/>
    <w:pPr>
      <w:overflowPunct w:val="0"/>
      <w:autoSpaceDE w:val="0"/>
      <w:autoSpaceDN w:val="0"/>
      <w:adjustRightInd w:val="0"/>
      <w:spacing w:after="0"/>
      <w:ind w:left="1440"/>
      <w:textAlignment w:val="baseline"/>
    </w:pPr>
    <w:rPr>
      <w:szCs w:val="24"/>
      <w:lang w:val="en-US"/>
    </w:rPr>
  </w:style>
  <w:style w:type="paragraph" w:styleId="TOC8">
    <w:name w:val="toc 8"/>
    <w:basedOn w:val="Normal"/>
    <w:next w:val="Normal"/>
    <w:autoRedefine/>
    <w:rsid w:val="00F717D7"/>
    <w:pPr>
      <w:overflowPunct w:val="0"/>
      <w:autoSpaceDE w:val="0"/>
      <w:autoSpaceDN w:val="0"/>
      <w:adjustRightInd w:val="0"/>
      <w:spacing w:after="0"/>
      <w:ind w:left="1680"/>
      <w:textAlignment w:val="baseline"/>
    </w:pPr>
    <w:rPr>
      <w:szCs w:val="24"/>
      <w:lang w:val="en-US"/>
    </w:rPr>
  </w:style>
  <w:style w:type="paragraph" w:styleId="TOC9">
    <w:name w:val="toc 9"/>
    <w:basedOn w:val="Normal"/>
    <w:next w:val="Normal"/>
    <w:autoRedefine/>
    <w:rsid w:val="00F717D7"/>
    <w:pPr>
      <w:overflowPunct w:val="0"/>
      <w:autoSpaceDE w:val="0"/>
      <w:autoSpaceDN w:val="0"/>
      <w:adjustRightInd w:val="0"/>
      <w:spacing w:after="0"/>
      <w:ind w:left="1920"/>
      <w:textAlignment w:val="baseline"/>
    </w:pPr>
    <w:rPr>
      <w:szCs w:val="24"/>
      <w:lang w:val="en-US"/>
    </w:rPr>
  </w:style>
  <w:style w:type="table" w:styleId="TableGrid">
    <w:name w:val="Table Grid"/>
    <w:basedOn w:val="TableNormal"/>
    <w:uiPriority w:val="59"/>
    <w:rsid w:val="00F717D7"/>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LDHeading2">
    <w:name w:val="CLD Heading 2"/>
    <w:basedOn w:val="Heading2"/>
    <w:uiPriority w:val="3"/>
    <w:qFormat/>
    <w:rsid w:val="00AA30F2"/>
    <w:rPr>
      <w:lang w:val="en-GB"/>
    </w:rPr>
  </w:style>
  <w:style w:type="paragraph" w:customStyle="1" w:styleId="CLDHeading1">
    <w:name w:val="CLD Heading 1"/>
    <w:basedOn w:val="Heading1"/>
    <w:uiPriority w:val="2"/>
    <w:qFormat/>
    <w:rsid w:val="003E3732"/>
    <w:rPr>
      <w:lang w:val="en-GB"/>
    </w:rPr>
  </w:style>
  <w:style w:type="paragraph" w:customStyle="1" w:styleId="CLDTableTextListText">
    <w:name w:val="CLD Table Text/List Text"/>
    <w:basedOn w:val="Normal"/>
    <w:uiPriority w:val="7"/>
    <w:qFormat/>
    <w:rsid w:val="003E3732"/>
    <w:pPr>
      <w:keepNext/>
      <w:spacing w:before="20" w:after="20"/>
    </w:pPr>
    <w:rPr>
      <w:snapToGrid w:val="0"/>
      <w:color w:val="000000"/>
      <w:szCs w:val="24"/>
      <w:lang w:val="en-GB"/>
    </w:rPr>
  </w:style>
  <w:style w:type="paragraph" w:customStyle="1" w:styleId="CLDNormal">
    <w:name w:val="CLD Normal"/>
    <w:basedOn w:val="Normal"/>
    <w:uiPriority w:val="6"/>
    <w:qFormat/>
    <w:rsid w:val="003E3732"/>
    <w:rPr>
      <w:lang w:val="en-GB"/>
    </w:rPr>
  </w:style>
  <w:style w:type="paragraph" w:customStyle="1" w:styleId="CLDTableFootnote">
    <w:name w:val="CLD Table Footnote"/>
    <w:basedOn w:val="Normal"/>
    <w:uiPriority w:val="7"/>
    <w:qFormat/>
    <w:rsid w:val="003E3732"/>
    <w:pPr>
      <w:spacing w:before="40" w:after="0"/>
    </w:pPr>
    <w:rPr>
      <w:color w:val="000000"/>
      <w:sz w:val="20"/>
      <w:szCs w:val="24"/>
      <w:lang w:val="en-GB"/>
    </w:rPr>
  </w:style>
  <w:style w:type="paragraph" w:customStyle="1" w:styleId="CLDTableTitle">
    <w:name w:val="CLD Table Title"/>
    <w:basedOn w:val="Normal"/>
    <w:uiPriority w:val="7"/>
    <w:qFormat/>
    <w:rsid w:val="009F6FC2"/>
    <w:pPr>
      <w:keepNext/>
      <w:keepLines/>
      <w:spacing w:before="120" w:after="60"/>
    </w:pPr>
    <w:rPr>
      <w:b/>
      <w:color w:val="000000"/>
      <w:szCs w:val="24"/>
      <w:lang w:val="en-GB"/>
    </w:rPr>
  </w:style>
  <w:style w:type="paragraph" w:styleId="CommentText">
    <w:name w:val="annotation text"/>
    <w:basedOn w:val="Normal"/>
    <w:link w:val="CommentTextChar"/>
    <w:uiPriority w:val="99"/>
    <w:rPr>
      <w:sz w:val="20"/>
    </w:rPr>
  </w:style>
  <w:style w:type="character" w:customStyle="1" w:styleId="CommentTextChar">
    <w:name w:val="Comment Text Char"/>
    <w:basedOn w:val="DefaultParagraphFont"/>
    <w:link w:val="CommentText"/>
    <w:uiPriority w:val="99"/>
    <w:rPr>
      <w:lang w:val="en-AU"/>
    </w:rPr>
  </w:style>
  <w:style w:type="paragraph" w:styleId="CommentSubject">
    <w:name w:val="annotation subject"/>
    <w:basedOn w:val="CommentText"/>
    <w:next w:val="CommentText"/>
    <w:link w:val="CommentSubjectChar"/>
    <w:rsid w:val="00631E5E"/>
    <w:rPr>
      <w:b/>
      <w:bCs/>
    </w:rPr>
  </w:style>
  <w:style w:type="character" w:customStyle="1" w:styleId="CommentSubjectChar">
    <w:name w:val="Comment Subject Char"/>
    <w:basedOn w:val="CommentTextChar"/>
    <w:link w:val="CommentSubject"/>
    <w:rsid w:val="00631E5E"/>
    <w:rPr>
      <w:b/>
      <w:bCs/>
      <w:lang w:val="en-AU"/>
    </w:rPr>
  </w:style>
  <w:style w:type="paragraph" w:customStyle="1" w:styleId="DSTradename">
    <w:name w:val="DS Tradename"/>
    <w:basedOn w:val="Normal"/>
    <w:qFormat/>
    <w:rsid w:val="00E76F3C"/>
    <w:pPr>
      <w:spacing w:before="60" w:after="0"/>
      <w:outlineLvl w:val="0"/>
    </w:pPr>
    <w:rPr>
      <w:b/>
      <w:kern w:val="28"/>
      <w:sz w:val="40"/>
      <w:szCs w:val="28"/>
    </w:rPr>
  </w:style>
  <w:style w:type="paragraph" w:customStyle="1" w:styleId="CDSOptionalconcepts">
    <w:name w:val="CDS Optional concepts"/>
    <w:link w:val="CDSOptionalconceptsChar"/>
    <w:rsid w:val="00E76F3C"/>
    <w:pPr>
      <w:widowControl w:val="0"/>
    </w:pPr>
    <w:rPr>
      <w:sz w:val="22"/>
    </w:rPr>
  </w:style>
  <w:style w:type="character" w:customStyle="1" w:styleId="CDSOptionalconceptsChar">
    <w:name w:val="CDS Optional concepts Char"/>
    <w:link w:val="CDSOptionalconcepts"/>
    <w:rsid w:val="00E76F3C"/>
    <w:rPr>
      <w:sz w:val="22"/>
    </w:rPr>
  </w:style>
  <w:style w:type="paragraph" w:customStyle="1" w:styleId="CDSMandatorysafetyconcepts">
    <w:name w:val="CDS Mandatory safety concepts"/>
    <w:link w:val="CDSMandatorysafetyconceptsChar"/>
    <w:uiPriority w:val="99"/>
    <w:rsid w:val="00E76F3C"/>
    <w:rPr>
      <w:b/>
      <w:sz w:val="22"/>
    </w:rPr>
  </w:style>
  <w:style w:type="character" w:customStyle="1" w:styleId="CDSMandatorysafetyconceptsChar">
    <w:name w:val="CDS Mandatory safety concepts Char"/>
    <w:link w:val="CDSMandatorysafetyconcepts"/>
    <w:uiPriority w:val="99"/>
    <w:rsid w:val="00E76F3C"/>
    <w:rPr>
      <w:b/>
      <w:sz w:val="22"/>
    </w:rPr>
  </w:style>
  <w:style w:type="character" w:styleId="FollowedHyperlink">
    <w:name w:val="FollowedHyperlink"/>
    <w:rsid w:val="00507BF8"/>
    <w:rPr>
      <w:color w:val="800080"/>
      <w:u w:val="none"/>
    </w:rPr>
  </w:style>
  <w:style w:type="paragraph" w:customStyle="1" w:styleId="CDSOthermandatoryconcepts">
    <w:name w:val="CDS Other mandatory concepts"/>
    <w:link w:val="CDSOthermandatoryconceptsChar"/>
    <w:rsid w:val="00507BF8"/>
    <w:rPr>
      <w:rFonts w:ascii="Arial" w:hAnsi="Arial"/>
      <w:b/>
    </w:rPr>
  </w:style>
  <w:style w:type="character" w:customStyle="1" w:styleId="CDSOthermandatoryconceptsChar">
    <w:name w:val="CDS Other mandatory concepts Char"/>
    <w:link w:val="CDSOthermandatoryconcepts"/>
    <w:rsid w:val="00507BF8"/>
    <w:rPr>
      <w:rFonts w:ascii="Arial" w:hAnsi="Arial"/>
      <w:b/>
    </w:rPr>
  </w:style>
  <w:style w:type="paragraph" w:styleId="Header">
    <w:name w:val="header"/>
    <w:basedOn w:val="Normal"/>
    <w:link w:val="HeaderChar"/>
    <w:rsid w:val="0034276C"/>
    <w:pPr>
      <w:tabs>
        <w:tab w:val="center" w:pos="4680"/>
        <w:tab w:val="right" w:pos="9360"/>
      </w:tabs>
      <w:spacing w:after="0"/>
    </w:pPr>
  </w:style>
  <w:style w:type="character" w:customStyle="1" w:styleId="HeaderChar">
    <w:name w:val="Header Char"/>
    <w:basedOn w:val="DefaultParagraphFont"/>
    <w:link w:val="Header"/>
    <w:rsid w:val="0034276C"/>
    <w:rPr>
      <w:sz w:val="24"/>
      <w:lang w:val="en-AU"/>
    </w:rPr>
  </w:style>
  <w:style w:type="paragraph" w:styleId="Footer">
    <w:name w:val="footer"/>
    <w:basedOn w:val="Normal"/>
    <w:link w:val="FooterChar"/>
    <w:uiPriority w:val="99"/>
    <w:rsid w:val="0034276C"/>
    <w:pPr>
      <w:tabs>
        <w:tab w:val="center" w:pos="4680"/>
        <w:tab w:val="right" w:pos="9360"/>
      </w:tabs>
      <w:spacing w:after="0"/>
    </w:pPr>
  </w:style>
  <w:style w:type="character" w:customStyle="1" w:styleId="FooterChar">
    <w:name w:val="Footer Char"/>
    <w:basedOn w:val="DefaultParagraphFont"/>
    <w:link w:val="Footer"/>
    <w:uiPriority w:val="99"/>
    <w:rsid w:val="0034276C"/>
    <w:rPr>
      <w:sz w:val="24"/>
      <w:lang w:val="en-AU"/>
    </w:rPr>
  </w:style>
  <w:style w:type="paragraph" w:styleId="Caption">
    <w:name w:val="caption"/>
    <w:aliases w:val="appendix,12,Caption 12pt+,Caption 12pt,12+,12pt"/>
    <w:basedOn w:val="Normal"/>
    <w:next w:val="Normal"/>
    <w:link w:val="CaptionChar"/>
    <w:unhideWhenUsed/>
    <w:qFormat/>
    <w:rsid w:val="00156EC8"/>
    <w:pPr>
      <w:spacing w:before="120"/>
    </w:pPr>
    <w:rPr>
      <w:b/>
      <w:bCs/>
    </w:rPr>
  </w:style>
  <w:style w:type="paragraph" w:customStyle="1" w:styleId="Paragraph">
    <w:name w:val="Paragraph"/>
    <w:link w:val="ParagraphChar"/>
    <w:rsid w:val="00794EFA"/>
    <w:pPr>
      <w:spacing w:after="240"/>
    </w:pPr>
    <w:rPr>
      <w:sz w:val="24"/>
      <w:szCs w:val="24"/>
    </w:rPr>
  </w:style>
  <w:style w:type="paragraph" w:customStyle="1" w:styleId="CDSSectionheading">
    <w:name w:val="CDS Section heading"/>
    <w:rsid w:val="00794EFA"/>
    <w:pPr>
      <w:keepNext/>
      <w:widowControl w:val="0"/>
    </w:pPr>
    <w:rPr>
      <w:rFonts w:ascii="Arial" w:hAnsi="Arial"/>
      <w:b/>
      <w:i/>
      <w:sz w:val="22"/>
    </w:rPr>
  </w:style>
  <w:style w:type="paragraph" w:styleId="BodyText">
    <w:name w:val="Body Text"/>
    <w:aliases w:val="Body Text Hang,BT,bt,Bullet Level 5,Body Hang,Body Text Char1,Body Text Char Char,Body Text Char1 Char1 Char,Body Text Char Char Char1 Char,Char Char Char Char1 Char,Body Text Char Char1 Char Char Char,Body Text Char1 Char Char Char,Char Ch"/>
    <w:basedOn w:val="Normal"/>
    <w:link w:val="BodyTextChar"/>
    <w:rsid w:val="00794EFA"/>
    <w:pPr>
      <w:overflowPunct w:val="0"/>
      <w:autoSpaceDE w:val="0"/>
      <w:autoSpaceDN w:val="0"/>
      <w:adjustRightInd w:val="0"/>
      <w:textAlignment w:val="baseline"/>
    </w:pPr>
    <w:rPr>
      <w:szCs w:val="24"/>
      <w:lang w:val="en-US"/>
    </w:rPr>
  </w:style>
  <w:style w:type="character" w:customStyle="1" w:styleId="BodyTextChar">
    <w:name w:val="Body Text Char"/>
    <w:aliases w:val="Body Text Hang Char,BT Char,bt Char,Bullet Level 5 Char,Body Hang Char,Body Text Char1 Char,Body Text Char Char Char,Body Text Char1 Char1 Char Char,Body Text Char Char Char1 Char Char,Char Char Char Char1 Char Char,Char Ch Char"/>
    <w:basedOn w:val="DefaultParagraphFont"/>
    <w:link w:val="BodyText"/>
    <w:rsid w:val="00794EFA"/>
    <w:rPr>
      <w:sz w:val="24"/>
      <w:szCs w:val="24"/>
    </w:rPr>
  </w:style>
  <w:style w:type="character" w:customStyle="1" w:styleId="ParagraphChar">
    <w:name w:val="Paragraph Char"/>
    <w:link w:val="Paragraph"/>
    <w:locked/>
    <w:rsid w:val="00794EFA"/>
    <w:rPr>
      <w:sz w:val="24"/>
      <w:szCs w:val="24"/>
    </w:rPr>
  </w:style>
  <w:style w:type="character" w:customStyle="1" w:styleId="CaptionChar">
    <w:name w:val="Caption Char"/>
    <w:aliases w:val="appendix Char,12 Char,Caption 12pt+ Char,Caption 12pt Char,12+ Char,12pt Char"/>
    <w:link w:val="Caption"/>
    <w:rsid w:val="00156EC8"/>
    <w:rPr>
      <w:b/>
      <w:bCs/>
      <w:sz w:val="24"/>
      <w:lang w:val="en-AU"/>
    </w:rPr>
  </w:style>
  <w:style w:type="character" w:customStyle="1" w:styleId="TableText12">
    <w:name w:val="TableText 12"/>
    <w:basedOn w:val="DefaultParagraphFont"/>
    <w:rsid w:val="00966986"/>
    <w:rPr>
      <w:rFonts w:ascii="Times New Roman" w:hAnsi="Times New Roman"/>
      <w:sz w:val="24"/>
    </w:rPr>
  </w:style>
  <w:style w:type="paragraph" w:styleId="ListBullet">
    <w:name w:val="List Bullet"/>
    <w:basedOn w:val="Normal"/>
    <w:rsid w:val="006D1087"/>
    <w:pPr>
      <w:numPr>
        <w:numId w:val="45"/>
      </w:numPr>
      <w:contextualSpacing/>
    </w:pPr>
  </w:style>
  <w:style w:type="paragraph" w:customStyle="1" w:styleId="CM3">
    <w:name w:val="CM3"/>
    <w:basedOn w:val="Default"/>
    <w:next w:val="Default"/>
    <w:uiPriority w:val="99"/>
    <w:rsid w:val="000F64DE"/>
    <w:pPr>
      <w:spacing w:line="183" w:lineRule="atLeast"/>
    </w:pPr>
    <w:rPr>
      <w:rFonts w:ascii="Times New Roman" w:hAnsi="Times New Roman" w:cs="Times New Roman"/>
      <w:color w:val="auto"/>
    </w:rPr>
  </w:style>
  <w:style w:type="paragraph" w:customStyle="1" w:styleId="CM45">
    <w:name w:val="CM45"/>
    <w:basedOn w:val="Default"/>
    <w:next w:val="Default"/>
    <w:uiPriority w:val="99"/>
    <w:rsid w:val="000F64DE"/>
    <w:rPr>
      <w:rFonts w:ascii="Times New Roman" w:hAnsi="Times New Roman" w:cs="Times New Roman"/>
      <w:color w:val="auto"/>
    </w:rPr>
  </w:style>
  <w:style w:type="paragraph" w:styleId="TableofFigures">
    <w:name w:val="table of figures"/>
    <w:basedOn w:val="Normal"/>
    <w:next w:val="Normal"/>
    <w:uiPriority w:val="99"/>
    <w:rsid w:val="006C03FD"/>
    <w:pPr>
      <w:spacing w:after="0"/>
    </w:pPr>
  </w:style>
  <w:style w:type="character" w:styleId="Hyperlink">
    <w:name w:val="Hyperlink"/>
    <w:basedOn w:val="DefaultParagraphFont"/>
    <w:uiPriority w:val="99"/>
    <w:unhideWhenUsed/>
    <w:rsid w:val="006C03FD"/>
    <w:rPr>
      <w:color w:val="0000FF" w:themeColor="hyperlink"/>
      <w:u w:val="single"/>
    </w:rPr>
  </w:style>
  <w:style w:type="character" w:styleId="Strong">
    <w:name w:val="Strong"/>
    <w:basedOn w:val="DefaultParagraphFont"/>
    <w:qFormat/>
    <w:rsid w:val="00400C4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3" w:qFormat="1"/>
    <w:lsdException w:name="heading 4"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semiHidden="1" w:unhideWhenUsed="1" w:qFormat="1"/>
    <w:lsdException w:name="table of figures" w:uiPriority="99"/>
    <w:lsdException w:name="annotation reference" w:uiPriority="99"/>
    <w:lsdException w:name="Title" w:qFormat="1"/>
    <w:lsdException w:name="Body Text" w:qFormat="1"/>
    <w:lsdException w:name="Subtitle" w:qFormat="1"/>
    <w:lsdException w:name="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56EC8"/>
    <w:pPr>
      <w:spacing w:after="120"/>
    </w:pPr>
    <w:rPr>
      <w:sz w:val="24"/>
      <w:lang w:val="en-AU"/>
    </w:rPr>
  </w:style>
  <w:style w:type="paragraph" w:styleId="Heading1">
    <w:name w:val="heading 1"/>
    <w:basedOn w:val="Normal"/>
    <w:next w:val="Normal"/>
    <w:link w:val="Heading1Char"/>
    <w:rsid w:val="00BE30DB"/>
    <w:pPr>
      <w:keepNext/>
      <w:spacing w:before="360" w:line="280" w:lineRule="exact"/>
      <w:outlineLvl w:val="0"/>
    </w:pPr>
    <w:rPr>
      <w:b/>
      <w:caps/>
      <w:kern w:val="28"/>
      <w:sz w:val="28"/>
    </w:rPr>
  </w:style>
  <w:style w:type="paragraph" w:styleId="Heading2">
    <w:name w:val="heading 2"/>
    <w:basedOn w:val="Normal"/>
    <w:next w:val="Normal"/>
    <w:rsid w:val="00BE30DB"/>
    <w:pPr>
      <w:keepNext/>
      <w:spacing w:before="240" w:line="280" w:lineRule="exact"/>
      <w:outlineLvl w:val="1"/>
    </w:pPr>
    <w:rPr>
      <w:b/>
    </w:rPr>
  </w:style>
  <w:style w:type="paragraph" w:styleId="Heading3">
    <w:name w:val="heading 3"/>
    <w:basedOn w:val="Normal"/>
    <w:next w:val="Normal"/>
    <w:qFormat/>
    <w:rsid w:val="00BE30DB"/>
    <w:pPr>
      <w:keepNext/>
      <w:spacing w:before="120"/>
      <w:outlineLvl w:val="2"/>
    </w:pPr>
    <w:rPr>
      <w:b/>
      <w:i/>
      <w:iCs/>
    </w:rPr>
  </w:style>
  <w:style w:type="paragraph" w:styleId="Heading4">
    <w:name w:val="heading 4"/>
    <w:basedOn w:val="Normal"/>
    <w:next w:val="Normal"/>
    <w:link w:val="Heading4Char"/>
    <w:qFormat/>
    <w:rsid w:val="00BE30DB"/>
    <w:pPr>
      <w:keepNext/>
      <w:outlineLvl w:val="3"/>
    </w:pPr>
    <w:rPr>
      <w:i/>
      <w:iCs/>
    </w:rPr>
  </w:style>
  <w:style w:type="paragraph" w:styleId="Heading5">
    <w:name w:val="heading 5"/>
    <w:basedOn w:val="Normal"/>
    <w:next w:val="Normal"/>
    <w:rsid w:val="00945BCB"/>
    <w:pPr>
      <w:keepNext/>
      <w:outlineLvl w:val="4"/>
    </w:pPr>
    <w:rPr>
      <w:sz w:val="22"/>
      <w:u w:val="single"/>
    </w:rPr>
  </w:style>
  <w:style w:type="paragraph" w:styleId="Heading6">
    <w:name w:val="heading 6"/>
    <w:basedOn w:val="Normal"/>
    <w:next w:val="Normal"/>
    <w:qFormat/>
    <w:rsid w:val="00945BCB"/>
    <w:pPr>
      <w:keepNext/>
      <w:outlineLvl w:val="5"/>
    </w:pPr>
    <w:rPr>
      <w:rFonts w:ascii="Times" w:hAnsi="Times"/>
      <w:b/>
      <w:color w:val="3366FF"/>
      <w:sz w:val="22"/>
      <w:u w:val="double"/>
    </w:rPr>
  </w:style>
  <w:style w:type="paragraph" w:styleId="Heading7">
    <w:name w:val="heading 7"/>
    <w:basedOn w:val="Normal"/>
    <w:next w:val="Normal"/>
    <w:qFormat/>
    <w:rsid w:val="00945BCB"/>
    <w:pPr>
      <w:keepNext/>
      <w:outlineLvl w:val="6"/>
    </w:pPr>
    <w:rPr>
      <w:rFonts w:ascii="Times" w:hAnsi="Times"/>
      <w:bCs/>
      <w:color w:val="3366FF"/>
      <w:sz w:val="22"/>
      <w:u w:val="double"/>
    </w:rPr>
  </w:style>
  <w:style w:type="paragraph" w:styleId="Heading8">
    <w:name w:val="heading 8"/>
    <w:basedOn w:val="Normal"/>
    <w:next w:val="Normal"/>
    <w:qFormat/>
    <w:rsid w:val="00945BCB"/>
    <w:pPr>
      <w:keepNext/>
      <w:outlineLvl w:val="7"/>
    </w:pPr>
    <w:rPr>
      <w:b/>
      <w:sz w:val="22"/>
    </w:rPr>
  </w:style>
  <w:style w:type="paragraph" w:styleId="Heading9">
    <w:name w:val="heading 9"/>
    <w:basedOn w:val="Normal"/>
    <w:next w:val="Normal"/>
    <w:qFormat/>
    <w:rsid w:val="00945BCB"/>
    <w:pPr>
      <w:keepNext/>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F717D7"/>
    <w:rPr>
      <w:b/>
      <w:caps/>
      <w:kern w:val="28"/>
      <w:sz w:val="28"/>
      <w:lang w:val="en-AU"/>
    </w:rPr>
  </w:style>
  <w:style w:type="character" w:customStyle="1" w:styleId="Heading4Char">
    <w:name w:val="Heading 4 Char"/>
    <w:link w:val="Heading4"/>
    <w:rsid w:val="00EB4D43"/>
    <w:rPr>
      <w:i/>
      <w:iCs/>
      <w:sz w:val="24"/>
      <w:lang w:val="en-AU" w:eastAsia="en-US" w:bidi="ar-SA"/>
    </w:rPr>
  </w:style>
  <w:style w:type="paragraph" w:styleId="BalloonText">
    <w:name w:val="Balloon Text"/>
    <w:basedOn w:val="Normal"/>
    <w:link w:val="BalloonTextChar"/>
    <w:rsid w:val="004D5F31"/>
    <w:pPr>
      <w:spacing w:after="0"/>
    </w:pPr>
    <w:rPr>
      <w:rFonts w:ascii="Tahoma" w:hAnsi="Tahoma" w:cs="Tahoma"/>
      <w:sz w:val="16"/>
      <w:szCs w:val="16"/>
    </w:rPr>
  </w:style>
  <w:style w:type="character" w:customStyle="1" w:styleId="BalloonTextChar">
    <w:name w:val="Balloon Text Char"/>
    <w:basedOn w:val="DefaultParagraphFont"/>
    <w:link w:val="BalloonText"/>
    <w:rsid w:val="004D5F31"/>
    <w:rPr>
      <w:rFonts w:ascii="Tahoma" w:hAnsi="Tahoma" w:cs="Tahoma"/>
      <w:sz w:val="16"/>
      <w:szCs w:val="16"/>
      <w:lang w:val="en-AU"/>
    </w:rPr>
  </w:style>
  <w:style w:type="paragraph" w:customStyle="1" w:styleId="CLDFooter">
    <w:name w:val="CLD Footer"/>
    <w:basedOn w:val="Normal"/>
    <w:uiPriority w:val="7"/>
    <w:qFormat/>
    <w:rsid w:val="00162FD6"/>
    <w:pPr>
      <w:pBdr>
        <w:top w:val="single" w:sz="6" w:space="1" w:color="auto"/>
      </w:pBdr>
      <w:tabs>
        <w:tab w:val="right" w:pos="8800"/>
      </w:tabs>
      <w:spacing w:after="0"/>
    </w:pPr>
    <w:rPr>
      <w:sz w:val="20"/>
      <w:lang w:val="en-GB"/>
    </w:rPr>
  </w:style>
  <w:style w:type="paragraph" w:customStyle="1" w:styleId="CLDSubtitle">
    <w:name w:val="CLD Subtitle"/>
    <w:basedOn w:val="Normal"/>
    <w:uiPriority w:val="1"/>
    <w:qFormat/>
    <w:rsid w:val="009F6FC2"/>
    <w:pPr>
      <w:spacing w:after="60"/>
      <w:outlineLvl w:val="1"/>
    </w:pPr>
    <w:rPr>
      <w:b/>
      <w:sz w:val="28"/>
      <w:lang w:val="en-GB"/>
    </w:rPr>
  </w:style>
  <w:style w:type="character" w:styleId="CommentReference">
    <w:name w:val="annotation reference"/>
    <w:uiPriority w:val="99"/>
    <w:rsid w:val="00C87653"/>
    <w:rPr>
      <w:sz w:val="16"/>
      <w:szCs w:val="16"/>
    </w:rPr>
  </w:style>
  <w:style w:type="paragraph" w:customStyle="1" w:styleId="CLDTITLE">
    <w:name w:val="CLD TITLE"/>
    <w:basedOn w:val="Normal"/>
    <w:qFormat/>
    <w:rsid w:val="00CD703D"/>
    <w:pPr>
      <w:spacing w:before="240" w:after="60"/>
    </w:pPr>
    <w:rPr>
      <w:b/>
      <w:kern w:val="28"/>
      <w:sz w:val="40"/>
      <w:lang w:val="en-GB"/>
    </w:rPr>
  </w:style>
  <w:style w:type="paragraph" w:customStyle="1" w:styleId="Default">
    <w:name w:val="Default"/>
    <w:link w:val="DefaultChar"/>
    <w:rsid w:val="00040CE8"/>
    <w:pPr>
      <w:autoSpaceDE w:val="0"/>
      <w:autoSpaceDN w:val="0"/>
      <w:adjustRightInd w:val="0"/>
    </w:pPr>
    <w:rPr>
      <w:rFonts w:ascii="KGFENB+TimesNewRoman" w:hAnsi="KGFENB+TimesNewRoman" w:cs="KGFENB+TimesNewRoman"/>
      <w:color w:val="000000"/>
      <w:sz w:val="24"/>
      <w:szCs w:val="24"/>
    </w:rPr>
  </w:style>
  <w:style w:type="character" w:customStyle="1" w:styleId="DefaultChar">
    <w:name w:val="Default Char"/>
    <w:link w:val="Default"/>
    <w:rsid w:val="00040CE8"/>
    <w:rPr>
      <w:rFonts w:ascii="KGFENB+TimesNewRoman" w:hAnsi="KGFENB+TimesNewRoman" w:cs="KGFENB+TimesNewRoman"/>
      <w:color w:val="000000"/>
      <w:sz w:val="24"/>
      <w:szCs w:val="24"/>
      <w:lang w:val="en-US" w:eastAsia="en-US"/>
    </w:rPr>
  </w:style>
  <w:style w:type="paragraph" w:customStyle="1" w:styleId="TableParagraph">
    <w:name w:val="Table Paragraph"/>
    <w:basedOn w:val="Normal"/>
    <w:uiPriority w:val="1"/>
    <w:qFormat/>
    <w:rsid w:val="00A86638"/>
    <w:pPr>
      <w:widowControl w:val="0"/>
      <w:spacing w:after="0"/>
    </w:pPr>
    <w:rPr>
      <w:rFonts w:asciiTheme="minorHAnsi" w:eastAsiaTheme="minorHAnsi" w:hAnsiTheme="minorHAnsi" w:cstheme="minorBidi"/>
      <w:sz w:val="22"/>
      <w:szCs w:val="22"/>
      <w:lang w:val="en-US"/>
    </w:rPr>
  </w:style>
  <w:style w:type="paragraph" w:customStyle="1" w:styleId="PIHeading2">
    <w:name w:val="PI Heading 2"/>
    <w:basedOn w:val="Heading2"/>
    <w:uiPriority w:val="3"/>
    <w:qFormat/>
    <w:rsid w:val="002C62D5"/>
  </w:style>
  <w:style w:type="paragraph" w:customStyle="1" w:styleId="PIHeading1">
    <w:name w:val="PI Heading 1"/>
    <w:basedOn w:val="Heading1"/>
    <w:uiPriority w:val="2"/>
    <w:qFormat/>
    <w:rsid w:val="002C62D5"/>
  </w:style>
  <w:style w:type="paragraph" w:customStyle="1" w:styleId="PINormal">
    <w:name w:val="PI Normal"/>
    <w:basedOn w:val="Normal"/>
    <w:uiPriority w:val="6"/>
    <w:qFormat/>
    <w:rsid w:val="00782CEE"/>
  </w:style>
  <w:style w:type="paragraph" w:customStyle="1" w:styleId="PIHeading3">
    <w:name w:val="PI Heading 3"/>
    <w:basedOn w:val="Heading3"/>
    <w:uiPriority w:val="4"/>
    <w:qFormat/>
    <w:rsid w:val="00782CEE"/>
  </w:style>
  <w:style w:type="paragraph" w:customStyle="1" w:styleId="PIHeading4">
    <w:name w:val="PI Heading 4"/>
    <w:basedOn w:val="Heading4"/>
    <w:uiPriority w:val="5"/>
    <w:qFormat/>
    <w:rsid w:val="00782CEE"/>
    <w:pPr>
      <w:spacing w:before="120"/>
    </w:pPr>
  </w:style>
  <w:style w:type="paragraph" w:customStyle="1" w:styleId="PITableTextListText">
    <w:name w:val="PI Table Text/List Text"/>
    <w:basedOn w:val="Normal"/>
    <w:uiPriority w:val="7"/>
    <w:qFormat/>
    <w:rsid w:val="002609A4"/>
    <w:pPr>
      <w:spacing w:before="20" w:after="20"/>
    </w:pPr>
    <w:rPr>
      <w:snapToGrid w:val="0"/>
      <w:color w:val="000000"/>
      <w:sz w:val="22"/>
      <w:szCs w:val="24"/>
    </w:rPr>
  </w:style>
  <w:style w:type="paragraph" w:styleId="Revision">
    <w:name w:val="Revision"/>
    <w:hidden/>
    <w:uiPriority w:val="99"/>
    <w:semiHidden/>
    <w:rsid w:val="000C3B79"/>
    <w:rPr>
      <w:sz w:val="24"/>
      <w:lang w:val="en-AU"/>
    </w:rPr>
  </w:style>
  <w:style w:type="paragraph" w:styleId="TOC1">
    <w:name w:val="toc 1"/>
    <w:basedOn w:val="Normal"/>
    <w:autoRedefine/>
    <w:rsid w:val="00C316D8"/>
    <w:pPr>
      <w:keepLines/>
      <w:tabs>
        <w:tab w:val="left" w:pos="576"/>
        <w:tab w:val="right" w:leader="dot" w:pos="9360"/>
      </w:tabs>
      <w:spacing w:before="120"/>
      <w:ind w:left="576" w:right="576" w:hanging="576"/>
    </w:pPr>
    <w:rPr>
      <w:caps/>
      <w:color w:val="0000FF"/>
      <w:szCs w:val="24"/>
      <w:lang w:val="en-US"/>
    </w:rPr>
  </w:style>
  <w:style w:type="paragraph" w:styleId="TOC2">
    <w:name w:val="toc 2"/>
    <w:basedOn w:val="Normal"/>
    <w:autoRedefine/>
    <w:rsid w:val="00C316D8"/>
    <w:pPr>
      <w:keepLines/>
      <w:tabs>
        <w:tab w:val="left" w:pos="1152"/>
        <w:tab w:val="right" w:leader="dot" w:pos="9360"/>
      </w:tabs>
      <w:ind w:left="1152" w:right="576" w:hanging="576"/>
    </w:pPr>
    <w:rPr>
      <w:color w:val="0000FF"/>
      <w:szCs w:val="24"/>
      <w:lang w:val="en-US"/>
    </w:rPr>
  </w:style>
  <w:style w:type="paragraph" w:styleId="TOC3">
    <w:name w:val="toc 3"/>
    <w:basedOn w:val="Normal"/>
    <w:autoRedefine/>
    <w:rsid w:val="00C316D8"/>
    <w:pPr>
      <w:keepLines/>
      <w:tabs>
        <w:tab w:val="left" w:pos="2160"/>
        <w:tab w:val="right" w:leader="dot" w:pos="9360"/>
      </w:tabs>
      <w:ind w:left="2016" w:right="576" w:hanging="864"/>
    </w:pPr>
    <w:rPr>
      <w:color w:val="0000FF"/>
      <w:szCs w:val="24"/>
      <w:lang w:val="en-US"/>
    </w:rPr>
  </w:style>
  <w:style w:type="paragraph" w:styleId="TOC4">
    <w:name w:val="toc 4"/>
    <w:basedOn w:val="Normal"/>
    <w:autoRedefine/>
    <w:rsid w:val="00C316D8"/>
    <w:pPr>
      <w:keepLines/>
      <w:tabs>
        <w:tab w:val="left" w:pos="2160"/>
        <w:tab w:val="right" w:leader="dot" w:pos="9360"/>
      </w:tabs>
      <w:ind w:left="2880" w:right="576" w:hanging="864"/>
    </w:pPr>
    <w:rPr>
      <w:color w:val="0000FF"/>
      <w:szCs w:val="24"/>
      <w:lang w:val="en-US"/>
    </w:rPr>
  </w:style>
  <w:style w:type="paragraph" w:styleId="TOC5">
    <w:name w:val="toc 5"/>
    <w:basedOn w:val="Normal"/>
    <w:next w:val="Normal"/>
    <w:autoRedefine/>
    <w:rsid w:val="00F717D7"/>
    <w:pPr>
      <w:overflowPunct w:val="0"/>
      <w:autoSpaceDE w:val="0"/>
      <w:autoSpaceDN w:val="0"/>
      <w:adjustRightInd w:val="0"/>
      <w:spacing w:after="0"/>
      <w:ind w:left="960"/>
      <w:textAlignment w:val="baseline"/>
    </w:pPr>
    <w:rPr>
      <w:szCs w:val="24"/>
      <w:lang w:val="en-US"/>
    </w:rPr>
  </w:style>
  <w:style w:type="paragraph" w:styleId="TOC6">
    <w:name w:val="toc 6"/>
    <w:basedOn w:val="Normal"/>
    <w:next w:val="Normal"/>
    <w:autoRedefine/>
    <w:rsid w:val="00F717D7"/>
    <w:pPr>
      <w:overflowPunct w:val="0"/>
      <w:autoSpaceDE w:val="0"/>
      <w:autoSpaceDN w:val="0"/>
      <w:adjustRightInd w:val="0"/>
      <w:spacing w:after="0"/>
      <w:ind w:left="1200"/>
      <w:textAlignment w:val="baseline"/>
    </w:pPr>
    <w:rPr>
      <w:szCs w:val="24"/>
      <w:lang w:val="en-US"/>
    </w:rPr>
  </w:style>
  <w:style w:type="paragraph" w:styleId="TOC7">
    <w:name w:val="toc 7"/>
    <w:basedOn w:val="Normal"/>
    <w:next w:val="Normal"/>
    <w:autoRedefine/>
    <w:rsid w:val="00F717D7"/>
    <w:pPr>
      <w:overflowPunct w:val="0"/>
      <w:autoSpaceDE w:val="0"/>
      <w:autoSpaceDN w:val="0"/>
      <w:adjustRightInd w:val="0"/>
      <w:spacing w:after="0"/>
      <w:ind w:left="1440"/>
      <w:textAlignment w:val="baseline"/>
    </w:pPr>
    <w:rPr>
      <w:szCs w:val="24"/>
      <w:lang w:val="en-US"/>
    </w:rPr>
  </w:style>
  <w:style w:type="paragraph" w:styleId="TOC8">
    <w:name w:val="toc 8"/>
    <w:basedOn w:val="Normal"/>
    <w:next w:val="Normal"/>
    <w:autoRedefine/>
    <w:rsid w:val="00F717D7"/>
    <w:pPr>
      <w:overflowPunct w:val="0"/>
      <w:autoSpaceDE w:val="0"/>
      <w:autoSpaceDN w:val="0"/>
      <w:adjustRightInd w:val="0"/>
      <w:spacing w:after="0"/>
      <w:ind w:left="1680"/>
      <w:textAlignment w:val="baseline"/>
    </w:pPr>
    <w:rPr>
      <w:szCs w:val="24"/>
      <w:lang w:val="en-US"/>
    </w:rPr>
  </w:style>
  <w:style w:type="paragraph" w:styleId="TOC9">
    <w:name w:val="toc 9"/>
    <w:basedOn w:val="Normal"/>
    <w:next w:val="Normal"/>
    <w:autoRedefine/>
    <w:rsid w:val="00F717D7"/>
    <w:pPr>
      <w:overflowPunct w:val="0"/>
      <w:autoSpaceDE w:val="0"/>
      <w:autoSpaceDN w:val="0"/>
      <w:adjustRightInd w:val="0"/>
      <w:spacing w:after="0"/>
      <w:ind w:left="1920"/>
      <w:textAlignment w:val="baseline"/>
    </w:pPr>
    <w:rPr>
      <w:szCs w:val="24"/>
      <w:lang w:val="en-US"/>
    </w:rPr>
  </w:style>
  <w:style w:type="table" w:styleId="TableGrid">
    <w:name w:val="Table Grid"/>
    <w:basedOn w:val="TableNormal"/>
    <w:uiPriority w:val="59"/>
    <w:rsid w:val="00F717D7"/>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LDHeading2">
    <w:name w:val="CLD Heading 2"/>
    <w:basedOn w:val="Heading2"/>
    <w:uiPriority w:val="3"/>
    <w:qFormat/>
    <w:rsid w:val="00AA30F2"/>
    <w:rPr>
      <w:lang w:val="en-GB"/>
    </w:rPr>
  </w:style>
  <w:style w:type="paragraph" w:customStyle="1" w:styleId="CLDHeading1">
    <w:name w:val="CLD Heading 1"/>
    <w:basedOn w:val="Heading1"/>
    <w:uiPriority w:val="2"/>
    <w:qFormat/>
    <w:rsid w:val="003E3732"/>
    <w:rPr>
      <w:lang w:val="en-GB"/>
    </w:rPr>
  </w:style>
  <w:style w:type="paragraph" w:customStyle="1" w:styleId="CLDTableTextListText">
    <w:name w:val="CLD Table Text/List Text"/>
    <w:basedOn w:val="Normal"/>
    <w:uiPriority w:val="7"/>
    <w:qFormat/>
    <w:rsid w:val="003E3732"/>
    <w:pPr>
      <w:keepNext/>
      <w:spacing w:before="20" w:after="20"/>
    </w:pPr>
    <w:rPr>
      <w:snapToGrid w:val="0"/>
      <w:color w:val="000000"/>
      <w:szCs w:val="24"/>
      <w:lang w:val="en-GB"/>
    </w:rPr>
  </w:style>
  <w:style w:type="paragraph" w:customStyle="1" w:styleId="CLDNormal">
    <w:name w:val="CLD Normal"/>
    <w:basedOn w:val="Normal"/>
    <w:uiPriority w:val="6"/>
    <w:qFormat/>
    <w:rsid w:val="003E3732"/>
    <w:rPr>
      <w:lang w:val="en-GB"/>
    </w:rPr>
  </w:style>
  <w:style w:type="paragraph" w:customStyle="1" w:styleId="CLDTableFootnote">
    <w:name w:val="CLD Table Footnote"/>
    <w:basedOn w:val="Normal"/>
    <w:uiPriority w:val="7"/>
    <w:qFormat/>
    <w:rsid w:val="003E3732"/>
    <w:pPr>
      <w:spacing w:before="40" w:after="0"/>
    </w:pPr>
    <w:rPr>
      <w:color w:val="000000"/>
      <w:sz w:val="20"/>
      <w:szCs w:val="24"/>
      <w:lang w:val="en-GB"/>
    </w:rPr>
  </w:style>
  <w:style w:type="paragraph" w:customStyle="1" w:styleId="CLDTableTitle">
    <w:name w:val="CLD Table Title"/>
    <w:basedOn w:val="Normal"/>
    <w:uiPriority w:val="7"/>
    <w:qFormat/>
    <w:rsid w:val="009F6FC2"/>
    <w:pPr>
      <w:keepNext/>
      <w:keepLines/>
      <w:spacing w:before="120" w:after="60"/>
    </w:pPr>
    <w:rPr>
      <w:b/>
      <w:color w:val="000000"/>
      <w:szCs w:val="24"/>
      <w:lang w:val="en-GB"/>
    </w:rPr>
  </w:style>
  <w:style w:type="paragraph" w:styleId="CommentText">
    <w:name w:val="annotation text"/>
    <w:basedOn w:val="Normal"/>
    <w:link w:val="CommentTextChar"/>
    <w:uiPriority w:val="99"/>
    <w:rPr>
      <w:sz w:val="20"/>
    </w:rPr>
  </w:style>
  <w:style w:type="character" w:customStyle="1" w:styleId="CommentTextChar">
    <w:name w:val="Comment Text Char"/>
    <w:basedOn w:val="DefaultParagraphFont"/>
    <w:link w:val="CommentText"/>
    <w:uiPriority w:val="99"/>
    <w:rPr>
      <w:lang w:val="en-AU"/>
    </w:rPr>
  </w:style>
  <w:style w:type="paragraph" w:styleId="CommentSubject">
    <w:name w:val="annotation subject"/>
    <w:basedOn w:val="CommentText"/>
    <w:next w:val="CommentText"/>
    <w:link w:val="CommentSubjectChar"/>
    <w:rsid w:val="00631E5E"/>
    <w:rPr>
      <w:b/>
      <w:bCs/>
    </w:rPr>
  </w:style>
  <w:style w:type="character" w:customStyle="1" w:styleId="CommentSubjectChar">
    <w:name w:val="Comment Subject Char"/>
    <w:basedOn w:val="CommentTextChar"/>
    <w:link w:val="CommentSubject"/>
    <w:rsid w:val="00631E5E"/>
    <w:rPr>
      <w:b/>
      <w:bCs/>
      <w:lang w:val="en-AU"/>
    </w:rPr>
  </w:style>
  <w:style w:type="paragraph" w:customStyle="1" w:styleId="DSTradename">
    <w:name w:val="DS Tradename"/>
    <w:basedOn w:val="Normal"/>
    <w:qFormat/>
    <w:rsid w:val="00E76F3C"/>
    <w:pPr>
      <w:spacing w:before="60" w:after="0"/>
      <w:outlineLvl w:val="0"/>
    </w:pPr>
    <w:rPr>
      <w:b/>
      <w:kern w:val="28"/>
      <w:sz w:val="40"/>
      <w:szCs w:val="28"/>
    </w:rPr>
  </w:style>
  <w:style w:type="paragraph" w:customStyle="1" w:styleId="CDSOptionalconcepts">
    <w:name w:val="CDS Optional concepts"/>
    <w:link w:val="CDSOptionalconceptsChar"/>
    <w:rsid w:val="00E76F3C"/>
    <w:pPr>
      <w:widowControl w:val="0"/>
    </w:pPr>
    <w:rPr>
      <w:sz w:val="22"/>
    </w:rPr>
  </w:style>
  <w:style w:type="character" w:customStyle="1" w:styleId="CDSOptionalconceptsChar">
    <w:name w:val="CDS Optional concepts Char"/>
    <w:link w:val="CDSOptionalconcepts"/>
    <w:rsid w:val="00E76F3C"/>
    <w:rPr>
      <w:sz w:val="22"/>
    </w:rPr>
  </w:style>
  <w:style w:type="paragraph" w:customStyle="1" w:styleId="CDSMandatorysafetyconcepts">
    <w:name w:val="CDS Mandatory safety concepts"/>
    <w:link w:val="CDSMandatorysafetyconceptsChar"/>
    <w:uiPriority w:val="99"/>
    <w:rsid w:val="00E76F3C"/>
    <w:rPr>
      <w:b/>
      <w:sz w:val="22"/>
    </w:rPr>
  </w:style>
  <w:style w:type="character" w:customStyle="1" w:styleId="CDSMandatorysafetyconceptsChar">
    <w:name w:val="CDS Mandatory safety concepts Char"/>
    <w:link w:val="CDSMandatorysafetyconcepts"/>
    <w:uiPriority w:val="99"/>
    <w:rsid w:val="00E76F3C"/>
    <w:rPr>
      <w:b/>
      <w:sz w:val="22"/>
    </w:rPr>
  </w:style>
  <w:style w:type="character" w:styleId="FollowedHyperlink">
    <w:name w:val="FollowedHyperlink"/>
    <w:rsid w:val="00507BF8"/>
    <w:rPr>
      <w:color w:val="800080"/>
      <w:u w:val="none"/>
    </w:rPr>
  </w:style>
  <w:style w:type="paragraph" w:customStyle="1" w:styleId="CDSOthermandatoryconcepts">
    <w:name w:val="CDS Other mandatory concepts"/>
    <w:link w:val="CDSOthermandatoryconceptsChar"/>
    <w:rsid w:val="00507BF8"/>
    <w:rPr>
      <w:rFonts w:ascii="Arial" w:hAnsi="Arial"/>
      <w:b/>
    </w:rPr>
  </w:style>
  <w:style w:type="character" w:customStyle="1" w:styleId="CDSOthermandatoryconceptsChar">
    <w:name w:val="CDS Other mandatory concepts Char"/>
    <w:link w:val="CDSOthermandatoryconcepts"/>
    <w:rsid w:val="00507BF8"/>
    <w:rPr>
      <w:rFonts w:ascii="Arial" w:hAnsi="Arial"/>
      <w:b/>
    </w:rPr>
  </w:style>
  <w:style w:type="paragraph" w:styleId="Header">
    <w:name w:val="header"/>
    <w:basedOn w:val="Normal"/>
    <w:link w:val="HeaderChar"/>
    <w:rsid w:val="0034276C"/>
    <w:pPr>
      <w:tabs>
        <w:tab w:val="center" w:pos="4680"/>
        <w:tab w:val="right" w:pos="9360"/>
      </w:tabs>
      <w:spacing w:after="0"/>
    </w:pPr>
  </w:style>
  <w:style w:type="character" w:customStyle="1" w:styleId="HeaderChar">
    <w:name w:val="Header Char"/>
    <w:basedOn w:val="DefaultParagraphFont"/>
    <w:link w:val="Header"/>
    <w:rsid w:val="0034276C"/>
    <w:rPr>
      <w:sz w:val="24"/>
      <w:lang w:val="en-AU"/>
    </w:rPr>
  </w:style>
  <w:style w:type="paragraph" w:styleId="Footer">
    <w:name w:val="footer"/>
    <w:basedOn w:val="Normal"/>
    <w:link w:val="FooterChar"/>
    <w:uiPriority w:val="99"/>
    <w:rsid w:val="0034276C"/>
    <w:pPr>
      <w:tabs>
        <w:tab w:val="center" w:pos="4680"/>
        <w:tab w:val="right" w:pos="9360"/>
      </w:tabs>
      <w:spacing w:after="0"/>
    </w:pPr>
  </w:style>
  <w:style w:type="character" w:customStyle="1" w:styleId="FooterChar">
    <w:name w:val="Footer Char"/>
    <w:basedOn w:val="DefaultParagraphFont"/>
    <w:link w:val="Footer"/>
    <w:uiPriority w:val="99"/>
    <w:rsid w:val="0034276C"/>
    <w:rPr>
      <w:sz w:val="24"/>
      <w:lang w:val="en-AU"/>
    </w:rPr>
  </w:style>
  <w:style w:type="paragraph" w:styleId="Caption">
    <w:name w:val="caption"/>
    <w:aliases w:val="appendix,12,Caption 12pt+,Caption 12pt,12+,12pt"/>
    <w:basedOn w:val="Normal"/>
    <w:next w:val="Normal"/>
    <w:link w:val="CaptionChar"/>
    <w:unhideWhenUsed/>
    <w:qFormat/>
    <w:rsid w:val="00156EC8"/>
    <w:pPr>
      <w:spacing w:before="120"/>
    </w:pPr>
    <w:rPr>
      <w:b/>
      <w:bCs/>
    </w:rPr>
  </w:style>
  <w:style w:type="paragraph" w:customStyle="1" w:styleId="Paragraph">
    <w:name w:val="Paragraph"/>
    <w:link w:val="ParagraphChar"/>
    <w:rsid w:val="00794EFA"/>
    <w:pPr>
      <w:spacing w:after="240"/>
    </w:pPr>
    <w:rPr>
      <w:sz w:val="24"/>
      <w:szCs w:val="24"/>
    </w:rPr>
  </w:style>
  <w:style w:type="paragraph" w:customStyle="1" w:styleId="CDSSectionheading">
    <w:name w:val="CDS Section heading"/>
    <w:rsid w:val="00794EFA"/>
    <w:pPr>
      <w:keepNext/>
      <w:widowControl w:val="0"/>
    </w:pPr>
    <w:rPr>
      <w:rFonts w:ascii="Arial" w:hAnsi="Arial"/>
      <w:b/>
      <w:i/>
      <w:sz w:val="22"/>
    </w:rPr>
  </w:style>
  <w:style w:type="paragraph" w:styleId="BodyText">
    <w:name w:val="Body Text"/>
    <w:aliases w:val="Body Text Hang,BT,bt,Bullet Level 5,Body Hang,Body Text Char1,Body Text Char Char,Body Text Char1 Char1 Char,Body Text Char Char Char1 Char,Char Char Char Char1 Char,Body Text Char Char1 Char Char Char,Body Text Char1 Char Char Char,Char Ch"/>
    <w:basedOn w:val="Normal"/>
    <w:link w:val="BodyTextChar"/>
    <w:rsid w:val="00794EFA"/>
    <w:pPr>
      <w:overflowPunct w:val="0"/>
      <w:autoSpaceDE w:val="0"/>
      <w:autoSpaceDN w:val="0"/>
      <w:adjustRightInd w:val="0"/>
      <w:textAlignment w:val="baseline"/>
    </w:pPr>
    <w:rPr>
      <w:szCs w:val="24"/>
      <w:lang w:val="en-US"/>
    </w:rPr>
  </w:style>
  <w:style w:type="character" w:customStyle="1" w:styleId="BodyTextChar">
    <w:name w:val="Body Text Char"/>
    <w:aliases w:val="Body Text Hang Char,BT Char,bt Char,Bullet Level 5 Char,Body Hang Char,Body Text Char1 Char,Body Text Char Char Char,Body Text Char1 Char1 Char Char,Body Text Char Char Char1 Char Char,Char Char Char Char1 Char Char,Char Ch Char"/>
    <w:basedOn w:val="DefaultParagraphFont"/>
    <w:link w:val="BodyText"/>
    <w:rsid w:val="00794EFA"/>
    <w:rPr>
      <w:sz w:val="24"/>
      <w:szCs w:val="24"/>
    </w:rPr>
  </w:style>
  <w:style w:type="character" w:customStyle="1" w:styleId="ParagraphChar">
    <w:name w:val="Paragraph Char"/>
    <w:link w:val="Paragraph"/>
    <w:locked/>
    <w:rsid w:val="00794EFA"/>
    <w:rPr>
      <w:sz w:val="24"/>
      <w:szCs w:val="24"/>
    </w:rPr>
  </w:style>
  <w:style w:type="character" w:customStyle="1" w:styleId="CaptionChar">
    <w:name w:val="Caption Char"/>
    <w:aliases w:val="appendix Char,12 Char,Caption 12pt+ Char,Caption 12pt Char,12+ Char,12pt Char"/>
    <w:link w:val="Caption"/>
    <w:rsid w:val="00156EC8"/>
    <w:rPr>
      <w:b/>
      <w:bCs/>
      <w:sz w:val="24"/>
      <w:lang w:val="en-AU"/>
    </w:rPr>
  </w:style>
  <w:style w:type="character" w:customStyle="1" w:styleId="TableText12">
    <w:name w:val="TableText 12"/>
    <w:basedOn w:val="DefaultParagraphFont"/>
    <w:rsid w:val="00966986"/>
    <w:rPr>
      <w:rFonts w:ascii="Times New Roman" w:hAnsi="Times New Roman"/>
      <w:sz w:val="24"/>
    </w:rPr>
  </w:style>
  <w:style w:type="paragraph" w:styleId="ListBullet">
    <w:name w:val="List Bullet"/>
    <w:basedOn w:val="Normal"/>
    <w:rsid w:val="006D1087"/>
    <w:pPr>
      <w:numPr>
        <w:numId w:val="45"/>
      </w:numPr>
      <w:contextualSpacing/>
    </w:pPr>
  </w:style>
  <w:style w:type="paragraph" w:customStyle="1" w:styleId="CM3">
    <w:name w:val="CM3"/>
    <w:basedOn w:val="Default"/>
    <w:next w:val="Default"/>
    <w:uiPriority w:val="99"/>
    <w:rsid w:val="000F64DE"/>
    <w:pPr>
      <w:spacing w:line="183" w:lineRule="atLeast"/>
    </w:pPr>
    <w:rPr>
      <w:rFonts w:ascii="Times New Roman" w:hAnsi="Times New Roman" w:cs="Times New Roman"/>
      <w:color w:val="auto"/>
    </w:rPr>
  </w:style>
  <w:style w:type="paragraph" w:customStyle="1" w:styleId="CM45">
    <w:name w:val="CM45"/>
    <w:basedOn w:val="Default"/>
    <w:next w:val="Default"/>
    <w:uiPriority w:val="99"/>
    <w:rsid w:val="000F64DE"/>
    <w:rPr>
      <w:rFonts w:ascii="Times New Roman" w:hAnsi="Times New Roman" w:cs="Times New Roman"/>
      <w:color w:val="auto"/>
    </w:rPr>
  </w:style>
  <w:style w:type="paragraph" w:styleId="TableofFigures">
    <w:name w:val="table of figures"/>
    <w:basedOn w:val="Normal"/>
    <w:next w:val="Normal"/>
    <w:uiPriority w:val="99"/>
    <w:rsid w:val="006C03FD"/>
    <w:pPr>
      <w:spacing w:after="0"/>
    </w:pPr>
  </w:style>
  <w:style w:type="character" w:styleId="Hyperlink">
    <w:name w:val="Hyperlink"/>
    <w:basedOn w:val="DefaultParagraphFont"/>
    <w:uiPriority w:val="99"/>
    <w:unhideWhenUsed/>
    <w:rsid w:val="006C03FD"/>
    <w:rPr>
      <w:color w:val="0000FF" w:themeColor="hyperlink"/>
      <w:u w:val="single"/>
    </w:rPr>
  </w:style>
  <w:style w:type="character" w:styleId="Strong">
    <w:name w:val="Strong"/>
    <w:basedOn w:val="DefaultParagraphFont"/>
    <w:qFormat/>
    <w:rsid w:val="00400C4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100116">
      <w:bodyDiv w:val="1"/>
      <w:marLeft w:val="0"/>
      <w:marRight w:val="0"/>
      <w:marTop w:val="0"/>
      <w:marBottom w:val="0"/>
      <w:divBdr>
        <w:top w:val="none" w:sz="0" w:space="0" w:color="auto"/>
        <w:left w:val="none" w:sz="0" w:space="0" w:color="auto"/>
        <w:bottom w:val="none" w:sz="0" w:space="0" w:color="auto"/>
        <w:right w:val="none" w:sz="0" w:space="0" w:color="auto"/>
      </w:divBdr>
    </w:div>
    <w:div w:id="316036441">
      <w:bodyDiv w:val="1"/>
      <w:marLeft w:val="0"/>
      <w:marRight w:val="0"/>
      <w:marTop w:val="0"/>
      <w:marBottom w:val="0"/>
      <w:divBdr>
        <w:top w:val="none" w:sz="0" w:space="0" w:color="auto"/>
        <w:left w:val="none" w:sz="0" w:space="0" w:color="auto"/>
        <w:bottom w:val="none" w:sz="0" w:space="0" w:color="auto"/>
        <w:right w:val="none" w:sz="0" w:space="0" w:color="auto"/>
      </w:divBdr>
    </w:div>
    <w:div w:id="477456607">
      <w:bodyDiv w:val="1"/>
      <w:marLeft w:val="0"/>
      <w:marRight w:val="0"/>
      <w:marTop w:val="0"/>
      <w:marBottom w:val="0"/>
      <w:divBdr>
        <w:top w:val="none" w:sz="0" w:space="0" w:color="auto"/>
        <w:left w:val="none" w:sz="0" w:space="0" w:color="auto"/>
        <w:bottom w:val="none" w:sz="0" w:space="0" w:color="auto"/>
        <w:right w:val="none" w:sz="0" w:space="0" w:color="auto"/>
      </w:divBdr>
    </w:div>
    <w:div w:id="560755812">
      <w:bodyDiv w:val="1"/>
      <w:marLeft w:val="0"/>
      <w:marRight w:val="0"/>
      <w:marTop w:val="0"/>
      <w:marBottom w:val="0"/>
      <w:divBdr>
        <w:top w:val="none" w:sz="0" w:space="0" w:color="auto"/>
        <w:left w:val="none" w:sz="0" w:space="0" w:color="auto"/>
        <w:bottom w:val="none" w:sz="0" w:space="0" w:color="auto"/>
        <w:right w:val="none" w:sz="0" w:space="0" w:color="auto"/>
      </w:divBdr>
    </w:div>
    <w:div w:id="872813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E1943AA0D36B544B7848D8A7440ECBC" ma:contentTypeVersion="1" ma:contentTypeDescription="Create a new document." ma:contentTypeScope="" ma:versionID="5d14258014e16152000cd21a524a6870">
  <xsd:schema xmlns:xsd="http://www.w3.org/2001/XMLSchema" xmlns:xs="http://www.w3.org/2001/XMLSchema" xmlns:p="http://schemas.microsoft.com/office/2006/metadata/properties" xmlns:ns2="0ff93743-7fc6-41d8-bce7-25e7a24fd47b" targetNamespace="http://schemas.microsoft.com/office/2006/metadata/properties" ma:root="true" ma:fieldsID="2a5d46b639ad32acc0961db284908e7f" ns2:_="">
    <xsd:import namespace="0ff93743-7fc6-41d8-bce7-25e7a24fd47b"/>
    <xsd:element name="properties">
      <xsd:complexType>
        <xsd:sequence>
          <xsd:element name="documentManagement">
            <xsd:complexType>
              <xsd:all>
                <xsd:element ref="ns2:Description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f93743-7fc6-41d8-bce7-25e7a24fd47b" elementFormDefault="qualified">
    <xsd:import namespace="http://schemas.microsoft.com/office/2006/documentManagement/types"/>
    <xsd:import namespace="http://schemas.microsoft.com/office/infopath/2007/PartnerControls"/>
    <xsd:element name="Description0" ma:index="2" nillable="true" ma:displayName="Description" ma:internalName="Description0">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escription0 xmlns="0ff93743-7fc6-41d8-bce7-25e7a24fd47b"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52BF09-4FC6-4F6C-8851-D78B8E76CFC8}">
  <ds:schemaRefs>
    <ds:schemaRef ds:uri="http://schemas.microsoft.com/sharepoint/v3/contenttype/forms"/>
  </ds:schemaRefs>
</ds:datastoreItem>
</file>

<file path=customXml/itemProps2.xml><?xml version="1.0" encoding="utf-8"?>
<ds:datastoreItem xmlns:ds="http://schemas.openxmlformats.org/officeDocument/2006/customXml" ds:itemID="{0D129B1F-0DA7-4543-815D-AFC5FED3B4F0}">
  <ds:schemaRefs>
    <ds:schemaRef ds:uri="http://schemas.microsoft.com/office/2006/metadata/longProperties"/>
  </ds:schemaRefs>
</ds:datastoreItem>
</file>

<file path=customXml/itemProps3.xml><?xml version="1.0" encoding="utf-8"?>
<ds:datastoreItem xmlns:ds="http://schemas.openxmlformats.org/officeDocument/2006/customXml" ds:itemID="{9BE6DB27-7D8E-43E8-B9B3-A860174D37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f93743-7fc6-41d8-bce7-25e7a24fd4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084D704-3933-49AB-8673-6CF8662FBEA1}">
  <ds:schemaRefs>
    <ds:schemaRef ds:uri="http://schemas.microsoft.com/office/2006/metadata/properties"/>
    <ds:schemaRef ds:uri="http://schemas.microsoft.com/office/infopath/2007/PartnerControls"/>
    <ds:schemaRef ds:uri="0ff93743-7fc6-41d8-bce7-25e7a24fd47b"/>
  </ds:schemaRefs>
</ds:datastoreItem>
</file>

<file path=customXml/itemProps5.xml><?xml version="1.0" encoding="utf-8"?>
<ds:datastoreItem xmlns:ds="http://schemas.openxmlformats.org/officeDocument/2006/customXml" ds:itemID="{6615E46E-7A9E-4775-9EB8-731C4589E4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21</Pages>
  <Words>7927</Words>
  <Characters>46208</Characters>
  <Application>Microsoft Office Word</Application>
  <DocSecurity>0</DocSecurity>
  <Lines>385</Lines>
  <Paragraphs>108</Paragraphs>
  <ScaleCrop>false</ScaleCrop>
  <HeadingPairs>
    <vt:vector size="2" baseType="variant">
      <vt:variant>
        <vt:lpstr>Title</vt:lpstr>
      </vt:variant>
      <vt:variant>
        <vt:i4>1</vt:i4>
      </vt:variant>
    </vt:vector>
  </HeadingPairs>
  <TitlesOfParts>
    <vt:vector size="1" baseType="lpstr">
      <vt:lpstr>AusPAR Attachment 1: Product Information for conjugated estrogens / bazedoxifene acetate [Duavive]</vt:lpstr>
    </vt:vector>
  </TitlesOfParts>
  <Company>Pharmacia &amp; Upjohn</Company>
  <LinksUpToDate>false</LinksUpToDate>
  <CharactersWithSpaces>54027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AusPAR Attachment 1: Product Information for conjugated estrogens / bazedoxifene acetate [Duavive]</dc:title>
  <dc:subject>prescription medicine</dc:subject>
  <dc:creator>Therapeutic Goods Administration</dc:creator>
  <cp:keywords>AusPARs</cp:keywords>
  <cp:lastModifiedBy>Therapeutic Goods Administration (TGA) </cp:lastModifiedBy>
  <cp:revision>14</cp:revision>
  <cp:lastPrinted>2016-11-14T23:12:00Z</cp:lastPrinted>
  <dcterms:created xsi:type="dcterms:W3CDTF">2017-10-23T22:31:00Z</dcterms:created>
  <dcterms:modified xsi:type="dcterms:W3CDTF">2018-02-16T05:05:00Z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oup">
    <vt:lpwstr>Regulatory Affairs</vt:lpwstr>
  </property>
  <property fmtid="{D5CDD505-2E9C-101B-9397-08002B2CF9AE}" pid="3" name="Confirmation of Learning">
    <vt:lpwstr/>
  </property>
  <property fmtid="{D5CDD505-2E9C-101B-9397-08002B2CF9AE}" pid="4" name="ContentType">
    <vt:lpwstr>Document</vt:lpwstr>
  </property>
  <property fmtid="{D5CDD505-2E9C-101B-9397-08002B2CF9AE}" pid="5" name="Category">
    <vt:lpwstr>LPDs &amp; CMIs</vt:lpwstr>
  </property>
  <property fmtid="{D5CDD505-2E9C-101B-9397-08002B2CF9AE}" pid="6" name="Subcategory1">
    <vt:lpwstr/>
  </property>
</Properties>
</file>