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4170"/>
        <w:tblW w:w="8777" w:type="dxa"/>
        <w:tblLayout w:type="fixed"/>
        <w:tblCellMar>
          <w:left w:w="0" w:type="dxa"/>
          <w:right w:w="0" w:type="dxa"/>
        </w:tblCellMar>
        <w:tblLook w:val="04A0"/>
      </w:tblPr>
      <w:tblGrid>
        <w:gridCol w:w="8777"/>
      </w:tblGrid>
      <w:tr w:rsidR="00DE02AE" w:rsidRPr="005A27B0" w:rsidTr="005A27B0">
        <w:trPr>
          <w:trHeight w:val="2763"/>
        </w:trPr>
        <w:tc>
          <w:tcPr>
            <w:tcW w:w="8777" w:type="dxa"/>
          </w:tcPr>
          <w:p w:rsidR="002F1FA0" w:rsidRPr="005A27B0" w:rsidRDefault="002F1FA0" w:rsidP="005A27B0">
            <w:pPr>
              <w:pStyle w:val="Title"/>
              <w:rPr>
                <w:color w:val="FFFFFF"/>
              </w:rPr>
            </w:pPr>
            <w:r w:rsidRPr="005A27B0">
              <w:rPr>
                <w:color w:val="FFFFFF"/>
              </w:rPr>
              <w:t xml:space="preserve">Australian Public Assessment Report for </w:t>
            </w:r>
            <w:r w:rsidR="0022400A">
              <w:rPr>
                <w:color w:val="FFFFFF"/>
              </w:rPr>
              <w:t xml:space="preserve">Cyclizine </w:t>
            </w:r>
            <w:r w:rsidR="001E7248">
              <w:rPr>
                <w:color w:val="FFFFFF"/>
              </w:rPr>
              <w:t>lactate</w:t>
            </w:r>
          </w:p>
          <w:p w:rsidR="002F1FA0" w:rsidRPr="005A27B0" w:rsidRDefault="002F1FA0" w:rsidP="005A27B0">
            <w:pPr>
              <w:rPr>
                <w:color w:val="FFFFFF"/>
              </w:rPr>
            </w:pPr>
          </w:p>
          <w:p w:rsidR="002F1FA0" w:rsidRPr="00135898" w:rsidRDefault="002F1FA0" w:rsidP="00FA59FB">
            <w:pPr>
              <w:pStyle w:val="Subtitle"/>
              <w:ind w:left="142"/>
              <w:rPr>
                <w:color w:val="FFFFFF"/>
              </w:rPr>
            </w:pPr>
            <w:r w:rsidRPr="00135898">
              <w:rPr>
                <w:color w:val="FFFFFF"/>
              </w:rPr>
              <w:t xml:space="preserve">Proprietary Product Name: </w:t>
            </w:r>
            <w:r w:rsidR="00357F8C" w:rsidRPr="00135898">
              <w:rPr>
                <w:color w:val="FFFFFF"/>
              </w:rPr>
              <w:fldChar w:fldCharType="begin"/>
            </w:r>
            <w:r w:rsidR="00F651B3" w:rsidRPr="00135898">
              <w:rPr>
                <w:color w:val="FFFFFF"/>
              </w:rPr>
              <w:instrText xml:space="preserve"> MERGEFIELD TRADE </w:instrText>
            </w:r>
            <w:r w:rsidR="00357F8C" w:rsidRPr="00135898">
              <w:rPr>
                <w:color w:val="FFFFFF"/>
              </w:rPr>
              <w:fldChar w:fldCharType="separate"/>
            </w:r>
            <w:r w:rsidR="00AC458D" w:rsidRPr="00135898">
              <w:rPr>
                <w:noProof/>
                <w:color w:val="FFFFFF"/>
              </w:rPr>
              <w:t>V</w:t>
            </w:r>
            <w:r w:rsidR="001969CA">
              <w:rPr>
                <w:noProof/>
                <w:color w:val="FFFFFF"/>
              </w:rPr>
              <w:t>aloid</w:t>
            </w:r>
            <w:r w:rsidR="00357F8C" w:rsidRPr="00135898">
              <w:rPr>
                <w:color w:val="FFFFFF"/>
              </w:rPr>
              <w:fldChar w:fldCharType="end"/>
            </w:r>
            <w:bookmarkStart w:id="0" w:name="_GoBack"/>
            <w:bookmarkEnd w:id="0"/>
          </w:p>
          <w:p w:rsidR="002F1FA0" w:rsidRPr="00135898" w:rsidRDefault="002F1FA0" w:rsidP="00FA59FB">
            <w:pPr>
              <w:pStyle w:val="Subtitle"/>
              <w:ind w:left="142"/>
              <w:rPr>
                <w:color w:val="FFFFFF"/>
              </w:rPr>
            </w:pPr>
            <w:r w:rsidRPr="00135898">
              <w:rPr>
                <w:color w:val="FFFFFF"/>
              </w:rPr>
              <w:t xml:space="preserve">Sponsor: </w:t>
            </w:r>
            <w:r w:rsidR="00357F8C" w:rsidRPr="00135898">
              <w:rPr>
                <w:color w:val="FFFFFF"/>
              </w:rPr>
              <w:fldChar w:fldCharType="begin"/>
            </w:r>
            <w:r w:rsidR="00F651B3" w:rsidRPr="00135898">
              <w:rPr>
                <w:color w:val="FFFFFF"/>
              </w:rPr>
              <w:instrText xml:space="preserve"> MERGEFIELD SPONSOR </w:instrText>
            </w:r>
            <w:r w:rsidR="00357F8C" w:rsidRPr="00135898">
              <w:rPr>
                <w:color w:val="FFFFFF"/>
              </w:rPr>
              <w:fldChar w:fldCharType="separate"/>
            </w:r>
            <w:r w:rsidR="00AC458D" w:rsidRPr="00135898">
              <w:rPr>
                <w:noProof/>
                <w:color w:val="FFFFFF"/>
              </w:rPr>
              <w:t>Link Medical Products Pty Ltd</w:t>
            </w:r>
            <w:r w:rsidR="00357F8C" w:rsidRPr="00135898">
              <w:rPr>
                <w:color w:val="FFFFFF"/>
              </w:rPr>
              <w:fldChar w:fldCharType="end"/>
            </w:r>
          </w:p>
          <w:p w:rsidR="002F1FA0" w:rsidRPr="005A27B0" w:rsidRDefault="002F1FA0" w:rsidP="005A27B0">
            <w:pPr>
              <w:rPr>
                <w:color w:val="FFFFFF"/>
              </w:rPr>
            </w:pPr>
          </w:p>
        </w:tc>
      </w:tr>
      <w:tr w:rsidR="00DE02AE" w:rsidRPr="005A27B0" w:rsidTr="005A27B0">
        <w:trPr>
          <w:trHeight w:val="559"/>
        </w:trPr>
        <w:tc>
          <w:tcPr>
            <w:tcW w:w="8777" w:type="dxa"/>
          </w:tcPr>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tbl>
            <w:tblPr>
              <w:tblpPr w:leftFromText="180" w:rightFromText="180" w:vertAnchor="text" w:horzAnchor="margin" w:tblpY="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tblGrid>
            <w:tr w:rsidR="00FA59FB" w:rsidRPr="005A27B0" w:rsidTr="00FA59FB">
              <w:tc>
                <w:tcPr>
                  <w:tcW w:w="3369" w:type="dxa"/>
                  <w:tcBorders>
                    <w:top w:val="nil"/>
                    <w:left w:val="nil"/>
                    <w:bottom w:val="nil"/>
                    <w:right w:val="nil"/>
                  </w:tcBorders>
                </w:tcPr>
                <w:p w:rsidR="00FA59FB" w:rsidRPr="005A27B0" w:rsidRDefault="00FA59FB" w:rsidP="00FA59FB">
                  <w:pPr>
                    <w:rPr>
                      <w:rFonts w:ascii="Arial" w:hAnsi="Arial"/>
                      <w:b/>
                      <w:color w:val="002C47"/>
                      <w:sz w:val="36"/>
                      <w:szCs w:val="36"/>
                    </w:rPr>
                  </w:pPr>
                  <w:r>
                    <w:rPr>
                      <w:rFonts w:ascii="Arial" w:hAnsi="Arial"/>
                      <w:b/>
                      <w:color w:val="002C47"/>
                      <w:sz w:val="36"/>
                      <w:szCs w:val="36"/>
                    </w:rPr>
                    <w:t>January</w:t>
                  </w:r>
                  <w:r w:rsidRPr="005A27B0">
                    <w:rPr>
                      <w:rFonts w:ascii="Arial" w:hAnsi="Arial"/>
                      <w:b/>
                      <w:color w:val="002C47"/>
                      <w:sz w:val="36"/>
                      <w:szCs w:val="36"/>
                    </w:rPr>
                    <w:t xml:space="preserve"> 201</w:t>
                  </w:r>
                  <w:r>
                    <w:rPr>
                      <w:rFonts w:ascii="Arial" w:hAnsi="Arial"/>
                      <w:b/>
                      <w:color w:val="002C47"/>
                      <w:sz w:val="36"/>
                      <w:szCs w:val="36"/>
                    </w:rPr>
                    <w:t>3</w:t>
                  </w:r>
                </w:p>
                <w:p w:rsidR="00FA59FB" w:rsidRPr="005A27B0" w:rsidRDefault="00FA59FB" w:rsidP="00FA59FB">
                  <w:pPr>
                    <w:pStyle w:val="Date"/>
                    <w:jc w:val="right"/>
                    <w:rPr>
                      <w:color w:val="006DA7"/>
                    </w:rPr>
                  </w:pPr>
                </w:p>
              </w:tc>
            </w:tr>
          </w:tbl>
          <w:p w:rsidR="00FE0DC9" w:rsidRPr="005A27B0" w:rsidRDefault="00FE0DC9" w:rsidP="005A27B0">
            <w:pPr>
              <w:pStyle w:val="Date"/>
              <w:jc w:val="right"/>
              <w:rPr>
                <w:color w:val="006DA7"/>
              </w:rPr>
            </w:pPr>
          </w:p>
          <w:p w:rsidR="00FE0DC9" w:rsidRPr="005A27B0" w:rsidRDefault="00FE0DC9" w:rsidP="005A27B0">
            <w:pPr>
              <w:pStyle w:val="Date"/>
              <w:jc w:val="right"/>
              <w:rPr>
                <w:color w:val="006DA7"/>
              </w:rPr>
            </w:pPr>
          </w:p>
          <w:p w:rsidR="00DE02AE" w:rsidRPr="005A27B0" w:rsidRDefault="00DE02AE" w:rsidP="005A27B0">
            <w:pPr>
              <w:pStyle w:val="Date"/>
              <w:jc w:val="right"/>
              <w:rPr>
                <w:color w:val="006DA7"/>
              </w:rPr>
            </w:pPr>
          </w:p>
        </w:tc>
      </w:tr>
    </w:tbl>
    <w:p w:rsidR="00FA59FB" w:rsidRPr="001F6CBA" w:rsidRDefault="00FA59FB" w:rsidP="00FA59FB">
      <w:pPr>
        <w:pStyle w:val="NonTOCHeading2"/>
        <w:spacing w:before="240"/>
      </w:pPr>
      <w:r w:rsidRPr="001F6CBA">
        <w:lastRenderedPageBreak/>
        <w:t>About the Therapeutic Goods Administration (TGA)</w:t>
      </w:r>
    </w:p>
    <w:p w:rsidR="00FA59FB" w:rsidRDefault="00FA59FB" w:rsidP="00FA59FB">
      <w:pPr>
        <w:pStyle w:val="ListBullet"/>
        <w:numPr>
          <w:ilvl w:val="0"/>
          <w:numId w:val="1"/>
        </w:numPr>
        <w:spacing w:before="120" w:after="120"/>
        <w:ind w:left="357" w:hanging="357"/>
      </w:pPr>
      <w:r>
        <w:t xml:space="preserve">The Therapeutic Goods Administration (TGA) is part of the Australian Government Department of Health and </w:t>
      </w:r>
      <w:r w:rsidRPr="007652FF">
        <w:t>Ageing</w:t>
      </w:r>
      <w:r>
        <w:t>, and is responsible for regulating medicines and medical devices.</w:t>
      </w:r>
    </w:p>
    <w:p w:rsidR="00FA59FB" w:rsidRDefault="00FA59FB" w:rsidP="00FA59FB">
      <w:pPr>
        <w:pStyle w:val="ListBullet"/>
        <w:numPr>
          <w:ilvl w:val="0"/>
          <w:numId w:val="1"/>
        </w:numPr>
        <w:spacing w:before="120" w:after="120"/>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FA59FB" w:rsidRDefault="00FA59FB" w:rsidP="00FA59FB">
      <w:pPr>
        <w:pStyle w:val="ListBullet"/>
        <w:numPr>
          <w:ilvl w:val="0"/>
          <w:numId w:val="1"/>
        </w:numPr>
        <w:spacing w:before="120" w:after="120"/>
        <w:ind w:left="357" w:hanging="357"/>
      </w:pPr>
      <w:r>
        <w:t>The work of the TGA is based on applying scientific and clinical expertise to decision-making, to ensure that the benefits to consumers outweigh any risks associated with the use of medicines and medical devices.</w:t>
      </w:r>
    </w:p>
    <w:p w:rsidR="00FA59FB" w:rsidRDefault="00FA59FB" w:rsidP="00FA59FB">
      <w:pPr>
        <w:pStyle w:val="ListBullet"/>
        <w:numPr>
          <w:ilvl w:val="0"/>
          <w:numId w:val="1"/>
        </w:numPr>
        <w:spacing w:before="120" w:after="120"/>
        <w:ind w:left="357" w:hanging="357"/>
      </w:pPr>
      <w:r>
        <w:t>The TGA relies on the public, healthcare professionals and industry to report problems with medicines or medical devices. TGA investigates reports received by it to determine any necessary regulatory action.</w:t>
      </w:r>
    </w:p>
    <w:p w:rsidR="00FA59FB" w:rsidRDefault="00FA59FB" w:rsidP="00FA59FB">
      <w:pPr>
        <w:pStyle w:val="ListBullet"/>
        <w:numPr>
          <w:ilvl w:val="0"/>
          <w:numId w:val="1"/>
        </w:numPr>
        <w:spacing w:before="120" w:after="120"/>
        <w:ind w:left="357" w:hanging="357"/>
      </w:pPr>
      <w:r>
        <w:t>To report a problem with a medicine or medical device, please see the information on the TGA website &lt;</w:t>
      </w:r>
      <w:hyperlink r:id="rId8" w:history="1">
        <w:r w:rsidRPr="00112F56">
          <w:rPr>
            <w:rStyle w:val="Hyperlink"/>
          </w:rPr>
          <w:t>www.tga.gov.au</w:t>
        </w:r>
      </w:hyperlink>
      <w:r>
        <w:t>&gt;.</w:t>
      </w:r>
    </w:p>
    <w:p w:rsidR="00FA59FB" w:rsidRDefault="00FA59FB" w:rsidP="00FA59FB">
      <w:pPr>
        <w:pStyle w:val="NonTOCHeading2"/>
        <w:spacing w:before="240"/>
      </w:pPr>
      <w:r>
        <w:t>About AusPARs</w:t>
      </w:r>
    </w:p>
    <w:p w:rsidR="00FA59FB" w:rsidRDefault="00FA59FB" w:rsidP="00FA59FB">
      <w:pPr>
        <w:pStyle w:val="ListBullet"/>
        <w:numPr>
          <w:ilvl w:val="0"/>
          <w:numId w:val="1"/>
        </w:numPr>
        <w:spacing w:before="120" w:after="120"/>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FA59FB" w:rsidRDefault="00FA59FB" w:rsidP="00FA59FB">
      <w:pPr>
        <w:pStyle w:val="ListBullet"/>
        <w:numPr>
          <w:ilvl w:val="0"/>
          <w:numId w:val="1"/>
        </w:numPr>
        <w:spacing w:before="120" w:after="120"/>
        <w:ind w:left="357" w:hanging="357"/>
      </w:pPr>
      <w:r>
        <w:t>AusPARs are prepared and published by the TGA.</w:t>
      </w:r>
    </w:p>
    <w:p w:rsidR="00FA59FB" w:rsidRDefault="00FA59FB" w:rsidP="00FA59FB">
      <w:pPr>
        <w:pStyle w:val="ListBullet"/>
        <w:numPr>
          <w:ilvl w:val="0"/>
          <w:numId w:val="1"/>
        </w:numPr>
        <w:spacing w:before="120" w:after="120"/>
        <w:ind w:left="357" w:hanging="357"/>
      </w:pPr>
      <w:r>
        <w:t>An AusPAR is prepared for submissions that relate to new chemical entities, generic medicines, major variations, and extensions of indications.</w:t>
      </w:r>
    </w:p>
    <w:p w:rsidR="00FA59FB" w:rsidRDefault="00FA59FB" w:rsidP="00FA59FB">
      <w:pPr>
        <w:pStyle w:val="ListBullet"/>
        <w:numPr>
          <w:ilvl w:val="0"/>
          <w:numId w:val="1"/>
        </w:numPr>
        <w:spacing w:before="120" w:after="120"/>
        <w:ind w:left="357" w:hanging="357"/>
      </w:pPr>
      <w:r>
        <w:t>An AusPAR is a static document, in that it will provide information that relates to a submission at a particular point in time.</w:t>
      </w:r>
    </w:p>
    <w:p w:rsidR="007A19BE" w:rsidRDefault="00FA59FB" w:rsidP="00FA59FB">
      <w:pPr>
        <w:pStyle w:val="ListBullet"/>
        <w:numPr>
          <w:ilvl w:val="0"/>
          <w:numId w:val="1"/>
        </w:numPr>
        <w:spacing w:before="120" w:after="120"/>
        <w:ind w:left="357" w:hanging="357"/>
      </w:pPr>
      <w:r>
        <w:t>A new AusPAR will be developed to reflect changes to indications and/or major variations to a prescription medicine subject to evaluation by the TGA.</w:t>
      </w:r>
    </w:p>
    <w:p w:rsidR="00FA59FB" w:rsidRPr="00DF1D7F" w:rsidRDefault="00FA59FB" w:rsidP="00FA59FB">
      <w:pPr>
        <w:pStyle w:val="LegalSubheading"/>
        <w:spacing w:before="3120"/>
      </w:pPr>
      <w:r w:rsidRPr="00DF1D7F">
        <w:t>Copyright</w:t>
      </w:r>
    </w:p>
    <w:p w:rsidR="007A19BE" w:rsidRDefault="00FA59FB" w:rsidP="00FA59FB">
      <w:pPr>
        <w:pStyle w:val="LegalCopy"/>
        <w:sectPr w:rsidR="007A19BE" w:rsidSect="00FA59FB">
          <w:headerReference w:type="default" r:id="rId9"/>
          <w:footerReference w:type="default" r:id="rId10"/>
          <w:headerReference w:type="first" r:id="rId11"/>
          <w:footerReference w:type="first" r:id="rId12"/>
          <w:pgSz w:w="11906" w:h="16838" w:code="9"/>
          <w:pgMar w:top="1351" w:right="1701" w:bottom="0" w:left="1701" w:header="907" w:footer="142" w:gutter="0"/>
          <w:pgNumType w:fmt="lowerRoman" w:start="1"/>
          <w:cols w:space="708"/>
          <w:titlePg/>
          <w:docGrid w:linePitch="360"/>
        </w:sectPr>
      </w:pPr>
      <w:r w:rsidRPr="00191B3B">
        <w:rPr>
          <w:lang w:val="en-GB"/>
        </w:rPr>
        <w:t>© Comm</w:t>
      </w:r>
      <w:r>
        <w:rPr>
          <w:lang w:val="en-GB"/>
        </w:rPr>
        <w:t>onwealth of Australia 2012</w:t>
      </w:r>
      <w:r w:rsidRPr="00191B3B">
        <w:rPr>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lang w:val="en-GB"/>
          </w:rPr>
          <w:t>tga.copyright@tga.gov.au</w:t>
        </w:r>
      </w:hyperlink>
      <w:r w:rsidRPr="00191B3B">
        <w:t>&gt;.</w:t>
      </w:r>
    </w:p>
    <w:p w:rsidR="008C159F" w:rsidRPr="00FA59FB" w:rsidRDefault="004564A7" w:rsidP="00E5044B">
      <w:pPr>
        <w:pStyle w:val="Contents"/>
        <w:spacing w:after="0"/>
        <w:rPr>
          <w:sz w:val="48"/>
          <w:szCs w:val="48"/>
        </w:rPr>
      </w:pPr>
      <w:r w:rsidRPr="00FA59FB">
        <w:rPr>
          <w:sz w:val="48"/>
          <w:szCs w:val="48"/>
        </w:rPr>
        <w:lastRenderedPageBreak/>
        <w:t>Contents</w:t>
      </w:r>
    </w:p>
    <w:p w:rsidR="00377AD6" w:rsidRDefault="00357F8C">
      <w:pPr>
        <w:pStyle w:val="TOC2"/>
        <w:rPr>
          <w:rFonts w:asciiTheme="minorHAnsi" w:eastAsiaTheme="minorEastAsia" w:hAnsiTheme="minorHAnsi" w:cstheme="minorBidi"/>
          <w:b w:val="0"/>
          <w:noProof/>
          <w:sz w:val="22"/>
          <w:lang w:eastAsia="en-AU"/>
        </w:rPr>
      </w:pPr>
      <w:r w:rsidRPr="00357F8C">
        <w:rPr>
          <w:sz w:val="22"/>
        </w:rPr>
        <w:fldChar w:fldCharType="begin"/>
      </w:r>
      <w:r w:rsidR="007A19BE" w:rsidRPr="00E5044B">
        <w:rPr>
          <w:sz w:val="22"/>
        </w:rPr>
        <w:instrText xml:space="preserve"> TOC \o "1-3" \h \z </w:instrText>
      </w:r>
      <w:r w:rsidRPr="00357F8C">
        <w:rPr>
          <w:sz w:val="22"/>
        </w:rPr>
        <w:fldChar w:fldCharType="separate"/>
      </w:r>
      <w:hyperlink w:anchor="_Toc350329799" w:history="1">
        <w:r w:rsidR="00377AD6" w:rsidRPr="00AF1372">
          <w:rPr>
            <w:rStyle w:val="Hyperlink"/>
            <w:noProof/>
          </w:rPr>
          <w:t>I. Introduction to product submission</w:t>
        </w:r>
        <w:r w:rsidR="00377AD6">
          <w:rPr>
            <w:noProof/>
            <w:webHidden/>
          </w:rPr>
          <w:tab/>
        </w:r>
        <w:r>
          <w:rPr>
            <w:noProof/>
            <w:webHidden/>
          </w:rPr>
          <w:fldChar w:fldCharType="begin"/>
        </w:r>
        <w:r w:rsidR="00377AD6">
          <w:rPr>
            <w:noProof/>
            <w:webHidden/>
          </w:rPr>
          <w:instrText xml:space="preserve"> PAGEREF _Toc350329799 \h </w:instrText>
        </w:r>
        <w:r>
          <w:rPr>
            <w:noProof/>
            <w:webHidden/>
          </w:rPr>
        </w:r>
        <w:r>
          <w:rPr>
            <w:noProof/>
            <w:webHidden/>
          </w:rPr>
          <w:fldChar w:fldCharType="separate"/>
        </w:r>
        <w:r w:rsidR="00BA1A9A">
          <w:rPr>
            <w:noProof/>
            <w:webHidden/>
          </w:rPr>
          <w:t>4</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0" w:history="1">
        <w:r w:rsidR="00377AD6" w:rsidRPr="00AF1372">
          <w:rPr>
            <w:rStyle w:val="Hyperlink"/>
            <w:noProof/>
            <w:lang w:eastAsia="en-AU"/>
          </w:rPr>
          <w:t>Submission details</w:t>
        </w:r>
        <w:r w:rsidR="00377AD6">
          <w:rPr>
            <w:noProof/>
            <w:webHidden/>
          </w:rPr>
          <w:tab/>
        </w:r>
        <w:r>
          <w:rPr>
            <w:noProof/>
            <w:webHidden/>
          </w:rPr>
          <w:fldChar w:fldCharType="begin"/>
        </w:r>
        <w:r w:rsidR="00377AD6">
          <w:rPr>
            <w:noProof/>
            <w:webHidden/>
          </w:rPr>
          <w:instrText xml:space="preserve"> PAGEREF _Toc350329800 \h </w:instrText>
        </w:r>
        <w:r>
          <w:rPr>
            <w:noProof/>
            <w:webHidden/>
          </w:rPr>
        </w:r>
        <w:r>
          <w:rPr>
            <w:noProof/>
            <w:webHidden/>
          </w:rPr>
          <w:fldChar w:fldCharType="separate"/>
        </w:r>
        <w:r w:rsidR="00BA1A9A">
          <w:rPr>
            <w:noProof/>
            <w:webHidden/>
          </w:rPr>
          <w:t>4</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1" w:history="1">
        <w:r w:rsidR="00377AD6" w:rsidRPr="00AF1372">
          <w:rPr>
            <w:rStyle w:val="Hyperlink"/>
            <w:noProof/>
          </w:rPr>
          <w:t>Product background</w:t>
        </w:r>
        <w:r w:rsidR="00377AD6">
          <w:rPr>
            <w:noProof/>
            <w:webHidden/>
          </w:rPr>
          <w:tab/>
        </w:r>
        <w:r>
          <w:rPr>
            <w:noProof/>
            <w:webHidden/>
          </w:rPr>
          <w:fldChar w:fldCharType="begin"/>
        </w:r>
        <w:r w:rsidR="00377AD6">
          <w:rPr>
            <w:noProof/>
            <w:webHidden/>
          </w:rPr>
          <w:instrText xml:space="preserve"> PAGEREF _Toc350329801 \h </w:instrText>
        </w:r>
        <w:r>
          <w:rPr>
            <w:noProof/>
            <w:webHidden/>
          </w:rPr>
        </w:r>
        <w:r>
          <w:rPr>
            <w:noProof/>
            <w:webHidden/>
          </w:rPr>
          <w:fldChar w:fldCharType="separate"/>
        </w:r>
        <w:r w:rsidR="00BA1A9A">
          <w:rPr>
            <w:noProof/>
            <w:webHidden/>
          </w:rPr>
          <w:t>4</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2" w:history="1">
        <w:r w:rsidR="00377AD6" w:rsidRPr="00AF1372">
          <w:rPr>
            <w:rStyle w:val="Hyperlink"/>
            <w:noProof/>
          </w:rPr>
          <w:t>Regulatory status</w:t>
        </w:r>
        <w:r w:rsidR="00377AD6">
          <w:rPr>
            <w:noProof/>
            <w:webHidden/>
          </w:rPr>
          <w:tab/>
        </w:r>
        <w:r>
          <w:rPr>
            <w:noProof/>
            <w:webHidden/>
          </w:rPr>
          <w:fldChar w:fldCharType="begin"/>
        </w:r>
        <w:r w:rsidR="00377AD6">
          <w:rPr>
            <w:noProof/>
            <w:webHidden/>
          </w:rPr>
          <w:instrText xml:space="preserve"> PAGEREF _Toc350329802 \h </w:instrText>
        </w:r>
        <w:r>
          <w:rPr>
            <w:noProof/>
            <w:webHidden/>
          </w:rPr>
        </w:r>
        <w:r>
          <w:rPr>
            <w:noProof/>
            <w:webHidden/>
          </w:rPr>
          <w:fldChar w:fldCharType="separate"/>
        </w:r>
        <w:r w:rsidR="00BA1A9A">
          <w:rPr>
            <w:noProof/>
            <w:webHidden/>
          </w:rPr>
          <w:t>5</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3" w:history="1">
        <w:r w:rsidR="00377AD6" w:rsidRPr="00AF1372">
          <w:rPr>
            <w:rStyle w:val="Hyperlink"/>
            <w:noProof/>
          </w:rPr>
          <w:t>Product information</w:t>
        </w:r>
        <w:r w:rsidR="00377AD6">
          <w:rPr>
            <w:noProof/>
            <w:webHidden/>
          </w:rPr>
          <w:tab/>
        </w:r>
        <w:r>
          <w:rPr>
            <w:noProof/>
            <w:webHidden/>
          </w:rPr>
          <w:fldChar w:fldCharType="begin"/>
        </w:r>
        <w:r w:rsidR="00377AD6">
          <w:rPr>
            <w:noProof/>
            <w:webHidden/>
          </w:rPr>
          <w:instrText xml:space="preserve"> PAGEREF _Toc350329803 \h </w:instrText>
        </w:r>
        <w:r>
          <w:rPr>
            <w:noProof/>
            <w:webHidden/>
          </w:rPr>
        </w:r>
        <w:r>
          <w:rPr>
            <w:noProof/>
            <w:webHidden/>
          </w:rPr>
          <w:fldChar w:fldCharType="separate"/>
        </w:r>
        <w:r w:rsidR="00BA1A9A">
          <w:rPr>
            <w:noProof/>
            <w:webHidden/>
          </w:rPr>
          <w:t>5</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04" w:history="1">
        <w:r w:rsidR="00377AD6" w:rsidRPr="00AF1372">
          <w:rPr>
            <w:rStyle w:val="Hyperlink"/>
            <w:noProof/>
          </w:rPr>
          <w:t>II. Quality findings</w:t>
        </w:r>
        <w:r w:rsidR="00377AD6">
          <w:rPr>
            <w:noProof/>
            <w:webHidden/>
          </w:rPr>
          <w:tab/>
        </w:r>
        <w:r>
          <w:rPr>
            <w:noProof/>
            <w:webHidden/>
          </w:rPr>
          <w:fldChar w:fldCharType="begin"/>
        </w:r>
        <w:r w:rsidR="00377AD6">
          <w:rPr>
            <w:noProof/>
            <w:webHidden/>
          </w:rPr>
          <w:instrText xml:space="preserve"> PAGEREF _Toc350329804 \h </w:instrText>
        </w:r>
        <w:r>
          <w:rPr>
            <w:noProof/>
            <w:webHidden/>
          </w:rPr>
        </w:r>
        <w:r>
          <w:rPr>
            <w:noProof/>
            <w:webHidden/>
          </w:rPr>
          <w:fldChar w:fldCharType="separate"/>
        </w:r>
        <w:r w:rsidR="00BA1A9A">
          <w:rPr>
            <w:noProof/>
            <w:webHidden/>
          </w:rPr>
          <w:t>5</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5" w:history="1">
        <w:r w:rsidR="00377AD6" w:rsidRPr="00AF1372">
          <w:rPr>
            <w:rStyle w:val="Hyperlink"/>
            <w:noProof/>
          </w:rPr>
          <w:t>Drug substance (active ingredient)</w:t>
        </w:r>
        <w:r w:rsidR="00377AD6">
          <w:rPr>
            <w:noProof/>
            <w:webHidden/>
          </w:rPr>
          <w:tab/>
        </w:r>
        <w:r>
          <w:rPr>
            <w:noProof/>
            <w:webHidden/>
          </w:rPr>
          <w:fldChar w:fldCharType="begin"/>
        </w:r>
        <w:r w:rsidR="00377AD6">
          <w:rPr>
            <w:noProof/>
            <w:webHidden/>
          </w:rPr>
          <w:instrText xml:space="preserve"> PAGEREF _Toc350329805 \h </w:instrText>
        </w:r>
        <w:r>
          <w:rPr>
            <w:noProof/>
            <w:webHidden/>
          </w:rPr>
        </w:r>
        <w:r>
          <w:rPr>
            <w:noProof/>
            <w:webHidden/>
          </w:rPr>
          <w:fldChar w:fldCharType="separate"/>
        </w:r>
        <w:r w:rsidR="00BA1A9A">
          <w:rPr>
            <w:noProof/>
            <w:webHidden/>
          </w:rPr>
          <w:t>5</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6" w:history="1">
        <w:r w:rsidR="00377AD6" w:rsidRPr="00AF1372">
          <w:rPr>
            <w:rStyle w:val="Hyperlink"/>
            <w:noProof/>
          </w:rPr>
          <w:t>Drug product</w:t>
        </w:r>
        <w:r w:rsidR="00377AD6">
          <w:rPr>
            <w:noProof/>
            <w:webHidden/>
          </w:rPr>
          <w:tab/>
        </w:r>
        <w:r>
          <w:rPr>
            <w:noProof/>
            <w:webHidden/>
          </w:rPr>
          <w:fldChar w:fldCharType="begin"/>
        </w:r>
        <w:r w:rsidR="00377AD6">
          <w:rPr>
            <w:noProof/>
            <w:webHidden/>
          </w:rPr>
          <w:instrText xml:space="preserve"> PAGEREF _Toc350329806 \h </w:instrText>
        </w:r>
        <w:r>
          <w:rPr>
            <w:noProof/>
            <w:webHidden/>
          </w:rPr>
        </w:r>
        <w:r>
          <w:rPr>
            <w:noProof/>
            <w:webHidden/>
          </w:rPr>
          <w:fldChar w:fldCharType="separate"/>
        </w:r>
        <w:r w:rsidR="00BA1A9A">
          <w:rPr>
            <w:noProof/>
            <w:webHidden/>
          </w:rPr>
          <w:t>5</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7" w:history="1">
        <w:r w:rsidR="00377AD6" w:rsidRPr="00AF1372">
          <w:rPr>
            <w:rStyle w:val="Hyperlink"/>
            <w:noProof/>
          </w:rPr>
          <w:t>Biopharmaceutics</w:t>
        </w:r>
        <w:r w:rsidR="00377AD6">
          <w:rPr>
            <w:noProof/>
            <w:webHidden/>
          </w:rPr>
          <w:tab/>
        </w:r>
        <w:r>
          <w:rPr>
            <w:noProof/>
            <w:webHidden/>
          </w:rPr>
          <w:fldChar w:fldCharType="begin"/>
        </w:r>
        <w:r w:rsidR="00377AD6">
          <w:rPr>
            <w:noProof/>
            <w:webHidden/>
          </w:rPr>
          <w:instrText xml:space="preserve"> PAGEREF _Toc350329807 \h </w:instrText>
        </w:r>
        <w:r>
          <w:rPr>
            <w:noProof/>
            <w:webHidden/>
          </w:rPr>
        </w:r>
        <w:r>
          <w:rPr>
            <w:noProof/>
            <w:webHidden/>
          </w:rPr>
          <w:fldChar w:fldCharType="separate"/>
        </w:r>
        <w:r w:rsidR="00BA1A9A">
          <w:rPr>
            <w:noProof/>
            <w:webHidden/>
          </w:rPr>
          <w:t>6</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8" w:history="1">
        <w:r w:rsidR="00377AD6" w:rsidRPr="00AF1372">
          <w:rPr>
            <w:rStyle w:val="Hyperlink"/>
            <w:noProof/>
          </w:rPr>
          <w:t>Advisory committee considerations</w:t>
        </w:r>
        <w:r w:rsidR="00377AD6">
          <w:rPr>
            <w:noProof/>
            <w:webHidden/>
          </w:rPr>
          <w:tab/>
        </w:r>
        <w:r>
          <w:rPr>
            <w:noProof/>
            <w:webHidden/>
          </w:rPr>
          <w:fldChar w:fldCharType="begin"/>
        </w:r>
        <w:r w:rsidR="00377AD6">
          <w:rPr>
            <w:noProof/>
            <w:webHidden/>
          </w:rPr>
          <w:instrText xml:space="preserve"> PAGEREF _Toc350329808 \h </w:instrText>
        </w:r>
        <w:r>
          <w:rPr>
            <w:noProof/>
            <w:webHidden/>
          </w:rPr>
        </w:r>
        <w:r>
          <w:rPr>
            <w:noProof/>
            <w:webHidden/>
          </w:rPr>
          <w:fldChar w:fldCharType="separate"/>
        </w:r>
        <w:r w:rsidR="00BA1A9A">
          <w:rPr>
            <w:noProof/>
            <w:webHidden/>
          </w:rPr>
          <w:t>6</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09" w:history="1">
        <w:r w:rsidR="00377AD6" w:rsidRPr="00AF1372">
          <w:rPr>
            <w:rStyle w:val="Hyperlink"/>
            <w:noProof/>
          </w:rPr>
          <w:t>Quality summary and conclusions</w:t>
        </w:r>
        <w:r w:rsidR="00377AD6">
          <w:rPr>
            <w:noProof/>
            <w:webHidden/>
          </w:rPr>
          <w:tab/>
        </w:r>
        <w:r>
          <w:rPr>
            <w:noProof/>
            <w:webHidden/>
          </w:rPr>
          <w:fldChar w:fldCharType="begin"/>
        </w:r>
        <w:r w:rsidR="00377AD6">
          <w:rPr>
            <w:noProof/>
            <w:webHidden/>
          </w:rPr>
          <w:instrText xml:space="preserve"> PAGEREF _Toc350329809 \h </w:instrText>
        </w:r>
        <w:r>
          <w:rPr>
            <w:noProof/>
            <w:webHidden/>
          </w:rPr>
        </w:r>
        <w:r>
          <w:rPr>
            <w:noProof/>
            <w:webHidden/>
          </w:rPr>
          <w:fldChar w:fldCharType="separate"/>
        </w:r>
        <w:r w:rsidR="00BA1A9A">
          <w:rPr>
            <w:noProof/>
            <w:webHidden/>
          </w:rPr>
          <w:t>6</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10" w:history="1">
        <w:r w:rsidR="00377AD6" w:rsidRPr="00AF1372">
          <w:rPr>
            <w:rStyle w:val="Hyperlink"/>
            <w:noProof/>
          </w:rPr>
          <w:t>III. Nonclinical findings</w:t>
        </w:r>
        <w:r w:rsidR="00377AD6">
          <w:rPr>
            <w:noProof/>
            <w:webHidden/>
          </w:rPr>
          <w:tab/>
        </w:r>
        <w:r>
          <w:rPr>
            <w:noProof/>
            <w:webHidden/>
          </w:rPr>
          <w:fldChar w:fldCharType="begin"/>
        </w:r>
        <w:r w:rsidR="00377AD6">
          <w:rPr>
            <w:noProof/>
            <w:webHidden/>
          </w:rPr>
          <w:instrText xml:space="preserve"> PAGEREF _Toc350329810 \h </w:instrText>
        </w:r>
        <w:r>
          <w:rPr>
            <w:noProof/>
            <w:webHidden/>
          </w:rPr>
        </w:r>
        <w:r>
          <w:rPr>
            <w:noProof/>
            <w:webHidden/>
          </w:rPr>
          <w:fldChar w:fldCharType="separate"/>
        </w:r>
        <w:r w:rsidR="00BA1A9A">
          <w:rPr>
            <w:noProof/>
            <w:webHidden/>
          </w:rPr>
          <w:t>6</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1" w:history="1">
        <w:r w:rsidR="00377AD6" w:rsidRPr="00AF1372">
          <w:rPr>
            <w:rStyle w:val="Hyperlink"/>
            <w:noProof/>
          </w:rPr>
          <w:t>Introduction</w:t>
        </w:r>
        <w:r w:rsidR="00377AD6">
          <w:rPr>
            <w:noProof/>
            <w:webHidden/>
          </w:rPr>
          <w:tab/>
        </w:r>
        <w:r>
          <w:rPr>
            <w:noProof/>
            <w:webHidden/>
          </w:rPr>
          <w:fldChar w:fldCharType="begin"/>
        </w:r>
        <w:r w:rsidR="00377AD6">
          <w:rPr>
            <w:noProof/>
            <w:webHidden/>
          </w:rPr>
          <w:instrText xml:space="preserve"> PAGEREF _Toc350329811 \h </w:instrText>
        </w:r>
        <w:r>
          <w:rPr>
            <w:noProof/>
            <w:webHidden/>
          </w:rPr>
        </w:r>
        <w:r>
          <w:rPr>
            <w:noProof/>
            <w:webHidden/>
          </w:rPr>
          <w:fldChar w:fldCharType="separate"/>
        </w:r>
        <w:r w:rsidR="00BA1A9A">
          <w:rPr>
            <w:noProof/>
            <w:webHidden/>
          </w:rPr>
          <w:t>6</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2" w:history="1">
        <w:r w:rsidR="00377AD6" w:rsidRPr="00AF1372">
          <w:rPr>
            <w:rStyle w:val="Hyperlink"/>
            <w:noProof/>
          </w:rPr>
          <w:t>Pharmacodynamics</w:t>
        </w:r>
        <w:r w:rsidR="00377AD6">
          <w:rPr>
            <w:noProof/>
            <w:webHidden/>
          </w:rPr>
          <w:tab/>
        </w:r>
        <w:r>
          <w:rPr>
            <w:noProof/>
            <w:webHidden/>
          </w:rPr>
          <w:fldChar w:fldCharType="begin"/>
        </w:r>
        <w:r w:rsidR="00377AD6">
          <w:rPr>
            <w:noProof/>
            <w:webHidden/>
          </w:rPr>
          <w:instrText xml:space="preserve"> PAGEREF _Toc350329812 \h </w:instrText>
        </w:r>
        <w:r>
          <w:rPr>
            <w:noProof/>
            <w:webHidden/>
          </w:rPr>
        </w:r>
        <w:r>
          <w:rPr>
            <w:noProof/>
            <w:webHidden/>
          </w:rPr>
          <w:fldChar w:fldCharType="separate"/>
        </w:r>
        <w:r w:rsidR="00BA1A9A">
          <w:rPr>
            <w:noProof/>
            <w:webHidden/>
          </w:rPr>
          <w:t>6</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3" w:history="1">
        <w:r w:rsidR="00377AD6" w:rsidRPr="00AF1372">
          <w:rPr>
            <w:rStyle w:val="Hyperlink"/>
            <w:noProof/>
          </w:rPr>
          <w:t>Pharmacokinetics and relative exposure</w:t>
        </w:r>
        <w:r w:rsidR="00377AD6">
          <w:rPr>
            <w:noProof/>
            <w:webHidden/>
          </w:rPr>
          <w:tab/>
        </w:r>
        <w:r>
          <w:rPr>
            <w:noProof/>
            <w:webHidden/>
          </w:rPr>
          <w:fldChar w:fldCharType="begin"/>
        </w:r>
        <w:r w:rsidR="00377AD6">
          <w:rPr>
            <w:noProof/>
            <w:webHidden/>
          </w:rPr>
          <w:instrText xml:space="preserve"> PAGEREF _Toc350329813 \h </w:instrText>
        </w:r>
        <w:r>
          <w:rPr>
            <w:noProof/>
            <w:webHidden/>
          </w:rPr>
        </w:r>
        <w:r>
          <w:rPr>
            <w:noProof/>
            <w:webHidden/>
          </w:rPr>
          <w:fldChar w:fldCharType="separate"/>
        </w:r>
        <w:r w:rsidR="00BA1A9A">
          <w:rPr>
            <w:noProof/>
            <w:webHidden/>
          </w:rPr>
          <w:t>8</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4" w:history="1">
        <w:r w:rsidR="00377AD6" w:rsidRPr="00AF1372">
          <w:rPr>
            <w:rStyle w:val="Hyperlink"/>
            <w:noProof/>
          </w:rPr>
          <w:t>Toxicology</w:t>
        </w:r>
        <w:r w:rsidR="00377AD6">
          <w:rPr>
            <w:noProof/>
            <w:webHidden/>
          </w:rPr>
          <w:tab/>
        </w:r>
        <w:r>
          <w:rPr>
            <w:noProof/>
            <w:webHidden/>
          </w:rPr>
          <w:fldChar w:fldCharType="begin"/>
        </w:r>
        <w:r w:rsidR="00377AD6">
          <w:rPr>
            <w:noProof/>
            <w:webHidden/>
          </w:rPr>
          <w:instrText xml:space="preserve"> PAGEREF _Toc350329814 \h </w:instrText>
        </w:r>
        <w:r>
          <w:rPr>
            <w:noProof/>
            <w:webHidden/>
          </w:rPr>
        </w:r>
        <w:r>
          <w:rPr>
            <w:noProof/>
            <w:webHidden/>
          </w:rPr>
          <w:fldChar w:fldCharType="separate"/>
        </w:r>
        <w:r w:rsidR="00BA1A9A">
          <w:rPr>
            <w:noProof/>
            <w:webHidden/>
          </w:rPr>
          <w:t>9</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5" w:history="1">
        <w:r w:rsidR="00377AD6" w:rsidRPr="00AF1372">
          <w:rPr>
            <w:rStyle w:val="Hyperlink"/>
            <w:noProof/>
          </w:rPr>
          <w:t>Nonclinical summary and conclusions</w:t>
        </w:r>
        <w:r w:rsidR="00377AD6">
          <w:rPr>
            <w:noProof/>
            <w:webHidden/>
          </w:rPr>
          <w:tab/>
        </w:r>
        <w:r>
          <w:rPr>
            <w:noProof/>
            <w:webHidden/>
          </w:rPr>
          <w:fldChar w:fldCharType="begin"/>
        </w:r>
        <w:r w:rsidR="00377AD6">
          <w:rPr>
            <w:noProof/>
            <w:webHidden/>
          </w:rPr>
          <w:instrText xml:space="preserve"> PAGEREF _Toc350329815 \h </w:instrText>
        </w:r>
        <w:r>
          <w:rPr>
            <w:noProof/>
            <w:webHidden/>
          </w:rPr>
        </w:r>
        <w:r>
          <w:rPr>
            <w:noProof/>
            <w:webHidden/>
          </w:rPr>
          <w:fldChar w:fldCharType="separate"/>
        </w:r>
        <w:r w:rsidR="00BA1A9A">
          <w:rPr>
            <w:noProof/>
            <w:webHidden/>
          </w:rPr>
          <w:t>11</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16" w:history="1">
        <w:r w:rsidR="00377AD6" w:rsidRPr="00AF1372">
          <w:rPr>
            <w:rStyle w:val="Hyperlink"/>
            <w:noProof/>
          </w:rPr>
          <w:t>IV. Clinical findings</w:t>
        </w:r>
        <w:r w:rsidR="00377AD6">
          <w:rPr>
            <w:noProof/>
            <w:webHidden/>
          </w:rPr>
          <w:tab/>
        </w:r>
        <w:r>
          <w:rPr>
            <w:noProof/>
            <w:webHidden/>
          </w:rPr>
          <w:fldChar w:fldCharType="begin"/>
        </w:r>
        <w:r w:rsidR="00377AD6">
          <w:rPr>
            <w:noProof/>
            <w:webHidden/>
          </w:rPr>
          <w:instrText xml:space="preserve"> PAGEREF _Toc350329816 \h </w:instrText>
        </w:r>
        <w:r>
          <w:rPr>
            <w:noProof/>
            <w:webHidden/>
          </w:rPr>
        </w:r>
        <w:r>
          <w:rPr>
            <w:noProof/>
            <w:webHidden/>
          </w:rPr>
          <w:fldChar w:fldCharType="separate"/>
        </w:r>
        <w:r w:rsidR="00BA1A9A">
          <w:rPr>
            <w:noProof/>
            <w:webHidden/>
          </w:rPr>
          <w:t>12</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7" w:history="1">
        <w:r w:rsidR="00377AD6" w:rsidRPr="00AF1372">
          <w:rPr>
            <w:rStyle w:val="Hyperlink"/>
            <w:noProof/>
          </w:rPr>
          <w:t>Introduction</w:t>
        </w:r>
        <w:r w:rsidR="00377AD6">
          <w:rPr>
            <w:noProof/>
            <w:webHidden/>
          </w:rPr>
          <w:tab/>
        </w:r>
        <w:r>
          <w:rPr>
            <w:noProof/>
            <w:webHidden/>
          </w:rPr>
          <w:fldChar w:fldCharType="begin"/>
        </w:r>
        <w:r w:rsidR="00377AD6">
          <w:rPr>
            <w:noProof/>
            <w:webHidden/>
          </w:rPr>
          <w:instrText xml:space="preserve"> PAGEREF _Toc350329817 \h </w:instrText>
        </w:r>
        <w:r>
          <w:rPr>
            <w:noProof/>
            <w:webHidden/>
          </w:rPr>
        </w:r>
        <w:r>
          <w:rPr>
            <w:noProof/>
            <w:webHidden/>
          </w:rPr>
          <w:fldChar w:fldCharType="separate"/>
        </w:r>
        <w:r w:rsidR="00BA1A9A">
          <w:rPr>
            <w:noProof/>
            <w:webHidden/>
          </w:rPr>
          <w:t>12</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8" w:history="1">
        <w:r w:rsidR="00377AD6" w:rsidRPr="00AF1372">
          <w:rPr>
            <w:rStyle w:val="Hyperlink"/>
            <w:noProof/>
          </w:rPr>
          <w:t>Pharmacokinetics</w:t>
        </w:r>
        <w:r w:rsidR="00377AD6">
          <w:rPr>
            <w:noProof/>
            <w:webHidden/>
          </w:rPr>
          <w:tab/>
        </w:r>
        <w:r>
          <w:rPr>
            <w:noProof/>
            <w:webHidden/>
          </w:rPr>
          <w:fldChar w:fldCharType="begin"/>
        </w:r>
        <w:r w:rsidR="00377AD6">
          <w:rPr>
            <w:noProof/>
            <w:webHidden/>
          </w:rPr>
          <w:instrText xml:space="preserve"> PAGEREF _Toc350329818 \h </w:instrText>
        </w:r>
        <w:r>
          <w:rPr>
            <w:noProof/>
            <w:webHidden/>
          </w:rPr>
        </w:r>
        <w:r>
          <w:rPr>
            <w:noProof/>
            <w:webHidden/>
          </w:rPr>
          <w:fldChar w:fldCharType="separate"/>
        </w:r>
        <w:r w:rsidR="00BA1A9A">
          <w:rPr>
            <w:noProof/>
            <w:webHidden/>
          </w:rPr>
          <w:t>14</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19" w:history="1">
        <w:r w:rsidR="00377AD6" w:rsidRPr="00AF1372">
          <w:rPr>
            <w:rStyle w:val="Hyperlink"/>
            <w:noProof/>
          </w:rPr>
          <w:t>Pharmacodynamics</w:t>
        </w:r>
        <w:r w:rsidR="00377AD6">
          <w:rPr>
            <w:noProof/>
            <w:webHidden/>
          </w:rPr>
          <w:tab/>
        </w:r>
        <w:r>
          <w:rPr>
            <w:noProof/>
            <w:webHidden/>
          </w:rPr>
          <w:fldChar w:fldCharType="begin"/>
        </w:r>
        <w:r w:rsidR="00377AD6">
          <w:rPr>
            <w:noProof/>
            <w:webHidden/>
          </w:rPr>
          <w:instrText xml:space="preserve"> PAGEREF _Toc350329819 \h </w:instrText>
        </w:r>
        <w:r>
          <w:rPr>
            <w:noProof/>
            <w:webHidden/>
          </w:rPr>
        </w:r>
        <w:r>
          <w:rPr>
            <w:noProof/>
            <w:webHidden/>
          </w:rPr>
          <w:fldChar w:fldCharType="separate"/>
        </w:r>
        <w:r w:rsidR="00BA1A9A">
          <w:rPr>
            <w:noProof/>
            <w:webHidden/>
          </w:rPr>
          <w:t>17</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0" w:history="1">
        <w:r w:rsidR="00377AD6" w:rsidRPr="00AF1372">
          <w:rPr>
            <w:rStyle w:val="Hyperlink"/>
            <w:noProof/>
          </w:rPr>
          <w:t>Efficacy</w:t>
        </w:r>
        <w:r w:rsidR="00377AD6">
          <w:rPr>
            <w:noProof/>
            <w:webHidden/>
          </w:rPr>
          <w:tab/>
        </w:r>
        <w:r>
          <w:rPr>
            <w:noProof/>
            <w:webHidden/>
          </w:rPr>
          <w:fldChar w:fldCharType="begin"/>
        </w:r>
        <w:r w:rsidR="00377AD6">
          <w:rPr>
            <w:noProof/>
            <w:webHidden/>
          </w:rPr>
          <w:instrText xml:space="preserve"> PAGEREF _Toc350329820 \h </w:instrText>
        </w:r>
        <w:r>
          <w:rPr>
            <w:noProof/>
            <w:webHidden/>
          </w:rPr>
        </w:r>
        <w:r>
          <w:rPr>
            <w:noProof/>
            <w:webHidden/>
          </w:rPr>
          <w:fldChar w:fldCharType="separate"/>
        </w:r>
        <w:r w:rsidR="00BA1A9A">
          <w:rPr>
            <w:noProof/>
            <w:webHidden/>
          </w:rPr>
          <w:t>23</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1" w:history="1">
        <w:r w:rsidR="00377AD6" w:rsidRPr="00AF1372">
          <w:rPr>
            <w:rStyle w:val="Hyperlink"/>
            <w:noProof/>
          </w:rPr>
          <w:t>Safety</w:t>
        </w:r>
        <w:r w:rsidR="00377AD6">
          <w:rPr>
            <w:noProof/>
            <w:webHidden/>
          </w:rPr>
          <w:tab/>
        </w:r>
        <w:r>
          <w:rPr>
            <w:noProof/>
            <w:webHidden/>
          </w:rPr>
          <w:fldChar w:fldCharType="begin"/>
        </w:r>
        <w:r w:rsidR="00377AD6">
          <w:rPr>
            <w:noProof/>
            <w:webHidden/>
          </w:rPr>
          <w:instrText xml:space="preserve"> PAGEREF _Toc350329821 \h </w:instrText>
        </w:r>
        <w:r>
          <w:rPr>
            <w:noProof/>
            <w:webHidden/>
          </w:rPr>
        </w:r>
        <w:r>
          <w:rPr>
            <w:noProof/>
            <w:webHidden/>
          </w:rPr>
          <w:fldChar w:fldCharType="separate"/>
        </w:r>
        <w:r w:rsidR="00BA1A9A">
          <w:rPr>
            <w:noProof/>
            <w:webHidden/>
          </w:rPr>
          <w:t>45</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2" w:history="1">
        <w:r w:rsidR="00377AD6" w:rsidRPr="00AF1372">
          <w:rPr>
            <w:rStyle w:val="Hyperlink"/>
            <w:noProof/>
          </w:rPr>
          <w:t>Preliminary benefit-risk assessment and recommendations</w:t>
        </w:r>
        <w:r w:rsidR="00377AD6">
          <w:rPr>
            <w:noProof/>
            <w:webHidden/>
          </w:rPr>
          <w:tab/>
        </w:r>
        <w:r>
          <w:rPr>
            <w:noProof/>
            <w:webHidden/>
          </w:rPr>
          <w:fldChar w:fldCharType="begin"/>
        </w:r>
        <w:r w:rsidR="00377AD6">
          <w:rPr>
            <w:noProof/>
            <w:webHidden/>
          </w:rPr>
          <w:instrText xml:space="preserve"> PAGEREF _Toc350329822 \h </w:instrText>
        </w:r>
        <w:r>
          <w:rPr>
            <w:noProof/>
            <w:webHidden/>
          </w:rPr>
        </w:r>
        <w:r>
          <w:rPr>
            <w:noProof/>
            <w:webHidden/>
          </w:rPr>
          <w:fldChar w:fldCharType="separate"/>
        </w:r>
        <w:r w:rsidR="00BA1A9A">
          <w:rPr>
            <w:noProof/>
            <w:webHidden/>
          </w:rPr>
          <w:t>63</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3" w:history="1">
        <w:r w:rsidR="00377AD6" w:rsidRPr="00AF1372">
          <w:rPr>
            <w:rStyle w:val="Hyperlink"/>
            <w:noProof/>
          </w:rPr>
          <w:t>List of questions</w:t>
        </w:r>
        <w:r w:rsidR="00377AD6">
          <w:rPr>
            <w:noProof/>
            <w:webHidden/>
          </w:rPr>
          <w:tab/>
        </w:r>
        <w:r>
          <w:rPr>
            <w:noProof/>
            <w:webHidden/>
          </w:rPr>
          <w:fldChar w:fldCharType="begin"/>
        </w:r>
        <w:r w:rsidR="00377AD6">
          <w:rPr>
            <w:noProof/>
            <w:webHidden/>
          </w:rPr>
          <w:instrText xml:space="preserve"> PAGEREF _Toc350329823 \h </w:instrText>
        </w:r>
        <w:r>
          <w:rPr>
            <w:noProof/>
            <w:webHidden/>
          </w:rPr>
        </w:r>
        <w:r>
          <w:rPr>
            <w:noProof/>
            <w:webHidden/>
          </w:rPr>
          <w:fldChar w:fldCharType="separate"/>
        </w:r>
        <w:r w:rsidR="00BA1A9A">
          <w:rPr>
            <w:noProof/>
            <w:webHidden/>
          </w:rPr>
          <w:t>65</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24" w:history="1">
        <w:r w:rsidR="00377AD6" w:rsidRPr="00AF1372">
          <w:rPr>
            <w:rStyle w:val="Hyperlink"/>
            <w:noProof/>
          </w:rPr>
          <w:t>V. Pharmacovigilance findings</w:t>
        </w:r>
        <w:r w:rsidR="00377AD6">
          <w:rPr>
            <w:noProof/>
            <w:webHidden/>
          </w:rPr>
          <w:tab/>
        </w:r>
        <w:r>
          <w:rPr>
            <w:noProof/>
            <w:webHidden/>
          </w:rPr>
          <w:fldChar w:fldCharType="begin"/>
        </w:r>
        <w:r w:rsidR="00377AD6">
          <w:rPr>
            <w:noProof/>
            <w:webHidden/>
          </w:rPr>
          <w:instrText xml:space="preserve"> PAGEREF _Toc350329824 \h </w:instrText>
        </w:r>
        <w:r>
          <w:rPr>
            <w:noProof/>
            <w:webHidden/>
          </w:rPr>
        </w:r>
        <w:r>
          <w:rPr>
            <w:noProof/>
            <w:webHidden/>
          </w:rPr>
          <w:fldChar w:fldCharType="separate"/>
        </w:r>
        <w:r w:rsidR="00BA1A9A">
          <w:rPr>
            <w:noProof/>
            <w:webHidden/>
          </w:rPr>
          <w:t>65</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5" w:history="1">
        <w:r w:rsidR="00377AD6" w:rsidRPr="00AF1372">
          <w:rPr>
            <w:rStyle w:val="Hyperlink"/>
            <w:noProof/>
            <w:lang w:eastAsia="en-AU"/>
          </w:rPr>
          <w:t>Risk management plan</w:t>
        </w:r>
        <w:r w:rsidR="00377AD6">
          <w:rPr>
            <w:noProof/>
            <w:webHidden/>
          </w:rPr>
          <w:tab/>
        </w:r>
        <w:r>
          <w:rPr>
            <w:noProof/>
            <w:webHidden/>
          </w:rPr>
          <w:fldChar w:fldCharType="begin"/>
        </w:r>
        <w:r w:rsidR="00377AD6">
          <w:rPr>
            <w:noProof/>
            <w:webHidden/>
          </w:rPr>
          <w:instrText xml:space="preserve"> PAGEREF _Toc350329825 \h </w:instrText>
        </w:r>
        <w:r>
          <w:rPr>
            <w:noProof/>
            <w:webHidden/>
          </w:rPr>
        </w:r>
        <w:r>
          <w:rPr>
            <w:noProof/>
            <w:webHidden/>
          </w:rPr>
          <w:fldChar w:fldCharType="separate"/>
        </w:r>
        <w:r w:rsidR="00BA1A9A">
          <w:rPr>
            <w:noProof/>
            <w:webHidden/>
          </w:rPr>
          <w:t>65</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26" w:history="1">
        <w:r w:rsidR="00377AD6" w:rsidRPr="00AF1372">
          <w:rPr>
            <w:rStyle w:val="Hyperlink"/>
            <w:noProof/>
          </w:rPr>
          <w:t>VI. Overall conclusion and risk/benefit assessment</w:t>
        </w:r>
        <w:r w:rsidR="00377AD6">
          <w:rPr>
            <w:noProof/>
            <w:webHidden/>
          </w:rPr>
          <w:tab/>
        </w:r>
        <w:r>
          <w:rPr>
            <w:noProof/>
            <w:webHidden/>
          </w:rPr>
          <w:fldChar w:fldCharType="begin"/>
        </w:r>
        <w:r w:rsidR="00377AD6">
          <w:rPr>
            <w:noProof/>
            <w:webHidden/>
          </w:rPr>
          <w:instrText xml:space="preserve"> PAGEREF _Toc350329826 \h </w:instrText>
        </w:r>
        <w:r>
          <w:rPr>
            <w:noProof/>
            <w:webHidden/>
          </w:rPr>
        </w:r>
        <w:r>
          <w:rPr>
            <w:noProof/>
            <w:webHidden/>
          </w:rPr>
          <w:fldChar w:fldCharType="separate"/>
        </w:r>
        <w:r w:rsidR="00BA1A9A">
          <w:rPr>
            <w:noProof/>
            <w:webHidden/>
          </w:rPr>
          <w:t>67</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7" w:history="1">
        <w:r w:rsidR="00377AD6" w:rsidRPr="00AF1372">
          <w:rPr>
            <w:rStyle w:val="Hyperlink"/>
            <w:noProof/>
          </w:rPr>
          <w:t>Quality</w:t>
        </w:r>
        <w:r w:rsidR="00377AD6">
          <w:rPr>
            <w:noProof/>
            <w:webHidden/>
          </w:rPr>
          <w:tab/>
        </w:r>
        <w:r>
          <w:rPr>
            <w:noProof/>
            <w:webHidden/>
          </w:rPr>
          <w:fldChar w:fldCharType="begin"/>
        </w:r>
        <w:r w:rsidR="00377AD6">
          <w:rPr>
            <w:noProof/>
            <w:webHidden/>
          </w:rPr>
          <w:instrText xml:space="preserve"> PAGEREF _Toc350329827 \h </w:instrText>
        </w:r>
        <w:r>
          <w:rPr>
            <w:noProof/>
            <w:webHidden/>
          </w:rPr>
        </w:r>
        <w:r>
          <w:rPr>
            <w:noProof/>
            <w:webHidden/>
          </w:rPr>
          <w:fldChar w:fldCharType="separate"/>
        </w:r>
        <w:r w:rsidR="00BA1A9A">
          <w:rPr>
            <w:noProof/>
            <w:webHidden/>
          </w:rPr>
          <w:t>67</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8" w:history="1">
        <w:r w:rsidR="00377AD6" w:rsidRPr="00AF1372">
          <w:rPr>
            <w:rStyle w:val="Hyperlink"/>
            <w:noProof/>
          </w:rPr>
          <w:t>Nonclinical</w:t>
        </w:r>
        <w:r w:rsidR="00377AD6">
          <w:rPr>
            <w:noProof/>
            <w:webHidden/>
          </w:rPr>
          <w:tab/>
        </w:r>
        <w:r>
          <w:rPr>
            <w:noProof/>
            <w:webHidden/>
          </w:rPr>
          <w:fldChar w:fldCharType="begin"/>
        </w:r>
        <w:r w:rsidR="00377AD6">
          <w:rPr>
            <w:noProof/>
            <w:webHidden/>
          </w:rPr>
          <w:instrText xml:space="preserve"> PAGEREF _Toc350329828 \h </w:instrText>
        </w:r>
        <w:r>
          <w:rPr>
            <w:noProof/>
            <w:webHidden/>
          </w:rPr>
        </w:r>
        <w:r>
          <w:rPr>
            <w:noProof/>
            <w:webHidden/>
          </w:rPr>
          <w:fldChar w:fldCharType="separate"/>
        </w:r>
        <w:r w:rsidR="00BA1A9A">
          <w:rPr>
            <w:noProof/>
            <w:webHidden/>
          </w:rPr>
          <w:t>68</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29" w:history="1">
        <w:r w:rsidR="00377AD6" w:rsidRPr="00AF1372">
          <w:rPr>
            <w:rStyle w:val="Hyperlink"/>
            <w:noProof/>
          </w:rPr>
          <w:t>Clinical</w:t>
        </w:r>
        <w:r w:rsidR="00377AD6">
          <w:rPr>
            <w:noProof/>
            <w:webHidden/>
          </w:rPr>
          <w:tab/>
        </w:r>
        <w:r>
          <w:rPr>
            <w:noProof/>
            <w:webHidden/>
          </w:rPr>
          <w:fldChar w:fldCharType="begin"/>
        </w:r>
        <w:r w:rsidR="00377AD6">
          <w:rPr>
            <w:noProof/>
            <w:webHidden/>
          </w:rPr>
          <w:instrText xml:space="preserve"> PAGEREF _Toc350329829 \h </w:instrText>
        </w:r>
        <w:r>
          <w:rPr>
            <w:noProof/>
            <w:webHidden/>
          </w:rPr>
        </w:r>
        <w:r>
          <w:rPr>
            <w:noProof/>
            <w:webHidden/>
          </w:rPr>
          <w:fldChar w:fldCharType="separate"/>
        </w:r>
        <w:r w:rsidR="00BA1A9A">
          <w:rPr>
            <w:noProof/>
            <w:webHidden/>
          </w:rPr>
          <w:t>68</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30" w:history="1">
        <w:r w:rsidR="00377AD6" w:rsidRPr="00AF1372">
          <w:rPr>
            <w:rStyle w:val="Hyperlink"/>
            <w:noProof/>
            <w:lang w:eastAsia="en-AU"/>
          </w:rPr>
          <w:t>Risk management plan</w:t>
        </w:r>
        <w:r w:rsidR="00377AD6">
          <w:rPr>
            <w:noProof/>
            <w:webHidden/>
          </w:rPr>
          <w:tab/>
        </w:r>
        <w:r>
          <w:rPr>
            <w:noProof/>
            <w:webHidden/>
          </w:rPr>
          <w:fldChar w:fldCharType="begin"/>
        </w:r>
        <w:r w:rsidR="00377AD6">
          <w:rPr>
            <w:noProof/>
            <w:webHidden/>
          </w:rPr>
          <w:instrText xml:space="preserve"> PAGEREF _Toc350329830 \h </w:instrText>
        </w:r>
        <w:r>
          <w:rPr>
            <w:noProof/>
            <w:webHidden/>
          </w:rPr>
        </w:r>
        <w:r>
          <w:rPr>
            <w:noProof/>
            <w:webHidden/>
          </w:rPr>
          <w:fldChar w:fldCharType="separate"/>
        </w:r>
        <w:r w:rsidR="00BA1A9A">
          <w:rPr>
            <w:noProof/>
            <w:webHidden/>
          </w:rPr>
          <w:t>73</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31" w:history="1">
        <w:r w:rsidR="00377AD6" w:rsidRPr="00AF1372">
          <w:rPr>
            <w:rStyle w:val="Hyperlink"/>
            <w:noProof/>
          </w:rPr>
          <w:t>Risk-benefit analysis</w:t>
        </w:r>
        <w:r w:rsidR="00377AD6">
          <w:rPr>
            <w:noProof/>
            <w:webHidden/>
          </w:rPr>
          <w:tab/>
        </w:r>
        <w:r>
          <w:rPr>
            <w:noProof/>
            <w:webHidden/>
          </w:rPr>
          <w:fldChar w:fldCharType="begin"/>
        </w:r>
        <w:r w:rsidR="00377AD6">
          <w:rPr>
            <w:noProof/>
            <w:webHidden/>
          </w:rPr>
          <w:instrText xml:space="preserve"> PAGEREF _Toc350329831 \h </w:instrText>
        </w:r>
        <w:r>
          <w:rPr>
            <w:noProof/>
            <w:webHidden/>
          </w:rPr>
        </w:r>
        <w:r>
          <w:rPr>
            <w:noProof/>
            <w:webHidden/>
          </w:rPr>
          <w:fldChar w:fldCharType="separate"/>
        </w:r>
        <w:r w:rsidR="00BA1A9A">
          <w:rPr>
            <w:noProof/>
            <w:webHidden/>
          </w:rPr>
          <w:t>73</w:t>
        </w:r>
        <w:r>
          <w:rPr>
            <w:noProof/>
            <w:webHidden/>
          </w:rPr>
          <w:fldChar w:fldCharType="end"/>
        </w:r>
      </w:hyperlink>
    </w:p>
    <w:p w:rsidR="00377AD6" w:rsidRDefault="00357F8C">
      <w:pPr>
        <w:pStyle w:val="TOC3"/>
        <w:rPr>
          <w:rFonts w:asciiTheme="minorHAnsi" w:eastAsiaTheme="minorEastAsia" w:hAnsiTheme="minorHAnsi" w:cstheme="minorBidi"/>
          <w:noProof/>
          <w:sz w:val="22"/>
          <w:lang w:eastAsia="en-AU"/>
        </w:rPr>
      </w:pPr>
      <w:hyperlink w:anchor="_Toc350329832" w:history="1">
        <w:r w:rsidR="00377AD6" w:rsidRPr="00AF1372">
          <w:rPr>
            <w:rStyle w:val="Hyperlink"/>
            <w:noProof/>
          </w:rPr>
          <w:t>Outcome</w:t>
        </w:r>
        <w:r w:rsidR="00377AD6">
          <w:rPr>
            <w:noProof/>
            <w:webHidden/>
          </w:rPr>
          <w:tab/>
        </w:r>
        <w:r>
          <w:rPr>
            <w:noProof/>
            <w:webHidden/>
          </w:rPr>
          <w:fldChar w:fldCharType="begin"/>
        </w:r>
        <w:r w:rsidR="00377AD6">
          <w:rPr>
            <w:noProof/>
            <w:webHidden/>
          </w:rPr>
          <w:instrText xml:space="preserve"> PAGEREF _Toc350329832 \h </w:instrText>
        </w:r>
        <w:r>
          <w:rPr>
            <w:noProof/>
            <w:webHidden/>
          </w:rPr>
        </w:r>
        <w:r>
          <w:rPr>
            <w:noProof/>
            <w:webHidden/>
          </w:rPr>
          <w:fldChar w:fldCharType="separate"/>
        </w:r>
        <w:r w:rsidR="00BA1A9A">
          <w:rPr>
            <w:noProof/>
            <w:webHidden/>
          </w:rPr>
          <w:t>75</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33" w:history="1">
        <w:r w:rsidR="00377AD6" w:rsidRPr="00AF1372">
          <w:rPr>
            <w:rStyle w:val="Hyperlink"/>
            <w:noProof/>
          </w:rPr>
          <w:t>VII. References</w:t>
        </w:r>
        <w:r w:rsidR="00377AD6">
          <w:rPr>
            <w:noProof/>
            <w:webHidden/>
          </w:rPr>
          <w:tab/>
        </w:r>
        <w:r>
          <w:rPr>
            <w:noProof/>
            <w:webHidden/>
          </w:rPr>
          <w:fldChar w:fldCharType="begin"/>
        </w:r>
        <w:r w:rsidR="00377AD6">
          <w:rPr>
            <w:noProof/>
            <w:webHidden/>
          </w:rPr>
          <w:instrText xml:space="preserve"> PAGEREF _Toc350329833 \h </w:instrText>
        </w:r>
        <w:r>
          <w:rPr>
            <w:noProof/>
            <w:webHidden/>
          </w:rPr>
        </w:r>
        <w:r>
          <w:rPr>
            <w:noProof/>
            <w:webHidden/>
          </w:rPr>
          <w:fldChar w:fldCharType="separate"/>
        </w:r>
        <w:r w:rsidR="00BA1A9A">
          <w:rPr>
            <w:noProof/>
            <w:webHidden/>
          </w:rPr>
          <w:t>75</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34" w:history="1">
        <w:r w:rsidR="00377AD6" w:rsidRPr="00AF1372">
          <w:rPr>
            <w:rStyle w:val="Hyperlink"/>
            <w:noProof/>
          </w:rPr>
          <w:t>Appendix I</w:t>
        </w:r>
        <w:r w:rsidR="00377AD6">
          <w:rPr>
            <w:noProof/>
            <w:webHidden/>
          </w:rPr>
          <w:tab/>
        </w:r>
        <w:r>
          <w:rPr>
            <w:noProof/>
            <w:webHidden/>
          </w:rPr>
          <w:fldChar w:fldCharType="begin"/>
        </w:r>
        <w:r w:rsidR="00377AD6">
          <w:rPr>
            <w:noProof/>
            <w:webHidden/>
          </w:rPr>
          <w:instrText xml:space="preserve"> PAGEREF _Toc350329834 \h </w:instrText>
        </w:r>
        <w:r>
          <w:rPr>
            <w:noProof/>
            <w:webHidden/>
          </w:rPr>
        </w:r>
        <w:r>
          <w:rPr>
            <w:noProof/>
            <w:webHidden/>
          </w:rPr>
          <w:fldChar w:fldCharType="separate"/>
        </w:r>
        <w:r w:rsidR="00BA1A9A">
          <w:rPr>
            <w:noProof/>
            <w:webHidden/>
          </w:rPr>
          <w:t>79</w:t>
        </w:r>
        <w:r>
          <w:rPr>
            <w:noProof/>
            <w:webHidden/>
          </w:rPr>
          <w:fldChar w:fldCharType="end"/>
        </w:r>
      </w:hyperlink>
    </w:p>
    <w:p w:rsidR="00377AD6" w:rsidRDefault="00357F8C">
      <w:pPr>
        <w:pStyle w:val="TOC2"/>
        <w:rPr>
          <w:rFonts w:asciiTheme="minorHAnsi" w:eastAsiaTheme="minorEastAsia" w:hAnsiTheme="minorHAnsi" w:cstheme="minorBidi"/>
          <w:b w:val="0"/>
          <w:noProof/>
          <w:sz w:val="22"/>
          <w:lang w:eastAsia="en-AU"/>
        </w:rPr>
      </w:pPr>
      <w:hyperlink w:anchor="_Toc350329835" w:history="1">
        <w:r w:rsidR="00377AD6" w:rsidRPr="00AF1372">
          <w:rPr>
            <w:rStyle w:val="Hyperlink"/>
            <w:noProof/>
          </w:rPr>
          <w:t>Appendix II</w:t>
        </w:r>
        <w:r w:rsidR="00377AD6">
          <w:rPr>
            <w:noProof/>
            <w:webHidden/>
          </w:rPr>
          <w:tab/>
        </w:r>
        <w:r>
          <w:rPr>
            <w:noProof/>
            <w:webHidden/>
          </w:rPr>
          <w:fldChar w:fldCharType="begin"/>
        </w:r>
        <w:r w:rsidR="00377AD6">
          <w:rPr>
            <w:noProof/>
            <w:webHidden/>
          </w:rPr>
          <w:instrText xml:space="preserve"> PAGEREF _Toc350329835 \h </w:instrText>
        </w:r>
        <w:r>
          <w:rPr>
            <w:noProof/>
            <w:webHidden/>
          </w:rPr>
        </w:r>
        <w:r>
          <w:rPr>
            <w:noProof/>
            <w:webHidden/>
          </w:rPr>
          <w:fldChar w:fldCharType="separate"/>
        </w:r>
        <w:r w:rsidR="00BA1A9A">
          <w:rPr>
            <w:noProof/>
            <w:webHidden/>
          </w:rPr>
          <w:t>85</w:t>
        </w:r>
        <w:r>
          <w:rPr>
            <w:noProof/>
            <w:webHidden/>
          </w:rPr>
          <w:fldChar w:fldCharType="end"/>
        </w:r>
      </w:hyperlink>
    </w:p>
    <w:p w:rsidR="00377AD6" w:rsidRDefault="00357F8C">
      <w:pPr>
        <w:pStyle w:val="TOC2"/>
        <w:tabs>
          <w:tab w:val="left" w:pos="2448"/>
        </w:tabs>
        <w:rPr>
          <w:rFonts w:asciiTheme="minorHAnsi" w:eastAsiaTheme="minorEastAsia" w:hAnsiTheme="minorHAnsi" w:cstheme="minorBidi"/>
          <w:b w:val="0"/>
          <w:noProof/>
          <w:sz w:val="22"/>
          <w:lang w:eastAsia="en-AU"/>
        </w:rPr>
      </w:pPr>
      <w:hyperlink w:anchor="_Toc350329836" w:history="1">
        <w:r w:rsidR="00377AD6" w:rsidRPr="00AF1372">
          <w:rPr>
            <w:rStyle w:val="Hyperlink"/>
            <w:noProof/>
          </w:rPr>
          <w:t>Attachment 1.</w:t>
        </w:r>
        <w:r w:rsidR="00377AD6">
          <w:rPr>
            <w:rFonts w:asciiTheme="minorHAnsi" w:eastAsiaTheme="minorEastAsia" w:hAnsiTheme="minorHAnsi" w:cstheme="minorBidi"/>
            <w:b w:val="0"/>
            <w:noProof/>
            <w:sz w:val="22"/>
            <w:lang w:eastAsia="en-AU"/>
          </w:rPr>
          <w:tab/>
        </w:r>
        <w:r w:rsidR="00377AD6" w:rsidRPr="00AF1372">
          <w:rPr>
            <w:rStyle w:val="Hyperlink"/>
            <w:noProof/>
          </w:rPr>
          <w:t>Product Information</w:t>
        </w:r>
        <w:r w:rsidR="00377AD6">
          <w:rPr>
            <w:noProof/>
            <w:webHidden/>
          </w:rPr>
          <w:tab/>
        </w:r>
        <w:r>
          <w:rPr>
            <w:noProof/>
            <w:webHidden/>
          </w:rPr>
          <w:fldChar w:fldCharType="begin"/>
        </w:r>
        <w:r w:rsidR="00377AD6">
          <w:rPr>
            <w:noProof/>
            <w:webHidden/>
          </w:rPr>
          <w:instrText xml:space="preserve"> PAGEREF _Toc350329836 \h </w:instrText>
        </w:r>
        <w:r>
          <w:rPr>
            <w:noProof/>
            <w:webHidden/>
          </w:rPr>
        </w:r>
        <w:r>
          <w:rPr>
            <w:noProof/>
            <w:webHidden/>
          </w:rPr>
          <w:fldChar w:fldCharType="separate"/>
        </w:r>
        <w:r w:rsidR="00BA1A9A">
          <w:rPr>
            <w:noProof/>
            <w:webHidden/>
          </w:rPr>
          <w:t>87</w:t>
        </w:r>
        <w:r>
          <w:rPr>
            <w:noProof/>
            <w:webHidden/>
          </w:rPr>
          <w:fldChar w:fldCharType="end"/>
        </w:r>
      </w:hyperlink>
    </w:p>
    <w:p w:rsidR="00116AE6" w:rsidRDefault="00357F8C" w:rsidP="00F376BD">
      <w:pPr>
        <w:pStyle w:val="Heading2"/>
      </w:pPr>
      <w:r w:rsidRPr="00E5044B">
        <w:rPr>
          <w:sz w:val="22"/>
        </w:rPr>
        <w:lastRenderedPageBreak/>
        <w:fldChar w:fldCharType="end"/>
      </w:r>
      <w:bookmarkStart w:id="1" w:name="_Toc247691501"/>
      <w:bookmarkStart w:id="2" w:name="_Toc350329799"/>
      <w:bookmarkStart w:id="3" w:name="_Toc196046425"/>
      <w:r w:rsidR="00F376BD">
        <w:t xml:space="preserve">I. </w:t>
      </w:r>
      <w:r w:rsidR="00D1519E">
        <w:t>Introduction to product s</w:t>
      </w:r>
      <w:r w:rsidR="00116AE6">
        <w:t>ubmission</w:t>
      </w:r>
      <w:bookmarkEnd w:id="1"/>
      <w:bookmarkEnd w:id="2"/>
    </w:p>
    <w:p w:rsidR="00116AE6" w:rsidRDefault="007C6C55" w:rsidP="00116AE6">
      <w:pPr>
        <w:pStyle w:val="Heading3"/>
        <w:rPr>
          <w:lang w:eastAsia="en-AU"/>
        </w:rPr>
      </w:pPr>
      <w:bookmarkStart w:id="4" w:name="_Toc247691502"/>
      <w:bookmarkStart w:id="5" w:name="_Toc350329800"/>
      <w:r>
        <w:rPr>
          <w:lang w:eastAsia="en-AU"/>
        </w:rPr>
        <w:t>Submission d</w:t>
      </w:r>
      <w:r w:rsidR="00116AE6">
        <w:rPr>
          <w:lang w:eastAsia="en-AU"/>
        </w:rPr>
        <w:t>etails</w:t>
      </w:r>
      <w:bookmarkEnd w:id="4"/>
      <w:bookmarkEnd w:id="5"/>
    </w:p>
    <w:tbl>
      <w:tblPr>
        <w:tblW w:w="9497" w:type="dxa"/>
        <w:tblInd w:w="108" w:type="dxa"/>
        <w:tblLook w:val="01E0"/>
      </w:tblPr>
      <w:tblGrid>
        <w:gridCol w:w="2907"/>
        <w:gridCol w:w="6590"/>
      </w:tblGrid>
      <w:tr w:rsidR="00116AE6" w:rsidRPr="001E4C86" w:rsidTr="00BC73C9">
        <w:tc>
          <w:tcPr>
            <w:tcW w:w="2907" w:type="dxa"/>
          </w:tcPr>
          <w:p w:rsidR="00116AE6" w:rsidRPr="00D30FEA" w:rsidRDefault="00116AE6" w:rsidP="00BC73C9">
            <w:pPr>
              <w:rPr>
                <w:i/>
              </w:rPr>
            </w:pPr>
            <w:r w:rsidRPr="00D30FEA">
              <w:rPr>
                <w:i/>
              </w:rPr>
              <w:t>Type of Submission</w:t>
            </w:r>
          </w:p>
        </w:tc>
        <w:tc>
          <w:tcPr>
            <w:tcW w:w="6590" w:type="dxa"/>
          </w:tcPr>
          <w:p w:rsidR="00116AE6" w:rsidRPr="00D30FEA" w:rsidRDefault="00357F8C" w:rsidP="00541AD7">
            <w:r>
              <w:fldChar w:fldCharType="begin"/>
            </w:r>
            <w:r w:rsidR="00DE18CA">
              <w:instrText xml:space="preserve"> MERGEFIELD TYPE </w:instrText>
            </w:r>
            <w:r>
              <w:fldChar w:fldCharType="separate"/>
            </w:r>
            <w:r w:rsidR="00AC458D" w:rsidRPr="00D30FEA">
              <w:rPr>
                <w:noProof/>
              </w:rPr>
              <w:t>New Chemical Entity</w:t>
            </w:r>
            <w:r>
              <w:rPr>
                <w:noProof/>
              </w:rPr>
              <w:fldChar w:fldCharType="end"/>
            </w:r>
          </w:p>
        </w:tc>
      </w:tr>
      <w:tr w:rsidR="00116AE6" w:rsidRPr="001E4C86" w:rsidTr="00BC73C9">
        <w:tc>
          <w:tcPr>
            <w:tcW w:w="2907" w:type="dxa"/>
          </w:tcPr>
          <w:p w:rsidR="00116AE6" w:rsidRPr="00D30FEA" w:rsidRDefault="00116AE6" w:rsidP="00BC73C9">
            <w:pPr>
              <w:rPr>
                <w:i/>
              </w:rPr>
            </w:pPr>
            <w:r w:rsidRPr="00D30FEA">
              <w:rPr>
                <w:i/>
              </w:rPr>
              <w:t>Decision:</w:t>
            </w:r>
          </w:p>
        </w:tc>
        <w:tc>
          <w:tcPr>
            <w:tcW w:w="6590" w:type="dxa"/>
          </w:tcPr>
          <w:p w:rsidR="00116AE6" w:rsidRPr="00D30FEA" w:rsidRDefault="00116AE6" w:rsidP="00D30FEA">
            <w:r w:rsidRPr="00D30FEA">
              <w:t xml:space="preserve">Approved </w:t>
            </w:r>
          </w:p>
        </w:tc>
      </w:tr>
      <w:tr w:rsidR="00116AE6" w:rsidRPr="001E4C86" w:rsidTr="00BC73C9">
        <w:tc>
          <w:tcPr>
            <w:tcW w:w="2907" w:type="dxa"/>
          </w:tcPr>
          <w:p w:rsidR="00116AE6" w:rsidRPr="00D30FEA" w:rsidRDefault="00116AE6" w:rsidP="00BC73C9">
            <w:pPr>
              <w:rPr>
                <w:i/>
              </w:rPr>
            </w:pPr>
            <w:r w:rsidRPr="00D30FEA">
              <w:rPr>
                <w:i/>
              </w:rPr>
              <w:t>Date of Decision:</w:t>
            </w:r>
          </w:p>
        </w:tc>
        <w:tc>
          <w:tcPr>
            <w:tcW w:w="6590" w:type="dxa"/>
          </w:tcPr>
          <w:p w:rsidR="00116AE6" w:rsidRPr="00D30FEA" w:rsidRDefault="00D30FEA" w:rsidP="004231C4">
            <w:r w:rsidRPr="00D30FEA">
              <w:t>1</w:t>
            </w:r>
            <w:r w:rsidR="00C478B0">
              <w:t>3</w:t>
            </w:r>
            <w:r w:rsidRPr="00D30FEA">
              <w:t xml:space="preserve"> June 2012 </w:t>
            </w:r>
          </w:p>
        </w:tc>
      </w:tr>
    </w:tbl>
    <w:p w:rsidR="00116AE6" w:rsidRPr="001E4C86" w:rsidRDefault="00116AE6" w:rsidP="00116AE6">
      <w:pPr>
        <w:rPr>
          <w:highlight w:val="yellow"/>
        </w:rPr>
      </w:pPr>
    </w:p>
    <w:tbl>
      <w:tblPr>
        <w:tblW w:w="9497" w:type="dxa"/>
        <w:tblInd w:w="108" w:type="dxa"/>
        <w:tblLook w:val="01E0"/>
      </w:tblPr>
      <w:tblGrid>
        <w:gridCol w:w="2907"/>
        <w:gridCol w:w="6590"/>
      </w:tblGrid>
      <w:tr w:rsidR="00116AE6" w:rsidRPr="001E4C86" w:rsidTr="00BC73C9">
        <w:tc>
          <w:tcPr>
            <w:tcW w:w="2907" w:type="dxa"/>
          </w:tcPr>
          <w:p w:rsidR="00116AE6" w:rsidRPr="00D30FEA" w:rsidRDefault="00116AE6" w:rsidP="00D30FEA">
            <w:pPr>
              <w:rPr>
                <w:i/>
              </w:rPr>
            </w:pPr>
            <w:r w:rsidRPr="00D30FEA">
              <w:rPr>
                <w:i/>
              </w:rPr>
              <w:t xml:space="preserve">Active ingredient: </w:t>
            </w:r>
          </w:p>
        </w:tc>
        <w:tc>
          <w:tcPr>
            <w:tcW w:w="6590" w:type="dxa"/>
          </w:tcPr>
          <w:p w:rsidR="00116AE6" w:rsidRPr="00D30FEA" w:rsidRDefault="00357F8C" w:rsidP="00D30FEA">
            <w:r>
              <w:fldChar w:fldCharType="begin"/>
            </w:r>
            <w:r w:rsidR="00DE18CA">
              <w:instrText xml:space="preserve"> MERGEFIELD GENERIC </w:instrText>
            </w:r>
            <w:r>
              <w:fldChar w:fldCharType="separate"/>
            </w:r>
            <w:r w:rsidR="00D30FEA" w:rsidRPr="00D30FEA">
              <w:rPr>
                <w:noProof/>
              </w:rPr>
              <w:t>Cyclizine</w:t>
            </w:r>
            <w:r w:rsidR="00AC458D" w:rsidRPr="00D30FEA">
              <w:rPr>
                <w:noProof/>
              </w:rPr>
              <w:t xml:space="preserve"> lactate</w:t>
            </w:r>
            <w:r>
              <w:rPr>
                <w:noProof/>
              </w:rPr>
              <w:fldChar w:fldCharType="end"/>
            </w:r>
          </w:p>
        </w:tc>
      </w:tr>
      <w:tr w:rsidR="00116AE6" w:rsidRPr="001E4C86" w:rsidTr="00BC73C9">
        <w:tc>
          <w:tcPr>
            <w:tcW w:w="2907" w:type="dxa"/>
          </w:tcPr>
          <w:p w:rsidR="001F2123" w:rsidRPr="00D30FEA" w:rsidRDefault="00116AE6" w:rsidP="00C9386D">
            <w:pPr>
              <w:rPr>
                <w:i/>
              </w:rPr>
            </w:pPr>
            <w:r w:rsidRPr="00D30FEA">
              <w:rPr>
                <w:i/>
              </w:rPr>
              <w:t xml:space="preserve">Product Name: </w:t>
            </w:r>
          </w:p>
        </w:tc>
        <w:tc>
          <w:tcPr>
            <w:tcW w:w="6590" w:type="dxa"/>
          </w:tcPr>
          <w:p w:rsidR="00116AE6" w:rsidRPr="00D30FEA" w:rsidRDefault="00357F8C" w:rsidP="000D4AC5">
            <w:r>
              <w:fldChar w:fldCharType="begin"/>
            </w:r>
            <w:r w:rsidR="00DE18CA">
              <w:instrText xml:space="preserve"> MERGEFIELD TRADE </w:instrText>
            </w:r>
            <w:r>
              <w:fldChar w:fldCharType="separate"/>
            </w:r>
            <w:r w:rsidR="001969CA" w:rsidRPr="00D30FEA">
              <w:rPr>
                <w:noProof/>
              </w:rPr>
              <w:t>V</w:t>
            </w:r>
            <w:r w:rsidR="001969CA">
              <w:rPr>
                <w:noProof/>
              </w:rPr>
              <w:t>aloid</w:t>
            </w:r>
            <w:r w:rsidR="001969CA" w:rsidRPr="00D30FEA">
              <w:rPr>
                <w:noProof/>
              </w:rPr>
              <w:t xml:space="preserve"> </w:t>
            </w:r>
            <w:r>
              <w:rPr>
                <w:noProof/>
              </w:rPr>
              <w:fldChar w:fldCharType="end"/>
            </w:r>
          </w:p>
        </w:tc>
      </w:tr>
      <w:tr w:rsidR="00116AE6" w:rsidRPr="001E4C86" w:rsidTr="00BC73C9">
        <w:tc>
          <w:tcPr>
            <w:tcW w:w="2907" w:type="dxa"/>
          </w:tcPr>
          <w:p w:rsidR="001969CA" w:rsidRDefault="00116AE6" w:rsidP="00A17356">
            <w:pPr>
              <w:spacing w:after="0"/>
              <w:rPr>
                <w:i/>
              </w:rPr>
            </w:pPr>
            <w:r w:rsidRPr="00D30FEA">
              <w:rPr>
                <w:i/>
              </w:rPr>
              <w:t xml:space="preserve">Sponsor’s Name </w:t>
            </w:r>
          </w:p>
          <w:p w:rsidR="00116AE6" w:rsidRPr="00D30FEA" w:rsidRDefault="001969CA" w:rsidP="00A17356">
            <w:pPr>
              <w:spacing w:after="0"/>
              <w:rPr>
                <w:i/>
              </w:rPr>
            </w:pPr>
            <w:r>
              <w:rPr>
                <w:i/>
              </w:rPr>
              <w:t xml:space="preserve">and </w:t>
            </w:r>
            <w:r w:rsidR="00BC185B">
              <w:rPr>
                <w:i/>
              </w:rPr>
              <w:t>a</w:t>
            </w:r>
            <w:r>
              <w:rPr>
                <w:i/>
              </w:rPr>
              <w:t>ddress:</w:t>
            </w:r>
          </w:p>
        </w:tc>
        <w:tc>
          <w:tcPr>
            <w:tcW w:w="6590" w:type="dxa"/>
          </w:tcPr>
          <w:p w:rsidR="00137456" w:rsidRDefault="00357F8C" w:rsidP="00A17356">
            <w:pPr>
              <w:spacing w:after="0"/>
            </w:pPr>
            <w:r>
              <w:fldChar w:fldCharType="begin"/>
            </w:r>
            <w:r w:rsidR="00DE18CA">
              <w:instrText xml:space="preserve"> MERGEFIELD SPONSOR </w:instrText>
            </w:r>
            <w:r>
              <w:fldChar w:fldCharType="separate"/>
            </w:r>
            <w:r w:rsidR="00AC458D" w:rsidRPr="00D30FEA">
              <w:rPr>
                <w:noProof/>
              </w:rPr>
              <w:t>Link Medical Products Pty Ltd</w:t>
            </w:r>
            <w:r>
              <w:rPr>
                <w:noProof/>
              </w:rPr>
              <w:fldChar w:fldCharType="end"/>
            </w:r>
            <w:r w:rsidR="00137456">
              <w:t xml:space="preserve"> </w:t>
            </w:r>
          </w:p>
          <w:p w:rsidR="00116AE6" w:rsidRDefault="000D4AC5" w:rsidP="000A1DE9">
            <w:pPr>
              <w:spacing w:after="0"/>
            </w:pPr>
            <w:r>
              <w:t xml:space="preserve">5 Apollo St </w:t>
            </w:r>
          </w:p>
          <w:p w:rsidR="000D4AC5" w:rsidRPr="00D30FEA" w:rsidRDefault="000D4AC5" w:rsidP="000A1DE9">
            <w:pPr>
              <w:spacing w:after="0"/>
            </w:pPr>
            <w:r>
              <w:t>Warriewood NSW 2102</w:t>
            </w:r>
          </w:p>
        </w:tc>
      </w:tr>
      <w:tr w:rsidR="00116AE6" w:rsidRPr="001E4C86" w:rsidTr="00BC73C9">
        <w:tc>
          <w:tcPr>
            <w:tcW w:w="2907" w:type="dxa"/>
          </w:tcPr>
          <w:p w:rsidR="00116AE6" w:rsidRPr="00D30FEA" w:rsidRDefault="00D30FEA" w:rsidP="00BC73C9">
            <w:pPr>
              <w:rPr>
                <w:i/>
              </w:rPr>
            </w:pPr>
            <w:r>
              <w:rPr>
                <w:i/>
              </w:rPr>
              <w:t>Dose form</w:t>
            </w:r>
            <w:r w:rsidR="00116AE6" w:rsidRPr="00D30FEA">
              <w:rPr>
                <w:i/>
              </w:rPr>
              <w:t xml:space="preserve">: </w:t>
            </w:r>
          </w:p>
        </w:tc>
        <w:tc>
          <w:tcPr>
            <w:tcW w:w="6590" w:type="dxa"/>
          </w:tcPr>
          <w:p w:rsidR="00116AE6" w:rsidRPr="00D30FEA" w:rsidRDefault="00357F8C" w:rsidP="00D30FEA">
            <w:r>
              <w:fldChar w:fldCharType="begin"/>
            </w:r>
            <w:r w:rsidR="00DE18CA">
              <w:instrText xml:space="preserve"> MERGEFIELD DOSE_FORM </w:instrText>
            </w:r>
            <w:r>
              <w:fldChar w:fldCharType="separate"/>
            </w:r>
            <w:r w:rsidR="001F2123">
              <w:rPr>
                <w:noProof/>
              </w:rPr>
              <w:t>I</w:t>
            </w:r>
            <w:r w:rsidR="00AC458D" w:rsidRPr="00D30FEA">
              <w:rPr>
                <w:noProof/>
              </w:rPr>
              <w:t>njection</w:t>
            </w:r>
            <w:r>
              <w:rPr>
                <w:noProof/>
              </w:rPr>
              <w:fldChar w:fldCharType="end"/>
            </w:r>
            <w:r w:rsidR="00D30FEA" w:rsidRPr="00D30FEA">
              <w:t xml:space="preserve"> solution</w:t>
            </w:r>
          </w:p>
        </w:tc>
      </w:tr>
      <w:tr w:rsidR="00116AE6" w:rsidRPr="001E4C86" w:rsidTr="007A4836">
        <w:trPr>
          <w:trHeight w:val="368"/>
        </w:trPr>
        <w:tc>
          <w:tcPr>
            <w:tcW w:w="2907" w:type="dxa"/>
          </w:tcPr>
          <w:p w:rsidR="00116AE6" w:rsidRPr="00D30FEA" w:rsidRDefault="00116AE6" w:rsidP="00D30FEA">
            <w:pPr>
              <w:rPr>
                <w:i/>
              </w:rPr>
            </w:pPr>
            <w:r w:rsidRPr="00D30FEA">
              <w:rPr>
                <w:i/>
              </w:rPr>
              <w:t xml:space="preserve">Strength: </w:t>
            </w:r>
          </w:p>
        </w:tc>
        <w:tc>
          <w:tcPr>
            <w:tcW w:w="6590" w:type="dxa"/>
          </w:tcPr>
          <w:p w:rsidR="00116AE6" w:rsidRPr="00D30FEA" w:rsidRDefault="00357F8C" w:rsidP="00D30FEA">
            <w:r>
              <w:fldChar w:fldCharType="begin"/>
            </w:r>
            <w:r w:rsidR="00DE18CA">
              <w:instrText xml:space="preserve"> MERGEFIELD STRENGTH </w:instrText>
            </w:r>
            <w:r>
              <w:fldChar w:fldCharType="separate"/>
            </w:r>
            <w:r w:rsidR="00A77FC9">
              <w:rPr>
                <w:noProof/>
              </w:rPr>
              <w:t>50 mg/</w:t>
            </w:r>
            <w:r w:rsidR="00AC458D" w:rsidRPr="00D30FEA">
              <w:rPr>
                <w:noProof/>
              </w:rPr>
              <w:t>1 mL</w:t>
            </w:r>
            <w:r>
              <w:rPr>
                <w:noProof/>
              </w:rPr>
              <w:fldChar w:fldCharType="end"/>
            </w:r>
          </w:p>
        </w:tc>
      </w:tr>
      <w:tr w:rsidR="00116AE6" w:rsidRPr="00D30FEA" w:rsidTr="00BC73C9">
        <w:tc>
          <w:tcPr>
            <w:tcW w:w="2907" w:type="dxa"/>
          </w:tcPr>
          <w:p w:rsidR="00116AE6" w:rsidRPr="00D30FEA" w:rsidRDefault="00116AE6" w:rsidP="00D30FEA">
            <w:pPr>
              <w:rPr>
                <w:i/>
              </w:rPr>
            </w:pPr>
            <w:r w:rsidRPr="00D30FEA">
              <w:rPr>
                <w:i/>
              </w:rPr>
              <w:t>Container:</w:t>
            </w:r>
          </w:p>
        </w:tc>
        <w:tc>
          <w:tcPr>
            <w:tcW w:w="6590" w:type="dxa"/>
          </w:tcPr>
          <w:p w:rsidR="00116AE6" w:rsidRPr="00D30FEA" w:rsidRDefault="00D30FEA" w:rsidP="00BC73C9">
            <w:r w:rsidRPr="00D30FEA">
              <w:t>Ampoule</w:t>
            </w:r>
          </w:p>
        </w:tc>
      </w:tr>
      <w:tr w:rsidR="00116AE6" w:rsidRPr="00D30FEA" w:rsidTr="00BC73C9">
        <w:tc>
          <w:tcPr>
            <w:tcW w:w="2907" w:type="dxa"/>
          </w:tcPr>
          <w:p w:rsidR="00116AE6" w:rsidRPr="00D30FEA" w:rsidRDefault="00116AE6" w:rsidP="00D30FEA">
            <w:pPr>
              <w:rPr>
                <w:i/>
              </w:rPr>
            </w:pPr>
            <w:r w:rsidRPr="00D30FEA">
              <w:rPr>
                <w:i/>
              </w:rPr>
              <w:t>Pack size:</w:t>
            </w:r>
          </w:p>
        </w:tc>
        <w:tc>
          <w:tcPr>
            <w:tcW w:w="6590" w:type="dxa"/>
          </w:tcPr>
          <w:p w:rsidR="00116AE6" w:rsidRPr="00D30FEA" w:rsidRDefault="00D30FEA" w:rsidP="00BC73C9">
            <w:r w:rsidRPr="00D30FEA">
              <w:t>5 ampoules/carton</w:t>
            </w:r>
          </w:p>
        </w:tc>
      </w:tr>
      <w:tr w:rsidR="00116AE6" w:rsidRPr="00D30FEA" w:rsidTr="00BC73C9">
        <w:tc>
          <w:tcPr>
            <w:tcW w:w="2907" w:type="dxa"/>
          </w:tcPr>
          <w:p w:rsidR="00116AE6" w:rsidRPr="00D30FEA" w:rsidRDefault="00116AE6" w:rsidP="00BC73C9">
            <w:pPr>
              <w:rPr>
                <w:i/>
              </w:rPr>
            </w:pPr>
            <w:r w:rsidRPr="00D30FEA">
              <w:rPr>
                <w:i/>
              </w:rPr>
              <w:t>Approved Therapeutic use:</w:t>
            </w:r>
          </w:p>
        </w:tc>
        <w:tc>
          <w:tcPr>
            <w:tcW w:w="6590" w:type="dxa"/>
          </w:tcPr>
          <w:p w:rsidR="00116AE6" w:rsidRPr="00D30FEA" w:rsidRDefault="00994348" w:rsidP="00BC73C9">
            <w:pPr>
              <w:rPr>
                <w:rFonts w:eastAsia="MS Mincho"/>
                <w:lang w:eastAsia="ja-JP"/>
              </w:rPr>
            </w:pPr>
            <w:r>
              <w:t>F</w:t>
            </w:r>
            <w:r w:rsidR="00D30FEA" w:rsidRPr="00D30FEA">
              <w:t>or the prevention of nausea and vomiting in the post operative period</w:t>
            </w:r>
            <w:r>
              <w:t>.</w:t>
            </w:r>
          </w:p>
        </w:tc>
      </w:tr>
      <w:tr w:rsidR="00116AE6" w:rsidRPr="001E4C86" w:rsidTr="00BC73C9">
        <w:tc>
          <w:tcPr>
            <w:tcW w:w="2907" w:type="dxa"/>
          </w:tcPr>
          <w:p w:rsidR="00116AE6" w:rsidRPr="00D30FEA" w:rsidRDefault="00D30FEA" w:rsidP="00BC73C9">
            <w:pPr>
              <w:rPr>
                <w:i/>
              </w:rPr>
            </w:pPr>
            <w:r w:rsidRPr="00D30FEA">
              <w:rPr>
                <w:i/>
              </w:rPr>
              <w:t>Route</w:t>
            </w:r>
            <w:r w:rsidR="00116AE6" w:rsidRPr="00D30FEA">
              <w:rPr>
                <w:i/>
              </w:rPr>
              <w:t xml:space="preserve"> of administration:</w:t>
            </w:r>
          </w:p>
        </w:tc>
        <w:tc>
          <w:tcPr>
            <w:tcW w:w="6590" w:type="dxa"/>
          </w:tcPr>
          <w:p w:rsidR="00116AE6" w:rsidRPr="00D30FEA" w:rsidRDefault="00255851" w:rsidP="00255851">
            <w:r>
              <w:t>Intravenous (</w:t>
            </w:r>
            <w:r w:rsidR="00D30FEA" w:rsidRPr="00D30FEA">
              <w:t>IV</w:t>
            </w:r>
            <w:r>
              <w:t>)</w:t>
            </w:r>
            <w:r w:rsidR="00D30FEA" w:rsidRPr="00D30FEA">
              <w:t xml:space="preserve"> injection</w:t>
            </w:r>
          </w:p>
        </w:tc>
      </w:tr>
      <w:tr w:rsidR="00116AE6" w:rsidRPr="001E4C86" w:rsidTr="00BC73C9">
        <w:tc>
          <w:tcPr>
            <w:tcW w:w="2907" w:type="dxa"/>
          </w:tcPr>
          <w:p w:rsidR="00116AE6" w:rsidRPr="001E4C86" w:rsidRDefault="00116AE6" w:rsidP="00BC73C9">
            <w:pPr>
              <w:rPr>
                <w:i/>
                <w:highlight w:val="yellow"/>
              </w:rPr>
            </w:pPr>
            <w:r w:rsidRPr="00CF325E">
              <w:rPr>
                <w:i/>
              </w:rPr>
              <w:t>Dosage:</w:t>
            </w:r>
          </w:p>
        </w:tc>
        <w:tc>
          <w:tcPr>
            <w:tcW w:w="6590" w:type="dxa"/>
          </w:tcPr>
          <w:p w:rsidR="00116AE6" w:rsidRPr="001E4C86" w:rsidRDefault="007A4836" w:rsidP="00A77FC9">
            <w:pPr>
              <w:rPr>
                <w:highlight w:val="yellow"/>
              </w:rPr>
            </w:pPr>
            <w:r w:rsidRPr="007A4836">
              <w:t>50 mg up to three times daily</w:t>
            </w:r>
            <w:r w:rsidRPr="007A4836">
              <w:rPr>
                <w:highlight w:val="yellow"/>
              </w:rPr>
              <w:t xml:space="preserve"> </w:t>
            </w:r>
          </w:p>
        </w:tc>
      </w:tr>
      <w:tr w:rsidR="00116AE6" w:rsidRPr="005A27B0" w:rsidTr="00BC73C9">
        <w:tc>
          <w:tcPr>
            <w:tcW w:w="2907" w:type="dxa"/>
          </w:tcPr>
          <w:p w:rsidR="00116AE6" w:rsidRPr="00D30FEA" w:rsidRDefault="00116AE6" w:rsidP="00D30FEA">
            <w:pPr>
              <w:rPr>
                <w:i/>
              </w:rPr>
            </w:pPr>
            <w:r w:rsidRPr="00D30FEA">
              <w:rPr>
                <w:i/>
              </w:rPr>
              <w:t>ARTG Number</w:t>
            </w:r>
            <w:r w:rsidR="0022400A">
              <w:rPr>
                <w:i/>
              </w:rPr>
              <w:t>:</w:t>
            </w:r>
          </w:p>
        </w:tc>
        <w:tc>
          <w:tcPr>
            <w:tcW w:w="6590" w:type="dxa"/>
          </w:tcPr>
          <w:p w:rsidR="00116AE6" w:rsidRPr="00D30FEA" w:rsidRDefault="00D30FEA" w:rsidP="005C3144">
            <w:r w:rsidRPr="00D30FEA">
              <w:rPr>
                <w:noProof/>
              </w:rPr>
              <w:t>180894</w:t>
            </w:r>
            <w:r w:rsidR="00753034">
              <w:rPr>
                <w:noProof/>
              </w:rPr>
              <w:t xml:space="preserve"> </w:t>
            </w:r>
          </w:p>
        </w:tc>
      </w:tr>
    </w:tbl>
    <w:p w:rsidR="00116AE6" w:rsidRDefault="00116AE6" w:rsidP="00116AE6">
      <w:pPr>
        <w:pStyle w:val="Heading3"/>
      </w:pPr>
      <w:bookmarkStart w:id="6" w:name="_Toc247691503"/>
    </w:p>
    <w:p w:rsidR="00116AE6" w:rsidRDefault="007938DE" w:rsidP="00116AE6">
      <w:pPr>
        <w:pStyle w:val="Heading3"/>
      </w:pPr>
      <w:bookmarkStart w:id="7" w:name="_Toc350329801"/>
      <w:r>
        <w:t>Product b</w:t>
      </w:r>
      <w:r w:rsidR="00116AE6">
        <w:t>ackground</w:t>
      </w:r>
      <w:bookmarkEnd w:id="6"/>
      <w:bookmarkEnd w:id="7"/>
    </w:p>
    <w:p w:rsidR="00CF325E" w:rsidRDefault="00CF325E" w:rsidP="005C3144">
      <w:pPr>
        <w:spacing w:line="240" w:lineRule="auto"/>
      </w:pPr>
      <w:r>
        <w:t xml:space="preserve">This AusPAR describes the application by Link Medical Products Pty Ltd to register </w:t>
      </w:r>
      <w:r w:rsidR="00255851">
        <w:t>Valoid</w:t>
      </w:r>
      <w:r>
        <w:t xml:space="preserve"> inj</w:t>
      </w:r>
      <w:r w:rsidR="00192A45">
        <w:t xml:space="preserve">ection containing cyclizine </w:t>
      </w:r>
      <w:r>
        <w:t>lactate</w:t>
      </w:r>
      <w:r>
        <w:rPr>
          <w:b/>
        </w:rPr>
        <w:t xml:space="preserve"> </w:t>
      </w:r>
      <w:r>
        <w:t>50 mg/1 mL as a new chemical entity</w:t>
      </w:r>
      <w:r w:rsidR="00EC78AF">
        <w:t xml:space="preserve"> (NCE)</w:t>
      </w:r>
      <w:r>
        <w:t xml:space="preserve">. </w:t>
      </w:r>
    </w:p>
    <w:p w:rsidR="00FE14B4" w:rsidRPr="00FE14B4" w:rsidRDefault="00CF325E" w:rsidP="00753034">
      <w:pPr>
        <w:spacing w:after="240" w:line="240" w:lineRule="auto"/>
      </w:pPr>
      <w:r>
        <w:t>Cyclizine is a piperizine-derivative histamine H</w:t>
      </w:r>
      <w:r w:rsidRPr="00FE14B4">
        <w:rPr>
          <w:vertAlign w:val="subscript"/>
        </w:rPr>
        <w:t>1</w:t>
      </w:r>
      <w:r>
        <w:t xml:space="preserve"> receptor antagonist with anti</w:t>
      </w:r>
      <w:r w:rsidR="00FE14B4">
        <w:t xml:space="preserve">cholinergic activity. </w:t>
      </w:r>
      <w:r w:rsidR="00A81394">
        <w:t xml:space="preserve">It has been used internationally to treat nausea and vomiting </w:t>
      </w:r>
      <w:r w:rsidR="0013614E">
        <w:t xml:space="preserve">due to various causes and in various settings </w:t>
      </w:r>
      <w:r w:rsidR="00A81394">
        <w:t>for more than 50 years but has never been registered in Australia</w:t>
      </w:r>
      <w:r w:rsidR="00A77FC9">
        <w:rPr>
          <w:rStyle w:val="FootnoteReference"/>
        </w:rPr>
        <w:footnoteReference w:id="1"/>
      </w:r>
      <w:r w:rsidR="00A81394">
        <w:t xml:space="preserve">. The </w:t>
      </w:r>
      <w:r w:rsidR="00FE14B4">
        <w:t xml:space="preserve">anti-emetic mechanism of action </w:t>
      </w:r>
      <w:r w:rsidR="00A81394">
        <w:t xml:space="preserve">of cyclizine </w:t>
      </w:r>
      <w:r w:rsidR="00FE14B4">
        <w:t xml:space="preserve">is </w:t>
      </w:r>
      <w:r w:rsidR="00192A45">
        <w:t xml:space="preserve">not fully understood but is </w:t>
      </w:r>
      <w:r w:rsidR="00A81394">
        <w:t xml:space="preserve">thought to be </w:t>
      </w:r>
      <w:r w:rsidR="00FE14B4" w:rsidRPr="00FE14B4">
        <w:rPr>
          <w:i/>
        </w:rPr>
        <w:t>via</w:t>
      </w:r>
      <w:r w:rsidR="00FE14B4">
        <w:t xml:space="preserve"> anti-muscarinic and anti-histamine effects at the chemoreceptor trigger zone of the vomiting centre in the </w:t>
      </w:r>
      <w:r w:rsidR="00FE14B4" w:rsidRPr="00FE14B4">
        <w:t>midbrain</w:t>
      </w:r>
      <w:r w:rsidR="00192A45">
        <w:t>; and possibly also involves antispasmodic effects on intestinal smooth muscle</w:t>
      </w:r>
      <w:r w:rsidR="00FE14B4" w:rsidRPr="00FE14B4">
        <w:t>.</w:t>
      </w:r>
    </w:p>
    <w:p w:rsidR="00FE14B4" w:rsidRDefault="00FE14B4" w:rsidP="00753034">
      <w:pPr>
        <w:spacing w:line="240" w:lineRule="auto"/>
      </w:pPr>
      <w:r>
        <w:t>The sponsor initially proposed the following indications for cyclizine</w:t>
      </w:r>
      <w:r w:rsidR="00A81394">
        <w:t xml:space="preserve"> lactate</w:t>
      </w:r>
      <w:r>
        <w:t>:</w:t>
      </w:r>
    </w:p>
    <w:p w:rsidR="00FE14B4" w:rsidRPr="00FE14B4" w:rsidRDefault="00FE14B4" w:rsidP="0049040A">
      <w:pPr>
        <w:pStyle w:val="ListBullet"/>
      </w:pPr>
      <w:r w:rsidRPr="00FE14B4">
        <w:t xml:space="preserve">the treatment of nausea and vomiting caused by narcotic analgesics and by general anaesthetics in the post-operative period </w:t>
      </w:r>
    </w:p>
    <w:p w:rsidR="00FE14B4" w:rsidRPr="00FE14B4" w:rsidRDefault="00FE14B4" w:rsidP="0049040A">
      <w:pPr>
        <w:pStyle w:val="ListBullet"/>
      </w:pPr>
      <w:r w:rsidRPr="00FE14B4">
        <w:t xml:space="preserve">pre-operative use in patients undergoing emergency surgery to reduce the hazard of regurgitation and aspiration of gastric contents during induction of general anaesthesia </w:t>
      </w:r>
    </w:p>
    <w:p w:rsidR="00C9386D" w:rsidRDefault="00FE14B4" w:rsidP="00753034">
      <w:pPr>
        <w:spacing w:line="240" w:lineRule="auto"/>
      </w:pPr>
      <w:r>
        <w:t xml:space="preserve">The proposed dose was </w:t>
      </w:r>
      <w:r w:rsidRPr="00AC5CD4">
        <w:t xml:space="preserve">50 mg intramuscularly </w:t>
      </w:r>
      <w:r w:rsidR="000A567B">
        <w:t xml:space="preserve">(IM) </w:t>
      </w:r>
      <w:r w:rsidRPr="00AC5CD4">
        <w:t xml:space="preserve">or intravenously </w:t>
      </w:r>
      <w:r w:rsidR="000A567B">
        <w:t xml:space="preserve">(IV) </w:t>
      </w:r>
      <w:r w:rsidRPr="00AC5CD4">
        <w:t>up to three times daily</w:t>
      </w:r>
      <w:r w:rsidR="00F504AC">
        <w:t xml:space="preserve"> (tid)</w:t>
      </w:r>
      <w:r>
        <w:t>.</w:t>
      </w:r>
      <w:r w:rsidR="00515ACF">
        <w:t xml:space="preserve"> T</w:t>
      </w:r>
      <w:r w:rsidR="00AE52A4">
        <w:t xml:space="preserve">he sponsor’s request to include </w:t>
      </w:r>
      <w:r w:rsidR="00255851" w:rsidRPr="00C9386D">
        <w:t>C</w:t>
      </w:r>
      <w:r w:rsidR="00255851">
        <w:t xml:space="preserve">ycline-Link </w:t>
      </w:r>
      <w:r w:rsidR="00AE52A4">
        <w:t xml:space="preserve">as an additional trade name </w:t>
      </w:r>
      <w:r w:rsidR="005529BC">
        <w:t xml:space="preserve">after the submission was accepted for evaluation </w:t>
      </w:r>
      <w:r w:rsidR="00AE52A4">
        <w:t xml:space="preserve">was </w:t>
      </w:r>
      <w:r w:rsidR="000A567B">
        <w:t>not considered as part of this submission</w:t>
      </w:r>
      <w:r w:rsidR="00FD4F9C">
        <w:t>.</w:t>
      </w:r>
    </w:p>
    <w:p w:rsidR="00255851" w:rsidRPr="00C9386D" w:rsidRDefault="00255851" w:rsidP="00E719AC">
      <w:r>
        <w:lastRenderedPageBreak/>
        <w:t>Published references referred to in this AusPAR have been listed at the end of th</w:t>
      </w:r>
      <w:r w:rsidR="00D26B7D">
        <w:t>is</w:t>
      </w:r>
      <w:r>
        <w:t xml:space="preserve"> AusPAR (</w:t>
      </w:r>
      <w:r w:rsidR="00D26B7D">
        <w:t xml:space="preserve">under </w:t>
      </w:r>
      <w:r w:rsidRPr="00255851">
        <w:rPr>
          <w:i/>
        </w:rPr>
        <w:t>References</w:t>
      </w:r>
      <w:r>
        <w:t>).</w:t>
      </w:r>
    </w:p>
    <w:p w:rsidR="00116AE6" w:rsidRPr="003F31A2" w:rsidRDefault="007938DE" w:rsidP="005C3144">
      <w:pPr>
        <w:pStyle w:val="Heading3"/>
      </w:pPr>
      <w:bookmarkStart w:id="8" w:name="_Toc350329802"/>
      <w:bookmarkStart w:id="9" w:name="_Toc247691504"/>
      <w:r>
        <w:t>Regulatory s</w:t>
      </w:r>
      <w:r w:rsidR="00116AE6">
        <w:t>tatus</w:t>
      </w:r>
      <w:bookmarkEnd w:id="8"/>
      <w:r w:rsidR="00116AE6">
        <w:t xml:space="preserve"> </w:t>
      </w:r>
      <w:bookmarkEnd w:id="9"/>
    </w:p>
    <w:p w:rsidR="004231C4" w:rsidRDefault="004231C4" w:rsidP="007C4A0A">
      <w:r>
        <w:t>The product Valoid received initial ARTG Registration on 19 June 2012.</w:t>
      </w:r>
    </w:p>
    <w:p w:rsidR="00192A45" w:rsidRDefault="00255851" w:rsidP="007C4A0A">
      <w:r>
        <w:t>Valoid</w:t>
      </w:r>
      <w:r w:rsidR="000A567B">
        <w:t xml:space="preserve"> i</w:t>
      </w:r>
      <w:r w:rsidR="003002FD">
        <w:t xml:space="preserve">njection 50 mg/mL has been approved in the UK since 1985 and in Ireland since 1979. </w:t>
      </w:r>
      <w:r w:rsidR="00192A45">
        <w:t xml:space="preserve">Injections containing 50 mg/mL </w:t>
      </w:r>
      <w:r w:rsidR="003002FD">
        <w:t xml:space="preserve">cyclizine </w:t>
      </w:r>
      <w:r w:rsidR="00192A45">
        <w:t xml:space="preserve">lactate from other sponsors </w:t>
      </w:r>
      <w:r w:rsidR="001E6983">
        <w:t xml:space="preserve">are available in New Zealand and </w:t>
      </w:r>
      <w:r w:rsidR="00192A45">
        <w:t xml:space="preserve">were available </w:t>
      </w:r>
      <w:r w:rsidR="003002FD">
        <w:t>in Canada (</w:t>
      </w:r>
      <w:r w:rsidR="00192A45">
        <w:t xml:space="preserve">first marketed in </w:t>
      </w:r>
      <w:r w:rsidR="003002FD">
        <w:t>1954) and the USA (</w:t>
      </w:r>
      <w:r w:rsidR="00192A45">
        <w:t xml:space="preserve">1990) but have since been discontinued. </w:t>
      </w:r>
    </w:p>
    <w:p w:rsidR="00116AE6" w:rsidRDefault="007938DE" w:rsidP="00116AE6">
      <w:pPr>
        <w:pStyle w:val="Heading3"/>
      </w:pPr>
      <w:bookmarkStart w:id="10" w:name="_Toc247691505"/>
      <w:bookmarkStart w:id="11" w:name="_Toc350329803"/>
      <w:r>
        <w:t>Product i</w:t>
      </w:r>
      <w:r w:rsidR="00116AE6">
        <w:t>nformation</w:t>
      </w:r>
      <w:bookmarkEnd w:id="10"/>
      <w:bookmarkEnd w:id="11"/>
    </w:p>
    <w:p w:rsidR="00116AE6" w:rsidRPr="00572868" w:rsidRDefault="00116AE6" w:rsidP="00116AE6">
      <w:r>
        <w:t>The approved product information (PI) current at the time this AusPAR was prepared can be found as Attachment 1.</w:t>
      </w:r>
    </w:p>
    <w:p w:rsidR="00116AE6" w:rsidRPr="003602A9" w:rsidRDefault="00D21C4E" w:rsidP="00D21C4E">
      <w:pPr>
        <w:pStyle w:val="Heading2"/>
        <w:ind w:left="-11"/>
      </w:pPr>
      <w:bookmarkStart w:id="12" w:name="_Toc247691506"/>
      <w:bookmarkStart w:id="13" w:name="_Toc350329804"/>
      <w:r>
        <w:t xml:space="preserve">II. </w:t>
      </w:r>
      <w:r w:rsidR="00116AE6">
        <w:t>Quality</w:t>
      </w:r>
      <w:bookmarkEnd w:id="3"/>
      <w:r w:rsidR="007938DE">
        <w:t xml:space="preserve"> f</w:t>
      </w:r>
      <w:r w:rsidR="00116AE6">
        <w:t>indings</w:t>
      </w:r>
      <w:bookmarkEnd w:id="12"/>
      <w:bookmarkEnd w:id="13"/>
    </w:p>
    <w:p w:rsidR="00116AE6" w:rsidRDefault="00116AE6" w:rsidP="00116AE6">
      <w:pPr>
        <w:pStyle w:val="Heading3"/>
      </w:pPr>
      <w:bookmarkStart w:id="14" w:name="_Toc247691507"/>
      <w:bookmarkStart w:id="15" w:name="_Toc350329805"/>
      <w:r w:rsidRPr="008751DC">
        <w:t xml:space="preserve">Drug </w:t>
      </w:r>
      <w:r w:rsidR="007938DE">
        <w:t>s</w:t>
      </w:r>
      <w:r w:rsidRPr="008751DC">
        <w:t>ubstance</w:t>
      </w:r>
      <w:r>
        <w:t xml:space="preserve"> (active ingredient)</w:t>
      </w:r>
      <w:bookmarkEnd w:id="14"/>
      <w:bookmarkEnd w:id="15"/>
    </w:p>
    <w:p w:rsidR="001F2123" w:rsidRDefault="001F2123" w:rsidP="005C3144">
      <w:r>
        <w:t>Cyclizine has the following structure:</w:t>
      </w:r>
    </w:p>
    <w:p w:rsidR="001F2123" w:rsidRDefault="00DE18CA" w:rsidP="001F2123">
      <w:pPr>
        <w:jc w:val="center"/>
      </w:pPr>
      <w:r>
        <w:rPr>
          <w:noProof/>
          <w:lang w:eastAsia="en-AU"/>
        </w:rPr>
        <w:drawing>
          <wp:inline distT="0" distB="0" distL="0" distR="0">
            <wp:extent cx="1767205" cy="1458595"/>
            <wp:effectExtent l="0" t="0" r="4445" b="8255"/>
            <wp:docPr id="106" name="Picture 2" descr="cycli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izine"/>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205" cy="1458595"/>
                    </a:xfrm>
                    <a:prstGeom prst="rect">
                      <a:avLst/>
                    </a:prstGeom>
                    <a:noFill/>
                    <a:ln>
                      <a:noFill/>
                    </a:ln>
                  </pic:spPr>
                </pic:pic>
              </a:graphicData>
            </a:graphic>
          </wp:inline>
        </w:drawing>
      </w:r>
    </w:p>
    <w:p w:rsidR="004C04BF" w:rsidRDefault="001F2123" w:rsidP="001F2123">
      <w:r>
        <w:t xml:space="preserve">It contains no chiral centres, and is not known to exhibit polymorphism. It is practically insoluble in water, but is readily soluble as the lactate salt at the pH of the injection (3.5). </w:t>
      </w:r>
      <w:r w:rsidR="004C04BF">
        <w:t>The chemical formula of cyclizine is C</w:t>
      </w:r>
      <w:r w:rsidR="004C04BF">
        <w:rPr>
          <w:vertAlign w:val="subscript"/>
        </w:rPr>
        <w:t>18</w:t>
      </w:r>
      <w:r w:rsidR="004C04BF">
        <w:t>H</w:t>
      </w:r>
      <w:r w:rsidR="004C04BF">
        <w:rPr>
          <w:vertAlign w:val="subscript"/>
        </w:rPr>
        <w:t>22</w:t>
      </w:r>
      <w:r w:rsidR="004C04BF">
        <w:t>N</w:t>
      </w:r>
      <w:r w:rsidR="004C04BF">
        <w:rPr>
          <w:vertAlign w:val="subscript"/>
        </w:rPr>
        <w:t>2</w:t>
      </w:r>
      <w:r w:rsidR="004C04BF" w:rsidRPr="004C04BF">
        <w:t xml:space="preserve"> (molecular weight 26</w:t>
      </w:r>
      <w:r w:rsidR="000D4AC5">
        <w:t>6</w:t>
      </w:r>
      <w:r w:rsidR="00A77FC9">
        <w:t>)</w:t>
      </w:r>
      <w:r w:rsidR="004C04BF" w:rsidRPr="004C04BF">
        <w:t xml:space="preserve">; that of cyclizine lactate is </w:t>
      </w:r>
      <w:r w:rsidR="004C04BF">
        <w:t>C</w:t>
      </w:r>
      <w:r w:rsidR="004C04BF">
        <w:rPr>
          <w:vertAlign w:val="subscript"/>
        </w:rPr>
        <w:t>21</w:t>
      </w:r>
      <w:r w:rsidR="004C04BF">
        <w:t>H</w:t>
      </w:r>
      <w:r w:rsidR="004C04BF">
        <w:rPr>
          <w:vertAlign w:val="subscript"/>
        </w:rPr>
        <w:t>28</w:t>
      </w:r>
      <w:r w:rsidR="004C04BF">
        <w:t>N</w:t>
      </w:r>
      <w:r w:rsidR="004C04BF">
        <w:rPr>
          <w:vertAlign w:val="subscript"/>
        </w:rPr>
        <w:t>2</w:t>
      </w:r>
      <w:r w:rsidR="004C04BF">
        <w:t>O</w:t>
      </w:r>
      <w:r w:rsidR="004C04BF">
        <w:rPr>
          <w:vertAlign w:val="subscript"/>
        </w:rPr>
        <w:t>3</w:t>
      </w:r>
      <w:r w:rsidR="000A567B">
        <w:t xml:space="preserve"> </w:t>
      </w:r>
      <w:r w:rsidR="00A77FC9">
        <w:t>(</w:t>
      </w:r>
      <w:r w:rsidR="004C04BF">
        <w:t>molecular weight 356.46).</w:t>
      </w:r>
    </w:p>
    <w:p w:rsidR="001F2123" w:rsidRDefault="001F2123" w:rsidP="001F2123">
      <w:r>
        <w:t xml:space="preserve">The drug substance complies with the </w:t>
      </w:r>
      <w:r w:rsidR="00255851">
        <w:t>British Pharmacopiea (</w:t>
      </w:r>
      <w:r>
        <w:t>BP</w:t>
      </w:r>
      <w:r w:rsidR="00255851">
        <w:t>)</w:t>
      </w:r>
      <w:r>
        <w:t xml:space="preserve"> monograph for </w:t>
      </w:r>
      <w:r>
        <w:rPr>
          <w:i/>
        </w:rPr>
        <w:t>cyclizine</w:t>
      </w:r>
      <w:r>
        <w:t xml:space="preserve">, with the addition of a </w:t>
      </w:r>
      <w:r w:rsidR="00255851">
        <w:t>gas chromatography</w:t>
      </w:r>
      <w:r w:rsidR="00255851" w:rsidRPr="00753034">
        <w:t xml:space="preserve"> </w:t>
      </w:r>
      <w:r w:rsidR="00255851">
        <w:t>(</w:t>
      </w:r>
      <w:r>
        <w:t>GC</w:t>
      </w:r>
      <w:r w:rsidR="00255851">
        <w:t>)</w:t>
      </w:r>
      <w:r>
        <w:t xml:space="preserve"> test for related substances analogous to that described in the BP/</w:t>
      </w:r>
      <w:r w:rsidR="00255851">
        <w:t>European Pharmacopiea (</w:t>
      </w:r>
      <w:r>
        <w:t>Ph. Eur.</w:t>
      </w:r>
      <w:r w:rsidR="00255851">
        <w:t>)</w:t>
      </w:r>
      <w:r>
        <w:t xml:space="preserve"> monograph for </w:t>
      </w:r>
      <w:r>
        <w:rPr>
          <w:i/>
        </w:rPr>
        <w:t>cyclizine hydrochloride</w:t>
      </w:r>
      <w:r>
        <w:t>. Appropriate limits are applied to N- methylpiperazine (0.5%), benzhydrol (0.5%) and any unspecified impurity (0.10</w:t>
      </w:r>
      <w:r w:rsidR="00606DA6">
        <w:t>%</w:t>
      </w:r>
      <w:r>
        <w:t xml:space="preserve">). </w:t>
      </w:r>
    </w:p>
    <w:p w:rsidR="001F2123" w:rsidRDefault="007B0B07" w:rsidP="001F2123">
      <w:r>
        <w:t xml:space="preserve">Matters raised by TGA in relation to the manufacture of the drug substance were resolved satisfactorily. </w:t>
      </w:r>
    </w:p>
    <w:p w:rsidR="00116AE6" w:rsidRDefault="00116AE6" w:rsidP="00116AE6">
      <w:pPr>
        <w:pStyle w:val="Heading3"/>
      </w:pPr>
      <w:bookmarkStart w:id="16" w:name="_Toc247691508"/>
      <w:bookmarkStart w:id="17" w:name="_Toc350329806"/>
      <w:r w:rsidRPr="008751DC">
        <w:t xml:space="preserve">Drug </w:t>
      </w:r>
      <w:r w:rsidR="007938DE">
        <w:t>p</w:t>
      </w:r>
      <w:r w:rsidRPr="008751DC">
        <w:t>roduct</w:t>
      </w:r>
      <w:bookmarkEnd w:id="16"/>
      <w:bookmarkEnd w:id="17"/>
    </w:p>
    <w:p w:rsidR="006D1611" w:rsidRDefault="007B0B07" w:rsidP="006D1611">
      <w:r w:rsidRPr="007B0B07">
        <w:t>Cyclizine lactate is defined as the 1:1 salt of cyclizine and lactic acid.</w:t>
      </w:r>
      <w:r>
        <w:rPr>
          <w:rFonts w:ascii="Times New Roman" w:hAnsi="Times New Roman"/>
          <w:sz w:val="24"/>
        </w:rPr>
        <w:t xml:space="preserve"> </w:t>
      </w:r>
      <w:r>
        <w:t xml:space="preserve">The product is labelled in terms of the content of cyclizine lactate (50 mg cyclizine lactate is equivalent to 37.4 mg cyclizine base). </w:t>
      </w:r>
    </w:p>
    <w:p w:rsidR="00D80A8E" w:rsidRDefault="00D80A8E" w:rsidP="00753034">
      <w:pPr>
        <w:numPr>
          <w:ilvl w:val="12"/>
          <w:numId w:val="0"/>
        </w:numPr>
        <w:spacing w:line="240" w:lineRule="auto"/>
      </w:pPr>
      <w:r>
        <w:t xml:space="preserve">The excipients used in the manufacture of the drug product comply </w:t>
      </w:r>
      <w:r w:rsidR="00753034">
        <w:t xml:space="preserve">with pharmacopoeial standards. </w:t>
      </w:r>
      <w:r>
        <w:t>They are conventional for use in the manufacture of parenteral products and were found to be acceptable. None is derived from animals or genetically modified organisms.</w:t>
      </w:r>
    </w:p>
    <w:p w:rsidR="004122F2" w:rsidRDefault="006D1611" w:rsidP="00753034">
      <w:pPr>
        <w:spacing w:line="240" w:lineRule="auto"/>
      </w:pPr>
      <w:r>
        <w:t>The manufacturing methods utilised are conventional processes commonly used to pro</w:t>
      </w:r>
      <w:r w:rsidR="00753034">
        <w:t xml:space="preserve">duce parenteral drug products. </w:t>
      </w:r>
      <w:r w:rsidR="004122F2">
        <w:t>No reprocessing procedures are proposed at this point in time.</w:t>
      </w:r>
    </w:p>
    <w:p w:rsidR="008C0AD8" w:rsidRPr="00B27E69" w:rsidRDefault="008C0AD8" w:rsidP="008C0AD8">
      <w:pPr>
        <w:spacing w:line="240" w:lineRule="auto"/>
        <w:rPr>
          <w:rFonts w:cs="Calibri"/>
        </w:rPr>
      </w:pPr>
      <w:r w:rsidRPr="00B27E69">
        <w:rPr>
          <w:rFonts w:cs="Calibri"/>
        </w:rPr>
        <w:t xml:space="preserve">The </w:t>
      </w:r>
      <w:r>
        <w:rPr>
          <w:rFonts w:cs="Calibri"/>
        </w:rPr>
        <w:t>quality</w:t>
      </w:r>
      <w:r w:rsidRPr="00B27E69">
        <w:rPr>
          <w:rFonts w:cs="Calibri"/>
        </w:rPr>
        <w:t xml:space="preserve"> evaluator </w:t>
      </w:r>
      <w:r>
        <w:rPr>
          <w:rFonts w:cs="Calibri"/>
        </w:rPr>
        <w:t xml:space="preserve">initially </w:t>
      </w:r>
      <w:r w:rsidRPr="00B27E69">
        <w:rPr>
          <w:rFonts w:cs="Calibri"/>
        </w:rPr>
        <w:t>considered that approval of this submission could not be recommended until a suitable method for monitoring the finished product had been developed and appropriate stability data us</w:t>
      </w:r>
      <w:r>
        <w:rPr>
          <w:rFonts w:cs="Calibri"/>
        </w:rPr>
        <w:t xml:space="preserve">ing that method were generated. </w:t>
      </w:r>
      <w:r w:rsidRPr="00B27E69">
        <w:rPr>
          <w:rFonts w:cs="Calibri"/>
        </w:rPr>
        <w:t xml:space="preserve">This subsequently occurred.    </w:t>
      </w:r>
    </w:p>
    <w:p w:rsidR="008C0AD8" w:rsidRDefault="008C0AD8" w:rsidP="00753034">
      <w:pPr>
        <w:spacing w:line="240" w:lineRule="auto"/>
      </w:pPr>
    </w:p>
    <w:p w:rsidR="001F2123" w:rsidRPr="00753034" w:rsidRDefault="00FD4F9C" w:rsidP="00753034">
      <w:pPr>
        <w:tabs>
          <w:tab w:val="left" w:pos="0"/>
          <w:tab w:val="left" w:pos="426"/>
          <w:tab w:val="left" w:pos="1440"/>
          <w:tab w:val="left" w:pos="7056"/>
          <w:tab w:val="left" w:pos="7920"/>
        </w:tabs>
        <w:spacing w:line="240" w:lineRule="auto"/>
      </w:pPr>
      <w:r w:rsidRPr="00753034">
        <w:t>The proposed shelf life of 4 years below 25°C was</w:t>
      </w:r>
      <w:r w:rsidR="000B6570">
        <w:t xml:space="preserve"> considered</w:t>
      </w:r>
      <w:r w:rsidRPr="00753034">
        <w:t xml:space="preserve"> acceptable. </w:t>
      </w:r>
    </w:p>
    <w:p w:rsidR="00116AE6" w:rsidRDefault="00116AE6" w:rsidP="00116AE6">
      <w:pPr>
        <w:pStyle w:val="Heading3"/>
      </w:pPr>
      <w:bookmarkStart w:id="18" w:name="_Toc350329807"/>
      <w:r>
        <w:t>Bio</w:t>
      </w:r>
      <w:r w:rsidR="0060188E">
        <w:t>pharmaceutics</w:t>
      </w:r>
      <w:bookmarkEnd w:id="18"/>
    </w:p>
    <w:p w:rsidR="001F2123" w:rsidRDefault="00A77FC9" w:rsidP="001F2123">
      <w:r>
        <w:t xml:space="preserve">Biopharmaceutic data are not required for the IV route of administration. </w:t>
      </w:r>
      <w:r w:rsidR="001F2123">
        <w:t xml:space="preserve">No data </w:t>
      </w:r>
      <w:r w:rsidR="00AE52A4">
        <w:t xml:space="preserve">were </w:t>
      </w:r>
      <w:r w:rsidR="001F2123">
        <w:t xml:space="preserve">submitted on the bioavailability of the injection when administered by the </w:t>
      </w:r>
      <w:r w:rsidR="00255851">
        <w:t>intramuscular (</w:t>
      </w:r>
      <w:r w:rsidR="005235FC">
        <w:t>IM</w:t>
      </w:r>
      <w:r w:rsidR="00255851">
        <w:t>)</w:t>
      </w:r>
      <w:r w:rsidR="005235FC">
        <w:t xml:space="preserve"> </w:t>
      </w:r>
      <w:r w:rsidR="001F2123">
        <w:t xml:space="preserve">route. </w:t>
      </w:r>
    </w:p>
    <w:p w:rsidR="005A27B0" w:rsidRDefault="007938DE" w:rsidP="005A27B0">
      <w:pPr>
        <w:pStyle w:val="Heading3"/>
      </w:pPr>
      <w:bookmarkStart w:id="19" w:name="_Toc350329808"/>
      <w:r>
        <w:t>Advisory committee c</w:t>
      </w:r>
      <w:r w:rsidR="005A27B0">
        <w:t>onsiderations</w:t>
      </w:r>
      <w:bookmarkEnd w:id="19"/>
    </w:p>
    <w:p w:rsidR="00D75524" w:rsidRDefault="00255851" w:rsidP="000B5F7A">
      <w:pPr>
        <w:spacing w:line="240" w:lineRule="auto"/>
      </w:pPr>
      <w:r>
        <w:t>Quality aspects</w:t>
      </w:r>
      <w:r w:rsidR="00D75524">
        <w:t xml:space="preserve"> were considered at the </w:t>
      </w:r>
      <w:r w:rsidR="00D75524" w:rsidRPr="00D75524">
        <w:t>140</w:t>
      </w:r>
      <w:r w:rsidR="00D75524" w:rsidRPr="00A77FC9">
        <w:rPr>
          <w:vertAlign w:val="superscript"/>
        </w:rPr>
        <w:t>th</w:t>
      </w:r>
      <w:r w:rsidR="00A77FC9">
        <w:t xml:space="preserve"> </w:t>
      </w:r>
      <w:r w:rsidR="00D75524" w:rsidRPr="00D75524">
        <w:t>(2011/5)</w:t>
      </w:r>
      <w:r w:rsidR="00D75524">
        <w:t xml:space="preserve"> meeting of the Pharmaceutical Subcommittee</w:t>
      </w:r>
      <w:r w:rsidR="005235FC">
        <w:t xml:space="preserve"> (PSC)</w:t>
      </w:r>
      <w:r>
        <w:t xml:space="preserve"> of the Advisory Committee on Precription Medicines (ACPM)</w:t>
      </w:r>
      <w:r w:rsidR="00D75524">
        <w:t xml:space="preserve">, held August 2011. The PSC endorsed </w:t>
      </w:r>
      <w:r w:rsidR="00D75524" w:rsidRPr="00D75524">
        <w:t>all the questions raised by the TGA in relation to quality and pharmaceutic aspects of the submission</w:t>
      </w:r>
      <w:r w:rsidR="005235FC">
        <w:t xml:space="preserve"> and did not require the submission to be </w:t>
      </w:r>
      <w:r w:rsidR="00A77FC9">
        <w:t>re-</w:t>
      </w:r>
      <w:r w:rsidR="005235FC">
        <w:t xml:space="preserve">presented </w:t>
      </w:r>
      <w:r w:rsidR="00A77FC9">
        <w:t>to the subcommittee</w:t>
      </w:r>
      <w:r w:rsidR="00D75524">
        <w:t>.</w:t>
      </w:r>
      <w:r w:rsidR="00753034">
        <w:t xml:space="preserve"> </w:t>
      </w:r>
    </w:p>
    <w:p w:rsidR="00116AE6" w:rsidRPr="008751DC" w:rsidRDefault="00116AE6" w:rsidP="00116AE6">
      <w:pPr>
        <w:pStyle w:val="Heading3"/>
      </w:pPr>
      <w:bookmarkStart w:id="20" w:name="_Toc247691509"/>
      <w:bookmarkStart w:id="21" w:name="_Toc350329809"/>
      <w:r>
        <w:t xml:space="preserve">Quality </w:t>
      </w:r>
      <w:r w:rsidR="007938DE">
        <w:t>s</w:t>
      </w:r>
      <w:r w:rsidRPr="008751DC">
        <w:t>ummary</w:t>
      </w:r>
      <w:r w:rsidR="007938DE">
        <w:t xml:space="preserve"> and c</w:t>
      </w:r>
      <w:r>
        <w:t>onclusions</w:t>
      </w:r>
      <w:bookmarkEnd w:id="20"/>
      <w:bookmarkEnd w:id="21"/>
    </w:p>
    <w:p w:rsidR="001F2123" w:rsidRDefault="00F76D8D" w:rsidP="001F2123">
      <w:r>
        <w:t xml:space="preserve">There were no biopharmaceutic data to support IM administration and therefore approval </w:t>
      </w:r>
      <w:r w:rsidR="006F136E">
        <w:t xml:space="preserve">of </w:t>
      </w:r>
      <w:r w:rsidR="00255851">
        <w:t>Valoid</w:t>
      </w:r>
      <w:r w:rsidR="006F136E">
        <w:t xml:space="preserve"> </w:t>
      </w:r>
      <w:r>
        <w:t xml:space="preserve">by this route was not recommended. </w:t>
      </w:r>
    </w:p>
    <w:p w:rsidR="00116AE6" w:rsidRDefault="00D21C4E" w:rsidP="00D21C4E">
      <w:pPr>
        <w:pStyle w:val="Heading2"/>
      </w:pPr>
      <w:bookmarkStart w:id="22" w:name="_Toc196046439"/>
      <w:bookmarkStart w:id="23" w:name="_Toc247691510"/>
      <w:bookmarkStart w:id="24" w:name="_Toc350329810"/>
      <w:r>
        <w:t xml:space="preserve">III. </w:t>
      </w:r>
      <w:r w:rsidR="00116AE6">
        <w:t>Nonclinical</w:t>
      </w:r>
      <w:bookmarkEnd w:id="22"/>
      <w:r w:rsidR="007938DE">
        <w:t xml:space="preserve"> f</w:t>
      </w:r>
      <w:r w:rsidR="00116AE6">
        <w:t>indings</w:t>
      </w:r>
      <w:bookmarkEnd w:id="23"/>
      <w:bookmarkEnd w:id="24"/>
    </w:p>
    <w:p w:rsidR="00116AE6" w:rsidRDefault="00116AE6" w:rsidP="0029024E">
      <w:pPr>
        <w:pStyle w:val="Heading3"/>
      </w:pPr>
      <w:bookmarkStart w:id="25" w:name="_Toc247691511"/>
      <w:bookmarkStart w:id="26" w:name="_Toc350329811"/>
      <w:r w:rsidRPr="0029024E">
        <w:t>Introduction</w:t>
      </w:r>
      <w:bookmarkEnd w:id="25"/>
      <w:bookmarkEnd w:id="26"/>
    </w:p>
    <w:p w:rsidR="00753034" w:rsidRDefault="00753034" w:rsidP="005C3144">
      <w:bookmarkStart w:id="27" w:name="_Toc247691512"/>
      <w:r>
        <w:t xml:space="preserve">Although cyclizine has a very long history of clinical use, the nonclinical animal studies cited in this dossier (submitted as a literature-based submission) are not as comprehensive or scientifically robust as would be expected to support the registration of a </w:t>
      </w:r>
      <w:r w:rsidR="00EC78AF">
        <w:t>NCE</w:t>
      </w:r>
      <w:r>
        <w:t xml:space="preserve">, because of their age (preceding regulatory guidelines), design, lack of </w:t>
      </w:r>
      <w:r w:rsidR="007C4E2C">
        <w:t>good laboratory practice (</w:t>
      </w:r>
      <w:r>
        <w:t>GLP</w:t>
      </w:r>
      <w:r w:rsidR="007C4E2C">
        <w:t>)</w:t>
      </w:r>
      <w:r>
        <w:t xml:space="preserve">-compliance, and minimal coverage of nonclinical issues. </w:t>
      </w:r>
    </w:p>
    <w:p w:rsidR="00753034" w:rsidRDefault="00753034" w:rsidP="00753034">
      <w:r>
        <w:t>The quality of the documents supplied was variable and at times problematic with regard to print quality (illegibility of some figures and tables) and on some occasions, language, where foreign language reports were provided without accompanying English translations</w:t>
      </w:r>
      <w:r w:rsidR="005235FC">
        <w:t xml:space="preserve"> (these were subsequently provided on request)</w:t>
      </w:r>
      <w:r>
        <w:t>. Some documents referenced as nonclinical studies would have been more suited to the clinical section of the dossier and vice versa. On one occasion an abstract from the proceedings journal of a conference was cited as a source, when using the full published report would have been more appropriate and useful.</w:t>
      </w:r>
    </w:p>
    <w:p w:rsidR="00A55F25" w:rsidRDefault="00753034" w:rsidP="00A55F25">
      <w:r>
        <w:t xml:space="preserve">On a positive note, the inclusion of an organisational table, which listed the cited reports in the order of those used to substantiate a particular section of </w:t>
      </w:r>
      <w:r w:rsidR="00255851">
        <w:t xml:space="preserve">the nonclinical submission </w:t>
      </w:r>
      <w:r>
        <w:t>aided in understanding the rationale for their inclusion in the dossier.</w:t>
      </w:r>
    </w:p>
    <w:p w:rsidR="00753034" w:rsidRDefault="0029024E" w:rsidP="00A55F25">
      <w:pPr>
        <w:pStyle w:val="Heading3"/>
      </w:pPr>
      <w:bookmarkStart w:id="28" w:name="_Toc350329812"/>
      <w:r>
        <w:t>Pharm</w:t>
      </w:r>
      <w:r w:rsidR="00255851">
        <w:t>a</w:t>
      </w:r>
      <w:r>
        <w:t>codynamics</w:t>
      </w:r>
      <w:bookmarkEnd w:id="28"/>
    </w:p>
    <w:p w:rsidR="00753034" w:rsidRDefault="00753034" w:rsidP="00F504AC">
      <w:pPr>
        <w:pStyle w:val="Heading4"/>
        <w:keepNext/>
      </w:pPr>
      <w:bookmarkStart w:id="29" w:name="_Toc309114463"/>
      <w:r>
        <w:t>Primary pharmacodynamics</w:t>
      </w:r>
      <w:bookmarkEnd w:id="29"/>
    </w:p>
    <w:p w:rsidR="00753034" w:rsidRDefault="00753034" w:rsidP="00F504AC">
      <w:pPr>
        <w:keepNext/>
      </w:pPr>
      <w:r>
        <w:t>Cyclizine is a piperazine-derivative histamine H</w:t>
      </w:r>
      <w:r>
        <w:rPr>
          <w:vertAlign w:val="subscript"/>
        </w:rPr>
        <w:t>1</w:t>
      </w:r>
      <w:r>
        <w:t xml:space="preserve"> receptor antagonist, also believed to exert antimuscarinic actions. These antimuscarinic actions combined with the antihistaminic effects of cyclizine may be partially responsible for its central antiemetic effects by an action on the vestibular system and the chemoreceptor trigger zone.</w:t>
      </w:r>
    </w:p>
    <w:p w:rsidR="00753034" w:rsidRDefault="00753034" w:rsidP="005C3144">
      <w:r>
        <w:t xml:space="preserve">There were little data that specifically addressed the primary pharmacodynamic effects of cyclizine relevant to the proposed indication. However, the data published by Dent </w:t>
      </w:r>
      <w:r w:rsidRPr="00BF1088">
        <w:rPr>
          <w:i/>
        </w:rPr>
        <w:t>et al</w:t>
      </w:r>
      <w:r>
        <w:t>.</w:t>
      </w:r>
      <w:r w:rsidR="002C26CA">
        <w:t>,</w:t>
      </w:r>
      <w:r>
        <w:t xml:space="preserve"> 1954 did show an inhibitory effect by cyclizine on an experimental model of emesis (42% reduction in the incidence of vomiting in dogs). Cyclizine was also shown to afford protection against histamine shock and severe bronchoconstriction in guinea pigs exposed to nebulised histamine (Norton </w:t>
      </w:r>
      <w:r w:rsidRPr="00BF1088">
        <w:rPr>
          <w:i/>
        </w:rPr>
        <w:t>et al</w:t>
      </w:r>
      <w:r>
        <w:t>., 1954). There were also other observations related to the antihistaminic properties of cyclizine (</w:t>
      </w:r>
      <w:r w:rsidR="00D2734C">
        <w:t xml:space="preserve">such as </w:t>
      </w:r>
      <w:r>
        <w:t xml:space="preserve">inhibition of histamine-induced changes to blood pressure in anaesthetised cats and spasms in isolated guinea pig ileum). However, and </w:t>
      </w:r>
      <w:r>
        <w:lastRenderedPageBreak/>
        <w:t>perhaps reflec</w:t>
      </w:r>
      <w:r w:rsidR="00A77FC9">
        <w:t>ting the age of these reports (approximately</w:t>
      </w:r>
      <w:r>
        <w:t xml:space="preserve"> 60 years), the studies were not well designed as part of a human pharmaceutical development regimen, because little information was provided on dose-dependency and specificity of actions; as well, there was a lack of quantifiable measures of the actions of cyclizine (</w:t>
      </w:r>
      <w:r w:rsidR="00C70192">
        <w:t xml:space="preserve">that is, </w:t>
      </w:r>
      <w:r>
        <w:t xml:space="preserve">no </w:t>
      </w:r>
      <w:r w:rsidR="00C70192">
        <w:t>50% inhibitory concentration (</w:t>
      </w:r>
      <w:r>
        <w:t>IC</w:t>
      </w:r>
      <w:r>
        <w:rPr>
          <w:vertAlign w:val="subscript"/>
        </w:rPr>
        <w:t>50</w:t>
      </w:r>
      <w:r w:rsidR="00C70192" w:rsidRPr="00C70192">
        <w:t>)</w:t>
      </w:r>
      <w:r>
        <w:t xml:space="preserve"> data </w:t>
      </w:r>
      <w:r w:rsidR="00A77FC9">
        <w:t xml:space="preserve">were </w:t>
      </w:r>
      <w:r>
        <w:t>provided for any of the animal models). These deficits can be put into context, with the far less rigorous requirements for pharmacological and mechanistic supporting studies at the time that this medicine was developed, followed by the extensive history of clinical use of cyclizine for the proposed or related indications. The absence of sufficient nonclinical evidence of efficacy for the proposed indications will require adequate clinical evidence of efficacy.</w:t>
      </w:r>
    </w:p>
    <w:p w:rsidR="00753034" w:rsidRDefault="00753034" w:rsidP="00255851">
      <w:pPr>
        <w:pStyle w:val="Heading4"/>
        <w:keepNext/>
      </w:pPr>
      <w:bookmarkStart w:id="30" w:name="_Toc309114464"/>
      <w:r>
        <w:t>Secondary pharmacodynamics</w:t>
      </w:r>
      <w:bookmarkEnd w:id="30"/>
    </w:p>
    <w:p w:rsidR="00753034" w:rsidRDefault="00753034" w:rsidP="00255851">
      <w:pPr>
        <w:keepNext/>
      </w:pPr>
      <w:r>
        <w:t>Very little data were provided that explored the secondary pharmacodynamic characteristics of cyclizine. In the one study cited, cyclizine was reported to have no effects on acetylcholine-induced changes to blood pressure, or on noradrenergic and sympathetic nervous system processes</w:t>
      </w:r>
      <w:r>
        <w:rPr>
          <w:rStyle w:val="CommentReference"/>
        </w:rPr>
        <w:t>.</w:t>
      </w:r>
      <w:r>
        <w:t xml:space="preserve"> Cyclizine reduced serotonin-induced changes to blood pressure in cats. Cyclizine was also reported to exert a local anaesthetic effect based on its ability to reduce responsiveness to painful stimuli in guinea pigs. The antimuscarinic actions of cyclizine were evident from data that showed an attenuation of changes to blood pressure that resulted following stimulation of preganglionic fibres of the vagus in anaesthetised cats (although </w:t>
      </w:r>
      <w:r w:rsidR="005235FC">
        <w:t>acetylcholine</w:t>
      </w:r>
      <w:r>
        <w:t>-induced changes to blood pressure were not affected by cyclizine). As the source of information describing these secondary effects came from one standalone reference, it is difficult to make any comments on the reliability and reproducibility of these observations and whether they have any implications for the use of cyclizine as an antiemetic. Also further elaboration on the reported effects of cyclizine on serotonin-mediated actions (</w:t>
      </w:r>
      <w:r w:rsidR="00A77FC9">
        <w:t>that is, serotonin</w:t>
      </w:r>
      <w:r>
        <w:t>-induced reductions to blood pressure) might have been useful, as it may have provides further clarification about its antiemetic mechanism of action.</w:t>
      </w:r>
    </w:p>
    <w:p w:rsidR="00753034" w:rsidRDefault="00753034" w:rsidP="0029024E">
      <w:pPr>
        <w:pStyle w:val="Heading4"/>
      </w:pPr>
      <w:bookmarkStart w:id="31" w:name="_Toc309114465"/>
      <w:r>
        <w:t>Safety pharmacology</w:t>
      </w:r>
      <w:bookmarkEnd w:id="31"/>
    </w:p>
    <w:p w:rsidR="00753034" w:rsidRDefault="00A77FC9" w:rsidP="00753034">
      <w:r>
        <w:t>The s</w:t>
      </w:r>
      <w:r w:rsidR="00753034">
        <w:t>ponsor did not undertake any formal safety pharmacology studies. Because most of the</w:t>
      </w:r>
      <w:r>
        <w:t xml:space="preserve"> </w:t>
      </w:r>
      <w:r w:rsidR="00753034">
        <w:t xml:space="preserve">studies </w:t>
      </w:r>
      <w:r>
        <w:t xml:space="preserve">provided </w:t>
      </w:r>
      <w:r w:rsidR="00753034">
        <w:t xml:space="preserve">were published prior to the 1990s, they were not GLP-compliant. </w:t>
      </w:r>
    </w:p>
    <w:p w:rsidR="00753034" w:rsidRDefault="00753034" w:rsidP="00753034">
      <w:r>
        <w:t xml:space="preserve">The battery of safety pharmacology investigations covered the </w:t>
      </w:r>
      <w:r w:rsidR="007C4E2C">
        <w:t>central nervous system (</w:t>
      </w:r>
      <w:r>
        <w:t>CNS</w:t>
      </w:r>
      <w:r w:rsidR="007C4E2C">
        <w:t>) and cardiovascular system</w:t>
      </w:r>
      <w:r>
        <w:t xml:space="preserve"> </w:t>
      </w:r>
      <w:r w:rsidR="00A77FC9">
        <w:t xml:space="preserve">(CVS) </w:t>
      </w:r>
      <w:r>
        <w:t xml:space="preserve">only. Minimal data concerning the safety of cyclizine on the </w:t>
      </w:r>
      <w:r w:rsidR="00A77FC9">
        <w:t xml:space="preserve">CVS </w:t>
      </w:r>
      <w:r>
        <w:t xml:space="preserve">were confined to two earlier reports that provided information on the effects of cyclizine on blood pressure (cats, </w:t>
      </w:r>
      <w:r>
        <w:rPr>
          <w:i/>
        </w:rPr>
        <w:t>in vivo</w:t>
      </w:r>
      <w:r>
        <w:t xml:space="preserve">) and heart rate (guinea pigs, </w:t>
      </w:r>
      <w:r>
        <w:rPr>
          <w:i/>
        </w:rPr>
        <w:t>in vitro</w:t>
      </w:r>
      <w:r>
        <w:t>), suggesting a depressant effect. No data (</w:t>
      </w:r>
      <w:r w:rsidR="00E565CB">
        <w:t>including data on potential effects on the electrocardiograph (ECG)</w:t>
      </w:r>
      <w:r w:rsidR="005235FC">
        <w:t xml:space="preserve"> </w:t>
      </w:r>
      <w:r w:rsidR="00E565CB">
        <w:t xml:space="preserve">and </w:t>
      </w:r>
      <w:r w:rsidR="00E565CB" w:rsidRPr="00E565CB">
        <w:t xml:space="preserve">human </w:t>
      </w:r>
      <w:r w:rsidR="00E565CB">
        <w:t>e</w:t>
      </w:r>
      <w:r w:rsidR="00E565CB" w:rsidRPr="00E565CB">
        <w:t>ther-à-go-go-</w:t>
      </w:r>
      <w:r w:rsidR="00E565CB">
        <w:t>r</w:t>
      </w:r>
      <w:r w:rsidR="00E565CB" w:rsidRPr="00E565CB">
        <w:t xml:space="preserve">elated </w:t>
      </w:r>
      <w:r w:rsidR="00E565CB">
        <w:t>gene (hERG) ion channel</w:t>
      </w:r>
      <w:r>
        <w:t xml:space="preserve">) were provided to give insight into potential conductance abnormalities </w:t>
      </w:r>
      <w:r w:rsidR="00A77FC9">
        <w:t>that might arise with cyclizine. The latter</w:t>
      </w:r>
      <w:r>
        <w:t xml:space="preserve"> safety studies </w:t>
      </w:r>
      <w:r w:rsidR="00A77FC9">
        <w:t xml:space="preserve">are </w:t>
      </w:r>
      <w:r>
        <w:t xml:space="preserve">considered integral by current regulatory standards, particularly in view of the reported local anaesthetic effects of cyclizine. Safety data concerning </w:t>
      </w:r>
      <w:r w:rsidR="007C4E2C">
        <w:t xml:space="preserve">the </w:t>
      </w:r>
      <w:r>
        <w:t xml:space="preserve">CNS came from only one study, which reported decreased spontaneous motor activity at 5 mg/kg </w:t>
      </w:r>
      <w:r w:rsidR="00E565CB">
        <w:t>by intraperitoneal (</w:t>
      </w:r>
      <w:r>
        <w:t>IP</w:t>
      </w:r>
      <w:r w:rsidR="00E565CB">
        <w:t>)</w:t>
      </w:r>
      <w:r>
        <w:t xml:space="preserve"> </w:t>
      </w:r>
      <w:r w:rsidR="00E565CB">
        <w:t xml:space="preserve">injection </w:t>
      </w:r>
      <w:r w:rsidR="00D2734C">
        <w:t>and increased activity at 20 </w:t>
      </w:r>
      <w:r>
        <w:t>mg/kg IP. No effect on conditioned responses was observed when rats were given cyclizine (10 and 30 mg/kg IP). Separate reference was made to a study that reported hyperactivity in mice given cyclizine and variable locomotor interactions with opioid substances, though the significance of this to safety was not clear.</w:t>
      </w:r>
    </w:p>
    <w:p w:rsidR="00753034" w:rsidRDefault="00753034" w:rsidP="00753034">
      <w:r>
        <w:t xml:space="preserve">Several studies associated repeat dose (2-8 weeks) oral </w:t>
      </w:r>
      <w:r w:rsidR="00E565CB">
        <w:t xml:space="preserve">(PO) </w:t>
      </w:r>
      <w:r>
        <w:t xml:space="preserve">cyclizine with pancreatic beta islet cell damage and alterations of glucose (plasma) and insulin (plasma; beta cells </w:t>
      </w:r>
      <w:r>
        <w:rPr>
          <w:i/>
        </w:rPr>
        <w:t>in vitro</w:t>
      </w:r>
      <w:r>
        <w:t xml:space="preserve">). These effects were seen at ≥75 mg/kg/day, and one study determined a </w:t>
      </w:r>
      <w:r w:rsidR="00E565CB">
        <w:t xml:space="preserve">no </w:t>
      </w:r>
      <w:r w:rsidR="00D2734C">
        <w:t xml:space="preserve">observed </w:t>
      </w:r>
      <w:r w:rsidR="00E565CB">
        <w:t>effect level (</w:t>
      </w:r>
      <w:r>
        <w:t>NOEL</w:t>
      </w:r>
      <w:r w:rsidR="00E565CB">
        <w:t>) of 40 </w:t>
      </w:r>
      <w:r>
        <w:t>mg/kg/day PO. There were no systemic exposure data to compare with anticipated clinical exposures, limiting any extrapolation for human risk assessment</w:t>
      </w:r>
      <w:r>
        <w:rPr>
          <w:rStyle w:val="FootnoteReference"/>
        </w:rPr>
        <w:footnoteReference w:id="2"/>
      </w:r>
      <w:r>
        <w:t xml:space="preserve">. In a </w:t>
      </w:r>
      <w:r w:rsidR="00E565CB">
        <w:lastRenderedPageBreak/>
        <w:t>request for information from the TGA</w:t>
      </w:r>
      <w:r>
        <w:t>, the sponsor was asked to provide evidence that these effects do not pose safety concerns for humans. In response, the sponsor referred to the significantly higher doses used in these animal studies (75 mg/kg/day)</w:t>
      </w:r>
      <w:r w:rsidR="00E565CB">
        <w:t xml:space="preserve"> compared with </w:t>
      </w:r>
      <w:r>
        <w:t xml:space="preserve">the expected maximum human dose (150 mg) and the fact that these observations was associated with repeated dose exposure (2–8 weeks) </w:t>
      </w:r>
      <w:r w:rsidR="00E565CB">
        <w:t xml:space="preserve">compared with </w:t>
      </w:r>
      <w:r>
        <w:t xml:space="preserve">the proposed (considerably shorter term) use in humans (limited </w:t>
      </w:r>
      <w:r w:rsidR="00E565CB">
        <w:t xml:space="preserve">to </w:t>
      </w:r>
      <w:r>
        <w:t xml:space="preserve">peri-operative use). The sponsor also argued that concentrations of cyclizine that inhibited insulin secretion </w:t>
      </w:r>
      <w:r>
        <w:rPr>
          <w:i/>
        </w:rPr>
        <w:t>in vitro</w:t>
      </w:r>
      <w:r>
        <w:t xml:space="preserve"> were equivalent to 3 </w:t>
      </w:r>
      <w:r>
        <w:rPr>
          <w:rFonts w:ascii="Symbol" w:hAnsi="Symbol"/>
        </w:rPr>
        <w:t></w:t>
      </w:r>
      <w:r>
        <w:t>g/mL, whereas a bolus injection of 25 mg cyclizine given to healthy volunteers achieved peak plasma levels less than 100 ng/mL (30</w:t>
      </w:r>
      <w:r w:rsidR="0010773D">
        <w:t xml:space="preserve"> times</w:t>
      </w:r>
      <w:r>
        <w:t xml:space="preserve"> less), which subsequently fell to less than 3 ng/mL after 24 h. (By extrapolation, a 50 mg bolus injection may produce peak levels of up to 200 ng/mL, </w:t>
      </w:r>
      <w:r w:rsidR="00E565CB">
        <w:t xml:space="preserve">approximately </w:t>
      </w:r>
      <w:r>
        <w:t>15</w:t>
      </w:r>
      <w:r w:rsidR="0010773D">
        <w:t xml:space="preserve"> times</w:t>
      </w:r>
      <w:r>
        <w:t xml:space="preserve"> less). The margin following repeated clinical dosing (up to 3 times a day) is unclear. In view of the proposed indication (use of cyclizine to treat short term instances of nausea and vomiting post- and/or pre-operatively; 50 mg/mL up to 3 times a day), the level and/or duration of exposure to cyclizine might not approach that eliciting potential/actual islet cell damage. </w:t>
      </w:r>
      <w:r w:rsidR="00E565CB">
        <w:t>Data from a Periodic Safety Update Report (</w:t>
      </w:r>
      <w:r>
        <w:t>PSUR</w:t>
      </w:r>
      <w:r w:rsidR="00E565CB">
        <w:t>)</w:t>
      </w:r>
      <w:r>
        <w:t xml:space="preserve"> </w:t>
      </w:r>
      <w:r w:rsidR="00E565CB">
        <w:t xml:space="preserve">for cyclizine from April 1996 to </w:t>
      </w:r>
      <w:r>
        <w:t>January 2010 submitted did not signal any indication of a risk of diabetes in humans.</w:t>
      </w:r>
    </w:p>
    <w:p w:rsidR="00753034" w:rsidRDefault="00753034" w:rsidP="00753034">
      <w:r>
        <w:t xml:space="preserve">No information was provided on </w:t>
      </w:r>
      <w:r w:rsidR="0010773D">
        <w:t>gastrointestinal (</w:t>
      </w:r>
      <w:r>
        <w:t>GI</w:t>
      </w:r>
      <w:r w:rsidR="00A17356">
        <w:t>)</w:t>
      </w:r>
      <w:r>
        <w:t>, renal or respiratory effects of cyclizine.</w:t>
      </w:r>
    </w:p>
    <w:p w:rsidR="00753034" w:rsidRDefault="00753034" w:rsidP="00D2734C">
      <w:pPr>
        <w:pStyle w:val="Heading4"/>
        <w:keepNext/>
      </w:pPr>
      <w:r>
        <w:t>Pharmacodynamic interactions</w:t>
      </w:r>
    </w:p>
    <w:p w:rsidR="00753034" w:rsidRDefault="00753034" w:rsidP="00D2734C">
      <w:pPr>
        <w:keepNext/>
      </w:pPr>
      <w:r>
        <w:t>Cyclizine exerted mild antinociceptive actions and also enhanced those of pentazocine and morphine in rats and mice</w:t>
      </w:r>
      <w:r>
        <w:rPr>
          <w:rStyle w:val="FootnoteReference"/>
        </w:rPr>
        <w:footnoteReference w:id="3"/>
      </w:r>
      <w:r>
        <w:t>. The duration of antinociception was enhanced in an additive manner and was also observed with other H</w:t>
      </w:r>
      <w:r>
        <w:rPr>
          <w:vertAlign w:val="subscript"/>
        </w:rPr>
        <w:t>1</w:t>
      </w:r>
      <w:r>
        <w:t xml:space="preserve"> antihistaminic drugs (</w:t>
      </w:r>
      <w:r w:rsidR="00D2734C">
        <w:t>for example,</w:t>
      </w:r>
      <w:r>
        <w:t xml:space="preserve"> diphenhydramine and chlorpheniramine), which likely reflects a general involvement of histamine in central pain pathways unrelated to cyclizine itself. This may also explain the number of clinical reports that described cases of combined cyclizine and opioid abuse.</w:t>
      </w:r>
    </w:p>
    <w:p w:rsidR="00753034" w:rsidRDefault="00753034" w:rsidP="00753034">
      <w:r>
        <w:t xml:space="preserve">Given that the sponsors are seeking to register cyclizine for the treatment of nausea and vomiting caused by </w:t>
      </w:r>
      <w:r w:rsidRPr="0010773D">
        <w:rPr>
          <w:i/>
        </w:rPr>
        <w:t>narcotic analgesics</w:t>
      </w:r>
      <w:r>
        <w:t xml:space="preserve"> and general anaesthetics in the post-operative period, it may highlight the need for greater information on the interaction between opioids and cyclizine to assess any potential clinical relevance.</w:t>
      </w:r>
    </w:p>
    <w:p w:rsidR="00753034" w:rsidRDefault="00753034" w:rsidP="005C3144">
      <w:r>
        <w:t xml:space="preserve">As a further note on opiate interactions, the </w:t>
      </w:r>
      <w:r w:rsidR="00D2734C">
        <w:t xml:space="preserve">PI </w:t>
      </w:r>
      <w:r>
        <w:t>also specified that cyclizine (as</w:t>
      </w:r>
      <w:r w:rsidR="00C70192">
        <w:t xml:space="preserve"> </w:t>
      </w:r>
      <w:r w:rsidR="00255851">
        <w:t>Valoid</w:t>
      </w:r>
      <w:r>
        <w:t xml:space="preserve">) enhances the soporific effects of pethidine, although this may refer to clinical evidence that was not referenced in </w:t>
      </w:r>
      <w:r w:rsidR="0010773D">
        <w:t>the nonclinical submission</w:t>
      </w:r>
      <w:r>
        <w:t xml:space="preserve">. </w:t>
      </w:r>
    </w:p>
    <w:p w:rsidR="00753034" w:rsidRDefault="00753034" w:rsidP="00D03315">
      <w:pPr>
        <w:pStyle w:val="Heading3"/>
      </w:pPr>
      <w:bookmarkStart w:id="32" w:name="_Toc309114467"/>
      <w:bookmarkStart w:id="33" w:name="_Toc350329813"/>
      <w:r>
        <w:t>Pharmacokinetics and relative exposure</w:t>
      </w:r>
      <w:bookmarkEnd w:id="32"/>
      <w:bookmarkEnd w:id="33"/>
    </w:p>
    <w:p w:rsidR="00753034" w:rsidRDefault="00753034" w:rsidP="005C3144">
      <w:r>
        <w:t>Pharmacokinetic data are based on earlier studies with detection techniques that may lack the sensitivity of current methods (no details of Methods of Analysis were provided).</w:t>
      </w:r>
    </w:p>
    <w:p w:rsidR="00753034" w:rsidRDefault="00753034" w:rsidP="00753034">
      <w:r>
        <w:t>Pharmacokinetic data were very limited. There were no plasma kinetic data for the test species used in the toxicity studies. Distribution studies in rats indicated cyclizine binding to rat lung, and other tissues (lung &gt; spleen &gt; liver &gt; kidney &gt; brain &gt; heart &gt; muscle &gt; plasma); plasma protein binding in rats was 59% or 76%, depending on the study. Metabolic pathways were explored by analysis of dog (greyhound) urine. Demethylation produces the major metabolite in this species, norcyclizine (M1</w:t>
      </w:r>
      <w:r w:rsidR="00D2734C">
        <w:t xml:space="preserve">; </w:t>
      </w:r>
      <w:r>
        <w:t>excreted unconjugated); also detected were four monohydroxylated compounds (M2-M5; excreted as Phase II conjugates), and four basic metabolites. Other metabolic pathways in greyhounds included N</w:t>
      </w:r>
      <w:r>
        <w:rPr>
          <w:vertAlign w:val="subscript"/>
        </w:rPr>
        <w:t>1</w:t>
      </w:r>
      <w:r>
        <w:t>-dealkylation of cyclizine and the basic metabolites to form neutral</w:t>
      </w:r>
      <w:r>
        <w:rPr>
          <w:rStyle w:val="FootnoteReference"/>
        </w:rPr>
        <w:footnoteReference w:id="4"/>
      </w:r>
      <w:r>
        <w:t xml:space="preserve"> and phenolic Phase I metabolites containing the diphenyl-methane/methylene substructures, which are excreted as Phase II conjugates.</w:t>
      </w:r>
    </w:p>
    <w:p w:rsidR="00753034" w:rsidRDefault="00753034" w:rsidP="00753034">
      <w:r>
        <w:t xml:space="preserve">Cyclizine was extensively metabolised in humans, where norcyclizine was also the major urinary metabolite (although it was not always detected in serum). Following a single bolus dose of cyclizine 25 mg IV, the mean </w:t>
      </w:r>
      <w:r w:rsidR="00C70192">
        <w:t xml:space="preserve">area under the plasma concentration time curve from </w:t>
      </w:r>
      <w:r w:rsidR="00C70192">
        <w:lastRenderedPageBreak/>
        <w:t>time zero to infinity (</w:t>
      </w:r>
      <w:r>
        <w:t>AUC</w:t>
      </w:r>
      <w:r>
        <w:rPr>
          <w:vertAlign w:val="subscript"/>
        </w:rPr>
        <w:t>0-∞</w:t>
      </w:r>
      <w:r w:rsidR="00C70192">
        <w:t xml:space="preserve">) </w:t>
      </w:r>
      <w:r>
        <w:t xml:space="preserve">was 273 ng.h/mL, volume of distribution 16.5 L/kg, elimination half life </w:t>
      </w:r>
      <w:r w:rsidR="00D2734C">
        <w:t xml:space="preserve">(t½) </w:t>
      </w:r>
      <w:r w:rsidR="00C70192">
        <w:t>13.5 </w:t>
      </w:r>
      <w:r>
        <w:t>h, and total clearance 0.87 L/h/kg.</w:t>
      </w:r>
    </w:p>
    <w:p w:rsidR="00C70192" w:rsidRDefault="00753034" w:rsidP="00753034">
      <w:r>
        <w:rPr>
          <w:i/>
        </w:rPr>
        <w:t>In vitro</w:t>
      </w:r>
      <w:r>
        <w:t xml:space="preserve"> assays provided some evidence for inhibition of </w:t>
      </w:r>
      <w:r w:rsidR="00C70192">
        <w:t>monoamine oxidase (</w:t>
      </w:r>
      <w:r>
        <w:t>MAO</w:t>
      </w:r>
      <w:r w:rsidR="00C70192">
        <w:t>)</w:t>
      </w:r>
      <w:r>
        <w:t xml:space="preserve"> in mice, and </w:t>
      </w:r>
      <w:r w:rsidR="00F504AC">
        <w:t>cytochrome (</w:t>
      </w:r>
      <w:r>
        <w:t>CYP</w:t>
      </w:r>
      <w:r w:rsidR="00F504AC">
        <w:t>)</w:t>
      </w:r>
      <w:r>
        <w:t xml:space="preserve"> 2D6/2C9 and sulfotransferase activities in human liver. There was variable inhibition of MAO, especially deamination of benzylamine (a selective MAO-B substrate, IC</w:t>
      </w:r>
      <w:r>
        <w:rPr>
          <w:vertAlign w:val="subscript"/>
        </w:rPr>
        <w:t>50</w:t>
      </w:r>
      <w:r w:rsidR="00C70192">
        <w:t xml:space="preserve"> 13.5 </w:t>
      </w:r>
      <w:r>
        <w:rPr>
          <w:rFonts w:ascii="Symbol" w:hAnsi="Symbol"/>
        </w:rPr>
        <w:t></w:t>
      </w:r>
      <w:r>
        <w:t>M). In human liver microsomes (extensive metabolisers), cyclizine showed concentration-dependent inhibition of CYP2D6 (IC</w:t>
      </w:r>
      <w:r w:rsidRPr="00F504AC">
        <w:rPr>
          <w:vertAlign w:val="subscript"/>
        </w:rPr>
        <w:t>20</w:t>
      </w:r>
      <w:r>
        <w:t xml:space="preserve"> 12 µM, IC</w:t>
      </w:r>
      <w:r>
        <w:rPr>
          <w:vertAlign w:val="subscript"/>
        </w:rPr>
        <w:t>50</w:t>
      </w:r>
      <w:r>
        <w:t xml:space="preserve"> 109 µM) and CYP2C9 (IC</w:t>
      </w:r>
      <w:r w:rsidRPr="00F504AC">
        <w:rPr>
          <w:vertAlign w:val="subscript"/>
        </w:rPr>
        <w:t>20</w:t>
      </w:r>
      <w:r>
        <w:t xml:space="preserve"> 85 µM), while in human liver homogenates cyclizine inhibited estrone sulfotransferase (IC</w:t>
      </w:r>
      <w:r>
        <w:rPr>
          <w:vertAlign w:val="subscript"/>
        </w:rPr>
        <w:t>50</w:t>
      </w:r>
      <w:r>
        <w:t xml:space="preserve"> 0.44 µM). </w:t>
      </w:r>
    </w:p>
    <w:p w:rsidR="00753034" w:rsidRDefault="00753034" w:rsidP="00753034">
      <w:r>
        <w:t xml:space="preserve">The clinical </w:t>
      </w:r>
      <w:r w:rsidR="0010773D">
        <w:t>pea</w:t>
      </w:r>
      <w:r w:rsidR="00E719AC">
        <w:t>k</w:t>
      </w:r>
      <w:r w:rsidR="0010773D">
        <w:t xml:space="preserve"> </w:t>
      </w:r>
      <w:r>
        <w:t xml:space="preserve">plasma </w:t>
      </w:r>
      <w:r w:rsidR="0010773D">
        <w:t>concentration (</w:t>
      </w:r>
      <w:r>
        <w:t>C</w:t>
      </w:r>
      <w:r>
        <w:rPr>
          <w:vertAlign w:val="subscript"/>
        </w:rPr>
        <w:t>max</w:t>
      </w:r>
      <w:r w:rsidR="0010773D">
        <w:t xml:space="preserve">) </w:t>
      </w:r>
      <w:r>
        <w:t xml:space="preserve">of cyclizine in persons receiving the </w:t>
      </w:r>
      <w:r w:rsidR="00F504AC">
        <w:t>maximum recommended human dose (</w:t>
      </w:r>
      <w:r>
        <w:t>MRHD</w:t>
      </w:r>
      <w:r w:rsidR="00F504AC">
        <w:t>;</w:t>
      </w:r>
      <w:r>
        <w:t xml:space="preserve"> 50 mg IV</w:t>
      </w:r>
      <w:r w:rsidR="00D2734C">
        <w:t xml:space="preserve"> or </w:t>
      </w:r>
      <w:r>
        <w:t>IM up to 3</w:t>
      </w:r>
      <w:r w:rsidR="00F504AC">
        <w:t xml:space="preserve"> times </w:t>
      </w:r>
      <w:r>
        <w:t>daily) is not known, but could be in the region of 150 ng/mL (0.56 µM) from a single 50 mg injection. This suggests that potential CYP interactions are unlikely at therapeutic concentrations; the finding with liver steroid sulfotransferase may be clinically relevant.</w:t>
      </w:r>
    </w:p>
    <w:p w:rsidR="00D2734C" w:rsidRDefault="00753034" w:rsidP="00753034">
      <w:r>
        <w:t>There were no toxicokinetic measurements from any of the animal studies to compare with anticipated clinical exposure at the MRHD.</w:t>
      </w:r>
    </w:p>
    <w:p w:rsidR="00753034" w:rsidRDefault="00D03315" w:rsidP="0029024E">
      <w:pPr>
        <w:pStyle w:val="Heading3"/>
      </w:pPr>
      <w:bookmarkStart w:id="34" w:name="_Toc309114468"/>
      <w:bookmarkStart w:id="35" w:name="_Toc350329814"/>
      <w:r>
        <w:t>T</w:t>
      </w:r>
      <w:r w:rsidR="00753034">
        <w:t>oxi</w:t>
      </w:r>
      <w:r>
        <w:t>cology</w:t>
      </w:r>
      <w:bookmarkEnd w:id="34"/>
      <w:bookmarkEnd w:id="35"/>
    </w:p>
    <w:p w:rsidR="00753034" w:rsidRPr="00F504AC" w:rsidRDefault="00753034" w:rsidP="00F504AC">
      <w:pPr>
        <w:pStyle w:val="Heading4"/>
      </w:pPr>
      <w:bookmarkStart w:id="36" w:name="_Toc309114469"/>
      <w:r w:rsidRPr="00F504AC">
        <w:t>Acute toxicity</w:t>
      </w:r>
      <w:bookmarkEnd w:id="36"/>
    </w:p>
    <w:p w:rsidR="00753034" w:rsidRDefault="00753034" w:rsidP="00753034">
      <w:pPr>
        <w:rPr>
          <w:szCs w:val="24"/>
        </w:rPr>
      </w:pPr>
      <w:r>
        <w:rPr>
          <w:szCs w:val="24"/>
        </w:rPr>
        <w:t xml:space="preserve">Acute toxicity data were provided from a study and with only one animal model (albino CF-1 mouse strain), which listed </w:t>
      </w:r>
      <w:r w:rsidR="00C70192">
        <w:t>50% lethal dose</w:t>
      </w:r>
      <w:r w:rsidR="00C70192">
        <w:rPr>
          <w:szCs w:val="24"/>
        </w:rPr>
        <w:t xml:space="preserve"> (</w:t>
      </w:r>
      <w:r>
        <w:rPr>
          <w:szCs w:val="24"/>
        </w:rPr>
        <w:t>LD</w:t>
      </w:r>
      <w:r>
        <w:rPr>
          <w:szCs w:val="24"/>
          <w:vertAlign w:val="subscript"/>
        </w:rPr>
        <w:t>50</w:t>
      </w:r>
      <w:r w:rsidR="00C70192" w:rsidRPr="00C70192">
        <w:rPr>
          <w:szCs w:val="24"/>
        </w:rPr>
        <w:t>)</w:t>
      </w:r>
      <w:r>
        <w:rPr>
          <w:szCs w:val="24"/>
        </w:rPr>
        <w:t xml:space="preserve"> values of cyclizine when administered IP and PO. The LD</w:t>
      </w:r>
      <w:r>
        <w:rPr>
          <w:szCs w:val="24"/>
          <w:vertAlign w:val="subscript"/>
        </w:rPr>
        <w:t>50</w:t>
      </w:r>
      <w:r>
        <w:rPr>
          <w:szCs w:val="24"/>
        </w:rPr>
        <w:t xml:space="preserve"> values for IP administration wer</w:t>
      </w:r>
      <w:r w:rsidR="00C70192">
        <w:rPr>
          <w:szCs w:val="24"/>
        </w:rPr>
        <w:t>e in the modest range (69</w:t>
      </w:r>
      <w:r>
        <w:rPr>
          <w:szCs w:val="24"/>
        </w:rPr>
        <w:t xml:space="preserve">–82 mg/kg), whereas the values derived for PO administration were </w:t>
      </w:r>
      <w:r w:rsidR="00C70192">
        <w:rPr>
          <w:szCs w:val="24"/>
        </w:rPr>
        <w:t xml:space="preserve">approximately </w:t>
      </w:r>
      <w:r>
        <w:rPr>
          <w:szCs w:val="24"/>
        </w:rPr>
        <w:t xml:space="preserve">double (165 mg/kg). </w:t>
      </w:r>
    </w:p>
    <w:p w:rsidR="00753034" w:rsidRDefault="00753034" w:rsidP="0029024E">
      <w:pPr>
        <w:pStyle w:val="Heading4"/>
      </w:pPr>
      <w:bookmarkStart w:id="37" w:name="_Toc309114470"/>
      <w:r>
        <w:t>Repeat dose toxicity</w:t>
      </w:r>
      <w:bookmarkEnd w:id="37"/>
    </w:p>
    <w:p w:rsidR="00753034" w:rsidRDefault="00753034" w:rsidP="00753034">
      <w:pPr>
        <w:rPr>
          <w:szCs w:val="24"/>
        </w:rPr>
      </w:pPr>
      <w:r>
        <w:rPr>
          <w:szCs w:val="24"/>
        </w:rPr>
        <w:t xml:space="preserve">Repeat-dose toxicity was assessed in a single study using male CF rats </w:t>
      </w:r>
      <w:r w:rsidR="00C70192">
        <w:rPr>
          <w:szCs w:val="24"/>
        </w:rPr>
        <w:t xml:space="preserve">that </w:t>
      </w:r>
      <w:r>
        <w:rPr>
          <w:szCs w:val="24"/>
        </w:rPr>
        <w:t>received dietary cyclizine at four different concentrations (doses: 0, 15, 26, 59</w:t>
      </w:r>
      <w:r w:rsidR="007A3C58">
        <w:rPr>
          <w:szCs w:val="24"/>
        </w:rPr>
        <w:t xml:space="preserve"> and</w:t>
      </w:r>
      <w:r>
        <w:rPr>
          <w:szCs w:val="24"/>
        </w:rPr>
        <w:t xml:space="preserve"> 14</w:t>
      </w:r>
      <w:r w:rsidR="00C70192">
        <w:rPr>
          <w:szCs w:val="24"/>
        </w:rPr>
        <w:t>2 mg/kg/day) for a period of 12 </w:t>
      </w:r>
      <w:r>
        <w:rPr>
          <w:szCs w:val="24"/>
        </w:rPr>
        <w:t xml:space="preserve">weeks and effects on growth and blood count profiles were assessed at the end of treatment. At the highest dose, body weight gain was significantly reduced (no effect at lower doses). There were no apparent effects on blood chemistry or haematology. Post mortem analyses revealed changes to liver morphology as well as evidence of pulmonary oedema; otherwise no other assessments were conducted to assess changes. These studies preceded observations concerning the effects of cyclizine on pancreatic islet cells, and there was no confirmatory gross pathology of pancreatic tissue or measurement of blood sugar to ascertain a potential diabetogenic effect of cyclizine (as described in </w:t>
      </w:r>
      <w:r w:rsidRPr="007C4E2C">
        <w:rPr>
          <w:i/>
          <w:szCs w:val="24"/>
        </w:rPr>
        <w:t>Safety Pharmacology</w:t>
      </w:r>
      <w:r w:rsidR="00C70192" w:rsidRPr="007C4E2C">
        <w:rPr>
          <w:szCs w:val="24"/>
        </w:rPr>
        <w:t>, above</w:t>
      </w:r>
      <w:r>
        <w:rPr>
          <w:szCs w:val="24"/>
        </w:rPr>
        <w:t>).</w:t>
      </w:r>
    </w:p>
    <w:p w:rsidR="00753034" w:rsidRDefault="00753034" w:rsidP="00C70192">
      <w:pPr>
        <w:pStyle w:val="Heading4"/>
      </w:pPr>
      <w:r>
        <w:t>Genotoxicity and carcinogenicity</w:t>
      </w:r>
    </w:p>
    <w:p w:rsidR="00753034" w:rsidRDefault="00753034" w:rsidP="00753034">
      <w:pPr>
        <w:rPr>
          <w:szCs w:val="24"/>
        </w:rPr>
      </w:pPr>
      <w:r>
        <w:rPr>
          <w:szCs w:val="24"/>
        </w:rPr>
        <w:t xml:space="preserve">With regard to genotoxicity, only one study was provided, exploring the possible mutagenicity of cyclizine in a bacterial system only (five strains of </w:t>
      </w:r>
      <w:r>
        <w:rPr>
          <w:i/>
          <w:szCs w:val="24"/>
        </w:rPr>
        <w:t>S</w:t>
      </w:r>
      <w:r w:rsidR="00C70192">
        <w:rPr>
          <w:i/>
          <w:szCs w:val="24"/>
        </w:rPr>
        <w:t>almonella</w:t>
      </w:r>
      <w:r>
        <w:rPr>
          <w:i/>
          <w:szCs w:val="24"/>
        </w:rPr>
        <w:t xml:space="preserve"> Typhimurium</w:t>
      </w:r>
      <w:r>
        <w:rPr>
          <w:szCs w:val="24"/>
        </w:rPr>
        <w:t xml:space="preserve"> were tested). The main finding from this study was that cyclizine (1000 </w:t>
      </w:r>
      <w:r>
        <w:rPr>
          <w:rFonts w:ascii="Symbol" w:hAnsi="Symbol"/>
          <w:szCs w:val="24"/>
        </w:rPr>
        <w:t></w:t>
      </w:r>
      <w:r>
        <w:rPr>
          <w:szCs w:val="24"/>
        </w:rPr>
        <w:t>g/plate) on its own, and in the presence of metabolic activation, did not induce significant numbers of mutants. Cyclizine, when reacted with acidified nitrite to promote nitrosation, did however induce revertant mutants in two of the bacterial strains tested. Because the possibility of nitrosation is highest in the acidic gastric environment, it was argued that because it is to be administered parenterally cyclizine is unlikely to pose a significant risk of forming a potentially mutagenic nitrosated species. No cytotoxicity was observed at the maximal concentration used in this assay (1 mg/plate), which is considered low by current regulatory guideline standards (5 mg/plate is the stipulated maximum concentration), and the assay validity is therefore uncertain.</w:t>
      </w:r>
    </w:p>
    <w:p w:rsidR="00753034" w:rsidRDefault="00753034" w:rsidP="00753034">
      <w:pPr>
        <w:rPr>
          <w:szCs w:val="24"/>
        </w:rPr>
      </w:pPr>
      <w:r>
        <w:rPr>
          <w:szCs w:val="24"/>
        </w:rPr>
        <w:t>There was no further assessment of the genotoxic potential for cyclizine as would be expected under current nonclinical guidelines. The genotoxic potential of cyclizine has not been adequately investigated.</w:t>
      </w:r>
    </w:p>
    <w:p w:rsidR="00753034" w:rsidRDefault="00753034" w:rsidP="00753034">
      <w:pPr>
        <w:rPr>
          <w:szCs w:val="24"/>
        </w:rPr>
      </w:pPr>
      <w:r>
        <w:rPr>
          <w:szCs w:val="24"/>
        </w:rPr>
        <w:lastRenderedPageBreak/>
        <w:t xml:space="preserve">Scant information was provided by </w:t>
      </w:r>
      <w:r w:rsidR="00D2734C">
        <w:rPr>
          <w:szCs w:val="24"/>
        </w:rPr>
        <w:t xml:space="preserve">the </w:t>
      </w:r>
      <w:r>
        <w:rPr>
          <w:szCs w:val="24"/>
        </w:rPr>
        <w:t>sponsor on the carcinogenicity of cyclizine. Reference was made to one animal study that merely listed cyclizine among the range of substances fed to rats in combination with nitrite for a period of 80 weeks without any reported incidence of tumour development. However, details on experimental methodology/parameters (</w:t>
      </w:r>
      <w:r w:rsidR="00D2734C">
        <w:rPr>
          <w:szCs w:val="24"/>
        </w:rPr>
        <w:t xml:space="preserve">such as </w:t>
      </w:r>
      <w:r>
        <w:rPr>
          <w:szCs w:val="24"/>
        </w:rPr>
        <w:t xml:space="preserve">dose, formulation, numbers within treatment groups, </w:t>
      </w:r>
      <w:r w:rsidR="00D2734C">
        <w:rPr>
          <w:szCs w:val="24"/>
        </w:rPr>
        <w:t xml:space="preserve">and </w:t>
      </w:r>
      <w:r>
        <w:rPr>
          <w:szCs w:val="24"/>
        </w:rPr>
        <w:t>toxicities) were not provided, and no assessment can be made of these cited findings.</w:t>
      </w:r>
    </w:p>
    <w:p w:rsidR="00753034" w:rsidRDefault="00753034" w:rsidP="00753034">
      <w:pPr>
        <w:rPr>
          <w:szCs w:val="24"/>
        </w:rPr>
      </w:pPr>
      <w:r>
        <w:rPr>
          <w:szCs w:val="24"/>
        </w:rPr>
        <w:t xml:space="preserve">The </w:t>
      </w:r>
      <w:r w:rsidR="00C70192">
        <w:rPr>
          <w:szCs w:val="24"/>
        </w:rPr>
        <w:t xml:space="preserve">TGA requested information from the </w:t>
      </w:r>
      <w:r>
        <w:rPr>
          <w:szCs w:val="24"/>
        </w:rPr>
        <w:t>sponsor to address these deficiencies</w:t>
      </w:r>
      <w:r w:rsidR="00C70192">
        <w:rPr>
          <w:szCs w:val="24"/>
        </w:rPr>
        <w:t>,</w:t>
      </w:r>
      <w:r>
        <w:rPr>
          <w:szCs w:val="24"/>
        </w:rPr>
        <w:t xml:space="preserve"> either in the form of new nonclinical studies or by providing sufficient justification for their absence in the dossier. In response, the sponso</w:t>
      </w:r>
      <w:r w:rsidR="00D2734C">
        <w:rPr>
          <w:szCs w:val="24"/>
        </w:rPr>
        <w:t xml:space="preserve">r argued against the necessity </w:t>
      </w:r>
      <w:r>
        <w:rPr>
          <w:szCs w:val="24"/>
        </w:rPr>
        <w:t>f</w:t>
      </w:r>
      <w:r w:rsidR="00D2734C">
        <w:rPr>
          <w:szCs w:val="24"/>
        </w:rPr>
        <w:t>or</w:t>
      </w:r>
      <w:r>
        <w:rPr>
          <w:szCs w:val="24"/>
        </w:rPr>
        <w:t xml:space="preserve"> extensive genotoxicity testing in view of the widespread use of cyclizine over the years, which has not shown incidences of ‘</w:t>
      </w:r>
      <w:r>
        <w:rPr>
          <w:i/>
          <w:szCs w:val="24"/>
        </w:rPr>
        <w:t>any pregnancy-related problems as would be expected if cyclizine had significant mutagenic properties</w:t>
      </w:r>
      <w:r>
        <w:rPr>
          <w:szCs w:val="24"/>
        </w:rPr>
        <w:t xml:space="preserve">’. To support this statement, the sponsor submitted an additional clinical study (Nelson </w:t>
      </w:r>
      <w:r w:rsidR="00C70192">
        <w:rPr>
          <w:szCs w:val="24"/>
        </w:rPr>
        <w:t>and Forfar</w:t>
      </w:r>
      <w:r w:rsidR="00BF1088">
        <w:rPr>
          <w:szCs w:val="24"/>
        </w:rPr>
        <w:t>,</w:t>
      </w:r>
      <w:r w:rsidR="00C70192">
        <w:rPr>
          <w:szCs w:val="24"/>
        </w:rPr>
        <w:t xml:space="preserve"> 1971), which wa</w:t>
      </w:r>
      <w:r>
        <w:rPr>
          <w:szCs w:val="24"/>
        </w:rPr>
        <w:t xml:space="preserve">s referred to the clinical evaluator for further assessment and comment on the validity of the statement above. </w:t>
      </w:r>
    </w:p>
    <w:p w:rsidR="00753034" w:rsidRDefault="00753034" w:rsidP="005C3144">
      <w:pPr>
        <w:rPr>
          <w:szCs w:val="24"/>
        </w:rPr>
      </w:pPr>
      <w:r>
        <w:rPr>
          <w:szCs w:val="24"/>
        </w:rPr>
        <w:t>The sponsor also cited previously submitted carcinogenicity data to support their argument of negligible genotoxic risk. However, as described above, the details of this study were grossly inadequate to enable any valid assessments and extrapolations on the potential genotoxic, let alone carcinogenic, risk of cyclizine. The lack of carcinogenicity studies can be acceptable for a medicine used for only short periods</w:t>
      </w:r>
      <w:r>
        <w:rPr>
          <w:rStyle w:val="FootnoteReference"/>
          <w:szCs w:val="24"/>
        </w:rPr>
        <w:footnoteReference w:id="5"/>
      </w:r>
      <w:r>
        <w:rPr>
          <w:szCs w:val="24"/>
        </w:rPr>
        <w:t>, although in the case of cyclizine, genotoxicity testing was also very limited.</w:t>
      </w:r>
      <w:r w:rsidR="007C610C">
        <w:rPr>
          <w:szCs w:val="24"/>
        </w:rPr>
        <w:t xml:space="preserve">  </w:t>
      </w:r>
    </w:p>
    <w:p w:rsidR="00753034" w:rsidRDefault="00753034" w:rsidP="00753034">
      <w:pPr>
        <w:rPr>
          <w:szCs w:val="24"/>
        </w:rPr>
      </w:pPr>
      <w:r>
        <w:rPr>
          <w:szCs w:val="24"/>
        </w:rPr>
        <w:t>It bears mentioning also that none of the cited studies used the same formulation and salt (cyclizine lactate) as the product intended for registration. This is of significance because the one submitted genotoxicity study showed nitrosated cyclizine (which forms under acidic conditions) to give rise to mutations in some bacterial strains and the product specifications indicated that cyclizine lactate solutio</w:t>
      </w:r>
      <w:r w:rsidR="007C610C">
        <w:rPr>
          <w:szCs w:val="24"/>
        </w:rPr>
        <w:t>n has a pH range of between 3.3</w:t>
      </w:r>
      <w:r>
        <w:rPr>
          <w:szCs w:val="24"/>
        </w:rPr>
        <w:t>–3.7. Therefore it might still be prudent for the sponsor to conduct more thorough investigations on the genotoxic properties of cyclizine to definitively assess whether in its form it could potentially generate species that may be genotoxic. Otherwise, in the absence of adequate nonclinical data or justification, a qualified risk assessment of cyclizine cannot be made to determine the potential genotoxic risk of cyclizine.</w:t>
      </w:r>
    </w:p>
    <w:p w:rsidR="00753034" w:rsidRDefault="00753034" w:rsidP="007C610C">
      <w:pPr>
        <w:pStyle w:val="Heading4"/>
        <w:rPr>
          <w:szCs w:val="24"/>
        </w:rPr>
      </w:pPr>
      <w:bookmarkStart w:id="38" w:name="_Toc309114472"/>
      <w:r>
        <w:t>Reproductive toxicity</w:t>
      </w:r>
      <w:bookmarkEnd w:id="38"/>
    </w:p>
    <w:p w:rsidR="00753034" w:rsidRDefault="00753034" w:rsidP="00753034">
      <w:pPr>
        <w:rPr>
          <w:szCs w:val="24"/>
        </w:rPr>
      </w:pPr>
      <w:r>
        <w:rPr>
          <w:szCs w:val="24"/>
        </w:rPr>
        <w:t>Reproductive toxicity data were obtained from papers published between 1963-1972, with studies conducted in rats, mice and rabbits. This period preceded the development of nonclinical guidelines for reproductive toxicity assessment, and the study designs described in these published reports do not follow the current guideline-endorsed approaches. Thus, no studies examined the potential effects of treatment during the pre-coital period or later than late gestation, including postnatal treatment. All studies examined treatment of animals during gestation, although the timing of exposure during the gestational period was variable both among studies and even within the same study, confounding the interpretation of the results. One study (using rats, mice and rabbits) used both PO and parenteral administration, but the parenteral route was not defined. Another study had no untreated control group. There were also no kinetic studies investigating placental transfer or excretion into milk. On a more general note, none of the animal studies reported mortalities or any evidence of maternal toxicity, suggesting that tested dose levels were only modest and could have been escalated.</w:t>
      </w:r>
    </w:p>
    <w:p w:rsidR="007C4E2C" w:rsidRDefault="00753034" w:rsidP="00753034">
      <w:pPr>
        <w:rPr>
          <w:szCs w:val="24"/>
        </w:rPr>
      </w:pPr>
      <w:r>
        <w:rPr>
          <w:szCs w:val="24"/>
        </w:rPr>
        <w:t>Nevertheless, some relevant information could be derived from the composite data. In general</w:t>
      </w:r>
      <w:r w:rsidRPr="007C610C">
        <w:rPr>
          <w:szCs w:val="24"/>
        </w:rPr>
        <w:t>, rats</w:t>
      </w:r>
      <w:r>
        <w:rPr>
          <w:szCs w:val="24"/>
        </w:rPr>
        <w:t xml:space="preserve"> exposed to cyclizine during gestation displayed a dose-dependent increase in both resorptions and malformations, with the highest tested dose (125 mg/kg/day PO, </w:t>
      </w:r>
      <w:r w:rsidR="007C4E2C">
        <w:rPr>
          <w:szCs w:val="24"/>
        </w:rPr>
        <w:t>on gestation day (</w:t>
      </w:r>
      <w:r>
        <w:rPr>
          <w:szCs w:val="24"/>
        </w:rPr>
        <w:t>GD</w:t>
      </w:r>
      <w:r w:rsidR="007C4E2C">
        <w:rPr>
          <w:szCs w:val="24"/>
        </w:rPr>
        <w:t>)</w:t>
      </w:r>
      <w:r>
        <w:rPr>
          <w:szCs w:val="24"/>
        </w:rPr>
        <w:t xml:space="preserve"> 12-15) causing complete fetal resorption. A NOEL for reduced fertility was not </w:t>
      </w:r>
      <w:r>
        <w:rPr>
          <w:szCs w:val="24"/>
        </w:rPr>
        <w:lastRenderedPageBreak/>
        <w:t>established. In two studies the NOEL for malformations was 50 mg/kg/day for dosing during late organogenesis (GD 12-15); with a more extensive dosing period (GD 1-15), a low level of malformations was noted, although the resorption rate was high. At a higher dose (75 mg/kg/day, GD 12-15), both resorptions and malformations were unequivocal. In another study, a NOEL for malformations was not established (&lt;</w:t>
      </w:r>
      <w:r w:rsidR="006F4592">
        <w:rPr>
          <w:szCs w:val="24"/>
        </w:rPr>
        <w:t xml:space="preserve"> </w:t>
      </w:r>
      <w:r>
        <w:rPr>
          <w:szCs w:val="24"/>
        </w:rPr>
        <w:t xml:space="preserve">25 mg/kg/day, GD 1-16). </w:t>
      </w:r>
    </w:p>
    <w:p w:rsidR="00753034" w:rsidRDefault="00753034" w:rsidP="00753034">
      <w:pPr>
        <w:rPr>
          <w:szCs w:val="24"/>
        </w:rPr>
      </w:pPr>
      <w:r>
        <w:rPr>
          <w:szCs w:val="24"/>
        </w:rPr>
        <w:t xml:space="preserve">In the </w:t>
      </w:r>
      <w:r w:rsidRPr="007C4E2C">
        <w:rPr>
          <w:szCs w:val="24"/>
        </w:rPr>
        <w:t>mouse</w:t>
      </w:r>
      <w:r>
        <w:rPr>
          <w:szCs w:val="24"/>
        </w:rPr>
        <w:t xml:space="preserve">, malformations were seen at 50 and 75 mg/kg/day, but not consistently, although the high degree of resorptions (100% at 75 mg/kg IP, GD 1-13) may have masked the actual incidences of malformations since they themselves may have induced resorptions. In the </w:t>
      </w:r>
      <w:r w:rsidRPr="007C4E2C">
        <w:rPr>
          <w:szCs w:val="24"/>
        </w:rPr>
        <w:t>rabbit,</w:t>
      </w:r>
      <w:r>
        <w:rPr>
          <w:szCs w:val="24"/>
        </w:rPr>
        <w:t xml:space="preserve"> resorptions occurred only at the 75 mg/kg/day dose but there was a dose-dependent increase in fetal malformations including problems with eye development, spina bifida and microcephaly, with a threshold dose of </w:t>
      </w:r>
      <w:r w:rsidR="00BF1088" w:rsidRPr="00BF1088">
        <w:rPr>
          <w:szCs w:val="24"/>
        </w:rPr>
        <w:t>approximately</w:t>
      </w:r>
      <w:r w:rsidR="00BF1088">
        <w:rPr>
          <w:i/>
          <w:szCs w:val="24"/>
        </w:rPr>
        <w:t xml:space="preserve"> </w:t>
      </w:r>
      <w:r>
        <w:rPr>
          <w:szCs w:val="24"/>
        </w:rPr>
        <w:t xml:space="preserve">25 mg/kg/day. </w:t>
      </w:r>
    </w:p>
    <w:p w:rsidR="00753034" w:rsidRDefault="00753034" w:rsidP="00753034">
      <w:pPr>
        <w:rPr>
          <w:szCs w:val="20"/>
        </w:rPr>
      </w:pPr>
      <w:r>
        <w:rPr>
          <w:szCs w:val="24"/>
        </w:rPr>
        <w:t>Clinical reports concerning the incidence of teratogenicity were also provided by the sponsor, which (although published over 40 years ago) indicated relatively low incidences of fetal abnormalities that could be associated with cyclizine use</w:t>
      </w:r>
      <w:r>
        <w:t xml:space="preserve">. These reports </w:t>
      </w:r>
      <w:r w:rsidR="007C4E2C">
        <w:t>were referred to the clinical evaluator.</w:t>
      </w:r>
    </w:p>
    <w:p w:rsidR="00753034" w:rsidRPr="007A3721" w:rsidRDefault="00753034" w:rsidP="00753034">
      <w:r>
        <w:rPr>
          <w:szCs w:val="24"/>
        </w:rPr>
        <w:t xml:space="preserve">In response to a </w:t>
      </w:r>
      <w:r w:rsidR="007C4E2C">
        <w:rPr>
          <w:szCs w:val="24"/>
        </w:rPr>
        <w:t>TGA request for information</w:t>
      </w:r>
      <w:r>
        <w:rPr>
          <w:szCs w:val="24"/>
        </w:rPr>
        <w:t>, the sponsor cited animal studies showing a teratogenic effect by cyclizine, which the sponsor indicated has been proposed to be due to a mechanistic effect involving “</w:t>
      </w:r>
      <w:r>
        <w:rPr>
          <w:i/>
          <w:szCs w:val="24"/>
        </w:rPr>
        <w:t>binding of an active metabolite of these compounds to cartilage (to) displace calcium and the induction of foetal oedema as a simple mechanical cause for the observed orofacial malformations</w:t>
      </w:r>
      <w:r>
        <w:rPr>
          <w:szCs w:val="24"/>
        </w:rPr>
        <w:t xml:space="preserve">”. The source of this information is unclear </w:t>
      </w:r>
      <w:r w:rsidR="00BF1088">
        <w:rPr>
          <w:szCs w:val="24"/>
        </w:rPr>
        <w:t>and the cited reference by King </w:t>
      </w:r>
      <w:r>
        <w:rPr>
          <w:i/>
          <w:szCs w:val="24"/>
        </w:rPr>
        <w:t>et al</w:t>
      </w:r>
      <w:r>
        <w:rPr>
          <w:szCs w:val="24"/>
        </w:rPr>
        <w:t>.</w:t>
      </w:r>
      <w:r w:rsidR="002C26CA">
        <w:rPr>
          <w:szCs w:val="24"/>
        </w:rPr>
        <w:t>,</w:t>
      </w:r>
      <w:r>
        <w:rPr>
          <w:szCs w:val="24"/>
        </w:rPr>
        <w:t xml:space="preserve"> 1965 made no specific mention of a mechanistic effect accounting for teratogenicity by cyclizine. The sponsor indicated that the relevance of this mechanism in humans should be easy to validate but did not provide further details on how this was the case. The </w:t>
      </w:r>
      <w:r w:rsidR="007C4E2C">
        <w:rPr>
          <w:szCs w:val="24"/>
        </w:rPr>
        <w:t xml:space="preserve">sponsor’s </w:t>
      </w:r>
      <w:r>
        <w:rPr>
          <w:szCs w:val="24"/>
        </w:rPr>
        <w:t xml:space="preserve">response referred to previously submitted epidemiological investigations, and included a new reference (Nelson </w:t>
      </w:r>
      <w:r w:rsidR="007C4E2C">
        <w:rPr>
          <w:szCs w:val="24"/>
        </w:rPr>
        <w:t>and</w:t>
      </w:r>
      <w:r>
        <w:rPr>
          <w:szCs w:val="24"/>
        </w:rPr>
        <w:t xml:space="preserve"> Forfar, 1971) and </w:t>
      </w:r>
      <w:r w:rsidR="007C4E2C">
        <w:rPr>
          <w:szCs w:val="24"/>
        </w:rPr>
        <w:t>adverse drug reactions (</w:t>
      </w:r>
      <w:r>
        <w:rPr>
          <w:szCs w:val="24"/>
        </w:rPr>
        <w:t>ADRs</w:t>
      </w:r>
      <w:r w:rsidR="007C4E2C">
        <w:rPr>
          <w:szCs w:val="24"/>
        </w:rPr>
        <w:t>)</w:t>
      </w:r>
      <w:r>
        <w:rPr>
          <w:szCs w:val="24"/>
        </w:rPr>
        <w:t xml:space="preserve"> relevant to Reproductive Toxicity. These </w:t>
      </w:r>
      <w:r w:rsidR="007C4E2C">
        <w:rPr>
          <w:szCs w:val="24"/>
        </w:rPr>
        <w:t xml:space="preserve">were </w:t>
      </w:r>
      <w:r>
        <w:rPr>
          <w:szCs w:val="24"/>
        </w:rPr>
        <w:t>referred to the clinical evaluator for assessment as to whether they support the assertions of the sponsor with rega</w:t>
      </w:r>
      <w:r w:rsidRPr="007A3721">
        <w:t>rd to the use of cyclizine during pregnancy.</w:t>
      </w:r>
    </w:p>
    <w:p w:rsidR="00116AE6" w:rsidRPr="007A3721" w:rsidRDefault="00116AE6" w:rsidP="0029024E">
      <w:pPr>
        <w:pStyle w:val="Heading3"/>
      </w:pPr>
      <w:bookmarkStart w:id="39" w:name="_Toc247691515"/>
      <w:bookmarkStart w:id="40" w:name="_Toc350329815"/>
      <w:bookmarkEnd w:id="27"/>
      <w:r w:rsidRPr="007A3721">
        <w:t>Nonc</w:t>
      </w:r>
      <w:r w:rsidR="007938DE">
        <w:t>linical s</w:t>
      </w:r>
      <w:r w:rsidRPr="007A3721">
        <w:t xml:space="preserve">ummary and </w:t>
      </w:r>
      <w:r w:rsidR="007938DE">
        <w:t>c</w:t>
      </w:r>
      <w:r w:rsidRPr="0029024E">
        <w:t>onclusions</w:t>
      </w:r>
      <w:bookmarkEnd w:id="39"/>
      <w:bookmarkEnd w:id="40"/>
    </w:p>
    <w:p w:rsidR="007A3721" w:rsidRPr="007A3721" w:rsidRDefault="007A3721" w:rsidP="007C4E2C">
      <w:pPr>
        <w:pStyle w:val="ListBullet"/>
      </w:pPr>
      <w:r w:rsidRPr="007A3721">
        <w:t>The supporting nonclinical data were solely in the form of published reports, with no additional studies carried out by the sponsor. Document quality was variable and generally low, a limitation acknowledged by the sponsors, because most of the nonclinical studies were published many years ago prior to GLP-compliance and regulatory guidelines.</w:t>
      </w:r>
    </w:p>
    <w:p w:rsidR="007A3721" w:rsidRPr="007A3721" w:rsidRDefault="007A3721" w:rsidP="007C4E2C">
      <w:pPr>
        <w:pStyle w:val="ListBullet"/>
      </w:pPr>
      <w:r w:rsidRPr="007A3721">
        <w:t>Cyclizine is a piperizine-derivative histamine H</w:t>
      </w:r>
      <w:r w:rsidRPr="007A3721">
        <w:rPr>
          <w:vertAlign w:val="subscript"/>
        </w:rPr>
        <w:t>1</w:t>
      </w:r>
      <w:r w:rsidRPr="007A3721">
        <w:t xml:space="preserve"> receptor antagonist with reported antimuscarinic actions, known for this class of substances. The nonclinical data used to demonstrate primary pharmacodynamic efficacy were limited to one early study (</w:t>
      </w:r>
      <w:r w:rsidR="007C4E2C">
        <w:t xml:space="preserve">from </w:t>
      </w:r>
      <w:r w:rsidRPr="007A3721">
        <w:t>1954) that documented an antiemetic effect by cyclizine in an experimental model of emesis, with little/no data presented that explored the dose-dependency, efficacy, selectivity and/or mode of action. Limited experimental data showed antihistamine but not anticholinergic activity. Evidence of efficacy will need to rely on the clinical data, including its history of clinical use as an antiemetic.</w:t>
      </w:r>
    </w:p>
    <w:p w:rsidR="007A3721" w:rsidRPr="007A3721" w:rsidRDefault="007A3721" w:rsidP="007C4E2C">
      <w:pPr>
        <w:pStyle w:val="ListBullet"/>
      </w:pPr>
      <w:r w:rsidRPr="007A3721">
        <w:t>In the published safety pharmacology studies (the majority published prior to 1990), only the cardiovascular and central nervous systems were (minimally) investigated (</w:t>
      </w:r>
      <w:r w:rsidR="00D2734C">
        <w:t>for example,</w:t>
      </w:r>
      <w:r w:rsidRPr="007A3721">
        <w:t xml:space="preserve"> no ECG or hERG assays were performed). In rats, </w:t>
      </w:r>
      <w:r w:rsidR="00BF1088">
        <w:t xml:space="preserve">PO </w:t>
      </w:r>
      <w:r w:rsidRPr="007A3721">
        <w:t>cyclizine (≥ 75 mg/kg/day) was associated with pancreatic pathology and plasma glucose/insulin changes.</w:t>
      </w:r>
    </w:p>
    <w:p w:rsidR="007A3721" w:rsidRPr="007A3721" w:rsidRDefault="007A3721" w:rsidP="007C4E2C">
      <w:pPr>
        <w:pStyle w:val="ListBullet"/>
      </w:pPr>
      <w:r w:rsidRPr="007A3721">
        <w:t>Pharmacokinetic data were limited, including no exposure measurements from the toxicity studies. In rats, cyclizine was found to be distributed to lung and other tissues. Metabolic pathway analysis (greyhound urine) showed norcyclizine as the major metabolite (demethylation); others included monohydroxylated and basic compounds, and N</w:t>
      </w:r>
      <w:r w:rsidRPr="007A3721">
        <w:rPr>
          <w:vertAlign w:val="subscript"/>
        </w:rPr>
        <w:t>1</w:t>
      </w:r>
      <w:r w:rsidRPr="007A3721">
        <w:t xml:space="preserve">-dealkylation products, many as Phase II conjugates. The primary human metabolite was </w:t>
      </w:r>
      <w:r w:rsidRPr="007A3721">
        <w:lastRenderedPageBreak/>
        <w:t>also norcyclizine, which had negligible antihistaminic properties. Cyclizine inhibited human hepatic estrone sulfotransferase and murine MAO-B, but showed only weak inhibition of human CYP2D6 and 2C9.</w:t>
      </w:r>
    </w:p>
    <w:p w:rsidR="007A3721" w:rsidRPr="007A3721" w:rsidRDefault="007A3721" w:rsidP="007C4E2C">
      <w:pPr>
        <w:pStyle w:val="ListBullet"/>
      </w:pPr>
      <w:r w:rsidRPr="007A3721">
        <w:t xml:space="preserve">The one repeat dose toxicity report (dietary administration in rats) noted liver changes (enlarged/spotted at 142 mg/kg/day, light-coloured at 26 and 59 mg/kg/day) and pulmonary oedema (142 mg/kg/day), but few other effects. There were no exposure data. </w:t>
      </w:r>
    </w:p>
    <w:p w:rsidR="007A3721" w:rsidRPr="007A3721" w:rsidRDefault="007A3721" w:rsidP="007C4E2C">
      <w:pPr>
        <w:pStyle w:val="ListBullet"/>
      </w:pPr>
      <w:r w:rsidRPr="007A3721">
        <w:t xml:space="preserve">Genotoxicity assessment was limited to one Ames test, in which mutations were only seen when cyclizine was in a nitrosated form; this may be relevant for </w:t>
      </w:r>
      <w:r w:rsidR="00BF1088">
        <w:t>PO</w:t>
      </w:r>
      <w:r w:rsidRPr="007A3721">
        <w:t xml:space="preserve"> administration if nitrites are present in food. There were no carcinogenicity studies; a cited study noted no tumours in rats fed cyclizine with nitrite for an 80 week period.</w:t>
      </w:r>
    </w:p>
    <w:p w:rsidR="007A3721" w:rsidRPr="007A3721" w:rsidRDefault="007A3721" w:rsidP="007A3721">
      <w:pPr>
        <w:pStyle w:val="ListBullet"/>
      </w:pPr>
      <w:r w:rsidRPr="007A3721">
        <w:t xml:space="preserve">Published reproductive toxicity studies examined PO cyclizine administration in rats, mice and rabbits during gestation, with evidence of resorptions and malformations in all species, although NOEL values were not consistent across the (variable) study designs. There was no evidence of maternal toxicity. Placental transfer, excretion into milk and maternal exposure measurements were not conducted. </w:t>
      </w:r>
    </w:p>
    <w:p w:rsidR="007A3721" w:rsidRPr="007A3721" w:rsidRDefault="0029024E" w:rsidP="00D03315">
      <w:pPr>
        <w:pStyle w:val="Heading4"/>
      </w:pPr>
      <w:bookmarkStart w:id="41" w:name="_Toc309114460"/>
      <w:r w:rsidRPr="007A3721">
        <w:t xml:space="preserve">Conclusions </w:t>
      </w:r>
      <w:r>
        <w:t>a</w:t>
      </w:r>
      <w:r w:rsidR="003E58CF">
        <w:t>nd r</w:t>
      </w:r>
      <w:r w:rsidRPr="007A3721">
        <w:t>ecommendations</w:t>
      </w:r>
      <w:bookmarkEnd w:id="41"/>
    </w:p>
    <w:p w:rsidR="007A3721" w:rsidRPr="007A3721" w:rsidRDefault="007A3721" w:rsidP="007A3721">
      <w:r w:rsidRPr="007A3721">
        <w:t>Based on current regulatory guidelines and GLP standards required for nonclinical studies to support the registration of a</w:t>
      </w:r>
      <w:r w:rsidR="00EC78AF">
        <w:t>n NCE</w:t>
      </w:r>
      <w:r w:rsidRPr="007A3721">
        <w:t>, the nonclinical dossier submitted for the registration of cyclizine (</w:t>
      </w:r>
      <w:r w:rsidR="00255851">
        <w:t>Valoid</w:t>
      </w:r>
      <w:r w:rsidRPr="007A3721">
        <w:t>) is not adequate. Studies used to support the primary pharmacodynamic effects of cyclizine did not sufficiently demonstrate efficacy for the proposed indication or mechanism of action. Safety pharmacology was also minimally investigated, and there were no follow-up studies of the pancreatic effects reported in rats. Kinetic studies did not determine exposures in the species used for toxicological studies, so comparisons with anticipated clinical exposure were not possible. Metabolism was studied only in dogs (a species that was not used for any of the toxicity tests), and it is unknown whether the potential toxicity of human metabolites was assessed in the animal studies. Repeat dose toxicity was confined to one 12</w:t>
      </w:r>
      <w:r w:rsidR="0010773D">
        <w:t xml:space="preserve"> </w:t>
      </w:r>
      <w:r w:rsidRPr="007A3721">
        <w:t>week dietary study in rats. Although the lack of carcinogenicity studies is acceptable for a medicine used for only short periods, genotoxicity testing was very limited (one bacterial mutation assay using a low cyclizine concentration). Reproductive toxicity studies were also inadequate, with no pre-coital or postnatal exposure investigated.</w:t>
      </w:r>
    </w:p>
    <w:p w:rsidR="007A3721" w:rsidRPr="007A3721" w:rsidRDefault="007A3721" w:rsidP="004F793E">
      <w:r w:rsidRPr="007A3721">
        <w:t>The nonclinical dataset needs to be assessed in view of CPMP/SWP/799/95</w:t>
      </w:r>
      <w:r w:rsidRPr="007A3721">
        <w:rPr>
          <w:rStyle w:val="FootnoteReference"/>
        </w:rPr>
        <w:footnoteReference w:id="6"/>
      </w:r>
      <w:r w:rsidRPr="007A3721">
        <w:t>, which describes the acceptable nonclinical requirements for the registration of medicines with an extensive clinical history. In these cases, many traditional nonclinical studies are not required if all aspects of clinical efficacy and safety have been addressed by clinical experience; however, nonclinical data on genotoxicity and embryofetal and peri/postnatal development may still be required. In view of these issues, the clinical evaluator will need to be assured that the identified nonclinical deficiencies are adequately offset by sufficiently well-documented clinical information.</w:t>
      </w:r>
    </w:p>
    <w:p w:rsidR="00116AE6" w:rsidRPr="00254787" w:rsidRDefault="00D21C4E" w:rsidP="00D21C4E">
      <w:pPr>
        <w:pStyle w:val="Heading2"/>
      </w:pPr>
      <w:bookmarkStart w:id="42" w:name="_Toc196046462"/>
      <w:bookmarkStart w:id="43" w:name="_Toc247691516"/>
      <w:bookmarkStart w:id="44" w:name="_Toc350329816"/>
      <w:bookmarkStart w:id="45" w:name="_Toc163441353"/>
      <w:bookmarkStart w:id="46" w:name="_Toc163441348"/>
      <w:r>
        <w:t xml:space="preserve">IV. </w:t>
      </w:r>
      <w:r w:rsidR="00116AE6" w:rsidRPr="00254787">
        <w:t>Clinical</w:t>
      </w:r>
      <w:bookmarkEnd w:id="42"/>
      <w:r w:rsidR="007938DE">
        <w:t xml:space="preserve"> f</w:t>
      </w:r>
      <w:r w:rsidR="00116AE6">
        <w:t>indings</w:t>
      </w:r>
      <w:bookmarkEnd w:id="43"/>
      <w:bookmarkEnd w:id="44"/>
    </w:p>
    <w:p w:rsidR="00F645D7" w:rsidRDefault="00F645D7" w:rsidP="00F645D7">
      <w:pPr>
        <w:pStyle w:val="Heading3"/>
      </w:pPr>
      <w:bookmarkStart w:id="47" w:name="_Toc247691517"/>
      <w:bookmarkStart w:id="48" w:name="_Toc350329817"/>
      <w:bookmarkStart w:id="49" w:name="_Toc196046463"/>
      <w:r>
        <w:t>Introduction</w:t>
      </w:r>
      <w:bookmarkEnd w:id="47"/>
      <w:bookmarkEnd w:id="48"/>
    </w:p>
    <w:p w:rsidR="00F645D7" w:rsidRPr="00F645D7" w:rsidRDefault="00F645D7" w:rsidP="00F645D7">
      <w:pPr>
        <w:spacing w:after="60"/>
      </w:pPr>
      <w:r w:rsidRPr="00F645D7">
        <w:t xml:space="preserve">Cyclizine is a well established antiemetic and has been used parenterally in routine clinical practice for more than 50 years. There is also evidence of clinical need in Australia. Currently, 60,000 </w:t>
      </w:r>
      <w:r w:rsidR="00255851">
        <w:t>Valoid</w:t>
      </w:r>
      <w:r>
        <w:t xml:space="preserve"> </w:t>
      </w:r>
      <w:r w:rsidRPr="00F645D7">
        <w:t>ampoules are provided for the Australian public on a named patient basis each year.</w:t>
      </w:r>
    </w:p>
    <w:p w:rsidR="00F645D7" w:rsidRPr="00F645D7" w:rsidRDefault="00F645D7" w:rsidP="005C3144">
      <w:r>
        <w:t xml:space="preserve">Clinical data comprised a literature based submission </w:t>
      </w:r>
      <w:r w:rsidR="00F75165">
        <w:rPr>
          <w:lang w:val="en-US"/>
        </w:rPr>
        <w:t>(with approximately</w:t>
      </w:r>
      <w:r>
        <w:rPr>
          <w:lang w:val="en-US"/>
        </w:rPr>
        <w:t>72 references)</w:t>
      </w:r>
      <w:r>
        <w:t xml:space="preserve"> to register a </w:t>
      </w:r>
      <w:r>
        <w:rPr>
          <w:lang w:val="en-US"/>
        </w:rPr>
        <w:t xml:space="preserve">NCE. </w:t>
      </w:r>
      <w:r w:rsidRPr="00F645D7">
        <w:t xml:space="preserve">In relation to NCEs and </w:t>
      </w:r>
      <w:r w:rsidR="00F75165">
        <w:t>l</w:t>
      </w:r>
      <w:r w:rsidRPr="00F645D7">
        <w:t xml:space="preserve">iterature </w:t>
      </w:r>
      <w:r w:rsidR="00F75165">
        <w:t>b</w:t>
      </w:r>
      <w:r w:rsidRPr="00F645D7">
        <w:t xml:space="preserve">ased </w:t>
      </w:r>
      <w:r w:rsidR="00F75165">
        <w:t>s</w:t>
      </w:r>
      <w:r w:rsidRPr="00F645D7">
        <w:t xml:space="preserve">ubmissions the following statement is </w:t>
      </w:r>
      <w:r w:rsidRPr="0010773D">
        <w:t>made</w:t>
      </w:r>
      <w:r w:rsidR="0010773D" w:rsidRPr="0010773D">
        <w:t xml:space="preserve"> in a TGA guideline</w:t>
      </w:r>
      <w:r w:rsidRPr="00F645D7">
        <w:t>:</w:t>
      </w:r>
      <w:r>
        <w:t xml:space="preserve"> </w:t>
      </w:r>
      <w:r w:rsidRPr="00F75165">
        <w:rPr>
          <w:i/>
        </w:rPr>
        <w:t xml:space="preserve">Under exceptional circumstances, however, literature Based </w:t>
      </w:r>
      <w:r w:rsidRPr="00F75165">
        <w:rPr>
          <w:i/>
        </w:rPr>
        <w:lastRenderedPageBreak/>
        <w:t>Submissions (LBS) may be accepted for medicines, which, although they may have been marketed in other countries for many years, are considered new chemical entities (NCE) in Australia because they have never been marketed here</w:t>
      </w:r>
      <w:r w:rsidRPr="00F645D7">
        <w:rPr>
          <w:rStyle w:val="FootnoteReference"/>
        </w:rPr>
        <w:footnoteReference w:id="7"/>
      </w:r>
      <w:r w:rsidR="00BF1088">
        <w:t>.</w:t>
      </w:r>
    </w:p>
    <w:p w:rsidR="00F645D7" w:rsidRPr="00F645D7" w:rsidRDefault="00F645D7" w:rsidP="005C3144">
      <w:r w:rsidRPr="00F645D7">
        <w:t xml:space="preserve">Many of the references provided were very poor quality copies, some unreadable, others unable </w:t>
      </w:r>
      <w:r>
        <w:t xml:space="preserve">to </w:t>
      </w:r>
      <w:r w:rsidRPr="00F645D7">
        <w:t xml:space="preserve">undergo useful text recognition so that rather than cut </w:t>
      </w:r>
      <w:r>
        <w:t>and</w:t>
      </w:r>
      <w:r w:rsidRPr="00F645D7">
        <w:t xml:space="preserve"> paste quotations had to be retyped. </w:t>
      </w:r>
      <w:r w:rsidR="00F75165">
        <w:t>T</w:t>
      </w:r>
      <w:r w:rsidR="00F75165" w:rsidRPr="00F75165">
        <w:t>his</w:t>
      </w:r>
      <w:r w:rsidRPr="00F75165">
        <w:t xml:space="preserve"> delayed assessment.</w:t>
      </w:r>
      <w:r w:rsidRPr="00F645D7">
        <w:rPr>
          <w:b/>
        </w:rPr>
        <w:t xml:space="preserve"> </w:t>
      </w:r>
      <w:r w:rsidR="0010773D">
        <w:t xml:space="preserve">The </w:t>
      </w:r>
      <w:r w:rsidR="00585508">
        <w:t>non</w:t>
      </w:r>
      <w:r w:rsidR="0010773D">
        <w:t>clinical submission</w:t>
      </w:r>
      <w:r w:rsidRPr="00F645D7">
        <w:t xml:space="preserve"> also contained some clinical reports. </w:t>
      </w:r>
    </w:p>
    <w:p w:rsidR="00F645D7" w:rsidRPr="00DA447D" w:rsidRDefault="00F645D7" w:rsidP="005C3144">
      <w:r w:rsidRPr="00DA447D">
        <w:t xml:space="preserve">Because of conflicting information </w:t>
      </w:r>
      <w:r w:rsidR="00F75165">
        <w:t xml:space="preserve">in the dossier, </w:t>
      </w:r>
      <w:r w:rsidRPr="00DA447D">
        <w:t xml:space="preserve">the sponsor’s clarification was sought on the proposed indications. </w:t>
      </w:r>
      <w:r w:rsidR="00DA447D">
        <w:t xml:space="preserve">The sponsor subsequently confirmed </w:t>
      </w:r>
      <w:r w:rsidRPr="00DA447D">
        <w:t xml:space="preserve">that the intended indications </w:t>
      </w:r>
      <w:r w:rsidR="00F75165">
        <w:t>ar</w:t>
      </w:r>
      <w:r w:rsidRPr="00DA447D">
        <w:t>e:</w:t>
      </w:r>
    </w:p>
    <w:p w:rsidR="00F645D7" w:rsidRPr="00DA447D" w:rsidRDefault="00F645D7" w:rsidP="00EC78AF">
      <w:pPr>
        <w:pStyle w:val="ListBullet"/>
      </w:pPr>
      <w:r w:rsidRPr="00DA447D">
        <w:t xml:space="preserve">the treatment of nausea and vomiting caused by narcotic analgesics and by general anaesthetics in the post-operative period </w:t>
      </w:r>
    </w:p>
    <w:p w:rsidR="00F645D7" w:rsidRPr="00DA447D" w:rsidRDefault="00F645D7" w:rsidP="00EC78AF">
      <w:pPr>
        <w:pStyle w:val="ListBullet"/>
      </w:pPr>
      <w:r w:rsidRPr="00DA447D">
        <w:t xml:space="preserve">pre-operative use in patients undergoing emergency surgery to reduce the hazard of regurgitation and aspiration of gastric contents during induction of general anaesthesia </w:t>
      </w:r>
    </w:p>
    <w:p w:rsidR="00F645D7" w:rsidRPr="00DA447D" w:rsidRDefault="00F645D7" w:rsidP="005C3144">
      <w:pPr>
        <w:pStyle w:val="ListBullet"/>
        <w:numPr>
          <w:ilvl w:val="0"/>
          <w:numId w:val="0"/>
        </w:numPr>
        <w:spacing w:after="120"/>
        <w:rPr>
          <w:sz w:val="24"/>
          <w:szCs w:val="24"/>
        </w:rPr>
      </w:pPr>
      <w:r w:rsidRPr="00DA447D">
        <w:t xml:space="preserve">The </w:t>
      </w:r>
      <w:r w:rsidR="00DA447D">
        <w:t xml:space="preserve">evaluator considered the </w:t>
      </w:r>
      <w:r w:rsidRPr="00DA447D">
        <w:t xml:space="preserve">first </w:t>
      </w:r>
      <w:r w:rsidR="00F75165">
        <w:t>i</w:t>
      </w:r>
      <w:r w:rsidRPr="00DA447D">
        <w:t xml:space="preserve">ndication is ambiguous, being readily interpreted as two </w:t>
      </w:r>
      <w:r w:rsidR="00F75165">
        <w:t>i</w:t>
      </w:r>
      <w:r w:rsidRPr="00DA447D">
        <w:t>ndications:</w:t>
      </w:r>
    </w:p>
    <w:p w:rsidR="00F645D7" w:rsidRPr="00F75165" w:rsidRDefault="00F645D7" w:rsidP="00EC78AF">
      <w:pPr>
        <w:pStyle w:val="ListBullet"/>
      </w:pPr>
      <w:r w:rsidRPr="00F75165">
        <w:t>The treatment of nausea and vomiting caused by narcotic analgesics and</w:t>
      </w:r>
    </w:p>
    <w:p w:rsidR="00F645D7" w:rsidRPr="00F75165" w:rsidRDefault="00F645D7" w:rsidP="005C3144">
      <w:pPr>
        <w:pStyle w:val="ListBullet"/>
        <w:spacing w:after="120"/>
        <w:ind w:left="357" w:hanging="357"/>
      </w:pPr>
      <w:r w:rsidRPr="00F75165">
        <w:t>The treatment of nausea and vomiting caused by general anaesthetics in the post-operative period.</w:t>
      </w:r>
    </w:p>
    <w:p w:rsidR="00D03315" w:rsidRPr="00D03315" w:rsidRDefault="00F645D7" w:rsidP="005C3144">
      <w:pPr>
        <w:pStyle w:val="ListBullet"/>
        <w:numPr>
          <w:ilvl w:val="0"/>
          <w:numId w:val="0"/>
        </w:numPr>
        <w:spacing w:after="120"/>
        <w:rPr>
          <w:sz w:val="24"/>
          <w:szCs w:val="24"/>
        </w:rPr>
      </w:pPr>
      <w:r w:rsidRPr="00DA447D">
        <w:t xml:space="preserve">The evaluator assessed the submitted evidence accordingly, noting that post-operative vomiting associated with local anaesthesia was shown by Bonica </w:t>
      </w:r>
      <w:r w:rsidRPr="00BF1088">
        <w:rPr>
          <w:i/>
        </w:rPr>
        <w:t>et al</w:t>
      </w:r>
      <w:r w:rsidR="00F75165">
        <w:t>.</w:t>
      </w:r>
      <w:r w:rsidR="005C3BF9">
        <w:t>,</w:t>
      </w:r>
      <w:r w:rsidRPr="00DA447D">
        <w:t xml:space="preserve"> 1958 to be considerably less frequent than with general anaesthesia. Further the evaluator believes that the only pivotal study that was clearly associated with local anaesthesia (Nortcliffe </w:t>
      </w:r>
      <w:r w:rsidRPr="00BF1088">
        <w:rPr>
          <w:i/>
        </w:rPr>
        <w:t>et a</w:t>
      </w:r>
      <w:r w:rsidR="00523C20" w:rsidRPr="00BF1088">
        <w:rPr>
          <w:i/>
        </w:rPr>
        <w:t>l</w:t>
      </w:r>
      <w:r w:rsidR="00523C20">
        <w:t>.</w:t>
      </w:r>
      <w:r w:rsidR="005C3BF9">
        <w:t>, 2003</w:t>
      </w:r>
      <w:r w:rsidR="00794592">
        <w:t>; a</w:t>
      </w:r>
      <w:r w:rsidR="00794592" w:rsidRPr="00794592">
        <w:t xml:space="preserve">ll patients received ephedrine </w:t>
      </w:r>
      <w:r w:rsidR="00794592">
        <w:t>as needed (PRN)</w:t>
      </w:r>
      <w:r w:rsidR="00794592" w:rsidRPr="00794592">
        <w:t>; patients received cyclizine at the end of surgery, morphine was given intrathecally with fentanyl and heavy bupivacaine prior to surgery</w:t>
      </w:r>
      <w:r w:rsidRPr="00BF1088">
        <w:rPr>
          <w:vertAlign w:val="superscript"/>
        </w:rPr>
        <w:footnoteReference w:id="8"/>
      </w:r>
      <w:r w:rsidRPr="00DA447D">
        <w:t>) was confounded by the use of ephedrine (as well as intrathecal opiate). The other</w:t>
      </w:r>
      <w:r>
        <w:t xml:space="preserve"> study that may have been associated with local anaesthesia (Hildyard </w:t>
      </w:r>
      <w:r w:rsidRPr="00BF1088">
        <w:rPr>
          <w:i/>
        </w:rPr>
        <w:t>et al</w:t>
      </w:r>
      <w:r w:rsidR="00BF1088">
        <w:t>., 2001</w:t>
      </w:r>
      <w:r>
        <w:t>) was an abstract only, submitted with limited data.</w:t>
      </w:r>
    </w:p>
    <w:p w:rsidR="009F1B88" w:rsidRPr="00D03315" w:rsidRDefault="007938DE" w:rsidP="005C3144">
      <w:pPr>
        <w:pStyle w:val="Heading4"/>
      </w:pPr>
      <w:bookmarkStart w:id="50" w:name="_Toc304266783"/>
      <w:bookmarkStart w:id="51" w:name="_Toc241374311"/>
      <w:bookmarkStart w:id="52" w:name="_Ref243294291"/>
      <w:r>
        <w:t>Literature s</w:t>
      </w:r>
      <w:r w:rsidR="009F1B88" w:rsidRPr="00D03315">
        <w:t>earch</w:t>
      </w:r>
      <w:bookmarkEnd w:id="50"/>
    </w:p>
    <w:bookmarkEnd w:id="51"/>
    <w:bookmarkEnd w:id="52"/>
    <w:p w:rsidR="009F1B88" w:rsidRPr="00CC4BD8" w:rsidRDefault="009F1B88" w:rsidP="005C3144">
      <w:pPr>
        <w:spacing w:line="240" w:lineRule="auto"/>
      </w:pPr>
      <w:r w:rsidRPr="00CC4BD8">
        <w:t xml:space="preserve">The search strategy was based on the current indications for </w:t>
      </w:r>
      <w:r w:rsidR="00255851">
        <w:t>Valoid</w:t>
      </w:r>
      <w:r>
        <w:t xml:space="preserve"> </w:t>
      </w:r>
      <w:r w:rsidRPr="00CC4BD8">
        <w:t xml:space="preserve">in the </w:t>
      </w:r>
      <w:r w:rsidR="0010773D">
        <w:t>United Kingdom (</w:t>
      </w:r>
      <w:r w:rsidRPr="00CC4BD8">
        <w:t>UK</w:t>
      </w:r>
      <w:r w:rsidR="0010773D">
        <w:t>)</w:t>
      </w:r>
      <w:r w:rsidRPr="00CC4BD8">
        <w:t>. These indications however had been partly based on historical data and, by extrapolation to data on the use of the oral formulation of cyclizine. It was found that the clinical data available in the literature was insufficient to support all claims that had featured in</w:t>
      </w:r>
      <w:r>
        <w:t xml:space="preserve"> the literature search strategy. </w:t>
      </w:r>
      <w:r w:rsidRPr="00CC4BD8">
        <w:t>Therefore the claims in the proposed PI are limited to:</w:t>
      </w:r>
    </w:p>
    <w:p w:rsidR="009F1B88" w:rsidRPr="0010773D" w:rsidRDefault="009F1B88" w:rsidP="0010773D">
      <w:pPr>
        <w:pStyle w:val="ListBullet"/>
        <w:numPr>
          <w:ilvl w:val="0"/>
          <w:numId w:val="0"/>
        </w:numPr>
        <w:spacing w:after="120" w:line="240" w:lineRule="auto"/>
        <w:ind w:left="720"/>
        <w:rPr>
          <w:i/>
        </w:rPr>
      </w:pPr>
      <w:r w:rsidRPr="0010773D">
        <w:rPr>
          <w:i/>
        </w:rPr>
        <w:t>The prevention and treatment of nausea and vomiting:</w:t>
      </w:r>
    </w:p>
    <w:p w:rsidR="009F1B88" w:rsidRPr="0010773D" w:rsidRDefault="009F1B88" w:rsidP="0010773D">
      <w:pPr>
        <w:pStyle w:val="ListBullet"/>
        <w:numPr>
          <w:ilvl w:val="0"/>
          <w:numId w:val="0"/>
        </w:numPr>
        <w:spacing w:after="120" w:line="240" w:lineRule="auto"/>
        <w:ind w:left="720"/>
        <w:rPr>
          <w:i/>
        </w:rPr>
      </w:pPr>
      <w:r w:rsidRPr="0010773D">
        <w:rPr>
          <w:i/>
        </w:rPr>
        <w:t>Nausea and vomiting caused by narcotic analgesics and by general anaesthetics in the post-operative period</w:t>
      </w:r>
    </w:p>
    <w:p w:rsidR="009F1B88" w:rsidRPr="00422B5D" w:rsidRDefault="00255851" w:rsidP="00422B5D">
      <w:pPr>
        <w:pStyle w:val="ListBullet"/>
        <w:numPr>
          <w:ilvl w:val="0"/>
          <w:numId w:val="0"/>
        </w:numPr>
        <w:spacing w:after="120" w:line="240" w:lineRule="auto"/>
        <w:ind w:left="720"/>
        <w:rPr>
          <w:rFonts w:cs="Times New Roman"/>
          <w:i/>
          <w:sz w:val="24"/>
          <w:szCs w:val="24"/>
        </w:rPr>
      </w:pPr>
      <w:r w:rsidRPr="00422B5D">
        <w:rPr>
          <w:i/>
        </w:rPr>
        <w:t>Valoid</w:t>
      </w:r>
      <w:r w:rsidR="009F1B88" w:rsidRPr="00422B5D">
        <w:rPr>
          <w:i/>
        </w:rPr>
        <w:t xml:space="preserve"> may be given pre-operatively in patients undergoing emergency surgery in order to reduce the hazard of regurgitation and aspiration of gastric contents during induction of general anaesthesia</w:t>
      </w:r>
      <w:r w:rsidR="00D03315" w:rsidRPr="00422B5D">
        <w:rPr>
          <w:i/>
        </w:rPr>
        <w:t>.</w:t>
      </w:r>
    </w:p>
    <w:p w:rsidR="009F1B88" w:rsidRPr="00D03315" w:rsidRDefault="009F1B88" w:rsidP="005C3144">
      <w:pPr>
        <w:autoSpaceDE w:val="0"/>
        <w:autoSpaceDN w:val="0"/>
        <w:adjustRightInd w:val="0"/>
        <w:spacing w:line="240" w:lineRule="auto"/>
        <w:rPr>
          <w:sz w:val="24"/>
          <w:szCs w:val="24"/>
        </w:rPr>
      </w:pPr>
      <w:r w:rsidRPr="00CC4BD8">
        <w:t xml:space="preserve">In email </w:t>
      </w:r>
      <w:r>
        <w:t xml:space="preserve">correspondence, </w:t>
      </w:r>
      <w:r w:rsidRPr="00CC4BD8">
        <w:t>the TGA informed the sponsor</w:t>
      </w:r>
      <w:r>
        <w:t xml:space="preserve"> that the </w:t>
      </w:r>
      <w:r w:rsidRPr="00CC4BD8">
        <w:t xml:space="preserve">search strategy </w:t>
      </w:r>
      <w:r>
        <w:t>wa</w:t>
      </w:r>
      <w:r w:rsidRPr="00CC4BD8">
        <w:t>s acceptable.</w:t>
      </w:r>
    </w:p>
    <w:p w:rsidR="00B174C0" w:rsidRDefault="00B174C0">
      <w:pPr>
        <w:spacing w:after="0" w:line="240" w:lineRule="auto"/>
        <w:rPr>
          <w:b/>
        </w:rPr>
      </w:pPr>
      <w:bookmarkStart w:id="53" w:name="_Toc304266746"/>
      <w:bookmarkStart w:id="54" w:name="_Toc272414612"/>
      <w:bookmarkStart w:id="55" w:name="_Toc273018175"/>
      <w:r>
        <w:br w:type="page"/>
      </w:r>
    </w:p>
    <w:p w:rsidR="00DA447D" w:rsidRPr="00D03315" w:rsidRDefault="00DA447D" w:rsidP="005C3144">
      <w:pPr>
        <w:pStyle w:val="Heading4"/>
        <w:spacing w:line="240" w:lineRule="auto"/>
      </w:pPr>
      <w:r w:rsidRPr="00D03315">
        <w:lastRenderedPageBreak/>
        <w:t>G</w:t>
      </w:r>
      <w:r w:rsidR="00794592" w:rsidRPr="00D03315">
        <w:t xml:space="preserve">ood clinical practice </w:t>
      </w:r>
      <w:bookmarkEnd w:id="53"/>
      <w:bookmarkEnd w:id="54"/>
      <w:bookmarkEnd w:id="55"/>
    </w:p>
    <w:p w:rsidR="00DA447D" w:rsidRPr="00DA447D" w:rsidRDefault="00DA447D" w:rsidP="005C3144">
      <w:pPr>
        <w:spacing w:line="240" w:lineRule="auto"/>
      </w:pPr>
      <w:bookmarkStart w:id="56" w:name="_Toc241374282"/>
      <w:r w:rsidRPr="00DA447D">
        <w:t xml:space="preserve">The submission was literature based. </w:t>
      </w:r>
      <w:bookmarkEnd w:id="56"/>
      <w:r w:rsidRPr="00DA447D">
        <w:t>None of the cited studies in this report was carried out according to Good Clinical Practice.</w:t>
      </w:r>
    </w:p>
    <w:p w:rsidR="00F645D7" w:rsidRDefault="00F645D7" w:rsidP="005C3144">
      <w:pPr>
        <w:pStyle w:val="Heading3"/>
        <w:spacing w:line="240" w:lineRule="auto"/>
      </w:pPr>
      <w:bookmarkStart w:id="57" w:name="_Toc247691518"/>
      <w:bookmarkStart w:id="58" w:name="_Toc196046464"/>
      <w:bookmarkStart w:id="59" w:name="_Toc350329818"/>
      <w:r w:rsidRPr="00794592">
        <w:t>Pharmacokinetics</w:t>
      </w:r>
      <w:bookmarkEnd w:id="57"/>
      <w:bookmarkEnd w:id="58"/>
      <w:bookmarkEnd w:id="59"/>
    </w:p>
    <w:p w:rsidR="002A4F68" w:rsidRDefault="002A4F68" w:rsidP="005C3144">
      <w:pPr>
        <w:spacing w:line="240" w:lineRule="auto"/>
      </w:pPr>
      <w:r w:rsidRPr="002A4F68">
        <w:t>These were submitted for 1 volunteer after 50</w:t>
      </w:r>
      <w:r>
        <w:t xml:space="preserve"> </w:t>
      </w:r>
      <w:r w:rsidRPr="002A4F68">
        <w:t xml:space="preserve">mg </w:t>
      </w:r>
      <w:r w:rsidR="00BF1088">
        <w:t>PO</w:t>
      </w:r>
      <w:r w:rsidR="008D6520">
        <w:t xml:space="preserve"> (Walker and Kanfer, 1987)</w:t>
      </w:r>
      <w:r w:rsidRPr="002A4F68">
        <w:t xml:space="preserve"> and 6 healthy volunteers after 25</w:t>
      </w:r>
      <w:r>
        <w:t xml:space="preserve"> </w:t>
      </w:r>
      <w:r w:rsidRPr="002A4F68">
        <w:t>mg IV</w:t>
      </w:r>
      <w:r w:rsidR="008D6520">
        <w:t xml:space="preserve"> (Walker and Kanfer 1996)</w:t>
      </w:r>
      <w:r w:rsidRPr="002A4F68">
        <w:t>.</w:t>
      </w:r>
      <w:r w:rsidR="005D30F4">
        <w:t xml:space="preserve"> Measurement was by </w:t>
      </w:r>
      <w:r w:rsidRPr="002A4F68">
        <w:t xml:space="preserve">HPLC with a </w:t>
      </w:r>
      <w:r w:rsidR="00F75165">
        <w:t>lower limit of quantitation (</w:t>
      </w:r>
      <w:r w:rsidRPr="002A4F68">
        <w:t>LLOQ</w:t>
      </w:r>
      <w:r w:rsidR="00F75165">
        <w:t>)</w:t>
      </w:r>
      <w:r w:rsidRPr="002A4F68">
        <w:t xml:space="preserve"> of 1</w:t>
      </w:r>
      <w:r>
        <w:t xml:space="preserve"> </w:t>
      </w:r>
      <w:r w:rsidRPr="002A4F68">
        <w:t xml:space="preserve">ng/mL </w:t>
      </w:r>
      <w:r w:rsidR="00F75165">
        <w:t xml:space="preserve">and </w:t>
      </w:r>
      <w:r w:rsidRPr="002A4F68">
        <w:t xml:space="preserve">a relative </w:t>
      </w:r>
      <w:r w:rsidR="001576DD">
        <w:t xml:space="preserve">standard deviation (SD) </w:t>
      </w:r>
      <w:r w:rsidRPr="002A4F68">
        <w:t>and accuracy of ≤ 10%</w:t>
      </w:r>
      <w:r w:rsidR="005D30F4">
        <w:t xml:space="preserve"> </w:t>
      </w:r>
      <w:r w:rsidRPr="002A4F68">
        <w:t>for both cyclizine and norcyclizine in serum and urine. Further data on 1 volunteer after 50</w:t>
      </w:r>
      <w:r w:rsidR="005D30F4">
        <w:t xml:space="preserve"> </w:t>
      </w:r>
      <w:r w:rsidRPr="002A4F68">
        <w:t xml:space="preserve">mg </w:t>
      </w:r>
      <w:r w:rsidR="00BF1088">
        <w:t>PO</w:t>
      </w:r>
      <w:r w:rsidR="006F4592">
        <w:t xml:space="preserve"> (Griffin and Baselt, 1984)</w:t>
      </w:r>
      <w:r w:rsidRPr="002A4F68">
        <w:t>, and 1 after 50</w:t>
      </w:r>
      <w:r>
        <w:t xml:space="preserve"> </w:t>
      </w:r>
      <w:r w:rsidRPr="002A4F68">
        <w:t>mg IV was found</w:t>
      </w:r>
      <w:r w:rsidR="008D6520">
        <w:t xml:space="preserve"> (Land </w:t>
      </w:r>
      <w:r w:rsidR="008D6520" w:rsidRPr="006F4592">
        <w:rPr>
          <w:i/>
        </w:rPr>
        <w:t>et al</w:t>
      </w:r>
      <w:r w:rsidR="008D6520">
        <w:t>., 1981)</w:t>
      </w:r>
      <w:r w:rsidRPr="002A4F68">
        <w:t>.</w:t>
      </w:r>
    </w:p>
    <w:p w:rsidR="002A4F68" w:rsidRPr="002A4F68" w:rsidRDefault="002A4F68" w:rsidP="005C3144">
      <w:pPr>
        <w:pStyle w:val="FigureTitle"/>
        <w:keepNext/>
        <w:spacing w:line="240" w:lineRule="auto"/>
      </w:pPr>
      <w:bookmarkStart w:id="60" w:name="_Toc304266836"/>
      <w:r w:rsidRPr="002A4F68">
        <w:t xml:space="preserve">Figure 1. Cyclizine serum concentration-time profile in a human subject after the administration of a single 50 mg </w:t>
      </w:r>
      <w:r w:rsidR="00BF1088">
        <w:t>PO</w:t>
      </w:r>
      <w:r w:rsidR="006F4592">
        <w:t xml:space="preserve"> dose</w:t>
      </w:r>
      <w:r w:rsidRPr="002A4F68">
        <w:t xml:space="preserve"> </w:t>
      </w:r>
      <w:r w:rsidR="008D6520">
        <w:t>(</w:t>
      </w:r>
      <w:r w:rsidR="006F4592">
        <w:t>f</w:t>
      </w:r>
      <w:r w:rsidR="008D6520">
        <w:t xml:space="preserve">rom </w:t>
      </w:r>
      <w:r w:rsidRPr="002A4F68">
        <w:t xml:space="preserve">Walker </w:t>
      </w:r>
      <w:r w:rsidR="008D6520">
        <w:t xml:space="preserve">and Kanfer, </w:t>
      </w:r>
      <w:r w:rsidRPr="002A4F68">
        <w:t>1987</w:t>
      </w:r>
      <w:bookmarkEnd w:id="60"/>
      <w:r w:rsidR="008D6520">
        <w:t>)</w:t>
      </w:r>
    </w:p>
    <w:p w:rsidR="002A4F68" w:rsidRPr="002A4F68" w:rsidRDefault="00DE18CA" w:rsidP="005C3144">
      <w:pPr>
        <w:keepNext/>
        <w:spacing w:line="240" w:lineRule="auto"/>
        <w:jc w:val="center"/>
      </w:pPr>
      <w:r>
        <w:rPr>
          <w:noProof/>
          <w:lang w:eastAsia="en-AU"/>
        </w:rPr>
        <w:drawing>
          <wp:inline distT="0" distB="0" distL="0" distR="0">
            <wp:extent cx="3461385" cy="2086610"/>
            <wp:effectExtent l="19050" t="0" r="5715" b="0"/>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1385" cy="2086610"/>
                    </a:xfrm>
                    <a:prstGeom prst="rect">
                      <a:avLst/>
                    </a:prstGeom>
                    <a:noFill/>
                    <a:ln>
                      <a:noFill/>
                    </a:ln>
                  </pic:spPr>
                </pic:pic>
              </a:graphicData>
            </a:graphic>
          </wp:inline>
        </w:drawing>
      </w:r>
    </w:p>
    <w:p w:rsidR="002A4F68" w:rsidRPr="002A4F68" w:rsidRDefault="002A4F68" w:rsidP="005C3144">
      <w:pPr>
        <w:pStyle w:val="FigureTitle"/>
        <w:spacing w:line="240" w:lineRule="auto"/>
      </w:pPr>
      <w:bookmarkStart w:id="61" w:name="_Toc304266837"/>
      <w:r w:rsidRPr="002A4F68">
        <w:t xml:space="preserve">Figure 2. Urinary excretion plot of cyclizine after the administration of a single 50 mg </w:t>
      </w:r>
      <w:r w:rsidR="00BF1088">
        <w:t>PO</w:t>
      </w:r>
      <w:r w:rsidR="006F4592">
        <w:t xml:space="preserve"> dose</w:t>
      </w:r>
      <w:r w:rsidRPr="002A4F68">
        <w:t xml:space="preserve"> </w:t>
      </w:r>
      <w:r w:rsidR="008D6520">
        <w:t>(</w:t>
      </w:r>
      <w:r w:rsidR="006F4592">
        <w:t>f</w:t>
      </w:r>
      <w:r w:rsidR="008D6520">
        <w:t xml:space="preserve">rom </w:t>
      </w:r>
      <w:r w:rsidRPr="002A4F68">
        <w:t xml:space="preserve">Walker </w:t>
      </w:r>
      <w:r w:rsidR="008D6520">
        <w:t xml:space="preserve">and Kanfer, </w:t>
      </w:r>
      <w:r w:rsidRPr="002A4F68">
        <w:t>1987</w:t>
      </w:r>
      <w:bookmarkEnd w:id="61"/>
      <w:r w:rsidR="008D6520">
        <w:t>)</w:t>
      </w:r>
    </w:p>
    <w:p w:rsidR="002A4F68" w:rsidRPr="002A4F68" w:rsidRDefault="00DE18CA" w:rsidP="005C3144">
      <w:pPr>
        <w:spacing w:line="240" w:lineRule="auto"/>
        <w:jc w:val="center"/>
      </w:pPr>
      <w:r>
        <w:rPr>
          <w:noProof/>
          <w:lang w:eastAsia="en-AU"/>
        </w:rPr>
        <w:drawing>
          <wp:inline distT="0" distB="0" distL="0" distR="0">
            <wp:extent cx="2771140" cy="2165350"/>
            <wp:effectExtent l="19050" t="0" r="0"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140" cy="2165350"/>
                    </a:xfrm>
                    <a:prstGeom prst="rect">
                      <a:avLst/>
                    </a:prstGeom>
                    <a:noFill/>
                    <a:ln>
                      <a:noFill/>
                    </a:ln>
                  </pic:spPr>
                </pic:pic>
              </a:graphicData>
            </a:graphic>
          </wp:inline>
        </w:drawing>
      </w:r>
    </w:p>
    <w:p w:rsidR="00B174C0" w:rsidRDefault="00B174C0">
      <w:pPr>
        <w:spacing w:after="0" w:line="240" w:lineRule="auto"/>
        <w:rPr>
          <w:b/>
        </w:rPr>
      </w:pPr>
      <w:bookmarkStart w:id="62" w:name="_Toc304266838"/>
      <w:r>
        <w:br w:type="page"/>
      </w:r>
    </w:p>
    <w:p w:rsidR="002A4F68" w:rsidRPr="002A4F68" w:rsidRDefault="002A4F68" w:rsidP="005C3144">
      <w:pPr>
        <w:pStyle w:val="FigureTitle"/>
        <w:spacing w:line="240" w:lineRule="auto"/>
      </w:pPr>
      <w:r w:rsidRPr="002A4F68">
        <w:lastRenderedPageBreak/>
        <w:t xml:space="preserve">Figure 3. Blood cyclizine concentration profile for an adult subject following </w:t>
      </w:r>
      <w:r w:rsidR="00BF1088">
        <w:t>PO</w:t>
      </w:r>
      <w:r w:rsidRPr="002A4F68">
        <w:t xml:space="preserve"> ingestion of 5</w:t>
      </w:r>
      <w:r w:rsidR="006F4592">
        <w:t>0 mg of cyclizine hydrochloride</w:t>
      </w:r>
      <w:r w:rsidRPr="002A4F68">
        <w:t xml:space="preserve"> </w:t>
      </w:r>
      <w:r w:rsidR="008D6520">
        <w:t>(</w:t>
      </w:r>
      <w:r w:rsidR="006F4592">
        <w:t>f</w:t>
      </w:r>
      <w:r w:rsidR="008D6520">
        <w:t xml:space="preserve">rom Griffin and Baselt, </w:t>
      </w:r>
      <w:r w:rsidR="00794592">
        <w:t>1984)</w:t>
      </w:r>
      <w:bookmarkEnd w:id="62"/>
    </w:p>
    <w:p w:rsidR="002A4F68" w:rsidRPr="002A4F68" w:rsidRDefault="00DE18CA" w:rsidP="005C3144">
      <w:pPr>
        <w:spacing w:line="240" w:lineRule="auto"/>
        <w:jc w:val="center"/>
      </w:pPr>
      <w:r>
        <w:rPr>
          <w:noProof/>
          <w:lang w:eastAsia="en-AU"/>
        </w:rPr>
        <w:drawing>
          <wp:inline distT="0" distB="0" distL="0" distR="0">
            <wp:extent cx="2821940" cy="2092325"/>
            <wp:effectExtent l="19050" t="0" r="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940" cy="2092325"/>
                    </a:xfrm>
                    <a:prstGeom prst="rect">
                      <a:avLst/>
                    </a:prstGeom>
                    <a:noFill/>
                    <a:ln>
                      <a:noFill/>
                    </a:ln>
                  </pic:spPr>
                </pic:pic>
              </a:graphicData>
            </a:graphic>
          </wp:inline>
        </w:drawing>
      </w:r>
    </w:p>
    <w:p w:rsidR="002A4F68" w:rsidRPr="002A4F68" w:rsidRDefault="002A4F68" w:rsidP="005C3144">
      <w:pPr>
        <w:spacing w:line="240" w:lineRule="auto"/>
      </w:pPr>
      <w:r w:rsidRPr="002A4F68">
        <w:t xml:space="preserve">Blood levels declined in </w:t>
      </w:r>
      <w:r w:rsidR="005D30F4">
        <w:t xml:space="preserve">a </w:t>
      </w:r>
      <w:r w:rsidRPr="002A4F68">
        <w:t>biphasic manner, with estimated half-lives of 7</w:t>
      </w:r>
      <w:r w:rsidR="005D30F4">
        <w:t xml:space="preserve"> </w:t>
      </w:r>
      <w:r w:rsidRPr="002A4F68">
        <w:t>h and 24</w:t>
      </w:r>
      <w:r w:rsidR="005D30F4">
        <w:t xml:space="preserve"> </w:t>
      </w:r>
      <w:r w:rsidRPr="002A4F68">
        <w:t xml:space="preserve">h for the early and late phases, respectively. </w:t>
      </w:r>
    </w:p>
    <w:p w:rsidR="002A4F68" w:rsidRPr="002A4F68" w:rsidRDefault="002A4F68" w:rsidP="005C3144">
      <w:pPr>
        <w:pStyle w:val="FigureTitle"/>
        <w:keepNext/>
        <w:keepLines/>
        <w:spacing w:line="240" w:lineRule="auto"/>
      </w:pPr>
      <w:bookmarkStart w:id="63" w:name="_Toc304266839"/>
      <w:r w:rsidRPr="002A4F68">
        <w:t xml:space="preserve">Figure 4. Urine cyclizine concentration profile for an adult subject following </w:t>
      </w:r>
      <w:r w:rsidR="00BF1088">
        <w:t>PO</w:t>
      </w:r>
      <w:r w:rsidRPr="002A4F68">
        <w:t xml:space="preserve"> ingestion of 5</w:t>
      </w:r>
      <w:r w:rsidR="006F4592">
        <w:t>0 mg of cyclizine hydrochloride</w:t>
      </w:r>
      <w:r w:rsidRPr="002A4F68">
        <w:t xml:space="preserve"> </w:t>
      </w:r>
      <w:bookmarkEnd w:id="63"/>
      <w:r w:rsidR="006F4592">
        <w:t>(f</w:t>
      </w:r>
      <w:r w:rsidR="008D6520">
        <w:t xml:space="preserve">rom </w:t>
      </w:r>
      <w:r w:rsidR="00794592">
        <w:t>Griffin and Baselt</w:t>
      </w:r>
      <w:r w:rsidR="008D6520">
        <w:t>,</w:t>
      </w:r>
      <w:r w:rsidR="00794592">
        <w:t xml:space="preserve"> 1984)</w:t>
      </w:r>
      <w:r w:rsidR="005D30F4">
        <w:t>.</w:t>
      </w:r>
    </w:p>
    <w:p w:rsidR="002A4F68" w:rsidRPr="002A4F68" w:rsidRDefault="00DE18CA" w:rsidP="005C3144">
      <w:pPr>
        <w:keepNext/>
        <w:keepLines/>
        <w:spacing w:line="240" w:lineRule="auto"/>
        <w:jc w:val="center"/>
      </w:pPr>
      <w:r>
        <w:rPr>
          <w:noProof/>
          <w:lang w:eastAsia="en-AU"/>
        </w:rPr>
        <w:drawing>
          <wp:inline distT="0" distB="0" distL="0" distR="0">
            <wp:extent cx="2748915" cy="2204720"/>
            <wp:effectExtent l="1905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915" cy="2204720"/>
                    </a:xfrm>
                    <a:prstGeom prst="rect">
                      <a:avLst/>
                    </a:prstGeom>
                    <a:noFill/>
                    <a:ln>
                      <a:noFill/>
                    </a:ln>
                  </pic:spPr>
                </pic:pic>
              </a:graphicData>
            </a:graphic>
          </wp:inline>
        </w:drawing>
      </w:r>
    </w:p>
    <w:p w:rsidR="002A4F68" w:rsidRPr="002A4F68" w:rsidRDefault="005D30F4" w:rsidP="005C3144">
      <w:pPr>
        <w:spacing w:line="240" w:lineRule="auto"/>
      </w:pPr>
      <w:r>
        <w:t xml:space="preserve">The 24 </w:t>
      </w:r>
      <w:r w:rsidR="002A4F68" w:rsidRPr="002A4F68">
        <w:t>h urinary excretion of unchanged cyclizine amounted to only 0.01% of the administered dose.</w:t>
      </w:r>
    </w:p>
    <w:p w:rsidR="00B174C0" w:rsidRDefault="00B174C0">
      <w:pPr>
        <w:spacing w:after="0" w:line="240" w:lineRule="auto"/>
        <w:rPr>
          <w:b/>
          <w:bCs/>
        </w:rPr>
      </w:pPr>
      <w:bookmarkStart w:id="64" w:name="_Toc304266840"/>
      <w:r>
        <w:rPr>
          <w:b/>
        </w:rPr>
        <w:br w:type="page"/>
      </w:r>
    </w:p>
    <w:p w:rsidR="002A4F68" w:rsidRDefault="002A4F68" w:rsidP="005C3144">
      <w:pPr>
        <w:pStyle w:val="Caption"/>
        <w:keepNext/>
        <w:keepLines/>
        <w:spacing w:before="0" w:after="120" w:line="240" w:lineRule="auto"/>
        <w:rPr>
          <w:b/>
          <w:sz w:val="22"/>
          <w:szCs w:val="22"/>
        </w:rPr>
      </w:pPr>
      <w:r w:rsidRPr="005D30F4">
        <w:rPr>
          <w:b/>
          <w:sz w:val="22"/>
          <w:szCs w:val="22"/>
        </w:rPr>
        <w:lastRenderedPageBreak/>
        <w:t xml:space="preserve">Table 1. Cyclizine pharmacokinetics for subjects 1 to 6 following administration of an </w:t>
      </w:r>
      <w:r w:rsidR="00844CD0">
        <w:rPr>
          <w:b/>
          <w:sz w:val="22"/>
          <w:szCs w:val="22"/>
        </w:rPr>
        <w:t xml:space="preserve">IV </w:t>
      </w:r>
      <w:r w:rsidRPr="005D30F4">
        <w:rPr>
          <w:b/>
          <w:sz w:val="22"/>
          <w:szCs w:val="22"/>
        </w:rPr>
        <w:t>bolus dose of 0.5</w:t>
      </w:r>
      <w:r w:rsidR="001576DD">
        <w:rPr>
          <w:b/>
          <w:sz w:val="22"/>
          <w:szCs w:val="22"/>
        </w:rPr>
        <w:t xml:space="preserve"> </w:t>
      </w:r>
      <w:r w:rsidRPr="005D30F4">
        <w:rPr>
          <w:b/>
          <w:sz w:val="22"/>
          <w:szCs w:val="22"/>
        </w:rPr>
        <w:t xml:space="preserve">mL of a cyclizine lactate solution (50 mg/mL) </w:t>
      </w:r>
      <w:r w:rsidR="008D6520">
        <w:rPr>
          <w:b/>
          <w:sz w:val="22"/>
          <w:szCs w:val="22"/>
        </w:rPr>
        <w:t xml:space="preserve">(from </w:t>
      </w:r>
      <w:r w:rsidRPr="005D30F4">
        <w:rPr>
          <w:b/>
          <w:sz w:val="22"/>
          <w:szCs w:val="22"/>
        </w:rPr>
        <w:t xml:space="preserve">Walker </w:t>
      </w:r>
      <w:r w:rsidR="008D6520">
        <w:rPr>
          <w:b/>
          <w:sz w:val="22"/>
          <w:szCs w:val="22"/>
        </w:rPr>
        <w:t xml:space="preserve">and Kanfer, </w:t>
      </w:r>
      <w:r w:rsidRPr="005D30F4">
        <w:rPr>
          <w:b/>
          <w:sz w:val="22"/>
          <w:szCs w:val="22"/>
        </w:rPr>
        <w:t>1996</w:t>
      </w:r>
      <w:r w:rsidR="008D6520">
        <w:rPr>
          <w:b/>
          <w:sz w:val="22"/>
          <w:szCs w:val="22"/>
        </w:rPr>
        <w:t>)</w:t>
      </w:r>
      <w:r w:rsidRPr="005D30F4">
        <w:rPr>
          <w:b/>
          <w:sz w:val="22"/>
          <w:szCs w:val="22"/>
        </w:rPr>
        <w:t>.</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1003"/>
        <w:gridCol w:w="901"/>
        <w:gridCol w:w="901"/>
        <w:gridCol w:w="904"/>
        <w:gridCol w:w="904"/>
        <w:gridCol w:w="904"/>
        <w:gridCol w:w="904"/>
        <w:gridCol w:w="922"/>
        <w:gridCol w:w="891"/>
      </w:tblGrid>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Subject</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vertAlign w:val="subscript"/>
              </w:rPr>
            </w:pPr>
            <w:r w:rsidRPr="00523C20">
              <w:rPr>
                <w:b/>
                <w:sz w:val="20"/>
                <w:szCs w:val="20"/>
              </w:rPr>
              <w:t>AUC</w:t>
            </w:r>
            <w:r w:rsidR="005D30F4" w:rsidRPr="00523C20">
              <w:rPr>
                <w:b/>
                <w:sz w:val="20"/>
                <w:szCs w:val="20"/>
                <w:vertAlign w:val="subscript"/>
              </w:rPr>
              <w:t>0</w:t>
            </w:r>
            <w:r w:rsidRPr="00523C20">
              <w:rPr>
                <w:b/>
                <w:sz w:val="20"/>
                <w:szCs w:val="20"/>
                <w:vertAlign w:val="subscript"/>
              </w:rPr>
              <w:t>-∞</w:t>
            </w:r>
          </w:p>
          <w:p w:rsidR="002A4F68" w:rsidRPr="00523C20" w:rsidRDefault="006F4592"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Pr>
                <w:b/>
                <w:sz w:val="20"/>
                <w:szCs w:val="20"/>
              </w:rPr>
              <w:t>µ</w:t>
            </w:r>
            <w:r w:rsidR="002A4F68" w:rsidRPr="00523C20">
              <w:rPr>
                <w:b/>
                <w:sz w:val="20"/>
                <w:szCs w:val="20"/>
              </w:rPr>
              <w:t>g/L*h</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rPr>
            </w:pPr>
            <w:r w:rsidRPr="00523C20">
              <w:rPr>
                <w:b/>
                <w:sz w:val="20"/>
                <w:szCs w:val="20"/>
              </w:rPr>
              <w:t>MRT</w:t>
            </w:r>
          </w:p>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h</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vertAlign w:val="subscript"/>
              </w:rPr>
            </w:pPr>
            <w:r w:rsidRPr="00523C20">
              <w:rPr>
                <w:b/>
                <w:sz w:val="20"/>
                <w:szCs w:val="20"/>
              </w:rPr>
              <w:t>λ</w:t>
            </w:r>
            <w:r w:rsidRPr="00523C20">
              <w:rPr>
                <w:b/>
                <w:sz w:val="20"/>
                <w:szCs w:val="20"/>
                <w:vertAlign w:val="subscript"/>
              </w:rPr>
              <w:t>z</w:t>
            </w:r>
          </w:p>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vertAlign w:val="superscript"/>
              </w:rPr>
            </w:pPr>
            <w:r w:rsidRPr="00523C20">
              <w:rPr>
                <w:b/>
                <w:sz w:val="20"/>
                <w:szCs w:val="20"/>
              </w:rPr>
              <w:t>h</w:t>
            </w:r>
            <w:r w:rsidRPr="00523C20">
              <w:rPr>
                <w:b/>
                <w:sz w:val="20"/>
                <w:szCs w:val="20"/>
                <w:vertAlign w:val="superscript"/>
              </w:rPr>
              <w:t>-1</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rPr>
            </w:pPr>
            <w:r w:rsidRPr="00523C20">
              <w:rPr>
                <w:b/>
                <w:sz w:val="20"/>
                <w:szCs w:val="20"/>
              </w:rPr>
              <w:t>t</w:t>
            </w:r>
            <w:r w:rsidRPr="00523C20">
              <w:rPr>
                <w:b/>
                <w:sz w:val="20"/>
                <w:szCs w:val="20"/>
                <w:vertAlign w:val="subscript"/>
              </w:rPr>
              <w:t>1/2</w:t>
            </w:r>
            <w:r w:rsidRPr="00523C20">
              <w:rPr>
                <w:b/>
                <w:sz w:val="20"/>
                <w:szCs w:val="20"/>
              </w:rPr>
              <w:t xml:space="preserve"> </w:t>
            </w:r>
          </w:p>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h</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vertAlign w:val="subscript"/>
              </w:rPr>
            </w:pPr>
            <w:r w:rsidRPr="00523C20">
              <w:rPr>
                <w:b/>
                <w:sz w:val="20"/>
                <w:szCs w:val="20"/>
              </w:rPr>
              <w:t>V</w:t>
            </w:r>
            <w:r w:rsidRPr="00523C20">
              <w:rPr>
                <w:b/>
                <w:sz w:val="20"/>
                <w:szCs w:val="20"/>
                <w:vertAlign w:val="subscript"/>
              </w:rPr>
              <w:t>ss</w:t>
            </w:r>
          </w:p>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L/kg</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vertAlign w:val="subscript"/>
              </w:rPr>
            </w:pPr>
            <w:r w:rsidRPr="00523C20">
              <w:rPr>
                <w:b/>
                <w:sz w:val="20"/>
                <w:szCs w:val="20"/>
              </w:rPr>
              <w:t>V</w:t>
            </w:r>
            <w:r w:rsidRPr="00523C20">
              <w:rPr>
                <w:b/>
                <w:sz w:val="20"/>
                <w:szCs w:val="20"/>
                <w:vertAlign w:val="subscript"/>
              </w:rPr>
              <w:t>z</w:t>
            </w:r>
          </w:p>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L/kg</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s>
              <w:spacing w:line="240" w:lineRule="auto"/>
              <w:jc w:val="center"/>
              <w:rPr>
                <w:b/>
                <w:kern w:val="16"/>
                <w:sz w:val="20"/>
                <w:szCs w:val="20"/>
                <w:vertAlign w:val="subscript"/>
              </w:rPr>
            </w:pPr>
            <w:r w:rsidRPr="00523C20">
              <w:rPr>
                <w:b/>
                <w:sz w:val="20"/>
                <w:szCs w:val="20"/>
              </w:rPr>
              <w:t>Cl</w:t>
            </w:r>
            <w:r w:rsidRPr="00523C20">
              <w:rPr>
                <w:b/>
                <w:sz w:val="20"/>
                <w:szCs w:val="20"/>
                <w:vertAlign w:val="subscript"/>
              </w:rPr>
              <w:t>TOT</w:t>
            </w:r>
          </w:p>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L/h/kg</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vertAlign w:val="subscript"/>
              </w:rPr>
            </w:pPr>
            <w:r w:rsidRPr="00523C20">
              <w:rPr>
                <w:b/>
                <w:sz w:val="20"/>
                <w:szCs w:val="20"/>
              </w:rPr>
              <w:t>Cl</w:t>
            </w:r>
            <w:r w:rsidR="006F4592">
              <w:rPr>
                <w:b/>
                <w:sz w:val="20"/>
                <w:szCs w:val="20"/>
                <w:vertAlign w:val="subscript"/>
              </w:rPr>
              <w:t>R</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keepNext/>
              <w:keepLines/>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523C20">
              <w:rPr>
                <w:b/>
                <w:sz w:val="20"/>
                <w:szCs w:val="20"/>
              </w:rPr>
              <w:t>% dose in urine</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237.63</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15.16</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0.0492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16.52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15.68</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21.04</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1.034</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0.00361</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0.53</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259.00</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15.62</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0.0510</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13.58</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11.38</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14.29</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0.729</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0.00934</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1.03</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324.89</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15.64</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0.0562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12.32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12.32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14.01</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0.788</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0.00186</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0.32</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253.97</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12.57</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0.0658</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10.53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11.06</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13.37</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0.879</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0.00277</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0.46</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263.02</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19.74</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0.0433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16.00</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17.32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20.23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0,877</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0.00442</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0.41</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300.65</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14.03</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0.0568</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12.21</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12.82</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16.10</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0.914</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0.00306</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0.57</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Mean</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273.53</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15.46</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0.0537</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13.53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13.43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16.50</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0.870</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0.00418</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0.55</w:t>
            </w:r>
          </w:p>
        </w:tc>
      </w:tr>
      <w:tr w:rsidR="002A4F68" w:rsidRPr="00523C20" w:rsidTr="005C3144">
        <w:tc>
          <w:tcPr>
            <w:tcW w:w="47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SD</w:t>
            </w:r>
          </w:p>
        </w:tc>
        <w:tc>
          <w:tcPr>
            <w:tcW w:w="0" w:type="auto"/>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32.53</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2.40</w:t>
            </w:r>
          </w:p>
        </w:tc>
        <w:tc>
          <w:tcPr>
            <w:tcW w:w="496"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0.0077</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2.33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2.51</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3.33</w:t>
            </w:r>
          </w:p>
        </w:tc>
        <w:tc>
          <w:tcPr>
            <w:tcW w:w="497"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0.105</w:t>
            </w:r>
          </w:p>
        </w:tc>
        <w:tc>
          <w:tcPr>
            <w:tcW w:w="504"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0.00244</w:t>
            </w:r>
          </w:p>
        </w:tc>
        <w:tc>
          <w:tcPr>
            <w:tcW w:w="490" w:type="pct"/>
            <w:tcBorders>
              <w:top w:val="single" w:sz="4" w:space="0" w:color="auto"/>
              <w:left w:val="single" w:sz="4" w:space="0" w:color="auto"/>
              <w:bottom w:val="single" w:sz="4" w:space="0" w:color="auto"/>
              <w:right w:val="single" w:sz="4" w:space="0" w:color="auto"/>
            </w:tcBorders>
            <w:hideMark/>
          </w:tcPr>
          <w:p w:rsidR="002A4F68" w:rsidRPr="00523C20" w:rsidRDefault="002A4F68"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sidRPr="00523C20">
              <w:rPr>
                <w:sz w:val="20"/>
                <w:szCs w:val="20"/>
              </w:rPr>
              <w:t>0.25</w:t>
            </w:r>
          </w:p>
        </w:tc>
      </w:tr>
    </w:tbl>
    <w:p w:rsidR="002A4F68" w:rsidRPr="00523C20" w:rsidRDefault="002A4F68" w:rsidP="005C3144">
      <w:pPr>
        <w:spacing w:line="240" w:lineRule="auto"/>
        <w:rPr>
          <w:kern w:val="16"/>
          <w:sz w:val="18"/>
          <w:szCs w:val="18"/>
        </w:rPr>
      </w:pPr>
      <w:r w:rsidRPr="00523C20">
        <w:rPr>
          <w:sz w:val="18"/>
          <w:szCs w:val="18"/>
        </w:rPr>
        <w:t xml:space="preserve">MRT = mean residence </w:t>
      </w:r>
      <w:r w:rsidR="006F4592">
        <w:rPr>
          <w:sz w:val="18"/>
          <w:szCs w:val="18"/>
        </w:rPr>
        <w:t>t</w:t>
      </w:r>
      <w:r w:rsidRPr="00523C20">
        <w:rPr>
          <w:sz w:val="18"/>
          <w:szCs w:val="18"/>
        </w:rPr>
        <w:t xml:space="preserve">ime (MRT), which is the time when 63.2% of an </w:t>
      </w:r>
      <w:r w:rsidR="005D30F4" w:rsidRPr="00523C20">
        <w:rPr>
          <w:sz w:val="18"/>
          <w:szCs w:val="18"/>
        </w:rPr>
        <w:t xml:space="preserve">IV </w:t>
      </w:r>
      <w:r w:rsidRPr="00523C20">
        <w:rPr>
          <w:sz w:val="18"/>
          <w:szCs w:val="18"/>
        </w:rPr>
        <w:t>has been eliminated from the pharmacokinetic system</w:t>
      </w:r>
      <w:r w:rsidR="005D30F4" w:rsidRPr="00523C20">
        <w:rPr>
          <w:sz w:val="18"/>
          <w:szCs w:val="18"/>
        </w:rPr>
        <w:t>.</w:t>
      </w:r>
      <w:r w:rsidRPr="00523C20">
        <w:rPr>
          <w:sz w:val="18"/>
          <w:szCs w:val="18"/>
        </w:rPr>
        <w:t xml:space="preserve"> </w:t>
      </w:r>
      <w:r w:rsidR="006F4592" w:rsidRPr="006F4592">
        <w:rPr>
          <w:sz w:val="18"/>
          <w:szCs w:val="18"/>
        </w:rPr>
        <w:t>λz</w:t>
      </w:r>
      <w:r w:rsidR="006F4592" w:rsidRPr="00523C20">
        <w:rPr>
          <w:sz w:val="18"/>
          <w:szCs w:val="18"/>
        </w:rPr>
        <w:t xml:space="preserve"> </w:t>
      </w:r>
      <w:r w:rsidR="006F4592">
        <w:rPr>
          <w:sz w:val="18"/>
          <w:szCs w:val="18"/>
        </w:rPr>
        <w:t xml:space="preserve">= the terminal rate constant. </w:t>
      </w:r>
      <w:r w:rsidRPr="00523C20">
        <w:rPr>
          <w:sz w:val="18"/>
          <w:szCs w:val="18"/>
        </w:rPr>
        <w:t>V</w:t>
      </w:r>
      <w:r w:rsidRPr="006F4592">
        <w:rPr>
          <w:sz w:val="18"/>
          <w:szCs w:val="18"/>
        </w:rPr>
        <w:t>z</w:t>
      </w:r>
      <w:r w:rsidRPr="00523C20">
        <w:rPr>
          <w:sz w:val="18"/>
          <w:szCs w:val="18"/>
        </w:rPr>
        <w:t xml:space="preserve"> = </w:t>
      </w:r>
      <w:r w:rsidR="005D30F4" w:rsidRPr="00523C20">
        <w:rPr>
          <w:sz w:val="18"/>
          <w:szCs w:val="18"/>
        </w:rPr>
        <w:t>t</w:t>
      </w:r>
      <w:r w:rsidRPr="00523C20">
        <w:rPr>
          <w:sz w:val="18"/>
          <w:szCs w:val="18"/>
        </w:rPr>
        <w:t>he apparent volume of distribution</w:t>
      </w:r>
      <w:r w:rsidR="005D30F4" w:rsidRPr="00523C20">
        <w:rPr>
          <w:sz w:val="18"/>
          <w:szCs w:val="18"/>
        </w:rPr>
        <w:t>.</w:t>
      </w:r>
      <w:r w:rsidRPr="00523C20">
        <w:rPr>
          <w:sz w:val="18"/>
          <w:szCs w:val="18"/>
        </w:rPr>
        <w:t xml:space="preserve"> V</w:t>
      </w:r>
      <w:r w:rsidRPr="00523C20">
        <w:rPr>
          <w:sz w:val="18"/>
          <w:szCs w:val="18"/>
          <w:vertAlign w:val="subscript"/>
        </w:rPr>
        <w:t>ss</w:t>
      </w:r>
      <w:r w:rsidRPr="00523C20">
        <w:rPr>
          <w:sz w:val="18"/>
          <w:szCs w:val="18"/>
        </w:rPr>
        <w:t xml:space="preserve"> = the volume of distribution at steady state. C</w:t>
      </w:r>
      <w:r w:rsidR="005D30F4" w:rsidRPr="00523C20">
        <w:rPr>
          <w:sz w:val="18"/>
          <w:szCs w:val="18"/>
        </w:rPr>
        <w:t>l</w:t>
      </w:r>
      <w:r w:rsidRPr="00523C20">
        <w:rPr>
          <w:sz w:val="18"/>
          <w:szCs w:val="18"/>
          <w:vertAlign w:val="subscript"/>
        </w:rPr>
        <w:t>TOT</w:t>
      </w:r>
      <w:r w:rsidRPr="00523C20">
        <w:rPr>
          <w:sz w:val="18"/>
          <w:szCs w:val="18"/>
        </w:rPr>
        <w:t xml:space="preserve"> = total clearance. Cl</w:t>
      </w:r>
      <w:r w:rsidR="006F4592" w:rsidRPr="006F4592">
        <w:rPr>
          <w:sz w:val="18"/>
          <w:szCs w:val="18"/>
          <w:vertAlign w:val="subscript"/>
        </w:rPr>
        <w:t>R</w:t>
      </w:r>
      <w:r w:rsidRPr="00523C20">
        <w:rPr>
          <w:sz w:val="18"/>
          <w:szCs w:val="18"/>
        </w:rPr>
        <w:t xml:space="preserve"> = </w:t>
      </w:r>
      <w:r w:rsidR="005D30F4" w:rsidRPr="00523C20">
        <w:rPr>
          <w:sz w:val="18"/>
          <w:szCs w:val="18"/>
        </w:rPr>
        <w:t>r</w:t>
      </w:r>
      <w:r w:rsidRPr="00523C20">
        <w:rPr>
          <w:sz w:val="18"/>
          <w:szCs w:val="18"/>
        </w:rPr>
        <w:t xml:space="preserve">enal </w:t>
      </w:r>
      <w:r w:rsidR="005D30F4" w:rsidRPr="00523C20">
        <w:rPr>
          <w:sz w:val="18"/>
          <w:szCs w:val="18"/>
        </w:rPr>
        <w:t>c</w:t>
      </w:r>
      <w:r w:rsidRPr="00523C20">
        <w:rPr>
          <w:sz w:val="18"/>
          <w:szCs w:val="18"/>
        </w:rPr>
        <w:t>learance. Note this is derived from a poor copy of Table 1</w:t>
      </w:r>
      <w:r w:rsidR="006F4592">
        <w:rPr>
          <w:sz w:val="18"/>
          <w:szCs w:val="18"/>
        </w:rPr>
        <w:t xml:space="preserve"> in Walker and Kanfer, 1996)</w:t>
      </w:r>
      <w:r w:rsidR="001576DD" w:rsidRPr="00523C20">
        <w:rPr>
          <w:sz w:val="18"/>
          <w:szCs w:val="18"/>
        </w:rPr>
        <w:t>.</w:t>
      </w:r>
    </w:p>
    <w:p w:rsidR="002A4F68" w:rsidRPr="002A4F68" w:rsidRDefault="008D6520" w:rsidP="005C3144">
      <w:pPr>
        <w:spacing w:line="240" w:lineRule="auto"/>
      </w:pPr>
      <w:r w:rsidRPr="008D6520">
        <w:t>From Walker and Kanfer</w:t>
      </w:r>
      <w:r w:rsidR="00844CD0">
        <w:t>,</w:t>
      </w:r>
      <w:r w:rsidRPr="008D6520">
        <w:t xml:space="preserve"> 1996:</w:t>
      </w:r>
      <w:r>
        <w:rPr>
          <w:i/>
        </w:rPr>
        <w:t xml:space="preserve"> </w:t>
      </w:r>
      <w:r w:rsidR="002A4F68" w:rsidRPr="001576DD">
        <w:rPr>
          <w:i/>
        </w:rPr>
        <w:t>“The mean value of 15.50 ± 3.53</w:t>
      </w:r>
      <w:r w:rsidR="005D30F4" w:rsidRPr="001576DD">
        <w:rPr>
          <w:i/>
        </w:rPr>
        <w:t xml:space="preserve"> </w:t>
      </w:r>
      <w:r w:rsidR="002A4F68" w:rsidRPr="001576DD">
        <w:rPr>
          <w:i/>
        </w:rPr>
        <w:t>L/kg for V</w:t>
      </w:r>
      <w:r w:rsidR="002A4F68" w:rsidRPr="001576DD">
        <w:rPr>
          <w:i/>
          <w:vertAlign w:val="subscript"/>
        </w:rPr>
        <w:t>z</w:t>
      </w:r>
      <w:r w:rsidR="002A4F68" w:rsidRPr="001576DD">
        <w:rPr>
          <w:i/>
        </w:rPr>
        <w:t xml:space="preserve"> clearly indicates extensive distribution of cyclizine. A high value for V</w:t>
      </w:r>
      <w:r w:rsidR="002A4F68" w:rsidRPr="001576DD">
        <w:rPr>
          <w:i/>
          <w:vertAlign w:val="subscript"/>
        </w:rPr>
        <w:t>z</w:t>
      </w:r>
      <w:r w:rsidR="002A4F68" w:rsidRPr="001576DD">
        <w:rPr>
          <w:i/>
        </w:rPr>
        <w:t xml:space="preserve"> is expected since experiments in which cyclizine was administered to male rats resulted in concentrations</w:t>
      </w:r>
      <w:r w:rsidR="002A4F68" w:rsidRPr="001576DD">
        <w:rPr>
          <w:i/>
          <w:vertAlign w:val="subscript"/>
        </w:rPr>
        <w:t xml:space="preserve"> </w:t>
      </w:r>
      <w:r w:rsidR="002A4F68" w:rsidRPr="001576DD">
        <w:rPr>
          <w:i/>
        </w:rPr>
        <w:t>of cyclizine in the lu</w:t>
      </w:r>
      <w:r w:rsidR="005D30F4" w:rsidRPr="001576DD">
        <w:rPr>
          <w:i/>
        </w:rPr>
        <w:t>ng, spleen, liver and kidney 20</w:t>
      </w:r>
      <w:r w:rsidR="002A4F68" w:rsidRPr="001576DD">
        <w:rPr>
          <w:i/>
        </w:rPr>
        <w:t>–110 fold higher than those in plasma (Kuntzman et al, 1965).</w:t>
      </w:r>
      <w:r w:rsidR="001576DD" w:rsidRPr="001576DD">
        <w:rPr>
          <w:i/>
        </w:rPr>
        <w:t xml:space="preserve"> </w:t>
      </w:r>
      <w:r w:rsidR="002A4F68" w:rsidRPr="001576DD">
        <w:rPr>
          <w:i/>
        </w:rPr>
        <w:t>Norcyclizine, the main metabolite, was isolated in the urine but was conspicuously absent in serum. Metabolic inactivation of cyclizine, primarily by demethylation (Kuntzman et al, 1965) to form norcyclizine or by glucuronidation (Luo et al, 1991) in the liver, is an indication that extrarenal clearance accounts for most of the removal of drug from the body. In addition, renal clearance of cyclizine and norcyclizine were negligible with less than 1% of the dose excreted up to 36</w:t>
      </w:r>
      <w:r w:rsidR="005D30F4" w:rsidRPr="001576DD">
        <w:rPr>
          <w:i/>
        </w:rPr>
        <w:t xml:space="preserve"> </w:t>
      </w:r>
      <w:r w:rsidR="002A4F68" w:rsidRPr="001576DD">
        <w:rPr>
          <w:i/>
        </w:rPr>
        <w:t>h and the presence of norcyclizine in urine emphasises that alternative mechanisms of elimination are responsible for the removal of cyclizine from the body. Current utilization of oral cyclizine and its associated dosage recommendations (4-6 hourly) are apparently based on a much shorter half-life, implying that chronic use may result in accumulation of the drug based on the terminal elimination half-life of approximately 13 h established in this study.”</w:t>
      </w:r>
      <w:r w:rsidR="002A4F68" w:rsidRPr="002A4F68">
        <w:t xml:space="preserve"> </w:t>
      </w:r>
    </w:p>
    <w:p w:rsidR="002A4F68" w:rsidRPr="002A4F68" w:rsidRDefault="002A4F68" w:rsidP="005C3144">
      <w:pPr>
        <w:spacing w:line="240" w:lineRule="auto"/>
      </w:pPr>
      <w:r w:rsidRPr="002A4F68">
        <w:t xml:space="preserve">Land </w:t>
      </w:r>
      <w:r w:rsidRPr="00844CD0">
        <w:rPr>
          <w:i/>
        </w:rPr>
        <w:t>et al</w:t>
      </w:r>
      <w:r w:rsidR="00844CD0">
        <w:t>.</w:t>
      </w:r>
      <w:r w:rsidR="002C26CA">
        <w:t>,</w:t>
      </w:r>
      <w:r w:rsidR="00844CD0">
        <w:t xml:space="preserve"> 1981 </w:t>
      </w:r>
      <w:r w:rsidRPr="002A4F68">
        <w:t xml:space="preserve">reported a peak level of approximately 350 ng/mL after </w:t>
      </w:r>
      <w:r w:rsidR="005D30F4">
        <w:t xml:space="preserve">IV </w:t>
      </w:r>
      <w:r w:rsidR="00844CD0">
        <w:t>administration of a 50 </w:t>
      </w:r>
      <w:r w:rsidRPr="002A4F68">
        <w:t xml:space="preserve">mg dose.  </w:t>
      </w:r>
    </w:p>
    <w:p w:rsidR="002A4F68" w:rsidRPr="002A4F68" w:rsidRDefault="002A4F68" w:rsidP="005C3144">
      <w:pPr>
        <w:pStyle w:val="FigureTitle"/>
        <w:keepNext/>
        <w:spacing w:line="240" w:lineRule="auto"/>
      </w:pPr>
      <w:bookmarkStart w:id="65" w:name="_Toc304266841"/>
      <w:r w:rsidRPr="002A4F68">
        <w:t>Figure 5. Plasma cyclizine profile in healthy adult male subject after administration of 50</w:t>
      </w:r>
      <w:r w:rsidR="005D30F4">
        <w:t> </w:t>
      </w:r>
      <w:r w:rsidRPr="002A4F68">
        <w:t xml:space="preserve">mg cyclizine </w:t>
      </w:r>
      <w:bookmarkEnd w:id="65"/>
      <w:r w:rsidR="005D30F4">
        <w:t>IV</w:t>
      </w:r>
      <w:r w:rsidR="00844CD0">
        <w:t xml:space="preserve"> (from Land </w:t>
      </w:r>
      <w:r w:rsidR="00844CD0" w:rsidRPr="00844CD0">
        <w:rPr>
          <w:i/>
        </w:rPr>
        <w:t>et al</w:t>
      </w:r>
      <w:r w:rsidR="00844CD0">
        <w:t>., 1981)</w:t>
      </w:r>
      <w:r w:rsidR="005D30F4">
        <w:t>.</w:t>
      </w:r>
    </w:p>
    <w:p w:rsidR="002A4F68" w:rsidRPr="002A4F68" w:rsidRDefault="00DE18CA" w:rsidP="005C3144">
      <w:pPr>
        <w:pStyle w:val="FigureTitle"/>
        <w:keepNext/>
        <w:spacing w:line="240" w:lineRule="auto"/>
        <w:jc w:val="center"/>
      </w:pPr>
      <w:r>
        <w:rPr>
          <w:noProof/>
          <w:lang w:eastAsia="en-AU"/>
        </w:rPr>
        <w:drawing>
          <wp:inline distT="0" distB="0" distL="0" distR="0">
            <wp:extent cx="2513330" cy="1840230"/>
            <wp:effectExtent l="19050" t="0" r="1270" b="0"/>
            <wp:docPr id="7" name="Picture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3330" cy="1840230"/>
                    </a:xfrm>
                    <a:prstGeom prst="rect">
                      <a:avLst/>
                    </a:prstGeom>
                    <a:noFill/>
                    <a:ln>
                      <a:noFill/>
                    </a:ln>
                  </pic:spPr>
                </pic:pic>
              </a:graphicData>
            </a:graphic>
          </wp:inline>
        </w:drawing>
      </w:r>
    </w:p>
    <w:p w:rsidR="002A4F68" w:rsidRPr="002A4F68" w:rsidRDefault="002A4F68" w:rsidP="005C3144">
      <w:pPr>
        <w:spacing w:line="240" w:lineRule="auto"/>
      </w:pPr>
      <w:r w:rsidRPr="002A4F68">
        <w:t xml:space="preserve">The delay in excretion seen in the plasma profile </w:t>
      </w:r>
      <w:r w:rsidR="00844CD0">
        <w:t xml:space="preserve">at </w:t>
      </w:r>
      <w:r w:rsidRPr="002A4F68">
        <w:t>around 30 min is well known for basic drugs (</w:t>
      </w:r>
      <w:r w:rsidR="00D2734C">
        <w:t>for example,</w:t>
      </w:r>
      <w:r w:rsidRPr="002A4F68">
        <w:t xml:space="preserve"> amphetamine).</w:t>
      </w:r>
    </w:p>
    <w:p w:rsidR="002A4F68" w:rsidRDefault="002A4F68" w:rsidP="005C3144">
      <w:pPr>
        <w:spacing w:line="240" w:lineRule="auto"/>
      </w:pPr>
      <w:r w:rsidRPr="002A4F68">
        <w:lastRenderedPageBreak/>
        <w:t xml:space="preserve">Luo </w:t>
      </w:r>
      <w:r w:rsidRPr="00844CD0">
        <w:rPr>
          <w:i/>
        </w:rPr>
        <w:t>et al</w:t>
      </w:r>
      <w:r w:rsidR="008D6520">
        <w:t>.</w:t>
      </w:r>
      <w:r w:rsidR="002C26CA">
        <w:t>,</w:t>
      </w:r>
      <w:r w:rsidRPr="002A4F68">
        <w:t xml:space="preserve"> 1991 gave 2 volunteers 2 doses of 30</w:t>
      </w:r>
      <w:r w:rsidR="00422B5D">
        <w:t xml:space="preserve"> </w:t>
      </w:r>
      <w:r w:rsidRPr="002A4F68">
        <w:t>mg of cyclizine 6</w:t>
      </w:r>
      <w:r w:rsidR="001576DD">
        <w:t xml:space="preserve"> </w:t>
      </w:r>
      <w:r w:rsidRPr="002A4F68">
        <w:t xml:space="preserve">h apart; urine was collected for a period </w:t>
      </w:r>
      <w:r w:rsidR="00844CD0">
        <w:t>of 36 h from the first dose. 16.</w:t>
      </w:r>
      <w:r w:rsidRPr="002A4F68">
        <w:t>9% and 11</w:t>
      </w:r>
      <w:r w:rsidR="00844CD0">
        <w:t>.</w:t>
      </w:r>
      <w:r w:rsidRPr="002A4F68">
        <w:t>7% of the dose was excreted in the volunteer’s urine as N</w:t>
      </w:r>
      <w:r w:rsidRPr="002A4F68">
        <w:rPr>
          <w:vertAlign w:val="superscript"/>
        </w:rPr>
        <w:t>+</w:t>
      </w:r>
      <w:r w:rsidRPr="002A4F68">
        <w:t>glucuronide. N</w:t>
      </w:r>
      <w:r w:rsidRPr="00D13EBE">
        <w:rPr>
          <w:vertAlign w:val="superscript"/>
        </w:rPr>
        <w:t>+</w:t>
      </w:r>
      <w:r w:rsidR="00844CD0">
        <w:t>G</w:t>
      </w:r>
      <w:r w:rsidRPr="002A4F68">
        <w:t>lucuronidation also occurs at the piperazine ring of cyclizine, specifically at the N-methyl substituent.</w:t>
      </w:r>
    </w:p>
    <w:p w:rsidR="002A4F68" w:rsidRPr="002A4F68" w:rsidRDefault="008D6520" w:rsidP="005C3144">
      <w:pPr>
        <w:pStyle w:val="Heading4"/>
        <w:spacing w:line="240" w:lineRule="auto"/>
      </w:pPr>
      <w:bookmarkStart w:id="66" w:name="_Toc304266752"/>
      <w:bookmarkStart w:id="67" w:name="_Toc241374296"/>
      <w:bookmarkStart w:id="68" w:name="_Ref269982040"/>
      <w:bookmarkStart w:id="69" w:name="_Ref271018704"/>
      <w:bookmarkStart w:id="70" w:name="_Ref271018755"/>
      <w:bookmarkStart w:id="71" w:name="_Toc272414635"/>
      <w:bookmarkStart w:id="72" w:name="_Toc273018198"/>
      <w:r>
        <w:t>E</w:t>
      </w:r>
      <w:r w:rsidRPr="002A4F68">
        <w:t>valuator’s overall conclusions on pharmacokinetics</w:t>
      </w:r>
      <w:bookmarkEnd w:id="66"/>
      <w:bookmarkEnd w:id="67"/>
      <w:bookmarkEnd w:id="68"/>
      <w:bookmarkEnd w:id="69"/>
      <w:bookmarkEnd w:id="70"/>
      <w:bookmarkEnd w:id="71"/>
      <w:bookmarkEnd w:id="72"/>
    </w:p>
    <w:p w:rsidR="002A4F68" w:rsidRPr="002A4F68" w:rsidRDefault="002A4F68" w:rsidP="005C3144">
      <w:pPr>
        <w:spacing w:line="240" w:lineRule="auto"/>
      </w:pPr>
      <w:r w:rsidRPr="002A4F68">
        <w:t>The major deficiencies are:</w:t>
      </w:r>
    </w:p>
    <w:p w:rsidR="002A4F68" w:rsidRPr="002A4F68" w:rsidRDefault="002A4F68" w:rsidP="005C3144">
      <w:pPr>
        <w:pStyle w:val="ListBullet"/>
        <w:spacing w:after="120" w:line="240" w:lineRule="auto"/>
      </w:pPr>
      <w:r w:rsidRPr="002A4F68">
        <w:t xml:space="preserve">The lack of repeated dose studies or a </w:t>
      </w:r>
      <w:r w:rsidR="00844CD0">
        <w:t xml:space="preserve">pharmacokinetic </w:t>
      </w:r>
      <w:r w:rsidRPr="002A4F68">
        <w:t>model on which to base dosage recommendations.</w:t>
      </w:r>
    </w:p>
    <w:p w:rsidR="002A4F68" w:rsidRPr="002A4F68" w:rsidRDefault="002A4F68" w:rsidP="005C3144">
      <w:pPr>
        <w:pStyle w:val="ListBullet"/>
        <w:spacing w:after="120" w:line="240" w:lineRule="auto"/>
      </w:pPr>
      <w:r w:rsidRPr="002A4F68">
        <w:t>The lack of a bioequivalence study for IM dosing.</w:t>
      </w:r>
    </w:p>
    <w:p w:rsidR="002A4F68" w:rsidRPr="002A4F68" w:rsidRDefault="00DB41AD" w:rsidP="005C3144">
      <w:pPr>
        <w:spacing w:line="240" w:lineRule="auto"/>
      </w:pPr>
      <w:r>
        <w:t xml:space="preserve">In </w:t>
      </w:r>
      <w:r w:rsidR="00844CD0">
        <w:t xml:space="preserve">a </w:t>
      </w:r>
      <w:r>
        <w:t xml:space="preserve">justification for not providing </w:t>
      </w:r>
      <w:r w:rsidRPr="00DB41AD">
        <w:t>appropriate biopharmaceutic studies</w:t>
      </w:r>
      <w:r>
        <w:t xml:space="preserve"> (Module 1.11.2</w:t>
      </w:r>
      <w:r w:rsidR="00844CD0">
        <w:t xml:space="preserve"> of the dossier</w:t>
      </w:r>
      <w:r>
        <w:t>), t</w:t>
      </w:r>
      <w:r w:rsidR="002A4F68" w:rsidRPr="002A4F68">
        <w:t xml:space="preserve">he sponsor argues that: </w:t>
      </w:r>
    </w:p>
    <w:p w:rsidR="002A4F68" w:rsidRPr="00D13EBE" w:rsidRDefault="002A4F68" w:rsidP="005C3144">
      <w:pPr>
        <w:pStyle w:val="ListBullet"/>
        <w:spacing w:after="120" w:line="240" w:lineRule="auto"/>
      </w:pPr>
      <w:r w:rsidRPr="00D13EBE">
        <w:t>The known physical properties of cyclizine demonstrate that it would be highly permeable across tissue.</w:t>
      </w:r>
    </w:p>
    <w:p w:rsidR="002A4F68" w:rsidRPr="00D13EBE" w:rsidRDefault="002A4F68" w:rsidP="005C3144">
      <w:pPr>
        <w:pStyle w:val="ListBullet"/>
        <w:spacing w:after="120" w:line="240" w:lineRule="auto"/>
      </w:pPr>
      <w:r w:rsidRPr="00D13EBE">
        <w:t>Administration of the doses by the IM route would be unlikely to affect the plasma half life since the same tissue diffusion mechanisms pertain after distribution into tissue from the IV injection.</w:t>
      </w:r>
    </w:p>
    <w:p w:rsidR="002A4F68" w:rsidRPr="00D13EBE" w:rsidRDefault="002A4F68" w:rsidP="005C3144">
      <w:pPr>
        <w:pStyle w:val="ListBullet"/>
        <w:spacing w:after="120" w:line="240" w:lineRule="auto"/>
      </w:pPr>
      <w:r w:rsidRPr="00D13EBE">
        <w:t>An IM injection would likely result in lower initial plasma levels with possible incomplete suppression of symptoms prior to peak levels being reached.</w:t>
      </w:r>
    </w:p>
    <w:p w:rsidR="002A4F68" w:rsidRPr="002A4F68" w:rsidRDefault="002A4F68" w:rsidP="005C3144">
      <w:pPr>
        <w:spacing w:line="240" w:lineRule="auto"/>
      </w:pPr>
      <w:r w:rsidRPr="002A4F68">
        <w:t xml:space="preserve">Unfortunately in this section the sponsor also quotes a plasma half life of </w:t>
      </w:r>
      <w:r w:rsidR="00DB41AD">
        <w:t xml:space="preserve">approximately </w:t>
      </w:r>
      <w:r w:rsidRPr="002A4F68">
        <w:t>20</w:t>
      </w:r>
      <w:r w:rsidR="000A2AA0">
        <w:t xml:space="preserve"> </w:t>
      </w:r>
      <w:r w:rsidRPr="002A4F68">
        <w:t xml:space="preserve">h whereas Walker </w:t>
      </w:r>
      <w:r w:rsidR="00DB41AD">
        <w:t xml:space="preserve">and Kunfer, </w:t>
      </w:r>
      <w:r w:rsidR="00844CD0">
        <w:t>196</w:t>
      </w:r>
      <w:r w:rsidRPr="002A4F68">
        <w:t>6 gives a mean of 13.53</w:t>
      </w:r>
      <w:r w:rsidR="000A2AA0">
        <w:t xml:space="preserve"> </w:t>
      </w:r>
      <w:r w:rsidRPr="002A4F68">
        <w:t>h.</w:t>
      </w:r>
    </w:p>
    <w:p w:rsidR="00D13EBE" w:rsidRDefault="002A4F68" w:rsidP="005C3144">
      <w:pPr>
        <w:spacing w:line="240" w:lineRule="auto"/>
      </w:pPr>
      <w:r w:rsidRPr="002A4F68">
        <w:t xml:space="preserve">The sponsor also states in </w:t>
      </w:r>
      <w:r w:rsidR="00844CD0">
        <w:t xml:space="preserve">the justification </w:t>
      </w:r>
      <w:r w:rsidRPr="002A4F68">
        <w:t>section that:</w:t>
      </w:r>
      <w:r w:rsidR="000A2AA0">
        <w:t xml:space="preserve"> </w:t>
      </w:r>
      <w:r w:rsidR="00DB41AD" w:rsidRPr="00DB41AD">
        <w:rPr>
          <w:i/>
        </w:rPr>
        <w:t>“</w:t>
      </w:r>
      <w:r w:rsidRPr="00DB41AD">
        <w:rPr>
          <w:i/>
        </w:rPr>
        <w:t>Cyclizine has been approved across worldwide markets at single doses of 50 mg given orally, by IV or IM injection.</w:t>
      </w:r>
      <w:r w:rsidR="00DB41AD">
        <w:rPr>
          <w:i/>
        </w:rPr>
        <w:t>”</w:t>
      </w:r>
      <w:r w:rsidR="00D13EBE">
        <w:t xml:space="preserve"> </w:t>
      </w:r>
    </w:p>
    <w:p w:rsidR="00F645D7" w:rsidRDefault="00F645D7" w:rsidP="005C3144">
      <w:pPr>
        <w:pStyle w:val="Heading3"/>
        <w:spacing w:line="240" w:lineRule="auto"/>
      </w:pPr>
      <w:bookmarkStart w:id="73" w:name="_Toc247691520"/>
      <w:bookmarkStart w:id="74" w:name="_Toc196046481"/>
      <w:bookmarkStart w:id="75" w:name="_Toc350329819"/>
      <w:r>
        <w:t>Pharmacodynamics</w:t>
      </w:r>
      <w:bookmarkEnd w:id="73"/>
      <w:bookmarkEnd w:id="74"/>
      <w:bookmarkEnd w:id="75"/>
    </w:p>
    <w:p w:rsidR="000E568C" w:rsidRDefault="000E568C" w:rsidP="005C3144">
      <w:pPr>
        <w:pStyle w:val="Heading4"/>
        <w:spacing w:line="240" w:lineRule="auto"/>
      </w:pPr>
      <w:bookmarkStart w:id="76" w:name="_Toc304266758"/>
      <w:bookmarkStart w:id="77" w:name="_Toc272414642"/>
      <w:bookmarkStart w:id="78" w:name="_Toc273018205"/>
      <w:r>
        <w:t>Primary pharmacodynamic effects</w:t>
      </w:r>
      <w:bookmarkEnd w:id="76"/>
      <w:bookmarkEnd w:id="77"/>
      <w:bookmarkEnd w:id="78"/>
    </w:p>
    <w:p w:rsidR="000E568C" w:rsidRDefault="000E568C" w:rsidP="005C3144">
      <w:pPr>
        <w:pStyle w:val="Heading5"/>
        <w:spacing w:line="240" w:lineRule="auto"/>
      </w:pPr>
      <w:r>
        <w:t>Vestibular function</w:t>
      </w:r>
    </w:p>
    <w:p w:rsidR="000E568C" w:rsidRDefault="000E568C" w:rsidP="005C3144">
      <w:pPr>
        <w:spacing w:line="240" w:lineRule="auto"/>
      </w:pPr>
      <w:r>
        <w:t>Reicke</w:t>
      </w:r>
      <w:r w:rsidR="001576DD">
        <w:t xml:space="preserve"> </w:t>
      </w:r>
      <w:r w:rsidR="00844CD0">
        <w:t>(</w:t>
      </w:r>
      <w:r w:rsidR="001576DD">
        <w:t>1976</w:t>
      </w:r>
      <w:r w:rsidR="00844CD0">
        <w:t>)</w:t>
      </w:r>
      <w:r>
        <w:t xml:space="preserve"> tested the nystagmus produced by a rotation and head tilt test (Coriolis effect) to assess peripheral vestibular function and its modification by 50</w:t>
      </w:r>
      <w:r w:rsidR="000A2AA0">
        <w:t xml:space="preserve"> </w:t>
      </w:r>
      <w:r>
        <w:t xml:space="preserve">mg </w:t>
      </w:r>
      <w:r w:rsidR="00BF1088">
        <w:t>PO</w:t>
      </w:r>
      <w:r>
        <w:t xml:space="preserve"> cyclizine.</w:t>
      </w:r>
    </w:p>
    <w:p w:rsidR="000E568C" w:rsidRDefault="000E568C" w:rsidP="005C3144">
      <w:pPr>
        <w:spacing w:line="240" w:lineRule="auto"/>
      </w:pPr>
      <w:r>
        <w:t xml:space="preserve">While nausea was reduced, there was no effect on nystagmus. Reicke interpreted this as indicating a central action on the vomiting centre rather than the peripheral vestibular function. However Reike quoted Gunter </w:t>
      </w:r>
      <w:r w:rsidRPr="00844CD0">
        <w:rPr>
          <w:i/>
        </w:rPr>
        <w:t>et al</w:t>
      </w:r>
      <w:r w:rsidR="00DB41AD">
        <w:t>.</w:t>
      </w:r>
      <w:r w:rsidR="002C26CA">
        <w:t>,</w:t>
      </w:r>
      <w:r>
        <w:t xml:space="preserve"> 1954 as seeing a marked reduction on vestibular function testing with 100</w:t>
      </w:r>
      <w:r w:rsidR="000A2AA0">
        <w:t xml:space="preserve"> </w:t>
      </w:r>
      <w:r>
        <w:t>mg cyclizine, but 50</w:t>
      </w:r>
      <w:r w:rsidR="00844CD0">
        <w:t xml:space="preserve"> </w:t>
      </w:r>
      <w:r>
        <w:t>mg had variable effects.</w:t>
      </w:r>
    </w:p>
    <w:p w:rsidR="000E568C" w:rsidRDefault="000E568C" w:rsidP="005C3144">
      <w:pPr>
        <w:spacing w:line="240" w:lineRule="auto"/>
      </w:pPr>
      <w:r>
        <w:t xml:space="preserve">Gowans </w:t>
      </w:r>
      <w:r w:rsidRPr="00844CD0">
        <w:rPr>
          <w:i/>
        </w:rPr>
        <w:t>et a</w:t>
      </w:r>
      <w:r w:rsidR="00844CD0" w:rsidRPr="00844CD0">
        <w:rPr>
          <w:i/>
        </w:rPr>
        <w:t>l</w:t>
      </w:r>
      <w:r w:rsidR="00DB41AD" w:rsidRPr="00844CD0">
        <w:rPr>
          <w:i/>
        </w:rPr>
        <w:t>.</w:t>
      </w:r>
      <w:r w:rsidR="002C26CA">
        <w:rPr>
          <w:i/>
        </w:rPr>
        <w:t>,</w:t>
      </w:r>
      <w:r w:rsidR="00DB41AD">
        <w:t xml:space="preserve"> 2000 </w:t>
      </w:r>
      <w:r>
        <w:t>looked at the effects of 50</w:t>
      </w:r>
      <w:r w:rsidR="000A2AA0">
        <w:t xml:space="preserve"> </w:t>
      </w:r>
      <w:r>
        <w:t xml:space="preserve">mg of </w:t>
      </w:r>
      <w:r w:rsidR="00BF1088">
        <w:t>PO</w:t>
      </w:r>
      <w:r>
        <w:t xml:space="preserve"> cyclizine on visual-vestibular interactions in humans, and found no significant suppressive effect on postural sway and circularvection; optokinetic nystagmus initial slow phase velocity w</w:t>
      </w:r>
      <w:r w:rsidR="00DB41AD">
        <w:t>as significantly increased (p &lt; </w:t>
      </w:r>
      <w:r>
        <w:t>0.05), although optokinetic nystagmus amplitude and frequency were unaffected. Again suggesting that cyclizine 50</w:t>
      </w:r>
      <w:r w:rsidR="000A2AA0">
        <w:t xml:space="preserve"> </w:t>
      </w:r>
      <w:r>
        <w:t>mg has minimal suppressive effects on these aspects of visual-vestibular interaction.</w:t>
      </w:r>
    </w:p>
    <w:p w:rsidR="00DB41AD" w:rsidRDefault="00422B5D" w:rsidP="005C3144">
      <w:pPr>
        <w:spacing w:line="240" w:lineRule="auto"/>
      </w:pPr>
      <w:r>
        <w:t xml:space="preserve">In a paper by </w:t>
      </w:r>
      <w:r w:rsidR="000E568C">
        <w:t xml:space="preserve">Gunter </w:t>
      </w:r>
      <w:r w:rsidR="000E568C" w:rsidRPr="00844CD0">
        <w:rPr>
          <w:i/>
        </w:rPr>
        <w:t>et al</w:t>
      </w:r>
      <w:r w:rsidR="00DB41AD">
        <w:t>.</w:t>
      </w:r>
      <w:r w:rsidR="002C26CA">
        <w:t>,</w:t>
      </w:r>
      <w:r w:rsidR="000E568C">
        <w:t xml:space="preserve"> 1954 </w:t>
      </w:r>
      <w:r>
        <w:t>t</w:t>
      </w:r>
      <w:r w:rsidR="00844CD0">
        <w:t xml:space="preserve">en </w:t>
      </w:r>
      <w:r w:rsidR="000E568C">
        <w:t>patien</w:t>
      </w:r>
      <w:r w:rsidR="001576DD">
        <w:t xml:space="preserve">ts </w:t>
      </w:r>
      <w:r w:rsidR="00844CD0">
        <w:t xml:space="preserve">given </w:t>
      </w:r>
      <w:r w:rsidR="001576DD">
        <w:t>orally either 50 or 100 </w:t>
      </w:r>
      <w:r w:rsidR="000E568C">
        <w:t>mg cyclizine or 100 mg chlorcyclizine were investigated with the cold microcaloric test and galvanic stimulation of the mastoid area.</w:t>
      </w:r>
      <w:r w:rsidR="00844CD0">
        <w:t xml:space="preserve"> </w:t>
      </w:r>
      <w:r w:rsidR="002C26CA">
        <w:t>F</w:t>
      </w:r>
      <w:r w:rsidR="00DB41AD">
        <w:t xml:space="preserve">igures </w:t>
      </w:r>
      <w:r w:rsidR="002C26CA">
        <w:t xml:space="preserve">6-8 </w:t>
      </w:r>
      <w:r w:rsidR="00844CD0">
        <w:t xml:space="preserve">and Table 2 are from Gunter </w:t>
      </w:r>
      <w:r w:rsidR="00844CD0" w:rsidRPr="00844CD0">
        <w:rPr>
          <w:i/>
        </w:rPr>
        <w:t>et al.</w:t>
      </w:r>
      <w:r w:rsidR="002C26CA">
        <w:rPr>
          <w:i/>
        </w:rPr>
        <w:t>,</w:t>
      </w:r>
      <w:r w:rsidR="00DB41AD">
        <w:t xml:space="preserve"> 1954:</w:t>
      </w:r>
    </w:p>
    <w:p w:rsidR="00B174C0" w:rsidRDefault="00B174C0">
      <w:pPr>
        <w:spacing w:after="0" w:line="240" w:lineRule="auto"/>
        <w:rPr>
          <w:b/>
        </w:rPr>
      </w:pPr>
      <w:bookmarkStart w:id="79" w:name="_Toc304266842"/>
      <w:r>
        <w:br w:type="page"/>
      </w:r>
    </w:p>
    <w:p w:rsidR="000E568C" w:rsidRDefault="000E568C" w:rsidP="00E5044B">
      <w:pPr>
        <w:pStyle w:val="FigureTitle"/>
        <w:spacing w:line="240" w:lineRule="auto"/>
      </w:pPr>
      <w:r>
        <w:lastRenderedPageBreak/>
        <w:t xml:space="preserve">Figure 6. Onset of nystagmus. </w:t>
      </w:r>
      <w:bookmarkEnd w:id="79"/>
    </w:p>
    <w:p w:rsidR="000E568C" w:rsidRDefault="00DE18CA" w:rsidP="005C3144">
      <w:pPr>
        <w:spacing w:line="240" w:lineRule="auto"/>
        <w:jc w:val="center"/>
      </w:pPr>
      <w:r>
        <w:rPr>
          <w:noProof/>
          <w:lang w:eastAsia="en-AU"/>
        </w:rPr>
        <w:drawing>
          <wp:inline distT="0" distB="0" distL="0" distR="0">
            <wp:extent cx="3977763" cy="3051615"/>
            <wp:effectExtent l="19050" t="0" r="3687" b="0"/>
            <wp:docPr id="8" name="Picture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180" cy="3060374"/>
                    </a:xfrm>
                    <a:prstGeom prst="rect">
                      <a:avLst/>
                    </a:prstGeom>
                    <a:noFill/>
                    <a:ln>
                      <a:noFill/>
                    </a:ln>
                  </pic:spPr>
                </pic:pic>
              </a:graphicData>
            </a:graphic>
          </wp:inline>
        </w:drawing>
      </w:r>
    </w:p>
    <w:p w:rsidR="000E568C" w:rsidRDefault="000E568C" w:rsidP="00E5044B">
      <w:pPr>
        <w:pStyle w:val="FigureTitle"/>
        <w:spacing w:line="240" w:lineRule="auto"/>
        <w:rPr>
          <w:sz w:val="24"/>
          <w:szCs w:val="24"/>
        </w:rPr>
      </w:pPr>
      <w:bookmarkStart w:id="80" w:name="_Toc304266843"/>
      <w:r>
        <w:t xml:space="preserve">Figure 7. Duration of nystagmus. </w:t>
      </w:r>
      <w:bookmarkEnd w:id="80"/>
    </w:p>
    <w:p w:rsidR="000E568C" w:rsidRDefault="00DE18CA" w:rsidP="005C3144">
      <w:pPr>
        <w:spacing w:line="240" w:lineRule="auto"/>
        <w:jc w:val="center"/>
      </w:pPr>
      <w:r>
        <w:rPr>
          <w:noProof/>
          <w:lang w:eastAsia="en-AU"/>
        </w:rPr>
        <w:drawing>
          <wp:inline distT="0" distB="0" distL="0" distR="0">
            <wp:extent cx="3935433" cy="3132777"/>
            <wp:effectExtent l="19050" t="0" r="7917" b="0"/>
            <wp:docPr id="9" name="Picture 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551" cy="3134463"/>
                    </a:xfrm>
                    <a:prstGeom prst="rect">
                      <a:avLst/>
                    </a:prstGeom>
                    <a:noFill/>
                    <a:ln>
                      <a:noFill/>
                    </a:ln>
                  </pic:spPr>
                </pic:pic>
              </a:graphicData>
            </a:graphic>
          </wp:inline>
        </w:drawing>
      </w:r>
    </w:p>
    <w:p w:rsidR="00DB41AD" w:rsidRPr="005F4229" w:rsidRDefault="000E568C" w:rsidP="00E5044B">
      <w:pPr>
        <w:pStyle w:val="FigureTitle"/>
        <w:keepNext/>
        <w:spacing w:line="240" w:lineRule="auto"/>
      </w:pPr>
      <w:bookmarkStart w:id="81" w:name="_Toc304266844"/>
      <w:r w:rsidRPr="005F4229">
        <w:lastRenderedPageBreak/>
        <w:t>Figure 8. Ratio of time of onset to duration of nystagmus</w:t>
      </w:r>
      <w:bookmarkEnd w:id="81"/>
    </w:p>
    <w:p w:rsidR="000E568C" w:rsidRDefault="00DE18CA" w:rsidP="005C3144">
      <w:pPr>
        <w:keepNext/>
        <w:spacing w:line="240" w:lineRule="auto"/>
        <w:jc w:val="center"/>
      </w:pPr>
      <w:r>
        <w:rPr>
          <w:noProof/>
          <w:lang w:eastAsia="en-AU"/>
        </w:rPr>
        <w:drawing>
          <wp:inline distT="0" distB="0" distL="0" distR="0">
            <wp:extent cx="3789755" cy="3044487"/>
            <wp:effectExtent l="19050" t="0" r="1195" b="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792" cy="3050944"/>
                    </a:xfrm>
                    <a:prstGeom prst="rect">
                      <a:avLst/>
                    </a:prstGeom>
                    <a:noFill/>
                    <a:ln>
                      <a:noFill/>
                    </a:ln>
                  </pic:spPr>
                </pic:pic>
              </a:graphicData>
            </a:graphic>
          </wp:inline>
        </w:drawing>
      </w:r>
    </w:p>
    <w:p w:rsidR="000E568C" w:rsidRDefault="000E568C" w:rsidP="00E5044B">
      <w:pPr>
        <w:pStyle w:val="FigureTitle"/>
        <w:spacing w:line="240" w:lineRule="auto"/>
      </w:pPr>
      <w:bookmarkStart w:id="82" w:name="_Toc304266845"/>
      <w:r>
        <w:t xml:space="preserve">Table 2. </w:t>
      </w:r>
      <w:r w:rsidR="005F4229">
        <w:t>Influence</w:t>
      </w:r>
      <w:r w:rsidR="00844CD0">
        <w:t xml:space="preserve"> of c</w:t>
      </w:r>
      <w:r>
        <w:t>yclizine H</w:t>
      </w:r>
      <w:r w:rsidR="00844CD0">
        <w:t xml:space="preserve">CL </w:t>
      </w:r>
      <w:r>
        <w:t xml:space="preserve">on </w:t>
      </w:r>
      <w:r w:rsidR="00844CD0">
        <w:t>v</w:t>
      </w:r>
      <w:r>
        <w:t xml:space="preserve">estibular </w:t>
      </w:r>
      <w:r w:rsidR="00844CD0">
        <w:t>f</w:t>
      </w:r>
      <w:r>
        <w:t xml:space="preserve">unction </w:t>
      </w:r>
      <w:r w:rsidR="00844CD0">
        <w:t>m</w:t>
      </w:r>
      <w:r>
        <w:t>easured by Galvanic Stimulation Method</w:t>
      </w:r>
      <w:bookmarkEnd w:id="82"/>
    </w:p>
    <w:p w:rsidR="000E568C" w:rsidRDefault="00DE18CA" w:rsidP="005C3144">
      <w:pPr>
        <w:spacing w:line="240" w:lineRule="auto"/>
        <w:jc w:val="center"/>
      </w:pPr>
      <w:r>
        <w:rPr>
          <w:noProof/>
          <w:lang w:eastAsia="en-AU"/>
        </w:rPr>
        <w:drawing>
          <wp:inline distT="0" distB="0" distL="0" distR="0">
            <wp:extent cx="4505333" cy="1880325"/>
            <wp:effectExtent l="19050" t="0" r="9517" b="0"/>
            <wp:docPr id="11" name="Picture 11"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7332" cy="1885333"/>
                    </a:xfrm>
                    <a:prstGeom prst="rect">
                      <a:avLst/>
                    </a:prstGeom>
                    <a:noFill/>
                    <a:ln>
                      <a:noFill/>
                    </a:ln>
                  </pic:spPr>
                </pic:pic>
              </a:graphicData>
            </a:graphic>
          </wp:inline>
        </w:drawing>
      </w:r>
    </w:p>
    <w:p w:rsidR="00844CD0" w:rsidRDefault="000E568C" w:rsidP="005C3144">
      <w:pPr>
        <w:spacing w:line="240" w:lineRule="auto"/>
        <w:ind w:left="2160"/>
        <w:rPr>
          <w:sz w:val="16"/>
          <w:szCs w:val="16"/>
        </w:rPr>
      </w:pPr>
      <w:r>
        <w:rPr>
          <w:sz w:val="16"/>
          <w:szCs w:val="16"/>
        </w:rPr>
        <w:t xml:space="preserve">*"No tilt" indicates tilting could not be made to occur before the rising milliamperage </w:t>
      </w:r>
    </w:p>
    <w:p w:rsidR="00844CD0" w:rsidRDefault="000E568C" w:rsidP="005C3144">
      <w:pPr>
        <w:spacing w:line="240" w:lineRule="auto"/>
        <w:ind w:left="2160"/>
      </w:pPr>
      <w:r>
        <w:rPr>
          <w:sz w:val="16"/>
          <w:szCs w:val="16"/>
        </w:rPr>
        <w:t>exceeded the patient's local tolerance.</w:t>
      </w:r>
      <w:bookmarkStart w:id="83" w:name="_Toc272414643"/>
      <w:bookmarkStart w:id="84" w:name="_Toc273018206"/>
      <w:bookmarkStart w:id="85" w:name="_Toc304266759"/>
    </w:p>
    <w:p w:rsidR="000E568C" w:rsidRDefault="000E568C" w:rsidP="005C3144">
      <w:pPr>
        <w:pStyle w:val="Heading4"/>
        <w:spacing w:line="240" w:lineRule="auto"/>
        <w:rPr>
          <w:sz w:val="24"/>
          <w:szCs w:val="20"/>
        </w:rPr>
      </w:pPr>
      <w:r>
        <w:t>Secondary pharmacodynamic effects</w:t>
      </w:r>
      <w:bookmarkEnd w:id="83"/>
      <w:bookmarkEnd w:id="84"/>
      <w:bookmarkEnd w:id="85"/>
    </w:p>
    <w:p w:rsidR="000E568C" w:rsidRDefault="000E568C" w:rsidP="005C3144">
      <w:pPr>
        <w:pStyle w:val="Heading5"/>
        <w:spacing w:line="240" w:lineRule="auto"/>
      </w:pPr>
      <w:r>
        <w:t>Drowsiness</w:t>
      </w:r>
    </w:p>
    <w:p w:rsidR="000E568C" w:rsidRDefault="005F4229" w:rsidP="005C3144">
      <w:pPr>
        <w:spacing w:line="240" w:lineRule="auto"/>
      </w:pPr>
      <w:r>
        <w:t>Lederer and</w:t>
      </w:r>
      <w:r w:rsidR="000E568C">
        <w:t xml:space="preserve"> Putnam (1958) looked at subjectively reported drowsiness in 100 subjects after 50</w:t>
      </w:r>
      <w:r w:rsidR="005D694D">
        <w:t> </w:t>
      </w:r>
      <w:r w:rsidR="000A2AA0">
        <w:t xml:space="preserve">mg </w:t>
      </w:r>
      <w:r w:rsidR="00BF1088">
        <w:t>PO</w:t>
      </w:r>
      <w:r w:rsidR="000A2AA0">
        <w:t xml:space="preserve"> cyclizine: 14 had </w:t>
      </w:r>
      <w:r w:rsidR="009B63CB">
        <w:t>M</w:t>
      </w:r>
      <w:r w:rsidR="000E568C">
        <w:t>ild-effects that were not enough to interfere with normal class routine</w:t>
      </w:r>
      <w:r w:rsidR="000A2AA0">
        <w:t>;</w:t>
      </w:r>
      <w:r w:rsidR="000E568C">
        <w:t xml:space="preserve"> 10 had </w:t>
      </w:r>
      <w:r w:rsidR="009B63CB">
        <w:t>M</w:t>
      </w:r>
      <w:r w:rsidR="000E568C">
        <w:t>oderate-effects that were severe enough to</w:t>
      </w:r>
      <w:r w:rsidR="000A2AA0">
        <w:t xml:space="preserve"> interfere with class routine; </w:t>
      </w:r>
      <w:r w:rsidR="000E568C">
        <w:t xml:space="preserve">4 had </w:t>
      </w:r>
      <w:r w:rsidR="009B63CB">
        <w:t>S</w:t>
      </w:r>
      <w:r w:rsidR="000E568C">
        <w:t>evere-effects that interfered with class routine and social activity to the point of moderate or severe incapacitation, requiring bed rest. Placebo produced 2 mild, 5, moderate and 1 severe drowsiness reactions.</w:t>
      </w:r>
    </w:p>
    <w:p w:rsidR="000E568C" w:rsidRDefault="000E568C" w:rsidP="005C3144">
      <w:pPr>
        <w:spacing w:line="240" w:lineRule="auto"/>
      </w:pPr>
      <w:r>
        <w:t xml:space="preserve">Brand </w:t>
      </w:r>
      <w:r w:rsidRPr="009B63CB">
        <w:rPr>
          <w:i/>
        </w:rPr>
        <w:t>et al</w:t>
      </w:r>
      <w:r w:rsidR="00045801">
        <w:t>.</w:t>
      </w:r>
      <w:r w:rsidR="002C26CA">
        <w:t>,</w:t>
      </w:r>
      <w:r>
        <w:t xml:space="preserve"> </w:t>
      </w:r>
      <w:r w:rsidR="00FE53A7">
        <w:t xml:space="preserve">1968 </w:t>
      </w:r>
      <w:r>
        <w:t xml:space="preserve">looked at subjectively reported drowsiness in a motion sickness inducing situation with 58 subjects. Drowsiness </w:t>
      </w:r>
      <w:r w:rsidR="000A2AA0">
        <w:t>was dose related: placebo 54%, c</w:t>
      </w:r>
      <w:r>
        <w:t>yclizine: 15</w:t>
      </w:r>
      <w:r w:rsidR="000A2AA0">
        <w:t xml:space="preserve"> </w:t>
      </w:r>
      <w:r>
        <w:t>mg 55%, 25</w:t>
      </w:r>
      <w:r w:rsidR="000A2AA0">
        <w:t xml:space="preserve"> </w:t>
      </w:r>
      <w:r>
        <w:t>mg 66%, 40</w:t>
      </w:r>
      <w:r w:rsidR="000A2AA0">
        <w:t xml:space="preserve"> </w:t>
      </w:r>
      <w:r>
        <w:t>mg 78%, 65</w:t>
      </w:r>
      <w:r w:rsidR="000A2AA0">
        <w:t xml:space="preserve"> </w:t>
      </w:r>
      <w:r w:rsidR="00791615">
        <w:t>mg 71%</w:t>
      </w:r>
      <w:r>
        <w:t>,</w:t>
      </w:r>
      <w:r w:rsidR="00791615">
        <w:t xml:space="preserve"> </w:t>
      </w:r>
      <w:r>
        <w:t>100</w:t>
      </w:r>
      <w:r w:rsidR="000A2AA0">
        <w:t xml:space="preserve"> </w:t>
      </w:r>
      <w:r>
        <w:t xml:space="preserve">mg 79%. They also looked at the effect on mental performance and </w:t>
      </w:r>
      <w:r w:rsidRPr="001576DD">
        <w:t>noted an improvement against placebo in mental arithmetic</w:t>
      </w:r>
      <w:r w:rsidR="000A2AA0" w:rsidRPr="001576DD">
        <w:t>:</w:t>
      </w:r>
      <w:r w:rsidRPr="001576DD">
        <w:t xml:space="preserve"> </w:t>
      </w:r>
      <w:r w:rsidR="00FE53A7">
        <w:t>c</w:t>
      </w:r>
      <w:r w:rsidRPr="001576DD">
        <w:t>yclizine: 15</w:t>
      </w:r>
      <w:r w:rsidR="000A2AA0" w:rsidRPr="001576DD">
        <w:t xml:space="preserve"> </w:t>
      </w:r>
      <w:r w:rsidRPr="001576DD">
        <w:t>mg 10.8%, 25</w:t>
      </w:r>
      <w:r w:rsidR="000A2AA0" w:rsidRPr="001576DD">
        <w:t xml:space="preserve"> </w:t>
      </w:r>
      <w:r w:rsidRPr="001576DD">
        <w:t>mg 11.5%, 40</w:t>
      </w:r>
      <w:r w:rsidR="000A2AA0" w:rsidRPr="001576DD">
        <w:t xml:space="preserve"> </w:t>
      </w:r>
      <w:r w:rsidRPr="001576DD">
        <w:t>mg 7.2%, 65</w:t>
      </w:r>
      <w:r w:rsidR="000A2AA0" w:rsidRPr="001576DD">
        <w:t xml:space="preserve"> mg 14.0%</w:t>
      </w:r>
      <w:r w:rsidRPr="001576DD">
        <w:t>,</w:t>
      </w:r>
      <w:r w:rsidR="00791615">
        <w:t xml:space="preserve"> </w:t>
      </w:r>
      <w:r w:rsidRPr="001576DD">
        <w:t>100</w:t>
      </w:r>
      <w:r w:rsidR="000A2AA0" w:rsidRPr="001576DD">
        <w:t xml:space="preserve"> </w:t>
      </w:r>
      <w:r w:rsidRPr="001576DD">
        <w:t>mg 18.3%. The explanation given was that the effect on mental performance of nausea was greater than the effect of medication in those who had no nausea</w:t>
      </w:r>
      <w:r>
        <w:t xml:space="preserve"> (there were however a significant number vomiting in all groups: placebo 55%</w:t>
      </w:r>
      <w:r w:rsidR="000A2AA0">
        <w:t>,</w:t>
      </w:r>
      <w:r>
        <w:t xml:space="preserve"> </w:t>
      </w:r>
      <w:r w:rsidR="000A2AA0">
        <w:t>c</w:t>
      </w:r>
      <w:r>
        <w:rPr>
          <w:bCs/>
        </w:rPr>
        <w:t>yclizine: 15</w:t>
      </w:r>
      <w:r w:rsidR="00E4797C">
        <w:rPr>
          <w:bCs/>
        </w:rPr>
        <w:t xml:space="preserve"> </w:t>
      </w:r>
      <w:r>
        <w:rPr>
          <w:bCs/>
        </w:rPr>
        <w:t>mg 35%, 25</w:t>
      </w:r>
      <w:r w:rsidR="00E4797C">
        <w:rPr>
          <w:bCs/>
        </w:rPr>
        <w:t xml:space="preserve"> </w:t>
      </w:r>
      <w:r>
        <w:rPr>
          <w:bCs/>
        </w:rPr>
        <w:t>mg 35%, 40</w:t>
      </w:r>
      <w:r w:rsidR="00E4797C">
        <w:rPr>
          <w:bCs/>
        </w:rPr>
        <w:t xml:space="preserve"> </w:t>
      </w:r>
      <w:r w:rsidR="00791615">
        <w:rPr>
          <w:bCs/>
        </w:rPr>
        <w:t>mg 28%</w:t>
      </w:r>
      <w:r>
        <w:rPr>
          <w:bCs/>
        </w:rPr>
        <w:t>,</w:t>
      </w:r>
      <w:r w:rsidR="00791615">
        <w:rPr>
          <w:bCs/>
        </w:rPr>
        <w:t xml:space="preserve"> </w:t>
      </w:r>
      <w:r>
        <w:rPr>
          <w:bCs/>
        </w:rPr>
        <w:t>65</w:t>
      </w:r>
      <w:r w:rsidR="00E4797C">
        <w:rPr>
          <w:bCs/>
        </w:rPr>
        <w:t xml:space="preserve"> </w:t>
      </w:r>
      <w:r>
        <w:rPr>
          <w:bCs/>
        </w:rPr>
        <w:t>mg 24%, 100</w:t>
      </w:r>
      <w:r w:rsidR="00E4797C">
        <w:rPr>
          <w:bCs/>
        </w:rPr>
        <w:t xml:space="preserve"> </w:t>
      </w:r>
      <w:r w:rsidR="00FE53A7">
        <w:rPr>
          <w:bCs/>
        </w:rPr>
        <w:t xml:space="preserve">mg 21%). </w:t>
      </w:r>
      <w:r w:rsidR="00FE53A7">
        <w:rPr>
          <w:bCs/>
        </w:rPr>
        <w:lastRenderedPageBreak/>
        <w:t>Subsequent arithmet</w:t>
      </w:r>
      <w:r>
        <w:rPr>
          <w:bCs/>
        </w:rPr>
        <w:t>ic testing</w:t>
      </w:r>
      <w:r w:rsidR="00791615">
        <w:rPr>
          <w:bCs/>
        </w:rPr>
        <w:t xml:space="preserve"> (Brand </w:t>
      </w:r>
      <w:r w:rsidR="00791615" w:rsidRPr="00791615">
        <w:rPr>
          <w:bCs/>
          <w:i/>
        </w:rPr>
        <w:t>et al</w:t>
      </w:r>
      <w:r w:rsidR="00791615">
        <w:rPr>
          <w:bCs/>
        </w:rPr>
        <w:t xml:space="preserve">., 1968) </w:t>
      </w:r>
      <w:r>
        <w:rPr>
          <w:bCs/>
        </w:rPr>
        <w:t>in the absence of motion could show no drug effect with 15 or 100</w:t>
      </w:r>
      <w:r w:rsidR="00E4797C">
        <w:rPr>
          <w:bCs/>
        </w:rPr>
        <w:t xml:space="preserve"> </w:t>
      </w:r>
      <w:r>
        <w:rPr>
          <w:bCs/>
        </w:rPr>
        <w:t>mg.</w:t>
      </w:r>
    </w:p>
    <w:p w:rsidR="000E568C" w:rsidRDefault="000E568C" w:rsidP="005C3144">
      <w:pPr>
        <w:spacing w:line="240" w:lineRule="auto"/>
      </w:pPr>
      <w:r>
        <w:t xml:space="preserve">Clubley </w:t>
      </w:r>
      <w:r w:rsidRPr="00791615">
        <w:rPr>
          <w:i/>
        </w:rPr>
        <w:t>et al</w:t>
      </w:r>
      <w:r w:rsidR="00045801">
        <w:t>.</w:t>
      </w:r>
      <w:r w:rsidR="002C26CA">
        <w:t>,</w:t>
      </w:r>
      <w:r w:rsidR="00045801">
        <w:t xml:space="preserve"> 1979</w:t>
      </w:r>
      <w:r>
        <w:t xml:space="preserve"> looked at performance and vigilance with a battery of tests under laboratory conditions with 2 groups of 12 subjects taking placebo</w:t>
      </w:r>
      <w:r w:rsidR="00791615">
        <w:t xml:space="preserve"> (lactose)</w:t>
      </w:r>
      <w:r>
        <w:t xml:space="preserve">, </w:t>
      </w:r>
      <w:r w:rsidR="00791615">
        <w:t xml:space="preserve">or </w:t>
      </w:r>
      <w:r>
        <w:t>cyclizine 25 and 50</w:t>
      </w:r>
      <w:r w:rsidR="00E4797C">
        <w:t xml:space="preserve"> </w:t>
      </w:r>
      <w:r>
        <w:t xml:space="preserve">mg a week apart, or placebo, </w:t>
      </w:r>
      <w:r w:rsidR="00791615">
        <w:t xml:space="preserve">or </w:t>
      </w:r>
      <w:r>
        <w:t>cyclizine 50 and 100</w:t>
      </w:r>
      <w:r w:rsidR="00E4797C">
        <w:t xml:space="preserve"> </w:t>
      </w:r>
      <w:r>
        <w:t>mg a week apart. Values after cyclizine 25 and 50 mg did not differ from those after lactose for the nu</w:t>
      </w:r>
      <w:r w:rsidR="00E4797C">
        <w:t>mber of signals detected over 1 </w:t>
      </w:r>
      <w:r>
        <w:t xml:space="preserve">h in the auditory vigilance test, auditory reaction time tested </w:t>
      </w:r>
      <w:r w:rsidR="00E4797C">
        <w:t xml:space="preserve">over 15 min and tapping rates. </w:t>
      </w:r>
      <w:r>
        <w:t>There were no changes ascribable to treatments in arithmetic, digit symbol substitution test or digit symbol substitution test.</w:t>
      </w:r>
    </w:p>
    <w:p w:rsidR="000E568C" w:rsidRDefault="000E568C" w:rsidP="005C3144">
      <w:pPr>
        <w:spacing w:line="240" w:lineRule="auto"/>
        <w:rPr>
          <w:rFonts w:eastAsia="Times New Roman"/>
        </w:rPr>
      </w:pPr>
      <w:r>
        <w:t>In Trial group 2 cyclizine 50 or 100 mg produced no changes in auditory vigilance significantly different from those following lactose, but the number of detections was lower after cyclizine 100</w:t>
      </w:r>
      <w:r w:rsidR="00FE53A7">
        <w:t> </w:t>
      </w:r>
      <w:r>
        <w:t>mg. Mean values in reaction time were longer after cyclizin</w:t>
      </w:r>
      <w:r w:rsidR="00FE53A7">
        <w:t>e 50 and 100 mg than lactose</w:t>
      </w:r>
      <w:r w:rsidR="00791615">
        <w:t>;</w:t>
      </w:r>
      <w:r w:rsidR="00FE53A7">
        <w:t xml:space="preserve"> 5</w:t>
      </w:r>
      <w:r w:rsidR="00FE53A7">
        <w:noBreakHyphen/>
      </w:r>
      <w:r>
        <w:t>5.25 h after cyclizine 100 mg the number of sums completed was reduced compared with lactose. This was the only performance test in which cyc</w:t>
      </w:r>
      <w:r w:rsidR="00E4797C">
        <w:t>li</w:t>
      </w:r>
      <w:r>
        <w:t>zine differed significantly from lactose. The only significant subjective effect after cyclizine was increased mental sedation at 6 h after the 100 mg dose. The energy in the delta frequency band was greater 2.8 h after cyclizine 100 mg than after both lactose and cyclizine 50</w:t>
      </w:r>
      <w:r w:rsidR="00E4797C">
        <w:t xml:space="preserve"> </w:t>
      </w:r>
      <w:r>
        <w:t>mg</w:t>
      </w:r>
      <w:r w:rsidR="00791615">
        <w:t>;</w:t>
      </w:r>
      <w:r>
        <w:t xml:space="preserve"> b</w:t>
      </w:r>
      <w:r>
        <w:rPr>
          <w:rFonts w:eastAsia="Times New Roman"/>
        </w:rPr>
        <w:t>y 6.1 h the energy in the delta band was still significantly higher after cyclizine 100 mg compared with cyclizine 50 mg but not lactose. There were no differences in the alpha, beta and theta bands at 2.8</w:t>
      </w:r>
      <w:r w:rsidR="00E4797C">
        <w:rPr>
          <w:rFonts w:eastAsia="Times New Roman"/>
        </w:rPr>
        <w:t xml:space="preserve"> </w:t>
      </w:r>
      <w:r>
        <w:rPr>
          <w:rFonts w:eastAsia="Times New Roman"/>
        </w:rPr>
        <w:t>h or 6.1 h after treatment between cyclizine 50 or 100</w:t>
      </w:r>
      <w:r w:rsidR="00E4797C">
        <w:rPr>
          <w:rFonts w:eastAsia="Times New Roman"/>
        </w:rPr>
        <w:t xml:space="preserve"> </w:t>
      </w:r>
      <w:r>
        <w:rPr>
          <w:rFonts w:eastAsia="Times New Roman"/>
        </w:rPr>
        <w:t xml:space="preserve">mg and lactose. </w:t>
      </w:r>
    </w:p>
    <w:p w:rsidR="000E568C" w:rsidRDefault="000E568C" w:rsidP="005C3144">
      <w:pPr>
        <w:pStyle w:val="Heading5"/>
        <w:spacing w:line="240" w:lineRule="auto"/>
      </w:pPr>
      <w:r>
        <w:t>Haemodynamics</w:t>
      </w:r>
    </w:p>
    <w:p w:rsidR="000E568C" w:rsidRDefault="000E568C" w:rsidP="005C3144">
      <w:pPr>
        <w:spacing w:line="240" w:lineRule="auto"/>
      </w:pPr>
      <w:r>
        <w:t xml:space="preserve">Clubley </w:t>
      </w:r>
      <w:r w:rsidRPr="00791615">
        <w:rPr>
          <w:i/>
        </w:rPr>
        <w:t>et al</w:t>
      </w:r>
      <w:r w:rsidR="00045801">
        <w:t>.</w:t>
      </w:r>
      <w:r w:rsidR="002C26CA">
        <w:t>,</w:t>
      </w:r>
      <w:r w:rsidR="00045801">
        <w:t xml:space="preserve"> 1979</w:t>
      </w:r>
      <w:r>
        <w:t xml:space="preserve"> also monitored heart rate by recording classical limb lead I. There were no treatment effects on heart rate in either trial group.</w:t>
      </w:r>
    </w:p>
    <w:p w:rsidR="000E568C" w:rsidRDefault="000E568C" w:rsidP="005C3144">
      <w:pPr>
        <w:spacing w:line="240" w:lineRule="auto"/>
      </w:pPr>
      <w:r>
        <w:t>Bassett</w:t>
      </w:r>
      <w:r w:rsidR="00045801">
        <w:t xml:space="preserve"> </w:t>
      </w:r>
      <w:r w:rsidR="00045801" w:rsidRPr="00791615">
        <w:rPr>
          <w:i/>
        </w:rPr>
        <w:t>et al</w:t>
      </w:r>
      <w:r w:rsidR="00791615">
        <w:t>.</w:t>
      </w:r>
      <w:r w:rsidR="002C26CA">
        <w:t>,</w:t>
      </w:r>
      <w:r w:rsidR="00045801">
        <w:t xml:space="preserve"> 1996</w:t>
      </w:r>
      <w:r>
        <w:t xml:space="preserve"> in reviewing 80 teenage cases of abuse </w:t>
      </w:r>
      <w:r w:rsidR="00FE53A7">
        <w:t>reporting to the Utah Poisons Centre (of whom only 25% had co ingestions) found that</w:t>
      </w:r>
      <w:r>
        <w:t xml:space="preserve"> 52% had tachycardia (&gt; 115</w:t>
      </w:r>
      <w:r w:rsidR="00E4797C">
        <w:t xml:space="preserve"> </w:t>
      </w:r>
      <w:r>
        <w:t>beats/min), 69% had systolic hypertension (&gt; 135</w:t>
      </w:r>
      <w:r w:rsidR="00E4797C">
        <w:t xml:space="preserve"> </w:t>
      </w:r>
      <w:r>
        <w:t>mmHg), 15% had diastolic hypertension, and 14% had fever (&gt; 38</w:t>
      </w:r>
      <w:r w:rsidR="00FE53A7">
        <w:t>°</w:t>
      </w:r>
      <w:r>
        <w:t>C).</w:t>
      </w:r>
    </w:p>
    <w:p w:rsidR="000E568C" w:rsidRDefault="000E568C" w:rsidP="005C3144">
      <w:pPr>
        <w:pStyle w:val="Heading5"/>
        <w:spacing w:line="240" w:lineRule="auto"/>
      </w:pPr>
      <w:r>
        <w:t xml:space="preserve">Effect on lower oesophageal sphincter </w:t>
      </w:r>
    </w:p>
    <w:p w:rsidR="003E1DD8" w:rsidRDefault="000E568C" w:rsidP="005C3144">
      <w:pPr>
        <w:tabs>
          <w:tab w:val="left" w:pos="720"/>
        </w:tabs>
        <w:autoSpaceDE w:val="0"/>
        <w:autoSpaceDN w:val="0"/>
        <w:adjustRightInd w:val="0"/>
        <w:spacing w:line="240" w:lineRule="auto"/>
        <w:rPr>
          <w:sz w:val="24"/>
          <w:szCs w:val="24"/>
        </w:rPr>
      </w:pPr>
      <w:r>
        <w:t xml:space="preserve">Brocke-Utne </w:t>
      </w:r>
      <w:r w:rsidRPr="00791615">
        <w:rPr>
          <w:i/>
        </w:rPr>
        <w:t>et al</w:t>
      </w:r>
      <w:r w:rsidR="00045801">
        <w:t>.</w:t>
      </w:r>
      <w:r w:rsidR="002C26CA">
        <w:t>,</w:t>
      </w:r>
      <w:r>
        <w:t xml:space="preserve"> 1977</w:t>
      </w:r>
      <w:r w:rsidR="002C26CA">
        <w:t xml:space="preserve"> and </w:t>
      </w:r>
      <w:r>
        <w:t>1978</w:t>
      </w:r>
      <w:r w:rsidR="00045801">
        <w:t>,</w:t>
      </w:r>
      <w:r>
        <w:t xml:space="preserve"> in </w:t>
      </w:r>
      <w:r w:rsidR="00791615">
        <w:t xml:space="preserve">2 </w:t>
      </w:r>
      <w:r>
        <w:t xml:space="preserve">different journals’ reports of </w:t>
      </w:r>
      <w:r w:rsidR="00791615">
        <w:t>2</w:t>
      </w:r>
      <w:r>
        <w:t xml:space="preserve"> studies</w:t>
      </w:r>
      <w:r w:rsidR="00FE53A7">
        <w:t xml:space="preserve"> </w:t>
      </w:r>
      <w:r>
        <w:t>reported on 8 awake</w:t>
      </w:r>
      <w:r w:rsidR="00422B5D">
        <w:t xml:space="preserve"> and</w:t>
      </w:r>
      <w:r>
        <w:t xml:space="preserve"> healthy volunteers in each study receiving 25</w:t>
      </w:r>
      <w:r w:rsidR="00FE53A7">
        <w:t xml:space="preserve"> </w:t>
      </w:r>
      <w:r>
        <w:t xml:space="preserve">mg cyclizine IV. </w:t>
      </w:r>
      <w:r w:rsidR="00791615">
        <w:t xml:space="preserve">They </w:t>
      </w:r>
      <w:r>
        <w:t>showed in both studies that the basal barrier (due to sphincter) pressure increased from a basal mean pressure of 19.1</w:t>
      </w:r>
      <w:r w:rsidR="002912D5">
        <w:t xml:space="preserve"> </w:t>
      </w:r>
      <w:r>
        <w:t>cm H</w:t>
      </w:r>
      <w:r>
        <w:rPr>
          <w:vertAlign w:val="subscript"/>
        </w:rPr>
        <w:t>2</w:t>
      </w:r>
      <w:r>
        <w:t>O to 33.5 cm H</w:t>
      </w:r>
      <w:r>
        <w:rPr>
          <w:vertAlign w:val="subscript"/>
        </w:rPr>
        <w:t>2</w:t>
      </w:r>
      <w:r>
        <w:t>O (p &lt; 0.005). The results in the second (1978) study</w:t>
      </w:r>
      <w:r w:rsidR="003E1DD8">
        <w:t>,</w:t>
      </w:r>
      <w:r>
        <w:t xml:space="preserve"> for all parameters measured</w:t>
      </w:r>
      <w:r w:rsidR="003E1DD8">
        <w:t>,</w:t>
      </w:r>
      <w:r>
        <w:t xml:space="preserve"> are identical except they are reported in </w:t>
      </w:r>
      <w:r w:rsidR="00791615">
        <w:t>kilopascals (</w:t>
      </w:r>
      <w:r>
        <w:t>kPa</w:t>
      </w:r>
      <w:r w:rsidR="00791615">
        <w:t>)</w:t>
      </w:r>
      <w:r>
        <w:t>. There was no reference to them being the same subjects, indeed the 1978 study contains the statement</w:t>
      </w:r>
      <w:r w:rsidR="00E4797C">
        <w:t>:</w:t>
      </w:r>
      <w:r>
        <w:rPr>
          <w:sz w:val="20"/>
          <w:szCs w:val="20"/>
        </w:rPr>
        <w:t xml:space="preserve"> </w:t>
      </w:r>
      <w:r w:rsidR="00E4797C" w:rsidRPr="00E4797C">
        <w:rPr>
          <w:i/>
        </w:rPr>
        <w:t>“</w:t>
      </w:r>
      <w:r w:rsidRPr="00E4797C">
        <w:rPr>
          <w:i/>
        </w:rPr>
        <w:t xml:space="preserve">Both cyclizine and metoclopramide increased barrier pressure significantly, thus confirming previous reports indicating that these two drugs increase LOS </w:t>
      </w:r>
      <w:r w:rsidRPr="003E1DD8">
        <w:rPr>
          <w:i/>
        </w:rPr>
        <w:t>tone (</w:t>
      </w:r>
      <w:r w:rsidR="003E1DD8" w:rsidRPr="003E1DD8">
        <w:rPr>
          <w:i/>
        </w:rPr>
        <w:t>…</w:t>
      </w:r>
      <w:r w:rsidRPr="003E1DD8">
        <w:rPr>
          <w:i/>
        </w:rPr>
        <w:t>Brock-Utne et al., 1976</w:t>
      </w:r>
      <w:r w:rsidRPr="003E1DD8">
        <w:rPr>
          <w:rStyle w:val="FootnoteReference"/>
          <w:i/>
        </w:rPr>
        <w:footnoteReference w:id="9"/>
      </w:r>
      <w:r w:rsidRPr="003E1DD8">
        <w:rPr>
          <w:i/>
        </w:rPr>
        <w:t>; Brock-Utne</w:t>
      </w:r>
      <w:r w:rsidR="00045801" w:rsidRPr="003E1DD8">
        <w:rPr>
          <w:i/>
        </w:rPr>
        <w:t xml:space="preserve"> </w:t>
      </w:r>
      <w:r w:rsidRPr="003E1DD8">
        <w:rPr>
          <w:i/>
        </w:rPr>
        <w:t>et al., 1977)</w:t>
      </w:r>
      <w:r w:rsidR="003E1DD8" w:rsidRPr="003E1DD8">
        <w:rPr>
          <w:i/>
        </w:rPr>
        <w:t>”</w:t>
      </w:r>
      <w:r w:rsidRPr="00E4797C">
        <w:t>.</w:t>
      </w:r>
    </w:p>
    <w:p w:rsidR="00B174C0" w:rsidRDefault="00B174C0">
      <w:pPr>
        <w:spacing w:after="0" w:line="240" w:lineRule="auto"/>
        <w:rPr>
          <w:b/>
        </w:rPr>
      </w:pPr>
      <w:bookmarkStart w:id="86" w:name="_Toc304266846"/>
      <w:r>
        <w:br w:type="page"/>
      </w:r>
    </w:p>
    <w:p w:rsidR="000E568C" w:rsidRDefault="000E568C" w:rsidP="00E5044B">
      <w:pPr>
        <w:pStyle w:val="FigureTitle"/>
        <w:spacing w:line="240" w:lineRule="auto"/>
      </w:pPr>
      <w:r>
        <w:lastRenderedPageBreak/>
        <w:t>Table 3.</w:t>
      </w:r>
      <w:r w:rsidR="00DB5F5A">
        <w:t xml:space="preserve"> Gastro-oesophageal p</w:t>
      </w:r>
      <w:r>
        <w:t>ressures before and after cyclizine.</w:t>
      </w:r>
      <w:bookmarkEnd w:id="86"/>
    </w:p>
    <w:p w:rsidR="000E568C" w:rsidRDefault="00DE18CA" w:rsidP="005C3144">
      <w:pPr>
        <w:spacing w:line="240" w:lineRule="auto"/>
        <w:jc w:val="center"/>
        <w:rPr>
          <w:kern w:val="16"/>
        </w:rPr>
      </w:pPr>
      <w:r>
        <w:rPr>
          <w:noProof/>
          <w:lang w:eastAsia="en-AU"/>
        </w:rPr>
        <w:drawing>
          <wp:inline distT="0" distB="0" distL="0" distR="0">
            <wp:extent cx="2524125" cy="1694180"/>
            <wp:effectExtent l="19050" t="0" r="9525" b="0"/>
            <wp:docPr id="12" name="Picture 12"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694180"/>
                    </a:xfrm>
                    <a:prstGeom prst="rect">
                      <a:avLst/>
                    </a:prstGeom>
                    <a:noFill/>
                    <a:ln>
                      <a:noFill/>
                    </a:ln>
                  </pic:spPr>
                </pic:pic>
              </a:graphicData>
            </a:graphic>
          </wp:inline>
        </w:drawing>
      </w:r>
    </w:p>
    <w:p w:rsidR="000E568C" w:rsidRPr="003B0951" w:rsidRDefault="000E568C" w:rsidP="005C3144">
      <w:pPr>
        <w:spacing w:line="240" w:lineRule="auto"/>
        <w:ind w:left="1440" w:firstLine="720"/>
      </w:pPr>
      <w:r w:rsidRPr="003B0951">
        <w:t xml:space="preserve">Source: Figure 1 </w:t>
      </w:r>
      <w:r w:rsidR="003E1DD8">
        <w:t xml:space="preserve">from </w:t>
      </w:r>
      <w:r w:rsidRPr="003B0951">
        <w:t>Brock-Utne</w:t>
      </w:r>
      <w:r w:rsidR="003E1DD8">
        <w:t xml:space="preserve"> </w:t>
      </w:r>
      <w:r w:rsidRPr="003E1DD8">
        <w:rPr>
          <w:i/>
        </w:rPr>
        <w:t>et al</w:t>
      </w:r>
      <w:r w:rsidR="003E1DD8">
        <w:t>.</w:t>
      </w:r>
      <w:r w:rsidRPr="003B0951">
        <w:t>, 1977.</w:t>
      </w:r>
    </w:p>
    <w:p w:rsidR="000E568C" w:rsidRPr="002912D5" w:rsidRDefault="000E568C" w:rsidP="005C3144">
      <w:pPr>
        <w:pStyle w:val="Heading5"/>
        <w:spacing w:line="240" w:lineRule="auto"/>
        <w:rPr>
          <w:sz w:val="24"/>
          <w:szCs w:val="20"/>
        </w:rPr>
      </w:pPr>
      <w:bookmarkStart w:id="87" w:name="_Toc304266761"/>
      <w:bookmarkStart w:id="88" w:name="_Toc241374304"/>
      <w:bookmarkStart w:id="89" w:name="_Toc272414646"/>
      <w:bookmarkStart w:id="90" w:name="_Toc273018209"/>
      <w:r w:rsidRPr="002912D5">
        <w:t>Genetic-, gender- and age-related differences in pharmacodynamic response</w:t>
      </w:r>
      <w:bookmarkEnd w:id="87"/>
      <w:bookmarkEnd w:id="88"/>
      <w:bookmarkEnd w:id="89"/>
      <w:bookmarkEnd w:id="90"/>
    </w:p>
    <w:p w:rsidR="000E568C" w:rsidRDefault="000E568C" w:rsidP="005C3144">
      <w:pPr>
        <w:spacing w:line="240" w:lineRule="auto"/>
      </w:pPr>
      <w:r>
        <w:t>A study</w:t>
      </w:r>
      <w:r w:rsidR="00045801">
        <w:t xml:space="preserve"> by Tan </w:t>
      </w:r>
      <w:r w:rsidR="00045801" w:rsidRPr="003E1DD8">
        <w:rPr>
          <w:i/>
        </w:rPr>
        <w:t>et al</w:t>
      </w:r>
      <w:r w:rsidR="003E1DD8">
        <w:t>.</w:t>
      </w:r>
      <w:r w:rsidR="002C26CA">
        <w:t>,</w:t>
      </w:r>
      <w:r w:rsidR="003E1DD8">
        <w:t xml:space="preserve"> </w:t>
      </w:r>
      <w:r w:rsidR="00045801">
        <w:t xml:space="preserve">1988 </w:t>
      </w:r>
      <w:r>
        <w:t xml:space="preserve">in patients with severe heart failure showed deterioration in cardiovascular function and is considered in the </w:t>
      </w:r>
      <w:r w:rsidRPr="00045801">
        <w:rPr>
          <w:i/>
        </w:rPr>
        <w:t>Safety</w:t>
      </w:r>
      <w:r>
        <w:t xml:space="preserve"> section</w:t>
      </w:r>
      <w:r w:rsidR="00045801">
        <w:t xml:space="preserve"> below</w:t>
      </w:r>
      <w:r>
        <w:t xml:space="preserve">. </w:t>
      </w:r>
    </w:p>
    <w:p w:rsidR="000E568C" w:rsidRDefault="000E568C" w:rsidP="00422B5D">
      <w:pPr>
        <w:pStyle w:val="Heading4"/>
        <w:keepNext/>
        <w:spacing w:line="240" w:lineRule="auto"/>
        <w:rPr>
          <w:rFonts w:ascii="Times New Roman" w:hAnsi="Times New Roman"/>
          <w:szCs w:val="24"/>
        </w:rPr>
      </w:pPr>
      <w:bookmarkStart w:id="91" w:name="_Toc304266762"/>
      <w:bookmarkStart w:id="92" w:name="_Toc241374303"/>
      <w:bookmarkStart w:id="93" w:name="_Toc272414647"/>
      <w:bookmarkStart w:id="94" w:name="_Toc273018210"/>
      <w:r>
        <w:t>Pharmacodynamic interactions</w:t>
      </w:r>
      <w:bookmarkEnd w:id="91"/>
      <w:bookmarkEnd w:id="92"/>
      <w:bookmarkEnd w:id="93"/>
      <w:bookmarkEnd w:id="94"/>
      <w:r>
        <w:rPr>
          <w:rFonts w:ascii="Times New Roman" w:hAnsi="Times New Roman"/>
          <w:szCs w:val="24"/>
        </w:rPr>
        <w:t xml:space="preserve"> </w:t>
      </w:r>
    </w:p>
    <w:p w:rsidR="000E568C" w:rsidRPr="00E4797C" w:rsidRDefault="000E568C" w:rsidP="00422B5D">
      <w:pPr>
        <w:keepNext/>
        <w:spacing w:line="240" w:lineRule="auto"/>
      </w:pPr>
      <w:r w:rsidRPr="00E4797C">
        <w:t>Nil discussed in submission.</w:t>
      </w:r>
      <w:r w:rsidR="00E4797C">
        <w:t xml:space="preserve"> </w:t>
      </w:r>
      <w:r w:rsidRPr="00E4797C">
        <w:t xml:space="preserve">However Clubley </w:t>
      </w:r>
      <w:r w:rsidRPr="003E1DD8">
        <w:rPr>
          <w:i/>
        </w:rPr>
        <w:t>et al</w:t>
      </w:r>
      <w:r w:rsidR="00045801">
        <w:t>.</w:t>
      </w:r>
      <w:r w:rsidR="002C26CA">
        <w:t>,</w:t>
      </w:r>
      <w:r w:rsidR="00045801">
        <w:t xml:space="preserve"> 1979</w:t>
      </w:r>
      <w:r w:rsidRPr="00E4797C">
        <w:t xml:space="preserve"> included a comparison with groups on caffeine and cyclizine combinations, not relevant to the submission.</w:t>
      </w:r>
    </w:p>
    <w:p w:rsidR="000E568C" w:rsidRPr="00E4797C" w:rsidRDefault="000E568C" w:rsidP="005C3144">
      <w:pPr>
        <w:autoSpaceDE w:val="0"/>
        <w:autoSpaceDN w:val="0"/>
        <w:adjustRightInd w:val="0"/>
        <w:spacing w:line="240" w:lineRule="auto"/>
      </w:pPr>
      <w:r w:rsidRPr="00E4797C">
        <w:t xml:space="preserve">Back </w:t>
      </w:r>
      <w:r w:rsidRPr="003E1DD8">
        <w:rPr>
          <w:i/>
        </w:rPr>
        <w:t>et al</w:t>
      </w:r>
      <w:r w:rsidR="003E1DD8">
        <w:t>.</w:t>
      </w:r>
      <w:r w:rsidR="002C26CA">
        <w:t>,</w:t>
      </w:r>
      <w:r w:rsidR="00045801">
        <w:t xml:space="preserve"> 2007</w:t>
      </w:r>
      <w:r w:rsidRPr="00E4797C">
        <w:t xml:space="preserve"> s</w:t>
      </w:r>
      <w:r w:rsidR="002912D5">
        <w:t>tate</w:t>
      </w:r>
      <w:r w:rsidR="00045801">
        <w:t>:</w:t>
      </w:r>
      <w:r w:rsidRPr="00E4797C">
        <w:t xml:space="preserve"> </w:t>
      </w:r>
      <w:r w:rsidR="00E4797C" w:rsidRPr="00E4797C">
        <w:rPr>
          <w:i/>
        </w:rPr>
        <w:t>“</w:t>
      </w:r>
      <w:r w:rsidRPr="00E4797C">
        <w:rPr>
          <w:i/>
        </w:rPr>
        <w:t>There is evidence that cyclizine inhibits CYP2D6,</w:t>
      </w:r>
      <w:r w:rsidRPr="00E4797C">
        <w:rPr>
          <w:i/>
          <w:vertAlign w:val="superscript"/>
        </w:rPr>
        <w:footnoteReference w:id="10"/>
      </w:r>
      <w:r w:rsidRPr="00E4797C">
        <w:rPr>
          <w:i/>
        </w:rPr>
        <w:t xml:space="preserve"> and also that CYP2D6-inhibiting H</w:t>
      </w:r>
      <w:r w:rsidRPr="00E4797C">
        <w:rPr>
          <w:i/>
          <w:vertAlign w:val="subscript"/>
        </w:rPr>
        <w:t>1</w:t>
      </w:r>
      <w:r w:rsidRPr="00E4797C">
        <w:rPr>
          <w:i/>
        </w:rPr>
        <w:t>-antihistamines can increase the plasma concentrations of haloperidol</w:t>
      </w:r>
      <w:r w:rsidRPr="00E4797C">
        <w:rPr>
          <w:i/>
          <w:vertAlign w:val="superscript"/>
        </w:rPr>
        <w:footnoteReference w:id="11"/>
      </w:r>
      <w:r w:rsidRPr="00E4797C">
        <w:rPr>
          <w:i/>
        </w:rPr>
        <w:t xml:space="preserve"> (a CYP2D6 substrate)</w:t>
      </w:r>
      <w:r w:rsidR="00E4797C">
        <w:rPr>
          <w:i/>
        </w:rPr>
        <w:t>.”</w:t>
      </w:r>
    </w:p>
    <w:p w:rsidR="000E568C" w:rsidRPr="00E4797C" w:rsidRDefault="000E568C" w:rsidP="005C3144">
      <w:pPr>
        <w:autoSpaceDE w:val="0"/>
        <w:autoSpaceDN w:val="0"/>
        <w:adjustRightInd w:val="0"/>
        <w:spacing w:line="240" w:lineRule="auto"/>
        <w:rPr>
          <w:sz w:val="24"/>
          <w:szCs w:val="24"/>
        </w:rPr>
      </w:pPr>
      <w:r w:rsidRPr="00E4797C">
        <w:t xml:space="preserve">The addition of cyclizine to haloperidol (as in the patient described, and as is common practice) may therefore in itself </w:t>
      </w:r>
      <w:r w:rsidR="00E4797C" w:rsidRPr="00E4797C">
        <w:t xml:space="preserve">result </w:t>
      </w:r>
      <w:r w:rsidRPr="00E4797C">
        <w:t xml:space="preserve">in a higher plasma level of haloperidol, and thus an increased risk of adverse effects. </w:t>
      </w:r>
    </w:p>
    <w:p w:rsidR="000E568C" w:rsidRDefault="000E568C" w:rsidP="005C3144">
      <w:pPr>
        <w:pStyle w:val="Heading4"/>
        <w:spacing w:line="240" w:lineRule="auto"/>
      </w:pPr>
      <w:bookmarkStart w:id="95" w:name="_Toc304266763"/>
      <w:r>
        <w:t>Antanalgesic</w:t>
      </w:r>
      <w:r>
        <w:rPr>
          <w:rFonts w:ascii="Times New Roman" w:hAnsi="Times New Roman"/>
          <w:szCs w:val="24"/>
        </w:rPr>
        <w:t xml:space="preserve"> </w:t>
      </w:r>
      <w:r w:rsidR="00DB5F5A">
        <w:t>e</w:t>
      </w:r>
      <w:r>
        <w:t>ffects</w:t>
      </w:r>
      <w:bookmarkEnd w:id="95"/>
    </w:p>
    <w:p w:rsidR="000E568C" w:rsidRDefault="000E568C" w:rsidP="005C3144">
      <w:pPr>
        <w:spacing w:line="240" w:lineRule="auto"/>
      </w:pPr>
      <w:r>
        <w:t xml:space="preserve">Nicholl </w:t>
      </w:r>
      <w:r w:rsidRPr="003468B9">
        <w:rPr>
          <w:i/>
        </w:rPr>
        <w:t>et a</w:t>
      </w:r>
      <w:r w:rsidR="009100A8" w:rsidRPr="003468B9">
        <w:rPr>
          <w:i/>
        </w:rPr>
        <w:t>l</w:t>
      </w:r>
      <w:r w:rsidR="009100A8">
        <w:t>.</w:t>
      </w:r>
      <w:r w:rsidR="004974F9">
        <w:t>,</w:t>
      </w:r>
      <w:r w:rsidR="009100A8">
        <w:t xml:space="preserve"> 1962</w:t>
      </w:r>
      <w:r>
        <w:t xml:space="preserve"> compared the analgesic index</w:t>
      </w:r>
      <w:r>
        <w:rPr>
          <w:rStyle w:val="FootnoteReference"/>
        </w:rPr>
        <w:footnoteReference w:id="12"/>
      </w:r>
      <w:r>
        <w:t xml:space="preserve"> (alterations in pain threshold and response readings) before and after injections including cyclizine 50</w:t>
      </w:r>
      <w:r w:rsidR="000A2AA0">
        <w:t xml:space="preserve"> </w:t>
      </w:r>
      <w:r>
        <w:t>mg IV to 6 healthy patients. Cyclizine had considerable antanalgesic effect compared to other drugs then</w:t>
      </w:r>
      <w:r w:rsidR="002912D5">
        <w:t xml:space="preserve"> used as shown in the following.</w:t>
      </w:r>
    </w:p>
    <w:p w:rsidR="000E568C" w:rsidRDefault="000E568C" w:rsidP="005C3144">
      <w:pPr>
        <w:pStyle w:val="FigureTitle"/>
        <w:spacing w:line="240" w:lineRule="auto"/>
      </w:pPr>
      <w:bookmarkStart w:id="96" w:name="_Toc304266847"/>
      <w:r>
        <w:t>Figure 9. Average effects of the IV injection of cyclizine 50 mg (C) and trimethobenzamide 200 mg (T) on the mean of the threshold and response readings.</w:t>
      </w:r>
      <w:bookmarkEnd w:id="96"/>
      <w:r>
        <w:t xml:space="preserve"> </w:t>
      </w:r>
    </w:p>
    <w:p w:rsidR="000E568C" w:rsidRDefault="00DE18CA" w:rsidP="005C3144">
      <w:pPr>
        <w:autoSpaceDE w:val="0"/>
        <w:autoSpaceDN w:val="0"/>
        <w:adjustRightInd w:val="0"/>
        <w:spacing w:line="240" w:lineRule="auto"/>
        <w:jc w:val="center"/>
        <w:rPr>
          <w:b/>
        </w:rPr>
      </w:pPr>
      <w:r>
        <w:rPr>
          <w:b/>
          <w:noProof/>
          <w:lang w:eastAsia="en-AU"/>
        </w:rPr>
        <w:drawing>
          <wp:inline distT="0" distB="0" distL="0" distR="0">
            <wp:extent cx="2412365" cy="1739265"/>
            <wp:effectExtent l="19050" t="0" r="6985" b="0"/>
            <wp:docPr id="13" name="Picture 13"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2365" cy="1739265"/>
                    </a:xfrm>
                    <a:prstGeom prst="rect">
                      <a:avLst/>
                    </a:prstGeom>
                    <a:noFill/>
                    <a:ln>
                      <a:noFill/>
                    </a:ln>
                  </pic:spPr>
                </pic:pic>
              </a:graphicData>
            </a:graphic>
          </wp:inline>
        </w:drawing>
      </w:r>
    </w:p>
    <w:p w:rsidR="000E568C" w:rsidRPr="009100A8" w:rsidRDefault="000E568C" w:rsidP="005C3144">
      <w:pPr>
        <w:autoSpaceDE w:val="0"/>
        <w:autoSpaceDN w:val="0"/>
        <w:adjustRightInd w:val="0"/>
        <w:spacing w:line="240" w:lineRule="auto"/>
      </w:pPr>
      <w:r w:rsidRPr="009100A8">
        <w:t>Each drug was studied in six subjects</w:t>
      </w:r>
      <w:r w:rsidR="00E35433">
        <w:t>.</w:t>
      </w:r>
    </w:p>
    <w:p w:rsidR="00B174C0" w:rsidRDefault="00B174C0">
      <w:pPr>
        <w:spacing w:after="0" w:line="240" w:lineRule="auto"/>
        <w:rPr>
          <w:b/>
        </w:rPr>
      </w:pPr>
      <w:bookmarkStart w:id="97" w:name="_Toc304266848"/>
      <w:r>
        <w:br w:type="page"/>
      </w:r>
    </w:p>
    <w:p w:rsidR="000E568C" w:rsidRDefault="000E568C" w:rsidP="00E5044B">
      <w:pPr>
        <w:pStyle w:val="FigureTitle"/>
        <w:spacing w:line="240" w:lineRule="auto"/>
        <w:rPr>
          <w:sz w:val="24"/>
          <w:szCs w:val="24"/>
        </w:rPr>
      </w:pPr>
      <w:r>
        <w:lastRenderedPageBreak/>
        <w:t>Table 4. Analgesia indices of drugs studied</w:t>
      </w:r>
      <w:bookmarkEnd w:id="97"/>
    </w:p>
    <w:p w:rsidR="000E568C" w:rsidRDefault="00DE18CA" w:rsidP="005C3144">
      <w:pPr>
        <w:autoSpaceDE w:val="0"/>
        <w:autoSpaceDN w:val="0"/>
        <w:adjustRightInd w:val="0"/>
        <w:spacing w:line="240" w:lineRule="auto"/>
        <w:jc w:val="center"/>
        <w:rPr>
          <w:b/>
        </w:rPr>
      </w:pPr>
      <w:r>
        <w:rPr>
          <w:b/>
          <w:noProof/>
          <w:lang w:eastAsia="en-AU"/>
        </w:rPr>
        <w:drawing>
          <wp:inline distT="0" distB="0" distL="0" distR="0">
            <wp:extent cx="2872105" cy="1340485"/>
            <wp:effectExtent l="19050" t="0" r="4445" b="0"/>
            <wp:docPr id="14" name="Picture 14"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94"/>
                    <a:stretch>
                      <a:fillRect/>
                    </a:stretch>
                  </pic:blipFill>
                  <pic:spPr bwMode="auto">
                    <a:xfrm>
                      <a:off x="0" y="0"/>
                      <a:ext cx="2872105" cy="1340485"/>
                    </a:xfrm>
                    <a:prstGeom prst="rect">
                      <a:avLst/>
                    </a:prstGeom>
                    <a:noFill/>
                    <a:ln>
                      <a:noFill/>
                    </a:ln>
                  </pic:spPr>
                </pic:pic>
              </a:graphicData>
            </a:graphic>
          </wp:inline>
        </w:drawing>
      </w:r>
    </w:p>
    <w:p w:rsidR="000E568C" w:rsidRDefault="000E568C" w:rsidP="005C3144">
      <w:pPr>
        <w:autoSpaceDE w:val="0"/>
        <w:autoSpaceDN w:val="0"/>
        <w:adjustRightInd w:val="0"/>
        <w:spacing w:line="240" w:lineRule="auto"/>
      </w:pPr>
      <w:r>
        <w:rPr>
          <w:b/>
        </w:rPr>
        <w:t>Comment:</w:t>
      </w:r>
      <w:r>
        <w:t xml:space="preserve"> Some (but not all) of the efficacy studies submitted appear to support this</w:t>
      </w:r>
      <w:r w:rsidR="00D2734C">
        <w:t>, for example,</w:t>
      </w:r>
      <w:r>
        <w:t xml:space="preserve"> O’Brien </w:t>
      </w:r>
      <w:r w:rsidRPr="003468B9">
        <w:rPr>
          <w:i/>
        </w:rPr>
        <w:t>et al</w:t>
      </w:r>
      <w:r w:rsidR="003468B9" w:rsidRPr="003468B9">
        <w:rPr>
          <w:i/>
        </w:rPr>
        <w:t>.</w:t>
      </w:r>
      <w:r w:rsidR="004974F9">
        <w:rPr>
          <w:i/>
        </w:rPr>
        <w:t>,</w:t>
      </w:r>
      <w:r w:rsidR="009100A8">
        <w:t xml:space="preserve"> 2003</w:t>
      </w:r>
      <w:r>
        <w:t>.</w:t>
      </w:r>
    </w:p>
    <w:p w:rsidR="000E568C" w:rsidRDefault="000E568C" w:rsidP="00422B5D">
      <w:pPr>
        <w:pStyle w:val="FigureTitle"/>
        <w:keepNext/>
        <w:spacing w:line="240" w:lineRule="auto"/>
      </w:pPr>
      <w:bookmarkStart w:id="98" w:name="_Toc304266849"/>
      <w:r>
        <w:t>Table 5. Morphi</w:t>
      </w:r>
      <w:r w:rsidR="003468B9">
        <w:t>ne administration by antiemetic</w:t>
      </w:r>
      <w:r>
        <w:t xml:space="preserve"> </w:t>
      </w:r>
      <w:r w:rsidR="0067125B">
        <w:t>(</w:t>
      </w:r>
      <w:r w:rsidR="003468B9">
        <w:t>f</w:t>
      </w:r>
      <w:r w:rsidR="0067125B">
        <w:t xml:space="preserve">rom </w:t>
      </w:r>
      <w:r>
        <w:t>O’Brien</w:t>
      </w:r>
      <w:r w:rsidR="0067125B">
        <w:t xml:space="preserve"> </w:t>
      </w:r>
      <w:r w:rsidR="0067125B" w:rsidRPr="003468B9">
        <w:rPr>
          <w:i/>
        </w:rPr>
        <w:t>et al</w:t>
      </w:r>
      <w:r>
        <w:t>.</w:t>
      </w:r>
      <w:bookmarkEnd w:id="98"/>
      <w:r w:rsidR="003468B9">
        <w:t>,</w:t>
      </w:r>
      <w:r w:rsidR="0067125B">
        <w:t xml:space="preserve"> 2003)</w:t>
      </w:r>
    </w:p>
    <w:p w:rsidR="000E568C" w:rsidRDefault="00DE18CA" w:rsidP="00422B5D">
      <w:pPr>
        <w:autoSpaceDE w:val="0"/>
        <w:autoSpaceDN w:val="0"/>
        <w:adjustRightInd w:val="0"/>
        <w:spacing w:line="240" w:lineRule="auto"/>
        <w:jc w:val="center"/>
      </w:pPr>
      <w:r>
        <w:rPr>
          <w:noProof/>
          <w:lang w:eastAsia="en-AU"/>
        </w:rPr>
        <w:drawing>
          <wp:inline distT="0" distB="0" distL="0" distR="0">
            <wp:extent cx="3236595" cy="791210"/>
            <wp:effectExtent l="19050" t="0" r="1905" b="0"/>
            <wp:docPr id="15" name="Picture 15"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6595" cy="791210"/>
                    </a:xfrm>
                    <a:prstGeom prst="rect">
                      <a:avLst/>
                    </a:prstGeom>
                    <a:noFill/>
                    <a:ln>
                      <a:noFill/>
                    </a:ln>
                  </pic:spPr>
                </pic:pic>
              </a:graphicData>
            </a:graphic>
          </wp:inline>
        </w:drawing>
      </w:r>
    </w:p>
    <w:p w:rsidR="000E568C" w:rsidRDefault="000E568C" w:rsidP="00422B5D">
      <w:pPr>
        <w:pStyle w:val="Heading4"/>
        <w:keepNext/>
        <w:spacing w:line="240" w:lineRule="auto"/>
        <w:rPr>
          <w:sz w:val="24"/>
          <w:szCs w:val="20"/>
        </w:rPr>
      </w:pPr>
      <w:bookmarkStart w:id="99" w:name="_Toc274572598"/>
      <w:bookmarkStart w:id="100" w:name="_Toc304266764"/>
      <w:r>
        <w:t>Relationship between drug concentration and pharmacodynamic effects</w:t>
      </w:r>
      <w:bookmarkEnd w:id="99"/>
      <w:bookmarkEnd w:id="100"/>
    </w:p>
    <w:p w:rsidR="000E568C" w:rsidRDefault="000E568C" w:rsidP="00422B5D">
      <w:pPr>
        <w:keepNext/>
        <w:spacing w:line="240" w:lineRule="auto"/>
      </w:pPr>
      <w:r>
        <w:t xml:space="preserve">Brand </w:t>
      </w:r>
      <w:r w:rsidRPr="003468B9">
        <w:rPr>
          <w:i/>
        </w:rPr>
        <w:t>et al</w:t>
      </w:r>
      <w:r w:rsidR="003468B9">
        <w:rPr>
          <w:i/>
        </w:rPr>
        <w:t>.</w:t>
      </w:r>
      <w:r>
        <w:t xml:space="preserve"> (1967)</w:t>
      </w:r>
      <w:r w:rsidR="003468B9">
        <w:t xml:space="preserve"> showed a linear log dose-</w:t>
      </w:r>
      <w:r>
        <w:t xml:space="preserve">response curve for </w:t>
      </w:r>
      <w:r w:rsidR="00BF1088">
        <w:t>PO</w:t>
      </w:r>
      <w:r>
        <w:t xml:space="preserve"> cyclizine:</w:t>
      </w:r>
    </w:p>
    <w:p w:rsidR="000E568C" w:rsidRDefault="000E568C" w:rsidP="005C3144">
      <w:pPr>
        <w:pStyle w:val="FigureTitle"/>
        <w:spacing w:line="240" w:lineRule="auto"/>
      </w:pPr>
      <w:bookmarkStart w:id="101" w:name="_Toc304266850"/>
      <w:r>
        <w:t xml:space="preserve">Figure 10. Log. </w:t>
      </w:r>
      <w:r w:rsidR="003468B9">
        <w:t>D</w:t>
      </w:r>
      <w:r>
        <w:t>ose</w:t>
      </w:r>
      <w:r w:rsidR="003468B9">
        <w:t>-</w:t>
      </w:r>
      <w:r>
        <w:t>response curve. (-)-Hyoscine (</w:t>
      </w:r>
      <w:r>
        <w:sym w:font="Wingdings" w:char="006C"/>
      </w:r>
      <w:r>
        <w:t>) and cyclizine HC1 (X) (placebo vomiting rate, 55%).</w:t>
      </w:r>
      <w:bookmarkEnd w:id="101"/>
    </w:p>
    <w:p w:rsidR="000E568C" w:rsidRDefault="00DE18CA" w:rsidP="005C3144">
      <w:pPr>
        <w:autoSpaceDE w:val="0"/>
        <w:autoSpaceDN w:val="0"/>
        <w:adjustRightInd w:val="0"/>
        <w:spacing w:line="240" w:lineRule="auto"/>
        <w:jc w:val="center"/>
        <w:rPr>
          <w:b/>
        </w:rPr>
      </w:pPr>
      <w:r>
        <w:rPr>
          <w:b/>
          <w:noProof/>
          <w:lang w:eastAsia="en-AU"/>
        </w:rPr>
        <w:drawing>
          <wp:inline distT="0" distB="0" distL="0" distR="0">
            <wp:extent cx="3736340" cy="2244090"/>
            <wp:effectExtent l="19050" t="0" r="0" b="0"/>
            <wp:docPr id="16" name="Picture 16"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6340" cy="2244090"/>
                    </a:xfrm>
                    <a:prstGeom prst="rect">
                      <a:avLst/>
                    </a:prstGeom>
                    <a:noFill/>
                    <a:ln>
                      <a:noFill/>
                    </a:ln>
                  </pic:spPr>
                </pic:pic>
              </a:graphicData>
            </a:graphic>
          </wp:inline>
        </w:drawing>
      </w:r>
    </w:p>
    <w:p w:rsidR="000E568C" w:rsidRDefault="000E568C" w:rsidP="00422B5D">
      <w:pPr>
        <w:pStyle w:val="FigureTitle"/>
        <w:spacing w:line="240" w:lineRule="auto"/>
        <w:rPr>
          <w:sz w:val="24"/>
          <w:szCs w:val="24"/>
        </w:rPr>
      </w:pPr>
      <w:bookmarkStart w:id="102" w:name="_Toc304266851"/>
      <w:r>
        <w:t>Table 6. Response index of protection (from nausea &amp; vomiting).</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100"/>
        <w:gridCol w:w="1994"/>
      </w:tblGrid>
      <w:tr w:rsidR="000E568C" w:rsidTr="0067125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ind w:left="1200"/>
              <w:rPr>
                <w:kern w:val="16"/>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Dose (mg)</w:t>
            </w:r>
          </w:p>
        </w:tc>
        <w:tc>
          <w:tcPr>
            <w:tcW w:w="1994" w:type="dxa"/>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Response index of protection, as probit</w:t>
            </w:r>
          </w:p>
        </w:tc>
      </w:tr>
      <w:tr w:rsidR="000E568C" w:rsidTr="0067125B">
        <w:trPr>
          <w:jc w:val="center"/>
        </w:trPr>
        <w:tc>
          <w:tcPr>
            <w:tcW w:w="0" w:type="auto"/>
            <w:tcBorders>
              <w:top w:val="single" w:sz="4" w:space="0" w:color="auto"/>
              <w:left w:val="single" w:sz="4" w:space="0" w:color="auto"/>
              <w:bottom w:val="single" w:sz="4" w:space="0" w:color="auto"/>
              <w:right w:val="single" w:sz="4" w:space="0" w:color="auto"/>
            </w:tcBorders>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15</w:t>
            </w:r>
          </w:p>
        </w:tc>
        <w:tc>
          <w:tcPr>
            <w:tcW w:w="1994" w:type="dxa"/>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4.68</w:t>
            </w:r>
          </w:p>
        </w:tc>
      </w:tr>
      <w:tr w:rsidR="000E568C" w:rsidTr="0067125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25</w:t>
            </w:r>
          </w:p>
        </w:tc>
        <w:tc>
          <w:tcPr>
            <w:tcW w:w="1994" w:type="dxa"/>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4.68</w:t>
            </w:r>
          </w:p>
        </w:tc>
      </w:tr>
      <w:tr w:rsidR="000E568C" w:rsidTr="0067125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40</w:t>
            </w:r>
          </w:p>
        </w:tc>
        <w:tc>
          <w:tcPr>
            <w:tcW w:w="1994" w:type="dxa"/>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5.0</w:t>
            </w:r>
          </w:p>
        </w:tc>
      </w:tr>
      <w:tr w:rsidR="000E568C" w:rsidTr="0067125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65</w:t>
            </w:r>
          </w:p>
        </w:tc>
        <w:tc>
          <w:tcPr>
            <w:tcW w:w="1994" w:type="dxa"/>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5.16</w:t>
            </w:r>
          </w:p>
        </w:tc>
      </w:tr>
      <w:tr w:rsidR="000E568C" w:rsidTr="0067125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100</w:t>
            </w:r>
          </w:p>
        </w:tc>
        <w:tc>
          <w:tcPr>
            <w:tcW w:w="1994" w:type="dxa"/>
            <w:tcBorders>
              <w:top w:val="single" w:sz="4" w:space="0" w:color="auto"/>
              <w:left w:val="single" w:sz="4" w:space="0" w:color="auto"/>
              <w:bottom w:val="single" w:sz="4" w:space="0" w:color="auto"/>
              <w:right w:val="single" w:sz="4" w:space="0" w:color="auto"/>
            </w:tcBorders>
            <w:vAlign w:val="center"/>
            <w:hideMark/>
          </w:tcPr>
          <w:p w:rsidR="000E568C" w:rsidRDefault="000E56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5.30</w:t>
            </w:r>
          </w:p>
        </w:tc>
      </w:tr>
    </w:tbl>
    <w:p w:rsidR="000E568C" w:rsidRDefault="000E568C" w:rsidP="005C3144">
      <w:pPr>
        <w:autoSpaceDE w:val="0"/>
        <w:autoSpaceDN w:val="0"/>
        <w:adjustRightInd w:val="0"/>
        <w:spacing w:line="240" w:lineRule="auto"/>
        <w:rPr>
          <w:b/>
          <w:kern w:val="16"/>
          <w:sz w:val="16"/>
          <w:szCs w:val="16"/>
        </w:rPr>
      </w:pPr>
    </w:p>
    <w:p w:rsidR="00B174C0" w:rsidRDefault="00B174C0">
      <w:pPr>
        <w:spacing w:after="0" w:line="240" w:lineRule="auto"/>
        <w:rPr>
          <w:b/>
        </w:rPr>
      </w:pPr>
      <w:bookmarkStart w:id="103" w:name="_Toc304266765"/>
      <w:bookmarkStart w:id="104" w:name="_Ref269983272"/>
      <w:bookmarkStart w:id="105" w:name="_Toc272414648"/>
      <w:bookmarkStart w:id="106" w:name="_Toc273018211"/>
      <w:r>
        <w:br w:type="page"/>
      </w:r>
    </w:p>
    <w:p w:rsidR="000E568C" w:rsidRDefault="0067125B" w:rsidP="005C3144">
      <w:pPr>
        <w:pStyle w:val="Heading4"/>
        <w:spacing w:line="240" w:lineRule="auto"/>
        <w:rPr>
          <w:sz w:val="24"/>
          <w:szCs w:val="20"/>
        </w:rPr>
      </w:pPr>
      <w:r>
        <w:lastRenderedPageBreak/>
        <w:t>Evaluator’s overall conclusions on pharmacodynamics</w:t>
      </w:r>
      <w:bookmarkEnd w:id="103"/>
      <w:bookmarkEnd w:id="104"/>
      <w:bookmarkEnd w:id="105"/>
      <w:bookmarkEnd w:id="106"/>
    </w:p>
    <w:p w:rsidR="000E568C" w:rsidRDefault="000E568C" w:rsidP="005C3144">
      <w:pPr>
        <w:spacing w:line="240" w:lineRule="auto"/>
      </w:pPr>
      <w:r>
        <w:t>There appears to</w:t>
      </w:r>
      <w:r w:rsidR="002912D5">
        <w:t xml:space="preserve"> be a reputation for the drug</w:t>
      </w:r>
      <w:r>
        <w:t xml:space="preserve"> having </w:t>
      </w:r>
      <w:r w:rsidRPr="00750A10">
        <w:rPr>
          <w:i/>
        </w:rPr>
        <w:t>“few significant side effects”</w:t>
      </w:r>
      <w:r w:rsidRPr="00811CF8">
        <w:t xml:space="preserve"> (as O’Brien </w:t>
      </w:r>
      <w:r w:rsidRPr="00CC22E2">
        <w:rPr>
          <w:i/>
        </w:rPr>
        <w:t>et al</w:t>
      </w:r>
      <w:r w:rsidR="0067125B">
        <w:t>., 2003</w:t>
      </w:r>
      <w:r w:rsidRPr="00811CF8">
        <w:t xml:space="preserve"> put it). However many of the </w:t>
      </w:r>
      <w:r w:rsidR="002912D5">
        <w:t>adverse events (</w:t>
      </w:r>
      <w:r w:rsidRPr="00811CF8">
        <w:t>AEs</w:t>
      </w:r>
      <w:r w:rsidR="002912D5">
        <w:t>)</w:t>
      </w:r>
      <w:r w:rsidRPr="00811CF8">
        <w:t xml:space="preserve"> rep</w:t>
      </w:r>
      <w:r w:rsidR="00750A10">
        <w:t xml:space="preserve">orted relate to the actions of </w:t>
      </w:r>
      <w:r w:rsidRPr="00811CF8">
        <w:t>the dr</w:t>
      </w:r>
      <w:r>
        <w:t xml:space="preserve">ug. The relatively few </w:t>
      </w:r>
      <w:r w:rsidR="002912D5">
        <w:t>pharmacodynamic and e</w:t>
      </w:r>
      <w:r>
        <w:t xml:space="preserve">fficacy studies suggest effects on vestibular function, drowsiness, haemodynamics, lower oesophageal sphincter </w:t>
      </w:r>
      <w:r w:rsidR="002912D5">
        <w:t xml:space="preserve">and </w:t>
      </w:r>
      <w:r>
        <w:t>antanalgesic effects. The problem lies in determining to what extent the effects relate to dose, route of administration and individual sensitivity. What evidence there is showed vestibular effects only for 100</w:t>
      </w:r>
      <w:r w:rsidR="00750A10">
        <w:t xml:space="preserve"> </w:t>
      </w:r>
      <w:r>
        <w:t>mg orally</w:t>
      </w:r>
      <w:r w:rsidR="002912D5">
        <w:t>;</w:t>
      </w:r>
      <w:r>
        <w:t xml:space="preserve"> drowsiness was shown in some patients in some studies; haemodynamic effects were seen in overdose and revealed at the proposed dose IV to the detriment of patients in cardiac failure. </w:t>
      </w:r>
    </w:p>
    <w:p w:rsidR="00F645D7" w:rsidRDefault="00F645D7" w:rsidP="005C3144">
      <w:pPr>
        <w:pStyle w:val="Heading3"/>
        <w:spacing w:line="240" w:lineRule="auto"/>
      </w:pPr>
      <w:bookmarkStart w:id="107" w:name="_Toc247691521"/>
      <w:bookmarkStart w:id="108" w:name="_Toc196046485"/>
      <w:bookmarkStart w:id="109" w:name="_Toc163441372"/>
      <w:bookmarkStart w:id="110" w:name="_Toc350329820"/>
      <w:r>
        <w:t>Efficacy</w:t>
      </w:r>
      <w:bookmarkEnd w:id="107"/>
      <w:bookmarkEnd w:id="108"/>
      <w:bookmarkEnd w:id="109"/>
      <w:bookmarkEnd w:id="110"/>
    </w:p>
    <w:p w:rsidR="00750A10" w:rsidRPr="0074246C" w:rsidRDefault="00750A10" w:rsidP="005C3144">
      <w:pPr>
        <w:pStyle w:val="Heading4"/>
        <w:spacing w:line="240" w:lineRule="auto"/>
      </w:pPr>
      <w:bookmarkStart w:id="111" w:name="_Toc304266766"/>
      <w:bookmarkStart w:id="112" w:name="_Ref271214453"/>
      <w:bookmarkStart w:id="113" w:name="_Toc272414649"/>
      <w:bookmarkStart w:id="114" w:name="_Toc273018212"/>
      <w:bookmarkStart w:id="115" w:name="_Toc196046487"/>
      <w:bookmarkStart w:id="116" w:name="_Toc184444657"/>
      <w:bookmarkStart w:id="117" w:name="_Toc184440279"/>
      <w:bookmarkStart w:id="118" w:name="_Toc184439992"/>
      <w:r w:rsidRPr="0074246C">
        <w:t>D</w:t>
      </w:r>
      <w:r w:rsidR="0074246C" w:rsidRPr="0074246C">
        <w:t xml:space="preserve">osage selection for the pivotal studies </w:t>
      </w:r>
      <w:bookmarkEnd w:id="111"/>
      <w:bookmarkEnd w:id="112"/>
      <w:bookmarkEnd w:id="113"/>
      <w:bookmarkEnd w:id="114"/>
    </w:p>
    <w:p w:rsidR="00750A10" w:rsidRDefault="00750A10" w:rsidP="005C3144">
      <w:pPr>
        <w:spacing w:line="240" w:lineRule="auto"/>
      </w:pPr>
      <w:r>
        <w:t xml:space="preserve">There was no discussion of the effective dosage in the </w:t>
      </w:r>
      <w:r w:rsidR="003468B9">
        <w:t xml:space="preserve">[sponsor’s] </w:t>
      </w:r>
      <w:r w:rsidRPr="0074246C">
        <w:rPr>
          <w:i/>
        </w:rPr>
        <w:t>Clinical Summary</w:t>
      </w:r>
      <w:r>
        <w:t xml:space="preserve"> or the </w:t>
      </w:r>
      <w:r w:rsidRPr="0074246C">
        <w:rPr>
          <w:i/>
        </w:rPr>
        <w:t>Cochrane review</w:t>
      </w:r>
      <w:r w:rsidR="003468B9">
        <w:rPr>
          <w:i/>
        </w:rPr>
        <w:t xml:space="preserve"> </w:t>
      </w:r>
      <w:r w:rsidR="003468B9" w:rsidRPr="003468B9">
        <w:t>(</w:t>
      </w:r>
      <w:r w:rsidR="003468B9">
        <w:t>Carlisle J and Stevenson CA, 2006)</w:t>
      </w:r>
      <w:r w:rsidR="00746A84">
        <w:t>.</w:t>
      </w:r>
      <w:r>
        <w:t xml:space="preserve"> As already stated</w:t>
      </w:r>
      <w:r w:rsidR="00746A84">
        <w:t>,</w:t>
      </w:r>
      <w:r>
        <w:t xml:space="preserve"> deficiencies </w:t>
      </w:r>
      <w:r w:rsidR="00746A84">
        <w:t xml:space="preserve">[in the clinical data] </w:t>
      </w:r>
      <w:r>
        <w:t>are:</w:t>
      </w:r>
    </w:p>
    <w:p w:rsidR="00750A10" w:rsidRDefault="00750A10" w:rsidP="005C3144">
      <w:pPr>
        <w:pStyle w:val="ListBullet"/>
        <w:spacing w:after="120" w:line="240" w:lineRule="auto"/>
      </w:pPr>
      <w:r>
        <w:t xml:space="preserve">The lack of repeated dose studies or a </w:t>
      </w:r>
      <w:r w:rsidR="003468B9">
        <w:t xml:space="preserve">pharmacokinetic </w:t>
      </w:r>
      <w:r>
        <w:t>model on which to base dosage recommendations.</w:t>
      </w:r>
    </w:p>
    <w:p w:rsidR="00750A10" w:rsidRDefault="00750A10" w:rsidP="005C3144">
      <w:pPr>
        <w:pStyle w:val="ListBullet"/>
        <w:spacing w:after="120" w:line="240" w:lineRule="auto"/>
      </w:pPr>
      <w:r>
        <w:t>The lack of a bioequivalence study for IM dosing.</w:t>
      </w:r>
    </w:p>
    <w:p w:rsidR="006B5D5F" w:rsidRDefault="00746A84" w:rsidP="005C3144">
      <w:pPr>
        <w:spacing w:line="240" w:lineRule="auto"/>
      </w:pPr>
      <w:r>
        <w:t>As mentioned above, the sponsor</w:t>
      </w:r>
      <w:r w:rsidR="006B5D5F">
        <w:t>, in justifying the absence of a bioequivalence study,</w:t>
      </w:r>
      <w:r>
        <w:t xml:space="preserve"> quotes a plasma half lif</w:t>
      </w:r>
      <w:r w:rsidR="003468B9">
        <w:t>e of approximately</w:t>
      </w:r>
      <w:r>
        <w:t xml:space="preserve">20 h whereas </w:t>
      </w:r>
      <w:r w:rsidR="006B5D5F">
        <w:t>Walker and Kunfer, 1966 gives a mean of 13.53 h</w:t>
      </w:r>
      <w:r>
        <w:t>; and the sponsor argues that:</w:t>
      </w:r>
      <w:r w:rsidR="006B5D5F">
        <w:t xml:space="preserve"> </w:t>
      </w:r>
      <w:r w:rsidR="006B5D5F">
        <w:rPr>
          <w:i/>
        </w:rPr>
        <w:t>“Cyclizine has been approved across worldwide markets at single doses of 50 mg given orally, by IV or IM injection.”</w:t>
      </w:r>
      <w:r w:rsidR="006B5D5F">
        <w:t xml:space="preserve"> </w:t>
      </w:r>
    </w:p>
    <w:p w:rsidR="00750A10" w:rsidRPr="00746A84" w:rsidRDefault="00750A10" w:rsidP="005C3144">
      <w:pPr>
        <w:spacing w:line="240" w:lineRule="auto"/>
      </w:pPr>
      <w:r w:rsidRPr="00746A84">
        <w:t>Most trials used 50</w:t>
      </w:r>
      <w:r w:rsidR="00746A84">
        <w:t xml:space="preserve"> </w:t>
      </w:r>
      <w:r w:rsidRPr="00746A84">
        <w:t xml:space="preserve">mg </w:t>
      </w:r>
      <w:r w:rsidR="00BF1088">
        <w:t xml:space="preserve">PO </w:t>
      </w:r>
      <w:r w:rsidRPr="00746A84">
        <w:t>or parenteral. However</w:t>
      </w:r>
      <w:r w:rsidR="0067125B">
        <w:t xml:space="preserve"> c</w:t>
      </w:r>
      <w:r w:rsidRPr="00746A84">
        <w:t>yclizine in 100</w:t>
      </w:r>
      <w:r w:rsidR="00746A84">
        <w:t xml:space="preserve"> </w:t>
      </w:r>
      <w:r w:rsidRPr="00746A84">
        <w:t>mg dosage notably decreased labyrinthine sensitivity. The results with cyclizine 50 mg were inconsistent and variable</w:t>
      </w:r>
      <w:r w:rsidR="0067125B">
        <w:t xml:space="preserve"> (Gutner </w:t>
      </w:r>
      <w:r w:rsidR="0067125B" w:rsidRPr="00CC22E2">
        <w:rPr>
          <w:i/>
        </w:rPr>
        <w:t>et al</w:t>
      </w:r>
      <w:r w:rsidR="0067125B">
        <w:t>., 1954)</w:t>
      </w:r>
      <w:r w:rsidRPr="00746A84">
        <w:t>.</w:t>
      </w:r>
    </w:p>
    <w:p w:rsidR="00750A10" w:rsidRPr="00746A84" w:rsidRDefault="00750A10" w:rsidP="005C3144">
      <w:pPr>
        <w:spacing w:line="240" w:lineRule="auto"/>
      </w:pPr>
      <w:r w:rsidRPr="00746A84">
        <w:t xml:space="preserve">With regard to frequency of dose again this was not discussed, but: </w:t>
      </w:r>
      <w:r w:rsidR="0074246C" w:rsidRPr="0074246C">
        <w:rPr>
          <w:i/>
        </w:rPr>
        <w:t>“</w:t>
      </w:r>
      <w:r w:rsidRPr="0074246C">
        <w:rPr>
          <w:i/>
        </w:rPr>
        <w:t>Current utilization of oral cyclizine and its associated dosage recommendations (4-6 hourly) are apparently based on a much shorter half-life, implying that chronic use may result in accumulation of the drug based on the terminal elimination half-life of approximately 13 h established in this study</w:t>
      </w:r>
      <w:r w:rsidR="0074246C" w:rsidRPr="0074246C">
        <w:rPr>
          <w:i/>
        </w:rPr>
        <w:t>”</w:t>
      </w:r>
      <w:r w:rsidR="00463320">
        <w:t xml:space="preserve"> (</w:t>
      </w:r>
      <w:r w:rsidR="0067125B">
        <w:t>Walker and Kanfer</w:t>
      </w:r>
      <w:r w:rsidR="006B5D5F">
        <w:t>,</w:t>
      </w:r>
      <w:r w:rsidR="0067125B">
        <w:t xml:space="preserve"> 1996)</w:t>
      </w:r>
      <w:r w:rsidR="006B5D5F">
        <w:t>.</w:t>
      </w:r>
      <w:r w:rsidRPr="00746A84">
        <w:t xml:space="preserve"> </w:t>
      </w:r>
    </w:p>
    <w:p w:rsidR="00750A10" w:rsidRDefault="00750A10" w:rsidP="005C3144">
      <w:pPr>
        <w:spacing w:line="240" w:lineRule="auto"/>
      </w:pPr>
      <w:r>
        <w:rPr>
          <w:b/>
        </w:rPr>
        <w:t xml:space="preserve">Comment: </w:t>
      </w:r>
      <w:r>
        <w:t>The evaluator’s experience of the drug used post middle ear surgery (</w:t>
      </w:r>
      <w:r w:rsidR="00D2734C">
        <w:t>for example,</w:t>
      </w:r>
      <w:r>
        <w:t xml:space="preserve"> stapedectomy) was 100</w:t>
      </w:r>
      <w:r w:rsidR="00746A84">
        <w:t xml:space="preserve"> </w:t>
      </w:r>
      <w:r>
        <w:t>mg IM 8</w:t>
      </w:r>
      <w:r w:rsidR="00746A84">
        <w:t xml:space="preserve"> </w:t>
      </w:r>
      <w:r>
        <w:t>h</w:t>
      </w:r>
      <w:r w:rsidR="00746A84">
        <w:t>ourly</w:t>
      </w:r>
      <w:r>
        <w:t>, but for not more than 24</w:t>
      </w:r>
      <w:r w:rsidR="00746A84">
        <w:t xml:space="preserve"> </w:t>
      </w:r>
      <w:r>
        <w:t xml:space="preserve">h. </w:t>
      </w:r>
      <w:r w:rsidR="00746A84">
        <w:t>When u</w:t>
      </w:r>
      <w:r>
        <w:t>sed beyond this duration on a continuing 8</w:t>
      </w:r>
      <w:r w:rsidR="00746A84">
        <w:t xml:space="preserve"> hourly </w:t>
      </w:r>
      <w:r>
        <w:t>basis</w:t>
      </w:r>
      <w:r w:rsidR="00746A84">
        <w:t>,</w:t>
      </w:r>
      <w:r>
        <w:t xml:space="preserve"> CNS (extrapyramidal) effects tended to occur.</w:t>
      </w:r>
      <w:r w:rsidR="00463320">
        <w:t xml:space="preserve"> </w:t>
      </w:r>
      <w:r>
        <w:t>It is clear from the studies that 50</w:t>
      </w:r>
      <w:r w:rsidR="00746A84">
        <w:t xml:space="preserve"> </w:t>
      </w:r>
      <w:r>
        <w:t xml:space="preserve">mg </w:t>
      </w:r>
      <w:r w:rsidR="00BF1088">
        <w:t>PO</w:t>
      </w:r>
      <w:r>
        <w:t>, IM or IV are considered appropriate doses</w:t>
      </w:r>
      <w:r w:rsidR="00463320">
        <w:t>:</w:t>
      </w:r>
      <w:r>
        <w:t xml:space="preserve"> Brand </w:t>
      </w:r>
      <w:r w:rsidRPr="006B5D5F">
        <w:rPr>
          <w:i/>
        </w:rPr>
        <w:t>et al</w:t>
      </w:r>
      <w:r w:rsidR="00463320" w:rsidRPr="006B5D5F">
        <w:rPr>
          <w:i/>
        </w:rPr>
        <w:t>.</w:t>
      </w:r>
      <w:r>
        <w:t xml:space="preserve"> </w:t>
      </w:r>
      <w:r w:rsidR="006B5D5F">
        <w:t>(</w:t>
      </w:r>
      <w:r w:rsidR="00463320">
        <w:t>1967</w:t>
      </w:r>
      <w:r w:rsidR="006B5D5F">
        <w:t>)</w:t>
      </w:r>
      <w:r>
        <w:t xml:space="preserve"> used 15-100</w:t>
      </w:r>
      <w:r w:rsidR="00746A84">
        <w:t xml:space="preserve"> </w:t>
      </w:r>
      <w:r>
        <w:t xml:space="preserve">mg </w:t>
      </w:r>
      <w:r w:rsidR="00463320">
        <w:t>PO</w:t>
      </w:r>
      <w:r>
        <w:t xml:space="preserve">, Lederer </w:t>
      </w:r>
      <w:r w:rsidR="00463320">
        <w:t xml:space="preserve">and Putnam </w:t>
      </w:r>
      <w:r w:rsidR="006B5D5F">
        <w:t>(</w:t>
      </w:r>
      <w:r>
        <w:t>1958</w:t>
      </w:r>
      <w:r w:rsidR="006B5D5F">
        <w:t>)</w:t>
      </w:r>
      <w:r>
        <w:t xml:space="preserve"> used 50</w:t>
      </w:r>
      <w:r w:rsidR="00746A84">
        <w:t xml:space="preserve"> </w:t>
      </w:r>
      <w:r>
        <w:t xml:space="preserve">mg </w:t>
      </w:r>
      <w:r w:rsidR="00463320">
        <w:t>PO</w:t>
      </w:r>
      <w:r>
        <w:t xml:space="preserve">, Gunter </w:t>
      </w:r>
      <w:r w:rsidRPr="006B5D5F">
        <w:rPr>
          <w:i/>
        </w:rPr>
        <w:t>et al</w:t>
      </w:r>
      <w:r w:rsidR="00463320">
        <w:t>.</w:t>
      </w:r>
      <w:r>
        <w:t xml:space="preserve"> </w:t>
      </w:r>
      <w:r w:rsidR="006B5D5F">
        <w:t>(</w:t>
      </w:r>
      <w:r>
        <w:t>1954</w:t>
      </w:r>
      <w:r w:rsidR="006B5D5F">
        <w:t>)</w:t>
      </w:r>
      <w:r>
        <w:t>, looking at the effect on nystagmus (inner ear) found 50</w:t>
      </w:r>
      <w:r w:rsidR="00746A84">
        <w:t xml:space="preserve"> </w:t>
      </w:r>
      <w:r>
        <w:t>mg ineffective compared with 100</w:t>
      </w:r>
      <w:r w:rsidR="00746A84">
        <w:t xml:space="preserve"> </w:t>
      </w:r>
      <w:r>
        <w:t xml:space="preserve">mg </w:t>
      </w:r>
      <w:r w:rsidR="00463320">
        <w:t>PO</w:t>
      </w:r>
      <w:r>
        <w:t xml:space="preserve">, Nicholl </w:t>
      </w:r>
      <w:r w:rsidRPr="006B5D5F">
        <w:rPr>
          <w:i/>
        </w:rPr>
        <w:t>et al</w:t>
      </w:r>
      <w:r w:rsidR="00463320">
        <w:t xml:space="preserve">. </w:t>
      </w:r>
      <w:r w:rsidR="006B5D5F">
        <w:t>(</w:t>
      </w:r>
      <w:r w:rsidR="00463320">
        <w:t>1962</w:t>
      </w:r>
      <w:r w:rsidR="006B5D5F">
        <w:t>)</w:t>
      </w:r>
      <w:r>
        <w:t xml:space="preserve"> used 50</w:t>
      </w:r>
      <w:r w:rsidR="00463320">
        <w:t xml:space="preserve"> </w:t>
      </w:r>
      <w:r>
        <w:t>mg IV.</w:t>
      </w:r>
    </w:p>
    <w:p w:rsidR="00750A10" w:rsidRPr="00C557BF" w:rsidRDefault="00750A10" w:rsidP="005C3144">
      <w:pPr>
        <w:autoSpaceDE w:val="0"/>
        <w:autoSpaceDN w:val="0"/>
        <w:adjustRightInd w:val="0"/>
        <w:spacing w:line="240" w:lineRule="auto"/>
      </w:pPr>
      <w:r>
        <w:t xml:space="preserve">All the efficacy studies on post operative and opiate induced </w:t>
      </w:r>
      <w:r w:rsidR="00746A84">
        <w:t xml:space="preserve">nausea and vomiting </w:t>
      </w:r>
      <w:r>
        <w:t>used 50</w:t>
      </w:r>
      <w:r w:rsidR="00746A84">
        <w:t xml:space="preserve"> </w:t>
      </w:r>
      <w:r>
        <w:t>mg IM or IV.</w:t>
      </w:r>
      <w:r>
        <w:rPr>
          <w:rFonts w:ascii="Arial" w:hAnsi="Arial"/>
        </w:rPr>
        <w:t xml:space="preserve"> </w:t>
      </w:r>
      <w:r>
        <w:t xml:space="preserve">Brocke-Utne </w:t>
      </w:r>
      <w:r w:rsidRPr="006B5D5F">
        <w:rPr>
          <w:i/>
        </w:rPr>
        <w:t>e</w:t>
      </w:r>
      <w:r w:rsidR="00463320" w:rsidRPr="006B5D5F">
        <w:rPr>
          <w:i/>
        </w:rPr>
        <w:t>t al.</w:t>
      </w:r>
      <w:r w:rsidR="00463320">
        <w:t xml:space="preserve"> (1977, </w:t>
      </w:r>
      <w:r>
        <w:t>1978) however showed 25</w:t>
      </w:r>
      <w:r w:rsidR="00746A84">
        <w:t xml:space="preserve"> </w:t>
      </w:r>
      <w:r>
        <w:t xml:space="preserve">mg IV was effective on the </w:t>
      </w:r>
      <w:r w:rsidR="00C557BF" w:rsidRPr="00C557BF">
        <w:t>lower oesophageal sphincter</w:t>
      </w:r>
      <w:r w:rsidR="00C557BF">
        <w:t xml:space="preserve"> </w:t>
      </w:r>
      <w:r>
        <w:t>pressure.</w:t>
      </w:r>
    </w:p>
    <w:p w:rsidR="00750A10" w:rsidRPr="00463320" w:rsidRDefault="00746A84" w:rsidP="005C3144">
      <w:pPr>
        <w:pStyle w:val="Heading4"/>
        <w:spacing w:line="240" w:lineRule="auto"/>
      </w:pPr>
      <w:bookmarkStart w:id="119" w:name="_Toc304266768"/>
      <w:r w:rsidRPr="00463320">
        <w:t>N</w:t>
      </w:r>
      <w:r w:rsidR="00750A10" w:rsidRPr="00463320">
        <w:t>ausea and vomiting caused by general anaesthetics in the post-operative period</w:t>
      </w:r>
      <w:bookmarkEnd w:id="119"/>
      <w:r w:rsidR="00750A10" w:rsidRPr="00463320">
        <w:t xml:space="preserve"> </w:t>
      </w:r>
    </w:p>
    <w:p w:rsidR="00750A10" w:rsidRDefault="00750A10" w:rsidP="005C3144">
      <w:pPr>
        <w:spacing w:line="240" w:lineRule="auto"/>
      </w:pPr>
      <w:r>
        <w:t xml:space="preserve">The evaluator agrees with the sponsor that anaesthetic techniques have changed considerably over time. Regional anaesthesia was often accompanied by some supplementation. While this may have been </w:t>
      </w:r>
      <w:r w:rsidR="008243E7">
        <w:t>general anaesthesia</w:t>
      </w:r>
      <w:r w:rsidR="00C557BF">
        <w:t xml:space="preserve"> (GA)</w:t>
      </w:r>
      <w:r w:rsidR="008243E7">
        <w:t xml:space="preserve"> </w:t>
      </w:r>
      <w:r>
        <w:t>(usually for intra-abdominal procedures), the alternative was heavy sedation that usually included a phenothiazine and an opiate.</w:t>
      </w:r>
    </w:p>
    <w:p w:rsidR="00750A10" w:rsidRDefault="00750A10" w:rsidP="005C3144">
      <w:pPr>
        <w:spacing w:line="240" w:lineRule="auto"/>
      </w:pPr>
      <w:r>
        <w:t xml:space="preserve">Bonica </w:t>
      </w:r>
      <w:r w:rsidRPr="006B5D5F">
        <w:rPr>
          <w:i/>
        </w:rPr>
        <w:t>et al</w:t>
      </w:r>
      <w:r w:rsidR="006B5D5F" w:rsidRPr="006B5D5F">
        <w:rPr>
          <w:i/>
        </w:rPr>
        <w:t>.</w:t>
      </w:r>
      <w:r>
        <w:t xml:space="preserve"> </w:t>
      </w:r>
      <w:r w:rsidR="006B5D5F">
        <w:t>(</w:t>
      </w:r>
      <w:r>
        <w:t>1958</w:t>
      </w:r>
      <w:r w:rsidR="006B5D5F">
        <w:t xml:space="preserve">) </w:t>
      </w:r>
      <w:r>
        <w:t>show</w:t>
      </w:r>
      <w:r w:rsidR="00C557BF">
        <w:t>ed</w:t>
      </w:r>
      <w:r>
        <w:t xml:space="preserve"> the considerable variation in incidence of nausea and vomiting with different anaesthetic techniques as well as different surgical sites. This needs to be considered when reviewing study results.</w:t>
      </w:r>
    </w:p>
    <w:p w:rsidR="00750A10" w:rsidRPr="00463320" w:rsidRDefault="00750A10" w:rsidP="005C3144">
      <w:pPr>
        <w:pStyle w:val="FigureTitle"/>
        <w:keepNext/>
        <w:spacing w:line="240" w:lineRule="auto"/>
      </w:pPr>
      <w:bookmarkStart w:id="120" w:name="_Toc304266852"/>
      <w:r>
        <w:lastRenderedPageBreak/>
        <w:t xml:space="preserve">Table 7. Incidence of </w:t>
      </w:r>
      <w:r w:rsidR="006B5D5F">
        <w:t>nausea and</w:t>
      </w:r>
      <w:r>
        <w:t xml:space="preserve"> </w:t>
      </w:r>
      <w:r w:rsidR="006B5D5F">
        <w:t>v</w:t>
      </w:r>
      <w:r>
        <w:t xml:space="preserve">omiting </w:t>
      </w:r>
      <w:r w:rsidR="006B5D5F">
        <w:t xml:space="preserve">[with] </w:t>
      </w:r>
      <w:r w:rsidR="00463320">
        <w:t xml:space="preserve">general versus local anaesthesia </w:t>
      </w:r>
      <w:bookmarkEnd w:id="120"/>
      <w:r w:rsidR="00463320" w:rsidRPr="00463320">
        <w:t xml:space="preserve">(Table 3 in Bonica </w:t>
      </w:r>
      <w:r w:rsidR="00463320" w:rsidRPr="006B5D5F">
        <w:rPr>
          <w:i/>
        </w:rPr>
        <w:t>et al</w:t>
      </w:r>
      <w:r w:rsidR="00463320" w:rsidRPr="00463320">
        <w:t>., 1958)</w:t>
      </w:r>
    </w:p>
    <w:p w:rsidR="00750A10" w:rsidRDefault="00DE18CA" w:rsidP="005C3144">
      <w:pPr>
        <w:keepNext/>
        <w:spacing w:line="240" w:lineRule="auto"/>
      </w:pPr>
      <w:r>
        <w:rPr>
          <w:noProof/>
          <w:lang w:eastAsia="en-AU"/>
        </w:rPr>
        <w:drawing>
          <wp:inline distT="0" distB="0" distL="0" distR="0">
            <wp:extent cx="4645025" cy="2760345"/>
            <wp:effectExtent l="19050" t="0" r="3175" b="0"/>
            <wp:docPr id="17" name="Picture 17"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17" r="1845" b="3386"/>
                    <a:stretch>
                      <a:fillRect/>
                    </a:stretch>
                  </pic:blipFill>
                  <pic:spPr bwMode="auto">
                    <a:xfrm>
                      <a:off x="0" y="0"/>
                      <a:ext cx="4645025" cy="2760345"/>
                    </a:xfrm>
                    <a:prstGeom prst="rect">
                      <a:avLst/>
                    </a:prstGeom>
                    <a:noFill/>
                    <a:ln>
                      <a:noFill/>
                    </a:ln>
                  </pic:spPr>
                </pic:pic>
              </a:graphicData>
            </a:graphic>
          </wp:inline>
        </w:drawing>
      </w:r>
    </w:p>
    <w:p w:rsidR="00463320" w:rsidRPr="00463320" w:rsidRDefault="006B5D5F" w:rsidP="003E58CF">
      <w:pPr>
        <w:pStyle w:val="FigureTitle"/>
        <w:keepNext/>
        <w:spacing w:line="240" w:lineRule="auto"/>
      </w:pPr>
      <w:bookmarkStart w:id="121" w:name="_Toc304266853"/>
      <w:r>
        <w:t>Table 8. Relationship of o</w:t>
      </w:r>
      <w:r w:rsidR="00750A10">
        <w:t xml:space="preserve">peration </w:t>
      </w:r>
      <w:r>
        <w:t>s</w:t>
      </w:r>
      <w:r w:rsidR="00750A10">
        <w:t xml:space="preserve">ite to </w:t>
      </w:r>
      <w:r>
        <w:t>n</w:t>
      </w:r>
      <w:r w:rsidR="00750A10">
        <w:t xml:space="preserve">ausea </w:t>
      </w:r>
      <w:r>
        <w:t>and v</w:t>
      </w:r>
      <w:r w:rsidR="00750A10">
        <w:t>omiting.</w:t>
      </w:r>
      <w:bookmarkEnd w:id="121"/>
      <w:r w:rsidR="00463320">
        <w:t xml:space="preserve"> </w:t>
      </w:r>
      <w:r w:rsidR="00463320" w:rsidRPr="00463320">
        <w:t xml:space="preserve">(Table </w:t>
      </w:r>
      <w:r w:rsidR="00463320">
        <w:t>4</w:t>
      </w:r>
      <w:r w:rsidR="00463320" w:rsidRPr="00463320">
        <w:t xml:space="preserve"> in Bonica </w:t>
      </w:r>
      <w:r w:rsidR="00463320" w:rsidRPr="006B5D5F">
        <w:rPr>
          <w:i/>
        </w:rPr>
        <w:t>et al</w:t>
      </w:r>
      <w:r w:rsidR="00463320" w:rsidRPr="00463320">
        <w:t>., 1958)</w:t>
      </w:r>
    </w:p>
    <w:p w:rsidR="00750A10" w:rsidRDefault="00DE18CA" w:rsidP="003E58CF">
      <w:pPr>
        <w:keepNext/>
        <w:spacing w:line="240" w:lineRule="auto"/>
      </w:pPr>
      <w:r>
        <w:rPr>
          <w:noProof/>
          <w:lang w:eastAsia="en-AU"/>
        </w:rPr>
        <w:drawing>
          <wp:inline distT="0" distB="0" distL="0" distR="0">
            <wp:extent cx="5189220" cy="2630805"/>
            <wp:effectExtent l="19050" t="0" r="0" b="0"/>
            <wp:docPr id="18" name="Picture 18"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54"/>
                    <a:stretch>
                      <a:fillRect/>
                    </a:stretch>
                  </pic:blipFill>
                  <pic:spPr bwMode="auto">
                    <a:xfrm>
                      <a:off x="0" y="0"/>
                      <a:ext cx="5189220" cy="2630805"/>
                    </a:xfrm>
                    <a:prstGeom prst="rect">
                      <a:avLst/>
                    </a:prstGeom>
                    <a:noFill/>
                    <a:ln>
                      <a:noFill/>
                    </a:ln>
                  </pic:spPr>
                </pic:pic>
              </a:graphicData>
            </a:graphic>
          </wp:inline>
        </w:drawing>
      </w:r>
    </w:p>
    <w:p w:rsidR="00E35433" w:rsidRDefault="00750A10" w:rsidP="005C3144">
      <w:pPr>
        <w:spacing w:line="240" w:lineRule="auto"/>
      </w:pPr>
      <w:r>
        <w:t xml:space="preserve">Le </w:t>
      </w:r>
      <w:r w:rsidR="009828DF">
        <w:t xml:space="preserve">and </w:t>
      </w:r>
      <w:r>
        <w:t>Gan</w:t>
      </w:r>
      <w:r w:rsidR="009828DF">
        <w:t xml:space="preserve"> </w:t>
      </w:r>
      <w:r w:rsidR="006B5D5F">
        <w:t>(</w:t>
      </w:r>
      <w:r w:rsidR="009828DF">
        <w:t>2010</w:t>
      </w:r>
      <w:r w:rsidR="006B5D5F">
        <w:t xml:space="preserve">) </w:t>
      </w:r>
      <w:r w:rsidR="008243E7">
        <w:t xml:space="preserve">refer to the </w:t>
      </w:r>
      <w:r w:rsidR="009828DF">
        <w:t xml:space="preserve">[Apfel] </w:t>
      </w:r>
      <w:r w:rsidR="008243E7">
        <w:t>scoring system of four</w:t>
      </w:r>
      <w:r>
        <w:t xml:space="preserve"> highly predictive risk factors for </w:t>
      </w:r>
      <w:r w:rsidR="005444EF" w:rsidRPr="00B27E69">
        <w:rPr>
          <w:rFonts w:cs="Calibri"/>
        </w:rPr>
        <w:t>post-operati</w:t>
      </w:r>
      <w:r w:rsidR="005444EF">
        <w:rPr>
          <w:rFonts w:cs="Calibri"/>
        </w:rPr>
        <w:t>ve nausea and vomiting (</w:t>
      </w:r>
      <w:r>
        <w:t>PONV</w:t>
      </w:r>
      <w:r w:rsidR="006B5D5F">
        <w:t>)</w:t>
      </w:r>
      <w:r>
        <w:t>: female gender, history of motion sickness or PONV, non</w:t>
      </w:r>
      <w:r w:rsidR="00422B5D">
        <w:t xml:space="preserve"> </w:t>
      </w:r>
      <w:r>
        <w:t>smoker, and use of perioperative opioids. The presence of 0, 1, 2, 3, or 4 of these factors corresponded</w:t>
      </w:r>
      <w:r w:rsidR="008243E7">
        <w:t xml:space="preserve"> to a PONV incidence of 10%, 21%, 39%, 61</w:t>
      </w:r>
      <w:r>
        <w:t>%, and 79%, respectively. However, while higher Apfel scores correlate to a greater incidence o</w:t>
      </w:r>
      <w:r w:rsidR="008243E7">
        <w:t>f PONV symptoms in the early (0</w:t>
      </w:r>
      <w:r w:rsidR="008243E7">
        <w:noBreakHyphen/>
      </w:r>
      <w:r>
        <w:t>24 h) postoperative period, it appears to have little predictive value for emetic sym</w:t>
      </w:r>
      <w:r w:rsidR="008243E7">
        <w:t>ptoms occurring in the late (24</w:t>
      </w:r>
      <w:r w:rsidR="008243E7">
        <w:noBreakHyphen/>
      </w:r>
      <w:r w:rsidR="006B5D5F">
        <w:t>72 h) postoperative</w:t>
      </w:r>
      <w:r>
        <w:t>/post</w:t>
      </w:r>
      <w:r w:rsidR="00422B5D">
        <w:t xml:space="preserve"> </w:t>
      </w:r>
      <w:r>
        <w:t xml:space="preserve">discharge period. Sinclair </w:t>
      </w:r>
      <w:r w:rsidRPr="006B5D5F">
        <w:rPr>
          <w:i/>
        </w:rPr>
        <w:t>et al</w:t>
      </w:r>
      <w:r w:rsidR="00674106">
        <w:rPr>
          <w:i/>
        </w:rPr>
        <w:t>.</w:t>
      </w:r>
      <w:r>
        <w:t xml:space="preserve"> </w:t>
      </w:r>
      <w:r w:rsidR="00674106">
        <w:t xml:space="preserve">1999 </w:t>
      </w:r>
      <w:r>
        <w:t>(taking in 3</w:t>
      </w:r>
      <w:r w:rsidR="008243E7">
        <w:t xml:space="preserve"> </w:t>
      </w:r>
      <w:r>
        <w:t>y</w:t>
      </w:r>
      <w:r w:rsidR="00674106">
        <w:t>ear</w:t>
      </w:r>
      <w:r>
        <w:t xml:space="preserve"> and 17,000 patients) added to these 4 factors</w:t>
      </w:r>
      <w:r w:rsidR="00422B5D">
        <w:t>;</w:t>
      </w:r>
      <w:r w:rsidR="00674106">
        <w:t xml:space="preserve"> </w:t>
      </w:r>
      <w:r>
        <w:t>duration of an</w:t>
      </w:r>
      <w:r w:rsidR="008243E7">
        <w:t>a</w:t>
      </w:r>
      <w:r>
        <w:t>esthesia lo</w:t>
      </w:r>
      <w:r w:rsidR="008243E7">
        <w:t>nger than 30 min</w:t>
      </w:r>
      <w:r>
        <w:t>, general an</w:t>
      </w:r>
      <w:r w:rsidR="008243E7">
        <w:t>a</w:t>
      </w:r>
      <w:r>
        <w:t>esthesia, and type of surgery</w:t>
      </w:r>
      <w:r w:rsidR="00674106">
        <w:t>,</w:t>
      </w:r>
      <w:r>
        <w:t xml:space="preserve"> </w:t>
      </w:r>
      <w:r w:rsidR="008243E7">
        <w:t xml:space="preserve">as </w:t>
      </w:r>
      <w:r>
        <w:t xml:space="preserve">independent predictors of PONV. </w:t>
      </w:r>
      <w:r w:rsidR="009828DF">
        <w:t>The following table is from Le and</w:t>
      </w:r>
      <w:r>
        <w:t xml:space="preserve"> Gan</w:t>
      </w:r>
      <w:r w:rsidR="009828DF">
        <w:t xml:space="preserve"> </w:t>
      </w:r>
      <w:r w:rsidR="00674106">
        <w:t>(</w:t>
      </w:r>
      <w:r w:rsidR="009828DF">
        <w:t>2010</w:t>
      </w:r>
      <w:r w:rsidR="00674106">
        <w:t>).</w:t>
      </w:r>
    </w:p>
    <w:p w:rsidR="00E35433" w:rsidRDefault="00E35433">
      <w:pPr>
        <w:spacing w:after="0" w:line="240" w:lineRule="auto"/>
      </w:pPr>
      <w:r>
        <w:br w:type="page"/>
      </w:r>
    </w:p>
    <w:p w:rsidR="00750A10" w:rsidRDefault="00463320" w:rsidP="00422B5D">
      <w:pPr>
        <w:pStyle w:val="FigureTitle"/>
        <w:keepNext/>
        <w:keepLines/>
        <w:spacing w:line="240" w:lineRule="auto"/>
      </w:pPr>
      <w:r>
        <w:lastRenderedPageBreak/>
        <w:t xml:space="preserve">Table </w:t>
      </w:r>
      <w:r w:rsidR="00674106">
        <w:t>9</w:t>
      </w:r>
      <w:r w:rsidR="00422B5D">
        <w:t>.</w:t>
      </w:r>
      <w:r w:rsidR="00DB5F5A">
        <w:t xml:space="preserve"> Risks f</w:t>
      </w:r>
      <w:r w:rsidR="00674106">
        <w:t>actors for PONV and</w:t>
      </w:r>
      <w:r w:rsidR="00750A10">
        <w:t xml:space="preserve"> </w:t>
      </w:r>
      <w:r w:rsidR="00674106">
        <w:t>post-discharge nausea and vomiting (</w:t>
      </w:r>
      <w:r w:rsidR="00750A10">
        <w:t>PDNV</w:t>
      </w:r>
      <w:r w:rsidR="00674106">
        <w:t>)</w:t>
      </w:r>
    </w:p>
    <w:p w:rsidR="00750A10" w:rsidRDefault="00DE18CA" w:rsidP="005C3144">
      <w:pPr>
        <w:keepNext/>
        <w:keepLines/>
        <w:spacing w:line="240" w:lineRule="auto"/>
      </w:pPr>
      <w:r>
        <w:rPr>
          <w:noProof/>
          <w:lang w:eastAsia="en-AU"/>
        </w:rPr>
        <w:drawing>
          <wp:inline distT="0" distB="0" distL="0" distR="0">
            <wp:extent cx="5749925" cy="1985645"/>
            <wp:effectExtent l="19050" t="0" r="3175" b="0"/>
            <wp:docPr id="19" name="Picture 19"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925" cy="1985645"/>
                    </a:xfrm>
                    <a:prstGeom prst="rect">
                      <a:avLst/>
                    </a:prstGeom>
                    <a:noFill/>
                    <a:ln>
                      <a:noFill/>
                    </a:ln>
                  </pic:spPr>
                </pic:pic>
              </a:graphicData>
            </a:graphic>
          </wp:inline>
        </w:drawing>
      </w:r>
    </w:p>
    <w:p w:rsidR="00750A10" w:rsidRDefault="00750A10" w:rsidP="005C3144">
      <w:pPr>
        <w:spacing w:line="240" w:lineRule="auto"/>
      </w:pPr>
      <w:r>
        <w:t xml:space="preserve">All of the studies </w:t>
      </w:r>
      <w:r w:rsidR="00674106">
        <w:t xml:space="preserve">in the </w:t>
      </w:r>
      <w:r>
        <w:t xml:space="preserve">following </w:t>
      </w:r>
      <w:r w:rsidR="00674106">
        <w:t xml:space="preserve">tables </w:t>
      </w:r>
      <w:r>
        <w:t>were prospective, randomised, blinded with 50</w:t>
      </w:r>
      <w:r w:rsidR="008243E7">
        <w:t xml:space="preserve"> </w:t>
      </w:r>
      <w:r>
        <w:t xml:space="preserve">mg cyclizine given parenterally (Walder </w:t>
      </w:r>
      <w:r w:rsidR="00463320">
        <w:t xml:space="preserve">and </w:t>
      </w:r>
      <w:r>
        <w:t>Aitkenhead</w:t>
      </w:r>
      <w:r w:rsidR="00674106">
        <w:t>,</w:t>
      </w:r>
      <w:r>
        <w:t xml:space="preserve"> </w:t>
      </w:r>
      <w:r w:rsidR="00463320">
        <w:t xml:space="preserve">1995 </w:t>
      </w:r>
      <w:r>
        <w:t>also included an infusion).</w:t>
      </w:r>
    </w:p>
    <w:p w:rsidR="00750A10" w:rsidRDefault="00750A10" w:rsidP="005C3144">
      <w:pPr>
        <w:spacing w:line="240" w:lineRule="auto"/>
      </w:pPr>
    </w:p>
    <w:p w:rsidR="00750A10" w:rsidRDefault="00750A10" w:rsidP="005C3144">
      <w:pPr>
        <w:spacing w:line="240" w:lineRule="auto"/>
        <w:sectPr w:rsidR="00750A10" w:rsidSect="00377AD6">
          <w:footerReference w:type="default" r:id="rId32"/>
          <w:endnotePr>
            <w:numFmt w:val="decimal"/>
          </w:endnotePr>
          <w:pgSz w:w="11906" w:h="16838"/>
          <w:pgMar w:top="1134" w:right="1558" w:bottom="1134" w:left="1440" w:header="737" w:footer="737" w:gutter="0"/>
          <w:cols w:space="720"/>
        </w:sectPr>
      </w:pPr>
    </w:p>
    <w:p w:rsidR="00750A10" w:rsidRDefault="00674106" w:rsidP="005C3144">
      <w:pPr>
        <w:pStyle w:val="FigureTitle"/>
        <w:spacing w:line="240" w:lineRule="auto"/>
      </w:pPr>
      <w:bookmarkStart w:id="122" w:name="_Toc304266854"/>
      <w:r>
        <w:lastRenderedPageBreak/>
        <w:t>Table 10</w:t>
      </w:r>
      <w:r w:rsidR="00750A10">
        <w:t>. Efficacy</w:t>
      </w:r>
      <w:r w:rsidR="000B49A9">
        <w:t>:</w:t>
      </w:r>
      <w:r w:rsidR="00750A10">
        <w:t xml:space="preserve"> the treatment of nausea and vomiting caused by general anaesthetics in the post-operative period - Principal Studies</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714"/>
        <w:gridCol w:w="2523"/>
        <w:gridCol w:w="830"/>
        <w:gridCol w:w="2688"/>
        <w:gridCol w:w="549"/>
        <w:gridCol w:w="2673"/>
      </w:tblGrid>
      <w:tr w:rsidR="000B49A9" w:rsidTr="001226E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 xml:space="preserve">Study </w:t>
            </w:r>
            <w:r w:rsidR="000B49A9">
              <w:rPr>
                <w:sz w:val="20"/>
                <w:szCs w:val="20"/>
              </w:rPr>
              <w:t>[</w:t>
            </w:r>
            <w:r>
              <w:rPr>
                <w:sz w:val="20"/>
                <w:szCs w:val="20"/>
              </w:rPr>
              <w:t>by date</w:t>
            </w:r>
            <w:r w:rsidR="000B49A9">
              <w:rPr>
                <w:sz w:val="20"/>
                <w:szCs w:val="20"/>
              </w:rPr>
              <w:t>]</w:t>
            </w:r>
          </w:p>
        </w:tc>
        <w:tc>
          <w:tcPr>
            <w:tcW w:w="3714"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Study objective</w:t>
            </w:r>
          </w:p>
        </w:tc>
        <w:tc>
          <w:tcPr>
            <w:tcW w:w="2523"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Premed</w:t>
            </w:r>
            <w:r w:rsidR="000B49A9">
              <w:rPr>
                <w:sz w:val="20"/>
                <w:szCs w:val="20"/>
              </w:rPr>
              <w:t>ication</w:t>
            </w:r>
          </w:p>
        </w:tc>
        <w:tc>
          <w:tcPr>
            <w:tcW w:w="6740" w:type="dxa"/>
            <w:gridSpan w:val="4"/>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Patients receiving Cyclizine</w:t>
            </w:r>
          </w:p>
        </w:tc>
      </w:tr>
      <w:tr w:rsidR="000B49A9" w:rsidTr="001226E8">
        <w:tc>
          <w:tcPr>
            <w:tcW w:w="1809"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2523"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830"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Route</w:t>
            </w:r>
          </w:p>
        </w:tc>
        <w:tc>
          <w:tcPr>
            <w:tcW w:w="2688"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Time</w:t>
            </w:r>
          </w:p>
        </w:tc>
        <w:tc>
          <w:tcPr>
            <w:tcW w:w="549"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No.</w:t>
            </w:r>
          </w:p>
        </w:tc>
        <w:tc>
          <w:tcPr>
            <w:tcW w:w="2673"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 xml:space="preserve">M/F Mean age </w:t>
            </w:r>
            <w:r w:rsidR="000B49A9">
              <w:rPr>
                <w:sz w:val="20"/>
                <w:szCs w:val="20"/>
              </w:rPr>
              <w:t xml:space="preserve">years </w:t>
            </w:r>
            <w:r>
              <w:rPr>
                <w:sz w:val="20"/>
                <w:szCs w:val="20"/>
              </w:rPr>
              <w:t>(</w:t>
            </w:r>
            <w:r w:rsidR="000B49A9">
              <w:rPr>
                <w:sz w:val="20"/>
                <w:szCs w:val="20"/>
              </w:rPr>
              <w:t>range</w:t>
            </w:r>
            <w:r>
              <w:rPr>
                <w:sz w:val="20"/>
                <w:szCs w:val="20"/>
              </w:rPr>
              <w:t>)</w:t>
            </w:r>
          </w:p>
        </w:tc>
      </w:tr>
      <w:tr w:rsidR="000B49A9" w:rsidTr="001226E8">
        <w:tc>
          <w:tcPr>
            <w:tcW w:w="1809" w:type="dxa"/>
            <w:tcBorders>
              <w:top w:val="single" w:sz="4" w:space="0" w:color="auto"/>
              <w:left w:val="single" w:sz="4"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Grimsehl </w:t>
            </w:r>
            <w:r w:rsidRPr="000B49A9">
              <w:rPr>
                <w:i/>
                <w:sz w:val="20"/>
                <w:szCs w:val="20"/>
              </w:rPr>
              <w:t>et al</w:t>
            </w:r>
            <w:r>
              <w:rPr>
                <w:sz w:val="20"/>
                <w:szCs w:val="20"/>
              </w:rPr>
              <w:t>, 2002</w:t>
            </w:r>
            <w:r>
              <w:rPr>
                <w:sz w:val="20"/>
                <w:szCs w:val="20"/>
                <w:vertAlign w:val="superscript"/>
              </w:rPr>
              <w:t>d</w:t>
            </w:r>
          </w:p>
        </w:tc>
        <w:tc>
          <w:tcPr>
            <w:tcW w:w="3714" w:type="dxa"/>
            <w:tcBorders>
              <w:top w:val="single" w:sz="4"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Difference in the incidence of PONV cyclizine </w:t>
            </w:r>
            <w:r w:rsidR="000B49A9">
              <w:rPr>
                <w:sz w:val="20"/>
                <w:szCs w:val="20"/>
              </w:rPr>
              <w:t>verses (</w:t>
            </w:r>
            <w:r>
              <w:rPr>
                <w:sz w:val="20"/>
                <w:szCs w:val="20"/>
              </w:rPr>
              <w:t>vs.</w:t>
            </w:r>
            <w:r w:rsidR="000B49A9">
              <w:rPr>
                <w:sz w:val="20"/>
                <w:szCs w:val="20"/>
              </w:rPr>
              <w:t>)</w:t>
            </w:r>
            <w:r>
              <w:rPr>
                <w:sz w:val="20"/>
                <w:szCs w:val="20"/>
              </w:rPr>
              <w:t xml:space="preserve"> ondansetron</w:t>
            </w:r>
          </w:p>
        </w:tc>
        <w:tc>
          <w:tcPr>
            <w:tcW w:w="2523" w:type="dxa"/>
            <w:tcBorders>
              <w:top w:val="single" w:sz="4"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NK</w:t>
            </w:r>
            <w:r>
              <w:rPr>
                <w:sz w:val="20"/>
                <w:szCs w:val="20"/>
                <w:vertAlign w:val="superscript"/>
              </w:rPr>
              <w:t>1</w:t>
            </w:r>
          </w:p>
        </w:tc>
        <w:tc>
          <w:tcPr>
            <w:tcW w:w="830" w:type="dxa"/>
            <w:tcBorders>
              <w:top w:val="single" w:sz="4"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IV</w:t>
            </w:r>
          </w:p>
        </w:tc>
        <w:tc>
          <w:tcPr>
            <w:tcW w:w="2688" w:type="dxa"/>
            <w:tcBorders>
              <w:top w:val="single" w:sz="4" w:space="0" w:color="auto"/>
              <w:left w:val="single" w:sz="6" w:space="0" w:color="auto"/>
              <w:bottom w:val="single" w:sz="6" w:space="0" w:color="auto"/>
              <w:right w:val="single" w:sz="6" w:space="0" w:color="auto"/>
            </w:tcBorders>
            <w:hideMark/>
          </w:tcPr>
          <w:p w:rsidR="00750A10" w:rsidRDefault="000B49A9"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w:t>
            </w:r>
            <w:r w:rsidR="00750A10">
              <w:rPr>
                <w:sz w:val="20"/>
                <w:szCs w:val="20"/>
              </w:rPr>
              <w:t>nduction</w:t>
            </w:r>
          </w:p>
        </w:tc>
        <w:tc>
          <w:tcPr>
            <w:tcW w:w="549" w:type="dxa"/>
            <w:tcBorders>
              <w:top w:val="single" w:sz="4"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37</w:t>
            </w:r>
          </w:p>
        </w:tc>
        <w:tc>
          <w:tcPr>
            <w:tcW w:w="2673" w:type="dxa"/>
            <w:tcBorders>
              <w:top w:val="single" w:sz="4" w:space="0" w:color="auto"/>
              <w:left w:val="single" w:sz="6" w:space="0" w:color="auto"/>
              <w:bottom w:val="single" w:sz="6"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31 (SD 6)</w:t>
            </w:r>
          </w:p>
        </w:tc>
      </w:tr>
      <w:tr w:rsidR="000B49A9" w:rsidTr="001226E8">
        <w:tc>
          <w:tcPr>
            <w:tcW w:w="1809" w:type="dxa"/>
            <w:tcBorders>
              <w:top w:val="single" w:sz="6" w:space="0" w:color="auto"/>
              <w:left w:val="single" w:sz="4"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Cholwill </w:t>
            </w:r>
            <w:r w:rsidRPr="000B49A9">
              <w:rPr>
                <w:i/>
                <w:sz w:val="20"/>
                <w:szCs w:val="20"/>
              </w:rPr>
              <w:t>et al</w:t>
            </w:r>
            <w:r>
              <w:rPr>
                <w:sz w:val="20"/>
                <w:szCs w:val="20"/>
              </w:rPr>
              <w:t>, 1999</w:t>
            </w:r>
            <w:r>
              <w:rPr>
                <w:sz w:val="20"/>
                <w:szCs w:val="20"/>
                <w:vertAlign w:val="superscript"/>
              </w:rPr>
              <w:t>c</w:t>
            </w:r>
          </w:p>
        </w:tc>
        <w:tc>
          <w:tcPr>
            <w:tcW w:w="3714" w:type="dxa"/>
            <w:tcBorders>
              <w:top w:val="single" w:sz="6"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Incidence of PONV and use of escape antiemetic vs. placebo and ondansetron</w:t>
            </w:r>
          </w:p>
        </w:tc>
        <w:tc>
          <w:tcPr>
            <w:tcW w:w="2523" w:type="dxa"/>
            <w:tcBorders>
              <w:top w:val="single" w:sz="6"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bCs/>
                <w:sz w:val="20"/>
                <w:szCs w:val="20"/>
              </w:rPr>
              <w:t>NK</w:t>
            </w:r>
            <w:r>
              <w:rPr>
                <w:bCs/>
                <w:sz w:val="20"/>
                <w:szCs w:val="20"/>
                <w:vertAlign w:val="superscript"/>
              </w:rPr>
              <w:t>1</w:t>
            </w:r>
          </w:p>
        </w:tc>
        <w:tc>
          <w:tcPr>
            <w:tcW w:w="830" w:type="dxa"/>
            <w:tcBorders>
              <w:top w:val="single" w:sz="6"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IV</w:t>
            </w:r>
          </w:p>
        </w:tc>
        <w:tc>
          <w:tcPr>
            <w:tcW w:w="2688" w:type="dxa"/>
            <w:tcBorders>
              <w:top w:val="single" w:sz="6"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Immed</w:t>
            </w:r>
            <w:r w:rsidR="000B49A9">
              <w:rPr>
                <w:sz w:val="20"/>
                <w:szCs w:val="20"/>
              </w:rPr>
              <w:t>iately p</w:t>
            </w:r>
            <w:r>
              <w:rPr>
                <w:sz w:val="20"/>
                <w:szCs w:val="20"/>
              </w:rPr>
              <w:t>rior to induction</w:t>
            </w:r>
          </w:p>
        </w:tc>
        <w:tc>
          <w:tcPr>
            <w:tcW w:w="549" w:type="dxa"/>
            <w:tcBorders>
              <w:top w:val="single" w:sz="6" w:space="0" w:color="auto"/>
              <w:left w:val="single" w:sz="6" w:space="0" w:color="auto"/>
              <w:bottom w:val="single" w:sz="6"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57</w:t>
            </w:r>
          </w:p>
        </w:tc>
        <w:tc>
          <w:tcPr>
            <w:tcW w:w="2673" w:type="dxa"/>
            <w:tcBorders>
              <w:top w:val="single" w:sz="6" w:space="0" w:color="auto"/>
              <w:left w:val="single" w:sz="6" w:space="0" w:color="auto"/>
              <w:bottom w:val="single" w:sz="6"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31 (22-42)</w:t>
            </w:r>
          </w:p>
        </w:tc>
      </w:tr>
      <w:tr w:rsidR="000B49A9" w:rsidTr="001226E8">
        <w:tc>
          <w:tcPr>
            <w:tcW w:w="1809" w:type="dxa"/>
            <w:tcBorders>
              <w:top w:val="single" w:sz="6" w:space="0" w:color="auto"/>
              <w:left w:val="single" w:sz="4" w:space="0" w:color="auto"/>
              <w:bottom w:val="double" w:sz="4"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Watts, 1996</w:t>
            </w:r>
            <w:r>
              <w:rPr>
                <w:sz w:val="20"/>
                <w:szCs w:val="20"/>
                <w:vertAlign w:val="superscript"/>
              </w:rPr>
              <w:t>c</w:t>
            </w:r>
          </w:p>
        </w:tc>
        <w:tc>
          <w:tcPr>
            <w:tcW w:w="3714" w:type="dxa"/>
            <w:tcBorders>
              <w:top w:val="single" w:sz="6" w:space="0" w:color="auto"/>
              <w:left w:val="single" w:sz="6" w:space="0" w:color="auto"/>
              <w:bottom w:val="double" w:sz="4"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Incidence of PONV (historical) and vs. after ondansetron </w:t>
            </w:r>
            <w:r w:rsidR="000B49A9">
              <w:rPr>
                <w:sz w:val="20"/>
                <w:szCs w:val="20"/>
              </w:rPr>
              <w:t>and</w:t>
            </w:r>
            <w:r>
              <w:rPr>
                <w:sz w:val="20"/>
                <w:szCs w:val="20"/>
              </w:rPr>
              <w:t xml:space="preserve"> metoclopramide</w:t>
            </w:r>
          </w:p>
        </w:tc>
        <w:tc>
          <w:tcPr>
            <w:tcW w:w="2523" w:type="dxa"/>
            <w:tcBorders>
              <w:top w:val="single" w:sz="6" w:space="0" w:color="auto"/>
              <w:left w:val="single" w:sz="6" w:space="0" w:color="auto"/>
              <w:bottom w:val="double" w:sz="4"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temazepam</w:t>
            </w:r>
          </w:p>
        </w:tc>
        <w:tc>
          <w:tcPr>
            <w:tcW w:w="830" w:type="dxa"/>
            <w:tcBorders>
              <w:top w:val="single" w:sz="6" w:space="0" w:color="auto"/>
              <w:left w:val="single" w:sz="6" w:space="0" w:color="auto"/>
              <w:bottom w:val="double" w:sz="4"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IV</w:t>
            </w:r>
          </w:p>
        </w:tc>
        <w:tc>
          <w:tcPr>
            <w:tcW w:w="2688" w:type="dxa"/>
            <w:tcBorders>
              <w:top w:val="single" w:sz="6" w:space="0" w:color="auto"/>
              <w:left w:val="single" w:sz="6" w:space="0" w:color="auto"/>
              <w:bottom w:val="double" w:sz="4"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Prior to induction</w:t>
            </w:r>
          </w:p>
        </w:tc>
        <w:tc>
          <w:tcPr>
            <w:tcW w:w="549" w:type="dxa"/>
            <w:tcBorders>
              <w:top w:val="single" w:sz="6" w:space="0" w:color="auto"/>
              <w:left w:val="single" w:sz="6" w:space="0" w:color="auto"/>
              <w:bottom w:val="double" w:sz="4" w:space="0" w:color="auto"/>
              <w:right w:val="single" w:sz="6"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53</w:t>
            </w:r>
          </w:p>
        </w:tc>
        <w:tc>
          <w:tcPr>
            <w:tcW w:w="2673" w:type="dxa"/>
            <w:tcBorders>
              <w:top w:val="single" w:sz="6" w:space="0" w:color="auto"/>
              <w:left w:val="single" w:sz="6" w:space="0" w:color="auto"/>
              <w:bottom w:val="doub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30.3</w:t>
            </w:r>
          </w:p>
        </w:tc>
      </w:tr>
      <w:tr w:rsidR="000B49A9" w:rsidTr="001226E8">
        <w:tc>
          <w:tcPr>
            <w:tcW w:w="1809" w:type="dxa"/>
            <w:tcBorders>
              <w:top w:val="double" w:sz="4" w:space="0" w:color="auto"/>
              <w:left w:val="single" w:sz="4" w:space="0" w:color="auto"/>
              <w:bottom w:val="single" w:sz="4" w:space="0" w:color="auto"/>
              <w:right w:val="single" w:sz="4" w:space="0" w:color="auto"/>
            </w:tcBorders>
            <w:hideMark/>
          </w:tcPr>
          <w:p w:rsidR="00750A10" w:rsidRDefault="000B49A9"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Chestnutt and</w:t>
            </w:r>
            <w:r w:rsidR="00750A10">
              <w:rPr>
                <w:sz w:val="20"/>
                <w:szCs w:val="20"/>
              </w:rPr>
              <w:t xml:space="preserve"> Dundee, 1986</w:t>
            </w:r>
            <w:r w:rsidR="00750A10">
              <w:rPr>
                <w:sz w:val="20"/>
                <w:szCs w:val="20"/>
                <w:vertAlign w:val="superscript"/>
              </w:rPr>
              <w:t>c</w:t>
            </w:r>
          </w:p>
        </w:tc>
        <w:tc>
          <w:tcPr>
            <w:tcW w:w="3714" w:type="dxa"/>
            <w:tcBorders>
              <w:top w:val="doub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Comparison of the safety </w:t>
            </w:r>
            <w:r w:rsidR="000B49A9">
              <w:rPr>
                <w:sz w:val="20"/>
                <w:szCs w:val="20"/>
              </w:rPr>
              <w:t>and</w:t>
            </w:r>
            <w:r>
              <w:rPr>
                <w:sz w:val="20"/>
                <w:szCs w:val="20"/>
              </w:rPr>
              <w:t xml:space="preserve"> efficacy vs. perphenazine and placebo</w:t>
            </w:r>
          </w:p>
        </w:tc>
        <w:tc>
          <w:tcPr>
            <w:tcW w:w="2523" w:type="dxa"/>
            <w:tcBorders>
              <w:top w:val="double" w:sz="4" w:space="0" w:color="auto"/>
              <w:left w:val="single" w:sz="4" w:space="0" w:color="auto"/>
              <w:bottom w:val="single" w:sz="4" w:space="0" w:color="auto"/>
              <w:right w:val="single" w:sz="4" w:space="0" w:color="auto"/>
            </w:tcBorders>
            <w:hideMark/>
          </w:tcPr>
          <w:p w:rsidR="00750A10" w:rsidRDefault="00BF1A9D"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o</w:t>
            </w:r>
            <w:r w:rsidR="00750A10">
              <w:rPr>
                <w:sz w:val="20"/>
                <w:szCs w:val="20"/>
              </w:rPr>
              <w:t>piate (meptazinol) alone or plus study drug</w:t>
            </w:r>
          </w:p>
        </w:tc>
        <w:tc>
          <w:tcPr>
            <w:tcW w:w="830" w:type="dxa"/>
            <w:tcBorders>
              <w:top w:val="doub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w:t>
            </w:r>
          </w:p>
        </w:tc>
        <w:tc>
          <w:tcPr>
            <w:tcW w:w="2688" w:type="dxa"/>
            <w:tcBorders>
              <w:top w:val="double" w:sz="4" w:space="0" w:color="auto"/>
              <w:left w:val="single" w:sz="4" w:space="0" w:color="auto"/>
              <w:bottom w:val="single" w:sz="4" w:space="0" w:color="auto"/>
              <w:right w:val="single" w:sz="4" w:space="0" w:color="auto"/>
            </w:tcBorders>
            <w:hideMark/>
          </w:tcPr>
          <w:p w:rsidR="00750A10" w:rsidRPr="000B49A9" w:rsidRDefault="000B49A9" w:rsidP="005C3144">
            <w:pPr>
              <w:tabs>
                <w:tab w:val="left" w:pos="720"/>
              </w:tabs>
              <w:spacing w:line="240" w:lineRule="auto"/>
              <w:rPr>
                <w:kern w:val="16"/>
                <w:sz w:val="20"/>
                <w:szCs w:val="20"/>
                <w:vertAlign w:val="superscript"/>
              </w:rPr>
            </w:pPr>
            <w:r>
              <w:rPr>
                <w:sz w:val="20"/>
                <w:szCs w:val="20"/>
              </w:rPr>
              <w:t>About</w:t>
            </w:r>
            <w:r w:rsidR="00750A10">
              <w:rPr>
                <w:sz w:val="20"/>
                <w:szCs w:val="20"/>
              </w:rPr>
              <w:t xml:space="preserve"> 1.5h prior to surgery</w:t>
            </w:r>
            <w:r w:rsidR="00750A10">
              <w:rPr>
                <w:sz w:val="20"/>
                <w:szCs w:val="20"/>
                <w:vertAlign w:val="superscript"/>
              </w:rPr>
              <w:t>2</w:t>
            </w:r>
            <w:r>
              <w:rPr>
                <w:kern w:val="16"/>
                <w:sz w:val="20"/>
                <w:szCs w:val="20"/>
                <w:vertAlign w:val="superscript"/>
              </w:rPr>
              <w:t>.</w:t>
            </w:r>
            <w:r w:rsidRPr="000B49A9">
              <w:rPr>
                <w:kern w:val="16"/>
                <w:sz w:val="20"/>
                <w:szCs w:val="20"/>
                <w:vertAlign w:val="subscript"/>
              </w:rPr>
              <w:t xml:space="preserve"> </w:t>
            </w:r>
            <w:r w:rsidR="00750A10">
              <w:rPr>
                <w:sz w:val="20"/>
                <w:szCs w:val="20"/>
              </w:rPr>
              <w:t>Surgery took 8</w:t>
            </w:r>
            <w:r>
              <w:rPr>
                <w:sz w:val="20"/>
                <w:szCs w:val="20"/>
              </w:rPr>
              <w:t>–</w:t>
            </w:r>
            <w:r w:rsidR="00750A10">
              <w:rPr>
                <w:sz w:val="20"/>
                <w:szCs w:val="20"/>
              </w:rPr>
              <w:t>15 min</w:t>
            </w:r>
          </w:p>
        </w:tc>
        <w:tc>
          <w:tcPr>
            <w:tcW w:w="549" w:type="dxa"/>
            <w:tcBorders>
              <w:top w:val="doub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40</w:t>
            </w:r>
          </w:p>
        </w:tc>
        <w:tc>
          <w:tcPr>
            <w:tcW w:w="2673" w:type="dxa"/>
            <w:tcBorders>
              <w:top w:val="doub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33 (SD 11)</w:t>
            </w:r>
          </w:p>
        </w:tc>
      </w:tr>
      <w:tr w:rsidR="000B49A9" w:rsidTr="001226E8">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Dundee </w:t>
            </w:r>
            <w:r w:rsidRPr="000B49A9">
              <w:rPr>
                <w:i/>
                <w:sz w:val="20"/>
                <w:szCs w:val="20"/>
              </w:rPr>
              <w:t>et al</w:t>
            </w:r>
            <w:r>
              <w:rPr>
                <w:sz w:val="20"/>
                <w:szCs w:val="20"/>
              </w:rPr>
              <w:t>, 1975</w:t>
            </w:r>
            <w:r>
              <w:rPr>
                <w:sz w:val="20"/>
                <w:szCs w:val="20"/>
                <w:vertAlign w:val="superscript"/>
              </w:rPr>
              <w:t>c</w:t>
            </w:r>
          </w:p>
        </w:tc>
        <w:tc>
          <w:tcPr>
            <w:tcW w:w="3714"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Incidence of PONV vs. perphenazine and placebo</w:t>
            </w:r>
          </w:p>
        </w:tc>
        <w:tc>
          <w:tcPr>
            <w:tcW w:w="2523" w:type="dxa"/>
            <w:tcBorders>
              <w:top w:val="single" w:sz="4" w:space="0" w:color="auto"/>
              <w:left w:val="single" w:sz="4" w:space="0" w:color="auto"/>
              <w:bottom w:val="single" w:sz="4" w:space="0" w:color="auto"/>
              <w:right w:val="single" w:sz="4" w:space="0" w:color="auto"/>
            </w:tcBorders>
            <w:hideMark/>
          </w:tcPr>
          <w:p w:rsidR="00750A10" w:rsidRDefault="00BF1A9D"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m</w:t>
            </w:r>
            <w:r w:rsidR="00750A10">
              <w:rPr>
                <w:sz w:val="20"/>
                <w:szCs w:val="20"/>
              </w:rPr>
              <w:t>orphine or pethidine alone or plus study drug</w:t>
            </w:r>
          </w:p>
        </w:tc>
        <w:tc>
          <w:tcPr>
            <w:tcW w:w="83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w:t>
            </w:r>
          </w:p>
        </w:tc>
        <w:tc>
          <w:tcPr>
            <w:tcW w:w="2688" w:type="dxa"/>
            <w:tcBorders>
              <w:top w:val="single" w:sz="4" w:space="0" w:color="auto"/>
              <w:left w:val="single" w:sz="4" w:space="0" w:color="auto"/>
              <w:bottom w:val="single" w:sz="4" w:space="0" w:color="auto"/>
              <w:right w:val="single" w:sz="4" w:space="0" w:color="auto"/>
            </w:tcBorders>
            <w:hideMark/>
          </w:tcPr>
          <w:p w:rsidR="00750A10" w:rsidRDefault="000B49A9" w:rsidP="005C3144">
            <w:pPr>
              <w:tabs>
                <w:tab w:val="left" w:pos="720"/>
              </w:tabs>
              <w:spacing w:line="240" w:lineRule="auto"/>
              <w:rPr>
                <w:kern w:val="16"/>
                <w:sz w:val="20"/>
                <w:szCs w:val="20"/>
              </w:rPr>
            </w:pPr>
            <w:r>
              <w:rPr>
                <w:sz w:val="20"/>
                <w:szCs w:val="20"/>
              </w:rPr>
              <w:t xml:space="preserve">About </w:t>
            </w:r>
            <w:r w:rsidR="00750A10">
              <w:rPr>
                <w:sz w:val="20"/>
                <w:szCs w:val="20"/>
              </w:rPr>
              <w:t>1.5h prior to surgery</w:t>
            </w:r>
            <w:r>
              <w:rPr>
                <w:sz w:val="20"/>
                <w:szCs w:val="20"/>
              </w:rPr>
              <w:t>. Surgery took 5</w:t>
            </w:r>
            <w:r w:rsidR="00750A10">
              <w:rPr>
                <w:sz w:val="20"/>
                <w:szCs w:val="20"/>
              </w:rPr>
              <w:t>-10 mins</w:t>
            </w:r>
          </w:p>
        </w:tc>
        <w:tc>
          <w:tcPr>
            <w:tcW w:w="54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300</w:t>
            </w:r>
          </w:p>
        </w:tc>
        <w:tc>
          <w:tcPr>
            <w:tcW w:w="267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NK</w:t>
            </w:r>
          </w:p>
        </w:tc>
      </w:tr>
    </w:tbl>
    <w:p w:rsidR="00750A10" w:rsidRPr="00263265" w:rsidRDefault="00750A10" w:rsidP="005C3144">
      <w:pPr>
        <w:spacing w:line="240" w:lineRule="auto"/>
        <w:rPr>
          <w:kern w:val="16"/>
        </w:rPr>
      </w:pPr>
      <w:r>
        <w:rPr>
          <w:sz w:val="16"/>
          <w:szCs w:val="16"/>
        </w:rPr>
        <w:t xml:space="preserve">NK = not indicated in report </w:t>
      </w:r>
      <w:r>
        <w:rPr>
          <w:sz w:val="16"/>
          <w:szCs w:val="16"/>
        </w:rPr>
        <w:tab/>
      </w:r>
      <w:r>
        <w:rPr>
          <w:sz w:val="16"/>
          <w:szCs w:val="16"/>
        </w:rPr>
        <w:tab/>
      </w:r>
      <w:r>
        <w:rPr>
          <w:sz w:val="16"/>
          <w:szCs w:val="16"/>
          <w:vertAlign w:val="superscript"/>
        </w:rPr>
        <w:t>1</w:t>
      </w:r>
      <w:r>
        <w:rPr>
          <w:sz w:val="16"/>
          <w:szCs w:val="16"/>
        </w:rPr>
        <w:t xml:space="preserve"> Day surgery cases probably no premed. </w:t>
      </w:r>
      <w:r>
        <w:rPr>
          <w:sz w:val="16"/>
          <w:szCs w:val="16"/>
        </w:rPr>
        <w:tab/>
      </w:r>
      <w:r>
        <w:rPr>
          <w:sz w:val="16"/>
          <w:szCs w:val="16"/>
        </w:rPr>
        <w:tab/>
      </w:r>
      <w:r>
        <w:rPr>
          <w:sz w:val="16"/>
          <w:szCs w:val="16"/>
          <w:vertAlign w:val="superscript"/>
        </w:rPr>
        <w:t>2</w:t>
      </w:r>
      <w:r>
        <w:rPr>
          <w:sz w:val="16"/>
          <w:szCs w:val="16"/>
        </w:rPr>
        <w:t xml:space="preserve"> Based on figure 1 in the study </w:t>
      </w:r>
      <w:r>
        <w:rPr>
          <w:sz w:val="16"/>
          <w:szCs w:val="16"/>
        </w:rPr>
        <w:tab/>
      </w:r>
      <w:r>
        <w:rPr>
          <w:sz w:val="16"/>
          <w:szCs w:val="16"/>
        </w:rPr>
        <w:tab/>
      </w:r>
      <w:r>
        <w:rPr>
          <w:sz w:val="16"/>
          <w:szCs w:val="16"/>
        </w:rPr>
        <w:tab/>
      </w:r>
      <w:r>
        <w:rPr>
          <w:sz w:val="16"/>
          <w:szCs w:val="16"/>
        </w:rPr>
        <w:tab/>
      </w:r>
      <w:r>
        <w:rPr>
          <w:sz w:val="16"/>
          <w:szCs w:val="16"/>
          <w:vertAlign w:val="superscript"/>
        </w:rPr>
        <w:t>c</w:t>
      </w:r>
      <w:r>
        <w:rPr>
          <w:sz w:val="16"/>
          <w:szCs w:val="16"/>
        </w:rPr>
        <w:t xml:space="preserve"> Double-blind</w:t>
      </w:r>
      <w:r w:rsidR="000B49A9">
        <w:rPr>
          <w:sz w:val="16"/>
          <w:szCs w:val="16"/>
        </w:rPr>
        <w:t xml:space="preserve">                               SD = standard deviation</w:t>
      </w:r>
    </w:p>
    <w:p w:rsidR="00750A10" w:rsidRDefault="00674106" w:rsidP="005C3144">
      <w:pPr>
        <w:pStyle w:val="FigureTitle"/>
        <w:spacing w:line="240" w:lineRule="auto"/>
        <w:rPr>
          <w:sz w:val="24"/>
          <w:szCs w:val="24"/>
        </w:rPr>
      </w:pPr>
      <w:bookmarkStart w:id="123" w:name="_Toc304266855"/>
      <w:r>
        <w:t>Table 11</w:t>
      </w:r>
      <w:r w:rsidR="00750A10">
        <w:t>. Efficacy</w:t>
      </w:r>
      <w:r w:rsidR="000B49A9">
        <w:t>:</w:t>
      </w:r>
      <w:r w:rsidR="00750A10">
        <w:t xml:space="preserve"> the treatment of </w:t>
      </w:r>
      <w:r w:rsidR="000B49A9">
        <w:t>nausea and vomiting</w:t>
      </w:r>
      <w:r w:rsidR="00750A10">
        <w:t xml:space="preserve"> caused by general anaesthetics </w:t>
      </w:r>
      <w:r w:rsidR="000B49A9">
        <w:t>in the</w:t>
      </w:r>
      <w:r w:rsidR="00750A10">
        <w:t xml:space="preserve"> post-operative period - Supporting Studies</w:t>
      </w:r>
      <w:bookmarkEnd w:id="123"/>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686"/>
        <w:gridCol w:w="2410"/>
        <w:gridCol w:w="850"/>
        <w:gridCol w:w="2835"/>
        <w:gridCol w:w="567"/>
        <w:gridCol w:w="2693"/>
      </w:tblGrid>
      <w:tr w:rsidR="00750A10" w:rsidTr="00422B5D">
        <w:trPr>
          <w:tblHeader/>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Study</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Study objective</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Premed</w:t>
            </w:r>
            <w:r w:rsidR="000B49A9">
              <w:rPr>
                <w:sz w:val="20"/>
                <w:szCs w:val="20"/>
              </w:rPr>
              <w:t>ication</w:t>
            </w:r>
          </w:p>
        </w:tc>
        <w:tc>
          <w:tcPr>
            <w:tcW w:w="6945" w:type="dxa"/>
            <w:gridSpan w:val="4"/>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Patients receiving Cyclizine</w:t>
            </w:r>
          </w:p>
        </w:tc>
      </w:tr>
      <w:tr w:rsidR="00750A10" w:rsidTr="00422B5D">
        <w:trPr>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Route</w:t>
            </w:r>
          </w:p>
        </w:tc>
        <w:tc>
          <w:tcPr>
            <w:tcW w:w="2835"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Time</w:t>
            </w:r>
          </w:p>
        </w:tc>
        <w:tc>
          <w:tcPr>
            <w:tcW w:w="567"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M/F Mean age </w:t>
            </w:r>
            <w:r w:rsidR="001F77E2">
              <w:rPr>
                <w:sz w:val="20"/>
                <w:szCs w:val="20"/>
              </w:rPr>
              <w:t xml:space="preserve">years </w:t>
            </w:r>
            <w:r>
              <w:rPr>
                <w:sz w:val="20"/>
                <w:szCs w:val="20"/>
              </w:rPr>
              <w:t>(range)</w:t>
            </w:r>
          </w:p>
        </w:tc>
      </w:tr>
      <w:tr w:rsidR="00750A10" w:rsidTr="00422B5D">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Ahmed </w:t>
            </w:r>
            <w:r w:rsidRPr="000B49A9">
              <w:rPr>
                <w:i/>
                <w:sz w:val="20"/>
                <w:szCs w:val="20"/>
              </w:rPr>
              <w:t>et al</w:t>
            </w:r>
            <w:r w:rsidR="000B49A9">
              <w:rPr>
                <w:sz w:val="20"/>
                <w:szCs w:val="20"/>
              </w:rPr>
              <w:t>.,</w:t>
            </w:r>
            <w:r>
              <w:rPr>
                <w:sz w:val="20"/>
                <w:szCs w:val="20"/>
              </w:rPr>
              <w:t xml:space="preserve"> 2000</w:t>
            </w:r>
            <w:r>
              <w:rPr>
                <w:sz w:val="20"/>
                <w:szCs w:val="20"/>
                <w:vertAlign w:val="superscript"/>
              </w:rPr>
              <w:t xml:space="preserve">c </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Difference in the incidence of PONV with placebo, ondansetron alone and in combination with cyclizine </w:t>
            </w:r>
          </w:p>
        </w:tc>
        <w:tc>
          <w:tcPr>
            <w:tcW w:w="241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NK</w:t>
            </w:r>
            <w:r>
              <w:rPr>
                <w:sz w:val="20"/>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IV</w:t>
            </w:r>
          </w:p>
        </w:tc>
        <w:tc>
          <w:tcPr>
            <w:tcW w:w="2835" w:type="dxa"/>
            <w:tcBorders>
              <w:top w:val="single" w:sz="4" w:space="0" w:color="auto"/>
              <w:left w:val="single" w:sz="4" w:space="0" w:color="auto"/>
              <w:bottom w:val="single" w:sz="4" w:space="0" w:color="auto"/>
              <w:right w:val="single" w:sz="4" w:space="0" w:color="auto"/>
            </w:tcBorders>
            <w:hideMark/>
          </w:tcPr>
          <w:p w:rsidR="00750A10" w:rsidRDefault="00BF1A9D"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A</w:t>
            </w:r>
            <w:r w:rsidR="00750A10">
              <w:rPr>
                <w:sz w:val="20"/>
                <w:szCs w:val="20"/>
              </w:rPr>
              <w:t>fter induction</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60</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32 SD (6)</w:t>
            </w:r>
          </w:p>
        </w:tc>
      </w:tr>
      <w:tr w:rsidR="00750A10" w:rsidTr="00422B5D">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Johns </w:t>
            </w:r>
            <w:r w:rsidRPr="000B49A9">
              <w:rPr>
                <w:i/>
                <w:sz w:val="20"/>
                <w:szCs w:val="20"/>
              </w:rPr>
              <w:t>et al</w:t>
            </w:r>
            <w:r w:rsidR="000B49A9">
              <w:rPr>
                <w:sz w:val="20"/>
                <w:szCs w:val="20"/>
              </w:rPr>
              <w:t>.</w:t>
            </w:r>
            <w:r>
              <w:rPr>
                <w:sz w:val="20"/>
                <w:szCs w:val="20"/>
              </w:rPr>
              <w:t>, 2006</w:t>
            </w:r>
            <w:r>
              <w:rPr>
                <w:sz w:val="20"/>
                <w:szCs w:val="20"/>
                <w:vertAlign w:val="superscript"/>
              </w:rPr>
              <w:t>ab</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64328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Risk of PONV </w:t>
            </w:r>
            <w:r w:rsidR="00750A10">
              <w:rPr>
                <w:sz w:val="20"/>
                <w:szCs w:val="20"/>
              </w:rPr>
              <w:t>alone or in combination with granisetron</w:t>
            </w:r>
          </w:p>
        </w:tc>
        <w:tc>
          <w:tcPr>
            <w:tcW w:w="241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NK</w:t>
            </w:r>
            <w:r>
              <w:rPr>
                <w:sz w:val="20"/>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IV</w:t>
            </w:r>
          </w:p>
        </w:tc>
        <w:tc>
          <w:tcPr>
            <w:tcW w:w="2835" w:type="dxa"/>
            <w:tcBorders>
              <w:top w:val="single" w:sz="4" w:space="0" w:color="auto"/>
              <w:left w:val="single" w:sz="4" w:space="0" w:color="auto"/>
              <w:bottom w:val="single" w:sz="4" w:space="0" w:color="auto"/>
              <w:right w:val="single" w:sz="4" w:space="0" w:color="auto"/>
            </w:tcBorders>
            <w:hideMark/>
          </w:tcPr>
          <w:p w:rsidR="00750A10" w:rsidRDefault="00BF1A9D"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w:t>
            </w:r>
            <w:r w:rsidR="00750A10">
              <w:rPr>
                <w:sz w:val="20"/>
                <w:szCs w:val="20"/>
              </w:rPr>
              <w:t>nduction</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316</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F</w:t>
            </w:r>
            <w:r>
              <w:rPr>
                <w:sz w:val="20"/>
                <w:szCs w:val="20"/>
                <w:vertAlign w:val="superscript"/>
              </w:rPr>
              <w:t xml:space="preserve"> </w:t>
            </w:r>
            <w:r>
              <w:rPr>
                <w:sz w:val="20"/>
                <w:szCs w:val="20"/>
              </w:rPr>
              <w:t>41.9 (SD 13.1)</w:t>
            </w:r>
          </w:p>
        </w:tc>
      </w:tr>
      <w:tr w:rsidR="00750A10" w:rsidTr="00422B5D">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rFonts w:eastAsia="Calibri"/>
                <w:sz w:val="20"/>
                <w:szCs w:val="20"/>
              </w:rPr>
              <w:t xml:space="preserve">Laffey </w:t>
            </w:r>
            <w:r w:rsidR="005B36A7">
              <w:rPr>
                <w:rFonts w:eastAsia="Calibri"/>
                <w:sz w:val="20"/>
                <w:szCs w:val="20"/>
              </w:rPr>
              <w:t>and Boylan</w:t>
            </w:r>
            <w:r w:rsidR="000B49A9">
              <w:rPr>
                <w:rFonts w:eastAsia="Calibri"/>
                <w:sz w:val="20"/>
                <w:szCs w:val="20"/>
              </w:rPr>
              <w:t>,</w:t>
            </w:r>
            <w:r>
              <w:rPr>
                <w:rFonts w:eastAsia="Calibri"/>
                <w:sz w:val="20"/>
                <w:szCs w:val="20"/>
              </w:rPr>
              <w:t xml:space="preserve"> 2002</w:t>
            </w:r>
            <w:r>
              <w:rPr>
                <w:rFonts w:eastAsia="Calibri"/>
                <w:sz w:val="20"/>
                <w:szCs w:val="20"/>
                <w:vertAlign w:val="superscript"/>
              </w:rPr>
              <w:t>c</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The prevention of PONV</w:t>
            </w:r>
          </w:p>
        </w:tc>
        <w:tc>
          <w:tcPr>
            <w:tcW w:w="241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diazepam</w:t>
            </w:r>
          </w:p>
        </w:tc>
        <w:tc>
          <w:tcPr>
            <w:tcW w:w="85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IV</w:t>
            </w:r>
          </w:p>
        </w:tc>
        <w:tc>
          <w:tcPr>
            <w:tcW w:w="2835"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20 min prior to end of surgery plus infusion in </w:t>
            </w:r>
            <w:r w:rsidR="001226E8">
              <w:rPr>
                <w:sz w:val="20"/>
                <w:szCs w:val="20"/>
              </w:rPr>
              <w:t>p</w:t>
            </w:r>
            <w:r w:rsidR="001226E8" w:rsidRPr="001226E8">
              <w:rPr>
                <w:sz w:val="20"/>
                <w:szCs w:val="20"/>
              </w:rPr>
              <w:t>atient-controlled analgesia</w:t>
            </w:r>
            <w:r w:rsidR="001226E8">
              <w:rPr>
                <w:sz w:val="20"/>
                <w:szCs w:val="20"/>
              </w:rPr>
              <w:t xml:space="preserve"> (</w:t>
            </w:r>
            <w:r>
              <w:rPr>
                <w:sz w:val="20"/>
                <w:szCs w:val="20"/>
              </w:rPr>
              <w:t>PCA</w:t>
            </w:r>
            <w:r w:rsidR="001226E8">
              <w:rPr>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?14</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?46</w:t>
            </w:r>
          </w:p>
        </w:tc>
      </w:tr>
      <w:tr w:rsidR="00750A10" w:rsidTr="00422B5D">
        <w:tc>
          <w:tcPr>
            <w:tcW w:w="1809" w:type="dxa"/>
            <w:tcBorders>
              <w:top w:val="single" w:sz="4" w:space="0" w:color="auto"/>
              <w:left w:val="single" w:sz="4" w:space="0" w:color="auto"/>
              <w:bottom w:val="single" w:sz="4" w:space="0" w:color="auto"/>
              <w:right w:val="single" w:sz="4" w:space="0" w:color="auto"/>
            </w:tcBorders>
            <w:hideMark/>
          </w:tcPr>
          <w:p w:rsidR="00750A10" w:rsidRDefault="000B49A9"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Walder and </w:t>
            </w:r>
            <w:r w:rsidR="00750A10">
              <w:rPr>
                <w:sz w:val="20"/>
                <w:szCs w:val="20"/>
              </w:rPr>
              <w:t>Aitkenhead, 1995</w:t>
            </w:r>
            <w:r w:rsidR="00750A10">
              <w:rPr>
                <w:sz w:val="20"/>
                <w:szCs w:val="20"/>
                <w:vertAlign w:val="superscript"/>
              </w:rPr>
              <w:t>d</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Reduction of opiate related PONV vs. droperidol</w:t>
            </w:r>
          </w:p>
        </w:tc>
        <w:tc>
          <w:tcPr>
            <w:tcW w:w="241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temazepam</w:t>
            </w:r>
          </w:p>
        </w:tc>
        <w:tc>
          <w:tcPr>
            <w:tcW w:w="85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IV</w:t>
            </w:r>
          </w:p>
        </w:tc>
        <w:tc>
          <w:tcPr>
            <w:tcW w:w="2835"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20 min prior to end of surgery plus infusion in PCA</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25</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41.9 (SD 11.8)</w:t>
            </w:r>
          </w:p>
        </w:tc>
      </w:tr>
      <w:tr w:rsidR="00750A10" w:rsidTr="00422B5D">
        <w:trPr>
          <w:cantSplit/>
        </w:trPr>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Dundee </w:t>
            </w:r>
            <w:r w:rsidRPr="000B49A9">
              <w:rPr>
                <w:i/>
                <w:sz w:val="20"/>
                <w:szCs w:val="20"/>
              </w:rPr>
              <w:t>et al</w:t>
            </w:r>
            <w:r>
              <w:rPr>
                <w:sz w:val="20"/>
                <w:szCs w:val="20"/>
              </w:rPr>
              <w:t>,1966</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Comparison of the safety </w:t>
            </w:r>
            <w:r w:rsidR="001F77E2">
              <w:rPr>
                <w:sz w:val="20"/>
                <w:szCs w:val="20"/>
              </w:rPr>
              <w:t>and</w:t>
            </w:r>
            <w:r>
              <w:rPr>
                <w:sz w:val="20"/>
                <w:szCs w:val="20"/>
              </w:rPr>
              <w:t xml:space="preserve"> efficacy vs. trimethobenzamide and placebo</w:t>
            </w:r>
          </w:p>
        </w:tc>
        <w:tc>
          <w:tcPr>
            <w:tcW w:w="2410"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m</w:t>
            </w:r>
            <w:r w:rsidR="00750A10">
              <w:rPr>
                <w:sz w:val="20"/>
                <w:szCs w:val="20"/>
              </w:rPr>
              <w:t>orphine or atropine alone or plus study drug</w:t>
            </w:r>
          </w:p>
        </w:tc>
        <w:tc>
          <w:tcPr>
            <w:tcW w:w="850"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w:t>
            </w:r>
          </w:p>
        </w:tc>
        <w:tc>
          <w:tcPr>
            <w:tcW w:w="2835"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s>
              <w:spacing w:line="240" w:lineRule="auto"/>
              <w:rPr>
                <w:kern w:val="16"/>
                <w:sz w:val="20"/>
                <w:szCs w:val="20"/>
              </w:rPr>
            </w:pPr>
            <w:r>
              <w:rPr>
                <w:sz w:val="20"/>
                <w:szCs w:val="20"/>
              </w:rPr>
              <w:t xml:space="preserve">About </w:t>
            </w:r>
            <w:r w:rsidR="00750A10">
              <w:rPr>
                <w:sz w:val="20"/>
                <w:szCs w:val="20"/>
              </w:rPr>
              <w:t>1.5h prior to surgery</w:t>
            </w:r>
            <w:r>
              <w:rPr>
                <w:sz w:val="20"/>
                <w:szCs w:val="20"/>
              </w:rPr>
              <w:t xml:space="preserve">. </w:t>
            </w:r>
            <w:r w:rsidR="00750A10">
              <w:rPr>
                <w:sz w:val="20"/>
                <w:szCs w:val="20"/>
              </w:rPr>
              <w:t>Surgery took 6-9 mins</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150</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32</w:t>
            </w:r>
          </w:p>
        </w:tc>
      </w:tr>
    </w:tbl>
    <w:p w:rsidR="00750A10" w:rsidRPr="00263265" w:rsidRDefault="00750A10" w:rsidP="005C3144">
      <w:pPr>
        <w:pStyle w:val="Default"/>
        <w:spacing w:after="120"/>
      </w:pPr>
      <w:r>
        <w:rPr>
          <w:sz w:val="16"/>
          <w:szCs w:val="16"/>
          <w:vertAlign w:val="superscript"/>
        </w:rPr>
        <w:t>a</w:t>
      </w:r>
      <w:r>
        <w:rPr>
          <w:sz w:val="16"/>
          <w:szCs w:val="16"/>
        </w:rPr>
        <w:t xml:space="preserve"> Not included in the Cochrane </w:t>
      </w:r>
      <w:r w:rsidR="0083712B">
        <w:rPr>
          <w:sz w:val="16"/>
          <w:szCs w:val="16"/>
        </w:rPr>
        <w:t xml:space="preserve">2006 </w:t>
      </w:r>
      <w:r>
        <w:rPr>
          <w:sz w:val="16"/>
          <w:szCs w:val="16"/>
        </w:rPr>
        <w:t>meta-analysis</w:t>
      </w:r>
      <w:r>
        <w:rPr>
          <w:sz w:val="16"/>
          <w:szCs w:val="16"/>
        </w:rPr>
        <w:tab/>
      </w:r>
      <w:r>
        <w:rPr>
          <w:sz w:val="16"/>
          <w:szCs w:val="16"/>
          <w:vertAlign w:val="superscript"/>
        </w:rPr>
        <w:t>b</w:t>
      </w:r>
      <w:r>
        <w:rPr>
          <w:sz w:val="16"/>
          <w:szCs w:val="16"/>
        </w:rPr>
        <w:t xml:space="preserve"> The administering anaesthetist was not blind but patients and all other staff remained blind</w:t>
      </w:r>
      <w:r>
        <w:rPr>
          <w:sz w:val="16"/>
          <w:szCs w:val="16"/>
        </w:rPr>
        <w:tab/>
      </w:r>
      <w:r>
        <w:rPr>
          <w:sz w:val="16"/>
          <w:szCs w:val="16"/>
        </w:rPr>
        <w:tab/>
        <w:t xml:space="preserve"> </w:t>
      </w:r>
      <w:r>
        <w:rPr>
          <w:sz w:val="16"/>
          <w:szCs w:val="16"/>
          <w:vertAlign w:val="superscript"/>
        </w:rPr>
        <w:t>c</w:t>
      </w:r>
      <w:r>
        <w:rPr>
          <w:sz w:val="16"/>
          <w:szCs w:val="16"/>
        </w:rPr>
        <w:t xml:space="preserve"> Double-blind</w:t>
      </w:r>
      <w:r>
        <w:rPr>
          <w:sz w:val="16"/>
          <w:szCs w:val="16"/>
        </w:rPr>
        <w:tab/>
      </w:r>
      <w:r>
        <w:rPr>
          <w:sz w:val="16"/>
          <w:szCs w:val="16"/>
        </w:rPr>
        <w:tab/>
      </w:r>
      <w:r>
        <w:rPr>
          <w:sz w:val="16"/>
          <w:szCs w:val="16"/>
          <w:vertAlign w:val="superscript"/>
        </w:rPr>
        <w:t>d</w:t>
      </w:r>
      <w:r>
        <w:rPr>
          <w:sz w:val="16"/>
          <w:szCs w:val="16"/>
        </w:rPr>
        <w:t xml:space="preserve"> Observer blind.</w:t>
      </w:r>
    </w:p>
    <w:p w:rsidR="00750A10" w:rsidRDefault="00674106" w:rsidP="005C3144">
      <w:pPr>
        <w:pStyle w:val="FigureTitle"/>
        <w:spacing w:line="240" w:lineRule="auto"/>
      </w:pPr>
      <w:bookmarkStart w:id="124" w:name="_Toc304266856"/>
      <w:r>
        <w:lastRenderedPageBreak/>
        <w:t>Table 12</w:t>
      </w:r>
      <w:r w:rsidR="00750A10">
        <w:t>. Efficacy</w:t>
      </w:r>
      <w:r w:rsidR="001F77E2">
        <w:t>:</w:t>
      </w:r>
      <w:r w:rsidR="00750A10">
        <w:t xml:space="preserve"> Effect on opiate</w:t>
      </w:r>
      <w:bookmarkEnd w:id="124"/>
      <w:r w:rsidR="001F77E2">
        <w:t>-induced nausea and vomiting</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686"/>
        <w:gridCol w:w="2551"/>
        <w:gridCol w:w="851"/>
        <w:gridCol w:w="2693"/>
        <w:gridCol w:w="567"/>
        <w:gridCol w:w="2693"/>
      </w:tblGrid>
      <w:tr w:rsidR="00750A10" w:rsidTr="001226E8">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Study</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Study objective</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Premed</w:t>
            </w:r>
            <w:r w:rsidR="001F77E2">
              <w:rPr>
                <w:sz w:val="20"/>
                <w:szCs w:val="20"/>
              </w:rPr>
              <w:t>ication</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Patients receiving Cyclizine</w:t>
            </w:r>
          </w:p>
        </w:tc>
      </w:tr>
      <w:tr w:rsidR="00750A10" w:rsidTr="001226E8">
        <w:tc>
          <w:tcPr>
            <w:tcW w:w="1809"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spacing w:line="240" w:lineRule="auto"/>
              <w:rPr>
                <w:kern w:val="16"/>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Route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Time</w:t>
            </w:r>
          </w:p>
        </w:tc>
        <w:tc>
          <w:tcPr>
            <w:tcW w:w="567"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M/F Mean age </w:t>
            </w:r>
            <w:r w:rsidR="001F77E2">
              <w:rPr>
                <w:sz w:val="20"/>
                <w:szCs w:val="20"/>
              </w:rPr>
              <w:t xml:space="preserve">years </w:t>
            </w:r>
            <w:r>
              <w:rPr>
                <w:sz w:val="20"/>
                <w:szCs w:val="20"/>
              </w:rPr>
              <w:t>(range)</w:t>
            </w:r>
          </w:p>
        </w:tc>
      </w:tr>
      <w:tr w:rsidR="00750A10" w:rsidTr="001226E8">
        <w:tc>
          <w:tcPr>
            <w:tcW w:w="1809"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Dundee and</w:t>
            </w:r>
            <w:r w:rsidR="00750A10">
              <w:rPr>
                <w:sz w:val="20"/>
                <w:szCs w:val="20"/>
              </w:rPr>
              <w:t xml:space="preserve"> Jones, 1968</w:t>
            </w:r>
            <w:r w:rsidR="00750A10">
              <w:rPr>
                <w:sz w:val="20"/>
                <w:szCs w:val="20"/>
                <w:vertAlign w:val="superscript"/>
              </w:rPr>
              <w:t xml:space="preserve"> a</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Suppression of oral opiate induced </w:t>
            </w:r>
            <w:r w:rsidR="001F77E2">
              <w:rPr>
                <w:sz w:val="20"/>
                <w:szCs w:val="20"/>
              </w:rPr>
              <w:t xml:space="preserve">nausea and vomiting </w:t>
            </w:r>
          </w:p>
        </w:tc>
        <w:tc>
          <w:tcPr>
            <w:tcW w:w="2551"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n</w:t>
            </w:r>
            <w:r w:rsidR="00750A10">
              <w:rPr>
                <w:sz w:val="20"/>
                <w:szCs w:val="20"/>
              </w:rPr>
              <w:t>ot applicable</w:t>
            </w:r>
          </w:p>
        </w:tc>
        <w:tc>
          <w:tcPr>
            <w:tcW w:w="851"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PO</w:t>
            </w:r>
          </w:p>
        </w:tc>
        <w:tc>
          <w:tcPr>
            <w:tcW w:w="2693" w:type="dxa"/>
            <w:tcBorders>
              <w:top w:val="single" w:sz="4" w:space="0" w:color="auto"/>
              <w:left w:val="single" w:sz="4" w:space="0" w:color="auto"/>
              <w:bottom w:val="single" w:sz="4" w:space="0" w:color="auto"/>
              <w:right w:val="single" w:sz="4" w:space="0" w:color="auto"/>
            </w:tcBorders>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83</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M 38 F 45 (</w:t>
            </w:r>
            <w:r w:rsidR="00750A10">
              <w:rPr>
                <w:sz w:val="20"/>
                <w:szCs w:val="20"/>
              </w:rPr>
              <w:t>31-89)</w:t>
            </w:r>
          </w:p>
        </w:tc>
      </w:tr>
      <w:tr w:rsidR="00750A10" w:rsidTr="001226E8">
        <w:tc>
          <w:tcPr>
            <w:tcW w:w="1809"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Chestnutt and</w:t>
            </w:r>
            <w:r w:rsidR="00750A10">
              <w:rPr>
                <w:sz w:val="20"/>
                <w:szCs w:val="20"/>
              </w:rPr>
              <w:t xml:space="preserve"> Dundee, 1986</w:t>
            </w:r>
            <w:r w:rsidR="00750A10">
              <w:rPr>
                <w:sz w:val="20"/>
                <w:szCs w:val="20"/>
                <w:vertAlign w:val="superscript"/>
              </w:rPr>
              <w:t>a</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Reduction in PONV vs. perphenazine and placebo</w:t>
            </w:r>
          </w:p>
        </w:tc>
        <w:tc>
          <w:tcPr>
            <w:tcW w:w="2551"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o</w:t>
            </w:r>
            <w:r w:rsidR="00750A10">
              <w:rPr>
                <w:sz w:val="20"/>
                <w:szCs w:val="20"/>
              </w:rPr>
              <w:t>piate (meptazinol) alone or plus study drug</w:t>
            </w:r>
          </w:p>
        </w:tc>
        <w:tc>
          <w:tcPr>
            <w:tcW w:w="851"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s>
              <w:spacing w:line="240" w:lineRule="auto"/>
              <w:rPr>
                <w:kern w:val="16"/>
                <w:sz w:val="20"/>
                <w:szCs w:val="20"/>
              </w:rPr>
            </w:pPr>
            <w:r>
              <w:rPr>
                <w:sz w:val="20"/>
                <w:szCs w:val="20"/>
              </w:rPr>
              <w:t>About</w:t>
            </w:r>
            <w:r w:rsidR="00750A10">
              <w:rPr>
                <w:sz w:val="20"/>
                <w:szCs w:val="20"/>
              </w:rPr>
              <w:t xml:space="preserve"> 1.5h prior to surgery</w:t>
            </w:r>
            <w:r w:rsidR="00750A10">
              <w:rPr>
                <w:sz w:val="20"/>
                <w:szCs w:val="20"/>
                <w:vertAlign w:val="superscript"/>
              </w:rPr>
              <w:t>2</w:t>
            </w:r>
            <w:r>
              <w:rPr>
                <w:sz w:val="20"/>
                <w:szCs w:val="20"/>
                <w:vertAlign w:val="superscript"/>
              </w:rPr>
              <w:t>.</w:t>
            </w:r>
            <w:r w:rsidRPr="001F77E2">
              <w:rPr>
                <w:sz w:val="20"/>
                <w:szCs w:val="20"/>
                <w:vertAlign w:val="subscript"/>
              </w:rPr>
              <w:t xml:space="preserve"> </w:t>
            </w:r>
            <w:r w:rsidR="00750A10">
              <w:rPr>
                <w:sz w:val="20"/>
                <w:szCs w:val="20"/>
              </w:rPr>
              <w:t>Surgery took 8–15 mins</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40</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33 (SD 11)</w:t>
            </w:r>
          </w:p>
        </w:tc>
      </w:tr>
      <w:tr w:rsidR="00750A10" w:rsidTr="001226E8">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Dundee </w:t>
            </w:r>
            <w:r w:rsidRPr="001F77E2">
              <w:rPr>
                <w:i/>
                <w:sz w:val="20"/>
                <w:szCs w:val="20"/>
              </w:rPr>
              <w:t>et al</w:t>
            </w:r>
            <w:r>
              <w:rPr>
                <w:sz w:val="20"/>
                <w:szCs w:val="20"/>
              </w:rPr>
              <w:t>., 1975</w:t>
            </w:r>
            <w:r>
              <w:rPr>
                <w:sz w:val="20"/>
                <w:szCs w:val="20"/>
                <w:vertAlign w:val="superscript"/>
              </w:rPr>
              <w:t>a</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Comparison of the effects vs. perphenazine on opiate related </w:t>
            </w:r>
            <w:r w:rsidR="001F77E2">
              <w:rPr>
                <w:sz w:val="20"/>
                <w:szCs w:val="20"/>
              </w:rPr>
              <w:t xml:space="preserve">nausea and vomiting </w:t>
            </w:r>
          </w:p>
        </w:tc>
        <w:tc>
          <w:tcPr>
            <w:tcW w:w="2551"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m</w:t>
            </w:r>
            <w:r w:rsidR="00750A10">
              <w:rPr>
                <w:sz w:val="20"/>
                <w:szCs w:val="20"/>
              </w:rPr>
              <w:t>orphine or pethidine alone or plus study drug</w:t>
            </w:r>
          </w:p>
        </w:tc>
        <w:tc>
          <w:tcPr>
            <w:tcW w:w="851"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s>
              <w:spacing w:line="240" w:lineRule="auto"/>
              <w:rPr>
                <w:kern w:val="16"/>
                <w:sz w:val="20"/>
                <w:szCs w:val="20"/>
              </w:rPr>
            </w:pPr>
            <w:r>
              <w:rPr>
                <w:sz w:val="20"/>
                <w:szCs w:val="20"/>
              </w:rPr>
              <w:t xml:space="preserve">About </w:t>
            </w:r>
            <w:r w:rsidR="00750A10">
              <w:rPr>
                <w:sz w:val="20"/>
                <w:szCs w:val="20"/>
              </w:rPr>
              <w:t>1.5h prior to surgery</w:t>
            </w:r>
            <w:r>
              <w:rPr>
                <w:sz w:val="20"/>
                <w:szCs w:val="20"/>
              </w:rPr>
              <w:t xml:space="preserve">. </w:t>
            </w:r>
            <w:r w:rsidR="00750A10">
              <w:rPr>
                <w:sz w:val="20"/>
                <w:szCs w:val="20"/>
              </w:rPr>
              <w:t>Surgery took 5-10 mins</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300</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NK</w:t>
            </w:r>
          </w:p>
        </w:tc>
      </w:tr>
      <w:tr w:rsidR="00750A10" w:rsidTr="001226E8">
        <w:tc>
          <w:tcPr>
            <w:tcW w:w="1809"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vertAlign w:val="superscript"/>
              </w:rPr>
            </w:pPr>
            <w:r>
              <w:rPr>
                <w:sz w:val="20"/>
                <w:szCs w:val="20"/>
              </w:rPr>
              <w:t xml:space="preserve">Dundee </w:t>
            </w:r>
            <w:r w:rsidRPr="001F77E2">
              <w:rPr>
                <w:i/>
                <w:sz w:val="20"/>
                <w:szCs w:val="20"/>
              </w:rPr>
              <w:t>et al</w:t>
            </w:r>
            <w:r>
              <w:rPr>
                <w:sz w:val="20"/>
                <w:szCs w:val="20"/>
              </w:rPr>
              <w:t>., 1966</w:t>
            </w:r>
          </w:p>
        </w:tc>
        <w:tc>
          <w:tcPr>
            <w:tcW w:w="3686"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Balance of desirable/undesirable effects</w:t>
            </w:r>
          </w:p>
        </w:tc>
        <w:tc>
          <w:tcPr>
            <w:tcW w:w="2551"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a</w:t>
            </w:r>
            <w:r w:rsidR="00750A10">
              <w:rPr>
                <w:sz w:val="20"/>
                <w:szCs w:val="20"/>
              </w:rPr>
              <w:t>tropine or pethidine 100</w:t>
            </w:r>
            <w:r>
              <w:rPr>
                <w:sz w:val="20"/>
                <w:szCs w:val="20"/>
              </w:rPr>
              <w:t xml:space="preserve"> mg alone </w:t>
            </w:r>
            <w:r w:rsidR="00750A10">
              <w:rPr>
                <w:sz w:val="20"/>
                <w:szCs w:val="20"/>
              </w:rPr>
              <w:t xml:space="preserve">or with study drug </w:t>
            </w:r>
          </w:p>
        </w:tc>
        <w:tc>
          <w:tcPr>
            <w:tcW w:w="851"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IM</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1F77E2" w:rsidP="005C3144">
            <w:pPr>
              <w:tabs>
                <w:tab w:val="left" w:pos="720"/>
              </w:tabs>
              <w:spacing w:line="240" w:lineRule="auto"/>
              <w:rPr>
                <w:kern w:val="16"/>
                <w:sz w:val="20"/>
                <w:szCs w:val="20"/>
              </w:rPr>
            </w:pPr>
            <w:r>
              <w:rPr>
                <w:sz w:val="20"/>
                <w:szCs w:val="20"/>
              </w:rPr>
              <w:t xml:space="preserve">About </w:t>
            </w:r>
            <w:r w:rsidR="00750A10">
              <w:rPr>
                <w:sz w:val="20"/>
                <w:szCs w:val="20"/>
              </w:rPr>
              <w:t>1.5h prior to surgery</w:t>
            </w:r>
            <w:r>
              <w:rPr>
                <w:sz w:val="20"/>
                <w:szCs w:val="20"/>
              </w:rPr>
              <w:t xml:space="preserve">. </w:t>
            </w:r>
            <w:r w:rsidR="00750A10">
              <w:rPr>
                <w:sz w:val="20"/>
                <w:szCs w:val="20"/>
              </w:rPr>
              <w:t>Surgery took 5-7mins</w:t>
            </w:r>
          </w:p>
        </w:tc>
        <w:tc>
          <w:tcPr>
            <w:tcW w:w="567"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150</w:t>
            </w:r>
          </w:p>
        </w:tc>
        <w:tc>
          <w:tcPr>
            <w:tcW w:w="2693" w:type="dxa"/>
            <w:tcBorders>
              <w:top w:val="single" w:sz="4" w:space="0" w:color="auto"/>
              <w:left w:val="single" w:sz="4" w:space="0" w:color="auto"/>
              <w:bottom w:val="single" w:sz="4" w:space="0" w:color="auto"/>
              <w:right w:val="single" w:sz="4" w:space="0" w:color="auto"/>
            </w:tcBorders>
            <w:hideMark/>
          </w:tcPr>
          <w:p w:rsidR="00750A10" w:rsidRDefault="00750A10"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F 31.8</w:t>
            </w:r>
          </w:p>
        </w:tc>
      </w:tr>
    </w:tbl>
    <w:p w:rsidR="00750A10" w:rsidRDefault="00750A10" w:rsidP="005C3144">
      <w:pPr>
        <w:spacing w:line="240" w:lineRule="auto"/>
        <w:rPr>
          <w:kern w:val="16"/>
          <w:sz w:val="16"/>
          <w:szCs w:val="16"/>
        </w:rPr>
      </w:pPr>
      <w:r>
        <w:rPr>
          <w:sz w:val="16"/>
          <w:szCs w:val="16"/>
        </w:rPr>
        <w:t xml:space="preserve">NOTE: </w:t>
      </w:r>
      <w:r>
        <w:rPr>
          <w:bCs/>
          <w:sz w:val="16"/>
          <w:szCs w:val="16"/>
        </w:rPr>
        <w:t xml:space="preserve">Chestnutt </w:t>
      </w:r>
      <w:r w:rsidR="00463320">
        <w:rPr>
          <w:bCs/>
          <w:sz w:val="16"/>
          <w:szCs w:val="16"/>
        </w:rPr>
        <w:t>and Dundee, 1986 and</w:t>
      </w:r>
      <w:r>
        <w:rPr>
          <w:bCs/>
          <w:sz w:val="16"/>
          <w:szCs w:val="16"/>
        </w:rPr>
        <w:t xml:space="preserve"> Dundee </w:t>
      </w:r>
      <w:r w:rsidRPr="001F77E2">
        <w:rPr>
          <w:bCs/>
          <w:i/>
          <w:sz w:val="16"/>
          <w:szCs w:val="16"/>
        </w:rPr>
        <w:t>et al</w:t>
      </w:r>
      <w:r>
        <w:rPr>
          <w:bCs/>
          <w:sz w:val="16"/>
          <w:szCs w:val="16"/>
        </w:rPr>
        <w:t>., 1975 are listed here as well since they looked at the effect on opiate premed for 90 mins preoperatively.</w:t>
      </w:r>
    </w:p>
    <w:p w:rsidR="00750A10" w:rsidRDefault="00750A10" w:rsidP="005C3144">
      <w:pPr>
        <w:pStyle w:val="Default"/>
        <w:spacing w:after="120"/>
        <w:rPr>
          <w:sz w:val="16"/>
          <w:szCs w:val="16"/>
        </w:rPr>
      </w:pPr>
      <w:r>
        <w:rPr>
          <w:sz w:val="16"/>
          <w:szCs w:val="16"/>
          <w:vertAlign w:val="superscript"/>
        </w:rPr>
        <w:t>a</w:t>
      </w:r>
      <w:r>
        <w:rPr>
          <w:sz w:val="16"/>
          <w:szCs w:val="16"/>
        </w:rPr>
        <w:t xml:space="preserve"> Double-blind.</w:t>
      </w:r>
      <w:r w:rsidR="00463320">
        <w:rPr>
          <w:sz w:val="16"/>
          <w:szCs w:val="16"/>
        </w:rPr>
        <w:t xml:space="preserve"> </w:t>
      </w:r>
      <w:r>
        <w:rPr>
          <w:sz w:val="16"/>
          <w:szCs w:val="16"/>
          <w:vertAlign w:val="superscript"/>
        </w:rPr>
        <w:t>b</w:t>
      </w:r>
      <w:r>
        <w:rPr>
          <w:sz w:val="16"/>
          <w:szCs w:val="16"/>
        </w:rPr>
        <w:t xml:space="preserve"> The administering anaesthetist was not blind but patients and all other staff remained blind.</w:t>
      </w:r>
      <w:r w:rsidR="00463320">
        <w:rPr>
          <w:sz w:val="16"/>
          <w:szCs w:val="16"/>
        </w:rPr>
        <w:t xml:space="preserve">  </w:t>
      </w:r>
      <w:r>
        <w:rPr>
          <w:sz w:val="16"/>
          <w:szCs w:val="16"/>
          <w:vertAlign w:val="superscript"/>
        </w:rPr>
        <w:t>2</w:t>
      </w:r>
      <w:r>
        <w:rPr>
          <w:sz w:val="16"/>
          <w:szCs w:val="16"/>
        </w:rPr>
        <w:t xml:space="preserve"> Based on figure 1 in the study.</w:t>
      </w:r>
    </w:p>
    <w:p w:rsidR="00750A10" w:rsidRDefault="00750A10" w:rsidP="005C3144">
      <w:pPr>
        <w:spacing w:line="240" w:lineRule="auto"/>
      </w:pPr>
    </w:p>
    <w:p w:rsidR="00750A10" w:rsidRDefault="00750A10" w:rsidP="005C3144">
      <w:pPr>
        <w:spacing w:line="240" w:lineRule="auto"/>
        <w:sectPr w:rsidR="00750A10" w:rsidSect="005B36A7">
          <w:endnotePr>
            <w:numFmt w:val="decimal"/>
          </w:endnotePr>
          <w:pgSz w:w="16838" w:h="11906" w:orient="landscape"/>
          <w:pgMar w:top="1135" w:right="1134" w:bottom="1134" w:left="1134" w:header="737" w:footer="737" w:gutter="0"/>
          <w:cols w:space="720"/>
        </w:sectPr>
      </w:pPr>
    </w:p>
    <w:p w:rsidR="00750A10" w:rsidRPr="0070046C" w:rsidRDefault="0070046C" w:rsidP="005C3144">
      <w:pPr>
        <w:pStyle w:val="Heading4"/>
        <w:spacing w:line="240" w:lineRule="auto"/>
      </w:pPr>
      <w:bookmarkStart w:id="125" w:name="_Toc304266769"/>
      <w:bookmarkStart w:id="126" w:name="_Ref271040927"/>
      <w:bookmarkStart w:id="127" w:name="_Ref271040932"/>
      <w:bookmarkStart w:id="128" w:name="_Toc272414653"/>
      <w:bookmarkStart w:id="129" w:name="_Toc273018216"/>
      <w:bookmarkStart w:id="130" w:name="_Ref243301615"/>
      <w:r>
        <w:lastRenderedPageBreak/>
        <w:t>E</w:t>
      </w:r>
      <w:r w:rsidRPr="0070046C">
        <w:t>fficacy studies considered pivotal by the sponsor</w:t>
      </w:r>
      <w:bookmarkEnd w:id="125"/>
    </w:p>
    <w:bookmarkEnd w:id="126"/>
    <w:bookmarkEnd w:id="127"/>
    <w:bookmarkEnd w:id="128"/>
    <w:bookmarkEnd w:id="129"/>
    <w:bookmarkEnd w:id="130"/>
    <w:p w:rsidR="00750A10" w:rsidRPr="00314664" w:rsidRDefault="00750A10" w:rsidP="005C3144">
      <w:pPr>
        <w:pStyle w:val="Default"/>
        <w:spacing w:after="120"/>
        <w:rPr>
          <w:rFonts w:ascii="Cambria" w:hAnsi="Cambria"/>
          <w:sz w:val="22"/>
          <w:szCs w:val="22"/>
        </w:rPr>
      </w:pPr>
      <w:r w:rsidRPr="00314664">
        <w:rPr>
          <w:rFonts w:ascii="Cambria" w:hAnsi="Cambria"/>
          <w:sz w:val="22"/>
          <w:szCs w:val="22"/>
        </w:rPr>
        <w:t>The sponsor</w:t>
      </w:r>
      <w:r w:rsidR="00463320">
        <w:rPr>
          <w:rFonts w:ascii="Cambria" w:hAnsi="Cambria"/>
          <w:sz w:val="22"/>
          <w:szCs w:val="22"/>
        </w:rPr>
        <w:t xml:space="preserve">, on page 14 of the </w:t>
      </w:r>
      <w:r w:rsidR="00463320" w:rsidRPr="00463320">
        <w:rPr>
          <w:rFonts w:ascii="Cambria" w:hAnsi="Cambria"/>
          <w:i/>
          <w:sz w:val="22"/>
          <w:szCs w:val="22"/>
        </w:rPr>
        <w:t>Clinical Summary</w:t>
      </w:r>
      <w:r w:rsidR="004C7F27">
        <w:rPr>
          <w:rFonts w:ascii="Cambria" w:hAnsi="Cambria"/>
          <w:sz w:val="22"/>
          <w:szCs w:val="22"/>
        </w:rPr>
        <w:t xml:space="preserve"> </w:t>
      </w:r>
      <w:r w:rsidR="00463320">
        <w:rPr>
          <w:rFonts w:ascii="Cambria" w:hAnsi="Cambria"/>
          <w:sz w:val="22"/>
          <w:szCs w:val="22"/>
        </w:rPr>
        <w:t xml:space="preserve"> </w:t>
      </w:r>
      <w:r w:rsidR="002C26CA">
        <w:rPr>
          <w:rFonts w:ascii="Cambria" w:hAnsi="Cambria"/>
          <w:sz w:val="22"/>
          <w:szCs w:val="22"/>
        </w:rPr>
        <w:t>states</w:t>
      </w:r>
      <w:r w:rsidRPr="00314664">
        <w:rPr>
          <w:rFonts w:ascii="Cambria" w:hAnsi="Cambria"/>
          <w:sz w:val="22"/>
          <w:szCs w:val="22"/>
        </w:rPr>
        <w:t xml:space="preserve">: </w:t>
      </w:r>
    </w:p>
    <w:p w:rsidR="00750A10" w:rsidRPr="00314664" w:rsidRDefault="004C7F27" w:rsidP="005C3144">
      <w:pPr>
        <w:pStyle w:val="Default"/>
        <w:spacing w:after="120"/>
        <w:ind w:left="567"/>
        <w:rPr>
          <w:rFonts w:ascii="Cambria" w:hAnsi="Cambria" w:cs="Arial"/>
          <w:i/>
          <w:sz w:val="22"/>
          <w:szCs w:val="22"/>
        </w:rPr>
      </w:pPr>
      <w:r>
        <w:rPr>
          <w:rFonts w:ascii="Cambria" w:hAnsi="Cambria" w:cs="Arial"/>
          <w:i/>
          <w:sz w:val="22"/>
          <w:szCs w:val="22"/>
        </w:rPr>
        <w:t>“…t</w:t>
      </w:r>
      <w:r w:rsidR="00750A10" w:rsidRPr="00314664">
        <w:rPr>
          <w:rFonts w:ascii="Cambria" w:hAnsi="Cambria" w:cs="Arial"/>
          <w:i/>
          <w:sz w:val="22"/>
          <w:szCs w:val="22"/>
        </w:rPr>
        <w:t xml:space="preserve">welve clinical studies investigating cyclizine in the prevention of nausea and vomiting caused by narcotic analgesics and by general anaesthetics relating to the period of modern anaesthesia. The studies are Johns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2006; O’Brien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2003; Grimsehl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2002; Nortcliffe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2003; Ahmed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2000; Cholwill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1999; Watts 1996; Walder &amp; Aitkenhead 1995; Chestnutt &amp; Dundee 1986; Dundee </w:t>
      </w:r>
      <w:r w:rsidR="00750A10" w:rsidRPr="00314664">
        <w:rPr>
          <w:rFonts w:ascii="Cambria" w:hAnsi="Cambria" w:cs="Arial"/>
          <w:i/>
          <w:iCs/>
          <w:sz w:val="22"/>
          <w:szCs w:val="22"/>
        </w:rPr>
        <w:t xml:space="preserve">et al </w:t>
      </w:r>
      <w:r w:rsidR="00750A10" w:rsidRPr="00314664">
        <w:rPr>
          <w:rFonts w:ascii="Cambria" w:hAnsi="Cambria" w:cs="Arial"/>
          <w:i/>
          <w:sz w:val="22"/>
          <w:szCs w:val="22"/>
        </w:rPr>
        <w:t xml:space="preserve">1975; Laffey &amp; Boylan 2002 &amp; Hildyard </w:t>
      </w:r>
      <w:r w:rsidR="00750A10" w:rsidRPr="00314664">
        <w:rPr>
          <w:rFonts w:ascii="Cambria" w:hAnsi="Cambria" w:cs="Arial"/>
          <w:i/>
          <w:iCs/>
          <w:sz w:val="22"/>
          <w:szCs w:val="22"/>
        </w:rPr>
        <w:t xml:space="preserve">et al </w:t>
      </w:r>
      <w:r w:rsidR="00750A10" w:rsidRPr="00314664">
        <w:rPr>
          <w:rFonts w:ascii="Cambria" w:hAnsi="Cambria" w:cs="Arial"/>
          <w:i/>
          <w:sz w:val="22"/>
          <w:szCs w:val="22"/>
        </w:rPr>
        <w:t>2001</w:t>
      </w:r>
      <w:r>
        <w:rPr>
          <w:rFonts w:ascii="Cambria" w:hAnsi="Cambria" w:cs="Arial"/>
          <w:i/>
          <w:sz w:val="22"/>
          <w:szCs w:val="22"/>
        </w:rPr>
        <w:t>.”</w:t>
      </w:r>
      <w:r w:rsidR="00750A10" w:rsidRPr="00314664">
        <w:rPr>
          <w:rFonts w:ascii="Cambria" w:hAnsi="Cambria" w:cs="Arial"/>
          <w:i/>
          <w:sz w:val="22"/>
          <w:szCs w:val="22"/>
        </w:rPr>
        <w:t xml:space="preserve"> </w:t>
      </w:r>
    </w:p>
    <w:p w:rsidR="00750A10" w:rsidRDefault="00750A10" w:rsidP="005C3144">
      <w:pPr>
        <w:spacing w:line="240" w:lineRule="auto"/>
        <w:rPr>
          <w:rFonts w:ascii="Times New Roman" w:hAnsi="Times New Roman" w:cs="Times New Roman"/>
          <w:sz w:val="24"/>
          <w:szCs w:val="24"/>
        </w:rPr>
      </w:pPr>
      <w:r>
        <w:t>Of these the evaluator consider</w:t>
      </w:r>
      <w:r w:rsidR="00A3630E">
        <w:t xml:space="preserve">s the following are </w:t>
      </w:r>
      <w:r w:rsidR="00A3630E" w:rsidRPr="002C26CA">
        <w:rPr>
          <w:b/>
        </w:rPr>
        <w:t>not</w:t>
      </w:r>
      <w:r>
        <w:t xml:space="preserve"> acceptable for evidence for efficacy:</w:t>
      </w:r>
    </w:p>
    <w:p w:rsidR="00750A10" w:rsidRDefault="00750A10" w:rsidP="005C3144">
      <w:pPr>
        <w:pStyle w:val="ListBullet"/>
        <w:spacing w:after="120" w:line="240" w:lineRule="auto"/>
      </w:pPr>
      <w:r>
        <w:t xml:space="preserve">Hildyard </w:t>
      </w:r>
      <w:r w:rsidR="002C26CA" w:rsidRPr="002C26CA">
        <w:rPr>
          <w:i/>
        </w:rPr>
        <w:t>et al</w:t>
      </w:r>
      <w:r w:rsidR="002C26CA">
        <w:t xml:space="preserve">., 2001: </w:t>
      </w:r>
      <w:r>
        <w:t xml:space="preserve">Abstract only </w:t>
      </w:r>
      <w:r w:rsidR="004C7F27">
        <w:t xml:space="preserve">was </w:t>
      </w:r>
      <w:r>
        <w:t>submitted</w:t>
      </w:r>
      <w:r w:rsidR="004C7F27">
        <w:t>,</w:t>
      </w:r>
      <w:r>
        <w:t xml:space="preserve"> with limited data.</w:t>
      </w:r>
    </w:p>
    <w:p w:rsidR="00750A10" w:rsidRDefault="00750A10" w:rsidP="005C3144">
      <w:pPr>
        <w:pStyle w:val="ListBullet"/>
        <w:spacing w:after="120" w:line="240" w:lineRule="auto"/>
      </w:pPr>
      <w:r>
        <w:t xml:space="preserve">O'Brien </w:t>
      </w:r>
      <w:r w:rsidR="004C7F27" w:rsidRPr="004C7F27">
        <w:rPr>
          <w:i/>
        </w:rPr>
        <w:t>et al</w:t>
      </w:r>
      <w:r w:rsidR="004C7F27">
        <w:t xml:space="preserve">., </w:t>
      </w:r>
      <w:r>
        <w:t>2003</w:t>
      </w:r>
      <w:r w:rsidR="004C7F27">
        <w:t>:</w:t>
      </w:r>
      <w:r>
        <w:t xml:space="preserve"> Antihistamine </w:t>
      </w:r>
      <w:r w:rsidR="004C7F27">
        <w:t xml:space="preserve">was used as </w:t>
      </w:r>
      <w:r>
        <w:t>premed</w:t>
      </w:r>
      <w:r w:rsidR="002C26CA">
        <w:t>ication</w:t>
      </w:r>
      <w:r>
        <w:t xml:space="preserve"> (</w:t>
      </w:r>
      <w:r w:rsidR="00BF1088">
        <w:t>PO</w:t>
      </w:r>
      <w:r w:rsidR="004C7F27">
        <w:t xml:space="preserve"> trimeprazine);</w:t>
      </w:r>
      <w:r>
        <w:t xml:space="preserve"> outside </w:t>
      </w:r>
      <w:r w:rsidR="004C7F27">
        <w:t xml:space="preserve">the </w:t>
      </w:r>
      <w:r>
        <w:t xml:space="preserve">age group for </w:t>
      </w:r>
      <w:r w:rsidR="002C26CA">
        <w:t>[</w:t>
      </w:r>
      <w:r w:rsidR="004C7F27">
        <w:t xml:space="preserve">the </w:t>
      </w:r>
      <w:r w:rsidR="002C26CA">
        <w:t>proposed] i</w:t>
      </w:r>
      <w:r>
        <w:t>ndications.</w:t>
      </w:r>
    </w:p>
    <w:p w:rsidR="00750A10" w:rsidRDefault="00750A10" w:rsidP="005C3144">
      <w:pPr>
        <w:pStyle w:val="ListBullet"/>
        <w:spacing w:after="120" w:line="240" w:lineRule="auto"/>
      </w:pPr>
      <w:r>
        <w:t xml:space="preserve">Nortcliffe </w:t>
      </w:r>
      <w:r w:rsidR="004C7F27" w:rsidRPr="004C7F27">
        <w:rPr>
          <w:i/>
        </w:rPr>
        <w:t>et al</w:t>
      </w:r>
      <w:r w:rsidR="004C7F27">
        <w:t xml:space="preserve">., 2003: </w:t>
      </w:r>
      <w:r>
        <w:t>All patients received ephedrine</w:t>
      </w:r>
      <w:r>
        <w:rPr>
          <w:rStyle w:val="FootnoteReference"/>
        </w:rPr>
        <w:footnoteReference w:id="13"/>
      </w:r>
      <w:r>
        <w:t xml:space="preserve"> </w:t>
      </w:r>
      <w:r w:rsidR="004C7F27">
        <w:t>PRN</w:t>
      </w:r>
      <w:r>
        <w:t>; patients received cyclizine at the end of surgery, morphine was given intrathecally with fentanyl and heavy bupivacaine prior to surgery.</w:t>
      </w:r>
    </w:p>
    <w:p w:rsidR="00463320" w:rsidRDefault="00750A10" w:rsidP="005C3144">
      <w:pPr>
        <w:spacing w:line="240" w:lineRule="auto"/>
      </w:pPr>
      <w:r>
        <w:t>Of the remaining studies the evaluator considers that four studies could not be considered pivotal to the proposed indication.</w:t>
      </w:r>
      <w:r w:rsidR="00314664">
        <w:t xml:space="preserve"> </w:t>
      </w:r>
    </w:p>
    <w:p w:rsidR="00750A10" w:rsidRDefault="00750A10" w:rsidP="005C3144">
      <w:pPr>
        <w:spacing w:line="240" w:lineRule="auto"/>
        <w:rPr>
          <w:rFonts w:eastAsia="Calibri"/>
          <w:sz w:val="20"/>
          <w:szCs w:val="20"/>
        </w:rPr>
      </w:pPr>
      <w:r>
        <w:t xml:space="preserve">Two studies use dosage and administration differing from that proposed - being given both </w:t>
      </w:r>
      <w:r w:rsidR="00C91AAD">
        <w:t xml:space="preserve">as </w:t>
      </w:r>
      <w:r>
        <w:t>an IV bolus of the proposed dose 20 min prior to end of surgery and also an infusion in the PCA</w:t>
      </w:r>
      <w:r w:rsidR="00C91AAD">
        <w:t>:</w:t>
      </w:r>
      <w:r>
        <w:rPr>
          <w:rFonts w:eastAsia="Calibri"/>
          <w:sz w:val="20"/>
          <w:szCs w:val="20"/>
        </w:rPr>
        <w:t xml:space="preserve"> </w:t>
      </w:r>
    </w:p>
    <w:p w:rsidR="00750A10" w:rsidRDefault="00C91AAD" w:rsidP="005C3144">
      <w:pPr>
        <w:pStyle w:val="ListBullet"/>
        <w:spacing w:after="120" w:line="240" w:lineRule="auto"/>
        <w:rPr>
          <w:rFonts w:eastAsia="Times New Roman"/>
          <w:kern w:val="16"/>
          <w:sz w:val="24"/>
          <w:szCs w:val="24"/>
          <w:lang w:eastAsia="en-AU"/>
        </w:rPr>
      </w:pPr>
      <w:r>
        <w:t>Laffey and</w:t>
      </w:r>
      <w:r w:rsidR="00750A10">
        <w:t xml:space="preserve"> Boylan</w:t>
      </w:r>
      <w:r>
        <w:t>,</w:t>
      </w:r>
      <w:r w:rsidR="00750A10">
        <w:t xml:space="preserve"> 2002. </w:t>
      </w:r>
    </w:p>
    <w:p w:rsidR="00750A10" w:rsidRDefault="00750A10" w:rsidP="005C3144">
      <w:pPr>
        <w:pStyle w:val="ListBullet"/>
        <w:spacing w:after="120" w:line="240" w:lineRule="auto"/>
      </w:pPr>
      <w:r>
        <w:t xml:space="preserve">Walder </w:t>
      </w:r>
      <w:r w:rsidR="00C91AAD">
        <w:t xml:space="preserve">and </w:t>
      </w:r>
      <w:r>
        <w:t>Aitkenhead</w:t>
      </w:r>
      <w:r w:rsidR="00C91AAD">
        <w:t>,</w:t>
      </w:r>
      <w:r>
        <w:rPr>
          <w:i/>
          <w:iCs/>
        </w:rPr>
        <w:t xml:space="preserve"> </w:t>
      </w:r>
      <w:r>
        <w:t>1995.</w:t>
      </w:r>
    </w:p>
    <w:p w:rsidR="00750A10" w:rsidRDefault="00750A10" w:rsidP="005C3144">
      <w:pPr>
        <w:spacing w:line="240" w:lineRule="auto"/>
      </w:pPr>
      <w:r>
        <w:t>One study only made comparison of a combination (that included cyclizine) with another active drug (ondansetron)</w:t>
      </w:r>
      <w:r w:rsidR="00C91AAD">
        <w:t>:</w:t>
      </w:r>
    </w:p>
    <w:p w:rsidR="00750A10" w:rsidRDefault="00750A10" w:rsidP="005C3144">
      <w:pPr>
        <w:pStyle w:val="ListBullet"/>
        <w:spacing w:after="120" w:line="240" w:lineRule="auto"/>
      </w:pPr>
      <w:r>
        <w:t xml:space="preserve">Ahmed </w:t>
      </w:r>
      <w:r w:rsidR="00C91AAD" w:rsidRPr="00C91AAD">
        <w:rPr>
          <w:i/>
        </w:rPr>
        <w:t>et al</w:t>
      </w:r>
      <w:r w:rsidR="00C91AAD">
        <w:t>., 2000</w:t>
      </w:r>
      <w:r>
        <w:t>.</w:t>
      </w:r>
    </w:p>
    <w:p w:rsidR="00750A10" w:rsidRDefault="00750A10" w:rsidP="005C3144">
      <w:pPr>
        <w:spacing w:line="240" w:lineRule="auto"/>
      </w:pPr>
      <w:r>
        <w:t>One study had no placebo and only made comparison with a combination (</w:t>
      </w:r>
      <w:r w:rsidR="00B261B4">
        <w:t>that is,</w:t>
      </w:r>
      <w:r>
        <w:t xml:space="preserve"> there was no placebo control and there was no statistical comparison given with the other active drug (granisetron), except that the incidence of PONV after discharge from the day surgery unit was significantly higher (</w:t>
      </w:r>
      <w:r w:rsidR="00C91AAD">
        <w:t xml:space="preserve">confidence intervals </w:t>
      </w:r>
      <w:r>
        <w:t>not given) in those who had received granisetron</w:t>
      </w:r>
      <w:r w:rsidR="00C91AAD">
        <w:t>:</w:t>
      </w:r>
      <w:r>
        <w:t xml:space="preserve"> </w:t>
      </w:r>
    </w:p>
    <w:p w:rsidR="00750A10" w:rsidRDefault="00750A10" w:rsidP="005C3144">
      <w:pPr>
        <w:pStyle w:val="ListBullet"/>
        <w:spacing w:after="120" w:line="240" w:lineRule="auto"/>
      </w:pPr>
      <w:r>
        <w:t xml:space="preserve">Johns </w:t>
      </w:r>
      <w:r w:rsidR="00C91AAD" w:rsidRPr="00C91AAD">
        <w:rPr>
          <w:i/>
        </w:rPr>
        <w:t>et al</w:t>
      </w:r>
      <w:r w:rsidR="00C91AAD">
        <w:t>., 2006.</w:t>
      </w:r>
    </w:p>
    <w:p w:rsidR="00750A10" w:rsidRDefault="00750A10" w:rsidP="005C3144">
      <w:pPr>
        <w:spacing w:line="240" w:lineRule="auto"/>
      </w:pPr>
      <w:r>
        <w:t>The remaining 5 studies give a total of 487 patients in minor gynaecological surgery.</w:t>
      </w:r>
      <w:r>
        <w:rPr>
          <w:rStyle w:val="FootnoteReference"/>
        </w:rPr>
        <w:footnoteReference w:id="14"/>
      </w:r>
      <w:r w:rsidR="00D40484">
        <w:t xml:space="preserve"> Of these 147 (in 3 studies</w:t>
      </w:r>
      <w:r>
        <w:t>) would be considered as having had modern techniques for day surgery</w:t>
      </w:r>
      <w:r>
        <w:rPr>
          <w:rStyle w:val="FootnoteReference"/>
        </w:rPr>
        <w:footnoteReference w:id="15"/>
      </w:r>
      <w:r>
        <w:t>, while 34</w:t>
      </w:r>
      <w:r w:rsidR="00C91AAD">
        <w:t xml:space="preserve">0 (in 2 studies, dated to 1986 and </w:t>
      </w:r>
      <w:r>
        <w:t>1975) had an opiate premed</w:t>
      </w:r>
      <w:r w:rsidR="00C91AAD">
        <w:t>ication</w:t>
      </w:r>
      <w:r>
        <w:t>.</w:t>
      </w:r>
    </w:p>
    <w:p w:rsidR="00750A10" w:rsidRDefault="00750A10" w:rsidP="005C3144">
      <w:pPr>
        <w:spacing w:line="240" w:lineRule="auto"/>
      </w:pPr>
      <w:r>
        <w:t xml:space="preserve">The sponsor did not consider one study other than as historical (Dundee </w:t>
      </w:r>
      <w:r w:rsidRPr="00CC22E2">
        <w:rPr>
          <w:i/>
        </w:rPr>
        <w:t>et al</w:t>
      </w:r>
      <w:r>
        <w:t>.,1966), yet it really</w:t>
      </w:r>
      <w:r w:rsidR="00D40484">
        <w:t xml:space="preserve"> did not differ from Chestnutt and</w:t>
      </w:r>
      <w:r w:rsidR="00C91AAD">
        <w:t xml:space="preserve"> Dundee 1986 or</w:t>
      </w:r>
      <w:r>
        <w:t xml:space="preserve"> Dundee </w:t>
      </w:r>
      <w:r>
        <w:rPr>
          <w:i/>
          <w:iCs/>
        </w:rPr>
        <w:t>et al.</w:t>
      </w:r>
      <w:r w:rsidR="00D40484">
        <w:rPr>
          <w:i/>
          <w:iCs/>
        </w:rPr>
        <w:t>,</w:t>
      </w:r>
      <w:r>
        <w:rPr>
          <w:i/>
          <w:iCs/>
        </w:rPr>
        <w:t xml:space="preserve"> </w:t>
      </w:r>
      <w:r>
        <w:t>1975</w:t>
      </w:r>
      <w:r w:rsidR="00C91AAD">
        <w:t>,</w:t>
      </w:r>
      <w:r w:rsidR="00314664">
        <w:t xml:space="preserve"> </w:t>
      </w:r>
      <w:r>
        <w:t>except that it was not blinded for the combination of cyclizine and pethidine (one of the groups of interest).</w:t>
      </w:r>
    </w:p>
    <w:p w:rsidR="00750A10" w:rsidRDefault="00D40484" w:rsidP="003E58CF">
      <w:pPr>
        <w:pStyle w:val="Heading4"/>
        <w:keepNext/>
        <w:spacing w:line="240" w:lineRule="auto"/>
      </w:pPr>
      <w:bookmarkStart w:id="131" w:name="_Toc304266770"/>
      <w:r>
        <w:lastRenderedPageBreak/>
        <w:t xml:space="preserve">Efficacy studies considered pivotal by the evaluator </w:t>
      </w:r>
      <w:bookmarkEnd w:id="131"/>
    </w:p>
    <w:p w:rsidR="00D40484" w:rsidRDefault="00D40484" w:rsidP="003E58CF">
      <w:pPr>
        <w:pStyle w:val="Heading5"/>
        <w:spacing w:line="240" w:lineRule="auto"/>
      </w:pPr>
      <w:r>
        <w:t>Cholwill JM, Wright W, Hobbs GJ, Curran J. Comparison of ondansetron and cyclizine for prevention of nausea and vomiting after day-case gynaecological laparoscopy. Br J Anaesth. 1999; 83(4):</w:t>
      </w:r>
      <w:r w:rsidR="00C91AAD">
        <w:t xml:space="preserve"> </w:t>
      </w:r>
      <w:r>
        <w:t>611-614.</w:t>
      </w:r>
    </w:p>
    <w:p w:rsidR="00750A10" w:rsidRPr="008877BB" w:rsidRDefault="00750A10" w:rsidP="00765E17">
      <w:pPr>
        <w:spacing w:line="240" w:lineRule="auto"/>
      </w:pPr>
      <w:r w:rsidRPr="008877BB">
        <w:t>A double-blind, randomi</w:t>
      </w:r>
      <w:r w:rsidR="00B261B4">
        <w:t>s</w:t>
      </w:r>
      <w:r w:rsidRPr="008877BB">
        <w:t>ed, placebo-controlled study comparing IV ondansetron 4</w:t>
      </w:r>
      <w:r w:rsidR="00983DF2">
        <w:t xml:space="preserve"> </w:t>
      </w:r>
      <w:r w:rsidRPr="008877BB">
        <w:t>mg v</w:t>
      </w:r>
      <w:r w:rsidR="00D40484">
        <w:t>ersus</w:t>
      </w:r>
      <w:r w:rsidRPr="008877BB">
        <w:t xml:space="preserve"> cyclizine 50</w:t>
      </w:r>
      <w:r w:rsidR="00983DF2">
        <w:t xml:space="preserve"> </w:t>
      </w:r>
      <w:r w:rsidRPr="008877BB">
        <w:t>mg, for the prevention of postoperative nausea and vomiting for 24</w:t>
      </w:r>
      <w:r w:rsidR="00983DF2">
        <w:t xml:space="preserve"> </w:t>
      </w:r>
      <w:r w:rsidRPr="008877BB">
        <w:t>h after day-case gynaecological laparoscopy. Single centre</w:t>
      </w:r>
      <w:r w:rsidR="00B261B4">
        <w:t xml:space="preserve"> in the</w:t>
      </w:r>
      <w:r w:rsidRPr="008877BB">
        <w:t xml:space="preserve"> UK.</w:t>
      </w:r>
    </w:p>
    <w:p w:rsidR="00750A10" w:rsidRDefault="00750A10" w:rsidP="004F793E">
      <w:pPr>
        <w:spacing w:after="0" w:line="240" w:lineRule="auto"/>
      </w:pPr>
      <w:r w:rsidRPr="003E2420">
        <w:rPr>
          <w:b/>
          <w:i/>
        </w:rPr>
        <w:t xml:space="preserve">Anaesthesia </w:t>
      </w:r>
      <w:r>
        <w:t>Induction: propofo</w:t>
      </w:r>
      <w:r w:rsidR="008877BB">
        <w:t>l 2 mg/kg after alfentanil 10 µ</w:t>
      </w:r>
      <w:r>
        <w:t xml:space="preserve">g/kg and glycopyrrolate 200 </w:t>
      </w:r>
      <w:r w:rsidR="008877BB">
        <w:t>µ</w:t>
      </w:r>
      <w:r>
        <w:t xml:space="preserve">g. </w:t>
      </w:r>
      <w:r w:rsidR="00983DF2">
        <w:t xml:space="preserve">Maintenance: </w:t>
      </w:r>
      <w:r>
        <w:t xml:space="preserve">vecuronium 0.05 mg/kg laryngeal mask </w:t>
      </w:r>
      <w:r w:rsidR="008877BB">
        <w:t xml:space="preserve">with </w:t>
      </w:r>
      <w:r w:rsidR="008877BB" w:rsidRPr="008877BB">
        <w:t xml:space="preserve">intermittent positive-pressure ventilation </w:t>
      </w:r>
      <w:r w:rsidRPr="008877BB">
        <w:t>33% oxygen in nitrous oxide w</w:t>
      </w:r>
      <w:r>
        <w:t>ith added isoflurane to an end-tidal carbon dioxide partial pressure of 4.5</w:t>
      </w:r>
      <w:r w:rsidR="008877BB">
        <w:noBreakHyphen/>
      </w:r>
      <w:r>
        <w:t>5.0 kPa.</w:t>
      </w:r>
      <w:r w:rsidR="003E2420">
        <w:t xml:space="preserve"> </w:t>
      </w:r>
      <w:r>
        <w:t xml:space="preserve">Reversal: neostigmine 2.5 mg and glycopyrrolate 200 </w:t>
      </w:r>
      <w:r w:rsidR="008877BB">
        <w:t>µ</w:t>
      </w:r>
      <w:r>
        <w:t xml:space="preserve">g. </w:t>
      </w:r>
    </w:p>
    <w:p w:rsidR="00750A10" w:rsidRDefault="00750A10" w:rsidP="004F793E">
      <w:pPr>
        <w:spacing w:after="0" w:line="240" w:lineRule="auto"/>
      </w:pPr>
      <w:r w:rsidRPr="003E2420">
        <w:rPr>
          <w:b/>
          <w:i/>
        </w:rPr>
        <w:t>Analgesia :</w:t>
      </w:r>
      <w:r>
        <w:t xml:space="preserve"> 1</w:t>
      </w:r>
      <w:r w:rsidR="008877BB">
        <w:t xml:space="preserve"> </w:t>
      </w:r>
      <w:r>
        <w:t>h preoperative diclofenac 100 mg PR</w:t>
      </w:r>
      <w:r w:rsidR="008877BB">
        <w:t>N</w:t>
      </w:r>
      <w:r>
        <w:t>; int</w:t>
      </w:r>
      <w:r w:rsidR="008877BB">
        <w:t xml:space="preserve">raoperative morphine 0.18 mg/kg </w:t>
      </w:r>
      <w:r>
        <w:t>IV Postoperative increments of morphine IV or a combination paracetamol 1</w:t>
      </w:r>
      <w:r w:rsidR="008877BB">
        <w:t xml:space="preserve"> </w:t>
      </w:r>
      <w:r>
        <w:t>g + codeine phosphate 60</w:t>
      </w:r>
      <w:r w:rsidR="008877BB">
        <w:t xml:space="preserve"> </w:t>
      </w:r>
      <w:r>
        <w:t>mg orally, PRN.</w:t>
      </w:r>
    </w:p>
    <w:p w:rsidR="00B766D3" w:rsidRDefault="00750A10" w:rsidP="004F793E">
      <w:pPr>
        <w:spacing w:after="0" w:line="240" w:lineRule="auto"/>
      </w:pPr>
      <w:r w:rsidRPr="003E2420">
        <w:rPr>
          <w:b/>
          <w:i/>
        </w:rPr>
        <w:t>Inclusion criteria:</w:t>
      </w:r>
      <w:r w:rsidRPr="00B766D3">
        <w:t xml:space="preserve"> ASA I or II</w:t>
      </w:r>
      <w:r w:rsidR="00D40484">
        <w:rPr>
          <w:rStyle w:val="FootnoteReference"/>
        </w:rPr>
        <w:footnoteReference w:id="16"/>
      </w:r>
      <w:r w:rsidRPr="00B766D3">
        <w:t xml:space="preserve"> women undergoing day-case gynaecological laparoscopy, with stratification for past history of PONV.</w:t>
      </w:r>
      <w:r w:rsidR="00B766D3">
        <w:t xml:space="preserve">  </w:t>
      </w:r>
    </w:p>
    <w:p w:rsidR="00750A10" w:rsidRDefault="00750A10" w:rsidP="004F793E">
      <w:pPr>
        <w:spacing w:after="0" w:line="240" w:lineRule="auto"/>
      </w:pPr>
      <w:r w:rsidRPr="003E2420">
        <w:rPr>
          <w:b/>
          <w:i/>
        </w:rPr>
        <w:t>Exclusion criteria:</w:t>
      </w:r>
      <w:r>
        <w:t xml:space="preserve"> receiving antiemetic drugs, pregnant, breast-feeding or with </w:t>
      </w:r>
      <w:r w:rsidR="00A87163">
        <w:t>body mass index (</w:t>
      </w:r>
      <w:r>
        <w:t>BMI</w:t>
      </w:r>
      <w:r w:rsidR="00A87163">
        <w:t>)</w:t>
      </w:r>
      <w:r>
        <w:t xml:space="preserve"> &gt; 30</w:t>
      </w:r>
      <w:r w:rsidR="00C91AAD">
        <w:t xml:space="preserve"> </w:t>
      </w:r>
      <w:r>
        <w:t>kg/m</w:t>
      </w:r>
      <w:r>
        <w:rPr>
          <w:vertAlign w:val="superscript"/>
        </w:rPr>
        <w:t>2</w:t>
      </w:r>
      <w:r>
        <w:t>.</w:t>
      </w:r>
    </w:p>
    <w:p w:rsidR="00750A10" w:rsidRDefault="00750A10" w:rsidP="005C3144">
      <w:pPr>
        <w:spacing w:line="240" w:lineRule="auto"/>
      </w:pPr>
      <w:r w:rsidRPr="003E2420">
        <w:rPr>
          <w:b/>
          <w:i/>
        </w:rPr>
        <w:t>Antiemetics</w:t>
      </w:r>
      <w:r w:rsidR="003E2420">
        <w:rPr>
          <w:b/>
          <w:i/>
        </w:rPr>
        <w:t xml:space="preserve">: </w:t>
      </w:r>
      <w:r>
        <w:t>According to randomisation immediately before induction</w:t>
      </w:r>
      <w:r w:rsidR="00901EE5">
        <w:t>,</w:t>
      </w:r>
      <w:r>
        <w:t xml:space="preserve"> IV ondansetron 4</w:t>
      </w:r>
      <w:r w:rsidR="00C91AAD">
        <w:t xml:space="preserve"> </w:t>
      </w:r>
      <w:r>
        <w:t>mg, cyclizine 50</w:t>
      </w:r>
      <w:r w:rsidR="00AC239D">
        <w:t xml:space="preserve"> </w:t>
      </w:r>
      <w:r>
        <w:t>mg or 0.9% saline (60 per group).</w:t>
      </w:r>
      <w:r w:rsidR="003E2420">
        <w:t xml:space="preserve"> </w:t>
      </w:r>
      <w:r w:rsidR="00A87163">
        <w:t>Rescue was p</w:t>
      </w:r>
      <w:r>
        <w:t>rochlorperazine 12.5</w:t>
      </w:r>
      <w:r w:rsidR="00A87163">
        <w:t xml:space="preserve"> </w:t>
      </w:r>
      <w:r>
        <w:t>mg IM.</w:t>
      </w:r>
    </w:p>
    <w:p w:rsidR="00750A10" w:rsidRDefault="00983DF2" w:rsidP="005C3144">
      <w:pPr>
        <w:spacing w:line="240" w:lineRule="auto"/>
      </w:pPr>
      <w:r>
        <w:t>The s</w:t>
      </w:r>
      <w:r w:rsidR="00750A10">
        <w:t>tudy objective was to assess the</w:t>
      </w:r>
      <w:r w:rsidR="00750A10">
        <w:rPr>
          <w:sz w:val="20"/>
          <w:szCs w:val="20"/>
        </w:rPr>
        <w:t xml:space="preserve"> </w:t>
      </w:r>
      <w:r w:rsidR="00750A10">
        <w:t xml:space="preserve">incidence of PONV and </w:t>
      </w:r>
      <w:r>
        <w:t xml:space="preserve">the </w:t>
      </w:r>
      <w:r w:rsidR="00750A10">
        <w:t>use of escape antiemetic vs. placebo and ondansetron</w:t>
      </w:r>
      <w:r w:rsidR="003E2420">
        <w:t xml:space="preserve">. </w:t>
      </w:r>
      <w:r w:rsidR="00750A10">
        <w:t xml:space="preserve">The primary outcome measures were the incidence of moderate or severe nausea, vomiting and number of patients receiving escape antiemetic. </w:t>
      </w:r>
    </w:p>
    <w:p w:rsidR="00750A10" w:rsidRDefault="00750A10" w:rsidP="005C3144">
      <w:pPr>
        <w:spacing w:line="240" w:lineRule="auto"/>
      </w:pPr>
      <w:r>
        <w:t>The single worst scores for pain, sedation and nausea from any of the three times before discharge and in the period covered by telephone questionnaire (after discharge) were used for analysis.</w:t>
      </w:r>
      <w:r w:rsidR="003E2420">
        <w:t xml:space="preserve"> </w:t>
      </w:r>
      <w:r>
        <w:t>To demonstrate a 50% reduction in the incidence of vomiting or number of patients receiving escape medication (from 30% to 15%) at α = 0.05, 180 patients conferred a power of at least 0.8 to the study. Data from patients who received escape treatme</w:t>
      </w:r>
      <w:r w:rsidR="00C91AAD">
        <w:t>nt were excluded from the post-</w:t>
      </w:r>
      <w:r>
        <w:t xml:space="preserve">discharge analysis. Overall comparisons were performed using </w:t>
      </w:r>
      <w:r w:rsidR="00C91AAD">
        <w:t>analysis of variance (</w:t>
      </w:r>
      <w:r>
        <w:t>ANOVA</w:t>
      </w:r>
      <w:r w:rsidR="00C91AAD">
        <w:t>)</w:t>
      </w:r>
      <w:r>
        <w:t xml:space="preserve"> or </w:t>
      </w:r>
      <w:r w:rsidR="00C120F5">
        <w:t>C</w:t>
      </w:r>
      <w:r>
        <w:t xml:space="preserve">hi-square </w:t>
      </w:r>
      <w:r w:rsidR="00DE38A3">
        <w:t>(χ</w:t>
      </w:r>
      <w:r w:rsidR="00DE38A3">
        <w:rPr>
          <w:vertAlign w:val="superscript"/>
        </w:rPr>
        <w:t>2</w:t>
      </w:r>
      <w:r w:rsidR="00DE38A3" w:rsidRPr="00DE38A3">
        <w:t>)</w:t>
      </w:r>
      <w:r w:rsidR="00DE38A3">
        <w:rPr>
          <w:vertAlign w:val="superscript"/>
        </w:rPr>
        <w:t xml:space="preserve"> </w:t>
      </w:r>
      <w:r>
        <w:t>tests where appropriate. If a difference was statistically significant at the 5% level, pairwise comparisons were performed.</w:t>
      </w:r>
      <w:r w:rsidR="003E2420">
        <w:t xml:space="preserve"> </w:t>
      </w:r>
      <w:r>
        <w:t>The drugs were blinded to patients, investigators and recovery room staff.</w:t>
      </w:r>
      <w:r w:rsidR="00B675B9">
        <w:t xml:space="preserve"> Data from this study are shown below.</w:t>
      </w:r>
    </w:p>
    <w:p w:rsidR="00750A10" w:rsidRDefault="00674106" w:rsidP="00B261B4">
      <w:pPr>
        <w:pStyle w:val="FigureTitle"/>
        <w:keepNext/>
        <w:spacing w:line="240" w:lineRule="auto"/>
      </w:pPr>
      <w:bookmarkStart w:id="132" w:name="_Toc304266857"/>
      <w:r>
        <w:lastRenderedPageBreak/>
        <w:t>Table 13</w:t>
      </w:r>
      <w:r w:rsidR="00750A10">
        <w:t xml:space="preserve">. Patient demographics </w:t>
      </w:r>
      <w:bookmarkEnd w:id="132"/>
    </w:p>
    <w:p w:rsidR="00B675B9" w:rsidRDefault="00DE18CA" w:rsidP="005C3144">
      <w:pPr>
        <w:pStyle w:val="FigureTitle"/>
        <w:keepNext/>
        <w:spacing w:line="240" w:lineRule="auto"/>
        <w:ind w:firstLine="720"/>
      </w:pPr>
      <w:r>
        <w:rPr>
          <w:noProof/>
          <w:lang w:eastAsia="en-AU"/>
        </w:rPr>
        <w:drawing>
          <wp:inline distT="0" distB="0" distL="0" distR="0">
            <wp:extent cx="3612515" cy="2103755"/>
            <wp:effectExtent l="19050" t="0" r="6985" b="0"/>
            <wp:docPr id="20" name="Picture 20"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2515" cy="2103755"/>
                    </a:xfrm>
                    <a:prstGeom prst="rect">
                      <a:avLst/>
                    </a:prstGeom>
                    <a:noFill/>
                    <a:ln>
                      <a:noFill/>
                    </a:ln>
                  </pic:spPr>
                </pic:pic>
              </a:graphicData>
            </a:graphic>
          </wp:inline>
        </w:drawing>
      </w:r>
    </w:p>
    <w:p w:rsidR="00B675B9" w:rsidRDefault="00750A10" w:rsidP="005C3144">
      <w:pPr>
        <w:pStyle w:val="FigureTitle"/>
        <w:keepNext/>
        <w:spacing w:line="240" w:lineRule="auto"/>
        <w:ind w:firstLine="720"/>
      </w:pPr>
      <w:r w:rsidRPr="00B675B9">
        <w:rPr>
          <w:b w:val="0"/>
          <w:sz w:val="18"/>
          <w:szCs w:val="18"/>
        </w:rPr>
        <w:t>Data are mean (SD or range) or number (%)</w:t>
      </w:r>
    </w:p>
    <w:p w:rsidR="00750A10" w:rsidRDefault="00750A10" w:rsidP="005C3144">
      <w:pPr>
        <w:spacing w:line="240" w:lineRule="auto"/>
        <w:rPr>
          <w:sz w:val="24"/>
          <w:szCs w:val="24"/>
        </w:rPr>
      </w:pPr>
      <w:r>
        <w:t>Post operatively before discharge, compared with saline, both ondansetron and cyclizine reduced significantly the incidence</w:t>
      </w:r>
      <w:r w:rsidR="00D40484">
        <w:t xml:space="preserve"> of moderate or severe nausea (p</w:t>
      </w:r>
      <w:r>
        <w:t xml:space="preserve"> = 0.02 and </w:t>
      </w:r>
      <w:r w:rsidR="00D40484">
        <w:t>p</w:t>
      </w:r>
      <w:r>
        <w:t xml:space="preserve"> = 0.001, respectively) and the requirement for escape antiemetic (</w:t>
      </w:r>
      <w:r w:rsidR="00D40484">
        <w:t>p</w:t>
      </w:r>
      <w:r>
        <w:t xml:space="preserve"> = 0.04 and </w:t>
      </w:r>
      <w:r w:rsidR="00D40484">
        <w:t>p</w:t>
      </w:r>
      <w:r>
        <w:t xml:space="preserve"> &lt; 0.001, respectively). The incidence of vomiting after ondansetron and cyclizine was less than that after saline (32% a</w:t>
      </w:r>
      <w:r w:rsidR="00AC239D">
        <w:t xml:space="preserve">nd 23%, respectively, </w:t>
      </w:r>
      <w:r w:rsidR="00D40484">
        <w:t>versus</w:t>
      </w:r>
      <w:r w:rsidR="00AC239D">
        <w:t xml:space="preserve"> 41%; p</w:t>
      </w:r>
      <w:r>
        <w:t xml:space="preserve"> = 0.1 overall).</w:t>
      </w:r>
    </w:p>
    <w:p w:rsidR="00750A10" w:rsidRDefault="00674106" w:rsidP="00B261B4">
      <w:pPr>
        <w:pStyle w:val="FigureTitle"/>
        <w:keepNext/>
        <w:spacing w:line="240" w:lineRule="auto"/>
      </w:pPr>
      <w:bookmarkStart w:id="133" w:name="_Toc304266858"/>
      <w:r>
        <w:t>Table 14</w:t>
      </w:r>
      <w:r w:rsidR="00750A10">
        <w:t xml:space="preserve">. Outcomes before discharge in the three groups </w:t>
      </w:r>
      <w:bookmarkEnd w:id="133"/>
    </w:p>
    <w:p w:rsidR="00750A10" w:rsidRDefault="00DE18CA" w:rsidP="005C3144">
      <w:pPr>
        <w:keepNext/>
        <w:spacing w:line="240" w:lineRule="auto"/>
        <w:ind w:firstLine="720"/>
      </w:pPr>
      <w:r>
        <w:rPr>
          <w:noProof/>
          <w:lang w:eastAsia="en-AU"/>
        </w:rPr>
        <w:drawing>
          <wp:inline distT="0" distB="0" distL="0" distR="0">
            <wp:extent cx="4083685" cy="2176780"/>
            <wp:effectExtent l="19050" t="0" r="0" b="0"/>
            <wp:docPr id="21" name="Picture 21"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3685" cy="2176780"/>
                    </a:xfrm>
                    <a:prstGeom prst="rect">
                      <a:avLst/>
                    </a:prstGeom>
                    <a:noFill/>
                    <a:ln>
                      <a:noFill/>
                    </a:ln>
                  </pic:spPr>
                </pic:pic>
              </a:graphicData>
            </a:graphic>
          </wp:inline>
        </w:drawing>
      </w:r>
    </w:p>
    <w:p w:rsidR="00B675B9" w:rsidRDefault="00750A10" w:rsidP="005C3144">
      <w:pPr>
        <w:pStyle w:val="FigureTitle"/>
        <w:keepNext/>
        <w:spacing w:line="240" w:lineRule="auto"/>
        <w:ind w:firstLine="720"/>
      </w:pPr>
      <w:r w:rsidRPr="00B675B9">
        <w:rPr>
          <w:b w:val="0"/>
          <w:sz w:val="18"/>
          <w:szCs w:val="18"/>
        </w:rPr>
        <w:t>Data are n (%). *p &lt; 5, ***p &lt; 0.001 compared with saline</w:t>
      </w:r>
    </w:p>
    <w:p w:rsidR="00750A10" w:rsidRDefault="00750A10" w:rsidP="005C3144">
      <w:pPr>
        <w:spacing w:line="240" w:lineRule="auto"/>
      </w:pPr>
      <w:r>
        <w:t>After surgery, 13 patients were admitted 7 with PONV (2 ondansetron and 5 saline patients). These 13 and the 53 patients who received rescue antiemetics were excluded from further analysis.</w:t>
      </w:r>
      <w:r w:rsidR="00D40484">
        <w:t xml:space="preserve"> </w:t>
      </w:r>
      <w:r>
        <w:t>106/109 remaining patients completed the telephone questionnaire</w:t>
      </w:r>
      <w:r w:rsidR="00B675B9">
        <w:t>.</w:t>
      </w:r>
      <w:r>
        <w:t xml:space="preserve"> The incidence of moderate or severe nausea was comparable in all groups. The incidence of vomiting after discharge was reduced with ondansetron and cyclizine compared with saline (not statistically significant). </w:t>
      </w:r>
    </w:p>
    <w:p w:rsidR="00750A10" w:rsidRDefault="00674106" w:rsidP="00B261B4">
      <w:pPr>
        <w:pStyle w:val="FigureTitle"/>
        <w:keepNext/>
        <w:spacing w:line="240" w:lineRule="auto"/>
      </w:pPr>
      <w:bookmarkStart w:id="134" w:name="_Toc304266859"/>
      <w:r>
        <w:lastRenderedPageBreak/>
        <w:t>Table 15</w:t>
      </w:r>
      <w:r w:rsidR="00750A10">
        <w:t xml:space="preserve">. Outcomes after discharge in the three groups and summary data of those suffering no PONV throughout the study. </w:t>
      </w:r>
      <w:bookmarkEnd w:id="134"/>
    </w:p>
    <w:p w:rsidR="00750A10" w:rsidRDefault="00DE18CA" w:rsidP="005C3144">
      <w:pPr>
        <w:keepNext/>
        <w:spacing w:line="240" w:lineRule="auto"/>
        <w:ind w:firstLine="720"/>
      </w:pPr>
      <w:r>
        <w:rPr>
          <w:noProof/>
          <w:lang w:eastAsia="en-AU"/>
        </w:rPr>
        <w:drawing>
          <wp:inline distT="0" distB="0" distL="0" distR="0">
            <wp:extent cx="4039235" cy="2075815"/>
            <wp:effectExtent l="19050" t="0" r="0" b="0"/>
            <wp:docPr id="22" name="Picture 22"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9235" cy="2075815"/>
                    </a:xfrm>
                    <a:prstGeom prst="rect">
                      <a:avLst/>
                    </a:prstGeom>
                    <a:noFill/>
                    <a:ln>
                      <a:noFill/>
                    </a:ln>
                  </pic:spPr>
                </pic:pic>
              </a:graphicData>
            </a:graphic>
          </wp:inline>
        </w:drawing>
      </w:r>
    </w:p>
    <w:p w:rsidR="00B675B9" w:rsidRDefault="00750A10" w:rsidP="00741046">
      <w:pPr>
        <w:keepNext/>
        <w:spacing w:line="240" w:lineRule="auto"/>
        <w:ind w:firstLine="720"/>
      </w:pPr>
      <w:r w:rsidRPr="00B675B9">
        <w:rPr>
          <w:sz w:val="18"/>
          <w:szCs w:val="18"/>
        </w:rPr>
        <w:t>Data are (%). *p &lt; 0.05, **P &lt; 0.01 compared with saline.</w:t>
      </w:r>
    </w:p>
    <w:p w:rsidR="00750A10" w:rsidRDefault="00750A10" w:rsidP="005C3144">
      <w:pPr>
        <w:spacing w:line="240" w:lineRule="auto"/>
        <w:rPr>
          <w:sz w:val="24"/>
          <w:szCs w:val="24"/>
        </w:rPr>
      </w:pPr>
      <w:r>
        <w:t xml:space="preserve">The number of patients who had no nausea or vomiting throughout the study was significantly less after </w:t>
      </w:r>
      <w:r w:rsidR="00B675B9">
        <w:t xml:space="preserve">either </w:t>
      </w:r>
      <w:r>
        <w:t>ondansetron and cyclizine compared with saline (</w:t>
      </w:r>
      <w:r w:rsidR="003E2420">
        <w:t>p = 0.02 and p</w:t>
      </w:r>
      <w:r>
        <w:t xml:space="preserve"> &lt; 0.01, respectively).</w:t>
      </w:r>
    </w:p>
    <w:p w:rsidR="00750A10" w:rsidRDefault="00750A10" w:rsidP="005C3144">
      <w:pPr>
        <w:spacing w:line="240" w:lineRule="auto"/>
      </w:pPr>
      <w:r>
        <w:t xml:space="preserve">The authors in </w:t>
      </w:r>
      <w:r w:rsidR="00983DF2">
        <w:t xml:space="preserve">the </w:t>
      </w:r>
      <w:r w:rsidRPr="00983DF2">
        <w:rPr>
          <w:i/>
        </w:rPr>
        <w:t>Discussion</w:t>
      </w:r>
      <w:r w:rsidR="00983DF2">
        <w:t xml:space="preserve"> state</w:t>
      </w:r>
      <w:r>
        <w:t>:</w:t>
      </w:r>
    </w:p>
    <w:p w:rsidR="00983DF2" w:rsidRDefault="00983DF2" w:rsidP="00741046">
      <w:pPr>
        <w:spacing w:line="240" w:lineRule="auto"/>
        <w:ind w:left="284"/>
      </w:pPr>
      <w:r>
        <w:rPr>
          <w:i/>
        </w:rPr>
        <w:t>“</w:t>
      </w:r>
      <w:r w:rsidR="00750A10" w:rsidRPr="00983DF2">
        <w:rPr>
          <w:i/>
        </w:rPr>
        <w:t>We were surprised that apart from the significant reduction overall PONV throughout the entire study with both ondansetron and cyclizine, there were no other significant differences between groups after discharge. We had expected that cyclizine might have demonstrated greater efficacy after discharge, as it is effective in motion-induced PONV. However, exclusion of patients who had received escape antiemetic in hospital from the post-discharge analysis may explain this observation and support the common conclusion that effective prophylaxis and early control of PONV is an appropriate clinical strategy. Furthermore, this reduction in patient number would have reduced the power of the post- discharge analysis, increasing the likelihood of a type 2 error. Similarly, failure of the reduction in the incidence of vomiting after ondansetron and cyclizine to reach overall statistical significance (P = 0. 1) may also be explained by a type 2 error.</w:t>
      </w:r>
      <w:r>
        <w:rPr>
          <w:i/>
        </w:rPr>
        <w:t>”</w:t>
      </w:r>
      <w:bookmarkStart w:id="135" w:name="_Toc304266772"/>
    </w:p>
    <w:bookmarkEnd w:id="135"/>
    <w:p w:rsidR="003E2420" w:rsidRDefault="003E2420" w:rsidP="005C3144">
      <w:pPr>
        <w:pStyle w:val="Heading5"/>
        <w:spacing w:line="240" w:lineRule="auto"/>
      </w:pPr>
      <w:r>
        <w:t>Grimsehl K, Whiteside JB, Mackenzie N Comparison of cyclizine and ondansetron for the prevention of postoperative nausea and vomiting in laparoscopic day-case gynaecological surgery. Anaesthesia. 2002; 57(1):</w:t>
      </w:r>
      <w:r w:rsidR="00B675B9">
        <w:t xml:space="preserve"> </w:t>
      </w:r>
      <w:r>
        <w:t>61-65.</w:t>
      </w:r>
    </w:p>
    <w:p w:rsidR="00750A10" w:rsidRDefault="00750A10" w:rsidP="005C3144">
      <w:pPr>
        <w:spacing w:line="240" w:lineRule="auto"/>
      </w:pPr>
      <w:r>
        <w:t>A randomised, double-blind, active controlled study</w:t>
      </w:r>
      <w:r>
        <w:rPr>
          <w:sz w:val="19"/>
          <w:szCs w:val="19"/>
        </w:rPr>
        <w:t xml:space="preserve"> </w:t>
      </w:r>
      <w:r>
        <w:t>to compare the efficacy and cost-effectiveness of cyclizine and ondansetron for prophylaxis of PONV in patients undergoing day-case gynaecological laparoscopy. Single centre; UK.</w:t>
      </w:r>
    </w:p>
    <w:p w:rsidR="00750A10" w:rsidRDefault="00750A10" w:rsidP="004F793E">
      <w:pPr>
        <w:spacing w:after="0" w:line="240" w:lineRule="auto"/>
      </w:pPr>
      <w:r>
        <w:rPr>
          <w:b/>
        </w:rPr>
        <w:t>Anaesthesia</w:t>
      </w:r>
      <w:r w:rsidR="003E2420">
        <w:rPr>
          <w:b/>
        </w:rPr>
        <w:t xml:space="preserve">: </w:t>
      </w:r>
      <w:r>
        <w:t>Induction: propofol 2-3</w:t>
      </w:r>
      <w:r w:rsidR="00983DF2">
        <w:t xml:space="preserve"> </w:t>
      </w:r>
      <w:r>
        <w:t>mg/kg; fentanyl 1</w:t>
      </w:r>
      <w:r w:rsidR="00983DF2">
        <w:t xml:space="preserve"> µ</w:t>
      </w:r>
      <w:r>
        <w:t>g/kg</w:t>
      </w:r>
      <w:r w:rsidR="003E2420">
        <w:t xml:space="preserve">. </w:t>
      </w:r>
      <w:r>
        <w:t>Maintenance: laryngeal mask 33% oxygen in nitrous oxide with added isoflurane; spontaneous ventilation.</w:t>
      </w:r>
    </w:p>
    <w:p w:rsidR="00750A10" w:rsidRDefault="003E2420" w:rsidP="004F793E">
      <w:pPr>
        <w:spacing w:after="0" w:line="240" w:lineRule="auto"/>
      </w:pPr>
      <w:r>
        <w:rPr>
          <w:b/>
          <w:i/>
        </w:rPr>
        <w:t>Analgesia</w:t>
      </w:r>
      <w:r w:rsidR="00750A10" w:rsidRPr="003E2420">
        <w:rPr>
          <w:b/>
          <w:i/>
        </w:rPr>
        <w:t>:</w:t>
      </w:r>
      <w:r w:rsidR="00750A10">
        <w:t xml:space="preserve"> diclofenac</w:t>
      </w:r>
      <w:r w:rsidR="00AC239D">
        <w:t xml:space="preserve"> PR</w:t>
      </w:r>
      <w:r w:rsidR="00901EE5">
        <w:t>N</w:t>
      </w:r>
      <w:r w:rsidR="00AC239D">
        <w:t xml:space="preserve"> prior to start of surgery; p</w:t>
      </w:r>
      <w:r w:rsidR="00750A10">
        <w:t>ostoperative 1-2</w:t>
      </w:r>
      <w:r w:rsidR="00983DF2">
        <w:t xml:space="preserve"> </w:t>
      </w:r>
      <w:r w:rsidR="00750A10">
        <w:t xml:space="preserve">mg increments of morphine IV or a combination </w:t>
      </w:r>
      <w:r w:rsidR="00AC239D">
        <w:t xml:space="preserve">of </w:t>
      </w:r>
      <w:r w:rsidR="00750A10">
        <w:t>paracetamol 1</w:t>
      </w:r>
      <w:r w:rsidR="00AC239D">
        <w:t xml:space="preserve"> </w:t>
      </w:r>
      <w:r w:rsidR="00750A10">
        <w:t>g + codeine phosphate 16</w:t>
      </w:r>
      <w:r w:rsidR="00983DF2">
        <w:t xml:space="preserve"> </w:t>
      </w:r>
      <w:r w:rsidR="00750A10">
        <w:t>mg orally, PRN.</w:t>
      </w:r>
    </w:p>
    <w:p w:rsidR="00750A10" w:rsidRDefault="00750A10" w:rsidP="004F793E">
      <w:pPr>
        <w:spacing w:after="0" w:line="240" w:lineRule="auto"/>
      </w:pPr>
      <w:r w:rsidRPr="003E2420">
        <w:rPr>
          <w:b/>
          <w:i/>
        </w:rPr>
        <w:t>Inclusion criteria:</w:t>
      </w:r>
      <w:r>
        <w:t xml:space="preserve"> ASA I or II women scheduled to undergo either diagnostic laparoscopy or laparoscopic sterilisation.</w:t>
      </w:r>
    </w:p>
    <w:p w:rsidR="00750A10" w:rsidRDefault="00750A10" w:rsidP="004F793E">
      <w:pPr>
        <w:spacing w:after="0" w:line="240" w:lineRule="auto"/>
      </w:pPr>
      <w:r w:rsidRPr="003E2420">
        <w:rPr>
          <w:b/>
          <w:i/>
        </w:rPr>
        <w:t>Exclusion criteria:</w:t>
      </w:r>
      <w:r>
        <w:t xml:space="preserve"> none listed.</w:t>
      </w:r>
    </w:p>
    <w:p w:rsidR="00750A10" w:rsidRDefault="00750A10" w:rsidP="004F793E">
      <w:pPr>
        <w:spacing w:line="240" w:lineRule="auto"/>
      </w:pPr>
      <w:r w:rsidRPr="00B81FEA">
        <w:rPr>
          <w:b/>
          <w:i/>
        </w:rPr>
        <w:t>Antiemetics</w:t>
      </w:r>
      <w:r w:rsidR="003E2420" w:rsidRPr="00B81FEA">
        <w:rPr>
          <w:b/>
          <w:i/>
        </w:rPr>
        <w:t>:</w:t>
      </w:r>
      <w:r w:rsidR="003E2420">
        <w:rPr>
          <w:b/>
        </w:rPr>
        <w:t xml:space="preserve"> </w:t>
      </w:r>
      <w:r>
        <w:t>According to randomisation at induction</w:t>
      </w:r>
      <w:r w:rsidR="00AC239D">
        <w:t xml:space="preserve">, </w:t>
      </w:r>
      <w:r>
        <w:t>IV ondansetron 4</w:t>
      </w:r>
      <w:r w:rsidR="00983DF2">
        <w:t xml:space="preserve"> </w:t>
      </w:r>
      <w:r>
        <w:t>mg or cyclizine 50</w:t>
      </w:r>
      <w:r w:rsidR="00983DF2">
        <w:t xml:space="preserve"> </w:t>
      </w:r>
      <w:r>
        <w:t>mg (37</w:t>
      </w:r>
      <w:r w:rsidR="00B675B9">
        <w:t> </w:t>
      </w:r>
      <w:r>
        <w:t>per group).</w:t>
      </w:r>
      <w:r w:rsidR="003E2420">
        <w:t xml:space="preserve"> </w:t>
      </w:r>
      <w:r w:rsidR="00983DF2">
        <w:t>Rescue was p</w:t>
      </w:r>
      <w:r>
        <w:t>rochlorperazine 12.5</w:t>
      </w:r>
      <w:r w:rsidR="00983DF2">
        <w:t xml:space="preserve"> </w:t>
      </w:r>
      <w:r>
        <w:t>mg IM.</w:t>
      </w:r>
    </w:p>
    <w:p w:rsidR="00750A10" w:rsidRDefault="00750A10" w:rsidP="005C3144">
      <w:pPr>
        <w:spacing w:line="240" w:lineRule="auto"/>
      </w:pPr>
      <w:r>
        <w:t>This study was to compare the efficacy and cost-effectiveness of cyclizine and ondansetron for prophylaxis of PONV in patients undergoing day-case gynaecological laparoscopy.</w:t>
      </w:r>
      <w:r w:rsidR="003E2420">
        <w:t xml:space="preserve"> </w:t>
      </w:r>
      <w:r>
        <w:t>The primary outcome measure was the difference in the incidence of nausea between the two antiemetics.</w:t>
      </w:r>
      <w:r w:rsidR="003E2420">
        <w:t xml:space="preserve"> </w:t>
      </w:r>
      <w:r>
        <w:t xml:space="preserve">The sample size was chosen to show a difference in the incidence of nausea of 35% between the two anti-emetics, based on an α risk of 0.05 and a β risk of 0 .1. The worst scores for nausea prior to discharge and after discharge were used for comparative analysis. Data from patients requiring escape anti-emetic were omitted from subsequent analysis. Comparisons were made using </w:t>
      </w:r>
      <w:r>
        <w:lastRenderedPageBreak/>
        <w:t xml:space="preserve">Student's </w:t>
      </w:r>
      <w:r>
        <w:rPr>
          <w:iCs/>
        </w:rPr>
        <w:t xml:space="preserve">t-test, </w:t>
      </w:r>
      <w:r>
        <w:t xml:space="preserve">Mann-Whitney </w:t>
      </w:r>
      <w:r>
        <w:rPr>
          <w:iCs/>
        </w:rPr>
        <w:t xml:space="preserve">U-test </w:t>
      </w:r>
      <w:r>
        <w:t xml:space="preserve">and Fisher's exact test where appropriate. A Bonferroni correction was made for multiple two-way analyses. </w:t>
      </w:r>
      <w:r w:rsidR="00B675B9">
        <w:t>Data from this study are shown below.</w:t>
      </w:r>
    </w:p>
    <w:p w:rsidR="00750A10" w:rsidRDefault="00674106" w:rsidP="00B261B4">
      <w:pPr>
        <w:pStyle w:val="FigureTitle"/>
        <w:spacing w:line="240" w:lineRule="auto"/>
      </w:pPr>
      <w:bookmarkStart w:id="136" w:name="_Toc304266860"/>
      <w:r>
        <w:t>Table 16</w:t>
      </w:r>
      <w:r w:rsidR="00750A10">
        <w:t xml:space="preserve">. Patient demographics </w:t>
      </w:r>
      <w:bookmarkEnd w:id="136"/>
    </w:p>
    <w:p w:rsidR="00983DF2" w:rsidRPr="00983DF2" w:rsidRDefault="00DE18CA" w:rsidP="005C3144">
      <w:pPr>
        <w:spacing w:line="240" w:lineRule="auto"/>
        <w:ind w:firstLine="720"/>
        <w:rPr>
          <w:sz w:val="16"/>
          <w:szCs w:val="16"/>
        </w:rPr>
      </w:pPr>
      <w:r>
        <w:rPr>
          <w:noProof/>
          <w:lang w:eastAsia="en-AU"/>
        </w:rPr>
        <w:drawing>
          <wp:inline distT="0" distB="0" distL="0" distR="0">
            <wp:extent cx="3231515" cy="2014220"/>
            <wp:effectExtent l="19050" t="0" r="6985" b="0"/>
            <wp:docPr id="23" name="Picture 23"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1515" cy="2014220"/>
                    </a:xfrm>
                    <a:prstGeom prst="rect">
                      <a:avLst/>
                    </a:prstGeom>
                    <a:noFill/>
                    <a:ln>
                      <a:noFill/>
                    </a:ln>
                  </pic:spPr>
                </pic:pic>
              </a:graphicData>
            </a:graphic>
          </wp:inline>
        </w:drawing>
      </w:r>
    </w:p>
    <w:p w:rsidR="00B675B9" w:rsidRDefault="00750A10" w:rsidP="00741046">
      <w:pPr>
        <w:spacing w:line="240" w:lineRule="auto"/>
        <w:ind w:firstLine="720"/>
      </w:pPr>
      <w:r w:rsidRPr="00B675B9">
        <w:rPr>
          <w:sz w:val="18"/>
          <w:szCs w:val="18"/>
        </w:rPr>
        <w:t>Data are mean (SD or range) or number (%)</w:t>
      </w:r>
    </w:p>
    <w:p w:rsidR="00750A10" w:rsidRDefault="00750A10" w:rsidP="005C3144">
      <w:pPr>
        <w:spacing w:line="240" w:lineRule="auto"/>
        <w:rPr>
          <w:sz w:val="24"/>
          <w:szCs w:val="24"/>
        </w:rPr>
      </w:pPr>
      <w:r>
        <w:t>The total incidence of PONV in the first 24</w:t>
      </w:r>
      <w:r w:rsidR="00E764E8">
        <w:t xml:space="preserve"> </w:t>
      </w:r>
      <w:r>
        <w:t xml:space="preserve">h following surgery was comparable in both groups [cyclizine, 21 (56%); ondansetron, 20 (54%): p = </w:t>
      </w:r>
      <w:r w:rsidR="00B675B9">
        <w:t>not significant (</w:t>
      </w:r>
      <w:r>
        <w:t>ns</w:t>
      </w:r>
      <w:r w:rsidR="00B675B9">
        <w:t>)</w:t>
      </w:r>
      <w:r>
        <w:t>]</w:t>
      </w:r>
    </w:p>
    <w:p w:rsidR="00750A10" w:rsidRDefault="00674106" w:rsidP="00B261B4">
      <w:pPr>
        <w:pStyle w:val="FigureTitle"/>
        <w:keepNext/>
        <w:spacing w:line="240" w:lineRule="auto"/>
      </w:pPr>
      <w:bookmarkStart w:id="137" w:name="_Toc304266861"/>
      <w:r>
        <w:t>Table 17</w:t>
      </w:r>
      <w:r w:rsidR="00750A10">
        <w:t>. Anaesthetic/recovery times and incidence of PONV.</w:t>
      </w:r>
      <w:bookmarkEnd w:id="137"/>
    </w:p>
    <w:p w:rsidR="00750A10" w:rsidRPr="00B675B9" w:rsidRDefault="00DE18CA" w:rsidP="005C3144">
      <w:pPr>
        <w:keepNext/>
        <w:spacing w:line="240" w:lineRule="auto"/>
        <w:ind w:firstLine="720"/>
        <w:rPr>
          <w:sz w:val="16"/>
          <w:szCs w:val="16"/>
        </w:rPr>
      </w:pPr>
      <w:r>
        <w:rPr>
          <w:noProof/>
          <w:lang w:eastAsia="en-AU"/>
        </w:rPr>
        <w:drawing>
          <wp:inline distT="0" distB="0" distL="0" distR="0">
            <wp:extent cx="4218305" cy="2081530"/>
            <wp:effectExtent l="19050" t="0" r="0" b="0"/>
            <wp:docPr id="24" name="Picture 24"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305" cy="2081530"/>
                    </a:xfrm>
                    <a:prstGeom prst="rect">
                      <a:avLst/>
                    </a:prstGeom>
                    <a:noFill/>
                    <a:ln>
                      <a:noFill/>
                    </a:ln>
                  </pic:spPr>
                </pic:pic>
              </a:graphicData>
            </a:graphic>
          </wp:inline>
        </w:drawing>
      </w:r>
    </w:p>
    <w:p w:rsidR="00B675B9" w:rsidRDefault="00750A10" w:rsidP="00741046">
      <w:pPr>
        <w:spacing w:line="240" w:lineRule="auto"/>
        <w:ind w:firstLine="720"/>
      </w:pPr>
      <w:r w:rsidRPr="00B675B9">
        <w:rPr>
          <w:sz w:val="16"/>
          <w:szCs w:val="16"/>
        </w:rPr>
        <w:t>Mean (SD) or n [%] *p &lt; 0.001 between the groups.</w:t>
      </w:r>
    </w:p>
    <w:p w:rsidR="00750A10" w:rsidRDefault="00750A10" w:rsidP="005C3144">
      <w:pPr>
        <w:spacing w:line="240" w:lineRule="auto"/>
      </w:pPr>
      <w:r>
        <w:t>Before discharge levels of nausea, vomiting, need for escape anti-emetic and analgesic requirements were similar in both groups.</w:t>
      </w:r>
    </w:p>
    <w:p w:rsidR="00B81FEA" w:rsidRDefault="00674106" w:rsidP="00B261B4">
      <w:pPr>
        <w:pStyle w:val="FigureTitle"/>
        <w:keepNext/>
        <w:spacing w:line="240" w:lineRule="auto"/>
      </w:pPr>
      <w:bookmarkStart w:id="138" w:name="_Toc304266862"/>
      <w:r>
        <w:lastRenderedPageBreak/>
        <w:t>Table 18</w:t>
      </w:r>
      <w:r w:rsidR="00750A10">
        <w:t xml:space="preserve">. Outcomes before discharge. </w:t>
      </w:r>
      <w:bookmarkEnd w:id="138"/>
    </w:p>
    <w:p w:rsidR="00750A10" w:rsidRPr="00B675B9" w:rsidRDefault="00DE18CA" w:rsidP="005C3144">
      <w:pPr>
        <w:spacing w:line="240" w:lineRule="auto"/>
        <w:ind w:firstLine="720"/>
        <w:rPr>
          <w:sz w:val="18"/>
          <w:szCs w:val="18"/>
        </w:rPr>
      </w:pPr>
      <w:r>
        <w:rPr>
          <w:b/>
          <w:noProof/>
          <w:lang w:eastAsia="en-AU"/>
        </w:rPr>
        <w:drawing>
          <wp:inline distT="0" distB="0" distL="0" distR="0">
            <wp:extent cx="3679825" cy="2642235"/>
            <wp:effectExtent l="19050" t="0" r="0" b="0"/>
            <wp:docPr id="25" name="Picture 25"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9825" cy="2642235"/>
                    </a:xfrm>
                    <a:prstGeom prst="rect">
                      <a:avLst/>
                    </a:prstGeom>
                    <a:noFill/>
                    <a:ln>
                      <a:noFill/>
                    </a:ln>
                  </pic:spPr>
                </pic:pic>
              </a:graphicData>
            </a:graphic>
          </wp:inline>
        </w:drawing>
      </w:r>
    </w:p>
    <w:p w:rsidR="00B675B9" w:rsidRDefault="00750A10" w:rsidP="00741046">
      <w:pPr>
        <w:spacing w:line="240" w:lineRule="auto"/>
        <w:ind w:firstLine="720"/>
      </w:pPr>
      <w:r w:rsidRPr="00B675B9">
        <w:rPr>
          <w:sz w:val="18"/>
          <w:szCs w:val="18"/>
        </w:rPr>
        <w:t xml:space="preserve">Mean (SD) or n [%]. </w:t>
      </w:r>
    </w:p>
    <w:p w:rsidR="00750A10" w:rsidRDefault="00AC239D" w:rsidP="005C3144">
      <w:pPr>
        <w:spacing w:line="240" w:lineRule="auto"/>
        <w:rPr>
          <w:sz w:val="24"/>
          <w:szCs w:val="24"/>
        </w:rPr>
      </w:pPr>
      <w:r>
        <w:t>Nine</w:t>
      </w:r>
      <w:r w:rsidR="00750A10">
        <w:t xml:space="preserve"> patients required escape anti-emetic (cyclizine </w:t>
      </w:r>
      <w:r>
        <w:t xml:space="preserve">- </w:t>
      </w:r>
      <w:r w:rsidR="00750A10">
        <w:t xml:space="preserve">4; ondansetron </w:t>
      </w:r>
      <w:r>
        <w:t xml:space="preserve">- </w:t>
      </w:r>
      <w:r w:rsidR="00750A10">
        <w:t>5; p = ns); 1 cyclizin</w:t>
      </w:r>
      <w:r>
        <w:t>e patient was admitted for PONV;</w:t>
      </w:r>
      <w:r w:rsidR="00750A10">
        <w:t xml:space="preserve"> 1 cyclizine</w:t>
      </w:r>
      <w:r w:rsidR="00901EE5">
        <w:t xml:space="preserve"> and</w:t>
      </w:r>
      <w:r w:rsidR="00750A10">
        <w:t xml:space="preserve"> 2 ondansetron patients were admitted due to inadequate analgesia; 3 cyclizine </w:t>
      </w:r>
      <w:r>
        <w:t>and</w:t>
      </w:r>
      <w:r w:rsidR="00750A10">
        <w:t xml:space="preserve"> 2 ondansetron patients failed to return the postoperative questionnaire. </w:t>
      </w:r>
      <w:r>
        <w:t>All were omitted from the after-</w:t>
      </w:r>
      <w:r w:rsidR="00750A10">
        <w:t>discharge analysis.</w:t>
      </w:r>
    </w:p>
    <w:p w:rsidR="00750A10" w:rsidRDefault="00674106" w:rsidP="00B261B4">
      <w:pPr>
        <w:pStyle w:val="FigureTitle"/>
        <w:keepNext/>
        <w:spacing w:line="240" w:lineRule="auto"/>
      </w:pPr>
      <w:bookmarkStart w:id="139" w:name="_Toc304266863"/>
      <w:r>
        <w:t>Table 19</w:t>
      </w:r>
      <w:r w:rsidR="00750A10">
        <w:t xml:space="preserve">. Outcomes on journey home or first 24 h after discharge. </w:t>
      </w:r>
      <w:bookmarkEnd w:id="139"/>
    </w:p>
    <w:p w:rsidR="00750A10" w:rsidRDefault="00DE18CA" w:rsidP="005C3144">
      <w:pPr>
        <w:keepNext/>
        <w:spacing w:line="240" w:lineRule="auto"/>
        <w:ind w:left="720"/>
      </w:pPr>
      <w:r>
        <w:rPr>
          <w:noProof/>
          <w:lang w:eastAsia="en-AU"/>
        </w:rPr>
        <w:drawing>
          <wp:inline distT="0" distB="0" distL="0" distR="0">
            <wp:extent cx="3977640" cy="2254885"/>
            <wp:effectExtent l="19050" t="0" r="3810" b="0"/>
            <wp:docPr id="26" name="Picture 26" descr="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7640" cy="2254885"/>
                    </a:xfrm>
                    <a:prstGeom prst="rect">
                      <a:avLst/>
                    </a:prstGeom>
                    <a:noFill/>
                    <a:ln>
                      <a:noFill/>
                    </a:ln>
                  </pic:spPr>
                </pic:pic>
              </a:graphicData>
            </a:graphic>
          </wp:inline>
        </w:drawing>
      </w:r>
    </w:p>
    <w:p w:rsidR="00750A10" w:rsidRPr="00B81FEA" w:rsidRDefault="00750A10" w:rsidP="005C3144">
      <w:pPr>
        <w:spacing w:line="240" w:lineRule="auto"/>
        <w:ind w:firstLine="720"/>
      </w:pPr>
      <w:r w:rsidRPr="00B81FEA">
        <w:t>Mean (SD) or n [%].</w:t>
      </w:r>
    </w:p>
    <w:p w:rsidR="00750A10" w:rsidRDefault="00750A10" w:rsidP="005C3144">
      <w:pPr>
        <w:spacing w:line="240" w:lineRule="auto"/>
        <w:rPr>
          <w:sz w:val="24"/>
          <w:szCs w:val="24"/>
        </w:rPr>
      </w:pPr>
      <w:r>
        <w:t>Anaesthetic times were similar in both groups, but mean (SD) time to eye opening was significantly prolonged in the group receiving cyclizine [cyclizine 10 (4) min, ondansetron 8 (2) min; p &lt; 0.001]. However, there were no significant differences in the time to discharge between the two groups.</w:t>
      </w:r>
    </w:p>
    <w:p w:rsidR="0016631A" w:rsidRDefault="00C120F5" w:rsidP="00741046">
      <w:pPr>
        <w:spacing w:line="240" w:lineRule="auto"/>
      </w:pPr>
      <w:r>
        <w:rPr>
          <w:rStyle w:val="Heading5Char"/>
          <w:rFonts w:eastAsia="Cambria"/>
          <w:i w:val="0"/>
        </w:rPr>
        <w:t>C</w:t>
      </w:r>
      <w:r w:rsidR="00750A10" w:rsidRPr="00C120F5">
        <w:rPr>
          <w:rStyle w:val="Heading5Char"/>
          <w:rFonts w:eastAsia="Cambria"/>
          <w:i w:val="0"/>
        </w:rPr>
        <w:t>omment:</w:t>
      </w:r>
      <w:r w:rsidR="00BA04A0">
        <w:t xml:space="preserve"> The </w:t>
      </w:r>
      <w:r w:rsidR="00E764E8">
        <w:t>comparison</w:t>
      </w:r>
      <w:r>
        <w:t xml:space="preserve"> </w:t>
      </w:r>
      <w:r w:rsidR="00750A10">
        <w:t>if there was a differen</w:t>
      </w:r>
      <w:r w:rsidR="00BA04A0">
        <w:t xml:space="preserve">ce of 35% </w:t>
      </w:r>
      <w:r w:rsidR="00750A10">
        <w:t>in the incidence of nausea between the groups, then the study was powered to show it, is open to being in</w:t>
      </w:r>
      <w:r>
        <w:t xml:space="preserve">terpreted as 13/37 patients or about </w:t>
      </w:r>
      <w:r w:rsidR="00750A10">
        <w:t>7/21 patients. However the difference was only 1 patient [cyclizine, 21 (56%); ondansetron, 20 (54</w:t>
      </w:r>
      <w:r w:rsidR="00AC239D">
        <w:t xml:space="preserve">%)] and it was reported as p = </w:t>
      </w:r>
      <w:r w:rsidR="00750A10">
        <w:t>n</w:t>
      </w:r>
      <w:r>
        <w:t>s</w:t>
      </w:r>
      <w:r w:rsidR="00750A10">
        <w:t xml:space="preserve">, there was no testing for non-inferiority and no </w:t>
      </w:r>
      <w:r w:rsidR="00901EE5">
        <w:t>confidence intervals provided</w:t>
      </w:r>
      <w:r w:rsidR="00750A10">
        <w:t>.</w:t>
      </w:r>
      <w:bookmarkStart w:id="140" w:name="_Toc304266773"/>
    </w:p>
    <w:bookmarkEnd w:id="140"/>
    <w:p w:rsidR="00B81FEA" w:rsidRDefault="00B81FEA" w:rsidP="005C3144">
      <w:pPr>
        <w:pStyle w:val="Heading5"/>
        <w:spacing w:line="240" w:lineRule="auto"/>
      </w:pPr>
      <w:r>
        <w:t>Watts SA. A randomised double-blinded comparison of metoclopramide, ondansetron and cyclizine in day-case laparoscopy. Anaesthesia &amp; Intensive Care. 1996; 24(5): 546-551.</w:t>
      </w:r>
    </w:p>
    <w:p w:rsidR="00750A10" w:rsidRDefault="00750A10" w:rsidP="005C3144">
      <w:pPr>
        <w:spacing w:line="240" w:lineRule="auto"/>
      </w:pPr>
      <w:r>
        <w:t xml:space="preserve">An initial unblinded group of 38 received no prophylactic antiemetic to assess the incidence of PONV associated with the procedure in the absence of antiemetic. This was followed by a </w:t>
      </w:r>
      <w:r>
        <w:lastRenderedPageBreak/>
        <w:t xml:space="preserve">randomised, double-blind comparison of the efficacy of ondansetron, metoclopramide </w:t>
      </w:r>
      <w:r w:rsidR="00B81FEA">
        <w:t>and cyclizine. Single centre; NZ</w:t>
      </w:r>
      <w:r>
        <w:t xml:space="preserve">. </w:t>
      </w:r>
    </w:p>
    <w:p w:rsidR="00750A10" w:rsidRDefault="00750A10" w:rsidP="004F793E">
      <w:pPr>
        <w:spacing w:after="0" w:line="240" w:lineRule="auto"/>
      </w:pPr>
      <w:r>
        <w:rPr>
          <w:b/>
        </w:rPr>
        <w:t>Anaesthesia</w:t>
      </w:r>
      <w:r w:rsidR="00B81FEA">
        <w:rPr>
          <w:b/>
        </w:rPr>
        <w:t xml:space="preserve">: </w:t>
      </w:r>
      <w:r w:rsidR="00585508" w:rsidRPr="00585508">
        <w:t>Premedication</w:t>
      </w:r>
      <w:r w:rsidRPr="00585508">
        <w:t>:</w:t>
      </w:r>
      <w:r>
        <w:t xml:space="preserve"> temazepam 10-20</w:t>
      </w:r>
      <w:r w:rsidR="00E764E8">
        <w:t xml:space="preserve"> </w:t>
      </w:r>
      <w:r>
        <w:t>mg</w:t>
      </w:r>
      <w:r w:rsidR="00B81FEA">
        <w:t xml:space="preserve">. </w:t>
      </w:r>
      <w:r>
        <w:t>Induction: propofol 2-3</w:t>
      </w:r>
      <w:r w:rsidR="00E764E8">
        <w:t xml:space="preserve"> </w:t>
      </w:r>
      <w:r>
        <w:t>mg/kg after fentanyl 1.5</w:t>
      </w:r>
      <w:r w:rsidR="00C120F5">
        <w:t> </w:t>
      </w:r>
      <w:r w:rsidR="00E764E8">
        <w:t>µ</w:t>
      </w:r>
      <w:r>
        <w:t xml:space="preserve">g/kg. </w:t>
      </w:r>
      <w:r w:rsidR="00AC239D">
        <w:t xml:space="preserve">Maintenance: </w:t>
      </w:r>
      <w:r>
        <w:t>vecuronium 0.08</w:t>
      </w:r>
      <w:r w:rsidR="00E764E8">
        <w:t xml:space="preserve"> </w:t>
      </w:r>
      <w:r>
        <w:t>mg/kg</w:t>
      </w:r>
      <w:r w:rsidR="00AC239D">
        <w:t>,</w:t>
      </w:r>
      <w:r>
        <w:t xml:space="preserve"> 50% nitrous oxide in oxyg</w:t>
      </w:r>
      <w:r w:rsidR="00AC239D">
        <w:t>en with added isoflurane 0.5</w:t>
      </w:r>
      <w:r w:rsidR="00AC239D">
        <w:noBreakHyphen/>
      </w:r>
      <w:r>
        <w:t>1.0% ventilated to normocarbia.</w:t>
      </w:r>
      <w:r w:rsidR="00B81FEA">
        <w:t xml:space="preserve"> </w:t>
      </w:r>
      <w:r w:rsidRPr="00B81FEA">
        <w:t>Reversal:</w:t>
      </w:r>
      <w:r>
        <w:t xml:space="preserve"> neostigmine and atropine. </w:t>
      </w:r>
    </w:p>
    <w:p w:rsidR="00750A10" w:rsidRDefault="00AC239D" w:rsidP="004F793E">
      <w:pPr>
        <w:spacing w:after="0" w:line="240" w:lineRule="auto"/>
      </w:pPr>
      <w:r w:rsidRPr="00B81FEA">
        <w:rPr>
          <w:b/>
          <w:i/>
        </w:rPr>
        <w:t>Analgesia</w:t>
      </w:r>
      <w:r w:rsidR="00750A10" w:rsidRPr="00B81FEA">
        <w:rPr>
          <w:b/>
          <w:i/>
        </w:rPr>
        <w:t>:</w:t>
      </w:r>
      <w:r w:rsidR="00750A10">
        <w:t xml:space="preserve">  peri operative diclofenac 100</w:t>
      </w:r>
      <w:r w:rsidR="00E764E8">
        <w:t xml:space="preserve"> mg PR</w:t>
      </w:r>
      <w:r w:rsidR="00901EE5">
        <w:t>N</w:t>
      </w:r>
      <w:r w:rsidR="00750A10">
        <w:t>; intraoperative morphine 0.18</w:t>
      </w:r>
      <w:r w:rsidR="00E764E8">
        <w:t xml:space="preserve"> mg/kg </w:t>
      </w:r>
      <w:r w:rsidR="00750A10">
        <w:t>IV Postoperative increments of morphine IV in recovery, 10</w:t>
      </w:r>
      <w:r w:rsidR="00E764E8">
        <w:t xml:space="preserve"> </w:t>
      </w:r>
      <w:r w:rsidR="00750A10">
        <w:t xml:space="preserve">mg IM </w:t>
      </w:r>
      <w:r>
        <w:t xml:space="preserve">PRN </w:t>
      </w:r>
      <w:r w:rsidR="00750A10">
        <w:t>on the ward.</w:t>
      </w:r>
    </w:p>
    <w:p w:rsidR="00750A10" w:rsidRDefault="00750A10" w:rsidP="004F793E">
      <w:pPr>
        <w:spacing w:after="0" w:line="240" w:lineRule="auto"/>
      </w:pPr>
      <w:r w:rsidRPr="00B81FEA">
        <w:rPr>
          <w:b/>
          <w:i/>
        </w:rPr>
        <w:t>Inclusion criteria:</w:t>
      </w:r>
      <w:r>
        <w:t xml:space="preserve"> women undergoing day-case gynaecological laparoscopic procedures.</w:t>
      </w:r>
    </w:p>
    <w:p w:rsidR="00750A10" w:rsidRDefault="00750A10" w:rsidP="004F793E">
      <w:pPr>
        <w:spacing w:after="0" w:line="240" w:lineRule="auto"/>
      </w:pPr>
      <w:r w:rsidRPr="00B81FEA">
        <w:rPr>
          <w:b/>
          <w:i/>
        </w:rPr>
        <w:t>Exclusion criteria:</w:t>
      </w:r>
      <w:r>
        <w:t xml:space="preserve"> receiving opiate or antiemetic drugs in </w:t>
      </w:r>
      <w:r w:rsidR="00AC239D">
        <w:t xml:space="preserve">the </w:t>
      </w:r>
      <w:r>
        <w:t>previous 24</w:t>
      </w:r>
      <w:r w:rsidR="00E764E8">
        <w:t xml:space="preserve"> </w:t>
      </w:r>
      <w:r>
        <w:t>h; pregnant; deemed to be better served by a different anaesthetic technique; requiring more extensive surgery.</w:t>
      </w:r>
    </w:p>
    <w:p w:rsidR="00750A10" w:rsidRDefault="00750A10" w:rsidP="005C3144">
      <w:pPr>
        <w:spacing w:line="240" w:lineRule="auto"/>
      </w:pPr>
      <w:r w:rsidRPr="00B81FEA">
        <w:rPr>
          <w:b/>
          <w:i/>
        </w:rPr>
        <w:t>Antiemetics</w:t>
      </w:r>
      <w:r w:rsidR="00B81FEA" w:rsidRPr="00B81FEA">
        <w:rPr>
          <w:b/>
          <w:i/>
        </w:rPr>
        <w:t>:</w:t>
      </w:r>
      <w:r w:rsidR="00B81FEA">
        <w:rPr>
          <w:b/>
        </w:rPr>
        <w:t xml:space="preserve"> </w:t>
      </w:r>
      <w:r>
        <w:t>According to randomisation immediately before induction</w:t>
      </w:r>
      <w:r w:rsidR="00AC239D">
        <w:t xml:space="preserve">, </w:t>
      </w:r>
      <w:r>
        <w:t>IV ondansetron 4</w:t>
      </w:r>
      <w:r w:rsidR="007477E2">
        <w:t xml:space="preserve"> </w:t>
      </w:r>
      <w:r>
        <w:t>mg (59 patients), cyclizine 50</w:t>
      </w:r>
      <w:r w:rsidR="007477E2">
        <w:t xml:space="preserve"> </w:t>
      </w:r>
      <w:r>
        <w:t>mg (55) or metoclopramide 10</w:t>
      </w:r>
      <w:r w:rsidR="007477E2">
        <w:t xml:space="preserve"> </w:t>
      </w:r>
      <w:r>
        <w:t>mg (53).</w:t>
      </w:r>
      <w:r w:rsidR="00B81FEA">
        <w:t xml:space="preserve"> </w:t>
      </w:r>
      <w:r>
        <w:t xml:space="preserve">Rescue was </w:t>
      </w:r>
      <w:r w:rsidR="00AC239D">
        <w:t>p</w:t>
      </w:r>
      <w:r>
        <w:t>rochlorperazine 12.5</w:t>
      </w:r>
      <w:r w:rsidR="00B81FEA">
        <w:t> </w:t>
      </w:r>
      <w:r>
        <w:t>mg IM.</w:t>
      </w:r>
    </w:p>
    <w:p w:rsidR="00750A10" w:rsidRDefault="007477E2" w:rsidP="005C3144">
      <w:pPr>
        <w:spacing w:line="240" w:lineRule="auto"/>
      </w:pPr>
      <w:r>
        <w:t>The s</w:t>
      </w:r>
      <w:r w:rsidR="00750A10">
        <w:t>tudy objective was to assess the</w:t>
      </w:r>
      <w:r w:rsidR="00750A10">
        <w:rPr>
          <w:sz w:val="20"/>
          <w:szCs w:val="20"/>
        </w:rPr>
        <w:t xml:space="preserve"> </w:t>
      </w:r>
      <w:r w:rsidR="00750A10">
        <w:t>incid</w:t>
      </w:r>
      <w:r w:rsidR="00AC239D">
        <w:t>ence of PONV (historical) and versus</w:t>
      </w:r>
      <w:r w:rsidR="00750A10">
        <w:t xml:space="preserve"> after ondansetron </w:t>
      </w:r>
      <w:r w:rsidR="00AC239D">
        <w:t xml:space="preserve">and </w:t>
      </w:r>
      <w:r w:rsidR="00750A10">
        <w:t>metoclopramide.</w:t>
      </w:r>
      <w:r w:rsidR="00B81FEA">
        <w:t xml:space="preserve"> </w:t>
      </w:r>
      <w:r w:rsidR="00750A10">
        <w:t>The primary outcome measure</w:t>
      </w:r>
      <w:r w:rsidR="00B261B4">
        <w:t>,</w:t>
      </w:r>
      <w:r w:rsidR="00AC239D">
        <w:t xml:space="preserve"> </w:t>
      </w:r>
      <w:r w:rsidR="00750A10">
        <w:t>the incidence of PONV</w:t>
      </w:r>
      <w:r w:rsidR="00B261B4">
        <w:t>,</w:t>
      </w:r>
      <w:r w:rsidR="00AC239D">
        <w:t xml:space="preserve"> </w:t>
      </w:r>
      <w:r w:rsidR="00750A10">
        <w:t>was determined by isolating patients who required treatment of their nausea or who actually had an emetic episode; this was then expressed as a percentage of the group as a whole.</w:t>
      </w:r>
    </w:p>
    <w:p w:rsidR="00750A10" w:rsidRDefault="00AC239D" w:rsidP="005C3144">
      <w:pPr>
        <w:spacing w:line="240" w:lineRule="auto"/>
      </w:pPr>
      <w:r>
        <w:t>The o</w:t>
      </w:r>
      <w:r w:rsidR="00750A10">
        <w:t>verall incidence of PONV</w:t>
      </w:r>
      <w:r w:rsidR="00750A10">
        <w:rPr>
          <w:rStyle w:val="FootnoteReference"/>
        </w:rPr>
        <w:footnoteReference w:id="17"/>
      </w:r>
      <w:r w:rsidR="00750A10">
        <w:t xml:space="preserve"> was tested using Chi-square analysis. The antiemetic groups were compared on all nausea and sedation </w:t>
      </w:r>
      <w:r w:rsidR="00C120F5">
        <w:t>scores using Kruskal-Wallis one-</w:t>
      </w:r>
      <w:r w:rsidR="00750A10">
        <w:t xml:space="preserve">way </w:t>
      </w:r>
      <w:r w:rsidR="00C120F5">
        <w:t>ANOVA</w:t>
      </w:r>
      <w:r w:rsidR="00750A10">
        <w:t xml:space="preserve">. The relationship between day of menstrual cycle and postoperative nausea and vomiting was tested using the Spearman Rank Correlation. Significance level for all tests was </w:t>
      </w:r>
      <w:r w:rsidR="00901EE5">
        <w:t>set at p</w:t>
      </w:r>
      <w:r w:rsidR="007477E2">
        <w:t xml:space="preserve"> </w:t>
      </w:r>
      <w:r w:rsidR="00750A10">
        <w:t xml:space="preserve">&lt; 0.05. The incidence result for the no antiemetic initial phase was used to determine the power necessary for the subsequent comparative trial, and showed that a sample of 160 patients would be sufficient to detect differences in efficacy between three agents with 95% confidence. </w:t>
      </w:r>
    </w:p>
    <w:p w:rsidR="00750A10" w:rsidRDefault="00750A10" w:rsidP="005C3144">
      <w:pPr>
        <w:spacing w:line="240" w:lineRule="auto"/>
      </w:pPr>
      <w:r>
        <w:t>Nausea was assessed on a four-point scale:</w:t>
      </w:r>
    </w:p>
    <w:p w:rsidR="00750A10" w:rsidRDefault="00750A10" w:rsidP="005C3144">
      <w:pPr>
        <w:spacing w:line="240" w:lineRule="auto"/>
        <w:ind w:left="851"/>
      </w:pPr>
      <w:r>
        <w:t>0 = absence of PONV,</w:t>
      </w:r>
    </w:p>
    <w:p w:rsidR="00750A10" w:rsidRDefault="00750A10" w:rsidP="005C3144">
      <w:pPr>
        <w:spacing w:line="240" w:lineRule="auto"/>
        <w:ind w:left="851"/>
      </w:pPr>
      <w:r>
        <w:t>1 = mild nausea settling spontaneously,</w:t>
      </w:r>
    </w:p>
    <w:p w:rsidR="00750A10" w:rsidRDefault="00750A10" w:rsidP="005C3144">
      <w:pPr>
        <w:spacing w:line="240" w:lineRule="auto"/>
        <w:ind w:left="851"/>
      </w:pPr>
      <w:r>
        <w:t>2 = nausea requiring treatment,</w:t>
      </w:r>
    </w:p>
    <w:p w:rsidR="00750A10" w:rsidRDefault="00750A10" w:rsidP="00741046">
      <w:pPr>
        <w:spacing w:line="240" w:lineRule="auto"/>
        <w:ind w:left="851"/>
      </w:pPr>
      <w:r>
        <w:t>3 = actual emetic episode.</w:t>
      </w:r>
    </w:p>
    <w:p w:rsidR="00750A10" w:rsidRDefault="00750A10" w:rsidP="005C3144">
      <w:pPr>
        <w:spacing w:line="240" w:lineRule="auto"/>
      </w:pPr>
      <w:r>
        <w:t xml:space="preserve">Of the initial </w:t>
      </w:r>
      <w:r w:rsidR="00041CFC">
        <w:t>‘</w:t>
      </w:r>
      <w:r>
        <w:t>no antiemetic</w:t>
      </w:r>
      <w:r w:rsidR="00041CFC">
        <w:t>’</w:t>
      </w:r>
      <w:r>
        <w:t xml:space="preserve"> patients</w:t>
      </w:r>
      <w:r w:rsidR="00041CFC">
        <w:t>,</w:t>
      </w:r>
      <w:r>
        <w:t xml:space="preserve"> 20 had minimal or no nausea (group B), while 18 required treatment or vomited (group A). These sub-groups were comparable demographically with only past history of PONV being significantly correlated with current PONV (</w:t>
      </w:r>
      <w:r w:rsidR="00B81FEA">
        <w:t>p</w:t>
      </w:r>
      <w:r>
        <w:t xml:space="preserve"> = 0.0l). Overall incidence of PONV was 48%. There was a 9% overnight admission rate as a result of severe nausea or unrelenting emesis.</w:t>
      </w:r>
    </w:p>
    <w:p w:rsidR="00750A10" w:rsidRDefault="00674106" w:rsidP="00B261B4">
      <w:pPr>
        <w:pStyle w:val="FigureTitle"/>
        <w:keepNext/>
        <w:spacing w:line="240" w:lineRule="auto"/>
      </w:pPr>
      <w:bookmarkStart w:id="141" w:name="_Toc304266864"/>
      <w:r>
        <w:lastRenderedPageBreak/>
        <w:t>Table 20</w:t>
      </w:r>
      <w:r w:rsidR="00750A10">
        <w:t xml:space="preserve">. Characteristics of patients enrolled in initial study. </w:t>
      </w:r>
      <w:bookmarkEnd w:id="141"/>
    </w:p>
    <w:p w:rsidR="00750A10" w:rsidRDefault="00DE18CA" w:rsidP="005C3144">
      <w:pPr>
        <w:pStyle w:val="FigureTitle"/>
        <w:keepNext/>
        <w:spacing w:line="240" w:lineRule="auto"/>
        <w:ind w:left="720"/>
      </w:pPr>
      <w:r>
        <w:rPr>
          <w:noProof/>
          <w:lang w:eastAsia="en-AU"/>
        </w:rPr>
        <w:drawing>
          <wp:inline distT="0" distB="0" distL="0" distR="0">
            <wp:extent cx="3887470" cy="2042160"/>
            <wp:effectExtent l="19050" t="0" r="0" b="0"/>
            <wp:docPr id="27" name="Picture 27"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7470" cy="2042160"/>
                    </a:xfrm>
                    <a:prstGeom prst="rect">
                      <a:avLst/>
                    </a:prstGeom>
                    <a:noFill/>
                    <a:ln>
                      <a:noFill/>
                    </a:ln>
                  </pic:spPr>
                </pic:pic>
              </a:graphicData>
            </a:graphic>
          </wp:inline>
        </w:drawing>
      </w:r>
    </w:p>
    <w:p w:rsidR="00160051" w:rsidRDefault="00160051" w:rsidP="00741046">
      <w:pPr>
        <w:spacing w:line="240" w:lineRule="auto"/>
        <w:ind w:left="720"/>
      </w:pPr>
      <w:r>
        <w:rPr>
          <w:sz w:val="18"/>
          <w:szCs w:val="18"/>
        </w:rPr>
        <w:t>Values are</w:t>
      </w:r>
      <w:r w:rsidR="00750A10" w:rsidRPr="00041CFC">
        <w:rPr>
          <w:sz w:val="18"/>
          <w:szCs w:val="18"/>
        </w:rPr>
        <w:t xml:space="preserve"> expressed as number of patients (%) or mean value.</w:t>
      </w:r>
      <w:r w:rsidR="00B81FEA" w:rsidRPr="00041CFC">
        <w:rPr>
          <w:sz w:val="18"/>
          <w:szCs w:val="18"/>
        </w:rPr>
        <w:t xml:space="preserve"> </w:t>
      </w:r>
      <w:r w:rsidR="00750A10" w:rsidRPr="00041CFC">
        <w:rPr>
          <w:sz w:val="18"/>
          <w:szCs w:val="18"/>
        </w:rPr>
        <w:t xml:space="preserve">*Patients are divided into groups according to nausea scores returned over </w:t>
      </w:r>
      <w:r>
        <w:rPr>
          <w:sz w:val="18"/>
          <w:szCs w:val="18"/>
        </w:rPr>
        <w:t xml:space="preserve">a </w:t>
      </w:r>
      <w:r w:rsidR="00750A10" w:rsidRPr="00041CFC">
        <w:rPr>
          <w:sz w:val="18"/>
          <w:szCs w:val="18"/>
        </w:rPr>
        <w:t>24 h</w:t>
      </w:r>
      <w:r>
        <w:rPr>
          <w:sz w:val="18"/>
          <w:szCs w:val="18"/>
        </w:rPr>
        <w:t xml:space="preserve"> </w:t>
      </w:r>
      <w:r w:rsidR="00750A10" w:rsidRPr="00041CFC">
        <w:rPr>
          <w:sz w:val="18"/>
          <w:szCs w:val="18"/>
        </w:rPr>
        <w:t>study period.</w:t>
      </w:r>
      <w:r w:rsidR="00B81FEA" w:rsidRPr="00041CFC">
        <w:rPr>
          <w:sz w:val="18"/>
          <w:szCs w:val="18"/>
        </w:rPr>
        <w:t xml:space="preserve"> </w:t>
      </w:r>
      <w:r w:rsidR="00750A10" w:rsidRPr="00041CFC">
        <w:rPr>
          <w:sz w:val="18"/>
          <w:szCs w:val="18"/>
        </w:rPr>
        <w:t>Group A</w:t>
      </w:r>
      <w:r>
        <w:rPr>
          <w:sz w:val="18"/>
          <w:szCs w:val="18"/>
        </w:rPr>
        <w:t xml:space="preserve"> </w:t>
      </w:r>
      <w:r w:rsidR="00750A10" w:rsidRPr="00041CFC">
        <w:rPr>
          <w:sz w:val="18"/>
          <w:szCs w:val="18"/>
        </w:rPr>
        <w:t>=</w:t>
      </w:r>
      <w:r>
        <w:rPr>
          <w:sz w:val="18"/>
          <w:szCs w:val="18"/>
        </w:rPr>
        <w:t xml:space="preserve"> </w:t>
      </w:r>
      <w:r w:rsidR="00750A10" w:rsidRPr="00041CFC">
        <w:rPr>
          <w:sz w:val="18"/>
          <w:szCs w:val="18"/>
        </w:rPr>
        <w:t>PONV s</w:t>
      </w:r>
      <w:r w:rsidR="00B81FEA" w:rsidRPr="00041CFC">
        <w:rPr>
          <w:sz w:val="18"/>
          <w:szCs w:val="18"/>
        </w:rPr>
        <w:t xml:space="preserve">cores ≥ 2 at any time. </w:t>
      </w:r>
      <w:r w:rsidR="00750A10" w:rsidRPr="00041CFC">
        <w:rPr>
          <w:sz w:val="18"/>
          <w:szCs w:val="18"/>
        </w:rPr>
        <w:t>Group B =</w:t>
      </w:r>
      <w:r>
        <w:rPr>
          <w:sz w:val="18"/>
          <w:szCs w:val="18"/>
        </w:rPr>
        <w:t xml:space="preserve"> </w:t>
      </w:r>
      <w:r w:rsidR="00750A10" w:rsidRPr="00041CFC">
        <w:rPr>
          <w:sz w:val="18"/>
          <w:szCs w:val="18"/>
        </w:rPr>
        <w:t>PONV scores ≤ 1 at all times</w:t>
      </w:r>
      <w:bookmarkStart w:id="142" w:name="_Toc304266865"/>
    </w:p>
    <w:p w:rsidR="00750A10" w:rsidRDefault="00674106" w:rsidP="00B261B4">
      <w:pPr>
        <w:pStyle w:val="FigureTitle"/>
        <w:spacing w:line="240" w:lineRule="auto"/>
      </w:pPr>
      <w:r>
        <w:t>Table 21</w:t>
      </w:r>
      <w:r w:rsidR="00750A10">
        <w:t>. Demographic characteristi</w:t>
      </w:r>
      <w:r w:rsidR="00160051">
        <w:t>cs of patients enrolled in the d</w:t>
      </w:r>
      <w:r w:rsidR="00750A10">
        <w:t>ouble blind comparative study</w:t>
      </w:r>
      <w:bookmarkEnd w:id="142"/>
      <w:r w:rsidR="00B81FEA">
        <w:t>.</w:t>
      </w:r>
    </w:p>
    <w:p w:rsidR="00750A10" w:rsidRPr="00160051" w:rsidRDefault="00DE18CA" w:rsidP="005C3144">
      <w:pPr>
        <w:spacing w:line="240" w:lineRule="auto"/>
        <w:ind w:left="720"/>
        <w:rPr>
          <w:sz w:val="18"/>
          <w:szCs w:val="18"/>
        </w:rPr>
      </w:pPr>
      <w:r>
        <w:rPr>
          <w:noProof/>
          <w:lang w:eastAsia="en-AU"/>
        </w:rPr>
        <w:drawing>
          <wp:inline distT="0" distB="0" distL="0" distR="0">
            <wp:extent cx="3853815" cy="2317115"/>
            <wp:effectExtent l="0" t="0" r="0" b="0"/>
            <wp:docPr id="28" name="Picture 28"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8"/>
                    <a:stretch>
                      <a:fillRect/>
                    </a:stretch>
                  </pic:blipFill>
                  <pic:spPr bwMode="auto">
                    <a:xfrm>
                      <a:off x="0" y="0"/>
                      <a:ext cx="3853815" cy="2317115"/>
                    </a:xfrm>
                    <a:prstGeom prst="rect">
                      <a:avLst/>
                    </a:prstGeom>
                    <a:noFill/>
                    <a:ln>
                      <a:noFill/>
                    </a:ln>
                  </pic:spPr>
                </pic:pic>
              </a:graphicData>
            </a:graphic>
          </wp:inline>
        </w:drawing>
      </w:r>
    </w:p>
    <w:p w:rsidR="00750A10" w:rsidRPr="00160051" w:rsidRDefault="00750A10" w:rsidP="005C3144">
      <w:pPr>
        <w:spacing w:line="240" w:lineRule="auto"/>
        <w:ind w:left="720"/>
        <w:rPr>
          <w:sz w:val="18"/>
          <w:szCs w:val="18"/>
        </w:rPr>
      </w:pPr>
      <w:r w:rsidRPr="00160051">
        <w:rPr>
          <w:sz w:val="18"/>
          <w:szCs w:val="18"/>
        </w:rPr>
        <w:t>Values are expressed as mean (</w:t>
      </w:r>
      <w:r w:rsidR="00160051">
        <w:rPr>
          <w:sz w:val="18"/>
          <w:szCs w:val="18"/>
        </w:rPr>
        <w:t xml:space="preserve">plus or minus standard error of the mean; </w:t>
      </w:r>
      <w:r w:rsidRPr="00160051">
        <w:rPr>
          <w:sz w:val="18"/>
          <w:szCs w:val="18"/>
        </w:rPr>
        <w:t>SEM) or number of patients (%) as appropriate. (Phx = past history; Lap. = laparoscopy)</w:t>
      </w:r>
    </w:p>
    <w:p w:rsidR="00750A10" w:rsidRDefault="00750A10" w:rsidP="005C3144">
      <w:pPr>
        <w:spacing w:line="240" w:lineRule="auto"/>
        <w:rPr>
          <w:sz w:val="24"/>
          <w:szCs w:val="24"/>
        </w:rPr>
      </w:pPr>
      <w:r>
        <w:t>The PONV scores were similar for all three groups when assessed in the recovery room and at 24</w:t>
      </w:r>
      <w:r w:rsidR="007477E2">
        <w:t xml:space="preserve"> </w:t>
      </w:r>
      <w:r>
        <w:t>h postoperatively. There were, however, significantly lower PONV scores with metoclopramide and ondansetron at both 2</w:t>
      </w:r>
      <w:r w:rsidR="008B7881">
        <w:t xml:space="preserve"> </w:t>
      </w:r>
      <w:r w:rsidR="00AC239D">
        <w:t>h (p</w:t>
      </w:r>
      <w:r>
        <w:t xml:space="preserve"> = 0.008) and at discharge (</w:t>
      </w:r>
      <w:r w:rsidR="00AC239D">
        <w:t>p</w:t>
      </w:r>
      <w:r>
        <w:t xml:space="preserve"> = 0.002) when compared with cyclizine. </w:t>
      </w:r>
    </w:p>
    <w:p w:rsidR="00750A10" w:rsidRDefault="00750A10" w:rsidP="00B261B4">
      <w:pPr>
        <w:pStyle w:val="FigureTitle"/>
        <w:keepNext/>
        <w:spacing w:line="240" w:lineRule="auto"/>
      </w:pPr>
      <w:bookmarkStart w:id="143" w:name="_Toc304266866"/>
      <w:r>
        <w:t>Table 2</w:t>
      </w:r>
      <w:r w:rsidR="00674106">
        <w:t>2</w:t>
      </w:r>
      <w:r>
        <w:t>. Postoperative nausea and sedation scores by group</w:t>
      </w:r>
      <w:bookmarkEnd w:id="143"/>
    </w:p>
    <w:p w:rsidR="00750A10" w:rsidRDefault="00DE18CA" w:rsidP="005C3144">
      <w:pPr>
        <w:keepNext/>
        <w:spacing w:line="240" w:lineRule="auto"/>
        <w:ind w:left="720"/>
      </w:pPr>
      <w:r>
        <w:rPr>
          <w:noProof/>
          <w:lang w:eastAsia="en-AU"/>
        </w:rPr>
        <w:drawing>
          <wp:inline distT="0" distB="0" distL="0" distR="0">
            <wp:extent cx="4218305" cy="1525905"/>
            <wp:effectExtent l="19050" t="0" r="0" b="0"/>
            <wp:docPr id="29" name="Picture 29"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305" cy="1525905"/>
                    </a:xfrm>
                    <a:prstGeom prst="rect">
                      <a:avLst/>
                    </a:prstGeom>
                    <a:noFill/>
                    <a:ln>
                      <a:noFill/>
                    </a:ln>
                  </pic:spPr>
                </pic:pic>
              </a:graphicData>
            </a:graphic>
          </wp:inline>
        </w:drawing>
      </w:r>
    </w:p>
    <w:p w:rsidR="00160051" w:rsidRDefault="00750A10" w:rsidP="00741046">
      <w:pPr>
        <w:spacing w:line="240" w:lineRule="auto"/>
        <w:ind w:firstLine="720"/>
      </w:pPr>
      <w:r w:rsidRPr="00160051">
        <w:rPr>
          <w:sz w:val="18"/>
        </w:rPr>
        <w:t>Scores are expressed as mean rank values (Kruskal-Wallis Test).</w:t>
      </w:r>
    </w:p>
    <w:p w:rsidR="00160051" w:rsidRDefault="00AC239D" w:rsidP="00741046">
      <w:pPr>
        <w:spacing w:line="240" w:lineRule="auto"/>
      </w:pPr>
      <w:r>
        <w:t>Two</w:t>
      </w:r>
      <w:r w:rsidR="00750A10">
        <w:t xml:space="preserve"> ondansetron and 4 cyclizine patients were admitted overnight for severe nausea and/or vomiting.</w:t>
      </w:r>
      <w:bookmarkStart w:id="144" w:name="_Toc304266867"/>
    </w:p>
    <w:p w:rsidR="00750A10" w:rsidRDefault="00674106" w:rsidP="00B261B4">
      <w:pPr>
        <w:pStyle w:val="FigureTitle"/>
        <w:spacing w:line="240" w:lineRule="auto"/>
      </w:pPr>
      <w:r>
        <w:lastRenderedPageBreak/>
        <w:t>Table 23</w:t>
      </w:r>
      <w:r w:rsidR="00750A10">
        <w:t>. Incidence of clinical postoperative nausea and vomiting, overnight admission, and opiate usage by group</w:t>
      </w:r>
      <w:bookmarkEnd w:id="144"/>
    </w:p>
    <w:p w:rsidR="00750A10" w:rsidRDefault="00DE18CA" w:rsidP="005C3144">
      <w:pPr>
        <w:spacing w:line="240" w:lineRule="auto"/>
        <w:ind w:left="720"/>
      </w:pPr>
      <w:r>
        <w:rPr>
          <w:noProof/>
          <w:lang w:eastAsia="en-AU"/>
        </w:rPr>
        <w:drawing>
          <wp:inline distT="0" distB="0" distL="0" distR="0">
            <wp:extent cx="4179570" cy="1598930"/>
            <wp:effectExtent l="19050" t="0" r="0" b="0"/>
            <wp:docPr id="30" name="Picture 30" descr="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9570" cy="1598930"/>
                    </a:xfrm>
                    <a:prstGeom prst="rect">
                      <a:avLst/>
                    </a:prstGeom>
                    <a:noFill/>
                    <a:ln>
                      <a:noFill/>
                    </a:ln>
                  </pic:spPr>
                </pic:pic>
              </a:graphicData>
            </a:graphic>
          </wp:inline>
        </w:drawing>
      </w:r>
    </w:p>
    <w:p w:rsidR="00160051" w:rsidRPr="00160051" w:rsidRDefault="00750A10" w:rsidP="00741046">
      <w:pPr>
        <w:spacing w:line="240" w:lineRule="auto"/>
        <w:ind w:left="720"/>
      </w:pPr>
      <w:r w:rsidRPr="00160051">
        <w:rPr>
          <w:sz w:val="18"/>
          <w:szCs w:val="18"/>
        </w:rPr>
        <w:t>Numbers are expressed as patients in each group with a PONV score ≥ 2 at any time, and opiate usage as mean morphine requirement (mg), (SEM).</w:t>
      </w:r>
    </w:p>
    <w:p w:rsidR="00B81FEA" w:rsidRDefault="00B81FEA" w:rsidP="005C3144">
      <w:pPr>
        <w:pStyle w:val="Heading5"/>
        <w:spacing w:line="240" w:lineRule="auto"/>
      </w:pPr>
      <w:r>
        <w:t>Chestnutt WN</w:t>
      </w:r>
      <w:r w:rsidR="00F94908">
        <w:t xml:space="preserve"> and</w:t>
      </w:r>
      <w:r>
        <w:t xml:space="preserve"> Dundee JW. The influence of cyclizine and perphenazine on the emetic effect of meptazinol. Eur J Anaesth. 1986; 3(1):</w:t>
      </w:r>
      <w:r w:rsidR="00160051">
        <w:t xml:space="preserve"> </w:t>
      </w:r>
      <w:r>
        <w:t>27-32.</w:t>
      </w:r>
    </w:p>
    <w:p w:rsidR="00750A10" w:rsidRDefault="00750A10" w:rsidP="005C3144">
      <w:pPr>
        <w:spacing w:line="240" w:lineRule="auto"/>
      </w:pPr>
      <w:r>
        <w:t>A double-blind placebo-controlled study to compare the efficacy and safety of cyclizine and perphenazine when given in conjunction with meptazinol as preoperative medication</w:t>
      </w:r>
      <w:r w:rsidR="00B261B4">
        <w:t xml:space="preserve"> conducted at </w:t>
      </w:r>
      <w:r>
        <w:t xml:space="preserve"> 3 centres</w:t>
      </w:r>
      <w:r w:rsidR="00B261B4">
        <w:t xml:space="preserve"> in the</w:t>
      </w:r>
      <w:r>
        <w:t xml:space="preserve"> UK.</w:t>
      </w:r>
    </w:p>
    <w:p w:rsidR="00750A10" w:rsidRDefault="00750A10" w:rsidP="004F793E">
      <w:pPr>
        <w:spacing w:after="0" w:line="240" w:lineRule="auto"/>
      </w:pPr>
      <w:r w:rsidRPr="00B81FEA">
        <w:rPr>
          <w:b/>
          <w:i/>
        </w:rPr>
        <w:t>Anaesthesia</w:t>
      </w:r>
      <w:r w:rsidR="00B81FEA" w:rsidRPr="00B81FEA">
        <w:rPr>
          <w:b/>
          <w:i/>
        </w:rPr>
        <w:t>:</w:t>
      </w:r>
      <w:r w:rsidR="00B81FEA">
        <w:rPr>
          <w:b/>
        </w:rPr>
        <w:t xml:space="preserve"> </w:t>
      </w:r>
      <w:r>
        <w:t>Premedication: IM 1.5</w:t>
      </w:r>
      <w:r w:rsidR="007A123F">
        <w:t xml:space="preserve"> </w:t>
      </w:r>
      <w:r>
        <w:t>h preoperatively</w:t>
      </w:r>
      <w:r w:rsidR="007C4840">
        <w:t>,</w:t>
      </w:r>
      <w:r>
        <w:t xml:space="preserve"> 100</w:t>
      </w:r>
      <w:r w:rsidR="007A123F">
        <w:t xml:space="preserve"> </w:t>
      </w:r>
      <w:r>
        <w:t>mg meptazinol with 50</w:t>
      </w:r>
      <w:r w:rsidR="007A123F">
        <w:t xml:space="preserve"> </w:t>
      </w:r>
      <w:r>
        <w:t>mg cyclizine or 2.5</w:t>
      </w:r>
      <w:r w:rsidR="007A123F">
        <w:t xml:space="preserve"> mg perphenazine or saline </w:t>
      </w:r>
      <w:r>
        <w:t>(40 patients per group).</w:t>
      </w:r>
      <w:r w:rsidR="00B81FEA">
        <w:t xml:space="preserve"> </w:t>
      </w:r>
      <w:r>
        <w:t>Induction: methohexitone 1.6</w:t>
      </w:r>
      <w:r w:rsidR="007A123F">
        <w:t xml:space="preserve"> </w:t>
      </w:r>
      <w:r>
        <w:t>mg/kg.</w:t>
      </w:r>
      <w:r w:rsidR="00B81FEA">
        <w:t xml:space="preserve"> </w:t>
      </w:r>
      <w:r>
        <w:t xml:space="preserve">Maintenance: nitrous oxide 70% in oxygen with methohexitone </w:t>
      </w:r>
      <w:r w:rsidR="007A123F">
        <w:t>PRN</w:t>
      </w:r>
      <w:r>
        <w:t>. Supplemented with halotha</w:t>
      </w:r>
      <w:r w:rsidR="007A123F">
        <w:t>ne or ethrane (for 4 cyclizine and</w:t>
      </w:r>
      <w:r>
        <w:t xml:space="preserve"> 2</w:t>
      </w:r>
      <w:r w:rsidR="007A123F">
        <w:t xml:space="preserve"> </w:t>
      </w:r>
      <w:r>
        <w:t>placebo patients).</w:t>
      </w:r>
    </w:p>
    <w:p w:rsidR="00750A10" w:rsidRDefault="00B81FEA" w:rsidP="004F793E">
      <w:pPr>
        <w:spacing w:after="0" w:line="240" w:lineRule="auto"/>
      </w:pPr>
      <w:r w:rsidRPr="00B81FEA">
        <w:rPr>
          <w:b/>
          <w:i/>
        </w:rPr>
        <w:t>Analgesia</w:t>
      </w:r>
      <w:r w:rsidR="00750A10" w:rsidRPr="00B81FEA">
        <w:rPr>
          <w:b/>
          <w:i/>
        </w:rPr>
        <w:t>:</w:t>
      </w:r>
      <w:r w:rsidR="00750A10">
        <w:t xml:space="preserve"> preoperative meptazinol IM.</w:t>
      </w:r>
    </w:p>
    <w:p w:rsidR="00750A10" w:rsidRDefault="00750A10" w:rsidP="004F793E">
      <w:pPr>
        <w:spacing w:after="0" w:line="240" w:lineRule="auto"/>
      </w:pPr>
      <w:r w:rsidRPr="00B81FEA">
        <w:rPr>
          <w:b/>
          <w:i/>
        </w:rPr>
        <w:t>Inclusion criteria:</w:t>
      </w:r>
      <w:r>
        <w:t xml:space="preserve"> fit women undergoing minor gynaecological procedures.</w:t>
      </w:r>
    </w:p>
    <w:p w:rsidR="00750A10" w:rsidRDefault="00750A10" w:rsidP="004F793E">
      <w:pPr>
        <w:spacing w:after="0" w:line="240" w:lineRule="auto"/>
      </w:pPr>
      <w:r w:rsidRPr="00B81FEA">
        <w:rPr>
          <w:b/>
          <w:i/>
        </w:rPr>
        <w:t>Exclusion criteria:</w:t>
      </w:r>
      <w:r>
        <w:t xml:space="preserve"> none given.</w:t>
      </w:r>
    </w:p>
    <w:p w:rsidR="00750A10" w:rsidRDefault="00750A10" w:rsidP="005C3144">
      <w:pPr>
        <w:spacing w:line="240" w:lineRule="auto"/>
      </w:pPr>
      <w:r w:rsidRPr="00B81FEA">
        <w:rPr>
          <w:b/>
          <w:i/>
        </w:rPr>
        <w:t>Antiemetics</w:t>
      </w:r>
      <w:r w:rsidR="00B81FEA" w:rsidRPr="00B81FEA">
        <w:rPr>
          <w:b/>
          <w:i/>
        </w:rPr>
        <w:t>:</w:t>
      </w:r>
      <w:r w:rsidR="00B81FEA">
        <w:rPr>
          <w:b/>
          <w:i/>
        </w:rPr>
        <w:t xml:space="preserve"> </w:t>
      </w:r>
      <w:r>
        <w:t>According to randomisation 1.5</w:t>
      </w:r>
      <w:r w:rsidR="007A123F">
        <w:t xml:space="preserve"> </w:t>
      </w:r>
      <w:r>
        <w:t>h preoperatively</w:t>
      </w:r>
      <w:r w:rsidR="00324714">
        <w:t>,</w:t>
      </w:r>
      <w:r>
        <w:t xml:space="preserve"> IM 50</w:t>
      </w:r>
      <w:r w:rsidR="007A123F">
        <w:t xml:space="preserve"> </w:t>
      </w:r>
      <w:r>
        <w:t>mg cyclizine or 2.5</w:t>
      </w:r>
      <w:r w:rsidR="007A123F">
        <w:t xml:space="preserve"> </w:t>
      </w:r>
      <w:r>
        <w:t>mg perphenazine or saline.</w:t>
      </w:r>
      <w:r w:rsidR="00B81FEA">
        <w:t xml:space="preserve"> </w:t>
      </w:r>
      <w:r>
        <w:t>Rescue appears to be IM cyclizine 50</w:t>
      </w:r>
      <w:r w:rsidR="007A123F">
        <w:t xml:space="preserve"> </w:t>
      </w:r>
      <w:r>
        <w:t>mg.</w:t>
      </w:r>
    </w:p>
    <w:p w:rsidR="00750A10" w:rsidRDefault="00750A10" w:rsidP="005C3144">
      <w:pPr>
        <w:spacing w:line="240" w:lineRule="auto"/>
      </w:pPr>
      <w:r>
        <w:t xml:space="preserve">The </w:t>
      </w:r>
      <w:r w:rsidR="007A123F">
        <w:t>s</w:t>
      </w:r>
      <w:r>
        <w:t xml:space="preserve">tudy objective was the comparison of the safety </w:t>
      </w:r>
      <w:r w:rsidR="007A123F">
        <w:t>and</w:t>
      </w:r>
      <w:r>
        <w:t xml:space="preserve"> </w:t>
      </w:r>
      <w:r w:rsidR="00324714">
        <w:t xml:space="preserve">efficacy </w:t>
      </w:r>
      <w:r w:rsidR="00C41A6A">
        <w:t>versus</w:t>
      </w:r>
      <w:r>
        <w:t xml:space="preserve"> perphenazine and placebo</w:t>
      </w:r>
      <w:r w:rsidR="00B81FEA">
        <w:t xml:space="preserve">. </w:t>
      </w:r>
      <w:r>
        <w:t>The primary outcome measures were the incidence of slight or marked nausea, vomiting (alone or with nausea).</w:t>
      </w:r>
      <w:r w:rsidR="00B81FEA">
        <w:t xml:space="preserve"> </w:t>
      </w:r>
      <w:r>
        <w:t>The differences between the 3 treatment groups were tested by the Kruskal-Wallis test, and the significance of the differences between pairs of treatments evaluated using a two-sample Wilcoxon test</w:t>
      </w:r>
      <w:r w:rsidR="00F94908">
        <w:t>. Chi-square</w:t>
      </w:r>
      <w:r w:rsidR="00324714">
        <w:t xml:space="preserve"> </w:t>
      </w:r>
      <w:r>
        <w:t>test was used for categorical data.</w:t>
      </w:r>
    </w:p>
    <w:p w:rsidR="00750A10" w:rsidRDefault="00674106" w:rsidP="00B261B4">
      <w:pPr>
        <w:pStyle w:val="FigureTitle"/>
        <w:spacing w:line="240" w:lineRule="auto"/>
      </w:pPr>
      <w:bookmarkStart w:id="145" w:name="_Toc304266868"/>
      <w:r>
        <w:t>Table 24</w:t>
      </w:r>
      <w:r w:rsidR="00750A10">
        <w:t xml:space="preserve">. Physical characteristics of patients (n = 40) </w:t>
      </w:r>
      <w:bookmarkEnd w:id="145"/>
    </w:p>
    <w:p w:rsidR="00750A10" w:rsidRDefault="00DE18CA" w:rsidP="005C3144">
      <w:pPr>
        <w:spacing w:line="240" w:lineRule="auto"/>
        <w:ind w:left="720"/>
      </w:pPr>
      <w:r>
        <w:rPr>
          <w:noProof/>
          <w:lang w:eastAsia="en-AU"/>
        </w:rPr>
        <w:drawing>
          <wp:inline distT="0" distB="0" distL="0" distR="0">
            <wp:extent cx="4704278" cy="1389413"/>
            <wp:effectExtent l="19050" t="0" r="1072" b="0"/>
            <wp:docPr id="31" name="Picture 31"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6566" cy="1393042"/>
                    </a:xfrm>
                    <a:prstGeom prst="rect">
                      <a:avLst/>
                    </a:prstGeom>
                    <a:noFill/>
                    <a:ln>
                      <a:noFill/>
                    </a:ln>
                  </pic:spPr>
                </pic:pic>
              </a:graphicData>
            </a:graphic>
          </wp:inline>
        </w:drawing>
      </w:r>
    </w:p>
    <w:p w:rsidR="00F94908" w:rsidRDefault="00750A10" w:rsidP="00741046">
      <w:pPr>
        <w:tabs>
          <w:tab w:val="left" w:pos="2409"/>
        </w:tabs>
        <w:spacing w:line="240" w:lineRule="auto"/>
        <w:ind w:left="720"/>
      </w:pPr>
      <w:r w:rsidRPr="00F94908">
        <w:rPr>
          <w:sz w:val="18"/>
          <w:szCs w:val="18"/>
        </w:rPr>
        <w:t>(mean ± SD)</w:t>
      </w:r>
      <w:r w:rsidR="00F94908">
        <w:rPr>
          <w:sz w:val="18"/>
          <w:szCs w:val="18"/>
        </w:rPr>
        <w:tab/>
      </w:r>
      <w:bookmarkStart w:id="146" w:name="_Toc304266869"/>
    </w:p>
    <w:p w:rsidR="00750A10" w:rsidRDefault="00674106" w:rsidP="003E58CF">
      <w:pPr>
        <w:pStyle w:val="FigureTitle"/>
        <w:keepNext/>
        <w:spacing w:line="240" w:lineRule="auto"/>
        <w:rPr>
          <w:sz w:val="24"/>
          <w:szCs w:val="24"/>
        </w:rPr>
      </w:pPr>
      <w:r>
        <w:lastRenderedPageBreak/>
        <w:t>Table 25</w:t>
      </w:r>
      <w:r w:rsidR="00750A10">
        <w:t xml:space="preserve">. Frequency distribution of maximal emetic tendency for the pre-operative, post-operative and total study periods. </w:t>
      </w:r>
      <w:bookmarkEnd w:id="146"/>
    </w:p>
    <w:p w:rsidR="00750A10" w:rsidRDefault="00DE18CA" w:rsidP="003E58CF">
      <w:pPr>
        <w:pStyle w:val="FigureTitle"/>
        <w:keepNext/>
        <w:spacing w:line="240" w:lineRule="auto"/>
        <w:rPr>
          <w:sz w:val="16"/>
          <w:szCs w:val="16"/>
        </w:rPr>
      </w:pPr>
      <w:r>
        <w:rPr>
          <w:noProof/>
          <w:lang w:eastAsia="en-AU"/>
        </w:rPr>
        <w:drawing>
          <wp:inline distT="0" distB="0" distL="0" distR="0">
            <wp:extent cx="5918200" cy="1458595"/>
            <wp:effectExtent l="19050" t="0" r="6350" b="0"/>
            <wp:docPr id="32" name="Picture 32"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8200" cy="1458595"/>
                    </a:xfrm>
                    <a:prstGeom prst="rect">
                      <a:avLst/>
                    </a:prstGeom>
                    <a:noFill/>
                    <a:ln>
                      <a:noFill/>
                    </a:ln>
                  </pic:spPr>
                </pic:pic>
              </a:graphicData>
            </a:graphic>
          </wp:inline>
        </w:drawing>
      </w:r>
    </w:p>
    <w:p w:rsidR="00750A10" w:rsidRDefault="00750A10" w:rsidP="005C3144">
      <w:pPr>
        <w:pStyle w:val="FigureTitle"/>
        <w:spacing w:line="240" w:lineRule="auto"/>
        <w:rPr>
          <w:sz w:val="24"/>
          <w:szCs w:val="24"/>
        </w:rPr>
      </w:pPr>
      <w:bookmarkStart w:id="147" w:name="_Toc304266870"/>
      <w:r>
        <w:t>Figure 11. Time profile of emetic sequelae following 100</w:t>
      </w:r>
      <w:r w:rsidR="00F94908">
        <w:t xml:space="preserve"> </w:t>
      </w:r>
      <w:r>
        <w:t>mg meptazinol administered IM as pre-anaesthetic medication for minor gynaecological procedures and accompanied by saline, 50</w:t>
      </w:r>
      <w:r w:rsidR="00F94908">
        <w:t xml:space="preserve"> </w:t>
      </w:r>
      <w:r>
        <w:t>mg cyclizine or 2.5</w:t>
      </w:r>
      <w:r w:rsidR="007A123F">
        <w:t xml:space="preserve"> </w:t>
      </w:r>
      <w:r>
        <w:t xml:space="preserve">mg perphenazine </w:t>
      </w:r>
      <w:bookmarkEnd w:id="147"/>
    </w:p>
    <w:p w:rsidR="00750A10" w:rsidRDefault="00DE18CA" w:rsidP="005C3144">
      <w:pPr>
        <w:spacing w:line="240" w:lineRule="auto"/>
      </w:pPr>
      <w:r>
        <w:rPr>
          <w:noProof/>
          <w:lang w:eastAsia="en-AU"/>
        </w:rPr>
        <w:drawing>
          <wp:inline distT="0" distB="0" distL="0" distR="0">
            <wp:extent cx="4886325" cy="3068320"/>
            <wp:effectExtent l="19050" t="0" r="9525" b="0"/>
            <wp:docPr id="33" name="Picture 33"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3068320"/>
                    </a:xfrm>
                    <a:prstGeom prst="rect">
                      <a:avLst/>
                    </a:prstGeom>
                    <a:noFill/>
                    <a:ln>
                      <a:noFill/>
                    </a:ln>
                  </pic:spPr>
                </pic:pic>
              </a:graphicData>
            </a:graphic>
          </wp:inline>
        </w:drawing>
      </w:r>
    </w:p>
    <w:p w:rsidR="00750A10" w:rsidRDefault="00750A10" w:rsidP="005C3144">
      <w:pPr>
        <w:spacing w:line="240" w:lineRule="auto"/>
      </w:pPr>
      <w:r>
        <w:t xml:space="preserve">The cyclizine treated group had significantly less nausea or vomiting then either the perphenazine or saline groups </w:t>
      </w:r>
      <w:r w:rsidR="00324714">
        <w:t>at all times, pre-operatively (p</w:t>
      </w:r>
      <w:r>
        <w:t xml:space="preserve"> &lt; 0.001), post-operatively (</w:t>
      </w:r>
      <w:r w:rsidR="00324714">
        <w:t>p</w:t>
      </w:r>
      <w:r>
        <w:t xml:space="preserve"> &lt; 0.05), or overall (</w:t>
      </w:r>
      <w:r w:rsidR="00324714">
        <w:t>p </w:t>
      </w:r>
      <w:r>
        <w:t>&lt;</w:t>
      </w:r>
      <w:r w:rsidR="00324714">
        <w:t> </w:t>
      </w:r>
      <w:r>
        <w:t>0.01)</w:t>
      </w:r>
      <w:r w:rsidR="00324714">
        <w:t>.</w:t>
      </w:r>
    </w:p>
    <w:p w:rsidR="00D277C7" w:rsidRDefault="00D277C7" w:rsidP="005C3144">
      <w:pPr>
        <w:pStyle w:val="Heading5"/>
        <w:spacing w:line="240" w:lineRule="auto"/>
      </w:pPr>
      <w:bookmarkStart w:id="148" w:name="_Toc304266775"/>
      <w:r>
        <w:t>Dundee JW, Loan WB, Morrison JD. A comparison of the efficacy of cyclizine and perphenazine in reducing the emetic effects of morphine and pethidine. Br J Clin Pharmac. 1975; 2(1):</w:t>
      </w:r>
      <w:r w:rsidR="00F94908">
        <w:t xml:space="preserve"> </w:t>
      </w:r>
      <w:r>
        <w:t>81-85.</w:t>
      </w:r>
    </w:p>
    <w:bookmarkEnd w:id="148"/>
    <w:p w:rsidR="00750A10" w:rsidRPr="007A123F" w:rsidRDefault="00750A10" w:rsidP="005C3144">
      <w:pPr>
        <w:spacing w:line="240" w:lineRule="auto"/>
      </w:pPr>
      <w:r>
        <w:t>A double-blind study comparing the ability of cyclizine (50 mg) and perphenazine (2.5 and 5.0</w:t>
      </w:r>
      <w:r w:rsidR="007A123F">
        <w:t xml:space="preserve"> </w:t>
      </w:r>
      <w:r>
        <w:t>mg) to counteract the emetic effects of pethidine (100</w:t>
      </w:r>
      <w:r w:rsidR="007A123F">
        <w:t xml:space="preserve"> </w:t>
      </w:r>
      <w:r>
        <w:t>mg) and morphine (10 and 15</w:t>
      </w:r>
      <w:r w:rsidR="007A123F">
        <w:t> </w:t>
      </w:r>
      <w:r>
        <w:t>mg) in women undergoing a standard minor gynaecological operation with a standard anaesthetic</w:t>
      </w:r>
      <w:r w:rsidRPr="007A123F">
        <w:t xml:space="preserve">. While patients were initially completely randomly allocated to the treatments toward the end of the study they were allocated to treatments by a clinician other than the investigators </w:t>
      </w:r>
      <w:r w:rsidRPr="007A123F">
        <w:rPr>
          <w:i/>
        </w:rPr>
        <w:t>“to eliminate the bias due to the powerful emetic effect of cervical dilatation per se”</w:t>
      </w:r>
      <w:r w:rsidRPr="007A123F">
        <w:t xml:space="preserve"> by balancing </w:t>
      </w:r>
      <w:r w:rsidRPr="007A123F">
        <w:rPr>
          <w:i/>
        </w:rPr>
        <w:t>“the numbers in each group who had and who had not dilatation of the cervix uteri.”</w:t>
      </w:r>
      <w:r w:rsidRPr="007A123F">
        <w:t xml:space="preserve"> </w:t>
      </w:r>
      <w:r w:rsidR="006907C3">
        <w:t>Conducted at a s</w:t>
      </w:r>
      <w:r w:rsidRPr="007A123F">
        <w:t>ingle</w:t>
      </w:r>
      <w:r w:rsidR="006907C3">
        <w:t xml:space="preserve"> </w:t>
      </w:r>
      <w:r w:rsidRPr="007A123F">
        <w:t>centre</w:t>
      </w:r>
      <w:r w:rsidR="006907C3">
        <w:t xml:space="preserve"> in the</w:t>
      </w:r>
      <w:r w:rsidRPr="007A123F">
        <w:t xml:space="preserve"> UK.</w:t>
      </w:r>
    </w:p>
    <w:p w:rsidR="00750A10" w:rsidRDefault="00750A10" w:rsidP="004F793E">
      <w:pPr>
        <w:spacing w:after="0" w:line="240" w:lineRule="auto"/>
      </w:pPr>
      <w:r w:rsidRPr="00D277C7">
        <w:rPr>
          <w:b/>
          <w:i/>
        </w:rPr>
        <w:t>Anaesthesia</w:t>
      </w:r>
      <w:r w:rsidR="00D277C7" w:rsidRPr="00D277C7">
        <w:rPr>
          <w:b/>
          <w:i/>
        </w:rPr>
        <w:t>:</w:t>
      </w:r>
      <w:r>
        <w:rPr>
          <w:b/>
        </w:rPr>
        <w:t xml:space="preserve"> </w:t>
      </w:r>
      <w:r>
        <w:t>Premedication: IM 1.5</w:t>
      </w:r>
      <w:r w:rsidR="007A123F">
        <w:t xml:space="preserve"> </w:t>
      </w:r>
      <w:r>
        <w:t>h preoperatively pethidine (100</w:t>
      </w:r>
      <w:r w:rsidR="007A123F">
        <w:t xml:space="preserve"> </w:t>
      </w:r>
      <w:r>
        <w:t>mg), or morphine (10 or 15</w:t>
      </w:r>
      <w:r w:rsidR="00F94908">
        <w:t> </w:t>
      </w:r>
      <w:r>
        <w:t>mg) alone or with cyclizine (50</w:t>
      </w:r>
      <w:r w:rsidR="007A123F">
        <w:t xml:space="preserve"> mg) or </w:t>
      </w:r>
      <w:r>
        <w:t>perphenazine (2.5</w:t>
      </w:r>
      <w:r w:rsidR="007A123F">
        <w:t xml:space="preserve"> </w:t>
      </w:r>
      <w:r>
        <w:t>mg or 5</w:t>
      </w:r>
      <w:r w:rsidR="007A123F">
        <w:t xml:space="preserve"> </w:t>
      </w:r>
      <w:r>
        <w:t xml:space="preserve">mg). Induction </w:t>
      </w:r>
      <w:r w:rsidR="007A123F">
        <w:t>and</w:t>
      </w:r>
      <w:r>
        <w:t xml:space="preserve"> </w:t>
      </w:r>
      <w:r w:rsidR="007A123F">
        <w:t xml:space="preserve">maintenance: methohexitone </w:t>
      </w:r>
      <w:r w:rsidR="00C41A6A">
        <w:t>nitrous oxide</w:t>
      </w:r>
      <w:r>
        <w:t>/oxygen with no volatile agents.</w:t>
      </w:r>
    </w:p>
    <w:p w:rsidR="00750A10" w:rsidRPr="007A123F" w:rsidRDefault="00750A10" w:rsidP="004F793E">
      <w:pPr>
        <w:spacing w:after="0" w:line="240" w:lineRule="auto"/>
      </w:pPr>
      <w:r w:rsidRPr="00D277C7">
        <w:rPr>
          <w:b/>
          <w:i/>
        </w:rPr>
        <w:t>Analgesia:</w:t>
      </w:r>
      <w:r w:rsidRPr="007A123F">
        <w:t xml:space="preserve"> preoperative pethidine (100</w:t>
      </w:r>
      <w:r w:rsidR="007A123F" w:rsidRPr="007A123F">
        <w:t xml:space="preserve"> </w:t>
      </w:r>
      <w:r w:rsidRPr="007A123F">
        <w:t>mg), or morphine (10 or 15</w:t>
      </w:r>
      <w:r w:rsidR="007A123F" w:rsidRPr="007A123F">
        <w:t xml:space="preserve"> </w:t>
      </w:r>
      <w:r w:rsidRPr="007A123F">
        <w:t>mg) IM</w:t>
      </w:r>
      <w:r w:rsidR="007A123F" w:rsidRPr="007A123F">
        <w:t xml:space="preserve">. </w:t>
      </w:r>
      <w:r w:rsidRPr="007A123F">
        <w:t>No postoperative analgesics.</w:t>
      </w:r>
      <w:r w:rsidR="00D277C7">
        <w:t xml:space="preserve"> </w:t>
      </w:r>
    </w:p>
    <w:p w:rsidR="00E90811" w:rsidRDefault="00E90811" w:rsidP="00E90811">
      <w:pPr>
        <w:spacing w:line="240" w:lineRule="auto"/>
      </w:pPr>
      <w:r w:rsidRPr="00D277C7">
        <w:rPr>
          <w:b/>
          <w:i/>
        </w:rPr>
        <w:t>Antiemetics:</w:t>
      </w:r>
      <w:r>
        <w:rPr>
          <w:b/>
        </w:rPr>
        <w:t xml:space="preserve"> </w:t>
      </w:r>
      <w:r>
        <w:t>According to randomisation/allocation 1.5 h preoperatively, IM 50 mg cyclizine or 5 mg or 2.5 mg perphenazine. Rescue: none apparent.</w:t>
      </w:r>
    </w:p>
    <w:p w:rsidR="00750A10" w:rsidRDefault="00750A10" w:rsidP="004F793E">
      <w:pPr>
        <w:spacing w:after="0" w:line="240" w:lineRule="auto"/>
      </w:pPr>
      <w:r w:rsidRPr="00D277C7">
        <w:rPr>
          <w:b/>
          <w:i/>
        </w:rPr>
        <w:lastRenderedPageBreak/>
        <w:t>Inclusion criteria:</w:t>
      </w:r>
      <w:r>
        <w:t xml:space="preserve"> fit women undergoing minor gynaecological procedures.</w:t>
      </w:r>
    </w:p>
    <w:p w:rsidR="00750A10" w:rsidRDefault="00750A10" w:rsidP="004F793E">
      <w:pPr>
        <w:spacing w:after="0" w:line="240" w:lineRule="auto"/>
      </w:pPr>
      <w:r w:rsidRPr="00D277C7">
        <w:rPr>
          <w:b/>
          <w:i/>
        </w:rPr>
        <w:t>Exclusion criteria:</w:t>
      </w:r>
      <w:r>
        <w:t xml:space="preserve"> none given.</w:t>
      </w:r>
    </w:p>
    <w:p w:rsidR="00750A10" w:rsidRDefault="00750A10" w:rsidP="005C3144">
      <w:pPr>
        <w:spacing w:line="240" w:lineRule="auto"/>
      </w:pPr>
      <w:r w:rsidRPr="00D277C7">
        <w:rPr>
          <w:b/>
          <w:i/>
        </w:rPr>
        <w:t>Population:</w:t>
      </w:r>
      <w:r>
        <w:t xml:space="preserve"> 100 patients per group were intended but perphenazine 5</w:t>
      </w:r>
      <w:r w:rsidR="007A123F">
        <w:t xml:space="preserve"> </w:t>
      </w:r>
      <w:r>
        <w:t>mg was withdrawn from the study after 50 patients because of the associated high incidence of restlessness.</w:t>
      </w:r>
    </w:p>
    <w:p w:rsidR="00750A10" w:rsidRDefault="00674106" w:rsidP="006907C3">
      <w:pPr>
        <w:pStyle w:val="FigureTitle"/>
        <w:spacing w:line="240" w:lineRule="auto"/>
      </w:pPr>
      <w:bookmarkStart w:id="149" w:name="_Toc304266871"/>
      <w:r>
        <w:t>Table 26</w:t>
      </w:r>
      <w:r w:rsidR="00750A10">
        <w:t xml:space="preserve">. Numbers of patients in the different series studied. </w:t>
      </w:r>
      <w:bookmarkEnd w:id="149"/>
    </w:p>
    <w:p w:rsidR="00750A10" w:rsidRDefault="00DE18CA" w:rsidP="005C3144">
      <w:pPr>
        <w:spacing w:line="240" w:lineRule="auto"/>
      </w:pPr>
      <w:r>
        <w:rPr>
          <w:noProof/>
          <w:lang w:eastAsia="en-AU"/>
        </w:rPr>
        <w:drawing>
          <wp:inline distT="0" distB="0" distL="0" distR="0">
            <wp:extent cx="4987290" cy="1245235"/>
            <wp:effectExtent l="19050" t="0" r="3810" b="0"/>
            <wp:docPr id="34" name="Picture 34"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7290" cy="1245235"/>
                    </a:xfrm>
                    <a:prstGeom prst="rect">
                      <a:avLst/>
                    </a:prstGeom>
                    <a:noFill/>
                    <a:ln>
                      <a:noFill/>
                    </a:ln>
                  </pic:spPr>
                </pic:pic>
              </a:graphicData>
            </a:graphic>
          </wp:inline>
        </w:drawing>
      </w:r>
    </w:p>
    <w:p w:rsidR="00750A10" w:rsidRPr="007A123F" w:rsidRDefault="00C41A6A" w:rsidP="005C3144">
      <w:pPr>
        <w:spacing w:line="240" w:lineRule="auto"/>
        <w:rPr>
          <w:i/>
        </w:rPr>
      </w:pPr>
      <w:r w:rsidRPr="00C41A6A">
        <w:t>The authors state:</w:t>
      </w:r>
      <w:r>
        <w:rPr>
          <w:i/>
        </w:rPr>
        <w:t xml:space="preserve"> </w:t>
      </w:r>
      <w:r w:rsidR="00750A10" w:rsidRPr="007A123F">
        <w:rPr>
          <w:i/>
        </w:rPr>
        <w:t>“Each of the groups was broadly comparable with respect to average age and weight and duration of operation and in an analysis reported in detail elsewhere it has been shown that these are not important sources of bias in this experimental design (Morrison et al, 1968).”</w:t>
      </w:r>
    </w:p>
    <w:p w:rsidR="00750A10" w:rsidRDefault="007A123F" w:rsidP="005C3144">
      <w:pPr>
        <w:spacing w:line="240" w:lineRule="auto"/>
      </w:pPr>
      <w:r>
        <w:t>The s</w:t>
      </w:r>
      <w:r w:rsidR="00750A10">
        <w:t xml:space="preserve">tudy objective was to assess the incidence of PONV </w:t>
      </w:r>
      <w:r w:rsidR="00C41A6A">
        <w:t xml:space="preserve">versus </w:t>
      </w:r>
      <w:r w:rsidR="00750A10">
        <w:t>perphenazine and placebo</w:t>
      </w:r>
      <w:r w:rsidR="00D277C7">
        <w:t xml:space="preserve">. </w:t>
      </w:r>
      <w:r w:rsidR="00750A10">
        <w:t>The outcome measures were the incidence of pre and postoperative nausea and/or vomiting. Details of the population calculation not provided.</w:t>
      </w:r>
      <w:r w:rsidR="00D277C7">
        <w:t xml:space="preserve"> </w:t>
      </w:r>
      <w:r w:rsidR="00750A10">
        <w:t xml:space="preserve">Details of the statistical analysis </w:t>
      </w:r>
      <w:r w:rsidR="00DE38A3">
        <w:t xml:space="preserve">were </w:t>
      </w:r>
      <w:r w:rsidR="00750A10">
        <w:t>not given, except as results.</w:t>
      </w:r>
      <w:r w:rsidR="00750A10">
        <w:rPr>
          <w:rStyle w:val="FootnoteReference"/>
        </w:rPr>
        <w:footnoteReference w:id="18"/>
      </w:r>
    </w:p>
    <w:p w:rsidR="00750A10" w:rsidRDefault="00750A10" w:rsidP="005C3144">
      <w:pPr>
        <w:spacing w:line="240" w:lineRule="auto"/>
      </w:pPr>
      <w:r>
        <w:t>Both anti-emetics markedly reduced sickness after peth</w:t>
      </w:r>
      <w:r w:rsidR="00C41A6A">
        <w:t>idine to a significant degree (p</w:t>
      </w:r>
      <w:r>
        <w:t xml:space="preserve"> &lt; 0.0001).</w:t>
      </w:r>
      <w:r w:rsidR="00D277C7">
        <w:t xml:space="preserve"> </w:t>
      </w:r>
      <w:r>
        <w:t>The incidence of both vomiting and nausea was too low after the morphine for any statistical differences to be detected. Both cyclizine (50 mg) and perphenaz</w:t>
      </w:r>
      <w:r w:rsidR="00C41A6A">
        <w:t>ine (5 mg) very significantly (p </w:t>
      </w:r>
      <w:r>
        <w:t>&lt;</w:t>
      </w:r>
      <w:r w:rsidR="00C41A6A">
        <w:t> </w:t>
      </w:r>
      <w:r>
        <w:t>0.001) reduced postoperative vomiting and nausea in patients premedicated with morphine (10 mg). Their protective action was most marked in the first hour after operation. Morphine (15</w:t>
      </w:r>
      <w:r w:rsidR="00C41A6A">
        <w:t> </w:t>
      </w:r>
      <w:r>
        <w:t>mg) was followed by more postoperative vomiting and nausea than the 10</w:t>
      </w:r>
      <w:r w:rsidR="007A123F">
        <w:t xml:space="preserve"> </w:t>
      </w:r>
      <w:r>
        <w:t>mg dose (</w:t>
      </w:r>
      <w:r w:rsidR="00DE38A3">
        <w:t>χ</w:t>
      </w:r>
      <w:r w:rsidR="00DE38A3">
        <w:rPr>
          <w:vertAlign w:val="superscript"/>
        </w:rPr>
        <w:t>2</w:t>
      </w:r>
      <w:r w:rsidR="00DE38A3">
        <w:t> </w:t>
      </w:r>
      <w:r w:rsidR="00D277C7">
        <w:t>= </w:t>
      </w:r>
      <w:r>
        <w:t xml:space="preserve">11.315; </w:t>
      </w:r>
      <w:r w:rsidR="00C41A6A">
        <w:t>p</w:t>
      </w:r>
      <w:r>
        <w:t xml:space="preserve"> &lt; 0.001).</w:t>
      </w:r>
    </w:p>
    <w:p w:rsidR="00750A10" w:rsidRDefault="00750A10" w:rsidP="005C3144">
      <w:pPr>
        <w:spacing w:line="240" w:lineRule="auto"/>
      </w:pPr>
      <w:r>
        <w:t>All preparations studied appeared to be equally effective after the 15</w:t>
      </w:r>
      <w:r w:rsidR="007A123F">
        <w:t xml:space="preserve"> </w:t>
      </w:r>
      <w:r>
        <w:t>mg dose of morphine as anti-emetics (χ</w:t>
      </w:r>
      <w:r>
        <w:rPr>
          <w:vertAlign w:val="superscript"/>
        </w:rPr>
        <w:t>2</w:t>
      </w:r>
      <w:r w:rsidR="00DE38A3">
        <w:t xml:space="preserve"> = 15.064; p</w:t>
      </w:r>
      <w:r>
        <w:t xml:space="preserve"> &lt; 0.0005), but over half the patients still had some emetic sequelae.</w:t>
      </w:r>
      <w:r w:rsidR="00DE38A3">
        <w:t xml:space="preserve"> </w:t>
      </w:r>
      <w:r>
        <w:t>Both doses of perphenazine caused a highly significant reduction in postoperative sickness after pethidine (100</w:t>
      </w:r>
      <w:r w:rsidR="007A123F">
        <w:t xml:space="preserve"> </w:t>
      </w:r>
      <w:r>
        <w:t xml:space="preserve">mg) and </w:t>
      </w:r>
      <w:r w:rsidR="00DE38A3">
        <w:t xml:space="preserve">[this was] </w:t>
      </w:r>
      <w:r>
        <w:t>slightly more effective than cyclizine (50</w:t>
      </w:r>
      <w:r w:rsidR="007A123F">
        <w:t xml:space="preserve"> </w:t>
      </w:r>
      <w:r>
        <w:t>mg).</w:t>
      </w:r>
    </w:p>
    <w:p w:rsidR="00750A10" w:rsidRPr="007A123F" w:rsidRDefault="00C41A6A" w:rsidP="005C3144">
      <w:pPr>
        <w:spacing w:line="240" w:lineRule="auto"/>
        <w:rPr>
          <w:i/>
        </w:rPr>
      </w:pPr>
      <w:r w:rsidRPr="00C41A6A">
        <w:t>The authors state:</w:t>
      </w:r>
      <w:r>
        <w:rPr>
          <w:i/>
        </w:rPr>
        <w:t xml:space="preserve"> </w:t>
      </w:r>
      <w:r w:rsidR="007A123F" w:rsidRPr="007A123F">
        <w:rPr>
          <w:i/>
        </w:rPr>
        <w:t>“</w:t>
      </w:r>
      <w:r w:rsidR="00750A10" w:rsidRPr="007A123F">
        <w:rPr>
          <w:i/>
        </w:rPr>
        <w:t>Under the conditions of this study both cyclizine (50</w:t>
      </w:r>
      <w:r w:rsidR="007A123F">
        <w:rPr>
          <w:i/>
        </w:rPr>
        <w:t xml:space="preserve"> </w:t>
      </w:r>
      <w:r w:rsidR="00750A10" w:rsidRPr="007A123F">
        <w:rPr>
          <w:i/>
        </w:rPr>
        <w:t>mg) and perphenazine (2.5 and 5.0</w:t>
      </w:r>
      <w:r w:rsidR="007A123F">
        <w:rPr>
          <w:i/>
        </w:rPr>
        <w:t xml:space="preserve"> </w:t>
      </w:r>
      <w:r w:rsidR="00750A10" w:rsidRPr="007A123F">
        <w:rPr>
          <w:i/>
        </w:rPr>
        <w:t>mg) were useful in countering the emetic sequelae following morphine (10 and 15</w:t>
      </w:r>
      <w:r w:rsidR="007A123F">
        <w:rPr>
          <w:i/>
        </w:rPr>
        <w:t xml:space="preserve"> </w:t>
      </w:r>
      <w:r w:rsidR="00750A10" w:rsidRPr="007A123F">
        <w:rPr>
          <w:i/>
        </w:rPr>
        <w:t>mg) and pethidine (100</w:t>
      </w:r>
      <w:r w:rsidR="007A123F">
        <w:rPr>
          <w:i/>
        </w:rPr>
        <w:t xml:space="preserve"> </w:t>
      </w:r>
      <w:r w:rsidR="00750A10" w:rsidRPr="007A123F">
        <w:rPr>
          <w:i/>
        </w:rPr>
        <w:t>mg). They appeared to act quickly as judged by the reduction in preoperative vomiting and nausea after pethidine. However, their anti-emetic effects appeared to be of much shorter duration than the emetic effect of either.”</w:t>
      </w:r>
    </w:p>
    <w:p w:rsidR="00750A10" w:rsidRDefault="00DE38A3" w:rsidP="003E58CF">
      <w:pPr>
        <w:pStyle w:val="FigureTitle"/>
        <w:keepNext/>
        <w:spacing w:line="240" w:lineRule="auto"/>
        <w:rPr>
          <w:rFonts w:ascii="Times New Roman" w:hAnsi="Times New Roman" w:cs="Times New Roman"/>
          <w:sz w:val="24"/>
          <w:szCs w:val="24"/>
        </w:rPr>
      </w:pPr>
      <w:bookmarkStart w:id="150" w:name="_Toc304266872"/>
      <w:r>
        <w:lastRenderedPageBreak/>
        <w:t>Table 27</w:t>
      </w:r>
      <w:r w:rsidR="00750A10">
        <w:t xml:space="preserve">. Incidence (%) of vomiting (V) and nausea (N) in the patients premedicated with a narcotic analgesic, with or without cyclizine (C) or perphenazine (P). </w:t>
      </w:r>
      <w:bookmarkEnd w:id="150"/>
    </w:p>
    <w:p w:rsidR="00750A10" w:rsidRDefault="00DE18CA" w:rsidP="003E58CF">
      <w:pPr>
        <w:pStyle w:val="FigureTitle"/>
        <w:keepNext/>
        <w:spacing w:line="240" w:lineRule="auto"/>
        <w:rPr>
          <w:sz w:val="16"/>
          <w:szCs w:val="16"/>
        </w:rPr>
      </w:pPr>
      <w:r>
        <w:rPr>
          <w:noProof/>
          <w:lang w:eastAsia="en-AU"/>
        </w:rPr>
        <w:drawing>
          <wp:inline distT="0" distB="0" distL="0" distR="0">
            <wp:extent cx="5890260" cy="3012440"/>
            <wp:effectExtent l="19050" t="0" r="0" b="0"/>
            <wp:docPr id="35" name="Picture 35" descr="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260" cy="3012440"/>
                    </a:xfrm>
                    <a:prstGeom prst="rect">
                      <a:avLst/>
                    </a:prstGeom>
                    <a:noFill/>
                    <a:ln>
                      <a:noFill/>
                    </a:ln>
                  </pic:spPr>
                </pic:pic>
              </a:graphicData>
            </a:graphic>
          </wp:inline>
        </w:drawing>
      </w:r>
    </w:p>
    <w:p w:rsidR="00750A10" w:rsidRPr="007A123F" w:rsidRDefault="00D277C7" w:rsidP="005C3144">
      <w:pPr>
        <w:pStyle w:val="Heading4"/>
        <w:spacing w:line="240" w:lineRule="auto"/>
        <w:rPr>
          <w:sz w:val="24"/>
          <w:szCs w:val="20"/>
        </w:rPr>
      </w:pPr>
      <w:bookmarkStart w:id="151" w:name="_Toc241374312"/>
      <w:bookmarkStart w:id="152" w:name="_Toc272414656"/>
      <w:bookmarkStart w:id="153" w:name="_Toc273018219"/>
      <w:bookmarkStart w:id="154" w:name="_Toc304266776"/>
      <w:r w:rsidRPr="007A123F">
        <w:t>Analyses performed across trials (pooled analyses and meta-analyses)</w:t>
      </w:r>
      <w:bookmarkEnd w:id="151"/>
      <w:bookmarkEnd w:id="152"/>
      <w:bookmarkEnd w:id="153"/>
      <w:r w:rsidRPr="007A123F">
        <w:t xml:space="preserve"> – </w:t>
      </w:r>
      <w:r w:rsidR="00750A10" w:rsidRPr="007A123F">
        <w:t>P</w:t>
      </w:r>
      <w:r w:rsidR="00DE38A3">
        <w:t xml:space="preserve">ONV </w:t>
      </w:r>
      <w:bookmarkEnd w:id="154"/>
    </w:p>
    <w:p w:rsidR="00750A10" w:rsidRDefault="00750A10" w:rsidP="005C3144">
      <w:pPr>
        <w:pStyle w:val="Heading5"/>
        <w:spacing w:line="240" w:lineRule="auto"/>
      </w:pPr>
      <w:r>
        <w:t xml:space="preserve">Carlisle J, Stevenson CA. Drugs for preventing postoperative nausea and vomiting. </w:t>
      </w:r>
      <w:r>
        <w:rPr>
          <w:iCs/>
        </w:rPr>
        <w:t xml:space="preserve">Cochrane Database of Systematic Reviews. </w:t>
      </w:r>
      <w:r>
        <w:t>3, 2006.</w:t>
      </w:r>
    </w:p>
    <w:p w:rsidR="00750A10" w:rsidRDefault="00750A10" w:rsidP="005C3144">
      <w:pPr>
        <w:autoSpaceDE w:val="0"/>
        <w:autoSpaceDN w:val="0"/>
        <w:adjustRightInd w:val="0"/>
        <w:spacing w:line="240" w:lineRule="auto"/>
      </w:pPr>
      <w:r>
        <w:t xml:space="preserve">Selection criteria included </w:t>
      </w:r>
      <w:r w:rsidR="007D3B81">
        <w:t>randomised clinical trials (</w:t>
      </w:r>
      <w:r>
        <w:t>RCTs</w:t>
      </w:r>
      <w:r w:rsidR="007D3B81">
        <w:t>)</w:t>
      </w:r>
      <w:r>
        <w:t xml:space="preserve"> that compared a drug with placebo or another drug, or compared doses or timing of administration, that reported postoperative nausea or vom</w:t>
      </w:r>
      <w:r w:rsidR="007D3B81">
        <w:t xml:space="preserve">iting as an outcome; </w:t>
      </w:r>
      <w:r>
        <w:t xml:space="preserve">including </w:t>
      </w:r>
      <w:r w:rsidRPr="00927C49">
        <w:t>RCT</w:t>
      </w:r>
      <w:r>
        <w:t>s that evaluated the effect of a drug or drugs given before the onset of postoperative nausea and vomiting, but excluding studies of treatment for established postoperative nausea or vomiting and studies of anaesthetic drugs or analgesics. The drug could be given preoperatively, at induction of anaesthesia, intraoperatively or postoperatively (before nausea or vomiting had occurred),</w:t>
      </w:r>
      <w:r w:rsidR="007D3B81">
        <w:t xml:space="preserve"> </w:t>
      </w:r>
      <w:r>
        <w:t>and included participants undergoing general anaesthesia, regional anaesthesia or sedation.</w:t>
      </w:r>
    </w:p>
    <w:p w:rsidR="00750A10" w:rsidRDefault="00750A10" w:rsidP="005C3144">
      <w:pPr>
        <w:autoSpaceDE w:val="0"/>
        <w:autoSpaceDN w:val="0"/>
        <w:adjustRightInd w:val="0"/>
        <w:spacing w:line="240" w:lineRule="auto"/>
      </w:pPr>
      <w:r>
        <w:t xml:space="preserve">There were 10 studies included in the meta-analysis related to cyclizine: O’Brien </w:t>
      </w:r>
      <w:r w:rsidRPr="00DE38A3">
        <w:rPr>
          <w:i/>
        </w:rPr>
        <w:t>et al</w:t>
      </w:r>
      <w:r w:rsidR="00D277C7">
        <w:t>.,</w:t>
      </w:r>
      <w:r>
        <w:t xml:space="preserve"> 2003; Grimsehl </w:t>
      </w:r>
      <w:r w:rsidRPr="00DE38A3">
        <w:rPr>
          <w:i/>
        </w:rPr>
        <w:t>et al</w:t>
      </w:r>
      <w:r w:rsidR="00D277C7">
        <w:t>.,</w:t>
      </w:r>
      <w:r>
        <w:t xml:space="preserve"> 2002; Nortcliffe </w:t>
      </w:r>
      <w:r w:rsidRPr="00DE38A3">
        <w:rPr>
          <w:i/>
        </w:rPr>
        <w:t>et al</w:t>
      </w:r>
      <w:r w:rsidR="00D277C7">
        <w:t>.,</w:t>
      </w:r>
      <w:r>
        <w:t xml:space="preserve"> 2003; Ahmed </w:t>
      </w:r>
      <w:r w:rsidRPr="00DE38A3">
        <w:rPr>
          <w:i/>
        </w:rPr>
        <w:t>et al</w:t>
      </w:r>
      <w:r w:rsidR="00D277C7">
        <w:t>.,</w:t>
      </w:r>
      <w:r>
        <w:t xml:space="preserve"> 2000; Cholwill </w:t>
      </w:r>
      <w:r w:rsidRPr="00DE38A3">
        <w:rPr>
          <w:i/>
        </w:rPr>
        <w:t>et al</w:t>
      </w:r>
      <w:r w:rsidR="00D277C7">
        <w:t>.,</w:t>
      </w:r>
      <w:r>
        <w:t xml:space="preserve"> 1999; Watts</w:t>
      </w:r>
      <w:r w:rsidR="00876580">
        <w:t>,</w:t>
      </w:r>
      <w:r>
        <w:t xml:space="preserve"> 1996; Walder </w:t>
      </w:r>
      <w:r w:rsidR="00D277C7">
        <w:t xml:space="preserve">and </w:t>
      </w:r>
      <w:r>
        <w:t xml:space="preserve">Aitkenhead 1995; Chestnutt </w:t>
      </w:r>
      <w:r w:rsidR="00D277C7">
        <w:t>and</w:t>
      </w:r>
      <w:r>
        <w:t xml:space="preserve"> Dundee 1986; Dundee </w:t>
      </w:r>
      <w:r w:rsidRPr="00DE38A3">
        <w:rPr>
          <w:i/>
        </w:rPr>
        <w:t>et al</w:t>
      </w:r>
      <w:r w:rsidR="00D277C7">
        <w:t>.,</w:t>
      </w:r>
      <w:r>
        <w:t xml:space="preserve"> 1975; Hildyard </w:t>
      </w:r>
      <w:r w:rsidRPr="00DE38A3">
        <w:rPr>
          <w:i/>
        </w:rPr>
        <w:t>et al</w:t>
      </w:r>
      <w:r>
        <w:t xml:space="preserve"> 2001.</w:t>
      </w:r>
    </w:p>
    <w:p w:rsidR="00750A10" w:rsidRDefault="00750A10" w:rsidP="005C3144">
      <w:pPr>
        <w:spacing w:line="240" w:lineRule="auto"/>
      </w:pPr>
      <w:r>
        <w:t xml:space="preserve">The risk for postoperative nausea and/or vomiting is </w:t>
      </w:r>
      <w:r w:rsidR="0083712B">
        <w:t>decreased compared to placebo</w:t>
      </w:r>
      <w:r>
        <w:t>:</w:t>
      </w:r>
    </w:p>
    <w:p w:rsidR="00750A10" w:rsidRDefault="00750A10" w:rsidP="006907C3">
      <w:pPr>
        <w:pStyle w:val="FigureTitle"/>
        <w:keepNext/>
        <w:spacing w:line="240" w:lineRule="auto"/>
      </w:pPr>
      <w:bookmarkStart w:id="155" w:name="_Toc304266873"/>
      <w:r>
        <w:lastRenderedPageBreak/>
        <w:t>Table 2</w:t>
      </w:r>
      <w:r w:rsidR="00DE38A3">
        <w:t>8</w:t>
      </w:r>
      <w:r>
        <w:t>. Placebo v</w:t>
      </w:r>
      <w:r w:rsidR="006907C3">
        <w:t>ersus</w:t>
      </w:r>
      <w:r>
        <w:t xml:space="preserve"> Drug </w:t>
      </w:r>
      <w:r w:rsidR="00DE38A3">
        <w:t xml:space="preserve">- </w:t>
      </w:r>
      <w:r>
        <w:t>selected agents approved or commonly used off-label for PONV.</w:t>
      </w:r>
      <w:bookmarkEnd w:id="1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5"/>
        <w:gridCol w:w="1687"/>
        <w:gridCol w:w="1687"/>
        <w:gridCol w:w="2020"/>
        <w:gridCol w:w="1894"/>
      </w:tblGrid>
      <w:tr w:rsidR="00750A10" w:rsidTr="0083712B">
        <w:trPr>
          <w:cantSplit/>
          <w:tblHeader/>
        </w:trPr>
        <w:tc>
          <w:tcPr>
            <w:tcW w:w="1597" w:type="dxa"/>
            <w:tcBorders>
              <w:top w:val="single" w:sz="4" w:space="0" w:color="auto"/>
              <w:left w:val="single" w:sz="4" w:space="0" w:color="auto"/>
              <w:bottom w:val="single" w:sz="4" w:space="0" w:color="auto"/>
              <w:right w:val="single" w:sz="4" w:space="0" w:color="auto"/>
            </w:tcBorders>
            <w:hideMark/>
          </w:tcPr>
          <w:p w:rsidR="00750A10" w:rsidRPr="0083712B"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 xml:space="preserve">Drug </w:t>
            </w:r>
          </w:p>
        </w:tc>
        <w:tc>
          <w:tcPr>
            <w:tcW w:w="0" w:type="auto"/>
            <w:tcBorders>
              <w:top w:val="single" w:sz="4" w:space="0" w:color="auto"/>
              <w:left w:val="single" w:sz="4" w:space="0" w:color="auto"/>
              <w:bottom w:val="single" w:sz="4" w:space="0" w:color="auto"/>
              <w:right w:val="single" w:sz="4" w:space="0" w:color="auto"/>
            </w:tcBorders>
            <w:hideMark/>
          </w:tcPr>
          <w:p w:rsidR="00750A10" w:rsidRPr="0083712B"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83712B">
              <w:rPr>
                <w:b/>
                <w:sz w:val="20"/>
                <w:szCs w:val="20"/>
              </w:rPr>
              <w:t>Nausea</w:t>
            </w:r>
          </w:p>
        </w:tc>
        <w:tc>
          <w:tcPr>
            <w:tcW w:w="0" w:type="auto"/>
            <w:tcBorders>
              <w:top w:val="single" w:sz="4" w:space="0" w:color="auto"/>
              <w:left w:val="single" w:sz="4" w:space="0" w:color="auto"/>
              <w:bottom w:val="single" w:sz="4" w:space="0" w:color="auto"/>
              <w:right w:val="single" w:sz="4" w:space="0" w:color="auto"/>
            </w:tcBorders>
            <w:hideMark/>
          </w:tcPr>
          <w:p w:rsidR="00750A10" w:rsidRPr="0083712B"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83712B">
              <w:rPr>
                <w:b/>
                <w:sz w:val="20"/>
                <w:szCs w:val="20"/>
              </w:rPr>
              <w:t>Vomiting</w:t>
            </w:r>
          </w:p>
        </w:tc>
        <w:tc>
          <w:tcPr>
            <w:tcW w:w="0" w:type="auto"/>
            <w:tcBorders>
              <w:top w:val="single" w:sz="4" w:space="0" w:color="auto"/>
              <w:left w:val="single" w:sz="4" w:space="0" w:color="auto"/>
              <w:bottom w:val="single" w:sz="4" w:space="0" w:color="auto"/>
              <w:right w:val="single" w:sz="4" w:space="0" w:color="auto"/>
            </w:tcBorders>
            <w:hideMark/>
          </w:tcPr>
          <w:p w:rsidR="00750A10" w:rsidRPr="0083712B"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83712B">
              <w:rPr>
                <w:b/>
                <w:sz w:val="20"/>
                <w:szCs w:val="20"/>
              </w:rPr>
              <w:t>Nausea or Vomiting</w:t>
            </w:r>
          </w:p>
        </w:tc>
        <w:tc>
          <w:tcPr>
            <w:tcW w:w="0" w:type="auto"/>
            <w:tcBorders>
              <w:top w:val="single" w:sz="4" w:space="0" w:color="auto"/>
              <w:left w:val="single" w:sz="4" w:space="0" w:color="auto"/>
              <w:bottom w:val="single" w:sz="4" w:space="0" w:color="auto"/>
              <w:right w:val="single" w:sz="4" w:space="0" w:color="auto"/>
            </w:tcBorders>
            <w:hideMark/>
          </w:tcPr>
          <w:p w:rsidR="00750A10" w:rsidRPr="0083712B"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kern w:val="16"/>
                <w:sz w:val="20"/>
                <w:szCs w:val="20"/>
              </w:rPr>
            </w:pPr>
            <w:r w:rsidRPr="0083712B">
              <w:rPr>
                <w:b/>
                <w:sz w:val="20"/>
                <w:szCs w:val="20"/>
              </w:rPr>
              <w:t>Rescue antiemetic</w:t>
            </w:r>
          </w:p>
        </w:tc>
      </w:tr>
      <w:tr w:rsidR="00750A10" w:rsidTr="001F6646">
        <w:tc>
          <w:tcPr>
            <w:tcW w:w="1597" w:type="dxa"/>
            <w:tcBorders>
              <w:top w:val="single" w:sz="4" w:space="0" w:color="auto"/>
              <w:left w:val="single" w:sz="4" w:space="0" w:color="auto"/>
              <w:bottom w:val="single" w:sz="4" w:space="0" w:color="auto"/>
              <w:right w:val="single" w:sz="4" w:space="0" w:color="auto"/>
            </w:tcBorders>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RR (95% CI)</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RR (95% CI)</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RR (95% CI)</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RR (95% CI)</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Cyclizine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0.65 (0.47 - 0.90)</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0.57 (0.43 - 0.75)</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0.68 (0.58 - 0.80)</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0.27 (0.14 - 0.62)</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Dexamethasone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0.57 (0.48 - 0.69)</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0.51 (0.46 - 0.57)</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0.49 (0.44 - 0.54)</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0.50 (0.42 - 0.59</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Dolasetron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0.82 (0.76 - 0.90)</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0.63 (0.51 - 0.76)</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0.72 (0.62 - 0.83)</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0.67 (0.57 to 0.79)</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Droperidol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0.65 (0.60 - 0.71)</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0.65 (0.61 - 0.70)</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0.62 (0.58 - 0.67)</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0.53 (0.47 - 0.60)</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Ephedrine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0.50 (0.20 - 1.23)</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0.91 (0.64 - 1.27)</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0.79 (0.55 - 1.15)</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0.82 (0.41 - 1.66)</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Metoclopramide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0.82 (0.76 - 0.88)</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0.75 (0.70 - 0.81)</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0.76 (0.70 - 0.82)</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0.78 (0.69 - 0.88)</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Ondansetron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0.68 (0.63 - 0.74)</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0.55 (0.50 - 0.59)</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0.56 (0.50 - 0.63)</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0.55 (0.49 - 0.61)</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Prochlorperazine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0.73 (0.56 - 0.96)</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0.68 (0.52 - 0.89)</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0.68 (0.55 - 0.86)</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0.49 (0.22 - 1.08)</w:t>
            </w:r>
          </w:p>
        </w:tc>
      </w:tr>
      <w:tr w:rsidR="00750A10" w:rsidTr="001F6646">
        <w:tc>
          <w:tcPr>
            <w:tcW w:w="1597" w:type="dxa"/>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Tropisetron </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0.77 (0.71 - 0.84)</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0.59 (0.50 - 0.69)</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0.70 (0.61 - 0.81)</w:t>
            </w:r>
          </w:p>
        </w:tc>
        <w:tc>
          <w:tcPr>
            <w:tcW w:w="0" w:type="auto"/>
            <w:tcBorders>
              <w:top w:val="single" w:sz="4" w:space="0" w:color="auto"/>
              <w:left w:val="single" w:sz="4" w:space="0" w:color="auto"/>
              <w:bottom w:val="single" w:sz="4" w:space="0" w:color="auto"/>
              <w:right w:val="single" w:sz="4" w:space="0" w:color="auto"/>
            </w:tcBorders>
            <w:hideMark/>
          </w:tcPr>
          <w:p w:rsidR="00750A10" w:rsidRDefault="00750A10" w:rsidP="006907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kern w:val="16"/>
                <w:sz w:val="20"/>
                <w:szCs w:val="20"/>
              </w:rPr>
            </w:pPr>
            <w:r>
              <w:rPr>
                <w:sz w:val="20"/>
                <w:szCs w:val="20"/>
              </w:rPr>
              <w:t>0.62 (0.53 - 0.72)</w:t>
            </w:r>
          </w:p>
        </w:tc>
      </w:tr>
    </w:tbl>
    <w:p w:rsidR="00750A10" w:rsidRPr="0083712B" w:rsidRDefault="00750A10" w:rsidP="006907C3">
      <w:pPr>
        <w:keepNext/>
        <w:spacing w:line="240" w:lineRule="auto"/>
        <w:rPr>
          <w:sz w:val="18"/>
          <w:szCs w:val="18"/>
        </w:rPr>
      </w:pPr>
      <w:r w:rsidRPr="0083712B">
        <w:rPr>
          <w:sz w:val="18"/>
          <w:szCs w:val="18"/>
        </w:rPr>
        <w:t xml:space="preserve">Source: Cochrane </w:t>
      </w:r>
      <w:r w:rsidR="0083712B">
        <w:rPr>
          <w:sz w:val="18"/>
          <w:szCs w:val="18"/>
        </w:rPr>
        <w:t>2006 r</w:t>
      </w:r>
      <w:r w:rsidRPr="0083712B">
        <w:rPr>
          <w:sz w:val="18"/>
          <w:szCs w:val="18"/>
        </w:rPr>
        <w:t>eview.</w:t>
      </w:r>
      <w:r w:rsidR="0083712B" w:rsidRPr="0083712B">
        <w:rPr>
          <w:sz w:val="18"/>
          <w:szCs w:val="18"/>
        </w:rPr>
        <w:t xml:space="preserve"> RR – relative risk</w:t>
      </w:r>
    </w:p>
    <w:p w:rsidR="00750A10" w:rsidRDefault="00750A10" w:rsidP="005C3144">
      <w:pPr>
        <w:spacing w:line="240" w:lineRule="auto"/>
        <w:rPr>
          <w:sz w:val="24"/>
          <w:szCs w:val="24"/>
        </w:rPr>
      </w:pPr>
      <w:r>
        <w:t>The only cyclizine v</w:t>
      </w:r>
      <w:r w:rsidR="00C41A6A">
        <w:t>ersus</w:t>
      </w:r>
      <w:r>
        <w:t xml:space="preserve"> effective drug review result was against ondansetron.</w:t>
      </w:r>
    </w:p>
    <w:p w:rsidR="00750A10" w:rsidRDefault="00750A10" w:rsidP="005C3144">
      <w:pPr>
        <w:pStyle w:val="FigureTitle"/>
        <w:spacing w:line="240" w:lineRule="auto"/>
      </w:pPr>
      <w:bookmarkStart w:id="156" w:name="_Toc304266874"/>
      <w:r>
        <w:t>Table 2</w:t>
      </w:r>
      <w:r w:rsidR="0083712B">
        <w:t>9</w:t>
      </w:r>
      <w:r>
        <w:t>. Effective drug versus effective drug</w:t>
      </w:r>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2"/>
        <w:gridCol w:w="1522"/>
        <w:gridCol w:w="1523"/>
        <w:gridCol w:w="1522"/>
        <w:gridCol w:w="1522"/>
        <w:gridCol w:w="1523"/>
      </w:tblGrid>
      <w:tr w:rsidR="00750A10" w:rsidTr="0083712B">
        <w:tc>
          <w:tcPr>
            <w:tcW w:w="1522" w:type="dxa"/>
            <w:tcBorders>
              <w:top w:val="single" w:sz="4" w:space="0" w:color="000000"/>
              <w:left w:val="single" w:sz="4" w:space="0" w:color="000000"/>
              <w:bottom w:val="single" w:sz="4" w:space="0" w:color="000000"/>
              <w:right w:val="single" w:sz="4" w:space="0" w:color="000000"/>
            </w:tcBorders>
            <w:hideMark/>
          </w:tcPr>
          <w:p w:rsidR="00750A10" w:rsidRPr="0083712B"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 xml:space="preserve">Drug </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Pr="0083712B"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 xml:space="preserve">Nausea </w:t>
            </w:r>
          </w:p>
        </w:tc>
        <w:tc>
          <w:tcPr>
            <w:tcW w:w="1523" w:type="dxa"/>
            <w:tcBorders>
              <w:top w:val="single" w:sz="4" w:space="0" w:color="000000"/>
              <w:left w:val="single" w:sz="4" w:space="0" w:color="000000"/>
              <w:bottom w:val="single" w:sz="4" w:space="0" w:color="000000"/>
              <w:right w:val="single" w:sz="4" w:space="0" w:color="000000"/>
            </w:tcBorders>
            <w:hideMark/>
          </w:tcPr>
          <w:p w:rsidR="00750A10" w:rsidRPr="0083712B"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 xml:space="preserve">Vomiting </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Pr="0083712B"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 xml:space="preserve">Nausea or Vomiting </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Pr="0083712B"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Rescue antiemetic</w:t>
            </w:r>
          </w:p>
        </w:tc>
        <w:tc>
          <w:tcPr>
            <w:tcW w:w="1523" w:type="dxa"/>
            <w:tcBorders>
              <w:top w:val="single" w:sz="4" w:space="0" w:color="000000"/>
              <w:left w:val="single" w:sz="4" w:space="0" w:color="000000"/>
              <w:bottom w:val="single" w:sz="4" w:space="0" w:color="000000"/>
              <w:right w:val="single" w:sz="4" w:space="0" w:color="000000"/>
            </w:tcBorders>
            <w:hideMark/>
          </w:tcPr>
          <w:p w:rsidR="00750A10" w:rsidRPr="0083712B"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83712B">
              <w:rPr>
                <w:b/>
                <w:sz w:val="20"/>
                <w:szCs w:val="20"/>
              </w:rPr>
              <w:t xml:space="preserve">Differences </w:t>
            </w:r>
          </w:p>
        </w:tc>
      </w:tr>
      <w:tr w:rsidR="00750A10" w:rsidTr="0083712B">
        <w:tc>
          <w:tcPr>
            <w:tcW w:w="1522" w:type="dxa"/>
            <w:tcBorders>
              <w:top w:val="single" w:sz="4" w:space="0" w:color="000000"/>
              <w:left w:val="single" w:sz="4" w:space="0" w:color="000000"/>
              <w:bottom w:val="single" w:sz="4" w:space="0" w:color="000000"/>
              <w:right w:val="single" w:sz="4" w:space="0" w:color="000000"/>
            </w:tcBorders>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RR (95% CI)</w:t>
            </w:r>
          </w:p>
        </w:tc>
        <w:tc>
          <w:tcPr>
            <w:tcW w:w="1523"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RR (95% CI) </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RR (95% CI)</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RR (95% CI)</w:t>
            </w:r>
          </w:p>
        </w:tc>
        <w:tc>
          <w:tcPr>
            <w:tcW w:w="1523"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spacing w:line="240" w:lineRule="auto"/>
              <w:rPr>
                <w:sz w:val="20"/>
                <w:szCs w:val="20"/>
              </w:rPr>
            </w:pPr>
          </w:p>
        </w:tc>
      </w:tr>
      <w:tr w:rsidR="00750A10" w:rsidTr="0083712B">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Cyclizine – Ondansetron</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spacing w:line="240" w:lineRule="auto"/>
              <w:rPr>
                <w:kern w:val="16"/>
                <w:sz w:val="20"/>
                <w:szCs w:val="20"/>
              </w:rPr>
            </w:pPr>
            <w:r>
              <w:rPr>
                <w:sz w:val="20"/>
                <w:szCs w:val="20"/>
              </w:rPr>
              <w:t xml:space="preserve">1.00 </w:t>
            </w:r>
          </w:p>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(0.69 </w:t>
            </w:r>
            <w:r w:rsidR="0083712B">
              <w:rPr>
                <w:sz w:val="20"/>
                <w:szCs w:val="20"/>
              </w:rPr>
              <w:t>-</w:t>
            </w:r>
            <w:r>
              <w:rPr>
                <w:sz w:val="20"/>
                <w:szCs w:val="20"/>
              </w:rPr>
              <w:t xml:space="preserve"> 1.44) </w:t>
            </w:r>
          </w:p>
        </w:tc>
        <w:tc>
          <w:tcPr>
            <w:tcW w:w="1523"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spacing w:line="240" w:lineRule="auto"/>
              <w:rPr>
                <w:kern w:val="16"/>
                <w:sz w:val="20"/>
                <w:szCs w:val="20"/>
              </w:rPr>
            </w:pPr>
            <w:r>
              <w:rPr>
                <w:sz w:val="20"/>
                <w:szCs w:val="20"/>
              </w:rPr>
              <w:t xml:space="preserve">1.36 </w:t>
            </w:r>
          </w:p>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(0.58 </w:t>
            </w:r>
            <w:r w:rsidR="0083712B">
              <w:rPr>
                <w:sz w:val="20"/>
                <w:szCs w:val="20"/>
              </w:rPr>
              <w:t>-</w:t>
            </w:r>
            <w:r>
              <w:rPr>
                <w:sz w:val="20"/>
                <w:szCs w:val="20"/>
              </w:rPr>
              <w:t xml:space="preserve"> 3.18) </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spacing w:line="240" w:lineRule="auto"/>
              <w:rPr>
                <w:kern w:val="16"/>
                <w:sz w:val="20"/>
                <w:szCs w:val="20"/>
              </w:rPr>
            </w:pPr>
            <w:r>
              <w:rPr>
                <w:sz w:val="20"/>
                <w:szCs w:val="20"/>
              </w:rPr>
              <w:t>1.19</w:t>
            </w:r>
          </w:p>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(0.73 </w:t>
            </w:r>
            <w:r w:rsidR="0083712B">
              <w:rPr>
                <w:sz w:val="20"/>
                <w:szCs w:val="20"/>
              </w:rPr>
              <w:t>-</w:t>
            </w:r>
            <w:r>
              <w:rPr>
                <w:sz w:val="20"/>
                <w:szCs w:val="20"/>
              </w:rPr>
              <w:t xml:space="preserve"> 1.95) </w:t>
            </w:r>
          </w:p>
        </w:tc>
        <w:tc>
          <w:tcPr>
            <w:tcW w:w="1522"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spacing w:line="240" w:lineRule="auto"/>
              <w:rPr>
                <w:kern w:val="16"/>
                <w:sz w:val="20"/>
                <w:szCs w:val="20"/>
              </w:rPr>
            </w:pPr>
            <w:r>
              <w:rPr>
                <w:sz w:val="20"/>
                <w:szCs w:val="20"/>
              </w:rPr>
              <w:t xml:space="preserve">0.66 </w:t>
            </w:r>
          </w:p>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(0.31 </w:t>
            </w:r>
            <w:r w:rsidR="0083712B">
              <w:rPr>
                <w:sz w:val="20"/>
                <w:szCs w:val="20"/>
              </w:rPr>
              <w:t>-</w:t>
            </w:r>
            <w:r>
              <w:rPr>
                <w:sz w:val="20"/>
                <w:szCs w:val="20"/>
              </w:rPr>
              <w:t xml:space="preserve"> 1.40)</w:t>
            </w:r>
          </w:p>
        </w:tc>
        <w:tc>
          <w:tcPr>
            <w:tcW w:w="1523" w:type="dxa"/>
            <w:tcBorders>
              <w:top w:val="single" w:sz="4" w:space="0" w:color="000000"/>
              <w:left w:val="single" w:sz="4" w:space="0" w:color="000000"/>
              <w:bottom w:val="single" w:sz="4" w:space="0" w:color="000000"/>
              <w:right w:val="single" w:sz="4" w:space="0" w:color="000000"/>
            </w:tcBorders>
            <w:hideMark/>
          </w:tcPr>
          <w:p w:rsidR="00750A10" w:rsidRDefault="00750A10"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0/4</w:t>
            </w:r>
          </w:p>
        </w:tc>
      </w:tr>
    </w:tbl>
    <w:p w:rsidR="00750A10" w:rsidRPr="0083712B" w:rsidRDefault="00750A10" w:rsidP="005C3144">
      <w:pPr>
        <w:spacing w:line="240" w:lineRule="auto"/>
        <w:rPr>
          <w:sz w:val="18"/>
          <w:szCs w:val="18"/>
        </w:rPr>
      </w:pPr>
      <w:r w:rsidRPr="0083712B">
        <w:rPr>
          <w:sz w:val="18"/>
          <w:szCs w:val="18"/>
        </w:rPr>
        <w:t xml:space="preserve">Source: Cochrane </w:t>
      </w:r>
      <w:r w:rsidR="0083712B">
        <w:rPr>
          <w:sz w:val="18"/>
          <w:szCs w:val="18"/>
        </w:rPr>
        <w:t>2006 r</w:t>
      </w:r>
      <w:r w:rsidRPr="0083712B">
        <w:rPr>
          <w:sz w:val="18"/>
          <w:szCs w:val="18"/>
        </w:rPr>
        <w:t>eview.</w:t>
      </w:r>
    </w:p>
    <w:p w:rsidR="00750A10" w:rsidRPr="001F6646" w:rsidRDefault="00C41A6A" w:rsidP="005C3144">
      <w:pPr>
        <w:autoSpaceDE w:val="0"/>
        <w:autoSpaceDN w:val="0"/>
        <w:adjustRightInd w:val="0"/>
        <w:spacing w:line="240" w:lineRule="auto"/>
        <w:rPr>
          <w:sz w:val="24"/>
          <w:szCs w:val="24"/>
        </w:rPr>
      </w:pPr>
      <w:r>
        <w:t>The authors’ c</w:t>
      </w:r>
      <w:r w:rsidR="00750A10" w:rsidRPr="001F6646">
        <w:t xml:space="preserve">onclusions were that: </w:t>
      </w:r>
    </w:p>
    <w:p w:rsidR="00750A10" w:rsidRPr="001F6646" w:rsidRDefault="001F6646" w:rsidP="005C3144">
      <w:pPr>
        <w:autoSpaceDE w:val="0"/>
        <w:autoSpaceDN w:val="0"/>
        <w:adjustRightInd w:val="0"/>
        <w:spacing w:line="240" w:lineRule="auto"/>
        <w:rPr>
          <w:i/>
        </w:rPr>
      </w:pPr>
      <w:r w:rsidRPr="001F6646">
        <w:rPr>
          <w:i/>
        </w:rPr>
        <w:t>“</w:t>
      </w:r>
      <w:r w:rsidR="00750A10" w:rsidRPr="001F6646">
        <w:rPr>
          <w:i/>
        </w:rPr>
        <w:t>Most patients given a drug to prevent nausea or vomiting after surgery will not benefit from it. Nausea or vomiting is reported to affect at most 80 out of 100 people after surgery. If all 100 of these people are given a drug, 28 would benefit, and 72 would not. Nausea and vomiting are usually less common and therefore drugs are less useful. For 100 people, of whom 30 would vomit or feel sick after surgery if given placebo, 10 people would benefit from a drug and 90 would not. Between one to five patients out of every 100 given a prophylactic antiemetic may expect to experience a mild side effect such as headache, sedation or dry mouth. There is convincing evidence that eight drugs reduce PONV by a similar amount: cyclizine, droperidol, granisetron, metoclopramide, ondansetron, tropisetron, dolasetron and dexamethasone. There is only limited evidence that more drug is more effective: there is convincing evidence that more drug is more effective for droperidol and limited evidence for dexamethasone and ondansetron. Evidence for differences in the efficacy of these eight drugs is not convincing.</w:t>
      </w:r>
      <w:r w:rsidRPr="001F6646">
        <w:rPr>
          <w:i/>
        </w:rPr>
        <w:t>”</w:t>
      </w:r>
    </w:p>
    <w:p w:rsidR="00750A10" w:rsidRPr="001F6646" w:rsidRDefault="00C41A6A" w:rsidP="005C3144">
      <w:pPr>
        <w:spacing w:line="240" w:lineRule="auto"/>
        <w:rPr>
          <w:rFonts w:cs="Times New Roman"/>
          <w:sz w:val="24"/>
          <w:szCs w:val="24"/>
        </w:rPr>
      </w:pPr>
      <w:r>
        <w:t>The sponsor’s E</w:t>
      </w:r>
      <w:r w:rsidR="00750A10" w:rsidRPr="001F6646">
        <w:t xml:space="preserve">xpert </w:t>
      </w:r>
      <w:r>
        <w:t xml:space="preserve">reviewer </w:t>
      </w:r>
      <w:r w:rsidR="00750A10" w:rsidRPr="001F6646">
        <w:t>was critical of one of the studies included in the review</w:t>
      </w:r>
      <w:r w:rsidR="00750A10" w:rsidRPr="001F6646">
        <w:rPr>
          <w:rStyle w:val="FootnoteReference"/>
        </w:rPr>
        <w:footnoteReference w:id="19"/>
      </w:r>
      <w:r w:rsidR="00750A10" w:rsidRPr="001F6646">
        <w:t xml:space="preserve"> (</w:t>
      </w:r>
      <w:r w:rsidR="00750A10" w:rsidRPr="001F6646">
        <w:rPr>
          <w:bCs/>
        </w:rPr>
        <w:t xml:space="preserve">Hildyard </w:t>
      </w:r>
      <w:r w:rsidR="00750A10" w:rsidRPr="0083712B">
        <w:rPr>
          <w:bCs/>
          <w:i/>
        </w:rPr>
        <w:t>et al</w:t>
      </w:r>
      <w:r w:rsidR="00D277C7">
        <w:rPr>
          <w:bCs/>
        </w:rPr>
        <w:t>., 2001</w:t>
      </w:r>
      <w:r w:rsidR="00750A10" w:rsidRPr="001F6646">
        <w:rPr>
          <w:bCs/>
        </w:rPr>
        <w:t>).</w:t>
      </w:r>
      <w:r w:rsidR="00750A10" w:rsidRPr="001F6646">
        <w:rPr>
          <w:b/>
          <w:bCs/>
        </w:rPr>
        <w:t xml:space="preserve"> </w:t>
      </w:r>
      <w:r w:rsidR="00750A10" w:rsidRPr="001F6646">
        <w:t xml:space="preserve">Likewise the evaluator has concerns at the inclusion of two studies: </w:t>
      </w:r>
    </w:p>
    <w:p w:rsidR="00750A10" w:rsidRDefault="00750A10" w:rsidP="005C3144">
      <w:pPr>
        <w:pStyle w:val="ListBullet"/>
        <w:spacing w:after="120" w:line="240" w:lineRule="auto"/>
      </w:pPr>
      <w:r>
        <w:t xml:space="preserve">O’Brien </w:t>
      </w:r>
      <w:r w:rsidRPr="0083712B">
        <w:rPr>
          <w:i/>
        </w:rPr>
        <w:t>et al</w:t>
      </w:r>
      <w:r w:rsidR="00D277C7">
        <w:t>., 2003</w:t>
      </w:r>
      <w:r w:rsidR="0083712B">
        <w:t>,</w:t>
      </w:r>
      <w:r>
        <w:t xml:space="preserve"> where children were given an </w:t>
      </w:r>
      <w:r w:rsidR="00BF1088">
        <w:t>oral</w:t>
      </w:r>
      <w:r>
        <w:t xml:space="preserve"> antihistamine premed as well as the trial drug.</w:t>
      </w:r>
    </w:p>
    <w:p w:rsidR="00750A10" w:rsidRDefault="00750A10" w:rsidP="005C3144">
      <w:pPr>
        <w:pStyle w:val="ListBullet"/>
        <w:spacing w:after="120" w:line="240" w:lineRule="auto"/>
      </w:pPr>
      <w:r>
        <w:t xml:space="preserve">Nortcliffe </w:t>
      </w:r>
      <w:r w:rsidRPr="0083712B">
        <w:rPr>
          <w:i/>
        </w:rPr>
        <w:t>et al</w:t>
      </w:r>
      <w:r w:rsidR="00D277C7">
        <w:t>., 2003</w:t>
      </w:r>
      <w:r w:rsidR="0083712B">
        <w:t>,</w:t>
      </w:r>
      <w:r>
        <w:t xml:space="preserve"> where all patients received ephedrine, morphine was given intrathecally prior to surgery and patients received cyclizine at the end of surgery.</w:t>
      </w:r>
    </w:p>
    <w:p w:rsidR="001F6646" w:rsidRPr="00914A16" w:rsidRDefault="00750A10" w:rsidP="005C3144">
      <w:pPr>
        <w:spacing w:line="240" w:lineRule="auto"/>
      </w:pPr>
      <w:r>
        <w:lastRenderedPageBreak/>
        <w:t>Further</w:t>
      </w:r>
      <w:r w:rsidR="00D277C7">
        <w:t>,</w:t>
      </w:r>
      <w:r>
        <w:t xml:space="preserve"> Walder </w:t>
      </w:r>
      <w:r w:rsidR="00C41A6A">
        <w:t>and</w:t>
      </w:r>
      <w:r>
        <w:t xml:space="preserve"> Aitkenhead</w:t>
      </w:r>
      <w:r w:rsidR="0083712B">
        <w:t>,</w:t>
      </w:r>
      <w:r>
        <w:t xml:space="preserve"> 1995 used cyclizine both as an IV bolus 20 min prior to </w:t>
      </w:r>
      <w:r w:rsidR="00C41A6A">
        <w:t xml:space="preserve">the </w:t>
      </w:r>
      <w:r>
        <w:t>end of surgery and also as an infusion in the PCA.</w:t>
      </w:r>
    </w:p>
    <w:p w:rsidR="00750A10" w:rsidRPr="00914A16" w:rsidRDefault="00750A10" w:rsidP="005C3144">
      <w:pPr>
        <w:pStyle w:val="Heading4"/>
        <w:spacing w:line="240" w:lineRule="auto"/>
      </w:pPr>
      <w:bookmarkStart w:id="157" w:name="_Toc304266777"/>
      <w:r w:rsidRPr="00914A16">
        <w:t>E</w:t>
      </w:r>
      <w:r w:rsidR="00D277C7">
        <w:t xml:space="preserve">fficacy </w:t>
      </w:r>
      <w:r w:rsidRPr="00914A16">
        <w:t>S</w:t>
      </w:r>
      <w:r w:rsidR="00D277C7">
        <w:t>tudies</w:t>
      </w:r>
      <w:r w:rsidRPr="00914A16">
        <w:t xml:space="preserve"> - the </w:t>
      </w:r>
      <w:r w:rsidR="00657DD0">
        <w:t>t</w:t>
      </w:r>
      <w:r w:rsidRPr="00914A16">
        <w:t xml:space="preserve">reatment of </w:t>
      </w:r>
      <w:r w:rsidR="00657DD0">
        <w:t>n</w:t>
      </w:r>
      <w:r w:rsidRPr="00914A16">
        <w:t xml:space="preserve">ausea and </w:t>
      </w:r>
      <w:r w:rsidR="00657DD0">
        <w:t>v</w:t>
      </w:r>
      <w:r w:rsidRPr="00914A16">
        <w:t xml:space="preserve">omiting caused by </w:t>
      </w:r>
      <w:r w:rsidR="00657DD0">
        <w:t>n</w:t>
      </w:r>
      <w:r w:rsidRPr="00914A16">
        <w:t xml:space="preserve">arcotic </w:t>
      </w:r>
      <w:r w:rsidR="00657DD0">
        <w:t>a</w:t>
      </w:r>
      <w:r w:rsidRPr="00914A16">
        <w:t>nalgesics</w:t>
      </w:r>
      <w:bookmarkEnd w:id="157"/>
      <w:r w:rsidRPr="00914A16">
        <w:t xml:space="preserve"> </w:t>
      </w:r>
    </w:p>
    <w:p w:rsidR="00750A10" w:rsidRDefault="00750A10" w:rsidP="005C3144">
      <w:pPr>
        <w:spacing w:line="240" w:lineRule="auto"/>
      </w:pPr>
      <w:r>
        <w:t>The supporting evidence for this indication is based on 3 studies using single dose IM premedication where patients were observed for only 90 min (</w:t>
      </w:r>
      <w:r w:rsidR="00134806">
        <w:t xml:space="preserve">see </w:t>
      </w:r>
      <w:r w:rsidR="00D277C7">
        <w:t xml:space="preserve">above for </w:t>
      </w:r>
      <w:r>
        <w:t xml:space="preserve">study descriptions) and one study using oral opiate and oral cyclizine. </w:t>
      </w:r>
    </w:p>
    <w:p w:rsidR="00750A10" w:rsidRPr="00BA6350" w:rsidRDefault="00BA6350" w:rsidP="005C3144">
      <w:pPr>
        <w:pStyle w:val="Heading4"/>
        <w:tabs>
          <w:tab w:val="left" w:pos="720"/>
        </w:tabs>
        <w:spacing w:line="240" w:lineRule="auto"/>
        <w:rPr>
          <w:i/>
        </w:rPr>
      </w:pPr>
      <w:bookmarkStart w:id="158" w:name="_Toc304266778"/>
      <w:r w:rsidRPr="00BA6350">
        <w:rPr>
          <w:i/>
        </w:rPr>
        <w:t>Chestnutt and</w:t>
      </w:r>
      <w:r w:rsidR="00750A10" w:rsidRPr="00BA6350">
        <w:rPr>
          <w:i/>
        </w:rPr>
        <w:t xml:space="preserve"> Dundee, 1986</w:t>
      </w:r>
      <w:bookmarkEnd w:id="158"/>
    </w:p>
    <w:p w:rsidR="00750A10" w:rsidRDefault="00750A10" w:rsidP="005C3144">
      <w:pPr>
        <w:spacing w:line="240" w:lineRule="auto"/>
      </w:pPr>
      <w:r>
        <w:t>The cyclizine treated group had significa</w:t>
      </w:r>
      <w:r w:rsidR="00134806">
        <w:t>ntly less nausea or vomiting tha</w:t>
      </w:r>
      <w:r>
        <w:t xml:space="preserve">n either the perphenazine or </w:t>
      </w:r>
      <w:r w:rsidR="0037434A">
        <w:t>saline groups pre-operatively (p</w:t>
      </w:r>
      <w:r>
        <w:t xml:space="preserve"> &lt; 0.001).</w:t>
      </w:r>
    </w:p>
    <w:p w:rsidR="00750A10" w:rsidRDefault="00134806" w:rsidP="006907C3">
      <w:pPr>
        <w:pStyle w:val="FigureTitle"/>
        <w:keepNext/>
        <w:spacing w:line="240" w:lineRule="auto"/>
      </w:pPr>
      <w:bookmarkStart w:id="159" w:name="_Toc304266875"/>
      <w:r>
        <w:t>Table 30</w:t>
      </w:r>
      <w:r w:rsidR="00750A10">
        <w:t xml:space="preserve">. Frequency distribution of maximal tendency for the pre-operative study period. </w:t>
      </w:r>
      <w:bookmarkEnd w:id="159"/>
    </w:p>
    <w:p w:rsidR="00750A10" w:rsidRDefault="00DE18CA" w:rsidP="003E58CF">
      <w:pPr>
        <w:pStyle w:val="FigureTitle"/>
        <w:keepNext/>
        <w:spacing w:line="240" w:lineRule="auto"/>
        <w:ind w:left="720"/>
      </w:pPr>
      <w:r>
        <w:rPr>
          <w:noProof/>
          <w:lang w:eastAsia="en-AU"/>
        </w:rPr>
        <w:drawing>
          <wp:inline distT="0" distB="0" distL="0" distR="0">
            <wp:extent cx="3091180" cy="1486535"/>
            <wp:effectExtent l="19050" t="0" r="0" b="0"/>
            <wp:docPr id="36" name="Picture 36" descr="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932"/>
                    <a:stretch>
                      <a:fillRect/>
                    </a:stretch>
                  </pic:blipFill>
                  <pic:spPr bwMode="auto">
                    <a:xfrm>
                      <a:off x="0" y="0"/>
                      <a:ext cx="3091180" cy="1486535"/>
                    </a:xfrm>
                    <a:prstGeom prst="rect">
                      <a:avLst/>
                    </a:prstGeom>
                    <a:noFill/>
                    <a:ln>
                      <a:noFill/>
                    </a:ln>
                  </pic:spPr>
                </pic:pic>
              </a:graphicData>
            </a:graphic>
          </wp:inline>
        </w:drawing>
      </w:r>
    </w:p>
    <w:p w:rsidR="00750A10" w:rsidRDefault="00750A10" w:rsidP="005C3144">
      <w:pPr>
        <w:pStyle w:val="Heading5"/>
        <w:spacing w:line="240" w:lineRule="auto"/>
      </w:pPr>
      <w:bookmarkStart w:id="160" w:name="_Toc304266779"/>
      <w:r>
        <w:t>Dundee et al, 1975</w:t>
      </w:r>
      <w:bookmarkEnd w:id="160"/>
    </w:p>
    <w:p w:rsidR="00750A10" w:rsidRDefault="00750A10" w:rsidP="005C3144">
      <w:pPr>
        <w:spacing w:line="240" w:lineRule="auto"/>
      </w:pPr>
      <w:r>
        <w:t>Cyclizine markedly reduced sickness after peth</w:t>
      </w:r>
      <w:r w:rsidR="0037434A">
        <w:t>idine to a significant degree (p</w:t>
      </w:r>
      <w:r>
        <w:t xml:space="preserve"> &lt; 0.0001).</w:t>
      </w:r>
      <w:r w:rsidR="00134806">
        <w:t xml:space="preserve"> </w:t>
      </w:r>
      <w:r>
        <w:t>The incidence of both vomiting and nausea was too low after the morphine for any statistical differences to be detected.</w:t>
      </w:r>
    </w:p>
    <w:p w:rsidR="00750A10" w:rsidRDefault="00134806" w:rsidP="006907C3">
      <w:pPr>
        <w:pStyle w:val="FigureTitle"/>
        <w:spacing w:line="240" w:lineRule="auto"/>
      </w:pPr>
      <w:bookmarkStart w:id="161" w:name="_Toc304266876"/>
      <w:r>
        <w:t>Table 31</w:t>
      </w:r>
      <w:r w:rsidR="00750A10">
        <w:t xml:space="preserve">. Percentage incidence of vomiting (V) and nausea (N) in the patients premedicated with a narcotic analgesic, with or without cyclizine (C) or perphenazine (P). </w:t>
      </w:r>
      <w:bookmarkEnd w:id="161"/>
    </w:p>
    <w:p w:rsidR="00750A10" w:rsidRDefault="00DE18CA" w:rsidP="00765E17">
      <w:pPr>
        <w:spacing w:line="240" w:lineRule="auto"/>
        <w:ind w:left="142" w:hanging="142"/>
      </w:pPr>
      <w:r>
        <w:rPr>
          <w:noProof/>
          <w:lang w:eastAsia="en-AU"/>
        </w:rPr>
        <w:drawing>
          <wp:inline distT="0" distB="0" distL="0" distR="0">
            <wp:extent cx="5890260" cy="1296035"/>
            <wp:effectExtent l="19050" t="0" r="0" b="0"/>
            <wp:docPr id="37" name="Picture 37"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7269"/>
                    <a:stretch>
                      <a:fillRect/>
                    </a:stretch>
                  </pic:blipFill>
                  <pic:spPr bwMode="auto">
                    <a:xfrm>
                      <a:off x="0" y="0"/>
                      <a:ext cx="5890260" cy="1296035"/>
                    </a:xfrm>
                    <a:prstGeom prst="rect">
                      <a:avLst/>
                    </a:prstGeom>
                    <a:noFill/>
                    <a:ln>
                      <a:noFill/>
                    </a:ln>
                  </pic:spPr>
                </pic:pic>
              </a:graphicData>
            </a:graphic>
          </wp:inline>
        </w:drawing>
      </w:r>
    </w:p>
    <w:p w:rsidR="00BA6350" w:rsidRDefault="00BA6350" w:rsidP="005C3144">
      <w:pPr>
        <w:spacing w:line="240" w:lineRule="auto"/>
        <w:rPr>
          <w:rFonts w:eastAsia="Times New Roman" w:cs="Times New Roman"/>
          <w:b/>
          <w:i/>
          <w:color w:val="001523"/>
        </w:rPr>
      </w:pPr>
      <w:r w:rsidRPr="00BA6350">
        <w:rPr>
          <w:rFonts w:eastAsia="Times New Roman" w:cs="Times New Roman"/>
          <w:b/>
          <w:i/>
          <w:color w:val="001523"/>
        </w:rPr>
        <w:t>Dundee JW, Halliday F, Nicholl RM, Moore J. Studies of drugs given before anaesthesia. X. Two non-phenothiazine anti-emetics--cyclizine and trimethobenzamide. Br J Anaesth. 1966; 38(1): 50-57.</w:t>
      </w:r>
    </w:p>
    <w:p w:rsidR="00750A10" w:rsidRDefault="0037434A" w:rsidP="005C3144">
      <w:pPr>
        <w:spacing w:line="240" w:lineRule="auto"/>
      </w:pPr>
      <w:r>
        <w:t>This study w</w:t>
      </w:r>
      <w:r w:rsidR="00750A10">
        <w:t xml:space="preserve">as similar to Chestnutt </w:t>
      </w:r>
      <w:r w:rsidR="00BA6350">
        <w:t>and</w:t>
      </w:r>
      <w:r w:rsidR="00750A10">
        <w:t xml:space="preserve"> Dundee 1986</w:t>
      </w:r>
      <w:r>
        <w:t xml:space="preserve"> and</w:t>
      </w:r>
      <w:r w:rsidR="00750A10">
        <w:t xml:space="preserve"> Dundee </w:t>
      </w:r>
      <w:r w:rsidR="00750A10" w:rsidRPr="00CC22E2">
        <w:rPr>
          <w:i/>
          <w:iCs/>
        </w:rPr>
        <w:t>et al</w:t>
      </w:r>
      <w:r w:rsidR="00BA6350">
        <w:rPr>
          <w:iCs/>
        </w:rPr>
        <w:t>.,</w:t>
      </w:r>
      <w:r w:rsidR="00750A10">
        <w:rPr>
          <w:iCs/>
        </w:rPr>
        <w:t xml:space="preserve"> </w:t>
      </w:r>
      <w:r w:rsidR="00750A10">
        <w:t xml:space="preserve">1975 in methodology except that it was not blinded for the combination of cyclizine and pethidine. Cyclizine significantly decreased (p &lt; 0.05) the incidence of pre-operative vomiting associated with pethidine. </w:t>
      </w:r>
    </w:p>
    <w:p w:rsidR="00750A10" w:rsidRDefault="00134806" w:rsidP="006907C3">
      <w:pPr>
        <w:pStyle w:val="FigureTitle"/>
        <w:keepNext/>
        <w:spacing w:line="240" w:lineRule="auto"/>
      </w:pPr>
      <w:bookmarkStart w:id="162" w:name="_Toc304266877"/>
      <w:r>
        <w:lastRenderedPageBreak/>
        <w:t>Table 32</w:t>
      </w:r>
      <w:r w:rsidR="00750A10">
        <w:t xml:space="preserve">. Details of subjects and average duration of operation. </w:t>
      </w:r>
      <w:bookmarkEnd w:id="162"/>
    </w:p>
    <w:p w:rsidR="00750A10" w:rsidRDefault="00DE18CA" w:rsidP="006907C3">
      <w:pPr>
        <w:keepNext/>
        <w:spacing w:line="240" w:lineRule="auto"/>
        <w:ind w:left="720"/>
      </w:pPr>
      <w:r>
        <w:rPr>
          <w:noProof/>
          <w:lang w:eastAsia="en-AU"/>
        </w:rPr>
        <w:drawing>
          <wp:inline distT="0" distB="0" distL="0" distR="0">
            <wp:extent cx="5739130" cy="1570990"/>
            <wp:effectExtent l="19050" t="0" r="0" b="0"/>
            <wp:docPr id="38" name="Picture 38" descr="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9130" cy="1570990"/>
                    </a:xfrm>
                    <a:prstGeom prst="rect">
                      <a:avLst/>
                    </a:prstGeom>
                    <a:noFill/>
                    <a:ln>
                      <a:noFill/>
                    </a:ln>
                  </pic:spPr>
                </pic:pic>
              </a:graphicData>
            </a:graphic>
          </wp:inline>
        </w:drawing>
      </w:r>
    </w:p>
    <w:p w:rsidR="00750A10" w:rsidRDefault="00134806" w:rsidP="006907C3">
      <w:pPr>
        <w:pStyle w:val="FigureTitle"/>
        <w:keepNext/>
        <w:spacing w:line="240" w:lineRule="auto"/>
        <w:rPr>
          <w:sz w:val="24"/>
          <w:szCs w:val="24"/>
        </w:rPr>
      </w:pPr>
      <w:bookmarkStart w:id="163" w:name="_Toc304266878"/>
      <w:r>
        <w:t>Table 33</w:t>
      </w:r>
      <w:r w:rsidR="00750A10">
        <w:t xml:space="preserve">. Observations before anaesthesia, after pre-anaesthetic medication had been given. </w:t>
      </w:r>
      <w:bookmarkEnd w:id="163"/>
    </w:p>
    <w:p w:rsidR="00750A10" w:rsidRDefault="00DE18CA" w:rsidP="003E58CF">
      <w:pPr>
        <w:keepNext/>
        <w:spacing w:line="240" w:lineRule="auto"/>
        <w:ind w:left="720"/>
      </w:pPr>
      <w:r>
        <w:rPr>
          <w:noProof/>
          <w:lang w:eastAsia="en-AU"/>
        </w:rPr>
        <w:drawing>
          <wp:inline distT="0" distB="0" distL="0" distR="0">
            <wp:extent cx="5217160" cy="538480"/>
            <wp:effectExtent l="19050" t="0" r="2540" b="0"/>
            <wp:docPr id="39" name="Picture 39" descr="Tabl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60"/>
                    <a:stretch>
                      <a:fillRect/>
                    </a:stretch>
                  </pic:blipFill>
                  <pic:spPr bwMode="auto">
                    <a:xfrm>
                      <a:off x="0" y="0"/>
                      <a:ext cx="5217160" cy="538480"/>
                    </a:xfrm>
                    <a:prstGeom prst="rect">
                      <a:avLst/>
                    </a:prstGeom>
                    <a:noFill/>
                    <a:ln>
                      <a:noFill/>
                    </a:ln>
                  </pic:spPr>
                </pic:pic>
              </a:graphicData>
            </a:graphic>
          </wp:inline>
        </w:drawing>
      </w:r>
    </w:p>
    <w:p w:rsidR="00750A10" w:rsidRDefault="00DE18CA" w:rsidP="003E58CF">
      <w:pPr>
        <w:keepNext/>
        <w:spacing w:line="240" w:lineRule="auto"/>
        <w:ind w:left="720"/>
      </w:pPr>
      <w:r>
        <w:rPr>
          <w:noProof/>
          <w:lang w:eastAsia="en-AU"/>
        </w:rPr>
        <w:drawing>
          <wp:inline distT="0" distB="0" distL="0" distR="0">
            <wp:extent cx="5217160" cy="409575"/>
            <wp:effectExtent l="19050" t="0" r="2540" b="0"/>
            <wp:docPr id="40" name="Picture 40" descr="Tabl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953" b="47255"/>
                    <a:stretch>
                      <a:fillRect/>
                    </a:stretch>
                  </pic:blipFill>
                  <pic:spPr bwMode="auto">
                    <a:xfrm>
                      <a:off x="0" y="0"/>
                      <a:ext cx="5217160" cy="409575"/>
                    </a:xfrm>
                    <a:prstGeom prst="rect">
                      <a:avLst/>
                    </a:prstGeom>
                    <a:noFill/>
                    <a:ln>
                      <a:noFill/>
                    </a:ln>
                  </pic:spPr>
                </pic:pic>
              </a:graphicData>
            </a:graphic>
          </wp:inline>
        </w:drawing>
      </w:r>
    </w:p>
    <w:p w:rsidR="00750A10" w:rsidRPr="00BA6350" w:rsidRDefault="00750A10" w:rsidP="003E58CF">
      <w:pPr>
        <w:keepNext/>
        <w:spacing w:line="240" w:lineRule="auto"/>
      </w:pPr>
      <w:r w:rsidRPr="00BA6350">
        <w:t xml:space="preserve">Atropine or pethidine were given alone or in combination with cyclizine 50 mg and trimethobenzamide (t.m.b.) 200 mg as indicated. </w:t>
      </w:r>
      <w:r w:rsidR="0037434A" w:rsidRPr="00BA6350">
        <w:t xml:space="preserve">Results </w:t>
      </w:r>
      <w:r w:rsidR="007C01CA">
        <w:t xml:space="preserve">are </w:t>
      </w:r>
      <w:r w:rsidR="0037434A" w:rsidRPr="00BA6350">
        <w:t>expressed as percentage</w:t>
      </w:r>
      <w:r w:rsidRPr="00BA6350">
        <w:t>.</w:t>
      </w:r>
    </w:p>
    <w:p w:rsidR="00750A10" w:rsidRDefault="00BA6350" w:rsidP="005C3144">
      <w:pPr>
        <w:pStyle w:val="Heading5"/>
        <w:spacing w:line="240" w:lineRule="auto"/>
        <w:rPr>
          <w:sz w:val="24"/>
          <w:szCs w:val="20"/>
        </w:rPr>
      </w:pPr>
      <w:bookmarkStart w:id="164" w:name="_Toc304266781"/>
      <w:r>
        <w:t>Dundee and</w:t>
      </w:r>
      <w:r w:rsidR="00750A10">
        <w:t xml:space="preserve"> Jones, 1968</w:t>
      </w:r>
      <w:bookmarkEnd w:id="164"/>
    </w:p>
    <w:p w:rsidR="00750A10" w:rsidRDefault="00750A10" w:rsidP="005C3144">
      <w:pPr>
        <w:spacing w:line="240" w:lineRule="auto"/>
      </w:pPr>
      <w:r>
        <w:t xml:space="preserve">The trial was intended as a double blind sequential study of the effect of cyclizine on the nausea and vomiting produced by a variety of opiates and placebo. </w:t>
      </w:r>
      <w:r w:rsidR="00CC4BD8">
        <w:t>The authors state:</w:t>
      </w:r>
    </w:p>
    <w:p w:rsidR="00750A10" w:rsidRPr="00CC4BD8" w:rsidRDefault="00750A10" w:rsidP="005C3144">
      <w:pPr>
        <w:spacing w:line="240" w:lineRule="auto"/>
        <w:ind w:left="284"/>
        <w:rPr>
          <w:i/>
        </w:rPr>
      </w:pPr>
      <w:r w:rsidRPr="00CC4BD8">
        <w:rPr>
          <w:i/>
        </w:rPr>
        <w:t>“Already established regimes of analgesics were continued and combined with either 50</w:t>
      </w:r>
      <w:r w:rsidR="00CC4BD8">
        <w:rPr>
          <w:i/>
        </w:rPr>
        <w:t> </w:t>
      </w:r>
      <w:r w:rsidRPr="00CC4BD8">
        <w:rPr>
          <w:i/>
        </w:rPr>
        <w:t>mg cyclizine or an identical placebo tablet, irrespective of the dose of analgesic. It was frequently possible to try several equipotent analgesics on the same patient at intervals of several weeks, thus increasing the number of available observations”.</w:t>
      </w:r>
    </w:p>
    <w:p w:rsidR="00750A10" w:rsidRPr="00CC4BD8" w:rsidRDefault="00750A10" w:rsidP="005C3144">
      <w:pPr>
        <w:spacing w:line="240" w:lineRule="auto"/>
        <w:ind w:left="284"/>
        <w:rPr>
          <w:i/>
        </w:rPr>
      </w:pPr>
      <w:r w:rsidRPr="00CC4BD8">
        <w:rPr>
          <w:i/>
        </w:rPr>
        <w:t>“Where it was ethically permissible, because of lack of severity of the pain, placebos resembling each of the analgesics in the trial were also used. In some instances the emetic effect of these had been tested prior to starting the full trial. Patients who became nauseated or vomited after the placebo are referred to as ‘placebo readers’ in the results.”</w:t>
      </w:r>
    </w:p>
    <w:p w:rsidR="00750A10" w:rsidRPr="00CC4BD8" w:rsidRDefault="00750A10" w:rsidP="005C3144">
      <w:pPr>
        <w:spacing w:line="240" w:lineRule="auto"/>
        <w:ind w:left="284"/>
        <w:rPr>
          <w:i/>
        </w:rPr>
      </w:pPr>
      <w:r w:rsidRPr="00CC4BD8">
        <w:rPr>
          <w:i/>
        </w:rPr>
        <w:t>“It was originally planned that each patient would take the active anti emetic drug and the inert placebo for either three or seven days, depending on whether they were to return to the clinic in one or two weeks time. Since they were always given a supply of tablets in excess of their requirements in a few cases, where the beneficial effects of the cyclizine were marked, this drug was taken for a longer period of time than the placebo.</w:t>
      </w:r>
    </w:p>
    <w:p w:rsidR="00750A10" w:rsidRPr="00CC4BD8" w:rsidRDefault="00750A10" w:rsidP="005C3144">
      <w:pPr>
        <w:spacing w:line="240" w:lineRule="auto"/>
        <w:ind w:left="284"/>
        <w:rPr>
          <w:i/>
        </w:rPr>
      </w:pPr>
      <w:r w:rsidRPr="00CC4BD8">
        <w:rPr>
          <w:i/>
        </w:rPr>
        <w:t>An essential part of the organization of this trial was the dispensing of all drugs directly to the patients on their attendance at the out-patient clinic, rather than giving them a prescription. They were supplied with a written set of instructions as to the dosage and frequency of administration of each drug, each preparation being referred to by a number and letter, A and B being used in random order for cyclizine and the placebo. The patient’s co-operation was assured by explaining that it was ‘up to himself to find which treatment suited him best’. Each patient in the trial was asked to complete a questionnaire which recorded daily the analgesia anti side-effects of the drugs.”</w:t>
      </w:r>
    </w:p>
    <w:p w:rsidR="00750A10" w:rsidRDefault="00134806" w:rsidP="005C3144">
      <w:pPr>
        <w:pStyle w:val="FigureTitle"/>
        <w:keepNext/>
        <w:spacing w:line="240" w:lineRule="auto"/>
        <w:ind w:left="284"/>
        <w:rPr>
          <w:rFonts w:ascii="Times New Roman" w:hAnsi="Times New Roman" w:cs="Times New Roman"/>
          <w:sz w:val="24"/>
          <w:szCs w:val="24"/>
        </w:rPr>
      </w:pPr>
      <w:bookmarkStart w:id="165" w:name="_Toc304266879"/>
      <w:r>
        <w:lastRenderedPageBreak/>
        <w:t>Table 34. The effect of c</w:t>
      </w:r>
      <w:r w:rsidR="00750A10">
        <w:t xml:space="preserve">yclizine on </w:t>
      </w:r>
      <w:r>
        <w:t>i</w:t>
      </w:r>
      <w:r w:rsidR="00750A10">
        <w:t xml:space="preserve">ncidence (%) of </w:t>
      </w:r>
      <w:r>
        <w:t>e</w:t>
      </w:r>
      <w:r w:rsidR="00750A10">
        <w:t xml:space="preserve">metic </w:t>
      </w:r>
      <w:r>
        <w:t>e</w:t>
      </w:r>
      <w:r w:rsidR="00750A10">
        <w:t xml:space="preserve">ffects in all patients. </w:t>
      </w:r>
      <w:bookmarkEnd w:id="165"/>
    </w:p>
    <w:p w:rsidR="00750A10" w:rsidRDefault="00DE18CA" w:rsidP="005C3144">
      <w:pPr>
        <w:keepNext/>
        <w:spacing w:line="240" w:lineRule="auto"/>
        <w:ind w:left="284"/>
      </w:pPr>
      <w:r>
        <w:rPr>
          <w:noProof/>
          <w:lang w:eastAsia="en-AU"/>
        </w:rPr>
        <w:drawing>
          <wp:inline distT="0" distB="0" distL="0" distR="0">
            <wp:extent cx="5222875" cy="2098040"/>
            <wp:effectExtent l="19050" t="0" r="0" b="0"/>
            <wp:docPr id="41" name="Picture 41" descr="Tab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2875" cy="2098040"/>
                    </a:xfrm>
                    <a:prstGeom prst="rect">
                      <a:avLst/>
                    </a:prstGeom>
                    <a:noFill/>
                    <a:ln>
                      <a:noFill/>
                    </a:ln>
                  </pic:spPr>
                </pic:pic>
              </a:graphicData>
            </a:graphic>
          </wp:inline>
        </w:drawing>
      </w:r>
    </w:p>
    <w:p w:rsidR="00134806" w:rsidRDefault="00750A10" w:rsidP="00741046">
      <w:pPr>
        <w:keepNext/>
        <w:spacing w:line="240" w:lineRule="auto"/>
        <w:ind w:left="284"/>
      </w:pPr>
      <w:r w:rsidRPr="00134806">
        <w:rPr>
          <w:sz w:val="18"/>
          <w:szCs w:val="18"/>
        </w:rPr>
        <w:t>* Apparent discrepancy is due to patients who vomited without Cyclizine and who had nausea only when the anti-emetic drug was given.</w:t>
      </w:r>
      <w:bookmarkStart w:id="166" w:name="_Toc304266880"/>
    </w:p>
    <w:p w:rsidR="00750A10" w:rsidRDefault="00134806" w:rsidP="005C3144">
      <w:pPr>
        <w:pStyle w:val="FigureTitle"/>
        <w:spacing w:line="240" w:lineRule="auto"/>
        <w:jc w:val="center"/>
      </w:pPr>
      <w:r>
        <w:t>Table 35</w:t>
      </w:r>
      <w:r w:rsidR="00750A10">
        <w:t xml:space="preserve">. Comparison of the </w:t>
      </w:r>
      <w:r>
        <w:t>p</w:t>
      </w:r>
      <w:r w:rsidR="00750A10">
        <w:t xml:space="preserve">rotective </w:t>
      </w:r>
      <w:r>
        <w:t>a</w:t>
      </w:r>
      <w:r w:rsidR="00750A10">
        <w:t xml:space="preserve">ction of </w:t>
      </w:r>
      <w:r>
        <w:t>c</w:t>
      </w:r>
      <w:r w:rsidR="00750A10">
        <w:t xml:space="preserve">yclizine against </w:t>
      </w:r>
      <w:r>
        <w:t>a</w:t>
      </w:r>
      <w:r w:rsidR="00750A10">
        <w:t xml:space="preserve">nalgesic induced nausea and vomiting in patients who were nauseated by </w:t>
      </w:r>
      <w:r>
        <w:t>p</w:t>
      </w:r>
      <w:r w:rsidR="00750A10">
        <w:t xml:space="preserve">lacebo (positive response) and in those in whom the </w:t>
      </w:r>
      <w:r>
        <w:t>p</w:t>
      </w:r>
      <w:r w:rsidR="00750A10">
        <w:t xml:space="preserve">lacebo had no such effect. </w:t>
      </w:r>
      <w:bookmarkEnd w:id="166"/>
      <w:r w:rsidR="00DE18CA">
        <w:rPr>
          <w:noProof/>
          <w:lang w:eastAsia="en-AU"/>
        </w:rPr>
        <w:drawing>
          <wp:inline distT="0" distB="0" distL="0" distR="0">
            <wp:extent cx="4190365" cy="2378710"/>
            <wp:effectExtent l="19050" t="0" r="635" b="0"/>
            <wp:docPr id="42" name="Picture 42" descr="Tab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365" cy="2378710"/>
                    </a:xfrm>
                    <a:prstGeom prst="rect">
                      <a:avLst/>
                    </a:prstGeom>
                    <a:noFill/>
                    <a:ln>
                      <a:noFill/>
                    </a:ln>
                  </pic:spPr>
                </pic:pic>
              </a:graphicData>
            </a:graphic>
          </wp:inline>
        </w:drawing>
      </w:r>
    </w:p>
    <w:p w:rsidR="00750A10" w:rsidRPr="00BA6350" w:rsidRDefault="00750A10" w:rsidP="00741046">
      <w:pPr>
        <w:spacing w:line="240" w:lineRule="auto"/>
        <w:ind w:left="1440"/>
      </w:pPr>
      <w:r w:rsidRPr="00134806">
        <w:rPr>
          <w:sz w:val="18"/>
          <w:szCs w:val="18"/>
        </w:rPr>
        <w:t>* Apparent discrepancy is due to patients who vomited without Cyclizine and who had nausea only when the anti-emetic drug was given.</w:t>
      </w:r>
    </w:p>
    <w:p w:rsidR="00750A10" w:rsidRDefault="00750A10" w:rsidP="005C3144">
      <w:pPr>
        <w:spacing w:line="240" w:lineRule="auto"/>
        <w:rPr>
          <w:sz w:val="24"/>
          <w:szCs w:val="24"/>
        </w:rPr>
      </w:pPr>
      <w:r>
        <w:t>The authors further state:</w:t>
      </w:r>
    </w:p>
    <w:p w:rsidR="00750A10" w:rsidRPr="00CC4BD8" w:rsidRDefault="00750A10" w:rsidP="005C3144">
      <w:pPr>
        <w:spacing w:line="240" w:lineRule="auto"/>
        <w:ind w:left="284"/>
        <w:rPr>
          <w:i/>
        </w:rPr>
      </w:pPr>
      <w:r w:rsidRPr="00CC4BD8">
        <w:rPr>
          <w:i/>
        </w:rPr>
        <w:t>“The table shows the incidence of nausea and vomiting without cyclizine to be twice as high in the positive placebo group as in the other. It is interesting to note that while the placebo reactions themselves are mild, this does not influence the severity of nausea due to analgesics; in both groups about 55 per cent of those who were nauseated at all did actually vomit. Relief by cyclizine is virtually confined to the negative placebo reaction group.”</w:t>
      </w:r>
    </w:p>
    <w:p w:rsidR="00A61531" w:rsidRDefault="00750A10" w:rsidP="005C3144">
      <w:pPr>
        <w:spacing w:line="240" w:lineRule="auto"/>
      </w:pPr>
      <w:r>
        <w:t>The evaluator has concerns about (a) the validity of the results in that there is some evidence of abuse/withdrawal that could have produced a desire to report nausea or vomiting where none was occurring; and (b) the studies</w:t>
      </w:r>
      <w:r w:rsidR="00725247">
        <w:t>’</w:t>
      </w:r>
      <w:r>
        <w:t xml:space="preserve"> applicability to the proposed formulation which requires injection. </w:t>
      </w:r>
      <w:bookmarkStart w:id="167" w:name="_Toc304266782"/>
    </w:p>
    <w:p w:rsidR="00750A10" w:rsidRPr="00CC4BD8" w:rsidRDefault="00750A10" w:rsidP="005C3144">
      <w:pPr>
        <w:pStyle w:val="Heading4"/>
        <w:spacing w:line="240" w:lineRule="auto"/>
      </w:pPr>
      <w:r w:rsidRPr="00CC4BD8">
        <w:t>E</w:t>
      </w:r>
      <w:r w:rsidR="00BA6350">
        <w:t xml:space="preserve">fficacy </w:t>
      </w:r>
      <w:r w:rsidRPr="00CC4BD8">
        <w:t>S</w:t>
      </w:r>
      <w:r w:rsidR="00BA6350">
        <w:t xml:space="preserve">tudies </w:t>
      </w:r>
      <w:r w:rsidR="00134806">
        <w:t>- Pre-operative u</w:t>
      </w:r>
      <w:r w:rsidRPr="00CC4BD8">
        <w:t xml:space="preserve">se in </w:t>
      </w:r>
      <w:r w:rsidR="00134806">
        <w:t>p</w:t>
      </w:r>
      <w:r w:rsidRPr="00CC4BD8">
        <w:t xml:space="preserve">atients </w:t>
      </w:r>
      <w:r w:rsidR="00134806">
        <w:t>u</w:t>
      </w:r>
      <w:r w:rsidRPr="00CC4BD8">
        <w:t xml:space="preserve">ndergoing </w:t>
      </w:r>
      <w:r w:rsidR="00134806">
        <w:t>e</w:t>
      </w:r>
      <w:r w:rsidRPr="00CC4BD8">
        <w:t xml:space="preserve">mergency </w:t>
      </w:r>
      <w:r w:rsidR="00134806">
        <w:t>s</w:t>
      </w:r>
      <w:r w:rsidRPr="00CC4BD8">
        <w:t xml:space="preserve">urgery to </w:t>
      </w:r>
      <w:r w:rsidR="00134806">
        <w:t>r</w:t>
      </w:r>
      <w:r w:rsidRPr="00CC4BD8">
        <w:t xml:space="preserve">educe the </w:t>
      </w:r>
      <w:r w:rsidR="00134806">
        <w:t>h</w:t>
      </w:r>
      <w:r w:rsidRPr="00CC4BD8">
        <w:t xml:space="preserve">azard of </w:t>
      </w:r>
      <w:r w:rsidR="00134806">
        <w:t>r</w:t>
      </w:r>
      <w:r w:rsidRPr="00CC4BD8">
        <w:t xml:space="preserve">egurgitation and </w:t>
      </w:r>
      <w:r w:rsidR="00134806">
        <w:t>a</w:t>
      </w:r>
      <w:r w:rsidRPr="00CC4BD8">
        <w:t xml:space="preserve">spiration of </w:t>
      </w:r>
      <w:r w:rsidR="00134806">
        <w:t>g</w:t>
      </w:r>
      <w:r w:rsidRPr="00CC4BD8">
        <w:t xml:space="preserve">astric </w:t>
      </w:r>
      <w:r w:rsidR="00134806">
        <w:t>c</w:t>
      </w:r>
      <w:r w:rsidRPr="00CC4BD8">
        <w:t xml:space="preserve">ontents </w:t>
      </w:r>
      <w:r w:rsidR="00134806">
        <w:t>d</w:t>
      </w:r>
      <w:r w:rsidRPr="00CC4BD8">
        <w:t xml:space="preserve">uring </w:t>
      </w:r>
      <w:r w:rsidR="00134806">
        <w:t>i</w:t>
      </w:r>
      <w:r w:rsidRPr="00CC4BD8">
        <w:t xml:space="preserve">nduction of </w:t>
      </w:r>
      <w:r w:rsidR="00134806">
        <w:t>g</w:t>
      </w:r>
      <w:r w:rsidRPr="00CC4BD8">
        <w:t xml:space="preserve">eneral </w:t>
      </w:r>
      <w:r w:rsidR="00134806">
        <w:t>a</w:t>
      </w:r>
      <w:r w:rsidRPr="00CC4BD8">
        <w:t>naesthesia</w:t>
      </w:r>
      <w:bookmarkEnd w:id="167"/>
      <w:r w:rsidRPr="00CC4BD8">
        <w:t xml:space="preserve"> </w:t>
      </w:r>
    </w:p>
    <w:p w:rsidR="00750A10" w:rsidRDefault="00750A10" w:rsidP="005C3144">
      <w:pPr>
        <w:spacing w:line="240" w:lineRule="auto"/>
      </w:pPr>
      <w:r>
        <w:t xml:space="preserve">The </w:t>
      </w:r>
      <w:r w:rsidR="006907C3">
        <w:t xml:space="preserve">sponsor’s </w:t>
      </w:r>
      <w:r w:rsidRPr="00BA6350">
        <w:rPr>
          <w:i/>
        </w:rPr>
        <w:t>Summary of Clinical Efficacy</w:t>
      </w:r>
      <w:r w:rsidR="007C01CA">
        <w:t xml:space="preserve"> did not discuss this [proposed] i</w:t>
      </w:r>
      <w:r>
        <w:t xml:space="preserve">ndication. In the </w:t>
      </w:r>
      <w:r w:rsidR="006907C3">
        <w:t>sponsor</w:t>
      </w:r>
      <w:r w:rsidR="00927C49">
        <w:t>’</w:t>
      </w:r>
      <w:r w:rsidR="006907C3">
        <w:t xml:space="preserve">s </w:t>
      </w:r>
      <w:r w:rsidRPr="007C01CA">
        <w:rPr>
          <w:i/>
        </w:rPr>
        <w:t>Clinical Overview</w:t>
      </w:r>
      <w:r w:rsidR="00BA6350">
        <w:t xml:space="preserve"> </w:t>
      </w:r>
      <w:r w:rsidR="0037434A">
        <w:t>it</w:t>
      </w:r>
      <w:r>
        <w:t xml:space="preserve"> is</w:t>
      </w:r>
      <w:r w:rsidR="0037434A">
        <w:t xml:space="preserve"> stated</w:t>
      </w:r>
      <w:r w:rsidR="00CC4BD8">
        <w:t>:</w:t>
      </w:r>
      <w:r>
        <w:t xml:space="preserve"> </w:t>
      </w:r>
    </w:p>
    <w:p w:rsidR="00750A10" w:rsidRPr="00CC4BD8" w:rsidRDefault="00750A10" w:rsidP="005C3144">
      <w:pPr>
        <w:spacing w:line="240" w:lineRule="auto"/>
        <w:ind w:left="284"/>
        <w:rPr>
          <w:i/>
        </w:rPr>
      </w:pPr>
      <w:r w:rsidRPr="00CC4BD8">
        <w:rPr>
          <w:i/>
        </w:rPr>
        <w:lastRenderedPageBreak/>
        <w:t>“Cyclizine has demonstrated a significant effect on lower oesophageal pressure. Intravenous cyclizine 25 mg given intravenously to volunteers increased the mean barrier pressure from by an average of 1.87 kPa to 3.29 kPa (P &lt; 0.005) (Brock-Utne et al., 1977). This has been seen as of particular benefit in patients undergoing emergency surgery.</w:t>
      </w:r>
    </w:p>
    <w:p w:rsidR="00750A10" w:rsidRPr="00CC4BD8" w:rsidRDefault="00750A10" w:rsidP="005C3144">
      <w:pPr>
        <w:spacing w:line="240" w:lineRule="auto"/>
        <w:ind w:left="284"/>
        <w:rPr>
          <w:i/>
        </w:rPr>
      </w:pPr>
      <w:r w:rsidRPr="00CC4BD8">
        <w:rPr>
          <w:i/>
        </w:rPr>
        <w:t>The superiority of cyclizine compared to other agents in the prevention of vomiting in emergency surgery has not been demonstrated clinically and comparisons of meaningful clinical studies are unlikely to be conducted due to the nature of the clinical situation. Apart from the clinical difficulty of recruitment of patients in this emergency situation the ethical obstacles appear to be unsurmountable due to the difficulties in obtaining fully informed consent in this situation and other issues of study conduct. “</w:t>
      </w:r>
    </w:p>
    <w:p w:rsidR="00750A10" w:rsidRDefault="00750A10" w:rsidP="005C3144">
      <w:pPr>
        <w:spacing w:line="240" w:lineRule="auto"/>
        <w:rPr>
          <w:rFonts w:ascii="Times New Roman" w:hAnsi="Times New Roman" w:cs="Times New Roman"/>
          <w:sz w:val="24"/>
          <w:szCs w:val="24"/>
        </w:rPr>
      </w:pPr>
      <w:r>
        <w:t>Thus no evidence has been produced or is likely to be produced to support the cla</w:t>
      </w:r>
      <w:r w:rsidR="003B0951">
        <w:t>im of efficacy in reducing the h</w:t>
      </w:r>
      <w:r>
        <w:t xml:space="preserve">azard of </w:t>
      </w:r>
      <w:r w:rsidR="003B0951">
        <w:t>r</w:t>
      </w:r>
      <w:r>
        <w:t xml:space="preserve">egurgitation and </w:t>
      </w:r>
      <w:r w:rsidR="003B0951">
        <w:t>a</w:t>
      </w:r>
      <w:r>
        <w:t xml:space="preserve">spiration of </w:t>
      </w:r>
      <w:r w:rsidR="003B0951">
        <w:t>g</w:t>
      </w:r>
      <w:r>
        <w:t xml:space="preserve">astric </w:t>
      </w:r>
      <w:r w:rsidR="003B0951">
        <w:t>c</w:t>
      </w:r>
      <w:r>
        <w:t xml:space="preserve">ontents </w:t>
      </w:r>
      <w:r w:rsidR="003B0951">
        <w:t>d</w:t>
      </w:r>
      <w:r>
        <w:t xml:space="preserve">uring </w:t>
      </w:r>
      <w:r w:rsidR="003B0951">
        <w:t>i</w:t>
      </w:r>
      <w:r>
        <w:t xml:space="preserve">nduction of </w:t>
      </w:r>
      <w:r w:rsidR="003B0951">
        <w:t>g</w:t>
      </w:r>
      <w:r>
        <w:t xml:space="preserve">eneral </w:t>
      </w:r>
      <w:r w:rsidR="003B0951">
        <w:t>a</w:t>
      </w:r>
      <w:r>
        <w:t xml:space="preserve">naesthesia. </w:t>
      </w:r>
    </w:p>
    <w:p w:rsidR="00CC4BD8" w:rsidRDefault="000326B1" w:rsidP="005C3144">
      <w:pPr>
        <w:spacing w:line="240" w:lineRule="auto"/>
      </w:pPr>
      <w:r>
        <w:t>There is evidence</w:t>
      </w:r>
      <w:r w:rsidR="003B0951">
        <w:t xml:space="preserve"> </w:t>
      </w:r>
      <w:r w:rsidR="00750A10">
        <w:t xml:space="preserve">(Brocke-Utne </w:t>
      </w:r>
      <w:r w:rsidR="00750A10" w:rsidRPr="00725247">
        <w:rPr>
          <w:i/>
        </w:rPr>
        <w:t>et al</w:t>
      </w:r>
      <w:r>
        <w:t>., 1977, 1978</w:t>
      </w:r>
      <w:r w:rsidR="00725247">
        <w:t xml:space="preserve">; see section on </w:t>
      </w:r>
      <w:r w:rsidR="00725247" w:rsidRPr="00725247">
        <w:rPr>
          <w:i/>
        </w:rPr>
        <w:t>Pharmacodynamics</w:t>
      </w:r>
      <w:r w:rsidR="00725247">
        <w:t>, above</w:t>
      </w:r>
      <w:r w:rsidR="00750A10">
        <w:t>) that in healthy volunteers the basal barrier (due to sphincter) pressure increased with cyclizine. This may decrease the risk of regurgitation in the awake emergency patient. There was no evidence provided that this protection persists on induction of anaesthesia.</w:t>
      </w:r>
    </w:p>
    <w:p w:rsidR="00CC4BD8" w:rsidRPr="0037434A" w:rsidRDefault="000326B1" w:rsidP="005C3144">
      <w:pPr>
        <w:pStyle w:val="Heading4"/>
        <w:spacing w:line="240" w:lineRule="auto"/>
      </w:pPr>
      <w:bookmarkStart w:id="168" w:name="_Toc304266784"/>
      <w:bookmarkStart w:id="169" w:name="_Ref271126605"/>
      <w:bookmarkStart w:id="170" w:name="_Toc272414657"/>
      <w:bookmarkStart w:id="171" w:name="_Toc273018220"/>
      <w:r>
        <w:t>E</w:t>
      </w:r>
      <w:r w:rsidRPr="0037434A">
        <w:t>valuator’s conclusions</w:t>
      </w:r>
      <w:r>
        <w:t xml:space="preserve"> on clinical efficacy for post-</w:t>
      </w:r>
      <w:r w:rsidRPr="0037434A">
        <w:t>operative nausea and vomiting</w:t>
      </w:r>
      <w:bookmarkEnd w:id="168"/>
    </w:p>
    <w:p w:rsidR="00CC4BD8" w:rsidRPr="0037434A" w:rsidRDefault="00CC4BD8" w:rsidP="005C3144">
      <w:pPr>
        <w:spacing w:line="240" w:lineRule="auto"/>
      </w:pPr>
      <w:r w:rsidRPr="0037434A">
        <w:t xml:space="preserve">Dent </w:t>
      </w:r>
      <w:r w:rsidRPr="009F1B88">
        <w:rPr>
          <w:i/>
        </w:rPr>
        <w:t>et al</w:t>
      </w:r>
      <w:r w:rsidR="000326B1">
        <w:t>.,</w:t>
      </w:r>
      <w:r w:rsidRPr="0037434A">
        <w:t xml:space="preserve"> 1954 in relation to vomiting wrote </w:t>
      </w:r>
      <w:r w:rsidRPr="0037434A">
        <w:rPr>
          <w:i/>
        </w:rPr>
        <w:t>“With the advent of new anaesthetic drugs and associated alteration in techniques of administration, the incidence of this complication has been reduced.”</w:t>
      </w:r>
    </w:p>
    <w:p w:rsidR="00CC4BD8" w:rsidRPr="0037434A" w:rsidRDefault="00CC4BD8" w:rsidP="005C3144">
      <w:pPr>
        <w:spacing w:line="240" w:lineRule="auto"/>
        <w:rPr>
          <w:rFonts w:cs="Times New Roman"/>
          <w:sz w:val="24"/>
          <w:szCs w:val="24"/>
        </w:rPr>
      </w:pPr>
      <w:r w:rsidRPr="0037434A">
        <w:t xml:space="preserve">The balance of evidence for efficacy of the proposed dosage and administration used in post operative nausea and vomiting is favourable with Cholwill </w:t>
      </w:r>
      <w:r w:rsidRPr="009F1B88">
        <w:rPr>
          <w:i/>
        </w:rPr>
        <w:t>et al</w:t>
      </w:r>
      <w:r w:rsidRPr="0037434A">
        <w:t>.,</w:t>
      </w:r>
      <w:r w:rsidR="000326B1">
        <w:t xml:space="preserve"> 1999 (42 patients), Chestnutt and</w:t>
      </w:r>
      <w:r w:rsidRPr="0037434A">
        <w:t xml:space="preserve"> Dundee, 1986 (40 patients) and Dundee </w:t>
      </w:r>
      <w:r w:rsidRPr="009F1B88">
        <w:rPr>
          <w:i/>
        </w:rPr>
        <w:t>et al</w:t>
      </w:r>
      <w:r w:rsidR="009F1B88" w:rsidRPr="009F1B88">
        <w:rPr>
          <w:i/>
        </w:rPr>
        <w:t>.</w:t>
      </w:r>
      <w:r w:rsidRPr="0037434A">
        <w:t xml:space="preserve">, 1975 (300 patients) showing significant effect compared to placebo; while Grimsehl </w:t>
      </w:r>
      <w:r w:rsidRPr="009F1B88">
        <w:rPr>
          <w:i/>
        </w:rPr>
        <w:t>et al</w:t>
      </w:r>
      <w:r w:rsidR="009F1B88" w:rsidRPr="009F1B88">
        <w:rPr>
          <w:i/>
        </w:rPr>
        <w:t>.</w:t>
      </w:r>
      <w:r w:rsidRPr="0037434A">
        <w:t>, 2002 (37 patients) claimed they showed no significan</w:t>
      </w:r>
      <w:r w:rsidR="0037434A">
        <w:t xml:space="preserve">t difference from ondansetron. </w:t>
      </w:r>
      <w:r w:rsidRPr="0037434A">
        <w:t xml:space="preserve">Dundee </w:t>
      </w:r>
      <w:r w:rsidRPr="009F1B88">
        <w:rPr>
          <w:i/>
        </w:rPr>
        <w:t>et al</w:t>
      </w:r>
      <w:r w:rsidR="009F1B88">
        <w:t>.</w:t>
      </w:r>
      <w:r w:rsidRPr="0037434A">
        <w:t>,</w:t>
      </w:r>
      <w:r w:rsidR="0037434A">
        <w:t xml:space="preserve"> </w:t>
      </w:r>
      <w:r w:rsidRPr="0037434A">
        <w:t>1966</w:t>
      </w:r>
      <w:r w:rsidRPr="0037434A">
        <w:rPr>
          <w:rStyle w:val="FootnoteReference"/>
        </w:rPr>
        <w:footnoteReference w:id="20"/>
      </w:r>
      <w:r w:rsidRPr="0037434A">
        <w:t xml:space="preserve"> did show an incidence of PONV after atropine o</w:t>
      </w:r>
      <w:r w:rsidR="0037434A">
        <w:t xml:space="preserve">nly premed fell from 55 to 25% </w:t>
      </w:r>
      <w:r w:rsidRPr="0037434A">
        <w:t>but the difference was not significant. Watts, 1996 (59 patients) showed no effect compared to placebo (overall 50% v</w:t>
      </w:r>
      <w:r w:rsidR="006907C3">
        <w:t>ersus</w:t>
      </w:r>
      <w:r w:rsidRPr="0037434A">
        <w:t xml:space="preserve"> 48%).</w:t>
      </w:r>
    </w:p>
    <w:p w:rsidR="00CC4BD8" w:rsidRDefault="00CC4BD8" w:rsidP="005C3144">
      <w:pPr>
        <w:spacing w:line="240" w:lineRule="auto"/>
      </w:pPr>
      <w:r>
        <w:t xml:space="preserve">Only </w:t>
      </w:r>
      <w:r w:rsidR="009F1B88">
        <w:t xml:space="preserve">the studies by </w:t>
      </w:r>
      <w:r>
        <w:t>Cho</w:t>
      </w:r>
      <w:r w:rsidR="000326B1">
        <w:t>l</w:t>
      </w:r>
      <w:r>
        <w:t xml:space="preserve">will </w:t>
      </w:r>
      <w:r w:rsidR="009F1B88" w:rsidRPr="009F1B88">
        <w:rPr>
          <w:i/>
        </w:rPr>
        <w:t>et al</w:t>
      </w:r>
      <w:r w:rsidR="009F1B88">
        <w:t xml:space="preserve">., 1999 </w:t>
      </w:r>
      <w:r>
        <w:t>and Watts</w:t>
      </w:r>
      <w:r w:rsidR="009F1B88">
        <w:t>, 1996</w:t>
      </w:r>
      <w:r>
        <w:t xml:space="preserve"> used muscle relaxants</w:t>
      </w:r>
      <w:r w:rsidR="0037434A">
        <w:t>.</w:t>
      </w:r>
      <w:r>
        <w:t xml:space="preserve"> Chowill reversed them with neostigmine and glycopyrrolate, while Watts reversed with neostigmine and atropine</w:t>
      </w:r>
      <w:r w:rsidR="0037434A">
        <w:t>:</w:t>
      </w:r>
      <w:r>
        <w:t xml:space="preserve"> this may account for the differences in results.</w:t>
      </w:r>
    </w:p>
    <w:p w:rsidR="00CC4BD8" w:rsidRDefault="00CC4BD8" w:rsidP="005C3144">
      <w:pPr>
        <w:spacing w:line="240" w:lineRule="auto"/>
      </w:pPr>
      <w:r w:rsidRPr="0037434A">
        <w:t>All these 5 studies used only a single dose of 50</w:t>
      </w:r>
      <w:r w:rsidR="0037434A" w:rsidRPr="0037434A">
        <w:t xml:space="preserve"> </w:t>
      </w:r>
      <w:r w:rsidRPr="0037434A">
        <w:t>mg</w:t>
      </w:r>
      <w:r>
        <w:rPr>
          <w:b/>
        </w:rPr>
        <w:t xml:space="preserve"> </w:t>
      </w:r>
      <w:r>
        <w:t>of cycli</w:t>
      </w:r>
      <w:r w:rsidR="000326B1">
        <w:t>zine IM or IV except Chestnutt and</w:t>
      </w:r>
      <w:r>
        <w:t xml:space="preserve"> Dundee, 1986</w:t>
      </w:r>
      <w:r w:rsidR="000326B1">
        <w:t>,</w:t>
      </w:r>
      <w:r>
        <w:t xml:space="preserve"> where 2 patients received a second dose of cyclizine.</w:t>
      </w:r>
    </w:p>
    <w:p w:rsidR="0037434A" w:rsidRDefault="00CC4BD8" w:rsidP="005C3144">
      <w:pPr>
        <w:spacing w:line="240" w:lineRule="auto"/>
      </w:pPr>
      <w:r>
        <w:t>While the studies were all of short duration procedures, they were gynaecologic procedures, mostly in women of child bearing age, and including nitrous oxide, major risk factors. Indeed the anaesthetics and procedures are generally considered a good model for testing for emesis in relation to surgery.</w:t>
      </w:r>
      <w:r w:rsidR="000326B1">
        <w:t xml:space="preserve"> </w:t>
      </w:r>
      <w:r>
        <w:t>Unfortunately, other than Dundee’s (197</w:t>
      </w:r>
      <w:r w:rsidR="0037434A">
        <w:t>5) study the numbers involved a</w:t>
      </w:r>
      <w:r>
        <w:t>re small.</w:t>
      </w:r>
      <w:r w:rsidR="000326B1">
        <w:t xml:space="preserve"> </w:t>
      </w:r>
      <w:r>
        <w:t xml:space="preserve">Details of all studies’ statistical analyses were published, but that for Dundee </w:t>
      </w:r>
      <w:r w:rsidRPr="009F1B88">
        <w:rPr>
          <w:i/>
        </w:rPr>
        <w:t>et al</w:t>
      </w:r>
      <w:r w:rsidR="009F1B88">
        <w:t>.</w:t>
      </w:r>
      <w:r>
        <w:t xml:space="preserve">, 1975 was not submitted. </w:t>
      </w:r>
    </w:p>
    <w:p w:rsidR="00CC4BD8" w:rsidRPr="000326B1" w:rsidRDefault="000326B1" w:rsidP="005C3144">
      <w:pPr>
        <w:pStyle w:val="Heading4"/>
        <w:spacing w:line="240" w:lineRule="auto"/>
      </w:pPr>
      <w:bookmarkStart w:id="172" w:name="_Toc304266785"/>
      <w:r>
        <w:t>E</w:t>
      </w:r>
      <w:r w:rsidRPr="000326B1">
        <w:t>valuator’s conclusions on clinical efficacy for the treatment of nausea and vomiting caused by narcotic analgesics</w:t>
      </w:r>
      <w:bookmarkEnd w:id="172"/>
    </w:p>
    <w:p w:rsidR="00CC4BD8" w:rsidRDefault="00CC4BD8" w:rsidP="005C3144">
      <w:pPr>
        <w:spacing w:line="240" w:lineRule="auto"/>
      </w:pPr>
      <w:r>
        <w:t>The balance of evidence for efficacy of the proposed dosage and administration used in the treatment of nausea and vomiting caused by narcotic analgesics is fav</w:t>
      </w:r>
      <w:r w:rsidR="000326B1">
        <w:t>ourable with Chestnutt and</w:t>
      </w:r>
      <w:r>
        <w:t xml:space="preserve"> Dundee, 1986 and Dundee </w:t>
      </w:r>
      <w:r w:rsidRPr="009F1B88">
        <w:rPr>
          <w:i/>
        </w:rPr>
        <w:t>et al</w:t>
      </w:r>
      <w:r w:rsidR="000326B1">
        <w:t>.</w:t>
      </w:r>
      <w:r>
        <w:t xml:space="preserve">, 1975 showing significant effect compared to placebo; although Dundee </w:t>
      </w:r>
      <w:r w:rsidRPr="009F1B88">
        <w:rPr>
          <w:i/>
        </w:rPr>
        <w:t>et al</w:t>
      </w:r>
      <w:r w:rsidR="000326B1">
        <w:t>.</w:t>
      </w:r>
      <w:r>
        <w:t>, 1966 did so as well</w:t>
      </w:r>
      <w:r w:rsidR="006907C3">
        <w:t>,</w:t>
      </w:r>
      <w:r>
        <w:t xml:space="preserve"> it was essentially an open study.</w:t>
      </w:r>
      <w:r w:rsidR="000326B1">
        <w:t xml:space="preserve"> </w:t>
      </w:r>
      <w:r>
        <w:t>These were studies only for 1.5</w:t>
      </w:r>
      <w:r w:rsidR="009F1B88">
        <w:t xml:space="preserve"> </w:t>
      </w:r>
      <w:r>
        <w:t xml:space="preserve">h before anaesthesia was added. Dundee </w:t>
      </w:r>
      <w:r w:rsidRPr="00CC22E2">
        <w:rPr>
          <w:i/>
        </w:rPr>
        <w:t>et al</w:t>
      </w:r>
      <w:r w:rsidR="000326B1">
        <w:t>.</w:t>
      </w:r>
      <w:r>
        <w:t xml:space="preserve">, 1975 stated: </w:t>
      </w:r>
      <w:r w:rsidR="0037434A" w:rsidRPr="0037434A">
        <w:rPr>
          <w:i/>
        </w:rPr>
        <w:t>“</w:t>
      </w:r>
      <w:r w:rsidRPr="0037434A">
        <w:rPr>
          <w:i/>
        </w:rPr>
        <w:t xml:space="preserve">anti-emetic effects appeared to be of much shorter duration than the emetic effect of either </w:t>
      </w:r>
      <w:r w:rsidRPr="009F1B88">
        <w:t>(morphine or pethidine)</w:t>
      </w:r>
      <w:r w:rsidRPr="0037434A">
        <w:rPr>
          <w:i/>
        </w:rPr>
        <w:t>.</w:t>
      </w:r>
      <w:r w:rsidR="0037434A" w:rsidRPr="0037434A">
        <w:rPr>
          <w:i/>
        </w:rPr>
        <w:t>”</w:t>
      </w:r>
      <w:r w:rsidR="000326B1">
        <w:rPr>
          <w:i/>
        </w:rPr>
        <w:t xml:space="preserve"> </w:t>
      </w:r>
      <w:r>
        <w:t xml:space="preserve">There were no </w:t>
      </w:r>
      <w:r>
        <w:lastRenderedPageBreak/>
        <w:t>studies of repeat dosing for this indication.</w:t>
      </w:r>
      <w:r w:rsidR="00CF28EF">
        <w:t xml:space="preserve"> </w:t>
      </w:r>
      <w:r>
        <w:t>Thus the evaluator has concerns in relation to repeated use.</w:t>
      </w:r>
    </w:p>
    <w:p w:rsidR="00CC4BD8" w:rsidRPr="00D620C1" w:rsidRDefault="000326B1" w:rsidP="005C3144">
      <w:pPr>
        <w:pStyle w:val="Heading4"/>
        <w:spacing w:line="240" w:lineRule="auto"/>
      </w:pPr>
      <w:bookmarkStart w:id="173" w:name="_Toc304266786"/>
      <w:r w:rsidRPr="00D620C1">
        <w:t xml:space="preserve">Evaluator’s conclusions on clinical efficacy </w:t>
      </w:r>
      <w:bookmarkEnd w:id="169"/>
      <w:bookmarkEnd w:id="170"/>
      <w:bookmarkEnd w:id="171"/>
      <w:r w:rsidR="009F1B88" w:rsidRPr="00D620C1">
        <w:t xml:space="preserve">for </w:t>
      </w:r>
      <w:r w:rsidRPr="00D620C1">
        <w:t>pre-operative use in patients undergoing emergency surgery</w:t>
      </w:r>
      <w:bookmarkEnd w:id="173"/>
      <w:r w:rsidRPr="00D620C1">
        <w:t xml:space="preserve"> </w:t>
      </w:r>
    </w:p>
    <w:p w:rsidR="00643703" w:rsidRDefault="00CC4BD8" w:rsidP="005C3144">
      <w:pPr>
        <w:spacing w:line="240" w:lineRule="auto"/>
      </w:pPr>
      <w:r>
        <w:t xml:space="preserve">No evidence has been produced or is likely to be produced to support the claim of efficacy in reducing the </w:t>
      </w:r>
      <w:r w:rsidR="000D4AF7">
        <w:t>h</w:t>
      </w:r>
      <w:r>
        <w:t xml:space="preserve">azard of </w:t>
      </w:r>
      <w:r w:rsidR="000D4AF7">
        <w:t>r</w:t>
      </w:r>
      <w:r>
        <w:t xml:space="preserve">egurgitation and </w:t>
      </w:r>
      <w:r w:rsidR="000D4AF7">
        <w:t>a</w:t>
      </w:r>
      <w:r>
        <w:t xml:space="preserve">spiration of </w:t>
      </w:r>
      <w:r w:rsidR="000D4AF7">
        <w:t>g</w:t>
      </w:r>
      <w:r>
        <w:t xml:space="preserve">astric </w:t>
      </w:r>
      <w:r w:rsidR="000D4AF7">
        <w:t>c</w:t>
      </w:r>
      <w:r>
        <w:t xml:space="preserve">ontents </w:t>
      </w:r>
      <w:r w:rsidR="000D4AF7">
        <w:t>d</w:t>
      </w:r>
      <w:r>
        <w:t xml:space="preserve">uring </w:t>
      </w:r>
      <w:r w:rsidR="000D4AF7">
        <w:t>i</w:t>
      </w:r>
      <w:r>
        <w:t xml:space="preserve">nduction of </w:t>
      </w:r>
      <w:r w:rsidR="000D4AF7">
        <w:t>g</w:t>
      </w:r>
      <w:r>
        <w:t xml:space="preserve">eneral </w:t>
      </w:r>
      <w:r w:rsidR="000D4AF7">
        <w:t>a</w:t>
      </w:r>
      <w:r>
        <w:t>naesthesia. In healthy volunteers the basal barrier (due to sphincter) pressure is increased with cyclizine.</w:t>
      </w:r>
    </w:p>
    <w:p w:rsidR="00CC4BD8" w:rsidRPr="00A61531" w:rsidRDefault="0087331F" w:rsidP="005C3144">
      <w:pPr>
        <w:pStyle w:val="Heading3"/>
        <w:spacing w:line="240" w:lineRule="auto"/>
      </w:pPr>
      <w:bookmarkStart w:id="174" w:name="_Ref269120916"/>
      <w:bookmarkStart w:id="175" w:name="_Toc272414658"/>
      <w:bookmarkStart w:id="176" w:name="_Toc273018221"/>
      <w:bookmarkStart w:id="177" w:name="_Toc304266787"/>
      <w:bookmarkStart w:id="178" w:name="_Toc350329821"/>
      <w:r>
        <w:t>S</w:t>
      </w:r>
      <w:r w:rsidRPr="00A61531">
        <w:t>afety</w:t>
      </w:r>
      <w:bookmarkEnd w:id="174"/>
      <w:bookmarkEnd w:id="175"/>
      <w:bookmarkEnd w:id="176"/>
      <w:bookmarkEnd w:id="177"/>
      <w:bookmarkEnd w:id="178"/>
    </w:p>
    <w:p w:rsidR="00CC4BD8" w:rsidRPr="00A61531" w:rsidRDefault="00E67E3B" w:rsidP="005C3144">
      <w:pPr>
        <w:pStyle w:val="Heading4"/>
        <w:spacing w:line="240" w:lineRule="auto"/>
      </w:pPr>
      <w:bookmarkStart w:id="179" w:name="_Toc304266788"/>
      <w:bookmarkStart w:id="180" w:name="_Toc273018222"/>
      <w:bookmarkStart w:id="181" w:name="_Toc272414659"/>
      <w:r>
        <w:t>S</w:t>
      </w:r>
      <w:r w:rsidRPr="00A61531">
        <w:t>tudies providing evaluable safety data</w:t>
      </w:r>
      <w:bookmarkEnd w:id="179"/>
      <w:bookmarkEnd w:id="180"/>
      <w:bookmarkEnd w:id="181"/>
    </w:p>
    <w:p w:rsidR="00CC4BD8" w:rsidRPr="009F1B88" w:rsidRDefault="00B22400" w:rsidP="005C3144">
      <w:pPr>
        <w:keepNext/>
        <w:keepLines/>
        <w:spacing w:line="240" w:lineRule="auto"/>
      </w:pPr>
      <w:bookmarkStart w:id="182" w:name="_Ref268776745"/>
      <w:r w:rsidRPr="009F1B88">
        <w:t xml:space="preserve">Safety data from </w:t>
      </w:r>
      <w:r w:rsidR="00E67E3B" w:rsidRPr="009F1B88">
        <w:t>e</w:t>
      </w:r>
      <w:r w:rsidR="00CC4BD8" w:rsidRPr="009F1B88">
        <w:t>fficacy studies</w:t>
      </w:r>
      <w:bookmarkEnd w:id="182"/>
      <w:r w:rsidR="00CC4BD8" w:rsidRPr="009F1B88">
        <w:t xml:space="preserve"> considered </w:t>
      </w:r>
      <w:r w:rsidRPr="009F1B88">
        <w:t>p</w:t>
      </w:r>
      <w:r w:rsidR="00CC4BD8" w:rsidRPr="009F1B88">
        <w:t>ivotal by the evaluator</w:t>
      </w:r>
      <w:r w:rsidR="00BF6068">
        <w:t xml:space="preserve"> are summarised below.</w:t>
      </w:r>
    </w:p>
    <w:p w:rsidR="00CC4BD8" w:rsidRPr="00E5044B" w:rsidRDefault="00CC4BD8" w:rsidP="005C3144">
      <w:pPr>
        <w:spacing w:line="240" w:lineRule="auto"/>
      </w:pPr>
      <w:r w:rsidRPr="00D70E27">
        <w:rPr>
          <w:b/>
        </w:rPr>
        <w:t xml:space="preserve">Cholwill </w:t>
      </w:r>
      <w:r w:rsidRPr="00D70E27">
        <w:rPr>
          <w:b/>
          <w:i/>
        </w:rPr>
        <w:t>et al</w:t>
      </w:r>
      <w:r w:rsidR="000326B1" w:rsidRPr="00D70E27">
        <w:rPr>
          <w:b/>
        </w:rPr>
        <w:t>.,</w:t>
      </w:r>
      <w:r w:rsidRPr="00D70E27">
        <w:rPr>
          <w:b/>
        </w:rPr>
        <w:t xml:space="preserve"> 1999</w:t>
      </w:r>
      <w:r w:rsidR="00F87CB4" w:rsidRPr="00D70E27">
        <w:rPr>
          <w:b/>
        </w:rPr>
        <w:t>:</w:t>
      </w:r>
      <w:r w:rsidRPr="009F1B88">
        <w:t xml:space="preserve"> </w:t>
      </w:r>
      <w:r w:rsidRPr="00BF6068">
        <w:rPr>
          <w:b/>
        </w:rPr>
        <w:t xml:space="preserve"> </w:t>
      </w:r>
      <w:r w:rsidR="00F87CB4" w:rsidRPr="00E5044B">
        <w:t>N</w:t>
      </w:r>
      <w:r w:rsidRPr="00E5044B">
        <w:t xml:space="preserve">o safety data. </w:t>
      </w:r>
    </w:p>
    <w:p w:rsidR="00CC4BD8" w:rsidRDefault="00CC4BD8" w:rsidP="005C3144">
      <w:pPr>
        <w:keepNext/>
        <w:keepLines/>
        <w:spacing w:line="240" w:lineRule="auto"/>
      </w:pPr>
      <w:r w:rsidRPr="00D70E27">
        <w:rPr>
          <w:b/>
        </w:rPr>
        <w:t xml:space="preserve">Chestnutt </w:t>
      </w:r>
      <w:r w:rsidR="000326B1" w:rsidRPr="00D70E27">
        <w:rPr>
          <w:b/>
        </w:rPr>
        <w:t xml:space="preserve">and </w:t>
      </w:r>
      <w:r w:rsidRPr="00D70E27">
        <w:rPr>
          <w:b/>
        </w:rPr>
        <w:t>Dundee</w:t>
      </w:r>
      <w:r w:rsidR="009F1B88" w:rsidRPr="00D70E27">
        <w:rPr>
          <w:b/>
        </w:rPr>
        <w:t xml:space="preserve">, </w:t>
      </w:r>
      <w:r w:rsidRPr="00D70E27">
        <w:rPr>
          <w:b/>
        </w:rPr>
        <w:t>1986</w:t>
      </w:r>
      <w:r w:rsidR="000326B1" w:rsidRPr="00D70E27">
        <w:rPr>
          <w:b/>
        </w:rPr>
        <w:t>:</w:t>
      </w:r>
      <w:r>
        <w:rPr>
          <w:rFonts w:eastAsia="Calibri"/>
          <w:color w:val="000000"/>
        </w:rPr>
        <w:t xml:space="preserve"> at 90 mins preop</w:t>
      </w:r>
      <w:r w:rsidR="00807A04">
        <w:rPr>
          <w:rFonts w:eastAsia="Calibri"/>
          <w:color w:val="000000"/>
        </w:rPr>
        <w:t>eratively,</w:t>
      </w:r>
      <w:r>
        <w:rPr>
          <w:rFonts w:eastAsia="Calibri"/>
          <w:color w:val="000000"/>
        </w:rPr>
        <w:t xml:space="preserve"> cyclizine pati</w:t>
      </w:r>
      <w:r w:rsidR="000326B1">
        <w:rPr>
          <w:rFonts w:eastAsia="Calibri"/>
          <w:color w:val="000000"/>
        </w:rPr>
        <w:t>ents were significantly more (p </w:t>
      </w:r>
      <w:r>
        <w:rPr>
          <w:rFonts w:eastAsia="Calibri"/>
          <w:color w:val="000000"/>
        </w:rPr>
        <w:t>&lt; 0.01) drowsy than those who had received placebo.</w:t>
      </w:r>
      <w:r w:rsidR="000326B1">
        <w:t xml:space="preserve"> </w:t>
      </w:r>
      <w:r>
        <w:t>Apprehension decreased with time and there was no significant difference between treatments at any time point. There was no clinically significant restlessness in any group of patients.</w:t>
      </w:r>
      <w:r w:rsidR="000326B1">
        <w:t xml:space="preserve"> </w:t>
      </w:r>
      <w:r>
        <w:t xml:space="preserve">The incidence of marked dizziness was 5/40 </w:t>
      </w:r>
      <w:r w:rsidR="009F1B88">
        <w:t xml:space="preserve">for </w:t>
      </w:r>
      <w:r>
        <w:t xml:space="preserve">placebo </w:t>
      </w:r>
      <w:r w:rsidR="009F1B88">
        <w:t xml:space="preserve">and </w:t>
      </w:r>
      <w:r>
        <w:t xml:space="preserve">3/40 </w:t>
      </w:r>
      <w:r w:rsidR="009F1B88">
        <w:t xml:space="preserve">for </w:t>
      </w:r>
      <w:r>
        <w:t>cyclizine patients.</w:t>
      </w:r>
    </w:p>
    <w:p w:rsidR="00CC4BD8" w:rsidRDefault="00CC4BD8" w:rsidP="005C3144">
      <w:pPr>
        <w:spacing w:line="240" w:lineRule="auto"/>
      </w:pPr>
      <w:r>
        <w:t>The presence of dry mouth was reported after treatment by 14 patients in the placebo group, and 28 patients in the cyclizine group. When the occurrence of this symptom, before treatment, is accounted for there is no significant difference between the groups.</w:t>
      </w:r>
      <w:r w:rsidR="000326B1">
        <w:t xml:space="preserve"> </w:t>
      </w:r>
      <w:r>
        <w:t>Nine patients in the placebo group and 15 in the cyclizine group reported blurring of vision but there was no significant difference between the groups.</w:t>
      </w:r>
      <w:r w:rsidR="000326B1">
        <w:t xml:space="preserve"> </w:t>
      </w:r>
      <w:r>
        <w:t>None of the premedication regimes had a clinically significant effect on the cardiovascular system.</w:t>
      </w:r>
    </w:p>
    <w:p w:rsidR="00CC4BD8" w:rsidRDefault="00CC4BD8" w:rsidP="005C3144">
      <w:pPr>
        <w:pStyle w:val="FigureTitle"/>
        <w:spacing w:line="240" w:lineRule="auto"/>
      </w:pPr>
      <w:bookmarkStart w:id="183" w:name="_Toc304266881"/>
      <w:r>
        <w:t xml:space="preserve">Figure 12. Frequency of notable drowsiness (i.e. moderate or marked) or apprehension of any degree at the time intervals of the preoperative study period, following 100 mg meptazinol </w:t>
      </w:r>
      <w:r w:rsidR="009F1B88">
        <w:t>a</w:t>
      </w:r>
      <w:r>
        <w:t>ccompanied by saline, 50</w:t>
      </w:r>
      <w:r w:rsidR="009F1B88">
        <w:t xml:space="preserve"> </w:t>
      </w:r>
      <w:r>
        <w:t>mg cyclizine or 2.5</w:t>
      </w:r>
      <w:r w:rsidR="009F1B88">
        <w:t xml:space="preserve"> </w:t>
      </w:r>
      <w:r>
        <w:t xml:space="preserve">mg perphenazine. </w:t>
      </w:r>
      <w:bookmarkEnd w:id="183"/>
    </w:p>
    <w:p w:rsidR="00CC4BD8" w:rsidRDefault="00DE18CA" w:rsidP="005C3144">
      <w:pPr>
        <w:spacing w:line="240" w:lineRule="auto"/>
        <w:ind w:firstLine="720"/>
      </w:pPr>
      <w:r>
        <w:rPr>
          <w:noProof/>
          <w:lang w:eastAsia="en-AU"/>
        </w:rPr>
        <w:drawing>
          <wp:inline distT="0" distB="0" distL="0" distR="0">
            <wp:extent cx="4521200" cy="2928620"/>
            <wp:effectExtent l="19050" t="0" r="0" b="0"/>
            <wp:docPr id="43" name="Picture 4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200" cy="2928620"/>
                    </a:xfrm>
                    <a:prstGeom prst="rect">
                      <a:avLst/>
                    </a:prstGeom>
                    <a:noFill/>
                    <a:ln>
                      <a:noFill/>
                    </a:ln>
                  </pic:spPr>
                </pic:pic>
              </a:graphicData>
            </a:graphic>
          </wp:inline>
        </w:drawing>
      </w:r>
    </w:p>
    <w:p w:rsidR="00CC4BD8" w:rsidRDefault="00CC4BD8" w:rsidP="005C3144">
      <w:pPr>
        <w:spacing w:line="240" w:lineRule="auto"/>
      </w:pPr>
      <w:r>
        <w:rPr>
          <w:b/>
        </w:rPr>
        <w:t>Dundee</w:t>
      </w:r>
      <w:r w:rsidR="009F1B88">
        <w:rPr>
          <w:b/>
        </w:rPr>
        <w:t xml:space="preserve"> </w:t>
      </w:r>
      <w:r w:rsidR="009F1B88" w:rsidRPr="009F1B88">
        <w:rPr>
          <w:b/>
          <w:i/>
        </w:rPr>
        <w:t>et al</w:t>
      </w:r>
      <w:r w:rsidR="009F1B88">
        <w:rPr>
          <w:b/>
        </w:rPr>
        <w:t>.,</w:t>
      </w:r>
      <w:r>
        <w:rPr>
          <w:b/>
        </w:rPr>
        <w:t xml:space="preserve"> 1966</w:t>
      </w:r>
      <w:r w:rsidR="00F87CB4">
        <w:rPr>
          <w:b/>
        </w:rPr>
        <w:t xml:space="preserve">: </w:t>
      </w:r>
      <w:r>
        <w:t>Dizziness, a frequent complication with cyc</w:t>
      </w:r>
      <w:r w:rsidR="00D8040D">
        <w:t>l</w:t>
      </w:r>
      <w:r>
        <w:t>izine, was always mild and transitory.</w:t>
      </w:r>
      <w:r w:rsidR="009F1B88">
        <w:t xml:space="preserve"> </w:t>
      </w:r>
      <w:r>
        <w:t>Cyclizine increased the frequency of excitatory phenomena to a significant (p</w:t>
      </w:r>
      <w:r w:rsidR="009F1B88">
        <w:t xml:space="preserve"> </w:t>
      </w:r>
      <w:r>
        <w:t>&lt; 0.001) degree when pethidine was not given, but no such increase was found when it was combined with pethidine pre-anaesthetic medication.</w:t>
      </w:r>
    </w:p>
    <w:p w:rsidR="00CC4BD8" w:rsidRDefault="00CC4BD8" w:rsidP="005C3144">
      <w:pPr>
        <w:spacing w:line="240" w:lineRule="auto"/>
      </w:pPr>
      <w:r>
        <w:lastRenderedPageBreak/>
        <w:t>The increased incidence of excitatory phenomena and the high average total dose of methohexitone following the use of cyclizine can be attributed to its moderate antanalgesic action as described by Nicholl</w:t>
      </w:r>
      <w:r w:rsidR="00643703">
        <w:t xml:space="preserve"> </w:t>
      </w:r>
      <w:r w:rsidR="00643703" w:rsidRPr="009F1B88">
        <w:rPr>
          <w:i/>
        </w:rPr>
        <w:t>et al</w:t>
      </w:r>
      <w:r w:rsidR="00643703">
        <w:t xml:space="preserve">., </w:t>
      </w:r>
      <w:r>
        <w:t>1962. This may be correlated with the frequency with which poor conditions of anaesthesia followed the use of this premedicant; a further reason is thus provided for advising against its pre-operative use without analgesics.</w:t>
      </w:r>
    </w:p>
    <w:p w:rsidR="00CC4BD8" w:rsidRDefault="00CC4BD8" w:rsidP="005C3144">
      <w:pPr>
        <w:spacing w:line="240" w:lineRule="auto"/>
      </w:pPr>
      <w:r>
        <w:t>The soporific effects of both anti-emetics are again evident when they</w:t>
      </w:r>
      <w:r w:rsidR="00ED7801">
        <w:t xml:space="preserve"> were combined with pethidine</w:t>
      </w:r>
      <w:r w:rsidR="00BF6068">
        <w:t xml:space="preserve"> (see Table 36, below). </w:t>
      </w:r>
      <w:r>
        <w:t xml:space="preserve">In the case of cyclizine this has been noted by Bonica </w:t>
      </w:r>
      <w:r w:rsidR="00BF6068" w:rsidRPr="00BF6068">
        <w:rPr>
          <w:i/>
        </w:rPr>
        <w:t>et al</w:t>
      </w:r>
      <w:r w:rsidR="00BF6068">
        <w:t xml:space="preserve">., </w:t>
      </w:r>
      <w:r>
        <w:t>1958</w:t>
      </w:r>
      <w:r w:rsidR="00ED7801">
        <w:t xml:space="preserve"> </w:t>
      </w:r>
      <w:r>
        <w:t>and Blatchford 1961</w:t>
      </w:r>
      <w:r w:rsidR="00BF6068">
        <w:t xml:space="preserve">; </w:t>
      </w:r>
      <w:r>
        <w:t>whilst Moore</w:t>
      </w:r>
      <w:r w:rsidR="00BF6068">
        <w:t xml:space="preserve"> </w:t>
      </w:r>
      <w:r w:rsidR="00BF6068" w:rsidRPr="00BF6068">
        <w:rPr>
          <w:i/>
        </w:rPr>
        <w:t>et al</w:t>
      </w:r>
      <w:r w:rsidR="00BF6068">
        <w:t xml:space="preserve">., </w:t>
      </w:r>
      <w:r>
        <w:t>1956 recommended that, for this reason, doses of routine premedication drugs should be reduced when it is intended to combine them with cyclizine</w:t>
      </w:r>
    </w:p>
    <w:p w:rsidR="00CC4BD8" w:rsidRDefault="00CC4BD8" w:rsidP="005C3144">
      <w:pPr>
        <w:spacing w:line="240" w:lineRule="auto"/>
      </w:pPr>
      <w:r>
        <w:t>While cyclizine 50</w:t>
      </w:r>
      <w:r w:rsidR="00ED7801">
        <w:t xml:space="preserve"> </w:t>
      </w:r>
      <w:r>
        <w:t>mg reduced the frequency of preoperative dizziness noted following pethidine, this symptom is still complained of by one-third of all patients; this is an unacceptably high incidence.</w:t>
      </w:r>
    </w:p>
    <w:p w:rsidR="00CC4BD8" w:rsidRDefault="00CC4BD8" w:rsidP="005C3144">
      <w:pPr>
        <w:spacing w:line="240" w:lineRule="auto"/>
      </w:pPr>
      <w:r>
        <w:t>Pethidine and cyclizine required two syringes and two injection sites</w:t>
      </w:r>
      <w:r w:rsidR="00ED7801">
        <w:t>.</w:t>
      </w:r>
    </w:p>
    <w:p w:rsidR="00CC4BD8" w:rsidRDefault="00BF6068" w:rsidP="005C3144">
      <w:pPr>
        <w:pStyle w:val="FigureTitle"/>
        <w:spacing w:line="240" w:lineRule="auto"/>
      </w:pPr>
      <w:bookmarkStart w:id="184" w:name="_Toc304266882"/>
      <w:r>
        <w:t>Table 36</w:t>
      </w:r>
      <w:r w:rsidR="00CC4BD8">
        <w:t>. Observations before anaesthesia, after pre-anaesthetic medication had been given. Atropine or pethidine were given alone or in combination with cyclizine 50</w:t>
      </w:r>
      <w:r>
        <w:t xml:space="preserve"> </w:t>
      </w:r>
      <w:r w:rsidR="00CC4BD8">
        <w:t>mg and trimethobenzamide (t.m.b.) 200</w:t>
      </w:r>
      <w:r>
        <w:t xml:space="preserve"> </w:t>
      </w:r>
      <w:r w:rsidR="00CC4BD8">
        <w:t xml:space="preserve">mg as indicated. </w:t>
      </w:r>
      <w:bookmarkEnd w:id="184"/>
    </w:p>
    <w:p w:rsidR="00BF6068" w:rsidRDefault="00DE18CA" w:rsidP="005C3144">
      <w:pPr>
        <w:spacing w:line="240" w:lineRule="auto"/>
        <w:ind w:firstLine="720"/>
      </w:pPr>
      <w:r>
        <w:rPr>
          <w:noProof/>
          <w:lang w:eastAsia="en-AU"/>
        </w:rPr>
        <w:drawing>
          <wp:inline distT="0" distB="0" distL="0" distR="0">
            <wp:extent cx="4780678" cy="4310742"/>
            <wp:effectExtent l="19050" t="0" r="872" b="0"/>
            <wp:docPr id="44" name="Picture 44" descr="Tab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3587" cy="4313365"/>
                    </a:xfrm>
                    <a:prstGeom prst="rect">
                      <a:avLst/>
                    </a:prstGeom>
                    <a:noFill/>
                    <a:ln>
                      <a:noFill/>
                    </a:ln>
                  </pic:spPr>
                </pic:pic>
              </a:graphicData>
            </a:graphic>
          </wp:inline>
        </w:drawing>
      </w:r>
    </w:p>
    <w:p w:rsidR="00BF6068" w:rsidRPr="008C0AD8" w:rsidRDefault="00CC4BD8" w:rsidP="00741046">
      <w:pPr>
        <w:spacing w:line="240" w:lineRule="auto"/>
        <w:ind w:firstLine="720"/>
        <w:rPr>
          <w:sz w:val="18"/>
          <w:szCs w:val="18"/>
        </w:rPr>
      </w:pPr>
      <w:r w:rsidRPr="008C0AD8">
        <w:rPr>
          <w:sz w:val="18"/>
          <w:szCs w:val="18"/>
        </w:rPr>
        <w:t>Results expressed as percentage.</w:t>
      </w:r>
      <w:bookmarkStart w:id="185" w:name="_Toc304266883"/>
    </w:p>
    <w:p w:rsidR="00CC4BD8" w:rsidRDefault="00CC4BD8" w:rsidP="003E58CF">
      <w:pPr>
        <w:pStyle w:val="FigureTitle"/>
        <w:keepNext/>
        <w:spacing w:line="240" w:lineRule="auto"/>
        <w:rPr>
          <w:sz w:val="24"/>
          <w:szCs w:val="24"/>
        </w:rPr>
      </w:pPr>
      <w:r>
        <w:lastRenderedPageBreak/>
        <w:t>T</w:t>
      </w:r>
      <w:r w:rsidR="00BF6068">
        <w:t>able 37</w:t>
      </w:r>
      <w:r>
        <w:t>. Course of anaesthesia as shown by average dose of drugs, frequency of complications, and state of consciousness 2 minutes after discontinuation of n</w:t>
      </w:r>
      <w:r w:rsidR="00BF6068">
        <w:t>itrous oxide-oxygen anaesthesia</w:t>
      </w:r>
      <w:r>
        <w:t xml:space="preserve"> </w:t>
      </w:r>
      <w:bookmarkEnd w:id="185"/>
      <w:r w:rsidR="00BF6068">
        <w:t xml:space="preserve">(from Dundee </w:t>
      </w:r>
      <w:r w:rsidR="00BF6068" w:rsidRPr="00BF6068">
        <w:rPr>
          <w:i/>
        </w:rPr>
        <w:t>et al</w:t>
      </w:r>
      <w:r w:rsidR="00BF6068">
        <w:t>., 1966)</w:t>
      </w:r>
    </w:p>
    <w:p w:rsidR="00CC4BD8" w:rsidRDefault="00DE18CA" w:rsidP="003E58CF">
      <w:pPr>
        <w:pStyle w:val="FigureTitle"/>
        <w:keepNext/>
        <w:spacing w:line="240" w:lineRule="auto"/>
        <w:ind w:firstLine="720"/>
      </w:pPr>
      <w:r>
        <w:rPr>
          <w:noProof/>
          <w:lang w:eastAsia="en-AU"/>
        </w:rPr>
        <w:drawing>
          <wp:inline distT="0" distB="0" distL="0" distR="0">
            <wp:extent cx="4220441" cy="2600696"/>
            <wp:effectExtent l="19050" t="0" r="8659" b="0"/>
            <wp:docPr id="45" name="Picture 45" descr="Tab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0441" cy="2600696"/>
                    </a:xfrm>
                    <a:prstGeom prst="rect">
                      <a:avLst/>
                    </a:prstGeom>
                    <a:noFill/>
                    <a:ln>
                      <a:noFill/>
                    </a:ln>
                  </pic:spPr>
                </pic:pic>
              </a:graphicData>
            </a:graphic>
          </wp:inline>
        </w:drawing>
      </w:r>
    </w:p>
    <w:p w:rsidR="00CC4BD8" w:rsidRDefault="00CC4BD8" w:rsidP="005C3144">
      <w:pPr>
        <w:spacing w:line="240" w:lineRule="auto"/>
      </w:pPr>
      <w:r>
        <w:rPr>
          <w:b/>
        </w:rPr>
        <w:t>Dundee</w:t>
      </w:r>
      <w:r w:rsidR="00BF6068">
        <w:rPr>
          <w:b/>
        </w:rPr>
        <w:t>,</w:t>
      </w:r>
      <w:r>
        <w:rPr>
          <w:b/>
        </w:rPr>
        <w:t xml:space="preserve"> 1975</w:t>
      </w:r>
      <w:r w:rsidR="00F87CB4">
        <w:rPr>
          <w:b/>
        </w:rPr>
        <w:t>:</w:t>
      </w:r>
      <w:r w:rsidR="00ED7801">
        <w:rPr>
          <w:b/>
        </w:rPr>
        <w:t xml:space="preserve"> </w:t>
      </w:r>
      <w:r>
        <w:t>Restlessness was not observed with cyclizine.</w:t>
      </w:r>
    </w:p>
    <w:p w:rsidR="00CC4BD8" w:rsidRDefault="00CC4BD8" w:rsidP="005C3144">
      <w:pPr>
        <w:spacing w:line="240" w:lineRule="auto"/>
        <w:rPr>
          <w:b/>
        </w:rPr>
      </w:pPr>
      <w:r>
        <w:rPr>
          <w:b/>
        </w:rPr>
        <w:t xml:space="preserve">Dundee </w:t>
      </w:r>
      <w:r w:rsidR="00643703">
        <w:rPr>
          <w:b/>
        </w:rPr>
        <w:t>and</w:t>
      </w:r>
      <w:r>
        <w:rPr>
          <w:b/>
        </w:rPr>
        <w:t xml:space="preserve"> Jones</w:t>
      </w:r>
      <w:r w:rsidR="00F87CB4">
        <w:rPr>
          <w:b/>
        </w:rPr>
        <w:t>,</w:t>
      </w:r>
      <w:r>
        <w:rPr>
          <w:b/>
        </w:rPr>
        <w:t xml:space="preserve"> 1968</w:t>
      </w:r>
      <w:r w:rsidR="00F87CB4">
        <w:rPr>
          <w:b/>
        </w:rPr>
        <w:t xml:space="preserve">: </w:t>
      </w:r>
      <w:r w:rsidR="00F87CB4" w:rsidRPr="00F87CB4">
        <w:t>N</w:t>
      </w:r>
      <w:r>
        <w:t>o safety data.</w:t>
      </w:r>
    </w:p>
    <w:p w:rsidR="00CC4BD8" w:rsidRDefault="00CC4BD8" w:rsidP="005C3144">
      <w:pPr>
        <w:spacing w:line="240" w:lineRule="auto"/>
      </w:pPr>
      <w:r>
        <w:rPr>
          <w:b/>
        </w:rPr>
        <w:t xml:space="preserve">Grimsehl </w:t>
      </w:r>
      <w:r w:rsidRPr="00F87CB4">
        <w:rPr>
          <w:b/>
          <w:i/>
        </w:rPr>
        <w:t>et al</w:t>
      </w:r>
      <w:r w:rsidR="00643703">
        <w:rPr>
          <w:b/>
        </w:rPr>
        <w:t>.,</w:t>
      </w:r>
      <w:r>
        <w:rPr>
          <w:b/>
        </w:rPr>
        <w:t xml:space="preserve"> 2002</w:t>
      </w:r>
      <w:r w:rsidR="00ED7801">
        <w:rPr>
          <w:b/>
        </w:rPr>
        <w:t xml:space="preserve">: </w:t>
      </w:r>
      <w:r>
        <w:t xml:space="preserve">When given </w:t>
      </w:r>
      <w:r w:rsidR="00ED7801">
        <w:t>IV</w:t>
      </w:r>
      <w:r>
        <w:t>, cyclizine has been shown to cause sedation and this may be of relevance in the day</w:t>
      </w:r>
      <w:r w:rsidR="00ED7801">
        <w:t>-</w:t>
      </w:r>
      <w:r>
        <w:t xml:space="preserve">case setting. </w:t>
      </w:r>
      <w:r w:rsidR="00ED7801">
        <w:t xml:space="preserve">It was </w:t>
      </w:r>
      <w:r>
        <w:t>demonstrated that the patients in the cyclizine group had a significantly longer time to eye opening than the ondansetron group (p &lt; 0.001). There was no difference, however, in the time to discharge between the two groups.</w:t>
      </w:r>
    </w:p>
    <w:p w:rsidR="00A61531" w:rsidRPr="00ED7801" w:rsidRDefault="00CC4BD8" w:rsidP="005C3144">
      <w:pPr>
        <w:spacing w:line="240" w:lineRule="auto"/>
        <w:rPr>
          <w:b/>
        </w:rPr>
      </w:pPr>
      <w:r>
        <w:rPr>
          <w:b/>
        </w:rPr>
        <w:t>Watts</w:t>
      </w:r>
      <w:r w:rsidR="00876580">
        <w:rPr>
          <w:b/>
        </w:rPr>
        <w:t>,</w:t>
      </w:r>
      <w:r>
        <w:rPr>
          <w:b/>
        </w:rPr>
        <w:t xml:space="preserve"> 1996</w:t>
      </w:r>
      <w:r w:rsidR="00ED7801">
        <w:rPr>
          <w:b/>
        </w:rPr>
        <w:t xml:space="preserve">: </w:t>
      </w:r>
      <w:r>
        <w:t>This study failed to demonstrate any difference between any of the agents following analysis of sed</w:t>
      </w:r>
      <w:r w:rsidR="00F87CB4">
        <w:t>ation scores. No dystonic side-</w:t>
      </w:r>
      <w:r>
        <w:t xml:space="preserve">effects or major adverse reactions were recorded for any of the trial agents. One patient who received cyclizine developed localized erythematous rash. </w:t>
      </w:r>
    </w:p>
    <w:p w:rsidR="00CC4BD8" w:rsidRPr="00A61531" w:rsidRDefault="00ED7801" w:rsidP="005C3144">
      <w:pPr>
        <w:pStyle w:val="Heading4"/>
        <w:spacing w:line="240" w:lineRule="auto"/>
      </w:pPr>
      <w:r w:rsidRPr="00ED7801">
        <w:t xml:space="preserve">Safety data from the </w:t>
      </w:r>
      <w:r w:rsidR="00643703">
        <w:t>n</w:t>
      </w:r>
      <w:r w:rsidR="00CC4BD8" w:rsidRPr="00ED7801">
        <w:t>on-pivotal efficacy studies</w:t>
      </w:r>
    </w:p>
    <w:p w:rsidR="00643703" w:rsidRDefault="00CC4BD8" w:rsidP="005C3144">
      <w:pPr>
        <w:pStyle w:val="Heading5"/>
        <w:spacing w:line="240" w:lineRule="auto"/>
      </w:pPr>
      <w:r>
        <w:t xml:space="preserve">Johns R.A, Hanousek J, Montgomery J.E. A comparison of cyclizine and granisetron alone and in combination for the prevention of postoperative nausea and vomiting. </w:t>
      </w:r>
      <w:r>
        <w:rPr>
          <w:iCs/>
        </w:rPr>
        <w:t xml:space="preserve">Anaesthesia. </w:t>
      </w:r>
      <w:r>
        <w:t>2006; 61(11):</w:t>
      </w:r>
      <w:r w:rsidR="00F87CB4">
        <w:t xml:space="preserve"> </w:t>
      </w:r>
      <w:r>
        <w:t xml:space="preserve">1053-1057. </w:t>
      </w:r>
    </w:p>
    <w:p w:rsidR="00CC4BD8" w:rsidRDefault="00CC4BD8" w:rsidP="005C3144">
      <w:pPr>
        <w:spacing w:line="240" w:lineRule="auto"/>
      </w:pPr>
      <w:r>
        <w:rPr>
          <w:bCs/>
        </w:rPr>
        <w:t>With regard to side-effects, significantly more women</w:t>
      </w:r>
      <w:r>
        <w:t xml:space="preserve"> </w:t>
      </w:r>
      <w:r>
        <w:rPr>
          <w:bCs/>
        </w:rPr>
        <w:t>who were given cyclizine complained of drowsiness but this did not affect their recovery in terms of unplanned admissions.</w:t>
      </w:r>
      <w:r>
        <w:t xml:space="preserve"> </w:t>
      </w:r>
      <w:r>
        <w:rPr>
          <w:bCs/>
        </w:rPr>
        <w:t xml:space="preserve">The side-effects that were analysed in </w:t>
      </w:r>
      <w:r w:rsidR="00ED7801">
        <w:rPr>
          <w:bCs/>
        </w:rPr>
        <w:t xml:space="preserve">this </w:t>
      </w:r>
      <w:r>
        <w:rPr>
          <w:bCs/>
        </w:rPr>
        <w:t>study were considered to be those most commonly suffered by patients being given the two drugs used according to clinical practice and the data sheet for each drug. However, it is very difficult to draw any meaningful conclusions as to the direct relationship between the side-effects and the use of these drugs because of the large number of confounding factors such as anaesthesia itself, the fluids given, the type of surgery and the use of opioids. This study was not powered to analyse each of these factors independently and in detail.</w:t>
      </w:r>
    </w:p>
    <w:p w:rsidR="00CC4BD8" w:rsidRDefault="00F87CB4" w:rsidP="00765E17">
      <w:pPr>
        <w:pStyle w:val="FigureTitle"/>
        <w:keepNext/>
        <w:spacing w:line="240" w:lineRule="auto"/>
      </w:pPr>
      <w:bookmarkStart w:id="186" w:name="_Toc304266884"/>
      <w:r>
        <w:lastRenderedPageBreak/>
        <w:t>Table 38</w:t>
      </w:r>
      <w:r w:rsidR="00CC4BD8">
        <w:t>. Side-effects that could be attributed to the anti-emetics used in the study.</w:t>
      </w:r>
      <w:bookmarkEnd w:id="186"/>
    </w:p>
    <w:p w:rsidR="00CC4BD8" w:rsidRDefault="00DE18CA" w:rsidP="00765E17">
      <w:pPr>
        <w:keepNext/>
        <w:spacing w:line="240" w:lineRule="auto"/>
        <w:ind w:firstLine="720"/>
      </w:pPr>
      <w:r>
        <w:rPr>
          <w:noProof/>
          <w:lang w:eastAsia="en-AU"/>
        </w:rPr>
        <w:drawing>
          <wp:inline distT="0" distB="0" distL="0" distR="0">
            <wp:extent cx="4067175" cy="1391285"/>
            <wp:effectExtent l="19050" t="0" r="9525" b="0"/>
            <wp:docPr id="46" name="Picture 46" descr="Tabl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1391285"/>
                    </a:xfrm>
                    <a:prstGeom prst="rect">
                      <a:avLst/>
                    </a:prstGeom>
                    <a:noFill/>
                    <a:ln>
                      <a:noFill/>
                    </a:ln>
                  </pic:spPr>
                </pic:pic>
              </a:graphicData>
            </a:graphic>
          </wp:inline>
        </w:drawing>
      </w:r>
    </w:p>
    <w:p w:rsidR="00CC4BD8" w:rsidRPr="00A55320" w:rsidRDefault="00CC4BD8" w:rsidP="00765E17">
      <w:pPr>
        <w:keepNext/>
        <w:spacing w:line="240" w:lineRule="auto"/>
        <w:ind w:firstLine="720"/>
        <w:rPr>
          <w:sz w:val="16"/>
          <w:szCs w:val="16"/>
        </w:rPr>
      </w:pPr>
      <w:r>
        <w:rPr>
          <w:sz w:val="16"/>
          <w:szCs w:val="16"/>
        </w:rPr>
        <w:t>Values are number (%).</w:t>
      </w:r>
    </w:p>
    <w:p w:rsidR="00CC4BD8" w:rsidRPr="00A55320" w:rsidRDefault="00F87CB4" w:rsidP="005C3144">
      <w:pPr>
        <w:pStyle w:val="Heading5"/>
        <w:spacing w:line="240" w:lineRule="auto"/>
        <w:rPr>
          <w:sz w:val="24"/>
          <w:szCs w:val="24"/>
        </w:rPr>
      </w:pPr>
      <w:r>
        <w:t>Laffey and</w:t>
      </w:r>
      <w:r w:rsidR="00CC4BD8" w:rsidRPr="00A55320">
        <w:t xml:space="preserve"> Boylan JF Cyclizine and droperidol have comparable efficacy and side effects during patient-controlled analgesia. </w:t>
      </w:r>
      <w:r w:rsidR="00CC4BD8" w:rsidRPr="00A55320">
        <w:rPr>
          <w:iCs/>
        </w:rPr>
        <w:t xml:space="preserve">Irish J Med Sci. </w:t>
      </w:r>
      <w:r w:rsidR="00CC4BD8" w:rsidRPr="00A55320">
        <w:t>2002;</w:t>
      </w:r>
      <w:r w:rsidR="00CC4BD8" w:rsidRPr="00A55320">
        <w:rPr>
          <w:rFonts w:eastAsia="Calibri"/>
          <w:sz w:val="20"/>
          <w:szCs w:val="20"/>
        </w:rPr>
        <w:t xml:space="preserve"> </w:t>
      </w:r>
      <w:r w:rsidR="00CC4BD8" w:rsidRPr="00A55320">
        <w:t>171(3):</w:t>
      </w:r>
      <w:r>
        <w:t xml:space="preserve"> </w:t>
      </w:r>
      <w:r w:rsidR="00CC4BD8" w:rsidRPr="00A55320">
        <w:t>141-144.</w:t>
      </w:r>
    </w:p>
    <w:p w:rsidR="00CC4BD8" w:rsidRPr="00F87CB4" w:rsidRDefault="00CC4BD8" w:rsidP="005C3144">
      <w:pPr>
        <w:spacing w:line="240" w:lineRule="auto"/>
        <w:rPr>
          <w:bCs/>
        </w:rPr>
      </w:pPr>
      <w:r w:rsidRPr="00F87CB4">
        <w:rPr>
          <w:bCs/>
        </w:rPr>
        <w:t>Postoperative period:</w:t>
      </w:r>
      <w:r w:rsidR="00E97871" w:rsidRPr="00F87CB4">
        <w:rPr>
          <w:bCs/>
        </w:rPr>
        <w:t xml:space="preserve"> </w:t>
      </w:r>
      <w:r w:rsidRPr="00F87CB4">
        <w:rPr>
          <w:bCs/>
        </w:rPr>
        <w:t>No overt dysphoria or ext</w:t>
      </w:r>
      <w:r w:rsidR="00E97871" w:rsidRPr="00F87CB4">
        <w:rPr>
          <w:bCs/>
        </w:rPr>
        <w:t xml:space="preserve">rapyramidal symptoms occurred. </w:t>
      </w:r>
      <w:r w:rsidR="00A61531" w:rsidRPr="00F87CB4">
        <w:rPr>
          <w:bCs/>
        </w:rPr>
        <w:t xml:space="preserve">State Trait Anxiety Inventory [STAI; a widespread method of measuring pre-operative anxiety for research] </w:t>
      </w:r>
      <w:r w:rsidRPr="00F87CB4">
        <w:rPr>
          <w:bCs/>
        </w:rPr>
        <w:t xml:space="preserve">scores decreased over time (p &lt; 0.001) to a similar extent in each group. Mini mental state </w:t>
      </w:r>
      <w:r w:rsidR="00F87CB4">
        <w:rPr>
          <w:bCs/>
        </w:rPr>
        <w:t xml:space="preserve">(MMS) </w:t>
      </w:r>
      <w:r w:rsidRPr="00F87CB4">
        <w:rPr>
          <w:bCs/>
        </w:rPr>
        <w:t xml:space="preserve">scores were decreased at </w:t>
      </w:r>
      <w:r w:rsidR="006C0169">
        <w:rPr>
          <w:bCs/>
        </w:rPr>
        <w:t xml:space="preserve">4 h </w:t>
      </w:r>
      <w:r w:rsidRPr="00F87CB4">
        <w:rPr>
          <w:bCs/>
        </w:rPr>
        <w:t>relative to baseline and later post-operative scores (p &lt; 0.0001)</w:t>
      </w:r>
      <w:r w:rsidR="00A61531" w:rsidRPr="00F87CB4">
        <w:rPr>
          <w:bCs/>
        </w:rPr>
        <w:t xml:space="preserve"> </w:t>
      </w:r>
      <w:r w:rsidRPr="00F87CB4">
        <w:rPr>
          <w:bCs/>
        </w:rPr>
        <w:t xml:space="preserve">but were comparable in both groups throughout. </w:t>
      </w:r>
      <w:r w:rsidR="00F87CB4">
        <w:rPr>
          <w:bCs/>
        </w:rPr>
        <w:t xml:space="preserve">Scores in the </w:t>
      </w:r>
      <w:r w:rsidRPr="00F87CB4">
        <w:rPr>
          <w:bCs/>
        </w:rPr>
        <w:t>Trie</w:t>
      </w:r>
      <w:r w:rsidR="00F87CB4" w:rsidRPr="00F87CB4">
        <w:rPr>
          <w:bCs/>
        </w:rPr>
        <w:t>g</w:t>
      </w:r>
      <w:r w:rsidRPr="00F87CB4">
        <w:rPr>
          <w:bCs/>
        </w:rPr>
        <w:t xml:space="preserve">er dot test </w:t>
      </w:r>
      <w:r w:rsidR="00F87CB4" w:rsidRPr="00F87CB4">
        <w:rPr>
          <w:bCs/>
        </w:rPr>
        <w:t>(where individuals are asked to connect a series of 50 dots of a geometrical figure</w:t>
      </w:r>
      <w:r w:rsidR="00F87CB4">
        <w:rPr>
          <w:bCs/>
        </w:rPr>
        <w:t xml:space="preserve">) </w:t>
      </w:r>
      <w:r w:rsidRPr="00F87CB4">
        <w:rPr>
          <w:bCs/>
        </w:rPr>
        <w:t xml:space="preserve">did not differ between groups at any time points. </w:t>
      </w:r>
    </w:p>
    <w:p w:rsidR="00CC4BD8" w:rsidRPr="00A55320" w:rsidRDefault="00CC4BD8" w:rsidP="005C3144">
      <w:pPr>
        <w:spacing w:line="240" w:lineRule="auto"/>
      </w:pPr>
      <w:r w:rsidRPr="00A55320">
        <w:t>Patient sedation, psychomotor performance and anxiety levels were similar with both antiemetic agents. Anxiety levels decreased significantly over time in both groups.</w:t>
      </w:r>
      <w:r w:rsidR="00F87CB4">
        <w:t xml:space="preserve"> </w:t>
      </w:r>
      <w:r w:rsidR="00A55320">
        <w:t xml:space="preserve">The authors state: </w:t>
      </w:r>
      <w:r w:rsidR="00A55320" w:rsidRPr="00A55320">
        <w:rPr>
          <w:i/>
        </w:rPr>
        <w:t>“</w:t>
      </w:r>
      <w:r w:rsidRPr="00A55320">
        <w:rPr>
          <w:i/>
        </w:rPr>
        <w:t>With a 'number needed to treat' value of 3 we felt unable for ethical reasons to use placebo controls.</w:t>
      </w:r>
      <w:r w:rsidR="00A55320" w:rsidRPr="00A55320">
        <w:rPr>
          <w:i/>
        </w:rPr>
        <w:t>”</w:t>
      </w:r>
    </w:p>
    <w:p w:rsidR="00CC4BD8" w:rsidRDefault="00CC4BD8" w:rsidP="006907C3">
      <w:pPr>
        <w:pStyle w:val="FigureTitle"/>
        <w:keepNext/>
        <w:spacing w:line="240" w:lineRule="auto"/>
        <w:rPr>
          <w:rFonts w:ascii="Times New Roman" w:hAnsi="Times New Roman" w:cs="Times New Roman"/>
          <w:sz w:val="24"/>
          <w:szCs w:val="24"/>
        </w:rPr>
      </w:pPr>
      <w:bookmarkStart w:id="187" w:name="_Toc304266885"/>
      <w:r>
        <w:t xml:space="preserve">Figure 13. STAI scores. State anxiety decreased comparably over time in both groups. </w:t>
      </w:r>
      <w:bookmarkEnd w:id="187"/>
    </w:p>
    <w:p w:rsidR="00CC4BD8" w:rsidRDefault="00DE18CA" w:rsidP="005C3144">
      <w:pPr>
        <w:pStyle w:val="FigureTitle"/>
        <w:keepNext/>
        <w:spacing w:line="240" w:lineRule="auto"/>
        <w:ind w:left="720"/>
      </w:pPr>
      <w:r>
        <w:rPr>
          <w:noProof/>
          <w:lang w:eastAsia="en-AU"/>
        </w:rPr>
        <w:drawing>
          <wp:inline distT="0" distB="0" distL="0" distR="0">
            <wp:extent cx="3635375" cy="2642235"/>
            <wp:effectExtent l="19050" t="0" r="3175" b="0"/>
            <wp:docPr id="47" name="Picture 47"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375" cy="2642235"/>
                    </a:xfrm>
                    <a:prstGeom prst="rect">
                      <a:avLst/>
                    </a:prstGeom>
                    <a:noFill/>
                    <a:ln>
                      <a:noFill/>
                    </a:ln>
                  </pic:spPr>
                </pic:pic>
              </a:graphicData>
            </a:graphic>
          </wp:inline>
        </w:drawing>
      </w:r>
    </w:p>
    <w:p w:rsidR="00F87CB4" w:rsidRDefault="00CC4BD8" w:rsidP="00741046">
      <w:pPr>
        <w:spacing w:line="240" w:lineRule="auto"/>
        <w:ind w:firstLine="720"/>
      </w:pPr>
      <w:r w:rsidRPr="00F87CB4">
        <w:rPr>
          <w:sz w:val="18"/>
          <w:szCs w:val="18"/>
        </w:rPr>
        <w:t>Data are mean (</w:t>
      </w:r>
      <w:r w:rsidR="00160051" w:rsidRPr="00F87CB4">
        <w:rPr>
          <w:sz w:val="18"/>
          <w:szCs w:val="18"/>
        </w:rPr>
        <w:t xml:space="preserve">plus or minus standard error of the mean; </w:t>
      </w:r>
      <w:r w:rsidRPr="00F87CB4">
        <w:rPr>
          <w:sz w:val="18"/>
          <w:szCs w:val="18"/>
        </w:rPr>
        <w:t>SEM).</w:t>
      </w:r>
      <w:bookmarkStart w:id="188" w:name="_Toc304266886"/>
    </w:p>
    <w:p w:rsidR="00CC4BD8" w:rsidRDefault="00CC4BD8" w:rsidP="00765E17">
      <w:pPr>
        <w:pStyle w:val="FigureTitle"/>
        <w:keepNext/>
        <w:spacing w:line="240" w:lineRule="auto"/>
        <w:rPr>
          <w:sz w:val="24"/>
          <w:szCs w:val="24"/>
        </w:rPr>
      </w:pPr>
      <w:r>
        <w:lastRenderedPageBreak/>
        <w:t>Figure 14. MMS scores. MMS scores decreased at 4 h</w:t>
      </w:r>
      <w:r w:rsidR="00F87CB4">
        <w:t xml:space="preserve"> </w:t>
      </w:r>
      <w:r>
        <w:t xml:space="preserve">postoperatively relative to </w:t>
      </w:r>
      <w:r w:rsidR="00F87CB4">
        <w:t>pre-operative scores i</w:t>
      </w:r>
      <w:r>
        <w:t xml:space="preserve">n both groups. </w:t>
      </w:r>
      <w:bookmarkEnd w:id="188"/>
    </w:p>
    <w:p w:rsidR="00CC4BD8" w:rsidRPr="00F87CB4" w:rsidRDefault="00DE18CA" w:rsidP="00765E17">
      <w:pPr>
        <w:pStyle w:val="FigureTitle"/>
        <w:keepNext/>
        <w:spacing w:line="240" w:lineRule="auto"/>
        <w:ind w:firstLine="720"/>
        <w:rPr>
          <w:sz w:val="18"/>
          <w:szCs w:val="18"/>
        </w:rPr>
      </w:pPr>
      <w:r>
        <w:rPr>
          <w:noProof/>
          <w:lang w:eastAsia="en-AU"/>
        </w:rPr>
        <w:drawing>
          <wp:inline distT="0" distB="0" distL="0" distR="0">
            <wp:extent cx="4027805" cy="2995930"/>
            <wp:effectExtent l="19050" t="0" r="0" b="0"/>
            <wp:docPr id="48" name="Picture 48"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7805" cy="2995930"/>
                    </a:xfrm>
                    <a:prstGeom prst="rect">
                      <a:avLst/>
                    </a:prstGeom>
                    <a:noFill/>
                    <a:ln>
                      <a:noFill/>
                    </a:ln>
                  </pic:spPr>
                </pic:pic>
              </a:graphicData>
            </a:graphic>
          </wp:inline>
        </w:drawing>
      </w:r>
    </w:p>
    <w:p w:rsidR="00CC4BD8" w:rsidRPr="00643703" w:rsidRDefault="00CC4BD8" w:rsidP="00765E17">
      <w:pPr>
        <w:keepNext/>
        <w:spacing w:line="240" w:lineRule="auto"/>
        <w:ind w:left="720" w:firstLine="720"/>
      </w:pPr>
      <w:r w:rsidRPr="00F87CB4">
        <w:rPr>
          <w:sz w:val="18"/>
          <w:szCs w:val="18"/>
        </w:rPr>
        <w:t xml:space="preserve">Data are mean (SEM). ·p &lt; 0.01. </w:t>
      </w:r>
    </w:p>
    <w:p w:rsidR="00CC4BD8" w:rsidRDefault="00CC4BD8" w:rsidP="005C3144">
      <w:pPr>
        <w:pStyle w:val="FigureTitle"/>
        <w:keepNext/>
        <w:spacing w:line="240" w:lineRule="auto"/>
        <w:rPr>
          <w:sz w:val="24"/>
          <w:szCs w:val="24"/>
        </w:rPr>
      </w:pPr>
      <w:bookmarkStart w:id="189" w:name="_Toc304266887"/>
      <w:r>
        <w:t xml:space="preserve">Figure 15. Notched box plots depicting Trieger dot test scores. Values were similar for both group 5 at all time points. </w:t>
      </w:r>
      <w:bookmarkEnd w:id="189"/>
    </w:p>
    <w:p w:rsidR="00055C69" w:rsidRDefault="00DE18CA" w:rsidP="005C3144">
      <w:pPr>
        <w:keepNext/>
        <w:spacing w:line="240" w:lineRule="auto"/>
      </w:pPr>
      <w:r>
        <w:rPr>
          <w:noProof/>
          <w:lang w:eastAsia="en-AU"/>
        </w:rPr>
        <w:drawing>
          <wp:inline distT="0" distB="0" distL="0" distR="0">
            <wp:extent cx="4112260" cy="2984500"/>
            <wp:effectExtent l="19050" t="0" r="2540" b="0"/>
            <wp:docPr id="49" name="Picture 49"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2260" cy="2984500"/>
                    </a:xfrm>
                    <a:prstGeom prst="rect">
                      <a:avLst/>
                    </a:prstGeom>
                    <a:noFill/>
                    <a:ln>
                      <a:noFill/>
                    </a:ln>
                  </pic:spPr>
                </pic:pic>
              </a:graphicData>
            </a:graphic>
          </wp:inline>
        </w:drawing>
      </w:r>
    </w:p>
    <w:p w:rsidR="00CC4BD8" w:rsidRPr="00643703" w:rsidRDefault="00CC4BD8" w:rsidP="005C3144">
      <w:pPr>
        <w:keepNext/>
        <w:spacing w:line="240" w:lineRule="auto"/>
      </w:pPr>
      <w:r w:rsidRPr="00F87CB4">
        <w:rPr>
          <w:sz w:val="18"/>
          <w:szCs w:val="18"/>
        </w:rPr>
        <w:t>Data are medians (</w:t>
      </w:r>
      <w:r w:rsidR="00055C69">
        <w:rPr>
          <w:sz w:val="18"/>
          <w:szCs w:val="18"/>
        </w:rPr>
        <w:t xml:space="preserve">plus or minus inter-quartile range; </w:t>
      </w:r>
      <w:r w:rsidRPr="00F87CB4">
        <w:rPr>
          <w:sz w:val="18"/>
          <w:szCs w:val="18"/>
        </w:rPr>
        <w:t>Q1-Q3).</w:t>
      </w:r>
    </w:p>
    <w:p w:rsidR="00CC4BD8" w:rsidRDefault="00CC4BD8" w:rsidP="005C3144">
      <w:pPr>
        <w:pStyle w:val="Heading5"/>
        <w:spacing w:line="240" w:lineRule="auto"/>
        <w:rPr>
          <w:sz w:val="24"/>
          <w:szCs w:val="24"/>
        </w:rPr>
      </w:pPr>
      <w:r>
        <w:t xml:space="preserve">Moore DC, Bridenbaugh LD, Piccioni VF, Adams AP, Lindstrom CA. Control of Post Operative Nausea and Vomiting: A Double-Blind Study. </w:t>
      </w:r>
      <w:r>
        <w:rPr>
          <w:iCs/>
        </w:rPr>
        <w:t xml:space="preserve">Anesthesiology. </w:t>
      </w:r>
      <w:r>
        <w:t>1956; 17:</w:t>
      </w:r>
      <w:r w:rsidR="00055C69">
        <w:t xml:space="preserve"> </w:t>
      </w:r>
      <w:r>
        <w:t>690-695.</w:t>
      </w:r>
    </w:p>
    <w:p w:rsidR="00CC4BD8" w:rsidRDefault="005923D8" w:rsidP="005C3144">
      <w:pPr>
        <w:spacing w:line="240" w:lineRule="auto"/>
      </w:pPr>
      <w:r>
        <w:t>The authors reported that</w:t>
      </w:r>
      <w:r w:rsidR="00055C69">
        <w:t>:</w:t>
      </w:r>
      <w:r>
        <w:t xml:space="preserve"> </w:t>
      </w:r>
      <w:r w:rsidR="00055C69" w:rsidRPr="00055C69">
        <w:rPr>
          <w:i/>
        </w:rPr>
        <w:t>“</w:t>
      </w:r>
      <w:r w:rsidRPr="00055C69">
        <w:rPr>
          <w:i/>
        </w:rPr>
        <w:t>n</w:t>
      </w:r>
      <w:r w:rsidR="00CC4BD8" w:rsidRPr="00055C69">
        <w:rPr>
          <w:i/>
        </w:rPr>
        <w:t>o tissue necrosis occurred following the paren</w:t>
      </w:r>
      <w:r w:rsidR="00055C69" w:rsidRPr="00055C69">
        <w:rPr>
          <w:i/>
        </w:rPr>
        <w:t>teral administration of MAREZINE [cyclizine lactate solution]</w:t>
      </w:r>
      <w:r w:rsidR="00CC4BD8" w:rsidRPr="00055C69">
        <w:rPr>
          <w:i/>
        </w:rPr>
        <w:t xml:space="preserve">. Burning, the prevalence of which forced </w:t>
      </w:r>
      <w:r w:rsidR="00055C69" w:rsidRPr="00055C69">
        <w:rPr>
          <w:i/>
        </w:rPr>
        <w:t>us</w:t>
      </w:r>
      <w:r w:rsidRPr="00055C69">
        <w:rPr>
          <w:i/>
        </w:rPr>
        <w:t xml:space="preserve"> </w:t>
      </w:r>
      <w:r w:rsidR="00CC4BD8" w:rsidRPr="00055C69">
        <w:rPr>
          <w:i/>
        </w:rPr>
        <w:t xml:space="preserve">to discontinue the injection of </w:t>
      </w:r>
      <w:r w:rsidR="00055C69" w:rsidRPr="00055C69">
        <w:rPr>
          <w:i/>
        </w:rPr>
        <w:t>MAREZINE</w:t>
      </w:r>
      <w:r w:rsidR="00CC4BD8" w:rsidRPr="00055C69">
        <w:rPr>
          <w:i/>
        </w:rPr>
        <w:t xml:space="preserve"> when it was first tried in 1953, caused only an occasional complaint during this study. Perhaps this is explained by the care which was taken in this series to avoid the inadvertent placement of the solution subcutaneously, since it had been suggested that too superficial a placement of this drug might have been responsible for the burning</w:t>
      </w:r>
      <w:r w:rsidR="00055C69" w:rsidRPr="00055C69">
        <w:rPr>
          <w:i/>
        </w:rPr>
        <w:t>….</w:t>
      </w:r>
      <w:r w:rsidRPr="00055C69">
        <w:rPr>
          <w:i/>
        </w:rPr>
        <w:t xml:space="preserve"> </w:t>
      </w:r>
      <w:r w:rsidR="00CC4BD8" w:rsidRPr="00055C69">
        <w:rPr>
          <w:i/>
        </w:rPr>
        <w:t xml:space="preserve">To date, </w:t>
      </w:r>
      <w:r w:rsidR="00055C69" w:rsidRPr="00055C69">
        <w:rPr>
          <w:i/>
        </w:rPr>
        <w:t xml:space="preserve">we have </w:t>
      </w:r>
      <w:r w:rsidR="00CC4BD8" w:rsidRPr="00055C69">
        <w:rPr>
          <w:i/>
        </w:rPr>
        <w:t>seen no reactions other than an occasional case of drowsiness</w:t>
      </w:r>
      <w:r w:rsidR="00055C69" w:rsidRPr="00055C69">
        <w:rPr>
          <w:i/>
        </w:rPr>
        <w:t>”</w:t>
      </w:r>
      <w:r w:rsidR="00CC4BD8">
        <w:t>.</w:t>
      </w:r>
    </w:p>
    <w:p w:rsidR="00CC4BD8" w:rsidRDefault="00CC4BD8" w:rsidP="005C3144">
      <w:pPr>
        <w:pStyle w:val="Heading5"/>
        <w:spacing w:line="240" w:lineRule="auto"/>
      </w:pPr>
      <w:r>
        <w:lastRenderedPageBreak/>
        <w:t>Nortcliffe SA</w:t>
      </w:r>
      <w:r w:rsidR="00055C69">
        <w:t>,</w:t>
      </w:r>
      <w:r>
        <w:t xml:space="preserve"> Shah J, Buggy DJ. Prevention of postoperative nausea and vomiting after spinal morphine analgesia for caesarean section: comparison between cyclizine, dexamethasone, and placebo. </w:t>
      </w:r>
      <w:r>
        <w:rPr>
          <w:iCs/>
        </w:rPr>
        <w:t xml:space="preserve">Br J Anaesth. </w:t>
      </w:r>
      <w:r>
        <w:t>2003; 90(5):</w:t>
      </w:r>
      <w:r w:rsidR="00055C69">
        <w:t xml:space="preserve"> </w:t>
      </w:r>
      <w:r>
        <w:t>665-670.</w:t>
      </w:r>
    </w:p>
    <w:p w:rsidR="00CC4BD8" w:rsidRDefault="00CC4BD8" w:rsidP="005C3144">
      <w:pPr>
        <w:spacing w:line="240" w:lineRule="auto"/>
      </w:pPr>
      <w:r>
        <w:t>Systolic arterial pressures (SAP), ventilatory frequency, and sedation were all clinically unremarkable and also not significantly different between the groups.</w:t>
      </w:r>
      <w:r w:rsidR="005923D8">
        <w:t xml:space="preserve"> The </w:t>
      </w:r>
      <w:r>
        <w:t>data showed no evidence of increased sedation in patients receiving cyclizine compare</w:t>
      </w:r>
      <w:r w:rsidR="00055C69">
        <w:t>d with dexamethasone or placebo.</w:t>
      </w:r>
    </w:p>
    <w:p w:rsidR="00CC4BD8" w:rsidRPr="000A22F2" w:rsidRDefault="00055C69" w:rsidP="006907C3">
      <w:pPr>
        <w:pStyle w:val="FigureTitle"/>
        <w:spacing w:after="0" w:line="240" w:lineRule="auto"/>
        <w:rPr>
          <w:sz w:val="16"/>
          <w:szCs w:val="16"/>
        </w:rPr>
      </w:pPr>
      <w:bookmarkStart w:id="190" w:name="_Toc304266888"/>
      <w:r>
        <w:t>Table 39</w:t>
      </w:r>
      <w:r w:rsidR="00CC4BD8">
        <w:t xml:space="preserve">. Pain, adverse effects and overall satisfaction with antiemetic therapy. </w:t>
      </w:r>
      <w:bookmarkEnd w:id="190"/>
    </w:p>
    <w:p w:rsidR="00CC4BD8" w:rsidRPr="000A22F2" w:rsidRDefault="00DE18CA" w:rsidP="005C3144">
      <w:pPr>
        <w:spacing w:line="240" w:lineRule="auto"/>
        <w:jc w:val="center"/>
        <w:rPr>
          <w:sz w:val="16"/>
          <w:szCs w:val="16"/>
        </w:rPr>
      </w:pPr>
      <w:r>
        <w:rPr>
          <w:noProof/>
          <w:lang w:eastAsia="en-AU"/>
        </w:rPr>
        <w:drawing>
          <wp:inline distT="0" distB="0" distL="0" distR="0">
            <wp:extent cx="3298825" cy="1828800"/>
            <wp:effectExtent l="19050" t="0" r="0" b="0"/>
            <wp:docPr id="50" name="Picture 50" descr="Tab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8825" cy="1828800"/>
                    </a:xfrm>
                    <a:prstGeom prst="rect">
                      <a:avLst/>
                    </a:prstGeom>
                    <a:noFill/>
                    <a:ln>
                      <a:noFill/>
                    </a:ln>
                  </pic:spPr>
                </pic:pic>
              </a:graphicData>
            </a:graphic>
          </wp:inline>
        </w:drawing>
      </w:r>
    </w:p>
    <w:p w:rsidR="00CC4BD8" w:rsidRDefault="00CC4BD8" w:rsidP="000A22F2">
      <w:pPr>
        <w:spacing w:after="0" w:line="240" w:lineRule="auto"/>
        <w:ind w:left="2160" w:hanging="720"/>
        <w:rPr>
          <w:sz w:val="16"/>
          <w:szCs w:val="16"/>
        </w:rPr>
      </w:pPr>
      <w:r>
        <w:rPr>
          <w:sz w:val="16"/>
          <w:szCs w:val="16"/>
        </w:rPr>
        <w:t xml:space="preserve">Mean (SD), median (range) </w:t>
      </w:r>
      <w:r w:rsidR="00055C69">
        <w:rPr>
          <w:sz w:val="16"/>
          <w:szCs w:val="16"/>
        </w:rPr>
        <w:t xml:space="preserve">or number (%) as appropriate. *p </w:t>
      </w:r>
      <w:r>
        <w:rPr>
          <w:sz w:val="16"/>
          <w:szCs w:val="16"/>
        </w:rPr>
        <w:t>=</w:t>
      </w:r>
      <w:r w:rsidR="00055C69">
        <w:rPr>
          <w:sz w:val="16"/>
          <w:szCs w:val="16"/>
        </w:rPr>
        <w:t xml:space="preserve"> </w:t>
      </w:r>
      <w:r>
        <w:rPr>
          <w:sz w:val="16"/>
          <w:szCs w:val="16"/>
        </w:rPr>
        <w:t>0.03, C vs. D; **</w:t>
      </w:r>
      <w:r w:rsidR="00055C69">
        <w:rPr>
          <w:sz w:val="16"/>
          <w:szCs w:val="16"/>
        </w:rPr>
        <w:t xml:space="preserve">p </w:t>
      </w:r>
      <w:r>
        <w:rPr>
          <w:sz w:val="16"/>
          <w:szCs w:val="16"/>
        </w:rPr>
        <w:t>=</w:t>
      </w:r>
      <w:r w:rsidR="00055C69">
        <w:rPr>
          <w:sz w:val="16"/>
          <w:szCs w:val="16"/>
        </w:rPr>
        <w:t xml:space="preserve"> </w:t>
      </w:r>
      <w:r>
        <w:rPr>
          <w:sz w:val="16"/>
          <w:szCs w:val="16"/>
        </w:rPr>
        <w:t xml:space="preserve">0.008, C vs. P </w:t>
      </w:r>
    </w:p>
    <w:p w:rsidR="00CC4BD8" w:rsidRDefault="00CC4BD8" w:rsidP="000A22F2">
      <w:pPr>
        <w:spacing w:after="0" w:line="240" w:lineRule="auto"/>
        <w:ind w:left="1440"/>
        <w:rPr>
          <w:sz w:val="16"/>
          <w:szCs w:val="16"/>
        </w:rPr>
      </w:pPr>
      <w:r>
        <w:rPr>
          <w:sz w:val="16"/>
          <w:szCs w:val="16"/>
        </w:rPr>
        <w:t xml:space="preserve">VAS=visual analogue scale for pain or patient satisfaction with postoperative care, as indicated. </w:t>
      </w:r>
    </w:p>
    <w:p w:rsidR="00CC4BD8" w:rsidRDefault="00CC4BD8" w:rsidP="005C3144">
      <w:pPr>
        <w:pStyle w:val="Heading5"/>
        <w:spacing w:line="240" w:lineRule="auto"/>
        <w:rPr>
          <w:sz w:val="24"/>
          <w:szCs w:val="24"/>
        </w:rPr>
      </w:pPr>
      <w:r>
        <w:t xml:space="preserve">O'Brien C.M. Titley G. Whitehurst P. A comparison of cyclizine, ondansetron and placebo as prophylaxis against postoperative nausea and vomiting in children. </w:t>
      </w:r>
      <w:r>
        <w:rPr>
          <w:iCs/>
        </w:rPr>
        <w:t xml:space="preserve">Anaesthesia. </w:t>
      </w:r>
      <w:r>
        <w:t>2003; 58(7):707-711.</w:t>
      </w:r>
    </w:p>
    <w:p w:rsidR="00CC4BD8" w:rsidRDefault="00CC4BD8" w:rsidP="005C3144">
      <w:pPr>
        <w:spacing w:line="240" w:lineRule="auto"/>
      </w:pPr>
      <w:r>
        <w:t>Pain on injection was recorded only in those receiving cyclizine (p &lt; 0.001). No arrhythmias were recorded with ondansetron and normal saline, but one patient (of 50) developed a nodal tachycardia following administration of cyclizine.</w:t>
      </w:r>
    </w:p>
    <w:p w:rsidR="00CC4BD8" w:rsidRDefault="00055C69" w:rsidP="005C3144">
      <w:pPr>
        <w:pStyle w:val="Heading5"/>
        <w:spacing w:line="240" w:lineRule="auto"/>
      </w:pPr>
      <w:r>
        <w:t>Walder AD and</w:t>
      </w:r>
      <w:r w:rsidR="00CC4BD8">
        <w:t xml:space="preserve"> Aitkenhead AR. A comparison of droperidol and cyclizine in the prevention of postoperative nausea and vomiting associated with patient-controlled analgesia. </w:t>
      </w:r>
      <w:r w:rsidR="00CC4BD8">
        <w:rPr>
          <w:iCs/>
        </w:rPr>
        <w:t xml:space="preserve">Anaesthesia. </w:t>
      </w:r>
      <w:r w:rsidR="00CC4BD8">
        <w:t>1995; 50(7):</w:t>
      </w:r>
      <w:r>
        <w:t xml:space="preserve"> </w:t>
      </w:r>
      <w:r w:rsidR="00CC4BD8">
        <w:t>654-656.</w:t>
      </w:r>
    </w:p>
    <w:p w:rsidR="00CC4BD8" w:rsidRDefault="00CC4BD8" w:rsidP="005C3144">
      <w:pPr>
        <w:spacing w:line="240" w:lineRule="auto"/>
      </w:pPr>
      <w:r>
        <w:t>There were no significant differences in pain, sedation, or nausea scores between the groups.</w:t>
      </w:r>
      <w:r w:rsidR="005923D8">
        <w:t xml:space="preserve"> </w:t>
      </w:r>
      <w:r>
        <w:t>Three patients in group 1 (droperidol) and one in group 2 (cyclizine) reported feelings of anxiety and agitation which improved when the PCA was discontinued. One patient in group 2 reported blurred vision immediately postoperatively, this resolved spontaneously after 30 min.</w:t>
      </w:r>
    </w:p>
    <w:p w:rsidR="00CC4BD8" w:rsidRPr="005923D8" w:rsidRDefault="00CC4BD8" w:rsidP="005C3144">
      <w:pPr>
        <w:pStyle w:val="Heading4"/>
        <w:spacing w:line="240" w:lineRule="auto"/>
      </w:pPr>
      <w:r w:rsidRPr="005923D8">
        <w:t>Other studies evaluable for safety only</w:t>
      </w:r>
    </w:p>
    <w:p w:rsidR="002A51E5" w:rsidRDefault="005E77AE" w:rsidP="005C3144">
      <w:pPr>
        <w:pStyle w:val="Heading5"/>
        <w:spacing w:line="240" w:lineRule="auto"/>
      </w:pPr>
      <w:r>
        <w:t>Brand, J.J, Colquhoun W.P and Perry, W.L.M Side effects of L</w:t>
      </w:r>
      <w:r w:rsidR="00CC4BD8">
        <w:t xml:space="preserve">-Hyoscine and Cyclizine studied by objective tests. </w:t>
      </w:r>
      <w:r w:rsidR="00CC4BD8">
        <w:rPr>
          <w:iCs/>
        </w:rPr>
        <w:t>Aerospace Med</w:t>
      </w:r>
      <w:r w:rsidR="00CC4BD8">
        <w:t>. 1968</w:t>
      </w:r>
      <w:r w:rsidR="002A51E5">
        <w:t xml:space="preserve">; 39(9):999-1002. </w:t>
      </w:r>
    </w:p>
    <w:p w:rsidR="00CC4BD8" w:rsidRDefault="005E77AE" w:rsidP="005C3144">
      <w:pPr>
        <w:spacing w:line="240" w:lineRule="auto"/>
        <w:rPr>
          <w:bCs/>
        </w:rPr>
      </w:pPr>
      <w:r>
        <w:rPr>
          <w:bCs/>
        </w:rPr>
        <w:t xml:space="preserve">Cyclizine </w:t>
      </w:r>
      <w:r w:rsidR="002A51E5">
        <w:rPr>
          <w:bCs/>
        </w:rPr>
        <w:t>15 and</w:t>
      </w:r>
      <w:r w:rsidR="00CC4BD8">
        <w:rPr>
          <w:bCs/>
        </w:rPr>
        <w:t xml:space="preserve"> 100</w:t>
      </w:r>
      <w:r w:rsidR="002A51E5">
        <w:rPr>
          <w:bCs/>
        </w:rPr>
        <w:t xml:space="preserve"> </w:t>
      </w:r>
      <w:r w:rsidR="00CC4BD8">
        <w:rPr>
          <w:bCs/>
        </w:rPr>
        <w:t xml:space="preserve">mg </w:t>
      </w:r>
      <w:r>
        <w:rPr>
          <w:bCs/>
        </w:rPr>
        <w:t xml:space="preserve">PO </w:t>
      </w:r>
      <w:r w:rsidR="002A51E5">
        <w:rPr>
          <w:bCs/>
        </w:rPr>
        <w:t xml:space="preserve">had </w:t>
      </w:r>
      <w:r w:rsidR="00CC4BD8">
        <w:rPr>
          <w:bCs/>
        </w:rPr>
        <w:t>no effect on salivation, pulse rate, vision</w:t>
      </w:r>
      <w:r>
        <w:rPr>
          <w:bCs/>
        </w:rPr>
        <w:t>,</w:t>
      </w:r>
      <w:r w:rsidR="00CC4BD8">
        <w:rPr>
          <w:bCs/>
        </w:rPr>
        <w:t xml:space="preserve"> or me</w:t>
      </w:r>
      <w:r>
        <w:rPr>
          <w:bCs/>
        </w:rPr>
        <w:t>n</w:t>
      </w:r>
      <w:r w:rsidR="00CC4BD8">
        <w:rPr>
          <w:bCs/>
        </w:rPr>
        <w:t>tal performance (arithmetic).</w:t>
      </w:r>
    </w:p>
    <w:p w:rsidR="002A51E5" w:rsidRDefault="00CC4BD8" w:rsidP="005C3144">
      <w:pPr>
        <w:pStyle w:val="Heading5"/>
        <w:spacing w:line="240" w:lineRule="auto"/>
      </w:pPr>
      <w:r>
        <w:t xml:space="preserve">Tan LB, Bryant S, Murray RG. Detrimental haemodynamic effects of cyclizine in heart failure. </w:t>
      </w:r>
      <w:r>
        <w:rPr>
          <w:iCs/>
        </w:rPr>
        <w:t xml:space="preserve">Lancet. </w:t>
      </w:r>
      <w:r>
        <w:t>1988; i:</w:t>
      </w:r>
      <w:r w:rsidR="005E77AE">
        <w:t xml:space="preserve"> </w:t>
      </w:r>
      <w:r>
        <w:t xml:space="preserve">560:1. </w:t>
      </w:r>
    </w:p>
    <w:p w:rsidR="002A51E5" w:rsidRDefault="00CC4BD8" w:rsidP="005C3144">
      <w:pPr>
        <w:spacing w:line="240" w:lineRule="auto"/>
      </w:pPr>
      <w:r>
        <w:t>Cyclizine significantly increased systemic and pulmonary arterial pressures, and right and left ventricular filling pressures, and negated the venodilatory effects of diamorphine. The use of cyclizine in patients with heart failure should, therefore, be avoided.</w:t>
      </w:r>
    </w:p>
    <w:p w:rsidR="00CC4BD8" w:rsidRPr="002A51E5" w:rsidRDefault="00CC4BD8" w:rsidP="005C3144">
      <w:pPr>
        <w:pStyle w:val="Heading4"/>
        <w:spacing w:line="240" w:lineRule="auto"/>
      </w:pPr>
      <w:r w:rsidRPr="002A51E5">
        <w:t xml:space="preserve">Case studies that assessed safety </w:t>
      </w:r>
    </w:p>
    <w:p w:rsidR="00CC4BD8" w:rsidRDefault="00643703" w:rsidP="005C3144">
      <w:pPr>
        <w:pStyle w:val="ListBullet"/>
        <w:spacing w:after="120" w:line="240" w:lineRule="auto"/>
        <w:rPr>
          <w:b/>
        </w:rPr>
      </w:pPr>
      <w:r>
        <w:rPr>
          <w:b/>
        </w:rPr>
        <w:t>Back and</w:t>
      </w:r>
      <w:r w:rsidR="00CC4BD8">
        <w:rPr>
          <w:b/>
        </w:rPr>
        <w:t xml:space="preserve"> Taubert</w:t>
      </w:r>
      <w:r w:rsidR="005E77AE">
        <w:rPr>
          <w:b/>
        </w:rPr>
        <w:t>,</w:t>
      </w:r>
      <w:r w:rsidR="00CC4BD8">
        <w:rPr>
          <w:b/>
        </w:rPr>
        <w:t xml:space="preserve"> 2007</w:t>
      </w:r>
      <w:r w:rsidR="005E77AE">
        <w:rPr>
          <w:b/>
        </w:rPr>
        <w:t>:</w:t>
      </w:r>
      <w:r w:rsidR="00CC4BD8">
        <w:rPr>
          <w:b/>
        </w:rPr>
        <w:t xml:space="preserve"> </w:t>
      </w:r>
      <w:r w:rsidR="00CC4BD8">
        <w:t>Akathisia and an unusual symptomatic treatment</w:t>
      </w:r>
    </w:p>
    <w:p w:rsidR="00CC4BD8" w:rsidRDefault="00CC4BD8" w:rsidP="005C3144">
      <w:pPr>
        <w:pStyle w:val="ListBullet"/>
        <w:spacing w:after="120" w:line="240" w:lineRule="auto"/>
        <w:rPr>
          <w:rFonts w:eastAsia="Times New Roman"/>
          <w:kern w:val="16"/>
          <w:lang w:eastAsia="en-AU"/>
        </w:rPr>
      </w:pPr>
      <w:r>
        <w:rPr>
          <w:b/>
        </w:rPr>
        <w:t>Collier 1986</w:t>
      </w:r>
      <w:r w:rsidR="005E77AE">
        <w:rPr>
          <w:b/>
        </w:rPr>
        <w:t>:</w:t>
      </w:r>
      <w:r>
        <w:t xml:space="preserve"> Agranulocytosis associated with oral cyclizine responded to discontinuation.</w:t>
      </w:r>
    </w:p>
    <w:p w:rsidR="00CC4BD8" w:rsidRDefault="00CC4BD8" w:rsidP="005C3144">
      <w:pPr>
        <w:pStyle w:val="ListBullet"/>
        <w:spacing w:after="120" w:line="240" w:lineRule="auto"/>
      </w:pPr>
      <w:r>
        <w:rPr>
          <w:b/>
        </w:rPr>
        <w:t xml:space="preserve">Dagg </w:t>
      </w:r>
      <w:r w:rsidR="005E77AE">
        <w:rPr>
          <w:b/>
        </w:rPr>
        <w:t xml:space="preserve">and Wrathall, </w:t>
      </w:r>
      <w:r>
        <w:rPr>
          <w:b/>
        </w:rPr>
        <w:t>2003</w:t>
      </w:r>
      <w:r w:rsidR="005E77AE">
        <w:rPr>
          <w:b/>
        </w:rPr>
        <w:t>:</w:t>
      </w:r>
      <w:r>
        <w:t xml:space="preserve"> Dystonic reaction to cyclizine.</w:t>
      </w:r>
    </w:p>
    <w:p w:rsidR="00CC4BD8" w:rsidRDefault="00CC4BD8" w:rsidP="005C3144">
      <w:pPr>
        <w:pStyle w:val="ListBullet"/>
        <w:spacing w:after="120" w:line="240" w:lineRule="auto"/>
      </w:pPr>
      <w:r>
        <w:rPr>
          <w:b/>
        </w:rPr>
        <w:lastRenderedPageBreak/>
        <w:t xml:space="preserve">Griffiths </w:t>
      </w:r>
      <w:r w:rsidR="00643703">
        <w:rPr>
          <w:b/>
        </w:rPr>
        <w:t>and</w:t>
      </w:r>
      <w:r>
        <w:rPr>
          <w:b/>
        </w:rPr>
        <w:t xml:space="preserve"> Peachy</w:t>
      </w:r>
      <w:r w:rsidR="005E77AE">
        <w:rPr>
          <w:b/>
        </w:rPr>
        <w:t>,</w:t>
      </w:r>
      <w:r>
        <w:rPr>
          <w:b/>
        </w:rPr>
        <w:t xml:space="preserve"> 1970</w:t>
      </w:r>
      <w:r w:rsidR="005E77AE">
        <w:rPr>
          <w:b/>
        </w:rPr>
        <w:t>:</w:t>
      </w:r>
      <w:r>
        <w:rPr>
          <w:b/>
        </w:rPr>
        <w:t xml:space="preserve"> </w:t>
      </w:r>
      <w:r>
        <w:t>Fixed drug eruption–</w:t>
      </w:r>
      <w:r w:rsidR="00BF3AF7">
        <w:t xml:space="preserve"> </w:t>
      </w:r>
      <w:r>
        <w:t>erythema</w:t>
      </w:r>
      <w:r w:rsidR="005E77AE">
        <w:t>,</w:t>
      </w:r>
      <w:r>
        <w:t xml:space="preserve"> irritation </w:t>
      </w:r>
      <w:r w:rsidR="005E77AE">
        <w:t>and</w:t>
      </w:r>
      <w:r>
        <w:t xml:space="preserve"> inflammation.</w:t>
      </w:r>
    </w:p>
    <w:p w:rsidR="00CC4BD8" w:rsidRDefault="00CC4BD8" w:rsidP="005C3144">
      <w:pPr>
        <w:pStyle w:val="ListBullet"/>
        <w:spacing w:after="120" w:line="240" w:lineRule="auto"/>
      </w:pPr>
      <w:r>
        <w:rPr>
          <w:b/>
        </w:rPr>
        <w:t>Kew</w:t>
      </w:r>
      <w:r w:rsidRPr="005E77AE">
        <w:rPr>
          <w:b/>
          <w:i/>
        </w:rPr>
        <w:t xml:space="preserve"> et al</w:t>
      </w:r>
      <w:r w:rsidR="00643703">
        <w:rPr>
          <w:b/>
        </w:rPr>
        <w:t>.,</w:t>
      </w:r>
      <w:r>
        <w:rPr>
          <w:b/>
        </w:rPr>
        <w:t xml:space="preserve"> 1973</w:t>
      </w:r>
      <w:r w:rsidR="005E77AE">
        <w:rPr>
          <w:b/>
        </w:rPr>
        <w:t xml:space="preserve">: </w:t>
      </w:r>
      <w:r w:rsidR="00901298">
        <w:t>Hypersensitivity h</w:t>
      </w:r>
      <w:r>
        <w:t>epatitis.</w:t>
      </w:r>
    </w:p>
    <w:p w:rsidR="00CC4BD8" w:rsidRDefault="00CC4BD8" w:rsidP="005C3144">
      <w:pPr>
        <w:pStyle w:val="ListBullet"/>
        <w:spacing w:after="120" w:line="240" w:lineRule="auto"/>
      </w:pPr>
      <w:r>
        <w:rPr>
          <w:b/>
        </w:rPr>
        <w:t xml:space="preserve">King </w:t>
      </w:r>
      <w:r w:rsidRPr="005E77AE">
        <w:rPr>
          <w:b/>
          <w:i/>
        </w:rPr>
        <w:t>et al</w:t>
      </w:r>
      <w:r>
        <w:rPr>
          <w:b/>
        </w:rPr>
        <w:t>.</w:t>
      </w:r>
      <w:r w:rsidR="00643703">
        <w:rPr>
          <w:b/>
        </w:rPr>
        <w:t>,</w:t>
      </w:r>
      <w:r>
        <w:rPr>
          <w:b/>
        </w:rPr>
        <w:t xml:space="preserve"> 2003 </w:t>
      </w:r>
      <w:r>
        <w:t xml:space="preserve">Probable dystonic reaction after a single dose of cyclizine in a patient with a history of encephalitis. </w:t>
      </w:r>
    </w:p>
    <w:p w:rsidR="00CC4BD8" w:rsidRDefault="00643703" w:rsidP="005C3144">
      <w:pPr>
        <w:pStyle w:val="ListBullet"/>
        <w:spacing w:after="120" w:line="240" w:lineRule="auto"/>
      </w:pPr>
      <w:r>
        <w:rPr>
          <w:b/>
        </w:rPr>
        <w:t>Klawans and</w:t>
      </w:r>
      <w:r w:rsidR="00CC4BD8">
        <w:rPr>
          <w:b/>
        </w:rPr>
        <w:t xml:space="preserve"> Moskovitz</w:t>
      </w:r>
      <w:r w:rsidR="005E77AE">
        <w:rPr>
          <w:b/>
        </w:rPr>
        <w:t>,</w:t>
      </w:r>
      <w:r w:rsidR="00CC4BD8">
        <w:rPr>
          <w:b/>
        </w:rPr>
        <w:t xml:space="preserve"> 1977</w:t>
      </w:r>
      <w:r w:rsidR="005E77AE">
        <w:rPr>
          <w:b/>
        </w:rPr>
        <w:t>:</w:t>
      </w:r>
      <w:r w:rsidR="00CC4BD8">
        <w:rPr>
          <w:b/>
        </w:rPr>
        <w:t xml:space="preserve"> </w:t>
      </w:r>
      <w:r w:rsidR="00CC4BD8">
        <w:t xml:space="preserve">Cyclizine induced chorea. </w:t>
      </w:r>
    </w:p>
    <w:p w:rsidR="00CC4BD8" w:rsidRDefault="00643703" w:rsidP="005C3144">
      <w:pPr>
        <w:pStyle w:val="ListBullet"/>
        <w:spacing w:after="120" w:line="240" w:lineRule="auto"/>
      </w:pPr>
      <w:r>
        <w:rPr>
          <w:b/>
        </w:rPr>
        <w:t>Marr and</w:t>
      </w:r>
      <w:r w:rsidR="00CC4BD8">
        <w:rPr>
          <w:b/>
        </w:rPr>
        <w:t xml:space="preserve"> Orvin</w:t>
      </w:r>
      <w:r w:rsidR="005E77AE">
        <w:rPr>
          <w:b/>
        </w:rPr>
        <w:t>,</w:t>
      </w:r>
      <w:r w:rsidR="00CC4BD8">
        <w:rPr>
          <w:b/>
          <w:i/>
          <w:iCs/>
        </w:rPr>
        <w:t xml:space="preserve"> </w:t>
      </w:r>
      <w:r w:rsidR="00CC4BD8">
        <w:rPr>
          <w:b/>
        </w:rPr>
        <w:t>2006</w:t>
      </w:r>
      <w:r w:rsidR="005E77AE">
        <w:rPr>
          <w:b/>
        </w:rPr>
        <w:t>:</w:t>
      </w:r>
      <w:r w:rsidR="00CC4BD8">
        <w:t xml:space="preserve"> Transient paralysis after administration of cyclizine. </w:t>
      </w:r>
    </w:p>
    <w:p w:rsidR="00CC4BD8" w:rsidRDefault="00CC4BD8" w:rsidP="005C3144">
      <w:pPr>
        <w:pStyle w:val="ListBullet"/>
        <w:spacing w:after="120" w:line="240" w:lineRule="auto"/>
      </w:pPr>
      <w:r>
        <w:rPr>
          <w:b/>
        </w:rPr>
        <w:t xml:space="preserve">Michailidou </w:t>
      </w:r>
      <w:r w:rsidR="00643703">
        <w:rPr>
          <w:b/>
        </w:rPr>
        <w:t>and</w:t>
      </w:r>
      <w:r>
        <w:rPr>
          <w:b/>
        </w:rPr>
        <w:t xml:space="preserve"> Peck</w:t>
      </w:r>
      <w:r w:rsidR="005E77AE">
        <w:rPr>
          <w:b/>
        </w:rPr>
        <w:t>,</w:t>
      </w:r>
      <w:r>
        <w:rPr>
          <w:b/>
        </w:rPr>
        <w:t xml:space="preserve"> 2004</w:t>
      </w:r>
      <w:r w:rsidR="005E77AE">
        <w:rPr>
          <w:b/>
        </w:rPr>
        <w:t>:</w:t>
      </w:r>
      <w:r>
        <w:t xml:space="preserve"> Dystonic reaction to cyclizine. </w:t>
      </w:r>
    </w:p>
    <w:p w:rsidR="00CC4BD8" w:rsidRDefault="00CC4BD8" w:rsidP="005C3144">
      <w:pPr>
        <w:pStyle w:val="ListBullet"/>
        <w:spacing w:after="120" w:line="240" w:lineRule="auto"/>
        <w:rPr>
          <w:i/>
          <w:iCs/>
        </w:rPr>
      </w:pPr>
      <w:r>
        <w:rPr>
          <w:b/>
        </w:rPr>
        <w:t>Russell</w:t>
      </w:r>
      <w:r w:rsidR="005E77AE">
        <w:rPr>
          <w:b/>
        </w:rPr>
        <w:t>,</w:t>
      </w:r>
      <w:r>
        <w:rPr>
          <w:b/>
        </w:rPr>
        <w:t xml:space="preserve"> 1969</w:t>
      </w:r>
      <w:r w:rsidR="005E77AE">
        <w:rPr>
          <w:b/>
        </w:rPr>
        <w:t>:</w:t>
      </w:r>
      <w:r>
        <w:rPr>
          <w:b/>
        </w:rPr>
        <w:t xml:space="preserve"> </w:t>
      </w:r>
      <w:r>
        <w:t xml:space="preserve">Cyclizine anaphylaxis, when administered with propanidid. </w:t>
      </w:r>
    </w:p>
    <w:p w:rsidR="00CC4BD8" w:rsidRDefault="00CC4BD8" w:rsidP="005C3144">
      <w:pPr>
        <w:pStyle w:val="ListBullet"/>
        <w:spacing w:after="120" w:line="240" w:lineRule="auto"/>
        <w:rPr>
          <w:iCs/>
        </w:rPr>
      </w:pPr>
      <w:r>
        <w:rPr>
          <w:b/>
          <w:iCs/>
        </w:rPr>
        <w:t xml:space="preserve">Sandhu </w:t>
      </w:r>
      <w:r w:rsidRPr="005E77AE">
        <w:rPr>
          <w:b/>
          <w:i/>
          <w:iCs/>
        </w:rPr>
        <w:t>et al</w:t>
      </w:r>
      <w:r w:rsidR="00643703">
        <w:rPr>
          <w:b/>
          <w:iCs/>
        </w:rPr>
        <w:t>.,</w:t>
      </w:r>
      <w:r>
        <w:rPr>
          <w:b/>
          <w:iCs/>
        </w:rPr>
        <w:t xml:space="preserve"> 2005 </w:t>
      </w:r>
      <w:r>
        <w:rPr>
          <w:iCs/>
        </w:rPr>
        <w:t xml:space="preserve">Transient paralysis after administration of a single dose of cyclizine, </w:t>
      </w:r>
      <w:r w:rsidR="005E77AE">
        <w:rPr>
          <w:iCs/>
        </w:rPr>
        <w:t>two</w:t>
      </w:r>
      <w:r>
        <w:rPr>
          <w:iCs/>
        </w:rPr>
        <w:t xml:space="preserve"> cases. </w:t>
      </w:r>
    </w:p>
    <w:p w:rsidR="00CC4BD8" w:rsidRDefault="00643703" w:rsidP="005C3144">
      <w:pPr>
        <w:pStyle w:val="ListBullet"/>
        <w:spacing w:after="120" w:line="240" w:lineRule="auto"/>
        <w:rPr>
          <w:iCs/>
        </w:rPr>
      </w:pPr>
      <w:r>
        <w:rPr>
          <w:b/>
          <w:iCs/>
        </w:rPr>
        <w:t>Sewell and</w:t>
      </w:r>
      <w:r w:rsidR="00CC4BD8">
        <w:rPr>
          <w:b/>
          <w:iCs/>
        </w:rPr>
        <w:t xml:space="preserve"> Nixon</w:t>
      </w:r>
      <w:r w:rsidR="005E77AE">
        <w:rPr>
          <w:b/>
          <w:iCs/>
        </w:rPr>
        <w:t>,</w:t>
      </w:r>
      <w:r w:rsidR="00CC4BD8">
        <w:rPr>
          <w:b/>
          <w:iCs/>
        </w:rPr>
        <w:t xml:space="preserve"> 2003</w:t>
      </w:r>
      <w:r w:rsidR="005E77AE">
        <w:rPr>
          <w:b/>
          <w:iCs/>
        </w:rPr>
        <w:t>:</w:t>
      </w:r>
      <w:r w:rsidR="00CC4BD8">
        <w:rPr>
          <w:iCs/>
        </w:rPr>
        <w:t xml:space="preserve"> Dystonic reaction to cyclizine.</w:t>
      </w:r>
      <w:r w:rsidR="00CC4BD8">
        <w:t xml:space="preserve"> </w:t>
      </w:r>
      <w:r w:rsidR="0008133F">
        <w:t xml:space="preserve">The female </w:t>
      </w:r>
      <w:r w:rsidR="00CC4BD8">
        <w:rPr>
          <w:iCs/>
        </w:rPr>
        <w:t>developed generalised choreiform movements, which lasted for approximately 20 min.</w:t>
      </w:r>
      <w:r w:rsidR="00CC4BD8">
        <w:t xml:space="preserve"> </w:t>
      </w:r>
      <w:r w:rsidR="0008133F">
        <w:rPr>
          <w:iCs/>
        </w:rPr>
        <w:t>H</w:t>
      </w:r>
      <w:r w:rsidR="00CC4BD8">
        <w:rPr>
          <w:iCs/>
        </w:rPr>
        <w:t xml:space="preserve">er reaction </w:t>
      </w:r>
      <w:r w:rsidR="0008133F">
        <w:rPr>
          <w:iCs/>
        </w:rPr>
        <w:t xml:space="preserve">was reported </w:t>
      </w:r>
      <w:r w:rsidR="00CC4BD8">
        <w:rPr>
          <w:iCs/>
        </w:rPr>
        <w:t xml:space="preserve">to the manufacturer of </w:t>
      </w:r>
      <w:r w:rsidR="00255851">
        <w:rPr>
          <w:iCs/>
        </w:rPr>
        <w:t>Valoid</w:t>
      </w:r>
      <w:r w:rsidR="0008133F">
        <w:rPr>
          <w:iCs/>
        </w:rPr>
        <w:t xml:space="preserve"> </w:t>
      </w:r>
      <w:r w:rsidR="00CC4BD8">
        <w:rPr>
          <w:iCs/>
        </w:rPr>
        <w:t xml:space="preserve">(cyclizine). </w:t>
      </w:r>
      <w:r w:rsidR="005E77AE">
        <w:rPr>
          <w:iCs/>
        </w:rPr>
        <w:t xml:space="preserve">The authors reported that </w:t>
      </w:r>
      <w:r w:rsidR="005E77AE" w:rsidRPr="005E77AE">
        <w:rPr>
          <w:i/>
          <w:iCs/>
        </w:rPr>
        <w:t>“</w:t>
      </w:r>
      <w:r w:rsidR="00CC4BD8" w:rsidRPr="005E77AE">
        <w:rPr>
          <w:i/>
          <w:iCs/>
        </w:rPr>
        <w:t xml:space="preserve">In the </w:t>
      </w:r>
      <w:r w:rsidR="005E77AE" w:rsidRPr="005E77AE">
        <w:rPr>
          <w:i/>
          <w:iCs/>
        </w:rPr>
        <w:t xml:space="preserve">previous </w:t>
      </w:r>
      <w:r w:rsidR="00CC4BD8" w:rsidRPr="005E77AE">
        <w:rPr>
          <w:i/>
          <w:iCs/>
        </w:rPr>
        <w:t>10 years, they</w:t>
      </w:r>
      <w:r w:rsidR="005E77AE" w:rsidRPr="005E77AE">
        <w:rPr>
          <w:i/>
          <w:iCs/>
        </w:rPr>
        <w:t xml:space="preserve"> [the sponsor</w:t>
      </w:r>
      <w:r w:rsidR="0008133F" w:rsidRPr="005E77AE">
        <w:rPr>
          <w:i/>
          <w:iCs/>
        </w:rPr>
        <w:t>]</w:t>
      </w:r>
      <w:r w:rsidR="00CC4BD8" w:rsidRPr="005E77AE">
        <w:rPr>
          <w:i/>
          <w:iCs/>
        </w:rPr>
        <w:t xml:space="preserve"> had 40 reports of uncoordinated muscle movements associated with cyclizine. </w:t>
      </w:r>
      <w:r w:rsidR="005E77AE">
        <w:rPr>
          <w:i/>
          <w:iCs/>
        </w:rPr>
        <w:t>..</w:t>
      </w:r>
      <w:r w:rsidR="00CC4BD8" w:rsidRPr="005E77AE">
        <w:rPr>
          <w:i/>
          <w:iCs/>
        </w:rPr>
        <w:t>They classify this side-effect as rare</w:t>
      </w:r>
      <w:r w:rsidR="005E77AE">
        <w:rPr>
          <w:i/>
          <w:iCs/>
        </w:rPr>
        <w:t>…</w:t>
      </w:r>
      <w:r w:rsidR="00CC4BD8" w:rsidRPr="005E77AE">
        <w:rPr>
          <w:i/>
          <w:iCs/>
        </w:rPr>
        <w:t xml:space="preserve"> These uncoordinated muscle movements are variously described: dystonia, twitching, facial twitching, choreiform movements, chorea, extrapyramidal effects, jerky movements, tremor, orofacial dyskinesia, dyskinesia, hyperkinesia, hyperreflexia, muscle spasm, muscle rigidity and muscle hypertonia.</w:t>
      </w:r>
      <w:r w:rsidR="005E77AE" w:rsidRPr="005E77AE">
        <w:rPr>
          <w:i/>
          <w:iCs/>
        </w:rPr>
        <w:t>”</w:t>
      </w:r>
      <w:r w:rsidR="00CC4BD8">
        <w:rPr>
          <w:iCs/>
        </w:rPr>
        <w:t xml:space="preserve"> </w:t>
      </w:r>
    </w:p>
    <w:p w:rsidR="00CC4BD8" w:rsidRPr="0008133F" w:rsidRDefault="0070046C" w:rsidP="005C3144">
      <w:pPr>
        <w:pStyle w:val="Heading4"/>
        <w:spacing w:line="240" w:lineRule="auto"/>
      </w:pPr>
      <w:bookmarkStart w:id="191" w:name="_Toc304266789"/>
      <w:bookmarkStart w:id="192" w:name="_Ref269204367"/>
      <w:bookmarkStart w:id="193" w:name="_Ref271195835"/>
      <w:bookmarkStart w:id="194" w:name="_Ref271195841"/>
      <w:bookmarkStart w:id="195" w:name="_Toc272414660"/>
      <w:bookmarkStart w:id="196" w:name="_Toc273018223"/>
      <w:r>
        <w:t>P</w:t>
      </w:r>
      <w:r w:rsidRPr="0008133F">
        <w:t>ivotal studies that assessed safety as a primary outcome</w:t>
      </w:r>
      <w:bookmarkEnd w:id="191"/>
      <w:bookmarkEnd w:id="192"/>
      <w:bookmarkEnd w:id="193"/>
      <w:bookmarkEnd w:id="194"/>
      <w:bookmarkEnd w:id="195"/>
      <w:bookmarkEnd w:id="196"/>
    </w:p>
    <w:p w:rsidR="00CC4BD8" w:rsidRDefault="00CC4BD8" w:rsidP="005C3144">
      <w:pPr>
        <w:autoSpaceDE w:val="0"/>
        <w:autoSpaceDN w:val="0"/>
        <w:adjustRightInd w:val="0"/>
        <w:spacing w:line="240" w:lineRule="auto"/>
      </w:pPr>
      <w:r>
        <w:t>Not Applicable.</w:t>
      </w:r>
    </w:p>
    <w:p w:rsidR="00CC4BD8" w:rsidRPr="0008133F" w:rsidRDefault="0070046C" w:rsidP="005C3144">
      <w:pPr>
        <w:pStyle w:val="Heading4"/>
        <w:spacing w:line="240" w:lineRule="auto"/>
      </w:pPr>
      <w:bookmarkStart w:id="197" w:name="_Toc304266790"/>
      <w:bookmarkStart w:id="198" w:name="_Toc241374318"/>
      <w:bookmarkStart w:id="199" w:name="_Ref271196630"/>
      <w:bookmarkStart w:id="200" w:name="_Toc272414662"/>
      <w:bookmarkStart w:id="201" w:name="_Toc273018225"/>
      <w:r>
        <w:t>P</w:t>
      </w:r>
      <w:r w:rsidRPr="0008133F">
        <w:t>atient exposure</w:t>
      </w:r>
      <w:bookmarkEnd w:id="197"/>
      <w:bookmarkEnd w:id="198"/>
      <w:bookmarkEnd w:id="199"/>
      <w:bookmarkEnd w:id="200"/>
      <w:bookmarkEnd w:id="201"/>
    </w:p>
    <w:p w:rsidR="00A55320" w:rsidRDefault="00CC4BD8" w:rsidP="005C3144">
      <w:pPr>
        <w:spacing w:line="240" w:lineRule="auto"/>
      </w:pPr>
      <w:r>
        <w:t>For the period 1</w:t>
      </w:r>
      <w:r w:rsidR="0008133F">
        <w:t xml:space="preserve"> </w:t>
      </w:r>
      <w:r>
        <w:t>April 1996 to 31</w:t>
      </w:r>
      <w:r w:rsidR="0008133F">
        <w:t xml:space="preserve"> </w:t>
      </w:r>
      <w:r>
        <w:t xml:space="preserve">January 2010 the total number of </w:t>
      </w:r>
      <w:r w:rsidR="00255851">
        <w:t>Valoid</w:t>
      </w:r>
      <w:r w:rsidR="0008133F">
        <w:t xml:space="preserve"> </w:t>
      </w:r>
      <w:r>
        <w:t xml:space="preserve">ampoules sold was 37,877,560. The injections may be given up to three times a day but in many cases just a single dose is given to patients undergoing operation. The </w:t>
      </w:r>
      <w:r w:rsidR="0008133F">
        <w:t xml:space="preserve">number of </w:t>
      </w:r>
      <w:r>
        <w:t>daily doses administered in this period is in excess of six million.</w:t>
      </w:r>
    </w:p>
    <w:p w:rsidR="00CC4BD8" w:rsidRPr="00586994" w:rsidRDefault="0070046C" w:rsidP="005C3144">
      <w:pPr>
        <w:pStyle w:val="Heading4"/>
        <w:spacing w:line="240" w:lineRule="auto"/>
      </w:pPr>
      <w:bookmarkStart w:id="202" w:name="_Toc304266791"/>
      <w:bookmarkStart w:id="203" w:name="_Toc241374319"/>
      <w:bookmarkStart w:id="204" w:name="_Ref271044764"/>
      <w:bookmarkStart w:id="205" w:name="_Toc272414663"/>
      <w:bookmarkStart w:id="206" w:name="_Toc273018226"/>
      <w:r>
        <w:t>A</w:t>
      </w:r>
      <w:r w:rsidRPr="00586994">
        <w:t>dverse events</w:t>
      </w:r>
      <w:bookmarkEnd w:id="202"/>
      <w:bookmarkEnd w:id="203"/>
      <w:bookmarkEnd w:id="204"/>
      <w:bookmarkEnd w:id="205"/>
      <w:bookmarkEnd w:id="206"/>
    </w:p>
    <w:p w:rsidR="00CC4BD8" w:rsidRPr="005E77AE" w:rsidRDefault="0070046C" w:rsidP="005C3144">
      <w:pPr>
        <w:pStyle w:val="Heading5"/>
        <w:spacing w:line="240" w:lineRule="auto"/>
      </w:pPr>
      <w:bookmarkStart w:id="207" w:name="_Toc304266792"/>
      <w:bookmarkStart w:id="208" w:name="_Ref272317284"/>
      <w:bookmarkStart w:id="209" w:name="_Ref272333565"/>
      <w:bookmarkStart w:id="210" w:name="_Toc272414664"/>
      <w:bookmarkStart w:id="211" w:name="_Toc273018227"/>
      <w:r>
        <w:t>A</w:t>
      </w:r>
      <w:r w:rsidRPr="005E77AE">
        <w:t>ll adverse events (irrespective of relationship to study treatment)</w:t>
      </w:r>
      <w:bookmarkEnd w:id="207"/>
      <w:bookmarkEnd w:id="208"/>
      <w:bookmarkEnd w:id="209"/>
      <w:bookmarkEnd w:id="210"/>
      <w:bookmarkEnd w:id="211"/>
    </w:p>
    <w:p w:rsidR="00CC4BD8" w:rsidRDefault="00CC4BD8" w:rsidP="005C3144">
      <w:pPr>
        <w:autoSpaceDE w:val="0"/>
        <w:autoSpaceDN w:val="0"/>
        <w:adjustRightInd w:val="0"/>
        <w:spacing w:line="240" w:lineRule="auto"/>
      </w:pPr>
      <w:bookmarkStart w:id="212" w:name="_Ref272333567"/>
      <w:bookmarkStart w:id="213" w:name="_Toc272414665"/>
      <w:bookmarkStart w:id="214" w:name="_Toc273018228"/>
      <w:r>
        <w:t>A</w:t>
      </w:r>
      <w:r w:rsidR="00065270">
        <w:t xml:space="preserve">dverse events </w:t>
      </w:r>
      <w:r>
        <w:t>in the literature that are reported in the proposed PI include:</w:t>
      </w:r>
    </w:p>
    <w:p w:rsidR="00CC4BD8" w:rsidRDefault="00CC4BD8" w:rsidP="005C3144">
      <w:pPr>
        <w:spacing w:line="240" w:lineRule="auto"/>
      </w:pPr>
      <w:r>
        <w:rPr>
          <w:rFonts w:eastAsia="Calibri"/>
          <w:color w:val="000000"/>
        </w:rPr>
        <w:t xml:space="preserve">Drowsiness, </w:t>
      </w:r>
      <w:r>
        <w:t>sedation, dizziness, blurring of vision, headache, excitatory phenomena, chorea, dystonic reaction, transient paralysis,</w:t>
      </w:r>
      <w:r>
        <w:rPr>
          <w:rFonts w:eastAsia="Calibri"/>
          <w:color w:val="000000"/>
        </w:rPr>
        <w:t xml:space="preserve"> </w:t>
      </w:r>
      <w:r>
        <w:t>dry mouth, localized erythematous rash,</w:t>
      </w:r>
      <w:r>
        <w:rPr>
          <w:rFonts w:eastAsia="Calibri"/>
        </w:rPr>
        <w:t xml:space="preserve"> fixed drug eruption –</w:t>
      </w:r>
      <w:r w:rsidR="00065270">
        <w:rPr>
          <w:rFonts w:eastAsia="Calibri"/>
        </w:rPr>
        <w:t xml:space="preserve"> erythema irritation and</w:t>
      </w:r>
      <w:r>
        <w:rPr>
          <w:rFonts w:eastAsia="Calibri"/>
        </w:rPr>
        <w:t xml:space="preserve"> inflammation,</w:t>
      </w:r>
      <w:r>
        <w:t xml:space="preserve"> anaphylaxis, </w:t>
      </w:r>
      <w:r>
        <w:rPr>
          <w:rFonts w:eastAsia="Calibri"/>
          <w:color w:val="000000"/>
        </w:rPr>
        <w:t xml:space="preserve">agranulocytosis, </w:t>
      </w:r>
      <w:r w:rsidR="00065270">
        <w:rPr>
          <w:rFonts w:eastAsia="Calibri"/>
          <w:color w:val="000000"/>
        </w:rPr>
        <w:t xml:space="preserve">and </w:t>
      </w:r>
      <w:r>
        <w:t>tachycardia.</w:t>
      </w:r>
    </w:p>
    <w:p w:rsidR="00CC4BD8" w:rsidRDefault="00065270" w:rsidP="005C3144">
      <w:pPr>
        <w:spacing w:line="240" w:lineRule="auto"/>
      </w:pPr>
      <w:r>
        <w:t>Those n</w:t>
      </w:r>
      <w:r w:rsidR="00CC4BD8">
        <w:t>ot in the proposed PI were:</w:t>
      </w:r>
    </w:p>
    <w:p w:rsidR="00CC4BD8" w:rsidRDefault="00CC4BD8" w:rsidP="005C3144">
      <w:pPr>
        <w:spacing w:line="240" w:lineRule="auto"/>
      </w:pPr>
      <w:r>
        <w:t xml:space="preserve">Anxiety </w:t>
      </w:r>
      <w:r w:rsidR="00065270">
        <w:t xml:space="preserve">(reported in </w:t>
      </w:r>
      <w:r>
        <w:t xml:space="preserve">Walder </w:t>
      </w:r>
      <w:r w:rsidR="00065270">
        <w:t xml:space="preserve">and </w:t>
      </w:r>
      <w:r>
        <w:t>Aitkenhead</w:t>
      </w:r>
      <w:r w:rsidR="00065270">
        <w:t>,</w:t>
      </w:r>
      <w:r>
        <w:t xml:space="preserve"> 1995</w:t>
      </w:r>
      <w:r w:rsidR="00065270">
        <w:t>)</w:t>
      </w:r>
      <w:r>
        <w:t xml:space="preserve">. </w:t>
      </w:r>
    </w:p>
    <w:p w:rsidR="00586994" w:rsidRDefault="00065270" w:rsidP="005C3144">
      <w:pPr>
        <w:spacing w:line="240" w:lineRule="auto"/>
        <w:rPr>
          <w:rFonts w:eastAsia="Calibri"/>
          <w:color w:val="000000"/>
        </w:rPr>
      </w:pPr>
      <w:r>
        <w:rPr>
          <w:rFonts w:eastAsia="Calibri"/>
          <w:color w:val="000000"/>
        </w:rPr>
        <w:t xml:space="preserve">Akathisia (reported in </w:t>
      </w:r>
      <w:r w:rsidR="00CC4BD8">
        <w:rPr>
          <w:rFonts w:eastAsia="Calibri"/>
          <w:color w:val="000000"/>
        </w:rPr>
        <w:t xml:space="preserve">Back </w:t>
      </w:r>
      <w:r>
        <w:rPr>
          <w:rFonts w:eastAsia="Calibri"/>
          <w:color w:val="000000"/>
        </w:rPr>
        <w:t xml:space="preserve">and </w:t>
      </w:r>
      <w:r w:rsidR="00CC4BD8">
        <w:rPr>
          <w:rFonts w:eastAsia="Calibri"/>
          <w:color w:val="000000"/>
        </w:rPr>
        <w:t>Taubert</w:t>
      </w:r>
      <w:r>
        <w:rPr>
          <w:rFonts w:eastAsia="Calibri"/>
          <w:color w:val="000000"/>
        </w:rPr>
        <w:t>,</w:t>
      </w:r>
      <w:r w:rsidR="00CC4BD8">
        <w:rPr>
          <w:rFonts w:eastAsia="Calibri"/>
          <w:color w:val="000000"/>
        </w:rPr>
        <w:t xml:space="preserve"> 2007</w:t>
      </w:r>
      <w:r>
        <w:rPr>
          <w:rFonts w:eastAsia="Calibri"/>
          <w:color w:val="000000"/>
        </w:rPr>
        <w:t>)</w:t>
      </w:r>
      <w:r w:rsidR="00CC4BD8">
        <w:rPr>
          <w:rFonts w:eastAsia="Calibri"/>
          <w:color w:val="000000"/>
        </w:rPr>
        <w:t>.</w:t>
      </w:r>
    </w:p>
    <w:p w:rsidR="00CC4BD8" w:rsidRPr="00586994" w:rsidRDefault="0070046C" w:rsidP="005C3144">
      <w:pPr>
        <w:pStyle w:val="Heading5"/>
        <w:spacing w:line="240" w:lineRule="auto"/>
      </w:pPr>
      <w:bookmarkStart w:id="215" w:name="_Toc304266793"/>
      <w:r>
        <w:t>T</w:t>
      </w:r>
      <w:r w:rsidRPr="00586994">
        <w:t>reatment-related adverse events (adverse drug reactions)</w:t>
      </w:r>
      <w:bookmarkEnd w:id="212"/>
      <w:bookmarkEnd w:id="213"/>
      <w:bookmarkEnd w:id="214"/>
      <w:bookmarkEnd w:id="215"/>
    </w:p>
    <w:p w:rsidR="00CC4BD8" w:rsidRPr="00586994" w:rsidRDefault="00CC4BD8" w:rsidP="005C3144">
      <w:pPr>
        <w:spacing w:line="240" w:lineRule="auto"/>
      </w:pPr>
      <w:bookmarkStart w:id="216" w:name="_Toc241374320"/>
      <w:bookmarkStart w:id="217" w:name="_Ref272333507"/>
      <w:bookmarkStart w:id="218" w:name="_Toc272414666"/>
      <w:bookmarkStart w:id="219" w:name="_Toc273018229"/>
      <w:r w:rsidRPr="00586994">
        <w:t>See above.</w:t>
      </w:r>
    </w:p>
    <w:p w:rsidR="00CC4BD8" w:rsidRPr="00586994" w:rsidRDefault="0070046C" w:rsidP="005C3144">
      <w:pPr>
        <w:pStyle w:val="Heading5"/>
        <w:spacing w:line="240" w:lineRule="auto"/>
      </w:pPr>
      <w:bookmarkStart w:id="220" w:name="_Toc304266794"/>
      <w:r>
        <w:t>D</w:t>
      </w:r>
      <w:r w:rsidRPr="00586994">
        <w:t>eaths</w:t>
      </w:r>
      <w:bookmarkEnd w:id="220"/>
      <w:r w:rsidRPr="00586994">
        <w:t xml:space="preserve"> </w:t>
      </w:r>
    </w:p>
    <w:p w:rsidR="00CC4BD8" w:rsidRPr="00586994" w:rsidRDefault="00CC4BD8" w:rsidP="005C3144">
      <w:pPr>
        <w:spacing w:line="240" w:lineRule="auto"/>
      </w:pPr>
      <w:r w:rsidRPr="00586994">
        <w:t>None reported in literature.</w:t>
      </w:r>
    </w:p>
    <w:p w:rsidR="00CC4BD8" w:rsidRPr="00586994" w:rsidRDefault="0070046C" w:rsidP="005C3144">
      <w:pPr>
        <w:pStyle w:val="Heading5"/>
        <w:spacing w:line="240" w:lineRule="auto"/>
      </w:pPr>
      <w:bookmarkStart w:id="221" w:name="_Toc304266795"/>
      <w:r>
        <w:t>S</w:t>
      </w:r>
      <w:r w:rsidRPr="00586994">
        <w:t>erious adverse events</w:t>
      </w:r>
      <w:bookmarkEnd w:id="216"/>
      <w:bookmarkEnd w:id="217"/>
      <w:bookmarkEnd w:id="218"/>
      <w:bookmarkEnd w:id="219"/>
      <w:bookmarkEnd w:id="221"/>
    </w:p>
    <w:p w:rsidR="00CC4BD8" w:rsidRPr="00586994" w:rsidRDefault="00065270" w:rsidP="005C3144">
      <w:pPr>
        <w:spacing w:line="240" w:lineRule="auto"/>
      </w:pPr>
      <w:r>
        <w:t>Serious adverse events (</w:t>
      </w:r>
      <w:r w:rsidR="00CC4BD8" w:rsidRPr="00586994">
        <w:t>SAEs</w:t>
      </w:r>
      <w:r>
        <w:t>)</w:t>
      </w:r>
      <w:r w:rsidR="00CC4BD8" w:rsidRPr="00586994">
        <w:t xml:space="preserve"> reported in the literature include: </w:t>
      </w:r>
    </w:p>
    <w:p w:rsidR="00CC4BD8" w:rsidRPr="00586994" w:rsidRDefault="00CC4BD8" w:rsidP="005C3144">
      <w:pPr>
        <w:spacing w:line="240" w:lineRule="auto"/>
      </w:pPr>
      <w:r w:rsidRPr="00586994">
        <w:t>Dystonic reaction (5), transient paralysis (3),</w:t>
      </w:r>
      <w:r w:rsidR="00586994">
        <w:t xml:space="preserve"> </w:t>
      </w:r>
      <w:r w:rsidRPr="00586994">
        <w:t xml:space="preserve">and 1 each of drug eruption, anaphylaxis, </w:t>
      </w:r>
      <w:r w:rsidR="00586994">
        <w:t>agranulocytosis, and h</w:t>
      </w:r>
      <w:r w:rsidRPr="00586994">
        <w:t xml:space="preserve">ypersensitivity </w:t>
      </w:r>
      <w:r w:rsidR="00586994">
        <w:t>h</w:t>
      </w:r>
      <w:r w:rsidRPr="00586994">
        <w:t>epatitis.</w:t>
      </w:r>
    </w:p>
    <w:p w:rsidR="00CC4BD8" w:rsidRPr="0070046C" w:rsidRDefault="0070046C" w:rsidP="005C3144">
      <w:pPr>
        <w:pStyle w:val="Heading5"/>
        <w:spacing w:line="240" w:lineRule="auto"/>
      </w:pPr>
      <w:bookmarkStart w:id="222" w:name="_Toc304266796"/>
      <w:bookmarkStart w:id="223" w:name="_Toc241374325"/>
      <w:bookmarkStart w:id="224" w:name="_Ref272333477"/>
      <w:bookmarkStart w:id="225" w:name="_Toc272414667"/>
      <w:bookmarkStart w:id="226" w:name="_Toc273018230"/>
      <w:r w:rsidRPr="0070046C">
        <w:lastRenderedPageBreak/>
        <w:t>Discontinuation due to adverse events</w:t>
      </w:r>
      <w:bookmarkEnd w:id="222"/>
      <w:bookmarkEnd w:id="223"/>
      <w:bookmarkEnd w:id="224"/>
      <w:bookmarkEnd w:id="225"/>
      <w:bookmarkEnd w:id="226"/>
    </w:p>
    <w:p w:rsidR="00CC4BD8" w:rsidRDefault="00CC4BD8" w:rsidP="005C3144">
      <w:pPr>
        <w:autoSpaceDE w:val="0"/>
        <w:autoSpaceDN w:val="0"/>
        <w:adjustRightInd w:val="0"/>
        <w:spacing w:line="240" w:lineRule="auto"/>
      </w:pPr>
      <w:bookmarkStart w:id="227" w:name="_Toc241374321"/>
      <w:bookmarkStart w:id="228" w:name="_Ref271044780"/>
      <w:bookmarkStart w:id="229" w:name="_Ref271196640"/>
      <w:bookmarkStart w:id="230" w:name="_Ref272333085"/>
      <w:bookmarkStart w:id="231" w:name="_Toc272414668"/>
      <w:bookmarkStart w:id="232" w:name="_Toc273018231"/>
      <w:r>
        <w:t xml:space="preserve">Many of the study reports were of </w:t>
      </w:r>
      <w:r w:rsidR="00586994">
        <w:t xml:space="preserve">a </w:t>
      </w:r>
      <w:r>
        <w:t>single dose so that despite an SAE, there was no discontinuation. AEs leading to discontinuation include:</w:t>
      </w:r>
    </w:p>
    <w:p w:rsidR="00586994" w:rsidRDefault="00065270" w:rsidP="005C3144">
      <w:pPr>
        <w:autoSpaceDE w:val="0"/>
        <w:autoSpaceDN w:val="0"/>
        <w:adjustRightInd w:val="0"/>
        <w:spacing w:line="240" w:lineRule="auto"/>
      </w:pPr>
      <w:r>
        <w:t>O</w:t>
      </w:r>
      <w:r w:rsidR="00586994">
        <w:t>ne</w:t>
      </w:r>
      <w:r w:rsidR="00CC4BD8">
        <w:t xml:space="preserve"> each of anaphylaxis, </w:t>
      </w:r>
      <w:r w:rsidR="00CC4BD8">
        <w:rPr>
          <w:rFonts w:eastAsia="Calibri"/>
          <w:color w:val="000000"/>
        </w:rPr>
        <w:t>agranulocytosis,</w:t>
      </w:r>
      <w:r w:rsidR="00CC4BD8">
        <w:t xml:space="preserve"> dystonic reaction, feelings of anxiety and agitation.</w:t>
      </w:r>
    </w:p>
    <w:p w:rsidR="00CC4BD8" w:rsidRPr="00586994" w:rsidRDefault="0070046C" w:rsidP="005C3144">
      <w:pPr>
        <w:pStyle w:val="Heading5"/>
        <w:spacing w:line="240" w:lineRule="auto"/>
      </w:pPr>
      <w:bookmarkStart w:id="233" w:name="_Toc304266797"/>
      <w:r>
        <w:t>L</w:t>
      </w:r>
      <w:r w:rsidRPr="00586994">
        <w:t>aboratory tests</w:t>
      </w:r>
      <w:bookmarkEnd w:id="227"/>
      <w:bookmarkEnd w:id="228"/>
      <w:bookmarkEnd w:id="229"/>
      <w:bookmarkEnd w:id="230"/>
      <w:bookmarkEnd w:id="231"/>
      <w:bookmarkEnd w:id="232"/>
      <w:bookmarkEnd w:id="233"/>
    </w:p>
    <w:p w:rsidR="00CC4BD8" w:rsidRPr="00586994" w:rsidRDefault="00CC4BD8" w:rsidP="005C3144">
      <w:pPr>
        <w:spacing w:line="240" w:lineRule="auto"/>
      </w:pPr>
      <w:r w:rsidRPr="00586994">
        <w:t>None reported in literature.</w:t>
      </w:r>
    </w:p>
    <w:p w:rsidR="00CC4BD8" w:rsidRPr="00586994" w:rsidRDefault="0070046C" w:rsidP="005C3144">
      <w:pPr>
        <w:pStyle w:val="Heading4"/>
        <w:spacing w:line="240" w:lineRule="auto"/>
      </w:pPr>
      <w:bookmarkStart w:id="234" w:name="_Toc304266798"/>
      <w:bookmarkStart w:id="235" w:name="_Toc241374326"/>
      <w:bookmarkStart w:id="236" w:name="_Ref272333048"/>
      <w:bookmarkStart w:id="237" w:name="_Toc272414679"/>
      <w:bookmarkStart w:id="238" w:name="_Toc273018242"/>
      <w:r>
        <w:t>P</w:t>
      </w:r>
      <w:r w:rsidRPr="00586994">
        <w:t>ost-marketing experience</w:t>
      </w:r>
      <w:bookmarkEnd w:id="234"/>
      <w:bookmarkEnd w:id="235"/>
      <w:bookmarkEnd w:id="236"/>
      <w:bookmarkEnd w:id="237"/>
      <w:bookmarkEnd w:id="238"/>
    </w:p>
    <w:p w:rsidR="00CC4BD8" w:rsidRDefault="00CC4BD8" w:rsidP="005C3144">
      <w:pPr>
        <w:keepNext/>
        <w:autoSpaceDE w:val="0"/>
        <w:autoSpaceDN w:val="0"/>
        <w:adjustRightInd w:val="0"/>
        <w:spacing w:line="240" w:lineRule="auto"/>
      </w:pPr>
      <w:r>
        <w:t>The first PSUR was 1</w:t>
      </w:r>
      <w:r w:rsidR="00065270">
        <w:t xml:space="preserve"> </w:t>
      </w:r>
      <w:r>
        <w:t>April 1991 to 31</w:t>
      </w:r>
      <w:r w:rsidR="00065270">
        <w:t xml:space="preserve"> </w:t>
      </w:r>
      <w:r>
        <w:t>March 1996; written by Glaxo Wellcome the original Marketing Authorisation Holder.</w:t>
      </w:r>
      <w:r w:rsidR="00586994">
        <w:t xml:space="preserve"> </w:t>
      </w:r>
      <w:r>
        <w:t xml:space="preserve">Amdipharm submitted 3 PSURs, for the periods: </w:t>
      </w:r>
    </w:p>
    <w:p w:rsidR="00CC4BD8" w:rsidRDefault="00CC4BD8" w:rsidP="005C3144">
      <w:pPr>
        <w:pStyle w:val="ListBullet"/>
        <w:keepNext/>
        <w:spacing w:after="120" w:line="240" w:lineRule="auto"/>
      </w:pPr>
      <w:r>
        <w:t>1 April 1996 to 31</w:t>
      </w:r>
      <w:r w:rsidR="00065270">
        <w:t xml:space="preserve"> </w:t>
      </w:r>
      <w:r>
        <w:t xml:space="preserve">October 2004, </w:t>
      </w:r>
    </w:p>
    <w:p w:rsidR="00CC4BD8" w:rsidRDefault="00CC4BD8" w:rsidP="005C3144">
      <w:pPr>
        <w:pStyle w:val="ListBullet"/>
        <w:keepNext/>
        <w:spacing w:after="120" w:line="240" w:lineRule="auto"/>
      </w:pPr>
      <w:r>
        <w:t>1</w:t>
      </w:r>
      <w:r w:rsidR="00065270">
        <w:t xml:space="preserve"> </w:t>
      </w:r>
      <w:r>
        <w:t>November 2004 to 30</w:t>
      </w:r>
      <w:r w:rsidR="00065270">
        <w:t xml:space="preserve"> </w:t>
      </w:r>
      <w:r>
        <w:t xml:space="preserve">June 2008, </w:t>
      </w:r>
    </w:p>
    <w:p w:rsidR="00B23463" w:rsidRPr="00741046" w:rsidRDefault="00CC4BD8" w:rsidP="00D81C12">
      <w:pPr>
        <w:pStyle w:val="ListBullet"/>
        <w:rPr>
          <w:b/>
        </w:rPr>
      </w:pPr>
      <w:r>
        <w:t>1</w:t>
      </w:r>
      <w:r w:rsidR="00065270">
        <w:t xml:space="preserve"> </w:t>
      </w:r>
      <w:r>
        <w:t>July 2008 to 31</w:t>
      </w:r>
      <w:r w:rsidR="00065270">
        <w:t xml:space="preserve"> </w:t>
      </w:r>
      <w:r>
        <w:t xml:space="preserve">January 2010. </w:t>
      </w:r>
    </w:p>
    <w:p w:rsidR="00CC4BD8" w:rsidRDefault="00065270" w:rsidP="005C3144">
      <w:pPr>
        <w:autoSpaceDE w:val="0"/>
        <w:autoSpaceDN w:val="0"/>
        <w:adjustRightInd w:val="0"/>
        <w:spacing w:line="240" w:lineRule="auto"/>
        <w:rPr>
          <w:b/>
        </w:rPr>
      </w:pPr>
      <w:r w:rsidRPr="0070046C">
        <w:rPr>
          <w:rStyle w:val="Heading5Char"/>
          <w:rFonts w:eastAsia="Cambria"/>
        </w:rPr>
        <w:t xml:space="preserve">PSUR </w:t>
      </w:r>
      <w:r w:rsidR="00CC4BD8" w:rsidRPr="0070046C">
        <w:rPr>
          <w:rStyle w:val="Heading5Char"/>
          <w:rFonts w:eastAsia="Cambria"/>
        </w:rPr>
        <w:t>1st</w:t>
      </w:r>
      <w:r w:rsidRPr="0070046C">
        <w:rPr>
          <w:rStyle w:val="Heading5Char"/>
          <w:rFonts w:eastAsia="Cambria"/>
        </w:rPr>
        <w:t xml:space="preserve"> </w:t>
      </w:r>
      <w:r w:rsidR="00CC4BD8" w:rsidRPr="0070046C">
        <w:rPr>
          <w:rStyle w:val="Heading5Char"/>
          <w:rFonts w:eastAsia="Cambria"/>
        </w:rPr>
        <w:t>April 1996 to 31st</w:t>
      </w:r>
      <w:r w:rsidRPr="0070046C">
        <w:rPr>
          <w:rStyle w:val="Heading5Char"/>
          <w:rFonts w:eastAsia="Cambria"/>
        </w:rPr>
        <w:t xml:space="preserve"> </w:t>
      </w:r>
      <w:r w:rsidR="00CC4BD8" w:rsidRPr="0070046C">
        <w:rPr>
          <w:rStyle w:val="Heading5Char"/>
          <w:rFonts w:eastAsia="Cambria"/>
        </w:rPr>
        <w:t>October 2004</w:t>
      </w:r>
    </w:p>
    <w:p w:rsidR="00CC4BD8" w:rsidRDefault="00CC4BD8" w:rsidP="005C3144">
      <w:pPr>
        <w:autoSpaceDE w:val="0"/>
        <w:autoSpaceDN w:val="0"/>
        <w:adjustRightInd w:val="0"/>
        <w:spacing w:line="240" w:lineRule="auto"/>
      </w:pPr>
      <w:r>
        <w:t xml:space="preserve">218 reports (471 events), 121 SAEs. 169 parenteral, 90 IV, 18 IM, 5 SC, 20 </w:t>
      </w:r>
      <w:r w:rsidR="00BF1088">
        <w:t>PO</w:t>
      </w:r>
      <w:r>
        <w:t xml:space="preserve">. </w:t>
      </w:r>
    </w:p>
    <w:p w:rsidR="00CC4BD8" w:rsidRDefault="00D81C12" w:rsidP="005C3144">
      <w:pPr>
        <w:autoSpaceDE w:val="0"/>
        <w:autoSpaceDN w:val="0"/>
        <w:adjustRightInd w:val="0"/>
        <w:spacing w:line="240" w:lineRule="auto"/>
      </w:pPr>
      <w:r>
        <w:t>Six</w:t>
      </w:r>
      <w:r w:rsidR="00BF3AF7">
        <w:t xml:space="preserve"> </w:t>
      </w:r>
      <w:r w:rsidR="00CC4BD8">
        <w:t xml:space="preserve">reported deaths with limited </w:t>
      </w:r>
      <w:r>
        <w:t xml:space="preserve">associated </w:t>
      </w:r>
      <w:r w:rsidR="00CC4BD8">
        <w:t>information.</w:t>
      </w:r>
    </w:p>
    <w:p w:rsidR="00821E37" w:rsidRDefault="00821E37" w:rsidP="005C3144">
      <w:pPr>
        <w:pStyle w:val="Caption"/>
        <w:spacing w:before="0" w:after="120" w:line="240" w:lineRule="auto"/>
        <w:rPr>
          <w:bCs w:val="0"/>
          <w:sz w:val="22"/>
          <w:szCs w:val="22"/>
        </w:rPr>
      </w:pPr>
      <w:r w:rsidRPr="00821E37">
        <w:rPr>
          <w:bCs w:val="0"/>
          <w:sz w:val="22"/>
          <w:szCs w:val="22"/>
        </w:rPr>
        <w:t>A 45</w:t>
      </w:r>
      <w:r>
        <w:rPr>
          <w:bCs w:val="0"/>
          <w:sz w:val="22"/>
          <w:szCs w:val="22"/>
        </w:rPr>
        <w:t xml:space="preserve"> </w:t>
      </w:r>
      <w:r w:rsidRPr="00821E37">
        <w:rPr>
          <w:bCs w:val="0"/>
          <w:sz w:val="22"/>
          <w:szCs w:val="22"/>
        </w:rPr>
        <w:t>year</w:t>
      </w:r>
      <w:r>
        <w:rPr>
          <w:bCs w:val="0"/>
          <w:sz w:val="22"/>
          <w:szCs w:val="22"/>
        </w:rPr>
        <w:t xml:space="preserve"> </w:t>
      </w:r>
      <w:r w:rsidRPr="00821E37">
        <w:rPr>
          <w:bCs w:val="0"/>
          <w:sz w:val="22"/>
          <w:szCs w:val="22"/>
        </w:rPr>
        <w:t>old female patient developed necrotising fasciitis after a single day’s treatment with cyclizine injection.</w:t>
      </w:r>
    </w:p>
    <w:p w:rsidR="00821E37" w:rsidRDefault="00065270" w:rsidP="00765E17">
      <w:pPr>
        <w:pStyle w:val="FigureTitle"/>
        <w:keepNext/>
        <w:spacing w:line="240" w:lineRule="auto"/>
      </w:pPr>
      <w:bookmarkStart w:id="239" w:name="_Toc304266889"/>
      <w:r>
        <w:lastRenderedPageBreak/>
        <w:t>Table 40</w:t>
      </w:r>
      <w:r w:rsidR="00821E37">
        <w:t xml:space="preserve">. Summary of AEs </w:t>
      </w:r>
      <w:r>
        <w:t>(</w:t>
      </w:r>
      <w:r w:rsidR="00821E37">
        <w:t>PSUR April 1996 to October 2004</w:t>
      </w:r>
      <w:bookmarkEnd w:id="239"/>
      <w:r>
        <w:t>)</w:t>
      </w:r>
      <w:r w:rsidR="00821E37">
        <w:t xml:space="preserve"> </w:t>
      </w:r>
    </w:p>
    <w:p w:rsidR="00821E37" w:rsidRDefault="00DE18CA" w:rsidP="00765E17">
      <w:pPr>
        <w:pStyle w:val="FigureTitle"/>
        <w:keepNext/>
        <w:spacing w:line="240" w:lineRule="auto"/>
      </w:pPr>
      <w:r>
        <w:rPr>
          <w:noProof/>
          <w:lang w:eastAsia="en-AU"/>
        </w:rPr>
        <w:drawing>
          <wp:inline distT="0" distB="0" distL="0" distR="0">
            <wp:extent cx="4134485" cy="1514475"/>
            <wp:effectExtent l="19050" t="0" r="0" b="0"/>
            <wp:docPr id="51" name="Picture 51" descr="Tabl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485" cy="1514475"/>
                    </a:xfrm>
                    <a:prstGeom prst="rect">
                      <a:avLst/>
                    </a:prstGeom>
                    <a:noFill/>
                    <a:ln>
                      <a:noFill/>
                    </a:ln>
                  </pic:spPr>
                </pic:pic>
              </a:graphicData>
            </a:graphic>
          </wp:inline>
        </w:drawing>
      </w:r>
      <w:r w:rsidR="00821E37">
        <w:t xml:space="preserve"> </w:t>
      </w:r>
      <w:r>
        <w:rPr>
          <w:noProof/>
          <w:lang w:eastAsia="en-AU"/>
        </w:rPr>
        <w:drawing>
          <wp:inline distT="0" distB="0" distL="0" distR="0">
            <wp:extent cx="4134485" cy="6451600"/>
            <wp:effectExtent l="19050" t="0" r="0" b="0"/>
            <wp:docPr id="52" name="Picture 52" descr="Tabl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485" cy="6451600"/>
                    </a:xfrm>
                    <a:prstGeom prst="rect">
                      <a:avLst/>
                    </a:prstGeom>
                    <a:noFill/>
                    <a:ln>
                      <a:noFill/>
                    </a:ln>
                  </pic:spPr>
                </pic:pic>
              </a:graphicData>
            </a:graphic>
          </wp:inline>
        </w:drawing>
      </w:r>
    </w:p>
    <w:p w:rsidR="00821E37" w:rsidRDefault="00821E37" w:rsidP="00765E17">
      <w:pPr>
        <w:autoSpaceDE w:val="0"/>
        <w:autoSpaceDN w:val="0"/>
        <w:adjustRightInd w:val="0"/>
        <w:spacing w:line="240" w:lineRule="auto"/>
        <w:ind w:left="720"/>
      </w:pPr>
    </w:p>
    <w:p w:rsidR="00821E37" w:rsidRDefault="00065270" w:rsidP="00765E17">
      <w:pPr>
        <w:pStyle w:val="Heading5"/>
        <w:spacing w:line="240" w:lineRule="auto"/>
      </w:pPr>
      <w:r>
        <w:lastRenderedPageBreak/>
        <w:t xml:space="preserve">PSUR </w:t>
      </w:r>
      <w:r w:rsidR="00821E37">
        <w:t>1</w:t>
      </w:r>
      <w:r>
        <w:t xml:space="preserve"> </w:t>
      </w:r>
      <w:r w:rsidR="00821E37">
        <w:t>November 2004 to 30</w:t>
      </w:r>
      <w:r>
        <w:t xml:space="preserve"> </w:t>
      </w:r>
      <w:r w:rsidR="00821E37">
        <w:t xml:space="preserve">June 2008 </w:t>
      </w:r>
    </w:p>
    <w:p w:rsidR="00821E37" w:rsidRDefault="00065270" w:rsidP="00765E17">
      <w:pPr>
        <w:pStyle w:val="FigureTitle"/>
        <w:keepNext/>
        <w:spacing w:line="240" w:lineRule="auto"/>
      </w:pPr>
      <w:bookmarkStart w:id="240" w:name="_Toc304266890"/>
      <w:r>
        <w:t>Table 41</w:t>
      </w:r>
      <w:r w:rsidR="00821E37">
        <w:t xml:space="preserve">. Summary of AEs </w:t>
      </w:r>
      <w:r>
        <w:t>(</w:t>
      </w:r>
      <w:r w:rsidR="00821E37">
        <w:t>PSUR November 2004 to June 2008</w:t>
      </w:r>
      <w:bookmarkEnd w:id="240"/>
      <w:r>
        <w:t>)</w:t>
      </w:r>
      <w:r w:rsidR="00821E37">
        <w:t xml:space="preserve"> </w:t>
      </w:r>
    </w:p>
    <w:p w:rsidR="00821E37" w:rsidRDefault="00DE18CA" w:rsidP="00765E17">
      <w:pPr>
        <w:keepNext/>
        <w:autoSpaceDE w:val="0"/>
        <w:autoSpaceDN w:val="0"/>
        <w:adjustRightInd w:val="0"/>
        <w:spacing w:line="240" w:lineRule="auto"/>
      </w:pPr>
      <w:r>
        <w:rPr>
          <w:noProof/>
          <w:lang w:eastAsia="en-AU"/>
        </w:rPr>
        <w:drawing>
          <wp:inline distT="0" distB="0" distL="0" distR="0">
            <wp:extent cx="4453890" cy="4981575"/>
            <wp:effectExtent l="19050" t="0" r="3810" b="0"/>
            <wp:docPr id="53" name="Picture 53" descr="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3890" cy="4981575"/>
                    </a:xfrm>
                    <a:prstGeom prst="rect">
                      <a:avLst/>
                    </a:prstGeom>
                    <a:noFill/>
                    <a:ln>
                      <a:noFill/>
                    </a:ln>
                  </pic:spPr>
                </pic:pic>
              </a:graphicData>
            </a:graphic>
          </wp:inline>
        </w:drawing>
      </w:r>
    </w:p>
    <w:p w:rsidR="00821E37" w:rsidRPr="00191A74" w:rsidRDefault="00821E37" w:rsidP="005C3144">
      <w:pPr>
        <w:autoSpaceDE w:val="0"/>
        <w:autoSpaceDN w:val="0"/>
        <w:adjustRightInd w:val="0"/>
        <w:spacing w:line="240" w:lineRule="auto"/>
      </w:pPr>
      <w:r w:rsidRPr="00191A74">
        <w:t>See Appendix I for a list of AEs by Preferred Term.</w:t>
      </w:r>
    </w:p>
    <w:p w:rsidR="00821E37" w:rsidRDefault="00821E37" w:rsidP="005C3144">
      <w:pPr>
        <w:spacing w:line="240" w:lineRule="auto"/>
        <w:sectPr w:rsidR="00821E37">
          <w:endnotePr>
            <w:numFmt w:val="decimal"/>
          </w:endnotePr>
          <w:pgSz w:w="11906" w:h="16838"/>
          <w:pgMar w:top="1134" w:right="1134" w:bottom="1134" w:left="1440" w:header="737" w:footer="737" w:gutter="0"/>
          <w:cols w:space="720"/>
        </w:sectPr>
      </w:pPr>
    </w:p>
    <w:p w:rsidR="00821E37" w:rsidRDefault="00B23463" w:rsidP="005C3144">
      <w:pPr>
        <w:autoSpaceDE w:val="0"/>
        <w:autoSpaceDN w:val="0"/>
        <w:adjustRightInd w:val="0"/>
        <w:spacing w:line="240" w:lineRule="auto"/>
        <w:rPr>
          <w:b/>
          <w:bCs/>
          <w:sz w:val="24"/>
          <w:szCs w:val="24"/>
        </w:rPr>
      </w:pPr>
      <w:r w:rsidRPr="0070046C">
        <w:rPr>
          <w:rStyle w:val="Heading5Char"/>
          <w:rFonts w:eastAsia="Cambria"/>
        </w:rPr>
        <w:lastRenderedPageBreak/>
        <w:t xml:space="preserve">PSUR </w:t>
      </w:r>
      <w:r w:rsidR="00821E37" w:rsidRPr="0070046C">
        <w:rPr>
          <w:rStyle w:val="Heading5Char"/>
          <w:rFonts w:eastAsia="Cambria"/>
        </w:rPr>
        <w:t>1</w:t>
      </w:r>
      <w:r w:rsidRPr="0070046C">
        <w:rPr>
          <w:rStyle w:val="Heading5Char"/>
          <w:rFonts w:eastAsia="Cambria"/>
        </w:rPr>
        <w:t xml:space="preserve"> </w:t>
      </w:r>
      <w:r w:rsidR="00821E37" w:rsidRPr="0070046C">
        <w:rPr>
          <w:rStyle w:val="Heading5Char"/>
          <w:rFonts w:eastAsia="Cambria"/>
        </w:rPr>
        <w:t>July 2008 to 31</w:t>
      </w:r>
      <w:r w:rsidRPr="0070046C">
        <w:rPr>
          <w:rStyle w:val="Heading5Char"/>
          <w:rFonts w:eastAsia="Cambria"/>
        </w:rPr>
        <w:t xml:space="preserve"> </w:t>
      </w:r>
      <w:r w:rsidR="00821E37" w:rsidRPr="0070046C">
        <w:rPr>
          <w:rStyle w:val="Heading5Char"/>
          <w:rFonts w:eastAsia="Cambria"/>
        </w:rPr>
        <w:t>January 2010</w:t>
      </w:r>
    </w:p>
    <w:p w:rsidR="00821E37" w:rsidRDefault="00C035AA" w:rsidP="005C3144">
      <w:pPr>
        <w:autoSpaceDE w:val="0"/>
        <w:autoSpaceDN w:val="0"/>
        <w:adjustRightInd w:val="0"/>
        <w:spacing w:line="240" w:lineRule="auto"/>
      </w:pPr>
      <w:r>
        <w:t>It wa</w:t>
      </w:r>
      <w:r w:rsidR="00821E37">
        <w:t xml:space="preserve">s recommended that the </w:t>
      </w:r>
      <w:r w:rsidR="00D81C12">
        <w:t xml:space="preserve">European </w:t>
      </w:r>
      <w:r w:rsidR="00B23463">
        <w:t>Summary of Product Characteristics (</w:t>
      </w:r>
      <w:r w:rsidR="00821E37">
        <w:t>SmPC</w:t>
      </w:r>
      <w:r w:rsidR="00B23463">
        <w:t>)</w:t>
      </w:r>
      <w:r w:rsidR="00821E37">
        <w:t xml:space="preserve"> be updated to include the statement that </w:t>
      </w:r>
      <w:r w:rsidR="00821E37" w:rsidRPr="00B23463">
        <w:rPr>
          <w:i/>
        </w:rPr>
        <w:t>‘rapid IV administration can lead to symptoms similar to overdose’</w:t>
      </w:r>
      <w:r w:rsidR="00821E37">
        <w:t>.</w:t>
      </w:r>
    </w:p>
    <w:p w:rsidR="00821E37" w:rsidRPr="00B23463" w:rsidRDefault="00FD2879" w:rsidP="005C3144">
      <w:pPr>
        <w:pStyle w:val="FigureTitle"/>
        <w:spacing w:line="240" w:lineRule="auto"/>
      </w:pPr>
      <w:bookmarkStart w:id="241" w:name="_Toc304266891"/>
      <w:r>
        <w:t>Table 42</w:t>
      </w:r>
      <w:r w:rsidR="00821E37" w:rsidRPr="00B23463">
        <w:t>.</w:t>
      </w:r>
      <w:r>
        <w:t xml:space="preserve"> </w:t>
      </w:r>
      <w:r w:rsidR="00821E37" w:rsidRPr="00B23463">
        <w:t xml:space="preserve">Summary of AEs </w:t>
      </w:r>
      <w:r w:rsidR="00B23463">
        <w:t>(</w:t>
      </w:r>
      <w:r w:rsidR="00821E37" w:rsidRPr="00B23463">
        <w:t>PSUR July 2008 to January 2010</w:t>
      </w:r>
      <w:r w:rsidR="00B23463">
        <w:t>)</w:t>
      </w:r>
      <w:r w:rsidR="00821E37" w:rsidRPr="00B23463">
        <w:t>.</w:t>
      </w:r>
      <w:bookmarkEnd w:id="241"/>
    </w:p>
    <w:p w:rsidR="00821E37" w:rsidRDefault="00DE18CA" w:rsidP="005C3144">
      <w:pPr>
        <w:autoSpaceDE w:val="0"/>
        <w:autoSpaceDN w:val="0"/>
        <w:adjustRightInd w:val="0"/>
        <w:spacing w:line="240" w:lineRule="auto"/>
      </w:pPr>
      <w:r>
        <w:rPr>
          <w:noProof/>
          <w:lang w:eastAsia="en-AU"/>
        </w:rPr>
        <w:drawing>
          <wp:inline distT="0" distB="0" distL="0" distR="0">
            <wp:extent cx="5071110" cy="4067175"/>
            <wp:effectExtent l="19050" t="0" r="0" b="0"/>
            <wp:docPr id="54" name="Picture 54" descr="T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1110" cy="4067175"/>
                    </a:xfrm>
                    <a:prstGeom prst="rect">
                      <a:avLst/>
                    </a:prstGeom>
                    <a:noFill/>
                    <a:ln>
                      <a:noFill/>
                    </a:ln>
                  </pic:spPr>
                </pic:pic>
              </a:graphicData>
            </a:graphic>
          </wp:inline>
        </w:drawing>
      </w:r>
    </w:p>
    <w:p w:rsidR="00821E37" w:rsidRPr="00E91315" w:rsidRDefault="00821E37" w:rsidP="005C3144">
      <w:pPr>
        <w:spacing w:line="240" w:lineRule="auto"/>
      </w:pPr>
      <w:r w:rsidRPr="00E91315">
        <w:t>See Appendix II for a list of AEs by Preferred Term.</w:t>
      </w:r>
    </w:p>
    <w:p w:rsidR="00821E37" w:rsidRPr="00C035AA" w:rsidRDefault="0070046C" w:rsidP="005C3144">
      <w:pPr>
        <w:pStyle w:val="Heading5"/>
        <w:spacing w:line="240" w:lineRule="auto"/>
      </w:pPr>
      <w:bookmarkStart w:id="242" w:name="_Toc304266799"/>
      <w:bookmarkStart w:id="243" w:name="_Ref272333005"/>
      <w:bookmarkStart w:id="244" w:name="_Toc272414680"/>
      <w:bookmarkStart w:id="245" w:name="_Toc273018243"/>
      <w:r>
        <w:t>S</w:t>
      </w:r>
      <w:r w:rsidRPr="00C035AA">
        <w:t>pecific safety issues of regulatory importance</w:t>
      </w:r>
      <w:bookmarkEnd w:id="242"/>
      <w:bookmarkEnd w:id="243"/>
      <w:bookmarkEnd w:id="244"/>
      <w:bookmarkEnd w:id="245"/>
    </w:p>
    <w:p w:rsidR="00821E37" w:rsidRPr="00C035AA" w:rsidRDefault="00821E37" w:rsidP="005C3144">
      <w:pPr>
        <w:pStyle w:val="Heading6"/>
        <w:spacing w:line="240" w:lineRule="auto"/>
      </w:pPr>
      <w:bookmarkStart w:id="246" w:name="_Toc304266800"/>
      <w:bookmarkStart w:id="247" w:name="_Toc272414681"/>
      <w:bookmarkStart w:id="248" w:name="_Toc273018244"/>
      <w:r w:rsidRPr="00C035AA">
        <w:t>Liver toxicity</w:t>
      </w:r>
      <w:bookmarkEnd w:id="246"/>
      <w:bookmarkEnd w:id="247"/>
      <w:bookmarkEnd w:id="248"/>
    </w:p>
    <w:p w:rsidR="00821E37" w:rsidRPr="00C035AA" w:rsidRDefault="00821E37" w:rsidP="005C3144">
      <w:pPr>
        <w:autoSpaceDE w:val="0"/>
        <w:autoSpaceDN w:val="0"/>
        <w:adjustRightInd w:val="0"/>
        <w:spacing w:line="240" w:lineRule="auto"/>
      </w:pPr>
      <w:r w:rsidRPr="00C035AA">
        <w:t>None reported in literature.</w:t>
      </w:r>
    </w:p>
    <w:p w:rsidR="00821E37" w:rsidRPr="00C035AA" w:rsidRDefault="00821E37" w:rsidP="005C3144">
      <w:pPr>
        <w:pStyle w:val="Heading6"/>
        <w:spacing w:line="240" w:lineRule="auto"/>
      </w:pPr>
      <w:bookmarkStart w:id="249" w:name="_Toc304266801"/>
      <w:bookmarkStart w:id="250" w:name="_Toc272414682"/>
      <w:bookmarkStart w:id="251" w:name="_Toc273018245"/>
      <w:r w:rsidRPr="00C035AA">
        <w:t>Haematological toxicity</w:t>
      </w:r>
      <w:bookmarkEnd w:id="249"/>
      <w:bookmarkEnd w:id="250"/>
      <w:bookmarkEnd w:id="251"/>
    </w:p>
    <w:p w:rsidR="00821E37" w:rsidRPr="00C035AA" w:rsidRDefault="00821E37" w:rsidP="005C3144">
      <w:pPr>
        <w:spacing w:line="240" w:lineRule="auto"/>
      </w:pPr>
      <w:r w:rsidRPr="00C035AA">
        <w:rPr>
          <w:rFonts w:eastAsia="Calibri"/>
          <w:color w:val="000000"/>
        </w:rPr>
        <w:t xml:space="preserve">Agranulocytosis. </w:t>
      </w:r>
    </w:p>
    <w:p w:rsidR="00821E37" w:rsidRPr="00C035AA" w:rsidRDefault="00821E37" w:rsidP="005C3144">
      <w:pPr>
        <w:pStyle w:val="Heading6"/>
        <w:spacing w:line="240" w:lineRule="auto"/>
      </w:pPr>
      <w:bookmarkStart w:id="252" w:name="_Toc304266802"/>
      <w:bookmarkStart w:id="253" w:name="_Toc272414683"/>
      <w:bookmarkStart w:id="254" w:name="_Toc273018246"/>
      <w:r w:rsidRPr="00C035AA">
        <w:t>Serious skin reactions</w:t>
      </w:r>
      <w:bookmarkEnd w:id="252"/>
      <w:r w:rsidRPr="00C035AA">
        <w:t xml:space="preserve"> </w:t>
      </w:r>
    </w:p>
    <w:p w:rsidR="00821E37" w:rsidRPr="00C035AA" w:rsidRDefault="00821E37" w:rsidP="005C3144">
      <w:pPr>
        <w:autoSpaceDE w:val="0"/>
        <w:autoSpaceDN w:val="0"/>
        <w:adjustRightInd w:val="0"/>
        <w:spacing w:line="240" w:lineRule="auto"/>
      </w:pPr>
      <w:r w:rsidRPr="00C035AA">
        <w:t>None reported in literature.</w:t>
      </w:r>
    </w:p>
    <w:p w:rsidR="00821E37" w:rsidRPr="00C035AA" w:rsidRDefault="00821E37" w:rsidP="005C3144">
      <w:pPr>
        <w:pStyle w:val="Heading6"/>
        <w:spacing w:line="240" w:lineRule="auto"/>
      </w:pPr>
      <w:bookmarkStart w:id="255" w:name="_Toc304266803"/>
      <w:r w:rsidRPr="00C035AA">
        <w:t>Injection site reactions</w:t>
      </w:r>
      <w:bookmarkEnd w:id="253"/>
      <w:bookmarkEnd w:id="254"/>
      <w:bookmarkEnd w:id="255"/>
    </w:p>
    <w:p w:rsidR="00821E37" w:rsidRPr="00C035AA" w:rsidRDefault="00821E37" w:rsidP="005C3144">
      <w:pPr>
        <w:spacing w:line="240" w:lineRule="auto"/>
      </w:pPr>
      <w:r w:rsidRPr="00C035AA">
        <w:t xml:space="preserve">Moore </w:t>
      </w:r>
      <w:r w:rsidR="00B23463" w:rsidRPr="00B23463">
        <w:rPr>
          <w:i/>
        </w:rPr>
        <w:t>et al</w:t>
      </w:r>
      <w:r w:rsidR="00B23463">
        <w:t xml:space="preserve">., </w:t>
      </w:r>
      <w:r w:rsidRPr="00C035AA">
        <w:t xml:space="preserve">1956 reported seeing none in that study but referred to seeing it previously. O'Brien </w:t>
      </w:r>
      <w:r w:rsidR="00B23463" w:rsidRPr="00B23463">
        <w:rPr>
          <w:i/>
        </w:rPr>
        <w:t>et al</w:t>
      </w:r>
      <w:r w:rsidR="00B23463">
        <w:t xml:space="preserve">., </w:t>
      </w:r>
      <w:r w:rsidRPr="00C035AA">
        <w:t xml:space="preserve">2003 reported </w:t>
      </w:r>
      <w:r w:rsidR="00C035AA" w:rsidRPr="00C035AA">
        <w:t>that p</w:t>
      </w:r>
      <w:r w:rsidRPr="00C035AA">
        <w:t>ain on injection (IV) was recorded only in those receiving cyclizine (p &lt; 0.001). It is possible that IM injections have their sensation modified by the drug’s local anaesthetic properties.</w:t>
      </w:r>
    </w:p>
    <w:p w:rsidR="00821E37" w:rsidRPr="00C035AA" w:rsidRDefault="00C035AA" w:rsidP="005C3144">
      <w:pPr>
        <w:spacing w:line="240" w:lineRule="auto"/>
      </w:pPr>
      <w:r>
        <w:t>It is reported in the 1996-</w:t>
      </w:r>
      <w:r w:rsidR="00821E37" w:rsidRPr="00C035AA">
        <w:t>2004 PSUR:</w:t>
      </w:r>
    </w:p>
    <w:p w:rsidR="00821E37" w:rsidRPr="00C035AA" w:rsidRDefault="00C035AA" w:rsidP="005C3144">
      <w:pPr>
        <w:spacing w:line="240" w:lineRule="auto"/>
        <w:ind w:left="284"/>
        <w:rPr>
          <w:i/>
        </w:rPr>
      </w:pPr>
      <w:r>
        <w:rPr>
          <w:i/>
        </w:rPr>
        <w:t>“</w:t>
      </w:r>
      <w:r w:rsidR="00821E37" w:rsidRPr="00C035AA">
        <w:rPr>
          <w:i/>
        </w:rPr>
        <w:t xml:space="preserve">There were six reports of phlebitis/thrombophlebitis and three of injection site necrosis. Other reports described pain, erythema, inflammation, vein tracking and stinging or </w:t>
      </w:r>
      <w:r w:rsidR="00821E37" w:rsidRPr="00C035AA">
        <w:rPr>
          <w:i/>
        </w:rPr>
        <w:lastRenderedPageBreak/>
        <w:t xml:space="preserve">burning sensations. A single report of abscess involved subcutaneous infusion into the upper arms over a period of three weeks. A further nine reports of injection site reactions were included in the previous PSUR. </w:t>
      </w:r>
    </w:p>
    <w:p w:rsidR="00821E37" w:rsidRPr="00C035AA" w:rsidRDefault="00821E37" w:rsidP="005C3144">
      <w:pPr>
        <w:spacing w:line="240" w:lineRule="auto"/>
        <w:ind w:left="284"/>
        <w:rPr>
          <w:i/>
        </w:rPr>
      </w:pPr>
      <w:r w:rsidRPr="00C035AA">
        <w:rPr>
          <w:i/>
        </w:rPr>
        <w:t xml:space="preserve">It is possible that some of these cases may have been a consequence of administration of </w:t>
      </w:r>
      <w:r w:rsidR="00255851">
        <w:rPr>
          <w:i/>
        </w:rPr>
        <w:t>Valoid</w:t>
      </w:r>
      <w:r w:rsidRPr="00C035AA">
        <w:rPr>
          <w:i/>
        </w:rPr>
        <w:t xml:space="preserve"> with saline-containing solutions. Cyclizine has a pH of 3.3-3.7, and is known to be incompatible with solutions with a pH of 6.8 and above. Any solution with significant concentrations of chloride ions, including normal saline, may lead to the precipitation of the less soluble cyclizine hydrochloride.</w:t>
      </w:r>
      <w:r w:rsidR="00C035AA" w:rsidRPr="00C035AA">
        <w:rPr>
          <w:i/>
        </w:rPr>
        <w:t>”</w:t>
      </w:r>
    </w:p>
    <w:p w:rsidR="00821E37" w:rsidRPr="00C035AA" w:rsidRDefault="00B23463" w:rsidP="005C3144">
      <w:pPr>
        <w:spacing w:line="240" w:lineRule="auto"/>
        <w:rPr>
          <w:rFonts w:cs="Times New Roman"/>
        </w:rPr>
      </w:pPr>
      <w:r>
        <w:t>Two</w:t>
      </w:r>
      <w:r w:rsidR="00821E37" w:rsidRPr="00C035AA">
        <w:t xml:space="preserve"> reports of AEs associated with </w:t>
      </w:r>
      <w:r w:rsidR="00821E37" w:rsidRPr="00C035AA">
        <w:rPr>
          <w:b/>
        </w:rPr>
        <w:t>long-term use</w:t>
      </w:r>
      <w:r w:rsidR="00821E37" w:rsidRPr="00C035AA">
        <w:t xml:space="preserve"> of cyclizine injection:</w:t>
      </w:r>
    </w:p>
    <w:p w:rsidR="00821E37" w:rsidRPr="00C035AA" w:rsidRDefault="00821E37" w:rsidP="005C3144">
      <w:pPr>
        <w:pStyle w:val="ListBullet"/>
        <w:spacing w:after="120" w:line="240" w:lineRule="auto"/>
      </w:pPr>
      <w:r w:rsidRPr="00C035AA">
        <w:t xml:space="preserve">A 38-year-old female on cyclizine IM </w:t>
      </w:r>
      <w:r w:rsidR="00B23463">
        <w:t xml:space="preserve">three times daily (TDS) </w:t>
      </w:r>
      <w:r w:rsidRPr="00C035AA">
        <w:t>for five years developed lesions on the legs</w:t>
      </w:r>
      <w:r w:rsidR="00D81C12">
        <w:t>;</w:t>
      </w:r>
      <w:r w:rsidRPr="00C035AA">
        <w:t xml:space="preserve"> biopsy showed fasciitis and myositis. Serum</w:t>
      </w:r>
      <w:r w:rsidR="00B23463">
        <w:t xml:space="preserve"> creatinine kinase was elevated</w:t>
      </w:r>
    </w:p>
    <w:p w:rsidR="00C035AA" w:rsidRPr="00FD2879" w:rsidRDefault="00821E37" w:rsidP="005C3144">
      <w:pPr>
        <w:pStyle w:val="ListBullet"/>
        <w:spacing w:after="120" w:line="240" w:lineRule="auto"/>
        <w:rPr>
          <w:b/>
        </w:rPr>
      </w:pPr>
      <w:r w:rsidRPr="00C035AA">
        <w:t xml:space="preserve">A male with terminal cancer on IM </w:t>
      </w:r>
      <w:r w:rsidR="00255851">
        <w:t>Valoid</w:t>
      </w:r>
      <w:r w:rsidR="00B23463">
        <w:t xml:space="preserve"> </w:t>
      </w:r>
      <w:r w:rsidRPr="00C035AA">
        <w:t xml:space="preserve">50 mg for some months reported that the injection had caused damage to the muscles around the site of injection. The patient described the event as necrosis and reported that he had to undergo surgical removal of the dead tissue from the arm. </w:t>
      </w:r>
      <w:bookmarkStart w:id="256" w:name="_Toc304266804"/>
      <w:bookmarkStart w:id="257" w:name="_Toc272414684"/>
      <w:bookmarkStart w:id="258" w:name="_Toc273018247"/>
    </w:p>
    <w:p w:rsidR="00821E37" w:rsidRPr="00FD2879" w:rsidRDefault="00821E37" w:rsidP="005C3144">
      <w:pPr>
        <w:pStyle w:val="Heading6"/>
        <w:spacing w:line="240" w:lineRule="auto"/>
      </w:pPr>
      <w:r w:rsidRPr="00FD2879">
        <w:t>Cardiovascular safety</w:t>
      </w:r>
      <w:bookmarkEnd w:id="256"/>
      <w:bookmarkEnd w:id="257"/>
      <w:bookmarkEnd w:id="258"/>
    </w:p>
    <w:p w:rsidR="00821E37" w:rsidRPr="00C035AA" w:rsidRDefault="00821E37" w:rsidP="005C3144">
      <w:pPr>
        <w:spacing w:line="240" w:lineRule="auto"/>
      </w:pPr>
      <w:r w:rsidRPr="00C035AA">
        <w:t>Significantly increased systemic and pulmonary arterial pressures and right and left ventricular filling pressures in patients with heart failure.</w:t>
      </w:r>
    </w:p>
    <w:p w:rsidR="00821E37" w:rsidRPr="00C035AA" w:rsidRDefault="00821E37" w:rsidP="005C3144">
      <w:pPr>
        <w:pStyle w:val="Heading6"/>
        <w:spacing w:line="240" w:lineRule="auto"/>
      </w:pPr>
      <w:bookmarkStart w:id="259" w:name="_Toc304266805"/>
      <w:bookmarkStart w:id="260" w:name="_Toc241374323"/>
      <w:bookmarkStart w:id="261" w:name="_Toc272414685"/>
      <w:bookmarkStart w:id="262" w:name="_Toc273018248"/>
      <w:r w:rsidRPr="00C035AA">
        <w:t>Unwanted immunological events</w:t>
      </w:r>
      <w:bookmarkEnd w:id="259"/>
      <w:bookmarkEnd w:id="260"/>
      <w:bookmarkEnd w:id="261"/>
      <w:bookmarkEnd w:id="262"/>
    </w:p>
    <w:p w:rsidR="00821E37" w:rsidRPr="00C035AA" w:rsidRDefault="00821E37" w:rsidP="005C3144">
      <w:pPr>
        <w:spacing w:line="240" w:lineRule="auto"/>
      </w:pPr>
      <w:r w:rsidRPr="00C035AA">
        <w:t>Agranulocytosis.</w:t>
      </w:r>
    </w:p>
    <w:p w:rsidR="00821E37" w:rsidRPr="00C035AA" w:rsidRDefault="0070046C" w:rsidP="005C3144">
      <w:pPr>
        <w:pStyle w:val="Heading5"/>
        <w:spacing w:line="240" w:lineRule="auto"/>
      </w:pPr>
      <w:bookmarkStart w:id="263" w:name="_Toc304266806"/>
      <w:bookmarkStart w:id="264" w:name="_Toc272414686"/>
      <w:bookmarkStart w:id="265" w:name="_Ref273005527"/>
      <w:bookmarkStart w:id="266" w:name="_Toc273018249"/>
      <w:r>
        <w:t>O</w:t>
      </w:r>
      <w:r w:rsidRPr="00C035AA">
        <w:t>ther safety issues</w:t>
      </w:r>
      <w:bookmarkEnd w:id="263"/>
      <w:bookmarkEnd w:id="264"/>
      <w:bookmarkEnd w:id="265"/>
      <w:bookmarkEnd w:id="266"/>
    </w:p>
    <w:p w:rsidR="00821E37" w:rsidRPr="00C035AA" w:rsidRDefault="00821E37" w:rsidP="005C3144">
      <w:pPr>
        <w:pStyle w:val="Heading6"/>
        <w:spacing w:line="240" w:lineRule="auto"/>
      </w:pPr>
      <w:bookmarkStart w:id="267" w:name="_Toc304266807"/>
      <w:r w:rsidRPr="00C035AA">
        <w:t>Use in Pregnancy</w:t>
      </w:r>
      <w:bookmarkEnd w:id="267"/>
    </w:p>
    <w:p w:rsidR="00FD2879" w:rsidRDefault="00821E37" w:rsidP="005C3144">
      <w:pPr>
        <w:spacing w:line="240" w:lineRule="auto"/>
      </w:pPr>
      <w:r>
        <w:t xml:space="preserve">The relevant references are listed </w:t>
      </w:r>
      <w:r w:rsidR="00FD2879">
        <w:t>in Table 43, below</w:t>
      </w:r>
      <w:r>
        <w:t xml:space="preserve">. The evaluator has concerns at accepting the </w:t>
      </w:r>
      <w:r w:rsidR="00FD2879">
        <w:t xml:space="preserve">data from </w:t>
      </w:r>
      <w:r>
        <w:t xml:space="preserve">McBride </w:t>
      </w:r>
      <w:r w:rsidR="00FD2879">
        <w:t>1969, 1963</w:t>
      </w:r>
      <w:r>
        <w:t xml:space="preserve">. </w:t>
      </w:r>
    </w:p>
    <w:p w:rsidR="00821E37" w:rsidRDefault="00821E37" w:rsidP="005C3144">
      <w:pPr>
        <w:spacing w:line="240" w:lineRule="auto"/>
      </w:pPr>
      <w:r>
        <w:t>The studies only looked at congenital anomalies</w:t>
      </w:r>
      <w:r w:rsidR="00FD2879">
        <w:t>.</w:t>
      </w:r>
      <w:r>
        <w:t xml:space="preserve"> </w:t>
      </w:r>
      <w:r w:rsidR="00FD2879">
        <w:t>W</w:t>
      </w:r>
      <w:r>
        <w:t xml:space="preserve">hile cyclizine is more likely to be used in early pregnancy the possibility of withdrawal symptoms in the neonates of mothers using it late in pregnancy does not appear to have been considered. In the absence of </w:t>
      </w:r>
      <w:r w:rsidR="00FD2879">
        <w:t xml:space="preserve">the data from </w:t>
      </w:r>
      <w:r>
        <w:t>McBride</w:t>
      </w:r>
      <w:r w:rsidR="00FD2879">
        <w:t>,</w:t>
      </w:r>
      <w:r>
        <w:t xml:space="preserve"> there were in the submission only 111 pregnant patients who were reviewed after taking cyclizine. </w:t>
      </w:r>
      <w:r w:rsidR="00FD2879">
        <w:t>A</w:t>
      </w:r>
      <w:r>
        <w:t xml:space="preserve">dditional data </w:t>
      </w:r>
      <w:r w:rsidR="00FD2879">
        <w:t xml:space="preserve">was contained in the paper by Asker </w:t>
      </w:r>
      <w:r w:rsidR="00FD2879" w:rsidRPr="00FD2879">
        <w:rPr>
          <w:i/>
        </w:rPr>
        <w:t>et al</w:t>
      </w:r>
      <w:r w:rsidR="00FD2879">
        <w:rPr>
          <w:i/>
        </w:rPr>
        <w:t>.,</w:t>
      </w:r>
      <w:r w:rsidR="00FD2879">
        <w:t xml:space="preserve"> 2005, which was provided on request from the TGA</w:t>
      </w:r>
      <w:r>
        <w:t>.</w:t>
      </w:r>
    </w:p>
    <w:p w:rsidR="00821E37" w:rsidRDefault="00821E37" w:rsidP="005C3144">
      <w:pPr>
        <w:spacing w:line="240" w:lineRule="auto"/>
        <w:rPr>
          <w:b/>
        </w:rPr>
      </w:pPr>
      <w:r>
        <w:rPr>
          <w:rFonts w:eastAsia="Calibri"/>
          <w:b/>
        </w:rPr>
        <w:t xml:space="preserve">Milkovich </w:t>
      </w:r>
      <w:r w:rsidRPr="00FD2879">
        <w:rPr>
          <w:rFonts w:eastAsia="Calibri"/>
          <w:b/>
          <w:i/>
        </w:rPr>
        <w:t>et al</w:t>
      </w:r>
      <w:r w:rsidR="00FD2879">
        <w:rPr>
          <w:rFonts w:eastAsia="Calibri"/>
          <w:b/>
        </w:rPr>
        <w:t>.,</w:t>
      </w:r>
      <w:r>
        <w:rPr>
          <w:rFonts w:eastAsia="Calibri"/>
          <w:b/>
        </w:rPr>
        <w:t xml:space="preserve"> 1976</w:t>
      </w:r>
      <w:r w:rsidR="00EE4A28">
        <w:rPr>
          <w:rFonts w:eastAsia="Calibri"/>
          <w:b/>
        </w:rPr>
        <w:t>:</w:t>
      </w:r>
    </w:p>
    <w:p w:rsidR="00821E37" w:rsidRDefault="00821E37" w:rsidP="005C3144">
      <w:pPr>
        <w:spacing w:line="240" w:lineRule="auto"/>
      </w:pPr>
      <w:r>
        <w:t>While the results contain no signal for cyclizine the study contained only 111 p</w:t>
      </w:r>
      <w:r w:rsidR="00FD2879">
        <w:t>atients who had taken cyclizine</w:t>
      </w:r>
      <w:r>
        <w:t xml:space="preserve">, and the </w:t>
      </w:r>
      <w:r w:rsidR="00FD2879">
        <w:t xml:space="preserve">standard error (of the mean) </w:t>
      </w:r>
      <w:r>
        <w:t xml:space="preserve">for the </w:t>
      </w:r>
      <w:r w:rsidRPr="00FD2879">
        <w:rPr>
          <w:i/>
        </w:rPr>
        <w:t>Severe congenital</w:t>
      </w:r>
      <w:r>
        <w:t xml:space="preserve"> </w:t>
      </w:r>
      <w:r w:rsidRPr="00FD2879">
        <w:rPr>
          <w:i/>
        </w:rPr>
        <w:t>anomaly</w:t>
      </w:r>
      <w:r>
        <w:t xml:space="preserve"> </w:t>
      </w:r>
      <w:r w:rsidR="00FD2879">
        <w:t xml:space="preserve">(SCA) </w:t>
      </w:r>
      <w:r>
        <w:t>rate at 5</w:t>
      </w:r>
      <w:r w:rsidR="00C035AA">
        <w:t xml:space="preserve"> </w:t>
      </w:r>
      <w:r>
        <w:t>y</w:t>
      </w:r>
      <w:r w:rsidR="00C035AA">
        <w:t>ears</w:t>
      </w:r>
      <w:r>
        <w:t xml:space="preserve"> was comparatively high.</w:t>
      </w:r>
    </w:p>
    <w:p w:rsidR="00821E37" w:rsidRDefault="00FD2879" w:rsidP="005C3144">
      <w:pPr>
        <w:pStyle w:val="FigureTitle"/>
        <w:keepNext/>
        <w:spacing w:line="240" w:lineRule="auto"/>
      </w:pPr>
      <w:bookmarkStart w:id="268" w:name="_Toc304266892"/>
      <w:r>
        <w:lastRenderedPageBreak/>
        <w:t>Table 43</w:t>
      </w:r>
      <w:r w:rsidR="00821E37">
        <w:t xml:space="preserve">. Severe congenital anomaly (SCA) rates* </w:t>
      </w:r>
      <w:r w:rsidR="00EE4A28">
        <w:t>for children at ages 1 month, 1 </w:t>
      </w:r>
      <w:r w:rsidR="00821E37">
        <w:t>year, and 5 years according to the nausea and vomiting (N/V) complaints of their mothers and the drugs prescribed for the complaints within 84 days from their last menstrual period (LMP)</w:t>
      </w:r>
      <w:r w:rsidR="00821E37">
        <w:rPr>
          <w:rFonts w:eastAsia="Calibri"/>
        </w:rPr>
        <w:t xml:space="preserve"> </w:t>
      </w:r>
      <w:bookmarkEnd w:id="268"/>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6"/>
        <w:gridCol w:w="1559"/>
        <w:gridCol w:w="991"/>
        <w:gridCol w:w="993"/>
        <w:gridCol w:w="994"/>
        <w:gridCol w:w="1556"/>
      </w:tblGrid>
      <w:tr w:rsidR="00FD2879" w:rsidRPr="00FD2879" w:rsidTr="00FD2879">
        <w:tc>
          <w:tcPr>
            <w:tcW w:w="1342" w:type="pct"/>
            <w:vMerge w:val="restart"/>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 xml:space="preserve">Nausea and vomiting </w:t>
            </w:r>
            <w:r w:rsidR="00FD2879" w:rsidRPr="00FD2879">
              <w:rPr>
                <w:b/>
                <w:sz w:val="20"/>
                <w:szCs w:val="20"/>
              </w:rPr>
              <w:t xml:space="preserve">(N/V) </w:t>
            </w:r>
            <w:r w:rsidRPr="00FD2879">
              <w:rPr>
                <w:b/>
                <w:sz w:val="20"/>
                <w:szCs w:val="20"/>
              </w:rPr>
              <w:t>status</w:t>
            </w:r>
          </w:p>
        </w:tc>
        <w:tc>
          <w:tcPr>
            <w:tcW w:w="936" w:type="pct"/>
            <w:vMerge w:val="restart"/>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No. of mothers with single live births</w:t>
            </w:r>
          </w:p>
        </w:tc>
        <w:tc>
          <w:tcPr>
            <w:tcW w:w="1788" w:type="pct"/>
            <w:gridSpan w:val="3"/>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SCA rate per 100 children at ages</w:t>
            </w:r>
          </w:p>
        </w:tc>
        <w:tc>
          <w:tcPr>
            <w:tcW w:w="935" w:type="pct"/>
            <w:vMerge w:val="restart"/>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Standard error for SCA rate at 5</w:t>
            </w:r>
            <w:r w:rsidR="00FD2879">
              <w:rPr>
                <w:b/>
                <w:sz w:val="20"/>
                <w:szCs w:val="20"/>
              </w:rPr>
              <w:t xml:space="preserve"> years</w:t>
            </w:r>
          </w:p>
        </w:tc>
      </w:tr>
      <w:tr w:rsidR="00FD2879" w:rsidRPr="00FD2879" w:rsidTr="00FD2879">
        <w:tc>
          <w:tcPr>
            <w:tcW w:w="1342" w:type="pct"/>
            <w:vMerge/>
            <w:tcBorders>
              <w:top w:val="single" w:sz="4" w:space="0" w:color="auto"/>
              <w:left w:val="single" w:sz="4" w:space="0" w:color="auto"/>
              <w:bottom w:val="single" w:sz="4" w:space="0" w:color="auto"/>
              <w:right w:val="single" w:sz="4" w:space="0" w:color="auto"/>
            </w:tcBorders>
            <w:vAlign w:val="center"/>
            <w:hideMark/>
          </w:tcPr>
          <w:p w:rsidR="00821E37" w:rsidRPr="00FD2879" w:rsidRDefault="00821E37" w:rsidP="005C3144">
            <w:pPr>
              <w:keepNext/>
              <w:spacing w:line="240" w:lineRule="auto"/>
              <w:rPr>
                <w:b/>
                <w:kern w:val="16"/>
                <w:sz w:val="20"/>
                <w:szCs w:val="20"/>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rsidR="00821E37" w:rsidRPr="00FD2879" w:rsidRDefault="00821E37" w:rsidP="005C3144">
            <w:pPr>
              <w:keepNext/>
              <w:spacing w:line="240" w:lineRule="auto"/>
              <w:rPr>
                <w:b/>
                <w:kern w:val="16"/>
                <w:sz w:val="20"/>
                <w:szCs w:val="20"/>
              </w:rPr>
            </w:pPr>
          </w:p>
        </w:tc>
        <w:tc>
          <w:tcPr>
            <w:tcW w:w="595" w:type="pct"/>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1</w:t>
            </w:r>
            <w:r w:rsidR="00FD2879">
              <w:rPr>
                <w:b/>
                <w:sz w:val="20"/>
                <w:szCs w:val="20"/>
              </w:rPr>
              <w:t xml:space="preserve"> </w:t>
            </w:r>
            <w:r w:rsidRPr="00FD2879">
              <w:rPr>
                <w:b/>
                <w:sz w:val="20"/>
                <w:szCs w:val="20"/>
              </w:rPr>
              <w:t>mo</w:t>
            </w:r>
            <w:r w:rsidR="00FD2879">
              <w:rPr>
                <w:b/>
                <w:sz w:val="20"/>
                <w:szCs w:val="20"/>
              </w:rPr>
              <w:t>nth</w:t>
            </w:r>
          </w:p>
        </w:tc>
        <w:tc>
          <w:tcPr>
            <w:tcW w:w="596" w:type="pct"/>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1</w:t>
            </w:r>
            <w:r w:rsidR="00FD2879">
              <w:rPr>
                <w:b/>
                <w:sz w:val="20"/>
                <w:szCs w:val="20"/>
              </w:rPr>
              <w:t xml:space="preserve"> </w:t>
            </w:r>
            <w:r w:rsidRPr="00FD2879">
              <w:rPr>
                <w:b/>
                <w:sz w:val="20"/>
                <w:szCs w:val="20"/>
              </w:rPr>
              <w:t>y</w:t>
            </w:r>
            <w:r w:rsidR="00FD2879">
              <w:rPr>
                <w:b/>
                <w:sz w:val="20"/>
                <w:szCs w:val="20"/>
              </w:rPr>
              <w:t>ear</w:t>
            </w:r>
            <w:r w:rsidRPr="00FD2879">
              <w:rPr>
                <w:b/>
                <w:sz w:val="20"/>
                <w:szCs w:val="20"/>
              </w:rPr>
              <w:t>.</w:t>
            </w:r>
          </w:p>
        </w:tc>
        <w:tc>
          <w:tcPr>
            <w:tcW w:w="596" w:type="pct"/>
            <w:tcBorders>
              <w:top w:val="single" w:sz="4" w:space="0" w:color="auto"/>
              <w:left w:val="single" w:sz="4" w:space="0" w:color="auto"/>
              <w:bottom w:val="single" w:sz="4" w:space="0" w:color="auto"/>
              <w:right w:val="single" w:sz="4" w:space="0" w:color="auto"/>
            </w:tcBorders>
            <w:hideMark/>
          </w:tcPr>
          <w:p w:rsidR="00821E37" w:rsidRPr="00FD2879"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kern w:val="16"/>
                <w:sz w:val="20"/>
                <w:szCs w:val="20"/>
              </w:rPr>
            </w:pPr>
            <w:r w:rsidRPr="00FD2879">
              <w:rPr>
                <w:b/>
                <w:sz w:val="20"/>
                <w:szCs w:val="20"/>
              </w:rPr>
              <w:t>5</w:t>
            </w:r>
            <w:r w:rsidR="00FD2879">
              <w:rPr>
                <w:b/>
                <w:sz w:val="20"/>
                <w:szCs w:val="20"/>
              </w:rPr>
              <w:t xml:space="preserve"> </w:t>
            </w:r>
            <w:r w:rsidRPr="00FD2879">
              <w:rPr>
                <w:b/>
                <w:sz w:val="20"/>
                <w:szCs w:val="20"/>
              </w:rPr>
              <w:t>y</w:t>
            </w:r>
            <w:r w:rsidR="00FD2879">
              <w:rPr>
                <w:b/>
                <w:sz w:val="20"/>
                <w:szCs w:val="20"/>
              </w:rPr>
              <w:t>ears</w:t>
            </w: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821E37" w:rsidRPr="00FD2879" w:rsidRDefault="00821E37" w:rsidP="005C3144">
            <w:pPr>
              <w:keepNext/>
              <w:spacing w:line="240" w:lineRule="auto"/>
              <w:rPr>
                <w:b/>
                <w:kern w:val="16"/>
                <w:sz w:val="20"/>
                <w:szCs w:val="20"/>
              </w:rPr>
            </w:pP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Total</w:t>
            </w:r>
          </w:p>
        </w:tc>
        <w:tc>
          <w:tcPr>
            <w:tcW w:w="93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10,205</w:t>
            </w:r>
          </w:p>
        </w:tc>
        <w:tc>
          <w:tcPr>
            <w:tcW w:w="59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1.5</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2.4</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3.5</w:t>
            </w:r>
          </w:p>
        </w:tc>
        <w:tc>
          <w:tcPr>
            <w:tcW w:w="93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0.18</w:t>
            </w: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N/V of pregnancy</w:t>
            </w:r>
          </w:p>
        </w:tc>
        <w:tc>
          <w:tcPr>
            <w:tcW w:w="93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6,305</w:t>
            </w:r>
          </w:p>
        </w:tc>
        <w:tc>
          <w:tcPr>
            <w:tcW w:w="59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1.6</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2.5</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3.4</w:t>
            </w:r>
          </w:p>
        </w:tc>
        <w:tc>
          <w:tcPr>
            <w:tcW w:w="93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0.23</w:t>
            </w: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Cyclizine</w:t>
            </w:r>
          </w:p>
        </w:tc>
        <w:tc>
          <w:tcPr>
            <w:tcW w:w="93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111</w:t>
            </w:r>
          </w:p>
        </w:tc>
        <w:tc>
          <w:tcPr>
            <w:tcW w:w="59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1.8</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1.8</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3.7</w:t>
            </w:r>
          </w:p>
        </w:tc>
        <w:tc>
          <w:tcPr>
            <w:tcW w:w="93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1.82</w:t>
            </w: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No drug prescribed for N/V</w:t>
            </w:r>
          </w:p>
        </w:tc>
        <w:tc>
          <w:tcPr>
            <w:tcW w:w="93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4,353</w:t>
            </w:r>
          </w:p>
        </w:tc>
        <w:tc>
          <w:tcPr>
            <w:tcW w:w="59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1.5</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2.2</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3.2</w:t>
            </w:r>
          </w:p>
        </w:tc>
        <w:tc>
          <w:tcPr>
            <w:tcW w:w="93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0.27</w:t>
            </w: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No N/V of pregnancy </w:t>
            </w:r>
          </w:p>
        </w:tc>
        <w:tc>
          <w:tcPr>
            <w:tcW w:w="936" w:type="pct"/>
            <w:tcBorders>
              <w:top w:val="single" w:sz="4" w:space="0" w:color="auto"/>
              <w:left w:val="single" w:sz="4" w:space="0" w:color="auto"/>
              <w:bottom w:val="single" w:sz="4" w:space="0" w:color="auto"/>
              <w:right w:val="single" w:sz="4" w:space="0" w:color="auto"/>
            </w:tcBorders>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595" w:type="pct"/>
            <w:tcBorders>
              <w:top w:val="single" w:sz="4" w:space="0" w:color="auto"/>
              <w:left w:val="single" w:sz="4" w:space="0" w:color="auto"/>
              <w:bottom w:val="single" w:sz="4" w:space="0" w:color="auto"/>
              <w:right w:val="single" w:sz="4" w:space="0" w:color="auto"/>
            </w:tcBorders>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596" w:type="pct"/>
            <w:tcBorders>
              <w:top w:val="single" w:sz="4" w:space="0" w:color="auto"/>
              <w:left w:val="single" w:sz="4" w:space="0" w:color="auto"/>
              <w:bottom w:val="single" w:sz="4" w:space="0" w:color="auto"/>
              <w:right w:val="single" w:sz="4" w:space="0" w:color="auto"/>
            </w:tcBorders>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596" w:type="pct"/>
            <w:tcBorders>
              <w:top w:val="single" w:sz="4" w:space="0" w:color="auto"/>
              <w:left w:val="single" w:sz="4" w:space="0" w:color="auto"/>
              <w:bottom w:val="single" w:sz="4" w:space="0" w:color="auto"/>
              <w:right w:val="single" w:sz="4" w:space="0" w:color="auto"/>
            </w:tcBorders>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c>
          <w:tcPr>
            <w:tcW w:w="935" w:type="pct"/>
            <w:tcBorders>
              <w:top w:val="single" w:sz="4" w:space="0" w:color="auto"/>
              <w:left w:val="single" w:sz="4" w:space="0" w:color="auto"/>
              <w:bottom w:val="single" w:sz="4" w:space="0" w:color="auto"/>
              <w:right w:val="single" w:sz="4" w:space="0" w:color="auto"/>
            </w:tcBorders>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Medical record stated no N/V</w:t>
            </w:r>
          </w:p>
        </w:tc>
        <w:tc>
          <w:tcPr>
            <w:tcW w:w="93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1,564</w:t>
            </w:r>
          </w:p>
        </w:tc>
        <w:tc>
          <w:tcPr>
            <w:tcW w:w="59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1.4</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2.4</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3.8</w:t>
            </w:r>
          </w:p>
        </w:tc>
        <w:tc>
          <w:tcPr>
            <w:tcW w:w="93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0.39</w:t>
            </w:r>
          </w:p>
        </w:tc>
      </w:tr>
      <w:tr w:rsidR="00FD2879" w:rsidTr="00FD2879">
        <w:tc>
          <w:tcPr>
            <w:tcW w:w="1342"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Medical record contained no statement</w:t>
            </w:r>
          </w:p>
        </w:tc>
        <w:tc>
          <w:tcPr>
            <w:tcW w:w="93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2,336</w:t>
            </w:r>
          </w:p>
        </w:tc>
        <w:tc>
          <w:tcPr>
            <w:tcW w:w="59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1.4</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2.8</w:t>
            </w:r>
          </w:p>
        </w:tc>
        <w:tc>
          <w:tcPr>
            <w:tcW w:w="596"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3.7</w:t>
            </w:r>
          </w:p>
        </w:tc>
        <w:tc>
          <w:tcPr>
            <w:tcW w:w="935" w:type="pct"/>
            <w:tcBorders>
              <w:top w:val="single" w:sz="4" w:space="0" w:color="auto"/>
              <w:left w:val="single" w:sz="4" w:space="0" w:color="auto"/>
              <w:bottom w:val="single" w:sz="4" w:space="0" w:color="auto"/>
              <w:right w:val="single" w:sz="4" w:space="0" w:color="auto"/>
            </w:tcBorders>
            <w:hideMark/>
          </w:tcPr>
          <w:p w:rsidR="00821E37" w:rsidRDefault="00821E37" w:rsidP="005C314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0.34</w:t>
            </w:r>
          </w:p>
        </w:tc>
      </w:tr>
    </w:tbl>
    <w:p w:rsidR="00821E37" w:rsidRDefault="00821E37" w:rsidP="005C3144">
      <w:pPr>
        <w:spacing w:line="240" w:lineRule="auto"/>
        <w:rPr>
          <w:kern w:val="16"/>
          <w:sz w:val="16"/>
          <w:szCs w:val="16"/>
        </w:rPr>
      </w:pPr>
    </w:p>
    <w:p w:rsidR="00821E37" w:rsidRDefault="00EE4A28" w:rsidP="005C3144">
      <w:pPr>
        <w:pStyle w:val="FigureTitle"/>
        <w:spacing w:line="240" w:lineRule="auto"/>
        <w:rPr>
          <w:sz w:val="24"/>
          <w:szCs w:val="24"/>
        </w:rPr>
      </w:pPr>
      <w:bookmarkStart w:id="269" w:name="_Toc304266893"/>
      <w:r>
        <w:t>Table 44</w:t>
      </w:r>
      <w:r w:rsidR="00821E37">
        <w:t>. SCA rates per 100 live births at 1 month, 1 year, and 5 years of age for children, according to the drug and to the gestational time in pregnancy that the mother was prescribed the drug for N/V of pregnancy.</w:t>
      </w:r>
      <w:bookmarkEnd w:id="269"/>
    </w:p>
    <w:p w:rsidR="00821E37" w:rsidRDefault="00DE18CA" w:rsidP="005C3144">
      <w:pPr>
        <w:spacing w:line="240" w:lineRule="auto"/>
        <w:jc w:val="center"/>
      </w:pPr>
      <w:r>
        <w:rPr>
          <w:noProof/>
          <w:lang w:eastAsia="en-AU"/>
        </w:rPr>
        <w:drawing>
          <wp:inline distT="0" distB="0" distL="0" distR="0">
            <wp:extent cx="3772018" cy="997527"/>
            <wp:effectExtent l="19050" t="0" r="0" b="0"/>
            <wp:docPr id="55" name="Picture 55" descr="Tabl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15" b="74832"/>
                    <a:stretch>
                      <a:fillRect/>
                    </a:stretch>
                  </pic:blipFill>
                  <pic:spPr bwMode="auto">
                    <a:xfrm>
                      <a:off x="0" y="0"/>
                      <a:ext cx="3797189" cy="1004184"/>
                    </a:xfrm>
                    <a:prstGeom prst="rect">
                      <a:avLst/>
                    </a:prstGeom>
                    <a:noFill/>
                    <a:ln>
                      <a:noFill/>
                    </a:ln>
                  </pic:spPr>
                </pic:pic>
              </a:graphicData>
            </a:graphic>
          </wp:inline>
        </w:drawing>
      </w:r>
    </w:p>
    <w:p w:rsidR="00821E37" w:rsidRDefault="00DE18CA" w:rsidP="00741046">
      <w:pPr>
        <w:spacing w:line="240" w:lineRule="auto"/>
        <w:jc w:val="center"/>
        <w:rPr>
          <w:sz w:val="16"/>
          <w:szCs w:val="16"/>
        </w:rPr>
      </w:pPr>
      <w:r>
        <w:rPr>
          <w:noProof/>
          <w:lang w:eastAsia="en-AU"/>
        </w:rPr>
        <w:drawing>
          <wp:inline distT="0" distB="0" distL="0" distR="0">
            <wp:extent cx="3046095" cy="650875"/>
            <wp:effectExtent l="19050" t="0" r="1905" b="0"/>
            <wp:docPr id="56" name="Picture 56" descr="Tabl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9866" r="1750"/>
                    <a:stretch>
                      <a:fillRect/>
                    </a:stretch>
                  </pic:blipFill>
                  <pic:spPr bwMode="auto">
                    <a:xfrm>
                      <a:off x="0" y="0"/>
                      <a:ext cx="3046095" cy="650875"/>
                    </a:xfrm>
                    <a:prstGeom prst="rect">
                      <a:avLst/>
                    </a:prstGeom>
                    <a:noFill/>
                    <a:ln>
                      <a:noFill/>
                    </a:ln>
                  </pic:spPr>
                </pic:pic>
              </a:graphicData>
            </a:graphic>
          </wp:inline>
        </w:drawing>
      </w:r>
    </w:p>
    <w:p w:rsidR="00821E37" w:rsidRDefault="00EE4A28" w:rsidP="005C3144">
      <w:pPr>
        <w:pStyle w:val="FigureTitle"/>
        <w:keepNext/>
        <w:spacing w:line="240" w:lineRule="auto"/>
        <w:rPr>
          <w:sz w:val="24"/>
          <w:szCs w:val="24"/>
        </w:rPr>
      </w:pPr>
      <w:bookmarkStart w:id="270" w:name="_Toc304266894"/>
      <w:r>
        <w:lastRenderedPageBreak/>
        <w:t>Table 45</w:t>
      </w:r>
      <w:r w:rsidR="00821E37">
        <w:t>. Peri natal death rates* and peri natal deaths and severe congenital anomaly (SCA) rates combined according to gravida’s nausea and vomiting (N/V) status and the drugs prescribed for N/V within the first 84 days of pregnancy</w:t>
      </w:r>
      <w:r w:rsidR="00821E37">
        <w:rPr>
          <w:rFonts w:eastAsia="Calibri"/>
        </w:rPr>
        <w:t xml:space="preserve">. </w:t>
      </w:r>
      <w:bookmarkEnd w:id="270"/>
    </w:p>
    <w:p w:rsidR="00821E37" w:rsidRDefault="00DE18CA" w:rsidP="005C3144">
      <w:pPr>
        <w:keepNext/>
        <w:spacing w:line="240" w:lineRule="auto"/>
      </w:pPr>
      <w:r>
        <w:rPr>
          <w:noProof/>
          <w:lang w:eastAsia="en-AU"/>
        </w:rPr>
        <w:drawing>
          <wp:inline distT="0" distB="0" distL="0" distR="0">
            <wp:extent cx="5407660" cy="925830"/>
            <wp:effectExtent l="19050" t="0" r="2540" b="0"/>
            <wp:docPr id="57" name="Picture 57" descr="Tabl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10" b="54443"/>
                    <a:stretch>
                      <a:fillRect/>
                    </a:stretch>
                  </pic:blipFill>
                  <pic:spPr bwMode="auto">
                    <a:xfrm>
                      <a:off x="0" y="0"/>
                      <a:ext cx="5407660" cy="925830"/>
                    </a:xfrm>
                    <a:prstGeom prst="rect">
                      <a:avLst/>
                    </a:prstGeom>
                    <a:noFill/>
                    <a:ln>
                      <a:noFill/>
                    </a:ln>
                  </pic:spPr>
                </pic:pic>
              </a:graphicData>
            </a:graphic>
          </wp:inline>
        </w:drawing>
      </w:r>
    </w:p>
    <w:p w:rsidR="00821E37" w:rsidRDefault="00DE18CA" w:rsidP="005C3144">
      <w:pPr>
        <w:keepNext/>
        <w:spacing w:line="240" w:lineRule="auto"/>
      </w:pPr>
      <w:r>
        <w:rPr>
          <w:noProof/>
          <w:lang w:eastAsia="en-AU"/>
        </w:rPr>
        <w:drawing>
          <wp:inline distT="0" distB="0" distL="0" distR="0">
            <wp:extent cx="5430520" cy="118110"/>
            <wp:effectExtent l="19050" t="0" r="0" b="0"/>
            <wp:docPr id="58" name="Picture 58" descr="Tabl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911" r="1579" b="35126"/>
                    <a:stretch>
                      <a:fillRect/>
                    </a:stretch>
                  </pic:blipFill>
                  <pic:spPr bwMode="auto">
                    <a:xfrm>
                      <a:off x="0" y="0"/>
                      <a:ext cx="5430520" cy="118110"/>
                    </a:xfrm>
                    <a:prstGeom prst="rect">
                      <a:avLst/>
                    </a:prstGeom>
                    <a:noFill/>
                    <a:ln>
                      <a:noFill/>
                    </a:ln>
                  </pic:spPr>
                </pic:pic>
              </a:graphicData>
            </a:graphic>
          </wp:inline>
        </w:drawing>
      </w:r>
    </w:p>
    <w:p w:rsidR="00821E37" w:rsidRDefault="00DE18CA" w:rsidP="005C3144">
      <w:pPr>
        <w:keepNext/>
        <w:spacing w:line="240" w:lineRule="auto"/>
      </w:pPr>
      <w:r>
        <w:rPr>
          <w:noProof/>
          <w:lang w:eastAsia="en-AU"/>
        </w:rPr>
        <w:drawing>
          <wp:inline distT="0" distB="0" distL="0" distR="0">
            <wp:extent cx="5559425" cy="532765"/>
            <wp:effectExtent l="19050" t="0" r="3175" b="0"/>
            <wp:docPr id="59" name="Picture 59" descr="Tabl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763" r="1428"/>
                    <a:stretch>
                      <a:fillRect/>
                    </a:stretch>
                  </pic:blipFill>
                  <pic:spPr bwMode="auto">
                    <a:xfrm>
                      <a:off x="0" y="0"/>
                      <a:ext cx="5559425" cy="532765"/>
                    </a:xfrm>
                    <a:prstGeom prst="rect">
                      <a:avLst/>
                    </a:prstGeom>
                    <a:noFill/>
                    <a:ln>
                      <a:noFill/>
                    </a:ln>
                  </pic:spPr>
                </pic:pic>
              </a:graphicData>
            </a:graphic>
          </wp:inline>
        </w:drawing>
      </w:r>
    </w:p>
    <w:p w:rsidR="00821E37" w:rsidRDefault="00EE4A28" w:rsidP="00741046">
      <w:pPr>
        <w:keepNext/>
        <w:spacing w:line="240" w:lineRule="auto"/>
        <w:rPr>
          <w:sz w:val="16"/>
          <w:szCs w:val="16"/>
        </w:rPr>
      </w:pPr>
      <w:r>
        <w:rPr>
          <w:sz w:val="16"/>
          <w:szCs w:val="16"/>
        </w:rPr>
        <w:t>*F</w:t>
      </w:r>
      <w:r w:rsidR="00821E37">
        <w:rPr>
          <w:sz w:val="16"/>
          <w:szCs w:val="16"/>
        </w:rPr>
        <w:t>etal deaths at 20 weeks and neonatal deaths.</w:t>
      </w:r>
    </w:p>
    <w:p w:rsidR="00821E37" w:rsidRDefault="00EE4A28" w:rsidP="000A22F2">
      <w:pPr>
        <w:pStyle w:val="FigureTitle"/>
        <w:keepNext/>
        <w:spacing w:line="240" w:lineRule="auto"/>
        <w:rPr>
          <w:sz w:val="24"/>
          <w:szCs w:val="24"/>
        </w:rPr>
      </w:pPr>
      <w:bookmarkStart w:id="271" w:name="_Toc304266895"/>
      <w:r>
        <w:t>Table 46. Summary o</w:t>
      </w:r>
      <w:r w:rsidR="00821E37">
        <w:t xml:space="preserve">f </w:t>
      </w:r>
      <w:r>
        <w:t>a</w:t>
      </w:r>
      <w:r w:rsidR="00821E37">
        <w:t xml:space="preserve">ll </w:t>
      </w:r>
      <w:r>
        <w:t>s</w:t>
      </w:r>
      <w:r w:rsidR="00821E37">
        <w:t xml:space="preserve">ubmitted </w:t>
      </w:r>
      <w:r>
        <w:t>s</w:t>
      </w:r>
      <w:r w:rsidR="00821E37">
        <w:t xml:space="preserve">tudies </w:t>
      </w:r>
      <w:r>
        <w:t>r</w:t>
      </w:r>
      <w:r w:rsidR="00821E37">
        <w:t xml:space="preserve">elevant to </w:t>
      </w:r>
      <w:r>
        <w:t>p</w:t>
      </w:r>
      <w:r w:rsidR="00821E37">
        <w:t>regnancy</w:t>
      </w:r>
      <w:bookmarkEnd w:id="271"/>
      <w:r w:rsidR="00765E17">
        <w:t>. Table continued across two pages.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5216"/>
        <w:gridCol w:w="1625"/>
      </w:tblGrid>
      <w:tr w:rsidR="00EE4A28" w:rsidRPr="00EE4A28" w:rsidTr="00EE4A28">
        <w:trPr>
          <w:cantSplit/>
          <w:tblHeader/>
        </w:trPr>
        <w:tc>
          <w:tcPr>
            <w:tcW w:w="1077" w:type="pct"/>
            <w:tcBorders>
              <w:top w:val="single" w:sz="4" w:space="0" w:color="000000"/>
              <w:left w:val="single" w:sz="4" w:space="0" w:color="000000"/>
              <w:bottom w:val="single" w:sz="4" w:space="0" w:color="000000"/>
              <w:right w:val="single" w:sz="4" w:space="0" w:color="000000"/>
            </w:tcBorders>
            <w:hideMark/>
          </w:tcPr>
          <w:p w:rsidR="00EE4A28" w:rsidRPr="00EE4A28" w:rsidRDefault="00EE4A28" w:rsidP="000A22F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b/>
                <w:sz w:val="20"/>
                <w:szCs w:val="20"/>
              </w:rPr>
            </w:pPr>
            <w:r w:rsidRPr="00EE4A28">
              <w:rPr>
                <w:b/>
                <w:sz w:val="20"/>
                <w:szCs w:val="20"/>
              </w:rPr>
              <w:t>Reference</w:t>
            </w:r>
          </w:p>
        </w:tc>
        <w:tc>
          <w:tcPr>
            <w:tcW w:w="2991" w:type="pct"/>
            <w:tcBorders>
              <w:top w:val="single" w:sz="4" w:space="0" w:color="000000"/>
              <w:left w:val="single" w:sz="4" w:space="0" w:color="000000"/>
              <w:bottom w:val="single" w:sz="4" w:space="0" w:color="000000"/>
              <w:right w:val="single" w:sz="4" w:space="0" w:color="000000"/>
            </w:tcBorders>
            <w:hideMark/>
          </w:tcPr>
          <w:p w:rsidR="00EE4A28" w:rsidRPr="00EE4A28" w:rsidRDefault="00EE4A28" w:rsidP="000A22F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sz w:val="20"/>
                <w:szCs w:val="20"/>
              </w:rPr>
            </w:pPr>
            <w:r w:rsidRPr="00EE4A28">
              <w:rPr>
                <w:rFonts w:eastAsia="Calibri"/>
                <w:b/>
                <w:sz w:val="20"/>
                <w:szCs w:val="20"/>
              </w:rPr>
              <w:t>Details</w:t>
            </w:r>
            <w:r w:rsidR="003C4AB7">
              <w:rPr>
                <w:rFonts w:eastAsia="Calibri"/>
                <w:b/>
                <w:sz w:val="20"/>
                <w:szCs w:val="20"/>
              </w:rPr>
              <w:t xml:space="preserve"> and relevant findings.</w:t>
            </w:r>
          </w:p>
        </w:tc>
        <w:tc>
          <w:tcPr>
            <w:tcW w:w="932" w:type="pct"/>
            <w:tcBorders>
              <w:top w:val="single" w:sz="4" w:space="0" w:color="000000"/>
              <w:left w:val="single" w:sz="4" w:space="0" w:color="000000"/>
              <w:bottom w:val="single" w:sz="4" w:space="0" w:color="000000"/>
              <w:right w:val="single" w:sz="4" w:space="0" w:color="000000"/>
            </w:tcBorders>
            <w:hideMark/>
          </w:tcPr>
          <w:p w:rsidR="00EE4A28" w:rsidRPr="00EE4A28" w:rsidRDefault="00EE4A28" w:rsidP="000A22F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sz w:val="20"/>
                <w:szCs w:val="20"/>
              </w:rPr>
            </w:pPr>
            <w:r w:rsidRPr="00EE4A28">
              <w:rPr>
                <w:rFonts w:eastAsia="Calibri"/>
                <w:b/>
                <w:sz w:val="20"/>
                <w:szCs w:val="20"/>
              </w:rPr>
              <w:t>Comments</w:t>
            </w:r>
          </w:p>
        </w:tc>
      </w:tr>
      <w:tr w:rsidR="00821E37" w:rsidTr="00821E37">
        <w:tc>
          <w:tcPr>
            <w:tcW w:w="1077" w:type="pct"/>
            <w:tcBorders>
              <w:top w:val="single" w:sz="4" w:space="0" w:color="000000"/>
              <w:left w:val="single" w:sz="4" w:space="0" w:color="000000"/>
              <w:bottom w:val="single" w:sz="4" w:space="0" w:color="000000"/>
              <w:right w:val="single" w:sz="4" w:space="0" w:color="000000"/>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Collins, 1964 </w:t>
            </w:r>
          </w:p>
        </w:tc>
        <w:tc>
          <w:tcPr>
            <w:tcW w:w="2991" w:type="pct"/>
            <w:tcBorders>
              <w:top w:val="single" w:sz="4" w:space="0" w:color="000000"/>
              <w:left w:val="single" w:sz="4" w:space="0" w:color="000000"/>
              <w:bottom w:val="single" w:sz="4" w:space="0" w:color="000000"/>
              <w:right w:val="single" w:sz="4" w:space="0" w:color="000000"/>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Review</w:t>
            </w:r>
            <w:r w:rsidR="00EE4A28">
              <w:rPr>
                <w:rFonts w:eastAsia="Calibri"/>
                <w:sz w:val="20"/>
                <w:szCs w:val="20"/>
              </w:rPr>
              <w:t>.</w:t>
            </w:r>
            <w:r>
              <w:rPr>
                <w:rFonts w:eastAsia="Calibri"/>
                <w:sz w:val="20"/>
                <w:szCs w:val="20"/>
              </w:rPr>
              <w:t xml:space="preserve"> Based on animal data</w:t>
            </w:r>
            <w:r w:rsidR="00EE4A28">
              <w:rPr>
                <w:rFonts w:eastAsia="Calibri"/>
                <w:sz w:val="20"/>
                <w:szCs w:val="20"/>
              </w:rPr>
              <w:t>,</w:t>
            </w:r>
            <w:r>
              <w:rPr>
                <w:rFonts w:eastAsia="Calibri"/>
                <w:sz w:val="20"/>
                <w:szCs w:val="20"/>
              </w:rPr>
              <w:t xml:space="preserve"> not re</w:t>
            </w:r>
            <w:r w:rsidR="00EE4A28">
              <w:rPr>
                <w:rFonts w:eastAsia="Calibri"/>
                <w:sz w:val="20"/>
                <w:szCs w:val="20"/>
              </w:rPr>
              <w:t xml:space="preserve">commended in early pregnancy. </w:t>
            </w:r>
            <w:r>
              <w:rPr>
                <w:rFonts w:eastAsia="Calibri"/>
                <w:sz w:val="20"/>
                <w:szCs w:val="20"/>
              </w:rPr>
              <w:t xml:space="preserve">No evidence </w:t>
            </w:r>
            <w:r w:rsidR="00EE4A28">
              <w:rPr>
                <w:rFonts w:eastAsia="Calibri"/>
                <w:sz w:val="20"/>
                <w:szCs w:val="20"/>
              </w:rPr>
              <w:t xml:space="preserve">of </w:t>
            </w:r>
            <w:r>
              <w:rPr>
                <w:rFonts w:eastAsia="Calibri"/>
                <w:sz w:val="20"/>
                <w:szCs w:val="20"/>
              </w:rPr>
              <w:t>fetal damage - quoting Mellin</w:t>
            </w:r>
            <w:r w:rsidR="00991508">
              <w:rPr>
                <w:rFonts w:eastAsia="Calibri"/>
                <w:sz w:val="20"/>
                <w:szCs w:val="20"/>
              </w:rPr>
              <w:t xml:space="preserve"> </w:t>
            </w:r>
            <w:r w:rsidR="00991508" w:rsidRPr="00991508">
              <w:rPr>
                <w:rFonts w:eastAsia="Calibri"/>
                <w:i/>
                <w:sz w:val="20"/>
                <w:szCs w:val="20"/>
              </w:rPr>
              <w:t>et al</w:t>
            </w:r>
            <w:r w:rsidR="00991508">
              <w:rPr>
                <w:rFonts w:eastAsia="Calibri"/>
                <w:sz w:val="20"/>
                <w:szCs w:val="20"/>
              </w:rPr>
              <w:t>.,</w:t>
            </w:r>
            <w:r>
              <w:rPr>
                <w:rFonts w:eastAsia="Calibri"/>
                <w:sz w:val="20"/>
                <w:szCs w:val="20"/>
              </w:rPr>
              <w:t>1963</w:t>
            </w:r>
          </w:p>
        </w:tc>
        <w:tc>
          <w:tcPr>
            <w:tcW w:w="932" w:type="pct"/>
            <w:tcBorders>
              <w:top w:val="single" w:sz="4" w:space="0" w:color="000000"/>
              <w:left w:val="single" w:sz="4" w:space="0" w:color="000000"/>
              <w:bottom w:val="single" w:sz="4" w:space="0" w:color="000000"/>
              <w:right w:val="single" w:sz="4" w:space="0" w:color="000000"/>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w:t>
            </w:r>
          </w:p>
        </w:tc>
      </w:tr>
      <w:tr w:rsidR="00821E37" w:rsidTr="00821E37">
        <w:tc>
          <w:tcPr>
            <w:tcW w:w="1077"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McBride</w:t>
            </w:r>
            <w:r w:rsidR="000A22F2">
              <w:rPr>
                <w:rFonts w:eastAsia="Calibri"/>
                <w:sz w:val="20"/>
                <w:szCs w:val="20"/>
              </w:rPr>
              <w:t>,</w:t>
            </w:r>
            <w:r>
              <w:rPr>
                <w:rFonts w:eastAsia="Calibri"/>
                <w:sz w:val="20"/>
                <w:szCs w:val="20"/>
              </w:rPr>
              <w:t xml:space="preserve"> </w:t>
            </w:r>
            <w:r w:rsidR="000A22F2">
              <w:rPr>
                <w:rFonts w:eastAsia="Calibri"/>
                <w:sz w:val="20"/>
                <w:szCs w:val="20"/>
              </w:rPr>
              <w:t>1963</w:t>
            </w:r>
            <w:r>
              <w:rPr>
                <w:rFonts w:eastAsia="Calibri"/>
                <w:sz w:val="20"/>
                <w:szCs w:val="20"/>
              </w:rPr>
              <w:t xml:space="preserve"> </w:t>
            </w:r>
          </w:p>
        </w:tc>
        <w:tc>
          <w:tcPr>
            <w:tcW w:w="2991"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r>
              <w:rPr>
                <w:rFonts w:eastAsia="Calibri"/>
                <w:sz w:val="20"/>
                <w:szCs w:val="20"/>
              </w:rPr>
              <w:t>Reported an incidence of congenital abnormalities of 0.1%  in 6,000 deliveries of women who had taken cyclizine</w:t>
            </w:r>
            <w:r w:rsidR="00201E4F">
              <w:rPr>
                <w:rFonts w:eastAsia="Calibri"/>
                <w:sz w:val="20"/>
                <w:szCs w:val="20"/>
              </w:rPr>
              <w:t>,</w:t>
            </w:r>
            <w:r>
              <w:rPr>
                <w:rFonts w:eastAsia="Calibri"/>
                <w:sz w:val="20"/>
                <w:szCs w:val="20"/>
              </w:rPr>
              <w:t xml:space="preserve"> </w:t>
            </w:r>
            <w:r w:rsidR="00201E4F">
              <w:rPr>
                <w:rFonts w:eastAsia="Calibri"/>
                <w:sz w:val="20"/>
                <w:szCs w:val="20"/>
              </w:rPr>
              <w:t xml:space="preserve">from </w:t>
            </w:r>
            <w:r>
              <w:rPr>
                <w:rFonts w:eastAsia="Calibri"/>
                <w:sz w:val="20"/>
                <w:szCs w:val="20"/>
              </w:rPr>
              <w:t>a total of</w:t>
            </w:r>
            <w:r w:rsidR="00201E4F">
              <w:rPr>
                <w:rFonts w:eastAsia="Calibri"/>
                <w:sz w:val="20"/>
                <w:szCs w:val="20"/>
              </w:rPr>
              <w:t xml:space="preserve"> 21,562 deliveries over 5years </w:t>
            </w:r>
            <w:r>
              <w:rPr>
                <w:rFonts w:eastAsia="Calibri"/>
                <w:sz w:val="20"/>
                <w:szCs w:val="20"/>
              </w:rPr>
              <w:t>1957-1962</w:t>
            </w:r>
          </w:p>
          <w:p w:rsidR="00821E37" w:rsidRDefault="00821E37" w:rsidP="005C3144">
            <w:pPr>
              <w:pStyle w:val="ListBullet"/>
              <w:spacing w:after="120" w:line="240" w:lineRule="auto"/>
              <w:ind w:left="357" w:hanging="357"/>
              <w:rPr>
                <w:rFonts w:eastAsia="Times New Roman"/>
                <w:kern w:val="16"/>
                <w:lang w:eastAsia="en-AU"/>
              </w:rPr>
            </w:pPr>
            <w:r>
              <w:t xml:space="preserve">congenital heart disease, 5 </w:t>
            </w:r>
          </w:p>
          <w:p w:rsidR="00821E37" w:rsidRDefault="00821E37" w:rsidP="005C3144">
            <w:pPr>
              <w:pStyle w:val="ListBullet"/>
              <w:spacing w:after="120" w:line="240" w:lineRule="auto"/>
              <w:ind w:left="357" w:hanging="357"/>
            </w:pPr>
            <w:r>
              <w:t xml:space="preserve">cleft palate and/or hare-lip, 5 </w:t>
            </w:r>
          </w:p>
          <w:p w:rsidR="00821E37" w:rsidRDefault="00821E37" w:rsidP="005C3144">
            <w:pPr>
              <w:pStyle w:val="ListBullet"/>
              <w:spacing w:after="120" w:line="240" w:lineRule="auto"/>
              <w:ind w:left="357" w:hanging="357"/>
            </w:pPr>
            <w:r>
              <w:t xml:space="preserve">anencephaly, 1 </w:t>
            </w:r>
          </w:p>
          <w:p w:rsidR="00821E37" w:rsidRDefault="00821E37" w:rsidP="005C3144">
            <w:pPr>
              <w:pStyle w:val="ListBullet"/>
              <w:spacing w:after="120" w:line="240" w:lineRule="auto"/>
              <w:ind w:left="357" w:hanging="357"/>
            </w:pPr>
            <w:r>
              <w:t xml:space="preserve">myeloencephalocele, 2 </w:t>
            </w:r>
          </w:p>
          <w:p w:rsidR="00821E37" w:rsidRDefault="00821E37" w:rsidP="005C3144">
            <w:pPr>
              <w:pStyle w:val="ListBullet"/>
              <w:spacing w:after="120" w:line="240" w:lineRule="auto"/>
              <w:ind w:left="357" w:hanging="357"/>
            </w:pPr>
            <w:r>
              <w:t>hydrocephalus, 1</w:t>
            </w:r>
          </w:p>
          <w:p w:rsidR="00821E37" w:rsidRDefault="00821E37" w:rsidP="005C3144">
            <w:pPr>
              <w:pStyle w:val="ListBullet"/>
              <w:spacing w:after="120" w:line="240" w:lineRule="auto"/>
              <w:ind w:left="357" w:hanging="357"/>
              <w:rPr>
                <w:kern w:val="16"/>
              </w:rPr>
            </w:pPr>
            <w:r>
              <w:t xml:space="preserve">bilateral cataract, 1 </w:t>
            </w:r>
          </w:p>
        </w:tc>
        <w:tc>
          <w:tcPr>
            <w:tcW w:w="932"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color w:val="000000"/>
                <w:sz w:val="20"/>
                <w:szCs w:val="20"/>
              </w:rPr>
              <w:t>Part of nonclinical submission</w:t>
            </w:r>
          </w:p>
        </w:tc>
      </w:tr>
      <w:tr w:rsidR="00821E37" w:rsidTr="00821E37">
        <w:tc>
          <w:tcPr>
            <w:tcW w:w="1077"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McBride</w:t>
            </w:r>
            <w:r w:rsidR="000A22F2">
              <w:rPr>
                <w:rFonts w:eastAsia="Calibri"/>
                <w:sz w:val="20"/>
                <w:szCs w:val="20"/>
              </w:rPr>
              <w:t>,</w:t>
            </w:r>
            <w:r>
              <w:rPr>
                <w:rFonts w:eastAsia="Calibri"/>
                <w:sz w:val="20"/>
                <w:szCs w:val="20"/>
              </w:rPr>
              <w:t xml:space="preserve"> 1969 </w:t>
            </w:r>
          </w:p>
        </w:tc>
        <w:tc>
          <w:tcPr>
            <w:tcW w:w="2991"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r>
              <w:rPr>
                <w:rFonts w:eastAsia="Calibri"/>
                <w:sz w:val="20"/>
                <w:szCs w:val="20"/>
              </w:rPr>
              <w:t xml:space="preserve">Reported an incidence of </w:t>
            </w:r>
            <w:r>
              <w:rPr>
                <w:sz w:val="20"/>
                <w:szCs w:val="20"/>
              </w:rPr>
              <w:t>cleft palate</w:t>
            </w:r>
            <w:r w:rsidR="00AF5D50">
              <w:rPr>
                <w:rFonts w:eastAsia="Calibri"/>
                <w:sz w:val="20"/>
                <w:szCs w:val="20"/>
              </w:rPr>
              <w:t xml:space="preserve"> of </w:t>
            </w:r>
            <w:r>
              <w:rPr>
                <w:rFonts w:eastAsia="Calibri"/>
                <w:sz w:val="20"/>
                <w:szCs w:val="20"/>
              </w:rPr>
              <w:t xml:space="preserve">0.4%  in 1,125 deliveries of women who had taken cyclizine in the first 3 months </w:t>
            </w:r>
            <w:r w:rsidR="00AF5D50">
              <w:rPr>
                <w:rFonts w:eastAsia="Calibri"/>
                <w:sz w:val="20"/>
                <w:szCs w:val="20"/>
              </w:rPr>
              <w:t xml:space="preserve">from </w:t>
            </w:r>
            <w:r>
              <w:rPr>
                <w:rFonts w:eastAsia="Calibri"/>
                <w:sz w:val="20"/>
                <w:szCs w:val="20"/>
              </w:rPr>
              <w:t>a total of 25,333 deliveries over 6</w:t>
            </w:r>
            <w:r w:rsidR="00AF5D50">
              <w:rPr>
                <w:rFonts w:eastAsia="Calibri"/>
                <w:sz w:val="20"/>
                <w:szCs w:val="20"/>
              </w:rPr>
              <w:t xml:space="preserve"> </w:t>
            </w:r>
            <w:r>
              <w:rPr>
                <w:rFonts w:eastAsia="Calibri"/>
                <w:sz w:val="20"/>
                <w:szCs w:val="20"/>
              </w:rPr>
              <w:t>years 1956-61</w:t>
            </w:r>
          </w:p>
          <w:p w:rsidR="00821E37" w:rsidRDefault="00821E37" w:rsidP="005C3144">
            <w:pPr>
              <w:spacing w:line="240" w:lineRule="auto"/>
              <w:rPr>
                <w:rFonts w:eastAsia="Calibri"/>
                <w:sz w:val="20"/>
                <w:szCs w:val="20"/>
              </w:rPr>
            </w:pPr>
            <w:r>
              <w:rPr>
                <w:rFonts w:eastAsia="Calibri"/>
                <w:sz w:val="20"/>
                <w:szCs w:val="20"/>
              </w:rPr>
              <w:t xml:space="preserve">Incidence among mothers with nausea and vomiting who did not take cyclizine was 3.64% of 1,100 deliveries ( no significant difference) </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Incidence among mothers who did not take cyclizine was 0.08% of 24,208 deliveries. (significantly different from those with N/V suggesting N/V was the cause)</w:t>
            </w:r>
          </w:p>
        </w:tc>
        <w:tc>
          <w:tcPr>
            <w:tcW w:w="932"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color w:val="000000"/>
                <w:sz w:val="20"/>
                <w:szCs w:val="20"/>
              </w:rPr>
              <w:t>Not in nonclinical submission</w:t>
            </w:r>
          </w:p>
        </w:tc>
      </w:tr>
      <w:tr w:rsidR="00821E37" w:rsidTr="00821E37">
        <w:tc>
          <w:tcPr>
            <w:tcW w:w="1077"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Mellin </w:t>
            </w:r>
            <w:r w:rsidR="000A22F2" w:rsidRPr="000A22F2">
              <w:rPr>
                <w:rFonts w:eastAsia="Calibri"/>
                <w:i/>
                <w:sz w:val="20"/>
                <w:szCs w:val="20"/>
              </w:rPr>
              <w:t>et al</w:t>
            </w:r>
            <w:r w:rsidR="000A22F2">
              <w:rPr>
                <w:rFonts w:eastAsia="Calibri"/>
                <w:sz w:val="20"/>
                <w:szCs w:val="20"/>
              </w:rPr>
              <w:t>., 1963</w:t>
            </w:r>
            <w:r>
              <w:rPr>
                <w:rFonts w:eastAsia="Calibri"/>
                <w:sz w:val="20"/>
                <w:szCs w:val="20"/>
              </w:rPr>
              <w:t xml:space="preserve">. </w:t>
            </w:r>
          </w:p>
        </w:tc>
        <w:tc>
          <w:tcPr>
            <w:tcW w:w="2991" w:type="pct"/>
            <w:tcBorders>
              <w:top w:val="single" w:sz="4" w:space="0" w:color="auto"/>
              <w:left w:val="single" w:sz="4" w:space="0" w:color="auto"/>
              <w:bottom w:val="single" w:sz="4" w:space="0" w:color="auto"/>
              <w:right w:val="single" w:sz="4" w:space="0" w:color="auto"/>
            </w:tcBorders>
          </w:tcPr>
          <w:p w:rsidR="00821E37" w:rsidRDefault="00821E37" w:rsidP="005C3144">
            <w:pPr>
              <w:spacing w:line="240" w:lineRule="auto"/>
              <w:rPr>
                <w:rFonts w:eastAsia="Calibri"/>
                <w:sz w:val="20"/>
                <w:szCs w:val="20"/>
              </w:rPr>
            </w:pPr>
            <w:r>
              <w:rPr>
                <w:rFonts w:eastAsia="Calibri"/>
                <w:sz w:val="20"/>
                <w:szCs w:val="20"/>
              </w:rPr>
              <w:t>Of 266 babies with malformations</w:t>
            </w:r>
            <w:r w:rsidR="00991508">
              <w:rPr>
                <w:rFonts w:eastAsia="Calibri"/>
                <w:sz w:val="20"/>
                <w:szCs w:val="20"/>
              </w:rPr>
              <w:t>,</w:t>
            </w:r>
            <w:r>
              <w:rPr>
                <w:rFonts w:eastAsia="Calibri"/>
                <w:sz w:val="20"/>
                <w:szCs w:val="20"/>
              </w:rPr>
              <w:t xml:space="preserve"> no mothers had taken cyclizine</w:t>
            </w:r>
            <w:r w:rsidR="00991508">
              <w:rPr>
                <w:rFonts w:eastAsia="Calibri"/>
                <w:sz w:val="20"/>
                <w:szCs w:val="20"/>
              </w:rPr>
              <w:t>.</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p>
        </w:tc>
        <w:tc>
          <w:tcPr>
            <w:tcW w:w="932" w:type="pct"/>
            <w:tcBorders>
              <w:top w:val="single" w:sz="4" w:space="0" w:color="auto"/>
              <w:left w:val="single" w:sz="4" w:space="0" w:color="auto"/>
              <w:bottom w:val="single" w:sz="4" w:space="0" w:color="auto"/>
              <w:right w:val="single" w:sz="4" w:space="0" w:color="auto"/>
            </w:tcBorders>
            <w:hideMark/>
          </w:tcPr>
          <w:p w:rsidR="00821E37" w:rsidRDefault="00991508" w:rsidP="005C3144">
            <w:pPr>
              <w:spacing w:line="240" w:lineRule="auto"/>
              <w:rPr>
                <w:rFonts w:eastAsia="Calibri"/>
                <w:sz w:val="20"/>
                <w:szCs w:val="20"/>
              </w:rPr>
            </w:pPr>
            <w:r>
              <w:rPr>
                <w:rFonts w:eastAsia="Calibri"/>
                <w:sz w:val="20"/>
                <w:szCs w:val="20"/>
              </w:rPr>
              <w:t>L</w:t>
            </w:r>
            <w:r w:rsidR="00821E37">
              <w:rPr>
                <w:rFonts w:eastAsia="Calibri"/>
                <w:sz w:val="20"/>
                <w:szCs w:val="20"/>
              </w:rPr>
              <w:t>etter</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color w:val="000000"/>
                <w:sz w:val="20"/>
                <w:szCs w:val="20"/>
              </w:rPr>
              <w:t>Part of nonclinical submission</w:t>
            </w:r>
          </w:p>
        </w:tc>
      </w:tr>
      <w:tr w:rsidR="00821E37" w:rsidTr="00991508">
        <w:trPr>
          <w:cantSplit/>
        </w:trPr>
        <w:tc>
          <w:tcPr>
            <w:tcW w:w="1077" w:type="pct"/>
            <w:tcBorders>
              <w:top w:val="single" w:sz="4" w:space="0" w:color="auto"/>
              <w:left w:val="single" w:sz="4" w:space="0" w:color="auto"/>
              <w:bottom w:val="single" w:sz="4" w:space="0" w:color="auto"/>
              <w:right w:val="single" w:sz="4" w:space="0" w:color="auto"/>
            </w:tcBorders>
            <w:hideMark/>
          </w:tcPr>
          <w:p w:rsidR="00821E37" w:rsidRDefault="00991508"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lastRenderedPageBreak/>
              <w:t>Milkovich L and</w:t>
            </w:r>
            <w:r w:rsidR="00821E37">
              <w:rPr>
                <w:rFonts w:eastAsia="Calibri"/>
                <w:sz w:val="20"/>
                <w:szCs w:val="20"/>
              </w:rPr>
              <w:t xml:space="preserve"> van den Berg</w:t>
            </w:r>
            <w:r w:rsidR="000A22F2">
              <w:rPr>
                <w:rFonts w:eastAsia="Calibri"/>
                <w:sz w:val="20"/>
                <w:szCs w:val="20"/>
              </w:rPr>
              <w:t>, 1976</w:t>
            </w:r>
            <w:r w:rsidR="00821E37">
              <w:rPr>
                <w:rFonts w:eastAsia="Calibri"/>
                <w:sz w:val="20"/>
                <w:szCs w:val="20"/>
              </w:rPr>
              <w:t xml:space="preserve"> </w:t>
            </w:r>
          </w:p>
        </w:tc>
        <w:tc>
          <w:tcPr>
            <w:tcW w:w="2991" w:type="pct"/>
            <w:tcBorders>
              <w:top w:val="single" w:sz="4" w:space="0" w:color="auto"/>
              <w:left w:val="single" w:sz="4" w:space="0" w:color="auto"/>
              <w:bottom w:val="single" w:sz="4" w:space="0" w:color="auto"/>
              <w:right w:val="single" w:sz="4" w:space="0" w:color="auto"/>
            </w:tcBorders>
            <w:hideMark/>
          </w:tcPr>
          <w:p w:rsidR="00821E37" w:rsidRDefault="00821E37" w:rsidP="00D81C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Human incidence</w:t>
            </w:r>
            <w:r w:rsidR="00991508">
              <w:rPr>
                <w:rFonts w:eastAsia="Calibri"/>
                <w:sz w:val="20"/>
                <w:szCs w:val="20"/>
              </w:rPr>
              <w:t>.</w:t>
            </w:r>
            <w:r>
              <w:rPr>
                <w:rFonts w:eastAsia="Calibri"/>
                <w:sz w:val="20"/>
                <w:szCs w:val="20"/>
              </w:rPr>
              <w:t xml:space="preserve"> While the results contain no signal for cyclizine the study contained only 111 patients who had taken cyclizine, and the </w:t>
            </w:r>
            <w:r w:rsidR="00991508">
              <w:rPr>
                <w:rFonts w:eastAsia="Calibri"/>
                <w:sz w:val="20"/>
                <w:szCs w:val="20"/>
              </w:rPr>
              <w:t xml:space="preserve">standard error </w:t>
            </w:r>
            <w:r>
              <w:rPr>
                <w:rFonts w:eastAsia="Calibri"/>
                <w:sz w:val="20"/>
                <w:szCs w:val="20"/>
              </w:rPr>
              <w:t xml:space="preserve">for the </w:t>
            </w:r>
            <w:r w:rsidRPr="00991508">
              <w:rPr>
                <w:rFonts w:eastAsia="Calibri"/>
                <w:i/>
                <w:sz w:val="20"/>
                <w:szCs w:val="20"/>
              </w:rPr>
              <w:t>Severe congenital anomaly</w:t>
            </w:r>
            <w:r>
              <w:rPr>
                <w:rFonts w:eastAsia="Calibri"/>
                <w:sz w:val="20"/>
                <w:szCs w:val="20"/>
              </w:rPr>
              <w:t xml:space="preserve"> rate at 5</w:t>
            </w:r>
            <w:r w:rsidR="00991508">
              <w:rPr>
                <w:rFonts w:eastAsia="Calibri"/>
                <w:sz w:val="20"/>
                <w:szCs w:val="20"/>
              </w:rPr>
              <w:t xml:space="preserve"> </w:t>
            </w:r>
            <w:r>
              <w:rPr>
                <w:rFonts w:eastAsia="Calibri"/>
                <w:sz w:val="20"/>
                <w:szCs w:val="20"/>
              </w:rPr>
              <w:t>y</w:t>
            </w:r>
            <w:r w:rsidR="00991508">
              <w:rPr>
                <w:rFonts w:eastAsia="Calibri"/>
                <w:sz w:val="20"/>
                <w:szCs w:val="20"/>
              </w:rPr>
              <w:t>ears</w:t>
            </w:r>
            <w:r>
              <w:rPr>
                <w:rFonts w:eastAsia="Calibri"/>
                <w:sz w:val="20"/>
                <w:szCs w:val="20"/>
              </w:rPr>
              <w:t xml:space="preserve"> was comparatively high.</w:t>
            </w:r>
          </w:p>
        </w:tc>
        <w:tc>
          <w:tcPr>
            <w:tcW w:w="932"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r>
              <w:rPr>
                <w:rFonts w:eastAsia="Calibri"/>
                <w:sz w:val="20"/>
                <w:szCs w:val="20"/>
              </w:rPr>
              <w:t xml:space="preserve">Precautions </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color w:val="000000"/>
                <w:sz w:val="20"/>
                <w:szCs w:val="20"/>
              </w:rPr>
              <w:t>Not in nonclinical submission</w:t>
            </w:r>
          </w:p>
        </w:tc>
      </w:tr>
      <w:tr w:rsidR="00821E37" w:rsidTr="00821E37">
        <w:tc>
          <w:tcPr>
            <w:tcW w:w="1077"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Sadusk </w:t>
            </w:r>
            <w:r w:rsidR="000A22F2" w:rsidRPr="000A22F2">
              <w:rPr>
                <w:rFonts w:eastAsia="Calibri"/>
                <w:i/>
                <w:sz w:val="20"/>
                <w:szCs w:val="20"/>
              </w:rPr>
              <w:t>et al</w:t>
            </w:r>
            <w:r w:rsidR="000A22F2">
              <w:rPr>
                <w:rFonts w:eastAsia="Calibri"/>
                <w:sz w:val="20"/>
                <w:szCs w:val="20"/>
              </w:rPr>
              <w:t>., 1965</w:t>
            </w:r>
            <w:r>
              <w:rPr>
                <w:rFonts w:eastAsia="Calibri"/>
                <w:sz w:val="20"/>
                <w:szCs w:val="20"/>
              </w:rPr>
              <w:t xml:space="preserve"> </w:t>
            </w:r>
          </w:p>
        </w:tc>
        <w:tc>
          <w:tcPr>
            <w:tcW w:w="2991" w:type="pct"/>
            <w:tcBorders>
              <w:top w:val="single" w:sz="4" w:space="0" w:color="auto"/>
              <w:left w:val="single" w:sz="4" w:space="0" w:color="auto"/>
              <w:bottom w:val="single" w:sz="4" w:space="0" w:color="auto"/>
              <w:right w:val="single" w:sz="4" w:space="0" w:color="auto"/>
            </w:tcBorders>
            <w:hideMark/>
          </w:tcPr>
          <w:p w:rsidR="00821E37" w:rsidRDefault="00991508" w:rsidP="005C3144">
            <w:pPr>
              <w:spacing w:line="240" w:lineRule="auto"/>
              <w:rPr>
                <w:sz w:val="20"/>
                <w:szCs w:val="20"/>
              </w:rPr>
            </w:pPr>
            <w:r>
              <w:rPr>
                <w:rFonts w:eastAsia="Calibri"/>
                <w:sz w:val="20"/>
                <w:szCs w:val="20"/>
              </w:rPr>
              <w:t xml:space="preserve">Is in list of references for </w:t>
            </w:r>
            <w:r w:rsidR="00D81C12">
              <w:rPr>
                <w:sz w:val="20"/>
                <w:szCs w:val="20"/>
              </w:rPr>
              <w:t>the sponsor’s</w:t>
            </w:r>
            <w:r w:rsidR="00821E37">
              <w:rPr>
                <w:sz w:val="20"/>
                <w:szCs w:val="20"/>
              </w:rPr>
              <w:t xml:space="preserve"> </w:t>
            </w:r>
            <w:r w:rsidR="00821E37" w:rsidRPr="00991508">
              <w:rPr>
                <w:i/>
                <w:sz w:val="20"/>
                <w:szCs w:val="20"/>
              </w:rPr>
              <w:t>Clinical Summary</w:t>
            </w:r>
            <w:r>
              <w:rPr>
                <w:i/>
                <w:sz w:val="20"/>
                <w:szCs w:val="20"/>
              </w:rPr>
              <w:t>,</w:t>
            </w:r>
            <w:r w:rsidR="00821E37">
              <w:rPr>
                <w:sz w:val="20"/>
                <w:szCs w:val="20"/>
              </w:rPr>
              <w:t xml:space="preserve"> but </w:t>
            </w:r>
            <w:r>
              <w:rPr>
                <w:sz w:val="20"/>
                <w:szCs w:val="20"/>
              </w:rPr>
              <w:t xml:space="preserve">paper </w:t>
            </w:r>
            <w:r w:rsidR="00821E37">
              <w:rPr>
                <w:sz w:val="20"/>
                <w:szCs w:val="20"/>
              </w:rPr>
              <w:t xml:space="preserve">is only in </w:t>
            </w:r>
            <w:r w:rsidR="00D81C12">
              <w:rPr>
                <w:sz w:val="20"/>
                <w:szCs w:val="20"/>
              </w:rPr>
              <w:t>nonclinical dossier</w:t>
            </w:r>
            <w:r w:rsidR="00DF7DD6">
              <w:rPr>
                <w:sz w:val="20"/>
                <w:szCs w:val="20"/>
              </w:rPr>
              <w:t xml:space="preserve">. </w:t>
            </w:r>
            <w:r w:rsidR="00821E37">
              <w:rPr>
                <w:sz w:val="20"/>
                <w:szCs w:val="20"/>
              </w:rPr>
              <w:t>The report of the findings of a</w:t>
            </w:r>
            <w:r>
              <w:rPr>
                <w:sz w:val="20"/>
                <w:szCs w:val="20"/>
              </w:rPr>
              <w:t xml:space="preserve"> Food and Drug Administration (</w:t>
            </w:r>
            <w:r w:rsidR="00821E37">
              <w:rPr>
                <w:sz w:val="20"/>
                <w:szCs w:val="20"/>
              </w:rPr>
              <w:t>FDA</w:t>
            </w:r>
            <w:r>
              <w:rPr>
                <w:sz w:val="20"/>
                <w:szCs w:val="20"/>
              </w:rPr>
              <w:t>)</w:t>
            </w:r>
            <w:r w:rsidR="00821E37">
              <w:rPr>
                <w:sz w:val="20"/>
                <w:szCs w:val="20"/>
              </w:rPr>
              <w:t xml:space="preserve"> committee that on the basis of lack of evidence recommended insertion </w:t>
            </w:r>
            <w:r w:rsidR="00DF7DD6">
              <w:rPr>
                <w:sz w:val="20"/>
                <w:szCs w:val="20"/>
              </w:rPr>
              <w:t xml:space="preserve">[on product labelling] </w:t>
            </w:r>
            <w:r w:rsidR="00821E37">
              <w:rPr>
                <w:sz w:val="20"/>
                <w:szCs w:val="20"/>
              </w:rPr>
              <w:t>of the following statements</w:t>
            </w:r>
            <w:r w:rsidR="00DF7DD6">
              <w:rPr>
                <w:sz w:val="20"/>
                <w:szCs w:val="20"/>
              </w:rPr>
              <w:t xml:space="preserve">, </w:t>
            </w:r>
            <w:r w:rsidR="00821E37">
              <w:rPr>
                <w:sz w:val="20"/>
                <w:szCs w:val="20"/>
              </w:rPr>
              <w:t>and review in 2</w:t>
            </w:r>
            <w:r>
              <w:rPr>
                <w:sz w:val="20"/>
                <w:szCs w:val="20"/>
              </w:rPr>
              <w:t xml:space="preserve"> </w:t>
            </w:r>
            <w:r w:rsidR="00821E37">
              <w:rPr>
                <w:sz w:val="20"/>
                <w:szCs w:val="20"/>
              </w:rPr>
              <w:t>y</w:t>
            </w:r>
            <w:r>
              <w:rPr>
                <w:sz w:val="20"/>
                <w:szCs w:val="20"/>
              </w:rPr>
              <w:t>ears</w:t>
            </w:r>
            <w:r w:rsidR="00821E37">
              <w:rPr>
                <w:sz w:val="20"/>
                <w:szCs w:val="20"/>
              </w:rPr>
              <w:t>.</w:t>
            </w:r>
          </w:p>
          <w:p w:rsidR="00821E37" w:rsidRPr="00DF7DD6" w:rsidRDefault="00DF7DD6" w:rsidP="005C3144">
            <w:pPr>
              <w:spacing w:line="240" w:lineRule="auto"/>
              <w:rPr>
                <w:i/>
                <w:sz w:val="20"/>
                <w:szCs w:val="20"/>
              </w:rPr>
            </w:pPr>
            <w:r>
              <w:rPr>
                <w:i/>
                <w:sz w:val="20"/>
                <w:szCs w:val="20"/>
              </w:rPr>
              <w:t>“</w:t>
            </w:r>
            <w:r w:rsidR="00821E37" w:rsidRPr="00DF7DD6">
              <w:rPr>
                <w:i/>
                <w:sz w:val="20"/>
                <w:szCs w:val="20"/>
              </w:rPr>
              <w:t>The following information should be taken into account in determining whether the potential benefits of ... (cyclizine, meclizine, chlorcyclizine) . . . outweigh the risks of its use in women of childbearing age and particularly during pregnancy. A review of available animal data reveals that this drug exerts a teratogenic response in animals such as the . . . (rat, mouse, rabbit, or dog). While available clinical data are inconclusive, scientific experts are of the opinion that this drug may possess a potential for adverse effects on the human foetus. Consequently, consideration should be given to initial use of a non phenothiazine agent that is not suspected of having a teratogenic potential. In any</w:t>
            </w:r>
            <w:r w:rsidRPr="00DF7DD6">
              <w:rPr>
                <w:i/>
                <w:sz w:val="20"/>
                <w:szCs w:val="20"/>
              </w:rPr>
              <w:t xml:space="preserve"> case, the dosage and duration </w:t>
            </w:r>
            <w:r w:rsidR="00821E37" w:rsidRPr="00DF7DD6">
              <w:rPr>
                <w:i/>
                <w:sz w:val="20"/>
                <w:szCs w:val="20"/>
              </w:rPr>
              <w:t>of treatment should be kept to a minimum.</w:t>
            </w:r>
          </w:p>
          <w:p w:rsidR="00821E37" w:rsidRPr="00DF7DD6" w:rsidRDefault="00821E37" w:rsidP="005C3144">
            <w:pPr>
              <w:spacing w:line="240" w:lineRule="auto"/>
              <w:rPr>
                <w:rFonts w:eastAsia="Calibri"/>
                <w:i/>
                <w:sz w:val="20"/>
                <w:szCs w:val="20"/>
              </w:rPr>
            </w:pPr>
            <w:r w:rsidRPr="00DF7DD6">
              <w:rPr>
                <w:rFonts w:eastAsia="Calibri"/>
                <w:i/>
                <w:sz w:val="20"/>
                <w:szCs w:val="20"/>
              </w:rPr>
              <w:t>The effectiveness of these drugs for the prevention and treatment of nausea and vomiting of pregnancy has not been established, and the decision to use such drugs should be based upon the seriousness of the situation, remembering that while these drugs have been used clinically for a decade, there are yet no controlled studies to demonstrate usefulness in an objective fashion. In most cases, nausea and vomiting of pregnancy may be unpleasant but does not present a serious threat to the health of the patient or to the progress of her pregnancy. In view of the desirability of keeping the administration of all drugs to a minimum during pregnancy, management by physiologic means such as proper nutrition and by psychological support is preferable to antiemetic drug therapy.</w:t>
            </w:r>
            <w:r w:rsidR="00DF7DD6" w:rsidRPr="00DF7DD6">
              <w:rPr>
                <w:rFonts w:eastAsia="Calibri"/>
                <w:i/>
                <w:sz w:val="20"/>
                <w:szCs w:val="20"/>
              </w:rPr>
              <w:t>”</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The results of the subsequent review</w:t>
            </w:r>
            <w:r w:rsidR="00DF7DD6">
              <w:rPr>
                <w:rFonts w:eastAsia="Calibri"/>
                <w:sz w:val="20"/>
                <w:szCs w:val="20"/>
              </w:rPr>
              <w:t xml:space="preserve"> were</w:t>
            </w:r>
            <w:r>
              <w:rPr>
                <w:rFonts w:eastAsia="Calibri"/>
                <w:sz w:val="20"/>
                <w:szCs w:val="20"/>
              </w:rPr>
              <w:t xml:space="preserve"> not submitted.</w:t>
            </w:r>
          </w:p>
        </w:tc>
        <w:tc>
          <w:tcPr>
            <w:tcW w:w="932"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r>
              <w:rPr>
                <w:rFonts w:eastAsia="Calibri"/>
                <w:sz w:val="20"/>
                <w:szCs w:val="20"/>
              </w:rPr>
              <w:t>-</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color w:val="000000"/>
                <w:sz w:val="20"/>
                <w:szCs w:val="20"/>
              </w:rPr>
              <w:t>Part of nonclinical submission</w:t>
            </w:r>
          </w:p>
        </w:tc>
      </w:tr>
      <w:tr w:rsidR="00821E37" w:rsidTr="00821E37">
        <w:tc>
          <w:tcPr>
            <w:tcW w:w="1077"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Yerushalmy</w:t>
            </w:r>
            <w:r w:rsidR="000A22F2">
              <w:rPr>
                <w:rFonts w:eastAsia="Calibri"/>
                <w:sz w:val="20"/>
                <w:szCs w:val="20"/>
              </w:rPr>
              <w:t xml:space="preserve"> and</w:t>
            </w:r>
            <w:r>
              <w:rPr>
                <w:rFonts w:eastAsia="Calibri"/>
                <w:sz w:val="20"/>
                <w:szCs w:val="20"/>
              </w:rPr>
              <w:t xml:space="preserve"> Milkovich</w:t>
            </w:r>
            <w:r w:rsidR="000A22F2">
              <w:rPr>
                <w:rFonts w:eastAsia="Calibri"/>
                <w:sz w:val="20"/>
                <w:szCs w:val="20"/>
              </w:rPr>
              <w:t>,</w:t>
            </w:r>
            <w:r>
              <w:rPr>
                <w:rFonts w:eastAsia="Calibri"/>
                <w:sz w:val="20"/>
                <w:szCs w:val="20"/>
              </w:rPr>
              <w:t xml:space="preserve"> 1965</w:t>
            </w:r>
          </w:p>
        </w:tc>
        <w:tc>
          <w:tcPr>
            <w:tcW w:w="2991"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Not related to cyclizine</w:t>
            </w:r>
            <w:r w:rsidR="00DF7DD6">
              <w:rPr>
                <w:rFonts w:eastAsia="Calibri"/>
                <w:sz w:val="20"/>
                <w:szCs w:val="20"/>
              </w:rPr>
              <w:t>.</w:t>
            </w:r>
          </w:p>
        </w:tc>
        <w:tc>
          <w:tcPr>
            <w:tcW w:w="93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color w:val="000000"/>
                <w:sz w:val="20"/>
                <w:szCs w:val="20"/>
              </w:rPr>
              <w:t>Part of nonclinical submission</w:t>
            </w:r>
          </w:p>
        </w:tc>
      </w:tr>
    </w:tbl>
    <w:p w:rsidR="00821E37" w:rsidRPr="009D7C7D" w:rsidRDefault="00821E37" w:rsidP="005C3144">
      <w:pPr>
        <w:spacing w:line="240" w:lineRule="auto"/>
      </w:pPr>
    </w:p>
    <w:p w:rsidR="00821E37" w:rsidRPr="009D7C7D" w:rsidRDefault="00821E37" w:rsidP="005C3144">
      <w:pPr>
        <w:spacing w:line="240" w:lineRule="auto"/>
      </w:pPr>
      <w:r w:rsidRPr="009D7C7D">
        <w:t>Some PSURs contained relevant information:</w:t>
      </w:r>
    </w:p>
    <w:p w:rsidR="00821E37" w:rsidRPr="009D7C7D" w:rsidRDefault="00821E37" w:rsidP="005C3144">
      <w:pPr>
        <w:pStyle w:val="Heading4"/>
        <w:spacing w:line="240" w:lineRule="auto"/>
      </w:pPr>
      <w:r w:rsidRPr="009D7C7D">
        <w:t>PSUR 1</w:t>
      </w:r>
      <w:r w:rsidR="00DF7DD6">
        <w:t xml:space="preserve"> </w:t>
      </w:r>
      <w:r w:rsidRPr="009D7C7D">
        <w:t>April 1996 to 31</w:t>
      </w:r>
      <w:r w:rsidR="00DF7DD6">
        <w:t xml:space="preserve"> October 2004</w:t>
      </w:r>
    </w:p>
    <w:p w:rsidR="00821E37" w:rsidRPr="009D7C7D" w:rsidRDefault="00821E37" w:rsidP="005C3144">
      <w:pPr>
        <w:spacing w:line="240" w:lineRule="auto"/>
      </w:pPr>
      <w:r w:rsidRPr="009D7C7D">
        <w:t xml:space="preserve">Of 10 exposed in pregnancy 7 had no obvious congenital defects (1 </w:t>
      </w:r>
      <w:r w:rsidR="009D7C7D" w:rsidRPr="009D7C7D">
        <w:t xml:space="preserve">was </w:t>
      </w:r>
      <w:r w:rsidRPr="009D7C7D">
        <w:t>later diagnosed with 80% hearing loss in one ear); 3 had congenital abnormalities (all different).</w:t>
      </w:r>
    </w:p>
    <w:p w:rsidR="00821E37" w:rsidRPr="009D7C7D" w:rsidRDefault="00821E37" w:rsidP="005C3144">
      <w:pPr>
        <w:spacing w:line="240" w:lineRule="auto"/>
      </w:pPr>
      <w:r w:rsidRPr="009D7C7D">
        <w:t xml:space="preserve">The </w:t>
      </w:r>
      <w:r w:rsidR="00DF7DD6">
        <w:t>Medicines and Health Care Regulatory Agency (MHRA) Committee on Safety of Medicines</w:t>
      </w:r>
      <w:r w:rsidR="00DF7DD6" w:rsidRPr="009D7C7D">
        <w:t xml:space="preserve"> </w:t>
      </w:r>
      <w:r w:rsidR="00DF7DD6">
        <w:t>(</w:t>
      </w:r>
      <w:r w:rsidRPr="009D7C7D">
        <w:t>CSM</w:t>
      </w:r>
      <w:r w:rsidR="00DF7DD6">
        <w:t>)</w:t>
      </w:r>
      <w:r w:rsidRPr="009D7C7D">
        <w:t xml:space="preserve"> Drug Analysis Print for cyclizine contains fourteen reports of congenital </w:t>
      </w:r>
      <w:r w:rsidRPr="009D7C7D">
        <w:lastRenderedPageBreak/>
        <w:t>anomalies, including the three cases presented within this report. Three reports of alimentary tract anomalies (duodenal atresia, imperforate anus, oesophageal atresia), five of limb deformities and single cases of ear malformation, cataract, cleft lip, micrognathia, renal agenesis and cryptorchism have been received by the CSM since 1964.</w:t>
      </w:r>
    </w:p>
    <w:p w:rsidR="00821E37" w:rsidRPr="009D7C7D" w:rsidRDefault="00821E37" w:rsidP="005C3144">
      <w:pPr>
        <w:pStyle w:val="Heading4"/>
        <w:spacing w:line="240" w:lineRule="auto"/>
      </w:pPr>
      <w:r w:rsidRPr="009D7C7D">
        <w:t>PSUR 1</w:t>
      </w:r>
      <w:r w:rsidR="00DF7DD6">
        <w:t xml:space="preserve"> </w:t>
      </w:r>
      <w:r w:rsidRPr="009D7C7D">
        <w:t>November 2004 to 30</w:t>
      </w:r>
      <w:r w:rsidR="00DF7DD6">
        <w:t xml:space="preserve"> </w:t>
      </w:r>
      <w:r w:rsidRPr="009D7C7D">
        <w:t>June 2008</w:t>
      </w:r>
    </w:p>
    <w:p w:rsidR="00821E37" w:rsidRPr="009D7C7D" w:rsidRDefault="00821E37" w:rsidP="005C3144">
      <w:pPr>
        <w:spacing w:line="240" w:lineRule="auto"/>
      </w:pPr>
      <w:r w:rsidRPr="009D7C7D">
        <w:t>Asker</w:t>
      </w:r>
      <w:r w:rsidR="00DF7DD6">
        <w:t xml:space="preserve"> </w:t>
      </w:r>
      <w:r w:rsidR="00DF7DD6" w:rsidRPr="00DF7DD6">
        <w:rPr>
          <w:i/>
        </w:rPr>
        <w:t>et al</w:t>
      </w:r>
      <w:r w:rsidR="00DF7DD6">
        <w:t xml:space="preserve">., 2005 </w:t>
      </w:r>
      <w:r w:rsidRPr="009D7C7D">
        <w:t>analysed the Swedish Medical Birth Registry to define the use of anti-emetics during pregnancy and the outcome of the pregnancies. During the period July 1 1995 to 2002, 29,804 pregnant women with 31,130 infants reported the use of antiemetic drugs from a total of 665,572 pregnant women with 676,198 infants that were registered.</w:t>
      </w:r>
    </w:p>
    <w:p w:rsidR="00821E37" w:rsidRDefault="00DF7DD6" w:rsidP="005C3144">
      <w:pPr>
        <w:pStyle w:val="FigureTitle"/>
        <w:spacing w:line="240" w:lineRule="auto"/>
        <w:rPr>
          <w:rFonts w:ascii="Times New Roman" w:hAnsi="Times New Roman" w:cs="Times New Roman"/>
          <w:sz w:val="24"/>
          <w:szCs w:val="24"/>
        </w:rPr>
      </w:pPr>
      <w:bookmarkStart w:id="272" w:name="_Toc304266896"/>
      <w:r>
        <w:t>Table 47</w:t>
      </w:r>
      <w:r w:rsidR="00821E37">
        <w:t>. Reported use of cyclizine and the period of pregnancy d</w:t>
      </w:r>
      <w:r>
        <w:t xml:space="preserve">uring which the drug was taken (from </w:t>
      </w:r>
      <w:r w:rsidR="00821E37">
        <w:t xml:space="preserve">Asker </w:t>
      </w:r>
      <w:r w:rsidRPr="00DF7DD6">
        <w:rPr>
          <w:i/>
        </w:rPr>
        <w:t>et al</w:t>
      </w:r>
      <w:r>
        <w:t xml:space="preserve">., </w:t>
      </w:r>
      <w:r w:rsidR="00821E37">
        <w:t>2005</w:t>
      </w:r>
      <w:bookmarkEnd w:id="272"/>
      <w: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464"/>
        <w:gridCol w:w="2367"/>
        <w:gridCol w:w="2153"/>
        <w:gridCol w:w="700"/>
      </w:tblGrid>
      <w:tr w:rsidR="00821E37" w:rsidTr="00821E37">
        <w:tc>
          <w:tcPr>
            <w:tcW w:w="0" w:type="auto"/>
            <w:tcBorders>
              <w:top w:val="single" w:sz="4" w:space="0" w:color="auto"/>
              <w:left w:val="single" w:sz="4" w:space="0" w:color="auto"/>
              <w:bottom w:val="single" w:sz="4" w:space="0" w:color="auto"/>
              <w:right w:val="single" w:sz="4" w:space="0" w:color="auto"/>
            </w:tcBorders>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p>
        </w:tc>
        <w:tc>
          <w:tcPr>
            <w:tcW w:w="0" w:type="auto"/>
            <w:gridSpan w:val="3"/>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vertAlign w:val="superscript"/>
              </w:rPr>
            </w:pPr>
            <w:r>
              <w:rPr>
                <w:sz w:val="20"/>
                <w:szCs w:val="20"/>
              </w:rPr>
              <w:t>Period of reported drug use</w:t>
            </w:r>
            <w:r>
              <w:rPr>
                <w:sz w:val="20"/>
                <w:szCs w:val="20"/>
                <w:vertAlign w:val="superscript"/>
              </w:rPr>
              <w:t>a</w:t>
            </w:r>
          </w:p>
        </w:tc>
        <w:tc>
          <w:tcPr>
            <w:tcW w:w="0" w:type="auto"/>
            <w:tcBorders>
              <w:top w:val="single" w:sz="4" w:space="0" w:color="auto"/>
              <w:left w:val="single" w:sz="4" w:space="0" w:color="auto"/>
              <w:bottom w:val="single" w:sz="4" w:space="0" w:color="auto"/>
              <w:right w:val="single" w:sz="4" w:space="0" w:color="auto"/>
            </w:tcBorders>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p>
        </w:tc>
      </w:tr>
      <w:tr w:rsidR="00821E37" w:rsidTr="00821E37">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 xml:space="preserve">Drug </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First trimester</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Second to third trimester</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First to third trimester</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Total</w:t>
            </w:r>
          </w:p>
        </w:tc>
      </w:tr>
      <w:tr w:rsidR="00821E37" w:rsidTr="00821E37">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1,221</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460</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337</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2,018</w:t>
            </w:r>
          </w:p>
        </w:tc>
      </w:tr>
    </w:tbl>
    <w:p w:rsidR="00821E37" w:rsidRDefault="00821E37" w:rsidP="005C3144">
      <w:pPr>
        <w:autoSpaceDE w:val="0"/>
        <w:autoSpaceDN w:val="0"/>
        <w:adjustRightInd w:val="0"/>
        <w:spacing w:line="240" w:lineRule="auto"/>
        <w:ind w:left="284"/>
        <w:rPr>
          <w:sz w:val="16"/>
          <w:szCs w:val="16"/>
        </w:rPr>
      </w:pPr>
      <w:r>
        <w:rPr>
          <w:sz w:val="16"/>
          <w:szCs w:val="16"/>
          <w:vertAlign w:val="superscript"/>
        </w:rPr>
        <w:t>a</w:t>
      </w:r>
      <w:r>
        <w:rPr>
          <w:sz w:val="16"/>
          <w:szCs w:val="16"/>
        </w:rPr>
        <w:t xml:space="preserve"> First trimester means that prior use of the drug was reported during the first antenatal visit (usually before week 12); second to third trimester means that the drug was prescribed after the first antenatal visit; first to third trimester means that prior use of the drug was reported during the first antenatal visit and an antiemetic was prescribed during subsequent antenatal care. </w:t>
      </w:r>
    </w:p>
    <w:p w:rsidR="00821E37" w:rsidRDefault="00821E37" w:rsidP="005C3144">
      <w:pPr>
        <w:pStyle w:val="FigureTitle"/>
        <w:spacing w:line="240" w:lineRule="auto"/>
        <w:rPr>
          <w:sz w:val="24"/>
          <w:szCs w:val="24"/>
        </w:rPr>
      </w:pPr>
      <w:bookmarkStart w:id="273" w:name="_Toc304266897"/>
      <w:r>
        <w:t>Table 4</w:t>
      </w:r>
      <w:r w:rsidR="00DF7DD6">
        <w:t>8</w:t>
      </w:r>
      <w:r>
        <w:t>. Preterm birth, low birth weight, small-for-gestational age and congenital malformati</w:t>
      </w:r>
      <w:r w:rsidR="00DF7DD6">
        <w:t>ons* according to cyclizine use</w:t>
      </w:r>
      <w:r>
        <w:t xml:space="preserve"> </w:t>
      </w:r>
      <w:bookmarkEnd w:id="273"/>
      <w:r w:rsidR="00DF7DD6">
        <w:t xml:space="preserve">(from Asker </w:t>
      </w:r>
      <w:r w:rsidR="00DF7DD6" w:rsidRPr="00DF7DD6">
        <w:rPr>
          <w:i/>
        </w:rPr>
        <w:t>et al</w:t>
      </w:r>
      <w:r w:rsidR="00DF7DD6">
        <w:t>., 2005)</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1151"/>
        <w:gridCol w:w="919"/>
        <w:gridCol w:w="1169"/>
        <w:gridCol w:w="590"/>
        <w:gridCol w:w="1074"/>
      </w:tblGrid>
      <w:tr w:rsidR="00821E37" w:rsidTr="00821E37">
        <w:tc>
          <w:tcPr>
            <w:tcW w:w="0" w:type="auto"/>
            <w:tcBorders>
              <w:top w:val="single" w:sz="4" w:space="0" w:color="auto"/>
              <w:left w:val="single" w:sz="4" w:space="0" w:color="auto"/>
              <w:bottom w:val="single" w:sz="4" w:space="0" w:color="auto"/>
              <w:right w:val="single" w:sz="4" w:space="0" w:color="auto"/>
            </w:tcBorders>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Group</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Number</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Percentage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OR</w:t>
            </w:r>
            <w:r>
              <w:rPr>
                <w:sz w:val="20"/>
                <w:szCs w:val="20"/>
                <w:vertAlign w:val="superscript"/>
              </w:rPr>
              <w:t>a</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95% CI</w:t>
            </w:r>
            <w:r>
              <w:rPr>
                <w:sz w:val="20"/>
                <w:szCs w:val="20"/>
                <w:vertAlign w:val="superscript"/>
              </w:rPr>
              <w:t>a</w:t>
            </w:r>
          </w:p>
        </w:tc>
      </w:tr>
      <w:tr w:rsidR="00821E37" w:rsidTr="00821E37">
        <w:tc>
          <w:tcPr>
            <w:tcW w:w="0" w:type="auto"/>
            <w:vMerge w:val="restar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Preterm birth</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Population</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33,653</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5.1</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Reference</w:t>
            </w:r>
          </w:p>
        </w:tc>
      </w:tr>
      <w:tr w:rsidR="00821E37" w:rsidTr="00821E37">
        <w:tc>
          <w:tcPr>
            <w:tcW w:w="0" w:type="auto"/>
            <w:vMerge/>
            <w:tcBorders>
              <w:top w:val="single" w:sz="4" w:space="0" w:color="auto"/>
              <w:left w:val="single" w:sz="4" w:space="0" w:color="auto"/>
              <w:bottom w:val="single" w:sz="4" w:space="0" w:color="auto"/>
              <w:right w:val="single" w:sz="4" w:space="0" w:color="auto"/>
            </w:tcBorders>
            <w:vAlign w:val="center"/>
            <w:hideMark/>
          </w:tcPr>
          <w:p w:rsidR="00821E37" w:rsidRDefault="00821E37" w:rsidP="005C3144">
            <w:pPr>
              <w:spacing w:line="240" w:lineRule="auto"/>
              <w:rPr>
                <w:kern w:val="16"/>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97</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4.7</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1.01</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0.87–1.16</w:t>
            </w:r>
          </w:p>
        </w:tc>
      </w:tr>
      <w:tr w:rsidR="00821E37" w:rsidTr="00821E37">
        <w:tc>
          <w:tcPr>
            <w:tcW w:w="0" w:type="auto"/>
            <w:vMerge w:val="restar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Low birth weight</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Population</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21,086</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3.2</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821E37" w:rsidRDefault="00D863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R</w:t>
            </w:r>
            <w:r w:rsidR="00821E37">
              <w:rPr>
                <w:sz w:val="20"/>
                <w:szCs w:val="20"/>
              </w:rPr>
              <w:t>eference</w:t>
            </w:r>
          </w:p>
        </w:tc>
      </w:tr>
      <w:tr w:rsidR="00821E37" w:rsidTr="00821E37">
        <w:tc>
          <w:tcPr>
            <w:tcW w:w="0" w:type="auto"/>
            <w:vMerge/>
            <w:tcBorders>
              <w:top w:val="single" w:sz="4" w:space="0" w:color="auto"/>
              <w:left w:val="single" w:sz="4" w:space="0" w:color="auto"/>
              <w:bottom w:val="single" w:sz="4" w:space="0" w:color="auto"/>
              <w:right w:val="single" w:sz="4" w:space="0" w:color="auto"/>
            </w:tcBorders>
            <w:vAlign w:val="center"/>
            <w:hideMark/>
          </w:tcPr>
          <w:p w:rsidR="00821E37" w:rsidRDefault="00821E37" w:rsidP="005C3144">
            <w:pPr>
              <w:spacing w:line="240" w:lineRule="auto"/>
              <w:rPr>
                <w:kern w:val="16"/>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47</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2.3</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0.81</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0.65–0.99</w:t>
            </w:r>
          </w:p>
        </w:tc>
      </w:tr>
      <w:tr w:rsidR="00821E37" w:rsidTr="00821E37">
        <w:tc>
          <w:tcPr>
            <w:tcW w:w="0" w:type="auto"/>
            <w:vMerge w:val="restar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Small-for-gestational age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Population</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14,247</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2.2</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821E37" w:rsidRDefault="00D8638C"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R</w:t>
            </w:r>
            <w:r w:rsidR="00821E37">
              <w:rPr>
                <w:sz w:val="20"/>
                <w:szCs w:val="20"/>
              </w:rPr>
              <w:t>eference</w:t>
            </w:r>
          </w:p>
        </w:tc>
      </w:tr>
      <w:tr w:rsidR="00821E37" w:rsidTr="00821E37">
        <w:tc>
          <w:tcPr>
            <w:tcW w:w="0" w:type="auto"/>
            <w:vMerge/>
            <w:tcBorders>
              <w:top w:val="single" w:sz="4" w:space="0" w:color="auto"/>
              <w:left w:val="single" w:sz="4" w:space="0" w:color="auto"/>
              <w:bottom w:val="single" w:sz="4" w:space="0" w:color="auto"/>
              <w:right w:val="single" w:sz="4" w:space="0" w:color="auto"/>
            </w:tcBorders>
            <w:vAlign w:val="center"/>
            <w:hideMark/>
          </w:tcPr>
          <w:p w:rsidR="00821E37" w:rsidRDefault="00821E37" w:rsidP="005C3144">
            <w:pPr>
              <w:spacing w:line="240" w:lineRule="auto"/>
              <w:rPr>
                <w:kern w:val="16"/>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32</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0.84</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0.59–1.20</w:t>
            </w:r>
          </w:p>
        </w:tc>
      </w:tr>
      <w:tr w:rsidR="00821E37" w:rsidTr="00821E37">
        <w:tc>
          <w:tcPr>
            <w:tcW w:w="0" w:type="auto"/>
            <w:vMerge w:val="restar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Congenital malformations</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Population</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23,745</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3.5</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Reference</w:t>
            </w:r>
          </w:p>
        </w:tc>
      </w:tr>
      <w:tr w:rsidR="00821E37" w:rsidTr="00821E37">
        <w:tc>
          <w:tcPr>
            <w:tcW w:w="0" w:type="auto"/>
            <w:vMerge/>
            <w:tcBorders>
              <w:top w:val="single" w:sz="4" w:space="0" w:color="auto"/>
              <w:left w:val="single" w:sz="4" w:space="0" w:color="auto"/>
              <w:bottom w:val="single" w:sz="4" w:space="0" w:color="auto"/>
              <w:right w:val="single" w:sz="4" w:space="0" w:color="auto"/>
            </w:tcBorders>
            <w:vAlign w:val="center"/>
            <w:hideMark/>
          </w:tcPr>
          <w:p w:rsidR="00821E37" w:rsidRDefault="00821E37" w:rsidP="005C3144">
            <w:pPr>
              <w:spacing w:line="240" w:lineRule="auto"/>
              <w:rPr>
                <w:kern w:val="16"/>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kern w:val="16"/>
                <w:sz w:val="20"/>
                <w:szCs w:val="20"/>
              </w:rPr>
            </w:pPr>
            <w:r>
              <w:rPr>
                <w:sz w:val="20"/>
                <w:szCs w:val="20"/>
              </w:rPr>
              <w:t>Cyclizine</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79</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3.6</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1.08</w:t>
            </w:r>
          </w:p>
        </w:tc>
        <w:tc>
          <w:tcPr>
            <w:tcW w:w="0" w:type="auto"/>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rPr>
                <w:kern w:val="16"/>
                <w:sz w:val="20"/>
                <w:szCs w:val="20"/>
              </w:rPr>
            </w:pPr>
            <w:r>
              <w:rPr>
                <w:sz w:val="20"/>
                <w:szCs w:val="20"/>
              </w:rPr>
              <w:t>0.86–1.35</w:t>
            </w:r>
          </w:p>
        </w:tc>
      </w:tr>
    </w:tbl>
    <w:p w:rsidR="00821E37" w:rsidRDefault="00821E37" w:rsidP="005C3144">
      <w:pPr>
        <w:autoSpaceDE w:val="0"/>
        <w:autoSpaceDN w:val="0"/>
        <w:adjustRightInd w:val="0"/>
        <w:spacing w:line="240" w:lineRule="auto"/>
        <w:ind w:left="284"/>
        <w:rPr>
          <w:sz w:val="16"/>
          <w:szCs w:val="16"/>
        </w:rPr>
      </w:pPr>
      <w:r>
        <w:rPr>
          <w:sz w:val="16"/>
          <w:szCs w:val="16"/>
          <w:vertAlign w:val="superscript"/>
        </w:rPr>
        <w:t>a</w:t>
      </w:r>
      <w:r>
        <w:rPr>
          <w:sz w:val="16"/>
          <w:szCs w:val="16"/>
        </w:rPr>
        <w:t xml:space="preserve"> Odds ratios (OR) with 95% CI, adjusted for year of birth, maternal age, parity, smoking, and years of involuntary childlessness. * Registered in the Medical Birth Registry among all infants born. </w:t>
      </w:r>
    </w:p>
    <w:p w:rsidR="00821E37" w:rsidRPr="009D7C7D" w:rsidRDefault="009D7C7D" w:rsidP="005C3144">
      <w:pPr>
        <w:spacing w:line="240" w:lineRule="auto"/>
        <w:rPr>
          <w:i/>
        </w:rPr>
      </w:pPr>
      <w:r w:rsidRPr="009D7C7D">
        <w:t xml:space="preserve">Extracted from Asker </w:t>
      </w:r>
      <w:r w:rsidRPr="00DF7DD6">
        <w:rPr>
          <w:i/>
        </w:rPr>
        <w:t>et al</w:t>
      </w:r>
      <w:r w:rsidR="00DF7DD6">
        <w:t>.,</w:t>
      </w:r>
      <w:r w:rsidRPr="009D7C7D">
        <w:t xml:space="preserve"> 2005:</w:t>
      </w:r>
      <w:r>
        <w:rPr>
          <w:i/>
        </w:rPr>
        <w:t xml:space="preserve"> </w:t>
      </w:r>
      <w:r w:rsidR="00821E37" w:rsidRPr="009D7C7D">
        <w:rPr>
          <w:i/>
        </w:rPr>
        <w:t xml:space="preserve">“The registered malformation rate varies for the different drugs, with 3.6% for cyclizine being the highest. However, this variability may be random (chi-square = 4.9 at 6 df , p = 0.56). Many of the registered malformations are mild conditions and have not been registered uniformly; for example, coloboma of the eye, preauricular tags, branchial cysts or fistulas, patent ductus arteriosus at preterm birth, single umbilical artery, undescended testicle, unstable hip, and skin malformations (mainly naevus). After these mild conditions are removed from the analysis, 684 infants with malformations remain in the antiemetic-exposed group (2.2%) and 16,994 in the population (2.5%). The adjusted OR remains at 0.90 (95% CI 0.83–0.97). The use of all sources for congenital malformations gave a better ascertainment and also identified malformations observed after the neonatal period – 4.7% of all infants born have a recorded congenital malformation on this basis. Among infants exposed to antiemetics, the rate is 4.3% and the crude OR is 0.93 (95% CI 0.88–0.98). This material was used in order to identify specific groups of congenital malformations. The ORs vary between the different groups, but a chi-square analysis indicates that the </w:t>
      </w:r>
      <w:r w:rsidR="00821E37" w:rsidRPr="009D7C7D">
        <w:rPr>
          <w:i/>
        </w:rPr>
        <w:lastRenderedPageBreak/>
        <w:t>heterogeneity has only a marginal statistical significance (chi-square = 14.1 at 7 df, p = 0.049). Hypospadias, however, shows intrinsically a significantly low OR.</w:t>
      </w:r>
    </w:p>
    <w:p w:rsidR="00821E37" w:rsidRPr="009D7C7D" w:rsidRDefault="00821E37" w:rsidP="005C3144">
      <w:pPr>
        <w:spacing w:line="240" w:lineRule="auto"/>
        <w:rPr>
          <w:i/>
        </w:rPr>
      </w:pPr>
      <w:r w:rsidRPr="009D7C7D">
        <w:rPr>
          <w:i/>
        </w:rPr>
        <w:t>The register also has weaknesses. It is unlikely that all drug use is reported or recorded. In this study, about 5% of all women reported the use of antiemetics during pregnancy. In a questionnaire study from a region of Sweden, 15% of the women reported the use of drug treatment of NVP and about 13% reported the use of antihistamines. The lower rate in the present study may not only be due to a lack of reporting/recording but also to the fact that women after the first antenatal care visit may use over-the-counter drugs which will not be registered. However, the incomplete identification of women who used antiemetics will only slightly influence the risk estimates because the relatively few unidentified cases will only marginally dilute statistics of the large control population. Another draw-back of the register is that little information is available on the timing or duration of drug use or the amount taken. Data for women who only used a single tablet is confounded with data for women who used drugs for an extended period. This tends to bias the estimated ORs towards unity.</w:t>
      </w:r>
    </w:p>
    <w:p w:rsidR="00821E37" w:rsidRPr="009D7C7D" w:rsidRDefault="00821E37" w:rsidP="005C3144">
      <w:pPr>
        <w:spacing w:line="240" w:lineRule="auto"/>
        <w:rPr>
          <w:i/>
        </w:rPr>
      </w:pPr>
      <w:r w:rsidRPr="009D7C7D">
        <w:rPr>
          <w:i/>
        </w:rPr>
        <w:t>No information is obtainable for spontaneous or induced abortions. According to present Swedish law, induced abortions cannot be registered with personal identification data, which makes it impossible to study such cases for, among other things, drug use. A number of abortions will have been induced because of congenital malformations detected during prenatal diagnosis and will not be included in the analysis. While this will scarcely affect the risk estimates, it will reduce the power of the study. If the malformation in question is always or nearly always aborted (like anencephaly or bilateral kidney agenesis), obviously a possible teratogenic effect of the studied drugs cannot be identified. If the use of a drug (e.g., anticonvulsant) can affect the probability or degree of a detailed prenatal diagnosis, biased results can be obtained. It is very unlikely that the use of antiemetics will have such an effect.”</w:t>
      </w:r>
    </w:p>
    <w:p w:rsidR="00821E37" w:rsidRDefault="00821E37" w:rsidP="005C3144">
      <w:pPr>
        <w:pStyle w:val="Heading4"/>
        <w:spacing w:line="240" w:lineRule="auto"/>
        <w:rPr>
          <w:sz w:val="24"/>
          <w:szCs w:val="20"/>
        </w:rPr>
      </w:pPr>
      <w:bookmarkStart w:id="274" w:name="_Toc304266808"/>
      <w:bookmarkStart w:id="275" w:name="_Toc241374324"/>
      <w:bookmarkStart w:id="276" w:name="_Ref272331214"/>
      <w:bookmarkStart w:id="277" w:name="_Toc272414688"/>
      <w:bookmarkStart w:id="278" w:name="_Toc273018251"/>
      <w:r>
        <w:t>Safety related to drug-drug interactions and other interactions</w:t>
      </w:r>
      <w:bookmarkEnd w:id="274"/>
      <w:bookmarkEnd w:id="275"/>
      <w:bookmarkEnd w:id="276"/>
      <w:bookmarkEnd w:id="277"/>
      <w:bookmarkEnd w:id="278"/>
    </w:p>
    <w:p w:rsidR="009D7C7D" w:rsidRDefault="009D7C7D" w:rsidP="005C3144">
      <w:pPr>
        <w:autoSpaceDE w:val="0"/>
        <w:autoSpaceDN w:val="0"/>
        <w:adjustRightInd w:val="0"/>
        <w:spacing w:line="240" w:lineRule="auto"/>
      </w:pPr>
      <w:bookmarkStart w:id="279" w:name="_Toc272414689"/>
      <w:bookmarkStart w:id="280" w:name="_Toc273018252"/>
      <w:r>
        <w:t>Cyclizine is s</w:t>
      </w:r>
      <w:r w:rsidR="00821E37">
        <w:t>edative, and CNS depression with other sedatives is expected.</w:t>
      </w:r>
      <w:r>
        <w:t xml:space="preserve"> </w:t>
      </w:r>
      <w:r w:rsidR="00821E37">
        <w:rPr>
          <w:color w:val="000000"/>
          <w:lang w:val="en-GB" w:eastAsia="en-GB"/>
        </w:rPr>
        <w:t>Because of its anticholinergic activity, cyclizine may enhance the side-effects of other anticholinergic drugs.</w:t>
      </w:r>
    </w:p>
    <w:p w:rsidR="00821E37" w:rsidRDefault="00DB5F5A" w:rsidP="005C3144">
      <w:pPr>
        <w:pStyle w:val="Heading4"/>
        <w:spacing w:line="240" w:lineRule="auto"/>
      </w:pPr>
      <w:bookmarkStart w:id="281" w:name="_Toc304266809"/>
      <w:bookmarkEnd w:id="279"/>
      <w:bookmarkEnd w:id="280"/>
      <w:r>
        <w:t>Abuse and a</w:t>
      </w:r>
      <w:r w:rsidR="00821E37">
        <w:t>ddiction</w:t>
      </w:r>
      <w:bookmarkEnd w:id="281"/>
    </w:p>
    <w:p w:rsidR="001823E5" w:rsidRDefault="00821E37" w:rsidP="00D81C12">
      <w:pPr>
        <w:autoSpaceDE w:val="0"/>
        <w:autoSpaceDN w:val="0"/>
        <w:adjustRightInd w:val="0"/>
        <w:spacing w:line="240" w:lineRule="auto"/>
      </w:pPr>
      <w:r>
        <w:t>There were a number of literature reports of abuse and addiction. The distinction between recreational abuse, intentional overdose and inadvertent overdose was not always clear.</w:t>
      </w:r>
      <w:bookmarkStart w:id="282" w:name="_Toc304266898"/>
    </w:p>
    <w:p w:rsidR="00821E37" w:rsidRDefault="00821E37" w:rsidP="001823E5">
      <w:pPr>
        <w:pStyle w:val="FigureTitle"/>
      </w:pPr>
      <w:r>
        <w:t>Table 4</w:t>
      </w:r>
      <w:r w:rsidR="00D8638C">
        <w:t>0</w:t>
      </w:r>
      <w:r w:rsidR="00E90811">
        <w:t>. Summary of a</w:t>
      </w:r>
      <w:r>
        <w:t xml:space="preserve">ll </w:t>
      </w:r>
      <w:r w:rsidR="00E90811">
        <w:t>s</w:t>
      </w:r>
      <w:r>
        <w:t xml:space="preserve">ubmitted </w:t>
      </w:r>
      <w:r w:rsidR="00E90811">
        <w:t>s</w:t>
      </w:r>
      <w:r>
        <w:t xml:space="preserve">tudies </w:t>
      </w:r>
      <w:r w:rsidR="00E90811">
        <w:t>r</w:t>
      </w:r>
      <w:r>
        <w:t xml:space="preserve">elevant to </w:t>
      </w:r>
      <w:r w:rsidR="00E90811">
        <w:t>a</w:t>
      </w:r>
      <w:r>
        <w:t xml:space="preserve">buse and </w:t>
      </w:r>
      <w:r w:rsidR="00E90811">
        <w:t>a</w:t>
      </w:r>
      <w:r>
        <w:t>ddiction.</w:t>
      </w:r>
      <w:bookmarkEnd w:id="282"/>
      <w:r w:rsidR="00765E17">
        <w:t xml:space="preserve"> Table continued across two pages.</w:t>
      </w:r>
    </w:p>
    <w:tbl>
      <w:tblPr>
        <w:tblW w:w="47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8"/>
        <w:gridCol w:w="5566"/>
      </w:tblGrid>
      <w:tr w:rsidR="00821E37" w:rsidTr="00821E37">
        <w:tc>
          <w:tcPr>
            <w:tcW w:w="5000" w:type="pct"/>
            <w:gridSpan w:val="2"/>
            <w:tcBorders>
              <w:top w:val="single" w:sz="4" w:space="0" w:color="auto"/>
              <w:left w:val="single" w:sz="4" w:space="0" w:color="auto"/>
              <w:bottom w:val="single" w:sz="4" w:space="0" w:color="auto"/>
              <w:right w:val="single" w:sz="4" w:space="0" w:color="auto"/>
            </w:tcBorders>
            <w:hideMark/>
          </w:tcPr>
          <w:p w:rsidR="00821E37" w:rsidRPr="00D8638C"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sz w:val="20"/>
                <w:szCs w:val="20"/>
              </w:rPr>
            </w:pPr>
            <w:r w:rsidRPr="00D8638C">
              <w:rPr>
                <w:rFonts w:eastAsia="Calibri"/>
                <w:b/>
                <w:sz w:val="20"/>
                <w:szCs w:val="20"/>
              </w:rPr>
              <w:t>Therapeutically initiated</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0A22F2"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Bailey</w:t>
            </w:r>
            <w:r w:rsidR="00D8638C">
              <w:rPr>
                <w:rFonts w:eastAsia="Calibri"/>
                <w:sz w:val="20"/>
                <w:szCs w:val="20"/>
              </w:rPr>
              <w:t xml:space="preserve"> and</w:t>
            </w:r>
            <w:r>
              <w:rPr>
                <w:rFonts w:eastAsia="Calibri"/>
                <w:sz w:val="20"/>
                <w:szCs w:val="20"/>
              </w:rPr>
              <w:t xml:space="preserve"> Davies, 2008</w:t>
            </w:r>
            <w:r w:rsidR="00821E37">
              <w:rPr>
                <w:rFonts w:eastAsia="Calibri"/>
                <w:sz w:val="20"/>
                <w:szCs w:val="20"/>
              </w:rPr>
              <w:t xml:space="preserve">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r>
              <w:rPr>
                <w:rFonts w:eastAsia="Calibri"/>
                <w:sz w:val="20"/>
                <w:szCs w:val="20"/>
              </w:rPr>
              <w:t>IV cyclizine 4 cases</w:t>
            </w:r>
          </w:p>
          <w:p w:rsidR="00821E37" w:rsidRDefault="00821E37" w:rsidP="005C3144">
            <w:pPr>
              <w:spacing w:line="240" w:lineRule="auto"/>
              <w:rPr>
                <w:rFonts w:eastAsia="Calibri"/>
                <w:sz w:val="20"/>
                <w:szCs w:val="20"/>
              </w:rPr>
            </w:pPr>
            <w:r>
              <w:rPr>
                <w:rFonts w:eastAsia="Calibri"/>
                <w:sz w:val="20"/>
                <w:szCs w:val="20"/>
              </w:rPr>
              <w:t>Rapid injection buzz (</w:t>
            </w:r>
            <w:r w:rsidR="00D8638C">
              <w:rPr>
                <w:rFonts w:eastAsia="Calibri"/>
                <w:sz w:val="20"/>
                <w:szCs w:val="20"/>
              </w:rPr>
              <w:t>h</w:t>
            </w:r>
            <w:r>
              <w:rPr>
                <w:rFonts w:eastAsia="Calibri"/>
                <w:sz w:val="20"/>
                <w:szCs w:val="20"/>
              </w:rPr>
              <w:t>igh for 30 – 120 mins)</w:t>
            </w:r>
          </w:p>
          <w:p w:rsidR="00821E37" w:rsidRDefault="00821E37" w:rsidP="005C3144">
            <w:pPr>
              <w:spacing w:line="240" w:lineRule="auto"/>
              <w:rPr>
                <w:rFonts w:eastAsia="Calibri"/>
                <w:sz w:val="20"/>
                <w:szCs w:val="20"/>
              </w:rPr>
            </w:pPr>
            <w:r>
              <w:rPr>
                <w:rFonts w:eastAsia="Calibri"/>
                <w:sz w:val="20"/>
                <w:szCs w:val="20"/>
              </w:rPr>
              <w:t xml:space="preserve">Mostly psychological but some physical withdrawal symptoms (feeling sick </w:t>
            </w:r>
            <w:r w:rsidR="00D8638C">
              <w:rPr>
                <w:rFonts w:eastAsia="Calibri"/>
                <w:sz w:val="20"/>
                <w:szCs w:val="20"/>
              </w:rPr>
              <w:t>and</w:t>
            </w:r>
            <w:r>
              <w:rPr>
                <w:rFonts w:eastAsia="Calibri"/>
                <w:sz w:val="20"/>
                <w:szCs w:val="20"/>
              </w:rPr>
              <w:t xml:space="preserve"> achy) </w:t>
            </w:r>
          </w:p>
          <w:p w:rsidR="00821E37" w:rsidRDefault="00821E37" w:rsidP="005C3144">
            <w:pPr>
              <w:spacing w:line="240" w:lineRule="auto"/>
              <w:rPr>
                <w:rFonts w:eastAsia="Calibri"/>
                <w:sz w:val="20"/>
                <w:szCs w:val="20"/>
              </w:rPr>
            </w:pPr>
            <w:r>
              <w:rPr>
                <w:rFonts w:eastAsia="Calibri"/>
                <w:sz w:val="20"/>
                <w:szCs w:val="20"/>
              </w:rPr>
              <w:t>Potentiation of stimulant effects of opioids hallucinations with higher doses</w:t>
            </w:r>
          </w:p>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Abuse produces aggression </w:t>
            </w:r>
            <w:r w:rsidR="00D8638C">
              <w:rPr>
                <w:rFonts w:eastAsia="Calibri"/>
                <w:sz w:val="20"/>
                <w:szCs w:val="20"/>
              </w:rPr>
              <w:t>and</w:t>
            </w:r>
            <w:r>
              <w:rPr>
                <w:rFonts w:eastAsia="Calibri"/>
                <w:sz w:val="20"/>
                <w:szCs w:val="20"/>
              </w:rPr>
              <w:t xml:space="preserve"> seizures</w:t>
            </w:r>
          </w:p>
        </w:tc>
      </w:tr>
      <w:tr w:rsidR="00821E37" w:rsidTr="00D8638C">
        <w:trPr>
          <w:cantSplit/>
        </w:trPr>
        <w:tc>
          <w:tcPr>
            <w:tcW w:w="1628"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Hughes</w:t>
            </w:r>
            <w:r w:rsidR="000A22F2">
              <w:rPr>
                <w:rFonts w:eastAsia="Calibri"/>
                <w:sz w:val="20"/>
                <w:szCs w:val="20"/>
              </w:rPr>
              <w:t xml:space="preserve"> and</w:t>
            </w:r>
            <w:r>
              <w:rPr>
                <w:rFonts w:eastAsia="Calibri"/>
                <w:sz w:val="20"/>
                <w:szCs w:val="20"/>
              </w:rPr>
              <w:t xml:space="preserve"> Coote</w:t>
            </w:r>
            <w:r w:rsidR="000A22F2">
              <w:rPr>
                <w:rFonts w:eastAsia="Calibri"/>
                <w:sz w:val="20"/>
                <w:szCs w:val="20"/>
              </w:rPr>
              <w:t>,</w:t>
            </w:r>
            <w:r>
              <w:rPr>
                <w:rFonts w:eastAsia="Calibri"/>
                <w:sz w:val="20"/>
                <w:szCs w:val="20"/>
              </w:rPr>
              <w:t xml:space="preserve"> 1988.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Dependence with withdrawal in chronic pain patients Case reports (3)</w:t>
            </w:r>
          </w:p>
        </w:tc>
      </w:tr>
      <w:tr w:rsidR="00821E37" w:rsidTr="00821E37">
        <w:tc>
          <w:tcPr>
            <w:tcW w:w="5000" w:type="pct"/>
            <w:gridSpan w:val="2"/>
            <w:tcBorders>
              <w:top w:val="single" w:sz="4" w:space="0" w:color="auto"/>
              <w:left w:val="single" w:sz="4" w:space="0" w:color="auto"/>
              <w:bottom w:val="single" w:sz="4" w:space="0" w:color="auto"/>
              <w:right w:val="single" w:sz="4" w:space="0" w:color="auto"/>
            </w:tcBorders>
            <w:hideMark/>
          </w:tcPr>
          <w:p w:rsidR="00821E37" w:rsidRPr="00D8638C"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sz w:val="20"/>
                <w:szCs w:val="20"/>
              </w:rPr>
            </w:pPr>
            <w:r w:rsidRPr="00D8638C">
              <w:rPr>
                <w:rFonts w:eastAsia="Calibri"/>
                <w:b/>
                <w:sz w:val="20"/>
                <w:szCs w:val="20"/>
              </w:rPr>
              <w:t>Recreational abuse - oral preparations – ingested or injected</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Ruben </w:t>
            </w:r>
            <w:r w:rsidR="000A22F2" w:rsidRPr="000A22F2">
              <w:rPr>
                <w:rFonts w:eastAsia="Calibri"/>
                <w:i/>
                <w:sz w:val="20"/>
                <w:szCs w:val="20"/>
              </w:rPr>
              <w:t>et al</w:t>
            </w:r>
            <w:r w:rsidR="000A22F2">
              <w:rPr>
                <w:rFonts w:eastAsia="Calibri"/>
                <w:sz w:val="20"/>
                <w:szCs w:val="20"/>
              </w:rPr>
              <w:t xml:space="preserve">., 1989.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20 opiate addicts on oral methadone, habitual abusers of cyclizine, were interviewed. The effects initially were of </w:t>
            </w:r>
            <w:r>
              <w:rPr>
                <w:rFonts w:eastAsia="Calibri"/>
                <w:sz w:val="20"/>
                <w:szCs w:val="20"/>
              </w:rPr>
              <w:lastRenderedPageBreak/>
              <w:t>intense stimulation, often with hallucinations, sometimes with aggressive behaviour, and occasionally with epileptic fits. Subsequent depressive mood changes occurred often accompanied by a craving for cyclizine</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lastRenderedPageBreak/>
              <w:t xml:space="preserve">Bassett </w:t>
            </w:r>
            <w:r w:rsidR="000A22F2" w:rsidRPr="000A22F2">
              <w:rPr>
                <w:rFonts w:eastAsia="Calibri"/>
                <w:i/>
                <w:sz w:val="20"/>
                <w:szCs w:val="20"/>
              </w:rPr>
              <w:t>et al</w:t>
            </w:r>
            <w:r w:rsidR="000A22F2">
              <w:rPr>
                <w:rFonts w:eastAsia="Calibri"/>
                <w:sz w:val="20"/>
                <w:szCs w:val="20"/>
              </w:rPr>
              <w:t xml:space="preserve">., 1996.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spacing w:line="240" w:lineRule="auto"/>
              <w:rPr>
                <w:rFonts w:eastAsia="Calibri"/>
                <w:sz w:val="20"/>
                <w:szCs w:val="20"/>
              </w:rPr>
            </w:pPr>
            <w:r>
              <w:rPr>
                <w:rFonts w:eastAsia="Calibri"/>
                <w:sz w:val="20"/>
                <w:szCs w:val="20"/>
              </w:rPr>
              <w:t xml:space="preserve">Reviewed 80 teenage cases </w:t>
            </w:r>
            <w:r w:rsidR="00D8638C">
              <w:rPr>
                <w:rFonts w:eastAsia="Calibri"/>
                <w:sz w:val="20"/>
                <w:szCs w:val="20"/>
              </w:rPr>
              <w:t>of abuse reporting to the Utah P</w:t>
            </w:r>
            <w:r>
              <w:rPr>
                <w:rFonts w:eastAsia="Calibri"/>
                <w:sz w:val="20"/>
                <w:szCs w:val="20"/>
              </w:rPr>
              <w:t>oisons Centre (of whom only 25% had co ingestions), 52% had tachycardia (&gt;</w:t>
            </w:r>
            <w:r w:rsidR="00D8638C">
              <w:rPr>
                <w:rFonts w:eastAsia="Calibri"/>
                <w:sz w:val="20"/>
                <w:szCs w:val="20"/>
              </w:rPr>
              <w:t xml:space="preserve"> </w:t>
            </w:r>
            <w:r>
              <w:rPr>
                <w:rFonts w:eastAsia="Calibri"/>
                <w:sz w:val="20"/>
                <w:szCs w:val="20"/>
              </w:rPr>
              <w:t>115</w:t>
            </w:r>
            <w:r w:rsidR="00D8638C">
              <w:rPr>
                <w:rFonts w:eastAsia="Calibri"/>
                <w:sz w:val="20"/>
                <w:szCs w:val="20"/>
              </w:rPr>
              <w:t xml:space="preserve"> </w:t>
            </w:r>
            <w:r>
              <w:rPr>
                <w:rFonts w:eastAsia="Calibri"/>
                <w:sz w:val="20"/>
                <w:szCs w:val="20"/>
              </w:rPr>
              <w:t>beats/min), 69% had systolic hypertension (&gt; 135</w:t>
            </w:r>
            <w:r w:rsidR="00D8638C">
              <w:rPr>
                <w:rFonts w:eastAsia="Calibri"/>
                <w:sz w:val="20"/>
                <w:szCs w:val="20"/>
              </w:rPr>
              <w:t xml:space="preserve"> </w:t>
            </w:r>
            <w:r>
              <w:rPr>
                <w:rFonts w:eastAsia="Calibri"/>
                <w:sz w:val="20"/>
                <w:szCs w:val="20"/>
              </w:rPr>
              <w:t>mmHg), 15% had diastolic hypertension, and 14% had fever</w:t>
            </w:r>
            <w:r w:rsidR="00D8638C">
              <w:rPr>
                <w:rFonts w:eastAsia="Calibri"/>
                <w:sz w:val="20"/>
                <w:szCs w:val="20"/>
              </w:rPr>
              <w:t xml:space="preserve"> </w:t>
            </w:r>
            <w:r>
              <w:rPr>
                <w:rFonts w:eastAsia="Calibri"/>
                <w:sz w:val="20"/>
                <w:szCs w:val="20"/>
              </w:rPr>
              <w:t>(&gt; 38</w:t>
            </w:r>
            <w:r>
              <w:rPr>
                <w:rFonts w:eastAsia="Calibri"/>
                <w:sz w:val="20"/>
                <w:szCs w:val="20"/>
                <w:vertAlign w:val="superscript"/>
              </w:rPr>
              <w:t>o</w:t>
            </w:r>
            <w:r>
              <w:rPr>
                <w:rFonts w:eastAsia="Calibri"/>
                <w:sz w:val="20"/>
                <w:szCs w:val="20"/>
              </w:rPr>
              <w:t>C).</w:t>
            </w:r>
          </w:p>
          <w:p w:rsidR="00821E37" w:rsidRDefault="00821E37" w:rsidP="005C3144">
            <w:pPr>
              <w:tabs>
                <w:tab w:val="left" w:pos="720"/>
              </w:tabs>
              <w:autoSpaceDE w:val="0"/>
              <w:autoSpaceDN w:val="0"/>
              <w:adjustRightInd w:val="0"/>
              <w:spacing w:line="240" w:lineRule="auto"/>
              <w:rPr>
                <w:rFonts w:eastAsia="Times New Roman"/>
                <w:sz w:val="20"/>
                <w:szCs w:val="20"/>
                <w:lang w:eastAsia="en-AU"/>
              </w:rPr>
            </w:pPr>
            <w:r>
              <w:rPr>
                <w:sz w:val="20"/>
                <w:szCs w:val="20"/>
              </w:rPr>
              <w:t>The most commonly reported symptom was hallucinations, noted in 70% of cases. Other reported symptoms included confusion or disorientation in 40%, agitation in 31 %, tremor in 9%, dysarthria in 7%, drowsiness in 5%, ataxia in 2%, chest pain in 1 %, and seizures in 1 %.</w:t>
            </w:r>
          </w:p>
          <w:p w:rsidR="00821E37" w:rsidRDefault="00821E37" w:rsidP="005C314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sz w:val="20"/>
                <w:szCs w:val="20"/>
              </w:rPr>
            </w:pPr>
            <w:r>
              <w:rPr>
                <w:sz w:val="20"/>
                <w:szCs w:val="20"/>
              </w:rPr>
              <w:t xml:space="preserve">Ingestion was considered to have been secondary to abuse in 89% of cases, suicide attempt in 4%, misuse in 2%, and intentional/unknown in 5%. </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D8638C"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Turnbull and </w:t>
            </w:r>
            <w:r w:rsidR="000A22F2">
              <w:rPr>
                <w:rFonts w:eastAsia="Calibri"/>
                <w:sz w:val="20"/>
                <w:szCs w:val="20"/>
              </w:rPr>
              <w:t xml:space="preserve">Isaacson, </w:t>
            </w:r>
            <w:r w:rsidR="00821E37">
              <w:rPr>
                <w:rFonts w:eastAsia="Calibri"/>
                <w:sz w:val="20"/>
                <w:szCs w:val="20"/>
              </w:rPr>
              <w:t>1977</w:t>
            </w:r>
            <w:r w:rsidR="000A22F2">
              <w:rPr>
                <w:rFonts w:eastAsia="Calibri"/>
                <w:sz w:val="20"/>
                <w:szCs w:val="20"/>
              </w:rPr>
              <w:t>.</w:t>
            </w:r>
            <w:r w:rsidR="00821E37">
              <w:rPr>
                <w:rFonts w:eastAsia="Calibri"/>
                <w:sz w:val="20"/>
                <w:szCs w:val="20"/>
              </w:rPr>
              <w:t xml:space="preserve">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Case study, injection of dissolved oral tablets</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Williams </w:t>
            </w:r>
            <w:r w:rsidR="000A22F2" w:rsidRPr="00CC22E2">
              <w:rPr>
                <w:rFonts w:eastAsia="Calibri"/>
                <w:i/>
                <w:sz w:val="20"/>
                <w:szCs w:val="20"/>
              </w:rPr>
              <w:t>et al</w:t>
            </w:r>
            <w:r w:rsidR="000A22F2">
              <w:rPr>
                <w:rFonts w:eastAsia="Calibri"/>
                <w:sz w:val="20"/>
                <w:szCs w:val="20"/>
              </w:rPr>
              <w:t>., 1997</w:t>
            </w:r>
            <w:r>
              <w:rPr>
                <w:rFonts w:eastAsia="Calibri"/>
                <w:sz w:val="20"/>
                <w:szCs w:val="20"/>
              </w:rPr>
              <w:t xml:space="preserve">.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Not in submission. Subsequently submitted</w:t>
            </w:r>
            <w:r w:rsidR="00D8638C">
              <w:rPr>
                <w:rFonts w:eastAsia="Calibri"/>
                <w:sz w:val="20"/>
                <w:szCs w:val="20"/>
              </w:rPr>
              <w:t xml:space="preserve"> on request from TGA</w:t>
            </w:r>
            <w:r>
              <w:rPr>
                <w:rFonts w:eastAsia="Calibri"/>
                <w:sz w:val="20"/>
                <w:szCs w:val="20"/>
              </w:rPr>
              <w:t>.</w:t>
            </w:r>
            <w:r>
              <w:rPr>
                <w:sz w:val="20"/>
                <w:szCs w:val="20"/>
              </w:rPr>
              <w:t xml:space="preserve"> </w:t>
            </w:r>
            <w:r>
              <w:rPr>
                <w:rFonts w:eastAsia="Calibri"/>
                <w:sz w:val="20"/>
                <w:szCs w:val="20"/>
              </w:rPr>
              <w:t>Dipianone HCl</w:t>
            </w:r>
            <w:r>
              <w:rPr>
                <w:sz w:val="20"/>
                <w:szCs w:val="20"/>
              </w:rPr>
              <w:t xml:space="preserve"> (an opiate)</w:t>
            </w:r>
            <w:r>
              <w:rPr>
                <w:rFonts w:eastAsia="Calibri"/>
                <w:sz w:val="20"/>
                <w:szCs w:val="20"/>
              </w:rPr>
              <w:t xml:space="preserve"> plus cyclizine injection of dissolved oral tablets 86 patients</w:t>
            </w:r>
            <w:r>
              <w:rPr>
                <w:sz w:val="20"/>
                <w:szCs w:val="20"/>
              </w:rPr>
              <w:t xml:space="preserve"> </w:t>
            </w:r>
            <w:r>
              <w:rPr>
                <w:rFonts w:eastAsia="Calibri"/>
                <w:sz w:val="20"/>
                <w:szCs w:val="20"/>
              </w:rPr>
              <w:t>current intravenous abusers. There was a mortality rate of 3%.</w:t>
            </w:r>
          </w:p>
        </w:tc>
      </w:tr>
      <w:tr w:rsidR="00821E37" w:rsidTr="00821E37">
        <w:tc>
          <w:tcPr>
            <w:tcW w:w="5000" w:type="pct"/>
            <w:gridSpan w:val="2"/>
            <w:tcBorders>
              <w:top w:val="single" w:sz="4" w:space="0" w:color="auto"/>
              <w:left w:val="single" w:sz="4" w:space="0" w:color="auto"/>
              <w:bottom w:val="single" w:sz="4" w:space="0" w:color="auto"/>
              <w:right w:val="single" w:sz="4" w:space="0" w:color="auto"/>
            </w:tcBorders>
            <w:hideMark/>
          </w:tcPr>
          <w:p w:rsidR="00821E37" w:rsidRPr="00D8638C"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sz w:val="20"/>
                <w:szCs w:val="20"/>
              </w:rPr>
            </w:pPr>
            <w:r w:rsidRPr="00D8638C">
              <w:rPr>
                <w:b/>
                <w:sz w:val="20"/>
                <w:szCs w:val="20"/>
              </w:rPr>
              <w:t>Accidental Overdose</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821E37" w:rsidP="000A22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sz w:val="20"/>
                <w:szCs w:val="20"/>
              </w:rPr>
              <w:t>Haidvogl and Rosegger</w:t>
            </w:r>
            <w:r w:rsidR="000A22F2">
              <w:rPr>
                <w:sz w:val="20"/>
                <w:szCs w:val="20"/>
              </w:rPr>
              <w:t>, 1975.</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kern w:val="16"/>
                <w:sz w:val="20"/>
                <w:szCs w:val="20"/>
              </w:rPr>
            </w:pPr>
            <w:r>
              <w:rPr>
                <w:sz w:val="20"/>
                <w:szCs w:val="20"/>
              </w:rPr>
              <w:t xml:space="preserve">6 cases </w:t>
            </w:r>
            <w:r w:rsidR="00D8638C">
              <w:rPr>
                <w:sz w:val="20"/>
                <w:szCs w:val="20"/>
              </w:rPr>
              <w:t xml:space="preserve">of </w:t>
            </w:r>
            <w:r>
              <w:rPr>
                <w:sz w:val="20"/>
                <w:szCs w:val="20"/>
              </w:rPr>
              <w:t>accidental overdose in infants</w:t>
            </w:r>
            <w:r w:rsidR="00D8638C">
              <w:rPr>
                <w:sz w:val="20"/>
                <w:szCs w:val="20"/>
              </w:rPr>
              <w:t>.</w:t>
            </w:r>
            <w:r>
              <w:rPr>
                <w:sz w:val="20"/>
                <w:szCs w:val="20"/>
              </w:rPr>
              <w:t xml:space="preserve"> </w:t>
            </w:r>
            <w:r w:rsidR="00D8638C">
              <w:rPr>
                <w:sz w:val="20"/>
                <w:szCs w:val="20"/>
              </w:rPr>
              <w:t>S</w:t>
            </w:r>
            <w:r>
              <w:rPr>
                <w:sz w:val="20"/>
                <w:szCs w:val="20"/>
              </w:rPr>
              <w:t xml:space="preserve">ymptoms included </w:t>
            </w:r>
            <w:r w:rsidR="00D8638C">
              <w:rPr>
                <w:sz w:val="20"/>
                <w:szCs w:val="20"/>
              </w:rPr>
              <w:t>a</w:t>
            </w:r>
            <w:r>
              <w:rPr>
                <w:sz w:val="20"/>
                <w:szCs w:val="20"/>
              </w:rPr>
              <w:t xml:space="preserve">gitation – ataxia, </w:t>
            </w:r>
            <w:r w:rsidR="00D8638C">
              <w:rPr>
                <w:sz w:val="20"/>
                <w:szCs w:val="20"/>
              </w:rPr>
              <w:t>s</w:t>
            </w:r>
            <w:r>
              <w:rPr>
                <w:sz w:val="20"/>
                <w:szCs w:val="20"/>
              </w:rPr>
              <w:t>leeplessness</w:t>
            </w:r>
            <w:r w:rsidR="00D8638C">
              <w:rPr>
                <w:sz w:val="20"/>
                <w:szCs w:val="20"/>
              </w:rPr>
              <w:t>,</w:t>
            </w:r>
            <w:r>
              <w:rPr>
                <w:sz w:val="20"/>
                <w:szCs w:val="20"/>
              </w:rPr>
              <w:t xml:space="preserve"> visual and acoustic hallucinations, confused </w:t>
            </w:r>
            <w:r w:rsidR="00D8638C">
              <w:rPr>
                <w:sz w:val="20"/>
                <w:szCs w:val="20"/>
              </w:rPr>
              <w:t>o</w:t>
            </w:r>
            <w:r>
              <w:rPr>
                <w:sz w:val="20"/>
                <w:szCs w:val="20"/>
              </w:rPr>
              <w:t xml:space="preserve">rientation, </w:t>
            </w:r>
            <w:r w:rsidR="00D8638C">
              <w:rPr>
                <w:sz w:val="20"/>
                <w:szCs w:val="20"/>
              </w:rPr>
              <w:t>f</w:t>
            </w:r>
            <w:r>
              <w:rPr>
                <w:rFonts w:eastAsia="Calibri"/>
                <w:sz w:val="20"/>
                <w:szCs w:val="20"/>
              </w:rPr>
              <w:t xml:space="preserve">ebrile, </w:t>
            </w:r>
            <w:r w:rsidR="00D8638C">
              <w:rPr>
                <w:rFonts w:eastAsia="Calibri"/>
                <w:sz w:val="20"/>
                <w:szCs w:val="20"/>
              </w:rPr>
              <w:t>f</w:t>
            </w:r>
            <w:r>
              <w:rPr>
                <w:sz w:val="20"/>
                <w:szCs w:val="20"/>
              </w:rPr>
              <w:t xml:space="preserve">acial reddening, </w:t>
            </w:r>
            <w:r w:rsidR="00D8638C">
              <w:rPr>
                <w:sz w:val="20"/>
                <w:szCs w:val="20"/>
              </w:rPr>
              <w:t>w</w:t>
            </w:r>
            <w:r>
              <w:rPr>
                <w:sz w:val="20"/>
                <w:szCs w:val="20"/>
              </w:rPr>
              <w:t xml:space="preserve">ide </w:t>
            </w:r>
            <w:r w:rsidR="00D8638C">
              <w:rPr>
                <w:sz w:val="20"/>
                <w:szCs w:val="20"/>
              </w:rPr>
              <w:t>p</w:t>
            </w:r>
            <w:r>
              <w:rPr>
                <w:sz w:val="20"/>
                <w:szCs w:val="20"/>
              </w:rPr>
              <w:t>upils</w:t>
            </w:r>
            <w:r w:rsidR="00D8638C">
              <w:rPr>
                <w:sz w:val="20"/>
                <w:szCs w:val="20"/>
              </w:rPr>
              <w:t>.</w:t>
            </w:r>
          </w:p>
        </w:tc>
      </w:tr>
      <w:tr w:rsidR="00821E37" w:rsidTr="00821E37">
        <w:tc>
          <w:tcPr>
            <w:tcW w:w="5000" w:type="pct"/>
            <w:gridSpan w:val="2"/>
            <w:tcBorders>
              <w:top w:val="single" w:sz="4" w:space="0" w:color="auto"/>
              <w:left w:val="single" w:sz="4" w:space="0" w:color="auto"/>
              <w:bottom w:val="single" w:sz="4" w:space="0" w:color="auto"/>
              <w:right w:val="single" w:sz="4" w:space="0" w:color="auto"/>
            </w:tcBorders>
            <w:hideMark/>
          </w:tcPr>
          <w:p w:rsidR="00821E37" w:rsidRPr="00D8638C"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sz w:val="20"/>
                <w:szCs w:val="20"/>
              </w:rPr>
            </w:pPr>
            <w:r w:rsidRPr="00D8638C">
              <w:rPr>
                <w:rFonts w:eastAsia="Calibri"/>
                <w:b/>
                <w:sz w:val="20"/>
                <w:szCs w:val="20"/>
              </w:rPr>
              <w:t xml:space="preserve">Overdose </w:t>
            </w:r>
            <w:r w:rsidR="00D8638C">
              <w:rPr>
                <w:rFonts w:eastAsia="Calibri"/>
                <w:b/>
                <w:sz w:val="20"/>
                <w:szCs w:val="20"/>
              </w:rPr>
              <w:t>not otherwise specified (</w:t>
            </w:r>
            <w:r w:rsidRPr="00D8638C">
              <w:rPr>
                <w:rFonts w:eastAsia="Calibri"/>
                <w:b/>
                <w:sz w:val="20"/>
                <w:szCs w:val="20"/>
              </w:rPr>
              <w:t>NOS</w:t>
            </w:r>
            <w:r w:rsidR="00D8638C">
              <w:rPr>
                <w:rFonts w:eastAsia="Calibri"/>
                <w:b/>
                <w:sz w:val="20"/>
                <w:szCs w:val="20"/>
              </w:rPr>
              <w:t>)</w:t>
            </w:r>
          </w:p>
        </w:tc>
      </w:tr>
      <w:tr w:rsidR="00821E37" w:rsidTr="00821E37">
        <w:tc>
          <w:tcPr>
            <w:tcW w:w="1628" w:type="pct"/>
            <w:tcBorders>
              <w:top w:val="single" w:sz="4" w:space="0" w:color="auto"/>
              <w:left w:val="single" w:sz="4" w:space="0" w:color="auto"/>
              <w:bottom w:val="single" w:sz="4" w:space="0" w:color="auto"/>
              <w:right w:val="single" w:sz="4" w:space="0" w:color="auto"/>
            </w:tcBorders>
            <w:hideMark/>
          </w:tcPr>
          <w:p w:rsidR="00821E37" w:rsidRDefault="00821E37" w:rsidP="005A2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Resch</w:t>
            </w:r>
            <w:r w:rsidR="000A22F2">
              <w:rPr>
                <w:rFonts w:eastAsia="Calibri"/>
                <w:sz w:val="20"/>
                <w:szCs w:val="20"/>
              </w:rPr>
              <w:t xml:space="preserve"> </w:t>
            </w:r>
            <w:r w:rsidR="000A22F2" w:rsidRPr="00CC22E2">
              <w:rPr>
                <w:rFonts w:eastAsia="Calibri"/>
                <w:i/>
                <w:sz w:val="20"/>
                <w:szCs w:val="20"/>
              </w:rPr>
              <w:t>et al</w:t>
            </w:r>
            <w:r w:rsidR="000A22F2">
              <w:rPr>
                <w:rFonts w:eastAsia="Calibri"/>
                <w:sz w:val="20"/>
                <w:szCs w:val="20"/>
              </w:rPr>
              <w:t xml:space="preserve">., </w:t>
            </w:r>
            <w:r>
              <w:rPr>
                <w:rFonts w:eastAsia="Calibri"/>
                <w:sz w:val="20"/>
                <w:szCs w:val="20"/>
              </w:rPr>
              <w:t xml:space="preserve">1982. </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9D7C7D"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Abstract only submitted </w:t>
            </w:r>
            <w:r w:rsidR="00AE0B4E">
              <w:rPr>
                <w:rFonts w:eastAsia="Calibri"/>
                <w:sz w:val="20"/>
                <w:szCs w:val="20"/>
              </w:rPr>
              <w:t>(</w:t>
            </w:r>
            <w:r w:rsidR="00821E37">
              <w:rPr>
                <w:rFonts w:eastAsia="Calibri"/>
                <w:sz w:val="20"/>
                <w:szCs w:val="20"/>
              </w:rPr>
              <w:t>later translated</w:t>
            </w:r>
            <w:r w:rsidR="00AE0B4E">
              <w:rPr>
                <w:rFonts w:eastAsia="Calibri"/>
                <w:sz w:val="20"/>
                <w:szCs w:val="20"/>
              </w:rPr>
              <w:t>):</w:t>
            </w:r>
            <w:r w:rsidR="00821E37">
              <w:rPr>
                <w:rFonts w:eastAsia="Calibri"/>
                <w:sz w:val="20"/>
                <w:szCs w:val="20"/>
              </w:rPr>
              <w:t xml:space="preserve"> 38</w:t>
            </w:r>
            <w:r>
              <w:rPr>
                <w:rFonts w:eastAsia="Calibri"/>
                <w:sz w:val="20"/>
                <w:szCs w:val="20"/>
              </w:rPr>
              <w:t xml:space="preserve"> </w:t>
            </w:r>
            <w:r w:rsidR="00821E37">
              <w:rPr>
                <w:rFonts w:eastAsia="Calibri"/>
                <w:sz w:val="20"/>
                <w:szCs w:val="20"/>
              </w:rPr>
              <w:t xml:space="preserve">cases reviewed of 128 reports to poisons centre of intoxication with cyclizine in adults </w:t>
            </w:r>
            <w:r w:rsidR="00AE0B4E">
              <w:rPr>
                <w:rFonts w:eastAsia="Calibri"/>
                <w:sz w:val="20"/>
                <w:szCs w:val="20"/>
              </w:rPr>
              <w:t xml:space="preserve">and </w:t>
            </w:r>
            <w:r w:rsidR="00821E37">
              <w:rPr>
                <w:rFonts w:eastAsia="Calibri"/>
                <w:sz w:val="20"/>
                <w:szCs w:val="20"/>
              </w:rPr>
              <w:t xml:space="preserve">children. Use of gastric lavage </w:t>
            </w:r>
            <w:r w:rsidR="00AE0B4E">
              <w:rPr>
                <w:rFonts w:eastAsia="Calibri"/>
                <w:sz w:val="20"/>
                <w:szCs w:val="20"/>
              </w:rPr>
              <w:t xml:space="preserve">and </w:t>
            </w:r>
            <w:r w:rsidR="00821E37">
              <w:rPr>
                <w:rFonts w:eastAsia="Calibri"/>
                <w:sz w:val="20"/>
                <w:szCs w:val="20"/>
              </w:rPr>
              <w:t>physostigmine recommended</w:t>
            </w:r>
            <w:r w:rsidR="00AE0B4E">
              <w:rPr>
                <w:rFonts w:eastAsia="Calibri"/>
                <w:sz w:val="20"/>
                <w:szCs w:val="20"/>
              </w:rPr>
              <w:t>.</w:t>
            </w:r>
          </w:p>
        </w:tc>
      </w:tr>
      <w:tr w:rsidR="00821E37" w:rsidTr="00AE0B4E">
        <w:trPr>
          <w:cantSplit/>
        </w:trPr>
        <w:tc>
          <w:tcPr>
            <w:tcW w:w="1628" w:type="pct"/>
            <w:tcBorders>
              <w:top w:val="single" w:sz="4" w:space="0" w:color="auto"/>
              <w:left w:val="single" w:sz="4" w:space="0" w:color="auto"/>
              <w:bottom w:val="single" w:sz="4" w:space="0" w:color="auto"/>
              <w:right w:val="single" w:sz="4" w:space="0" w:color="auto"/>
            </w:tcBorders>
            <w:hideMark/>
          </w:tcPr>
          <w:p w:rsidR="00821E37" w:rsidRDefault="005A2CFD" w:rsidP="005A2C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 xml:space="preserve">Griffin </w:t>
            </w:r>
            <w:r w:rsidR="00AE0B4E">
              <w:rPr>
                <w:rFonts w:eastAsia="Calibri"/>
                <w:sz w:val="20"/>
                <w:szCs w:val="20"/>
              </w:rPr>
              <w:t>and</w:t>
            </w:r>
            <w:r w:rsidR="00821E37">
              <w:rPr>
                <w:rFonts w:eastAsia="Calibri"/>
                <w:sz w:val="20"/>
                <w:szCs w:val="20"/>
              </w:rPr>
              <w:t xml:space="preserve"> Baselt</w:t>
            </w:r>
            <w:r>
              <w:rPr>
                <w:rFonts w:eastAsia="Calibri"/>
                <w:sz w:val="20"/>
                <w:szCs w:val="20"/>
              </w:rPr>
              <w:t>, 1984</w:t>
            </w:r>
            <w:r w:rsidR="00821E37">
              <w:rPr>
                <w:rFonts w:eastAsia="Calibri"/>
                <w:sz w:val="20"/>
                <w:szCs w:val="20"/>
              </w:rPr>
              <w:t>.</w:t>
            </w:r>
          </w:p>
        </w:tc>
        <w:tc>
          <w:tcPr>
            <w:tcW w:w="3372" w:type="pct"/>
            <w:tcBorders>
              <w:top w:val="single" w:sz="4" w:space="0" w:color="auto"/>
              <w:left w:val="single" w:sz="4" w:space="0" w:color="auto"/>
              <w:bottom w:val="single" w:sz="4" w:space="0" w:color="auto"/>
              <w:right w:val="single" w:sz="4" w:space="0" w:color="auto"/>
            </w:tcBorders>
            <w:hideMark/>
          </w:tcPr>
          <w:p w:rsidR="00821E37" w:rsidRDefault="00821E37" w:rsidP="005C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sz w:val="20"/>
                <w:szCs w:val="20"/>
              </w:rPr>
            </w:pPr>
            <w:r>
              <w:rPr>
                <w:rFonts w:eastAsia="Calibri"/>
                <w:sz w:val="20"/>
                <w:szCs w:val="20"/>
              </w:rPr>
              <w:t>The cyclizine blood concentration of 450 ng/mL reported in the d</w:t>
            </w:r>
            <w:r w:rsidR="00AE0B4E">
              <w:rPr>
                <w:rFonts w:eastAsia="Calibri"/>
                <w:sz w:val="20"/>
                <w:szCs w:val="20"/>
              </w:rPr>
              <w:t xml:space="preserve">rowning death of an actress </w:t>
            </w:r>
            <w:r>
              <w:rPr>
                <w:rFonts w:eastAsia="Calibri"/>
                <w:sz w:val="20"/>
                <w:szCs w:val="20"/>
              </w:rPr>
              <w:t>probably represents more than normal usage of this drug. In acute fatal overdoses involving cyclizine, much higher bl</w:t>
            </w:r>
            <w:r w:rsidR="00AE0B4E">
              <w:rPr>
                <w:rFonts w:eastAsia="Calibri"/>
                <w:sz w:val="20"/>
                <w:szCs w:val="20"/>
              </w:rPr>
              <w:t>ood concentrations (1.5 to 15 µ</w:t>
            </w:r>
            <w:r>
              <w:rPr>
                <w:rFonts w:eastAsia="Calibri"/>
                <w:sz w:val="20"/>
                <w:szCs w:val="20"/>
              </w:rPr>
              <w:t>g/mL have been observed</w:t>
            </w:r>
          </w:p>
        </w:tc>
      </w:tr>
    </w:tbl>
    <w:p w:rsidR="00821E37" w:rsidRPr="009D7C7D" w:rsidRDefault="00821E37" w:rsidP="005C3144">
      <w:pPr>
        <w:spacing w:line="240" w:lineRule="auto"/>
      </w:pPr>
    </w:p>
    <w:p w:rsidR="00821E37" w:rsidRPr="009D7C7D" w:rsidRDefault="00821E37" w:rsidP="005C3144">
      <w:pPr>
        <w:pStyle w:val="Heading5"/>
        <w:spacing w:line="240" w:lineRule="auto"/>
      </w:pPr>
      <w:r w:rsidRPr="009D7C7D">
        <w:t>Overdose in children</w:t>
      </w:r>
    </w:p>
    <w:p w:rsidR="00821E37" w:rsidRPr="009D7C7D" w:rsidRDefault="00821E37" w:rsidP="005C3144">
      <w:pPr>
        <w:spacing w:line="240" w:lineRule="auto"/>
      </w:pPr>
      <w:r w:rsidRPr="009D7C7D">
        <w:t>Res</w:t>
      </w:r>
      <w:r w:rsidR="00CC22E2">
        <w:t>ch</w:t>
      </w:r>
      <w:r w:rsidR="009D7C7D">
        <w:t xml:space="preserve"> </w:t>
      </w:r>
      <w:r w:rsidR="009D7C7D" w:rsidRPr="00AE0B4E">
        <w:rPr>
          <w:i/>
        </w:rPr>
        <w:t>et al</w:t>
      </w:r>
      <w:r w:rsidR="00AE0B4E">
        <w:rPr>
          <w:i/>
        </w:rPr>
        <w:t>.,</w:t>
      </w:r>
      <w:r w:rsidR="009D7C7D">
        <w:t xml:space="preserve"> 1982 report</w:t>
      </w:r>
      <w:r w:rsidRPr="009D7C7D">
        <w:t xml:space="preserve"> </w:t>
      </w:r>
      <w:r w:rsidR="009D7C7D">
        <w:t xml:space="preserve">the following </w:t>
      </w:r>
      <w:r w:rsidRPr="009D7C7D">
        <w:t>in relation to children:</w:t>
      </w:r>
    </w:p>
    <w:p w:rsidR="00821E37" w:rsidRPr="009D7C7D" w:rsidRDefault="009D7C7D" w:rsidP="005C3144">
      <w:pPr>
        <w:spacing w:line="240" w:lineRule="auto"/>
        <w:rPr>
          <w:i/>
        </w:rPr>
      </w:pPr>
      <w:r w:rsidRPr="009D7C7D">
        <w:rPr>
          <w:i/>
        </w:rPr>
        <w:t>“</w:t>
      </w:r>
      <w:r w:rsidR="00821E37" w:rsidRPr="009D7C7D">
        <w:rPr>
          <w:i/>
        </w:rPr>
        <w:t>The toxic dose, i.e. the dose, which causes at least some of the clinical symptoms described below, is 5mg/kg body weight in our patient collective.</w:t>
      </w:r>
    </w:p>
    <w:p w:rsidR="00821E37" w:rsidRPr="009D7C7D" w:rsidRDefault="00821E37" w:rsidP="005C3144">
      <w:pPr>
        <w:spacing w:line="240" w:lineRule="auto"/>
        <w:rPr>
          <w:i/>
        </w:rPr>
      </w:pPr>
      <w:r w:rsidRPr="009D7C7D">
        <w:rPr>
          <w:i/>
        </w:rPr>
        <w:t>The first sign of intoxication is usually an unapparent state of excitation with an increased urge to move, tremors, athetoid patterns of movement, ataxia, rigidity, stereotypes and other hyperkinetic extrapyramidal manifestations, with there being no record of any definite dose or age dependency with regard to intensity and nature of motor agitation.</w:t>
      </w:r>
    </w:p>
    <w:p w:rsidR="00821E37" w:rsidRPr="009D7C7D" w:rsidRDefault="00821E37" w:rsidP="005C3144">
      <w:pPr>
        <w:spacing w:line="240" w:lineRule="auto"/>
        <w:rPr>
          <w:i/>
        </w:rPr>
      </w:pPr>
      <w:r w:rsidRPr="009D7C7D">
        <w:rPr>
          <w:i/>
        </w:rPr>
        <w:t xml:space="preserve">The hyperkinesias can escalate to tonic-clonic seizures, with children and adolescents especially showing an increased disposition for this, while in the age group over 16 years at </w:t>
      </w:r>
      <w:r w:rsidRPr="009D7C7D">
        <w:rPr>
          <w:i/>
        </w:rPr>
        <w:lastRenderedPageBreak/>
        <w:t>appropriate doses no seizures are described in any documented case, in our experience children aged between 5 – 16 years develop convulsions in around 70 % of cases.  No real dose-dependency can be derived for the occurrence of seizures, however it becomes evident that, from a dose of 40 mg/kg body weight, a clustering of convulsions to over 60 % are also observed in the infant age group.  The convulsive states can sometimes take on a threatening aspect and lead to respiratory insufficiency with cyanosis, as was the case in 6 of our patients.</w:t>
      </w:r>
    </w:p>
    <w:p w:rsidR="00821E37" w:rsidRPr="009D7C7D" w:rsidRDefault="00821E37" w:rsidP="005C3144">
      <w:pPr>
        <w:spacing w:line="240" w:lineRule="auto"/>
        <w:rPr>
          <w:i/>
        </w:rPr>
      </w:pPr>
      <w:r w:rsidRPr="009D7C7D">
        <w:rPr>
          <w:i/>
        </w:rPr>
        <w:t>In over 70 % of cases in infants, following consumption of more than 40mg/kg cyclizine, and in schoolchildren up to even 100 %, a range of central and peripheral atropine-like symptoms are found, with hallucinations, confusion, temporal and spatial disorientation on the one hand and clear facial reddening, dry skin, mydriasis and tachycardia on the other hand.  Dry mucosa and phonation disorder, described as typical in the context of atropine intoxication, can only be detected in one case.</w:t>
      </w:r>
    </w:p>
    <w:p w:rsidR="00821E37" w:rsidRPr="009D7C7D" w:rsidRDefault="00821E37" w:rsidP="005C3144">
      <w:pPr>
        <w:spacing w:line="240" w:lineRule="auto"/>
        <w:rPr>
          <w:i/>
        </w:rPr>
      </w:pPr>
      <w:r w:rsidRPr="009D7C7D">
        <w:rPr>
          <w:i/>
        </w:rPr>
        <w:t>A phase of central depression is associated with the excitation phase and, in rare cases, can dominate the clinical symptoms.  There is no definite age dependency, yet it is revealed that in the group of 5-16 year olds dose-dependent signs of sedation, disorientation, somnolence to the point of coma are to be found in 85 % of cases, i.e. more frequently than in the other age groups.  In contrast to earlier publications, in our experience central depressive effects of cyclizine also become mani</w:t>
      </w:r>
      <w:r w:rsidR="009D7C7D" w:rsidRPr="009D7C7D">
        <w:rPr>
          <w:i/>
        </w:rPr>
        <w:t>fest in infancy in over 50 %</w:t>
      </w:r>
      <w:r w:rsidRPr="009D7C7D">
        <w:rPr>
          <w:i/>
        </w:rPr>
        <w:t>.</w:t>
      </w:r>
    </w:p>
    <w:p w:rsidR="00821E37" w:rsidRPr="009D7C7D" w:rsidRDefault="00821E37" w:rsidP="005C3144">
      <w:pPr>
        <w:spacing w:line="240" w:lineRule="auto"/>
        <w:rPr>
          <w:i/>
        </w:rPr>
      </w:pPr>
      <w:r w:rsidRPr="009D7C7D">
        <w:rPr>
          <w:i/>
        </w:rPr>
        <w:t>There is no actual prognostic sign.  Only one out of all cases was recorded as fatal, and in fact following a complicated course with aspiration pneumonia, constant convulsive states and apnoea during a seizure on the 5th day.  This child had taken the highest oral dose, 88.8mg/kg body weight, of all known intoxication cases.</w:t>
      </w:r>
      <w:r w:rsidR="009D7C7D" w:rsidRPr="009D7C7D">
        <w:rPr>
          <w:i/>
        </w:rPr>
        <w:t>”</w:t>
      </w:r>
    </w:p>
    <w:p w:rsidR="00821E37" w:rsidRPr="009D7C7D" w:rsidRDefault="001F120A" w:rsidP="005C3144">
      <w:pPr>
        <w:pStyle w:val="Heading4"/>
        <w:spacing w:line="240" w:lineRule="auto"/>
      </w:pPr>
      <w:bookmarkStart w:id="283" w:name="_Toc304266810"/>
      <w:bookmarkStart w:id="284" w:name="_Toc241374328"/>
      <w:bookmarkStart w:id="285" w:name="_Toc272414691"/>
      <w:bookmarkStart w:id="286" w:name="_Toc273018254"/>
      <w:r>
        <w:t>E</w:t>
      </w:r>
      <w:r w:rsidRPr="009D7C7D">
        <w:t>valuator’s overall conclusions on clinical safety</w:t>
      </w:r>
      <w:bookmarkEnd w:id="283"/>
      <w:bookmarkEnd w:id="284"/>
      <w:bookmarkEnd w:id="285"/>
      <w:bookmarkEnd w:id="286"/>
    </w:p>
    <w:p w:rsidR="00821E37" w:rsidRDefault="00821E37" w:rsidP="005C3144">
      <w:pPr>
        <w:autoSpaceDE w:val="0"/>
        <w:autoSpaceDN w:val="0"/>
        <w:adjustRightInd w:val="0"/>
        <w:spacing w:line="240" w:lineRule="auto"/>
      </w:pPr>
      <w:r>
        <w:t xml:space="preserve">The most common </w:t>
      </w:r>
      <w:r w:rsidR="00AE0B4E">
        <w:t xml:space="preserve">adverse reaction </w:t>
      </w:r>
      <w:r>
        <w:t>in the trials is sedation/drowsiness. This is so for most of the trials involving anaesthesia with and without opiate premedication, an effect noted with most antihistamines. The oral trials also found it common but mostly subjective.</w:t>
      </w:r>
    </w:p>
    <w:p w:rsidR="00821E37" w:rsidRDefault="00821E37" w:rsidP="005C3144">
      <w:pPr>
        <w:autoSpaceDE w:val="0"/>
        <w:autoSpaceDN w:val="0"/>
        <w:adjustRightInd w:val="0"/>
        <w:spacing w:line="240" w:lineRule="auto"/>
      </w:pPr>
      <w:r>
        <w:t>Pain on injection was noted in the earlier IM studies as well as IV in children. In the latter study (O’Brien</w:t>
      </w:r>
      <w:r w:rsidR="00AE0B4E">
        <w:t xml:space="preserve"> </w:t>
      </w:r>
      <w:r w:rsidR="00AE0B4E" w:rsidRPr="00CC22E2">
        <w:rPr>
          <w:i/>
        </w:rPr>
        <w:t>et al</w:t>
      </w:r>
      <w:r w:rsidR="00AE0B4E">
        <w:t>., 2003</w:t>
      </w:r>
      <w:r>
        <w:t>) pain occurred despite an antihistamine premed</w:t>
      </w:r>
      <w:r w:rsidR="00AE0B4E">
        <w:t>ication</w:t>
      </w:r>
      <w:r>
        <w:t>.</w:t>
      </w:r>
    </w:p>
    <w:p w:rsidR="00821E37" w:rsidRDefault="00821E37" w:rsidP="005C3144">
      <w:pPr>
        <w:autoSpaceDE w:val="0"/>
        <w:autoSpaceDN w:val="0"/>
        <w:adjustRightInd w:val="0"/>
        <w:spacing w:line="240" w:lineRule="auto"/>
      </w:pPr>
      <w:r>
        <w:t xml:space="preserve">Many of the reported </w:t>
      </w:r>
      <w:r w:rsidR="00AE0B4E">
        <w:t xml:space="preserve">adverse events </w:t>
      </w:r>
      <w:r>
        <w:t xml:space="preserve">are those that would be expected given the central anticholinergic mode of action of the drug. They </w:t>
      </w:r>
      <w:r w:rsidR="00EB2E0C">
        <w:t xml:space="preserve">are well described by Resch </w:t>
      </w:r>
      <w:r w:rsidR="00AE0B4E" w:rsidRPr="00AE0B4E">
        <w:rPr>
          <w:i/>
        </w:rPr>
        <w:t>et al</w:t>
      </w:r>
      <w:r w:rsidR="00AE0B4E">
        <w:t xml:space="preserve">., 1982 </w:t>
      </w:r>
      <w:r w:rsidR="00EB2E0C">
        <w:t>in o</w:t>
      </w:r>
      <w:r>
        <w:t xml:space="preserve">verdose in children. Together with the absence of a multiple dose </w:t>
      </w:r>
      <w:r w:rsidR="00EB2E0C">
        <w:t xml:space="preserve">pharmacokinetic </w:t>
      </w:r>
      <w:r>
        <w:t>tr</w:t>
      </w:r>
      <w:r w:rsidR="00EB2E0C">
        <w:t>i</w:t>
      </w:r>
      <w:r>
        <w:t xml:space="preserve">al or </w:t>
      </w:r>
      <w:r w:rsidR="00EB2E0C">
        <w:t xml:space="preserve">pharmacokinetic </w:t>
      </w:r>
      <w:r>
        <w:t xml:space="preserve">modelling with a drug whose </w:t>
      </w:r>
      <w:r w:rsidR="00AE0B4E">
        <w:t xml:space="preserve">half life </w:t>
      </w:r>
      <w:r>
        <w:t>exceeds the proposed dosing interval, it suggests the possibility of a narrow therapeutic index, especially with repeated dosing.</w:t>
      </w:r>
    </w:p>
    <w:p w:rsidR="00821E37" w:rsidRDefault="00821E37" w:rsidP="005C3144">
      <w:pPr>
        <w:autoSpaceDE w:val="0"/>
        <w:autoSpaceDN w:val="0"/>
        <w:adjustRightInd w:val="0"/>
        <w:spacing w:line="240" w:lineRule="auto"/>
      </w:pPr>
      <w:r>
        <w:t>The potential for abuse and the possibility of addiction are of concern.</w:t>
      </w:r>
    </w:p>
    <w:p w:rsidR="00EB2E0C" w:rsidRDefault="00821E37" w:rsidP="00741046">
      <w:pPr>
        <w:autoSpaceDE w:val="0"/>
        <w:autoSpaceDN w:val="0"/>
        <w:adjustRightInd w:val="0"/>
        <w:spacing w:line="240" w:lineRule="auto"/>
        <w:rPr>
          <w:b/>
        </w:rPr>
      </w:pPr>
      <w:r>
        <w:t>The odds ratio for congenital malformations of 1.08 is of some, but not great concern</w:t>
      </w:r>
      <w:r w:rsidR="00EB2E0C">
        <w:t xml:space="preserve"> </w:t>
      </w:r>
      <w:r>
        <w:t xml:space="preserve">(the </w:t>
      </w:r>
      <w:r w:rsidR="00EB2E0C">
        <w:t>confidence interval</w:t>
      </w:r>
      <w:r>
        <w:t xml:space="preserve">s cross 1.0). No data was available on the possibility of withdrawal symptoms in the neonates of mothers using cyclizine late in pregnancy. </w:t>
      </w:r>
      <w:bookmarkStart w:id="287" w:name="_Toc304266811"/>
      <w:bookmarkStart w:id="288" w:name="_Ref271136331"/>
      <w:bookmarkStart w:id="289" w:name="_Ref271136335"/>
      <w:bookmarkStart w:id="290" w:name="_Toc272414692"/>
      <w:bookmarkStart w:id="291" w:name="_Toc273018255"/>
    </w:p>
    <w:p w:rsidR="00821E37" w:rsidRPr="00EB2E0C" w:rsidRDefault="001F120A" w:rsidP="005C3144">
      <w:pPr>
        <w:pStyle w:val="Heading3"/>
        <w:spacing w:line="240" w:lineRule="auto"/>
      </w:pPr>
      <w:bookmarkStart w:id="292" w:name="_Toc350329822"/>
      <w:r>
        <w:t>P</w:t>
      </w:r>
      <w:r w:rsidRPr="00EB2E0C">
        <w:t>reliminary benefit-risk assessment and recommendations</w:t>
      </w:r>
      <w:bookmarkEnd w:id="287"/>
      <w:bookmarkEnd w:id="288"/>
      <w:bookmarkEnd w:id="289"/>
      <w:bookmarkEnd w:id="290"/>
      <w:bookmarkEnd w:id="291"/>
      <w:bookmarkEnd w:id="292"/>
    </w:p>
    <w:p w:rsidR="00821E37" w:rsidRPr="00EB2E0C" w:rsidRDefault="001F120A" w:rsidP="005C3144">
      <w:pPr>
        <w:pStyle w:val="Heading4"/>
        <w:spacing w:line="240" w:lineRule="auto"/>
      </w:pPr>
      <w:bookmarkStart w:id="293" w:name="_Toc304266812"/>
      <w:bookmarkStart w:id="294" w:name="_Toc236802592"/>
      <w:bookmarkStart w:id="295" w:name="_Toc241374331"/>
      <w:bookmarkStart w:id="296" w:name="_Ref272160836"/>
      <w:bookmarkStart w:id="297" w:name="_Toc272414693"/>
      <w:bookmarkStart w:id="298" w:name="_Toc273018256"/>
      <w:r>
        <w:t>P</w:t>
      </w:r>
      <w:r w:rsidRPr="00EB2E0C">
        <w:t>reliminary assessment of benefits</w:t>
      </w:r>
      <w:bookmarkEnd w:id="293"/>
    </w:p>
    <w:p w:rsidR="00821E37" w:rsidRPr="00EB2E0C" w:rsidRDefault="00821E37" w:rsidP="005C3144">
      <w:pPr>
        <w:pStyle w:val="Heading5"/>
        <w:spacing w:line="240" w:lineRule="auto"/>
      </w:pPr>
      <w:bookmarkStart w:id="299" w:name="_Toc304266813"/>
      <w:bookmarkEnd w:id="294"/>
      <w:bookmarkEnd w:id="295"/>
      <w:bookmarkEnd w:id="296"/>
      <w:bookmarkEnd w:id="297"/>
      <w:bookmarkEnd w:id="298"/>
      <w:r w:rsidRPr="00EB2E0C">
        <w:t>The treatment of nausea and vomiting caused by narcotic analgesics and by general anaesthetics in the post-operative period</w:t>
      </w:r>
      <w:bookmarkEnd w:id="299"/>
    </w:p>
    <w:p w:rsidR="00821E37" w:rsidRPr="00EB2E0C" w:rsidRDefault="00EB2E0C" w:rsidP="005C3144">
      <w:pPr>
        <w:spacing w:line="240" w:lineRule="auto"/>
      </w:pPr>
      <w:r>
        <w:t>The benefits of c</w:t>
      </w:r>
      <w:r w:rsidR="00821E37" w:rsidRPr="00EB2E0C">
        <w:t>yclizine in the proposed usage are:</w:t>
      </w:r>
    </w:p>
    <w:p w:rsidR="00821E37" w:rsidRDefault="00821E37" w:rsidP="005C3144">
      <w:pPr>
        <w:pStyle w:val="ListBullet"/>
        <w:spacing w:after="120" w:line="240" w:lineRule="auto"/>
      </w:pPr>
      <w:r>
        <w:t>Efficacy was demonstrated in the studies.</w:t>
      </w:r>
    </w:p>
    <w:p w:rsidR="00821E37" w:rsidRDefault="00821E37" w:rsidP="005C3144">
      <w:pPr>
        <w:pStyle w:val="ListBullet"/>
        <w:spacing w:after="120" w:line="240" w:lineRule="auto"/>
      </w:pPr>
      <w:r>
        <w:lastRenderedPageBreak/>
        <w:t xml:space="preserve">PONV has </w:t>
      </w:r>
      <w:r w:rsidR="00EB2E0C">
        <w:t xml:space="preserve">a </w:t>
      </w:r>
      <w:r>
        <w:t xml:space="preserve">better response to multimodal therapy and cyclizine appears in part </w:t>
      </w:r>
      <w:r w:rsidR="00EB2E0C">
        <w:t xml:space="preserve">to </w:t>
      </w:r>
      <w:r>
        <w:t>act to modify vestibular function (but at 100</w:t>
      </w:r>
      <w:r w:rsidR="00EB2E0C">
        <w:t xml:space="preserve"> </w:t>
      </w:r>
      <w:r>
        <w:t xml:space="preserve">mg orally). </w:t>
      </w:r>
    </w:p>
    <w:p w:rsidR="00821E37" w:rsidRDefault="00821E37" w:rsidP="005C3144">
      <w:pPr>
        <w:pStyle w:val="ListBullet"/>
        <w:spacing w:after="120" w:line="240" w:lineRule="auto"/>
      </w:pPr>
      <w:r>
        <w:t xml:space="preserve">The drug has </w:t>
      </w:r>
      <w:r w:rsidR="00EB2E0C">
        <w:t>a long history of use for this i</w:t>
      </w:r>
      <w:r>
        <w:t>ndication.</w:t>
      </w:r>
    </w:p>
    <w:p w:rsidR="00EB2E0C" w:rsidRPr="00EB2E0C" w:rsidRDefault="00821E37" w:rsidP="005C3144">
      <w:pPr>
        <w:pStyle w:val="ListBulle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
        <w:t xml:space="preserve">Long term use is not covered by the </w:t>
      </w:r>
      <w:r w:rsidR="00EB2E0C">
        <w:t>i</w:t>
      </w:r>
      <w:r>
        <w:t>ndication.</w:t>
      </w:r>
    </w:p>
    <w:p w:rsidR="00821E37" w:rsidRPr="00EB2E0C" w:rsidRDefault="00821E37" w:rsidP="005C3144">
      <w:pPr>
        <w:pStyle w:val="Heading5"/>
        <w:spacing w:line="240" w:lineRule="auto"/>
      </w:pPr>
      <w:bookmarkStart w:id="300" w:name="_Toc304266814"/>
      <w:r w:rsidRPr="00EB2E0C">
        <w:t>Pre-operative use in patients undergoing emergency surgery</w:t>
      </w:r>
      <w:bookmarkEnd w:id="300"/>
      <w:r w:rsidRPr="00EB2E0C">
        <w:t xml:space="preserve">  </w:t>
      </w:r>
    </w:p>
    <w:p w:rsidR="00821E37" w:rsidRDefault="00EB2E0C" w:rsidP="005C3144">
      <w:pPr>
        <w:spacing w:line="240" w:lineRule="auto"/>
      </w:pPr>
      <w:r>
        <w:t>The benefits of c</w:t>
      </w:r>
      <w:r w:rsidR="00821E37">
        <w:t>yclizine in the proposed usage are:</w:t>
      </w:r>
    </w:p>
    <w:p w:rsidR="00821E37" w:rsidRPr="00741046" w:rsidRDefault="00821E37" w:rsidP="00741046">
      <w:pPr>
        <w:pStyle w:val="ListBullet"/>
      </w:pPr>
      <w:r w:rsidRPr="00741046">
        <w:t xml:space="preserve">Both cyclizine and metoclopramide increased barrier pressure significantly, thus confirming previous reports indicating that these two drugs increase </w:t>
      </w:r>
      <w:r w:rsidR="00EB2E0C" w:rsidRPr="00741046">
        <w:t xml:space="preserve">lower oesophageal sphincter </w:t>
      </w:r>
      <w:r w:rsidRPr="00741046">
        <w:t>tone</w:t>
      </w:r>
    </w:p>
    <w:p w:rsidR="00EB2E0C" w:rsidRPr="00741046" w:rsidRDefault="00821E37" w:rsidP="00741046">
      <w:pPr>
        <w:pStyle w:val="ListBullet"/>
      </w:pPr>
      <w:r w:rsidRPr="00741046">
        <w:t>It is a single 25</w:t>
      </w:r>
      <w:r w:rsidR="00EB2E0C" w:rsidRPr="00741046">
        <w:t xml:space="preserve"> </w:t>
      </w:r>
      <w:r w:rsidRPr="00741046">
        <w:t>mg dose use.</w:t>
      </w:r>
    </w:p>
    <w:p w:rsidR="00821E37" w:rsidRPr="00EB2E0C" w:rsidRDefault="001F120A" w:rsidP="005C3144">
      <w:pPr>
        <w:pStyle w:val="Heading4"/>
        <w:spacing w:line="240" w:lineRule="auto"/>
      </w:pPr>
      <w:bookmarkStart w:id="301" w:name="_Toc304266815"/>
      <w:bookmarkStart w:id="302" w:name="_Toc236802596"/>
      <w:bookmarkStart w:id="303" w:name="_Toc241374334"/>
      <w:bookmarkStart w:id="304" w:name="_Ref272160964"/>
      <w:bookmarkStart w:id="305" w:name="_Toc272414694"/>
      <w:bookmarkStart w:id="306" w:name="_Toc273018257"/>
      <w:r>
        <w:t>P</w:t>
      </w:r>
      <w:r w:rsidRPr="00EB2E0C">
        <w:t>reliminary assessment of risks</w:t>
      </w:r>
      <w:bookmarkEnd w:id="301"/>
    </w:p>
    <w:p w:rsidR="00821E37" w:rsidRPr="00EB2E0C" w:rsidRDefault="00821E37" w:rsidP="005C3144">
      <w:pPr>
        <w:pStyle w:val="Heading5"/>
        <w:spacing w:line="240" w:lineRule="auto"/>
      </w:pPr>
      <w:bookmarkStart w:id="307" w:name="_Toc304266816"/>
      <w:bookmarkEnd w:id="302"/>
      <w:bookmarkEnd w:id="303"/>
      <w:bookmarkEnd w:id="304"/>
      <w:bookmarkEnd w:id="305"/>
      <w:bookmarkEnd w:id="306"/>
      <w:r w:rsidRPr="00EB2E0C">
        <w:t>The treatment of nausea and vomiting caused by narcotic analgesics and by general anaesthetics in the post-operative period</w:t>
      </w:r>
      <w:bookmarkEnd w:id="307"/>
      <w:r w:rsidRPr="00EB2E0C">
        <w:t xml:space="preserve"> </w:t>
      </w:r>
    </w:p>
    <w:p w:rsidR="00821E37" w:rsidRDefault="00821E37" w:rsidP="005C3144">
      <w:pPr>
        <w:spacing w:line="240" w:lineRule="auto"/>
        <w:rPr>
          <w:rFonts w:cs="Times New Roman"/>
          <w:sz w:val="24"/>
          <w:szCs w:val="24"/>
        </w:rPr>
      </w:pPr>
      <w:r>
        <w:t>The risks of cyclizine in the proposed usage are:</w:t>
      </w:r>
    </w:p>
    <w:p w:rsidR="00821E37" w:rsidRDefault="00821E37" w:rsidP="005C3144">
      <w:pPr>
        <w:pStyle w:val="ListBullet"/>
        <w:spacing w:after="120" w:line="240" w:lineRule="auto"/>
      </w:pPr>
      <w:r>
        <w:t xml:space="preserve">The evidence of efficacy is limited in that </w:t>
      </w:r>
    </w:p>
    <w:p w:rsidR="00821E37" w:rsidRDefault="00821E37" w:rsidP="005C3144">
      <w:pPr>
        <w:numPr>
          <w:ilvl w:val="1"/>
          <w:numId w:val="1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pPr>
      <w:r>
        <w:t>the studies for PONV essentially used only a single dose of 50</w:t>
      </w:r>
      <w:r w:rsidR="00EB2E0C">
        <w:t xml:space="preserve"> </w:t>
      </w:r>
      <w:r>
        <w:t>mg of cyclizine IM or IV</w:t>
      </w:r>
    </w:p>
    <w:p w:rsidR="00821E37" w:rsidRDefault="00821E37" w:rsidP="005C3144">
      <w:pPr>
        <w:numPr>
          <w:ilvl w:val="1"/>
          <w:numId w:val="1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pPr>
      <w:r>
        <w:t>and those on opiates alone were studie</w:t>
      </w:r>
      <w:r w:rsidR="00005236">
        <w:t>s</w:t>
      </w:r>
      <w:r>
        <w:t xml:space="preserve"> only for 1.5</w:t>
      </w:r>
      <w:r w:rsidR="00EB2E0C">
        <w:t xml:space="preserve"> </w:t>
      </w:r>
      <w:r>
        <w:t>h before anaesthesia was added.</w:t>
      </w:r>
    </w:p>
    <w:p w:rsidR="00821E37" w:rsidRPr="00EB2E0C" w:rsidRDefault="00821E37" w:rsidP="005C3144">
      <w:pPr>
        <w:pStyle w:val="ListBullet"/>
        <w:spacing w:after="120" w:line="240" w:lineRule="auto"/>
      </w:pPr>
      <w:r w:rsidRPr="00EB2E0C">
        <w:t xml:space="preserve">Only 2 studies used muscle relaxants: 1 showed efficacy, 1 did not, </w:t>
      </w:r>
      <w:r w:rsidR="00237908">
        <w:t xml:space="preserve">and </w:t>
      </w:r>
      <w:r w:rsidRPr="00EB2E0C">
        <w:t>different agents were used for reversal of the muscle relaxation.</w:t>
      </w:r>
    </w:p>
    <w:p w:rsidR="00821E37" w:rsidRPr="00EB2E0C" w:rsidRDefault="00821E37" w:rsidP="005C3144">
      <w:pPr>
        <w:pStyle w:val="ListBullet"/>
        <w:spacing w:after="120" w:line="240" w:lineRule="auto"/>
      </w:pPr>
      <w:r w:rsidRPr="00EB2E0C">
        <w:t xml:space="preserve">The absence of a multiple dose </w:t>
      </w:r>
      <w:r w:rsidR="00237908">
        <w:t xml:space="preserve">pharmacokinetic </w:t>
      </w:r>
      <w:r w:rsidRPr="00237908">
        <w:t>tr</w:t>
      </w:r>
      <w:r w:rsidR="00237908">
        <w:t>i</w:t>
      </w:r>
      <w:r w:rsidRPr="00237908">
        <w:t xml:space="preserve">al or </w:t>
      </w:r>
      <w:r w:rsidR="00237908" w:rsidRPr="00237908">
        <w:t xml:space="preserve">pharmacokinetic </w:t>
      </w:r>
      <w:r w:rsidRPr="00EB2E0C">
        <w:t xml:space="preserve">modelling with a drug whose </w:t>
      </w:r>
      <w:r w:rsidR="00005236">
        <w:t xml:space="preserve">half life </w:t>
      </w:r>
      <w:r w:rsidRPr="00EB2E0C">
        <w:t>exceeds the proposed dosing interval suggests the possibility of a narrow therapeutic index, especially with repeated dosing.</w:t>
      </w:r>
    </w:p>
    <w:p w:rsidR="00821E37" w:rsidRPr="00EB2E0C" w:rsidRDefault="00821E37" w:rsidP="005C3144">
      <w:pPr>
        <w:pStyle w:val="ListBullet"/>
        <w:spacing w:after="120" w:line="240" w:lineRule="auto"/>
      </w:pPr>
      <w:r w:rsidRPr="00EB2E0C">
        <w:t>The drug can cause pain on injection.</w:t>
      </w:r>
    </w:p>
    <w:p w:rsidR="00821E37" w:rsidRPr="00EB2E0C" w:rsidRDefault="00821E37" w:rsidP="005C3144">
      <w:pPr>
        <w:pStyle w:val="ListBullet"/>
        <w:spacing w:after="120" w:line="240" w:lineRule="auto"/>
      </w:pPr>
      <w:r w:rsidRPr="00EB2E0C">
        <w:t xml:space="preserve">Long term use can cause muscle damage. </w:t>
      </w:r>
    </w:p>
    <w:p w:rsidR="00237908" w:rsidRPr="00EB2E0C" w:rsidRDefault="00821E37" w:rsidP="005C3144">
      <w:pPr>
        <w:pStyle w:val="ListBulle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20" w:line="240" w:lineRule="auto"/>
      </w:pPr>
      <w:r w:rsidRPr="00EB2E0C">
        <w:t>The drug has a low p</w:t>
      </w:r>
      <w:r w:rsidR="00005236">
        <w:t>H</w:t>
      </w:r>
      <w:r w:rsidRPr="00EB2E0C">
        <w:t xml:space="preserve"> that may lead to incompat</w:t>
      </w:r>
      <w:r w:rsidR="00D81C12">
        <w:t>i</w:t>
      </w:r>
      <w:r w:rsidRPr="00EB2E0C">
        <w:t>bilities.</w:t>
      </w:r>
    </w:p>
    <w:p w:rsidR="00821E37" w:rsidRPr="00005236" w:rsidRDefault="00821E37" w:rsidP="005C3144">
      <w:pPr>
        <w:pStyle w:val="Heading5"/>
        <w:spacing w:line="240" w:lineRule="auto"/>
      </w:pPr>
      <w:bookmarkStart w:id="308" w:name="_Toc304266817"/>
      <w:r w:rsidRPr="00005236">
        <w:t>Pre-operative use in patients undergoing emergency surgery</w:t>
      </w:r>
      <w:bookmarkEnd w:id="308"/>
      <w:r w:rsidRPr="00005236">
        <w:t xml:space="preserve"> </w:t>
      </w:r>
    </w:p>
    <w:p w:rsidR="00821E37" w:rsidRPr="00EB2E0C" w:rsidRDefault="00821E37" w:rsidP="005C3144">
      <w:pPr>
        <w:spacing w:line="240" w:lineRule="auto"/>
      </w:pPr>
      <w:r w:rsidRPr="00EB2E0C">
        <w:t>The risks of cyclizine in the proposed usage are:</w:t>
      </w:r>
    </w:p>
    <w:p w:rsidR="00821E37" w:rsidRPr="00EB2E0C" w:rsidRDefault="00821E37" w:rsidP="005C3144">
      <w:pPr>
        <w:pStyle w:val="ListBullet"/>
        <w:spacing w:after="120" w:line="240" w:lineRule="auto"/>
      </w:pPr>
      <w:r w:rsidRPr="00EB2E0C">
        <w:t>No evidence has been produced or is likely to be produced to support the cla</w:t>
      </w:r>
      <w:r w:rsidR="00237908">
        <w:t>im of efficacy in reducing the h</w:t>
      </w:r>
      <w:r w:rsidRPr="00EB2E0C">
        <w:t xml:space="preserve">azard of </w:t>
      </w:r>
      <w:r w:rsidR="00237908">
        <w:t>r</w:t>
      </w:r>
      <w:r w:rsidRPr="00EB2E0C">
        <w:t xml:space="preserve">egurgitation and </w:t>
      </w:r>
      <w:r w:rsidR="00237908">
        <w:t>a</w:t>
      </w:r>
      <w:r w:rsidRPr="00EB2E0C">
        <w:t xml:space="preserve">spiration of </w:t>
      </w:r>
      <w:r w:rsidR="00237908">
        <w:t>g</w:t>
      </w:r>
      <w:r w:rsidRPr="00EB2E0C">
        <w:t xml:space="preserve">astric </w:t>
      </w:r>
      <w:r w:rsidR="00237908">
        <w:t>c</w:t>
      </w:r>
      <w:r w:rsidRPr="00EB2E0C">
        <w:t xml:space="preserve">ontents </w:t>
      </w:r>
      <w:r w:rsidR="00237908">
        <w:t>d</w:t>
      </w:r>
      <w:r w:rsidRPr="00EB2E0C">
        <w:t xml:space="preserve">uring </w:t>
      </w:r>
      <w:r w:rsidR="00237908">
        <w:t>i</w:t>
      </w:r>
      <w:r w:rsidRPr="00EB2E0C">
        <w:t xml:space="preserve">nduction of </w:t>
      </w:r>
      <w:r w:rsidR="00237908">
        <w:t>g</w:t>
      </w:r>
      <w:r w:rsidRPr="00EB2E0C">
        <w:t xml:space="preserve">eneral </w:t>
      </w:r>
      <w:r w:rsidR="00237908">
        <w:t>a</w:t>
      </w:r>
      <w:r w:rsidRPr="00EB2E0C">
        <w:t xml:space="preserve">naesthesia. </w:t>
      </w:r>
    </w:p>
    <w:p w:rsidR="00821E37" w:rsidRPr="00EB2E0C" w:rsidRDefault="00821E37" w:rsidP="005C3144">
      <w:pPr>
        <w:pStyle w:val="ListBullet"/>
        <w:spacing w:after="120" w:line="240" w:lineRule="auto"/>
      </w:pPr>
      <w:r w:rsidRPr="00EB2E0C">
        <w:t xml:space="preserve">There is evidence (Brocke-Utne </w:t>
      </w:r>
      <w:r w:rsidRPr="00CC22E2">
        <w:rPr>
          <w:i/>
        </w:rPr>
        <w:t>et al</w:t>
      </w:r>
      <w:r w:rsidR="00005236">
        <w:t xml:space="preserve">., 1977, 1978; see section on </w:t>
      </w:r>
      <w:r w:rsidR="00005236" w:rsidRPr="00005236">
        <w:rPr>
          <w:i/>
        </w:rPr>
        <w:t>Pharmacodynamics</w:t>
      </w:r>
      <w:r w:rsidRPr="00EB2E0C">
        <w:t xml:space="preserve">) in healthy volunteers </w:t>
      </w:r>
      <w:r w:rsidR="00237908">
        <w:t xml:space="preserve">that </w:t>
      </w:r>
      <w:r w:rsidRPr="00EB2E0C">
        <w:t>the basal barrier (due to sphincter) pressure increased with cyclizine. This may decrease the risk of regurgitation in the awake emergency patient but it does not necessarily follow that it does so on induction of anaesthesia.</w:t>
      </w:r>
    </w:p>
    <w:p w:rsidR="00821E37" w:rsidRPr="00EB2E0C" w:rsidRDefault="00821E37" w:rsidP="005C3144">
      <w:pPr>
        <w:pStyle w:val="ListBullet"/>
        <w:spacing w:after="120" w:line="240" w:lineRule="auto"/>
      </w:pPr>
      <w:r w:rsidRPr="00EB2E0C">
        <w:t xml:space="preserve">The evidence is not good in that the studies by Brocke-Utne </w:t>
      </w:r>
      <w:r w:rsidRPr="00005236">
        <w:rPr>
          <w:i/>
        </w:rPr>
        <w:t>et al</w:t>
      </w:r>
      <w:r w:rsidR="00005236">
        <w:t>., 1977 and 1978</w:t>
      </w:r>
      <w:r w:rsidRPr="00EB2E0C">
        <w:t xml:space="preserve"> appear to be duplicate reports.</w:t>
      </w:r>
    </w:p>
    <w:p w:rsidR="00821E37" w:rsidRPr="00EB2E0C" w:rsidRDefault="001F120A" w:rsidP="005C3144">
      <w:pPr>
        <w:pStyle w:val="Heading4"/>
        <w:spacing w:line="240" w:lineRule="auto"/>
      </w:pPr>
      <w:bookmarkStart w:id="309" w:name="_Toc304266818"/>
      <w:bookmarkStart w:id="310" w:name="_Toc236802597"/>
      <w:bookmarkStart w:id="311" w:name="_Toc241374335"/>
      <w:bookmarkStart w:id="312" w:name="_Toc272414695"/>
      <w:bookmarkStart w:id="313" w:name="_Toc273018258"/>
      <w:r>
        <w:t>P</w:t>
      </w:r>
      <w:r w:rsidRPr="00EB2E0C">
        <w:t>reliminary assessment of benefit-risk balance</w:t>
      </w:r>
      <w:bookmarkEnd w:id="309"/>
      <w:bookmarkEnd w:id="310"/>
      <w:bookmarkEnd w:id="311"/>
      <w:bookmarkEnd w:id="312"/>
      <w:bookmarkEnd w:id="313"/>
    </w:p>
    <w:p w:rsidR="00821E37" w:rsidRPr="00EB2E0C" w:rsidRDefault="00821E37" w:rsidP="005C3144">
      <w:pPr>
        <w:spacing w:line="240" w:lineRule="auto"/>
      </w:pPr>
      <w:r w:rsidRPr="00EB2E0C">
        <w:t xml:space="preserve">The benefit-risk balance of cyclizine for the treatment of nausea and vomiting caused by narcotic analgesics and by general anaesthetics in the post-operative period, is favourable </w:t>
      </w:r>
      <w:r w:rsidRPr="00EB2E0C">
        <w:lastRenderedPageBreak/>
        <w:t xml:space="preserve">given the age the drug has been </w:t>
      </w:r>
      <w:r w:rsidR="00BF3AF7">
        <w:t>i</w:t>
      </w:r>
      <w:r w:rsidRPr="00EB2E0C">
        <w:t xml:space="preserve">n the market, however the lack of long term studies and appropriate </w:t>
      </w:r>
      <w:r w:rsidR="00237908">
        <w:t xml:space="preserve">pharmacokinetic </w:t>
      </w:r>
      <w:r w:rsidRPr="00EB2E0C">
        <w:t>data restrict its use, possibly to single dosing.</w:t>
      </w:r>
    </w:p>
    <w:p w:rsidR="00237908" w:rsidRPr="00EB2E0C" w:rsidRDefault="00821E37" w:rsidP="005C3144">
      <w:pPr>
        <w:spacing w:line="240" w:lineRule="auto"/>
      </w:pPr>
      <w:r w:rsidRPr="00EB2E0C">
        <w:t xml:space="preserve">The benefit-risk balance of cyclizine for </w:t>
      </w:r>
      <w:r w:rsidR="00237908">
        <w:t>p</w:t>
      </w:r>
      <w:r w:rsidRPr="00EB2E0C">
        <w:t>re-operative use in patients undergoing emergency surgery to reduce the hazard of regurgitation and aspiration of gastric contents during induction of general anaesthesia is unfavourable.</w:t>
      </w:r>
    </w:p>
    <w:p w:rsidR="00821E37" w:rsidRPr="00005236" w:rsidRDefault="001F120A" w:rsidP="005C3144">
      <w:pPr>
        <w:pStyle w:val="Heading4"/>
        <w:spacing w:line="240" w:lineRule="auto"/>
      </w:pPr>
      <w:bookmarkStart w:id="314" w:name="_Toc304266820"/>
      <w:bookmarkStart w:id="315" w:name="_Ref272160564"/>
      <w:bookmarkStart w:id="316" w:name="_Ref272161481"/>
      <w:bookmarkStart w:id="317" w:name="_Toc272414697"/>
      <w:bookmarkStart w:id="318" w:name="_Toc273018260"/>
      <w:r>
        <w:t>P</w:t>
      </w:r>
      <w:r w:rsidRPr="00005236">
        <w:t>reliminary recommendation regarding authorisation</w:t>
      </w:r>
      <w:bookmarkEnd w:id="314"/>
      <w:bookmarkEnd w:id="315"/>
      <w:bookmarkEnd w:id="316"/>
      <w:bookmarkEnd w:id="317"/>
      <w:bookmarkEnd w:id="318"/>
      <w:r w:rsidRPr="00005236">
        <w:t xml:space="preserve"> </w:t>
      </w:r>
    </w:p>
    <w:p w:rsidR="00821E37" w:rsidRPr="00EB2E0C" w:rsidRDefault="00821E37" w:rsidP="005C3144">
      <w:pPr>
        <w:autoSpaceDE w:val="0"/>
        <w:autoSpaceDN w:val="0"/>
        <w:adjustRightInd w:val="0"/>
        <w:spacing w:line="240" w:lineRule="auto"/>
      </w:pPr>
      <w:r w:rsidRPr="00EB2E0C">
        <w:t>The evaluator recommend</w:t>
      </w:r>
      <w:r w:rsidR="00D81C12">
        <w:t>ed</w:t>
      </w:r>
      <w:r w:rsidRPr="00EB2E0C">
        <w:t xml:space="preserve"> that the application for registration of cyclizine on the </w:t>
      </w:r>
      <w:r w:rsidR="001823E5">
        <w:t xml:space="preserve">Australian Register of Therapeutic Goods (ARTG) </w:t>
      </w:r>
      <w:r w:rsidRPr="00EB2E0C">
        <w:t>be approved wi</w:t>
      </w:r>
      <w:r w:rsidR="00005236">
        <w:t>th the modified i</w:t>
      </w:r>
      <w:r w:rsidRPr="00EB2E0C">
        <w:t>ndications of:</w:t>
      </w:r>
    </w:p>
    <w:p w:rsidR="00821E37" w:rsidRPr="00EB2E0C" w:rsidRDefault="00821E37" w:rsidP="005C3144">
      <w:pPr>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567" w:hanging="210"/>
      </w:pPr>
      <w:r w:rsidRPr="00EB2E0C">
        <w:t xml:space="preserve">the </w:t>
      </w:r>
      <w:r w:rsidRPr="00EB2E0C">
        <w:rPr>
          <w:color w:val="000000"/>
          <w:lang w:val="en-GB" w:eastAsia="en-GB"/>
        </w:rPr>
        <w:t xml:space="preserve">prevention and short-term </w:t>
      </w:r>
      <w:r w:rsidRPr="00EB2E0C">
        <w:t xml:space="preserve">treatment of nausea and vomiting caused by narcotic analgesics and by general anaesthetics in the post-operative period </w:t>
      </w:r>
    </w:p>
    <w:p w:rsidR="00005236" w:rsidRPr="00EB2E0C" w:rsidRDefault="00821E37" w:rsidP="005C3144">
      <w:pPr>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567" w:hanging="210"/>
      </w:pPr>
      <w:r w:rsidRPr="00EB2E0C">
        <w:t>pre-operative use in patients undergoing anaesthesia and surgery to increase lower oesophageal sphincter pressure where this is required.</w:t>
      </w:r>
    </w:p>
    <w:p w:rsidR="00F645D7" w:rsidRPr="00D8593F" w:rsidRDefault="00546475" w:rsidP="005C3144">
      <w:pPr>
        <w:pStyle w:val="Heading3"/>
        <w:spacing w:line="240" w:lineRule="auto"/>
        <w:rPr>
          <w:rFonts w:ascii="Cambria" w:hAnsi="Cambria"/>
        </w:rPr>
      </w:pPr>
      <w:bookmarkStart w:id="319" w:name="_Toc270320087"/>
      <w:bookmarkStart w:id="320" w:name="_Toc241374329"/>
      <w:bookmarkStart w:id="321" w:name="_Toc255919423"/>
      <w:bookmarkStart w:id="322" w:name="_Toc350329823"/>
      <w:bookmarkStart w:id="323" w:name="_Toc163441387"/>
      <w:bookmarkEnd w:id="115"/>
      <w:bookmarkEnd w:id="116"/>
      <w:bookmarkEnd w:id="117"/>
      <w:bookmarkEnd w:id="118"/>
      <w:r>
        <w:rPr>
          <w:rFonts w:ascii="Cambria" w:hAnsi="Cambria"/>
        </w:rPr>
        <w:t>List of q</w:t>
      </w:r>
      <w:r w:rsidR="00F645D7" w:rsidRPr="00D8593F">
        <w:rPr>
          <w:rFonts w:ascii="Cambria" w:hAnsi="Cambria"/>
        </w:rPr>
        <w:t>uestions</w:t>
      </w:r>
      <w:bookmarkEnd w:id="319"/>
      <w:bookmarkEnd w:id="320"/>
      <w:bookmarkEnd w:id="321"/>
      <w:bookmarkEnd w:id="322"/>
    </w:p>
    <w:p w:rsidR="00D8593F" w:rsidRPr="00D8593F" w:rsidRDefault="00D8593F" w:rsidP="005C3144">
      <w:pPr>
        <w:pStyle w:val="Heading4"/>
        <w:spacing w:line="240" w:lineRule="auto"/>
      </w:pPr>
      <w:bookmarkStart w:id="324" w:name="_Toc304266826"/>
      <w:r w:rsidRPr="00D8593F">
        <w:t>Safety</w:t>
      </w:r>
      <w:bookmarkEnd w:id="324"/>
    </w:p>
    <w:p w:rsidR="00D8593F" w:rsidRPr="00D8593F" w:rsidRDefault="00D8593F" w:rsidP="005C3144">
      <w:pPr>
        <w:spacing w:line="240" w:lineRule="auto"/>
      </w:pPr>
      <w:r w:rsidRPr="00D8593F">
        <w:t xml:space="preserve">In Dundee </w:t>
      </w:r>
      <w:r w:rsidRPr="00005236">
        <w:rPr>
          <w:i/>
        </w:rPr>
        <w:t>et al</w:t>
      </w:r>
      <w:r w:rsidR="00005236">
        <w:t>.,</w:t>
      </w:r>
      <w:r w:rsidRPr="00D8593F">
        <w:t xml:space="preserve"> </w:t>
      </w:r>
      <w:r w:rsidR="00005236">
        <w:t>1966</w:t>
      </w:r>
      <w:r w:rsidRPr="00D8593F">
        <w:t xml:space="preserve"> the authors comment:</w:t>
      </w:r>
    </w:p>
    <w:p w:rsidR="00005236" w:rsidRDefault="00D8593F" w:rsidP="005C3144">
      <w:pPr>
        <w:spacing w:line="240" w:lineRule="auto"/>
      </w:pPr>
      <w:r w:rsidRPr="00D8593F">
        <w:rPr>
          <w:i/>
        </w:rPr>
        <w:t>“The only real advantage of trimethobenzamide over cyclizine was its miscibility with pethidine; doses of pethidine 100 mg and trimethobenzamide 200 mg were prepared premixed in 2-ml ampoules, whereas, as stated previously, pethidine and cyclizine required two syringes and two injection sites.”</w:t>
      </w:r>
    </w:p>
    <w:p w:rsidR="00D8593F" w:rsidRPr="00D8593F" w:rsidRDefault="00D8593F" w:rsidP="00741046">
      <w:pPr>
        <w:pStyle w:val="Heading4"/>
        <w:rPr>
          <w:rFonts w:cs="Times New Roman"/>
          <w:sz w:val="24"/>
          <w:szCs w:val="24"/>
        </w:rPr>
      </w:pPr>
      <w:r w:rsidRPr="00D8593F">
        <w:t>From the 1996-2004 PSUR</w:t>
      </w:r>
      <w:r>
        <w:t>:</w:t>
      </w:r>
    </w:p>
    <w:p w:rsidR="00D8593F" w:rsidRPr="00D8593F" w:rsidRDefault="00D8593F" w:rsidP="005C3144">
      <w:pPr>
        <w:spacing w:line="240" w:lineRule="auto"/>
        <w:rPr>
          <w:i/>
        </w:rPr>
      </w:pPr>
      <w:r w:rsidRPr="00D8593F">
        <w:rPr>
          <w:i/>
        </w:rPr>
        <w:t>“Cyclizine has a pH of 3.3-3.7, and is known to be incompatible with solutions with a pH of 6.8 and above. Any solution with significant concentrations of chloride ions, including normal saline, may lead to the precipitation of the less soluble cyclizine hydrochloride.”</w:t>
      </w:r>
    </w:p>
    <w:p w:rsidR="00D8593F" w:rsidRPr="00D8593F" w:rsidRDefault="00D8593F" w:rsidP="005C3144">
      <w:pPr>
        <w:spacing w:line="240" w:lineRule="auto"/>
        <w:rPr>
          <w:b/>
        </w:rPr>
      </w:pPr>
      <w:r w:rsidRPr="00D8593F">
        <w:t>The evaluator recommend</w:t>
      </w:r>
      <w:r w:rsidR="00D81C12">
        <w:t>ed</w:t>
      </w:r>
      <w:r w:rsidRPr="00D8593F">
        <w:t xml:space="preserve"> the sponsor provide compatibilities with common infusions used in anaesthesia</w:t>
      </w:r>
      <w:r w:rsidR="00D2734C">
        <w:t xml:space="preserve">, for example </w:t>
      </w:r>
      <w:r w:rsidRPr="00D8593F">
        <w:t>IV fluids, propofol, muscle relaxants, opiates.</w:t>
      </w:r>
    </w:p>
    <w:p w:rsidR="00D8593F" w:rsidRPr="00D8593F" w:rsidRDefault="00D8593F" w:rsidP="005C3144">
      <w:pPr>
        <w:spacing w:line="240" w:lineRule="auto"/>
        <w:rPr>
          <w:sz w:val="24"/>
          <w:szCs w:val="24"/>
        </w:rPr>
      </w:pPr>
      <w:r w:rsidRPr="00D8593F">
        <w:rPr>
          <w:b/>
        </w:rPr>
        <w:t>S</w:t>
      </w:r>
      <w:r w:rsidR="001F120A">
        <w:rPr>
          <w:b/>
        </w:rPr>
        <w:t>ponsor’s response</w:t>
      </w:r>
      <w:r w:rsidRPr="00D8593F">
        <w:rPr>
          <w:b/>
        </w:rPr>
        <w:t xml:space="preserve">: </w:t>
      </w:r>
      <w:r w:rsidRPr="00D8593F">
        <w:t xml:space="preserve">The sponsor’s response contained the warning </w:t>
      </w:r>
    </w:p>
    <w:p w:rsidR="00D8593F" w:rsidRPr="00D8593F" w:rsidRDefault="00D8593F" w:rsidP="005C3144">
      <w:pPr>
        <w:spacing w:line="240" w:lineRule="auto"/>
      </w:pPr>
      <w:r w:rsidRPr="00D8593F">
        <w:rPr>
          <w:i/>
          <w:iCs/>
          <w:color w:val="000000"/>
        </w:rPr>
        <w:t>"..if cyclizine lactate injection must be diluted for use in a syringe driver, the drug should be diluted with water for injection or 5% dextrose injection</w:t>
      </w:r>
    </w:p>
    <w:p w:rsidR="00D8593F" w:rsidRPr="00D8593F" w:rsidRDefault="00D8593F" w:rsidP="005C3144">
      <w:pPr>
        <w:spacing w:line="240" w:lineRule="auto"/>
        <w:rPr>
          <w:i/>
        </w:rPr>
      </w:pPr>
      <w:bookmarkStart w:id="325" w:name="Temp1"/>
      <w:bookmarkEnd w:id="325"/>
      <w:r w:rsidRPr="00D8593F">
        <w:rPr>
          <w:i/>
        </w:rPr>
        <w:t>Interaction with propofol or muscle relaxants (both of which may be given by infusion) is unknown.</w:t>
      </w:r>
    </w:p>
    <w:p w:rsidR="00D8593F" w:rsidRPr="00D8593F" w:rsidRDefault="00D8593F" w:rsidP="005C3144">
      <w:pPr>
        <w:spacing w:line="240" w:lineRule="auto"/>
        <w:rPr>
          <w:i/>
        </w:rPr>
      </w:pPr>
      <w:r w:rsidRPr="00D8593F">
        <w:rPr>
          <w:i/>
        </w:rPr>
        <w:t>Some strengths of oxycodone resulted in precipitation</w:t>
      </w:r>
      <w:r w:rsidRPr="00D8593F">
        <w:rPr>
          <w:rStyle w:val="FootnoteReference"/>
          <w:i/>
        </w:rPr>
        <w:footnoteReference w:id="21"/>
      </w:r>
      <w:r w:rsidRPr="00D8593F">
        <w:rPr>
          <w:i/>
        </w:rPr>
        <w:t xml:space="preserve"> This was the only Australian marketed opiate for which there was information.</w:t>
      </w:r>
    </w:p>
    <w:p w:rsidR="00D8593F" w:rsidRPr="00D8593F" w:rsidRDefault="00D8593F" w:rsidP="005C3144">
      <w:pPr>
        <w:spacing w:line="240" w:lineRule="auto"/>
        <w:rPr>
          <w:i/>
        </w:rPr>
      </w:pPr>
      <w:r w:rsidRPr="00D8593F">
        <w:rPr>
          <w:i/>
        </w:rPr>
        <w:t>Compatibility with 50</w:t>
      </w:r>
      <w:r w:rsidR="00EA65F2">
        <w:rPr>
          <w:i/>
        </w:rPr>
        <w:t xml:space="preserve"> </w:t>
      </w:r>
      <w:r w:rsidRPr="00D8593F">
        <w:rPr>
          <w:i/>
        </w:rPr>
        <w:t>mg/5mL ranitidine was shown (there is also a 50 mg/5 mL marketed.”</w:t>
      </w:r>
    </w:p>
    <w:p w:rsidR="00F777B6" w:rsidRPr="00F777B6" w:rsidRDefault="00D8593F" w:rsidP="005A2CFD">
      <w:pPr>
        <w:spacing w:line="240" w:lineRule="auto"/>
        <w:rPr>
          <w:rFonts w:cs="Calibri"/>
          <w:b/>
        </w:rPr>
      </w:pPr>
      <w:r w:rsidRPr="00D8593F">
        <w:t>The evaluator recommend</w:t>
      </w:r>
      <w:r w:rsidR="00EA65F2">
        <w:t>ed</w:t>
      </w:r>
      <w:r w:rsidRPr="00D8593F">
        <w:t xml:space="preserve"> that the </w:t>
      </w:r>
      <w:r w:rsidRPr="00C554CF">
        <w:rPr>
          <w:i/>
        </w:rPr>
        <w:t>Dosage and Administration</w:t>
      </w:r>
      <w:r w:rsidRPr="00D8593F">
        <w:t xml:space="preserve"> section </w:t>
      </w:r>
      <w:r w:rsidR="00C554CF">
        <w:t xml:space="preserve">of the PI </w:t>
      </w:r>
      <w:r w:rsidRPr="00D8593F">
        <w:t>carry appropriate warnings.</w:t>
      </w:r>
      <w:bookmarkEnd w:id="323"/>
    </w:p>
    <w:p w:rsidR="00116AE6" w:rsidRDefault="00D21C4E" w:rsidP="005C3144">
      <w:pPr>
        <w:pStyle w:val="Heading2"/>
        <w:spacing w:after="120" w:line="240" w:lineRule="auto"/>
      </w:pPr>
      <w:bookmarkStart w:id="326" w:name="_Toc247691524"/>
      <w:bookmarkStart w:id="327" w:name="_Toc350329824"/>
      <w:bookmarkStart w:id="328" w:name="_Toc196046504"/>
      <w:bookmarkStart w:id="329" w:name="_Toc163441390"/>
      <w:bookmarkEnd w:id="45"/>
      <w:bookmarkEnd w:id="46"/>
      <w:bookmarkEnd w:id="49"/>
      <w:r>
        <w:t xml:space="preserve">V. </w:t>
      </w:r>
      <w:r w:rsidR="00116AE6">
        <w:t xml:space="preserve">Pharmacovigilance </w:t>
      </w:r>
      <w:r w:rsidR="00546475">
        <w:t>f</w:t>
      </w:r>
      <w:r w:rsidR="00116AE6">
        <w:t>indings</w:t>
      </w:r>
      <w:bookmarkEnd w:id="326"/>
      <w:bookmarkEnd w:id="327"/>
    </w:p>
    <w:p w:rsidR="00116AE6" w:rsidRDefault="00546475" w:rsidP="005C3144">
      <w:pPr>
        <w:pStyle w:val="Heading3"/>
        <w:spacing w:line="240" w:lineRule="auto"/>
        <w:rPr>
          <w:lang w:eastAsia="en-AU"/>
        </w:rPr>
      </w:pPr>
      <w:bookmarkStart w:id="330" w:name="_Toc247691526"/>
      <w:bookmarkStart w:id="331" w:name="_Toc350329825"/>
      <w:r>
        <w:rPr>
          <w:lang w:eastAsia="en-AU"/>
        </w:rPr>
        <w:t>Risk management p</w:t>
      </w:r>
      <w:r w:rsidR="00116AE6">
        <w:rPr>
          <w:lang w:eastAsia="en-AU"/>
        </w:rPr>
        <w:t>lan</w:t>
      </w:r>
      <w:bookmarkEnd w:id="330"/>
      <w:bookmarkEnd w:id="331"/>
    </w:p>
    <w:p w:rsidR="00C56881" w:rsidRDefault="00C56881" w:rsidP="005C3144">
      <w:pPr>
        <w:spacing w:line="240" w:lineRule="auto"/>
      </w:pPr>
      <w:r>
        <w:t>The summary of the Ongoing Safety Concerns as specified by the sponsor is as follows:</w:t>
      </w:r>
    </w:p>
    <w:p w:rsidR="00C56881" w:rsidRPr="00C56881" w:rsidRDefault="00C56881" w:rsidP="005C3144">
      <w:pPr>
        <w:spacing w:line="240" w:lineRule="auto"/>
      </w:pPr>
      <w:r w:rsidRPr="00C56881">
        <w:lastRenderedPageBreak/>
        <w:t xml:space="preserve">There are some possible safety concerns with </w:t>
      </w:r>
      <w:r w:rsidR="00255851">
        <w:t>Valoid</w:t>
      </w:r>
      <w:r w:rsidRPr="00C56881">
        <w:t xml:space="preserve"> which the Applicant believes have been appropriately addressed in the </w:t>
      </w:r>
      <w:r w:rsidR="00D2734C">
        <w:t xml:space="preserve">PI </w:t>
      </w:r>
      <w:r w:rsidRPr="00C56881">
        <w:t>and the intended post-authorisation communications.</w:t>
      </w:r>
    </w:p>
    <w:p w:rsidR="00C56881" w:rsidRPr="00C56881" w:rsidRDefault="00C56881" w:rsidP="005C3144">
      <w:pPr>
        <w:spacing w:line="240" w:lineRule="auto"/>
      </w:pPr>
      <w:r w:rsidRPr="00C56881">
        <w:t>These concerns are:</w:t>
      </w:r>
    </w:p>
    <w:p w:rsidR="00C56881" w:rsidRPr="00C56881" w:rsidRDefault="00C56881" w:rsidP="005C3144">
      <w:pPr>
        <w:pStyle w:val="ListBullet"/>
        <w:spacing w:after="120" w:line="240" w:lineRule="auto"/>
      </w:pPr>
      <w:r w:rsidRPr="00C56881">
        <w:t>Off-label use</w:t>
      </w:r>
    </w:p>
    <w:p w:rsidR="00C56881" w:rsidRPr="00C56881" w:rsidRDefault="00C56881" w:rsidP="005C3144">
      <w:pPr>
        <w:pStyle w:val="ListBullet"/>
        <w:spacing w:after="120" w:line="240" w:lineRule="auto"/>
      </w:pPr>
      <w:r w:rsidRPr="00C56881">
        <w:t xml:space="preserve">Paediatric use </w:t>
      </w:r>
    </w:p>
    <w:p w:rsidR="00C56881" w:rsidRPr="00C56881" w:rsidRDefault="00C56881" w:rsidP="005C3144">
      <w:pPr>
        <w:pStyle w:val="ListBullet"/>
        <w:spacing w:after="120" w:line="240" w:lineRule="auto"/>
      </w:pPr>
      <w:r w:rsidRPr="00C56881">
        <w:t>Rapid administration of injection</w:t>
      </w:r>
    </w:p>
    <w:p w:rsidR="00C56881" w:rsidRPr="00C56881" w:rsidRDefault="00C56881" w:rsidP="005C3144">
      <w:pPr>
        <w:pStyle w:val="ListBullet"/>
        <w:spacing w:after="120" w:line="240" w:lineRule="auto"/>
      </w:pPr>
      <w:r w:rsidRPr="00C56881">
        <w:t>Use in pregnant women</w:t>
      </w:r>
    </w:p>
    <w:p w:rsidR="00C56881" w:rsidRPr="00C56881" w:rsidRDefault="00C56881" w:rsidP="005C3144">
      <w:pPr>
        <w:pStyle w:val="ListBullet"/>
        <w:spacing w:after="120" w:line="240" w:lineRule="auto"/>
      </w:pPr>
      <w:r w:rsidRPr="00C56881">
        <w:t>Hypotensive patients in emergency surgery</w:t>
      </w:r>
    </w:p>
    <w:p w:rsidR="00C56881" w:rsidRPr="00C56881" w:rsidRDefault="00C56881" w:rsidP="005C3144">
      <w:pPr>
        <w:pStyle w:val="ListBullet"/>
        <w:spacing w:after="120" w:line="240" w:lineRule="auto"/>
      </w:pPr>
      <w:r w:rsidRPr="00C56881">
        <w:t>Product abuse</w:t>
      </w:r>
    </w:p>
    <w:p w:rsidR="00C56881" w:rsidRDefault="00C56881" w:rsidP="005C3144">
      <w:pPr>
        <w:spacing w:line="240" w:lineRule="auto"/>
      </w:pPr>
      <w:r>
        <w:rPr>
          <w:b/>
          <w:i/>
        </w:rPr>
        <w:t>OPR reviewer comment</w:t>
      </w:r>
    </w:p>
    <w:p w:rsidR="00C56881" w:rsidRDefault="00C56881" w:rsidP="005C3144">
      <w:pPr>
        <w:spacing w:line="240" w:lineRule="auto"/>
      </w:pPr>
      <w:r>
        <w:t xml:space="preserve">Pursuant to the evaluation of the nonclinical and clinical aspects of the </w:t>
      </w:r>
      <w:r w:rsidR="00CD33AF">
        <w:t>safety specifications</w:t>
      </w:r>
      <w:r>
        <w:t>,</w:t>
      </w:r>
      <w:r w:rsidR="00CD33AF">
        <w:t xml:space="preserve"> </w:t>
      </w:r>
      <w:r>
        <w:t xml:space="preserve">it is recommended that ‘injection site reactions’ be added to the list of </w:t>
      </w:r>
      <w:r w:rsidR="00EA65F2">
        <w:t>P</w:t>
      </w:r>
      <w:r>
        <w:t>otential safety concerns.</w:t>
      </w:r>
    </w:p>
    <w:p w:rsidR="005A27B0" w:rsidRPr="00B509E8" w:rsidRDefault="00546475" w:rsidP="005C3144">
      <w:pPr>
        <w:pStyle w:val="Heading4"/>
        <w:spacing w:line="240" w:lineRule="auto"/>
        <w:rPr>
          <w:lang w:eastAsia="en-AU"/>
        </w:rPr>
      </w:pPr>
      <w:r>
        <w:rPr>
          <w:lang w:eastAsia="en-AU"/>
        </w:rPr>
        <w:t>Pharmacovigilance p</w:t>
      </w:r>
      <w:r w:rsidR="005A27B0" w:rsidRPr="00B509E8">
        <w:rPr>
          <w:lang w:eastAsia="en-AU"/>
        </w:rPr>
        <w:t>lan</w:t>
      </w:r>
    </w:p>
    <w:p w:rsidR="00C56881" w:rsidRDefault="00C56881" w:rsidP="005C3144">
      <w:pPr>
        <w:spacing w:line="240" w:lineRule="auto"/>
      </w:pPr>
      <w:r>
        <w:t>The sponsor provides the information that the pharmacovigilance system of Link Medical Products will be incorporated into the Amdipharm (UK and Ireland licence holder) pharmacovigilance system. The sponsor provides a detailed description of the pharmacovigilance activities to be undertaken routinely.</w:t>
      </w:r>
    </w:p>
    <w:p w:rsidR="00C56881" w:rsidRDefault="00C56881" w:rsidP="005C3144">
      <w:pPr>
        <w:spacing w:line="240" w:lineRule="auto"/>
        <w:rPr>
          <w:rFonts w:cs="Calibri"/>
        </w:rPr>
      </w:pPr>
      <w:r>
        <w:rPr>
          <w:rFonts w:cs="Calibri"/>
        </w:rPr>
        <w:t>The sponsor does not propose any additional pharmacovigilance activities.</w:t>
      </w:r>
    </w:p>
    <w:p w:rsidR="00C56881" w:rsidRDefault="00C56881" w:rsidP="005C3144">
      <w:pPr>
        <w:pStyle w:val="Heading5"/>
        <w:spacing w:line="240" w:lineRule="auto"/>
      </w:pPr>
      <w:bookmarkStart w:id="332" w:name="_Toc271808212"/>
      <w:r>
        <w:t>OPR reviewer’s comments in regard to the pharmacovigilance plan (PP) and the appropriateness of milestones</w:t>
      </w:r>
      <w:bookmarkEnd w:id="332"/>
    </w:p>
    <w:p w:rsidR="00C56881" w:rsidRPr="0049040A" w:rsidRDefault="00C56881" w:rsidP="005C3144">
      <w:pPr>
        <w:spacing w:line="240" w:lineRule="auto"/>
      </w:pPr>
      <w:r w:rsidRPr="0049040A">
        <w:t xml:space="preserve">The sponsor notes in </w:t>
      </w:r>
      <w:r w:rsidR="00EA65F2">
        <w:t xml:space="preserve">the </w:t>
      </w:r>
      <w:r w:rsidRPr="0049040A">
        <w:t xml:space="preserve">RMP Section </w:t>
      </w:r>
      <w:r w:rsidRPr="00EA65F2">
        <w:rPr>
          <w:i/>
        </w:rPr>
        <w:t>Post-marketing (non-study) exposure</w:t>
      </w:r>
      <w:r w:rsidRPr="0049040A">
        <w:t xml:space="preserve">  that the database only contains 390</w:t>
      </w:r>
      <w:r w:rsidR="00CD33AF">
        <w:t xml:space="preserve"> case reports</w:t>
      </w:r>
      <w:r w:rsidRPr="0049040A">
        <w:t xml:space="preserve">. The sponsor has explained that although the product has been on the market for 50 years Amdipharm has held the licence since 1 December 2003 and that the ADR case reports are for the time period 1 December 2003 to 31 August 2011. The sponsor has provided complete case line listings and a frequency table for review. In addition the sponsor has provided the MHRA Drug Analysis Print (DAP) for all cyclizine cases for the period 1 July 1963 to 27 July 2011 containing the </w:t>
      </w:r>
      <w:r w:rsidR="008D3C34" w:rsidRPr="008D3C34">
        <w:t>Council for International Organizations of Medical Sciences</w:t>
      </w:r>
      <w:r w:rsidR="008D3C34">
        <w:t xml:space="preserve"> (CIOMS) </w:t>
      </w:r>
      <w:r w:rsidRPr="0049040A">
        <w:t xml:space="preserve">forms for all 760 cases. </w:t>
      </w:r>
    </w:p>
    <w:p w:rsidR="005A27B0" w:rsidRDefault="00546475" w:rsidP="005A2CFD">
      <w:pPr>
        <w:pStyle w:val="Heading4"/>
        <w:keepNext/>
        <w:spacing w:line="240" w:lineRule="auto"/>
        <w:rPr>
          <w:lang w:eastAsia="en-AU"/>
        </w:rPr>
      </w:pPr>
      <w:r>
        <w:rPr>
          <w:lang w:eastAsia="en-AU"/>
        </w:rPr>
        <w:t>Risk minimisation a</w:t>
      </w:r>
      <w:r w:rsidR="005A27B0">
        <w:rPr>
          <w:lang w:eastAsia="en-AU"/>
        </w:rPr>
        <w:t>ctivities</w:t>
      </w:r>
    </w:p>
    <w:p w:rsidR="00C56881" w:rsidRDefault="00C56881" w:rsidP="005A2CFD">
      <w:pPr>
        <w:keepNext/>
        <w:spacing w:line="240" w:lineRule="auto"/>
      </w:pPr>
      <w:r>
        <w:t xml:space="preserve">In the detailed action plan for specific safety concerns the sponsor states that the safety concerns raised within the RMP have been accounted for with warnings in the </w:t>
      </w:r>
      <w:r w:rsidR="00D2734C">
        <w:t xml:space="preserve">PI </w:t>
      </w:r>
      <w:r>
        <w:t>and intended communications. The sponsor believes this strategy is adequate to address the risks associated with this product.</w:t>
      </w:r>
    </w:p>
    <w:p w:rsidR="00C56881" w:rsidRDefault="00C56881" w:rsidP="005C3144">
      <w:pPr>
        <w:spacing w:line="240" w:lineRule="auto"/>
        <w:rPr>
          <w:b/>
        </w:rPr>
      </w:pPr>
      <w:r>
        <w:rPr>
          <w:b/>
          <w:i/>
        </w:rPr>
        <w:t xml:space="preserve">OPR reviewer comment:  </w:t>
      </w:r>
    </w:p>
    <w:p w:rsidR="00C56881" w:rsidRDefault="00C56881" w:rsidP="005C3144">
      <w:pPr>
        <w:spacing w:line="240" w:lineRule="auto"/>
      </w:pPr>
      <w:r>
        <w:t>The sponsor has indicated</w:t>
      </w:r>
      <w:r w:rsidR="00CD33AF">
        <w:t>, following a</w:t>
      </w:r>
      <w:r>
        <w:t xml:space="preserve"> TGA request for information</w:t>
      </w:r>
      <w:r w:rsidR="00CD33AF">
        <w:t>,</w:t>
      </w:r>
      <w:r>
        <w:t xml:space="preserve"> that there will be additional materials provided with the launch of the product that will focus on the </w:t>
      </w:r>
      <w:r w:rsidR="00D2734C">
        <w:t>PI</w:t>
      </w:r>
      <w:r>
        <w:t xml:space="preserve">. The sponsor has not provided sample material for comment. Therefore the adequacy of the material to address the safe administration of </w:t>
      </w:r>
      <w:r w:rsidR="00255851">
        <w:t>Valoid</w:t>
      </w:r>
      <w:r w:rsidR="00F3536E">
        <w:t xml:space="preserve"> </w:t>
      </w:r>
      <w:r>
        <w:t xml:space="preserve">cannot be evaluated. The sponsor </w:t>
      </w:r>
      <w:r w:rsidR="00F3536E">
        <w:t>is</w:t>
      </w:r>
      <w:r>
        <w:t xml:space="preserve"> requested to provide a copy of this material to the TGA, for information, post registration.</w:t>
      </w:r>
    </w:p>
    <w:p w:rsidR="00F3536E" w:rsidRDefault="00C56881" w:rsidP="005C3144">
      <w:pPr>
        <w:spacing w:line="240" w:lineRule="auto"/>
      </w:pPr>
      <w:r>
        <w:t xml:space="preserve">The sponsor indicates that changes in spontaneous adverse event reporting will be used as an indicator of the effectiveness of the communication. </w:t>
      </w:r>
    </w:p>
    <w:p w:rsidR="00CD33AF" w:rsidRDefault="00CD33AF" w:rsidP="005C3144">
      <w:pPr>
        <w:spacing w:line="240" w:lineRule="auto"/>
      </w:pPr>
      <w:r>
        <w:lastRenderedPageBreak/>
        <w:t>Given the small number of adverse events reported for cyclizine, and the sponsor’s argument for the relative safety of cyclizine in many of its potential off-label indications in Australia, it is suggested that spontaneous adverse event reporting is unlikely to a useful tool for the evaluation of the post-authorisation communications. A drug utilisation study may provide a better profile of the use of the product in the community post registration.</w:t>
      </w:r>
    </w:p>
    <w:p w:rsidR="00CD33AF" w:rsidRDefault="00C56881" w:rsidP="005C3144">
      <w:pPr>
        <w:spacing w:line="240" w:lineRule="auto"/>
      </w:pPr>
      <w:r>
        <w:t xml:space="preserve">In regard to the proposed routine risk minimisation activities, </w:t>
      </w:r>
      <w:r w:rsidR="00CD33AF">
        <w:t xml:space="preserve">changes to the proposed PI are </w:t>
      </w:r>
      <w:r>
        <w:t>recommended</w:t>
      </w:r>
      <w:r w:rsidR="00CD33AF">
        <w:t>.</w:t>
      </w:r>
      <w:r>
        <w:t xml:space="preserve"> </w:t>
      </w:r>
    </w:p>
    <w:p w:rsidR="00C56881" w:rsidRDefault="00C56881" w:rsidP="005C3144">
      <w:pPr>
        <w:spacing w:line="240" w:lineRule="auto"/>
      </w:pPr>
      <w:r>
        <w:t xml:space="preserve">In regard to the proposed routine risk minimisation activities, it is recommended to the Delegate that the draft consumer medicine information document be revised to reflect any changes to the </w:t>
      </w:r>
      <w:r w:rsidR="00D2734C">
        <w:t>PI</w:t>
      </w:r>
      <w:r>
        <w:t>.</w:t>
      </w:r>
    </w:p>
    <w:p w:rsidR="005A27B0" w:rsidRDefault="005A27B0" w:rsidP="005C3144">
      <w:pPr>
        <w:pStyle w:val="Heading4"/>
        <w:spacing w:line="240" w:lineRule="auto"/>
        <w:rPr>
          <w:lang w:eastAsia="en-AU"/>
        </w:rPr>
      </w:pPr>
      <w:r>
        <w:rPr>
          <w:lang w:eastAsia="en-AU"/>
        </w:rPr>
        <w:t xml:space="preserve">Summary of </w:t>
      </w:r>
      <w:r w:rsidR="005A2CFD">
        <w:rPr>
          <w:lang w:eastAsia="en-AU"/>
        </w:rPr>
        <w:t>r</w:t>
      </w:r>
      <w:r>
        <w:rPr>
          <w:lang w:eastAsia="en-AU"/>
        </w:rPr>
        <w:t>ecommendations</w:t>
      </w:r>
    </w:p>
    <w:p w:rsidR="00B509E8" w:rsidRDefault="00B509E8" w:rsidP="005C3144">
      <w:pPr>
        <w:spacing w:line="240" w:lineRule="auto"/>
      </w:pPr>
      <w:r>
        <w:t xml:space="preserve">The OPR provides these recommendations in the context that the submitted RMP is supportive to the application; and the implementation of the RMP (undated, version not identified) and the sponsor’s </w:t>
      </w:r>
      <w:r w:rsidR="005C3144">
        <w:t>responses to TGA requests for information</w:t>
      </w:r>
      <w:r w:rsidR="00B27E69">
        <w:t xml:space="preserve">, </w:t>
      </w:r>
      <w:r>
        <w:t>is imposed as a condition of registration when so qualified:</w:t>
      </w:r>
    </w:p>
    <w:p w:rsidR="00B509E8" w:rsidRDefault="00546475" w:rsidP="005C3144">
      <w:pPr>
        <w:spacing w:line="240" w:lineRule="auto"/>
        <w:rPr>
          <w:b/>
          <w:i/>
        </w:rPr>
      </w:pPr>
      <w:r>
        <w:rPr>
          <w:b/>
          <w:i/>
        </w:rPr>
        <w:t>Risk minimisation p</w:t>
      </w:r>
      <w:r w:rsidR="00B509E8">
        <w:rPr>
          <w:b/>
          <w:i/>
        </w:rPr>
        <w:t>lan</w:t>
      </w:r>
    </w:p>
    <w:p w:rsidR="00B509E8" w:rsidRDefault="00B509E8" w:rsidP="005C3144">
      <w:pPr>
        <w:spacing w:line="240" w:lineRule="auto"/>
      </w:pPr>
      <w:r>
        <w:t xml:space="preserve">The sponsor has indicated that there will be additional materials provided with the launch of the product that will focus on the </w:t>
      </w:r>
      <w:r w:rsidR="00D2734C">
        <w:t>PI</w:t>
      </w:r>
      <w:r>
        <w:t xml:space="preserve">. The sponsor has not provided sample material for comment. Therefore the adequacy of the material to address the safe administration of </w:t>
      </w:r>
      <w:r w:rsidR="00255851">
        <w:t>Valoid</w:t>
      </w:r>
      <w:r>
        <w:t xml:space="preserve"> cannot be evaluated. The sponsor is requested to provide a copy of this material to the TGA, for information, post registration.</w:t>
      </w:r>
    </w:p>
    <w:p w:rsidR="00B509E8" w:rsidRDefault="00B509E8" w:rsidP="005C3144">
      <w:pPr>
        <w:spacing w:line="240" w:lineRule="auto"/>
      </w:pPr>
      <w:r>
        <w:t>Given the small number of adverse events reported for cyclizine, and the sponsor’s argument for the relative safety of cyclizine in many of its potential off-label indications in Australia, it is suggested that spontaneous adverse event reporting is unlikely to a useful tool for the evaluation of the post</w:t>
      </w:r>
      <w:r w:rsidR="00EA65F2">
        <w:t xml:space="preserve"> </w:t>
      </w:r>
      <w:r>
        <w:t>authorisation communications to prevent off-label use. A drug utilisation study may provide a better profile of the use of the product in the community post registration.</w:t>
      </w:r>
    </w:p>
    <w:p w:rsidR="00B509E8" w:rsidRDefault="00B509E8" w:rsidP="005C3144">
      <w:pPr>
        <w:spacing w:line="240" w:lineRule="auto"/>
        <w:rPr>
          <w:b/>
          <w:i/>
        </w:rPr>
      </w:pPr>
      <w:r>
        <w:rPr>
          <w:b/>
          <w:i/>
        </w:rPr>
        <w:t>Product Information</w:t>
      </w:r>
    </w:p>
    <w:p w:rsidR="00B509E8" w:rsidRDefault="00A01A23" w:rsidP="005C3144">
      <w:pPr>
        <w:spacing w:line="240" w:lineRule="auto"/>
      </w:pPr>
      <w:r>
        <w:t>Suggested revisions to the proposed PI were recommended. Inclusion of these is beyond the scope of this AusP</w:t>
      </w:r>
      <w:r w:rsidR="00EA65F2">
        <w:t>AR</w:t>
      </w:r>
      <w:r w:rsidR="00B509E8">
        <w:t>.</w:t>
      </w:r>
    </w:p>
    <w:p w:rsidR="00116AE6" w:rsidRPr="00792A32" w:rsidRDefault="00EC0739" w:rsidP="005C3144">
      <w:pPr>
        <w:pStyle w:val="Heading2"/>
        <w:spacing w:after="120" w:line="240" w:lineRule="auto"/>
      </w:pPr>
      <w:bookmarkStart w:id="333" w:name="_Toc247691527"/>
      <w:bookmarkStart w:id="334" w:name="_Toc350329826"/>
      <w:r>
        <w:t xml:space="preserve">VI. </w:t>
      </w:r>
      <w:r w:rsidR="00546475">
        <w:t>Overall conclusion and risk/b</w:t>
      </w:r>
      <w:r w:rsidR="00116AE6" w:rsidRPr="00792A32">
        <w:t xml:space="preserve">enefit </w:t>
      </w:r>
      <w:r w:rsidR="00546475">
        <w:t>a</w:t>
      </w:r>
      <w:r w:rsidR="00116AE6" w:rsidRPr="00792A32">
        <w:t>ssessment</w:t>
      </w:r>
      <w:bookmarkEnd w:id="328"/>
      <w:bookmarkEnd w:id="333"/>
      <w:bookmarkEnd w:id="334"/>
    </w:p>
    <w:p w:rsidR="00116AE6" w:rsidRPr="00B27E69" w:rsidRDefault="00116AE6" w:rsidP="005C3144">
      <w:pPr>
        <w:spacing w:line="240" w:lineRule="auto"/>
      </w:pPr>
      <w:bookmarkStart w:id="335" w:name="_Toc247691528"/>
      <w:r w:rsidRPr="00B27E69">
        <w:t>The submission was summarised in the following Delegate’s overview and recommendations:</w:t>
      </w:r>
    </w:p>
    <w:p w:rsidR="00116AE6" w:rsidRPr="00B27E69" w:rsidRDefault="00116AE6" w:rsidP="005C3144">
      <w:pPr>
        <w:pStyle w:val="Heading3"/>
        <w:spacing w:line="240" w:lineRule="auto"/>
        <w:rPr>
          <w:rFonts w:ascii="Cambria" w:hAnsi="Cambria"/>
        </w:rPr>
      </w:pPr>
      <w:bookmarkStart w:id="336" w:name="_Toc350329827"/>
      <w:r w:rsidRPr="00B27E69">
        <w:rPr>
          <w:rFonts w:ascii="Cambria" w:hAnsi="Cambria"/>
        </w:rPr>
        <w:t>Quality</w:t>
      </w:r>
      <w:bookmarkEnd w:id="335"/>
      <w:bookmarkEnd w:id="336"/>
    </w:p>
    <w:p w:rsidR="00666CD3" w:rsidRPr="00B27E69" w:rsidRDefault="00666CD3" w:rsidP="005C3144">
      <w:pPr>
        <w:spacing w:line="240" w:lineRule="auto"/>
        <w:rPr>
          <w:rFonts w:cs="Calibri"/>
        </w:rPr>
      </w:pPr>
      <w:r w:rsidRPr="00B27E69">
        <w:rPr>
          <w:rFonts w:cs="Calibri"/>
        </w:rPr>
        <w:t>There are no objections in respect of Chemistry, Manufacturing and Controls to r</w:t>
      </w:r>
      <w:r w:rsidR="00FD5E41">
        <w:rPr>
          <w:rFonts w:cs="Calibri"/>
        </w:rPr>
        <w:t xml:space="preserve">egistration of this product. </w:t>
      </w:r>
    </w:p>
    <w:p w:rsidR="00666CD3" w:rsidRPr="00B27E69" w:rsidRDefault="00666CD3" w:rsidP="005C3144">
      <w:pPr>
        <w:spacing w:line="240" w:lineRule="auto"/>
        <w:rPr>
          <w:rFonts w:cs="Calibri"/>
        </w:rPr>
      </w:pPr>
      <w:r w:rsidRPr="00B27E69">
        <w:rPr>
          <w:rFonts w:cs="Calibri"/>
        </w:rPr>
        <w:t xml:space="preserve">The </w:t>
      </w:r>
      <w:r w:rsidR="00EA65F2">
        <w:rPr>
          <w:rFonts w:cs="Calibri"/>
        </w:rPr>
        <w:t>quality</w:t>
      </w:r>
      <w:r w:rsidRPr="00B27E69">
        <w:rPr>
          <w:rFonts w:cs="Calibri"/>
        </w:rPr>
        <w:t xml:space="preserve"> evaluator had stated that approval could not be recommended until the company developed a suitable method for monitoring the finished product and generates appropriate stability data. The sponsor has now developed a suitable method </w:t>
      </w:r>
      <w:r w:rsidR="00723F13">
        <w:rPr>
          <w:rFonts w:cs="Calibri"/>
        </w:rPr>
        <w:t>and provided the appropriate stability data</w:t>
      </w:r>
      <w:r w:rsidRPr="00B27E69">
        <w:rPr>
          <w:rFonts w:cs="Calibri"/>
        </w:rPr>
        <w:t xml:space="preserve">.  </w:t>
      </w:r>
    </w:p>
    <w:p w:rsidR="00666CD3" w:rsidRPr="00B27E69" w:rsidRDefault="00666CD3" w:rsidP="005C3144">
      <w:pPr>
        <w:spacing w:line="240" w:lineRule="auto"/>
        <w:rPr>
          <w:rFonts w:cs="Calibri"/>
          <w:b/>
        </w:rPr>
      </w:pPr>
      <w:r w:rsidRPr="00B27E69">
        <w:rPr>
          <w:rFonts w:cs="Calibri"/>
        </w:rPr>
        <w:t xml:space="preserve">No bioavailability data for the injection when administered by the </w:t>
      </w:r>
      <w:r w:rsidR="00FD5E41">
        <w:rPr>
          <w:rFonts w:cs="Calibri"/>
        </w:rPr>
        <w:t>IM</w:t>
      </w:r>
      <w:r w:rsidRPr="00B27E69">
        <w:rPr>
          <w:rFonts w:cs="Calibri"/>
        </w:rPr>
        <w:t xml:space="preserve"> route were</w:t>
      </w:r>
      <w:r w:rsidR="00FD5E41">
        <w:rPr>
          <w:rFonts w:cs="Calibri"/>
        </w:rPr>
        <w:t xml:space="preserve"> submitted. </w:t>
      </w:r>
    </w:p>
    <w:p w:rsidR="00666CD3" w:rsidRPr="00CD40DE" w:rsidRDefault="00666CD3" w:rsidP="005C3144">
      <w:pPr>
        <w:spacing w:line="240" w:lineRule="auto"/>
        <w:rPr>
          <w:rFonts w:cs="Calibri"/>
        </w:rPr>
      </w:pPr>
      <w:r w:rsidRPr="00B27E69">
        <w:rPr>
          <w:rFonts w:cs="Calibri"/>
        </w:rPr>
        <w:t xml:space="preserve">This submission was discussed at the PSC </w:t>
      </w:r>
      <w:r w:rsidR="00CD40DE">
        <w:rPr>
          <w:rFonts w:cs="Calibri"/>
        </w:rPr>
        <w:t xml:space="preserve">at its </w:t>
      </w:r>
      <w:r w:rsidRPr="00B27E69">
        <w:rPr>
          <w:rFonts w:cs="Calibri"/>
        </w:rPr>
        <w:t>August 2011</w:t>
      </w:r>
      <w:r w:rsidR="00CD40DE">
        <w:rPr>
          <w:rFonts w:cs="Calibri"/>
        </w:rPr>
        <w:t xml:space="preserve"> meeting. </w:t>
      </w:r>
      <w:r w:rsidRPr="00B27E69">
        <w:rPr>
          <w:rFonts w:cs="Calibri"/>
        </w:rPr>
        <w:t>The PSC sa</w:t>
      </w:r>
      <w:r w:rsidR="00FD5E41">
        <w:rPr>
          <w:rFonts w:cs="Calibri"/>
        </w:rPr>
        <w:t xml:space="preserve">w no quality or pharmaceutical </w:t>
      </w:r>
      <w:r w:rsidRPr="00B27E69">
        <w:rPr>
          <w:rFonts w:cs="Calibri"/>
        </w:rPr>
        <w:t>aspects which would preclude registration</w:t>
      </w:r>
      <w:r w:rsidR="00CD40DE">
        <w:rPr>
          <w:rFonts w:cs="Calibri"/>
        </w:rPr>
        <w:t>: t</w:t>
      </w:r>
      <w:r w:rsidRPr="00CD40DE">
        <w:rPr>
          <w:rFonts w:cs="Calibri"/>
        </w:rPr>
        <w:t xml:space="preserve">he PSC endorsed all the questions raised by the TGA in relation to quality and pharmaceutic aspects of the </w:t>
      </w:r>
      <w:r w:rsidRPr="00CD40DE">
        <w:rPr>
          <w:rFonts w:cs="Calibri"/>
        </w:rPr>
        <w:lastRenderedPageBreak/>
        <w:t xml:space="preserve">submission </w:t>
      </w:r>
      <w:r w:rsidR="00F1080E">
        <w:rPr>
          <w:rFonts w:cs="Calibri"/>
        </w:rPr>
        <w:t xml:space="preserve">and </w:t>
      </w:r>
      <w:r w:rsidRPr="00CD40DE">
        <w:rPr>
          <w:rFonts w:cs="Calibri"/>
        </w:rPr>
        <w:t>considered all outstanding issues should be addressed to the satisfaction of the TGA.</w:t>
      </w:r>
    </w:p>
    <w:p w:rsidR="00116AE6" w:rsidRPr="00B27E69" w:rsidRDefault="00116AE6" w:rsidP="005C3144">
      <w:pPr>
        <w:pStyle w:val="Heading3"/>
        <w:spacing w:line="240" w:lineRule="auto"/>
        <w:rPr>
          <w:rFonts w:ascii="Cambria" w:hAnsi="Cambria"/>
        </w:rPr>
      </w:pPr>
      <w:bookmarkStart w:id="337" w:name="_Toc350329828"/>
      <w:r w:rsidRPr="00B27E69">
        <w:rPr>
          <w:rFonts w:ascii="Cambria" w:hAnsi="Cambria"/>
        </w:rPr>
        <w:t>Nonclinical</w:t>
      </w:r>
      <w:bookmarkEnd w:id="337"/>
    </w:p>
    <w:p w:rsidR="00666CD3" w:rsidRPr="00B27E69" w:rsidRDefault="00666CD3" w:rsidP="005C3144">
      <w:pPr>
        <w:spacing w:line="240" w:lineRule="auto"/>
        <w:rPr>
          <w:rFonts w:cs="Calibri"/>
        </w:rPr>
      </w:pPr>
      <w:r w:rsidRPr="00B27E69">
        <w:rPr>
          <w:rFonts w:cs="Calibri"/>
        </w:rPr>
        <w:t>The nonclinical evaluator considered that based on current regulatory guidelines and GLP standards required for nonclinical studies to support registration of a new chemical entity, the nonclin</w:t>
      </w:r>
      <w:r w:rsidR="00FD5E41">
        <w:rPr>
          <w:rFonts w:cs="Calibri"/>
        </w:rPr>
        <w:t xml:space="preserve">ical dossier was not adequate. </w:t>
      </w:r>
      <w:r w:rsidRPr="00B27E69">
        <w:rPr>
          <w:rFonts w:cs="Calibri"/>
        </w:rPr>
        <w:t>The nonclinical data used to demonstrate primary pharmacodynamic efficacy were limited to one study (</w:t>
      </w:r>
      <w:r w:rsidR="00A967B1" w:rsidRPr="00A967B1">
        <w:rPr>
          <w:rFonts w:cs="Calibri"/>
        </w:rPr>
        <w:t>from</w:t>
      </w:r>
      <w:r w:rsidRPr="00B27E69">
        <w:rPr>
          <w:rFonts w:cs="Calibri"/>
        </w:rPr>
        <w:t xml:space="preserve"> 1954) that documented an antiemetic effect by cyclizine in an experimental model of emesis, with little/no data presented that explored the dose-dependency, efficacy, selectivity and/ or mode of action. Limited experimental data showed antihistamine but not anticholinergic activity.  </w:t>
      </w:r>
    </w:p>
    <w:p w:rsidR="00666CD3" w:rsidRPr="00B27E69" w:rsidRDefault="00666CD3" w:rsidP="005C3144">
      <w:pPr>
        <w:spacing w:line="240" w:lineRule="auto"/>
        <w:rPr>
          <w:rFonts w:cs="Calibri"/>
        </w:rPr>
      </w:pPr>
      <w:r w:rsidRPr="00B27E69">
        <w:rPr>
          <w:rFonts w:cs="Calibri"/>
        </w:rPr>
        <w:t>Cardiovascular and central nervous systems were (minimally) investigated in safety pharmacology studies but no ECG or hER</w:t>
      </w:r>
      <w:r w:rsidR="00A967B1">
        <w:rPr>
          <w:rFonts w:cs="Calibri"/>
        </w:rPr>
        <w:t xml:space="preserve">G assays were performed. </w:t>
      </w:r>
      <w:r w:rsidRPr="00B27E69">
        <w:rPr>
          <w:rFonts w:cs="Calibri"/>
        </w:rPr>
        <w:t>In rats oral cyclizine at doses above 75 mg/kg/day was associated with pancreatic pathology and plasma glucose/</w:t>
      </w:r>
      <w:r w:rsidR="00A967B1">
        <w:rPr>
          <w:rFonts w:cs="Calibri"/>
        </w:rPr>
        <w:t xml:space="preserve">insulin changes. </w:t>
      </w:r>
      <w:r w:rsidRPr="00B27E69">
        <w:rPr>
          <w:rFonts w:cs="Calibri"/>
        </w:rPr>
        <w:t xml:space="preserve">Metabolism was studied only in dogs (a species not used for any of the toxicity tests) and it is unknown whether the potential toxicity of human metabolites was assessed in the animal studies.  </w:t>
      </w:r>
    </w:p>
    <w:p w:rsidR="00666CD3" w:rsidRPr="00B27E69" w:rsidRDefault="00666CD3" w:rsidP="005C3144">
      <w:pPr>
        <w:spacing w:line="240" w:lineRule="auto"/>
        <w:rPr>
          <w:rFonts w:cs="Calibri"/>
        </w:rPr>
      </w:pPr>
      <w:r w:rsidRPr="00B27E69">
        <w:rPr>
          <w:rFonts w:cs="Calibri"/>
        </w:rPr>
        <w:t>Repeat dose toxicity was limited to a 12</w:t>
      </w:r>
      <w:r w:rsidR="00EA65F2">
        <w:rPr>
          <w:rFonts w:cs="Calibri"/>
        </w:rPr>
        <w:t xml:space="preserve"> </w:t>
      </w:r>
      <w:r w:rsidRPr="00B27E69">
        <w:rPr>
          <w:rFonts w:cs="Calibri"/>
        </w:rPr>
        <w:t>week dietary study in rats. The primary human metabolite, norcyclizine had negligible antihistaminic</w:t>
      </w:r>
      <w:r w:rsidR="00A967B1">
        <w:rPr>
          <w:rFonts w:cs="Calibri"/>
        </w:rPr>
        <w:t xml:space="preserve"> properties. </w:t>
      </w:r>
      <w:r w:rsidRPr="00B27E69">
        <w:rPr>
          <w:rFonts w:cs="Calibri"/>
        </w:rPr>
        <w:t>Cyclizine inhibited human hepatic estrone sulfotransferase and murine MAO-B but showed only weak inhibition of human CYP2D6 and 2C9.</w:t>
      </w:r>
    </w:p>
    <w:p w:rsidR="00666CD3" w:rsidRPr="00B27E69" w:rsidRDefault="00666CD3" w:rsidP="005C3144">
      <w:pPr>
        <w:spacing w:line="240" w:lineRule="auto"/>
        <w:rPr>
          <w:rFonts w:cs="Calibri"/>
        </w:rPr>
      </w:pPr>
      <w:r w:rsidRPr="00B27E69">
        <w:rPr>
          <w:rFonts w:cs="Calibri"/>
        </w:rPr>
        <w:t xml:space="preserve">Genotoxicity assessment was limited to one Ames test in which mutations were seen only when cyclizine was in </w:t>
      </w:r>
      <w:r w:rsidR="00A967B1">
        <w:rPr>
          <w:rFonts w:cs="Calibri"/>
        </w:rPr>
        <w:t xml:space="preserve">a nitrosated form. </w:t>
      </w:r>
      <w:r w:rsidRPr="00B27E69">
        <w:rPr>
          <w:rFonts w:cs="Calibri"/>
        </w:rPr>
        <w:t>The nonclinical evaluator considered this may be relevant for oral administration if nitrites are present in food. There were no carcinogenicity studies,</w:t>
      </w:r>
      <w:r w:rsidR="00A967B1">
        <w:rPr>
          <w:rFonts w:cs="Calibri"/>
        </w:rPr>
        <w:t xml:space="preserve"> but</w:t>
      </w:r>
      <w:r w:rsidRPr="00B27E69">
        <w:rPr>
          <w:rFonts w:cs="Calibri"/>
        </w:rPr>
        <w:t xml:space="preserve"> this could be accepted if the medicine was used only for short periods.</w:t>
      </w:r>
    </w:p>
    <w:p w:rsidR="00666CD3" w:rsidRPr="00B27E69" w:rsidRDefault="00666CD3" w:rsidP="005C3144">
      <w:pPr>
        <w:spacing w:line="240" w:lineRule="auto"/>
        <w:rPr>
          <w:rFonts w:cs="Calibri"/>
        </w:rPr>
      </w:pPr>
      <w:r w:rsidRPr="00B27E69">
        <w:rPr>
          <w:rFonts w:cs="Calibri"/>
        </w:rPr>
        <w:t>Published reproductive toxicity studies examined oral cyclizine administration in rats, mice and rabbits during gestation. There was evidence of resorptions and</w:t>
      </w:r>
      <w:r w:rsidR="00A967B1">
        <w:rPr>
          <w:rFonts w:cs="Calibri"/>
        </w:rPr>
        <w:t xml:space="preserve"> malformations in all species. </w:t>
      </w:r>
      <w:r w:rsidRPr="00B27E69">
        <w:rPr>
          <w:rFonts w:cs="Calibri"/>
        </w:rPr>
        <w:t xml:space="preserve">NOEL values were not consistent across the variable study designs. </w:t>
      </w:r>
    </w:p>
    <w:p w:rsidR="00666CD3" w:rsidRPr="00B27E69" w:rsidRDefault="00666CD3" w:rsidP="005C3144">
      <w:pPr>
        <w:spacing w:line="240" w:lineRule="auto"/>
        <w:rPr>
          <w:rFonts w:cs="Calibri"/>
        </w:rPr>
      </w:pPr>
      <w:r w:rsidRPr="00B27E69">
        <w:rPr>
          <w:rFonts w:cs="Calibri"/>
        </w:rPr>
        <w:t xml:space="preserve">There was no evidence of maternal toxicity. Placental transfer, excretion into milk, and maternal exposure measurements were not assessed.  </w:t>
      </w:r>
    </w:p>
    <w:p w:rsidR="00666CD3" w:rsidRPr="00B27E69" w:rsidRDefault="00666CD3" w:rsidP="005C3144">
      <w:pPr>
        <w:spacing w:line="240" w:lineRule="auto"/>
        <w:rPr>
          <w:rFonts w:cs="Calibri"/>
        </w:rPr>
      </w:pPr>
      <w:r w:rsidRPr="00B27E69">
        <w:rPr>
          <w:rFonts w:cs="Calibri"/>
        </w:rPr>
        <w:t xml:space="preserve">In view of the above issues, the nonclinical evaluator considered that clinical evaluation was needed for assurance that the identified nonclinical deficiencies are adequately offset by sufficiently well-documented clinical information.  </w:t>
      </w:r>
    </w:p>
    <w:p w:rsidR="00116AE6" w:rsidRPr="00B27E69" w:rsidRDefault="00116AE6" w:rsidP="005C3144">
      <w:pPr>
        <w:pStyle w:val="Heading3"/>
        <w:spacing w:line="240" w:lineRule="auto"/>
        <w:rPr>
          <w:rFonts w:ascii="Cambria" w:hAnsi="Cambria"/>
        </w:rPr>
      </w:pPr>
      <w:bookmarkStart w:id="338" w:name="_Toc247691530"/>
      <w:bookmarkStart w:id="339" w:name="_Toc350329829"/>
      <w:r w:rsidRPr="00B27E69">
        <w:rPr>
          <w:rFonts w:ascii="Cambria" w:hAnsi="Cambria"/>
        </w:rPr>
        <w:t>Clinical</w:t>
      </w:r>
      <w:bookmarkEnd w:id="338"/>
      <w:bookmarkEnd w:id="339"/>
    </w:p>
    <w:p w:rsidR="00666CD3" w:rsidRPr="00B27E69" w:rsidRDefault="00666CD3" w:rsidP="005C3144">
      <w:pPr>
        <w:pStyle w:val="Heading5"/>
        <w:spacing w:line="240" w:lineRule="auto"/>
      </w:pPr>
      <w:r w:rsidRPr="00B27E69">
        <w:t>Pharmacology</w:t>
      </w:r>
    </w:p>
    <w:p w:rsidR="00666CD3" w:rsidRPr="00B27E69" w:rsidRDefault="00666CD3" w:rsidP="005C3144">
      <w:pPr>
        <w:spacing w:line="240" w:lineRule="auto"/>
        <w:rPr>
          <w:rFonts w:cs="Calibri"/>
        </w:rPr>
      </w:pPr>
      <w:r w:rsidRPr="00B27E69">
        <w:rPr>
          <w:rFonts w:cs="Calibri"/>
        </w:rPr>
        <w:t>Only one single dose study of the pharmacokineti</w:t>
      </w:r>
      <w:r w:rsidR="00A967B1">
        <w:rPr>
          <w:rFonts w:cs="Calibri"/>
        </w:rPr>
        <w:t xml:space="preserve">cs of cyclizine was submitted. </w:t>
      </w:r>
      <w:r w:rsidRPr="00B27E69">
        <w:rPr>
          <w:rFonts w:cs="Calibri"/>
        </w:rPr>
        <w:t xml:space="preserve">This was of a bolus </w:t>
      </w:r>
      <w:r w:rsidR="00FD5E41">
        <w:rPr>
          <w:rFonts w:cs="Calibri"/>
        </w:rPr>
        <w:t xml:space="preserve">IV </w:t>
      </w:r>
      <w:r w:rsidRPr="00B27E69">
        <w:rPr>
          <w:rFonts w:cs="Calibri"/>
        </w:rPr>
        <w:t>dose of 25 mg cyclizine, given as 0.5</w:t>
      </w:r>
      <w:r w:rsidR="00FD5E41">
        <w:rPr>
          <w:rFonts w:cs="Calibri"/>
        </w:rPr>
        <w:t xml:space="preserve"> </w:t>
      </w:r>
      <w:r w:rsidRPr="00B27E69">
        <w:rPr>
          <w:rFonts w:cs="Calibri"/>
        </w:rPr>
        <w:t>mL of 50 mg/mL solution</w:t>
      </w:r>
      <w:r w:rsidR="00FD5E41">
        <w:rPr>
          <w:rFonts w:cs="Calibri"/>
        </w:rPr>
        <w:t xml:space="preserve"> to 6 subjects. Concentration/</w:t>
      </w:r>
      <w:r w:rsidRPr="00B27E69">
        <w:rPr>
          <w:rFonts w:cs="Calibri"/>
        </w:rPr>
        <w:t xml:space="preserve">time data were also available from one subject given a single oral 50 mg dose and one subject given a single 50 mg intravenous dose. No pharmacokinetic data were available for the proposed intramuscular route of administration.  </w:t>
      </w:r>
    </w:p>
    <w:p w:rsidR="00666CD3" w:rsidRPr="00B27E69" w:rsidRDefault="00666CD3" w:rsidP="005C3144">
      <w:pPr>
        <w:spacing w:line="240" w:lineRule="auto"/>
        <w:rPr>
          <w:rFonts w:cs="Calibri"/>
        </w:rPr>
      </w:pPr>
      <w:r w:rsidRPr="00B27E69">
        <w:rPr>
          <w:rFonts w:cs="Calibri"/>
        </w:rPr>
        <w:t xml:space="preserve">Data from the pharmacokinetic study are summarised </w:t>
      </w:r>
      <w:r w:rsidR="00A967B1">
        <w:rPr>
          <w:rFonts w:cs="Calibri"/>
        </w:rPr>
        <w:t>in Table 1 of this AusP</w:t>
      </w:r>
      <w:r w:rsidR="00EA65F2">
        <w:rPr>
          <w:rFonts w:cs="Calibri"/>
        </w:rPr>
        <w:t>AR</w:t>
      </w:r>
      <w:r w:rsidR="00A967B1">
        <w:rPr>
          <w:rFonts w:cs="Calibri"/>
        </w:rPr>
        <w:t>.</w:t>
      </w:r>
    </w:p>
    <w:p w:rsidR="00666CD3" w:rsidRPr="00B27E69" w:rsidRDefault="00666CD3" w:rsidP="005C3144">
      <w:pPr>
        <w:spacing w:line="240" w:lineRule="auto"/>
        <w:rPr>
          <w:rFonts w:cs="Calibri"/>
        </w:rPr>
      </w:pPr>
      <w:r w:rsidRPr="00B27E69">
        <w:rPr>
          <w:rFonts w:cs="Calibri"/>
        </w:rPr>
        <w:t>Published papers have stated that cyclizine is primarily metabolised by demethylation to norcy</w:t>
      </w:r>
      <w:r w:rsidR="00A967B1">
        <w:rPr>
          <w:rFonts w:cs="Calibri"/>
        </w:rPr>
        <w:t xml:space="preserve">clizine or by glucuronidation. </w:t>
      </w:r>
      <w:r w:rsidRPr="00B27E69">
        <w:rPr>
          <w:rFonts w:cs="Calibri"/>
        </w:rPr>
        <w:t xml:space="preserve">Renal clearance is negligible.   </w:t>
      </w:r>
    </w:p>
    <w:p w:rsidR="00666CD3" w:rsidRPr="00B27E69" w:rsidRDefault="00666CD3" w:rsidP="005C3144">
      <w:pPr>
        <w:spacing w:line="240" w:lineRule="auto"/>
        <w:rPr>
          <w:rFonts w:cs="Calibri"/>
        </w:rPr>
      </w:pPr>
      <w:r w:rsidRPr="00B27E69">
        <w:rPr>
          <w:rFonts w:cs="Calibri"/>
        </w:rPr>
        <w:t>The submission included some papers published in the 1950s that considered aspects of the pharmacodynamic</w:t>
      </w:r>
      <w:r w:rsidR="001236F5">
        <w:rPr>
          <w:rFonts w:cs="Calibri"/>
        </w:rPr>
        <w:t xml:space="preserve"> effects of cyclizine. </w:t>
      </w:r>
      <w:r w:rsidRPr="00B27E69">
        <w:rPr>
          <w:rFonts w:cs="Calibri"/>
        </w:rPr>
        <w:t xml:space="preserve">Effects on the vestibular apparatus were </w:t>
      </w:r>
      <w:r w:rsidRPr="00B27E69">
        <w:rPr>
          <w:rFonts w:cs="Calibri"/>
        </w:rPr>
        <w:lastRenderedPageBreak/>
        <w:t xml:space="preserve">examined with results suggesting that a 50 mg dose would have minimal suppressive effects on </w:t>
      </w:r>
      <w:r w:rsidR="001236F5">
        <w:rPr>
          <w:rFonts w:cs="Calibri"/>
        </w:rPr>
        <w:t xml:space="preserve">visual-vestibular interaction. </w:t>
      </w:r>
      <w:r w:rsidRPr="00B27E69">
        <w:rPr>
          <w:rFonts w:cs="Calibri"/>
        </w:rPr>
        <w:t>There is good evidence that in overdose cyclizine is associated with tachycardia, systolic and dia</w:t>
      </w:r>
      <w:r w:rsidR="001236F5">
        <w:rPr>
          <w:rFonts w:cs="Calibri"/>
        </w:rPr>
        <w:t xml:space="preserve">stolic hypertension and fever. </w:t>
      </w:r>
      <w:r w:rsidRPr="00B27E69">
        <w:rPr>
          <w:rFonts w:cs="Calibri"/>
        </w:rPr>
        <w:t xml:space="preserve">These are well-known effects of antihistamine overdose.  </w:t>
      </w:r>
    </w:p>
    <w:p w:rsidR="00666CD3" w:rsidRPr="00B27E69" w:rsidRDefault="00666CD3" w:rsidP="005C3144">
      <w:pPr>
        <w:spacing w:line="240" w:lineRule="auto"/>
        <w:rPr>
          <w:rFonts w:cs="Calibri"/>
        </w:rPr>
      </w:pPr>
      <w:r w:rsidRPr="00B27E69">
        <w:rPr>
          <w:rFonts w:cs="Calibri"/>
        </w:rPr>
        <w:t>Two studies by the same authors (Brocke-Utne</w:t>
      </w:r>
      <w:r w:rsidR="001236F5">
        <w:rPr>
          <w:rFonts w:cs="Calibri"/>
        </w:rPr>
        <w:t xml:space="preserve"> </w:t>
      </w:r>
      <w:r w:rsidR="001236F5" w:rsidRPr="005444EF">
        <w:rPr>
          <w:rFonts w:cs="Calibri"/>
          <w:i/>
        </w:rPr>
        <w:t>et. al</w:t>
      </w:r>
      <w:r w:rsidR="001236F5">
        <w:rPr>
          <w:rFonts w:cs="Calibri"/>
        </w:rPr>
        <w:t>.) published in the 1970</w:t>
      </w:r>
      <w:r w:rsidRPr="00B27E69">
        <w:rPr>
          <w:rFonts w:cs="Calibri"/>
        </w:rPr>
        <w:t>s examined the effect of single 25 mg doses of cyclizine given intravenously</w:t>
      </w:r>
      <w:r w:rsidR="005444EF">
        <w:rPr>
          <w:rFonts w:cs="Calibri"/>
        </w:rPr>
        <w:t xml:space="preserve"> to healthy, awake volunteers. </w:t>
      </w:r>
      <w:r w:rsidRPr="00B27E69">
        <w:rPr>
          <w:rFonts w:cs="Calibri"/>
        </w:rPr>
        <w:t>Oesophageal sphincter pressure increased from a basal mean of 19.1 cm H</w:t>
      </w:r>
      <w:r w:rsidRPr="00B27E69">
        <w:rPr>
          <w:rFonts w:cs="Calibri"/>
          <w:vertAlign w:val="subscript"/>
        </w:rPr>
        <w:t>2</w:t>
      </w:r>
      <w:r w:rsidRPr="00B27E69">
        <w:rPr>
          <w:rFonts w:cs="Calibri"/>
        </w:rPr>
        <w:t>O to 33.5 cm H</w:t>
      </w:r>
      <w:r w:rsidRPr="00B27E69">
        <w:rPr>
          <w:rFonts w:cs="Calibri"/>
          <w:vertAlign w:val="subscript"/>
        </w:rPr>
        <w:t>2</w:t>
      </w:r>
      <w:r w:rsidRPr="00B27E69">
        <w:rPr>
          <w:rFonts w:cs="Calibri"/>
        </w:rPr>
        <w:t>O (p</w:t>
      </w:r>
      <w:r w:rsidR="005444EF">
        <w:rPr>
          <w:rFonts w:cs="Calibri"/>
        </w:rPr>
        <w:t xml:space="preserve"> </w:t>
      </w:r>
      <w:r w:rsidRPr="00B27E69">
        <w:rPr>
          <w:rFonts w:cs="Calibri"/>
        </w:rPr>
        <w:t xml:space="preserve">&lt; 0.005). It is not clear if these studies were in fact the same study of the same patients or if different patients were enrolled in studies of the same design with similar results.  </w:t>
      </w:r>
    </w:p>
    <w:p w:rsidR="00666CD3" w:rsidRPr="00B27E69" w:rsidRDefault="00EA65F2" w:rsidP="005C3144">
      <w:pPr>
        <w:spacing w:line="240" w:lineRule="auto"/>
        <w:rPr>
          <w:rFonts w:cs="Calibri"/>
        </w:rPr>
      </w:pPr>
      <w:r>
        <w:rPr>
          <w:rFonts w:cs="Calibri"/>
        </w:rPr>
        <w:t xml:space="preserve">A dose of </w:t>
      </w:r>
      <w:r w:rsidR="00666CD3" w:rsidRPr="00B27E69">
        <w:rPr>
          <w:rFonts w:cs="Calibri"/>
        </w:rPr>
        <w:t xml:space="preserve">50 mg of cyclizine, given </w:t>
      </w:r>
      <w:r w:rsidR="001236F5">
        <w:rPr>
          <w:rFonts w:cs="Calibri"/>
        </w:rPr>
        <w:t xml:space="preserve">IV </w:t>
      </w:r>
      <w:r w:rsidR="00666CD3" w:rsidRPr="00B27E69">
        <w:rPr>
          <w:rFonts w:cs="Calibri"/>
        </w:rPr>
        <w:t xml:space="preserve">to 11 patients with severe heart failure (New York Heart Association grade 4) was associated with raised ventricular filling pressures and an </w:t>
      </w:r>
      <w:r w:rsidR="001236F5">
        <w:rPr>
          <w:rFonts w:cs="Calibri"/>
        </w:rPr>
        <w:t xml:space="preserve">increase in after-load. </w:t>
      </w:r>
      <w:r w:rsidR="00666CD3" w:rsidRPr="00B27E69">
        <w:rPr>
          <w:rFonts w:cs="Calibri"/>
        </w:rPr>
        <w:t xml:space="preserve">This was accompanied by a reduction in cardiac output. These events could lead to reduction of coronary artery flow and increase in myocardial oxygen consumption which could be compromising in patients with severe cardiac failure. </w:t>
      </w:r>
    </w:p>
    <w:p w:rsidR="00666CD3" w:rsidRPr="00B27E69" w:rsidRDefault="00666CD3" w:rsidP="005C3144">
      <w:pPr>
        <w:pStyle w:val="Heading5"/>
        <w:spacing w:line="240" w:lineRule="auto"/>
      </w:pPr>
      <w:r w:rsidRPr="00B27E69">
        <w:t>Efficacy</w:t>
      </w:r>
    </w:p>
    <w:p w:rsidR="00666CD3" w:rsidRPr="00B27E69" w:rsidRDefault="00666CD3" w:rsidP="005C3144">
      <w:pPr>
        <w:spacing w:line="240" w:lineRule="auto"/>
        <w:rPr>
          <w:rFonts w:cs="Calibri"/>
        </w:rPr>
      </w:pPr>
      <w:r w:rsidRPr="00B27E69">
        <w:rPr>
          <w:rFonts w:cs="Calibri"/>
        </w:rPr>
        <w:t xml:space="preserve">The dose chosen for the efficacy studies appears to have been based on historical use rather than from Phase II efficacy/safety studies. The evaluator has noted that anaesthetic techniques have changed considerably over time. Consequently the techniques reported in the submitted papers may no longer be regularly used and historical data on the incidence of nausea and vomiting associated with various types of surgery may not be relevant. However, comparative data where patients in each group received similar anaesthetics with and without cyclizine may be evaluable for efficacy. All the presented studies used either </w:t>
      </w:r>
      <w:r w:rsidR="005444EF">
        <w:rPr>
          <w:rFonts w:cs="Calibri"/>
        </w:rPr>
        <w:t>PO</w:t>
      </w:r>
      <w:r w:rsidRPr="00B27E69">
        <w:rPr>
          <w:rFonts w:cs="Calibri"/>
        </w:rPr>
        <w:t xml:space="preserve"> or parenteral doses of 50–100 mg cyclizine.  </w:t>
      </w:r>
    </w:p>
    <w:p w:rsidR="001236F5" w:rsidRDefault="00666CD3" w:rsidP="005C3144">
      <w:pPr>
        <w:spacing w:line="240" w:lineRule="auto"/>
        <w:rPr>
          <w:rFonts w:cs="Calibri"/>
        </w:rPr>
      </w:pPr>
      <w:r w:rsidRPr="00B27E69">
        <w:rPr>
          <w:rFonts w:cs="Calibri"/>
        </w:rPr>
        <w:t xml:space="preserve">The sponsor requested indications for the </w:t>
      </w:r>
      <w:r w:rsidRPr="00B27E69">
        <w:rPr>
          <w:rFonts w:cs="Calibri"/>
          <w:i/>
        </w:rPr>
        <w:t>prevention and treatment</w:t>
      </w:r>
      <w:r w:rsidRPr="00B27E69">
        <w:rPr>
          <w:rFonts w:cs="Calibri"/>
        </w:rPr>
        <w:t xml:space="preserve"> of nausea a</w:t>
      </w:r>
      <w:r w:rsidR="001236F5">
        <w:rPr>
          <w:rFonts w:cs="Calibri"/>
        </w:rPr>
        <w:t>nd vomiting i</w:t>
      </w:r>
      <w:r w:rsidRPr="00B27E69">
        <w:rPr>
          <w:rFonts w:cs="Calibri"/>
        </w:rPr>
        <w:t xml:space="preserve">ncluding A) that caused by narcotic analgesics and by general anaesthetics in the post-operative </w:t>
      </w:r>
      <w:r w:rsidR="001236F5">
        <w:rPr>
          <w:rFonts w:cs="Calibri"/>
        </w:rPr>
        <w:t>p</w:t>
      </w:r>
      <w:r w:rsidRPr="00B27E69">
        <w:rPr>
          <w:rFonts w:cs="Calibri"/>
        </w:rPr>
        <w:t xml:space="preserve">eriod and B) pre-operative use in emergency surgery to reduce the hazard of regurgitation and aspiration of gastric contents during induction of general anaesthesia. </w:t>
      </w:r>
    </w:p>
    <w:p w:rsidR="00666CD3" w:rsidRPr="00B27E69" w:rsidRDefault="00666CD3" w:rsidP="005C3144">
      <w:pPr>
        <w:spacing w:line="240" w:lineRule="auto"/>
        <w:rPr>
          <w:rFonts w:cs="Calibri"/>
        </w:rPr>
      </w:pPr>
      <w:r w:rsidRPr="00B27E69">
        <w:rPr>
          <w:rFonts w:cs="Calibri"/>
        </w:rPr>
        <w:t xml:space="preserve">Most of the evidence presented was for prevention of </w:t>
      </w:r>
      <w:r w:rsidR="005444EF">
        <w:rPr>
          <w:rFonts w:cs="Calibri"/>
        </w:rPr>
        <w:t xml:space="preserve">PONV. </w:t>
      </w:r>
      <w:r w:rsidRPr="00B27E69">
        <w:rPr>
          <w:rFonts w:cs="Calibri"/>
        </w:rPr>
        <w:t xml:space="preserve">Treatment of established PONV </w:t>
      </w:r>
      <w:r w:rsidR="001236F5">
        <w:rPr>
          <w:rFonts w:cs="Calibri"/>
        </w:rPr>
        <w:t xml:space="preserve">was not specifically assessed. </w:t>
      </w:r>
      <w:r w:rsidRPr="00B27E69">
        <w:rPr>
          <w:rFonts w:cs="Calibri"/>
        </w:rPr>
        <w:t xml:space="preserve">To support that PONV component of the proposed indications a Cochrane systematic review of drugs for preventing PONV and 12 studies were presented.  </w:t>
      </w:r>
    </w:p>
    <w:p w:rsidR="00666CD3" w:rsidRPr="00B27E69" w:rsidRDefault="00666CD3" w:rsidP="005C3144">
      <w:pPr>
        <w:spacing w:line="240" w:lineRule="auto"/>
        <w:rPr>
          <w:rFonts w:cs="Calibri"/>
        </w:rPr>
      </w:pPr>
      <w:r w:rsidRPr="00B27E69">
        <w:rPr>
          <w:rFonts w:cs="Calibri"/>
        </w:rPr>
        <w:t xml:space="preserve">The Cochrane review </w:t>
      </w:r>
      <w:r w:rsidRPr="00B27E69">
        <w:rPr>
          <w:rFonts w:cs="Calibri"/>
          <w:i/>
        </w:rPr>
        <w:t>Drugs for Preventing Post-operative Nausea and Vomiting</w:t>
      </w:r>
      <w:r w:rsidRPr="00B27E69">
        <w:rPr>
          <w:rFonts w:cs="Calibri"/>
        </w:rPr>
        <w:t xml:space="preserve"> is discussed in </w:t>
      </w:r>
      <w:r w:rsidR="005444EF">
        <w:rPr>
          <w:rFonts w:cs="Calibri"/>
        </w:rPr>
        <w:t xml:space="preserve">the </w:t>
      </w:r>
      <w:r w:rsidRPr="00B27E69">
        <w:rPr>
          <w:rFonts w:cs="Calibri"/>
        </w:rPr>
        <w:t xml:space="preserve">section </w:t>
      </w:r>
      <w:r w:rsidR="005444EF">
        <w:rPr>
          <w:rFonts w:cs="Calibri"/>
        </w:rPr>
        <w:t xml:space="preserve">on </w:t>
      </w:r>
      <w:r w:rsidR="005444EF" w:rsidRPr="005444EF">
        <w:rPr>
          <w:rFonts w:cs="Calibri"/>
          <w:i/>
        </w:rPr>
        <w:t>Analyses performed across trials (pooled analyses and meta-analyses</w:t>
      </w:r>
      <w:r w:rsidR="005444EF">
        <w:rPr>
          <w:rFonts w:cs="Calibri"/>
        </w:rPr>
        <w:t xml:space="preserve"> in this AusP</w:t>
      </w:r>
      <w:r w:rsidR="00EA65F2">
        <w:rPr>
          <w:rFonts w:cs="Calibri"/>
        </w:rPr>
        <w:t>AR</w:t>
      </w:r>
      <w:r w:rsidRPr="00B27E69">
        <w:rPr>
          <w:rFonts w:cs="Calibri"/>
        </w:rPr>
        <w:t xml:space="preserve">. As noted in the sponsor’s </w:t>
      </w:r>
      <w:r w:rsidR="00EA65F2">
        <w:rPr>
          <w:rFonts w:cs="Calibri"/>
        </w:rPr>
        <w:t>C</w:t>
      </w:r>
      <w:r w:rsidRPr="00B27E69">
        <w:rPr>
          <w:rFonts w:cs="Calibri"/>
        </w:rPr>
        <w:t xml:space="preserve">linical </w:t>
      </w:r>
      <w:r w:rsidR="00EA65F2">
        <w:rPr>
          <w:rFonts w:cs="Calibri"/>
        </w:rPr>
        <w:t>O</w:t>
      </w:r>
      <w:r w:rsidRPr="00B27E69">
        <w:rPr>
          <w:rFonts w:cs="Calibri"/>
        </w:rPr>
        <w:t xml:space="preserve">verview, the Cochrane review authors searched The Cochrane Central Register of Controlled Trials (CENTRAL) (Issue 2, 2004), MEDLINE (January 1966 to May 2004), EMBASE (January 1985 to May 2004), CINAHL (1982 to May 2004), AMED (1985 to May 2004), SIGLE (to May 2004), ISI WOS (to May 2004), LILAC (to May 2004) and INGENTA bibliographies. Randomised, controlled trials that compared a drug with placebo or another drug, or compared doses or timing of administration, that reported post-operative nausea or vomiting as an outcome were selected. Each of the authors independently assessed trial quality and extracted outcome data. </w:t>
      </w:r>
    </w:p>
    <w:p w:rsidR="00666CD3" w:rsidRPr="00B27E69" w:rsidRDefault="00666CD3" w:rsidP="005C3144">
      <w:pPr>
        <w:spacing w:line="240" w:lineRule="auto"/>
        <w:rPr>
          <w:rFonts w:cs="Calibri"/>
        </w:rPr>
      </w:pPr>
      <w:r w:rsidRPr="00B27E69">
        <w:rPr>
          <w:rFonts w:cs="Calibri"/>
        </w:rPr>
        <w:t xml:space="preserve">This systematic review included </w:t>
      </w:r>
      <w:r w:rsidR="005444EF">
        <w:rPr>
          <w:rFonts w:cs="Calibri"/>
        </w:rPr>
        <w:t xml:space="preserve">randomised clinical trials </w:t>
      </w:r>
      <w:r w:rsidRPr="00B27E69">
        <w:rPr>
          <w:rFonts w:cs="Calibri"/>
        </w:rPr>
        <w:t>that compared a drug with placebo or another drug for prevention of PONV, or compared doses or timing of administration an</w:t>
      </w:r>
      <w:r w:rsidR="005444EF">
        <w:rPr>
          <w:rFonts w:cs="Calibri"/>
        </w:rPr>
        <w:t xml:space="preserve">d reported PONV as an outcome. </w:t>
      </w:r>
      <w:r w:rsidRPr="00B27E69">
        <w:rPr>
          <w:rFonts w:cs="Calibri"/>
        </w:rPr>
        <w:t>Studies of treatment for e</w:t>
      </w:r>
      <w:r w:rsidR="005444EF">
        <w:rPr>
          <w:rFonts w:cs="Calibri"/>
        </w:rPr>
        <w:t xml:space="preserve">stablished PONV were excluded. </w:t>
      </w:r>
      <w:r w:rsidRPr="00B27E69">
        <w:rPr>
          <w:rFonts w:cs="Calibri"/>
        </w:rPr>
        <w:t>Study drug could be given pre-operatively, at induction of anaesthesia, intra-operatively or post-operatively (before naus</w:t>
      </w:r>
      <w:r w:rsidR="005444EF">
        <w:rPr>
          <w:rFonts w:cs="Calibri"/>
        </w:rPr>
        <w:t xml:space="preserve">ea and vomiting had occurred). </w:t>
      </w:r>
      <w:r w:rsidRPr="00B27E69">
        <w:rPr>
          <w:rFonts w:cs="Calibri"/>
        </w:rPr>
        <w:t>It included participants undergoing general anaesthesia, reg</w:t>
      </w:r>
      <w:r w:rsidR="005444EF">
        <w:rPr>
          <w:rFonts w:cs="Calibri"/>
        </w:rPr>
        <w:t xml:space="preserve">ional anaesthesia </w:t>
      </w:r>
      <w:r w:rsidR="005444EF">
        <w:rPr>
          <w:rFonts w:cs="Calibri"/>
        </w:rPr>
        <w:lastRenderedPageBreak/>
        <w:t xml:space="preserve">or sedation. </w:t>
      </w:r>
      <w:r w:rsidRPr="00B27E69">
        <w:rPr>
          <w:rFonts w:cs="Calibri"/>
        </w:rPr>
        <w:t xml:space="preserve">Overall the review included 737 studies involving 103,237 people. </w:t>
      </w:r>
      <w:r w:rsidR="00EA65F2">
        <w:rPr>
          <w:rFonts w:cs="Calibri"/>
        </w:rPr>
        <w:t>Sixty</w:t>
      </w:r>
      <w:r w:rsidRPr="00B27E69">
        <w:rPr>
          <w:rFonts w:cs="Calibri"/>
        </w:rPr>
        <w:t xml:space="preserve"> different drugs were identified, including cyclizine. Efficacy in prevention of PONV was demonstrated for 8 of these 60 drugs, including cyclizine.  </w:t>
      </w:r>
    </w:p>
    <w:p w:rsidR="00666CD3" w:rsidRPr="00B27E69" w:rsidRDefault="00666CD3" w:rsidP="005C3144">
      <w:pPr>
        <w:spacing w:line="240" w:lineRule="auto"/>
        <w:rPr>
          <w:rFonts w:cs="Calibri"/>
        </w:rPr>
      </w:pPr>
      <w:r w:rsidRPr="00B27E69">
        <w:rPr>
          <w:rFonts w:cs="Calibri"/>
        </w:rPr>
        <w:t xml:space="preserve">In relationship to cyclizine, the authors of the Cochrane Review assessed the following </w:t>
      </w:r>
      <w:r w:rsidR="00363AC5">
        <w:rPr>
          <w:rFonts w:cs="Calibri"/>
        </w:rPr>
        <w:t xml:space="preserve">10 studies: </w:t>
      </w:r>
      <w:r w:rsidRPr="00B27E69">
        <w:rPr>
          <w:rFonts w:cs="Calibri"/>
        </w:rPr>
        <w:t xml:space="preserve">Ahmed </w:t>
      </w:r>
      <w:r w:rsidRPr="00B27E69">
        <w:rPr>
          <w:rFonts w:cs="Calibri"/>
          <w:i/>
          <w:iCs/>
        </w:rPr>
        <w:t xml:space="preserve">et al., </w:t>
      </w:r>
      <w:r w:rsidRPr="00B27E69">
        <w:rPr>
          <w:rFonts w:cs="Calibri"/>
        </w:rPr>
        <w:t xml:space="preserve">2000; Chestnutt </w:t>
      </w:r>
      <w:r w:rsidR="00363AC5">
        <w:rPr>
          <w:rFonts w:cs="Calibri"/>
        </w:rPr>
        <w:t xml:space="preserve">and </w:t>
      </w:r>
      <w:r w:rsidRPr="00B27E69">
        <w:rPr>
          <w:rFonts w:cs="Calibri"/>
        </w:rPr>
        <w:t xml:space="preserve">Dundee, 1986; Cholwill </w:t>
      </w:r>
      <w:r w:rsidRPr="00B27E69">
        <w:rPr>
          <w:rFonts w:cs="Calibri"/>
          <w:i/>
          <w:iCs/>
        </w:rPr>
        <w:t xml:space="preserve">et al., </w:t>
      </w:r>
      <w:r w:rsidRPr="00B27E69">
        <w:rPr>
          <w:rFonts w:cs="Calibri"/>
        </w:rPr>
        <w:t xml:space="preserve">1999; Dundee </w:t>
      </w:r>
      <w:r w:rsidRPr="00B27E69">
        <w:rPr>
          <w:rFonts w:cs="Calibri"/>
          <w:i/>
          <w:iCs/>
        </w:rPr>
        <w:t xml:space="preserve">et al., </w:t>
      </w:r>
      <w:r w:rsidRPr="00B27E69">
        <w:rPr>
          <w:rFonts w:cs="Calibri"/>
        </w:rPr>
        <w:t xml:space="preserve">1975; Grimsehl </w:t>
      </w:r>
      <w:r w:rsidRPr="00B27E69">
        <w:rPr>
          <w:rFonts w:cs="Calibri"/>
          <w:i/>
          <w:iCs/>
        </w:rPr>
        <w:t xml:space="preserve">et al., </w:t>
      </w:r>
      <w:r w:rsidRPr="00B27E69">
        <w:rPr>
          <w:rFonts w:cs="Calibri"/>
        </w:rPr>
        <w:t xml:space="preserve">2002; Hildyard </w:t>
      </w:r>
      <w:r w:rsidRPr="00B27E69">
        <w:rPr>
          <w:rFonts w:cs="Calibri"/>
          <w:i/>
          <w:iCs/>
        </w:rPr>
        <w:t xml:space="preserve">et al., </w:t>
      </w:r>
      <w:r w:rsidRPr="00B27E69">
        <w:rPr>
          <w:rFonts w:cs="Calibri"/>
        </w:rPr>
        <w:t xml:space="preserve">2001; Nortcliffe </w:t>
      </w:r>
      <w:r w:rsidRPr="00B27E69">
        <w:rPr>
          <w:rFonts w:cs="Calibri"/>
          <w:i/>
          <w:iCs/>
        </w:rPr>
        <w:t xml:space="preserve">et al., </w:t>
      </w:r>
      <w:r w:rsidRPr="00B27E69">
        <w:rPr>
          <w:rFonts w:cs="Calibri"/>
        </w:rPr>
        <w:t xml:space="preserve">2003; O’Brien </w:t>
      </w:r>
      <w:r w:rsidRPr="00B27E69">
        <w:rPr>
          <w:rFonts w:cs="Calibri"/>
          <w:i/>
          <w:iCs/>
        </w:rPr>
        <w:t xml:space="preserve">et al., </w:t>
      </w:r>
      <w:r w:rsidRPr="00B27E69">
        <w:rPr>
          <w:rFonts w:cs="Calibri"/>
        </w:rPr>
        <w:t xml:space="preserve">2003; Walder &amp; Aitkenhead, 1995 and Watts, 1996. In that review, a drug was considered effective if it achieved statistically significant benefits when compared to placebo for all four of the following outcomes: nausea; vomiting; nausea or vomiting; and use of rescue anti-emetic. </w:t>
      </w:r>
    </w:p>
    <w:p w:rsidR="00666CD3" w:rsidRPr="00B27E69" w:rsidRDefault="00666CD3" w:rsidP="005C3144">
      <w:pPr>
        <w:spacing w:line="240" w:lineRule="auto"/>
        <w:rPr>
          <w:rFonts w:cs="Calibri"/>
        </w:rPr>
      </w:pPr>
      <w:r w:rsidRPr="00B27E69">
        <w:rPr>
          <w:rFonts w:cs="Calibri"/>
        </w:rPr>
        <w:t xml:space="preserve">The RR for PONV for each of the 8 study drugs that showed a statistically significant difference vs. placebo are shown in Table </w:t>
      </w:r>
      <w:r w:rsidR="00363AC5">
        <w:rPr>
          <w:rFonts w:cs="Calibri"/>
        </w:rPr>
        <w:t>28 of this AusP</w:t>
      </w:r>
      <w:r w:rsidR="00EA65F2">
        <w:rPr>
          <w:rFonts w:cs="Calibri"/>
        </w:rPr>
        <w:t>AR</w:t>
      </w:r>
      <w:r w:rsidR="00363AC5">
        <w:rPr>
          <w:rFonts w:cs="Calibri"/>
        </w:rPr>
        <w:t xml:space="preserve">. </w:t>
      </w:r>
      <w:r w:rsidRPr="00B27E69">
        <w:rPr>
          <w:rFonts w:cs="Calibri"/>
        </w:rPr>
        <w:t>Cyclizine had a RR of 0.65 (95%</w:t>
      </w:r>
      <w:r w:rsidR="00363AC5">
        <w:rPr>
          <w:rFonts w:cs="Calibri"/>
        </w:rPr>
        <w:t xml:space="preserve"> </w:t>
      </w:r>
      <w:r w:rsidRPr="00B27E69">
        <w:rPr>
          <w:rFonts w:cs="Calibri"/>
        </w:rPr>
        <w:t>CI 0.47–0.90) for nausea, 0.57 (95%</w:t>
      </w:r>
      <w:r w:rsidR="00363AC5">
        <w:rPr>
          <w:rFonts w:cs="Calibri"/>
        </w:rPr>
        <w:t xml:space="preserve"> </w:t>
      </w:r>
      <w:r w:rsidRPr="00B27E69">
        <w:rPr>
          <w:rFonts w:cs="Calibri"/>
        </w:rPr>
        <w:t>CI 0.43–0.75) for vomiting and 0.68 (95% CI 0.58–0.80) for nausea or vomiting and 0.27 (95%</w:t>
      </w:r>
      <w:r w:rsidR="00363AC5">
        <w:rPr>
          <w:rFonts w:cs="Calibri"/>
        </w:rPr>
        <w:t xml:space="preserve"> </w:t>
      </w:r>
      <w:r w:rsidRPr="00B27E69">
        <w:rPr>
          <w:rFonts w:cs="Calibri"/>
        </w:rPr>
        <w:t>CI 0.14–0.62) for rescue antiemetic. A comparison of cyclizine and o</w:t>
      </w:r>
      <w:r w:rsidR="00363AC5">
        <w:rPr>
          <w:rFonts w:cs="Calibri"/>
        </w:rPr>
        <w:t xml:space="preserve">ndansetron was also performed. </w:t>
      </w:r>
      <w:r w:rsidRPr="00B27E69">
        <w:rPr>
          <w:rFonts w:cs="Calibri"/>
        </w:rPr>
        <w:t>This showed no statistically significant differences for any of the parameters assessed between the 2 drugs, however there was a trend towards more efficacy with ondansetron for vomiting, nausea or vomiting a</w:t>
      </w:r>
      <w:r w:rsidR="00363AC5">
        <w:rPr>
          <w:rFonts w:cs="Calibri"/>
        </w:rPr>
        <w:t xml:space="preserve">nd use of rescue medication.  </w:t>
      </w:r>
    </w:p>
    <w:p w:rsidR="00666CD3" w:rsidRPr="00B27E69" w:rsidRDefault="00666CD3" w:rsidP="005C3144">
      <w:pPr>
        <w:spacing w:line="240" w:lineRule="auto"/>
        <w:rPr>
          <w:rFonts w:cs="Calibri"/>
        </w:rPr>
      </w:pPr>
      <w:r w:rsidRPr="00B27E69">
        <w:rPr>
          <w:rFonts w:cs="Calibri"/>
        </w:rPr>
        <w:t>The evaluator considered 5 of 12 studies submitted by the sponsor as pivotal and has provided explanations for considering the remaining studies as supportive</w:t>
      </w:r>
      <w:r w:rsidR="00363AC5">
        <w:rPr>
          <w:rFonts w:cs="Calibri"/>
        </w:rPr>
        <w:t xml:space="preserve">. </w:t>
      </w:r>
      <w:r w:rsidRPr="00B27E69">
        <w:rPr>
          <w:rFonts w:cs="Calibri"/>
        </w:rPr>
        <w:t xml:space="preserve">The 5 pivotal studies are summarised in Table </w:t>
      </w:r>
      <w:r w:rsidR="00363AC5">
        <w:rPr>
          <w:rFonts w:cs="Calibri"/>
        </w:rPr>
        <w:t>10</w:t>
      </w:r>
      <w:r w:rsidRPr="00B27E69">
        <w:rPr>
          <w:rFonts w:cs="Calibri"/>
        </w:rPr>
        <w:t xml:space="preserve"> of th</w:t>
      </w:r>
      <w:r w:rsidR="00363AC5">
        <w:rPr>
          <w:rFonts w:cs="Calibri"/>
        </w:rPr>
        <w:t>is AusP</w:t>
      </w:r>
      <w:r w:rsidR="00EA65F2">
        <w:rPr>
          <w:rFonts w:cs="Calibri"/>
        </w:rPr>
        <w:t>AR</w:t>
      </w:r>
      <w:r w:rsidR="00363AC5">
        <w:rPr>
          <w:rFonts w:cs="Calibri"/>
        </w:rPr>
        <w:t xml:space="preserve">. </w:t>
      </w:r>
      <w:r w:rsidRPr="00B27E69">
        <w:rPr>
          <w:rFonts w:cs="Calibri"/>
        </w:rPr>
        <w:t>All of these were included in the Cochrane Review.  These studies were either double-blind (4 studies) or observer-blind (1 study). In total 487 patients were given e</w:t>
      </w:r>
      <w:r w:rsidR="00363AC5">
        <w:rPr>
          <w:rFonts w:cs="Calibri"/>
        </w:rPr>
        <w:t>ither parenteral cyclizine (IV</w:t>
      </w:r>
      <w:r w:rsidRPr="00B27E69">
        <w:rPr>
          <w:rFonts w:cs="Calibri"/>
        </w:rPr>
        <w:t xml:space="preserve"> in 3 studies and </w:t>
      </w:r>
      <w:r w:rsidR="00363AC5">
        <w:rPr>
          <w:rFonts w:cs="Calibri"/>
        </w:rPr>
        <w:t xml:space="preserve">IM </w:t>
      </w:r>
      <w:r w:rsidRPr="00B27E69">
        <w:rPr>
          <w:rFonts w:cs="Calibri"/>
        </w:rPr>
        <w:t xml:space="preserve">in 2 studies) or ondansetron with or without metaclopramide (3 studies) or placebo (2 studies) at or immediately before induction of anaesthesia. All the pivotal studies were in women undergoing gynaecological surgery.  </w:t>
      </w:r>
    </w:p>
    <w:p w:rsidR="00666CD3" w:rsidRPr="00B27E69" w:rsidRDefault="00666CD3" w:rsidP="005C3144">
      <w:pPr>
        <w:spacing w:line="240" w:lineRule="auto"/>
        <w:rPr>
          <w:rFonts w:cs="Calibri"/>
        </w:rPr>
      </w:pPr>
      <w:r w:rsidRPr="00B27E69">
        <w:rPr>
          <w:rFonts w:cs="Calibri"/>
        </w:rPr>
        <w:t>The study by Cholwill</w:t>
      </w:r>
      <w:r w:rsidR="00363AC5">
        <w:rPr>
          <w:rFonts w:cs="Calibri"/>
        </w:rPr>
        <w:t xml:space="preserve"> </w:t>
      </w:r>
      <w:r w:rsidR="00363AC5" w:rsidRPr="00363AC5">
        <w:rPr>
          <w:rFonts w:cs="Calibri"/>
          <w:i/>
        </w:rPr>
        <w:t>et al</w:t>
      </w:r>
      <w:r w:rsidR="00363AC5">
        <w:rPr>
          <w:rFonts w:cs="Calibri"/>
        </w:rPr>
        <w:t xml:space="preserve">., </w:t>
      </w:r>
      <w:r w:rsidRPr="00B27E69">
        <w:rPr>
          <w:rFonts w:cs="Calibri"/>
        </w:rPr>
        <w:t xml:space="preserve">1999 was a double-blind, randomised, placebo and active controlled study comparing ondansetron 4 mg </w:t>
      </w:r>
      <w:r w:rsidR="00363AC5">
        <w:rPr>
          <w:rFonts w:cs="Calibri"/>
        </w:rPr>
        <w:t xml:space="preserve">IV </w:t>
      </w:r>
      <w:r w:rsidRPr="00B27E69">
        <w:rPr>
          <w:rFonts w:cs="Calibri"/>
        </w:rPr>
        <w:t xml:space="preserve">with cyclizine 50 mg </w:t>
      </w:r>
      <w:r w:rsidR="00363AC5">
        <w:rPr>
          <w:rFonts w:cs="Calibri"/>
        </w:rPr>
        <w:t xml:space="preserve">IV </w:t>
      </w:r>
      <w:r w:rsidRPr="00B27E69">
        <w:rPr>
          <w:rFonts w:cs="Calibri"/>
        </w:rPr>
        <w:t>and placebo for the prevention of PONV for 24 h</w:t>
      </w:r>
      <w:r w:rsidR="00363AC5">
        <w:rPr>
          <w:rFonts w:cs="Calibri"/>
        </w:rPr>
        <w:t xml:space="preserve"> </w:t>
      </w:r>
      <w:r w:rsidRPr="00B27E69">
        <w:rPr>
          <w:rFonts w:cs="Calibri"/>
        </w:rPr>
        <w:t>after day-ca</w:t>
      </w:r>
      <w:r w:rsidR="00363AC5">
        <w:rPr>
          <w:rFonts w:cs="Calibri"/>
        </w:rPr>
        <w:t xml:space="preserve">se gynaecological laparoscopy. </w:t>
      </w:r>
      <w:r w:rsidRPr="00B27E69">
        <w:rPr>
          <w:rFonts w:cs="Calibri"/>
        </w:rPr>
        <w:t xml:space="preserve">All patients were ASA I or II and were stratified by history of PONV. The primary outcome measures were the incidence of moderate or severe nausea, vomiting and the number of patients receiving escape antiemetic.  </w:t>
      </w:r>
    </w:p>
    <w:p w:rsidR="00666CD3" w:rsidRPr="00B27E69" w:rsidRDefault="00666CD3" w:rsidP="005C3144">
      <w:pPr>
        <w:spacing w:line="240" w:lineRule="auto"/>
        <w:rPr>
          <w:rFonts w:cs="Calibri"/>
        </w:rPr>
      </w:pPr>
      <w:r w:rsidRPr="00B27E69">
        <w:rPr>
          <w:rFonts w:cs="Calibri"/>
        </w:rPr>
        <w:t xml:space="preserve">A total of 175 patients were randomised </w:t>
      </w:r>
      <w:r w:rsidR="00363AC5">
        <w:rPr>
          <w:rFonts w:cs="Calibri"/>
        </w:rPr>
        <w:t xml:space="preserve">across the 3 treatment groups. </w:t>
      </w:r>
      <w:r w:rsidRPr="00B27E69">
        <w:rPr>
          <w:rFonts w:cs="Calibri"/>
        </w:rPr>
        <w:t>Average age in the 3 groups was from 31 to 33 years (range 22 to 50 years).  From 19% (placebo group) to 25% (cyclizine</w:t>
      </w:r>
      <w:r w:rsidR="00363AC5">
        <w:rPr>
          <w:rFonts w:cs="Calibri"/>
        </w:rPr>
        <w:t xml:space="preserve"> group) had histories of PONV. </w:t>
      </w:r>
      <w:r w:rsidRPr="00B27E69">
        <w:rPr>
          <w:rFonts w:cs="Calibri"/>
        </w:rPr>
        <w:t>Most patients were undergoi</w:t>
      </w:r>
      <w:r w:rsidR="00363AC5">
        <w:rPr>
          <w:rFonts w:cs="Calibri"/>
        </w:rPr>
        <w:t xml:space="preserve">ng laparoscopic sterilisation. </w:t>
      </w:r>
      <w:r w:rsidRPr="00B27E69">
        <w:rPr>
          <w:rFonts w:cs="Calibri"/>
        </w:rPr>
        <w:t>Moderate or severe nausea was reported by 3 (23%) patients given cyclizine, 18 (30%) given ondansetron and by 30 (52%) given placebo. Escape antiemetic was given to 9 (16%) patients given cyclizine, 17 (28%) given ondansetr</w:t>
      </w:r>
      <w:r w:rsidR="00363AC5">
        <w:rPr>
          <w:rFonts w:cs="Calibri"/>
        </w:rPr>
        <w:t xml:space="preserve">on and 27 (47%) given placebo. </w:t>
      </w:r>
      <w:r w:rsidRPr="00B27E69">
        <w:rPr>
          <w:rFonts w:cs="Calibri"/>
        </w:rPr>
        <w:t xml:space="preserve">These results were statistically significant for comparisons of both cyclizine and ondansetron with placebo. No statistical comparison of cyclizine </w:t>
      </w:r>
      <w:r w:rsidR="00363AC5">
        <w:rPr>
          <w:rFonts w:cs="Calibri"/>
        </w:rPr>
        <w:t xml:space="preserve">vs. ondansetron was performed. </w:t>
      </w:r>
      <w:r w:rsidRPr="00B27E69">
        <w:rPr>
          <w:rFonts w:cs="Calibri"/>
        </w:rPr>
        <w:t>Vomiting occurred in 13 (23%), 19 (32%) and 24 (41%) patients given cyclizine, ondanse</w:t>
      </w:r>
      <w:r w:rsidR="00363AC5">
        <w:rPr>
          <w:rFonts w:cs="Calibri"/>
        </w:rPr>
        <w:t xml:space="preserve">tron and placebo respectively. </w:t>
      </w:r>
      <w:r w:rsidRPr="00B27E69">
        <w:rPr>
          <w:rFonts w:cs="Calibri"/>
        </w:rPr>
        <w:t xml:space="preserve">These differences were not statistically significant.  </w:t>
      </w:r>
    </w:p>
    <w:p w:rsidR="00666CD3" w:rsidRPr="00B27E69" w:rsidRDefault="00666CD3" w:rsidP="005C3144">
      <w:pPr>
        <w:spacing w:line="240" w:lineRule="auto"/>
        <w:rPr>
          <w:rFonts w:cs="Calibri"/>
        </w:rPr>
      </w:pPr>
      <w:r w:rsidRPr="00B27E69">
        <w:rPr>
          <w:rFonts w:cs="Calibri"/>
        </w:rPr>
        <w:t xml:space="preserve">The second pivotal study was reported by Grimsehl </w:t>
      </w:r>
      <w:r w:rsidRPr="00363AC5">
        <w:rPr>
          <w:rFonts w:cs="Calibri"/>
          <w:i/>
        </w:rPr>
        <w:t>et al</w:t>
      </w:r>
      <w:r w:rsidRPr="00B27E69">
        <w:rPr>
          <w:rFonts w:cs="Calibri"/>
        </w:rPr>
        <w:t>.</w:t>
      </w:r>
      <w:r w:rsidR="00363AC5">
        <w:rPr>
          <w:rFonts w:cs="Calibri"/>
        </w:rPr>
        <w:t>,</w:t>
      </w:r>
      <w:r w:rsidRPr="00B27E69">
        <w:rPr>
          <w:rFonts w:cs="Calibri"/>
        </w:rPr>
        <w:t xml:space="preserve"> 2002. This was a randomised, double-blind, active controlled study that compared cyclizine 50 mg </w:t>
      </w:r>
      <w:r w:rsidR="00363AC5">
        <w:rPr>
          <w:rFonts w:cs="Calibri"/>
        </w:rPr>
        <w:t xml:space="preserve">IV </w:t>
      </w:r>
      <w:r w:rsidRPr="00B27E69">
        <w:rPr>
          <w:rFonts w:cs="Calibri"/>
        </w:rPr>
        <w:t xml:space="preserve">with ondansetron 4 mg </w:t>
      </w:r>
      <w:r w:rsidR="00363AC5">
        <w:rPr>
          <w:rFonts w:cs="Calibri"/>
        </w:rPr>
        <w:t xml:space="preserve">IV at induction. </w:t>
      </w:r>
      <w:r w:rsidRPr="00B27E69">
        <w:rPr>
          <w:rFonts w:cs="Calibri"/>
        </w:rPr>
        <w:t xml:space="preserve">64 patients were enrolled. PONV was reported in 21 (56%) patients given cyclizine and in 20 (54%) given ondansetron. Severe nausea was reported in 6 (16%) patients in each group and vomiting in 6 (16%) patients given cyclizine and in 4 (11%) given ondansetron. The difference in incidence of PONV between the treatments groups was not statistically significant. This was a small study powered to demonstrate </w:t>
      </w:r>
      <w:r w:rsidRPr="00B27E69">
        <w:rPr>
          <w:rFonts w:cs="Calibri"/>
        </w:rPr>
        <w:lastRenderedPageBreak/>
        <w:t xml:space="preserve">between treatment differences of 35% or more in the incidence of PONV. No such differences were demonstrated.   </w:t>
      </w:r>
    </w:p>
    <w:p w:rsidR="00666CD3" w:rsidRPr="00B27E69" w:rsidRDefault="00666CD3" w:rsidP="005C3144">
      <w:pPr>
        <w:spacing w:line="240" w:lineRule="auto"/>
        <w:rPr>
          <w:rFonts w:cs="Calibri"/>
        </w:rPr>
      </w:pPr>
      <w:r w:rsidRPr="00B27E69">
        <w:rPr>
          <w:rFonts w:cs="Calibri"/>
        </w:rPr>
        <w:t xml:space="preserve">The study by Watts (1996) had an initial open sub-study in which 38 patients underwent a procedure without prophylactic antiemetic and data from that sub-study were used to establish an expected rate of PONV in the subsequent randomised, double-blind, comparative study in which patients received </w:t>
      </w:r>
      <w:r w:rsidR="00876580">
        <w:rPr>
          <w:rFonts w:cs="Calibri"/>
        </w:rPr>
        <w:t xml:space="preserve">IV </w:t>
      </w:r>
      <w:r w:rsidRPr="00B27E69">
        <w:rPr>
          <w:rFonts w:cs="Calibri"/>
        </w:rPr>
        <w:t>cyclizine 50 mg, ondansetron 4 mg or metoclopramide 10 mg</w:t>
      </w:r>
      <w:r w:rsidR="00876580">
        <w:rPr>
          <w:rFonts w:cs="Calibri"/>
        </w:rPr>
        <w:t xml:space="preserve"> immediately before induction. </w:t>
      </w:r>
      <w:r w:rsidRPr="00B27E69">
        <w:rPr>
          <w:rFonts w:cs="Calibri"/>
        </w:rPr>
        <w:t xml:space="preserve">All patients received </w:t>
      </w:r>
      <w:r w:rsidR="00876580">
        <w:rPr>
          <w:rFonts w:cs="Calibri"/>
        </w:rPr>
        <w:t xml:space="preserve">the same anaesthetic protocol. </w:t>
      </w:r>
      <w:r w:rsidRPr="00B27E69">
        <w:rPr>
          <w:rFonts w:cs="Calibri"/>
        </w:rPr>
        <w:t xml:space="preserve">The primary outcome measure in this study was PONV measured as either requiring treatment of nausea or having an emetic episode.  </w:t>
      </w:r>
    </w:p>
    <w:p w:rsidR="00666CD3" w:rsidRPr="00B27E69" w:rsidRDefault="00666CD3" w:rsidP="005C3144">
      <w:pPr>
        <w:spacing w:line="240" w:lineRule="auto"/>
        <w:rPr>
          <w:rFonts w:cs="Calibri"/>
        </w:rPr>
      </w:pPr>
      <w:r w:rsidRPr="00B27E69">
        <w:rPr>
          <w:rFonts w:cs="Calibri"/>
        </w:rPr>
        <w:t>In the sub-study</w:t>
      </w:r>
      <w:r w:rsidR="00EA65F2">
        <w:rPr>
          <w:rFonts w:cs="Calibri"/>
        </w:rPr>
        <w:t>,</w:t>
      </w:r>
      <w:r w:rsidRPr="00B27E69">
        <w:rPr>
          <w:rFonts w:cs="Calibri"/>
        </w:rPr>
        <w:t xml:space="preserve"> 18/38 (47%) patient</w:t>
      </w:r>
      <w:r w:rsidR="006C0169">
        <w:rPr>
          <w:rFonts w:cs="Calibri"/>
        </w:rPr>
        <w:t xml:space="preserve">s required treatment for PONV. </w:t>
      </w:r>
      <w:r w:rsidRPr="00B27E69">
        <w:rPr>
          <w:rFonts w:cs="Calibri"/>
        </w:rPr>
        <w:t>In the main study clinical nausea was reported in 27 (50%) patients given cyclizine, 12 (20%) given ondansetron and 13 (24%) given metoclopramide. Overnight admissions due to severe PONV were reported for 4 patients given cycl</w:t>
      </w:r>
      <w:r w:rsidR="00876580">
        <w:rPr>
          <w:rFonts w:cs="Calibri"/>
        </w:rPr>
        <w:t xml:space="preserve">izine and 2 given ondansetron. </w:t>
      </w:r>
      <w:r w:rsidRPr="00B27E69">
        <w:rPr>
          <w:rFonts w:cs="Calibri"/>
        </w:rPr>
        <w:t>Nausea was also assessed on a 4 point scale from 0 to 3 where 0 = absence of PONV, 1 = mild nausea settling spontaneously, 2 = nausea requiring treatment and 3 = actual emetic episode. Nausea scores were determined</w:t>
      </w:r>
      <w:r w:rsidR="00876580">
        <w:rPr>
          <w:rFonts w:cs="Calibri"/>
        </w:rPr>
        <w:t xml:space="preserve"> in the recovery room at 2 h</w:t>
      </w:r>
      <w:r w:rsidRPr="00B27E69">
        <w:rPr>
          <w:rFonts w:cs="Calibri"/>
        </w:rPr>
        <w:t xml:space="preserve"> post- surgery, at discharge, and at 24 h post-surgery.  Statistically significant differences in nausea scores favouring both ondansetron and metoclopramide over cyclizine were reported at the 2 h post-surgery and at discharge timepoints.      </w:t>
      </w:r>
    </w:p>
    <w:p w:rsidR="00666CD3" w:rsidRPr="00B27E69" w:rsidRDefault="00666CD3" w:rsidP="005C3144">
      <w:pPr>
        <w:spacing w:line="240" w:lineRule="auto"/>
        <w:rPr>
          <w:rFonts w:cs="Calibri"/>
        </w:rPr>
      </w:pPr>
      <w:r w:rsidRPr="00B27E69">
        <w:rPr>
          <w:rFonts w:cs="Calibri"/>
        </w:rPr>
        <w:t>The</w:t>
      </w:r>
      <w:r w:rsidR="006C0169">
        <w:rPr>
          <w:rFonts w:cs="Calibri"/>
        </w:rPr>
        <w:t xml:space="preserve"> study by Chestnutt and Dundee, </w:t>
      </w:r>
      <w:r w:rsidRPr="00B27E69">
        <w:rPr>
          <w:rFonts w:cs="Calibri"/>
        </w:rPr>
        <w:t>1986 was a double-blind, placebo-controlled study to compare efficacy and safety of cyclizine and perphenazine (a typical antiphychotic) given in conjunction with meptazinol (an opioid analgesic). Intramuscular cyclizine 50 mg, perphenazine 2.5 mg or saline was given 1.5 h</w:t>
      </w:r>
      <w:r w:rsidR="00876580">
        <w:rPr>
          <w:rFonts w:cs="Calibri"/>
        </w:rPr>
        <w:t xml:space="preserve"> </w:t>
      </w:r>
      <w:r w:rsidRPr="00B27E69">
        <w:rPr>
          <w:rFonts w:cs="Calibri"/>
        </w:rPr>
        <w:t xml:space="preserve">preoperatively. The primary outcome measure was the incidence of slight or marked nausea and vomiting (alone or with nausea). This was assessed pre and post-operatively and overall. </w:t>
      </w:r>
      <w:r w:rsidR="00EA65F2">
        <w:rPr>
          <w:rFonts w:cs="Calibri"/>
        </w:rPr>
        <w:t>Forty</w:t>
      </w:r>
      <w:r w:rsidRPr="00B27E69">
        <w:rPr>
          <w:rFonts w:cs="Calibri"/>
        </w:rPr>
        <w:t xml:space="preserve"> patients </w:t>
      </w:r>
      <w:r w:rsidR="00657DD0">
        <w:rPr>
          <w:rFonts w:cs="Calibri"/>
        </w:rPr>
        <w:t xml:space="preserve">were randomised to each group. </w:t>
      </w:r>
      <w:r w:rsidRPr="00B27E69">
        <w:rPr>
          <w:rFonts w:cs="Calibri"/>
        </w:rPr>
        <w:t xml:space="preserve">The overall incidence of either nausea or vomiting was 33/40 (82.5%) for placebo, 22/40 (55%) for cyclizine and 34/40 (85%) for perphenazine.  </w:t>
      </w:r>
    </w:p>
    <w:p w:rsidR="00666CD3" w:rsidRPr="00B27E69" w:rsidRDefault="00666CD3" w:rsidP="005C3144">
      <w:pPr>
        <w:spacing w:line="240" w:lineRule="auto"/>
        <w:rPr>
          <w:rFonts w:cs="Calibri"/>
        </w:rPr>
      </w:pPr>
      <w:r w:rsidRPr="00B27E69">
        <w:rPr>
          <w:rFonts w:cs="Calibri"/>
        </w:rPr>
        <w:t xml:space="preserve">Cyclizine statistically significantly reduced nausea or vomiting compared with placebo and with perphenazine at the pre-operative and post-operative assessments and overall.  </w:t>
      </w:r>
    </w:p>
    <w:p w:rsidR="00666CD3" w:rsidRPr="00B27E69" w:rsidRDefault="00666CD3" w:rsidP="005C3144">
      <w:pPr>
        <w:spacing w:line="240" w:lineRule="auto"/>
        <w:rPr>
          <w:rFonts w:cs="Calibri"/>
        </w:rPr>
      </w:pPr>
      <w:r w:rsidRPr="00B27E69">
        <w:rPr>
          <w:rFonts w:cs="Calibri"/>
        </w:rPr>
        <w:t xml:space="preserve">Dundee </w:t>
      </w:r>
      <w:r w:rsidRPr="006C0169">
        <w:rPr>
          <w:rFonts w:cs="Calibri"/>
          <w:i/>
        </w:rPr>
        <w:t>et al</w:t>
      </w:r>
      <w:r w:rsidRPr="00B27E69">
        <w:rPr>
          <w:rFonts w:cs="Calibri"/>
        </w:rPr>
        <w:t>.</w:t>
      </w:r>
      <w:r w:rsidR="006C0169">
        <w:rPr>
          <w:rFonts w:cs="Calibri"/>
        </w:rPr>
        <w:t>,</w:t>
      </w:r>
      <w:r w:rsidRPr="00B27E69">
        <w:rPr>
          <w:rFonts w:cs="Calibri"/>
        </w:rPr>
        <w:t xml:space="preserve"> 1975 was the final published study report considered pivotal. This was a double-blind study comparing pre-operative </w:t>
      </w:r>
      <w:r w:rsidR="006C0169">
        <w:rPr>
          <w:rFonts w:cs="Calibri"/>
        </w:rPr>
        <w:t xml:space="preserve">IM </w:t>
      </w:r>
      <w:r w:rsidRPr="00B27E69">
        <w:rPr>
          <w:rFonts w:cs="Calibri"/>
        </w:rPr>
        <w:t>cyclizine 50 mg and perphenazine 2.5 mg or 5.0 mg in women undergoing a minor gynaecological operation with a standard anaesthetic including opioids (morphine or pethidine). This study was randomised initially then amended to permit allocation by a clinician other than the investigators to balance the numbers in each group who had or had not had dilatation of t</w:t>
      </w:r>
      <w:r w:rsidR="00657DD0">
        <w:rPr>
          <w:rFonts w:cs="Calibri"/>
        </w:rPr>
        <w:t xml:space="preserve">he cervix uteri in each group. </w:t>
      </w:r>
      <w:r w:rsidRPr="00B27E69">
        <w:rPr>
          <w:rFonts w:cs="Calibri"/>
        </w:rPr>
        <w:t xml:space="preserve">Initially 100 patients were randomised to each group. The 5 mg perphenazine group was withdrawn during study due to a high incidence of restlessness.  </w:t>
      </w:r>
    </w:p>
    <w:p w:rsidR="00666CD3" w:rsidRPr="00B27E69" w:rsidRDefault="00666CD3" w:rsidP="005C3144">
      <w:pPr>
        <w:spacing w:line="240" w:lineRule="auto"/>
        <w:rPr>
          <w:rFonts w:cs="Calibri"/>
        </w:rPr>
      </w:pPr>
      <w:r w:rsidRPr="00B27E69">
        <w:rPr>
          <w:rFonts w:cs="Calibri"/>
        </w:rPr>
        <w:t>The objective was to assess the incidence of PONV of cyclizine</w:t>
      </w:r>
      <w:r w:rsidR="00657DD0">
        <w:rPr>
          <w:rFonts w:cs="Calibri"/>
        </w:rPr>
        <w:t xml:space="preserve"> v</w:t>
      </w:r>
      <w:r w:rsidR="00EA65F2">
        <w:rPr>
          <w:rFonts w:cs="Calibri"/>
        </w:rPr>
        <w:t>ersu</w:t>
      </w:r>
      <w:r w:rsidR="00657DD0">
        <w:rPr>
          <w:rFonts w:cs="Calibri"/>
        </w:rPr>
        <w:t xml:space="preserve">s perphenazine and placebo. </w:t>
      </w:r>
      <w:r w:rsidRPr="00B27E69">
        <w:rPr>
          <w:rFonts w:cs="Calibri"/>
        </w:rPr>
        <w:t>Outcome measures were the incidences of pre and post-operative nausea and/ or vomiting. Results for this study were presented by sub-group receiving pethidine (n=300), morphine 10 mg (n=200) and morphine 15 mg (n=100). Each of the 3 antiemetic groups were thus assessed efficacy in subgroups given for each of the 3 opioids regimens. This had the effect of reducing the power of the study to detect statisti</w:t>
      </w:r>
      <w:r w:rsidR="00657DD0">
        <w:rPr>
          <w:rFonts w:cs="Calibri"/>
        </w:rPr>
        <w:t xml:space="preserve">cally significant differences. </w:t>
      </w:r>
      <w:r w:rsidRPr="00B27E69">
        <w:rPr>
          <w:rFonts w:cs="Calibri"/>
        </w:rPr>
        <w:t xml:space="preserve">Nevertheless it was reported that both cyclizine and 2.5 mg perphenazine were statistically significantly superior to placebo in reducing PONV in patients who received pethidine. Whether this study controlled for multiplicity effects in its statistical </w:t>
      </w:r>
      <w:r w:rsidR="00C51149">
        <w:rPr>
          <w:rFonts w:cs="Calibri"/>
        </w:rPr>
        <w:t>analysis is not clear. Overall, the Delegate</w:t>
      </w:r>
      <w:r w:rsidRPr="00B27E69">
        <w:rPr>
          <w:rFonts w:cs="Calibri"/>
        </w:rPr>
        <w:t xml:space="preserve"> did not consider this study suitable as a pivotal study due to the lack of information on method and timing of administration of study medications and on statistical methods.  </w:t>
      </w:r>
    </w:p>
    <w:p w:rsidR="00666CD3" w:rsidRPr="00B27E69" w:rsidRDefault="00666CD3" w:rsidP="005C3144">
      <w:pPr>
        <w:spacing w:line="240" w:lineRule="auto"/>
        <w:rPr>
          <w:rFonts w:cs="Calibri"/>
        </w:rPr>
      </w:pPr>
      <w:r w:rsidRPr="00B27E69">
        <w:rPr>
          <w:rFonts w:cs="Calibri"/>
        </w:rPr>
        <w:lastRenderedPageBreak/>
        <w:t xml:space="preserve">The proposed indication of treatment of PONV caused by narcotic analgesics was investigated in 3 studies discussed in </w:t>
      </w:r>
      <w:r w:rsidR="00657DD0">
        <w:rPr>
          <w:rFonts w:cs="Calibri"/>
        </w:rPr>
        <w:t xml:space="preserve">the </w:t>
      </w:r>
      <w:r w:rsidRPr="00B27E69">
        <w:rPr>
          <w:rFonts w:cs="Calibri"/>
        </w:rPr>
        <w:t xml:space="preserve">section </w:t>
      </w:r>
      <w:r w:rsidR="00657DD0">
        <w:rPr>
          <w:rFonts w:cs="Calibri"/>
        </w:rPr>
        <w:t xml:space="preserve">on </w:t>
      </w:r>
      <w:r w:rsidR="00657DD0" w:rsidRPr="00657DD0">
        <w:rPr>
          <w:rFonts w:cs="Calibri"/>
          <w:i/>
        </w:rPr>
        <w:t xml:space="preserve">Efficacy studies </w:t>
      </w:r>
      <w:r w:rsidR="00260C86">
        <w:rPr>
          <w:rFonts w:cs="Calibri"/>
          <w:i/>
        </w:rPr>
        <w:t>–</w:t>
      </w:r>
      <w:r w:rsidR="00657DD0" w:rsidRPr="00657DD0">
        <w:rPr>
          <w:rFonts w:cs="Calibri"/>
          <w:i/>
        </w:rPr>
        <w:t xml:space="preserve"> </w:t>
      </w:r>
      <w:r w:rsidR="00260C86">
        <w:rPr>
          <w:rFonts w:cs="Calibri"/>
          <w:i/>
        </w:rPr>
        <w:t>The t</w:t>
      </w:r>
      <w:r w:rsidR="00657DD0" w:rsidRPr="00657DD0">
        <w:rPr>
          <w:rFonts w:cs="Calibri"/>
          <w:i/>
        </w:rPr>
        <w:t xml:space="preserve">reatment of </w:t>
      </w:r>
      <w:r w:rsidR="00260C86">
        <w:rPr>
          <w:rFonts w:cs="Calibri"/>
          <w:i/>
        </w:rPr>
        <w:t>n</w:t>
      </w:r>
      <w:r w:rsidR="00657DD0" w:rsidRPr="00657DD0">
        <w:rPr>
          <w:rFonts w:cs="Calibri"/>
          <w:i/>
        </w:rPr>
        <w:t xml:space="preserve">ausea and </w:t>
      </w:r>
      <w:r w:rsidR="00260C86">
        <w:rPr>
          <w:rFonts w:cs="Calibri"/>
          <w:i/>
        </w:rPr>
        <w:t>v</w:t>
      </w:r>
      <w:r w:rsidR="00657DD0" w:rsidRPr="00657DD0">
        <w:rPr>
          <w:rFonts w:cs="Calibri"/>
          <w:i/>
        </w:rPr>
        <w:t xml:space="preserve">omiting caused by </w:t>
      </w:r>
      <w:r w:rsidR="00260C86">
        <w:rPr>
          <w:rFonts w:cs="Calibri"/>
          <w:i/>
        </w:rPr>
        <w:t>n</w:t>
      </w:r>
      <w:r w:rsidR="00657DD0" w:rsidRPr="00657DD0">
        <w:rPr>
          <w:rFonts w:cs="Calibri"/>
          <w:i/>
        </w:rPr>
        <w:t xml:space="preserve">arcotic </w:t>
      </w:r>
      <w:r w:rsidR="00260C86">
        <w:rPr>
          <w:rFonts w:cs="Calibri"/>
          <w:i/>
        </w:rPr>
        <w:t>a</w:t>
      </w:r>
      <w:r w:rsidR="00657DD0" w:rsidRPr="00657DD0">
        <w:rPr>
          <w:rFonts w:cs="Calibri"/>
          <w:i/>
        </w:rPr>
        <w:t>nalgesics</w:t>
      </w:r>
      <w:r w:rsidR="00657DD0">
        <w:rPr>
          <w:b/>
          <w:bCs/>
        </w:rPr>
        <w:t xml:space="preserve"> </w:t>
      </w:r>
      <w:r w:rsidRPr="00B27E69">
        <w:rPr>
          <w:rFonts w:cs="Calibri"/>
        </w:rPr>
        <w:t xml:space="preserve">of </w:t>
      </w:r>
      <w:r w:rsidR="00657DD0">
        <w:rPr>
          <w:rFonts w:cs="Calibri"/>
        </w:rPr>
        <w:t>this AusPar</w:t>
      </w:r>
      <w:r w:rsidRPr="00B27E69">
        <w:rPr>
          <w:rFonts w:cs="Calibri"/>
        </w:rPr>
        <w:t xml:space="preserve">. The first by Chestnutt and </w:t>
      </w:r>
      <w:r w:rsidR="00657DD0">
        <w:rPr>
          <w:rFonts w:cs="Calibri"/>
        </w:rPr>
        <w:t xml:space="preserve">Dundee, 1986 </w:t>
      </w:r>
      <w:r w:rsidRPr="00B27E69">
        <w:rPr>
          <w:rFonts w:cs="Calibri"/>
        </w:rPr>
        <w:t>was included in the Cochrane systematic review and is discussed above.  That study had many subgroups (3 subgroups in each of the 3 treatment groups) and was a relatively small study. I am not satisfied it was adequate to assess the relative efficacy of cyclizine or perhenazine in preventing or treating PONV due to either op</w:t>
      </w:r>
      <w:r w:rsidR="00657DD0">
        <w:rPr>
          <w:rFonts w:cs="Calibri"/>
        </w:rPr>
        <w:t xml:space="preserve">ioids or general anaesthetics. </w:t>
      </w:r>
      <w:r w:rsidRPr="00B27E69">
        <w:rPr>
          <w:rFonts w:cs="Calibri"/>
        </w:rPr>
        <w:t xml:space="preserve">The second study investigating treatment of PONV (Dundee </w:t>
      </w:r>
      <w:r w:rsidRPr="00657DD0">
        <w:rPr>
          <w:rFonts w:cs="Calibri"/>
          <w:i/>
        </w:rPr>
        <w:t>et al</w:t>
      </w:r>
      <w:r w:rsidR="00657DD0">
        <w:rPr>
          <w:rFonts w:cs="Calibri"/>
        </w:rPr>
        <w:t>.,</w:t>
      </w:r>
      <w:r w:rsidRPr="00B27E69">
        <w:rPr>
          <w:rFonts w:cs="Calibri"/>
        </w:rPr>
        <w:t xml:space="preserve"> 1975) was also discussed as a pivotal stud</w:t>
      </w:r>
      <w:r w:rsidR="00657DD0">
        <w:rPr>
          <w:rFonts w:cs="Calibri"/>
        </w:rPr>
        <w:t xml:space="preserve">y for prevention of PONV. </w:t>
      </w:r>
      <w:r w:rsidRPr="00B27E69">
        <w:rPr>
          <w:rFonts w:cs="Calibri"/>
        </w:rPr>
        <w:t xml:space="preserve">Two further studies by Dundee or co-authored by Dundee in the 1960s were submitted to support a specific statement regarding treatment of PONV due to narcotic analgesics. These studies are described in </w:t>
      </w:r>
      <w:r w:rsidR="00260C86">
        <w:rPr>
          <w:rFonts w:cs="Calibri"/>
        </w:rPr>
        <w:t xml:space="preserve">the </w:t>
      </w:r>
      <w:r w:rsidRPr="00B27E69">
        <w:rPr>
          <w:rFonts w:cs="Calibri"/>
        </w:rPr>
        <w:t xml:space="preserve">section </w:t>
      </w:r>
      <w:r w:rsidR="00260C86">
        <w:rPr>
          <w:rFonts w:cs="Calibri"/>
        </w:rPr>
        <w:t xml:space="preserve">on </w:t>
      </w:r>
      <w:r w:rsidR="00260C86" w:rsidRPr="00657DD0">
        <w:rPr>
          <w:rFonts w:cs="Calibri"/>
          <w:i/>
        </w:rPr>
        <w:t xml:space="preserve">Efficacy studies </w:t>
      </w:r>
      <w:r w:rsidR="00260C86">
        <w:rPr>
          <w:rFonts w:cs="Calibri"/>
          <w:i/>
        </w:rPr>
        <w:t>–</w:t>
      </w:r>
      <w:r w:rsidR="00260C86" w:rsidRPr="00657DD0">
        <w:rPr>
          <w:rFonts w:cs="Calibri"/>
          <w:i/>
        </w:rPr>
        <w:t xml:space="preserve"> </w:t>
      </w:r>
      <w:r w:rsidR="00260C86">
        <w:rPr>
          <w:rFonts w:cs="Calibri"/>
          <w:i/>
        </w:rPr>
        <w:t>The t</w:t>
      </w:r>
      <w:r w:rsidR="00260C86" w:rsidRPr="00657DD0">
        <w:rPr>
          <w:rFonts w:cs="Calibri"/>
          <w:i/>
        </w:rPr>
        <w:t xml:space="preserve">reatment of </w:t>
      </w:r>
      <w:r w:rsidR="00260C86">
        <w:rPr>
          <w:rFonts w:cs="Calibri"/>
          <w:i/>
        </w:rPr>
        <w:t>n</w:t>
      </w:r>
      <w:r w:rsidR="00260C86" w:rsidRPr="00657DD0">
        <w:rPr>
          <w:rFonts w:cs="Calibri"/>
          <w:i/>
        </w:rPr>
        <w:t xml:space="preserve">ausea and </w:t>
      </w:r>
      <w:r w:rsidR="00260C86">
        <w:rPr>
          <w:rFonts w:cs="Calibri"/>
          <w:i/>
        </w:rPr>
        <w:t>v</w:t>
      </w:r>
      <w:r w:rsidR="00260C86" w:rsidRPr="00657DD0">
        <w:rPr>
          <w:rFonts w:cs="Calibri"/>
          <w:i/>
        </w:rPr>
        <w:t xml:space="preserve">omiting caused by </w:t>
      </w:r>
      <w:r w:rsidR="00260C86">
        <w:rPr>
          <w:rFonts w:cs="Calibri"/>
          <w:i/>
        </w:rPr>
        <w:t>n</w:t>
      </w:r>
      <w:r w:rsidR="00260C86" w:rsidRPr="00657DD0">
        <w:rPr>
          <w:rFonts w:cs="Calibri"/>
          <w:i/>
        </w:rPr>
        <w:t xml:space="preserve">arcotic </w:t>
      </w:r>
      <w:r w:rsidR="00260C86">
        <w:rPr>
          <w:rFonts w:cs="Calibri"/>
          <w:i/>
        </w:rPr>
        <w:t>a</w:t>
      </w:r>
      <w:r w:rsidR="00260C86" w:rsidRPr="00657DD0">
        <w:rPr>
          <w:rFonts w:cs="Calibri"/>
          <w:i/>
        </w:rPr>
        <w:t>nalgesics</w:t>
      </w:r>
      <w:r w:rsidRPr="00B27E69">
        <w:rPr>
          <w:rFonts w:cs="Calibri"/>
        </w:rPr>
        <w:t xml:space="preserve">. </w:t>
      </w:r>
    </w:p>
    <w:p w:rsidR="00666CD3" w:rsidRPr="00B27E69" w:rsidRDefault="00666CD3" w:rsidP="005C3144">
      <w:pPr>
        <w:spacing w:line="240" w:lineRule="auto"/>
        <w:rPr>
          <w:rFonts w:cs="Calibri"/>
          <w:i/>
        </w:rPr>
      </w:pPr>
      <w:r w:rsidRPr="00B27E69">
        <w:rPr>
          <w:rFonts w:cs="Calibri"/>
        </w:rPr>
        <w:t xml:space="preserve">Only one published paper was submitted in support of the proposed indication of </w:t>
      </w:r>
      <w:r w:rsidRPr="00B27E69">
        <w:rPr>
          <w:rFonts w:cs="Calibri"/>
          <w:i/>
        </w:rPr>
        <w:t xml:space="preserve">pre-operative use in patients undergoing emergency surgery to reduce the hazard of regurgitation and aspiration of gastric contents during induction of general anaesthesia. </w:t>
      </w:r>
      <w:r w:rsidRPr="00B27E69">
        <w:rPr>
          <w:rFonts w:cs="Calibri"/>
        </w:rPr>
        <w:t xml:space="preserve">This was a 1977 paper in which lower oesophageal sphincter pressure was measured in 8 healthy volunteers who were quietly resting in the supine position after a 5 h fast. The subjects had not received a general anaesthetic.  Lower oesophageal sphincter pressures were measured before and after 25 mg cyclizine </w:t>
      </w:r>
      <w:r w:rsidR="006C0169">
        <w:rPr>
          <w:rFonts w:cs="Calibri"/>
        </w:rPr>
        <w:t>IV</w:t>
      </w:r>
      <w:r w:rsidRPr="00B27E69">
        <w:rPr>
          <w:rFonts w:cs="Calibri"/>
        </w:rPr>
        <w:t xml:space="preserve"> and a mean increase in pressure was noted.   </w:t>
      </w:r>
    </w:p>
    <w:p w:rsidR="00666CD3" w:rsidRPr="00B27E69" w:rsidRDefault="00666CD3" w:rsidP="005C3144">
      <w:pPr>
        <w:pStyle w:val="Heading5"/>
        <w:spacing w:line="240" w:lineRule="auto"/>
      </w:pPr>
      <w:r w:rsidRPr="00B27E69">
        <w:t>Safety</w:t>
      </w:r>
    </w:p>
    <w:p w:rsidR="00666CD3" w:rsidRPr="00B27E69" w:rsidRDefault="00666CD3" w:rsidP="005C3144">
      <w:pPr>
        <w:spacing w:line="240" w:lineRule="auto"/>
        <w:rPr>
          <w:rFonts w:cs="Calibri"/>
        </w:rPr>
      </w:pPr>
      <w:r w:rsidRPr="00B27E69">
        <w:rPr>
          <w:rFonts w:cs="Calibri"/>
        </w:rPr>
        <w:t>Safety data from published studies are usually limited. This is particularly the case for older published studies such as those included in this submission. The clinical evaluat</w:t>
      </w:r>
      <w:r w:rsidR="00260C86">
        <w:rPr>
          <w:rFonts w:cs="Calibri"/>
        </w:rPr>
        <w:t>or has noted that sedation/</w:t>
      </w:r>
      <w:r w:rsidRPr="00B27E69">
        <w:rPr>
          <w:rFonts w:cs="Calibri"/>
        </w:rPr>
        <w:t xml:space="preserve">drowsiness was the most common </w:t>
      </w:r>
      <w:r w:rsidR="00260C86">
        <w:rPr>
          <w:rFonts w:cs="Calibri"/>
        </w:rPr>
        <w:t xml:space="preserve">adverse drug reactions </w:t>
      </w:r>
      <w:r w:rsidRPr="00B27E69">
        <w:rPr>
          <w:rFonts w:cs="Calibri"/>
        </w:rPr>
        <w:t xml:space="preserve">in clinical trials. Many of the </w:t>
      </w:r>
      <w:r w:rsidR="00260C86">
        <w:rPr>
          <w:rFonts w:cs="Calibri"/>
        </w:rPr>
        <w:t xml:space="preserve">adverse events </w:t>
      </w:r>
      <w:r w:rsidRPr="00B27E69">
        <w:rPr>
          <w:rFonts w:cs="Calibri"/>
        </w:rPr>
        <w:t xml:space="preserve">are consistent with central anticholinergic effects. Most safety information has come from post-market sources as described in </w:t>
      </w:r>
      <w:r w:rsidR="00260C86">
        <w:rPr>
          <w:rFonts w:cs="Calibri"/>
        </w:rPr>
        <w:t xml:space="preserve">the </w:t>
      </w:r>
      <w:r w:rsidRPr="00B27E69">
        <w:rPr>
          <w:rFonts w:cs="Calibri"/>
        </w:rPr>
        <w:t xml:space="preserve">section </w:t>
      </w:r>
      <w:r w:rsidR="00260C86">
        <w:rPr>
          <w:rFonts w:cs="Calibri"/>
        </w:rPr>
        <w:t xml:space="preserve">on </w:t>
      </w:r>
      <w:r w:rsidR="00260C86" w:rsidRPr="00260C86">
        <w:rPr>
          <w:rFonts w:cs="Calibri"/>
          <w:i/>
        </w:rPr>
        <w:t>Post marketing experience</w:t>
      </w:r>
      <w:r w:rsidR="00260C86">
        <w:rPr>
          <w:rFonts w:cs="Calibri"/>
        </w:rPr>
        <w:t xml:space="preserve"> </w:t>
      </w:r>
      <w:r w:rsidRPr="00B27E69">
        <w:rPr>
          <w:rFonts w:cs="Calibri"/>
        </w:rPr>
        <w:t xml:space="preserve">of </w:t>
      </w:r>
      <w:r w:rsidR="00260C86">
        <w:rPr>
          <w:rFonts w:cs="Calibri"/>
        </w:rPr>
        <w:t>this AusP</w:t>
      </w:r>
      <w:r w:rsidR="009C2D76">
        <w:rPr>
          <w:rFonts w:cs="Calibri"/>
        </w:rPr>
        <w:t>AR</w:t>
      </w:r>
      <w:r w:rsidRPr="00B27E69">
        <w:rPr>
          <w:rFonts w:cs="Calibri"/>
        </w:rPr>
        <w:t>. Cyclizine has been available in</w:t>
      </w:r>
      <w:r w:rsidR="00260C86">
        <w:rPr>
          <w:rFonts w:cs="Calibri"/>
        </w:rPr>
        <w:t xml:space="preserve">ternationally since the 1960s. </w:t>
      </w:r>
      <w:r w:rsidRPr="00B27E69">
        <w:rPr>
          <w:rFonts w:cs="Calibri"/>
        </w:rPr>
        <w:t xml:space="preserve">Nervous system disorders were the most frequently reported adverse events and included alterations to consciousness, convulsions, dizziness, extrapyramidal effects, and reduced level of consciousness.  </w:t>
      </w:r>
    </w:p>
    <w:p w:rsidR="00666CD3" w:rsidRPr="00B27E69" w:rsidRDefault="00666CD3" w:rsidP="005C3144">
      <w:pPr>
        <w:spacing w:line="240" w:lineRule="auto"/>
        <w:rPr>
          <w:rFonts w:cs="Calibri"/>
        </w:rPr>
      </w:pPr>
      <w:r w:rsidRPr="00B27E69">
        <w:rPr>
          <w:rFonts w:cs="Calibri"/>
        </w:rPr>
        <w:t>Psychiatric reactions including hallucinations and disorientation, and allergic reactions including severe anaphylaxis have also been reported</w:t>
      </w:r>
      <w:r w:rsidR="00260C86">
        <w:rPr>
          <w:rFonts w:cs="Calibri"/>
        </w:rPr>
        <w:t xml:space="preserve"> (the sponsor’s </w:t>
      </w:r>
      <w:r w:rsidR="00260C86" w:rsidRPr="00260C86">
        <w:rPr>
          <w:rFonts w:cs="Calibri"/>
          <w:i/>
        </w:rPr>
        <w:t>C</w:t>
      </w:r>
      <w:r w:rsidRPr="00260C86">
        <w:rPr>
          <w:rFonts w:cs="Calibri"/>
          <w:i/>
        </w:rPr>
        <w:t xml:space="preserve">linical </w:t>
      </w:r>
      <w:r w:rsidR="00260C86" w:rsidRPr="00260C86">
        <w:rPr>
          <w:rFonts w:cs="Calibri"/>
          <w:i/>
        </w:rPr>
        <w:t>O</w:t>
      </w:r>
      <w:r w:rsidRPr="00260C86">
        <w:rPr>
          <w:rFonts w:cs="Calibri"/>
          <w:i/>
        </w:rPr>
        <w:t>verview</w:t>
      </w:r>
      <w:r w:rsidR="00260C86">
        <w:rPr>
          <w:rFonts w:cs="Calibri"/>
          <w:i/>
        </w:rPr>
        <w:t xml:space="preserve"> </w:t>
      </w:r>
      <w:r w:rsidR="00260C86" w:rsidRPr="00260C86">
        <w:rPr>
          <w:rFonts w:cs="Calibri"/>
        </w:rPr>
        <w:t>refers</w:t>
      </w:r>
      <w:r w:rsidRPr="00B27E69">
        <w:rPr>
          <w:rFonts w:cs="Calibri"/>
        </w:rPr>
        <w:t xml:space="preserve">). Local injection site reactions including muscle necrosis were reported with continuing </w:t>
      </w:r>
      <w:r w:rsidR="006C0169">
        <w:rPr>
          <w:rFonts w:cs="Calibri"/>
        </w:rPr>
        <w:t>IM</w:t>
      </w:r>
      <w:r w:rsidR="00260C86">
        <w:rPr>
          <w:rFonts w:cs="Calibri"/>
        </w:rPr>
        <w:t xml:space="preserve"> use. </w:t>
      </w:r>
      <w:r w:rsidRPr="00B27E69">
        <w:rPr>
          <w:rFonts w:cs="Calibri"/>
        </w:rPr>
        <w:t>The clinical evaluator noted that agranulocytosis had been</w:t>
      </w:r>
      <w:r w:rsidR="00260C86">
        <w:rPr>
          <w:rFonts w:cs="Calibri"/>
        </w:rPr>
        <w:t xml:space="preserve"> reported as an adverse event. </w:t>
      </w:r>
      <w:r w:rsidRPr="00B27E69">
        <w:rPr>
          <w:rFonts w:cs="Calibri"/>
        </w:rPr>
        <w:t xml:space="preserve">This appears to be based on one post-market report of a woman who developed agranulocytosis 6 weeks after receiving 3 doses of 50 mg cyclizine </w:t>
      </w:r>
      <w:r w:rsidR="00260C86">
        <w:rPr>
          <w:rFonts w:cs="Calibri"/>
        </w:rPr>
        <w:t xml:space="preserve">(the sponsor’s </w:t>
      </w:r>
      <w:r w:rsidR="00260C86" w:rsidRPr="00260C86">
        <w:rPr>
          <w:rFonts w:cs="Calibri"/>
          <w:i/>
        </w:rPr>
        <w:t>Clinical Overview</w:t>
      </w:r>
      <w:r w:rsidR="00260C86">
        <w:rPr>
          <w:rFonts w:cs="Calibri"/>
          <w:i/>
        </w:rPr>
        <w:t xml:space="preserve"> </w:t>
      </w:r>
      <w:r w:rsidR="00260C86" w:rsidRPr="00260C86">
        <w:rPr>
          <w:rFonts w:cs="Calibri"/>
        </w:rPr>
        <w:t>refers</w:t>
      </w:r>
      <w:r w:rsidR="00260C86" w:rsidRPr="00B27E69">
        <w:rPr>
          <w:rFonts w:cs="Calibri"/>
        </w:rPr>
        <w:t>)</w:t>
      </w:r>
      <w:r w:rsidRPr="00B27E69">
        <w:rPr>
          <w:rFonts w:cs="Calibri"/>
        </w:rPr>
        <w:t xml:space="preserve">.   </w:t>
      </w:r>
    </w:p>
    <w:p w:rsidR="00666CD3" w:rsidRPr="00B27E69" w:rsidRDefault="00666CD3" w:rsidP="005C3144">
      <w:pPr>
        <w:spacing w:line="240" w:lineRule="auto"/>
        <w:rPr>
          <w:rFonts w:cs="Calibri"/>
        </w:rPr>
      </w:pPr>
      <w:r w:rsidRPr="00B27E69">
        <w:rPr>
          <w:rFonts w:cs="Calibri"/>
        </w:rPr>
        <w:t>There are considerable data relating to the use of cyclizine in pregnancy however this use is not in the context of single dose use for prevention of PONV. The documentation on the safety of cyclizine use in pregnancy is summarised i</w:t>
      </w:r>
      <w:r w:rsidR="00260C86">
        <w:rPr>
          <w:rFonts w:cs="Calibri"/>
        </w:rPr>
        <w:t>n Table 46</w:t>
      </w:r>
      <w:r w:rsidRPr="00B27E69">
        <w:rPr>
          <w:rFonts w:cs="Calibri"/>
        </w:rPr>
        <w:t xml:space="preserve"> of </w:t>
      </w:r>
      <w:r w:rsidR="00260C86">
        <w:rPr>
          <w:rFonts w:cs="Calibri"/>
        </w:rPr>
        <w:t>this AusP</w:t>
      </w:r>
      <w:r w:rsidR="009C2D76">
        <w:rPr>
          <w:rFonts w:cs="Calibri"/>
        </w:rPr>
        <w:t>AR</w:t>
      </w:r>
      <w:r w:rsidRPr="00B27E69">
        <w:rPr>
          <w:rFonts w:cs="Calibri"/>
        </w:rPr>
        <w:t xml:space="preserve">. </w:t>
      </w:r>
    </w:p>
    <w:p w:rsidR="00666CD3" w:rsidRPr="00B27E69" w:rsidRDefault="00666CD3" w:rsidP="005C3144">
      <w:pPr>
        <w:spacing w:line="240" w:lineRule="auto"/>
        <w:rPr>
          <w:rFonts w:cs="Calibri"/>
        </w:rPr>
      </w:pPr>
      <w:r w:rsidRPr="00B27E69">
        <w:rPr>
          <w:rFonts w:cs="Calibri"/>
        </w:rPr>
        <w:t xml:space="preserve">Cyclizine has potential for abuse and dependency. This is unlikely in the context of single dose use for prevention of PONV however it is clear that cyclizine has caused dependence when given for other indications or when taken without indication. </w:t>
      </w:r>
      <w:r w:rsidR="00260C86">
        <w:rPr>
          <w:rFonts w:cs="Calibri"/>
        </w:rPr>
        <w:t>Four</w:t>
      </w:r>
      <w:r w:rsidRPr="00B27E69">
        <w:rPr>
          <w:rFonts w:cs="Calibri"/>
        </w:rPr>
        <w:t xml:space="preserve"> cases of abuse of </w:t>
      </w:r>
      <w:r w:rsidR="00260C86">
        <w:rPr>
          <w:rFonts w:cs="Calibri"/>
        </w:rPr>
        <w:t xml:space="preserve">IV </w:t>
      </w:r>
      <w:r w:rsidRPr="00B27E69">
        <w:rPr>
          <w:rFonts w:cs="Calibri"/>
        </w:rPr>
        <w:t>cyclizine were rep</w:t>
      </w:r>
      <w:r w:rsidR="00260C86">
        <w:rPr>
          <w:rFonts w:cs="Calibri"/>
        </w:rPr>
        <w:t xml:space="preserve">orted in patients with cancer. </w:t>
      </w:r>
      <w:r w:rsidRPr="00B27E69">
        <w:rPr>
          <w:rFonts w:cs="Calibri"/>
        </w:rPr>
        <w:t>Abuse can be associated</w:t>
      </w:r>
      <w:r w:rsidR="00260C86">
        <w:rPr>
          <w:rFonts w:cs="Calibri"/>
        </w:rPr>
        <w:t xml:space="preserve"> with aggression and seizures. Six </w:t>
      </w:r>
      <w:r w:rsidRPr="00B27E69">
        <w:rPr>
          <w:rFonts w:cs="Calibri"/>
        </w:rPr>
        <w:t>cases of accidental overdose in children were consistent with anticholinergic syndrome with signs and symptoms including hallucinations, disorientation, tachycardia, f</w:t>
      </w:r>
      <w:r w:rsidR="00260C86">
        <w:rPr>
          <w:rFonts w:cs="Calibri"/>
        </w:rPr>
        <w:t xml:space="preserve">lushing, fever, and mydriasis. </w:t>
      </w:r>
      <w:r w:rsidRPr="00B27E69">
        <w:rPr>
          <w:rFonts w:cs="Calibri"/>
        </w:rPr>
        <w:t xml:space="preserve">Seizures have also been reported in the context of cyclizine overdose.   </w:t>
      </w:r>
    </w:p>
    <w:p w:rsidR="00116AE6" w:rsidRPr="00B27E69" w:rsidRDefault="00546475" w:rsidP="005C3144">
      <w:pPr>
        <w:pStyle w:val="Heading3"/>
        <w:spacing w:line="240" w:lineRule="auto"/>
        <w:rPr>
          <w:lang w:eastAsia="en-AU"/>
        </w:rPr>
      </w:pPr>
      <w:bookmarkStart w:id="340" w:name="_Toc350329830"/>
      <w:r>
        <w:rPr>
          <w:lang w:eastAsia="en-AU"/>
        </w:rPr>
        <w:lastRenderedPageBreak/>
        <w:t>Risk management p</w:t>
      </w:r>
      <w:r w:rsidR="00116AE6" w:rsidRPr="00B27E69">
        <w:rPr>
          <w:lang w:eastAsia="en-AU"/>
        </w:rPr>
        <w:t>lan</w:t>
      </w:r>
      <w:bookmarkEnd w:id="340"/>
    </w:p>
    <w:p w:rsidR="00666CD3" w:rsidRPr="00B27E69" w:rsidRDefault="00666CD3" w:rsidP="00C51149">
      <w:pPr>
        <w:spacing w:line="240" w:lineRule="auto"/>
        <w:rPr>
          <w:rFonts w:cs="Calibri"/>
        </w:rPr>
      </w:pPr>
      <w:r w:rsidRPr="00B27E69">
        <w:rPr>
          <w:rFonts w:cs="Calibri"/>
        </w:rPr>
        <w:t xml:space="preserve">The RMP evaluator considered the submitted RMP was supportive of the application and recommended that implementation of the RMP and the sponsor’s responses </w:t>
      </w:r>
      <w:r w:rsidR="00260C86">
        <w:rPr>
          <w:rFonts w:cs="Calibri"/>
        </w:rPr>
        <w:t xml:space="preserve">to TGA questions </w:t>
      </w:r>
      <w:r w:rsidRPr="00B27E69">
        <w:rPr>
          <w:rFonts w:cs="Calibri"/>
        </w:rPr>
        <w:t xml:space="preserve">(pertaining to the RMP) be imposed as a condition of registration when so qualified. Routine pharmacovigilance </w:t>
      </w:r>
      <w:r w:rsidR="00260C86">
        <w:rPr>
          <w:rFonts w:cs="Calibri"/>
        </w:rPr>
        <w:t xml:space="preserve">activities have been proposed. </w:t>
      </w:r>
      <w:r w:rsidRPr="00B27E69">
        <w:rPr>
          <w:rFonts w:cs="Calibri"/>
        </w:rPr>
        <w:t xml:space="preserve">The sponsor has indicated there is potential for off-label use in palliative care for nausea, possible use in children and use in the management of vestibular disease.  The sponsor intends to inform prescribers of the licensed indication for </w:t>
      </w:r>
      <w:r w:rsidR="00255851">
        <w:rPr>
          <w:rFonts w:cs="Calibri"/>
        </w:rPr>
        <w:t>Valoid</w:t>
      </w:r>
      <w:r w:rsidRPr="00B27E69">
        <w:rPr>
          <w:rFonts w:cs="Calibri"/>
        </w:rPr>
        <w:t>.</w:t>
      </w:r>
      <w:r w:rsidR="00C51149">
        <w:rPr>
          <w:rFonts w:cs="Calibri"/>
        </w:rPr>
        <w:t xml:space="preserve"> </w:t>
      </w:r>
      <w:r w:rsidRPr="00B27E69">
        <w:rPr>
          <w:rFonts w:cs="Calibri"/>
        </w:rPr>
        <w:t xml:space="preserve">Amendments to the draft PI were recommended.   </w:t>
      </w:r>
    </w:p>
    <w:p w:rsidR="00116AE6" w:rsidRPr="00B27E69" w:rsidRDefault="00546475" w:rsidP="005C3144">
      <w:pPr>
        <w:pStyle w:val="Heading3"/>
        <w:spacing w:line="240" w:lineRule="auto"/>
      </w:pPr>
      <w:bookmarkStart w:id="341" w:name="_Toc247691531"/>
      <w:bookmarkStart w:id="342" w:name="_Toc350329831"/>
      <w:bookmarkStart w:id="343" w:name="_Toc196046505"/>
      <w:bookmarkStart w:id="344" w:name="_Toc196046949"/>
      <w:r>
        <w:t>Risk-benefit a</w:t>
      </w:r>
      <w:r w:rsidR="00116AE6" w:rsidRPr="00B27E69">
        <w:t>nalysis</w:t>
      </w:r>
      <w:bookmarkEnd w:id="341"/>
      <w:bookmarkEnd w:id="342"/>
    </w:p>
    <w:p w:rsidR="00116AE6" w:rsidRPr="00CD40DE" w:rsidRDefault="00546475" w:rsidP="005C3144">
      <w:pPr>
        <w:pStyle w:val="Heading4"/>
        <w:spacing w:line="240" w:lineRule="auto"/>
      </w:pPr>
      <w:r>
        <w:t>Delegate c</w:t>
      </w:r>
      <w:r w:rsidR="00116AE6" w:rsidRPr="00CD40DE">
        <w:t>onsiderations</w:t>
      </w:r>
    </w:p>
    <w:p w:rsidR="00666CD3" w:rsidRPr="00B27E69" w:rsidRDefault="00666CD3" w:rsidP="005C3144">
      <w:pPr>
        <w:spacing w:line="240" w:lineRule="auto"/>
        <w:rPr>
          <w:rFonts w:cs="Calibri"/>
        </w:rPr>
      </w:pPr>
      <w:r w:rsidRPr="00B27E69">
        <w:rPr>
          <w:rFonts w:cs="Calibri"/>
        </w:rPr>
        <w:t xml:space="preserve">The </w:t>
      </w:r>
      <w:r w:rsidR="009C2D76">
        <w:rPr>
          <w:rFonts w:cs="Calibri"/>
        </w:rPr>
        <w:t>quality</w:t>
      </w:r>
      <w:r w:rsidRPr="00B27E69">
        <w:rPr>
          <w:rFonts w:cs="Calibri"/>
        </w:rPr>
        <w:t xml:space="preserve"> evaluator considered that approval of this submission could not be recommended until a suitable method for monitoring the finished product had been developed and appropriate stability data us</w:t>
      </w:r>
      <w:r w:rsidR="00260C86">
        <w:rPr>
          <w:rFonts w:cs="Calibri"/>
        </w:rPr>
        <w:t xml:space="preserve">ing that method was generated. </w:t>
      </w:r>
      <w:r w:rsidRPr="00B27E69">
        <w:rPr>
          <w:rFonts w:cs="Calibri"/>
        </w:rPr>
        <w:t xml:space="preserve">This subsequently occurred and there are no current pharmaceutical chemistry objections to registration.    </w:t>
      </w:r>
    </w:p>
    <w:p w:rsidR="00666CD3" w:rsidRPr="00B27E69" w:rsidRDefault="00666CD3" w:rsidP="005C3144">
      <w:pPr>
        <w:spacing w:line="240" w:lineRule="auto"/>
        <w:rPr>
          <w:rFonts w:cs="Calibri"/>
        </w:rPr>
      </w:pPr>
      <w:r w:rsidRPr="00B27E69">
        <w:rPr>
          <w:rFonts w:cs="Calibri"/>
        </w:rPr>
        <w:t xml:space="preserve">Data on the pharmacokinetics of cyclizine are extremely limited. There were no data on the pharmacokinetics of cyclizine given in repeat doses, in the 50 mg dose proposed, or for </w:t>
      </w:r>
      <w:r w:rsidR="00260C86">
        <w:rPr>
          <w:rFonts w:cs="Calibri"/>
        </w:rPr>
        <w:t xml:space="preserve">IM administration. </w:t>
      </w:r>
      <w:r w:rsidRPr="00B27E69">
        <w:rPr>
          <w:rFonts w:cs="Calibri"/>
        </w:rPr>
        <w:t xml:space="preserve">It could not be established from the data presented that the pharmacokinetics of cyclizine are linear. As a minimum the sponsor should have provided data to demonstrate the pharmacokinetics of cyclizine given with the regimen and routes of administration proposed for registration.  </w:t>
      </w:r>
    </w:p>
    <w:p w:rsidR="00666CD3" w:rsidRPr="00B27E69" w:rsidRDefault="00666CD3" w:rsidP="005C3144">
      <w:pPr>
        <w:spacing w:line="240" w:lineRule="auto"/>
        <w:rPr>
          <w:rFonts w:cs="Calibri"/>
        </w:rPr>
      </w:pPr>
      <w:r w:rsidRPr="00B27E69">
        <w:rPr>
          <w:rFonts w:cs="Calibri"/>
        </w:rPr>
        <w:t>In overdose cyclizine has similar effects to that of other ce</w:t>
      </w:r>
      <w:r w:rsidR="00260C86">
        <w:rPr>
          <w:rFonts w:cs="Calibri"/>
        </w:rPr>
        <w:t xml:space="preserve">ntrally acting antihistamines. </w:t>
      </w:r>
      <w:r w:rsidRPr="00B27E69">
        <w:rPr>
          <w:rFonts w:cs="Calibri"/>
        </w:rPr>
        <w:t xml:space="preserve">The study on oesophageal sphincter tone appears to be the basis for the statement in the </w:t>
      </w:r>
      <w:r w:rsidRPr="009C2D76">
        <w:rPr>
          <w:rFonts w:cs="Calibri"/>
          <w:i/>
        </w:rPr>
        <w:t>Pharmacodynamic</w:t>
      </w:r>
      <w:r w:rsidRPr="00B27E69">
        <w:rPr>
          <w:rFonts w:cs="Calibri"/>
        </w:rPr>
        <w:t xml:space="preserve"> section of draft P</w:t>
      </w:r>
      <w:r w:rsidR="00260C86">
        <w:rPr>
          <w:rFonts w:cs="Calibri"/>
        </w:rPr>
        <w:t>I</w:t>
      </w:r>
      <w:r w:rsidRPr="00B27E69">
        <w:rPr>
          <w:rFonts w:cs="Calibri"/>
        </w:rPr>
        <w:t xml:space="preserve"> that cyclizine increases lower oesophageal sphincter tone and reduces the sensitivity of the labyrinthine apparatus. It may inhibit the part of the midbrain known collectively as the emetic centre. The proposed dose is likely to adversely affect individuals who have heart failure and its use should not be recommended in patients with severe heart failure.   </w:t>
      </w:r>
    </w:p>
    <w:p w:rsidR="00666CD3" w:rsidRPr="00B27E69" w:rsidRDefault="00666CD3" w:rsidP="005C3144">
      <w:pPr>
        <w:spacing w:line="240" w:lineRule="auto"/>
        <w:rPr>
          <w:rFonts w:cs="Calibri"/>
        </w:rPr>
      </w:pPr>
      <w:r w:rsidRPr="00B27E69">
        <w:rPr>
          <w:rFonts w:cs="Calibri"/>
        </w:rPr>
        <w:t xml:space="preserve">Assessment of efficacy of cyclizine in reducing PONV has relied primarily on older published studies using comparators that in some cases, including in the pivotal studies, are not registered in Australia for the proposed indication. Differences in the incidences of PONV vary with the anaesthetic regimen used, the patient group, surgical procedure and past-history of PONV in the individual patients. The studies presented were mostly small.  All these factors contribute to inconsistent efficacy results across studies.  </w:t>
      </w:r>
    </w:p>
    <w:p w:rsidR="00666CD3" w:rsidRPr="00B27E69" w:rsidRDefault="00666CD3" w:rsidP="005C3144">
      <w:pPr>
        <w:spacing w:line="240" w:lineRule="auto"/>
        <w:rPr>
          <w:rFonts w:cs="Calibri"/>
        </w:rPr>
      </w:pPr>
      <w:r w:rsidRPr="00B27E69">
        <w:rPr>
          <w:rFonts w:cs="Calibri"/>
        </w:rPr>
        <w:t xml:space="preserve">The </w:t>
      </w:r>
      <w:r w:rsidRPr="00C51149">
        <w:rPr>
          <w:rFonts w:cs="Calibri"/>
          <w:i/>
        </w:rPr>
        <w:t>Cochrane Review</w:t>
      </w:r>
      <w:r w:rsidRPr="00B27E69">
        <w:rPr>
          <w:rFonts w:cs="Calibri"/>
        </w:rPr>
        <w:t xml:space="preserve"> was helpful in establishing some degree of efficacy of cyclizine in prevention of PONV and assessment of 5 of the 10 studies involving cyclizine in that review are sufficient, in my view to establish that the proposed dose of cyclzine, given either by </w:t>
      </w:r>
      <w:r w:rsidR="006C0169">
        <w:rPr>
          <w:rFonts w:cs="Calibri"/>
        </w:rPr>
        <w:t>IV</w:t>
      </w:r>
      <w:r w:rsidRPr="00B27E69">
        <w:rPr>
          <w:rFonts w:cs="Calibri"/>
        </w:rPr>
        <w:t xml:space="preserve"> or </w:t>
      </w:r>
      <w:r w:rsidR="006C0169">
        <w:rPr>
          <w:rFonts w:cs="Calibri"/>
        </w:rPr>
        <w:t xml:space="preserve">IM </w:t>
      </w:r>
      <w:r w:rsidRPr="00B27E69">
        <w:rPr>
          <w:rFonts w:cs="Calibri"/>
        </w:rPr>
        <w:t xml:space="preserve">in the peri-operative period reduces the incidence of PONV.  </w:t>
      </w:r>
    </w:p>
    <w:p w:rsidR="00666CD3" w:rsidRPr="00B27E69" w:rsidRDefault="00666CD3" w:rsidP="005C3144">
      <w:pPr>
        <w:spacing w:line="240" w:lineRule="auto"/>
        <w:rPr>
          <w:rFonts w:cs="Calibri"/>
        </w:rPr>
      </w:pPr>
      <w:r w:rsidRPr="00B27E69">
        <w:rPr>
          <w:rFonts w:cs="Calibri"/>
        </w:rPr>
        <w:t>No evidence the cyclizine is an effective treatment for established PONV was included in the submission. There was insufficient evidence that cyclizine has a specific role in treatment of PONV due to narcotic analgesics to permit a specific indication ref</w:t>
      </w:r>
      <w:r w:rsidR="00260C86">
        <w:rPr>
          <w:rFonts w:cs="Calibri"/>
        </w:rPr>
        <w:t xml:space="preserve">erring to narcotic analgesics. </w:t>
      </w:r>
      <w:r w:rsidRPr="00B27E69">
        <w:rPr>
          <w:rFonts w:cs="Calibri"/>
        </w:rPr>
        <w:t xml:space="preserve">The studies examining this indication were very old and had major limitations, including insufficient information on the method of statistical analysis.  </w:t>
      </w:r>
    </w:p>
    <w:p w:rsidR="00666CD3" w:rsidRPr="00B27E69" w:rsidRDefault="00666CD3" w:rsidP="005C3144">
      <w:pPr>
        <w:spacing w:line="240" w:lineRule="auto"/>
        <w:rPr>
          <w:rFonts w:cs="Calibri"/>
        </w:rPr>
      </w:pPr>
      <w:r w:rsidRPr="00B27E69">
        <w:rPr>
          <w:rFonts w:cs="Calibri"/>
        </w:rPr>
        <w:t>It is clear that cyclizine, given at the proposed dose o</w:t>
      </w:r>
      <w:r w:rsidR="00876580">
        <w:rPr>
          <w:rFonts w:cs="Calibri"/>
        </w:rPr>
        <w:t xml:space="preserve">f 50 mg either </w:t>
      </w:r>
      <w:r w:rsidR="006C0169">
        <w:rPr>
          <w:rFonts w:cs="Calibri"/>
        </w:rPr>
        <w:t>IM</w:t>
      </w:r>
      <w:r w:rsidR="00876580">
        <w:rPr>
          <w:rFonts w:cs="Calibri"/>
        </w:rPr>
        <w:t xml:space="preserve"> 1.5 h</w:t>
      </w:r>
      <w:r w:rsidRPr="00B27E69">
        <w:rPr>
          <w:rFonts w:cs="Calibri"/>
        </w:rPr>
        <w:t xml:space="preserve"> prior to surgery or </w:t>
      </w:r>
      <w:r w:rsidR="006C0169">
        <w:rPr>
          <w:rFonts w:cs="Calibri"/>
        </w:rPr>
        <w:t>IV</w:t>
      </w:r>
      <w:r w:rsidRPr="00B27E69">
        <w:rPr>
          <w:rFonts w:cs="Calibri"/>
        </w:rPr>
        <w:t xml:space="preserve"> at induction has some efficacy </w:t>
      </w:r>
      <w:r w:rsidR="00260C86">
        <w:rPr>
          <w:rFonts w:cs="Calibri"/>
        </w:rPr>
        <w:t xml:space="preserve">in reducing PONV. </w:t>
      </w:r>
      <w:r w:rsidRPr="00B27E69">
        <w:rPr>
          <w:rFonts w:cs="Calibri"/>
        </w:rPr>
        <w:t xml:space="preserve">Efficacy appears to vary between studies, as would be anticipated given the other factors that influence PONV.  </w:t>
      </w:r>
    </w:p>
    <w:p w:rsidR="00666CD3" w:rsidRPr="00B27E69" w:rsidRDefault="00666CD3" w:rsidP="005C3144">
      <w:pPr>
        <w:spacing w:line="240" w:lineRule="auto"/>
        <w:rPr>
          <w:rFonts w:cs="Calibri"/>
        </w:rPr>
      </w:pPr>
      <w:r w:rsidRPr="00B27E69">
        <w:rPr>
          <w:rFonts w:cs="Calibri"/>
        </w:rPr>
        <w:lastRenderedPageBreak/>
        <w:t xml:space="preserve">The proposed indication of </w:t>
      </w:r>
      <w:r w:rsidRPr="00B27E69">
        <w:rPr>
          <w:rFonts w:cs="Calibri"/>
          <w:i/>
        </w:rPr>
        <w:t xml:space="preserve">pre-operative use in patients undergoing emergency surgery to reduce the hazard of regurgitation and aspiration of gastric contents during induction of general anaesthesia </w:t>
      </w:r>
      <w:r w:rsidRPr="00B27E69">
        <w:rPr>
          <w:rFonts w:cs="Calibri"/>
        </w:rPr>
        <w:t xml:space="preserve">is not supported by adequate evidence. The only study in support of that indication is insufficient because: only 8 </w:t>
      </w:r>
      <w:r w:rsidR="009C2D76">
        <w:rPr>
          <w:rFonts w:cs="Calibri"/>
        </w:rPr>
        <w:t>subjects</w:t>
      </w:r>
      <w:r w:rsidRPr="00B27E69">
        <w:rPr>
          <w:rFonts w:cs="Calibri"/>
        </w:rPr>
        <w:t xml:space="preserve"> were assessed; they had not received a general anaesthetic which would reduce LOS tone; the proposed dose of cyclizine was not given; and the lower oesophageal sphincter pressure that would prevent regurgitation during a general anaesthetic has not been established.  </w:t>
      </w:r>
    </w:p>
    <w:p w:rsidR="00666CD3" w:rsidRPr="00B27E69" w:rsidRDefault="00666CD3" w:rsidP="005C3144">
      <w:pPr>
        <w:pStyle w:val="Heading5"/>
        <w:spacing w:line="240" w:lineRule="auto"/>
      </w:pPr>
      <w:r w:rsidRPr="00B27E69">
        <w:t>Conclusion and recommendation</w:t>
      </w:r>
    </w:p>
    <w:p w:rsidR="009C2D76" w:rsidRDefault="00CD40DE" w:rsidP="005C3144">
      <w:pPr>
        <w:spacing w:line="240" w:lineRule="auto"/>
        <w:rPr>
          <w:rFonts w:cs="Calibri"/>
        </w:rPr>
      </w:pPr>
      <w:r>
        <w:rPr>
          <w:rFonts w:cs="Calibri"/>
        </w:rPr>
        <w:t xml:space="preserve">The Delegate </w:t>
      </w:r>
      <w:r w:rsidR="00666CD3" w:rsidRPr="00B27E69">
        <w:rPr>
          <w:rFonts w:cs="Calibri"/>
        </w:rPr>
        <w:t>propose</w:t>
      </w:r>
      <w:r w:rsidR="00C51149">
        <w:rPr>
          <w:rFonts w:cs="Calibri"/>
        </w:rPr>
        <w:t>s</w:t>
      </w:r>
      <w:r w:rsidR="00666CD3" w:rsidRPr="00B27E69">
        <w:rPr>
          <w:rFonts w:cs="Calibri"/>
        </w:rPr>
        <w:t xml:space="preserve"> to approve registration of </w:t>
      </w:r>
      <w:r w:rsidR="00255851">
        <w:rPr>
          <w:rFonts w:cs="Calibri"/>
        </w:rPr>
        <w:t>Valoid</w:t>
      </w:r>
      <w:r w:rsidR="00666CD3" w:rsidRPr="00B27E69">
        <w:rPr>
          <w:rFonts w:cs="Calibri"/>
        </w:rPr>
        <w:t xml:space="preserve"> containing 50 mg cyclizine lactate in 1 mL injection ampoule for </w:t>
      </w:r>
    </w:p>
    <w:p w:rsidR="00666CD3" w:rsidRPr="00B27E69" w:rsidRDefault="00666CD3" w:rsidP="009C2D76">
      <w:pPr>
        <w:spacing w:line="240" w:lineRule="auto"/>
        <w:ind w:firstLine="720"/>
        <w:rPr>
          <w:rFonts w:cs="Calibri"/>
          <w:i/>
          <w:lang w:val="en-GB"/>
        </w:rPr>
      </w:pPr>
      <w:r w:rsidRPr="00B27E69">
        <w:rPr>
          <w:rFonts w:cs="Calibri"/>
          <w:i/>
        </w:rPr>
        <w:t xml:space="preserve">The </w:t>
      </w:r>
      <w:r w:rsidRPr="00B27E69">
        <w:rPr>
          <w:rFonts w:cs="Calibri"/>
          <w:i/>
          <w:lang w:val="en-GB"/>
        </w:rPr>
        <w:t xml:space="preserve">prevention </w:t>
      </w:r>
      <w:r w:rsidRPr="00B27E69">
        <w:rPr>
          <w:rFonts w:cs="Calibri"/>
          <w:i/>
        </w:rPr>
        <w:t xml:space="preserve">of nausea and vomiting in the post-operative period. </w:t>
      </w:r>
    </w:p>
    <w:p w:rsidR="00666CD3" w:rsidRPr="00B27E69" w:rsidRDefault="00666CD3" w:rsidP="005C3144">
      <w:pPr>
        <w:spacing w:line="240" w:lineRule="auto"/>
        <w:rPr>
          <w:rFonts w:cs="Calibri"/>
        </w:rPr>
      </w:pPr>
      <w:r w:rsidRPr="00B27E69">
        <w:rPr>
          <w:rFonts w:cs="Calibri"/>
        </w:rPr>
        <w:t>The advice of the ACPM is specifically requested on the following:</w:t>
      </w:r>
    </w:p>
    <w:p w:rsidR="00666CD3" w:rsidRPr="00B27E69" w:rsidRDefault="00666CD3" w:rsidP="005C3144">
      <w:pPr>
        <w:pStyle w:val="ListBullet"/>
        <w:spacing w:after="120" w:line="240" w:lineRule="auto"/>
      </w:pPr>
      <w:r w:rsidRPr="00B27E69">
        <w:t>Should a statement on the cause of the PONV be included in the indication</w:t>
      </w:r>
      <w:r w:rsidR="00D2734C">
        <w:t>, for example</w:t>
      </w:r>
      <w:r w:rsidRPr="00B27E69">
        <w:t xml:space="preserve"> caused by opioids and by general anaesthetic agents?</w:t>
      </w:r>
    </w:p>
    <w:p w:rsidR="00666CD3" w:rsidRPr="00B27E69" w:rsidRDefault="00666CD3" w:rsidP="005C3144">
      <w:pPr>
        <w:pStyle w:val="ListBullet"/>
        <w:spacing w:after="120" w:line="240" w:lineRule="auto"/>
      </w:pPr>
      <w:r w:rsidRPr="00B27E69">
        <w:t xml:space="preserve">Should a time period for use during the post-operative period should be specified in the indication, if so what should that time period be? </w:t>
      </w:r>
    </w:p>
    <w:p w:rsidR="00666CD3" w:rsidRPr="00B27E69" w:rsidRDefault="00666CD3" w:rsidP="005C3144">
      <w:pPr>
        <w:pStyle w:val="ListBullet"/>
        <w:spacing w:after="120" w:line="240" w:lineRule="auto"/>
      </w:pPr>
      <w:r w:rsidRPr="00B27E69">
        <w:t>Should treatment of established PONV be included in the indication given the limited data to support this use?</w:t>
      </w:r>
    </w:p>
    <w:p w:rsidR="00666CD3" w:rsidRPr="00B27E69" w:rsidRDefault="00666CD3" w:rsidP="005C3144">
      <w:pPr>
        <w:pStyle w:val="ListBullet"/>
        <w:spacing w:after="120" w:line="240" w:lineRule="auto"/>
      </w:pPr>
      <w:r w:rsidRPr="00B27E69">
        <w:t xml:space="preserve">Should the route of administration be limited to </w:t>
      </w:r>
      <w:r w:rsidR="006C0169">
        <w:t>IV</w:t>
      </w:r>
      <w:r w:rsidRPr="00B27E69">
        <w:t xml:space="preserve"> in the absence of </w:t>
      </w:r>
      <w:r w:rsidR="00CD40DE">
        <w:t xml:space="preserve">pharmacokinetic </w:t>
      </w:r>
      <w:r w:rsidRPr="00B27E69">
        <w:t xml:space="preserve">data on the distribution and </w:t>
      </w:r>
      <w:r w:rsidR="00CD40DE">
        <w:t xml:space="preserve">pharmacokinetics </w:t>
      </w:r>
      <w:r w:rsidRPr="00B27E69">
        <w:t xml:space="preserve">of cyclizine following </w:t>
      </w:r>
      <w:r w:rsidR="006C0169">
        <w:t>IM</w:t>
      </w:r>
      <w:r w:rsidRPr="00B27E69">
        <w:t xml:space="preserve"> administration.  </w:t>
      </w:r>
    </w:p>
    <w:p w:rsidR="005A419A" w:rsidRDefault="005A419A" w:rsidP="005C3144">
      <w:pPr>
        <w:spacing w:line="240" w:lineRule="auto"/>
      </w:pPr>
      <w:r>
        <w:t xml:space="preserve"> </w:t>
      </w:r>
    </w:p>
    <w:p w:rsidR="00116AE6" w:rsidRDefault="00546475" w:rsidP="005C3144">
      <w:pPr>
        <w:pStyle w:val="Heading4"/>
        <w:spacing w:line="240" w:lineRule="auto"/>
      </w:pPr>
      <w:r>
        <w:t>Advisory committee c</w:t>
      </w:r>
      <w:r w:rsidR="00116AE6">
        <w:t>onsiderations</w:t>
      </w:r>
    </w:p>
    <w:p w:rsidR="00666CD3" w:rsidRPr="001222CD" w:rsidRDefault="00666CD3" w:rsidP="005C3144">
      <w:pPr>
        <w:spacing w:line="240" w:lineRule="auto"/>
        <w:rPr>
          <w:rFonts w:cs="Calibri"/>
          <w:bCs/>
        </w:rPr>
      </w:pPr>
      <w:r w:rsidRPr="001222CD">
        <w:rPr>
          <w:rFonts w:cs="Calibri"/>
        </w:rPr>
        <w:t xml:space="preserve">The ACPM, taking into account the submitted evidence of efficacy, safety and quality, agreed with the </w:t>
      </w:r>
      <w:r w:rsidR="009C2D76">
        <w:rPr>
          <w:rFonts w:cs="Calibri"/>
        </w:rPr>
        <w:t>D</w:t>
      </w:r>
      <w:r w:rsidRPr="001222CD">
        <w:rPr>
          <w:rFonts w:cs="Calibri"/>
        </w:rPr>
        <w:t>elegate and considered this product to h</w:t>
      </w:r>
      <w:r w:rsidR="00A223E7">
        <w:rPr>
          <w:rFonts w:cs="Calibri"/>
        </w:rPr>
        <w:t>ave an overall positive benefit</w:t>
      </w:r>
      <w:r w:rsidR="00A223E7">
        <w:rPr>
          <w:rFonts w:cs="Calibri"/>
        </w:rPr>
        <w:noBreakHyphen/>
      </w:r>
      <w:r w:rsidRPr="001222CD">
        <w:rPr>
          <w:rFonts w:cs="Calibri"/>
        </w:rPr>
        <w:t>risk profile for the following indication</w:t>
      </w:r>
      <w:r w:rsidRPr="001222CD">
        <w:rPr>
          <w:rFonts w:cs="Calibri"/>
          <w:b/>
        </w:rPr>
        <w:t>:</w:t>
      </w:r>
    </w:p>
    <w:p w:rsidR="00666CD3" w:rsidRPr="00CD40DE" w:rsidRDefault="00666CD3" w:rsidP="005C3144">
      <w:pPr>
        <w:autoSpaceDE w:val="0"/>
        <w:autoSpaceDN w:val="0"/>
        <w:spacing w:line="240" w:lineRule="auto"/>
        <w:ind w:left="567"/>
        <w:rPr>
          <w:bCs/>
          <w:i/>
          <w:iCs/>
        </w:rPr>
      </w:pPr>
      <w:r w:rsidRPr="00CD40DE">
        <w:rPr>
          <w:bCs/>
          <w:i/>
          <w:iCs/>
        </w:rPr>
        <w:t>For the prevention of post-operative nausea and vomiting.</w:t>
      </w:r>
    </w:p>
    <w:p w:rsidR="00666CD3" w:rsidRPr="001222CD" w:rsidRDefault="00666CD3" w:rsidP="005C3144">
      <w:pPr>
        <w:spacing w:line="240" w:lineRule="auto"/>
        <w:rPr>
          <w:bCs/>
        </w:rPr>
      </w:pPr>
      <w:r w:rsidRPr="001222CD">
        <w:rPr>
          <w:bCs/>
        </w:rPr>
        <w:t xml:space="preserve">In making this recommendation, the ACPM agreed with the </w:t>
      </w:r>
      <w:r w:rsidR="009C2D76">
        <w:rPr>
          <w:bCs/>
        </w:rPr>
        <w:t>D</w:t>
      </w:r>
      <w:r w:rsidRPr="001222CD">
        <w:rPr>
          <w:bCs/>
        </w:rPr>
        <w:t>elegate that there was insufficient evidence to support the proposed broader indication of:</w:t>
      </w:r>
    </w:p>
    <w:p w:rsidR="00666CD3" w:rsidRPr="001222CD" w:rsidRDefault="00666CD3" w:rsidP="005C3144">
      <w:pPr>
        <w:pStyle w:val="ListParagraph"/>
        <w:numPr>
          <w:ilvl w:val="0"/>
          <w:numId w:val="13"/>
        </w:numPr>
        <w:spacing w:after="120" w:line="240" w:lineRule="auto"/>
        <w:rPr>
          <w:bCs/>
          <w:iCs/>
          <w:szCs w:val="22"/>
          <w:lang w:val="en-GB"/>
        </w:rPr>
      </w:pPr>
      <w:r w:rsidRPr="001222CD">
        <w:rPr>
          <w:bCs/>
          <w:szCs w:val="22"/>
          <w:lang w:val="en-GB"/>
        </w:rPr>
        <w:t>reduction of</w:t>
      </w:r>
      <w:r w:rsidRPr="001222CD">
        <w:rPr>
          <w:rFonts w:cs="Arial"/>
          <w:bCs/>
          <w:iCs/>
          <w:szCs w:val="22"/>
          <w:lang w:val="en-GB"/>
        </w:rPr>
        <w:t xml:space="preserve"> </w:t>
      </w:r>
      <w:r w:rsidRPr="001222CD">
        <w:rPr>
          <w:bCs/>
          <w:iCs/>
          <w:szCs w:val="22"/>
          <w:lang w:val="en-GB"/>
        </w:rPr>
        <w:t>the hazard of regurgitation and aspiration of gastric contents during induction of general anaesthesia.</w:t>
      </w:r>
    </w:p>
    <w:p w:rsidR="00666CD3" w:rsidRPr="001222CD" w:rsidRDefault="00666CD3" w:rsidP="005C3144">
      <w:pPr>
        <w:pStyle w:val="ListParagraph"/>
        <w:numPr>
          <w:ilvl w:val="0"/>
          <w:numId w:val="13"/>
        </w:numPr>
        <w:spacing w:after="120" w:line="240" w:lineRule="auto"/>
        <w:rPr>
          <w:bCs/>
          <w:szCs w:val="22"/>
          <w:lang w:val="en-GB"/>
        </w:rPr>
      </w:pPr>
      <w:r w:rsidRPr="001222CD">
        <w:rPr>
          <w:bCs/>
          <w:szCs w:val="22"/>
          <w:lang w:val="en-GB"/>
        </w:rPr>
        <w:t xml:space="preserve">post operative nausea and vomiting specifically caused by narcotic analgesics  </w:t>
      </w:r>
    </w:p>
    <w:p w:rsidR="00666CD3" w:rsidRPr="001222CD" w:rsidRDefault="00666CD3" w:rsidP="005C3144">
      <w:pPr>
        <w:spacing w:line="240" w:lineRule="auto"/>
        <w:rPr>
          <w:bCs/>
        </w:rPr>
      </w:pPr>
      <w:r w:rsidRPr="001222CD">
        <w:rPr>
          <w:bCs/>
        </w:rPr>
        <w:t>The ACPM did not support the intramuscular administration route due to inadequate pharmacokinetic data and the absence of safety data for this route.</w:t>
      </w:r>
    </w:p>
    <w:p w:rsidR="00666CD3" w:rsidRPr="001222CD" w:rsidRDefault="00666CD3" w:rsidP="005C3144">
      <w:pPr>
        <w:spacing w:line="240" w:lineRule="auto"/>
        <w:rPr>
          <w:bCs/>
        </w:rPr>
      </w:pPr>
      <w:r w:rsidRPr="001222CD">
        <w:rPr>
          <w:bCs/>
        </w:rPr>
        <w:t>The ACPM advised that the amendments to the PI and CMI include:</w:t>
      </w:r>
    </w:p>
    <w:p w:rsidR="00666CD3" w:rsidRPr="001222CD" w:rsidRDefault="00666CD3" w:rsidP="005C3144">
      <w:pPr>
        <w:pStyle w:val="ListParagraph"/>
        <w:numPr>
          <w:ilvl w:val="0"/>
          <w:numId w:val="12"/>
        </w:numPr>
        <w:spacing w:after="120" w:line="240" w:lineRule="auto"/>
        <w:rPr>
          <w:bCs/>
          <w:szCs w:val="22"/>
          <w:lang w:val="en-GB"/>
        </w:rPr>
      </w:pPr>
      <w:r w:rsidRPr="001222CD">
        <w:rPr>
          <w:bCs/>
          <w:szCs w:val="22"/>
          <w:lang w:val="en-GB"/>
        </w:rPr>
        <w:t xml:space="preserve">a statement in the </w:t>
      </w:r>
      <w:r w:rsidRPr="001222CD">
        <w:rPr>
          <w:bCs/>
          <w:i/>
          <w:szCs w:val="22"/>
          <w:lang w:val="en-GB"/>
        </w:rPr>
        <w:t xml:space="preserve">Clinical Trials section </w:t>
      </w:r>
      <w:r w:rsidRPr="001222CD">
        <w:rPr>
          <w:bCs/>
          <w:szCs w:val="22"/>
          <w:lang w:val="en-GB"/>
        </w:rPr>
        <w:t>to reflect that the principal studies were conducted in young female patients only and may include data from older studies that may not align with current anaesthetic regimens and practice.</w:t>
      </w:r>
    </w:p>
    <w:p w:rsidR="00666CD3" w:rsidRPr="001222CD" w:rsidRDefault="00666CD3" w:rsidP="005C3144">
      <w:pPr>
        <w:pStyle w:val="ListParagraph"/>
        <w:numPr>
          <w:ilvl w:val="0"/>
          <w:numId w:val="12"/>
        </w:numPr>
        <w:spacing w:after="120" w:line="240" w:lineRule="auto"/>
        <w:rPr>
          <w:bCs/>
          <w:szCs w:val="22"/>
          <w:lang w:val="en-GB"/>
        </w:rPr>
      </w:pPr>
      <w:r w:rsidRPr="001222CD">
        <w:rPr>
          <w:bCs/>
          <w:szCs w:val="22"/>
          <w:lang w:val="en-GB"/>
        </w:rPr>
        <w:t xml:space="preserve">Inclusion in all appropriate sections including the </w:t>
      </w:r>
      <w:r w:rsidRPr="001222CD">
        <w:rPr>
          <w:bCs/>
          <w:i/>
          <w:szCs w:val="22"/>
          <w:lang w:val="en-GB"/>
        </w:rPr>
        <w:t xml:space="preserve">Contraindications </w:t>
      </w:r>
      <w:r w:rsidRPr="001222CD">
        <w:rPr>
          <w:bCs/>
          <w:szCs w:val="22"/>
          <w:lang w:val="en-GB"/>
        </w:rPr>
        <w:t xml:space="preserve">and </w:t>
      </w:r>
      <w:r w:rsidRPr="001222CD">
        <w:rPr>
          <w:bCs/>
          <w:i/>
          <w:szCs w:val="22"/>
          <w:lang w:val="en-GB"/>
        </w:rPr>
        <w:t>Dosage and Administration</w:t>
      </w:r>
      <w:r w:rsidRPr="001222CD">
        <w:rPr>
          <w:bCs/>
          <w:szCs w:val="22"/>
          <w:lang w:val="en-GB"/>
        </w:rPr>
        <w:t xml:space="preserve"> sections to strengthen the overall description of the cardiovascular effects and specifically the safety risks for patients with cardiac failure. Highlight that the data supports administration to commence within first 24 hours with duration of therapy limited to 48 hours.</w:t>
      </w:r>
    </w:p>
    <w:p w:rsidR="00962A2D" w:rsidRPr="00A322B3" w:rsidRDefault="00666CD3" w:rsidP="005C3144">
      <w:pPr>
        <w:spacing w:line="240" w:lineRule="auto"/>
      </w:pPr>
      <w:r w:rsidRPr="001222CD">
        <w:rPr>
          <w:bCs/>
        </w:rPr>
        <w:lastRenderedPageBreak/>
        <w:t>The ACPM advised that the implementation by the sponsor of th</w:t>
      </w:r>
      <w:r w:rsidRPr="00CD40DE">
        <w:rPr>
          <w:bCs/>
        </w:rPr>
        <w:t>e</w:t>
      </w:r>
      <w:r w:rsidRPr="001222CD">
        <w:rPr>
          <w:bCs/>
          <w:i/>
        </w:rPr>
        <w:t xml:space="preserve"> </w:t>
      </w:r>
      <w:r w:rsidRPr="001222CD">
        <w:rPr>
          <w:bCs/>
        </w:rPr>
        <w:t xml:space="preserve">recommendations outlined above to the satisfaction of the TGA, in addition to the evidence of efficacy and safety provided would support the safe and effective use of these products. </w:t>
      </w:r>
    </w:p>
    <w:p w:rsidR="00116AE6" w:rsidRPr="002E238E" w:rsidRDefault="00116AE6" w:rsidP="005C3144">
      <w:pPr>
        <w:pStyle w:val="Heading3"/>
        <w:spacing w:line="240" w:lineRule="auto"/>
      </w:pPr>
      <w:bookmarkStart w:id="345" w:name="_Toc247691532"/>
      <w:bookmarkStart w:id="346" w:name="_Toc350329832"/>
      <w:bookmarkEnd w:id="329"/>
      <w:bookmarkEnd w:id="343"/>
      <w:bookmarkEnd w:id="344"/>
      <w:r>
        <w:t>Outcome</w:t>
      </w:r>
      <w:bookmarkEnd w:id="345"/>
      <w:bookmarkEnd w:id="346"/>
    </w:p>
    <w:p w:rsidR="003D4C41" w:rsidRDefault="00116AE6" w:rsidP="005C3144">
      <w:pPr>
        <w:keepNext/>
        <w:keepLines/>
        <w:widowControl w:val="0"/>
        <w:spacing w:line="240" w:lineRule="auto"/>
      </w:pPr>
      <w:r>
        <w:t>Based on a review of quality, safety and efficacy, TGA approved the registration of</w:t>
      </w:r>
      <w:r w:rsidR="00541AD7">
        <w:t xml:space="preserve"> </w:t>
      </w:r>
      <w:r w:rsidR="00255851">
        <w:t>Valoid</w:t>
      </w:r>
      <w:r w:rsidR="00541AD7">
        <w:t xml:space="preserve"> 50 mg/1 mL cyclizine lactate </w:t>
      </w:r>
      <w:r w:rsidR="0044431F">
        <w:t xml:space="preserve">injection ampoule </w:t>
      </w:r>
      <w:r w:rsidR="00541AD7">
        <w:t xml:space="preserve">for </w:t>
      </w:r>
      <w:r w:rsidR="003D4C41">
        <w:t>IV administration at a dose of 50 mg up to three times daily</w:t>
      </w:r>
      <w:r>
        <w:t>, indicated for:</w:t>
      </w:r>
      <w:r w:rsidR="003D4C41">
        <w:t xml:space="preserve"> </w:t>
      </w:r>
    </w:p>
    <w:p w:rsidR="0098661F" w:rsidRDefault="003D4C41" w:rsidP="005C3144">
      <w:pPr>
        <w:keepNext/>
        <w:keepLines/>
        <w:widowControl w:val="0"/>
        <w:spacing w:line="240" w:lineRule="auto"/>
        <w:ind w:firstLine="720"/>
        <w:rPr>
          <w:i/>
        </w:rPr>
      </w:pPr>
      <w:r w:rsidRPr="003D4C41">
        <w:rPr>
          <w:i/>
        </w:rPr>
        <w:t>the prevention of nausea and vomiting in the post operative period.</w:t>
      </w:r>
    </w:p>
    <w:p w:rsidR="0098661F" w:rsidRPr="003D4C41" w:rsidRDefault="0098661F" w:rsidP="005C3144">
      <w:pPr>
        <w:pStyle w:val="Heading4"/>
        <w:spacing w:line="240" w:lineRule="auto"/>
      </w:pPr>
      <w:r>
        <w:t xml:space="preserve">Specific </w:t>
      </w:r>
      <w:r w:rsidR="001C3345">
        <w:t>c</w:t>
      </w:r>
      <w:r>
        <w:t xml:space="preserve">onditions of </w:t>
      </w:r>
      <w:r w:rsidR="001C3345">
        <w:t>r</w:t>
      </w:r>
      <w:r>
        <w:t xml:space="preserve">egistration </w:t>
      </w:r>
      <w:r w:rsidR="001C3345">
        <w:t xml:space="preserve">applying to </w:t>
      </w:r>
      <w:r>
        <w:t xml:space="preserve">these </w:t>
      </w:r>
      <w:r w:rsidR="001C3345">
        <w:t>t</w:t>
      </w:r>
      <w:r>
        <w:t xml:space="preserve">herapeutic </w:t>
      </w:r>
      <w:r w:rsidR="001C3345">
        <w:t>g</w:t>
      </w:r>
      <w:r>
        <w:t>oods</w:t>
      </w:r>
    </w:p>
    <w:p w:rsidR="001C3345" w:rsidRDefault="001C3345" w:rsidP="005C3144">
      <w:pPr>
        <w:spacing w:line="240" w:lineRule="auto"/>
        <w:ind w:left="720" w:hanging="720"/>
      </w:pPr>
      <w:bookmarkStart w:id="347" w:name="_Toc247691533"/>
      <w:r>
        <w:t>1.</w:t>
      </w:r>
      <w:r>
        <w:tab/>
        <w:t xml:space="preserve">The implementation in Australia of the cyclizine lactate Risk Management Plan (RMP), included with </w:t>
      </w:r>
      <w:r w:rsidR="009C2D76">
        <w:t xml:space="preserve">the sponsor’s </w:t>
      </w:r>
      <w:r>
        <w:t xml:space="preserve">responses </w:t>
      </w:r>
      <w:r w:rsidR="005C3144">
        <w:t xml:space="preserve">to TGA requests for information </w:t>
      </w:r>
      <w:r>
        <w:t xml:space="preserve">in relation to </w:t>
      </w:r>
      <w:r w:rsidR="009C2D76">
        <w:t xml:space="preserve">this </w:t>
      </w:r>
      <w:r>
        <w:t>submission, and any subsequent revisions, as agreed with the TGA and its OPR.</w:t>
      </w:r>
    </w:p>
    <w:p w:rsidR="001C3345" w:rsidRDefault="001C3345" w:rsidP="005C3144">
      <w:pPr>
        <w:spacing w:line="240" w:lineRule="auto"/>
        <w:ind w:left="720" w:hanging="720"/>
      </w:pPr>
      <w:r>
        <w:t>2.</w:t>
      </w:r>
      <w:r>
        <w:tab/>
        <w:t xml:space="preserve">The provision of a copy of the proposed additional educational material for healthcare professionals, as described in your </w:t>
      </w:r>
      <w:r w:rsidR="005C3144">
        <w:t>responses to TGA requests for information</w:t>
      </w:r>
      <w:r>
        <w:t>, to the TGA, for information post registration.</w:t>
      </w:r>
    </w:p>
    <w:p w:rsidR="002A3E46" w:rsidRDefault="00D03315" w:rsidP="00C51149">
      <w:pPr>
        <w:pStyle w:val="Heading2"/>
      </w:pPr>
      <w:bookmarkStart w:id="348" w:name="_Toc350329833"/>
      <w:r>
        <w:t xml:space="preserve">VII. </w:t>
      </w:r>
      <w:r w:rsidR="002A3E46">
        <w:t>References</w:t>
      </w:r>
      <w:bookmarkEnd w:id="348"/>
    </w:p>
    <w:p w:rsidR="002A3E46" w:rsidRDefault="002A3E46" w:rsidP="005C3144">
      <w:pPr>
        <w:autoSpaceDE w:val="0"/>
        <w:autoSpaceDN w:val="0"/>
        <w:adjustRightInd w:val="0"/>
        <w:spacing w:line="240" w:lineRule="auto"/>
      </w:pPr>
      <w:r>
        <w:t xml:space="preserve">Ahmed AB, Hobbs GJ, Curran JP. Randomiszed, placebo-controlled trial of combination antiemetic prophylaxis for day-case gynaecological laparoscopic surgery. </w:t>
      </w:r>
      <w:r w:rsidRPr="0094386C">
        <w:rPr>
          <w:i/>
        </w:rPr>
        <w:t>Br J Anaesth</w:t>
      </w:r>
      <w:r>
        <w:t>. 2000; 85(5): 678-682.</w:t>
      </w:r>
    </w:p>
    <w:p w:rsidR="001F7DFB" w:rsidRPr="001F7DFB" w:rsidRDefault="001F7DFB" w:rsidP="005C3144">
      <w:pPr>
        <w:autoSpaceDE w:val="0"/>
        <w:autoSpaceDN w:val="0"/>
        <w:adjustRightInd w:val="0"/>
        <w:spacing w:line="240" w:lineRule="auto"/>
      </w:pPr>
      <w:r w:rsidRPr="001F7DFB">
        <w:t xml:space="preserve">Asker C, Norstedt W, Kallen B. Use of antiemetic drugs during pregnancy in Sweden. </w:t>
      </w:r>
      <w:r w:rsidR="0094386C">
        <w:rPr>
          <w:i/>
        </w:rPr>
        <w:t>Eur</w:t>
      </w:r>
      <w:r w:rsidRPr="0094386C">
        <w:rPr>
          <w:i/>
        </w:rPr>
        <w:t xml:space="preserve"> </w:t>
      </w:r>
      <w:r w:rsidR="0094386C">
        <w:rPr>
          <w:i/>
        </w:rPr>
        <w:t>J</w:t>
      </w:r>
      <w:r w:rsidRPr="0094386C">
        <w:rPr>
          <w:i/>
        </w:rPr>
        <w:t xml:space="preserve"> Clin Pharmacol</w:t>
      </w:r>
      <w:r w:rsidRPr="001F7DFB">
        <w:t xml:space="preserve">. 2005; 61(12): 899-906. </w:t>
      </w:r>
    </w:p>
    <w:p w:rsidR="002A3E46" w:rsidRDefault="002A3E46" w:rsidP="005C3144">
      <w:pPr>
        <w:autoSpaceDE w:val="0"/>
        <w:autoSpaceDN w:val="0"/>
        <w:adjustRightInd w:val="0"/>
        <w:spacing w:line="240" w:lineRule="auto"/>
      </w:pPr>
      <w:r>
        <w:t>Back I, Taubert M. Akathisia and an unusual symptomatic treatment: A case report.</w:t>
      </w:r>
    </w:p>
    <w:p w:rsidR="002A3E46" w:rsidRDefault="002A3E46" w:rsidP="005C3144">
      <w:pPr>
        <w:autoSpaceDE w:val="0"/>
        <w:autoSpaceDN w:val="0"/>
        <w:adjustRightInd w:val="0"/>
        <w:spacing w:line="240" w:lineRule="auto"/>
      </w:pPr>
      <w:r w:rsidRPr="0094386C">
        <w:rPr>
          <w:i/>
        </w:rPr>
        <w:t>Palliative Med</w:t>
      </w:r>
      <w:r>
        <w:t>. 2007; 21:</w:t>
      </w:r>
      <w:r w:rsidR="00D715C9">
        <w:t xml:space="preserve"> </w:t>
      </w:r>
      <w:r>
        <w:t>713-715.</w:t>
      </w:r>
    </w:p>
    <w:p w:rsidR="002A3E46" w:rsidRDefault="002A3E46" w:rsidP="005C3144">
      <w:pPr>
        <w:autoSpaceDE w:val="0"/>
        <w:autoSpaceDN w:val="0"/>
        <w:adjustRightInd w:val="0"/>
        <w:spacing w:line="240" w:lineRule="auto"/>
      </w:pPr>
      <w:r>
        <w:t xml:space="preserve">Bailey F, Davies A. The misuse/abuse of antihistamine antiemetic medication (cyclizine) by cancer patients. </w:t>
      </w:r>
      <w:r w:rsidRPr="00D715C9">
        <w:rPr>
          <w:i/>
        </w:rPr>
        <w:t>Palliative Med</w:t>
      </w:r>
      <w:r>
        <w:t>. 2008; 22:</w:t>
      </w:r>
      <w:r w:rsidR="00D715C9">
        <w:t xml:space="preserve"> </w:t>
      </w:r>
      <w:r>
        <w:t>869-871.</w:t>
      </w:r>
    </w:p>
    <w:p w:rsidR="002A3E46" w:rsidRDefault="002A3E46" w:rsidP="005C3144">
      <w:pPr>
        <w:autoSpaceDE w:val="0"/>
        <w:autoSpaceDN w:val="0"/>
        <w:adjustRightInd w:val="0"/>
        <w:spacing w:line="240" w:lineRule="auto"/>
      </w:pPr>
      <w:r>
        <w:t xml:space="preserve">Bassett K, Schunk JE, Crouch BI. Cyclizine abuse by teenagers in Utah. </w:t>
      </w:r>
      <w:r w:rsidRPr="00D715C9">
        <w:rPr>
          <w:i/>
        </w:rPr>
        <w:t>Am J Emerg Med</w:t>
      </w:r>
      <w:r>
        <w:t>. 1996; 14:</w:t>
      </w:r>
      <w:r w:rsidR="00D715C9">
        <w:t xml:space="preserve"> </w:t>
      </w:r>
      <w:r>
        <w:t>472-474.</w:t>
      </w:r>
    </w:p>
    <w:p w:rsidR="00BF6068" w:rsidRPr="00BF6068" w:rsidRDefault="00BF6068" w:rsidP="005C3144">
      <w:pPr>
        <w:autoSpaceDE w:val="0"/>
        <w:autoSpaceDN w:val="0"/>
        <w:adjustRightInd w:val="0"/>
        <w:spacing w:line="240" w:lineRule="auto"/>
      </w:pPr>
      <w:r w:rsidRPr="00BF6068">
        <w:t xml:space="preserve">Blatchford E. Studies of anti-emetic drugs: A comparative study of cyclizine (Marzine), pipamazine (Mornidine), trimethobenzamide (Tigan), and hyoscine. </w:t>
      </w:r>
      <w:r w:rsidRPr="00BF6068">
        <w:rPr>
          <w:i/>
        </w:rPr>
        <w:t>Can</w:t>
      </w:r>
      <w:r w:rsidR="00D715C9">
        <w:rPr>
          <w:i/>
        </w:rPr>
        <w:t xml:space="preserve"> </w:t>
      </w:r>
      <w:r w:rsidRPr="00BF6068">
        <w:rPr>
          <w:i/>
        </w:rPr>
        <w:t>J Anesthesia</w:t>
      </w:r>
      <w:r w:rsidRPr="00BF6068">
        <w:t xml:space="preserve"> </w:t>
      </w:r>
      <w:r>
        <w:t xml:space="preserve">1961; </w:t>
      </w:r>
      <w:r w:rsidR="00D715C9">
        <w:t>8</w:t>
      </w:r>
      <w:r w:rsidRPr="00BF6068">
        <w:t>(2): 159–65.</w:t>
      </w:r>
    </w:p>
    <w:p w:rsidR="002A3E46" w:rsidRDefault="002A3E46" w:rsidP="005C3144">
      <w:pPr>
        <w:autoSpaceDE w:val="0"/>
        <w:autoSpaceDN w:val="0"/>
        <w:adjustRightInd w:val="0"/>
        <w:spacing w:line="240" w:lineRule="auto"/>
      </w:pPr>
      <w:r>
        <w:t xml:space="preserve">Bonica JJ, Crepps W, Monk B, Bennett B. Postanesthetic nausea, retching and vomiting; evaluation of cyclizine (Marezine) suppositories for treatment. </w:t>
      </w:r>
      <w:r w:rsidRPr="00D715C9">
        <w:rPr>
          <w:i/>
        </w:rPr>
        <w:t>Anesthesiology</w:t>
      </w:r>
      <w:r>
        <w:t>. 1958; 19(4): 532-540.</w:t>
      </w:r>
    </w:p>
    <w:p w:rsidR="002A3E46" w:rsidRDefault="002A3E46" w:rsidP="005C3144">
      <w:pPr>
        <w:autoSpaceDE w:val="0"/>
        <w:autoSpaceDN w:val="0"/>
        <w:adjustRightInd w:val="0"/>
        <w:spacing w:line="240" w:lineRule="auto"/>
      </w:pPr>
      <w:r>
        <w:t xml:space="preserve">Brand JJ, Colquhoun WP, Gould AH, Perry WLM. (-)-Hyoscine and cyclizine as motion sickness remedies. </w:t>
      </w:r>
      <w:r w:rsidRPr="00D715C9">
        <w:rPr>
          <w:i/>
        </w:rPr>
        <w:t>Br J Pharmac Chemother</w:t>
      </w:r>
      <w:r>
        <w:t>. 1967; 30:</w:t>
      </w:r>
      <w:r w:rsidR="00D715C9">
        <w:t xml:space="preserve"> </w:t>
      </w:r>
      <w:r>
        <w:t>463-469.</w:t>
      </w:r>
    </w:p>
    <w:p w:rsidR="009B63CB" w:rsidRPr="009B63CB" w:rsidRDefault="009B63CB" w:rsidP="005C3144">
      <w:pPr>
        <w:autoSpaceDE w:val="0"/>
        <w:autoSpaceDN w:val="0"/>
        <w:adjustRightInd w:val="0"/>
        <w:spacing w:line="240" w:lineRule="auto"/>
      </w:pPr>
      <w:r w:rsidRPr="009B63CB">
        <w:t>Brand, J.J ,Colquhoun W.P</w:t>
      </w:r>
      <w:r w:rsidR="00D715C9">
        <w:t>,</w:t>
      </w:r>
      <w:r w:rsidRPr="009B63CB">
        <w:t xml:space="preserve"> Perry, W.L.M</w:t>
      </w:r>
      <w:r w:rsidR="00D715C9">
        <w:t>.</w:t>
      </w:r>
      <w:r w:rsidRPr="009B63CB">
        <w:t xml:space="preserve"> Side effects of L - Hyoscine and Cyclizine studied by objective tests. </w:t>
      </w:r>
      <w:r w:rsidRPr="00D715C9">
        <w:rPr>
          <w:i/>
        </w:rPr>
        <w:t>Aerospace Med</w:t>
      </w:r>
      <w:r w:rsidRPr="009B63CB">
        <w:t>. 1968; 39(9):</w:t>
      </w:r>
      <w:r w:rsidR="00D715C9">
        <w:t xml:space="preserve"> </w:t>
      </w:r>
      <w:r w:rsidRPr="009B63CB">
        <w:t>999-1002.</w:t>
      </w:r>
    </w:p>
    <w:p w:rsidR="002A3E46" w:rsidRPr="00353085" w:rsidRDefault="002A3E46" w:rsidP="005C3144">
      <w:pPr>
        <w:autoSpaceDE w:val="0"/>
        <w:autoSpaceDN w:val="0"/>
        <w:adjustRightInd w:val="0"/>
        <w:spacing w:line="240" w:lineRule="auto"/>
      </w:pPr>
      <w:r w:rsidRPr="00353085">
        <w:t xml:space="preserve">Brock-Utne JG, Downing JW, Dimopoulos GE, Moshal MG. The effect of cyclizine hydrochloride on lower oesophageal sphincter pressure in man. </w:t>
      </w:r>
      <w:r w:rsidRPr="00D715C9">
        <w:rPr>
          <w:i/>
        </w:rPr>
        <w:t>S Afr Med J</w:t>
      </w:r>
      <w:r w:rsidRPr="00353085">
        <w:t>. 1977; 51(26):</w:t>
      </w:r>
      <w:r w:rsidR="00D715C9">
        <w:t xml:space="preserve"> </w:t>
      </w:r>
      <w:r w:rsidRPr="00353085">
        <w:t xml:space="preserve">977-978. </w:t>
      </w:r>
    </w:p>
    <w:p w:rsidR="002A3E46" w:rsidRPr="00353085" w:rsidRDefault="002A3E46" w:rsidP="005C3144">
      <w:pPr>
        <w:autoSpaceDE w:val="0"/>
        <w:autoSpaceDN w:val="0"/>
        <w:adjustRightInd w:val="0"/>
        <w:spacing w:line="240" w:lineRule="auto"/>
      </w:pPr>
      <w:r w:rsidRPr="00353085">
        <w:lastRenderedPageBreak/>
        <w:t xml:space="preserve">Brock-Utne JG, Rubin J, Welman S, Dimopoulos GE, Moshal MG, Downing JW. The action of commonly used antiemetics on the lower oesophageal sphincter. </w:t>
      </w:r>
      <w:r w:rsidRPr="00D715C9">
        <w:rPr>
          <w:i/>
        </w:rPr>
        <w:t>Br J Anaesth</w:t>
      </w:r>
      <w:r w:rsidRPr="00353085">
        <w:t>. 1978; 50:</w:t>
      </w:r>
      <w:r w:rsidR="00D715C9">
        <w:t xml:space="preserve"> </w:t>
      </w:r>
      <w:r w:rsidRPr="00353085">
        <w:t>295-298.</w:t>
      </w:r>
    </w:p>
    <w:p w:rsidR="002A3E46" w:rsidRDefault="002A3E46" w:rsidP="005C3144">
      <w:pPr>
        <w:autoSpaceDE w:val="0"/>
        <w:autoSpaceDN w:val="0"/>
        <w:adjustRightInd w:val="0"/>
        <w:spacing w:line="240" w:lineRule="auto"/>
      </w:pPr>
      <w:r>
        <w:t xml:space="preserve">Carlisle, J, Stevenson CA. Drugs for preventing postoperative nausea and vomiting. </w:t>
      </w:r>
      <w:r w:rsidRPr="00D715C9">
        <w:rPr>
          <w:i/>
        </w:rPr>
        <w:t>Cochrane Database of Systematic Reviews</w:t>
      </w:r>
      <w:r>
        <w:t>. 2006; 3.</w:t>
      </w:r>
    </w:p>
    <w:p w:rsidR="002A3E46" w:rsidRDefault="002A3E46" w:rsidP="005C3144">
      <w:pPr>
        <w:autoSpaceDE w:val="0"/>
        <w:autoSpaceDN w:val="0"/>
        <w:adjustRightInd w:val="0"/>
        <w:spacing w:line="240" w:lineRule="auto"/>
      </w:pPr>
      <w:r>
        <w:t xml:space="preserve">Chestnutt WN, Dundee JW. The influence of cyclizine and perphenazine on the emetic effect of meptazinol. </w:t>
      </w:r>
      <w:r w:rsidRPr="00D715C9">
        <w:rPr>
          <w:i/>
        </w:rPr>
        <w:t>Eur J Anaesth</w:t>
      </w:r>
      <w:r>
        <w:t>. 1986; 3(1):</w:t>
      </w:r>
      <w:r w:rsidR="00D715C9">
        <w:t xml:space="preserve"> </w:t>
      </w:r>
      <w:r>
        <w:t>27-32.</w:t>
      </w:r>
    </w:p>
    <w:p w:rsidR="002A3E46" w:rsidRDefault="002A3E46" w:rsidP="005C3144">
      <w:pPr>
        <w:autoSpaceDE w:val="0"/>
        <w:autoSpaceDN w:val="0"/>
        <w:adjustRightInd w:val="0"/>
        <w:spacing w:line="240" w:lineRule="auto"/>
      </w:pPr>
      <w:r>
        <w:t xml:space="preserve">Cholwill JM, Wright W, Hobbs GJ, Curran J. Comparison of ondansetron and cyclizine for prevention of nausea and vomiting after day-case gynaecological laparoscopy. </w:t>
      </w:r>
      <w:r w:rsidRPr="00D715C9">
        <w:rPr>
          <w:i/>
        </w:rPr>
        <w:t>Br J Anaesth</w:t>
      </w:r>
      <w:r>
        <w:t>. 1999; 83(4):</w:t>
      </w:r>
      <w:r w:rsidR="00D715C9">
        <w:t xml:space="preserve"> </w:t>
      </w:r>
      <w:r>
        <w:t>611-614.</w:t>
      </w:r>
    </w:p>
    <w:p w:rsidR="002A3E46" w:rsidRDefault="002A3E46" w:rsidP="005C3144">
      <w:pPr>
        <w:autoSpaceDE w:val="0"/>
        <w:autoSpaceDN w:val="0"/>
        <w:adjustRightInd w:val="0"/>
        <w:spacing w:line="240" w:lineRule="auto"/>
      </w:pPr>
      <w:r>
        <w:t xml:space="preserve">Clubley M, Bye CE, Henson TA, Peck AW, Riddington CJ. Effects of caffeine and cyclizine alone and in combination on human performance, subjective effects and EEG activity. </w:t>
      </w:r>
      <w:r w:rsidRPr="00D715C9">
        <w:rPr>
          <w:i/>
        </w:rPr>
        <w:t>Br J Clin Pharmac</w:t>
      </w:r>
      <w:r>
        <w:t>. 1979; 7:</w:t>
      </w:r>
      <w:r w:rsidR="00D715C9">
        <w:t xml:space="preserve"> </w:t>
      </w:r>
      <w:r>
        <w:t>157-163.</w:t>
      </w:r>
    </w:p>
    <w:p w:rsidR="002A3E46" w:rsidRDefault="002A3E46" w:rsidP="005C3144">
      <w:pPr>
        <w:autoSpaceDE w:val="0"/>
        <w:autoSpaceDN w:val="0"/>
        <w:adjustRightInd w:val="0"/>
        <w:spacing w:line="240" w:lineRule="auto"/>
      </w:pPr>
      <w:r>
        <w:t xml:space="preserve">Collier PM. Agranulocytosis associated with oral cyclizine. </w:t>
      </w:r>
      <w:r w:rsidRPr="00D715C9">
        <w:rPr>
          <w:i/>
        </w:rPr>
        <w:t>B</w:t>
      </w:r>
      <w:r w:rsidR="00D715C9" w:rsidRPr="00D715C9">
        <w:rPr>
          <w:i/>
        </w:rPr>
        <w:t xml:space="preserve">r Med </w:t>
      </w:r>
      <w:r w:rsidRPr="00D715C9">
        <w:rPr>
          <w:i/>
        </w:rPr>
        <w:t>J</w:t>
      </w:r>
      <w:r w:rsidR="00D715C9">
        <w:t>.</w:t>
      </w:r>
      <w:r>
        <w:t xml:space="preserve"> 1986; 292:174.</w:t>
      </w:r>
    </w:p>
    <w:p w:rsidR="00EE4A28" w:rsidRPr="00EE4A28" w:rsidRDefault="00EE4A28" w:rsidP="005C3144">
      <w:pPr>
        <w:autoSpaceDE w:val="0"/>
        <w:autoSpaceDN w:val="0"/>
        <w:adjustRightInd w:val="0"/>
        <w:spacing w:line="240" w:lineRule="auto"/>
      </w:pPr>
      <w:r w:rsidRPr="00EE4A28">
        <w:t>Collins, S. Hazards of Drug Therapy</w:t>
      </w:r>
      <w:r>
        <w:t>.</w:t>
      </w:r>
      <w:r w:rsidRPr="00EE4A28">
        <w:t xml:space="preserve"> </w:t>
      </w:r>
      <w:r w:rsidRPr="00EE4A28">
        <w:rPr>
          <w:i/>
        </w:rPr>
        <w:t>M</w:t>
      </w:r>
      <w:r w:rsidR="00D715C9">
        <w:rPr>
          <w:i/>
        </w:rPr>
        <w:t xml:space="preserve">ed </w:t>
      </w:r>
      <w:r w:rsidRPr="00EE4A28">
        <w:rPr>
          <w:i/>
        </w:rPr>
        <w:t>J</w:t>
      </w:r>
      <w:r w:rsidR="00D715C9">
        <w:rPr>
          <w:i/>
        </w:rPr>
        <w:t xml:space="preserve"> </w:t>
      </w:r>
      <w:r w:rsidRPr="00EE4A28">
        <w:rPr>
          <w:i/>
        </w:rPr>
        <w:t>A</w:t>
      </w:r>
      <w:r w:rsidR="00D715C9">
        <w:rPr>
          <w:i/>
        </w:rPr>
        <w:t>ust.</w:t>
      </w:r>
      <w:r w:rsidRPr="00EE4A28">
        <w:t xml:space="preserve"> February 15, 1964 p. 222</w:t>
      </w:r>
    </w:p>
    <w:p w:rsidR="002A3E46" w:rsidRDefault="002A3E46" w:rsidP="005C3144">
      <w:pPr>
        <w:autoSpaceDE w:val="0"/>
        <w:autoSpaceDN w:val="0"/>
        <w:adjustRightInd w:val="0"/>
        <w:spacing w:line="240" w:lineRule="auto"/>
      </w:pPr>
      <w:r>
        <w:t xml:space="preserve">Dagg LE, Wrathall DW. Dystonic reactions to cyclizine. </w:t>
      </w:r>
      <w:r w:rsidRPr="00485024">
        <w:rPr>
          <w:i/>
        </w:rPr>
        <w:t>Anaesthesia</w:t>
      </w:r>
      <w:r>
        <w:t>. 2003; 58:</w:t>
      </w:r>
      <w:r w:rsidR="00485024">
        <w:t xml:space="preserve"> </w:t>
      </w:r>
      <w:r>
        <w:t>712-726.</w:t>
      </w:r>
    </w:p>
    <w:p w:rsidR="002A3E46" w:rsidRDefault="002A3E46" w:rsidP="005C3144">
      <w:pPr>
        <w:autoSpaceDE w:val="0"/>
        <w:autoSpaceDN w:val="0"/>
        <w:adjustRightInd w:val="0"/>
        <w:spacing w:line="240" w:lineRule="auto"/>
      </w:pPr>
      <w:r>
        <w:t xml:space="preserve">Dent SJ, Ramachandra V, Stephen CR. Postoperative vomiting: incidence, analysis, and therapeutic measures in 3,000 patients. </w:t>
      </w:r>
      <w:r w:rsidRPr="00485024">
        <w:rPr>
          <w:i/>
        </w:rPr>
        <w:t>Anesthesiology</w:t>
      </w:r>
      <w:r>
        <w:t>.1955; 16(4):</w:t>
      </w:r>
      <w:r w:rsidR="00485024">
        <w:t xml:space="preserve"> </w:t>
      </w:r>
      <w:r>
        <w:t>564-572.</w:t>
      </w:r>
    </w:p>
    <w:p w:rsidR="002A3E46" w:rsidRPr="00353085" w:rsidRDefault="002A3E46" w:rsidP="005C3144">
      <w:pPr>
        <w:autoSpaceDE w:val="0"/>
        <w:autoSpaceDN w:val="0"/>
        <w:adjustRightInd w:val="0"/>
        <w:spacing w:line="240" w:lineRule="auto"/>
      </w:pPr>
      <w:r w:rsidRPr="00353085">
        <w:t xml:space="preserve">Dundee JW, Halliday F, Nicholl RM, Moore J. Studies of drugs given before anaesthesia. X. Two non-phenothiazine anti-emetics--cyclizine and trimethobenzamide. </w:t>
      </w:r>
      <w:r w:rsidRPr="00485024">
        <w:rPr>
          <w:i/>
        </w:rPr>
        <w:t>Br J Anaesth</w:t>
      </w:r>
      <w:r w:rsidRPr="00353085">
        <w:t>. 1966; 38(1): 50-57.</w:t>
      </w:r>
    </w:p>
    <w:p w:rsidR="002A3E46" w:rsidRDefault="002A3E46" w:rsidP="005C3144">
      <w:pPr>
        <w:autoSpaceDE w:val="0"/>
        <w:autoSpaceDN w:val="0"/>
        <w:adjustRightInd w:val="0"/>
        <w:spacing w:line="240" w:lineRule="auto"/>
      </w:pPr>
      <w:r>
        <w:t xml:space="preserve">Dundee JW, Jones PO. The prevention of analgesic-induced nausea and vomiting by cyclizine. </w:t>
      </w:r>
      <w:r w:rsidRPr="00485024">
        <w:rPr>
          <w:i/>
        </w:rPr>
        <w:t>Br J Clin Pract</w:t>
      </w:r>
      <w:r>
        <w:t>. 1968; 22(9):</w:t>
      </w:r>
      <w:r w:rsidR="00485024">
        <w:t xml:space="preserve"> </w:t>
      </w:r>
      <w:r>
        <w:t>379-382.</w:t>
      </w:r>
    </w:p>
    <w:p w:rsidR="002A3E46" w:rsidRDefault="002A3E46" w:rsidP="005C3144">
      <w:pPr>
        <w:autoSpaceDE w:val="0"/>
        <w:autoSpaceDN w:val="0"/>
        <w:adjustRightInd w:val="0"/>
        <w:spacing w:line="240" w:lineRule="auto"/>
      </w:pPr>
      <w:r>
        <w:t xml:space="preserve">Dundee JW, Loan WB, Morrison JD. A comparison of the efficacy of cyclizine and perphenazine in reducing the emetic effects of morphine and pethidine. </w:t>
      </w:r>
      <w:r w:rsidRPr="00485024">
        <w:rPr>
          <w:i/>
        </w:rPr>
        <w:t>Br J Clin Pharmac</w:t>
      </w:r>
      <w:r>
        <w:t>. 1975; 2(1):</w:t>
      </w:r>
      <w:r w:rsidR="00485024">
        <w:t xml:space="preserve"> </w:t>
      </w:r>
      <w:r>
        <w:t>81-85.</w:t>
      </w:r>
    </w:p>
    <w:p w:rsidR="002A3E46" w:rsidRDefault="002A3E46" w:rsidP="00741046">
      <w:pPr>
        <w:autoSpaceDE w:val="0"/>
        <w:autoSpaceDN w:val="0"/>
        <w:adjustRightInd w:val="0"/>
        <w:spacing w:line="240" w:lineRule="auto"/>
      </w:pPr>
      <w:r>
        <w:t xml:space="preserve">Gowans J, Matheson A, Darlington CL, Smith PF. The effects of scopolamine and cyclizine on visual-vestibular interaction in humans. </w:t>
      </w:r>
      <w:r w:rsidRPr="00485024">
        <w:rPr>
          <w:i/>
        </w:rPr>
        <w:t>J Vestib Res</w:t>
      </w:r>
      <w:r>
        <w:t>. 2000; 10(2):</w:t>
      </w:r>
      <w:r w:rsidR="00485024">
        <w:t xml:space="preserve"> </w:t>
      </w:r>
      <w:r>
        <w:t>87-92.</w:t>
      </w:r>
    </w:p>
    <w:p w:rsidR="002A3E46" w:rsidRDefault="002A3E46" w:rsidP="005C3144">
      <w:pPr>
        <w:autoSpaceDE w:val="0"/>
        <w:autoSpaceDN w:val="0"/>
        <w:adjustRightInd w:val="0"/>
        <w:spacing w:line="240" w:lineRule="auto"/>
      </w:pPr>
      <w:r>
        <w:t xml:space="preserve">Griffin DS, Baselt RC Blood and urine concentrations of cyclizine by nitrogen-phosphorus gas-liquid chromatography. </w:t>
      </w:r>
      <w:r w:rsidRPr="00485024">
        <w:rPr>
          <w:i/>
        </w:rPr>
        <w:t>J Anal Toxicol</w:t>
      </w:r>
      <w:r>
        <w:t>. 1984; 8(2):</w:t>
      </w:r>
      <w:r w:rsidR="00485024">
        <w:t xml:space="preserve"> </w:t>
      </w:r>
      <w:r>
        <w:t>97-99.</w:t>
      </w:r>
    </w:p>
    <w:p w:rsidR="002A3E46" w:rsidRDefault="002A3E46" w:rsidP="005C3144">
      <w:pPr>
        <w:autoSpaceDE w:val="0"/>
        <w:autoSpaceDN w:val="0"/>
        <w:adjustRightInd w:val="0"/>
        <w:spacing w:line="240" w:lineRule="auto"/>
      </w:pPr>
      <w:r>
        <w:t xml:space="preserve">Griffiths WA, Peachy DG. Fixed drug eruption. </w:t>
      </w:r>
      <w:r w:rsidRPr="00485024">
        <w:rPr>
          <w:i/>
        </w:rPr>
        <w:t>Br J Derm</w:t>
      </w:r>
      <w:r>
        <w:t>. 1970; 82:</w:t>
      </w:r>
      <w:r w:rsidR="00485024">
        <w:t xml:space="preserve"> </w:t>
      </w:r>
      <w:r>
        <w:t>616-617.</w:t>
      </w:r>
    </w:p>
    <w:p w:rsidR="002A3E46" w:rsidRDefault="002A3E46" w:rsidP="005C3144">
      <w:pPr>
        <w:autoSpaceDE w:val="0"/>
        <w:autoSpaceDN w:val="0"/>
        <w:adjustRightInd w:val="0"/>
        <w:spacing w:line="240" w:lineRule="auto"/>
      </w:pPr>
      <w:r>
        <w:t xml:space="preserve">Grimsehl K, Whiteside JB, Mackenzie N Comparison of cyclizine and ondansetron for the prevention of postoperative nausea and vomiting in laparoscopic day-case gynaecological surgery. </w:t>
      </w:r>
      <w:r w:rsidRPr="00485024">
        <w:rPr>
          <w:i/>
        </w:rPr>
        <w:t>Anaesthesia.</w:t>
      </w:r>
      <w:r>
        <w:t xml:space="preserve"> 2002; 57(1):</w:t>
      </w:r>
      <w:r w:rsidR="00485024">
        <w:t xml:space="preserve"> </w:t>
      </w:r>
      <w:r>
        <w:t>61-65.</w:t>
      </w:r>
    </w:p>
    <w:p w:rsidR="002A3E46" w:rsidRDefault="002A3E46" w:rsidP="005C3144">
      <w:pPr>
        <w:autoSpaceDE w:val="0"/>
        <w:autoSpaceDN w:val="0"/>
        <w:adjustRightInd w:val="0"/>
        <w:spacing w:line="240" w:lineRule="auto"/>
      </w:pPr>
      <w:r w:rsidRPr="00353085">
        <w:t xml:space="preserve">Gunter LB, Gould WJ, Cracovaner AJ. Effects of cyclizine hydrochloride and chlorcyclizine hydrochloride upon vestibular function. </w:t>
      </w:r>
      <w:r w:rsidRPr="00485024">
        <w:rPr>
          <w:i/>
        </w:rPr>
        <w:t>AMA Arch Otolaryng</w:t>
      </w:r>
      <w:r w:rsidR="00485024">
        <w:rPr>
          <w:i/>
        </w:rPr>
        <w:t>.</w:t>
      </w:r>
      <w:r w:rsidRPr="00353085">
        <w:t xml:space="preserve"> 1954; 59:</w:t>
      </w:r>
      <w:r w:rsidR="00485024">
        <w:t xml:space="preserve"> </w:t>
      </w:r>
      <w:r w:rsidRPr="00353085">
        <w:t>503-509</w:t>
      </w:r>
      <w:r>
        <w:t xml:space="preserve">  </w:t>
      </w:r>
    </w:p>
    <w:p w:rsidR="00EE4A28" w:rsidRDefault="00EE4A28" w:rsidP="005C3144">
      <w:pPr>
        <w:autoSpaceDE w:val="0"/>
        <w:autoSpaceDN w:val="0"/>
        <w:adjustRightInd w:val="0"/>
        <w:spacing w:line="240" w:lineRule="auto"/>
      </w:pPr>
      <w:r w:rsidRPr="00EE4A28">
        <w:t xml:space="preserve">Haidvogl </w:t>
      </w:r>
      <w:r>
        <w:t xml:space="preserve">M </w:t>
      </w:r>
      <w:r w:rsidRPr="00EE4A28">
        <w:t xml:space="preserve">and Rosegger </w:t>
      </w:r>
      <w:r>
        <w:t xml:space="preserve">H. </w:t>
      </w:r>
      <w:r w:rsidRPr="00EE4A28">
        <w:t xml:space="preserve">Cyclizine Intoxication in Childhood </w:t>
      </w:r>
      <w:r w:rsidRPr="00485024">
        <w:rPr>
          <w:i/>
        </w:rPr>
        <w:t xml:space="preserve">Paediatrics Paediology </w:t>
      </w:r>
      <w:r w:rsidR="00485024">
        <w:t>1975; 10:</w:t>
      </w:r>
      <w:r w:rsidRPr="00EE4A28">
        <w:t xml:space="preserve"> 170</w:t>
      </w:r>
      <w:r w:rsidR="00485024">
        <w:t>-</w:t>
      </w:r>
      <w:r w:rsidRPr="00EE4A28">
        <w:t>175</w:t>
      </w:r>
      <w:r w:rsidR="00485024">
        <w:t>.</w:t>
      </w:r>
    </w:p>
    <w:p w:rsidR="003E1DD8" w:rsidRPr="003E1DD8" w:rsidRDefault="003E1DD8" w:rsidP="005C3144">
      <w:pPr>
        <w:autoSpaceDE w:val="0"/>
        <w:autoSpaceDN w:val="0"/>
        <w:adjustRightInd w:val="0"/>
        <w:spacing w:line="240" w:lineRule="auto"/>
      </w:pPr>
      <w:r w:rsidRPr="003E1DD8">
        <w:t xml:space="preserve">He N, Zhang WQ, Shockley D, Edeki T. Inhibitory effects of HI-antihistamines on CYP2D6- and CYP2C9-mediated drug metabolic reactions in human liver microsomes. </w:t>
      </w:r>
      <w:r w:rsidRPr="00485024">
        <w:rPr>
          <w:i/>
        </w:rPr>
        <w:t>Eur J Clin Pharmacol</w:t>
      </w:r>
      <w:r w:rsidR="00485024">
        <w:t xml:space="preserve">. </w:t>
      </w:r>
      <w:r w:rsidRPr="003E1DD8">
        <w:t>2002; 57(12): 847-</w:t>
      </w:r>
      <w:r w:rsidR="00485024">
        <w:t>8</w:t>
      </w:r>
      <w:r w:rsidRPr="003E1DD8">
        <w:t>51.</w:t>
      </w:r>
    </w:p>
    <w:p w:rsidR="002A3E46" w:rsidRDefault="002A3E46" w:rsidP="005C3144">
      <w:pPr>
        <w:autoSpaceDE w:val="0"/>
        <w:autoSpaceDN w:val="0"/>
        <w:adjustRightInd w:val="0"/>
        <w:spacing w:line="240" w:lineRule="auto"/>
      </w:pPr>
      <w:r>
        <w:t xml:space="preserve">Hildyard CL, Quinn A, Dresner M, Freeman J. Cyclizine reduces the incidence of nausea and vomiting after elective caesarean section with intrathecal diamorphine. </w:t>
      </w:r>
      <w:r w:rsidRPr="00485024">
        <w:rPr>
          <w:i/>
        </w:rPr>
        <w:t>Br J Anaesth</w:t>
      </w:r>
      <w:r>
        <w:t>. 2001; 87(4): 672P.</w:t>
      </w:r>
    </w:p>
    <w:p w:rsidR="002A3E46" w:rsidRDefault="002A3E46" w:rsidP="005C3144">
      <w:pPr>
        <w:autoSpaceDE w:val="0"/>
        <w:autoSpaceDN w:val="0"/>
        <w:adjustRightInd w:val="0"/>
        <w:spacing w:line="240" w:lineRule="auto"/>
      </w:pPr>
      <w:r>
        <w:lastRenderedPageBreak/>
        <w:t xml:space="preserve">Hughes A, Coote J. Cyclizine dependence. </w:t>
      </w:r>
      <w:r w:rsidRPr="00485024">
        <w:rPr>
          <w:i/>
        </w:rPr>
        <w:t>Pharm J</w:t>
      </w:r>
      <w:r>
        <w:t>. 1988; 1:</w:t>
      </w:r>
      <w:r w:rsidR="00485024">
        <w:t xml:space="preserve"> </w:t>
      </w:r>
      <w:r>
        <w:t>130.</w:t>
      </w:r>
    </w:p>
    <w:p w:rsidR="002A3E46" w:rsidRDefault="002A3E46" w:rsidP="005C3144">
      <w:pPr>
        <w:autoSpaceDE w:val="0"/>
        <w:autoSpaceDN w:val="0"/>
        <w:adjustRightInd w:val="0"/>
        <w:spacing w:line="240" w:lineRule="auto"/>
      </w:pPr>
      <w:r>
        <w:t xml:space="preserve">Johns RA, Hanousek J, Montgomery JE. A comparison of cyclizine and granisetron alone and in combination for the prevention of postoperative nausea and vomiting. </w:t>
      </w:r>
      <w:r w:rsidRPr="00485024">
        <w:rPr>
          <w:i/>
        </w:rPr>
        <w:t>Anaesthesia</w:t>
      </w:r>
      <w:r>
        <w:t>. 2006; 61(11):</w:t>
      </w:r>
      <w:r w:rsidR="00485024">
        <w:t xml:space="preserve"> </w:t>
      </w:r>
      <w:r>
        <w:t>1053-1057.</w:t>
      </w:r>
    </w:p>
    <w:p w:rsidR="005E77AE" w:rsidRPr="005E77AE" w:rsidRDefault="005E77AE" w:rsidP="005C3144">
      <w:pPr>
        <w:autoSpaceDE w:val="0"/>
        <w:autoSpaceDN w:val="0"/>
        <w:adjustRightInd w:val="0"/>
        <w:spacing w:line="240" w:lineRule="auto"/>
      </w:pPr>
      <w:r w:rsidRPr="005E77AE">
        <w:t xml:space="preserve">Kew </w:t>
      </w:r>
      <w:r>
        <w:t xml:space="preserve">MC, </w:t>
      </w:r>
      <w:r w:rsidRPr="005E77AE">
        <w:t xml:space="preserve">Segel </w:t>
      </w:r>
      <w:r>
        <w:t xml:space="preserve">J., </w:t>
      </w:r>
      <w:r w:rsidRPr="005E77AE">
        <w:t xml:space="preserve">Zoutendyk </w:t>
      </w:r>
      <w:r>
        <w:t>A. “</w:t>
      </w:r>
      <w:r w:rsidRPr="005E77AE">
        <w:t xml:space="preserve">Hypersensitivity Hepatitis" Associated with </w:t>
      </w:r>
      <w:r>
        <w:t>a</w:t>
      </w:r>
      <w:r w:rsidRPr="005E77AE">
        <w:t xml:space="preserve">dministration of </w:t>
      </w:r>
      <w:r>
        <w:t>c</w:t>
      </w:r>
      <w:r w:rsidRPr="005E77AE">
        <w:t>yclizine</w:t>
      </w:r>
      <w:r>
        <w:t>.</w:t>
      </w:r>
      <w:r w:rsidRPr="005E77AE">
        <w:t xml:space="preserve"> </w:t>
      </w:r>
      <w:r w:rsidRPr="005E77AE">
        <w:rPr>
          <w:i/>
        </w:rPr>
        <w:t>B</w:t>
      </w:r>
      <w:r w:rsidR="00A56D42">
        <w:rPr>
          <w:i/>
        </w:rPr>
        <w:t xml:space="preserve">r </w:t>
      </w:r>
      <w:r w:rsidRPr="005E77AE">
        <w:rPr>
          <w:i/>
        </w:rPr>
        <w:t>M</w:t>
      </w:r>
      <w:r w:rsidR="00A56D42">
        <w:rPr>
          <w:i/>
        </w:rPr>
        <w:t xml:space="preserve">ed </w:t>
      </w:r>
      <w:r w:rsidRPr="005E77AE">
        <w:rPr>
          <w:i/>
        </w:rPr>
        <w:t>J</w:t>
      </w:r>
      <w:r w:rsidR="00A56D42">
        <w:rPr>
          <w:i/>
        </w:rPr>
        <w:t>.</w:t>
      </w:r>
      <w:r w:rsidRPr="005E77AE">
        <w:t xml:space="preserve"> 1973; 2: 307.</w:t>
      </w:r>
    </w:p>
    <w:p w:rsidR="002A3E46" w:rsidRDefault="002A3E46" w:rsidP="005C3144">
      <w:pPr>
        <w:autoSpaceDE w:val="0"/>
        <w:autoSpaceDN w:val="0"/>
        <w:adjustRightInd w:val="0"/>
        <w:spacing w:line="240" w:lineRule="auto"/>
      </w:pPr>
      <w:r>
        <w:t xml:space="preserve">King CTG, Weaver SA, Varrod SA. Antihistamines and teratogenicity in the rat. </w:t>
      </w:r>
      <w:r w:rsidRPr="00A56D42">
        <w:rPr>
          <w:i/>
        </w:rPr>
        <w:t>J Pharmacol Exp Ther</w:t>
      </w:r>
      <w:r>
        <w:t xml:space="preserve"> 1965; 147: 391-398.</w:t>
      </w:r>
    </w:p>
    <w:p w:rsidR="002A3E46" w:rsidRDefault="002A3E46" w:rsidP="005C3144">
      <w:pPr>
        <w:autoSpaceDE w:val="0"/>
        <w:autoSpaceDN w:val="0"/>
        <w:adjustRightInd w:val="0"/>
        <w:spacing w:line="240" w:lineRule="auto"/>
      </w:pPr>
      <w:r>
        <w:t xml:space="preserve">King H, Corry P, Wauchob T </w:t>
      </w:r>
      <w:r w:rsidRPr="00A56D42">
        <w:rPr>
          <w:i/>
        </w:rPr>
        <w:t>et al</w:t>
      </w:r>
      <w:r>
        <w:t xml:space="preserve">. Probable dystonic reaction after a single dose of cyclizine in a patient with a history of encephalitis. </w:t>
      </w:r>
      <w:r w:rsidRPr="00A56D42">
        <w:rPr>
          <w:i/>
        </w:rPr>
        <w:t>Anaesthesia</w:t>
      </w:r>
      <w:r>
        <w:t>. 2003; 58:</w:t>
      </w:r>
      <w:r w:rsidR="00A56D42">
        <w:t xml:space="preserve"> </w:t>
      </w:r>
      <w:r>
        <w:t>257-260.</w:t>
      </w:r>
    </w:p>
    <w:p w:rsidR="002A3E46" w:rsidRDefault="002A3E46" w:rsidP="005C3144">
      <w:pPr>
        <w:autoSpaceDE w:val="0"/>
        <w:autoSpaceDN w:val="0"/>
        <w:adjustRightInd w:val="0"/>
        <w:spacing w:line="240" w:lineRule="auto"/>
      </w:pPr>
      <w:r>
        <w:t xml:space="preserve">Klawans-Harold L, Moskovitz C. Cyclizine induced chorea. </w:t>
      </w:r>
      <w:r w:rsidRPr="00A56D42">
        <w:rPr>
          <w:i/>
        </w:rPr>
        <w:t>J Neurol Sci</w:t>
      </w:r>
      <w:r>
        <w:t>. 1977; 31:</w:t>
      </w:r>
      <w:r w:rsidR="00A56D42">
        <w:t xml:space="preserve"> </w:t>
      </w:r>
      <w:r>
        <w:t>237-244.</w:t>
      </w:r>
    </w:p>
    <w:p w:rsidR="002A3E46" w:rsidRDefault="002A3E46" w:rsidP="005C3144">
      <w:pPr>
        <w:autoSpaceDE w:val="0"/>
        <w:autoSpaceDN w:val="0"/>
        <w:adjustRightInd w:val="0"/>
        <w:spacing w:line="240" w:lineRule="auto"/>
      </w:pPr>
      <w:r>
        <w:t xml:space="preserve">Kuntzman R, Klutch A, Tsai I </w:t>
      </w:r>
      <w:r w:rsidRPr="00A56D42">
        <w:rPr>
          <w:i/>
        </w:rPr>
        <w:t>et al</w:t>
      </w:r>
      <w:r>
        <w:t xml:space="preserve">. Physiological distribution and metabolic inactivation of chlorcyclizine and cyclizine. </w:t>
      </w:r>
      <w:r w:rsidRPr="00A56D42">
        <w:rPr>
          <w:i/>
        </w:rPr>
        <w:t>J Pharmacol Exp Ther</w:t>
      </w:r>
      <w:r w:rsidR="00A56D42">
        <w:rPr>
          <w:i/>
        </w:rPr>
        <w:t>.</w:t>
      </w:r>
      <w:r>
        <w:t xml:space="preserve"> 1965; 149: 29-35.</w:t>
      </w:r>
    </w:p>
    <w:p w:rsidR="002A3E46" w:rsidRDefault="002A3E46" w:rsidP="005C3144">
      <w:pPr>
        <w:autoSpaceDE w:val="0"/>
        <w:autoSpaceDN w:val="0"/>
        <w:adjustRightInd w:val="0"/>
        <w:spacing w:line="240" w:lineRule="auto"/>
      </w:pPr>
      <w:r>
        <w:t>Laffey JG, Boylan JF</w:t>
      </w:r>
      <w:r w:rsidR="00A56D42">
        <w:t>.</w:t>
      </w:r>
      <w:r>
        <w:t xml:space="preserve"> Cyclizine and droperidol have comparable efficacy and side effects during patient-controlled analgesia. </w:t>
      </w:r>
      <w:r w:rsidRPr="00A56D42">
        <w:rPr>
          <w:i/>
        </w:rPr>
        <w:t>Irish J Med Sci</w:t>
      </w:r>
      <w:r>
        <w:t>. 2002; 171(3): 141-144.</w:t>
      </w:r>
    </w:p>
    <w:p w:rsidR="002A3E46" w:rsidRDefault="003E1DD8" w:rsidP="005C3144">
      <w:pPr>
        <w:autoSpaceDE w:val="0"/>
        <w:autoSpaceDN w:val="0"/>
        <w:adjustRightInd w:val="0"/>
        <w:spacing w:line="240" w:lineRule="auto"/>
      </w:pPr>
      <w:r>
        <w:t>Land</w:t>
      </w:r>
      <w:r w:rsidR="002A3E46">
        <w:t xml:space="preserve"> </w:t>
      </w:r>
      <w:r>
        <w:t xml:space="preserve">G, </w:t>
      </w:r>
      <w:r w:rsidR="002A3E46">
        <w:t>Dean</w:t>
      </w:r>
      <w:r>
        <w:t xml:space="preserve"> K</w:t>
      </w:r>
      <w:r w:rsidR="002A3E46">
        <w:t>, Bye</w:t>
      </w:r>
      <w:r>
        <w:t xml:space="preserve"> A</w:t>
      </w:r>
      <w:r w:rsidR="002A3E46">
        <w:t xml:space="preserve">. Determination of cyclizine and norcyclizine in plasma and urine using gas-liquid chromatography with nitrogen selective detection. </w:t>
      </w:r>
      <w:r w:rsidR="002A3E46" w:rsidRPr="00A56D42">
        <w:rPr>
          <w:i/>
        </w:rPr>
        <w:t>J. Chromatogr</w:t>
      </w:r>
      <w:r w:rsidR="002A3E46">
        <w:t xml:space="preserve">. </w:t>
      </w:r>
      <w:r w:rsidR="00A56D42">
        <w:t xml:space="preserve">1981; </w:t>
      </w:r>
      <w:r w:rsidR="002A3E46">
        <w:t xml:space="preserve">222: 13540. </w:t>
      </w:r>
      <w:r w:rsidR="00A56D42">
        <w:t>[</w:t>
      </w:r>
      <w:r w:rsidR="002A3E46">
        <w:t>Not submitted</w:t>
      </w:r>
      <w:r w:rsidR="00A56D42">
        <w:t>]</w:t>
      </w:r>
      <w:r w:rsidR="002A3E46">
        <w:t>.</w:t>
      </w:r>
    </w:p>
    <w:p w:rsidR="002A3E46" w:rsidRDefault="002A3E46" w:rsidP="005C3144">
      <w:pPr>
        <w:autoSpaceDE w:val="0"/>
        <w:autoSpaceDN w:val="0"/>
        <w:adjustRightInd w:val="0"/>
        <w:spacing w:line="240" w:lineRule="auto"/>
      </w:pPr>
      <w:r w:rsidRPr="00353085">
        <w:t>Le TP</w:t>
      </w:r>
      <w:r w:rsidR="00252BF2">
        <w:t>,</w:t>
      </w:r>
      <w:r w:rsidRPr="00353085">
        <w:t xml:space="preserve"> Gan JG. Update on the Management of Postoperative Nausea and Vomiting and Postdischarge Nausea and Vomiting in Ambulatory Surgery. </w:t>
      </w:r>
      <w:r w:rsidRPr="00A56D42">
        <w:rPr>
          <w:i/>
        </w:rPr>
        <w:t>Anaesthesiology Clinics</w:t>
      </w:r>
      <w:r w:rsidR="00A56D42">
        <w:rPr>
          <w:i/>
        </w:rPr>
        <w:t>;</w:t>
      </w:r>
      <w:r w:rsidRPr="00353085">
        <w:t xml:space="preserve"> 2010; 225-249.</w:t>
      </w:r>
    </w:p>
    <w:p w:rsidR="002A3E46" w:rsidRDefault="002A3E46" w:rsidP="005C3144">
      <w:pPr>
        <w:autoSpaceDE w:val="0"/>
        <w:autoSpaceDN w:val="0"/>
        <w:adjustRightInd w:val="0"/>
        <w:spacing w:line="240" w:lineRule="auto"/>
      </w:pPr>
      <w:r>
        <w:t xml:space="preserve">Lederer LG, Putnam LE. Comparison of drowsiness induced by bonamine and marezine. </w:t>
      </w:r>
      <w:r w:rsidRPr="00A56D42">
        <w:rPr>
          <w:i/>
        </w:rPr>
        <w:t>J Aviat Med</w:t>
      </w:r>
      <w:r>
        <w:t>. 1958; 29(12):</w:t>
      </w:r>
      <w:r w:rsidR="00A56D42">
        <w:t xml:space="preserve"> </w:t>
      </w:r>
      <w:r>
        <w:t>885-890.</w:t>
      </w:r>
    </w:p>
    <w:p w:rsidR="002A3E46" w:rsidRDefault="002A3E46" w:rsidP="005C3144">
      <w:pPr>
        <w:autoSpaceDE w:val="0"/>
        <w:autoSpaceDN w:val="0"/>
        <w:adjustRightInd w:val="0"/>
        <w:spacing w:line="240" w:lineRule="auto"/>
      </w:pPr>
      <w:r>
        <w:t xml:space="preserve">Luo H, Hawes EM, McKay G, Korchinski ED, Midha KK. N+-Glucuronidation of aliphatic tertiary amines, a general phenomenon in the metabolism of H1-antihistamines in humans. </w:t>
      </w:r>
      <w:r w:rsidRPr="00A56D42">
        <w:rPr>
          <w:i/>
        </w:rPr>
        <w:t>Xenobiotica</w:t>
      </w:r>
      <w:r>
        <w:t>. 1991; 21(10):</w:t>
      </w:r>
      <w:r w:rsidR="00A56D42">
        <w:t xml:space="preserve"> </w:t>
      </w:r>
      <w:r>
        <w:t>1281-1288.</w:t>
      </w:r>
    </w:p>
    <w:p w:rsidR="002A3E46" w:rsidRDefault="002A3E46" w:rsidP="005C3144">
      <w:pPr>
        <w:autoSpaceDE w:val="0"/>
        <w:autoSpaceDN w:val="0"/>
        <w:adjustRightInd w:val="0"/>
        <w:spacing w:line="240" w:lineRule="auto"/>
      </w:pPr>
      <w:r>
        <w:t xml:space="preserve">Marr R, Orvin A. Transient paralysis after administration of cyclizine. </w:t>
      </w:r>
      <w:r w:rsidRPr="00A56D42">
        <w:rPr>
          <w:i/>
        </w:rPr>
        <w:t>Anaesthesia</w:t>
      </w:r>
      <w:r>
        <w:t>. 2006; 61:</w:t>
      </w:r>
      <w:r w:rsidR="00A56D42">
        <w:t xml:space="preserve"> </w:t>
      </w:r>
      <w:r>
        <w:t>1226-1227.</w:t>
      </w:r>
    </w:p>
    <w:p w:rsidR="00991508" w:rsidRPr="00991508" w:rsidRDefault="00991508" w:rsidP="005C3144">
      <w:pPr>
        <w:autoSpaceDE w:val="0"/>
        <w:autoSpaceDN w:val="0"/>
        <w:adjustRightInd w:val="0"/>
        <w:spacing w:line="240" w:lineRule="auto"/>
      </w:pPr>
      <w:r w:rsidRPr="00991508">
        <w:t xml:space="preserve">McBride WG. The teratogenic action of drugs. </w:t>
      </w:r>
      <w:r w:rsidRPr="00991508">
        <w:rPr>
          <w:i/>
        </w:rPr>
        <w:t>Med J Aust</w:t>
      </w:r>
      <w:r w:rsidRPr="00991508">
        <w:t>. 1963; II(17): 689-693.</w:t>
      </w:r>
    </w:p>
    <w:p w:rsidR="002A3E46" w:rsidRDefault="002A3E46" w:rsidP="005C3144">
      <w:pPr>
        <w:autoSpaceDE w:val="0"/>
        <w:autoSpaceDN w:val="0"/>
        <w:adjustRightInd w:val="0"/>
        <w:spacing w:line="240" w:lineRule="auto"/>
      </w:pPr>
      <w:r>
        <w:t xml:space="preserve">McBride WG. An aetiological study of drug ingestion by women who gave birth to babies with cleft palate. </w:t>
      </w:r>
      <w:r w:rsidRPr="00F61F7A">
        <w:rPr>
          <w:i/>
        </w:rPr>
        <w:t>Aust N Z J Obstet Gynaecol</w:t>
      </w:r>
      <w:r>
        <w:t>. 1969; 9(2):</w:t>
      </w:r>
      <w:r w:rsidR="00F61F7A">
        <w:t xml:space="preserve"> </w:t>
      </w:r>
      <w:r>
        <w:t>103-104.</w:t>
      </w:r>
    </w:p>
    <w:p w:rsidR="00991508" w:rsidRDefault="00991508" w:rsidP="005C3144">
      <w:pPr>
        <w:autoSpaceDE w:val="0"/>
        <w:autoSpaceDN w:val="0"/>
        <w:adjustRightInd w:val="0"/>
        <w:spacing w:line="240" w:lineRule="auto"/>
      </w:pPr>
      <w:r w:rsidRPr="00991508">
        <w:t xml:space="preserve">Mellin GW, Katzenstein M. Meclozine and foetal abnormalities. </w:t>
      </w:r>
      <w:r w:rsidRPr="00F61F7A">
        <w:rPr>
          <w:i/>
        </w:rPr>
        <w:t>Lancet</w:t>
      </w:r>
      <w:r w:rsidRPr="00991508">
        <w:t>. 1963; 26(1):</w:t>
      </w:r>
      <w:r w:rsidR="00F61F7A">
        <w:t xml:space="preserve"> </w:t>
      </w:r>
      <w:r w:rsidRPr="00991508">
        <w:t>222</w:t>
      </w:r>
      <w:r w:rsidR="00F61F7A">
        <w:noBreakHyphen/>
      </w:r>
      <w:r w:rsidRPr="00991508">
        <w:t>223.</w:t>
      </w:r>
    </w:p>
    <w:p w:rsidR="002A3E46" w:rsidRDefault="002A3E46" w:rsidP="005C3144">
      <w:pPr>
        <w:autoSpaceDE w:val="0"/>
        <w:autoSpaceDN w:val="0"/>
        <w:adjustRightInd w:val="0"/>
        <w:spacing w:line="240" w:lineRule="auto"/>
      </w:pPr>
      <w:r>
        <w:t xml:space="preserve">Michailidou M, Peck T. Dystonic reaction to cyclizine. </w:t>
      </w:r>
      <w:r w:rsidRPr="00F61F7A">
        <w:rPr>
          <w:i/>
        </w:rPr>
        <w:t>Anaesthesia</w:t>
      </w:r>
      <w:r>
        <w:t>. 2004; 59: 413-414.</w:t>
      </w:r>
    </w:p>
    <w:p w:rsidR="002A3E46" w:rsidRDefault="002A3E46" w:rsidP="005C3144">
      <w:pPr>
        <w:autoSpaceDE w:val="0"/>
        <w:autoSpaceDN w:val="0"/>
        <w:adjustRightInd w:val="0"/>
        <w:spacing w:line="240" w:lineRule="auto"/>
      </w:pPr>
      <w:r>
        <w:t xml:space="preserve">Milkovich L, van den Berg BJ. An evaluation of the teratogenicity of certain antinauseant drugs. </w:t>
      </w:r>
      <w:r w:rsidRPr="00F61F7A">
        <w:rPr>
          <w:i/>
        </w:rPr>
        <w:t>Am J Obst Gynec</w:t>
      </w:r>
      <w:r>
        <w:t>. 1976; 125:</w:t>
      </w:r>
      <w:r w:rsidR="00F61F7A">
        <w:t xml:space="preserve"> </w:t>
      </w:r>
      <w:r>
        <w:t>244-248.</w:t>
      </w:r>
    </w:p>
    <w:p w:rsidR="00314C84" w:rsidRDefault="00314C84" w:rsidP="005C3144">
      <w:pPr>
        <w:autoSpaceDE w:val="0"/>
        <w:autoSpaceDN w:val="0"/>
        <w:adjustRightInd w:val="0"/>
        <w:spacing w:line="240" w:lineRule="auto"/>
      </w:pPr>
      <w:r>
        <w:t xml:space="preserve">Moore DC, Bridenbaugh LD, Piccioni VF, Adams AP, Lindstrom CA. Control of Post Operative Nausea and Vomiting: A Double-Blind Study. </w:t>
      </w:r>
      <w:r w:rsidRPr="00F61F7A">
        <w:rPr>
          <w:i/>
        </w:rPr>
        <w:t>Anesthesiology</w:t>
      </w:r>
      <w:r>
        <w:t>. 1956; 17: 690-695.</w:t>
      </w:r>
    </w:p>
    <w:p w:rsidR="002A3E46" w:rsidRDefault="002A3E46" w:rsidP="005C3144">
      <w:pPr>
        <w:autoSpaceDE w:val="0"/>
        <w:autoSpaceDN w:val="0"/>
        <w:adjustRightInd w:val="0"/>
        <w:spacing w:line="240" w:lineRule="auto"/>
      </w:pPr>
      <w:r>
        <w:t xml:space="preserve">Nelson MM, Forfar JO. Associations between drugs administered during pregnancy and congenital abnormalities of the fetus. </w:t>
      </w:r>
      <w:r w:rsidRPr="00F61F7A">
        <w:rPr>
          <w:i/>
        </w:rPr>
        <w:t>Br Med J</w:t>
      </w:r>
      <w:r>
        <w:t xml:space="preserve">. 1971; 1(5748): 523-527. </w:t>
      </w:r>
    </w:p>
    <w:p w:rsidR="002A3E46" w:rsidRDefault="002A3E46" w:rsidP="005C3144">
      <w:pPr>
        <w:autoSpaceDE w:val="0"/>
        <w:autoSpaceDN w:val="0"/>
        <w:adjustRightInd w:val="0"/>
        <w:spacing w:line="240" w:lineRule="auto"/>
      </w:pPr>
      <w:r>
        <w:t xml:space="preserve">Nicholl RM, Moore J, Dundee JW. Alterations in response to somatic pain associated with anaethesia. XI. Two non-phenothiazine anti-emetics: cyclizine and trimethobenzamide. </w:t>
      </w:r>
      <w:r w:rsidRPr="00F61F7A">
        <w:rPr>
          <w:i/>
        </w:rPr>
        <w:t>Br J Anaesth</w:t>
      </w:r>
      <w:r>
        <w:t>. 1962; 34: 287.</w:t>
      </w:r>
    </w:p>
    <w:p w:rsidR="002A3E46" w:rsidRDefault="002A3E46" w:rsidP="005C3144">
      <w:pPr>
        <w:autoSpaceDE w:val="0"/>
        <w:autoSpaceDN w:val="0"/>
        <w:adjustRightInd w:val="0"/>
        <w:spacing w:line="240" w:lineRule="auto"/>
      </w:pPr>
      <w:r w:rsidRPr="007342E6">
        <w:lastRenderedPageBreak/>
        <w:t xml:space="preserve">Nortcliffe SA, Shah J, Buggy DJ. Prevention of postoperative nausea and vomiting after spinal morphine analgesia for caesarean section: comparison between cyclizine, dexamethasone, and placebo. </w:t>
      </w:r>
      <w:r w:rsidRPr="00F61F7A">
        <w:rPr>
          <w:i/>
        </w:rPr>
        <w:t>Br J Anaesth</w:t>
      </w:r>
      <w:r w:rsidRPr="007342E6">
        <w:t>. 2003; 90(5):665-670.</w:t>
      </w:r>
    </w:p>
    <w:p w:rsidR="002A3E46" w:rsidRDefault="002A3E46" w:rsidP="005C3144">
      <w:pPr>
        <w:autoSpaceDE w:val="0"/>
        <w:autoSpaceDN w:val="0"/>
        <w:adjustRightInd w:val="0"/>
        <w:spacing w:line="240" w:lineRule="auto"/>
      </w:pPr>
      <w:r>
        <w:t xml:space="preserve">Norton S, Colvlle KI, Light AE </w:t>
      </w:r>
      <w:r w:rsidRPr="00F61F7A">
        <w:rPr>
          <w:i/>
        </w:rPr>
        <w:t>et al</w:t>
      </w:r>
      <w:r w:rsidR="00F61F7A">
        <w:rPr>
          <w:i/>
        </w:rPr>
        <w:t>.</w:t>
      </w:r>
      <w:r>
        <w:t xml:space="preserve"> Pharmacologic properties of cyclizine hydrochloride (marezine)</w:t>
      </w:r>
      <w:r w:rsidR="00F61F7A">
        <w:t>.</w:t>
      </w:r>
      <w:r>
        <w:t xml:space="preserve"> </w:t>
      </w:r>
      <w:r w:rsidRPr="00F61F7A">
        <w:rPr>
          <w:i/>
        </w:rPr>
        <w:t>J Pharmacol Exp Ther</w:t>
      </w:r>
      <w:r>
        <w:t xml:space="preserve"> 1954; 112(3):</w:t>
      </w:r>
      <w:r w:rsidR="00F61F7A">
        <w:t xml:space="preserve"> </w:t>
      </w:r>
      <w:r>
        <w:t>297-305</w:t>
      </w:r>
      <w:r w:rsidR="00F17B27">
        <w:t>.</w:t>
      </w:r>
    </w:p>
    <w:p w:rsidR="002A3E46" w:rsidRDefault="002A3E46" w:rsidP="005C3144">
      <w:pPr>
        <w:autoSpaceDE w:val="0"/>
        <w:autoSpaceDN w:val="0"/>
        <w:adjustRightInd w:val="0"/>
        <w:spacing w:line="240" w:lineRule="auto"/>
      </w:pPr>
      <w:r>
        <w:t xml:space="preserve">O'Brien CM, Titley G, Whitehurst P. A comparison of cyclizine, ondansetron and placebo as prophylaxis against postoperative nausea and vomiting in children. </w:t>
      </w:r>
      <w:r w:rsidRPr="00F61F7A">
        <w:rPr>
          <w:i/>
        </w:rPr>
        <w:t>Anaesthesia</w:t>
      </w:r>
      <w:r>
        <w:t xml:space="preserve"> 2003; 58(7): 707-711.</w:t>
      </w:r>
    </w:p>
    <w:p w:rsidR="002A3E46" w:rsidRDefault="002A3E46" w:rsidP="005C3144">
      <w:pPr>
        <w:autoSpaceDE w:val="0"/>
        <w:autoSpaceDN w:val="0"/>
        <w:adjustRightInd w:val="0"/>
        <w:spacing w:line="240" w:lineRule="auto"/>
      </w:pPr>
      <w:r>
        <w:t>Pendse VK</w:t>
      </w:r>
      <w:r w:rsidR="00F61F7A">
        <w:t>.,</w:t>
      </w:r>
      <w:r>
        <w:t xml:space="preserve"> Madan BR</w:t>
      </w:r>
      <w:r w:rsidR="00F61F7A">
        <w:t>.</w:t>
      </w:r>
      <w:r>
        <w:t xml:space="preserve"> Some pharmacological actions of cyclizine, chlorcyclizine and homchlorcyclizine</w:t>
      </w:r>
      <w:r w:rsidR="00F61F7A">
        <w:t>.</w:t>
      </w:r>
      <w:r>
        <w:t xml:space="preserve"> </w:t>
      </w:r>
      <w:r w:rsidRPr="00F61F7A">
        <w:rPr>
          <w:i/>
        </w:rPr>
        <w:t>Indian J Physiol Pharmacol</w:t>
      </w:r>
      <w:r>
        <w:t xml:space="preserve"> 1969; 13:</w:t>
      </w:r>
      <w:r w:rsidR="00F61F7A">
        <w:t xml:space="preserve"> </w:t>
      </w:r>
      <w:r>
        <w:t>31-</w:t>
      </w:r>
      <w:r w:rsidR="00F61F7A">
        <w:t>3</w:t>
      </w:r>
      <w:r>
        <w:t>6</w:t>
      </w:r>
      <w:r w:rsidR="00F17B27">
        <w:t>.</w:t>
      </w:r>
    </w:p>
    <w:p w:rsidR="002A3E46" w:rsidRDefault="002A3E46" w:rsidP="005C3144">
      <w:pPr>
        <w:autoSpaceDE w:val="0"/>
        <w:autoSpaceDN w:val="0"/>
        <w:adjustRightInd w:val="0"/>
        <w:spacing w:line="240" w:lineRule="auto"/>
      </w:pPr>
      <w:r>
        <w:t xml:space="preserve">Reicke N. The etiology and drug therapy of kinesia: investigations by means of the coriolis effect under cyclizine. </w:t>
      </w:r>
      <w:r w:rsidRPr="00125954">
        <w:rPr>
          <w:i/>
        </w:rPr>
        <w:t>J Otorhinolaryngol Relat Spec</w:t>
      </w:r>
      <w:r>
        <w:t>. 1976; 38(5): 267-275.</w:t>
      </w:r>
    </w:p>
    <w:p w:rsidR="002A3E46" w:rsidRDefault="002A3E46" w:rsidP="005C3144">
      <w:pPr>
        <w:autoSpaceDE w:val="0"/>
        <w:autoSpaceDN w:val="0"/>
        <w:adjustRightInd w:val="0"/>
        <w:spacing w:line="240" w:lineRule="auto"/>
      </w:pPr>
      <w:r>
        <w:t>Resch F, Bachner I, Hruby K, Lenz K. The intoxication with cyclizine in infancy and adult age (Experiences of a contamination-information-central office).</w:t>
      </w:r>
      <w:r w:rsidR="00674106">
        <w:t xml:space="preserve"> </w:t>
      </w:r>
      <w:r w:rsidRPr="00F17B27">
        <w:rPr>
          <w:i/>
        </w:rPr>
        <w:t>Klin Padiatr</w:t>
      </w:r>
      <w:r>
        <w:t>. 1982; 194:</w:t>
      </w:r>
      <w:r w:rsidR="00F17B27">
        <w:t xml:space="preserve"> </w:t>
      </w:r>
      <w:r>
        <w:t>42-45.</w:t>
      </w:r>
    </w:p>
    <w:p w:rsidR="001F7DFB" w:rsidRDefault="002A3E46" w:rsidP="005C3144">
      <w:pPr>
        <w:autoSpaceDE w:val="0"/>
        <w:autoSpaceDN w:val="0"/>
        <w:adjustRightInd w:val="0"/>
        <w:spacing w:line="240" w:lineRule="auto"/>
      </w:pPr>
      <w:r>
        <w:t xml:space="preserve">Ruben SM, Mclean PC, Melville J. Cyclizine abuse among a group of opiate dependents receiving methadone. </w:t>
      </w:r>
      <w:r w:rsidRPr="00F17B27">
        <w:rPr>
          <w:i/>
        </w:rPr>
        <w:t>Br J Addiction</w:t>
      </w:r>
      <w:r>
        <w:t>. 1989; 84:</w:t>
      </w:r>
      <w:r w:rsidR="00F17B27">
        <w:t xml:space="preserve"> </w:t>
      </w:r>
      <w:r>
        <w:t xml:space="preserve">929-934. </w:t>
      </w:r>
    </w:p>
    <w:p w:rsidR="002A3E46" w:rsidRDefault="002A3E46" w:rsidP="005C3144">
      <w:pPr>
        <w:autoSpaceDE w:val="0"/>
        <w:autoSpaceDN w:val="0"/>
        <w:adjustRightInd w:val="0"/>
        <w:spacing w:line="240" w:lineRule="auto"/>
      </w:pPr>
      <w:r>
        <w:t xml:space="preserve">Russell JT. Cyclizine anaphylaxis, when administered with propanidid. </w:t>
      </w:r>
      <w:r w:rsidRPr="00F17B27">
        <w:rPr>
          <w:i/>
        </w:rPr>
        <w:t>Anaesthesia</w:t>
      </w:r>
      <w:r>
        <w:t>. 1969; 24:</w:t>
      </w:r>
      <w:r w:rsidR="00F17B27">
        <w:t xml:space="preserve"> </w:t>
      </w:r>
      <w:r>
        <w:t>76-80.</w:t>
      </w:r>
    </w:p>
    <w:p w:rsidR="00314C84" w:rsidRPr="00314C84" w:rsidRDefault="00314C84" w:rsidP="005C3144">
      <w:pPr>
        <w:autoSpaceDE w:val="0"/>
        <w:autoSpaceDN w:val="0"/>
        <w:adjustRightInd w:val="0"/>
        <w:spacing w:line="240" w:lineRule="auto"/>
      </w:pPr>
      <w:r w:rsidRPr="00314C84">
        <w:t xml:space="preserve">Sadusk JF, Palmisano PA. Teratogenic effect of meclizine, cyclizine and chlorcyclizine. 1965; </w:t>
      </w:r>
      <w:r w:rsidR="00F17B27" w:rsidRPr="00F17B27">
        <w:rPr>
          <w:i/>
        </w:rPr>
        <w:t>J</w:t>
      </w:r>
      <w:r w:rsidR="00F17B27">
        <w:rPr>
          <w:i/>
        </w:rPr>
        <w:t xml:space="preserve"> </w:t>
      </w:r>
      <w:r w:rsidR="00F17B27" w:rsidRPr="00F17B27">
        <w:rPr>
          <w:i/>
        </w:rPr>
        <w:t>A</w:t>
      </w:r>
      <w:r w:rsidR="00F17B27">
        <w:rPr>
          <w:i/>
        </w:rPr>
        <w:t xml:space="preserve">m </w:t>
      </w:r>
      <w:r w:rsidR="00F17B27" w:rsidRPr="00F17B27">
        <w:rPr>
          <w:i/>
        </w:rPr>
        <w:t>M</w:t>
      </w:r>
      <w:r w:rsidR="00F17B27">
        <w:rPr>
          <w:i/>
        </w:rPr>
        <w:t xml:space="preserve">ed </w:t>
      </w:r>
      <w:r w:rsidR="00F17B27" w:rsidRPr="00F17B27">
        <w:rPr>
          <w:i/>
        </w:rPr>
        <w:t>A</w:t>
      </w:r>
      <w:r w:rsidR="00F17B27">
        <w:rPr>
          <w:i/>
        </w:rPr>
        <w:t>ssoc.</w:t>
      </w:r>
      <w:r w:rsidR="00F17B27" w:rsidRPr="00314C84">
        <w:t xml:space="preserve"> </w:t>
      </w:r>
      <w:r w:rsidRPr="00314C84">
        <w:t>194(9):</w:t>
      </w:r>
      <w:r w:rsidR="00F17B27">
        <w:t xml:space="preserve"> </w:t>
      </w:r>
      <w:r w:rsidRPr="00314C84">
        <w:t>987-989</w:t>
      </w:r>
      <w:r w:rsidR="00F17B27">
        <w:t>.</w:t>
      </w:r>
    </w:p>
    <w:p w:rsidR="002A3E46" w:rsidRDefault="002A3E46" w:rsidP="005C3144">
      <w:pPr>
        <w:autoSpaceDE w:val="0"/>
        <w:autoSpaceDN w:val="0"/>
        <w:adjustRightInd w:val="0"/>
        <w:spacing w:line="240" w:lineRule="auto"/>
      </w:pPr>
      <w:r>
        <w:t xml:space="preserve">Sandhu S, Clarck TNS, Greaves D </w:t>
      </w:r>
      <w:r w:rsidRPr="00F17B27">
        <w:rPr>
          <w:i/>
        </w:rPr>
        <w:t>et al</w:t>
      </w:r>
      <w:r>
        <w:t xml:space="preserve">. Transient paralysis after administration of a single dose of cyclizine. </w:t>
      </w:r>
      <w:r w:rsidRPr="00F17B27">
        <w:rPr>
          <w:i/>
        </w:rPr>
        <w:t>Anaesthesia</w:t>
      </w:r>
      <w:r>
        <w:t>. 2005; 60:</w:t>
      </w:r>
      <w:r w:rsidR="00F17B27">
        <w:t xml:space="preserve"> </w:t>
      </w:r>
      <w:r>
        <w:t>1235-1236.</w:t>
      </w:r>
    </w:p>
    <w:p w:rsidR="002A3E46" w:rsidRDefault="002A3E46" w:rsidP="005C3144">
      <w:pPr>
        <w:autoSpaceDE w:val="0"/>
        <w:autoSpaceDN w:val="0"/>
        <w:adjustRightInd w:val="0"/>
        <w:spacing w:line="240" w:lineRule="auto"/>
      </w:pPr>
      <w:r>
        <w:t xml:space="preserve">Sewell A, Nixon M. Dystonic reaction in cyclizine. </w:t>
      </w:r>
      <w:r w:rsidRPr="00F17B27">
        <w:rPr>
          <w:i/>
        </w:rPr>
        <w:t>Anaesthesia</w:t>
      </w:r>
      <w:r w:rsidR="00F17B27">
        <w:t xml:space="preserve">. 2003; 58: </w:t>
      </w:r>
      <w:r>
        <w:t>928.</w:t>
      </w:r>
    </w:p>
    <w:p w:rsidR="00674106" w:rsidRPr="00674106" w:rsidRDefault="00674106" w:rsidP="005C3144">
      <w:pPr>
        <w:autoSpaceDE w:val="0"/>
        <w:autoSpaceDN w:val="0"/>
        <w:adjustRightInd w:val="0"/>
        <w:spacing w:line="240" w:lineRule="auto"/>
      </w:pPr>
      <w:r w:rsidRPr="00674106">
        <w:rPr>
          <w:rFonts w:hint="eastAsia"/>
        </w:rPr>
        <w:t>Sinclair</w:t>
      </w:r>
      <w:r>
        <w:t xml:space="preserve"> DR</w:t>
      </w:r>
      <w:r w:rsidRPr="00674106">
        <w:rPr>
          <w:rFonts w:hint="eastAsia"/>
        </w:rPr>
        <w:t xml:space="preserve">, Chung, </w:t>
      </w:r>
      <w:r>
        <w:t xml:space="preserve">F, </w:t>
      </w:r>
      <w:r w:rsidRPr="00674106">
        <w:rPr>
          <w:rFonts w:hint="eastAsia"/>
        </w:rPr>
        <w:t>Mezei</w:t>
      </w:r>
      <w:r>
        <w:t xml:space="preserve"> G. </w:t>
      </w:r>
      <w:r w:rsidRPr="00674106">
        <w:rPr>
          <w:rFonts w:hint="eastAsia"/>
        </w:rPr>
        <w:t>Can postoperative nausea and vomiting be predicted?</w:t>
      </w:r>
      <w:r>
        <w:t xml:space="preserve"> </w:t>
      </w:r>
      <w:r w:rsidRPr="00F17B27">
        <w:rPr>
          <w:rFonts w:hint="eastAsia"/>
          <w:i/>
        </w:rPr>
        <w:t>Anesthesiology</w:t>
      </w:r>
      <w:r w:rsidR="00F17B27">
        <w:rPr>
          <w:i/>
        </w:rPr>
        <w:t xml:space="preserve">. </w:t>
      </w:r>
      <w:r w:rsidR="00F17B27" w:rsidRPr="00F17B27">
        <w:t>1999</w:t>
      </w:r>
      <w:r w:rsidR="00F17B27">
        <w:t>;</w:t>
      </w:r>
      <w:r w:rsidR="00F17B27">
        <w:rPr>
          <w:rFonts w:hint="eastAsia"/>
        </w:rPr>
        <w:t xml:space="preserve"> 91</w:t>
      </w:r>
      <w:r w:rsidRPr="00674106">
        <w:rPr>
          <w:rFonts w:hint="eastAsia"/>
        </w:rPr>
        <w:t>(1)</w:t>
      </w:r>
      <w:r w:rsidR="00F17B27">
        <w:t>:</w:t>
      </w:r>
      <w:r w:rsidRPr="00674106">
        <w:rPr>
          <w:rFonts w:hint="eastAsia"/>
        </w:rPr>
        <w:t xml:space="preserve"> 109–118</w:t>
      </w:r>
    </w:p>
    <w:p w:rsidR="003E1DD8" w:rsidRPr="003E1DD8" w:rsidRDefault="003E1DD8" w:rsidP="005C3144">
      <w:pPr>
        <w:autoSpaceDE w:val="0"/>
        <w:autoSpaceDN w:val="0"/>
        <w:adjustRightInd w:val="0"/>
        <w:spacing w:line="240" w:lineRule="auto"/>
      </w:pPr>
      <w:r w:rsidRPr="003E1DD8">
        <w:t xml:space="preserve">Suzuki A, Yasui-Furukori N, Mihara K, Kondo T, Furukori H, Inoue Y, Kaneko S, Otani K. Histamine HI-receptor antagonists, promethazine and homochlorcyclizine, increase the steady-state plasma concentrations of haloperidol and reduced haloperidol. </w:t>
      </w:r>
      <w:r w:rsidRPr="00F17B27">
        <w:rPr>
          <w:i/>
        </w:rPr>
        <w:t>There Drug Manit</w:t>
      </w:r>
      <w:r w:rsidR="00F17B27">
        <w:rPr>
          <w:i/>
        </w:rPr>
        <w:t>.</w:t>
      </w:r>
      <w:r w:rsidRPr="003E1DD8">
        <w:t xml:space="preserve"> 2003; 25(2): 192-</w:t>
      </w:r>
      <w:r w:rsidR="00F17B27">
        <w:t>19</w:t>
      </w:r>
      <w:r w:rsidRPr="003E1DD8">
        <w:t>6.</w:t>
      </w:r>
    </w:p>
    <w:p w:rsidR="002A3E46" w:rsidRDefault="002A3E46" w:rsidP="005C3144">
      <w:pPr>
        <w:autoSpaceDE w:val="0"/>
        <w:autoSpaceDN w:val="0"/>
        <w:adjustRightInd w:val="0"/>
        <w:spacing w:line="240" w:lineRule="auto"/>
      </w:pPr>
      <w:r>
        <w:t xml:space="preserve">Tan LB, Bryant S, Murray RG. Detrimental haemodynamic effects of cyclizine in heart failure. </w:t>
      </w:r>
      <w:r w:rsidRPr="00F17B27">
        <w:rPr>
          <w:i/>
        </w:rPr>
        <w:t>Lancet</w:t>
      </w:r>
      <w:r>
        <w:t>. 1988; i: 560–561.</w:t>
      </w:r>
    </w:p>
    <w:p w:rsidR="002A3E46" w:rsidRDefault="002A3E46" w:rsidP="005C3144">
      <w:pPr>
        <w:autoSpaceDE w:val="0"/>
        <w:autoSpaceDN w:val="0"/>
        <w:adjustRightInd w:val="0"/>
        <w:spacing w:line="240" w:lineRule="auto"/>
      </w:pPr>
      <w:r w:rsidRPr="007342E6">
        <w:t xml:space="preserve">Turnbull AR, Isaacson P. Ischaemia colitis and drug abuse. </w:t>
      </w:r>
      <w:r w:rsidRPr="00F17B27">
        <w:rPr>
          <w:i/>
        </w:rPr>
        <w:t>B</w:t>
      </w:r>
      <w:r w:rsidR="00F17B27" w:rsidRPr="00F17B27">
        <w:rPr>
          <w:i/>
        </w:rPr>
        <w:t xml:space="preserve">r </w:t>
      </w:r>
      <w:r w:rsidRPr="00F17B27">
        <w:rPr>
          <w:i/>
        </w:rPr>
        <w:t>M</w:t>
      </w:r>
      <w:r w:rsidR="00F17B27" w:rsidRPr="00F17B27">
        <w:rPr>
          <w:i/>
        </w:rPr>
        <w:t xml:space="preserve">ed </w:t>
      </w:r>
      <w:r w:rsidRPr="00F17B27">
        <w:rPr>
          <w:i/>
        </w:rPr>
        <w:t>J</w:t>
      </w:r>
      <w:r w:rsidRPr="007342E6">
        <w:t>. 1977; 15:</w:t>
      </w:r>
      <w:r w:rsidR="00F17B27">
        <w:t xml:space="preserve"> </w:t>
      </w:r>
      <w:r w:rsidRPr="007342E6">
        <w:t>1000.</w:t>
      </w:r>
    </w:p>
    <w:p w:rsidR="002A3E46" w:rsidRDefault="002A3E46" w:rsidP="005C3144">
      <w:pPr>
        <w:autoSpaceDE w:val="0"/>
        <w:autoSpaceDN w:val="0"/>
        <w:adjustRightInd w:val="0"/>
        <w:spacing w:line="240" w:lineRule="auto"/>
      </w:pPr>
      <w:r w:rsidRPr="007342E6">
        <w:t xml:space="preserve">Walder AD, Aitkenhead AR. A comparison of droperidol and cyclizine in the prevention of postoperative nausea and vomiting associated with patient-controlled analgesia. </w:t>
      </w:r>
      <w:r w:rsidRPr="00F17B27">
        <w:rPr>
          <w:i/>
        </w:rPr>
        <w:t>Anaesthesia</w:t>
      </w:r>
      <w:r w:rsidRPr="007342E6">
        <w:t>. 1995; 50(7):</w:t>
      </w:r>
      <w:r w:rsidR="00F17B27">
        <w:t xml:space="preserve"> </w:t>
      </w:r>
      <w:r w:rsidRPr="007342E6">
        <w:t>654-656.</w:t>
      </w:r>
    </w:p>
    <w:p w:rsidR="002A3E46" w:rsidRDefault="002A3E46" w:rsidP="005C3144">
      <w:pPr>
        <w:autoSpaceDE w:val="0"/>
        <w:autoSpaceDN w:val="0"/>
        <w:adjustRightInd w:val="0"/>
        <w:spacing w:line="240" w:lineRule="auto"/>
      </w:pPr>
      <w:r>
        <w:t xml:space="preserve">Walker RB, Kanfer I. Sensitive high-performance liquid chromatographic determination of cyclizine and its demethylated metabolite, norcyclizine, in biological fluids using solid phase extraction. </w:t>
      </w:r>
      <w:r w:rsidRPr="00F17B27">
        <w:rPr>
          <w:i/>
        </w:rPr>
        <w:t>Chromatographia</w:t>
      </w:r>
      <w:r>
        <w:t>. 1987; 24:</w:t>
      </w:r>
      <w:r w:rsidR="00F17B27">
        <w:t xml:space="preserve"> </w:t>
      </w:r>
      <w:r>
        <w:t>287-290.</w:t>
      </w:r>
    </w:p>
    <w:p w:rsidR="002A3E46" w:rsidRDefault="00252BF2" w:rsidP="005C3144">
      <w:pPr>
        <w:autoSpaceDE w:val="0"/>
        <w:autoSpaceDN w:val="0"/>
        <w:adjustRightInd w:val="0"/>
        <w:spacing w:line="240" w:lineRule="auto"/>
      </w:pPr>
      <w:r>
        <w:t>Walker RB, Kanfer I</w:t>
      </w:r>
      <w:r w:rsidR="002A3E46">
        <w:t xml:space="preserve">. Pharmacokinetics of cyclizine following intravenous administration to human volunteers. </w:t>
      </w:r>
      <w:r w:rsidR="002A3E46" w:rsidRPr="00F17B27">
        <w:rPr>
          <w:i/>
        </w:rPr>
        <w:t>Eur J Pharmacol Sci</w:t>
      </w:r>
      <w:r w:rsidR="002A3E46">
        <w:t>. 1996; 4:</w:t>
      </w:r>
      <w:r w:rsidR="00F17B27">
        <w:t xml:space="preserve"> </w:t>
      </w:r>
      <w:r w:rsidR="002A3E46">
        <w:t>301-306.</w:t>
      </w:r>
    </w:p>
    <w:p w:rsidR="002A3E46" w:rsidRDefault="002A3E46" w:rsidP="005C3144">
      <w:pPr>
        <w:autoSpaceDE w:val="0"/>
        <w:autoSpaceDN w:val="0"/>
        <w:adjustRightInd w:val="0"/>
        <w:spacing w:line="240" w:lineRule="auto"/>
      </w:pPr>
      <w:r>
        <w:t xml:space="preserve">Watts SA. A randomised double-blinded comparison of metoclopramide, ondansetron and cyclizine in day-case laparoscopy. </w:t>
      </w:r>
      <w:r w:rsidRPr="00F17B27">
        <w:rPr>
          <w:i/>
        </w:rPr>
        <w:t>Anaesthesia Intensive Care</w:t>
      </w:r>
      <w:r>
        <w:t>. 1996; 24(5): 546-551.</w:t>
      </w:r>
    </w:p>
    <w:p w:rsidR="002A3E46" w:rsidRDefault="002A3E46" w:rsidP="005C3144">
      <w:pPr>
        <w:autoSpaceDE w:val="0"/>
        <w:autoSpaceDN w:val="0"/>
        <w:adjustRightInd w:val="0"/>
        <w:spacing w:line="240" w:lineRule="auto"/>
      </w:pPr>
      <w:r>
        <w:lastRenderedPageBreak/>
        <w:t xml:space="preserve">Williams PG, Ansell SM, Milne FJ. Illicit intravenous drug use in Johannesburg--medical complications and prevalence of HIV infection. </w:t>
      </w:r>
      <w:r w:rsidRPr="00F17B27">
        <w:rPr>
          <w:i/>
        </w:rPr>
        <w:t>S Afr Med J</w:t>
      </w:r>
      <w:r>
        <w:t>. 1997; 87(7): 889-891.</w:t>
      </w:r>
    </w:p>
    <w:p w:rsidR="002A3E46" w:rsidRPr="00353085" w:rsidRDefault="002A3E46" w:rsidP="005C3144">
      <w:pPr>
        <w:autoSpaceDE w:val="0"/>
        <w:autoSpaceDN w:val="0"/>
        <w:adjustRightInd w:val="0"/>
        <w:spacing w:line="240" w:lineRule="auto"/>
      </w:pPr>
      <w:r w:rsidRPr="00353085">
        <w:t xml:space="preserve">Yerushalmy J, Milkovich L. Evaluation of the teratogenic effects of meclizine in man. </w:t>
      </w:r>
      <w:r w:rsidR="00C51149">
        <w:rPr>
          <w:i/>
        </w:rPr>
        <w:t xml:space="preserve">Am J Obst </w:t>
      </w:r>
      <w:r w:rsidRPr="00F17B27">
        <w:rPr>
          <w:i/>
        </w:rPr>
        <w:t>Gynec</w:t>
      </w:r>
      <w:r w:rsidRPr="00353085">
        <w:t>. 1965; 93:</w:t>
      </w:r>
      <w:r w:rsidR="00F17B27">
        <w:t xml:space="preserve"> </w:t>
      </w:r>
      <w:r w:rsidRPr="00353085">
        <w:t xml:space="preserve">553-562. </w:t>
      </w:r>
    </w:p>
    <w:p w:rsidR="002A3E46" w:rsidRDefault="002A3E46" w:rsidP="002A3E46">
      <w:pPr>
        <w:autoSpaceDE w:val="0"/>
        <w:autoSpaceDN w:val="0"/>
        <w:adjustRightInd w:val="0"/>
        <w:spacing w:after="0" w:line="240" w:lineRule="auto"/>
      </w:pPr>
    </w:p>
    <w:p w:rsidR="00E91315" w:rsidRDefault="00E91315" w:rsidP="00D620C1">
      <w:pPr>
        <w:pStyle w:val="Heading2"/>
      </w:pPr>
      <w:bookmarkStart w:id="349" w:name="_Toc304266830"/>
      <w:bookmarkStart w:id="350" w:name="_Toc350329834"/>
      <w:bookmarkEnd w:id="347"/>
      <w:r>
        <w:t>A</w:t>
      </w:r>
      <w:r w:rsidR="00D70E27">
        <w:t xml:space="preserve">ppendix </w:t>
      </w:r>
      <w:r>
        <w:t>I</w:t>
      </w:r>
      <w:bookmarkEnd w:id="349"/>
      <w:bookmarkEnd w:id="350"/>
    </w:p>
    <w:p w:rsidR="00E91315" w:rsidRDefault="00E91315" w:rsidP="00E91315">
      <w:pPr>
        <w:autoSpaceDE w:val="0"/>
        <w:autoSpaceDN w:val="0"/>
        <w:adjustRightInd w:val="0"/>
      </w:pPr>
      <w:r w:rsidRPr="00E91315">
        <w:rPr>
          <w:b/>
        </w:rPr>
        <w:t>PSUR</w:t>
      </w:r>
      <w:r>
        <w:t xml:space="preserve"> </w:t>
      </w:r>
      <w:r>
        <w:rPr>
          <w:b/>
        </w:rPr>
        <w:t>1</w:t>
      </w:r>
      <w:r w:rsidRPr="00E91315">
        <w:rPr>
          <w:b/>
          <w:vertAlign w:val="superscript"/>
        </w:rPr>
        <w:t>st</w:t>
      </w:r>
      <w:r>
        <w:rPr>
          <w:b/>
        </w:rPr>
        <w:t xml:space="preserve"> November 2004 to 30</w:t>
      </w:r>
      <w:r w:rsidRPr="00E91315">
        <w:rPr>
          <w:b/>
          <w:vertAlign w:val="superscript"/>
        </w:rPr>
        <w:t>th</w:t>
      </w:r>
      <w:r>
        <w:rPr>
          <w:b/>
        </w:rPr>
        <w:t xml:space="preserve"> June 2008. AEs by Preferred Term</w:t>
      </w:r>
    </w:p>
    <w:p w:rsidR="00E91315" w:rsidRDefault="00DE18CA" w:rsidP="00E91315">
      <w:pPr>
        <w:autoSpaceDE w:val="0"/>
        <w:autoSpaceDN w:val="0"/>
        <w:adjustRightInd w:val="0"/>
      </w:pPr>
      <w:r>
        <w:rPr>
          <w:noProof/>
          <w:lang w:eastAsia="en-AU"/>
        </w:rPr>
        <w:drawing>
          <wp:inline distT="0" distB="0" distL="0" distR="0">
            <wp:extent cx="5306695" cy="645160"/>
            <wp:effectExtent l="19050" t="0" r="8255" b="0"/>
            <wp:docPr id="60" name="Picture 60" descr="Appendix I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5" cy="645160"/>
                    </a:xfrm>
                    <a:prstGeom prst="rect">
                      <a:avLst/>
                    </a:prstGeom>
                    <a:noFill/>
                    <a:ln>
                      <a:noFill/>
                    </a:ln>
                  </pic:spPr>
                </pic:pic>
              </a:graphicData>
            </a:graphic>
          </wp:inline>
        </w:drawing>
      </w:r>
    </w:p>
    <w:p w:rsidR="00E91315" w:rsidRDefault="00E91315" w:rsidP="00E91315">
      <w:pPr>
        <w:autoSpaceDE w:val="0"/>
        <w:autoSpaceDN w:val="0"/>
        <w:adjustRightInd w:val="0"/>
      </w:pPr>
      <w:r>
        <w:rPr>
          <w:b/>
          <w:bCs/>
          <w:color w:val="000000"/>
          <w:sz w:val="23"/>
          <w:szCs w:val="23"/>
        </w:rPr>
        <w:t>Infections and Infestations</w:t>
      </w:r>
    </w:p>
    <w:p w:rsidR="00E91315" w:rsidRDefault="00DE18CA" w:rsidP="00E91315">
      <w:pPr>
        <w:autoSpaceDE w:val="0"/>
        <w:autoSpaceDN w:val="0"/>
        <w:adjustRightInd w:val="0"/>
      </w:pPr>
      <w:r>
        <w:rPr>
          <w:noProof/>
          <w:lang w:eastAsia="en-AU"/>
        </w:rPr>
        <w:drawing>
          <wp:inline distT="0" distB="0" distL="0" distR="0">
            <wp:extent cx="3590290" cy="544195"/>
            <wp:effectExtent l="19050" t="0" r="0" b="0"/>
            <wp:docPr id="61" name="Picture 61" descr="Appendix I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290" cy="544195"/>
                    </a:xfrm>
                    <a:prstGeom prst="rect">
                      <a:avLst/>
                    </a:prstGeom>
                    <a:noFill/>
                    <a:ln>
                      <a:noFill/>
                    </a:ln>
                  </pic:spPr>
                </pic:pic>
              </a:graphicData>
            </a:graphic>
          </wp:inline>
        </w:drawing>
      </w:r>
    </w:p>
    <w:p w:rsidR="00E91315" w:rsidRDefault="00E91315" w:rsidP="00E91315">
      <w:pPr>
        <w:autoSpaceDE w:val="0"/>
        <w:autoSpaceDN w:val="0"/>
        <w:adjustRightInd w:val="0"/>
      </w:pPr>
      <w:r>
        <w:t>Immune system disorders</w:t>
      </w:r>
    </w:p>
    <w:p w:rsidR="00E91315" w:rsidRDefault="00DE18CA" w:rsidP="00E91315">
      <w:pPr>
        <w:autoSpaceDE w:val="0"/>
        <w:autoSpaceDN w:val="0"/>
        <w:adjustRightInd w:val="0"/>
      </w:pPr>
      <w:r>
        <w:rPr>
          <w:noProof/>
          <w:lang w:eastAsia="en-AU"/>
        </w:rPr>
        <w:drawing>
          <wp:inline distT="0" distB="0" distL="0" distR="0">
            <wp:extent cx="3573145" cy="521970"/>
            <wp:effectExtent l="19050" t="0" r="8255" b="0"/>
            <wp:docPr id="62" name="Picture 62" descr="Appendix I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145" cy="521970"/>
                    </a:xfrm>
                    <a:prstGeom prst="rect">
                      <a:avLst/>
                    </a:prstGeom>
                    <a:noFill/>
                    <a:ln>
                      <a:noFill/>
                    </a:ln>
                  </pic:spPr>
                </pic:pic>
              </a:graphicData>
            </a:graphic>
          </wp:inline>
        </w:drawing>
      </w:r>
    </w:p>
    <w:p w:rsidR="00E91315" w:rsidRDefault="00E91315" w:rsidP="00E91315">
      <w:pPr>
        <w:autoSpaceDE w:val="0"/>
        <w:autoSpaceDN w:val="0"/>
        <w:adjustRightInd w:val="0"/>
      </w:pPr>
      <w:r>
        <w:t>Metabolism and nutrition disorders</w:t>
      </w:r>
    </w:p>
    <w:p w:rsidR="00E91315" w:rsidRDefault="00DE18CA" w:rsidP="00E91315">
      <w:pPr>
        <w:autoSpaceDE w:val="0"/>
        <w:autoSpaceDN w:val="0"/>
        <w:adjustRightInd w:val="0"/>
      </w:pPr>
      <w:r>
        <w:rPr>
          <w:noProof/>
          <w:lang w:eastAsia="en-AU"/>
        </w:rPr>
        <w:drawing>
          <wp:inline distT="0" distB="0" distL="0" distR="0">
            <wp:extent cx="5290185" cy="375920"/>
            <wp:effectExtent l="19050" t="0" r="5715" b="0"/>
            <wp:docPr id="63" name="Picture 63" descr="Appendix I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0185" cy="375920"/>
                    </a:xfrm>
                    <a:prstGeom prst="rect">
                      <a:avLst/>
                    </a:prstGeom>
                    <a:noFill/>
                    <a:ln>
                      <a:noFill/>
                    </a:ln>
                  </pic:spPr>
                </pic:pic>
              </a:graphicData>
            </a:graphic>
          </wp:inline>
        </w:drawing>
      </w:r>
    </w:p>
    <w:p w:rsidR="00E91315" w:rsidRDefault="00E91315" w:rsidP="00E91315">
      <w:pPr>
        <w:autoSpaceDE w:val="0"/>
        <w:autoSpaceDN w:val="0"/>
        <w:adjustRightInd w:val="0"/>
      </w:pPr>
      <w:r>
        <w:rPr>
          <w:b/>
          <w:bCs/>
          <w:color w:val="000000"/>
          <w:sz w:val="23"/>
          <w:szCs w:val="23"/>
        </w:rPr>
        <w:t>Psychiatric disorders</w:t>
      </w:r>
    </w:p>
    <w:p w:rsidR="00E91315" w:rsidRDefault="00DE18CA" w:rsidP="00E91315">
      <w:pPr>
        <w:autoSpaceDE w:val="0"/>
        <w:autoSpaceDN w:val="0"/>
        <w:adjustRightInd w:val="0"/>
      </w:pPr>
      <w:r>
        <w:rPr>
          <w:noProof/>
          <w:lang w:eastAsia="en-AU"/>
        </w:rPr>
        <w:drawing>
          <wp:inline distT="0" distB="0" distL="0" distR="0">
            <wp:extent cx="5306695" cy="2765425"/>
            <wp:effectExtent l="19050" t="0" r="8255" b="0"/>
            <wp:docPr id="64" name="Picture 64" descr="Appendix I tabl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5" cy="2765425"/>
                    </a:xfrm>
                    <a:prstGeom prst="rect">
                      <a:avLst/>
                    </a:prstGeom>
                    <a:noFill/>
                    <a:ln>
                      <a:noFill/>
                    </a:ln>
                  </pic:spPr>
                </pic:pic>
              </a:graphicData>
            </a:graphic>
          </wp:inline>
        </w:drawing>
      </w:r>
      <w:r>
        <w:rPr>
          <w:noProof/>
          <w:lang w:eastAsia="en-AU"/>
        </w:rPr>
        <w:drawing>
          <wp:inline distT="0" distB="0" distL="0" distR="0">
            <wp:extent cx="5334635" cy="459740"/>
            <wp:effectExtent l="19050" t="0" r="0" b="0"/>
            <wp:docPr id="65" name="Picture 65" descr="Appendix I tabl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5" t="11153"/>
                    <a:stretch>
                      <a:fillRect/>
                    </a:stretch>
                  </pic:blipFill>
                  <pic:spPr bwMode="auto">
                    <a:xfrm>
                      <a:off x="0" y="0"/>
                      <a:ext cx="5334635" cy="459740"/>
                    </a:xfrm>
                    <a:prstGeom prst="rect">
                      <a:avLst/>
                    </a:prstGeom>
                    <a:noFill/>
                    <a:ln>
                      <a:noFill/>
                    </a:ln>
                  </pic:spPr>
                </pic:pic>
              </a:graphicData>
            </a:graphic>
          </wp:inline>
        </w:drawing>
      </w:r>
    </w:p>
    <w:p w:rsidR="00E91315" w:rsidRDefault="00E91315" w:rsidP="00E91315">
      <w:pPr>
        <w:autoSpaceDE w:val="0"/>
        <w:autoSpaceDN w:val="0"/>
        <w:adjustRightInd w:val="0"/>
      </w:pPr>
      <w:r>
        <w:t>Nervous system disorders</w:t>
      </w:r>
    </w:p>
    <w:p w:rsidR="00E91315" w:rsidRDefault="00DE18CA" w:rsidP="00E91315">
      <w:pPr>
        <w:autoSpaceDE w:val="0"/>
        <w:autoSpaceDN w:val="0"/>
        <w:adjustRightInd w:val="0"/>
      </w:pPr>
      <w:r>
        <w:rPr>
          <w:noProof/>
          <w:lang w:eastAsia="en-AU"/>
        </w:rPr>
        <w:lastRenderedPageBreak/>
        <w:drawing>
          <wp:inline distT="0" distB="0" distL="0" distR="0">
            <wp:extent cx="5300980" cy="2922905"/>
            <wp:effectExtent l="19050" t="0" r="0" b="0"/>
            <wp:docPr id="66" name="Picture 66" descr="Appendix I tabl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980" cy="2922905"/>
                    </a:xfrm>
                    <a:prstGeom prst="rect">
                      <a:avLst/>
                    </a:prstGeom>
                    <a:noFill/>
                    <a:ln>
                      <a:noFill/>
                    </a:ln>
                  </pic:spPr>
                </pic:pic>
              </a:graphicData>
            </a:graphic>
          </wp:inline>
        </w:drawing>
      </w:r>
      <w:r>
        <w:rPr>
          <w:noProof/>
          <w:lang w:eastAsia="en-AU"/>
        </w:rPr>
        <w:drawing>
          <wp:inline distT="0" distB="0" distL="0" distR="0">
            <wp:extent cx="5300980" cy="4751705"/>
            <wp:effectExtent l="19050" t="0" r="0" b="0"/>
            <wp:docPr id="67" name="Picture 67" descr="Appendix I tabl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99"/>
                    <a:stretch>
                      <a:fillRect/>
                    </a:stretch>
                  </pic:blipFill>
                  <pic:spPr bwMode="auto">
                    <a:xfrm>
                      <a:off x="0" y="0"/>
                      <a:ext cx="5300980" cy="4751705"/>
                    </a:xfrm>
                    <a:prstGeom prst="rect">
                      <a:avLst/>
                    </a:prstGeom>
                    <a:noFill/>
                    <a:ln>
                      <a:noFill/>
                    </a:ln>
                  </pic:spPr>
                </pic:pic>
              </a:graphicData>
            </a:graphic>
          </wp:inline>
        </w:drawing>
      </w:r>
    </w:p>
    <w:p w:rsidR="00E91315" w:rsidRDefault="00E91315" w:rsidP="00D620C1">
      <w:pPr>
        <w:keepNext/>
        <w:autoSpaceDE w:val="0"/>
        <w:autoSpaceDN w:val="0"/>
        <w:adjustRightInd w:val="0"/>
      </w:pPr>
      <w:r>
        <w:lastRenderedPageBreak/>
        <w:t>Eye disorders</w:t>
      </w:r>
    </w:p>
    <w:p w:rsidR="00E91315" w:rsidRDefault="00DE18CA" w:rsidP="00D620C1">
      <w:pPr>
        <w:keepNext/>
        <w:autoSpaceDE w:val="0"/>
        <w:autoSpaceDN w:val="0"/>
        <w:adjustRightInd w:val="0"/>
      </w:pPr>
      <w:r>
        <w:rPr>
          <w:noProof/>
          <w:lang w:eastAsia="en-AU"/>
        </w:rPr>
        <w:drawing>
          <wp:inline distT="0" distB="0" distL="0" distR="0">
            <wp:extent cx="5300980" cy="1951990"/>
            <wp:effectExtent l="19050" t="0" r="0" b="0"/>
            <wp:docPr id="68" name="Picture 68" descr="Appendix I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980" cy="1951990"/>
                    </a:xfrm>
                    <a:prstGeom prst="rect">
                      <a:avLst/>
                    </a:prstGeom>
                    <a:noFill/>
                    <a:ln>
                      <a:noFill/>
                    </a:ln>
                  </pic:spPr>
                </pic:pic>
              </a:graphicData>
            </a:graphic>
          </wp:inline>
        </w:drawing>
      </w:r>
    </w:p>
    <w:p w:rsidR="00E91315" w:rsidRDefault="00E91315" w:rsidP="00E91315">
      <w:pPr>
        <w:autoSpaceDE w:val="0"/>
        <w:autoSpaceDN w:val="0"/>
        <w:adjustRightInd w:val="0"/>
      </w:pPr>
      <w:r>
        <w:t>Ear and labyrinth disorders</w:t>
      </w:r>
    </w:p>
    <w:p w:rsidR="00E91315" w:rsidRDefault="00DE18CA" w:rsidP="00E91315">
      <w:pPr>
        <w:autoSpaceDE w:val="0"/>
        <w:autoSpaceDN w:val="0"/>
        <w:adjustRightInd w:val="0"/>
      </w:pPr>
      <w:r>
        <w:rPr>
          <w:noProof/>
          <w:lang w:eastAsia="en-AU"/>
        </w:rPr>
        <w:drawing>
          <wp:inline distT="0" distB="0" distL="0" distR="0">
            <wp:extent cx="3618230" cy="213360"/>
            <wp:effectExtent l="19050" t="0" r="1270" b="0"/>
            <wp:docPr id="69" name="Picture 69" descr="Appendix I 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8230" cy="213360"/>
                    </a:xfrm>
                    <a:prstGeom prst="rect">
                      <a:avLst/>
                    </a:prstGeom>
                    <a:noFill/>
                    <a:ln>
                      <a:noFill/>
                    </a:ln>
                  </pic:spPr>
                </pic:pic>
              </a:graphicData>
            </a:graphic>
          </wp:inline>
        </w:drawing>
      </w:r>
    </w:p>
    <w:p w:rsidR="00E91315" w:rsidRDefault="00E91315" w:rsidP="00E91315">
      <w:pPr>
        <w:autoSpaceDE w:val="0"/>
        <w:autoSpaceDN w:val="0"/>
        <w:adjustRightInd w:val="0"/>
      </w:pPr>
      <w:r>
        <w:t>Cardiac disorders</w:t>
      </w:r>
    </w:p>
    <w:p w:rsidR="00E91315" w:rsidRDefault="00DE18CA" w:rsidP="00E91315">
      <w:pPr>
        <w:autoSpaceDE w:val="0"/>
        <w:autoSpaceDN w:val="0"/>
        <w:adjustRightInd w:val="0"/>
      </w:pPr>
      <w:r>
        <w:rPr>
          <w:noProof/>
          <w:lang w:eastAsia="en-AU"/>
        </w:rPr>
        <w:drawing>
          <wp:inline distT="0" distB="0" distL="0" distR="0">
            <wp:extent cx="5300980" cy="1795145"/>
            <wp:effectExtent l="19050" t="0" r="0" b="0"/>
            <wp:docPr id="70" name="Picture 70" descr="Appendix I 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980" cy="1795145"/>
                    </a:xfrm>
                    <a:prstGeom prst="rect">
                      <a:avLst/>
                    </a:prstGeom>
                    <a:noFill/>
                    <a:ln>
                      <a:noFill/>
                    </a:ln>
                  </pic:spPr>
                </pic:pic>
              </a:graphicData>
            </a:graphic>
          </wp:inline>
        </w:drawing>
      </w:r>
    </w:p>
    <w:p w:rsidR="00E91315" w:rsidRDefault="00E91315" w:rsidP="00E91315">
      <w:pPr>
        <w:autoSpaceDE w:val="0"/>
        <w:autoSpaceDN w:val="0"/>
        <w:adjustRightInd w:val="0"/>
      </w:pPr>
      <w:r>
        <w:t>Vascular disorders</w:t>
      </w:r>
    </w:p>
    <w:p w:rsidR="00E91315" w:rsidRDefault="00DE18CA" w:rsidP="00E91315">
      <w:pPr>
        <w:autoSpaceDE w:val="0"/>
        <w:autoSpaceDN w:val="0"/>
        <w:adjustRightInd w:val="0"/>
      </w:pPr>
      <w:r>
        <w:rPr>
          <w:noProof/>
          <w:lang w:eastAsia="en-AU"/>
        </w:rPr>
        <w:drawing>
          <wp:inline distT="0" distB="0" distL="0" distR="0">
            <wp:extent cx="5300980" cy="863600"/>
            <wp:effectExtent l="19050" t="0" r="0" b="0"/>
            <wp:docPr id="71" name="Picture 71" descr="Appendix I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0980" cy="863600"/>
                    </a:xfrm>
                    <a:prstGeom prst="rect">
                      <a:avLst/>
                    </a:prstGeom>
                    <a:noFill/>
                    <a:ln>
                      <a:noFill/>
                    </a:ln>
                  </pic:spPr>
                </pic:pic>
              </a:graphicData>
            </a:graphic>
          </wp:inline>
        </w:drawing>
      </w:r>
    </w:p>
    <w:p w:rsidR="00E91315" w:rsidRDefault="00E91315" w:rsidP="00E91315">
      <w:pPr>
        <w:autoSpaceDE w:val="0"/>
        <w:autoSpaceDN w:val="0"/>
        <w:adjustRightInd w:val="0"/>
      </w:pPr>
      <w:r>
        <w:t>Respiratory, thoracic and mediastinal disorders</w:t>
      </w:r>
    </w:p>
    <w:p w:rsidR="00E91315" w:rsidRDefault="00DE18CA" w:rsidP="00E91315">
      <w:pPr>
        <w:autoSpaceDE w:val="0"/>
        <w:autoSpaceDN w:val="0"/>
        <w:adjustRightInd w:val="0"/>
      </w:pPr>
      <w:r>
        <w:rPr>
          <w:noProof/>
          <w:lang w:eastAsia="en-AU"/>
        </w:rPr>
        <w:drawing>
          <wp:inline distT="0" distB="0" distL="0" distR="0">
            <wp:extent cx="5306695" cy="1935480"/>
            <wp:effectExtent l="19050" t="0" r="8255" b="0"/>
            <wp:docPr id="72" name="Picture 72" descr="Appendix I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675"/>
                    <a:stretch>
                      <a:fillRect/>
                    </a:stretch>
                  </pic:blipFill>
                  <pic:spPr bwMode="auto">
                    <a:xfrm>
                      <a:off x="0" y="0"/>
                      <a:ext cx="5306695" cy="1935480"/>
                    </a:xfrm>
                    <a:prstGeom prst="rect">
                      <a:avLst/>
                    </a:prstGeom>
                    <a:noFill/>
                    <a:ln>
                      <a:noFill/>
                    </a:ln>
                  </pic:spPr>
                </pic:pic>
              </a:graphicData>
            </a:graphic>
          </wp:inline>
        </w:drawing>
      </w:r>
    </w:p>
    <w:p w:rsidR="00E91315" w:rsidRDefault="00E91315" w:rsidP="00D620C1">
      <w:pPr>
        <w:keepNext/>
        <w:autoSpaceDE w:val="0"/>
        <w:autoSpaceDN w:val="0"/>
        <w:adjustRightInd w:val="0"/>
      </w:pPr>
      <w:r>
        <w:lastRenderedPageBreak/>
        <w:t>Gastrointestinal disorders</w:t>
      </w:r>
    </w:p>
    <w:p w:rsidR="00E91315" w:rsidRDefault="00DE18CA" w:rsidP="00D620C1">
      <w:pPr>
        <w:keepNext/>
        <w:autoSpaceDE w:val="0"/>
        <w:autoSpaceDN w:val="0"/>
        <w:adjustRightInd w:val="0"/>
      </w:pPr>
      <w:r>
        <w:rPr>
          <w:noProof/>
          <w:lang w:eastAsia="en-AU"/>
        </w:rPr>
        <w:drawing>
          <wp:inline distT="0" distB="0" distL="0" distR="0">
            <wp:extent cx="5306695" cy="2591435"/>
            <wp:effectExtent l="19050" t="0" r="8255" b="0"/>
            <wp:docPr id="73" name="Picture 73" descr="Appendix I 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5" cy="2591435"/>
                    </a:xfrm>
                    <a:prstGeom prst="rect">
                      <a:avLst/>
                    </a:prstGeom>
                    <a:noFill/>
                    <a:ln>
                      <a:noFill/>
                    </a:ln>
                  </pic:spPr>
                </pic:pic>
              </a:graphicData>
            </a:graphic>
          </wp:inline>
        </w:drawing>
      </w:r>
    </w:p>
    <w:p w:rsidR="00E91315" w:rsidRDefault="00E91315" w:rsidP="00E91315">
      <w:pPr>
        <w:autoSpaceDE w:val="0"/>
        <w:autoSpaceDN w:val="0"/>
        <w:adjustRightInd w:val="0"/>
      </w:pPr>
      <w:r>
        <w:t>Hepatobiliary disorders</w:t>
      </w:r>
    </w:p>
    <w:p w:rsidR="00E91315" w:rsidRDefault="00DE18CA" w:rsidP="00E91315">
      <w:pPr>
        <w:autoSpaceDE w:val="0"/>
        <w:autoSpaceDN w:val="0"/>
        <w:adjustRightInd w:val="0"/>
      </w:pPr>
      <w:r>
        <w:rPr>
          <w:noProof/>
          <w:lang w:eastAsia="en-AU"/>
        </w:rPr>
        <w:drawing>
          <wp:inline distT="0" distB="0" distL="0" distR="0">
            <wp:extent cx="3606800" cy="213360"/>
            <wp:effectExtent l="19050" t="0" r="0" b="0"/>
            <wp:docPr id="74" name="Picture 74" descr="Appendix I 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800" cy="213360"/>
                    </a:xfrm>
                    <a:prstGeom prst="rect">
                      <a:avLst/>
                    </a:prstGeom>
                    <a:noFill/>
                    <a:ln>
                      <a:noFill/>
                    </a:ln>
                  </pic:spPr>
                </pic:pic>
              </a:graphicData>
            </a:graphic>
          </wp:inline>
        </w:drawing>
      </w:r>
    </w:p>
    <w:p w:rsidR="00E91315" w:rsidRDefault="00E91315" w:rsidP="00E91315">
      <w:pPr>
        <w:autoSpaceDE w:val="0"/>
        <w:autoSpaceDN w:val="0"/>
        <w:adjustRightInd w:val="0"/>
      </w:pPr>
      <w:r>
        <w:t>Skin and subcutaneous tissue disorders</w:t>
      </w:r>
    </w:p>
    <w:p w:rsidR="00E91315" w:rsidRDefault="00DE18CA" w:rsidP="00E91315">
      <w:pPr>
        <w:autoSpaceDE w:val="0"/>
        <w:autoSpaceDN w:val="0"/>
        <w:adjustRightInd w:val="0"/>
      </w:pPr>
      <w:r>
        <w:rPr>
          <w:noProof/>
          <w:lang w:eastAsia="en-AU"/>
        </w:rPr>
        <w:drawing>
          <wp:inline distT="0" distB="0" distL="0" distR="0">
            <wp:extent cx="5306695" cy="3034665"/>
            <wp:effectExtent l="19050" t="0" r="8255" b="0"/>
            <wp:docPr id="75" name="Picture 75" descr="Appendix I 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5" cy="3034665"/>
                    </a:xfrm>
                    <a:prstGeom prst="rect">
                      <a:avLst/>
                    </a:prstGeom>
                    <a:noFill/>
                    <a:ln>
                      <a:noFill/>
                    </a:ln>
                  </pic:spPr>
                </pic:pic>
              </a:graphicData>
            </a:graphic>
          </wp:inline>
        </w:drawing>
      </w:r>
    </w:p>
    <w:p w:rsidR="00E91315" w:rsidRDefault="00E91315" w:rsidP="00E91315">
      <w:pPr>
        <w:autoSpaceDE w:val="0"/>
        <w:autoSpaceDN w:val="0"/>
        <w:adjustRightInd w:val="0"/>
      </w:pPr>
      <w:r>
        <w:t>Musculoskeletal and connective tissue disorders</w:t>
      </w:r>
    </w:p>
    <w:p w:rsidR="00E91315" w:rsidRDefault="00DE18CA" w:rsidP="00E91315">
      <w:pPr>
        <w:autoSpaceDE w:val="0"/>
        <w:autoSpaceDN w:val="0"/>
        <w:adjustRightInd w:val="0"/>
      </w:pPr>
      <w:r>
        <w:rPr>
          <w:noProof/>
          <w:lang w:eastAsia="en-AU"/>
        </w:rPr>
        <w:drawing>
          <wp:inline distT="0" distB="0" distL="0" distR="0">
            <wp:extent cx="5363210" cy="1256665"/>
            <wp:effectExtent l="19050" t="0" r="8890" b="0"/>
            <wp:docPr id="76" name="Picture 76" descr="Appendix I tabl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376"/>
                    <a:stretch>
                      <a:fillRect/>
                    </a:stretch>
                  </pic:blipFill>
                  <pic:spPr bwMode="auto">
                    <a:xfrm>
                      <a:off x="0" y="0"/>
                      <a:ext cx="5363210" cy="1256665"/>
                    </a:xfrm>
                    <a:prstGeom prst="rect">
                      <a:avLst/>
                    </a:prstGeom>
                    <a:noFill/>
                    <a:ln>
                      <a:noFill/>
                    </a:ln>
                  </pic:spPr>
                </pic:pic>
              </a:graphicData>
            </a:graphic>
          </wp:inline>
        </w:drawing>
      </w:r>
    </w:p>
    <w:p w:rsidR="00E91315" w:rsidRDefault="00DE18CA" w:rsidP="00E91315">
      <w:pPr>
        <w:autoSpaceDE w:val="0"/>
        <w:autoSpaceDN w:val="0"/>
        <w:adjustRightInd w:val="0"/>
      </w:pPr>
      <w:r>
        <w:rPr>
          <w:noProof/>
          <w:lang w:eastAsia="en-AU"/>
        </w:rPr>
        <w:drawing>
          <wp:inline distT="0" distB="0" distL="0" distR="0">
            <wp:extent cx="5340350" cy="241300"/>
            <wp:effectExtent l="19050" t="0" r="0" b="0"/>
            <wp:docPr id="77" name="Picture 77" descr="Appendix I tabl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820" b="15990"/>
                    <a:stretch>
                      <a:fillRect/>
                    </a:stretch>
                  </pic:blipFill>
                  <pic:spPr bwMode="auto">
                    <a:xfrm>
                      <a:off x="0" y="0"/>
                      <a:ext cx="5340350" cy="241300"/>
                    </a:xfrm>
                    <a:prstGeom prst="rect">
                      <a:avLst/>
                    </a:prstGeom>
                    <a:noFill/>
                    <a:ln>
                      <a:noFill/>
                    </a:ln>
                  </pic:spPr>
                </pic:pic>
              </a:graphicData>
            </a:graphic>
          </wp:inline>
        </w:drawing>
      </w:r>
    </w:p>
    <w:p w:rsidR="00E91315" w:rsidRDefault="00E91315" w:rsidP="00E91315">
      <w:pPr>
        <w:autoSpaceDE w:val="0"/>
        <w:autoSpaceDN w:val="0"/>
        <w:adjustRightInd w:val="0"/>
      </w:pPr>
      <w:r>
        <w:lastRenderedPageBreak/>
        <w:t>Renal and urinary disorders</w:t>
      </w:r>
    </w:p>
    <w:p w:rsidR="00E91315" w:rsidRDefault="00DE18CA" w:rsidP="00E91315">
      <w:pPr>
        <w:autoSpaceDE w:val="0"/>
        <w:autoSpaceDN w:val="0"/>
        <w:adjustRightInd w:val="0"/>
      </w:pPr>
      <w:r>
        <w:rPr>
          <w:noProof/>
          <w:lang w:eastAsia="en-AU"/>
        </w:rPr>
        <w:drawing>
          <wp:inline distT="0" distB="0" distL="0" distR="0">
            <wp:extent cx="3606800" cy="190500"/>
            <wp:effectExtent l="19050" t="0" r="0" b="0"/>
            <wp:docPr id="78" name="Picture 78" descr="Appendix I 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800" cy="190500"/>
                    </a:xfrm>
                    <a:prstGeom prst="rect">
                      <a:avLst/>
                    </a:prstGeom>
                    <a:noFill/>
                    <a:ln>
                      <a:noFill/>
                    </a:ln>
                  </pic:spPr>
                </pic:pic>
              </a:graphicData>
            </a:graphic>
          </wp:inline>
        </w:drawing>
      </w:r>
    </w:p>
    <w:p w:rsidR="00E91315" w:rsidRDefault="00E91315" w:rsidP="00E91315">
      <w:pPr>
        <w:autoSpaceDE w:val="0"/>
        <w:autoSpaceDN w:val="0"/>
        <w:adjustRightInd w:val="0"/>
      </w:pPr>
      <w:r>
        <w:t>Pregnancy, puerperium and peri natal disorders</w:t>
      </w:r>
    </w:p>
    <w:p w:rsidR="00E91315" w:rsidRDefault="00DE18CA" w:rsidP="00E91315">
      <w:pPr>
        <w:autoSpaceDE w:val="0"/>
        <w:autoSpaceDN w:val="0"/>
        <w:adjustRightInd w:val="0"/>
      </w:pPr>
      <w:r>
        <w:rPr>
          <w:noProof/>
          <w:lang w:eastAsia="en-AU"/>
        </w:rPr>
        <w:drawing>
          <wp:inline distT="0" distB="0" distL="0" distR="0">
            <wp:extent cx="5340350" cy="701040"/>
            <wp:effectExtent l="19050" t="0" r="0" b="0"/>
            <wp:docPr id="79" name="Picture 79" descr="Appendix I 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711"/>
                    <a:stretch>
                      <a:fillRect/>
                    </a:stretch>
                  </pic:blipFill>
                  <pic:spPr bwMode="auto">
                    <a:xfrm>
                      <a:off x="0" y="0"/>
                      <a:ext cx="5340350" cy="701040"/>
                    </a:xfrm>
                    <a:prstGeom prst="rect">
                      <a:avLst/>
                    </a:prstGeom>
                    <a:noFill/>
                    <a:ln>
                      <a:noFill/>
                    </a:ln>
                  </pic:spPr>
                </pic:pic>
              </a:graphicData>
            </a:graphic>
          </wp:inline>
        </w:drawing>
      </w:r>
    </w:p>
    <w:p w:rsidR="00E91315" w:rsidRDefault="00E91315" w:rsidP="00E91315">
      <w:pPr>
        <w:autoSpaceDE w:val="0"/>
        <w:autoSpaceDN w:val="0"/>
        <w:adjustRightInd w:val="0"/>
      </w:pPr>
      <w:r>
        <w:t>Reproductive system and breast disorders</w:t>
      </w:r>
    </w:p>
    <w:p w:rsidR="00E91315" w:rsidRDefault="00DE18CA" w:rsidP="00E91315">
      <w:pPr>
        <w:autoSpaceDE w:val="0"/>
        <w:autoSpaceDN w:val="0"/>
        <w:adjustRightInd w:val="0"/>
      </w:pPr>
      <w:r>
        <w:rPr>
          <w:noProof/>
          <w:lang w:eastAsia="en-AU"/>
        </w:rPr>
        <w:drawing>
          <wp:inline distT="0" distB="0" distL="0" distR="0">
            <wp:extent cx="3618230" cy="364490"/>
            <wp:effectExtent l="19050" t="0" r="1270" b="0"/>
            <wp:docPr id="80" name="Picture 80" descr="Appendix I 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8230" cy="364490"/>
                    </a:xfrm>
                    <a:prstGeom prst="rect">
                      <a:avLst/>
                    </a:prstGeom>
                    <a:noFill/>
                    <a:ln>
                      <a:noFill/>
                    </a:ln>
                  </pic:spPr>
                </pic:pic>
              </a:graphicData>
            </a:graphic>
          </wp:inline>
        </w:drawing>
      </w:r>
    </w:p>
    <w:p w:rsidR="00E91315" w:rsidRDefault="00E91315" w:rsidP="00E91315">
      <w:pPr>
        <w:autoSpaceDE w:val="0"/>
        <w:autoSpaceDN w:val="0"/>
        <w:adjustRightInd w:val="0"/>
      </w:pPr>
      <w:r>
        <w:t>General disorders and administration site conditions</w:t>
      </w:r>
    </w:p>
    <w:p w:rsidR="00E91315" w:rsidRDefault="00DE18CA" w:rsidP="00E91315">
      <w:pPr>
        <w:autoSpaceDE w:val="0"/>
        <w:autoSpaceDN w:val="0"/>
        <w:adjustRightInd w:val="0"/>
      </w:pPr>
      <w:r>
        <w:rPr>
          <w:noProof/>
          <w:lang w:eastAsia="en-AU"/>
        </w:rPr>
        <w:drawing>
          <wp:inline distT="0" distB="0" distL="0" distR="0">
            <wp:extent cx="5340350" cy="5060315"/>
            <wp:effectExtent l="19050" t="0" r="0" b="0"/>
            <wp:docPr id="81" name="Picture 81" descr="Appendix I 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31"/>
                    <a:stretch>
                      <a:fillRect/>
                    </a:stretch>
                  </pic:blipFill>
                  <pic:spPr bwMode="auto">
                    <a:xfrm>
                      <a:off x="0" y="0"/>
                      <a:ext cx="5340350" cy="5060315"/>
                    </a:xfrm>
                    <a:prstGeom prst="rect">
                      <a:avLst/>
                    </a:prstGeom>
                    <a:noFill/>
                    <a:ln>
                      <a:noFill/>
                    </a:ln>
                  </pic:spPr>
                </pic:pic>
              </a:graphicData>
            </a:graphic>
          </wp:inline>
        </w:drawing>
      </w:r>
    </w:p>
    <w:p w:rsidR="00E91315" w:rsidRDefault="00E91315" w:rsidP="00D620C1">
      <w:pPr>
        <w:keepNext/>
        <w:autoSpaceDE w:val="0"/>
        <w:autoSpaceDN w:val="0"/>
        <w:adjustRightInd w:val="0"/>
      </w:pPr>
      <w:r>
        <w:lastRenderedPageBreak/>
        <w:t>Investigations</w:t>
      </w:r>
    </w:p>
    <w:p w:rsidR="00E91315" w:rsidRDefault="00DE18CA" w:rsidP="00D620C1">
      <w:pPr>
        <w:keepNext/>
        <w:autoSpaceDE w:val="0"/>
        <w:autoSpaceDN w:val="0"/>
        <w:adjustRightInd w:val="0"/>
      </w:pPr>
      <w:r>
        <w:rPr>
          <w:noProof/>
          <w:lang w:eastAsia="en-AU"/>
        </w:rPr>
        <w:drawing>
          <wp:inline distT="0" distB="0" distL="0" distR="0">
            <wp:extent cx="3618230" cy="2501900"/>
            <wp:effectExtent l="19050" t="0" r="1270" b="0"/>
            <wp:docPr id="82" name="Picture 82" descr="Appendix I 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8230" cy="2501900"/>
                    </a:xfrm>
                    <a:prstGeom prst="rect">
                      <a:avLst/>
                    </a:prstGeom>
                    <a:noFill/>
                    <a:ln>
                      <a:noFill/>
                    </a:ln>
                  </pic:spPr>
                </pic:pic>
              </a:graphicData>
            </a:graphic>
          </wp:inline>
        </w:drawing>
      </w:r>
    </w:p>
    <w:p w:rsidR="00E91315" w:rsidRDefault="00E91315" w:rsidP="00E91315">
      <w:pPr>
        <w:autoSpaceDE w:val="0"/>
        <w:autoSpaceDN w:val="0"/>
        <w:adjustRightInd w:val="0"/>
      </w:pPr>
      <w:r>
        <w:t>Injury, poisoning and procedural complications</w:t>
      </w:r>
    </w:p>
    <w:p w:rsidR="00E91315" w:rsidRDefault="00DE18CA" w:rsidP="00E91315">
      <w:pPr>
        <w:autoSpaceDE w:val="0"/>
        <w:autoSpaceDN w:val="0"/>
        <w:adjustRightInd w:val="0"/>
      </w:pPr>
      <w:r>
        <w:rPr>
          <w:noProof/>
          <w:lang w:eastAsia="en-AU"/>
        </w:rPr>
        <w:drawing>
          <wp:inline distT="0" distB="0" distL="0" distR="0">
            <wp:extent cx="5329555" cy="347980"/>
            <wp:effectExtent l="19050" t="0" r="4445" b="0"/>
            <wp:docPr id="83" name="Picture 83" descr="Appendix I tabl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1" b="-2278"/>
                    <a:stretch>
                      <a:fillRect/>
                    </a:stretch>
                  </pic:blipFill>
                  <pic:spPr bwMode="auto">
                    <a:xfrm>
                      <a:off x="0" y="0"/>
                      <a:ext cx="5329555" cy="347980"/>
                    </a:xfrm>
                    <a:prstGeom prst="rect">
                      <a:avLst/>
                    </a:prstGeom>
                    <a:noFill/>
                    <a:ln>
                      <a:noFill/>
                    </a:ln>
                  </pic:spPr>
                </pic:pic>
              </a:graphicData>
            </a:graphic>
          </wp:inline>
        </w:drawing>
      </w:r>
      <w:r>
        <w:rPr>
          <w:noProof/>
          <w:lang w:eastAsia="en-AU"/>
        </w:rPr>
        <w:drawing>
          <wp:inline distT="0" distB="0" distL="0" distR="0">
            <wp:extent cx="5340350" cy="1290320"/>
            <wp:effectExtent l="19050" t="0" r="0" b="0"/>
            <wp:docPr id="84" name="Picture 84" descr="Appendix I tabl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49"/>
                    <a:stretch>
                      <a:fillRect/>
                    </a:stretch>
                  </pic:blipFill>
                  <pic:spPr bwMode="auto">
                    <a:xfrm>
                      <a:off x="0" y="0"/>
                      <a:ext cx="5340350" cy="1290320"/>
                    </a:xfrm>
                    <a:prstGeom prst="rect">
                      <a:avLst/>
                    </a:prstGeom>
                    <a:noFill/>
                    <a:ln>
                      <a:noFill/>
                    </a:ln>
                  </pic:spPr>
                </pic:pic>
              </a:graphicData>
            </a:graphic>
          </wp:inline>
        </w:drawing>
      </w:r>
    </w:p>
    <w:p w:rsidR="00E91315" w:rsidRDefault="00E91315" w:rsidP="00E91315">
      <w:pPr>
        <w:autoSpaceDE w:val="0"/>
        <w:autoSpaceDN w:val="0"/>
        <w:adjustRightInd w:val="0"/>
      </w:pPr>
      <w:r>
        <w:t>Surgical and medical procedures</w:t>
      </w:r>
    </w:p>
    <w:p w:rsidR="00E91315" w:rsidRDefault="00DE18CA" w:rsidP="00E91315">
      <w:pPr>
        <w:autoSpaceDE w:val="0"/>
        <w:autoSpaceDN w:val="0"/>
        <w:adjustRightInd w:val="0"/>
      </w:pPr>
      <w:r>
        <w:rPr>
          <w:noProof/>
          <w:lang w:eastAsia="en-AU"/>
        </w:rPr>
        <w:drawing>
          <wp:inline distT="0" distB="0" distL="0" distR="0">
            <wp:extent cx="3606800" cy="375920"/>
            <wp:effectExtent l="19050" t="0" r="0" b="0"/>
            <wp:docPr id="85" name="Picture 85" descr="Appendix I 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800" cy="375920"/>
                    </a:xfrm>
                    <a:prstGeom prst="rect">
                      <a:avLst/>
                    </a:prstGeom>
                    <a:noFill/>
                    <a:ln>
                      <a:noFill/>
                    </a:ln>
                  </pic:spPr>
                </pic:pic>
              </a:graphicData>
            </a:graphic>
          </wp:inline>
        </w:drawing>
      </w:r>
    </w:p>
    <w:p w:rsidR="00E91315" w:rsidRDefault="00E91315" w:rsidP="00E91315"/>
    <w:p w:rsidR="00E91315" w:rsidRDefault="00D620C1" w:rsidP="00D620C1">
      <w:pPr>
        <w:pStyle w:val="Heading2"/>
      </w:pPr>
      <w:bookmarkStart w:id="351" w:name="_Toc304266831"/>
      <w:r>
        <w:br w:type="page"/>
      </w:r>
      <w:bookmarkStart w:id="352" w:name="_Toc350329835"/>
      <w:r w:rsidR="00E91315">
        <w:lastRenderedPageBreak/>
        <w:t>A</w:t>
      </w:r>
      <w:r w:rsidR="00D70E27">
        <w:t xml:space="preserve">ppendix </w:t>
      </w:r>
      <w:r w:rsidR="00E91315">
        <w:t>II</w:t>
      </w:r>
      <w:bookmarkEnd w:id="351"/>
      <w:bookmarkEnd w:id="352"/>
    </w:p>
    <w:p w:rsidR="00E91315" w:rsidRDefault="00E91315" w:rsidP="00E91315">
      <w:r>
        <w:t>Immune system disorders</w:t>
      </w:r>
    </w:p>
    <w:p w:rsidR="00E91315" w:rsidRDefault="00DE18CA" w:rsidP="00E91315">
      <w:r>
        <w:rPr>
          <w:noProof/>
          <w:lang w:eastAsia="en-AU"/>
        </w:rPr>
        <w:drawing>
          <wp:inline distT="0" distB="0" distL="0" distR="0">
            <wp:extent cx="5329555" cy="678815"/>
            <wp:effectExtent l="19050" t="0" r="4445" b="0"/>
            <wp:docPr id="86" name="Picture 86" descr="Appendix II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9555" cy="678815"/>
                    </a:xfrm>
                    <a:prstGeom prst="rect">
                      <a:avLst/>
                    </a:prstGeom>
                    <a:noFill/>
                    <a:ln>
                      <a:noFill/>
                    </a:ln>
                  </pic:spPr>
                </pic:pic>
              </a:graphicData>
            </a:graphic>
          </wp:inline>
        </w:drawing>
      </w:r>
      <w:r w:rsidR="00E91315">
        <w:t xml:space="preserve"> </w:t>
      </w:r>
      <w:r>
        <w:rPr>
          <w:noProof/>
          <w:lang w:eastAsia="en-AU"/>
        </w:rPr>
        <w:drawing>
          <wp:inline distT="0" distB="0" distL="0" distR="0">
            <wp:extent cx="3606800" cy="179705"/>
            <wp:effectExtent l="19050" t="0" r="0" b="0"/>
            <wp:docPr id="87" name="Picture 87" descr="Appendix II 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800" cy="179705"/>
                    </a:xfrm>
                    <a:prstGeom prst="rect">
                      <a:avLst/>
                    </a:prstGeom>
                    <a:noFill/>
                    <a:ln>
                      <a:noFill/>
                    </a:ln>
                  </pic:spPr>
                </pic:pic>
              </a:graphicData>
            </a:graphic>
          </wp:inline>
        </w:drawing>
      </w:r>
    </w:p>
    <w:p w:rsidR="00E91315" w:rsidRDefault="00E91315" w:rsidP="00E91315"/>
    <w:p w:rsidR="00E91315" w:rsidRDefault="00E91315" w:rsidP="00E91315">
      <w:pPr>
        <w:keepNext/>
      </w:pPr>
      <w:r>
        <w:t>Psychiatric disorders</w:t>
      </w:r>
    </w:p>
    <w:p w:rsidR="00E91315" w:rsidRDefault="00DE18CA" w:rsidP="00E91315">
      <w:pPr>
        <w:keepNext/>
      </w:pPr>
      <w:r>
        <w:rPr>
          <w:noProof/>
          <w:lang w:eastAsia="en-AU"/>
        </w:rPr>
        <w:drawing>
          <wp:inline distT="0" distB="0" distL="0" distR="0">
            <wp:extent cx="5357495" cy="1643380"/>
            <wp:effectExtent l="19050" t="0" r="0" b="0"/>
            <wp:docPr id="88" name="Picture 88" descr="Appendix II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7495" cy="1643380"/>
                    </a:xfrm>
                    <a:prstGeom prst="rect">
                      <a:avLst/>
                    </a:prstGeom>
                    <a:noFill/>
                    <a:ln>
                      <a:noFill/>
                    </a:ln>
                  </pic:spPr>
                </pic:pic>
              </a:graphicData>
            </a:graphic>
          </wp:inline>
        </w:drawing>
      </w:r>
    </w:p>
    <w:p w:rsidR="00E91315" w:rsidRDefault="00E91315" w:rsidP="00E91315"/>
    <w:p w:rsidR="00E91315" w:rsidRDefault="00E91315" w:rsidP="00E91315">
      <w:r>
        <w:t>Nervous system disorders</w:t>
      </w:r>
    </w:p>
    <w:p w:rsidR="00E91315" w:rsidRDefault="00DE18CA" w:rsidP="00E91315">
      <w:r>
        <w:rPr>
          <w:noProof/>
          <w:lang w:eastAsia="en-AU"/>
        </w:rPr>
        <w:drawing>
          <wp:inline distT="0" distB="0" distL="0" distR="0">
            <wp:extent cx="5043170" cy="4246880"/>
            <wp:effectExtent l="19050" t="0" r="5080" b="0"/>
            <wp:docPr id="89" name="Picture 89" descr="Appendix II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3170" cy="4246880"/>
                    </a:xfrm>
                    <a:prstGeom prst="rect">
                      <a:avLst/>
                    </a:prstGeom>
                    <a:noFill/>
                    <a:ln>
                      <a:noFill/>
                    </a:ln>
                  </pic:spPr>
                </pic:pic>
              </a:graphicData>
            </a:graphic>
          </wp:inline>
        </w:drawing>
      </w:r>
    </w:p>
    <w:p w:rsidR="00E91315" w:rsidRDefault="00E91315" w:rsidP="00E91315">
      <w:r>
        <w:lastRenderedPageBreak/>
        <w:t>Eye disorders</w:t>
      </w:r>
    </w:p>
    <w:p w:rsidR="00E91315" w:rsidRDefault="00DE18CA" w:rsidP="00E91315">
      <w:r>
        <w:rPr>
          <w:noProof/>
          <w:lang w:eastAsia="en-AU"/>
        </w:rPr>
        <w:drawing>
          <wp:inline distT="0" distB="0" distL="0" distR="0">
            <wp:extent cx="1329690" cy="291465"/>
            <wp:effectExtent l="19050" t="0" r="3810" b="0"/>
            <wp:docPr id="90" name="Picture 90" descr="Appendix II 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1039"/>
                    <a:stretch>
                      <a:fillRect/>
                    </a:stretch>
                  </pic:blipFill>
                  <pic:spPr bwMode="auto">
                    <a:xfrm>
                      <a:off x="0" y="0"/>
                      <a:ext cx="1329690" cy="291465"/>
                    </a:xfrm>
                    <a:prstGeom prst="rect">
                      <a:avLst/>
                    </a:prstGeom>
                    <a:noFill/>
                    <a:ln>
                      <a:noFill/>
                    </a:ln>
                  </pic:spPr>
                </pic:pic>
              </a:graphicData>
            </a:graphic>
          </wp:inline>
        </w:drawing>
      </w:r>
      <w:r w:rsidR="00E91315">
        <w:t xml:space="preserve">              </w:t>
      </w:r>
      <w:r>
        <w:rPr>
          <w:noProof/>
          <w:lang w:eastAsia="en-AU"/>
        </w:rPr>
        <w:drawing>
          <wp:inline distT="0" distB="0" distL="0" distR="0">
            <wp:extent cx="3483610" cy="291465"/>
            <wp:effectExtent l="19050" t="0" r="2540" b="0"/>
            <wp:docPr id="91" name="Picture 91" descr="Appendix II t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09" t="-3864"/>
                    <a:stretch>
                      <a:fillRect/>
                    </a:stretch>
                  </pic:blipFill>
                  <pic:spPr bwMode="auto">
                    <a:xfrm>
                      <a:off x="0" y="0"/>
                      <a:ext cx="3483610" cy="291465"/>
                    </a:xfrm>
                    <a:prstGeom prst="rect">
                      <a:avLst/>
                    </a:prstGeom>
                    <a:noFill/>
                    <a:ln>
                      <a:noFill/>
                    </a:ln>
                  </pic:spPr>
                </pic:pic>
              </a:graphicData>
            </a:graphic>
          </wp:inline>
        </w:drawing>
      </w:r>
    </w:p>
    <w:p w:rsidR="00E91315" w:rsidRDefault="00E91315" w:rsidP="00E91315">
      <w:r>
        <w:t>Cardiac disorders</w:t>
      </w:r>
    </w:p>
    <w:p w:rsidR="00E91315" w:rsidRDefault="00DE18CA" w:rsidP="00E91315">
      <w:r>
        <w:rPr>
          <w:noProof/>
          <w:lang w:eastAsia="en-AU"/>
        </w:rPr>
        <w:drawing>
          <wp:inline distT="0" distB="0" distL="0" distR="0">
            <wp:extent cx="1335405" cy="375920"/>
            <wp:effectExtent l="19050" t="0" r="0" b="0"/>
            <wp:docPr id="92" name="Picture 92" descr="Appendix II tabl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0995"/>
                    <a:stretch>
                      <a:fillRect/>
                    </a:stretch>
                  </pic:blipFill>
                  <pic:spPr bwMode="auto">
                    <a:xfrm>
                      <a:off x="0" y="0"/>
                      <a:ext cx="1335405" cy="375920"/>
                    </a:xfrm>
                    <a:prstGeom prst="rect">
                      <a:avLst/>
                    </a:prstGeom>
                    <a:noFill/>
                    <a:ln>
                      <a:noFill/>
                    </a:ln>
                  </pic:spPr>
                </pic:pic>
              </a:graphicData>
            </a:graphic>
          </wp:inline>
        </w:drawing>
      </w:r>
      <w:r w:rsidR="00E91315">
        <w:t xml:space="preserve">         </w:t>
      </w:r>
      <w:r>
        <w:rPr>
          <w:noProof/>
          <w:lang w:eastAsia="en-AU"/>
        </w:rPr>
        <w:drawing>
          <wp:inline distT="0" distB="0" distL="0" distR="0">
            <wp:extent cx="3674745" cy="375920"/>
            <wp:effectExtent l="19050" t="0" r="1905" b="0"/>
            <wp:docPr id="93" name="Picture 93" descr="Appendix II tabl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86"/>
                    <a:stretch>
                      <a:fillRect/>
                    </a:stretch>
                  </pic:blipFill>
                  <pic:spPr bwMode="auto">
                    <a:xfrm>
                      <a:off x="0" y="0"/>
                      <a:ext cx="3674745" cy="375920"/>
                    </a:xfrm>
                    <a:prstGeom prst="rect">
                      <a:avLst/>
                    </a:prstGeom>
                    <a:noFill/>
                    <a:ln>
                      <a:noFill/>
                    </a:ln>
                  </pic:spPr>
                </pic:pic>
              </a:graphicData>
            </a:graphic>
          </wp:inline>
        </w:drawing>
      </w:r>
    </w:p>
    <w:p w:rsidR="00E91315" w:rsidRDefault="00E91315" w:rsidP="00E91315">
      <w:pPr>
        <w:keepNext/>
      </w:pPr>
      <w:r>
        <w:t xml:space="preserve">Vascular disorders </w:t>
      </w:r>
    </w:p>
    <w:p w:rsidR="00E91315" w:rsidRDefault="00DE18CA" w:rsidP="00E91315">
      <w:pPr>
        <w:keepNext/>
      </w:pPr>
      <w:r>
        <w:rPr>
          <w:noProof/>
          <w:lang w:eastAsia="en-AU"/>
        </w:rPr>
        <w:drawing>
          <wp:inline distT="0" distB="0" distL="0" distR="0">
            <wp:extent cx="4078605" cy="639445"/>
            <wp:effectExtent l="19050" t="0" r="0" b="0"/>
            <wp:docPr id="94" name="Picture 94" descr="Appendix II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8605" cy="639445"/>
                    </a:xfrm>
                    <a:prstGeom prst="rect">
                      <a:avLst/>
                    </a:prstGeom>
                    <a:noFill/>
                    <a:ln>
                      <a:noFill/>
                    </a:ln>
                  </pic:spPr>
                </pic:pic>
              </a:graphicData>
            </a:graphic>
          </wp:inline>
        </w:drawing>
      </w:r>
    </w:p>
    <w:p w:rsidR="00E91315" w:rsidRDefault="00E91315" w:rsidP="00E91315">
      <w:r>
        <w:t>Respiratory, thoracic and mediastinal disorders</w:t>
      </w:r>
    </w:p>
    <w:p w:rsidR="00E91315" w:rsidRDefault="00DE18CA" w:rsidP="00E91315">
      <w:r>
        <w:rPr>
          <w:noProof/>
          <w:lang w:eastAsia="en-AU"/>
        </w:rPr>
        <w:drawing>
          <wp:inline distT="0" distB="0" distL="0" distR="0">
            <wp:extent cx="1296035" cy="459740"/>
            <wp:effectExtent l="19050" t="0" r="0" b="0"/>
            <wp:docPr id="95" name="Picture 95" descr="Appendix II tabl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0387"/>
                    <a:stretch>
                      <a:fillRect/>
                    </a:stretch>
                  </pic:blipFill>
                  <pic:spPr bwMode="auto">
                    <a:xfrm>
                      <a:off x="0" y="0"/>
                      <a:ext cx="1296035" cy="459740"/>
                    </a:xfrm>
                    <a:prstGeom prst="rect">
                      <a:avLst/>
                    </a:prstGeom>
                    <a:noFill/>
                    <a:ln>
                      <a:noFill/>
                    </a:ln>
                  </pic:spPr>
                </pic:pic>
              </a:graphicData>
            </a:graphic>
          </wp:inline>
        </w:drawing>
      </w:r>
      <w:r w:rsidR="00E91315">
        <w:t xml:space="preserve">           </w:t>
      </w:r>
      <w:r>
        <w:rPr>
          <w:noProof/>
          <w:lang w:eastAsia="en-AU"/>
        </w:rPr>
        <w:drawing>
          <wp:inline distT="0" distB="0" distL="0" distR="0">
            <wp:extent cx="2361565" cy="459740"/>
            <wp:effectExtent l="19050" t="0" r="635" b="0"/>
            <wp:docPr id="96" name="Picture 96" descr="Appendix II tabl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32"/>
                    <a:stretch>
                      <a:fillRect/>
                    </a:stretch>
                  </pic:blipFill>
                  <pic:spPr bwMode="auto">
                    <a:xfrm>
                      <a:off x="0" y="0"/>
                      <a:ext cx="2361565" cy="459740"/>
                    </a:xfrm>
                    <a:prstGeom prst="rect">
                      <a:avLst/>
                    </a:prstGeom>
                    <a:noFill/>
                    <a:ln>
                      <a:noFill/>
                    </a:ln>
                  </pic:spPr>
                </pic:pic>
              </a:graphicData>
            </a:graphic>
          </wp:inline>
        </w:drawing>
      </w:r>
    </w:p>
    <w:p w:rsidR="00E91315" w:rsidRDefault="00E91315" w:rsidP="00E91315">
      <w:r>
        <w:t>Gastrointestinal disorders</w:t>
      </w:r>
    </w:p>
    <w:p w:rsidR="00E91315" w:rsidRDefault="00DE18CA" w:rsidP="00E91315">
      <w:r>
        <w:rPr>
          <w:noProof/>
          <w:lang w:eastAsia="en-AU"/>
        </w:rPr>
        <w:drawing>
          <wp:inline distT="0" distB="0" distL="0" distR="0">
            <wp:extent cx="1379855" cy="521970"/>
            <wp:effectExtent l="19050" t="0" r="0" b="0"/>
            <wp:docPr id="97" name="Picture 97" descr="Appendix II tabl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9099"/>
                    <a:stretch>
                      <a:fillRect/>
                    </a:stretch>
                  </pic:blipFill>
                  <pic:spPr bwMode="auto">
                    <a:xfrm>
                      <a:off x="0" y="0"/>
                      <a:ext cx="1379855" cy="521970"/>
                    </a:xfrm>
                    <a:prstGeom prst="rect">
                      <a:avLst/>
                    </a:prstGeom>
                    <a:noFill/>
                    <a:ln>
                      <a:noFill/>
                    </a:ln>
                  </pic:spPr>
                </pic:pic>
              </a:graphicData>
            </a:graphic>
          </wp:inline>
        </w:drawing>
      </w:r>
      <w:r w:rsidR="00E91315">
        <w:t xml:space="preserve">        </w:t>
      </w:r>
      <w:r>
        <w:rPr>
          <w:noProof/>
          <w:lang w:eastAsia="en-AU"/>
        </w:rPr>
        <w:drawing>
          <wp:inline distT="0" distB="0" distL="0" distR="0">
            <wp:extent cx="2378710" cy="521970"/>
            <wp:effectExtent l="19050" t="0" r="2540" b="0"/>
            <wp:docPr id="98" name="Picture 98" descr="Appendix II tabl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57"/>
                    <a:stretch>
                      <a:fillRect/>
                    </a:stretch>
                  </pic:blipFill>
                  <pic:spPr bwMode="auto">
                    <a:xfrm>
                      <a:off x="0" y="0"/>
                      <a:ext cx="2378710" cy="521970"/>
                    </a:xfrm>
                    <a:prstGeom prst="rect">
                      <a:avLst/>
                    </a:prstGeom>
                    <a:noFill/>
                    <a:ln>
                      <a:noFill/>
                    </a:ln>
                  </pic:spPr>
                </pic:pic>
              </a:graphicData>
            </a:graphic>
          </wp:inline>
        </w:drawing>
      </w:r>
    </w:p>
    <w:p w:rsidR="00E91315" w:rsidRDefault="00E91315" w:rsidP="00E91315">
      <w:r>
        <w:t>Skin and subcutaneous tissue disorders</w:t>
      </w:r>
    </w:p>
    <w:p w:rsidR="00E91315" w:rsidRDefault="00DE18CA" w:rsidP="00E91315">
      <w:r>
        <w:rPr>
          <w:noProof/>
          <w:lang w:eastAsia="en-AU"/>
        </w:rPr>
        <w:drawing>
          <wp:inline distT="0" distB="0" distL="0" distR="0">
            <wp:extent cx="1296035" cy="650875"/>
            <wp:effectExtent l="19050" t="0" r="0" b="0"/>
            <wp:docPr id="99" name="Picture 99" descr="Appendix II tabl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0" r="60771"/>
                    <a:stretch>
                      <a:fillRect/>
                    </a:stretch>
                  </pic:blipFill>
                  <pic:spPr bwMode="auto">
                    <a:xfrm>
                      <a:off x="0" y="0"/>
                      <a:ext cx="1296035" cy="650875"/>
                    </a:xfrm>
                    <a:prstGeom prst="rect">
                      <a:avLst/>
                    </a:prstGeom>
                    <a:noFill/>
                    <a:ln>
                      <a:noFill/>
                    </a:ln>
                  </pic:spPr>
                </pic:pic>
              </a:graphicData>
            </a:graphic>
          </wp:inline>
        </w:drawing>
      </w:r>
      <w:r w:rsidR="00E91315">
        <w:t xml:space="preserve">                 </w:t>
      </w:r>
      <w:r>
        <w:rPr>
          <w:noProof/>
          <w:lang w:eastAsia="en-AU"/>
        </w:rPr>
        <w:drawing>
          <wp:inline distT="0" distB="0" distL="0" distR="0">
            <wp:extent cx="2165350" cy="639445"/>
            <wp:effectExtent l="19050" t="0" r="6350" b="0"/>
            <wp:docPr id="100" name="Picture 100" descr="Appendix II tabl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358"/>
                    <a:stretch>
                      <a:fillRect/>
                    </a:stretch>
                  </pic:blipFill>
                  <pic:spPr bwMode="auto">
                    <a:xfrm>
                      <a:off x="0" y="0"/>
                      <a:ext cx="2165350" cy="639445"/>
                    </a:xfrm>
                    <a:prstGeom prst="rect">
                      <a:avLst/>
                    </a:prstGeom>
                    <a:noFill/>
                    <a:ln>
                      <a:noFill/>
                    </a:ln>
                  </pic:spPr>
                </pic:pic>
              </a:graphicData>
            </a:graphic>
          </wp:inline>
        </w:drawing>
      </w:r>
    </w:p>
    <w:p w:rsidR="00E91315" w:rsidRDefault="00E91315" w:rsidP="00E91315">
      <w:r>
        <w:t>Musculoskeletal and connective tissue disorders</w:t>
      </w:r>
    </w:p>
    <w:p w:rsidR="00E91315" w:rsidRDefault="00DE18CA" w:rsidP="00E91315">
      <w:r>
        <w:rPr>
          <w:noProof/>
          <w:lang w:eastAsia="en-AU"/>
        </w:rPr>
        <w:drawing>
          <wp:inline distT="0" distB="0" distL="0" distR="0">
            <wp:extent cx="1733550" cy="667385"/>
            <wp:effectExtent l="19050" t="0" r="0" b="0"/>
            <wp:docPr id="101" name="Picture 101" descr="Appendix II tabl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62" r="53598"/>
                    <a:stretch>
                      <a:fillRect/>
                    </a:stretch>
                  </pic:blipFill>
                  <pic:spPr bwMode="auto">
                    <a:xfrm>
                      <a:off x="0" y="0"/>
                      <a:ext cx="1733550" cy="667385"/>
                    </a:xfrm>
                    <a:prstGeom prst="rect">
                      <a:avLst/>
                    </a:prstGeom>
                    <a:noFill/>
                    <a:ln>
                      <a:noFill/>
                    </a:ln>
                  </pic:spPr>
                </pic:pic>
              </a:graphicData>
            </a:graphic>
          </wp:inline>
        </w:drawing>
      </w:r>
      <w:r w:rsidR="00E91315">
        <w:t xml:space="preserve"> </w:t>
      </w:r>
      <w:r>
        <w:rPr>
          <w:noProof/>
          <w:lang w:eastAsia="en-AU"/>
        </w:rPr>
        <w:drawing>
          <wp:inline distT="0" distB="0" distL="0" distR="0">
            <wp:extent cx="2311400" cy="667385"/>
            <wp:effectExtent l="19050" t="0" r="0" b="0"/>
            <wp:docPr id="102" name="Picture 102" descr="Appendix II tabl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34"/>
                    <a:stretch>
                      <a:fillRect/>
                    </a:stretch>
                  </pic:blipFill>
                  <pic:spPr bwMode="auto">
                    <a:xfrm>
                      <a:off x="0" y="0"/>
                      <a:ext cx="2311400" cy="667385"/>
                    </a:xfrm>
                    <a:prstGeom prst="rect">
                      <a:avLst/>
                    </a:prstGeom>
                    <a:noFill/>
                    <a:ln>
                      <a:noFill/>
                    </a:ln>
                  </pic:spPr>
                </pic:pic>
              </a:graphicData>
            </a:graphic>
          </wp:inline>
        </w:drawing>
      </w:r>
    </w:p>
    <w:p w:rsidR="00E91315" w:rsidRDefault="00E91315" w:rsidP="00E91315">
      <w:r>
        <w:t>Pregnancy, puerperium and peri natal disorders</w:t>
      </w:r>
    </w:p>
    <w:p w:rsidR="00E91315" w:rsidRDefault="00DE18CA" w:rsidP="00E91315">
      <w:r>
        <w:rPr>
          <w:noProof/>
          <w:lang w:eastAsia="en-AU"/>
        </w:rPr>
        <w:drawing>
          <wp:inline distT="0" distB="0" distL="0" distR="0">
            <wp:extent cx="5346065" cy="375920"/>
            <wp:effectExtent l="19050" t="0" r="6985" b="0"/>
            <wp:docPr id="103" name="Picture 103" descr="Appendix II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065" cy="375920"/>
                    </a:xfrm>
                    <a:prstGeom prst="rect">
                      <a:avLst/>
                    </a:prstGeom>
                    <a:noFill/>
                    <a:ln>
                      <a:noFill/>
                    </a:ln>
                  </pic:spPr>
                </pic:pic>
              </a:graphicData>
            </a:graphic>
          </wp:inline>
        </w:drawing>
      </w:r>
    </w:p>
    <w:p w:rsidR="00E91315" w:rsidRDefault="00E91315" w:rsidP="00E91315">
      <w:r>
        <w:t>General disorders and administration site conditions</w:t>
      </w:r>
    </w:p>
    <w:p w:rsidR="00E91315" w:rsidRDefault="00DE18CA" w:rsidP="00E91315">
      <w:r>
        <w:rPr>
          <w:noProof/>
          <w:lang w:eastAsia="en-AU"/>
        </w:rPr>
        <w:drawing>
          <wp:inline distT="0" distB="0" distL="0" distR="0">
            <wp:extent cx="5323840" cy="1879600"/>
            <wp:effectExtent l="19050" t="0" r="0" b="0"/>
            <wp:docPr id="104" name="Picture 104" descr="Appendix II 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3840" cy="1879600"/>
                    </a:xfrm>
                    <a:prstGeom prst="rect">
                      <a:avLst/>
                    </a:prstGeom>
                    <a:noFill/>
                    <a:ln>
                      <a:noFill/>
                    </a:ln>
                  </pic:spPr>
                </pic:pic>
              </a:graphicData>
            </a:graphic>
          </wp:inline>
        </w:drawing>
      </w:r>
    </w:p>
    <w:p w:rsidR="00E91315" w:rsidRDefault="00E91315" w:rsidP="00E91315">
      <w:r>
        <w:lastRenderedPageBreak/>
        <w:t>Investigations</w:t>
      </w:r>
    </w:p>
    <w:p w:rsidR="00E91315" w:rsidRDefault="00DE18CA" w:rsidP="00E91315">
      <w:r>
        <w:rPr>
          <w:noProof/>
          <w:lang w:eastAsia="en-AU"/>
        </w:rPr>
        <w:drawing>
          <wp:inline distT="0" distB="0" distL="0" distR="0">
            <wp:extent cx="5340350" cy="701040"/>
            <wp:effectExtent l="19050" t="0" r="0" b="0"/>
            <wp:docPr id="105" name="Picture 105" descr="Appendix II 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0" cy="701040"/>
                    </a:xfrm>
                    <a:prstGeom prst="rect">
                      <a:avLst/>
                    </a:prstGeom>
                    <a:noFill/>
                    <a:ln>
                      <a:noFill/>
                    </a:ln>
                  </pic:spPr>
                </pic:pic>
              </a:graphicData>
            </a:graphic>
          </wp:inline>
        </w:drawing>
      </w:r>
    </w:p>
    <w:p w:rsidR="00E5044B" w:rsidRDefault="00E5044B" w:rsidP="00E91315"/>
    <w:p w:rsidR="00E5044B" w:rsidRDefault="00E5044B" w:rsidP="00E5044B">
      <w:pPr>
        <w:pStyle w:val="Heading2"/>
      </w:pPr>
      <w:bookmarkStart w:id="353" w:name="_Toc350329836"/>
      <w:r>
        <w:t>Attachment 1.</w:t>
      </w:r>
      <w:r>
        <w:tab/>
        <w:t>Product Information</w:t>
      </w:r>
      <w:bookmarkEnd w:id="353"/>
    </w:p>
    <w:p w:rsidR="00BD7174" w:rsidRPr="00A12C42" w:rsidRDefault="00BD7174" w:rsidP="00BD7174">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E5044B" w:rsidRDefault="00E5044B" w:rsidP="00E5044B"/>
    <w:p w:rsidR="00E91315" w:rsidRDefault="00E91315" w:rsidP="00E91315"/>
    <w:p w:rsidR="00E5044B" w:rsidRDefault="00E5044B" w:rsidP="0081696D">
      <w:pPr>
        <w:spacing w:after="200" w:line="0" w:lineRule="auto"/>
        <w:sectPr w:rsidR="00E5044B" w:rsidSect="00983DF2">
          <w:headerReference w:type="even" r:id="rId107"/>
          <w:headerReference w:type="default" r:id="rId108"/>
          <w:footerReference w:type="default" r:id="rId109"/>
          <w:headerReference w:type="first" r:id="rId110"/>
          <w:footerReference w:type="first" r:id="rId111"/>
          <w:pgSz w:w="11906" w:h="16838" w:code="9"/>
          <w:pgMar w:top="1701" w:right="1701" w:bottom="1418" w:left="1701" w:header="907" w:footer="142" w:gutter="0"/>
          <w:cols w:space="708"/>
          <w:docGrid w:linePitch="360"/>
        </w:sectPr>
      </w:pPr>
    </w:p>
    <w:p w:rsidR="006E08B3" w:rsidRPr="006E08B3" w:rsidRDefault="006E08B3" w:rsidP="00E5044B"/>
    <w:sectPr w:rsidR="006E08B3" w:rsidRPr="006E08B3" w:rsidSect="00A36FA7">
      <w:headerReference w:type="even" r:id="rId112"/>
      <w:headerReference w:type="default" r:id="rId113"/>
      <w:footerReference w:type="default" r:id="rId114"/>
      <w:headerReference w:type="first" r:id="rId115"/>
      <w:footerReference w:type="first" r:id="rId116"/>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E17" w:rsidRDefault="00765E17" w:rsidP="00C40A36">
      <w:pPr>
        <w:spacing w:after="0"/>
      </w:pPr>
      <w:r>
        <w:separator/>
      </w:r>
    </w:p>
  </w:endnote>
  <w:endnote w:type="continuationSeparator" w:id="0">
    <w:p w:rsidR="00765E17" w:rsidRDefault="00765E1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AF6E683C-0CD1-42F6-990B-DC631D44151B}"/>
    <w:embedBold r:id="rId2" w:fontKey="{AF6B63E2-9DC0-479C-B3ED-CF87B5CC9823}"/>
    <w:embedItalic r:id="rId3" w:fontKey="{D028D2E4-3858-4452-879A-921512C63387}"/>
    <w:embedBoldItalic r:id="rId4" w:fontKey="{8F5DF7FA-F17C-4A38-8250-2DE743B26F61}"/>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890A98D-102D-445B-9058-81D124DEC38E}"/>
    <w:embedBold r:id="rId6" w:fontKey="{62AAA6C6-B6DC-413F-A1A9-F7253227A72B}"/>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7" w:fontKey="{F329398B-A5CF-4345-A4B6-01FDCA1E7357}"/>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8" w:fontKey="{6B943495-C363-459C-AA7C-87A990B1B173}"/>
    <w:embedBold r:id="rId9" w:fontKey="{C76DFE46-3959-4001-B13D-831775297A26}"/>
    <w:embedItalic r:id="rId10" w:fontKey="{368CC24A-22C9-40B5-8910-6EF704C9EE7C}"/>
    <w:embedBoldItalic r:id="rId11" w:fontKey="{F4A38B59-FE16-4412-BFE8-B8DA081668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left w:w="0" w:type="dxa"/>
        <w:right w:w="0" w:type="dxa"/>
      </w:tblCellMar>
      <w:tblLook w:val="04A0"/>
    </w:tblPr>
    <w:tblGrid>
      <w:gridCol w:w="4820"/>
      <w:gridCol w:w="3685"/>
    </w:tblGrid>
    <w:tr w:rsidR="00765E17" w:rsidRPr="005A27B0" w:rsidTr="00BE4C39">
      <w:trPr>
        <w:trHeight w:hRule="exact" w:val="567"/>
      </w:trPr>
      <w:tc>
        <w:tcPr>
          <w:tcW w:w="4820" w:type="dxa"/>
          <w:tcMar>
            <w:top w:w="142" w:type="dxa"/>
            <w:bottom w:w="0" w:type="dxa"/>
          </w:tcMar>
        </w:tcPr>
        <w:p w:rsidR="00765E17" w:rsidRPr="005A27B0" w:rsidRDefault="00765E17" w:rsidP="00765E17">
          <w:pPr>
            <w:pStyle w:val="Footer"/>
          </w:pPr>
          <w:r w:rsidRPr="005A27B0">
            <w:t xml:space="preserve">AusPAR </w:t>
          </w:r>
          <w:r>
            <w:t>Valoid Cyclizine lactate Link Medical Products Pty Ltd PM-2010-03573-3-1  Final 15 January 2013</w:t>
          </w:r>
        </w:p>
      </w:tc>
      <w:tc>
        <w:tcPr>
          <w:tcW w:w="3685" w:type="dxa"/>
          <w:tcMar>
            <w:top w:w="142" w:type="dxa"/>
            <w:bottom w:w="0" w:type="dxa"/>
          </w:tcMar>
        </w:tcPr>
        <w:p w:rsidR="00765E17" w:rsidRPr="005A27B0" w:rsidRDefault="00765E17" w:rsidP="005A27B0">
          <w:pPr>
            <w:pStyle w:val="Footer"/>
            <w:jc w:val="right"/>
          </w:pPr>
          <w:r w:rsidRPr="005A27B0">
            <w:t xml:space="preserve">Page </w:t>
          </w:r>
          <w:fldSimple w:instr=" PAGE  \* Arabic  \* MERGEFORMAT ">
            <w:r w:rsidR="00BA1A9A">
              <w:rPr>
                <w:noProof/>
              </w:rPr>
              <w:t>2</w:t>
            </w:r>
          </w:fldSimple>
          <w:r w:rsidRPr="005A27B0">
            <w:t xml:space="preserve"> of </w:t>
          </w:r>
          <w:fldSimple w:instr=" NUMPAGES  \* Arabic  \* MERGEFORMAT ">
            <w:r w:rsidR="00BA1A9A">
              <w:rPr>
                <w:noProof/>
              </w:rPr>
              <w:t>88</w:t>
            </w:r>
          </w:fldSimple>
        </w:p>
      </w:tc>
    </w:tr>
  </w:tbl>
  <w:p w:rsidR="00765E17" w:rsidRDefault="00765E17"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357F8C" w:rsidP="00165389">
    <w:fldSimple w:instr=" MERGEFIELD AN ">
      <w:r w:rsidR="00765E17">
        <w:rPr>
          <w:noProof/>
        </w:rPr>
        <w:t>«AN»</w:t>
      </w:r>
    </w:fldSimple>
  </w:p>
  <w:p w:rsidR="00765E17" w:rsidRDefault="00765E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left w:w="0" w:type="dxa"/>
        <w:right w:w="0" w:type="dxa"/>
      </w:tblCellMar>
      <w:tblLook w:val="04A0"/>
    </w:tblPr>
    <w:tblGrid>
      <w:gridCol w:w="4820"/>
      <w:gridCol w:w="3969"/>
    </w:tblGrid>
    <w:tr w:rsidR="00BE4C39" w:rsidRPr="005A27B0" w:rsidTr="00377AD6">
      <w:trPr>
        <w:trHeight w:hRule="exact" w:val="567"/>
      </w:trPr>
      <w:tc>
        <w:tcPr>
          <w:tcW w:w="4820" w:type="dxa"/>
          <w:tcBorders>
            <w:top w:val="single" w:sz="4" w:space="0" w:color="auto"/>
          </w:tcBorders>
          <w:tcMar>
            <w:top w:w="142" w:type="dxa"/>
            <w:bottom w:w="0" w:type="dxa"/>
          </w:tcMar>
        </w:tcPr>
        <w:p w:rsidR="00BE4C39" w:rsidRPr="005A27B0" w:rsidRDefault="00BE4C39" w:rsidP="00765E17">
          <w:pPr>
            <w:pStyle w:val="Footer"/>
          </w:pPr>
          <w:r w:rsidRPr="005A27B0">
            <w:t xml:space="preserve">AusPAR </w:t>
          </w:r>
          <w:r>
            <w:t>Valoid Cyclizine lactate Link Medical Products Pty Ltd PM-2010-03573-3-1  Final 15 January 2013</w:t>
          </w:r>
        </w:p>
      </w:tc>
      <w:tc>
        <w:tcPr>
          <w:tcW w:w="3969" w:type="dxa"/>
          <w:tcBorders>
            <w:top w:val="single" w:sz="4" w:space="0" w:color="auto"/>
          </w:tcBorders>
          <w:tcMar>
            <w:top w:w="142" w:type="dxa"/>
            <w:bottom w:w="0" w:type="dxa"/>
          </w:tcMar>
        </w:tcPr>
        <w:p w:rsidR="00BE4C39" w:rsidRPr="005A27B0" w:rsidRDefault="00BE4C39" w:rsidP="005A27B0">
          <w:pPr>
            <w:pStyle w:val="Footer"/>
            <w:jc w:val="right"/>
          </w:pPr>
          <w:r w:rsidRPr="005A27B0">
            <w:t xml:space="preserve">Page </w:t>
          </w:r>
          <w:fldSimple w:instr=" PAGE  \* Arabic  \* MERGEFORMAT ">
            <w:r w:rsidR="00BA1A9A">
              <w:rPr>
                <w:noProof/>
              </w:rPr>
              <w:t>24</w:t>
            </w:r>
          </w:fldSimple>
          <w:r w:rsidRPr="005A27B0">
            <w:t xml:space="preserve"> of </w:t>
          </w:r>
          <w:fldSimple w:instr=" NUMPAGES  \* Arabic  \* MERGEFORMAT ">
            <w:r w:rsidR="00BA1A9A">
              <w:rPr>
                <w:noProof/>
              </w:rPr>
              <w:t>88</w:t>
            </w:r>
          </w:fldSimple>
        </w:p>
      </w:tc>
    </w:tr>
  </w:tbl>
  <w:p w:rsidR="00BE4C39" w:rsidRDefault="00BE4C3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65E17" w:rsidRPr="005A27B0" w:rsidTr="005A27B0">
      <w:trPr>
        <w:trHeight w:val="269"/>
      </w:trPr>
      <w:tc>
        <w:tcPr>
          <w:tcW w:w="4519" w:type="dxa"/>
          <w:tcBorders>
            <w:top w:val="single" w:sz="4" w:space="0" w:color="auto"/>
          </w:tcBorders>
          <w:tcMar>
            <w:top w:w="142" w:type="dxa"/>
            <w:bottom w:w="0" w:type="dxa"/>
          </w:tcMar>
        </w:tcPr>
        <w:p w:rsidR="00765E17" w:rsidRPr="005A27B0" w:rsidRDefault="00765E17" w:rsidP="004231C4">
          <w:pPr>
            <w:pStyle w:val="Footer"/>
          </w:pPr>
          <w:r w:rsidRPr="005A27B0">
            <w:t>AusPAR Product Generic Sponsor</w:t>
          </w:r>
          <w:r>
            <w:t>.</w:t>
          </w:r>
          <w:r w:rsidRPr="005A27B0">
            <w:t xml:space="preserve"> </w:t>
          </w:r>
          <w:r>
            <w:t xml:space="preserve">PM-2010-03573-3-1 </w:t>
          </w:r>
          <w:r w:rsidR="004231C4">
            <w:t>Final 15 January 2013</w:t>
          </w:r>
        </w:p>
      </w:tc>
      <w:tc>
        <w:tcPr>
          <w:tcW w:w="4342" w:type="dxa"/>
          <w:tcBorders>
            <w:top w:val="single" w:sz="4" w:space="0" w:color="auto"/>
          </w:tcBorders>
          <w:tcMar>
            <w:top w:w="142" w:type="dxa"/>
            <w:bottom w:w="0" w:type="dxa"/>
          </w:tcMar>
        </w:tcPr>
        <w:p w:rsidR="00765E17" w:rsidRPr="005A27B0" w:rsidRDefault="00765E17" w:rsidP="005A27B0">
          <w:pPr>
            <w:pStyle w:val="Footer"/>
            <w:jc w:val="right"/>
          </w:pPr>
          <w:r w:rsidRPr="005A27B0">
            <w:t xml:space="preserve">Page </w:t>
          </w:r>
          <w:fldSimple w:instr="PAGE">
            <w:r w:rsidR="00E35433">
              <w:rPr>
                <w:noProof/>
              </w:rPr>
              <w:t>71</w:t>
            </w:r>
          </w:fldSimple>
          <w:r w:rsidRPr="005A27B0">
            <w:t xml:space="preserve"> of </w:t>
          </w:r>
          <w:fldSimple w:instr=" NUMPAGES  \* Arabic ">
            <w:r w:rsidR="00E35433">
              <w:rPr>
                <w:noProof/>
              </w:rPr>
              <w:t>88</w:t>
            </w:r>
          </w:fldSimple>
        </w:p>
      </w:tc>
    </w:tr>
  </w:tbl>
  <w:p w:rsidR="00765E17" w:rsidRDefault="00765E17" w:rsidP="0005559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65E17" w:rsidRPr="005A27B0" w:rsidTr="005A27B0">
      <w:trPr>
        <w:trHeight w:val="269"/>
      </w:trPr>
      <w:tc>
        <w:tcPr>
          <w:tcW w:w="4519" w:type="dxa"/>
          <w:tcBorders>
            <w:top w:val="single" w:sz="4" w:space="0" w:color="auto"/>
          </w:tcBorders>
          <w:tcMar>
            <w:top w:w="142" w:type="dxa"/>
            <w:bottom w:w="0" w:type="dxa"/>
          </w:tcMar>
        </w:tcPr>
        <w:p w:rsidR="00765E17" w:rsidRPr="005A27B0" w:rsidRDefault="00765E17" w:rsidP="00FE1DEE">
          <w:pPr>
            <w:pStyle w:val="Footer"/>
          </w:pPr>
          <w:r w:rsidRPr="005A27B0">
            <w:t>Document title, Part #, Section # - Section title</w:t>
          </w:r>
        </w:p>
        <w:p w:rsidR="00765E17" w:rsidRPr="005A27B0" w:rsidRDefault="00765E17" w:rsidP="00FE1DEE">
          <w:pPr>
            <w:pStyle w:val="Footer"/>
          </w:pPr>
          <w:r w:rsidRPr="005A27B0">
            <w:t>V1.0 October 2010</w:t>
          </w:r>
        </w:p>
      </w:tc>
      <w:tc>
        <w:tcPr>
          <w:tcW w:w="4342" w:type="dxa"/>
          <w:tcBorders>
            <w:top w:val="single" w:sz="4" w:space="0" w:color="auto"/>
          </w:tcBorders>
          <w:tcMar>
            <w:top w:w="142" w:type="dxa"/>
            <w:bottom w:w="0" w:type="dxa"/>
          </w:tcMar>
        </w:tcPr>
        <w:p w:rsidR="00765E17" w:rsidRPr="005A27B0" w:rsidRDefault="00765E17" w:rsidP="005A27B0">
          <w:pPr>
            <w:pStyle w:val="Footer"/>
            <w:jc w:val="right"/>
          </w:pPr>
          <w:r w:rsidRPr="005A27B0">
            <w:t xml:space="preserve">Page </w:t>
          </w:r>
          <w:fldSimple w:instr=" PAGE   \* MERGEFORMAT ">
            <w:r>
              <w:rPr>
                <w:noProof/>
              </w:rPr>
              <w:t>1</w:t>
            </w:r>
          </w:fldSimple>
          <w:r w:rsidRPr="005A27B0">
            <w:t xml:space="preserve"> of </w:t>
          </w:r>
          <w:fldSimple w:instr=" NUMPAGES  ">
            <w:r>
              <w:rPr>
                <w:noProof/>
              </w:rPr>
              <w:t>87</w:t>
            </w:r>
          </w:fldSimple>
        </w:p>
      </w:tc>
    </w:tr>
  </w:tbl>
  <w:p w:rsidR="00765E17" w:rsidRDefault="00765E1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rsidP="0005559E">
    <w:pPr>
      <w:pStyle w:val="Footer"/>
    </w:pPr>
  </w:p>
  <w:tbl>
    <w:tblPr>
      <w:tblW w:w="9145" w:type="dxa"/>
      <w:tblInd w:w="-284" w:type="dxa"/>
      <w:tblLayout w:type="fixed"/>
      <w:tblCellMar>
        <w:left w:w="0" w:type="dxa"/>
        <w:right w:w="0" w:type="dxa"/>
      </w:tblCellMar>
      <w:tblLook w:val="04A0"/>
    </w:tblPr>
    <w:tblGrid>
      <w:gridCol w:w="9145"/>
    </w:tblGrid>
    <w:tr w:rsidR="00765E17" w:rsidRPr="005A27B0" w:rsidTr="005A27B0">
      <w:trPr>
        <w:trHeight w:hRule="exact" w:val="454"/>
      </w:trPr>
      <w:tc>
        <w:tcPr>
          <w:tcW w:w="9145" w:type="dxa"/>
        </w:tcPr>
        <w:p w:rsidR="00765E17" w:rsidRPr="005A27B0" w:rsidRDefault="00765E17" w:rsidP="00576378">
          <w:pPr>
            <w:pStyle w:val="TGASignoff"/>
          </w:pPr>
          <w:r w:rsidRPr="005A27B0">
            <w:t>Therapeutic Goods Administration</w:t>
          </w:r>
        </w:p>
      </w:tc>
    </w:tr>
    <w:tr w:rsidR="00765E17" w:rsidRPr="005A27B0" w:rsidTr="005A27B0">
      <w:trPr>
        <w:trHeight w:val="1284"/>
      </w:trPr>
      <w:tc>
        <w:tcPr>
          <w:tcW w:w="9145" w:type="dxa"/>
          <w:tcMar>
            <w:top w:w="28" w:type="dxa"/>
          </w:tcMar>
        </w:tcPr>
        <w:p w:rsidR="00765E17" w:rsidRPr="005A27B0" w:rsidRDefault="00765E17" w:rsidP="00576378">
          <w:pPr>
            <w:pStyle w:val="Address"/>
          </w:pPr>
          <w:r w:rsidRPr="005A27B0">
            <w:t>PO Box 100 Woden ACT 2606 Australia</w:t>
          </w:r>
        </w:p>
        <w:p w:rsidR="00765E17" w:rsidRPr="005A27B0" w:rsidRDefault="00765E17" w:rsidP="00576378">
          <w:pPr>
            <w:pStyle w:val="Address"/>
          </w:pPr>
          <w:r w:rsidRPr="005A27B0">
            <w:t>Email: info@tga.gov.au  Phone: 1800 020 653  Fax: 02 6232 8605</w:t>
          </w:r>
        </w:p>
        <w:p w:rsidR="00765E17" w:rsidRPr="005A27B0" w:rsidRDefault="00765E17" w:rsidP="005A27B0">
          <w:pPr>
            <w:pStyle w:val="Address"/>
            <w:spacing w:line="260" w:lineRule="atLeast"/>
            <w:rPr>
              <w:b/>
            </w:rPr>
          </w:pPr>
          <w:r w:rsidRPr="005A27B0">
            <w:rPr>
              <w:b/>
            </w:rPr>
            <w:t>www.tga.gov.au</w:t>
          </w:r>
        </w:p>
        <w:p w:rsidR="00765E17" w:rsidRPr="005A27B0" w:rsidRDefault="00765E17" w:rsidP="00576378">
          <w:pPr>
            <w:pStyle w:val="Reference"/>
          </w:pPr>
        </w:p>
      </w:tc>
    </w:tr>
  </w:tbl>
  <w:p w:rsidR="00765E17" w:rsidRDefault="00765E17" w:rsidP="0005559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65E17" w:rsidRPr="005A27B0" w:rsidTr="005A27B0">
      <w:trPr>
        <w:trHeight w:val="108"/>
      </w:trPr>
      <w:tc>
        <w:tcPr>
          <w:tcW w:w="8875" w:type="dxa"/>
          <w:gridSpan w:val="2"/>
          <w:tcBorders>
            <w:bottom w:val="single" w:sz="4" w:space="0" w:color="auto"/>
          </w:tcBorders>
          <w:tcMar>
            <w:right w:w="284" w:type="dxa"/>
          </w:tcMar>
        </w:tcPr>
        <w:p w:rsidR="00765E17" w:rsidRPr="005A27B0" w:rsidRDefault="00765E17" w:rsidP="005A27B0">
          <w:pPr>
            <w:pStyle w:val="Heading3"/>
            <w:spacing w:after="0"/>
          </w:pPr>
          <w:r w:rsidRPr="005A27B0">
            <w:t>Copyright</w:t>
          </w:r>
        </w:p>
        <w:p w:rsidR="00765E17" w:rsidRPr="005A27B0" w:rsidRDefault="00765E17" w:rsidP="006E08B3">
          <w:pPr>
            <w:pStyle w:val="Footer"/>
          </w:pPr>
          <w:r w:rsidRPr="005A27B0">
            <w:t>© Commonwealth of Australia [add year]</w:t>
          </w:r>
        </w:p>
        <w:p w:rsidR="00765E17" w:rsidRPr="005A27B0" w:rsidRDefault="00765E17" w:rsidP="006E08B3">
          <w:pPr>
            <w:pStyle w:val="Footer"/>
          </w:pPr>
        </w:p>
        <w:p w:rsidR="00765E17" w:rsidRPr="005A27B0" w:rsidRDefault="00765E17" w:rsidP="006E08B3">
          <w:pPr>
            <w:pStyle w:val="Footer"/>
          </w:pPr>
          <w:r w:rsidRPr="005A27B0">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rsidR="00765E17" w:rsidRPr="005A27B0" w:rsidRDefault="00765E17" w:rsidP="006E08B3">
          <w:pPr>
            <w:pStyle w:val="Footer"/>
          </w:pPr>
        </w:p>
        <w:p w:rsidR="00765E17" w:rsidRPr="005A27B0" w:rsidRDefault="00765E17" w:rsidP="005A27B0">
          <w:pPr>
            <w:pStyle w:val="Heading3"/>
            <w:spacing w:after="0"/>
          </w:pPr>
          <w:r w:rsidRPr="005A27B0">
            <w:t>Confidentiality</w:t>
          </w:r>
        </w:p>
        <w:p w:rsidR="00765E17" w:rsidRPr="005A27B0" w:rsidRDefault="00765E17" w:rsidP="006E08B3">
          <w:pPr>
            <w:pStyle w:val="Footer"/>
          </w:pPr>
          <w:r w:rsidRPr="005A27B0">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65E17" w:rsidRPr="005A27B0" w:rsidRDefault="00765E17" w:rsidP="006E08B3">
          <w:pPr>
            <w:pStyle w:val="Footer"/>
          </w:pPr>
        </w:p>
        <w:p w:rsidR="00765E17" w:rsidRPr="005A27B0" w:rsidRDefault="00765E17" w:rsidP="006E08B3">
          <w:pPr>
            <w:pStyle w:val="Footer"/>
          </w:pPr>
          <w:r w:rsidRPr="005A27B0">
            <w:t>For submission made by individuals, all personal details, other than your name, will be removed from your submission before it is published on the TGA’s Internet site.</w:t>
          </w:r>
        </w:p>
        <w:p w:rsidR="00765E17" w:rsidRPr="005A27B0" w:rsidRDefault="00765E17" w:rsidP="006E08B3">
          <w:pPr>
            <w:pStyle w:val="Footer"/>
          </w:pPr>
        </w:p>
        <w:p w:rsidR="00765E17" w:rsidRPr="005A27B0" w:rsidRDefault="00765E17" w:rsidP="006E08B3">
          <w:pPr>
            <w:pStyle w:val="Footer"/>
          </w:pPr>
          <w:r w:rsidRPr="005A27B0">
            <w:t>In addition, a list of parties making submissions will be published. If you do not wish to be identified with your submission you must specifically request this in the space provided ib the submission coversheet.</w:t>
          </w:r>
        </w:p>
      </w:tc>
    </w:tr>
    <w:tr w:rsidR="00765E17" w:rsidRPr="005A27B0" w:rsidTr="005A27B0">
      <w:trPr>
        <w:trHeight w:val="417"/>
      </w:trPr>
      <w:tc>
        <w:tcPr>
          <w:tcW w:w="4519" w:type="dxa"/>
          <w:tcBorders>
            <w:top w:val="single" w:sz="4" w:space="0" w:color="auto"/>
          </w:tcBorders>
          <w:tcMar>
            <w:top w:w="142" w:type="dxa"/>
            <w:bottom w:w="0" w:type="dxa"/>
          </w:tcMar>
        </w:tcPr>
        <w:p w:rsidR="00765E17" w:rsidRPr="005A27B0" w:rsidRDefault="00765E17" w:rsidP="006E08B3">
          <w:pPr>
            <w:pStyle w:val="Footer"/>
          </w:pPr>
          <w:r w:rsidRPr="005A27B0">
            <w:t>Document title, Part #, Section # - Section title</w:t>
          </w:r>
        </w:p>
        <w:p w:rsidR="00765E17" w:rsidRPr="005A27B0" w:rsidRDefault="00765E17" w:rsidP="006E08B3">
          <w:pPr>
            <w:pStyle w:val="Footer"/>
          </w:pPr>
          <w:r w:rsidRPr="005A27B0">
            <w:t>V1.0 October 2010</w:t>
          </w:r>
        </w:p>
      </w:tc>
      <w:tc>
        <w:tcPr>
          <w:tcW w:w="4356" w:type="dxa"/>
          <w:tcBorders>
            <w:top w:val="single" w:sz="4" w:space="0" w:color="auto"/>
          </w:tcBorders>
          <w:tcMar>
            <w:top w:w="142" w:type="dxa"/>
            <w:bottom w:w="0" w:type="dxa"/>
          </w:tcMar>
        </w:tcPr>
        <w:p w:rsidR="00765E17" w:rsidRPr="005A27B0" w:rsidRDefault="00765E17" w:rsidP="005A27B0">
          <w:pPr>
            <w:pStyle w:val="Footer"/>
            <w:jc w:val="right"/>
          </w:pPr>
          <w:r w:rsidRPr="005A27B0">
            <w:t xml:space="preserve">Page </w:t>
          </w:r>
          <w:fldSimple w:instr=" PAGE   \* MERGEFORMAT ">
            <w:r>
              <w:rPr>
                <w:noProof/>
              </w:rPr>
              <w:t>1</w:t>
            </w:r>
          </w:fldSimple>
          <w:r w:rsidRPr="005A27B0">
            <w:t xml:space="preserve"> of </w:t>
          </w:r>
          <w:fldSimple w:instr=" NUMPAGES  \* Arabic ">
            <w:r>
              <w:rPr>
                <w:noProof/>
              </w:rPr>
              <w:t>87</w:t>
            </w:r>
          </w:fldSimple>
          <w:r w:rsidRPr="005A27B0">
            <w:t xml:space="preserve">  </w:t>
          </w:r>
        </w:p>
      </w:tc>
    </w:tr>
  </w:tbl>
  <w:p w:rsidR="00765E17" w:rsidRDefault="00765E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E17" w:rsidRDefault="00765E17" w:rsidP="00C40A36">
      <w:pPr>
        <w:spacing w:after="0"/>
      </w:pPr>
      <w:r>
        <w:separator/>
      </w:r>
    </w:p>
  </w:footnote>
  <w:footnote w:type="continuationSeparator" w:id="0">
    <w:p w:rsidR="00765E17" w:rsidRDefault="00765E17" w:rsidP="00C40A36">
      <w:pPr>
        <w:spacing w:after="0"/>
      </w:pPr>
      <w:r>
        <w:continuationSeparator/>
      </w:r>
    </w:p>
  </w:footnote>
  <w:footnote w:id="1">
    <w:p w:rsidR="00765E17" w:rsidRDefault="00765E17">
      <w:pPr>
        <w:pStyle w:val="FootnoteText"/>
      </w:pPr>
      <w:r>
        <w:rPr>
          <w:rStyle w:val="FootnoteReference"/>
        </w:rPr>
        <w:footnoteRef/>
      </w:r>
      <w:r>
        <w:t xml:space="preserve"> </w:t>
      </w:r>
      <w:r w:rsidRPr="007C4E2C">
        <w:rPr>
          <w:rFonts w:ascii="Cambria" w:hAnsi="Cambria"/>
          <w:sz w:val="18"/>
          <w:szCs w:val="18"/>
        </w:rPr>
        <w:t>MIGRAL</w:t>
      </w:r>
      <w:r w:rsidRPr="007C4E2C">
        <w:rPr>
          <w:rFonts w:ascii="Cambria" w:hAnsi="Cambria"/>
          <w:sz w:val="18"/>
          <w:szCs w:val="18"/>
          <w:vertAlign w:val="superscript"/>
        </w:rPr>
        <w:t>®</w:t>
      </w:r>
      <w:r w:rsidRPr="007C4E2C">
        <w:rPr>
          <w:rFonts w:ascii="Cambria" w:hAnsi="Cambria"/>
          <w:sz w:val="18"/>
          <w:szCs w:val="18"/>
        </w:rPr>
        <w:t>, an [oral] combination product containing cyclizine, ergotamine and caffeine, was once registered in Australia but registration has since been cancelled.</w:t>
      </w:r>
    </w:p>
  </w:footnote>
  <w:footnote w:id="2">
    <w:p w:rsidR="00765E17" w:rsidRPr="00E565CB" w:rsidRDefault="00765E17" w:rsidP="00753034">
      <w:pPr>
        <w:pStyle w:val="FootnoteText"/>
        <w:rPr>
          <w:rFonts w:ascii="Cambria" w:hAnsi="Cambria"/>
          <w:sz w:val="18"/>
          <w:szCs w:val="18"/>
        </w:rPr>
      </w:pPr>
      <w:r w:rsidRPr="00E565CB">
        <w:rPr>
          <w:rStyle w:val="FootnoteReference"/>
          <w:rFonts w:ascii="Cambria" w:hAnsi="Cambria"/>
          <w:sz w:val="18"/>
          <w:szCs w:val="18"/>
        </w:rPr>
        <w:footnoteRef/>
      </w:r>
      <w:r w:rsidRPr="00E565CB">
        <w:rPr>
          <w:rFonts w:ascii="Cambria" w:hAnsi="Cambria"/>
          <w:sz w:val="18"/>
          <w:szCs w:val="18"/>
        </w:rPr>
        <w:t xml:space="preserve"> A rough estimate of safety margin may be obtained by comparing relative doses expressed as mg/m</w:t>
      </w:r>
      <w:r w:rsidRPr="00E565CB">
        <w:rPr>
          <w:rFonts w:ascii="Cambria" w:hAnsi="Cambria"/>
          <w:sz w:val="18"/>
          <w:szCs w:val="18"/>
          <w:vertAlign w:val="superscript"/>
        </w:rPr>
        <w:t>2</w:t>
      </w:r>
      <w:r w:rsidRPr="00E565CB">
        <w:rPr>
          <w:rFonts w:ascii="Cambria" w:hAnsi="Cambria"/>
          <w:sz w:val="18"/>
          <w:szCs w:val="18"/>
        </w:rPr>
        <w:t xml:space="preserve"> (although the administration routes differ). Thus, the 75 mg/kg dose in rats (450 mg/m</w:t>
      </w:r>
      <w:r w:rsidRPr="00E565CB">
        <w:rPr>
          <w:rFonts w:ascii="Cambria" w:hAnsi="Cambria"/>
          <w:sz w:val="18"/>
          <w:szCs w:val="18"/>
          <w:vertAlign w:val="superscript"/>
        </w:rPr>
        <w:t>2</w:t>
      </w:r>
      <w:r w:rsidRPr="00E565CB">
        <w:rPr>
          <w:rFonts w:ascii="Cambria" w:hAnsi="Cambria"/>
          <w:sz w:val="18"/>
          <w:szCs w:val="18"/>
        </w:rPr>
        <w:t xml:space="preserve">) is </w:t>
      </w:r>
      <w:r>
        <w:rPr>
          <w:rFonts w:ascii="Cambria" w:hAnsi="Cambria"/>
          <w:sz w:val="18"/>
          <w:szCs w:val="18"/>
        </w:rPr>
        <w:t xml:space="preserve">approximately </w:t>
      </w:r>
      <w:r w:rsidRPr="00E565CB">
        <w:rPr>
          <w:rFonts w:ascii="Cambria" w:hAnsi="Cambria"/>
          <w:sz w:val="18"/>
          <w:szCs w:val="18"/>
        </w:rPr>
        <w:t>4.5x a clinical dose of 50 mg t</w:t>
      </w:r>
      <w:r>
        <w:rPr>
          <w:rFonts w:ascii="Cambria" w:hAnsi="Cambria"/>
          <w:sz w:val="18"/>
          <w:szCs w:val="18"/>
        </w:rPr>
        <w:t xml:space="preserve">id </w:t>
      </w:r>
      <w:r w:rsidRPr="00E565CB">
        <w:rPr>
          <w:rFonts w:ascii="Cambria" w:hAnsi="Cambria"/>
          <w:sz w:val="18"/>
          <w:szCs w:val="18"/>
        </w:rPr>
        <w:t>in a 50 kg individual (99 mg/m</w:t>
      </w:r>
      <w:r w:rsidRPr="00E565CB">
        <w:rPr>
          <w:rFonts w:ascii="Cambria" w:hAnsi="Cambria"/>
          <w:sz w:val="18"/>
          <w:szCs w:val="18"/>
          <w:vertAlign w:val="superscript"/>
        </w:rPr>
        <w:t>2</w:t>
      </w:r>
      <w:r w:rsidRPr="00E565CB">
        <w:rPr>
          <w:rFonts w:ascii="Cambria" w:hAnsi="Cambria"/>
          <w:sz w:val="18"/>
          <w:szCs w:val="18"/>
        </w:rPr>
        <w:t xml:space="preserve">). The NOEL (40 mg/kg) is </w:t>
      </w:r>
      <w:r w:rsidRPr="00E565CB">
        <w:rPr>
          <w:rFonts w:ascii="Cambria" w:hAnsi="Cambria"/>
          <w:i/>
          <w:sz w:val="18"/>
          <w:szCs w:val="18"/>
        </w:rPr>
        <w:t>ca</w:t>
      </w:r>
      <w:r w:rsidRPr="00E565CB">
        <w:rPr>
          <w:rFonts w:ascii="Cambria" w:hAnsi="Cambria"/>
          <w:sz w:val="18"/>
          <w:szCs w:val="18"/>
        </w:rPr>
        <w:t xml:space="preserve"> 2.4x a 50 mg </w:t>
      </w:r>
      <w:r>
        <w:rPr>
          <w:rFonts w:ascii="Cambria" w:hAnsi="Cambria"/>
          <w:sz w:val="18"/>
          <w:szCs w:val="18"/>
        </w:rPr>
        <w:t xml:space="preserve">tid </w:t>
      </w:r>
      <w:r w:rsidRPr="00E565CB">
        <w:rPr>
          <w:rFonts w:ascii="Cambria" w:hAnsi="Cambria"/>
          <w:sz w:val="18"/>
          <w:szCs w:val="18"/>
        </w:rPr>
        <w:t>clinical dose.</w:t>
      </w:r>
    </w:p>
  </w:footnote>
  <w:footnote w:id="3">
    <w:p w:rsidR="00765E17" w:rsidRPr="00E565CB" w:rsidRDefault="00765E17" w:rsidP="00753034">
      <w:pPr>
        <w:pStyle w:val="FootnoteText"/>
        <w:rPr>
          <w:rFonts w:ascii="Cambria" w:hAnsi="Cambria"/>
          <w:sz w:val="18"/>
          <w:szCs w:val="18"/>
        </w:rPr>
      </w:pPr>
      <w:r w:rsidRPr="00E565CB">
        <w:rPr>
          <w:rStyle w:val="FootnoteReference"/>
          <w:rFonts w:ascii="Cambria" w:hAnsi="Cambria"/>
          <w:sz w:val="18"/>
          <w:szCs w:val="18"/>
        </w:rPr>
        <w:footnoteRef/>
      </w:r>
      <w:r w:rsidRPr="00E565CB">
        <w:rPr>
          <w:rFonts w:ascii="Cambria" w:hAnsi="Cambria"/>
          <w:sz w:val="18"/>
          <w:szCs w:val="18"/>
        </w:rPr>
        <w:t xml:space="preserve"> This was not observed in all studies (</w:t>
      </w:r>
      <w:r>
        <w:rPr>
          <w:rFonts w:ascii="Cambria" w:hAnsi="Cambria"/>
          <w:sz w:val="18"/>
          <w:szCs w:val="18"/>
        </w:rPr>
        <w:t>for example, Pendse and</w:t>
      </w:r>
      <w:r w:rsidRPr="00E565CB">
        <w:rPr>
          <w:rFonts w:ascii="Cambria" w:hAnsi="Cambria"/>
          <w:sz w:val="18"/>
          <w:szCs w:val="18"/>
        </w:rPr>
        <w:t xml:space="preserve"> Madan</w:t>
      </w:r>
      <w:r>
        <w:rPr>
          <w:rFonts w:ascii="Cambria" w:hAnsi="Cambria"/>
          <w:sz w:val="18"/>
          <w:szCs w:val="18"/>
        </w:rPr>
        <w:t>,</w:t>
      </w:r>
      <w:r w:rsidRPr="00E565CB">
        <w:rPr>
          <w:rFonts w:ascii="Cambria" w:hAnsi="Cambria"/>
          <w:sz w:val="18"/>
          <w:szCs w:val="18"/>
        </w:rPr>
        <w:t xml:space="preserve"> 1969). </w:t>
      </w:r>
    </w:p>
  </w:footnote>
  <w:footnote w:id="4">
    <w:p w:rsidR="00765E17" w:rsidRPr="00F504AC" w:rsidRDefault="00765E17" w:rsidP="00753034">
      <w:pPr>
        <w:pStyle w:val="FootnoteText"/>
        <w:rPr>
          <w:rFonts w:ascii="Cambria" w:hAnsi="Cambria"/>
          <w:sz w:val="18"/>
          <w:szCs w:val="18"/>
        </w:rPr>
      </w:pPr>
      <w:r w:rsidRPr="00F504AC">
        <w:rPr>
          <w:rStyle w:val="FootnoteReference"/>
          <w:rFonts w:ascii="Cambria" w:hAnsi="Cambria"/>
          <w:sz w:val="18"/>
          <w:szCs w:val="18"/>
        </w:rPr>
        <w:footnoteRef/>
      </w:r>
      <w:r w:rsidRPr="00F504AC">
        <w:rPr>
          <w:rFonts w:ascii="Cambria" w:hAnsi="Cambria"/>
          <w:sz w:val="18"/>
          <w:szCs w:val="18"/>
        </w:rPr>
        <w:t xml:space="preserve"> Diphenylmethane (M1), benzophenone (M2), benzhydrol (M3).</w:t>
      </w:r>
    </w:p>
  </w:footnote>
  <w:footnote w:id="5">
    <w:p w:rsidR="00765E17" w:rsidRDefault="00765E17" w:rsidP="007C610C">
      <w:pPr>
        <w:spacing w:line="240" w:lineRule="auto"/>
      </w:pPr>
      <w:r>
        <w:rPr>
          <w:rStyle w:val="FootnoteReference"/>
        </w:rPr>
        <w:footnoteRef/>
      </w:r>
      <w:r>
        <w:t xml:space="preserve"> </w:t>
      </w:r>
      <w:r w:rsidRPr="007C610C">
        <w:rPr>
          <w:sz w:val="18"/>
          <w:szCs w:val="18"/>
        </w:rPr>
        <w:t xml:space="preserve">The </w:t>
      </w:r>
      <w:r w:rsidRPr="007C610C">
        <w:rPr>
          <w:i/>
          <w:sz w:val="18"/>
          <w:szCs w:val="18"/>
        </w:rPr>
        <w:t>need for carcinogenicity studies of pharmaceuticals</w:t>
      </w:r>
      <w:r>
        <w:rPr>
          <w:i/>
          <w:sz w:val="18"/>
          <w:szCs w:val="18"/>
        </w:rPr>
        <w:t>.</w:t>
      </w:r>
      <w:r w:rsidRPr="007C610C">
        <w:rPr>
          <w:sz w:val="18"/>
          <w:szCs w:val="18"/>
        </w:rPr>
        <w:t xml:space="preserve"> pp. 73-78 </w:t>
      </w:r>
      <w:r>
        <w:rPr>
          <w:sz w:val="18"/>
          <w:szCs w:val="18"/>
        </w:rPr>
        <w:t>(</w:t>
      </w:r>
      <w:r w:rsidRPr="007C610C">
        <w:rPr>
          <w:sz w:val="18"/>
          <w:szCs w:val="18"/>
        </w:rPr>
        <w:t>3BS8a</w:t>
      </w:r>
      <w:r>
        <w:rPr>
          <w:sz w:val="18"/>
          <w:szCs w:val="18"/>
        </w:rPr>
        <w:t>)</w:t>
      </w:r>
      <w:r w:rsidRPr="007C610C">
        <w:rPr>
          <w:sz w:val="18"/>
          <w:szCs w:val="18"/>
        </w:rPr>
        <w:t xml:space="preserve"> of </w:t>
      </w:r>
      <w:r w:rsidRPr="00BF1088">
        <w:rPr>
          <w:i/>
          <w:sz w:val="18"/>
          <w:szCs w:val="18"/>
        </w:rPr>
        <w:t>The Rules Governing Medicinal Products in the European Union</w:t>
      </w:r>
      <w:r w:rsidRPr="007C610C">
        <w:rPr>
          <w:sz w:val="18"/>
          <w:szCs w:val="18"/>
        </w:rPr>
        <w:t xml:space="preserve"> - EudraLex - Medicinal products for human use, 1998 Edition: Volume 3B - Safety and the Environment</w:t>
      </w:r>
    </w:p>
  </w:footnote>
  <w:footnote w:id="6">
    <w:p w:rsidR="00765E17" w:rsidRPr="00EC78AF" w:rsidRDefault="00765E17" w:rsidP="007A3721">
      <w:pPr>
        <w:pStyle w:val="FootnoteText"/>
        <w:rPr>
          <w:rFonts w:ascii="Cambria" w:hAnsi="Cambria"/>
          <w:sz w:val="18"/>
          <w:szCs w:val="18"/>
        </w:rPr>
      </w:pPr>
      <w:r w:rsidRPr="00EC78AF">
        <w:rPr>
          <w:rStyle w:val="FootnoteReference"/>
          <w:rFonts w:ascii="Cambria" w:hAnsi="Cambria"/>
          <w:sz w:val="18"/>
          <w:szCs w:val="18"/>
        </w:rPr>
        <w:footnoteRef/>
      </w:r>
      <w:r w:rsidRPr="00EC78AF">
        <w:rPr>
          <w:rFonts w:ascii="Cambria" w:hAnsi="Cambria"/>
          <w:sz w:val="18"/>
          <w:szCs w:val="18"/>
        </w:rPr>
        <w:t xml:space="preserve"> </w:t>
      </w:r>
      <w:r w:rsidRPr="00EC78AF">
        <w:rPr>
          <w:rFonts w:ascii="Cambria" w:hAnsi="Cambria"/>
          <w:i/>
          <w:sz w:val="18"/>
          <w:szCs w:val="18"/>
        </w:rPr>
        <w:t>Guideline on the non-clinical documentation for mixed marketing authorisation applications</w:t>
      </w:r>
      <w:r w:rsidRPr="00EC78AF">
        <w:rPr>
          <w:rFonts w:ascii="Cambria" w:hAnsi="Cambria"/>
          <w:sz w:val="18"/>
          <w:szCs w:val="18"/>
        </w:rPr>
        <w:t>, 13 October 2005.</w:t>
      </w:r>
    </w:p>
  </w:footnote>
  <w:footnote w:id="7">
    <w:p w:rsidR="00765E17" w:rsidRPr="00EC78AF" w:rsidRDefault="00765E17" w:rsidP="00F645D7">
      <w:pPr>
        <w:pStyle w:val="FootnoteText"/>
        <w:rPr>
          <w:rFonts w:ascii="Cambria" w:hAnsi="Cambria"/>
          <w:sz w:val="18"/>
          <w:szCs w:val="18"/>
        </w:rPr>
      </w:pPr>
      <w:r w:rsidRPr="00EC78AF">
        <w:rPr>
          <w:rStyle w:val="FootnoteReference"/>
          <w:rFonts w:ascii="Cambria" w:hAnsi="Cambria"/>
          <w:sz w:val="18"/>
          <w:szCs w:val="18"/>
        </w:rPr>
        <w:footnoteRef/>
      </w:r>
      <w:r w:rsidRPr="00EC78AF">
        <w:rPr>
          <w:rFonts w:ascii="Cambria" w:hAnsi="Cambria"/>
          <w:sz w:val="18"/>
          <w:szCs w:val="18"/>
        </w:rPr>
        <w:t xml:space="preserve"> TGA guideline on Literature Based Submissions Points to Consider, available at http://www.tga.gov.au/pdf/pm-literature-based-submissions.pdf.</w:t>
      </w:r>
    </w:p>
  </w:footnote>
  <w:footnote w:id="8">
    <w:p w:rsidR="00765E17" w:rsidRPr="00F75165" w:rsidRDefault="00765E17" w:rsidP="00F645D7">
      <w:pPr>
        <w:pStyle w:val="FootnoteText"/>
        <w:rPr>
          <w:rFonts w:ascii="Cambria" w:hAnsi="Cambria"/>
          <w:sz w:val="18"/>
          <w:szCs w:val="18"/>
        </w:rPr>
      </w:pPr>
      <w:r w:rsidRPr="00F75165">
        <w:rPr>
          <w:rStyle w:val="FootnoteReference"/>
          <w:rFonts w:ascii="Cambria" w:hAnsi="Cambria"/>
          <w:sz w:val="18"/>
          <w:szCs w:val="18"/>
        </w:rPr>
        <w:footnoteRef/>
      </w:r>
      <w:r w:rsidRPr="00F75165">
        <w:rPr>
          <w:rFonts w:ascii="Cambria" w:hAnsi="Cambria"/>
          <w:sz w:val="18"/>
          <w:szCs w:val="18"/>
        </w:rPr>
        <w:t xml:space="preserve"> All patients received ephedrine </w:t>
      </w:r>
      <w:r>
        <w:rPr>
          <w:rFonts w:ascii="Cambria" w:hAnsi="Cambria"/>
          <w:sz w:val="18"/>
          <w:szCs w:val="18"/>
        </w:rPr>
        <w:t>PRN</w:t>
      </w:r>
      <w:r w:rsidRPr="00F75165">
        <w:rPr>
          <w:rFonts w:ascii="Cambria" w:hAnsi="Cambria"/>
          <w:sz w:val="18"/>
          <w:szCs w:val="18"/>
        </w:rPr>
        <w:t>; patients received cyclizine at the end of surgery, morphine was given intrathecally with fentanyl and heavy bupivacaine prior to surgery.</w:t>
      </w:r>
    </w:p>
  </w:footnote>
  <w:footnote w:id="9">
    <w:p w:rsidR="00765E17" w:rsidRPr="003E1DD8" w:rsidRDefault="00765E17" w:rsidP="000E568C">
      <w:pPr>
        <w:pStyle w:val="FootnoteText"/>
        <w:rPr>
          <w:rFonts w:ascii="Cambria" w:hAnsi="Cambria"/>
          <w:sz w:val="18"/>
          <w:szCs w:val="18"/>
        </w:rPr>
      </w:pPr>
      <w:r w:rsidRPr="003E1DD8">
        <w:rPr>
          <w:rStyle w:val="FootnoteReference"/>
          <w:rFonts w:ascii="Cambria" w:hAnsi="Cambria"/>
          <w:sz w:val="18"/>
          <w:szCs w:val="18"/>
        </w:rPr>
        <w:footnoteRef/>
      </w:r>
      <w:r w:rsidRPr="003E1DD8">
        <w:rPr>
          <w:rFonts w:ascii="Cambria" w:hAnsi="Cambria"/>
          <w:sz w:val="18"/>
          <w:szCs w:val="18"/>
        </w:rPr>
        <w:t xml:space="preserve"> There was no Brock-Utne </w:t>
      </w:r>
      <w:r w:rsidRPr="003E1DD8">
        <w:rPr>
          <w:rFonts w:ascii="Cambria" w:hAnsi="Cambria"/>
          <w:i/>
          <w:sz w:val="18"/>
          <w:szCs w:val="18"/>
        </w:rPr>
        <w:t>et al.</w:t>
      </w:r>
      <w:r>
        <w:rPr>
          <w:rFonts w:ascii="Cambria" w:hAnsi="Cambria"/>
          <w:i/>
          <w:sz w:val="18"/>
          <w:szCs w:val="18"/>
        </w:rPr>
        <w:t>,</w:t>
      </w:r>
      <w:r>
        <w:rPr>
          <w:rFonts w:ascii="Cambria" w:hAnsi="Cambria"/>
          <w:sz w:val="18"/>
          <w:szCs w:val="18"/>
        </w:rPr>
        <w:t xml:space="preserve"> </w:t>
      </w:r>
      <w:r w:rsidRPr="003E1DD8">
        <w:rPr>
          <w:rFonts w:ascii="Cambria" w:hAnsi="Cambria"/>
          <w:sz w:val="18"/>
          <w:szCs w:val="18"/>
        </w:rPr>
        <w:t>1976 among the list of references and a handwritten note on the submitted article suggests it doesn’t exist.</w:t>
      </w:r>
    </w:p>
  </w:footnote>
  <w:footnote w:id="10">
    <w:p w:rsidR="00765E17" w:rsidRPr="000A2AA0" w:rsidRDefault="00765E17" w:rsidP="003468B9">
      <w:pPr>
        <w:pStyle w:val="FootnoteText"/>
        <w:rPr>
          <w:rFonts w:ascii="Cambria" w:hAnsi="Cambria"/>
          <w:sz w:val="18"/>
          <w:szCs w:val="18"/>
        </w:rPr>
      </w:pPr>
      <w:r w:rsidRPr="000A2AA0">
        <w:rPr>
          <w:rStyle w:val="FootnoteReference"/>
          <w:rFonts w:ascii="Cambria" w:hAnsi="Cambria"/>
          <w:sz w:val="18"/>
          <w:szCs w:val="18"/>
        </w:rPr>
        <w:footnoteRef/>
      </w:r>
      <w:r w:rsidRPr="000A2AA0">
        <w:rPr>
          <w:rFonts w:ascii="Cambria" w:hAnsi="Cambria"/>
          <w:sz w:val="18"/>
          <w:szCs w:val="18"/>
        </w:rPr>
        <w:t xml:space="preserve"> He </w:t>
      </w:r>
      <w:r w:rsidRPr="003468B9">
        <w:rPr>
          <w:rFonts w:ascii="Cambria" w:hAnsi="Cambria"/>
          <w:i/>
          <w:sz w:val="18"/>
          <w:szCs w:val="18"/>
        </w:rPr>
        <w:t>et al</w:t>
      </w:r>
      <w:r>
        <w:rPr>
          <w:rFonts w:ascii="Cambria" w:hAnsi="Cambria"/>
          <w:sz w:val="18"/>
          <w:szCs w:val="18"/>
        </w:rPr>
        <w:t>., 2002.</w:t>
      </w:r>
    </w:p>
  </w:footnote>
  <w:footnote w:id="11">
    <w:p w:rsidR="00765E17" w:rsidRPr="000A2AA0" w:rsidRDefault="00765E17" w:rsidP="003468B9">
      <w:pPr>
        <w:tabs>
          <w:tab w:val="left" w:pos="720"/>
        </w:tabs>
        <w:autoSpaceDE w:val="0"/>
        <w:autoSpaceDN w:val="0"/>
        <w:adjustRightInd w:val="0"/>
        <w:spacing w:after="0" w:line="240" w:lineRule="auto"/>
        <w:rPr>
          <w:rFonts w:eastAsia="Calibri"/>
          <w:sz w:val="18"/>
          <w:szCs w:val="18"/>
        </w:rPr>
      </w:pPr>
      <w:r w:rsidRPr="000A2AA0">
        <w:rPr>
          <w:rStyle w:val="FootnoteReference"/>
          <w:sz w:val="18"/>
          <w:szCs w:val="18"/>
        </w:rPr>
        <w:footnoteRef/>
      </w:r>
      <w:r w:rsidRPr="000A2AA0">
        <w:rPr>
          <w:sz w:val="18"/>
          <w:szCs w:val="18"/>
        </w:rPr>
        <w:t xml:space="preserve"> </w:t>
      </w:r>
      <w:r w:rsidRPr="000A2AA0">
        <w:rPr>
          <w:rFonts w:eastAsia="Calibri"/>
          <w:sz w:val="18"/>
          <w:szCs w:val="18"/>
        </w:rPr>
        <w:t xml:space="preserve">Suzuki </w:t>
      </w:r>
      <w:r w:rsidRPr="003468B9">
        <w:rPr>
          <w:rFonts w:eastAsia="Calibri"/>
          <w:i/>
          <w:sz w:val="18"/>
          <w:szCs w:val="18"/>
        </w:rPr>
        <w:t>et al.</w:t>
      </w:r>
      <w:r>
        <w:rPr>
          <w:rFonts w:eastAsia="Calibri"/>
          <w:sz w:val="18"/>
          <w:szCs w:val="18"/>
        </w:rPr>
        <w:t>, 2003</w:t>
      </w:r>
      <w:r w:rsidRPr="000A2AA0">
        <w:rPr>
          <w:rFonts w:eastAsia="Calibri"/>
          <w:sz w:val="18"/>
          <w:szCs w:val="18"/>
        </w:rPr>
        <w:t>.</w:t>
      </w:r>
    </w:p>
  </w:footnote>
  <w:footnote w:id="12">
    <w:p w:rsidR="00765E17" w:rsidRPr="000A2AA0" w:rsidRDefault="00765E17" w:rsidP="003468B9">
      <w:pPr>
        <w:pStyle w:val="FootnoteText"/>
        <w:rPr>
          <w:rFonts w:ascii="Cambria" w:hAnsi="Cambria"/>
          <w:sz w:val="18"/>
          <w:szCs w:val="18"/>
        </w:rPr>
      </w:pPr>
      <w:r w:rsidRPr="000A2AA0">
        <w:rPr>
          <w:rStyle w:val="FootnoteReference"/>
          <w:rFonts w:ascii="Cambria" w:hAnsi="Cambria"/>
          <w:sz w:val="18"/>
          <w:szCs w:val="18"/>
        </w:rPr>
        <w:footnoteRef/>
      </w:r>
      <w:r w:rsidRPr="000A2AA0">
        <w:rPr>
          <w:rFonts w:ascii="Cambria" w:hAnsi="Cambria"/>
          <w:sz w:val="18"/>
          <w:szCs w:val="18"/>
        </w:rPr>
        <w:t xml:space="preserve"> Reference describing this </w:t>
      </w:r>
      <w:r>
        <w:rPr>
          <w:rFonts w:ascii="Cambria" w:hAnsi="Cambria"/>
          <w:sz w:val="18"/>
          <w:szCs w:val="18"/>
        </w:rPr>
        <w:t xml:space="preserve">was </w:t>
      </w:r>
      <w:r w:rsidRPr="000A2AA0">
        <w:rPr>
          <w:rFonts w:ascii="Cambria" w:hAnsi="Cambria"/>
          <w:sz w:val="18"/>
          <w:szCs w:val="18"/>
        </w:rPr>
        <w:t>not submitted.</w:t>
      </w:r>
    </w:p>
  </w:footnote>
  <w:footnote w:id="13">
    <w:p w:rsidR="00765E17" w:rsidRPr="00314664" w:rsidRDefault="00765E17" w:rsidP="00750A10">
      <w:pPr>
        <w:pStyle w:val="FootnoteText"/>
        <w:rPr>
          <w:rFonts w:ascii="Cambria" w:hAnsi="Cambria"/>
          <w:sz w:val="18"/>
          <w:szCs w:val="18"/>
        </w:rPr>
      </w:pPr>
      <w:r w:rsidRPr="00314664">
        <w:rPr>
          <w:rStyle w:val="FootnoteReference"/>
          <w:rFonts w:ascii="Cambria" w:hAnsi="Cambria"/>
          <w:sz w:val="18"/>
          <w:szCs w:val="18"/>
        </w:rPr>
        <w:footnoteRef/>
      </w:r>
      <w:r w:rsidRPr="00314664">
        <w:rPr>
          <w:rFonts w:ascii="Cambria" w:hAnsi="Cambria"/>
          <w:sz w:val="18"/>
          <w:szCs w:val="18"/>
        </w:rPr>
        <w:t xml:space="preserve"> There is evidence of the use of ephedrine as an antiemetic.</w:t>
      </w:r>
    </w:p>
  </w:footnote>
  <w:footnote w:id="14">
    <w:p w:rsidR="00765E17" w:rsidRPr="00A87163" w:rsidRDefault="00765E17" w:rsidP="00750A10">
      <w:pPr>
        <w:pStyle w:val="FootnoteText"/>
        <w:rPr>
          <w:rFonts w:ascii="Cambria" w:hAnsi="Cambria"/>
          <w:sz w:val="18"/>
          <w:szCs w:val="18"/>
        </w:rPr>
      </w:pPr>
      <w:r w:rsidRPr="00A87163">
        <w:rPr>
          <w:rStyle w:val="FootnoteReference"/>
          <w:rFonts w:ascii="Cambria" w:hAnsi="Cambria"/>
          <w:sz w:val="18"/>
          <w:szCs w:val="18"/>
        </w:rPr>
        <w:footnoteRef/>
      </w:r>
      <w:r w:rsidRPr="00A87163">
        <w:rPr>
          <w:rFonts w:ascii="Cambria" w:hAnsi="Cambria"/>
          <w:sz w:val="18"/>
          <w:szCs w:val="18"/>
        </w:rPr>
        <w:t xml:space="preserve"> The choice of such cases for PONV studies is not unusual – they have a higher incidence and, being short and more of them, numbers are more readily recruited.</w:t>
      </w:r>
    </w:p>
  </w:footnote>
  <w:footnote w:id="15">
    <w:p w:rsidR="00765E17" w:rsidRPr="00D40484" w:rsidRDefault="00765E17" w:rsidP="00750A10">
      <w:pPr>
        <w:pStyle w:val="FootnoteText"/>
        <w:rPr>
          <w:rFonts w:ascii="Cambria" w:hAnsi="Cambria"/>
          <w:sz w:val="18"/>
          <w:szCs w:val="18"/>
        </w:rPr>
      </w:pPr>
      <w:r w:rsidRPr="00D40484">
        <w:rPr>
          <w:rStyle w:val="FootnoteReference"/>
          <w:rFonts w:ascii="Cambria" w:hAnsi="Cambria"/>
          <w:sz w:val="18"/>
          <w:szCs w:val="18"/>
        </w:rPr>
        <w:footnoteRef/>
      </w:r>
      <w:r w:rsidRPr="00D40484">
        <w:rPr>
          <w:rFonts w:ascii="Cambria" w:hAnsi="Cambria"/>
          <w:sz w:val="18"/>
          <w:szCs w:val="18"/>
        </w:rPr>
        <w:t xml:space="preserve"> Based on the date of publication and the patient selection for day surgery, in the absence of a statement abo</w:t>
      </w:r>
      <w:r>
        <w:rPr>
          <w:rFonts w:ascii="Cambria" w:hAnsi="Cambria"/>
          <w:sz w:val="18"/>
          <w:szCs w:val="18"/>
        </w:rPr>
        <w:t>ut premedication, the evaluator</w:t>
      </w:r>
      <w:r w:rsidRPr="00D40484">
        <w:rPr>
          <w:rFonts w:ascii="Cambria" w:hAnsi="Cambria"/>
          <w:sz w:val="18"/>
          <w:szCs w:val="18"/>
        </w:rPr>
        <w:t>, based on clinical experience believes none was given in most of these later studies.</w:t>
      </w:r>
    </w:p>
  </w:footnote>
  <w:footnote w:id="16">
    <w:p w:rsidR="00765E17" w:rsidRPr="00B675B9" w:rsidRDefault="00765E17" w:rsidP="00B675B9">
      <w:pPr>
        <w:spacing w:after="0" w:line="240" w:lineRule="auto"/>
        <w:rPr>
          <w:sz w:val="18"/>
          <w:szCs w:val="18"/>
        </w:rPr>
      </w:pPr>
      <w:r w:rsidRPr="00D40484">
        <w:rPr>
          <w:rStyle w:val="FootnoteReference"/>
          <w:sz w:val="18"/>
          <w:szCs w:val="18"/>
        </w:rPr>
        <w:footnoteRef/>
      </w:r>
      <w:r w:rsidRPr="00D40484">
        <w:rPr>
          <w:sz w:val="18"/>
          <w:szCs w:val="18"/>
        </w:rPr>
        <w:t xml:space="preserve"> </w:t>
      </w:r>
      <w:r w:rsidRPr="00B675B9">
        <w:rPr>
          <w:sz w:val="18"/>
          <w:szCs w:val="18"/>
        </w:rPr>
        <w:t>American Society of Anaesthesiologists (ASA</w:t>
      </w:r>
      <w:r>
        <w:rPr>
          <w:sz w:val="18"/>
          <w:szCs w:val="18"/>
        </w:rPr>
        <w:t>) p</w:t>
      </w:r>
      <w:r w:rsidRPr="00B675B9">
        <w:rPr>
          <w:sz w:val="18"/>
          <w:szCs w:val="18"/>
        </w:rPr>
        <w:t xml:space="preserve">hysical </w:t>
      </w:r>
      <w:r>
        <w:rPr>
          <w:sz w:val="18"/>
          <w:szCs w:val="18"/>
        </w:rPr>
        <w:t>s</w:t>
      </w:r>
      <w:r w:rsidRPr="00B675B9">
        <w:rPr>
          <w:sz w:val="18"/>
          <w:szCs w:val="18"/>
        </w:rPr>
        <w:t xml:space="preserve">tatus classification system: ASA I patients are considered to be normal and healthy. ASA II patients have mild to moderate systemic disease or are healthy ASA I patients who demonstrate a more extreme anxiety and fear toward dentistry.  </w:t>
      </w:r>
    </w:p>
    <w:p w:rsidR="00765E17" w:rsidRDefault="00765E17">
      <w:pPr>
        <w:pStyle w:val="FootnoteText"/>
      </w:pPr>
    </w:p>
  </w:footnote>
  <w:footnote w:id="17">
    <w:p w:rsidR="00765E17" w:rsidRPr="007477E2" w:rsidRDefault="00765E17" w:rsidP="00C120F5">
      <w:pPr>
        <w:pStyle w:val="FootnoteText"/>
        <w:rPr>
          <w:rFonts w:ascii="Cambria" w:hAnsi="Cambria"/>
          <w:sz w:val="18"/>
          <w:szCs w:val="18"/>
        </w:rPr>
      </w:pPr>
      <w:r w:rsidRPr="007477E2">
        <w:rPr>
          <w:rStyle w:val="FootnoteReference"/>
          <w:rFonts w:ascii="Cambria" w:hAnsi="Cambria"/>
          <w:sz w:val="18"/>
          <w:szCs w:val="18"/>
        </w:rPr>
        <w:footnoteRef/>
      </w:r>
      <w:r w:rsidRPr="007477E2">
        <w:rPr>
          <w:rFonts w:ascii="Cambria" w:hAnsi="Cambria"/>
          <w:sz w:val="18"/>
          <w:szCs w:val="18"/>
        </w:rPr>
        <w:t xml:space="preserve"> Overall incidence of PON</w:t>
      </w:r>
      <w:r>
        <w:rPr>
          <w:rFonts w:ascii="Cambria" w:hAnsi="Cambria"/>
          <w:sz w:val="18"/>
          <w:szCs w:val="18"/>
        </w:rPr>
        <w:t>V</w:t>
      </w:r>
      <w:r w:rsidRPr="007477E2">
        <w:rPr>
          <w:rFonts w:ascii="Cambria" w:hAnsi="Cambria"/>
          <w:sz w:val="18"/>
          <w:szCs w:val="18"/>
        </w:rPr>
        <w:t xml:space="preserve"> was determined by isolating patients with a nausea score of 2 or greater at any t</w:t>
      </w:r>
      <w:r>
        <w:rPr>
          <w:rFonts w:ascii="Cambria" w:hAnsi="Cambria"/>
          <w:sz w:val="18"/>
          <w:szCs w:val="18"/>
        </w:rPr>
        <w:t>ime (clinically significant PONV</w:t>
      </w:r>
      <w:r w:rsidRPr="007477E2">
        <w:rPr>
          <w:rFonts w:ascii="Cambria" w:hAnsi="Cambria"/>
          <w:sz w:val="18"/>
          <w:szCs w:val="18"/>
        </w:rPr>
        <w:t>) and this was expressed as a percentage of the group as a whole</w:t>
      </w:r>
      <w:r>
        <w:rPr>
          <w:rFonts w:ascii="Cambria" w:hAnsi="Cambria"/>
          <w:sz w:val="18"/>
          <w:szCs w:val="18"/>
        </w:rPr>
        <w:t>.</w:t>
      </w:r>
    </w:p>
  </w:footnote>
  <w:footnote w:id="18">
    <w:p w:rsidR="00765E17" w:rsidRPr="007A123F" w:rsidRDefault="00765E17" w:rsidP="00750A10">
      <w:pPr>
        <w:pStyle w:val="FootnoteText"/>
        <w:rPr>
          <w:rFonts w:ascii="Cambria" w:hAnsi="Cambria"/>
          <w:sz w:val="18"/>
          <w:szCs w:val="18"/>
        </w:rPr>
      </w:pPr>
      <w:r w:rsidRPr="007A123F">
        <w:rPr>
          <w:rStyle w:val="FootnoteReference"/>
          <w:rFonts w:ascii="Cambria" w:hAnsi="Cambria"/>
          <w:sz w:val="18"/>
          <w:szCs w:val="18"/>
        </w:rPr>
        <w:footnoteRef/>
      </w:r>
      <w:r w:rsidRPr="007A123F">
        <w:rPr>
          <w:rFonts w:ascii="Cambria" w:hAnsi="Cambria"/>
          <w:sz w:val="18"/>
          <w:szCs w:val="18"/>
        </w:rPr>
        <w:t xml:space="preserve"> The study authors s</w:t>
      </w:r>
      <w:r>
        <w:rPr>
          <w:rFonts w:ascii="Cambria" w:hAnsi="Cambria"/>
          <w:sz w:val="18"/>
          <w:szCs w:val="18"/>
        </w:rPr>
        <w:t>tate:</w:t>
      </w:r>
      <w:r w:rsidRPr="007A123F">
        <w:rPr>
          <w:rFonts w:ascii="Cambria" w:hAnsi="Cambria"/>
          <w:sz w:val="18"/>
          <w:szCs w:val="18"/>
        </w:rPr>
        <w:t xml:space="preserve"> </w:t>
      </w:r>
      <w:r w:rsidRPr="00DE38A3">
        <w:rPr>
          <w:rFonts w:ascii="Cambria" w:hAnsi="Cambria"/>
          <w:i/>
          <w:sz w:val="18"/>
          <w:szCs w:val="18"/>
        </w:rPr>
        <w:t>“A full description of the methodology used in this long continuing series of clinical trials has been given by Dundee, Nicholl &amp; Moore (1962)”</w:t>
      </w:r>
      <w:r>
        <w:rPr>
          <w:rFonts w:ascii="Cambria" w:hAnsi="Cambria"/>
          <w:i/>
          <w:sz w:val="18"/>
          <w:szCs w:val="18"/>
        </w:rPr>
        <w:t>,</w:t>
      </w:r>
      <w:r w:rsidRPr="00DE38A3">
        <w:rPr>
          <w:rFonts w:ascii="Cambria" w:hAnsi="Cambria"/>
          <w:i/>
          <w:sz w:val="18"/>
          <w:szCs w:val="18"/>
        </w:rPr>
        <w:t xml:space="preserve"> </w:t>
      </w:r>
      <w:r>
        <w:rPr>
          <w:rFonts w:ascii="Cambria" w:hAnsi="Cambria"/>
          <w:sz w:val="18"/>
          <w:szCs w:val="18"/>
        </w:rPr>
        <w:t>b</w:t>
      </w:r>
      <w:r w:rsidRPr="007A123F">
        <w:rPr>
          <w:rFonts w:ascii="Cambria" w:hAnsi="Cambria"/>
          <w:sz w:val="18"/>
          <w:szCs w:val="18"/>
        </w:rPr>
        <w:t>ut this reference was not submitted.</w:t>
      </w:r>
    </w:p>
  </w:footnote>
  <w:footnote w:id="19">
    <w:p w:rsidR="00765E17" w:rsidRPr="001F6646" w:rsidRDefault="00765E17" w:rsidP="00F651CE">
      <w:pPr>
        <w:pStyle w:val="Default"/>
        <w:rPr>
          <w:rFonts w:ascii="Cambria" w:hAnsi="Cambria"/>
          <w:sz w:val="18"/>
          <w:szCs w:val="18"/>
        </w:rPr>
      </w:pPr>
      <w:r w:rsidRPr="001F6646">
        <w:rPr>
          <w:rStyle w:val="FootnoteReference"/>
          <w:rFonts w:ascii="Cambria" w:hAnsi="Cambria"/>
          <w:sz w:val="18"/>
          <w:szCs w:val="18"/>
        </w:rPr>
        <w:footnoteRef/>
      </w:r>
      <w:r w:rsidRPr="001F6646">
        <w:rPr>
          <w:rFonts w:ascii="Cambria" w:hAnsi="Cambria"/>
          <w:sz w:val="18"/>
          <w:szCs w:val="18"/>
        </w:rPr>
        <w:t xml:space="preserve"> </w:t>
      </w:r>
      <w:r>
        <w:rPr>
          <w:rFonts w:ascii="Cambria" w:hAnsi="Cambria"/>
          <w:sz w:val="18"/>
          <w:szCs w:val="18"/>
        </w:rPr>
        <w:t xml:space="preserve">The </w:t>
      </w:r>
      <w:r w:rsidRPr="0083712B">
        <w:rPr>
          <w:rFonts w:ascii="Cambria" w:hAnsi="Cambria"/>
          <w:i/>
          <w:sz w:val="18"/>
          <w:szCs w:val="18"/>
        </w:rPr>
        <w:t>Clinical Summary</w:t>
      </w:r>
      <w:r w:rsidRPr="001F6646">
        <w:rPr>
          <w:rFonts w:ascii="Cambria" w:hAnsi="Cambria"/>
          <w:sz w:val="18"/>
          <w:szCs w:val="18"/>
        </w:rPr>
        <w:t xml:space="preserve"> </w:t>
      </w:r>
      <w:r>
        <w:rPr>
          <w:rFonts w:ascii="Cambria" w:hAnsi="Cambria"/>
          <w:sz w:val="18"/>
          <w:szCs w:val="18"/>
        </w:rPr>
        <w:t xml:space="preserve">(Module 2.7), </w:t>
      </w:r>
      <w:r w:rsidRPr="001F6646">
        <w:rPr>
          <w:rFonts w:ascii="Cambria" w:hAnsi="Cambria"/>
          <w:sz w:val="18"/>
          <w:szCs w:val="18"/>
        </w:rPr>
        <w:t>p</w:t>
      </w:r>
      <w:r>
        <w:rPr>
          <w:rFonts w:ascii="Cambria" w:hAnsi="Cambria"/>
          <w:sz w:val="18"/>
          <w:szCs w:val="18"/>
        </w:rPr>
        <w:t>age</w:t>
      </w:r>
      <w:r w:rsidRPr="001F6646">
        <w:rPr>
          <w:rFonts w:ascii="Cambria" w:hAnsi="Cambria"/>
          <w:sz w:val="18"/>
          <w:szCs w:val="18"/>
        </w:rPr>
        <w:t xml:space="preserve"> 14</w:t>
      </w:r>
      <w:r>
        <w:rPr>
          <w:rFonts w:ascii="Cambria" w:hAnsi="Cambria"/>
          <w:sz w:val="18"/>
          <w:szCs w:val="18"/>
        </w:rPr>
        <w:t>, states:</w:t>
      </w:r>
      <w:r w:rsidRPr="00F651CE">
        <w:rPr>
          <w:rFonts w:ascii="Cambria" w:hAnsi="Cambria"/>
          <w:i/>
          <w:sz w:val="18"/>
          <w:szCs w:val="18"/>
        </w:rPr>
        <w:t xml:space="preserve"> “..the data on patients in the Hildyard et al. (2001) study were insufficient to present as pivotal data in this study. Specifically the presentation was in a non-peer reviewed Proceedings section for the…”</w:t>
      </w:r>
      <w:r w:rsidRPr="001F6646">
        <w:rPr>
          <w:rFonts w:ascii="Cambria" w:hAnsi="Cambria"/>
          <w:sz w:val="18"/>
          <w:szCs w:val="18"/>
        </w:rPr>
        <w:t xml:space="preserve"> </w:t>
      </w:r>
    </w:p>
  </w:footnote>
  <w:footnote w:id="20">
    <w:p w:rsidR="00765E17" w:rsidRDefault="00765E17" w:rsidP="00CC4BD8">
      <w:pPr>
        <w:pStyle w:val="FootnoteText"/>
      </w:pPr>
      <w:r>
        <w:rPr>
          <w:rStyle w:val="FootnoteReference"/>
        </w:rPr>
        <w:footnoteRef/>
      </w:r>
      <w:r>
        <w:t xml:space="preserve"> Not fully evaluated.</w:t>
      </w:r>
    </w:p>
  </w:footnote>
  <w:footnote w:id="21">
    <w:p w:rsidR="00765E17" w:rsidRPr="00D8593F" w:rsidRDefault="00765E17" w:rsidP="00D8593F">
      <w:pPr>
        <w:pStyle w:val="Default"/>
        <w:rPr>
          <w:rFonts w:ascii="Cambria" w:hAnsi="Cambria"/>
          <w:sz w:val="18"/>
          <w:szCs w:val="18"/>
        </w:rPr>
      </w:pPr>
      <w:r w:rsidRPr="00D8593F">
        <w:rPr>
          <w:rStyle w:val="FootnoteReference"/>
          <w:rFonts w:ascii="Cambria" w:hAnsi="Cambria"/>
          <w:sz w:val="18"/>
          <w:szCs w:val="18"/>
        </w:rPr>
        <w:footnoteRef/>
      </w:r>
      <w:r w:rsidRPr="00D8593F">
        <w:rPr>
          <w:rFonts w:ascii="Cambria" w:hAnsi="Cambria"/>
          <w:sz w:val="18"/>
          <w:szCs w:val="18"/>
        </w:rPr>
        <w:t xml:space="preserve"> Trissel LA. Handbook on Injectable Drugs, Cyclizine Lactate. American Society of Health System Pharmacists® 12th Ed (</w:t>
      </w:r>
      <w:r>
        <w:rPr>
          <w:rFonts w:ascii="Cambria" w:hAnsi="Cambria"/>
          <w:sz w:val="18"/>
          <w:szCs w:val="18"/>
        </w:rPr>
        <w:t xml:space="preserve">in </w:t>
      </w:r>
      <w:r w:rsidRPr="00D8593F">
        <w:rPr>
          <w:rFonts w:ascii="Cambria" w:hAnsi="Cambria"/>
          <w:sz w:val="18"/>
          <w:szCs w:val="18"/>
        </w:rPr>
        <w:t>section 31 response)</w:t>
      </w:r>
    </w:p>
    <w:p w:rsidR="00765E17" w:rsidRPr="00D8593F" w:rsidRDefault="00765E17" w:rsidP="00D8593F">
      <w:pPr>
        <w:pStyle w:val="FootnoteText"/>
        <w:rPr>
          <w:rFonts w:ascii="Cambria" w:hAnsi="Cambria"/>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pPr>
      <w:rPr>
        <w:noProof/>
        <w:lang w:eastAsia="en-AU"/>
      </w:rPr>
    </w:pPr>
    <w:r>
      <w:rPr>
        <w:noProof/>
        <w:lang w:eastAsia="en-AU"/>
      </w:rPr>
      <w:drawing>
        <wp:anchor distT="0" distB="0" distL="114300" distR="114300" simplePos="0" relativeHeight="251657728" behindDoc="0" locked="0" layoutInCell="1" allowOverlap="1">
          <wp:simplePos x="0" y="0"/>
          <wp:positionH relativeFrom="margin">
            <wp:posOffset>-1089660</wp:posOffset>
          </wp:positionH>
          <wp:positionV relativeFrom="margin">
            <wp:posOffset>-3147695</wp:posOffset>
          </wp:positionV>
          <wp:extent cx="7572375" cy="10715625"/>
          <wp:effectExtent l="19050" t="0" r="9525" b="0"/>
          <wp:wrapSquare wrapText="bothSides"/>
          <wp:docPr id="2" name="Picture 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blu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2375" cy="10715625"/>
                  </a:xfrm>
                  <a:prstGeom prst="rect">
                    <a:avLst/>
                  </a:prstGeom>
                  <a:noFill/>
                </pic:spPr>
              </pic:pic>
            </a:graphicData>
          </a:graphic>
        </wp:anchor>
      </w:drawing>
    </w:r>
  </w:p>
  <w:p w:rsidR="00765E17" w:rsidRDefault="00765E17">
    <w:pPr>
      <w:rPr>
        <w:noProof/>
        <w:lang w:eastAsia="en-AU"/>
      </w:rPr>
    </w:pPr>
  </w:p>
  <w:p w:rsidR="00765E17" w:rsidRDefault="00765E17"/>
  <w:tbl>
    <w:tblPr>
      <w:tblW w:w="9057" w:type="dxa"/>
      <w:tblInd w:w="-280" w:type="dxa"/>
      <w:tblLayout w:type="fixed"/>
      <w:tblCellMar>
        <w:left w:w="0" w:type="dxa"/>
        <w:right w:w="0" w:type="dxa"/>
      </w:tblCellMar>
      <w:tblLook w:val="04A0"/>
    </w:tblPr>
    <w:tblGrid>
      <w:gridCol w:w="9057"/>
    </w:tblGrid>
    <w:tr w:rsidR="00765E17" w:rsidRPr="005A27B0" w:rsidTr="005A27B0">
      <w:trPr>
        <w:trHeight w:hRule="exact" w:val="193"/>
      </w:trPr>
      <w:tc>
        <w:tcPr>
          <w:tcW w:w="9057" w:type="dxa"/>
        </w:tcPr>
        <w:p w:rsidR="00765E17" w:rsidRPr="005A27B0" w:rsidRDefault="00765E17" w:rsidP="00E02FB4">
          <w:pPr>
            <w:pStyle w:val="HeaderNoLine"/>
          </w:pPr>
        </w:p>
      </w:tc>
    </w:tr>
    <w:tr w:rsidR="00765E17" w:rsidRPr="005A27B0" w:rsidTr="005A27B0">
      <w:trPr>
        <w:trHeight w:hRule="exact" w:val="2693"/>
      </w:trPr>
      <w:tc>
        <w:tcPr>
          <w:tcW w:w="9057" w:type="dxa"/>
        </w:tcPr>
        <w:p w:rsidR="00765E17" w:rsidRPr="005A27B0" w:rsidRDefault="00765E17" w:rsidP="00E02FB4">
          <w:pPr>
            <w:pStyle w:val="HeaderNoLine"/>
          </w:pPr>
        </w:p>
      </w:tc>
    </w:tr>
  </w:tbl>
  <w:p w:rsidR="00765E17" w:rsidRDefault="00765E17" w:rsidP="00593AD1">
    <w:pPr>
      <w:pStyle w:val="HeaderNoLine"/>
    </w:pPr>
    <w:r>
      <w:rPr>
        <w:noProof/>
        <w:lang w:eastAsia="en-AU"/>
      </w:rPr>
      <w:drawing>
        <wp:inline distT="0" distB="0" distL="0" distR="0">
          <wp:extent cx="5396865" cy="7635240"/>
          <wp:effectExtent l="0" t="0" r="0" b="3810"/>
          <wp:docPr id="1" name="Picture 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ightblue.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rsidP="00AE65E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17" w:rsidRDefault="00765E17" w:rsidP="006E08B3">
    <w:pPr>
      <w:pStyle w:val="Header"/>
    </w:pPr>
    <w:r>
      <w:t>Therapeutic Goods Administration</w:t>
    </w:r>
  </w:p>
  <w:p w:rsidR="00765E17" w:rsidRDefault="00765E17"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209FBC"/>
    <w:lvl w:ilvl="0">
      <w:start w:val="1"/>
      <w:numFmt w:val="bullet"/>
      <w:lvlText w:val=""/>
      <w:lvlJc w:val="left"/>
      <w:pPr>
        <w:tabs>
          <w:tab w:val="num" w:pos="360"/>
        </w:tabs>
        <w:ind w:left="360" w:hanging="360"/>
      </w:pPr>
      <w:rPr>
        <w:rFonts w:ascii="Symbol" w:hAnsi="Symbol" w:hint="default"/>
      </w:rPr>
    </w:lvl>
  </w:abstractNum>
  <w:abstractNum w:abstractNumId="1">
    <w:nsid w:val="07B025F8"/>
    <w:multiLevelType w:val="hybridMultilevel"/>
    <w:tmpl w:val="8C18FB4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CBE0347"/>
    <w:multiLevelType w:val="hybridMultilevel"/>
    <w:tmpl w:val="C50AA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1F34BF3"/>
    <w:multiLevelType w:val="hybridMultilevel"/>
    <w:tmpl w:val="C10EEBFA"/>
    <w:lvl w:ilvl="0" w:tplc="7A162CCA">
      <w:start w:val="1"/>
      <w:numFmt w:val="bullet"/>
      <w:lvlText w:val=""/>
      <w:lvlJc w:val="left"/>
      <w:pPr>
        <w:ind w:left="720" w:hanging="360"/>
      </w:pPr>
      <w:rPr>
        <w:rFonts w:ascii="Symbol" w:hAnsi="Symbol" w:hint="default"/>
      </w:rPr>
    </w:lvl>
    <w:lvl w:ilvl="1" w:tplc="8D9E6A5E">
      <w:start w:val="1"/>
      <w:numFmt w:val="bullet"/>
      <w:lvlText w:val="o"/>
      <w:lvlJc w:val="left"/>
      <w:pPr>
        <w:ind w:left="1440" w:hanging="360"/>
      </w:pPr>
      <w:rPr>
        <w:rFonts w:ascii="Courier New" w:hAnsi="Courier New" w:cs="Courier New" w:hint="default"/>
      </w:rPr>
    </w:lvl>
    <w:lvl w:ilvl="2" w:tplc="37123AAC">
      <w:start w:val="1"/>
      <w:numFmt w:val="bullet"/>
      <w:lvlText w:val=""/>
      <w:lvlJc w:val="left"/>
      <w:pPr>
        <w:ind w:left="2160" w:hanging="360"/>
      </w:pPr>
      <w:rPr>
        <w:rFonts w:ascii="Wingdings" w:hAnsi="Wingdings" w:hint="default"/>
      </w:rPr>
    </w:lvl>
    <w:lvl w:ilvl="3" w:tplc="5972EA9E">
      <w:start w:val="1"/>
      <w:numFmt w:val="bullet"/>
      <w:lvlText w:val=""/>
      <w:lvlJc w:val="left"/>
      <w:pPr>
        <w:ind w:left="2880" w:hanging="360"/>
      </w:pPr>
      <w:rPr>
        <w:rFonts w:ascii="Symbol" w:hAnsi="Symbol" w:hint="default"/>
      </w:rPr>
    </w:lvl>
    <w:lvl w:ilvl="4" w:tplc="423A2154" w:tentative="1">
      <w:start w:val="1"/>
      <w:numFmt w:val="bullet"/>
      <w:lvlText w:val="o"/>
      <w:lvlJc w:val="left"/>
      <w:pPr>
        <w:ind w:left="3600" w:hanging="360"/>
      </w:pPr>
      <w:rPr>
        <w:rFonts w:ascii="Courier New" w:hAnsi="Courier New" w:cs="Courier New" w:hint="default"/>
      </w:rPr>
    </w:lvl>
    <w:lvl w:ilvl="5" w:tplc="0968283A" w:tentative="1">
      <w:start w:val="1"/>
      <w:numFmt w:val="bullet"/>
      <w:lvlText w:val=""/>
      <w:lvlJc w:val="left"/>
      <w:pPr>
        <w:ind w:left="4320" w:hanging="360"/>
      </w:pPr>
      <w:rPr>
        <w:rFonts w:ascii="Wingdings" w:hAnsi="Wingdings" w:hint="default"/>
      </w:rPr>
    </w:lvl>
    <w:lvl w:ilvl="6" w:tplc="B8E259F4" w:tentative="1">
      <w:start w:val="1"/>
      <w:numFmt w:val="bullet"/>
      <w:lvlText w:val=""/>
      <w:lvlJc w:val="left"/>
      <w:pPr>
        <w:ind w:left="5040" w:hanging="360"/>
      </w:pPr>
      <w:rPr>
        <w:rFonts w:ascii="Symbol" w:hAnsi="Symbol" w:hint="default"/>
      </w:rPr>
    </w:lvl>
    <w:lvl w:ilvl="7" w:tplc="55842E26" w:tentative="1">
      <w:start w:val="1"/>
      <w:numFmt w:val="bullet"/>
      <w:lvlText w:val="o"/>
      <w:lvlJc w:val="left"/>
      <w:pPr>
        <w:ind w:left="5760" w:hanging="360"/>
      </w:pPr>
      <w:rPr>
        <w:rFonts w:ascii="Courier New" w:hAnsi="Courier New" w:cs="Courier New" w:hint="default"/>
      </w:rPr>
    </w:lvl>
    <w:lvl w:ilvl="8" w:tplc="AF062272" w:tentative="1">
      <w:start w:val="1"/>
      <w:numFmt w:val="bullet"/>
      <w:lvlText w:val=""/>
      <w:lvlJc w:val="left"/>
      <w:pPr>
        <w:ind w:left="6480" w:hanging="360"/>
      </w:pPr>
      <w:rPr>
        <w:rFonts w:ascii="Wingdings" w:hAnsi="Wingdings" w:hint="default"/>
      </w:rPr>
    </w:lvl>
  </w:abstractNum>
  <w:abstractNum w:abstractNumId="5">
    <w:nsid w:val="1595213F"/>
    <w:multiLevelType w:val="hybridMultilevel"/>
    <w:tmpl w:val="4106ED56"/>
    <w:lvl w:ilvl="0" w:tplc="47B2E51A">
      <w:start w:val="1"/>
      <w:numFmt w:val="bullet"/>
      <w:lvlText w:val=""/>
      <w:lvlJc w:val="left"/>
      <w:pPr>
        <w:ind w:left="720" w:hanging="360"/>
      </w:pPr>
      <w:rPr>
        <w:rFonts w:ascii="Symbol" w:hAnsi="Symbol" w:hint="default"/>
      </w:rPr>
    </w:lvl>
    <w:lvl w:ilvl="1" w:tplc="DB980C70">
      <w:start w:val="1"/>
      <w:numFmt w:val="decimal"/>
      <w:lvlText w:val="%2."/>
      <w:lvlJc w:val="left"/>
      <w:pPr>
        <w:tabs>
          <w:tab w:val="num" w:pos="1440"/>
        </w:tabs>
        <w:ind w:left="1440" w:hanging="360"/>
      </w:pPr>
    </w:lvl>
    <w:lvl w:ilvl="2" w:tplc="9E7470D6">
      <w:start w:val="1"/>
      <w:numFmt w:val="decimal"/>
      <w:lvlText w:val="%3."/>
      <w:lvlJc w:val="left"/>
      <w:pPr>
        <w:tabs>
          <w:tab w:val="num" w:pos="2160"/>
        </w:tabs>
        <w:ind w:left="2160" w:hanging="360"/>
      </w:pPr>
    </w:lvl>
    <w:lvl w:ilvl="3" w:tplc="2CBEDCE0">
      <w:start w:val="1"/>
      <w:numFmt w:val="decimal"/>
      <w:lvlText w:val="%4."/>
      <w:lvlJc w:val="left"/>
      <w:pPr>
        <w:tabs>
          <w:tab w:val="num" w:pos="2880"/>
        </w:tabs>
        <w:ind w:left="2880" w:hanging="360"/>
      </w:pPr>
    </w:lvl>
    <w:lvl w:ilvl="4" w:tplc="0272317E">
      <w:start w:val="1"/>
      <w:numFmt w:val="decimal"/>
      <w:lvlText w:val="%5."/>
      <w:lvlJc w:val="left"/>
      <w:pPr>
        <w:tabs>
          <w:tab w:val="num" w:pos="3600"/>
        </w:tabs>
        <w:ind w:left="3600" w:hanging="360"/>
      </w:pPr>
    </w:lvl>
    <w:lvl w:ilvl="5" w:tplc="F9106002">
      <w:start w:val="1"/>
      <w:numFmt w:val="decimal"/>
      <w:lvlText w:val="%6."/>
      <w:lvlJc w:val="left"/>
      <w:pPr>
        <w:tabs>
          <w:tab w:val="num" w:pos="4320"/>
        </w:tabs>
        <w:ind w:left="4320" w:hanging="360"/>
      </w:pPr>
    </w:lvl>
    <w:lvl w:ilvl="6" w:tplc="B1F6CD54">
      <w:start w:val="1"/>
      <w:numFmt w:val="decimal"/>
      <w:lvlText w:val="%7."/>
      <w:lvlJc w:val="left"/>
      <w:pPr>
        <w:tabs>
          <w:tab w:val="num" w:pos="5040"/>
        </w:tabs>
        <w:ind w:left="5040" w:hanging="360"/>
      </w:pPr>
    </w:lvl>
    <w:lvl w:ilvl="7" w:tplc="838E6736">
      <w:start w:val="1"/>
      <w:numFmt w:val="decimal"/>
      <w:lvlText w:val="%8."/>
      <w:lvlJc w:val="left"/>
      <w:pPr>
        <w:tabs>
          <w:tab w:val="num" w:pos="5760"/>
        </w:tabs>
        <w:ind w:left="5760" w:hanging="360"/>
      </w:pPr>
    </w:lvl>
    <w:lvl w:ilvl="8" w:tplc="0A76BD78">
      <w:start w:val="1"/>
      <w:numFmt w:val="decimal"/>
      <w:lvlText w:val="%9."/>
      <w:lvlJc w:val="left"/>
      <w:pPr>
        <w:tabs>
          <w:tab w:val="num" w:pos="6480"/>
        </w:tabs>
        <w:ind w:left="6480" w:hanging="360"/>
      </w:pPr>
    </w:lvl>
  </w:abstractNum>
  <w:abstractNum w:abstractNumId="6">
    <w:nsid w:val="16351B92"/>
    <w:multiLevelType w:val="hybridMultilevel"/>
    <w:tmpl w:val="C916C5DE"/>
    <w:lvl w:ilvl="0" w:tplc="FEE8A34E">
      <w:start w:val="1"/>
      <w:numFmt w:val="bullet"/>
      <w:lvlText w:val=""/>
      <w:lvlJc w:val="left"/>
      <w:pPr>
        <w:ind w:left="720" w:hanging="360"/>
      </w:pPr>
      <w:rPr>
        <w:rFonts w:ascii="Symbol" w:hAnsi="Symbol" w:hint="default"/>
      </w:rPr>
    </w:lvl>
    <w:lvl w:ilvl="1" w:tplc="818C4948">
      <w:start w:val="1"/>
      <w:numFmt w:val="bullet"/>
      <w:lvlText w:val="o"/>
      <w:lvlJc w:val="left"/>
      <w:pPr>
        <w:ind w:left="1440" w:hanging="360"/>
      </w:pPr>
      <w:rPr>
        <w:rFonts w:ascii="Courier New" w:hAnsi="Courier New" w:cs="Courier New" w:hint="default"/>
      </w:rPr>
    </w:lvl>
    <w:lvl w:ilvl="2" w:tplc="C854FA9A">
      <w:start w:val="1"/>
      <w:numFmt w:val="decimal"/>
      <w:lvlText w:val="%3."/>
      <w:lvlJc w:val="left"/>
      <w:pPr>
        <w:tabs>
          <w:tab w:val="num" w:pos="2160"/>
        </w:tabs>
        <w:ind w:left="2160" w:hanging="360"/>
      </w:pPr>
    </w:lvl>
    <w:lvl w:ilvl="3" w:tplc="767E267A">
      <w:start w:val="1"/>
      <w:numFmt w:val="decimal"/>
      <w:lvlText w:val="%4."/>
      <w:lvlJc w:val="left"/>
      <w:pPr>
        <w:tabs>
          <w:tab w:val="num" w:pos="2880"/>
        </w:tabs>
        <w:ind w:left="2880" w:hanging="360"/>
      </w:pPr>
    </w:lvl>
    <w:lvl w:ilvl="4" w:tplc="7FFAF90C">
      <w:start w:val="1"/>
      <w:numFmt w:val="decimal"/>
      <w:lvlText w:val="%5."/>
      <w:lvlJc w:val="left"/>
      <w:pPr>
        <w:tabs>
          <w:tab w:val="num" w:pos="3600"/>
        </w:tabs>
        <w:ind w:left="3600" w:hanging="360"/>
      </w:pPr>
    </w:lvl>
    <w:lvl w:ilvl="5" w:tplc="0E8ED2F0">
      <w:start w:val="1"/>
      <w:numFmt w:val="decimal"/>
      <w:lvlText w:val="%6."/>
      <w:lvlJc w:val="left"/>
      <w:pPr>
        <w:tabs>
          <w:tab w:val="num" w:pos="4320"/>
        </w:tabs>
        <w:ind w:left="4320" w:hanging="360"/>
      </w:pPr>
    </w:lvl>
    <w:lvl w:ilvl="6" w:tplc="DC346E3A">
      <w:start w:val="1"/>
      <w:numFmt w:val="decimal"/>
      <w:lvlText w:val="%7."/>
      <w:lvlJc w:val="left"/>
      <w:pPr>
        <w:tabs>
          <w:tab w:val="num" w:pos="5040"/>
        </w:tabs>
        <w:ind w:left="5040" w:hanging="360"/>
      </w:pPr>
    </w:lvl>
    <w:lvl w:ilvl="7" w:tplc="0EF8B5BE">
      <w:start w:val="1"/>
      <w:numFmt w:val="decimal"/>
      <w:lvlText w:val="%8."/>
      <w:lvlJc w:val="left"/>
      <w:pPr>
        <w:tabs>
          <w:tab w:val="num" w:pos="5760"/>
        </w:tabs>
        <w:ind w:left="5760" w:hanging="360"/>
      </w:pPr>
    </w:lvl>
    <w:lvl w:ilvl="8" w:tplc="B82AD5BC">
      <w:start w:val="1"/>
      <w:numFmt w:val="decimal"/>
      <w:lvlText w:val="%9."/>
      <w:lvlJc w:val="left"/>
      <w:pPr>
        <w:tabs>
          <w:tab w:val="num" w:pos="6480"/>
        </w:tabs>
        <w:ind w:left="6480" w:hanging="360"/>
      </w:pPr>
    </w:lvl>
  </w:abstractNum>
  <w:abstractNum w:abstractNumId="7">
    <w:nsid w:val="168F13E9"/>
    <w:multiLevelType w:val="multilevel"/>
    <w:tmpl w:val="E3B4F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CCF6A49"/>
    <w:multiLevelType w:val="hybridMultilevel"/>
    <w:tmpl w:val="6206E390"/>
    <w:lvl w:ilvl="0" w:tplc="AFF4AF60">
      <w:start w:val="1"/>
      <w:numFmt w:val="bullet"/>
      <w:lvlText w:val=""/>
      <w:lvlJc w:val="left"/>
      <w:pPr>
        <w:ind w:left="720" w:hanging="360"/>
      </w:pPr>
      <w:rPr>
        <w:rFonts w:ascii="Symbol" w:hAnsi="Symbol" w:hint="default"/>
      </w:rPr>
    </w:lvl>
    <w:lvl w:ilvl="1" w:tplc="6770D476">
      <w:start w:val="1"/>
      <w:numFmt w:val="decimal"/>
      <w:lvlText w:val="%2."/>
      <w:lvlJc w:val="left"/>
      <w:pPr>
        <w:tabs>
          <w:tab w:val="num" w:pos="1440"/>
        </w:tabs>
        <w:ind w:left="1440" w:hanging="360"/>
      </w:pPr>
    </w:lvl>
    <w:lvl w:ilvl="2" w:tplc="38963538">
      <w:start w:val="1"/>
      <w:numFmt w:val="decimal"/>
      <w:lvlText w:val="%3."/>
      <w:lvlJc w:val="left"/>
      <w:pPr>
        <w:tabs>
          <w:tab w:val="num" w:pos="2160"/>
        </w:tabs>
        <w:ind w:left="2160" w:hanging="360"/>
      </w:pPr>
    </w:lvl>
    <w:lvl w:ilvl="3" w:tplc="310886BA">
      <w:start w:val="1"/>
      <w:numFmt w:val="decimal"/>
      <w:lvlText w:val="%4."/>
      <w:lvlJc w:val="left"/>
      <w:pPr>
        <w:tabs>
          <w:tab w:val="num" w:pos="2880"/>
        </w:tabs>
        <w:ind w:left="2880" w:hanging="360"/>
      </w:pPr>
    </w:lvl>
    <w:lvl w:ilvl="4" w:tplc="2E9091A6">
      <w:start w:val="1"/>
      <w:numFmt w:val="decimal"/>
      <w:lvlText w:val="%5."/>
      <w:lvlJc w:val="left"/>
      <w:pPr>
        <w:tabs>
          <w:tab w:val="num" w:pos="3600"/>
        </w:tabs>
        <w:ind w:left="3600" w:hanging="360"/>
      </w:pPr>
    </w:lvl>
    <w:lvl w:ilvl="5" w:tplc="FF68DF72">
      <w:start w:val="1"/>
      <w:numFmt w:val="decimal"/>
      <w:lvlText w:val="%6."/>
      <w:lvlJc w:val="left"/>
      <w:pPr>
        <w:tabs>
          <w:tab w:val="num" w:pos="4320"/>
        </w:tabs>
        <w:ind w:left="4320" w:hanging="360"/>
      </w:pPr>
    </w:lvl>
    <w:lvl w:ilvl="6" w:tplc="D97C2DCC">
      <w:start w:val="1"/>
      <w:numFmt w:val="decimal"/>
      <w:lvlText w:val="%7."/>
      <w:lvlJc w:val="left"/>
      <w:pPr>
        <w:tabs>
          <w:tab w:val="num" w:pos="5040"/>
        </w:tabs>
        <w:ind w:left="5040" w:hanging="360"/>
      </w:pPr>
    </w:lvl>
    <w:lvl w:ilvl="7" w:tplc="41966980">
      <w:start w:val="1"/>
      <w:numFmt w:val="decimal"/>
      <w:lvlText w:val="%8."/>
      <w:lvlJc w:val="left"/>
      <w:pPr>
        <w:tabs>
          <w:tab w:val="num" w:pos="5760"/>
        </w:tabs>
        <w:ind w:left="5760" w:hanging="360"/>
      </w:pPr>
    </w:lvl>
    <w:lvl w:ilvl="8" w:tplc="ACEC6AF8">
      <w:start w:val="1"/>
      <w:numFmt w:val="decimal"/>
      <w:lvlText w:val="%9."/>
      <w:lvlJc w:val="left"/>
      <w:pPr>
        <w:tabs>
          <w:tab w:val="num" w:pos="6480"/>
        </w:tabs>
        <w:ind w:left="6480" w:hanging="360"/>
      </w:pPr>
    </w:lvl>
  </w:abstractNum>
  <w:abstractNum w:abstractNumId="9">
    <w:nsid w:val="3066740A"/>
    <w:multiLevelType w:val="hybridMultilevel"/>
    <w:tmpl w:val="27F40ED4"/>
    <w:lvl w:ilvl="0" w:tplc="0C090001">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34A60AF7"/>
    <w:multiLevelType w:val="hybridMultilevel"/>
    <w:tmpl w:val="AAEEE92C"/>
    <w:lvl w:ilvl="0" w:tplc="09F2D71A">
      <w:start w:val="1"/>
      <w:numFmt w:val="bullet"/>
      <w:lvlText w:val=""/>
      <w:lvlJc w:val="left"/>
      <w:pPr>
        <w:ind w:left="720" w:hanging="360"/>
      </w:pPr>
      <w:rPr>
        <w:rFonts w:ascii="Symbol" w:hAnsi="Symbol" w:hint="default"/>
      </w:rPr>
    </w:lvl>
    <w:lvl w:ilvl="1" w:tplc="7B3A055A">
      <w:start w:val="1"/>
      <w:numFmt w:val="decimal"/>
      <w:lvlText w:val="%2."/>
      <w:lvlJc w:val="left"/>
      <w:pPr>
        <w:tabs>
          <w:tab w:val="num" w:pos="1440"/>
        </w:tabs>
        <w:ind w:left="1440" w:hanging="360"/>
      </w:pPr>
    </w:lvl>
    <w:lvl w:ilvl="2" w:tplc="B4AE0386">
      <w:start w:val="1"/>
      <w:numFmt w:val="decimal"/>
      <w:lvlText w:val="%3."/>
      <w:lvlJc w:val="left"/>
      <w:pPr>
        <w:tabs>
          <w:tab w:val="num" w:pos="2160"/>
        </w:tabs>
        <w:ind w:left="2160" w:hanging="360"/>
      </w:pPr>
    </w:lvl>
    <w:lvl w:ilvl="3" w:tplc="AE2A341A">
      <w:start w:val="1"/>
      <w:numFmt w:val="decimal"/>
      <w:lvlText w:val="%4."/>
      <w:lvlJc w:val="left"/>
      <w:pPr>
        <w:tabs>
          <w:tab w:val="num" w:pos="2880"/>
        </w:tabs>
        <w:ind w:left="2880" w:hanging="360"/>
      </w:pPr>
    </w:lvl>
    <w:lvl w:ilvl="4" w:tplc="4C4C7986">
      <w:start w:val="1"/>
      <w:numFmt w:val="decimal"/>
      <w:lvlText w:val="%5."/>
      <w:lvlJc w:val="left"/>
      <w:pPr>
        <w:tabs>
          <w:tab w:val="num" w:pos="3600"/>
        </w:tabs>
        <w:ind w:left="3600" w:hanging="360"/>
      </w:pPr>
    </w:lvl>
    <w:lvl w:ilvl="5" w:tplc="68C6E780">
      <w:start w:val="1"/>
      <w:numFmt w:val="decimal"/>
      <w:lvlText w:val="%6."/>
      <w:lvlJc w:val="left"/>
      <w:pPr>
        <w:tabs>
          <w:tab w:val="num" w:pos="4320"/>
        </w:tabs>
        <w:ind w:left="4320" w:hanging="360"/>
      </w:pPr>
    </w:lvl>
    <w:lvl w:ilvl="6" w:tplc="B3EA85BC">
      <w:start w:val="1"/>
      <w:numFmt w:val="decimal"/>
      <w:lvlText w:val="%7."/>
      <w:lvlJc w:val="left"/>
      <w:pPr>
        <w:tabs>
          <w:tab w:val="num" w:pos="5040"/>
        </w:tabs>
        <w:ind w:left="5040" w:hanging="360"/>
      </w:pPr>
    </w:lvl>
    <w:lvl w:ilvl="7" w:tplc="E9A61F94">
      <w:start w:val="1"/>
      <w:numFmt w:val="decimal"/>
      <w:lvlText w:val="%8."/>
      <w:lvlJc w:val="left"/>
      <w:pPr>
        <w:tabs>
          <w:tab w:val="num" w:pos="5760"/>
        </w:tabs>
        <w:ind w:left="5760" w:hanging="360"/>
      </w:pPr>
    </w:lvl>
    <w:lvl w:ilvl="8" w:tplc="DA7C6F74">
      <w:start w:val="1"/>
      <w:numFmt w:val="decimal"/>
      <w:lvlText w:val="%9."/>
      <w:lvlJc w:val="left"/>
      <w:pPr>
        <w:tabs>
          <w:tab w:val="num" w:pos="6480"/>
        </w:tabs>
        <w:ind w:left="6480" w:hanging="360"/>
      </w:pPr>
    </w:lvl>
  </w:abstractNum>
  <w:abstractNum w:abstractNumId="11">
    <w:nsid w:val="41646915"/>
    <w:multiLevelType w:val="multilevel"/>
    <w:tmpl w:val="870445B8"/>
    <w:lvl w:ilvl="0">
      <w:start w:val="2"/>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pStyle w:val="ADECHeading4withnumbering"/>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22668C3"/>
    <w:multiLevelType w:val="hybridMultilevel"/>
    <w:tmpl w:val="63AC1F08"/>
    <w:lvl w:ilvl="0" w:tplc="ED5A37F0">
      <w:start w:val="1"/>
      <w:numFmt w:val="bullet"/>
      <w:lvlText w:val=""/>
      <w:lvlJc w:val="left"/>
      <w:pPr>
        <w:ind w:left="750" w:hanging="360"/>
      </w:pPr>
      <w:rPr>
        <w:rFonts w:ascii="Symbol" w:hAnsi="Symbol" w:hint="default"/>
      </w:rPr>
    </w:lvl>
    <w:lvl w:ilvl="1" w:tplc="7DB8A244" w:tentative="1">
      <w:start w:val="1"/>
      <w:numFmt w:val="bullet"/>
      <w:lvlText w:val="o"/>
      <w:lvlJc w:val="left"/>
      <w:pPr>
        <w:ind w:left="1470" w:hanging="360"/>
      </w:pPr>
      <w:rPr>
        <w:rFonts w:ascii="Courier New" w:hAnsi="Courier New" w:cs="Courier New" w:hint="default"/>
      </w:rPr>
    </w:lvl>
    <w:lvl w:ilvl="2" w:tplc="80466758" w:tentative="1">
      <w:start w:val="1"/>
      <w:numFmt w:val="bullet"/>
      <w:lvlText w:val=""/>
      <w:lvlJc w:val="left"/>
      <w:pPr>
        <w:ind w:left="2190" w:hanging="360"/>
      </w:pPr>
      <w:rPr>
        <w:rFonts w:ascii="Wingdings" w:hAnsi="Wingdings" w:hint="default"/>
      </w:rPr>
    </w:lvl>
    <w:lvl w:ilvl="3" w:tplc="07A477EA" w:tentative="1">
      <w:start w:val="1"/>
      <w:numFmt w:val="bullet"/>
      <w:lvlText w:val=""/>
      <w:lvlJc w:val="left"/>
      <w:pPr>
        <w:ind w:left="2910" w:hanging="360"/>
      </w:pPr>
      <w:rPr>
        <w:rFonts w:ascii="Symbol" w:hAnsi="Symbol" w:hint="default"/>
      </w:rPr>
    </w:lvl>
    <w:lvl w:ilvl="4" w:tplc="BB18418A" w:tentative="1">
      <w:start w:val="1"/>
      <w:numFmt w:val="bullet"/>
      <w:lvlText w:val="o"/>
      <w:lvlJc w:val="left"/>
      <w:pPr>
        <w:ind w:left="3630" w:hanging="360"/>
      </w:pPr>
      <w:rPr>
        <w:rFonts w:ascii="Courier New" w:hAnsi="Courier New" w:cs="Courier New" w:hint="default"/>
      </w:rPr>
    </w:lvl>
    <w:lvl w:ilvl="5" w:tplc="CD2C93B0" w:tentative="1">
      <w:start w:val="1"/>
      <w:numFmt w:val="bullet"/>
      <w:lvlText w:val=""/>
      <w:lvlJc w:val="left"/>
      <w:pPr>
        <w:ind w:left="4350" w:hanging="360"/>
      </w:pPr>
      <w:rPr>
        <w:rFonts w:ascii="Wingdings" w:hAnsi="Wingdings" w:hint="default"/>
      </w:rPr>
    </w:lvl>
    <w:lvl w:ilvl="6" w:tplc="33E68A8C" w:tentative="1">
      <w:start w:val="1"/>
      <w:numFmt w:val="bullet"/>
      <w:lvlText w:val=""/>
      <w:lvlJc w:val="left"/>
      <w:pPr>
        <w:ind w:left="5070" w:hanging="360"/>
      </w:pPr>
      <w:rPr>
        <w:rFonts w:ascii="Symbol" w:hAnsi="Symbol" w:hint="default"/>
      </w:rPr>
    </w:lvl>
    <w:lvl w:ilvl="7" w:tplc="9F063A22" w:tentative="1">
      <w:start w:val="1"/>
      <w:numFmt w:val="bullet"/>
      <w:lvlText w:val="o"/>
      <w:lvlJc w:val="left"/>
      <w:pPr>
        <w:ind w:left="5790" w:hanging="360"/>
      </w:pPr>
      <w:rPr>
        <w:rFonts w:ascii="Courier New" w:hAnsi="Courier New" w:cs="Courier New" w:hint="default"/>
      </w:rPr>
    </w:lvl>
    <w:lvl w:ilvl="8" w:tplc="75D4D4E8" w:tentative="1">
      <w:start w:val="1"/>
      <w:numFmt w:val="bullet"/>
      <w:lvlText w:val=""/>
      <w:lvlJc w:val="left"/>
      <w:pPr>
        <w:ind w:left="6510" w:hanging="360"/>
      </w:pPr>
      <w:rPr>
        <w:rFonts w:ascii="Wingdings" w:hAnsi="Wingdings" w:hint="default"/>
      </w:rPr>
    </w:lvl>
  </w:abstractNum>
  <w:abstractNum w:abstractNumId="13">
    <w:nsid w:val="45CF5EB9"/>
    <w:multiLevelType w:val="hybridMultilevel"/>
    <w:tmpl w:val="3FB8E44C"/>
    <w:lvl w:ilvl="0" w:tplc="EDE63B76">
      <w:start w:val="1"/>
      <w:numFmt w:val="bullet"/>
      <w:lvlText w:val=""/>
      <w:lvlJc w:val="left"/>
      <w:pPr>
        <w:ind w:left="720" w:hanging="360"/>
      </w:pPr>
      <w:rPr>
        <w:rFonts w:ascii="Symbol" w:hAnsi="Symbol" w:hint="default"/>
      </w:rPr>
    </w:lvl>
    <w:lvl w:ilvl="1" w:tplc="AB00AF2A">
      <w:start w:val="1"/>
      <w:numFmt w:val="decimal"/>
      <w:lvlText w:val="%2."/>
      <w:lvlJc w:val="left"/>
      <w:pPr>
        <w:tabs>
          <w:tab w:val="num" w:pos="1440"/>
        </w:tabs>
        <w:ind w:left="1440" w:hanging="360"/>
      </w:pPr>
    </w:lvl>
    <w:lvl w:ilvl="2" w:tplc="60FE857E">
      <w:start w:val="1"/>
      <w:numFmt w:val="decimal"/>
      <w:lvlText w:val="%3."/>
      <w:lvlJc w:val="left"/>
      <w:pPr>
        <w:tabs>
          <w:tab w:val="num" w:pos="2160"/>
        </w:tabs>
        <w:ind w:left="2160" w:hanging="360"/>
      </w:pPr>
    </w:lvl>
    <w:lvl w:ilvl="3" w:tplc="B09AA402">
      <w:start w:val="1"/>
      <w:numFmt w:val="decimal"/>
      <w:lvlText w:val="%4."/>
      <w:lvlJc w:val="left"/>
      <w:pPr>
        <w:tabs>
          <w:tab w:val="num" w:pos="2880"/>
        </w:tabs>
        <w:ind w:left="2880" w:hanging="360"/>
      </w:pPr>
    </w:lvl>
    <w:lvl w:ilvl="4" w:tplc="7FA2D616">
      <w:start w:val="1"/>
      <w:numFmt w:val="decimal"/>
      <w:lvlText w:val="%5."/>
      <w:lvlJc w:val="left"/>
      <w:pPr>
        <w:tabs>
          <w:tab w:val="num" w:pos="3600"/>
        </w:tabs>
        <w:ind w:left="3600" w:hanging="360"/>
      </w:pPr>
    </w:lvl>
    <w:lvl w:ilvl="5" w:tplc="ACDC2644">
      <w:start w:val="1"/>
      <w:numFmt w:val="decimal"/>
      <w:lvlText w:val="%6."/>
      <w:lvlJc w:val="left"/>
      <w:pPr>
        <w:tabs>
          <w:tab w:val="num" w:pos="4320"/>
        </w:tabs>
        <w:ind w:left="4320" w:hanging="360"/>
      </w:pPr>
    </w:lvl>
    <w:lvl w:ilvl="6" w:tplc="5C0A597C">
      <w:start w:val="1"/>
      <w:numFmt w:val="decimal"/>
      <w:lvlText w:val="%7."/>
      <w:lvlJc w:val="left"/>
      <w:pPr>
        <w:tabs>
          <w:tab w:val="num" w:pos="5040"/>
        </w:tabs>
        <w:ind w:left="5040" w:hanging="360"/>
      </w:pPr>
    </w:lvl>
    <w:lvl w:ilvl="7" w:tplc="4934E4DC">
      <w:start w:val="1"/>
      <w:numFmt w:val="decimal"/>
      <w:lvlText w:val="%8."/>
      <w:lvlJc w:val="left"/>
      <w:pPr>
        <w:tabs>
          <w:tab w:val="num" w:pos="5760"/>
        </w:tabs>
        <w:ind w:left="5760" w:hanging="360"/>
      </w:pPr>
    </w:lvl>
    <w:lvl w:ilvl="8" w:tplc="61CAEDFA">
      <w:start w:val="1"/>
      <w:numFmt w:val="decimal"/>
      <w:lvlText w:val="%9."/>
      <w:lvlJc w:val="left"/>
      <w:pPr>
        <w:tabs>
          <w:tab w:val="num" w:pos="6480"/>
        </w:tabs>
        <w:ind w:left="6480" w:hanging="360"/>
      </w:pPr>
    </w:lvl>
  </w:abstractNum>
  <w:abstractNum w:abstractNumId="14">
    <w:nsid w:val="50686DE1"/>
    <w:multiLevelType w:val="hybridMultilevel"/>
    <w:tmpl w:val="CD6894D8"/>
    <w:lvl w:ilvl="0" w:tplc="0CC07FEA">
      <w:start w:val="1"/>
      <w:numFmt w:val="decimal"/>
      <w:lvlText w:val="%1."/>
      <w:lvlJc w:val="left"/>
      <w:pPr>
        <w:tabs>
          <w:tab w:val="num" w:pos="360"/>
        </w:tabs>
        <w:ind w:left="360" w:hanging="360"/>
      </w:pPr>
    </w:lvl>
    <w:lvl w:ilvl="1" w:tplc="0C090019">
      <w:start w:val="1"/>
      <w:numFmt w:val="bullet"/>
      <w:lvlText w:val=""/>
      <w:lvlJc w:val="left"/>
      <w:pPr>
        <w:tabs>
          <w:tab w:val="num" w:pos="1440"/>
        </w:tabs>
        <w:ind w:left="1440" w:hanging="360"/>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nsid w:val="6383552E"/>
    <w:multiLevelType w:val="hybridMultilevel"/>
    <w:tmpl w:val="3690BB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719B22B0"/>
    <w:multiLevelType w:val="multilevel"/>
    <w:tmpl w:val="E9C4C9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7DB595D"/>
    <w:multiLevelType w:val="hybridMultilevel"/>
    <w:tmpl w:val="0430EA7A"/>
    <w:lvl w:ilvl="0" w:tplc="0C09000F">
      <w:start w:val="1"/>
      <w:numFmt w:val="bullet"/>
      <w:lvlText w:val=""/>
      <w:lvlJc w:val="left"/>
      <w:pPr>
        <w:ind w:left="1287" w:hanging="360"/>
      </w:pPr>
      <w:rPr>
        <w:rFonts w:ascii="Symbol" w:hAnsi="Symbol" w:hint="default"/>
      </w:rPr>
    </w:lvl>
    <w:lvl w:ilvl="1" w:tplc="0C090001">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78227B14"/>
    <w:multiLevelType w:val="hybridMultilevel"/>
    <w:tmpl w:val="74381CF4"/>
    <w:lvl w:ilvl="0" w:tplc="04128B64">
      <w:start w:val="1"/>
      <w:numFmt w:val="bullet"/>
      <w:lvlText w:val=""/>
      <w:lvlJc w:val="left"/>
      <w:pPr>
        <w:ind w:left="720" w:hanging="360"/>
      </w:pPr>
      <w:rPr>
        <w:rFonts w:ascii="Symbol" w:hAnsi="Symbol" w:hint="default"/>
      </w:rPr>
    </w:lvl>
    <w:lvl w:ilvl="1" w:tplc="18327B3C">
      <w:start w:val="1"/>
      <w:numFmt w:val="decimal"/>
      <w:lvlText w:val="%2."/>
      <w:lvlJc w:val="left"/>
      <w:pPr>
        <w:tabs>
          <w:tab w:val="num" w:pos="1440"/>
        </w:tabs>
        <w:ind w:left="1440" w:hanging="360"/>
      </w:pPr>
    </w:lvl>
    <w:lvl w:ilvl="2" w:tplc="09264950">
      <w:start w:val="1"/>
      <w:numFmt w:val="decimal"/>
      <w:lvlText w:val="%3."/>
      <w:lvlJc w:val="left"/>
      <w:pPr>
        <w:tabs>
          <w:tab w:val="num" w:pos="2160"/>
        </w:tabs>
        <w:ind w:left="2160" w:hanging="360"/>
      </w:pPr>
    </w:lvl>
    <w:lvl w:ilvl="3" w:tplc="181E7576">
      <w:start w:val="1"/>
      <w:numFmt w:val="decimal"/>
      <w:lvlText w:val="%4."/>
      <w:lvlJc w:val="left"/>
      <w:pPr>
        <w:tabs>
          <w:tab w:val="num" w:pos="2880"/>
        </w:tabs>
        <w:ind w:left="2880" w:hanging="360"/>
      </w:pPr>
    </w:lvl>
    <w:lvl w:ilvl="4" w:tplc="C5B426A0">
      <w:start w:val="1"/>
      <w:numFmt w:val="decimal"/>
      <w:lvlText w:val="%5."/>
      <w:lvlJc w:val="left"/>
      <w:pPr>
        <w:tabs>
          <w:tab w:val="num" w:pos="3600"/>
        </w:tabs>
        <w:ind w:left="3600" w:hanging="360"/>
      </w:pPr>
    </w:lvl>
    <w:lvl w:ilvl="5" w:tplc="0F020324">
      <w:start w:val="1"/>
      <w:numFmt w:val="decimal"/>
      <w:lvlText w:val="%6."/>
      <w:lvlJc w:val="left"/>
      <w:pPr>
        <w:tabs>
          <w:tab w:val="num" w:pos="4320"/>
        </w:tabs>
        <w:ind w:left="4320" w:hanging="360"/>
      </w:pPr>
    </w:lvl>
    <w:lvl w:ilvl="6" w:tplc="F5544AC2">
      <w:start w:val="1"/>
      <w:numFmt w:val="decimal"/>
      <w:lvlText w:val="%7."/>
      <w:lvlJc w:val="left"/>
      <w:pPr>
        <w:tabs>
          <w:tab w:val="num" w:pos="5040"/>
        </w:tabs>
        <w:ind w:left="5040" w:hanging="360"/>
      </w:pPr>
    </w:lvl>
    <w:lvl w:ilvl="7" w:tplc="59FC9954">
      <w:start w:val="1"/>
      <w:numFmt w:val="decimal"/>
      <w:lvlText w:val="%8."/>
      <w:lvlJc w:val="left"/>
      <w:pPr>
        <w:tabs>
          <w:tab w:val="num" w:pos="5760"/>
        </w:tabs>
        <w:ind w:left="5760" w:hanging="360"/>
      </w:pPr>
    </w:lvl>
    <w:lvl w:ilvl="8" w:tplc="A24E1FD4">
      <w:start w:val="1"/>
      <w:numFmt w:val="decimal"/>
      <w:lvlText w:val="%9."/>
      <w:lvlJc w:val="left"/>
      <w:pPr>
        <w:tabs>
          <w:tab w:val="num" w:pos="6480"/>
        </w:tabs>
        <w:ind w:left="6480" w:hanging="360"/>
      </w:pPr>
    </w:lvl>
  </w:abstractNum>
  <w:num w:numId="1">
    <w:abstractNumId w:val="7"/>
  </w:num>
  <w:num w:numId="2">
    <w:abstractNumId w:val="7"/>
  </w:num>
  <w:num w:numId="3">
    <w:abstractNumId w:val="3"/>
  </w:num>
  <w:num w:numId="4">
    <w:abstractNumId w:val="3"/>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4"/>
  </w:num>
  <w:num w:numId="13">
    <w:abstractNumId w:val="12"/>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num>
  <w:num w:numId="22">
    <w:abstractNumId w:val="7"/>
  </w:num>
  <w:num w:numId="23">
    <w:abstractNumId w:val="7"/>
  </w:num>
  <w:num w:numId="24">
    <w:abstractNumId w:val="7"/>
  </w:num>
  <w:num w:numId="25">
    <w:abstractNumId w:val="1"/>
  </w:num>
  <w:num w:numId="26">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1001"/>
  <w:stylePaneSortMethod w:val="0000"/>
  <w:defaultTabStop w:val="720"/>
  <w:drawingGridHorizontalSpacing w:val="100"/>
  <w:displayHorizontalDrawingGridEvery w:val="2"/>
  <w:characterSpacingControl w:val="doNotCompress"/>
  <w:hdrShapeDefaults>
    <o:shapedefaults v:ext="edit" spidmax="77825">
      <o:colormenu v:ext="edit" fillcolor="none [3206]" strokecolor="none"/>
    </o:shapedefaults>
  </w:hdrShapeDefaults>
  <w:footnotePr>
    <w:footnote w:id="-1"/>
    <w:footnote w:id="0"/>
  </w:footnotePr>
  <w:endnotePr>
    <w:endnote w:id="-1"/>
    <w:endnote w:id="0"/>
  </w:endnotePr>
  <w:compat/>
  <w:rsids>
    <w:rsidRoot w:val="00570F92"/>
    <w:rsid w:val="00002031"/>
    <w:rsid w:val="00004734"/>
    <w:rsid w:val="00005236"/>
    <w:rsid w:val="00006B22"/>
    <w:rsid w:val="000246AE"/>
    <w:rsid w:val="00025C67"/>
    <w:rsid w:val="000326B1"/>
    <w:rsid w:val="0003548E"/>
    <w:rsid w:val="00041CFC"/>
    <w:rsid w:val="00044E54"/>
    <w:rsid w:val="00045801"/>
    <w:rsid w:val="0005559E"/>
    <w:rsid w:val="00055C69"/>
    <w:rsid w:val="00065270"/>
    <w:rsid w:val="00070C2C"/>
    <w:rsid w:val="0008133F"/>
    <w:rsid w:val="00081D52"/>
    <w:rsid w:val="000A1DE9"/>
    <w:rsid w:val="000A22F2"/>
    <w:rsid w:val="000A2AA0"/>
    <w:rsid w:val="000A4A14"/>
    <w:rsid w:val="000A567B"/>
    <w:rsid w:val="000B3532"/>
    <w:rsid w:val="000B3A75"/>
    <w:rsid w:val="000B49A9"/>
    <w:rsid w:val="000B5F7A"/>
    <w:rsid w:val="000B63EA"/>
    <w:rsid w:val="000B6570"/>
    <w:rsid w:val="000B722B"/>
    <w:rsid w:val="000C6905"/>
    <w:rsid w:val="000D391B"/>
    <w:rsid w:val="000D3D6D"/>
    <w:rsid w:val="000D4AC5"/>
    <w:rsid w:val="000D4AF7"/>
    <w:rsid w:val="000D4FC7"/>
    <w:rsid w:val="000E568C"/>
    <w:rsid w:val="000F4869"/>
    <w:rsid w:val="000F5B42"/>
    <w:rsid w:val="000F6E6F"/>
    <w:rsid w:val="0010601F"/>
    <w:rsid w:val="0010773D"/>
    <w:rsid w:val="00110EA5"/>
    <w:rsid w:val="00116AE6"/>
    <w:rsid w:val="001226E8"/>
    <w:rsid w:val="001236F5"/>
    <w:rsid w:val="00125318"/>
    <w:rsid w:val="00125954"/>
    <w:rsid w:val="001305A2"/>
    <w:rsid w:val="00133238"/>
    <w:rsid w:val="00134806"/>
    <w:rsid w:val="00135898"/>
    <w:rsid w:val="0013614E"/>
    <w:rsid w:val="00137456"/>
    <w:rsid w:val="0014197B"/>
    <w:rsid w:val="001447CD"/>
    <w:rsid w:val="001516B1"/>
    <w:rsid w:val="00156316"/>
    <w:rsid w:val="001576DD"/>
    <w:rsid w:val="00160051"/>
    <w:rsid w:val="00165389"/>
    <w:rsid w:val="0016631A"/>
    <w:rsid w:val="00170CA0"/>
    <w:rsid w:val="00172579"/>
    <w:rsid w:val="0017693F"/>
    <w:rsid w:val="0018110E"/>
    <w:rsid w:val="00181684"/>
    <w:rsid w:val="001823E5"/>
    <w:rsid w:val="00183D9D"/>
    <w:rsid w:val="001843C6"/>
    <w:rsid w:val="001879C1"/>
    <w:rsid w:val="00191A74"/>
    <w:rsid w:val="00191B3B"/>
    <w:rsid w:val="00192A45"/>
    <w:rsid w:val="001969CA"/>
    <w:rsid w:val="001B09F9"/>
    <w:rsid w:val="001B6448"/>
    <w:rsid w:val="001C3345"/>
    <w:rsid w:val="001D31EC"/>
    <w:rsid w:val="001E07CF"/>
    <w:rsid w:val="001E20D6"/>
    <w:rsid w:val="001E4C86"/>
    <w:rsid w:val="001E59F1"/>
    <w:rsid w:val="001E641F"/>
    <w:rsid w:val="001E6983"/>
    <w:rsid w:val="001E7248"/>
    <w:rsid w:val="001F120A"/>
    <w:rsid w:val="001F2123"/>
    <w:rsid w:val="001F2F98"/>
    <w:rsid w:val="001F49EB"/>
    <w:rsid w:val="001F5319"/>
    <w:rsid w:val="001F6646"/>
    <w:rsid w:val="001F6CBA"/>
    <w:rsid w:val="001F77E2"/>
    <w:rsid w:val="001F7DFB"/>
    <w:rsid w:val="00201D4E"/>
    <w:rsid w:val="00201E4F"/>
    <w:rsid w:val="0022400A"/>
    <w:rsid w:val="00224AA2"/>
    <w:rsid w:val="002257F3"/>
    <w:rsid w:val="002267B6"/>
    <w:rsid w:val="00233456"/>
    <w:rsid w:val="002339A5"/>
    <w:rsid w:val="00237908"/>
    <w:rsid w:val="0024637F"/>
    <w:rsid w:val="00252BF2"/>
    <w:rsid w:val="00255851"/>
    <w:rsid w:val="00260C86"/>
    <w:rsid w:val="00263265"/>
    <w:rsid w:val="00265743"/>
    <w:rsid w:val="0027084A"/>
    <w:rsid w:val="00271582"/>
    <w:rsid w:val="00272F5C"/>
    <w:rsid w:val="00286434"/>
    <w:rsid w:val="00286C59"/>
    <w:rsid w:val="002877DE"/>
    <w:rsid w:val="0029024E"/>
    <w:rsid w:val="002912D5"/>
    <w:rsid w:val="002942D1"/>
    <w:rsid w:val="002A1FAE"/>
    <w:rsid w:val="002A3E46"/>
    <w:rsid w:val="002A4F68"/>
    <w:rsid w:val="002A51E5"/>
    <w:rsid w:val="002B1638"/>
    <w:rsid w:val="002C26CA"/>
    <w:rsid w:val="002C3BB9"/>
    <w:rsid w:val="002D1759"/>
    <w:rsid w:val="002D2B28"/>
    <w:rsid w:val="002D39E2"/>
    <w:rsid w:val="002D46D6"/>
    <w:rsid w:val="002E394A"/>
    <w:rsid w:val="002E4C9A"/>
    <w:rsid w:val="002F1FA0"/>
    <w:rsid w:val="002F3F56"/>
    <w:rsid w:val="002F44B5"/>
    <w:rsid w:val="003002FD"/>
    <w:rsid w:val="00311AC0"/>
    <w:rsid w:val="003130FE"/>
    <w:rsid w:val="00314664"/>
    <w:rsid w:val="00314C84"/>
    <w:rsid w:val="00320320"/>
    <w:rsid w:val="00324714"/>
    <w:rsid w:val="00340E1A"/>
    <w:rsid w:val="00344857"/>
    <w:rsid w:val="003468B9"/>
    <w:rsid w:val="003521E8"/>
    <w:rsid w:val="00357F8C"/>
    <w:rsid w:val="003602A9"/>
    <w:rsid w:val="00363AC5"/>
    <w:rsid w:val="00365169"/>
    <w:rsid w:val="003728F3"/>
    <w:rsid w:val="0037434A"/>
    <w:rsid w:val="00377AD6"/>
    <w:rsid w:val="003879E9"/>
    <w:rsid w:val="003B0951"/>
    <w:rsid w:val="003B7E39"/>
    <w:rsid w:val="003C4AB7"/>
    <w:rsid w:val="003C58DC"/>
    <w:rsid w:val="003D4C41"/>
    <w:rsid w:val="003E14DB"/>
    <w:rsid w:val="003E1DD8"/>
    <w:rsid w:val="003E2420"/>
    <w:rsid w:val="003E58CF"/>
    <w:rsid w:val="003E5A27"/>
    <w:rsid w:val="003F0B04"/>
    <w:rsid w:val="0040134E"/>
    <w:rsid w:val="004122F2"/>
    <w:rsid w:val="00417AD2"/>
    <w:rsid w:val="00420DF3"/>
    <w:rsid w:val="00421B31"/>
    <w:rsid w:val="00422B5D"/>
    <w:rsid w:val="004231C4"/>
    <w:rsid w:val="00427CEB"/>
    <w:rsid w:val="00430FF6"/>
    <w:rsid w:val="004347EB"/>
    <w:rsid w:val="00440A2D"/>
    <w:rsid w:val="0044431F"/>
    <w:rsid w:val="00452FDD"/>
    <w:rsid w:val="00454AB7"/>
    <w:rsid w:val="004564A7"/>
    <w:rsid w:val="00457E37"/>
    <w:rsid w:val="004617BF"/>
    <w:rsid w:val="00463320"/>
    <w:rsid w:val="00485024"/>
    <w:rsid w:val="00486FD9"/>
    <w:rsid w:val="0049040A"/>
    <w:rsid w:val="00494E60"/>
    <w:rsid w:val="004974F9"/>
    <w:rsid w:val="004C04BF"/>
    <w:rsid w:val="004C7F27"/>
    <w:rsid w:val="004D25F1"/>
    <w:rsid w:val="004E4E2D"/>
    <w:rsid w:val="004F0F38"/>
    <w:rsid w:val="004F3131"/>
    <w:rsid w:val="004F7270"/>
    <w:rsid w:val="004F793E"/>
    <w:rsid w:val="00501921"/>
    <w:rsid w:val="00503B91"/>
    <w:rsid w:val="005139DF"/>
    <w:rsid w:val="00515ACF"/>
    <w:rsid w:val="005235FC"/>
    <w:rsid w:val="00523C20"/>
    <w:rsid w:val="005302CC"/>
    <w:rsid w:val="00530354"/>
    <w:rsid w:val="00541AD7"/>
    <w:rsid w:val="005434C6"/>
    <w:rsid w:val="00543B39"/>
    <w:rsid w:val="005444EF"/>
    <w:rsid w:val="00546475"/>
    <w:rsid w:val="00547E35"/>
    <w:rsid w:val="00550096"/>
    <w:rsid w:val="005529BC"/>
    <w:rsid w:val="00557FF9"/>
    <w:rsid w:val="00570F92"/>
    <w:rsid w:val="005732B2"/>
    <w:rsid w:val="00576378"/>
    <w:rsid w:val="00577E38"/>
    <w:rsid w:val="00581199"/>
    <w:rsid w:val="00585322"/>
    <w:rsid w:val="00585508"/>
    <w:rsid w:val="00586994"/>
    <w:rsid w:val="00591A34"/>
    <w:rsid w:val="005923D8"/>
    <w:rsid w:val="00593AD1"/>
    <w:rsid w:val="005A27B0"/>
    <w:rsid w:val="005A2CFD"/>
    <w:rsid w:val="005A419A"/>
    <w:rsid w:val="005A5AB6"/>
    <w:rsid w:val="005B36A7"/>
    <w:rsid w:val="005C0074"/>
    <w:rsid w:val="005C3144"/>
    <w:rsid w:val="005C3BF9"/>
    <w:rsid w:val="005C5570"/>
    <w:rsid w:val="005C6B9D"/>
    <w:rsid w:val="005C79A4"/>
    <w:rsid w:val="005D30F4"/>
    <w:rsid w:val="005D5442"/>
    <w:rsid w:val="005D694D"/>
    <w:rsid w:val="005E77AE"/>
    <w:rsid w:val="005F4229"/>
    <w:rsid w:val="0060188E"/>
    <w:rsid w:val="00606DA6"/>
    <w:rsid w:val="00620351"/>
    <w:rsid w:val="00636A36"/>
    <w:rsid w:val="00640FC3"/>
    <w:rsid w:val="00642020"/>
    <w:rsid w:val="00643287"/>
    <w:rsid w:val="00643703"/>
    <w:rsid w:val="006461ED"/>
    <w:rsid w:val="006514C1"/>
    <w:rsid w:val="0065419D"/>
    <w:rsid w:val="00657DD0"/>
    <w:rsid w:val="006624A3"/>
    <w:rsid w:val="00664167"/>
    <w:rsid w:val="00664A5B"/>
    <w:rsid w:val="00666CD3"/>
    <w:rsid w:val="0067125B"/>
    <w:rsid w:val="00674106"/>
    <w:rsid w:val="00680C08"/>
    <w:rsid w:val="006907C3"/>
    <w:rsid w:val="006931B1"/>
    <w:rsid w:val="006A15C0"/>
    <w:rsid w:val="006B5D5F"/>
    <w:rsid w:val="006C0169"/>
    <w:rsid w:val="006C642F"/>
    <w:rsid w:val="006D03E5"/>
    <w:rsid w:val="006D1611"/>
    <w:rsid w:val="006D5D3E"/>
    <w:rsid w:val="006D6272"/>
    <w:rsid w:val="006E08B3"/>
    <w:rsid w:val="006F136E"/>
    <w:rsid w:val="006F2236"/>
    <w:rsid w:val="006F4592"/>
    <w:rsid w:val="006F572E"/>
    <w:rsid w:val="0070046C"/>
    <w:rsid w:val="007046D6"/>
    <w:rsid w:val="00723F13"/>
    <w:rsid w:val="00725247"/>
    <w:rsid w:val="00741046"/>
    <w:rsid w:val="0074246C"/>
    <w:rsid w:val="0074253D"/>
    <w:rsid w:val="00742FF5"/>
    <w:rsid w:val="0074429B"/>
    <w:rsid w:val="00746A84"/>
    <w:rsid w:val="007477E2"/>
    <w:rsid w:val="00750A10"/>
    <w:rsid w:val="00753034"/>
    <w:rsid w:val="007615BC"/>
    <w:rsid w:val="00762F05"/>
    <w:rsid w:val="00765126"/>
    <w:rsid w:val="007652FF"/>
    <w:rsid w:val="00765E17"/>
    <w:rsid w:val="00773EF7"/>
    <w:rsid w:val="0077675A"/>
    <w:rsid w:val="00782C1B"/>
    <w:rsid w:val="0078569C"/>
    <w:rsid w:val="00791615"/>
    <w:rsid w:val="007938DE"/>
    <w:rsid w:val="00793A59"/>
    <w:rsid w:val="00794592"/>
    <w:rsid w:val="007A123F"/>
    <w:rsid w:val="007A19BE"/>
    <w:rsid w:val="007A3721"/>
    <w:rsid w:val="007A3C58"/>
    <w:rsid w:val="007A4836"/>
    <w:rsid w:val="007A6BEB"/>
    <w:rsid w:val="007B0B07"/>
    <w:rsid w:val="007C01CA"/>
    <w:rsid w:val="007C4840"/>
    <w:rsid w:val="007C4A0A"/>
    <w:rsid w:val="007C4E2C"/>
    <w:rsid w:val="007C5F81"/>
    <w:rsid w:val="007C610C"/>
    <w:rsid w:val="007C6C55"/>
    <w:rsid w:val="007D3439"/>
    <w:rsid w:val="007D3B81"/>
    <w:rsid w:val="00807A04"/>
    <w:rsid w:val="00811CF8"/>
    <w:rsid w:val="0081696D"/>
    <w:rsid w:val="00821776"/>
    <w:rsid w:val="00821E37"/>
    <w:rsid w:val="008243E7"/>
    <w:rsid w:val="00825F87"/>
    <w:rsid w:val="008321F5"/>
    <w:rsid w:val="00832369"/>
    <w:rsid w:val="00834660"/>
    <w:rsid w:val="00836BC2"/>
    <w:rsid w:val="0083712B"/>
    <w:rsid w:val="00844CD0"/>
    <w:rsid w:val="008527F1"/>
    <w:rsid w:val="00852FD3"/>
    <w:rsid w:val="0085641B"/>
    <w:rsid w:val="0086144C"/>
    <w:rsid w:val="00862AB2"/>
    <w:rsid w:val="00870860"/>
    <w:rsid w:val="0087331F"/>
    <w:rsid w:val="0087360C"/>
    <w:rsid w:val="00876580"/>
    <w:rsid w:val="008801E1"/>
    <w:rsid w:val="008877BB"/>
    <w:rsid w:val="00896018"/>
    <w:rsid w:val="008A2B9D"/>
    <w:rsid w:val="008A6D16"/>
    <w:rsid w:val="008B2EA8"/>
    <w:rsid w:val="008B4B03"/>
    <w:rsid w:val="008B596F"/>
    <w:rsid w:val="008B7881"/>
    <w:rsid w:val="008B7BCA"/>
    <w:rsid w:val="008C0AD8"/>
    <w:rsid w:val="008C159F"/>
    <w:rsid w:val="008C1623"/>
    <w:rsid w:val="008D3C34"/>
    <w:rsid w:val="008D41EF"/>
    <w:rsid w:val="008D6520"/>
    <w:rsid w:val="008E1206"/>
    <w:rsid w:val="008E1A93"/>
    <w:rsid w:val="008E34D7"/>
    <w:rsid w:val="008F1CCC"/>
    <w:rsid w:val="008F2967"/>
    <w:rsid w:val="00901298"/>
    <w:rsid w:val="00901EE5"/>
    <w:rsid w:val="009100A8"/>
    <w:rsid w:val="00914A16"/>
    <w:rsid w:val="00920330"/>
    <w:rsid w:val="009219D7"/>
    <w:rsid w:val="00922D53"/>
    <w:rsid w:val="00923B70"/>
    <w:rsid w:val="00927C49"/>
    <w:rsid w:val="00930237"/>
    <w:rsid w:val="00932EEC"/>
    <w:rsid w:val="00934BF4"/>
    <w:rsid w:val="0094386C"/>
    <w:rsid w:val="00952B7B"/>
    <w:rsid w:val="00962A2D"/>
    <w:rsid w:val="00963C08"/>
    <w:rsid w:val="00965F1A"/>
    <w:rsid w:val="00975952"/>
    <w:rsid w:val="009828DF"/>
    <w:rsid w:val="00983DF2"/>
    <w:rsid w:val="0098661F"/>
    <w:rsid w:val="00991508"/>
    <w:rsid w:val="00994348"/>
    <w:rsid w:val="009A1243"/>
    <w:rsid w:val="009A35C3"/>
    <w:rsid w:val="009A4CED"/>
    <w:rsid w:val="009B1D12"/>
    <w:rsid w:val="009B416B"/>
    <w:rsid w:val="009B63CB"/>
    <w:rsid w:val="009C0A94"/>
    <w:rsid w:val="009C179C"/>
    <w:rsid w:val="009C2D76"/>
    <w:rsid w:val="009C4BD5"/>
    <w:rsid w:val="009C5270"/>
    <w:rsid w:val="009D3ABF"/>
    <w:rsid w:val="009D7B0D"/>
    <w:rsid w:val="009D7C7D"/>
    <w:rsid w:val="009E286A"/>
    <w:rsid w:val="009E3FBB"/>
    <w:rsid w:val="009F1B88"/>
    <w:rsid w:val="00A0129C"/>
    <w:rsid w:val="00A01A23"/>
    <w:rsid w:val="00A14DF7"/>
    <w:rsid w:val="00A17356"/>
    <w:rsid w:val="00A2196D"/>
    <w:rsid w:val="00A223E7"/>
    <w:rsid w:val="00A3246D"/>
    <w:rsid w:val="00A33CDE"/>
    <w:rsid w:val="00A35416"/>
    <w:rsid w:val="00A3630E"/>
    <w:rsid w:val="00A36FA7"/>
    <w:rsid w:val="00A4628C"/>
    <w:rsid w:val="00A475B7"/>
    <w:rsid w:val="00A47AF7"/>
    <w:rsid w:val="00A47C3E"/>
    <w:rsid w:val="00A50226"/>
    <w:rsid w:val="00A55320"/>
    <w:rsid w:val="00A55F25"/>
    <w:rsid w:val="00A56D42"/>
    <w:rsid w:val="00A60745"/>
    <w:rsid w:val="00A61531"/>
    <w:rsid w:val="00A72246"/>
    <w:rsid w:val="00A77FC9"/>
    <w:rsid w:val="00A803FB"/>
    <w:rsid w:val="00A81394"/>
    <w:rsid w:val="00A87163"/>
    <w:rsid w:val="00A90AB0"/>
    <w:rsid w:val="00A93288"/>
    <w:rsid w:val="00A967B1"/>
    <w:rsid w:val="00AA39C2"/>
    <w:rsid w:val="00AA7D64"/>
    <w:rsid w:val="00AC239D"/>
    <w:rsid w:val="00AC2B40"/>
    <w:rsid w:val="00AC2BB2"/>
    <w:rsid w:val="00AC458D"/>
    <w:rsid w:val="00AD1A67"/>
    <w:rsid w:val="00AD3C23"/>
    <w:rsid w:val="00AE0B4E"/>
    <w:rsid w:val="00AE52A4"/>
    <w:rsid w:val="00AE65EB"/>
    <w:rsid w:val="00AF1D94"/>
    <w:rsid w:val="00AF5D50"/>
    <w:rsid w:val="00B009C6"/>
    <w:rsid w:val="00B01548"/>
    <w:rsid w:val="00B12F30"/>
    <w:rsid w:val="00B14C68"/>
    <w:rsid w:val="00B174C0"/>
    <w:rsid w:val="00B21D29"/>
    <w:rsid w:val="00B22400"/>
    <w:rsid w:val="00B23463"/>
    <w:rsid w:val="00B25034"/>
    <w:rsid w:val="00B261B4"/>
    <w:rsid w:val="00B27E69"/>
    <w:rsid w:val="00B3227C"/>
    <w:rsid w:val="00B33863"/>
    <w:rsid w:val="00B37D17"/>
    <w:rsid w:val="00B4175E"/>
    <w:rsid w:val="00B42BF0"/>
    <w:rsid w:val="00B45102"/>
    <w:rsid w:val="00B509E8"/>
    <w:rsid w:val="00B54C25"/>
    <w:rsid w:val="00B61387"/>
    <w:rsid w:val="00B63DEA"/>
    <w:rsid w:val="00B675B9"/>
    <w:rsid w:val="00B72073"/>
    <w:rsid w:val="00B75722"/>
    <w:rsid w:val="00B766D3"/>
    <w:rsid w:val="00B76B91"/>
    <w:rsid w:val="00B81A68"/>
    <w:rsid w:val="00B81FEA"/>
    <w:rsid w:val="00B869FA"/>
    <w:rsid w:val="00B92B8F"/>
    <w:rsid w:val="00BA04A0"/>
    <w:rsid w:val="00BA1A9A"/>
    <w:rsid w:val="00BA6350"/>
    <w:rsid w:val="00BB0550"/>
    <w:rsid w:val="00BC185B"/>
    <w:rsid w:val="00BC622A"/>
    <w:rsid w:val="00BC73C9"/>
    <w:rsid w:val="00BD7174"/>
    <w:rsid w:val="00BE0A78"/>
    <w:rsid w:val="00BE4C39"/>
    <w:rsid w:val="00BE79F0"/>
    <w:rsid w:val="00BF046D"/>
    <w:rsid w:val="00BF1088"/>
    <w:rsid w:val="00BF1A9D"/>
    <w:rsid w:val="00BF34EB"/>
    <w:rsid w:val="00BF3AF7"/>
    <w:rsid w:val="00BF6068"/>
    <w:rsid w:val="00C035AA"/>
    <w:rsid w:val="00C120F5"/>
    <w:rsid w:val="00C376C8"/>
    <w:rsid w:val="00C404A6"/>
    <w:rsid w:val="00C40A36"/>
    <w:rsid w:val="00C40CAE"/>
    <w:rsid w:val="00C41A6A"/>
    <w:rsid w:val="00C41E41"/>
    <w:rsid w:val="00C44419"/>
    <w:rsid w:val="00C45E7B"/>
    <w:rsid w:val="00C478B0"/>
    <w:rsid w:val="00C51149"/>
    <w:rsid w:val="00C554CF"/>
    <w:rsid w:val="00C557BF"/>
    <w:rsid w:val="00C56881"/>
    <w:rsid w:val="00C6316B"/>
    <w:rsid w:val="00C634A9"/>
    <w:rsid w:val="00C64ACF"/>
    <w:rsid w:val="00C70192"/>
    <w:rsid w:val="00C772FF"/>
    <w:rsid w:val="00C801AF"/>
    <w:rsid w:val="00C80256"/>
    <w:rsid w:val="00C85E5D"/>
    <w:rsid w:val="00C9077E"/>
    <w:rsid w:val="00C91AAD"/>
    <w:rsid w:val="00C9386D"/>
    <w:rsid w:val="00C93D93"/>
    <w:rsid w:val="00CA46B7"/>
    <w:rsid w:val="00CB6BC0"/>
    <w:rsid w:val="00CC135A"/>
    <w:rsid w:val="00CC22E2"/>
    <w:rsid w:val="00CC4BD8"/>
    <w:rsid w:val="00CC727F"/>
    <w:rsid w:val="00CD33AF"/>
    <w:rsid w:val="00CD40DE"/>
    <w:rsid w:val="00CF15C3"/>
    <w:rsid w:val="00CF28EF"/>
    <w:rsid w:val="00CF2B6F"/>
    <w:rsid w:val="00CF325E"/>
    <w:rsid w:val="00D017ED"/>
    <w:rsid w:val="00D03315"/>
    <w:rsid w:val="00D13A6F"/>
    <w:rsid w:val="00D13EBE"/>
    <w:rsid w:val="00D14D86"/>
    <w:rsid w:val="00D1519E"/>
    <w:rsid w:val="00D21C4E"/>
    <w:rsid w:val="00D224FE"/>
    <w:rsid w:val="00D26A7F"/>
    <w:rsid w:val="00D26B7D"/>
    <w:rsid w:val="00D2734C"/>
    <w:rsid w:val="00D277C7"/>
    <w:rsid w:val="00D30FEA"/>
    <w:rsid w:val="00D32B56"/>
    <w:rsid w:val="00D40484"/>
    <w:rsid w:val="00D5060E"/>
    <w:rsid w:val="00D56026"/>
    <w:rsid w:val="00D620C1"/>
    <w:rsid w:val="00D6493E"/>
    <w:rsid w:val="00D70E27"/>
    <w:rsid w:val="00D715C9"/>
    <w:rsid w:val="00D75524"/>
    <w:rsid w:val="00D8040D"/>
    <w:rsid w:val="00D80A8E"/>
    <w:rsid w:val="00D81C12"/>
    <w:rsid w:val="00D8593F"/>
    <w:rsid w:val="00D8638C"/>
    <w:rsid w:val="00DA1124"/>
    <w:rsid w:val="00DA447D"/>
    <w:rsid w:val="00DA5B91"/>
    <w:rsid w:val="00DB41AD"/>
    <w:rsid w:val="00DB5F5A"/>
    <w:rsid w:val="00DC73A9"/>
    <w:rsid w:val="00DE02AE"/>
    <w:rsid w:val="00DE18CA"/>
    <w:rsid w:val="00DE38A3"/>
    <w:rsid w:val="00DE4C0F"/>
    <w:rsid w:val="00DE7088"/>
    <w:rsid w:val="00DF1D7F"/>
    <w:rsid w:val="00DF7DD6"/>
    <w:rsid w:val="00E01E7F"/>
    <w:rsid w:val="00E02FB4"/>
    <w:rsid w:val="00E20571"/>
    <w:rsid w:val="00E225E0"/>
    <w:rsid w:val="00E239D4"/>
    <w:rsid w:val="00E35433"/>
    <w:rsid w:val="00E363FA"/>
    <w:rsid w:val="00E40B22"/>
    <w:rsid w:val="00E4588F"/>
    <w:rsid w:val="00E45FC1"/>
    <w:rsid w:val="00E46DA3"/>
    <w:rsid w:val="00E4797C"/>
    <w:rsid w:val="00E5044B"/>
    <w:rsid w:val="00E565CB"/>
    <w:rsid w:val="00E62502"/>
    <w:rsid w:val="00E66063"/>
    <w:rsid w:val="00E67E3B"/>
    <w:rsid w:val="00E719AC"/>
    <w:rsid w:val="00E72179"/>
    <w:rsid w:val="00E764E8"/>
    <w:rsid w:val="00E90811"/>
    <w:rsid w:val="00E91315"/>
    <w:rsid w:val="00E97871"/>
    <w:rsid w:val="00EA65F2"/>
    <w:rsid w:val="00EB0798"/>
    <w:rsid w:val="00EB2E0C"/>
    <w:rsid w:val="00EB40AD"/>
    <w:rsid w:val="00EB586E"/>
    <w:rsid w:val="00EC0739"/>
    <w:rsid w:val="00EC78AF"/>
    <w:rsid w:val="00ED7801"/>
    <w:rsid w:val="00EE4A28"/>
    <w:rsid w:val="00EE4F53"/>
    <w:rsid w:val="00EE5C85"/>
    <w:rsid w:val="00EE6E4A"/>
    <w:rsid w:val="00EF0159"/>
    <w:rsid w:val="00F02EFC"/>
    <w:rsid w:val="00F033EC"/>
    <w:rsid w:val="00F04F68"/>
    <w:rsid w:val="00F1080E"/>
    <w:rsid w:val="00F12670"/>
    <w:rsid w:val="00F14B27"/>
    <w:rsid w:val="00F17B27"/>
    <w:rsid w:val="00F35298"/>
    <w:rsid w:val="00F3536E"/>
    <w:rsid w:val="00F376BD"/>
    <w:rsid w:val="00F47E37"/>
    <w:rsid w:val="00F504AC"/>
    <w:rsid w:val="00F61F7A"/>
    <w:rsid w:val="00F640B6"/>
    <w:rsid w:val="00F645D7"/>
    <w:rsid w:val="00F651B3"/>
    <w:rsid w:val="00F651CE"/>
    <w:rsid w:val="00F655DE"/>
    <w:rsid w:val="00F65D38"/>
    <w:rsid w:val="00F74452"/>
    <w:rsid w:val="00F74459"/>
    <w:rsid w:val="00F75165"/>
    <w:rsid w:val="00F76D8D"/>
    <w:rsid w:val="00F777B6"/>
    <w:rsid w:val="00F80E40"/>
    <w:rsid w:val="00F87CB4"/>
    <w:rsid w:val="00F94908"/>
    <w:rsid w:val="00FA3C4C"/>
    <w:rsid w:val="00FA59FB"/>
    <w:rsid w:val="00FA5B82"/>
    <w:rsid w:val="00FA639E"/>
    <w:rsid w:val="00FB7DEF"/>
    <w:rsid w:val="00FC25E4"/>
    <w:rsid w:val="00FC4EF7"/>
    <w:rsid w:val="00FD043B"/>
    <w:rsid w:val="00FD2879"/>
    <w:rsid w:val="00FD4F9C"/>
    <w:rsid w:val="00FD5E41"/>
    <w:rsid w:val="00FD6FAB"/>
    <w:rsid w:val="00FE0DC9"/>
    <w:rsid w:val="00FE14B4"/>
    <w:rsid w:val="00FE1DEE"/>
    <w:rsid w:val="00FE2221"/>
    <w:rsid w:val="00FE53A7"/>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colormenu v:ext="edit" fillcolor="none [3206]"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A27B0"/>
    <w:pPr>
      <w:spacing w:after="120" w:line="240" w:lineRule="atLeast"/>
    </w:pPr>
    <w:rPr>
      <w:sz w:val="22"/>
      <w:szCs w:val="22"/>
      <w:lang w:eastAsia="en-US"/>
    </w:rPr>
  </w:style>
  <w:style w:type="paragraph" w:styleId="Heading1">
    <w:name w:val="heading 1"/>
    <w:basedOn w:val="Normal"/>
    <w:next w:val="Normal"/>
    <w:link w:val="Heading1Char"/>
    <w:qFormat/>
    <w:rsid w:val="00930237"/>
    <w:pPr>
      <w:keepNext/>
      <w:keepLines/>
      <w:spacing w:after="360"/>
      <w:outlineLvl w:val="0"/>
    </w:pPr>
    <w:rPr>
      <w:rFonts w:ascii="Arial" w:eastAsia="Times New Roman" w:hAnsi="Arial" w:cs="Times New Roman"/>
      <w:b/>
      <w:bCs/>
      <w:sz w:val="64"/>
      <w:szCs w:val="28"/>
    </w:rPr>
  </w:style>
  <w:style w:type="paragraph" w:styleId="Heading2">
    <w:name w:val="heading 2"/>
    <w:basedOn w:val="Normal"/>
    <w:next w:val="Normal"/>
    <w:link w:val="Heading2Char"/>
    <w:qFormat/>
    <w:rsid w:val="00930237"/>
    <w:pPr>
      <w:keepNext/>
      <w:keepLines/>
      <w:spacing w:after="240"/>
      <w:outlineLvl w:val="1"/>
    </w:pPr>
    <w:rPr>
      <w:rFonts w:ascii="Arial" w:eastAsia="Times New Roman" w:hAnsi="Arial" w:cs="Times New Roman"/>
      <w:b/>
      <w:bCs/>
      <w:sz w:val="32"/>
      <w:szCs w:val="26"/>
    </w:rPr>
  </w:style>
  <w:style w:type="paragraph" w:styleId="Heading3">
    <w:name w:val="heading 3"/>
    <w:basedOn w:val="Normal"/>
    <w:next w:val="Normal"/>
    <w:link w:val="Heading3Char"/>
    <w:qFormat/>
    <w:rsid w:val="00D56026"/>
    <w:pPr>
      <w:keepNext/>
      <w:keepLines/>
      <w:spacing w:line="220" w:lineRule="atLeast"/>
      <w:outlineLvl w:val="2"/>
    </w:pPr>
    <w:rPr>
      <w:rFonts w:ascii="Arial" w:eastAsia="Times New Roman" w:hAnsi="Arial" w:cs="Times New Roman"/>
      <w:b/>
      <w:bCs/>
    </w:rPr>
  </w:style>
  <w:style w:type="paragraph" w:styleId="Heading4">
    <w:name w:val="heading 4"/>
    <w:basedOn w:val="Normal"/>
    <w:next w:val="Normal"/>
    <w:link w:val="Heading4Char"/>
    <w:qFormat/>
    <w:rsid w:val="00D56026"/>
    <w:pPr>
      <w:spacing w:line="220" w:lineRule="atLeast"/>
      <w:outlineLvl w:val="3"/>
    </w:pPr>
    <w:rPr>
      <w:b/>
    </w:rPr>
  </w:style>
  <w:style w:type="paragraph" w:styleId="Heading5">
    <w:name w:val="heading 5"/>
    <w:basedOn w:val="Normal"/>
    <w:next w:val="Normal"/>
    <w:link w:val="Heading5Char"/>
    <w:qFormat/>
    <w:rsid w:val="00D56026"/>
    <w:pPr>
      <w:keepNext/>
      <w:keepLines/>
      <w:spacing w:line="220" w:lineRule="atLeast"/>
      <w:outlineLvl w:val="4"/>
    </w:pPr>
    <w:rPr>
      <w:rFonts w:eastAsia="Times New Roman" w:cs="Times New Roman"/>
      <w:b/>
      <w:i/>
      <w:color w:val="001523"/>
    </w:rPr>
  </w:style>
  <w:style w:type="paragraph" w:styleId="Heading6">
    <w:name w:val="heading 6"/>
    <w:basedOn w:val="Normal"/>
    <w:next w:val="Normal"/>
    <w:link w:val="Heading6Char"/>
    <w:qFormat/>
    <w:rsid w:val="00D56026"/>
    <w:pPr>
      <w:keepNext/>
      <w:keepLines/>
      <w:spacing w:line="220" w:lineRule="atLeast"/>
      <w:outlineLvl w:val="5"/>
    </w:pPr>
    <w:rPr>
      <w:rFonts w:eastAsia="Times New Roman" w:cs="Times New Roman"/>
      <w:i/>
      <w:iCs/>
      <w:color w:val="001523"/>
    </w:rPr>
  </w:style>
  <w:style w:type="paragraph" w:styleId="Heading7">
    <w:name w:val="heading 7"/>
    <w:basedOn w:val="Normal"/>
    <w:next w:val="Normal"/>
    <w:link w:val="Heading7Char"/>
    <w:uiPriority w:val="9"/>
    <w:semiHidden/>
    <w:unhideWhenUsed/>
    <w:qFormat/>
    <w:rsid w:val="00FA59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6F136E"/>
    <w:pPr>
      <w:spacing w:before="240" w:after="60"/>
      <w:outlineLvl w:val="8"/>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Arial" w:eastAsia="Times New Roman" w:hAnsi="Arial" w:cs="Times New Roman"/>
      <w:b/>
      <w:bCs/>
      <w:sz w:val="64"/>
      <w:szCs w:val="28"/>
    </w:rPr>
  </w:style>
  <w:style w:type="character" w:customStyle="1" w:styleId="Heading2Char">
    <w:name w:val="Heading 2 Char"/>
    <w:basedOn w:val="DefaultParagraphFont"/>
    <w:link w:val="Heading2"/>
    <w:rsid w:val="00930237"/>
    <w:rPr>
      <w:rFonts w:ascii="Arial" w:eastAsia="Times New Roman" w:hAnsi="Arial" w:cs="Times New Roman"/>
      <w:b/>
      <w:bCs/>
      <w:sz w:val="32"/>
      <w:szCs w:val="26"/>
    </w:rPr>
  </w:style>
  <w:style w:type="character" w:customStyle="1" w:styleId="Heading3Char">
    <w:name w:val="Heading 3 Char"/>
    <w:basedOn w:val="DefaultParagraphFont"/>
    <w:link w:val="Heading3"/>
    <w:rsid w:val="00D56026"/>
    <w:rPr>
      <w:rFonts w:ascii="Arial" w:eastAsia="Times New Roman" w:hAnsi="Arial" w:cs="Times New Roman"/>
      <w:b/>
      <w:bCs/>
    </w:rPr>
  </w:style>
  <w:style w:type="paragraph" w:customStyle="1" w:styleId="TableTitle">
    <w:name w:val="Table Title"/>
    <w:basedOn w:val="Normal"/>
    <w:uiPriority w:val="99"/>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D26A7F"/>
    <w:pPr>
      <w:numPr>
        <w:numId w:val="2"/>
      </w:numPr>
      <w:spacing w:after="160"/>
    </w:pPr>
  </w:style>
  <w:style w:type="paragraph" w:styleId="ListBullet2">
    <w:name w:val="List Bullet 2"/>
    <w:basedOn w:val="Normal"/>
    <w:uiPriority w:val="99"/>
    <w:qFormat/>
    <w:rsid w:val="00D26A7F"/>
    <w:pPr>
      <w:numPr>
        <w:ilvl w:val="1"/>
        <w:numId w:val="2"/>
      </w:numPr>
      <w:contextualSpacing/>
    </w:pPr>
  </w:style>
  <w:style w:type="paragraph" w:customStyle="1" w:styleId="Reference">
    <w:name w:val="Reference"/>
    <w:basedOn w:val="Normal"/>
    <w:rsid w:val="00F02EFC"/>
    <w:pPr>
      <w:spacing w:before="40" w:after="0" w:line="180" w:lineRule="atLeast"/>
      <w:ind w:left="170" w:hanging="170"/>
    </w:pPr>
    <w:rPr>
      <w:sz w:val="19"/>
    </w:rPr>
  </w:style>
  <w:style w:type="table" w:styleId="TableGrid">
    <w:name w:val="Table Grid"/>
    <w:basedOn w:val="TableNormal"/>
    <w:uiPriority w:val="59"/>
    <w:rsid w:val="00C4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D56026"/>
    <w:rPr>
      <w:rFonts w:ascii="Cambria" w:hAnsi="Cambria"/>
      <w:b/>
    </w:rPr>
  </w:style>
  <w:style w:type="paragraph" w:customStyle="1" w:styleId="HeaderNoLine">
    <w:name w:val="Header No Line"/>
    <w:basedOn w:val="Header"/>
    <w:uiPriority w:val="99"/>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uiPriority w:val="99"/>
    <w:qFormat/>
    <w:rsid w:val="00A47AF7"/>
    <w:rPr>
      <w:b/>
      <w:color w:val="FFFFFF"/>
    </w:rPr>
  </w:style>
  <w:style w:type="paragraph" w:customStyle="1" w:styleId="TGASignoff">
    <w:name w:val="TGA Signoff"/>
    <w:basedOn w:val="Normal"/>
    <w:uiPriority w:val="99"/>
    <w:qFormat/>
    <w:rsid w:val="000D4FC7"/>
    <w:pPr>
      <w:jc w:val="center"/>
    </w:pPr>
    <w:rPr>
      <w:rFonts w:ascii="Arial" w:hAnsi="Arial"/>
      <w:b/>
      <w:sz w:val="28"/>
    </w:rPr>
  </w:style>
  <w:style w:type="paragraph" w:styleId="Caption">
    <w:name w:val="caption"/>
    <w:basedOn w:val="Normal"/>
    <w:next w:val="Normal"/>
    <w:qFormat/>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sz w:val="28"/>
      <w:lang w:val="en-US"/>
    </w:rPr>
  </w:style>
  <w:style w:type="paragraph" w:styleId="TOC1">
    <w:name w:val="toc 1"/>
    <w:basedOn w:val="Normal"/>
    <w:next w:val="Normal"/>
    <w:uiPriority w:val="39"/>
    <w:unhideWhenUsed/>
    <w:rsid w:val="00006B22"/>
    <w:pPr>
      <w:tabs>
        <w:tab w:val="right" w:pos="8505"/>
      </w:tabs>
      <w:spacing w:after="200"/>
    </w:pPr>
    <w:rPr>
      <w:rFonts w:ascii="Arial" w:hAnsi="Arial"/>
      <w:b/>
      <w:sz w:val="32"/>
    </w:rPr>
  </w:style>
  <w:style w:type="paragraph" w:styleId="TOC2">
    <w:name w:val="toc 2"/>
    <w:basedOn w:val="Normal"/>
    <w:next w:val="Normal"/>
    <w:uiPriority w:val="39"/>
    <w:unhideWhenUsed/>
    <w:rsid w:val="00006B22"/>
    <w:pPr>
      <w:tabs>
        <w:tab w:val="right" w:leader="underscore" w:pos="8505"/>
      </w:tabs>
      <w:spacing w:after="100"/>
      <w:ind w:left="624"/>
    </w:pPr>
    <w:rPr>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rsid w:val="00D56026"/>
    <w:rPr>
      <w:rFonts w:ascii="Cambria" w:eastAsia="Times New Roman" w:hAnsi="Cambria" w:cs="Times New Roman"/>
      <w:b/>
      <w:i/>
      <w:color w:val="001523"/>
    </w:rPr>
  </w:style>
  <w:style w:type="table" w:customStyle="1" w:styleId="TableTGA1">
    <w:name w:val="Table_TGA_1"/>
    <w:basedOn w:val="TableNormal"/>
    <w:uiPriority w:val="99"/>
    <w:rsid w:val="00F14B27"/>
    <w:rPr>
      <w:rFonts w:ascii="Minion Pro" w:hAnsi="Minion Pro"/>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LegalCopy">
    <w:name w:val="Legal Copy"/>
    <w:basedOn w:val="Footer"/>
    <w:uiPriority w:val="99"/>
    <w:qFormat/>
    <w:rsid w:val="001F6CBA"/>
  </w:style>
  <w:style w:type="paragraph" w:customStyle="1" w:styleId="FlowChartWhiteHeading">
    <w:name w:val="Flow Chart White Heading"/>
    <w:basedOn w:val="Normal"/>
    <w:uiPriority w:val="99"/>
    <w:rsid w:val="00311AC0"/>
    <w:pPr>
      <w:spacing w:after="0"/>
      <w:jc w:val="center"/>
    </w:pPr>
    <w:rPr>
      <w:b/>
      <w:color w:val="FFFFFF"/>
    </w:rPr>
  </w:style>
  <w:style w:type="paragraph" w:customStyle="1" w:styleId="FlowChartWhiteText">
    <w:name w:val="Flow Chart White Text"/>
    <w:basedOn w:val="Normal"/>
    <w:uiPriority w:val="99"/>
    <w:rsid w:val="00311AC0"/>
    <w:pPr>
      <w:spacing w:after="0"/>
      <w:jc w:val="center"/>
    </w:pPr>
    <w:rPr>
      <w:color w:val="FFFFFF"/>
    </w:rPr>
  </w:style>
  <w:style w:type="paragraph" w:customStyle="1" w:styleId="FlowChartBlackHeading">
    <w:name w:val="Flow Chart Black Heading"/>
    <w:basedOn w:val="FlowChartWhiteHeading"/>
    <w:uiPriority w:val="99"/>
    <w:rsid w:val="00664A5B"/>
    <w:rPr>
      <w:color w:val="auto"/>
    </w:rPr>
  </w:style>
  <w:style w:type="paragraph" w:customStyle="1" w:styleId="FlowchartText">
    <w:name w:val="Flowchart Text"/>
    <w:basedOn w:val="Normal"/>
    <w:uiPriority w:val="99"/>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uiPriority w:val="99"/>
    <w:rsid w:val="00FF2126"/>
    <w:pPr>
      <w:spacing w:after="360"/>
    </w:pPr>
    <w:rPr>
      <w:rFonts w:ascii="Arial" w:hAnsi="Arial"/>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sz w:val="21"/>
    </w:rPr>
  </w:style>
  <w:style w:type="paragraph" w:customStyle="1" w:styleId="Address">
    <w:name w:val="Address"/>
    <w:basedOn w:val="Normal"/>
    <w:uiPriority w:val="99"/>
    <w:qFormat/>
    <w:rsid w:val="00A36FA7"/>
    <w:pPr>
      <w:spacing w:after="0" w:line="280" w:lineRule="atLeast"/>
      <w:jc w:val="center"/>
    </w:pPr>
    <w:rPr>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D56026"/>
    <w:pPr>
      <w:spacing w:line="220" w:lineRule="atLeast"/>
    </w:pPr>
    <w:rPr>
      <w:b/>
    </w:rPr>
  </w:style>
  <w:style w:type="paragraph" w:styleId="Title">
    <w:name w:val="Title"/>
    <w:basedOn w:val="Normal"/>
    <w:next w:val="Normal"/>
    <w:link w:val="TitleChar"/>
    <w:uiPriority w:val="10"/>
    <w:rsid w:val="0014197B"/>
    <w:pPr>
      <w:spacing w:after="60"/>
      <w:contextualSpacing/>
    </w:pPr>
    <w:rPr>
      <w:rFonts w:ascii="Arial" w:eastAsia="Times New Roman" w:hAnsi="Arial" w:cs="Times New Roman"/>
      <w:color w:val="002C47"/>
      <w:spacing w:val="5"/>
      <w:kern w:val="28"/>
      <w:sz w:val="52"/>
      <w:szCs w:val="52"/>
    </w:rPr>
  </w:style>
  <w:style w:type="character" w:customStyle="1" w:styleId="TitleChar">
    <w:name w:val="Title Char"/>
    <w:basedOn w:val="DefaultParagraphFont"/>
    <w:link w:val="Title"/>
    <w:uiPriority w:val="10"/>
    <w:rsid w:val="0014197B"/>
    <w:rPr>
      <w:rFonts w:ascii="Arial" w:eastAsia="Times New Roman" w:hAnsi="Arial" w:cs="Times New Roman"/>
      <w:color w:val="002C47"/>
      <w:spacing w:val="5"/>
      <w:kern w:val="28"/>
      <w:sz w:val="52"/>
      <w:szCs w:val="52"/>
    </w:rPr>
  </w:style>
  <w:style w:type="paragraph" w:customStyle="1" w:styleId="TableCaption">
    <w:name w:val="Table Caption"/>
    <w:basedOn w:val="FigureCaption"/>
    <w:uiPriority w:val="99"/>
    <w:qFormat/>
    <w:rsid w:val="00BC622A"/>
  </w:style>
  <w:style w:type="paragraph" w:customStyle="1" w:styleId="TableHeading2">
    <w:name w:val="Table Heading 2"/>
    <w:basedOn w:val="Normal"/>
    <w:uiPriority w:val="99"/>
    <w:qFormat/>
    <w:rsid w:val="00A47AF7"/>
    <w:rPr>
      <w:b/>
    </w:rPr>
  </w:style>
  <w:style w:type="table" w:customStyle="1" w:styleId="TableTGA2">
    <w:name w:val="Table_TGA_2"/>
    <w:basedOn w:val="TableNormal"/>
    <w:uiPriority w:val="99"/>
    <w:qFormat/>
    <w:rsid w:val="009B1D12"/>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customStyle="1" w:styleId="Notes">
    <w:name w:val="Notes"/>
    <w:basedOn w:val="Normal"/>
    <w:uiPriority w:val="99"/>
    <w:qFormat/>
    <w:rsid w:val="00BF046D"/>
    <w:pPr>
      <w:spacing w:after="0" w:line="240" w:lineRule="auto"/>
    </w:pPr>
    <w:rPr>
      <w:rFonts w:ascii="Arial" w:hAnsi="Arial"/>
      <w:sz w:val="16"/>
    </w:rPr>
  </w:style>
  <w:style w:type="paragraph" w:customStyle="1" w:styleId="AxisLabel">
    <w:name w:val="Axis Label"/>
    <w:basedOn w:val="Normal"/>
    <w:uiPriority w:val="99"/>
    <w:qFormat/>
    <w:rsid w:val="00BF046D"/>
    <w:pPr>
      <w:spacing w:after="0" w:line="240" w:lineRule="auto"/>
    </w:pPr>
    <w:rPr>
      <w:rFonts w:ascii="Arial" w:hAnsi="Arial"/>
      <w:noProof/>
      <w:sz w:val="14"/>
      <w:lang w:eastAsia="en-AU"/>
    </w:rPr>
  </w:style>
  <w:style w:type="paragraph" w:customStyle="1" w:styleId="AxisTitle">
    <w:name w:val="Axis Title"/>
    <w:basedOn w:val="Normal"/>
    <w:uiPriority w:val="99"/>
    <w:qFormat/>
    <w:rsid w:val="00BF046D"/>
    <w:pPr>
      <w:spacing w:after="0" w:line="240" w:lineRule="auto"/>
    </w:pPr>
    <w:rPr>
      <w:rFonts w:ascii="Arial" w:hAnsi="Arial"/>
      <w:sz w:val="16"/>
    </w:rPr>
  </w:style>
  <w:style w:type="paragraph" w:customStyle="1" w:styleId="Key">
    <w:name w:val="Key"/>
    <w:basedOn w:val="Normal"/>
    <w:uiPriority w:val="99"/>
    <w:qFormat/>
    <w:rsid w:val="00BE79F0"/>
    <w:rPr>
      <w:sz w:val="14"/>
    </w:rPr>
  </w:style>
  <w:style w:type="paragraph" w:styleId="Subtitle">
    <w:name w:val="Subtitle"/>
    <w:basedOn w:val="Normal"/>
    <w:next w:val="Normal"/>
    <w:link w:val="SubtitleChar"/>
    <w:uiPriority w:val="11"/>
    <w:rsid w:val="00B76B91"/>
    <w:pPr>
      <w:numPr>
        <w:ilvl w:val="1"/>
      </w:numPr>
      <w:spacing w:after="360"/>
    </w:pPr>
    <w:rPr>
      <w:rFonts w:ascii="Arial" w:eastAsia="Times New Roman" w:hAnsi="Arial" w:cs="Times New Roman"/>
      <w:iCs/>
      <w:color w:val="006DA7"/>
      <w:sz w:val="40"/>
      <w:szCs w:val="24"/>
    </w:rPr>
  </w:style>
  <w:style w:type="character" w:customStyle="1" w:styleId="SubtitleChar">
    <w:name w:val="Subtitle Char"/>
    <w:basedOn w:val="DefaultParagraphFont"/>
    <w:link w:val="Subtitle"/>
    <w:uiPriority w:val="11"/>
    <w:rsid w:val="00B76B91"/>
    <w:rPr>
      <w:rFonts w:ascii="Arial" w:eastAsia="Times New Roman" w:hAnsi="Arial" w:cs="Times New Roman"/>
      <w:iCs/>
      <w:color w:val="006DA7"/>
      <w:sz w:val="40"/>
      <w:szCs w:val="24"/>
    </w:rPr>
  </w:style>
  <w:style w:type="character" w:styleId="Hyperlink">
    <w:name w:val="Hyperlink"/>
    <w:basedOn w:val="DefaultParagraphFont"/>
    <w:uiPriority w:val="99"/>
    <w:unhideWhenUsed/>
    <w:rsid w:val="00FA59FB"/>
    <w:rPr>
      <w:color w:val="0000FF"/>
      <w:u w:val="single"/>
    </w:rPr>
  </w:style>
  <w:style w:type="paragraph" w:styleId="ListBullet3">
    <w:name w:val="List Bullet 3"/>
    <w:basedOn w:val="Normal"/>
    <w:uiPriority w:val="99"/>
    <w:unhideWhenUsed/>
    <w:qFormat/>
    <w:rsid w:val="00D26A7F"/>
    <w:pPr>
      <w:numPr>
        <w:ilvl w:val="2"/>
        <w:numId w:val="2"/>
      </w:numPr>
      <w:contextualSpacing/>
    </w:pPr>
  </w:style>
  <w:style w:type="numbering" w:customStyle="1" w:styleId="ListBullets">
    <w:name w:val="ListBullets"/>
    <w:uiPriority w:val="99"/>
    <w:rsid w:val="00D26A7F"/>
    <w:pPr>
      <w:numPr>
        <w:numId w:val="1"/>
      </w:numPr>
    </w:pPr>
  </w:style>
  <w:style w:type="paragraph" w:customStyle="1" w:styleId="Numberbullet0">
    <w:name w:val="Number bullet"/>
    <w:basedOn w:val="ListBullet"/>
    <w:uiPriority w:val="99"/>
    <w:qFormat/>
    <w:rsid w:val="00D26A7F"/>
    <w:pPr>
      <w:numPr>
        <w:numId w:val="4"/>
      </w:numPr>
      <w:ind w:left="360"/>
    </w:pPr>
  </w:style>
  <w:style w:type="paragraph" w:customStyle="1" w:styleId="Numberbullet2">
    <w:name w:val="Number bullet 2"/>
    <w:basedOn w:val="ListBullet2"/>
    <w:uiPriority w:val="99"/>
    <w:qFormat/>
    <w:rsid w:val="00D26A7F"/>
    <w:pPr>
      <w:numPr>
        <w:numId w:val="4"/>
      </w:numPr>
      <w:ind w:left="720"/>
    </w:pPr>
  </w:style>
  <w:style w:type="paragraph" w:customStyle="1" w:styleId="Numberbullet3">
    <w:name w:val="Number bullet 3"/>
    <w:basedOn w:val="ListBullet3"/>
    <w:uiPriority w:val="99"/>
    <w:qFormat/>
    <w:rsid w:val="00D26A7F"/>
    <w:pPr>
      <w:numPr>
        <w:numId w:val="4"/>
      </w:numPr>
      <w:ind w:left="1080"/>
    </w:pPr>
  </w:style>
  <w:style w:type="numbering" w:customStyle="1" w:styleId="NumberBullet">
    <w:name w:val="NumberBullet"/>
    <w:uiPriority w:val="99"/>
    <w:rsid w:val="00D26A7F"/>
    <w:pPr>
      <w:numPr>
        <w:numId w:val="3"/>
      </w:numPr>
    </w:pPr>
  </w:style>
  <w:style w:type="character" w:customStyle="1" w:styleId="Heading6Char">
    <w:name w:val="Heading 6 Char"/>
    <w:basedOn w:val="DefaultParagraphFont"/>
    <w:link w:val="Heading6"/>
    <w:rsid w:val="00D56026"/>
    <w:rPr>
      <w:rFonts w:ascii="Cambria" w:eastAsia="Times New Roman" w:hAnsi="Cambria" w:cs="Times New Roman"/>
      <w:i/>
      <w:iCs/>
      <w:color w:val="001523"/>
    </w:rPr>
  </w:style>
  <w:style w:type="paragraph" w:styleId="FootnoteText">
    <w:name w:val="footnote text"/>
    <w:basedOn w:val="Normal"/>
    <w:link w:val="FootnoteTextChar"/>
    <w:unhideWhenUsed/>
    <w:rsid w:val="00FE14B4"/>
    <w:pPr>
      <w:spacing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FE14B4"/>
    <w:rPr>
      <w:rFonts w:ascii="Times New Roman" w:eastAsia="Times New Roman" w:hAnsi="Times New Roman"/>
    </w:rPr>
  </w:style>
  <w:style w:type="character" w:styleId="FootnoteReference">
    <w:name w:val="footnote reference"/>
    <w:basedOn w:val="DefaultParagraphFont"/>
    <w:unhideWhenUsed/>
    <w:rsid w:val="00FE14B4"/>
    <w:rPr>
      <w:vertAlign w:val="superscript"/>
    </w:rPr>
  </w:style>
  <w:style w:type="paragraph" w:customStyle="1" w:styleId="Heading">
    <w:name w:val="Heading"/>
    <w:aliases w:val="general"/>
    <w:basedOn w:val="Heading9"/>
    <w:next w:val="Normal"/>
    <w:autoRedefine/>
    <w:rsid w:val="006F136E"/>
    <w:pPr>
      <w:keepNext/>
      <w:spacing w:before="0" w:after="240" w:line="240" w:lineRule="auto"/>
    </w:pPr>
    <w:rPr>
      <w:rFonts w:ascii="Times New Roman" w:hAnsi="Times New Roman" w:cs="Arial"/>
      <w:b/>
      <w:caps/>
      <w:sz w:val="24"/>
      <w:szCs w:val="24"/>
      <w:lang w:eastAsia="en-AU"/>
    </w:rPr>
  </w:style>
  <w:style w:type="paragraph" w:customStyle="1" w:styleId="AssessmentSection">
    <w:name w:val="Assessment Section"/>
    <w:basedOn w:val="Normal"/>
    <w:next w:val="Normal"/>
    <w:rsid w:val="006F136E"/>
    <w:pPr>
      <w:keepNext/>
      <w:spacing w:after="240" w:line="240" w:lineRule="auto"/>
      <w:outlineLvl w:val="1"/>
    </w:pPr>
    <w:rPr>
      <w:rFonts w:ascii="Times New Roman" w:eastAsia="Times New Roman" w:hAnsi="Times New Roman"/>
      <w:b/>
      <w:sz w:val="24"/>
      <w:szCs w:val="24"/>
    </w:rPr>
  </w:style>
  <w:style w:type="character" w:customStyle="1" w:styleId="Heading9Char">
    <w:name w:val="Heading 9 Char"/>
    <w:basedOn w:val="DefaultParagraphFont"/>
    <w:link w:val="Heading9"/>
    <w:uiPriority w:val="9"/>
    <w:semiHidden/>
    <w:rsid w:val="006F136E"/>
    <w:rPr>
      <w:rFonts w:ascii="Cambria" w:eastAsia="Times New Roman" w:hAnsi="Cambria" w:cs="Times New Roman"/>
      <w:sz w:val="22"/>
      <w:szCs w:val="22"/>
      <w:lang w:eastAsia="en-US"/>
    </w:rPr>
  </w:style>
  <w:style w:type="character" w:styleId="CommentReference">
    <w:name w:val="annotation reference"/>
    <w:basedOn w:val="DefaultParagraphFont"/>
    <w:semiHidden/>
    <w:unhideWhenUsed/>
    <w:rsid w:val="00753034"/>
    <w:rPr>
      <w:sz w:val="16"/>
      <w:szCs w:val="16"/>
    </w:rPr>
  </w:style>
  <w:style w:type="paragraph" w:customStyle="1" w:styleId="Default">
    <w:name w:val="Default"/>
    <w:rsid w:val="00750A10"/>
    <w:pPr>
      <w:tabs>
        <w:tab w:val="left" w:pos="720"/>
      </w:tabs>
      <w:autoSpaceDE w:val="0"/>
      <w:autoSpaceDN w:val="0"/>
      <w:adjustRightInd w:val="0"/>
    </w:pPr>
    <w:rPr>
      <w:rFonts w:ascii="Times New Roman" w:eastAsia="Times New Roman" w:hAnsi="Times New Roman" w:cs="Times New Roman"/>
      <w:color w:val="000000"/>
      <w:sz w:val="24"/>
      <w:szCs w:val="24"/>
    </w:rPr>
  </w:style>
  <w:style w:type="character" w:customStyle="1" w:styleId="st1">
    <w:name w:val="st1"/>
    <w:basedOn w:val="DefaultParagraphFont"/>
    <w:rsid w:val="008877BB"/>
  </w:style>
  <w:style w:type="paragraph" w:customStyle="1" w:styleId="p2">
    <w:name w:val="p2"/>
    <w:basedOn w:val="Normal"/>
    <w:rsid w:val="00B766D3"/>
    <w:pPr>
      <w:spacing w:after="0" w:line="240" w:lineRule="auto"/>
    </w:pPr>
    <w:rPr>
      <w:rFonts w:ascii="Verdana" w:eastAsia="Times New Roman" w:hAnsi="Verdana" w:cs="Times New Roman"/>
      <w:sz w:val="11"/>
      <w:szCs w:val="11"/>
      <w:lang w:eastAsia="en-AU"/>
    </w:rPr>
  </w:style>
  <w:style w:type="character" w:customStyle="1" w:styleId="s2">
    <w:name w:val="s2"/>
    <w:basedOn w:val="DefaultParagraphFont"/>
    <w:rsid w:val="00B766D3"/>
    <w:rPr>
      <w:color w:val="00CC00"/>
    </w:rPr>
  </w:style>
  <w:style w:type="character" w:customStyle="1" w:styleId="s3">
    <w:name w:val="s3"/>
    <w:basedOn w:val="DefaultParagraphFont"/>
    <w:rsid w:val="00B766D3"/>
    <w:rPr>
      <w:color w:val="E4B900"/>
    </w:rPr>
  </w:style>
  <w:style w:type="character" w:styleId="Strong">
    <w:name w:val="Strong"/>
    <w:basedOn w:val="DefaultParagraphFont"/>
    <w:uiPriority w:val="22"/>
    <w:qFormat/>
    <w:rsid w:val="00A87163"/>
    <w:rPr>
      <w:b/>
      <w:bCs/>
    </w:rPr>
  </w:style>
  <w:style w:type="paragraph" w:styleId="EndnoteText">
    <w:name w:val="endnote text"/>
    <w:basedOn w:val="Normal"/>
    <w:link w:val="EndnoteTextChar"/>
    <w:uiPriority w:val="99"/>
    <w:semiHidden/>
    <w:unhideWhenUsed/>
    <w:rsid w:val="00FE53A7"/>
    <w:rPr>
      <w:sz w:val="20"/>
      <w:szCs w:val="20"/>
    </w:rPr>
  </w:style>
  <w:style w:type="character" w:customStyle="1" w:styleId="EndnoteTextChar">
    <w:name w:val="Endnote Text Char"/>
    <w:basedOn w:val="DefaultParagraphFont"/>
    <w:link w:val="EndnoteText"/>
    <w:uiPriority w:val="99"/>
    <w:semiHidden/>
    <w:rsid w:val="00FE53A7"/>
    <w:rPr>
      <w:lang w:eastAsia="en-US"/>
    </w:rPr>
  </w:style>
  <w:style w:type="character" w:styleId="EndnoteReference">
    <w:name w:val="endnote reference"/>
    <w:basedOn w:val="DefaultParagraphFont"/>
    <w:uiPriority w:val="99"/>
    <w:semiHidden/>
    <w:unhideWhenUsed/>
    <w:rsid w:val="00FE53A7"/>
    <w:rPr>
      <w:vertAlign w:val="superscript"/>
    </w:rPr>
  </w:style>
  <w:style w:type="paragraph" w:styleId="NormalWeb">
    <w:name w:val="Normal (Web)"/>
    <w:basedOn w:val="Normal"/>
    <w:uiPriority w:val="99"/>
    <w:semiHidden/>
    <w:unhideWhenUsed/>
    <w:rsid w:val="00666CD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ECHeading4withnumbering">
    <w:name w:val="ADEC Heading 4 with numbering"/>
    <w:basedOn w:val="Heading3"/>
    <w:rsid w:val="00666CD3"/>
    <w:pPr>
      <w:keepLines w:val="0"/>
      <w:numPr>
        <w:ilvl w:val="2"/>
        <w:numId w:val="11"/>
      </w:numPr>
      <w:spacing w:after="240" w:line="240" w:lineRule="auto"/>
    </w:pPr>
    <w:rPr>
      <w:rFonts w:cs="Arial"/>
      <w:b w:val="0"/>
      <w:bCs w:val="0"/>
      <w:i/>
      <w:iCs/>
      <w:sz w:val="24"/>
      <w:szCs w:val="24"/>
      <w:lang w:val="en-GB" w:eastAsia="en-AU"/>
    </w:rPr>
  </w:style>
  <w:style w:type="paragraph" w:styleId="ListParagraph">
    <w:name w:val="List Paragraph"/>
    <w:basedOn w:val="Normal"/>
    <w:uiPriority w:val="34"/>
    <w:rsid w:val="00666CD3"/>
    <w:pPr>
      <w:adjustRightInd w:val="0"/>
      <w:snapToGrid w:val="0"/>
      <w:spacing w:after="0"/>
      <w:ind w:left="720"/>
      <w:contextualSpacing/>
    </w:pPr>
    <w:rPr>
      <w:rFonts w:eastAsia="MS Mincho" w:cs="Times New Roman"/>
      <w:szCs w:val="20"/>
      <w:lang w:eastAsia="ja-JP"/>
    </w:rPr>
  </w:style>
  <w:style w:type="paragraph" w:customStyle="1" w:styleId="Bullet1">
    <w:name w:val="Bullet 1"/>
    <w:basedOn w:val="Normal"/>
    <w:rsid w:val="00821E37"/>
    <w:pPr>
      <w:numPr>
        <w:numId w:val="14"/>
      </w:numPr>
      <w:spacing w:before="120" w:after="0" w:line="240" w:lineRule="auto"/>
    </w:pPr>
    <w:rPr>
      <w:rFonts w:ascii="Times New Roman" w:eastAsia="Times New Roman" w:hAnsi="Times New Roman" w:cs="Times New Roman"/>
      <w:kern w:val="24"/>
      <w:sz w:val="24"/>
      <w:szCs w:val="24"/>
      <w:lang w:eastAsia="en-AU"/>
    </w:rPr>
  </w:style>
  <w:style w:type="paragraph" w:customStyle="1" w:styleId="Heading0inTOC">
    <w:name w:val="Heading 0 (in TOC)"/>
    <w:basedOn w:val="Heading1"/>
    <w:next w:val="Normal"/>
    <w:rsid w:val="00B509E8"/>
    <w:pPr>
      <w:keepLines w:val="0"/>
      <w:spacing w:after="120" w:line="240" w:lineRule="auto"/>
    </w:pPr>
    <w:rPr>
      <w:bCs w:val="0"/>
      <w:kern w:val="16"/>
      <w:sz w:val="28"/>
      <w:szCs w:val="24"/>
      <w:lang w:eastAsia="en-AU"/>
    </w:rPr>
  </w:style>
  <w:style w:type="character" w:customStyle="1" w:styleId="citation">
    <w:name w:val="citation"/>
    <w:basedOn w:val="DefaultParagraphFont"/>
    <w:rsid w:val="00BF6068"/>
  </w:style>
  <w:style w:type="paragraph" w:styleId="CommentText">
    <w:name w:val="annotation text"/>
    <w:basedOn w:val="Normal"/>
    <w:link w:val="CommentTextChar"/>
    <w:uiPriority w:val="99"/>
    <w:semiHidden/>
    <w:unhideWhenUsed/>
    <w:rsid w:val="001969CA"/>
    <w:rPr>
      <w:sz w:val="20"/>
      <w:szCs w:val="20"/>
    </w:rPr>
  </w:style>
  <w:style w:type="character" w:customStyle="1" w:styleId="CommentTextChar">
    <w:name w:val="Comment Text Char"/>
    <w:basedOn w:val="DefaultParagraphFont"/>
    <w:link w:val="CommentText"/>
    <w:uiPriority w:val="99"/>
    <w:semiHidden/>
    <w:rsid w:val="001969CA"/>
    <w:rPr>
      <w:lang w:eastAsia="en-US"/>
    </w:rPr>
  </w:style>
  <w:style w:type="paragraph" w:styleId="CommentSubject">
    <w:name w:val="annotation subject"/>
    <w:basedOn w:val="CommentText"/>
    <w:next w:val="CommentText"/>
    <w:link w:val="CommentSubjectChar"/>
    <w:uiPriority w:val="99"/>
    <w:semiHidden/>
    <w:unhideWhenUsed/>
    <w:rsid w:val="001969CA"/>
    <w:rPr>
      <w:b/>
      <w:bCs/>
    </w:rPr>
  </w:style>
  <w:style w:type="character" w:customStyle="1" w:styleId="CommentSubjectChar">
    <w:name w:val="Comment Subject Char"/>
    <w:basedOn w:val="CommentTextChar"/>
    <w:link w:val="CommentSubject"/>
    <w:uiPriority w:val="99"/>
    <w:semiHidden/>
    <w:rsid w:val="001969CA"/>
    <w:rPr>
      <w:b/>
      <w:bCs/>
      <w:lang w:eastAsia="en-US"/>
    </w:rPr>
  </w:style>
  <w:style w:type="paragraph" w:styleId="Revision">
    <w:name w:val="Revision"/>
    <w:hidden/>
    <w:uiPriority w:val="99"/>
    <w:semiHidden/>
    <w:rsid w:val="005C0074"/>
    <w:rPr>
      <w:sz w:val="22"/>
      <w:szCs w:val="22"/>
      <w:lang w:eastAsia="en-US"/>
    </w:rPr>
  </w:style>
  <w:style w:type="character" w:styleId="FollowedHyperlink">
    <w:name w:val="FollowedHyperlink"/>
    <w:basedOn w:val="DefaultParagraphFont"/>
    <w:uiPriority w:val="99"/>
    <w:semiHidden/>
    <w:unhideWhenUsed/>
    <w:rsid w:val="00A55F25"/>
    <w:rPr>
      <w:color w:val="800080" w:themeColor="followedHyperlink"/>
      <w:u w:val="single"/>
    </w:rPr>
  </w:style>
  <w:style w:type="character" w:customStyle="1" w:styleId="Heading7Char">
    <w:name w:val="Heading 7 Char"/>
    <w:basedOn w:val="DefaultParagraphFont"/>
    <w:link w:val="Heading7"/>
    <w:uiPriority w:val="9"/>
    <w:rsid w:val="00FA59FB"/>
    <w:rPr>
      <w:rFonts w:asciiTheme="majorHAnsi" w:eastAsiaTheme="majorEastAsia" w:hAnsiTheme="majorHAnsi" w:cstheme="majorBidi"/>
      <w:i/>
      <w:iCs/>
      <w:color w:val="404040" w:themeColor="text1" w:themeTint="BF"/>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A27B0"/>
    <w:pPr>
      <w:spacing w:after="120" w:line="240" w:lineRule="atLeast"/>
    </w:pPr>
    <w:rPr>
      <w:sz w:val="22"/>
      <w:szCs w:val="22"/>
      <w:lang w:eastAsia="en-US"/>
    </w:rPr>
  </w:style>
  <w:style w:type="paragraph" w:styleId="Heading1">
    <w:name w:val="heading 1"/>
    <w:basedOn w:val="Normal"/>
    <w:next w:val="Normal"/>
    <w:link w:val="Heading1Char"/>
    <w:qFormat/>
    <w:rsid w:val="00930237"/>
    <w:pPr>
      <w:keepNext/>
      <w:keepLines/>
      <w:spacing w:after="360"/>
      <w:outlineLvl w:val="0"/>
    </w:pPr>
    <w:rPr>
      <w:rFonts w:ascii="Arial" w:eastAsia="Times New Roman" w:hAnsi="Arial" w:cs="Times New Roman"/>
      <w:b/>
      <w:bCs/>
      <w:sz w:val="64"/>
      <w:szCs w:val="28"/>
    </w:rPr>
  </w:style>
  <w:style w:type="paragraph" w:styleId="Heading2">
    <w:name w:val="heading 2"/>
    <w:basedOn w:val="Normal"/>
    <w:next w:val="Normal"/>
    <w:link w:val="Heading2Char"/>
    <w:qFormat/>
    <w:rsid w:val="00930237"/>
    <w:pPr>
      <w:keepNext/>
      <w:keepLines/>
      <w:spacing w:after="240"/>
      <w:outlineLvl w:val="1"/>
    </w:pPr>
    <w:rPr>
      <w:rFonts w:ascii="Arial" w:eastAsia="Times New Roman" w:hAnsi="Arial" w:cs="Times New Roman"/>
      <w:b/>
      <w:bCs/>
      <w:sz w:val="32"/>
      <w:szCs w:val="26"/>
    </w:rPr>
  </w:style>
  <w:style w:type="paragraph" w:styleId="Heading3">
    <w:name w:val="heading 3"/>
    <w:basedOn w:val="Normal"/>
    <w:next w:val="Normal"/>
    <w:link w:val="Heading3Char"/>
    <w:qFormat/>
    <w:rsid w:val="00D56026"/>
    <w:pPr>
      <w:keepNext/>
      <w:keepLines/>
      <w:spacing w:line="220" w:lineRule="atLeast"/>
      <w:outlineLvl w:val="2"/>
    </w:pPr>
    <w:rPr>
      <w:rFonts w:ascii="Arial" w:eastAsia="Times New Roman" w:hAnsi="Arial" w:cs="Times New Roman"/>
      <w:b/>
      <w:bCs/>
    </w:rPr>
  </w:style>
  <w:style w:type="paragraph" w:styleId="Heading4">
    <w:name w:val="heading 4"/>
    <w:basedOn w:val="Normal"/>
    <w:next w:val="Normal"/>
    <w:link w:val="Heading4Char"/>
    <w:qFormat/>
    <w:rsid w:val="00D56026"/>
    <w:pPr>
      <w:spacing w:line="220" w:lineRule="atLeast"/>
      <w:outlineLvl w:val="3"/>
    </w:pPr>
    <w:rPr>
      <w:b/>
    </w:rPr>
  </w:style>
  <w:style w:type="paragraph" w:styleId="Heading5">
    <w:name w:val="heading 5"/>
    <w:basedOn w:val="Normal"/>
    <w:next w:val="Normal"/>
    <w:link w:val="Heading5Char"/>
    <w:qFormat/>
    <w:rsid w:val="00D56026"/>
    <w:pPr>
      <w:keepNext/>
      <w:keepLines/>
      <w:spacing w:line="220" w:lineRule="atLeast"/>
      <w:outlineLvl w:val="4"/>
    </w:pPr>
    <w:rPr>
      <w:rFonts w:eastAsia="Times New Roman" w:cs="Times New Roman"/>
      <w:b/>
      <w:i/>
      <w:color w:val="001523"/>
    </w:rPr>
  </w:style>
  <w:style w:type="paragraph" w:styleId="Heading6">
    <w:name w:val="heading 6"/>
    <w:basedOn w:val="Normal"/>
    <w:next w:val="Normal"/>
    <w:link w:val="Heading6Char"/>
    <w:qFormat/>
    <w:rsid w:val="00D56026"/>
    <w:pPr>
      <w:keepNext/>
      <w:keepLines/>
      <w:spacing w:line="220" w:lineRule="atLeast"/>
      <w:outlineLvl w:val="5"/>
    </w:pPr>
    <w:rPr>
      <w:rFonts w:eastAsia="Times New Roman" w:cs="Times New Roman"/>
      <w:i/>
      <w:iCs/>
      <w:color w:val="001523"/>
    </w:rPr>
  </w:style>
  <w:style w:type="paragraph" w:styleId="Heading9">
    <w:name w:val="heading 9"/>
    <w:basedOn w:val="Normal"/>
    <w:next w:val="Normal"/>
    <w:link w:val="Heading9Char"/>
    <w:uiPriority w:val="9"/>
    <w:semiHidden/>
    <w:unhideWhenUsed/>
    <w:qFormat/>
    <w:rsid w:val="006F136E"/>
    <w:pPr>
      <w:spacing w:before="240" w:after="60"/>
      <w:outlineLvl w:val="8"/>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Arial" w:eastAsia="Times New Roman" w:hAnsi="Arial" w:cs="Times New Roman"/>
      <w:b/>
      <w:bCs/>
      <w:sz w:val="64"/>
      <w:szCs w:val="28"/>
    </w:rPr>
  </w:style>
  <w:style w:type="character" w:customStyle="1" w:styleId="Heading2Char">
    <w:name w:val="Heading 2 Char"/>
    <w:basedOn w:val="DefaultParagraphFont"/>
    <w:link w:val="Heading2"/>
    <w:rsid w:val="00930237"/>
    <w:rPr>
      <w:rFonts w:ascii="Arial" w:eastAsia="Times New Roman" w:hAnsi="Arial" w:cs="Times New Roman"/>
      <w:b/>
      <w:bCs/>
      <w:sz w:val="32"/>
      <w:szCs w:val="26"/>
    </w:rPr>
  </w:style>
  <w:style w:type="character" w:customStyle="1" w:styleId="Heading3Char">
    <w:name w:val="Heading 3 Char"/>
    <w:basedOn w:val="DefaultParagraphFont"/>
    <w:link w:val="Heading3"/>
    <w:rsid w:val="00D56026"/>
    <w:rPr>
      <w:rFonts w:ascii="Arial" w:eastAsia="Times New Roman" w:hAnsi="Arial" w:cs="Times New Roman"/>
      <w:b/>
      <w:bCs/>
    </w:rPr>
  </w:style>
  <w:style w:type="paragraph" w:customStyle="1" w:styleId="TableTitle">
    <w:name w:val="Table Title"/>
    <w:basedOn w:val="Normal"/>
    <w:uiPriority w:val="99"/>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D26A7F"/>
    <w:pPr>
      <w:numPr>
        <w:numId w:val="2"/>
      </w:numPr>
      <w:spacing w:after="160"/>
    </w:pPr>
  </w:style>
  <w:style w:type="paragraph" w:styleId="ListBullet2">
    <w:name w:val="List Bullet 2"/>
    <w:basedOn w:val="Normal"/>
    <w:uiPriority w:val="99"/>
    <w:qFormat/>
    <w:rsid w:val="00D26A7F"/>
    <w:pPr>
      <w:numPr>
        <w:ilvl w:val="1"/>
        <w:numId w:val="2"/>
      </w:numPr>
      <w:contextualSpacing/>
    </w:pPr>
  </w:style>
  <w:style w:type="paragraph" w:customStyle="1" w:styleId="Reference">
    <w:name w:val="Reference"/>
    <w:basedOn w:val="Normal"/>
    <w:rsid w:val="00F02EFC"/>
    <w:pPr>
      <w:spacing w:before="40" w:after="0" w:line="180" w:lineRule="atLeast"/>
      <w:ind w:left="170" w:hanging="170"/>
    </w:pPr>
    <w:rPr>
      <w:sz w:val="19"/>
    </w:rPr>
  </w:style>
  <w:style w:type="table" w:styleId="TableGrid">
    <w:name w:val="Table Grid"/>
    <w:basedOn w:val="TableNormal"/>
    <w:uiPriority w:val="59"/>
    <w:rsid w:val="00C4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D56026"/>
    <w:rPr>
      <w:rFonts w:ascii="Cambria" w:hAnsi="Cambria"/>
      <w:b/>
    </w:rPr>
  </w:style>
  <w:style w:type="paragraph" w:customStyle="1" w:styleId="HeaderNoLine">
    <w:name w:val="Header No Line"/>
    <w:basedOn w:val="Header"/>
    <w:uiPriority w:val="99"/>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uiPriority w:val="99"/>
    <w:qFormat/>
    <w:rsid w:val="00A47AF7"/>
    <w:rPr>
      <w:b/>
      <w:color w:val="FFFFFF"/>
    </w:rPr>
  </w:style>
  <w:style w:type="paragraph" w:customStyle="1" w:styleId="TGASignoff">
    <w:name w:val="TGA Signoff"/>
    <w:basedOn w:val="Normal"/>
    <w:uiPriority w:val="99"/>
    <w:qFormat/>
    <w:rsid w:val="000D4FC7"/>
    <w:pPr>
      <w:jc w:val="center"/>
    </w:pPr>
    <w:rPr>
      <w:rFonts w:ascii="Arial" w:hAnsi="Arial"/>
      <w:b/>
      <w:sz w:val="28"/>
    </w:rPr>
  </w:style>
  <w:style w:type="paragraph" w:styleId="Caption">
    <w:name w:val="caption"/>
    <w:basedOn w:val="Normal"/>
    <w:next w:val="Normal"/>
    <w:qFormat/>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sz w:val="28"/>
      <w:lang w:val="en-US"/>
    </w:rPr>
  </w:style>
  <w:style w:type="paragraph" w:styleId="TOC1">
    <w:name w:val="toc 1"/>
    <w:basedOn w:val="Normal"/>
    <w:next w:val="Normal"/>
    <w:uiPriority w:val="39"/>
    <w:unhideWhenUsed/>
    <w:rsid w:val="00006B22"/>
    <w:pPr>
      <w:tabs>
        <w:tab w:val="right" w:pos="8505"/>
      </w:tabs>
      <w:spacing w:after="200"/>
    </w:pPr>
    <w:rPr>
      <w:rFonts w:ascii="Arial" w:hAnsi="Arial"/>
      <w:b/>
      <w:sz w:val="32"/>
    </w:rPr>
  </w:style>
  <w:style w:type="paragraph" w:styleId="TOC2">
    <w:name w:val="toc 2"/>
    <w:basedOn w:val="Normal"/>
    <w:next w:val="Normal"/>
    <w:uiPriority w:val="39"/>
    <w:unhideWhenUsed/>
    <w:rsid w:val="00006B22"/>
    <w:pPr>
      <w:tabs>
        <w:tab w:val="right" w:leader="underscore" w:pos="8505"/>
      </w:tabs>
      <w:spacing w:after="100"/>
      <w:ind w:left="624"/>
    </w:pPr>
    <w:rPr>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rsid w:val="00D56026"/>
    <w:rPr>
      <w:rFonts w:ascii="Cambria" w:eastAsia="Times New Roman" w:hAnsi="Cambria" w:cs="Times New Roman"/>
      <w:b/>
      <w:i/>
      <w:color w:val="001523"/>
    </w:rPr>
  </w:style>
  <w:style w:type="table" w:customStyle="1" w:styleId="TableTGA1">
    <w:name w:val="Table_TGA_1"/>
    <w:basedOn w:val="TableNormal"/>
    <w:uiPriority w:val="99"/>
    <w:rsid w:val="00F14B27"/>
    <w:rPr>
      <w:rFonts w:ascii="Minion Pro" w:hAnsi="Minion Pro"/>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LegalCopy">
    <w:name w:val="Legal Copy"/>
    <w:basedOn w:val="Footer"/>
    <w:uiPriority w:val="99"/>
    <w:qFormat/>
    <w:rsid w:val="001F6CBA"/>
  </w:style>
  <w:style w:type="paragraph" w:customStyle="1" w:styleId="FlowChartWhiteHeading">
    <w:name w:val="Flow Chart White Heading"/>
    <w:basedOn w:val="Normal"/>
    <w:uiPriority w:val="99"/>
    <w:rsid w:val="00311AC0"/>
    <w:pPr>
      <w:spacing w:after="0"/>
      <w:jc w:val="center"/>
    </w:pPr>
    <w:rPr>
      <w:b/>
      <w:color w:val="FFFFFF"/>
    </w:rPr>
  </w:style>
  <w:style w:type="paragraph" w:customStyle="1" w:styleId="FlowChartWhiteText">
    <w:name w:val="Flow Chart White Text"/>
    <w:basedOn w:val="Normal"/>
    <w:uiPriority w:val="99"/>
    <w:rsid w:val="00311AC0"/>
    <w:pPr>
      <w:spacing w:after="0"/>
      <w:jc w:val="center"/>
    </w:pPr>
    <w:rPr>
      <w:color w:val="FFFFFF"/>
    </w:rPr>
  </w:style>
  <w:style w:type="paragraph" w:customStyle="1" w:styleId="FlowChartBlackHeading">
    <w:name w:val="Flow Chart Black Heading"/>
    <w:basedOn w:val="FlowChartWhiteHeading"/>
    <w:uiPriority w:val="99"/>
    <w:rsid w:val="00664A5B"/>
    <w:rPr>
      <w:color w:val="auto"/>
    </w:rPr>
  </w:style>
  <w:style w:type="paragraph" w:customStyle="1" w:styleId="FlowchartText">
    <w:name w:val="Flowchart Text"/>
    <w:basedOn w:val="Normal"/>
    <w:uiPriority w:val="99"/>
    <w:rsid w:val="001516B1"/>
    <w:pPr>
      <w:spacing w:after="240"/>
      <w:jc w:val="center"/>
    </w:pPr>
  </w:style>
  <w:style w:type="paragraph" w:customStyle="1" w:styleId="NonTOCHeading2">
    <w:name w:val="Non TOC Heading 2"/>
    <w:basedOn w:val="Normal"/>
    <w:uiPriority w:val="99"/>
    <w:qFormat/>
    <w:rsid w:val="00FF2126"/>
    <w:pPr>
      <w:spacing w:after="240"/>
    </w:pPr>
    <w:rPr>
      <w:rFonts w:ascii="Arial" w:hAnsi="Arial"/>
      <w:b/>
      <w:sz w:val="32"/>
    </w:rPr>
  </w:style>
  <w:style w:type="paragraph" w:customStyle="1" w:styleId="Contents">
    <w:name w:val="Contents"/>
    <w:basedOn w:val="Normal"/>
    <w:uiPriority w:val="99"/>
    <w:rsid w:val="00FF2126"/>
    <w:pPr>
      <w:spacing w:after="360"/>
    </w:pPr>
    <w:rPr>
      <w:rFonts w:ascii="Arial" w:hAnsi="Arial"/>
      <w:b/>
      <w:sz w:val="64"/>
    </w:rPr>
  </w:style>
  <w:style w:type="paragraph" w:customStyle="1" w:styleId="LegalSubheading">
    <w:name w:val="Legal Subheading"/>
    <w:basedOn w:val="Footer"/>
    <w:uiPriority w:val="99"/>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sz w:val="21"/>
    </w:rPr>
  </w:style>
  <w:style w:type="paragraph" w:customStyle="1" w:styleId="Address">
    <w:name w:val="Address"/>
    <w:basedOn w:val="Normal"/>
    <w:uiPriority w:val="99"/>
    <w:qFormat/>
    <w:rsid w:val="00A36FA7"/>
    <w:pPr>
      <w:spacing w:after="0" w:line="280" w:lineRule="atLeast"/>
      <w:jc w:val="center"/>
    </w:pPr>
    <w:rPr>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D56026"/>
    <w:pPr>
      <w:spacing w:line="220" w:lineRule="atLeast"/>
    </w:pPr>
    <w:rPr>
      <w:b/>
    </w:rPr>
  </w:style>
  <w:style w:type="paragraph" w:styleId="Title">
    <w:name w:val="Title"/>
    <w:basedOn w:val="Normal"/>
    <w:next w:val="Normal"/>
    <w:link w:val="TitleChar"/>
    <w:uiPriority w:val="10"/>
    <w:rsid w:val="0014197B"/>
    <w:pPr>
      <w:spacing w:after="60"/>
      <w:contextualSpacing/>
    </w:pPr>
    <w:rPr>
      <w:rFonts w:ascii="Arial" w:eastAsia="Times New Roman" w:hAnsi="Arial" w:cs="Times New Roman"/>
      <w:color w:val="002C47"/>
      <w:spacing w:val="5"/>
      <w:kern w:val="28"/>
      <w:sz w:val="52"/>
      <w:szCs w:val="52"/>
    </w:rPr>
  </w:style>
  <w:style w:type="character" w:customStyle="1" w:styleId="TitleChar">
    <w:name w:val="Title Char"/>
    <w:basedOn w:val="DefaultParagraphFont"/>
    <w:link w:val="Title"/>
    <w:uiPriority w:val="10"/>
    <w:rsid w:val="0014197B"/>
    <w:rPr>
      <w:rFonts w:ascii="Arial" w:eastAsia="Times New Roman" w:hAnsi="Arial" w:cs="Times New Roman"/>
      <w:color w:val="002C47"/>
      <w:spacing w:val="5"/>
      <w:kern w:val="28"/>
      <w:sz w:val="52"/>
      <w:szCs w:val="52"/>
    </w:rPr>
  </w:style>
  <w:style w:type="paragraph" w:customStyle="1" w:styleId="TableCaption">
    <w:name w:val="Table Caption"/>
    <w:basedOn w:val="FigureCaption"/>
    <w:uiPriority w:val="99"/>
    <w:qFormat/>
    <w:rsid w:val="00BC622A"/>
  </w:style>
  <w:style w:type="paragraph" w:customStyle="1" w:styleId="TableHeading2">
    <w:name w:val="Table Heading 2"/>
    <w:basedOn w:val="Normal"/>
    <w:uiPriority w:val="99"/>
    <w:qFormat/>
    <w:rsid w:val="00A47AF7"/>
    <w:rPr>
      <w:b/>
    </w:rPr>
  </w:style>
  <w:style w:type="table" w:customStyle="1" w:styleId="TableTGA2">
    <w:name w:val="Table_TGA_2"/>
    <w:basedOn w:val="TableNormal"/>
    <w:uiPriority w:val="99"/>
    <w:qFormat/>
    <w:rsid w:val="009B1D12"/>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customStyle="1" w:styleId="Notes">
    <w:name w:val="Notes"/>
    <w:basedOn w:val="Normal"/>
    <w:uiPriority w:val="99"/>
    <w:qFormat/>
    <w:rsid w:val="00BF046D"/>
    <w:pPr>
      <w:spacing w:after="0" w:line="240" w:lineRule="auto"/>
    </w:pPr>
    <w:rPr>
      <w:rFonts w:ascii="Arial" w:hAnsi="Arial"/>
      <w:sz w:val="16"/>
    </w:rPr>
  </w:style>
  <w:style w:type="paragraph" w:customStyle="1" w:styleId="AxisLabel">
    <w:name w:val="Axis Label"/>
    <w:basedOn w:val="Normal"/>
    <w:uiPriority w:val="99"/>
    <w:qFormat/>
    <w:rsid w:val="00BF046D"/>
    <w:pPr>
      <w:spacing w:after="0" w:line="240" w:lineRule="auto"/>
    </w:pPr>
    <w:rPr>
      <w:rFonts w:ascii="Arial" w:hAnsi="Arial"/>
      <w:noProof/>
      <w:sz w:val="14"/>
      <w:lang w:eastAsia="en-AU"/>
    </w:rPr>
  </w:style>
  <w:style w:type="paragraph" w:customStyle="1" w:styleId="AxisTitle">
    <w:name w:val="Axis Title"/>
    <w:basedOn w:val="Normal"/>
    <w:uiPriority w:val="99"/>
    <w:qFormat/>
    <w:rsid w:val="00BF046D"/>
    <w:pPr>
      <w:spacing w:after="0" w:line="240" w:lineRule="auto"/>
    </w:pPr>
    <w:rPr>
      <w:rFonts w:ascii="Arial" w:hAnsi="Arial"/>
      <w:sz w:val="16"/>
    </w:rPr>
  </w:style>
  <w:style w:type="paragraph" w:customStyle="1" w:styleId="Key">
    <w:name w:val="Key"/>
    <w:basedOn w:val="Normal"/>
    <w:uiPriority w:val="99"/>
    <w:qFormat/>
    <w:rsid w:val="00BE79F0"/>
    <w:rPr>
      <w:sz w:val="14"/>
    </w:rPr>
  </w:style>
  <w:style w:type="paragraph" w:styleId="Subtitle">
    <w:name w:val="Subtitle"/>
    <w:basedOn w:val="Normal"/>
    <w:next w:val="Normal"/>
    <w:link w:val="SubtitleChar"/>
    <w:uiPriority w:val="11"/>
    <w:rsid w:val="00B76B91"/>
    <w:pPr>
      <w:numPr>
        <w:ilvl w:val="1"/>
      </w:numPr>
      <w:spacing w:after="360"/>
    </w:pPr>
    <w:rPr>
      <w:rFonts w:ascii="Arial" w:eastAsia="Times New Roman" w:hAnsi="Arial" w:cs="Times New Roman"/>
      <w:iCs/>
      <w:color w:val="006DA7"/>
      <w:sz w:val="40"/>
      <w:szCs w:val="24"/>
    </w:rPr>
  </w:style>
  <w:style w:type="character" w:customStyle="1" w:styleId="SubtitleChar">
    <w:name w:val="Subtitle Char"/>
    <w:basedOn w:val="DefaultParagraphFont"/>
    <w:link w:val="Subtitle"/>
    <w:uiPriority w:val="11"/>
    <w:rsid w:val="00B76B91"/>
    <w:rPr>
      <w:rFonts w:ascii="Arial" w:eastAsia="Times New Roman" w:hAnsi="Arial" w:cs="Times New Roman"/>
      <w:iCs/>
      <w:color w:val="006DA7"/>
      <w:sz w:val="40"/>
      <w:szCs w:val="24"/>
    </w:rPr>
  </w:style>
  <w:style w:type="character" w:styleId="Hyperlink">
    <w:name w:val="Hyperlink"/>
    <w:basedOn w:val="DefaultParagraphFont"/>
    <w:uiPriority w:val="99"/>
    <w:unhideWhenUsed/>
    <w:rsid w:val="007A19BE"/>
    <w:rPr>
      <w:color w:val="50555C"/>
      <w:u w:val="single"/>
    </w:rPr>
  </w:style>
  <w:style w:type="paragraph" w:styleId="ListBullet3">
    <w:name w:val="List Bullet 3"/>
    <w:basedOn w:val="Normal"/>
    <w:uiPriority w:val="99"/>
    <w:unhideWhenUsed/>
    <w:qFormat/>
    <w:rsid w:val="00D26A7F"/>
    <w:pPr>
      <w:numPr>
        <w:ilvl w:val="2"/>
        <w:numId w:val="2"/>
      </w:numPr>
      <w:contextualSpacing/>
    </w:pPr>
  </w:style>
  <w:style w:type="numbering" w:customStyle="1" w:styleId="ListBullets">
    <w:name w:val="ListBullets"/>
    <w:uiPriority w:val="99"/>
    <w:rsid w:val="00D26A7F"/>
    <w:pPr>
      <w:numPr>
        <w:numId w:val="1"/>
      </w:numPr>
    </w:pPr>
  </w:style>
  <w:style w:type="paragraph" w:customStyle="1" w:styleId="Numberbullet0">
    <w:name w:val="Number bullet"/>
    <w:basedOn w:val="ListBullet"/>
    <w:uiPriority w:val="99"/>
    <w:qFormat/>
    <w:rsid w:val="00D26A7F"/>
    <w:pPr>
      <w:numPr>
        <w:numId w:val="4"/>
      </w:numPr>
      <w:ind w:left="360"/>
    </w:pPr>
  </w:style>
  <w:style w:type="paragraph" w:customStyle="1" w:styleId="Numberbullet2">
    <w:name w:val="Number bullet 2"/>
    <w:basedOn w:val="ListBullet2"/>
    <w:uiPriority w:val="99"/>
    <w:qFormat/>
    <w:rsid w:val="00D26A7F"/>
    <w:pPr>
      <w:numPr>
        <w:numId w:val="4"/>
      </w:numPr>
      <w:ind w:left="720"/>
    </w:pPr>
  </w:style>
  <w:style w:type="paragraph" w:customStyle="1" w:styleId="Numberbullet3">
    <w:name w:val="Number bullet 3"/>
    <w:basedOn w:val="ListBullet3"/>
    <w:uiPriority w:val="99"/>
    <w:qFormat/>
    <w:rsid w:val="00D26A7F"/>
    <w:pPr>
      <w:numPr>
        <w:numId w:val="4"/>
      </w:numPr>
      <w:ind w:left="1080"/>
    </w:pPr>
  </w:style>
  <w:style w:type="numbering" w:customStyle="1" w:styleId="NumberBullet">
    <w:name w:val="NumberBullet"/>
    <w:uiPriority w:val="99"/>
    <w:rsid w:val="00D26A7F"/>
    <w:pPr>
      <w:numPr>
        <w:numId w:val="3"/>
      </w:numPr>
    </w:pPr>
  </w:style>
  <w:style w:type="character" w:customStyle="1" w:styleId="Heading6Char">
    <w:name w:val="Heading 6 Char"/>
    <w:basedOn w:val="DefaultParagraphFont"/>
    <w:link w:val="Heading6"/>
    <w:rsid w:val="00D56026"/>
    <w:rPr>
      <w:rFonts w:ascii="Cambria" w:eastAsia="Times New Roman" w:hAnsi="Cambria" w:cs="Times New Roman"/>
      <w:i/>
      <w:iCs/>
      <w:color w:val="001523"/>
    </w:rPr>
  </w:style>
  <w:style w:type="paragraph" w:styleId="FootnoteText">
    <w:name w:val="footnote text"/>
    <w:basedOn w:val="Normal"/>
    <w:link w:val="FootnoteTextChar"/>
    <w:unhideWhenUsed/>
    <w:rsid w:val="00FE14B4"/>
    <w:pPr>
      <w:spacing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FE14B4"/>
    <w:rPr>
      <w:rFonts w:ascii="Times New Roman" w:eastAsia="Times New Roman" w:hAnsi="Times New Roman"/>
    </w:rPr>
  </w:style>
  <w:style w:type="character" w:styleId="FootnoteReference">
    <w:name w:val="footnote reference"/>
    <w:basedOn w:val="DefaultParagraphFont"/>
    <w:unhideWhenUsed/>
    <w:rsid w:val="00FE14B4"/>
    <w:rPr>
      <w:vertAlign w:val="superscript"/>
    </w:rPr>
  </w:style>
  <w:style w:type="paragraph" w:customStyle="1" w:styleId="Heading">
    <w:name w:val="Heading"/>
    <w:aliases w:val="general"/>
    <w:basedOn w:val="Heading9"/>
    <w:next w:val="Normal"/>
    <w:autoRedefine/>
    <w:rsid w:val="006F136E"/>
    <w:pPr>
      <w:keepNext/>
      <w:spacing w:before="0" w:after="240" w:line="240" w:lineRule="auto"/>
    </w:pPr>
    <w:rPr>
      <w:rFonts w:ascii="Times New Roman" w:hAnsi="Times New Roman" w:cs="Arial"/>
      <w:b/>
      <w:caps/>
      <w:sz w:val="24"/>
      <w:szCs w:val="24"/>
      <w:lang w:eastAsia="en-AU"/>
    </w:rPr>
  </w:style>
  <w:style w:type="paragraph" w:customStyle="1" w:styleId="AssessmentSection">
    <w:name w:val="Assessment Section"/>
    <w:basedOn w:val="Normal"/>
    <w:next w:val="Normal"/>
    <w:rsid w:val="006F136E"/>
    <w:pPr>
      <w:keepNext/>
      <w:spacing w:after="240" w:line="240" w:lineRule="auto"/>
      <w:outlineLvl w:val="1"/>
    </w:pPr>
    <w:rPr>
      <w:rFonts w:ascii="Times New Roman" w:eastAsia="Times New Roman" w:hAnsi="Times New Roman"/>
      <w:b/>
      <w:sz w:val="24"/>
      <w:szCs w:val="24"/>
    </w:rPr>
  </w:style>
  <w:style w:type="character" w:customStyle="1" w:styleId="Heading9Char">
    <w:name w:val="Heading 9 Char"/>
    <w:basedOn w:val="DefaultParagraphFont"/>
    <w:link w:val="Heading9"/>
    <w:uiPriority w:val="9"/>
    <w:semiHidden/>
    <w:rsid w:val="006F136E"/>
    <w:rPr>
      <w:rFonts w:ascii="Cambria" w:eastAsia="Times New Roman" w:hAnsi="Cambria" w:cs="Times New Roman"/>
      <w:sz w:val="22"/>
      <w:szCs w:val="22"/>
      <w:lang w:eastAsia="en-US"/>
    </w:rPr>
  </w:style>
  <w:style w:type="character" w:styleId="CommentReference">
    <w:name w:val="annotation reference"/>
    <w:basedOn w:val="DefaultParagraphFont"/>
    <w:semiHidden/>
    <w:unhideWhenUsed/>
    <w:rsid w:val="00753034"/>
    <w:rPr>
      <w:sz w:val="16"/>
      <w:szCs w:val="16"/>
    </w:rPr>
  </w:style>
  <w:style w:type="paragraph" w:customStyle="1" w:styleId="Default">
    <w:name w:val="Default"/>
    <w:rsid w:val="00750A10"/>
    <w:pPr>
      <w:tabs>
        <w:tab w:val="left" w:pos="720"/>
      </w:tabs>
      <w:autoSpaceDE w:val="0"/>
      <w:autoSpaceDN w:val="0"/>
      <w:adjustRightInd w:val="0"/>
    </w:pPr>
    <w:rPr>
      <w:rFonts w:ascii="Times New Roman" w:eastAsia="Times New Roman" w:hAnsi="Times New Roman" w:cs="Times New Roman"/>
      <w:color w:val="000000"/>
      <w:sz w:val="24"/>
      <w:szCs w:val="24"/>
    </w:rPr>
  </w:style>
  <w:style w:type="character" w:customStyle="1" w:styleId="st1">
    <w:name w:val="st1"/>
    <w:basedOn w:val="DefaultParagraphFont"/>
    <w:rsid w:val="008877BB"/>
  </w:style>
  <w:style w:type="paragraph" w:customStyle="1" w:styleId="p2">
    <w:name w:val="p2"/>
    <w:basedOn w:val="Normal"/>
    <w:rsid w:val="00B766D3"/>
    <w:pPr>
      <w:spacing w:after="0" w:line="240" w:lineRule="auto"/>
    </w:pPr>
    <w:rPr>
      <w:rFonts w:ascii="Verdana" w:eastAsia="Times New Roman" w:hAnsi="Verdana" w:cs="Times New Roman"/>
      <w:sz w:val="11"/>
      <w:szCs w:val="11"/>
      <w:lang w:eastAsia="en-AU"/>
    </w:rPr>
  </w:style>
  <w:style w:type="character" w:customStyle="1" w:styleId="s2">
    <w:name w:val="s2"/>
    <w:basedOn w:val="DefaultParagraphFont"/>
    <w:rsid w:val="00B766D3"/>
    <w:rPr>
      <w:color w:val="00CC00"/>
    </w:rPr>
  </w:style>
  <w:style w:type="character" w:customStyle="1" w:styleId="s3">
    <w:name w:val="s3"/>
    <w:basedOn w:val="DefaultParagraphFont"/>
    <w:rsid w:val="00B766D3"/>
    <w:rPr>
      <w:color w:val="E4B900"/>
    </w:rPr>
  </w:style>
  <w:style w:type="character" w:styleId="Strong">
    <w:name w:val="Strong"/>
    <w:basedOn w:val="DefaultParagraphFont"/>
    <w:uiPriority w:val="22"/>
    <w:qFormat/>
    <w:rsid w:val="00A87163"/>
    <w:rPr>
      <w:b/>
      <w:bCs/>
    </w:rPr>
  </w:style>
  <w:style w:type="paragraph" w:styleId="EndnoteText">
    <w:name w:val="endnote text"/>
    <w:basedOn w:val="Normal"/>
    <w:link w:val="EndnoteTextChar"/>
    <w:uiPriority w:val="99"/>
    <w:semiHidden/>
    <w:unhideWhenUsed/>
    <w:rsid w:val="00FE53A7"/>
    <w:rPr>
      <w:sz w:val="20"/>
      <w:szCs w:val="20"/>
    </w:rPr>
  </w:style>
  <w:style w:type="character" w:customStyle="1" w:styleId="EndnoteTextChar">
    <w:name w:val="Endnote Text Char"/>
    <w:basedOn w:val="DefaultParagraphFont"/>
    <w:link w:val="EndnoteText"/>
    <w:uiPriority w:val="99"/>
    <w:semiHidden/>
    <w:rsid w:val="00FE53A7"/>
    <w:rPr>
      <w:lang w:eastAsia="en-US"/>
    </w:rPr>
  </w:style>
  <w:style w:type="character" w:styleId="EndnoteReference">
    <w:name w:val="endnote reference"/>
    <w:basedOn w:val="DefaultParagraphFont"/>
    <w:uiPriority w:val="99"/>
    <w:semiHidden/>
    <w:unhideWhenUsed/>
    <w:rsid w:val="00FE53A7"/>
    <w:rPr>
      <w:vertAlign w:val="superscript"/>
    </w:rPr>
  </w:style>
  <w:style w:type="paragraph" w:styleId="NormalWeb">
    <w:name w:val="Normal (Web)"/>
    <w:basedOn w:val="Normal"/>
    <w:uiPriority w:val="99"/>
    <w:semiHidden/>
    <w:unhideWhenUsed/>
    <w:rsid w:val="00666CD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ECHeading4withnumbering">
    <w:name w:val="ADEC Heading 4 with numbering"/>
    <w:basedOn w:val="Heading3"/>
    <w:rsid w:val="00666CD3"/>
    <w:pPr>
      <w:keepLines w:val="0"/>
      <w:numPr>
        <w:ilvl w:val="2"/>
        <w:numId w:val="11"/>
      </w:numPr>
      <w:spacing w:after="240" w:line="240" w:lineRule="auto"/>
    </w:pPr>
    <w:rPr>
      <w:rFonts w:cs="Arial"/>
      <w:b w:val="0"/>
      <w:bCs w:val="0"/>
      <w:i/>
      <w:iCs/>
      <w:sz w:val="24"/>
      <w:szCs w:val="24"/>
      <w:lang w:val="en-GB" w:eastAsia="en-AU"/>
    </w:rPr>
  </w:style>
  <w:style w:type="paragraph" w:styleId="ListParagraph">
    <w:name w:val="List Paragraph"/>
    <w:basedOn w:val="Normal"/>
    <w:uiPriority w:val="34"/>
    <w:rsid w:val="00666CD3"/>
    <w:pPr>
      <w:adjustRightInd w:val="0"/>
      <w:snapToGrid w:val="0"/>
      <w:spacing w:after="0"/>
      <w:ind w:left="720"/>
      <w:contextualSpacing/>
    </w:pPr>
    <w:rPr>
      <w:rFonts w:eastAsia="MS Mincho" w:cs="Times New Roman"/>
      <w:szCs w:val="20"/>
      <w:lang w:eastAsia="ja-JP"/>
    </w:rPr>
  </w:style>
  <w:style w:type="paragraph" w:customStyle="1" w:styleId="Bullet1">
    <w:name w:val="Bullet 1"/>
    <w:basedOn w:val="Normal"/>
    <w:rsid w:val="00821E37"/>
    <w:pPr>
      <w:numPr>
        <w:numId w:val="14"/>
      </w:numPr>
      <w:spacing w:before="120" w:after="0" w:line="240" w:lineRule="auto"/>
    </w:pPr>
    <w:rPr>
      <w:rFonts w:ascii="Times New Roman" w:eastAsia="Times New Roman" w:hAnsi="Times New Roman" w:cs="Times New Roman"/>
      <w:kern w:val="24"/>
      <w:sz w:val="24"/>
      <w:szCs w:val="24"/>
      <w:lang w:eastAsia="en-AU"/>
    </w:rPr>
  </w:style>
  <w:style w:type="paragraph" w:customStyle="1" w:styleId="Heading0inTOC">
    <w:name w:val="Heading 0 (in TOC)"/>
    <w:basedOn w:val="Heading1"/>
    <w:next w:val="Normal"/>
    <w:rsid w:val="00B509E8"/>
    <w:pPr>
      <w:keepLines w:val="0"/>
      <w:spacing w:after="120" w:line="240" w:lineRule="auto"/>
    </w:pPr>
    <w:rPr>
      <w:bCs w:val="0"/>
      <w:kern w:val="16"/>
      <w:sz w:val="28"/>
      <w:szCs w:val="24"/>
      <w:lang w:eastAsia="en-AU"/>
    </w:rPr>
  </w:style>
  <w:style w:type="character" w:customStyle="1" w:styleId="citation">
    <w:name w:val="citation"/>
    <w:basedOn w:val="DefaultParagraphFont"/>
    <w:rsid w:val="00BF6068"/>
  </w:style>
  <w:style w:type="paragraph" w:styleId="CommentText">
    <w:name w:val="annotation text"/>
    <w:basedOn w:val="Normal"/>
    <w:link w:val="CommentTextChar"/>
    <w:uiPriority w:val="99"/>
    <w:semiHidden/>
    <w:unhideWhenUsed/>
    <w:rsid w:val="001969CA"/>
    <w:rPr>
      <w:sz w:val="20"/>
      <w:szCs w:val="20"/>
    </w:rPr>
  </w:style>
  <w:style w:type="character" w:customStyle="1" w:styleId="CommentTextChar">
    <w:name w:val="Comment Text Char"/>
    <w:basedOn w:val="DefaultParagraphFont"/>
    <w:link w:val="CommentText"/>
    <w:uiPriority w:val="99"/>
    <w:semiHidden/>
    <w:rsid w:val="001969CA"/>
    <w:rPr>
      <w:lang w:eastAsia="en-US"/>
    </w:rPr>
  </w:style>
  <w:style w:type="paragraph" w:styleId="CommentSubject">
    <w:name w:val="annotation subject"/>
    <w:basedOn w:val="CommentText"/>
    <w:next w:val="CommentText"/>
    <w:link w:val="CommentSubjectChar"/>
    <w:uiPriority w:val="99"/>
    <w:semiHidden/>
    <w:unhideWhenUsed/>
    <w:rsid w:val="001969CA"/>
    <w:rPr>
      <w:b/>
      <w:bCs/>
    </w:rPr>
  </w:style>
  <w:style w:type="character" w:customStyle="1" w:styleId="CommentSubjectChar">
    <w:name w:val="Comment Subject Char"/>
    <w:basedOn w:val="CommentTextChar"/>
    <w:link w:val="CommentSubject"/>
    <w:uiPriority w:val="99"/>
    <w:semiHidden/>
    <w:rsid w:val="001969CA"/>
    <w:rPr>
      <w:b/>
      <w:bCs/>
      <w:lang w:eastAsia="en-US"/>
    </w:rPr>
  </w:style>
  <w:style w:type="paragraph" w:styleId="Revision">
    <w:name w:val="Revision"/>
    <w:hidden/>
    <w:uiPriority w:val="99"/>
    <w:semiHidden/>
    <w:rsid w:val="005C0074"/>
    <w:rPr>
      <w:sz w:val="22"/>
      <w:szCs w:val="22"/>
      <w:lang w:eastAsia="en-US"/>
    </w:rPr>
  </w:style>
  <w:style w:type="character" w:styleId="FollowedHyperlink">
    <w:name w:val="FollowedHyperlink"/>
    <w:basedOn w:val="DefaultParagraphFont"/>
    <w:uiPriority w:val="99"/>
    <w:semiHidden/>
    <w:unhideWhenUsed/>
    <w:rsid w:val="00A55F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050069">
      <w:bodyDiv w:val="1"/>
      <w:marLeft w:val="0"/>
      <w:marRight w:val="0"/>
      <w:marTop w:val="0"/>
      <w:marBottom w:val="0"/>
      <w:divBdr>
        <w:top w:val="none" w:sz="0" w:space="0" w:color="auto"/>
        <w:left w:val="none" w:sz="0" w:space="0" w:color="auto"/>
        <w:bottom w:val="none" w:sz="0" w:space="0" w:color="auto"/>
        <w:right w:val="none" w:sz="0" w:space="0" w:color="auto"/>
      </w:divBdr>
    </w:div>
    <w:div w:id="65231768">
      <w:bodyDiv w:val="1"/>
      <w:marLeft w:val="0"/>
      <w:marRight w:val="0"/>
      <w:marTop w:val="0"/>
      <w:marBottom w:val="0"/>
      <w:divBdr>
        <w:top w:val="none" w:sz="0" w:space="0" w:color="auto"/>
        <w:left w:val="none" w:sz="0" w:space="0" w:color="auto"/>
        <w:bottom w:val="none" w:sz="0" w:space="0" w:color="auto"/>
        <w:right w:val="none" w:sz="0" w:space="0" w:color="auto"/>
      </w:divBdr>
    </w:div>
    <w:div w:id="116992260">
      <w:bodyDiv w:val="1"/>
      <w:marLeft w:val="0"/>
      <w:marRight w:val="0"/>
      <w:marTop w:val="0"/>
      <w:marBottom w:val="0"/>
      <w:divBdr>
        <w:top w:val="none" w:sz="0" w:space="0" w:color="auto"/>
        <w:left w:val="none" w:sz="0" w:space="0" w:color="auto"/>
        <w:bottom w:val="none" w:sz="0" w:space="0" w:color="auto"/>
        <w:right w:val="none" w:sz="0" w:space="0" w:color="auto"/>
      </w:divBdr>
    </w:div>
    <w:div w:id="158008836">
      <w:bodyDiv w:val="1"/>
      <w:marLeft w:val="0"/>
      <w:marRight w:val="0"/>
      <w:marTop w:val="0"/>
      <w:marBottom w:val="0"/>
      <w:divBdr>
        <w:top w:val="none" w:sz="0" w:space="0" w:color="auto"/>
        <w:left w:val="none" w:sz="0" w:space="0" w:color="auto"/>
        <w:bottom w:val="none" w:sz="0" w:space="0" w:color="auto"/>
        <w:right w:val="none" w:sz="0" w:space="0" w:color="auto"/>
      </w:divBdr>
    </w:div>
    <w:div w:id="174420356">
      <w:bodyDiv w:val="1"/>
      <w:marLeft w:val="0"/>
      <w:marRight w:val="0"/>
      <w:marTop w:val="0"/>
      <w:marBottom w:val="0"/>
      <w:divBdr>
        <w:top w:val="none" w:sz="0" w:space="0" w:color="auto"/>
        <w:left w:val="none" w:sz="0" w:space="0" w:color="auto"/>
        <w:bottom w:val="none" w:sz="0" w:space="0" w:color="auto"/>
        <w:right w:val="none" w:sz="0" w:space="0" w:color="auto"/>
      </w:divBdr>
    </w:div>
    <w:div w:id="181404338">
      <w:bodyDiv w:val="1"/>
      <w:marLeft w:val="0"/>
      <w:marRight w:val="0"/>
      <w:marTop w:val="0"/>
      <w:marBottom w:val="0"/>
      <w:divBdr>
        <w:top w:val="none" w:sz="0" w:space="0" w:color="auto"/>
        <w:left w:val="none" w:sz="0" w:space="0" w:color="auto"/>
        <w:bottom w:val="none" w:sz="0" w:space="0" w:color="auto"/>
        <w:right w:val="none" w:sz="0" w:space="0" w:color="auto"/>
      </w:divBdr>
    </w:div>
    <w:div w:id="181552684">
      <w:bodyDiv w:val="1"/>
      <w:marLeft w:val="0"/>
      <w:marRight w:val="0"/>
      <w:marTop w:val="0"/>
      <w:marBottom w:val="0"/>
      <w:divBdr>
        <w:top w:val="none" w:sz="0" w:space="0" w:color="auto"/>
        <w:left w:val="none" w:sz="0" w:space="0" w:color="auto"/>
        <w:bottom w:val="none" w:sz="0" w:space="0" w:color="auto"/>
        <w:right w:val="none" w:sz="0" w:space="0" w:color="auto"/>
      </w:divBdr>
    </w:div>
    <w:div w:id="187646764">
      <w:bodyDiv w:val="1"/>
      <w:marLeft w:val="0"/>
      <w:marRight w:val="0"/>
      <w:marTop w:val="0"/>
      <w:marBottom w:val="0"/>
      <w:divBdr>
        <w:top w:val="none" w:sz="0" w:space="0" w:color="auto"/>
        <w:left w:val="none" w:sz="0" w:space="0" w:color="auto"/>
        <w:bottom w:val="none" w:sz="0" w:space="0" w:color="auto"/>
        <w:right w:val="none" w:sz="0" w:space="0" w:color="auto"/>
      </w:divBdr>
    </w:div>
    <w:div w:id="197082947">
      <w:bodyDiv w:val="1"/>
      <w:marLeft w:val="0"/>
      <w:marRight w:val="0"/>
      <w:marTop w:val="0"/>
      <w:marBottom w:val="0"/>
      <w:divBdr>
        <w:top w:val="none" w:sz="0" w:space="0" w:color="auto"/>
        <w:left w:val="none" w:sz="0" w:space="0" w:color="auto"/>
        <w:bottom w:val="none" w:sz="0" w:space="0" w:color="auto"/>
        <w:right w:val="none" w:sz="0" w:space="0" w:color="auto"/>
      </w:divBdr>
    </w:div>
    <w:div w:id="205415316">
      <w:bodyDiv w:val="1"/>
      <w:marLeft w:val="0"/>
      <w:marRight w:val="0"/>
      <w:marTop w:val="0"/>
      <w:marBottom w:val="0"/>
      <w:divBdr>
        <w:top w:val="none" w:sz="0" w:space="0" w:color="auto"/>
        <w:left w:val="none" w:sz="0" w:space="0" w:color="auto"/>
        <w:bottom w:val="none" w:sz="0" w:space="0" w:color="auto"/>
        <w:right w:val="none" w:sz="0" w:space="0" w:color="auto"/>
      </w:divBdr>
    </w:div>
    <w:div w:id="211577809">
      <w:bodyDiv w:val="1"/>
      <w:marLeft w:val="0"/>
      <w:marRight w:val="0"/>
      <w:marTop w:val="0"/>
      <w:marBottom w:val="0"/>
      <w:divBdr>
        <w:top w:val="none" w:sz="0" w:space="0" w:color="auto"/>
        <w:left w:val="none" w:sz="0" w:space="0" w:color="auto"/>
        <w:bottom w:val="none" w:sz="0" w:space="0" w:color="auto"/>
        <w:right w:val="none" w:sz="0" w:space="0" w:color="auto"/>
      </w:divBdr>
    </w:div>
    <w:div w:id="223684735">
      <w:bodyDiv w:val="1"/>
      <w:marLeft w:val="0"/>
      <w:marRight w:val="0"/>
      <w:marTop w:val="0"/>
      <w:marBottom w:val="0"/>
      <w:divBdr>
        <w:top w:val="none" w:sz="0" w:space="0" w:color="auto"/>
        <w:left w:val="none" w:sz="0" w:space="0" w:color="auto"/>
        <w:bottom w:val="none" w:sz="0" w:space="0" w:color="auto"/>
        <w:right w:val="none" w:sz="0" w:space="0" w:color="auto"/>
      </w:divBdr>
    </w:div>
    <w:div w:id="284165755">
      <w:bodyDiv w:val="1"/>
      <w:marLeft w:val="0"/>
      <w:marRight w:val="0"/>
      <w:marTop w:val="0"/>
      <w:marBottom w:val="0"/>
      <w:divBdr>
        <w:top w:val="none" w:sz="0" w:space="0" w:color="auto"/>
        <w:left w:val="none" w:sz="0" w:space="0" w:color="auto"/>
        <w:bottom w:val="none" w:sz="0" w:space="0" w:color="auto"/>
        <w:right w:val="none" w:sz="0" w:space="0" w:color="auto"/>
      </w:divBdr>
    </w:div>
    <w:div w:id="370150541">
      <w:bodyDiv w:val="1"/>
      <w:marLeft w:val="0"/>
      <w:marRight w:val="0"/>
      <w:marTop w:val="0"/>
      <w:marBottom w:val="0"/>
      <w:divBdr>
        <w:top w:val="none" w:sz="0" w:space="0" w:color="auto"/>
        <w:left w:val="none" w:sz="0" w:space="0" w:color="auto"/>
        <w:bottom w:val="none" w:sz="0" w:space="0" w:color="auto"/>
        <w:right w:val="none" w:sz="0" w:space="0" w:color="auto"/>
      </w:divBdr>
    </w:div>
    <w:div w:id="410155333">
      <w:bodyDiv w:val="1"/>
      <w:marLeft w:val="0"/>
      <w:marRight w:val="0"/>
      <w:marTop w:val="0"/>
      <w:marBottom w:val="0"/>
      <w:divBdr>
        <w:top w:val="none" w:sz="0" w:space="0" w:color="auto"/>
        <w:left w:val="none" w:sz="0" w:space="0" w:color="auto"/>
        <w:bottom w:val="none" w:sz="0" w:space="0" w:color="auto"/>
        <w:right w:val="none" w:sz="0" w:space="0" w:color="auto"/>
      </w:divBdr>
    </w:div>
    <w:div w:id="421492876">
      <w:bodyDiv w:val="1"/>
      <w:marLeft w:val="0"/>
      <w:marRight w:val="0"/>
      <w:marTop w:val="0"/>
      <w:marBottom w:val="0"/>
      <w:divBdr>
        <w:top w:val="none" w:sz="0" w:space="0" w:color="auto"/>
        <w:left w:val="none" w:sz="0" w:space="0" w:color="auto"/>
        <w:bottom w:val="none" w:sz="0" w:space="0" w:color="auto"/>
        <w:right w:val="none" w:sz="0" w:space="0" w:color="auto"/>
      </w:divBdr>
    </w:div>
    <w:div w:id="423957151">
      <w:bodyDiv w:val="1"/>
      <w:marLeft w:val="0"/>
      <w:marRight w:val="0"/>
      <w:marTop w:val="0"/>
      <w:marBottom w:val="0"/>
      <w:divBdr>
        <w:top w:val="none" w:sz="0" w:space="0" w:color="auto"/>
        <w:left w:val="none" w:sz="0" w:space="0" w:color="auto"/>
        <w:bottom w:val="none" w:sz="0" w:space="0" w:color="auto"/>
        <w:right w:val="none" w:sz="0" w:space="0" w:color="auto"/>
      </w:divBdr>
    </w:div>
    <w:div w:id="424425676">
      <w:bodyDiv w:val="1"/>
      <w:marLeft w:val="0"/>
      <w:marRight w:val="0"/>
      <w:marTop w:val="0"/>
      <w:marBottom w:val="0"/>
      <w:divBdr>
        <w:top w:val="none" w:sz="0" w:space="0" w:color="auto"/>
        <w:left w:val="none" w:sz="0" w:space="0" w:color="auto"/>
        <w:bottom w:val="none" w:sz="0" w:space="0" w:color="auto"/>
        <w:right w:val="none" w:sz="0" w:space="0" w:color="auto"/>
      </w:divBdr>
    </w:div>
    <w:div w:id="453670494">
      <w:bodyDiv w:val="1"/>
      <w:marLeft w:val="0"/>
      <w:marRight w:val="0"/>
      <w:marTop w:val="0"/>
      <w:marBottom w:val="0"/>
      <w:divBdr>
        <w:top w:val="none" w:sz="0" w:space="0" w:color="auto"/>
        <w:left w:val="none" w:sz="0" w:space="0" w:color="auto"/>
        <w:bottom w:val="none" w:sz="0" w:space="0" w:color="auto"/>
        <w:right w:val="none" w:sz="0" w:space="0" w:color="auto"/>
      </w:divBdr>
    </w:div>
    <w:div w:id="455761211">
      <w:bodyDiv w:val="1"/>
      <w:marLeft w:val="0"/>
      <w:marRight w:val="0"/>
      <w:marTop w:val="0"/>
      <w:marBottom w:val="0"/>
      <w:divBdr>
        <w:top w:val="none" w:sz="0" w:space="0" w:color="auto"/>
        <w:left w:val="none" w:sz="0" w:space="0" w:color="auto"/>
        <w:bottom w:val="none" w:sz="0" w:space="0" w:color="auto"/>
        <w:right w:val="none" w:sz="0" w:space="0" w:color="auto"/>
      </w:divBdr>
    </w:div>
    <w:div w:id="473569322">
      <w:bodyDiv w:val="1"/>
      <w:marLeft w:val="0"/>
      <w:marRight w:val="0"/>
      <w:marTop w:val="0"/>
      <w:marBottom w:val="0"/>
      <w:divBdr>
        <w:top w:val="none" w:sz="0" w:space="0" w:color="auto"/>
        <w:left w:val="none" w:sz="0" w:space="0" w:color="auto"/>
        <w:bottom w:val="none" w:sz="0" w:space="0" w:color="auto"/>
        <w:right w:val="none" w:sz="0" w:space="0" w:color="auto"/>
      </w:divBdr>
    </w:div>
    <w:div w:id="478428338">
      <w:bodyDiv w:val="1"/>
      <w:marLeft w:val="0"/>
      <w:marRight w:val="0"/>
      <w:marTop w:val="0"/>
      <w:marBottom w:val="0"/>
      <w:divBdr>
        <w:top w:val="none" w:sz="0" w:space="0" w:color="auto"/>
        <w:left w:val="none" w:sz="0" w:space="0" w:color="auto"/>
        <w:bottom w:val="none" w:sz="0" w:space="0" w:color="auto"/>
        <w:right w:val="none" w:sz="0" w:space="0" w:color="auto"/>
      </w:divBdr>
    </w:div>
    <w:div w:id="496388083">
      <w:bodyDiv w:val="1"/>
      <w:marLeft w:val="0"/>
      <w:marRight w:val="0"/>
      <w:marTop w:val="0"/>
      <w:marBottom w:val="0"/>
      <w:divBdr>
        <w:top w:val="none" w:sz="0" w:space="0" w:color="auto"/>
        <w:left w:val="none" w:sz="0" w:space="0" w:color="auto"/>
        <w:bottom w:val="none" w:sz="0" w:space="0" w:color="auto"/>
        <w:right w:val="none" w:sz="0" w:space="0" w:color="auto"/>
      </w:divBdr>
    </w:div>
    <w:div w:id="532768371">
      <w:bodyDiv w:val="1"/>
      <w:marLeft w:val="0"/>
      <w:marRight w:val="0"/>
      <w:marTop w:val="0"/>
      <w:marBottom w:val="0"/>
      <w:divBdr>
        <w:top w:val="none" w:sz="0" w:space="0" w:color="auto"/>
        <w:left w:val="none" w:sz="0" w:space="0" w:color="auto"/>
        <w:bottom w:val="none" w:sz="0" w:space="0" w:color="auto"/>
        <w:right w:val="none" w:sz="0" w:space="0" w:color="auto"/>
      </w:divBdr>
    </w:div>
    <w:div w:id="538320961">
      <w:bodyDiv w:val="1"/>
      <w:marLeft w:val="0"/>
      <w:marRight w:val="0"/>
      <w:marTop w:val="0"/>
      <w:marBottom w:val="0"/>
      <w:divBdr>
        <w:top w:val="none" w:sz="0" w:space="0" w:color="auto"/>
        <w:left w:val="none" w:sz="0" w:space="0" w:color="auto"/>
        <w:bottom w:val="none" w:sz="0" w:space="0" w:color="auto"/>
        <w:right w:val="none" w:sz="0" w:space="0" w:color="auto"/>
      </w:divBdr>
    </w:div>
    <w:div w:id="553392534">
      <w:bodyDiv w:val="1"/>
      <w:marLeft w:val="0"/>
      <w:marRight w:val="0"/>
      <w:marTop w:val="0"/>
      <w:marBottom w:val="0"/>
      <w:divBdr>
        <w:top w:val="none" w:sz="0" w:space="0" w:color="auto"/>
        <w:left w:val="none" w:sz="0" w:space="0" w:color="auto"/>
        <w:bottom w:val="none" w:sz="0" w:space="0" w:color="auto"/>
        <w:right w:val="none" w:sz="0" w:space="0" w:color="auto"/>
      </w:divBdr>
    </w:div>
    <w:div w:id="555630502">
      <w:bodyDiv w:val="1"/>
      <w:marLeft w:val="0"/>
      <w:marRight w:val="0"/>
      <w:marTop w:val="0"/>
      <w:marBottom w:val="0"/>
      <w:divBdr>
        <w:top w:val="none" w:sz="0" w:space="0" w:color="auto"/>
        <w:left w:val="none" w:sz="0" w:space="0" w:color="auto"/>
        <w:bottom w:val="none" w:sz="0" w:space="0" w:color="auto"/>
        <w:right w:val="none" w:sz="0" w:space="0" w:color="auto"/>
      </w:divBdr>
    </w:div>
    <w:div w:id="572475094">
      <w:bodyDiv w:val="1"/>
      <w:marLeft w:val="0"/>
      <w:marRight w:val="0"/>
      <w:marTop w:val="0"/>
      <w:marBottom w:val="0"/>
      <w:divBdr>
        <w:top w:val="none" w:sz="0" w:space="0" w:color="auto"/>
        <w:left w:val="none" w:sz="0" w:space="0" w:color="auto"/>
        <w:bottom w:val="none" w:sz="0" w:space="0" w:color="auto"/>
        <w:right w:val="none" w:sz="0" w:space="0" w:color="auto"/>
      </w:divBdr>
    </w:div>
    <w:div w:id="573442115">
      <w:bodyDiv w:val="1"/>
      <w:marLeft w:val="0"/>
      <w:marRight w:val="0"/>
      <w:marTop w:val="0"/>
      <w:marBottom w:val="0"/>
      <w:divBdr>
        <w:top w:val="none" w:sz="0" w:space="0" w:color="auto"/>
        <w:left w:val="none" w:sz="0" w:space="0" w:color="auto"/>
        <w:bottom w:val="none" w:sz="0" w:space="0" w:color="auto"/>
        <w:right w:val="none" w:sz="0" w:space="0" w:color="auto"/>
      </w:divBdr>
    </w:div>
    <w:div w:id="626398072">
      <w:bodyDiv w:val="1"/>
      <w:marLeft w:val="0"/>
      <w:marRight w:val="0"/>
      <w:marTop w:val="0"/>
      <w:marBottom w:val="0"/>
      <w:divBdr>
        <w:top w:val="none" w:sz="0" w:space="0" w:color="auto"/>
        <w:left w:val="none" w:sz="0" w:space="0" w:color="auto"/>
        <w:bottom w:val="none" w:sz="0" w:space="0" w:color="auto"/>
        <w:right w:val="none" w:sz="0" w:space="0" w:color="auto"/>
      </w:divBdr>
    </w:div>
    <w:div w:id="651560995">
      <w:bodyDiv w:val="1"/>
      <w:marLeft w:val="0"/>
      <w:marRight w:val="0"/>
      <w:marTop w:val="0"/>
      <w:marBottom w:val="0"/>
      <w:divBdr>
        <w:top w:val="none" w:sz="0" w:space="0" w:color="auto"/>
        <w:left w:val="none" w:sz="0" w:space="0" w:color="auto"/>
        <w:bottom w:val="none" w:sz="0" w:space="0" w:color="auto"/>
        <w:right w:val="none" w:sz="0" w:space="0" w:color="auto"/>
      </w:divBdr>
    </w:div>
    <w:div w:id="653408928">
      <w:bodyDiv w:val="1"/>
      <w:marLeft w:val="0"/>
      <w:marRight w:val="0"/>
      <w:marTop w:val="0"/>
      <w:marBottom w:val="0"/>
      <w:divBdr>
        <w:top w:val="none" w:sz="0" w:space="0" w:color="auto"/>
        <w:left w:val="none" w:sz="0" w:space="0" w:color="auto"/>
        <w:bottom w:val="none" w:sz="0" w:space="0" w:color="auto"/>
        <w:right w:val="none" w:sz="0" w:space="0" w:color="auto"/>
      </w:divBdr>
    </w:div>
    <w:div w:id="653684045">
      <w:bodyDiv w:val="1"/>
      <w:marLeft w:val="0"/>
      <w:marRight w:val="0"/>
      <w:marTop w:val="0"/>
      <w:marBottom w:val="0"/>
      <w:divBdr>
        <w:top w:val="none" w:sz="0" w:space="0" w:color="auto"/>
        <w:left w:val="none" w:sz="0" w:space="0" w:color="auto"/>
        <w:bottom w:val="none" w:sz="0" w:space="0" w:color="auto"/>
        <w:right w:val="none" w:sz="0" w:space="0" w:color="auto"/>
      </w:divBdr>
    </w:div>
    <w:div w:id="688680120">
      <w:bodyDiv w:val="1"/>
      <w:marLeft w:val="0"/>
      <w:marRight w:val="0"/>
      <w:marTop w:val="0"/>
      <w:marBottom w:val="0"/>
      <w:divBdr>
        <w:top w:val="none" w:sz="0" w:space="0" w:color="auto"/>
        <w:left w:val="none" w:sz="0" w:space="0" w:color="auto"/>
        <w:bottom w:val="none" w:sz="0" w:space="0" w:color="auto"/>
        <w:right w:val="none" w:sz="0" w:space="0" w:color="auto"/>
      </w:divBdr>
    </w:div>
    <w:div w:id="745343152">
      <w:bodyDiv w:val="1"/>
      <w:marLeft w:val="0"/>
      <w:marRight w:val="0"/>
      <w:marTop w:val="0"/>
      <w:marBottom w:val="0"/>
      <w:divBdr>
        <w:top w:val="none" w:sz="0" w:space="0" w:color="auto"/>
        <w:left w:val="none" w:sz="0" w:space="0" w:color="auto"/>
        <w:bottom w:val="none" w:sz="0" w:space="0" w:color="auto"/>
        <w:right w:val="none" w:sz="0" w:space="0" w:color="auto"/>
      </w:divBdr>
    </w:div>
    <w:div w:id="746221820">
      <w:bodyDiv w:val="1"/>
      <w:marLeft w:val="0"/>
      <w:marRight w:val="0"/>
      <w:marTop w:val="0"/>
      <w:marBottom w:val="0"/>
      <w:divBdr>
        <w:top w:val="none" w:sz="0" w:space="0" w:color="auto"/>
        <w:left w:val="none" w:sz="0" w:space="0" w:color="auto"/>
        <w:bottom w:val="none" w:sz="0" w:space="0" w:color="auto"/>
        <w:right w:val="none" w:sz="0" w:space="0" w:color="auto"/>
      </w:divBdr>
    </w:div>
    <w:div w:id="752241866">
      <w:bodyDiv w:val="1"/>
      <w:marLeft w:val="0"/>
      <w:marRight w:val="0"/>
      <w:marTop w:val="0"/>
      <w:marBottom w:val="0"/>
      <w:divBdr>
        <w:top w:val="none" w:sz="0" w:space="0" w:color="auto"/>
        <w:left w:val="none" w:sz="0" w:space="0" w:color="auto"/>
        <w:bottom w:val="none" w:sz="0" w:space="0" w:color="auto"/>
        <w:right w:val="none" w:sz="0" w:space="0" w:color="auto"/>
      </w:divBdr>
    </w:div>
    <w:div w:id="812407856">
      <w:bodyDiv w:val="1"/>
      <w:marLeft w:val="0"/>
      <w:marRight w:val="0"/>
      <w:marTop w:val="0"/>
      <w:marBottom w:val="0"/>
      <w:divBdr>
        <w:top w:val="none" w:sz="0" w:space="0" w:color="auto"/>
        <w:left w:val="none" w:sz="0" w:space="0" w:color="auto"/>
        <w:bottom w:val="none" w:sz="0" w:space="0" w:color="auto"/>
        <w:right w:val="none" w:sz="0" w:space="0" w:color="auto"/>
      </w:divBdr>
    </w:div>
    <w:div w:id="825979126">
      <w:bodyDiv w:val="1"/>
      <w:marLeft w:val="0"/>
      <w:marRight w:val="0"/>
      <w:marTop w:val="0"/>
      <w:marBottom w:val="0"/>
      <w:divBdr>
        <w:top w:val="none" w:sz="0" w:space="0" w:color="auto"/>
        <w:left w:val="none" w:sz="0" w:space="0" w:color="auto"/>
        <w:bottom w:val="none" w:sz="0" w:space="0" w:color="auto"/>
        <w:right w:val="none" w:sz="0" w:space="0" w:color="auto"/>
      </w:divBdr>
    </w:div>
    <w:div w:id="847789172">
      <w:bodyDiv w:val="1"/>
      <w:marLeft w:val="0"/>
      <w:marRight w:val="0"/>
      <w:marTop w:val="0"/>
      <w:marBottom w:val="0"/>
      <w:divBdr>
        <w:top w:val="none" w:sz="0" w:space="0" w:color="auto"/>
        <w:left w:val="none" w:sz="0" w:space="0" w:color="auto"/>
        <w:bottom w:val="none" w:sz="0" w:space="0" w:color="auto"/>
        <w:right w:val="none" w:sz="0" w:space="0" w:color="auto"/>
      </w:divBdr>
    </w:div>
    <w:div w:id="870143762">
      <w:bodyDiv w:val="1"/>
      <w:marLeft w:val="0"/>
      <w:marRight w:val="0"/>
      <w:marTop w:val="0"/>
      <w:marBottom w:val="0"/>
      <w:divBdr>
        <w:top w:val="none" w:sz="0" w:space="0" w:color="auto"/>
        <w:left w:val="none" w:sz="0" w:space="0" w:color="auto"/>
        <w:bottom w:val="none" w:sz="0" w:space="0" w:color="auto"/>
        <w:right w:val="none" w:sz="0" w:space="0" w:color="auto"/>
      </w:divBdr>
    </w:div>
    <w:div w:id="880628257">
      <w:bodyDiv w:val="1"/>
      <w:marLeft w:val="0"/>
      <w:marRight w:val="0"/>
      <w:marTop w:val="0"/>
      <w:marBottom w:val="0"/>
      <w:divBdr>
        <w:top w:val="none" w:sz="0" w:space="0" w:color="auto"/>
        <w:left w:val="none" w:sz="0" w:space="0" w:color="auto"/>
        <w:bottom w:val="none" w:sz="0" w:space="0" w:color="auto"/>
        <w:right w:val="none" w:sz="0" w:space="0" w:color="auto"/>
      </w:divBdr>
    </w:div>
    <w:div w:id="943732510">
      <w:bodyDiv w:val="1"/>
      <w:marLeft w:val="0"/>
      <w:marRight w:val="0"/>
      <w:marTop w:val="0"/>
      <w:marBottom w:val="0"/>
      <w:divBdr>
        <w:top w:val="none" w:sz="0" w:space="0" w:color="auto"/>
        <w:left w:val="none" w:sz="0" w:space="0" w:color="auto"/>
        <w:bottom w:val="none" w:sz="0" w:space="0" w:color="auto"/>
        <w:right w:val="none" w:sz="0" w:space="0" w:color="auto"/>
      </w:divBdr>
    </w:div>
    <w:div w:id="975910038">
      <w:bodyDiv w:val="1"/>
      <w:marLeft w:val="0"/>
      <w:marRight w:val="0"/>
      <w:marTop w:val="0"/>
      <w:marBottom w:val="0"/>
      <w:divBdr>
        <w:top w:val="none" w:sz="0" w:space="0" w:color="auto"/>
        <w:left w:val="none" w:sz="0" w:space="0" w:color="auto"/>
        <w:bottom w:val="none" w:sz="0" w:space="0" w:color="auto"/>
        <w:right w:val="none" w:sz="0" w:space="0" w:color="auto"/>
      </w:divBdr>
    </w:div>
    <w:div w:id="986470654">
      <w:bodyDiv w:val="1"/>
      <w:marLeft w:val="0"/>
      <w:marRight w:val="0"/>
      <w:marTop w:val="0"/>
      <w:marBottom w:val="0"/>
      <w:divBdr>
        <w:top w:val="none" w:sz="0" w:space="0" w:color="auto"/>
        <w:left w:val="none" w:sz="0" w:space="0" w:color="auto"/>
        <w:bottom w:val="none" w:sz="0" w:space="0" w:color="auto"/>
        <w:right w:val="none" w:sz="0" w:space="0" w:color="auto"/>
      </w:divBdr>
    </w:div>
    <w:div w:id="994800540">
      <w:bodyDiv w:val="1"/>
      <w:marLeft w:val="0"/>
      <w:marRight w:val="0"/>
      <w:marTop w:val="0"/>
      <w:marBottom w:val="0"/>
      <w:divBdr>
        <w:top w:val="none" w:sz="0" w:space="0" w:color="auto"/>
        <w:left w:val="none" w:sz="0" w:space="0" w:color="auto"/>
        <w:bottom w:val="none" w:sz="0" w:space="0" w:color="auto"/>
        <w:right w:val="none" w:sz="0" w:space="0" w:color="auto"/>
      </w:divBdr>
    </w:div>
    <w:div w:id="998310635">
      <w:bodyDiv w:val="1"/>
      <w:marLeft w:val="0"/>
      <w:marRight w:val="0"/>
      <w:marTop w:val="0"/>
      <w:marBottom w:val="0"/>
      <w:divBdr>
        <w:top w:val="none" w:sz="0" w:space="0" w:color="auto"/>
        <w:left w:val="none" w:sz="0" w:space="0" w:color="auto"/>
        <w:bottom w:val="none" w:sz="0" w:space="0" w:color="auto"/>
        <w:right w:val="none" w:sz="0" w:space="0" w:color="auto"/>
      </w:divBdr>
    </w:div>
    <w:div w:id="1035078501">
      <w:bodyDiv w:val="1"/>
      <w:marLeft w:val="0"/>
      <w:marRight w:val="0"/>
      <w:marTop w:val="0"/>
      <w:marBottom w:val="0"/>
      <w:divBdr>
        <w:top w:val="none" w:sz="0" w:space="0" w:color="auto"/>
        <w:left w:val="none" w:sz="0" w:space="0" w:color="auto"/>
        <w:bottom w:val="none" w:sz="0" w:space="0" w:color="auto"/>
        <w:right w:val="none" w:sz="0" w:space="0" w:color="auto"/>
      </w:divBdr>
    </w:div>
    <w:div w:id="1047725445">
      <w:bodyDiv w:val="1"/>
      <w:marLeft w:val="0"/>
      <w:marRight w:val="0"/>
      <w:marTop w:val="0"/>
      <w:marBottom w:val="0"/>
      <w:divBdr>
        <w:top w:val="none" w:sz="0" w:space="0" w:color="auto"/>
        <w:left w:val="none" w:sz="0" w:space="0" w:color="auto"/>
        <w:bottom w:val="none" w:sz="0" w:space="0" w:color="auto"/>
        <w:right w:val="none" w:sz="0" w:space="0" w:color="auto"/>
      </w:divBdr>
    </w:div>
    <w:div w:id="1065224292">
      <w:bodyDiv w:val="1"/>
      <w:marLeft w:val="0"/>
      <w:marRight w:val="0"/>
      <w:marTop w:val="0"/>
      <w:marBottom w:val="0"/>
      <w:divBdr>
        <w:top w:val="none" w:sz="0" w:space="0" w:color="auto"/>
        <w:left w:val="none" w:sz="0" w:space="0" w:color="auto"/>
        <w:bottom w:val="none" w:sz="0" w:space="0" w:color="auto"/>
        <w:right w:val="none" w:sz="0" w:space="0" w:color="auto"/>
      </w:divBdr>
    </w:div>
    <w:div w:id="1071735642">
      <w:bodyDiv w:val="1"/>
      <w:marLeft w:val="0"/>
      <w:marRight w:val="0"/>
      <w:marTop w:val="0"/>
      <w:marBottom w:val="0"/>
      <w:divBdr>
        <w:top w:val="none" w:sz="0" w:space="0" w:color="auto"/>
        <w:left w:val="none" w:sz="0" w:space="0" w:color="auto"/>
        <w:bottom w:val="none" w:sz="0" w:space="0" w:color="auto"/>
        <w:right w:val="none" w:sz="0" w:space="0" w:color="auto"/>
      </w:divBdr>
    </w:div>
    <w:div w:id="1086003191">
      <w:bodyDiv w:val="1"/>
      <w:marLeft w:val="0"/>
      <w:marRight w:val="0"/>
      <w:marTop w:val="0"/>
      <w:marBottom w:val="0"/>
      <w:divBdr>
        <w:top w:val="none" w:sz="0" w:space="0" w:color="auto"/>
        <w:left w:val="none" w:sz="0" w:space="0" w:color="auto"/>
        <w:bottom w:val="none" w:sz="0" w:space="0" w:color="auto"/>
        <w:right w:val="none" w:sz="0" w:space="0" w:color="auto"/>
      </w:divBdr>
      <w:divsChild>
        <w:div w:id="1578589012">
          <w:marLeft w:val="0"/>
          <w:marRight w:val="0"/>
          <w:marTop w:val="0"/>
          <w:marBottom w:val="0"/>
          <w:divBdr>
            <w:top w:val="none" w:sz="0" w:space="0" w:color="auto"/>
            <w:left w:val="none" w:sz="0" w:space="0" w:color="auto"/>
            <w:bottom w:val="none" w:sz="0" w:space="0" w:color="auto"/>
            <w:right w:val="none" w:sz="0" w:space="0" w:color="auto"/>
          </w:divBdr>
          <w:divsChild>
            <w:div w:id="1713849828">
              <w:marLeft w:val="0"/>
              <w:marRight w:val="0"/>
              <w:marTop w:val="141"/>
              <w:marBottom w:val="0"/>
              <w:divBdr>
                <w:top w:val="none" w:sz="0" w:space="0" w:color="auto"/>
                <w:left w:val="none" w:sz="0" w:space="0" w:color="auto"/>
                <w:bottom w:val="none" w:sz="0" w:space="0" w:color="auto"/>
                <w:right w:val="none" w:sz="0" w:space="0" w:color="auto"/>
              </w:divBdr>
              <w:divsChild>
                <w:div w:id="1399286247">
                  <w:marLeft w:val="71"/>
                  <w:marRight w:val="71"/>
                  <w:marTop w:val="0"/>
                  <w:marBottom w:val="0"/>
                  <w:divBdr>
                    <w:top w:val="none" w:sz="0" w:space="0" w:color="auto"/>
                    <w:left w:val="none" w:sz="0" w:space="0" w:color="auto"/>
                    <w:bottom w:val="none" w:sz="0" w:space="0" w:color="auto"/>
                    <w:right w:val="none" w:sz="0" w:space="0" w:color="auto"/>
                  </w:divBdr>
                </w:div>
              </w:divsChild>
            </w:div>
          </w:divsChild>
        </w:div>
      </w:divsChild>
    </w:div>
    <w:div w:id="1108547157">
      <w:bodyDiv w:val="1"/>
      <w:marLeft w:val="0"/>
      <w:marRight w:val="0"/>
      <w:marTop w:val="0"/>
      <w:marBottom w:val="0"/>
      <w:divBdr>
        <w:top w:val="none" w:sz="0" w:space="0" w:color="auto"/>
        <w:left w:val="none" w:sz="0" w:space="0" w:color="auto"/>
        <w:bottom w:val="none" w:sz="0" w:space="0" w:color="auto"/>
        <w:right w:val="none" w:sz="0" w:space="0" w:color="auto"/>
      </w:divBdr>
    </w:div>
    <w:div w:id="1201669959">
      <w:bodyDiv w:val="1"/>
      <w:marLeft w:val="0"/>
      <w:marRight w:val="0"/>
      <w:marTop w:val="0"/>
      <w:marBottom w:val="0"/>
      <w:divBdr>
        <w:top w:val="none" w:sz="0" w:space="0" w:color="auto"/>
        <w:left w:val="none" w:sz="0" w:space="0" w:color="auto"/>
        <w:bottom w:val="none" w:sz="0" w:space="0" w:color="auto"/>
        <w:right w:val="none" w:sz="0" w:space="0" w:color="auto"/>
      </w:divBdr>
    </w:div>
    <w:div w:id="1215199573">
      <w:bodyDiv w:val="1"/>
      <w:marLeft w:val="0"/>
      <w:marRight w:val="0"/>
      <w:marTop w:val="0"/>
      <w:marBottom w:val="0"/>
      <w:divBdr>
        <w:top w:val="none" w:sz="0" w:space="0" w:color="auto"/>
        <w:left w:val="none" w:sz="0" w:space="0" w:color="auto"/>
        <w:bottom w:val="none" w:sz="0" w:space="0" w:color="auto"/>
        <w:right w:val="none" w:sz="0" w:space="0" w:color="auto"/>
      </w:divBdr>
    </w:div>
    <w:div w:id="1266304824">
      <w:bodyDiv w:val="1"/>
      <w:marLeft w:val="0"/>
      <w:marRight w:val="0"/>
      <w:marTop w:val="0"/>
      <w:marBottom w:val="0"/>
      <w:divBdr>
        <w:top w:val="none" w:sz="0" w:space="0" w:color="auto"/>
        <w:left w:val="none" w:sz="0" w:space="0" w:color="auto"/>
        <w:bottom w:val="none" w:sz="0" w:space="0" w:color="auto"/>
        <w:right w:val="none" w:sz="0" w:space="0" w:color="auto"/>
      </w:divBdr>
    </w:div>
    <w:div w:id="1269118034">
      <w:bodyDiv w:val="1"/>
      <w:marLeft w:val="0"/>
      <w:marRight w:val="0"/>
      <w:marTop w:val="0"/>
      <w:marBottom w:val="0"/>
      <w:divBdr>
        <w:top w:val="none" w:sz="0" w:space="0" w:color="auto"/>
        <w:left w:val="none" w:sz="0" w:space="0" w:color="auto"/>
        <w:bottom w:val="none" w:sz="0" w:space="0" w:color="auto"/>
        <w:right w:val="none" w:sz="0" w:space="0" w:color="auto"/>
      </w:divBdr>
    </w:div>
    <w:div w:id="1273779953">
      <w:bodyDiv w:val="1"/>
      <w:marLeft w:val="0"/>
      <w:marRight w:val="0"/>
      <w:marTop w:val="0"/>
      <w:marBottom w:val="0"/>
      <w:divBdr>
        <w:top w:val="none" w:sz="0" w:space="0" w:color="auto"/>
        <w:left w:val="none" w:sz="0" w:space="0" w:color="auto"/>
        <w:bottom w:val="none" w:sz="0" w:space="0" w:color="auto"/>
        <w:right w:val="none" w:sz="0" w:space="0" w:color="auto"/>
      </w:divBdr>
    </w:div>
    <w:div w:id="1285504342">
      <w:bodyDiv w:val="1"/>
      <w:marLeft w:val="0"/>
      <w:marRight w:val="0"/>
      <w:marTop w:val="0"/>
      <w:marBottom w:val="0"/>
      <w:divBdr>
        <w:top w:val="none" w:sz="0" w:space="0" w:color="auto"/>
        <w:left w:val="none" w:sz="0" w:space="0" w:color="auto"/>
        <w:bottom w:val="none" w:sz="0" w:space="0" w:color="auto"/>
        <w:right w:val="none" w:sz="0" w:space="0" w:color="auto"/>
      </w:divBdr>
    </w:div>
    <w:div w:id="1333681894">
      <w:bodyDiv w:val="1"/>
      <w:marLeft w:val="0"/>
      <w:marRight w:val="0"/>
      <w:marTop w:val="0"/>
      <w:marBottom w:val="0"/>
      <w:divBdr>
        <w:top w:val="none" w:sz="0" w:space="0" w:color="auto"/>
        <w:left w:val="none" w:sz="0" w:space="0" w:color="auto"/>
        <w:bottom w:val="none" w:sz="0" w:space="0" w:color="auto"/>
        <w:right w:val="none" w:sz="0" w:space="0" w:color="auto"/>
      </w:divBdr>
    </w:div>
    <w:div w:id="1395548791">
      <w:bodyDiv w:val="1"/>
      <w:marLeft w:val="0"/>
      <w:marRight w:val="0"/>
      <w:marTop w:val="0"/>
      <w:marBottom w:val="0"/>
      <w:divBdr>
        <w:top w:val="none" w:sz="0" w:space="0" w:color="auto"/>
        <w:left w:val="none" w:sz="0" w:space="0" w:color="auto"/>
        <w:bottom w:val="none" w:sz="0" w:space="0" w:color="auto"/>
        <w:right w:val="none" w:sz="0" w:space="0" w:color="auto"/>
      </w:divBdr>
    </w:div>
    <w:div w:id="1431851873">
      <w:bodyDiv w:val="1"/>
      <w:marLeft w:val="0"/>
      <w:marRight w:val="0"/>
      <w:marTop w:val="0"/>
      <w:marBottom w:val="0"/>
      <w:divBdr>
        <w:top w:val="none" w:sz="0" w:space="0" w:color="auto"/>
        <w:left w:val="none" w:sz="0" w:space="0" w:color="auto"/>
        <w:bottom w:val="none" w:sz="0" w:space="0" w:color="auto"/>
        <w:right w:val="none" w:sz="0" w:space="0" w:color="auto"/>
      </w:divBdr>
      <w:divsChild>
        <w:div w:id="1591503725">
          <w:marLeft w:val="0"/>
          <w:marRight w:val="0"/>
          <w:marTop w:val="0"/>
          <w:marBottom w:val="0"/>
          <w:divBdr>
            <w:top w:val="none" w:sz="0" w:space="0" w:color="auto"/>
            <w:left w:val="none" w:sz="0" w:space="0" w:color="auto"/>
            <w:bottom w:val="none" w:sz="0" w:space="0" w:color="auto"/>
            <w:right w:val="none" w:sz="0" w:space="0" w:color="auto"/>
          </w:divBdr>
          <w:divsChild>
            <w:div w:id="20339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1240">
      <w:bodyDiv w:val="1"/>
      <w:marLeft w:val="0"/>
      <w:marRight w:val="0"/>
      <w:marTop w:val="0"/>
      <w:marBottom w:val="0"/>
      <w:divBdr>
        <w:top w:val="none" w:sz="0" w:space="0" w:color="auto"/>
        <w:left w:val="none" w:sz="0" w:space="0" w:color="auto"/>
        <w:bottom w:val="none" w:sz="0" w:space="0" w:color="auto"/>
        <w:right w:val="none" w:sz="0" w:space="0" w:color="auto"/>
      </w:divBdr>
    </w:div>
    <w:div w:id="1510557740">
      <w:bodyDiv w:val="1"/>
      <w:marLeft w:val="0"/>
      <w:marRight w:val="0"/>
      <w:marTop w:val="0"/>
      <w:marBottom w:val="0"/>
      <w:divBdr>
        <w:top w:val="none" w:sz="0" w:space="0" w:color="auto"/>
        <w:left w:val="none" w:sz="0" w:space="0" w:color="auto"/>
        <w:bottom w:val="none" w:sz="0" w:space="0" w:color="auto"/>
        <w:right w:val="none" w:sz="0" w:space="0" w:color="auto"/>
      </w:divBdr>
    </w:div>
    <w:div w:id="1512185268">
      <w:bodyDiv w:val="1"/>
      <w:marLeft w:val="0"/>
      <w:marRight w:val="0"/>
      <w:marTop w:val="0"/>
      <w:marBottom w:val="0"/>
      <w:divBdr>
        <w:top w:val="none" w:sz="0" w:space="0" w:color="auto"/>
        <w:left w:val="none" w:sz="0" w:space="0" w:color="auto"/>
        <w:bottom w:val="none" w:sz="0" w:space="0" w:color="auto"/>
        <w:right w:val="none" w:sz="0" w:space="0" w:color="auto"/>
      </w:divBdr>
    </w:div>
    <w:div w:id="1534809071">
      <w:bodyDiv w:val="1"/>
      <w:marLeft w:val="0"/>
      <w:marRight w:val="0"/>
      <w:marTop w:val="0"/>
      <w:marBottom w:val="0"/>
      <w:divBdr>
        <w:top w:val="none" w:sz="0" w:space="0" w:color="auto"/>
        <w:left w:val="none" w:sz="0" w:space="0" w:color="auto"/>
        <w:bottom w:val="none" w:sz="0" w:space="0" w:color="auto"/>
        <w:right w:val="none" w:sz="0" w:space="0" w:color="auto"/>
      </w:divBdr>
    </w:div>
    <w:div w:id="1549338835">
      <w:bodyDiv w:val="1"/>
      <w:marLeft w:val="0"/>
      <w:marRight w:val="0"/>
      <w:marTop w:val="0"/>
      <w:marBottom w:val="0"/>
      <w:divBdr>
        <w:top w:val="none" w:sz="0" w:space="0" w:color="auto"/>
        <w:left w:val="none" w:sz="0" w:space="0" w:color="auto"/>
        <w:bottom w:val="none" w:sz="0" w:space="0" w:color="auto"/>
        <w:right w:val="none" w:sz="0" w:space="0" w:color="auto"/>
      </w:divBdr>
    </w:div>
    <w:div w:id="1610970130">
      <w:bodyDiv w:val="1"/>
      <w:marLeft w:val="0"/>
      <w:marRight w:val="0"/>
      <w:marTop w:val="0"/>
      <w:marBottom w:val="0"/>
      <w:divBdr>
        <w:top w:val="none" w:sz="0" w:space="0" w:color="auto"/>
        <w:left w:val="none" w:sz="0" w:space="0" w:color="auto"/>
        <w:bottom w:val="none" w:sz="0" w:space="0" w:color="auto"/>
        <w:right w:val="none" w:sz="0" w:space="0" w:color="auto"/>
      </w:divBdr>
    </w:div>
    <w:div w:id="1627084936">
      <w:bodyDiv w:val="1"/>
      <w:marLeft w:val="0"/>
      <w:marRight w:val="0"/>
      <w:marTop w:val="0"/>
      <w:marBottom w:val="0"/>
      <w:divBdr>
        <w:top w:val="none" w:sz="0" w:space="0" w:color="auto"/>
        <w:left w:val="none" w:sz="0" w:space="0" w:color="auto"/>
        <w:bottom w:val="none" w:sz="0" w:space="0" w:color="auto"/>
        <w:right w:val="none" w:sz="0" w:space="0" w:color="auto"/>
      </w:divBdr>
    </w:div>
    <w:div w:id="1661274065">
      <w:bodyDiv w:val="1"/>
      <w:marLeft w:val="0"/>
      <w:marRight w:val="0"/>
      <w:marTop w:val="0"/>
      <w:marBottom w:val="0"/>
      <w:divBdr>
        <w:top w:val="none" w:sz="0" w:space="0" w:color="auto"/>
        <w:left w:val="none" w:sz="0" w:space="0" w:color="auto"/>
        <w:bottom w:val="none" w:sz="0" w:space="0" w:color="auto"/>
        <w:right w:val="none" w:sz="0" w:space="0" w:color="auto"/>
      </w:divBdr>
    </w:div>
    <w:div w:id="1685744427">
      <w:bodyDiv w:val="1"/>
      <w:marLeft w:val="0"/>
      <w:marRight w:val="0"/>
      <w:marTop w:val="0"/>
      <w:marBottom w:val="0"/>
      <w:divBdr>
        <w:top w:val="none" w:sz="0" w:space="0" w:color="auto"/>
        <w:left w:val="none" w:sz="0" w:space="0" w:color="auto"/>
        <w:bottom w:val="none" w:sz="0" w:space="0" w:color="auto"/>
        <w:right w:val="none" w:sz="0" w:space="0" w:color="auto"/>
      </w:divBdr>
    </w:div>
    <w:div w:id="1715230141">
      <w:bodyDiv w:val="1"/>
      <w:marLeft w:val="0"/>
      <w:marRight w:val="0"/>
      <w:marTop w:val="0"/>
      <w:marBottom w:val="0"/>
      <w:divBdr>
        <w:top w:val="none" w:sz="0" w:space="0" w:color="auto"/>
        <w:left w:val="none" w:sz="0" w:space="0" w:color="auto"/>
        <w:bottom w:val="none" w:sz="0" w:space="0" w:color="auto"/>
        <w:right w:val="none" w:sz="0" w:space="0" w:color="auto"/>
      </w:divBdr>
    </w:div>
    <w:div w:id="1818303077">
      <w:bodyDiv w:val="1"/>
      <w:marLeft w:val="0"/>
      <w:marRight w:val="0"/>
      <w:marTop w:val="0"/>
      <w:marBottom w:val="0"/>
      <w:divBdr>
        <w:top w:val="none" w:sz="0" w:space="0" w:color="auto"/>
        <w:left w:val="none" w:sz="0" w:space="0" w:color="auto"/>
        <w:bottom w:val="none" w:sz="0" w:space="0" w:color="auto"/>
        <w:right w:val="none" w:sz="0" w:space="0" w:color="auto"/>
      </w:divBdr>
    </w:div>
    <w:div w:id="1821380908">
      <w:bodyDiv w:val="1"/>
      <w:marLeft w:val="0"/>
      <w:marRight w:val="0"/>
      <w:marTop w:val="0"/>
      <w:marBottom w:val="0"/>
      <w:divBdr>
        <w:top w:val="none" w:sz="0" w:space="0" w:color="auto"/>
        <w:left w:val="none" w:sz="0" w:space="0" w:color="auto"/>
        <w:bottom w:val="none" w:sz="0" w:space="0" w:color="auto"/>
        <w:right w:val="none" w:sz="0" w:space="0" w:color="auto"/>
      </w:divBdr>
    </w:div>
    <w:div w:id="1845898894">
      <w:bodyDiv w:val="1"/>
      <w:marLeft w:val="0"/>
      <w:marRight w:val="0"/>
      <w:marTop w:val="0"/>
      <w:marBottom w:val="0"/>
      <w:divBdr>
        <w:top w:val="none" w:sz="0" w:space="0" w:color="auto"/>
        <w:left w:val="none" w:sz="0" w:space="0" w:color="auto"/>
        <w:bottom w:val="none" w:sz="0" w:space="0" w:color="auto"/>
        <w:right w:val="none" w:sz="0" w:space="0" w:color="auto"/>
      </w:divBdr>
    </w:div>
    <w:div w:id="1859588195">
      <w:bodyDiv w:val="1"/>
      <w:marLeft w:val="0"/>
      <w:marRight w:val="0"/>
      <w:marTop w:val="0"/>
      <w:marBottom w:val="0"/>
      <w:divBdr>
        <w:top w:val="none" w:sz="0" w:space="0" w:color="auto"/>
        <w:left w:val="none" w:sz="0" w:space="0" w:color="auto"/>
        <w:bottom w:val="none" w:sz="0" w:space="0" w:color="auto"/>
        <w:right w:val="none" w:sz="0" w:space="0" w:color="auto"/>
      </w:divBdr>
    </w:div>
    <w:div w:id="1891107749">
      <w:bodyDiv w:val="1"/>
      <w:marLeft w:val="0"/>
      <w:marRight w:val="0"/>
      <w:marTop w:val="0"/>
      <w:marBottom w:val="0"/>
      <w:divBdr>
        <w:top w:val="none" w:sz="0" w:space="0" w:color="auto"/>
        <w:left w:val="none" w:sz="0" w:space="0" w:color="auto"/>
        <w:bottom w:val="none" w:sz="0" w:space="0" w:color="auto"/>
        <w:right w:val="none" w:sz="0" w:space="0" w:color="auto"/>
      </w:divBdr>
    </w:div>
    <w:div w:id="1899972937">
      <w:bodyDiv w:val="1"/>
      <w:marLeft w:val="0"/>
      <w:marRight w:val="0"/>
      <w:marTop w:val="0"/>
      <w:marBottom w:val="0"/>
      <w:divBdr>
        <w:top w:val="none" w:sz="0" w:space="0" w:color="auto"/>
        <w:left w:val="none" w:sz="0" w:space="0" w:color="auto"/>
        <w:bottom w:val="none" w:sz="0" w:space="0" w:color="auto"/>
        <w:right w:val="none" w:sz="0" w:space="0" w:color="auto"/>
      </w:divBdr>
    </w:div>
    <w:div w:id="1907494662">
      <w:bodyDiv w:val="1"/>
      <w:marLeft w:val="0"/>
      <w:marRight w:val="0"/>
      <w:marTop w:val="0"/>
      <w:marBottom w:val="0"/>
      <w:divBdr>
        <w:top w:val="none" w:sz="0" w:space="0" w:color="auto"/>
        <w:left w:val="none" w:sz="0" w:space="0" w:color="auto"/>
        <w:bottom w:val="none" w:sz="0" w:space="0" w:color="auto"/>
        <w:right w:val="none" w:sz="0" w:space="0" w:color="auto"/>
      </w:divBdr>
    </w:div>
    <w:div w:id="1932230363">
      <w:bodyDiv w:val="1"/>
      <w:marLeft w:val="0"/>
      <w:marRight w:val="0"/>
      <w:marTop w:val="0"/>
      <w:marBottom w:val="0"/>
      <w:divBdr>
        <w:top w:val="none" w:sz="0" w:space="0" w:color="auto"/>
        <w:left w:val="none" w:sz="0" w:space="0" w:color="auto"/>
        <w:bottom w:val="none" w:sz="0" w:space="0" w:color="auto"/>
        <w:right w:val="none" w:sz="0" w:space="0" w:color="auto"/>
      </w:divBdr>
    </w:div>
    <w:div w:id="1944220421">
      <w:bodyDiv w:val="1"/>
      <w:marLeft w:val="0"/>
      <w:marRight w:val="0"/>
      <w:marTop w:val="0"/>
      <w:marBottom w:val="0"/>
      <w:divBdr>
        <w:top w:val="none" w:sz="0" w:space="0" w:color="auto"/>
        <w:left w:val="none" w:sz="0" w:space="0" w:color="auto"/>
        <w:bottom w:val="none" w:sz="0" w:space="0" w:color="auto"/>
        <w:right w:val="none" w:sz="0" w:space="0" w:color="auto"/>
      </w:divBdr>
    </w:div>
    <w:div w:id="1957561358">
      <w:bodyDiv w:val="1"/>
      <w:marLeft w:val="0"/>
      <w:marRight w:val="0"/>
      <w:marTop w:val="0"/>
      <w:marBottom w:val="0"/>
      <w:divBdr>
        <w:top w:val="none" w:sz="0" w:space="0" w:color="auto"/>
        <w:left w:val="none" w:sz="0" w:space="0" w:color="auto"/>
        <w:bottom w:val="none" w:sz="0" w:space="0" w:color="auto"/>
        <w:right w:val="none" w:sz="0" w:space="0" w:color="auto"/>
      </w:divBdr>
    </w:div>
    <w:div w:id="1962608842">
      <w:bodyDiv w:val="1"/>
      <w:marLeft w:val="0"/>
      <w:marRight w:val="0"/>
      <w:marTop w:val="0"/>
      <w:marBottom w:val="0"/>
      <w:divBdr>
        <w:top w:val="none" w:sz="0" w:space="0" w:color="auto"/>
        <w:left w:val="none" w:sz="0" w:space="0" w:color="auto"/>
        <w:bottom w:val="none" w:sz="0" w:space="0" w:color="auto"/>
        <w:right w:val="none" w:sz="0" w:space="0" w:color="auto"/>
      </w:divBdr>
    </w:div>
    <w:div w:id="1990088872">
      <w:bodyDiv w:val="1"/>
      <w:marLeft w:val="0"/>
      <w:marRight w:val="0"/>
      <w:marTop w:val="0"/>
      <w:marBottom w:val="0"/>
      <w:divBdr>
        <w:top w:val="none" w:sz="0" w:space="0" w:color="auto"/>
        <w:left w:val="none" w:sz="0" w:space="0" w:color="auto"/>
        <w:bottom w:val="none" w:sz="0" w:space="0" w:color="auto"/>
        <w:right w:val="none" w:sz="0" w:space="0" w:color="auto"/>
      </w:divBdr>
      <w:divsChild>
        <w:div w:id="1105152605">
          <w:marLeft w:val="0"/>
          <w:marRight w:val="0"/>
          <w:marTop w:val="0"/>
          <w:marBottom w:val="0"/>
          <w:divBdr>
            <w:top w:val="single" w:sz="12" w:space="0" w:color="6C9D30"/>
            <w:left w:val="single" w:sz="2" w:space="0" w:color="2E2E2E"/>
            <w:bottom w:val="single" w:sz="2" w:space="0" w:color="2E2E2E"/>
            <w:right w:val="single" w:sz="2" w:space="0" w:color="2E2E2E"/>
          </w:divBdr>
          <w:divsChild>
            <w:div w:id="524444487">
              <w:marLeft w:val="0"/>
              <w:marRight w:val="0"/>
              <w:marTop w:val="9"/>
              <w:marBottom w:val="0"/>
              <w:divBdr>
                <w:top w:val="none" w:sz="0" w:space="0" w:color="auto"/>
                <w:left w:val="none" w:sz="0" w:space="0" w:color="auto"/>
                <w:bottom w:val="none" w:sz="0" w:space="0" w:color="auto"/>
                <w:right w:val="none" w:sz="0" w:space="0" w:color="auto"/>
              </w:divBdr>
              <w:divsChild>
                <w:div w:id="1478375222">
                  <w:marLeft w:val="0"/>
                  <w:marRight w:val="0"/>
                  <w:marTop w:val="0"/>
                  <w:marBottom w:val="0"/>
                  <w:divBdr>
                    <w:top w:val="none" w:sz="0" w:space="0" w:color="auto"/>
                    <w:left w:val="none" w:sz="0" w:space="0" w:color="auto"/>
                    <w:bottom w:val="none" w:sz="0" w:space="0" w:color="auto"/>
                    <w:right w:val="none" w:sz="0" w:space="0" w:color="auto"/>
                  </w:divBdr>
                  <w:divsChild>
                    <w:div w:id="1677268429">
                      <w:marLeft w:val="0"/>
                      <w:marRight w:val="0"/>
                      <w:marTop w:val="0"/>
                      <w:marBottom w:val="0"/>
                      <w:divBdr>
                        <w:top w:val="none" w:sz="0" w:space="0" w:color="auto"/>
                        <w:left w:val="none" w:sz="0" w:space="0" w:color="auto"/>
                        <w:bottom w:val="none" w:sz="0" w:space="0" w:color="auto"/>
                        <w:right w:val="none" w:sz="0" w:space="0" w:color="auto"/>
                      </w:divBdr>
                      <w:divsChild>
                        <w:div w:id="20823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12715">
      <w:bodyDiv w:val="1"/>
      <w:marLeft w:val="0"/>
      <w:marRight w:val="0"/>
      <w:marTop w:val="0"/>
      <w:marBottom w:val="0"/>
      <w:divBdr>
        <w:top w:val="none" w:sz="0" w:space="0" w:color="auto"/>
        <w:left w:val="none" w:sz="0" w:space="0" w:color="auto"/>
        <w:bottom w:val="none" w:sz="0" w:space="0" w:color="auto"/>
        <w:right w:val="none" w:sz="0" w:space="0" w:color="auto"/>
      </w:divBdr>
    </w:div>
    <w:div w:id="2017420369">
      <w:bodyDiv w:val="1"/>
      <w:marLeft w:val="0"/>
      <w:marRight w:val="0"/>
      <w:marTop w:val="0"/>
      <w:marBottom w:val="0"/>
      <w:divBdr>
        <w:top w:val="none" w:sz="0" w:space="0" w:color="auto"/>
        <w:left w:val="none" w:sz="0" w:space="0" w:color="auto"/>
        <w:bottom w:val="none" w:sz="0" w:space="0" w:color="auto"/>
        <w:right w:val="none" w:sz="0" w:space="0" w:color="auto"/>
      </w:divBdr>
    </w:div>
    <w:div w:id="2041003515">
      <w:bodyDiv w:val="1"/>
      <w:marLeft w:val="0"/>
      <w:marRight w:val="0"/>
      <w:marTop w:val="0"/>
      <w:marBottom w:val="0"/>
      <w:divBdr>
        <w:top w:val="none" w:sz="0" w:space="0" w:color="auto"/>
        <w:left w:val="none" w:sz="0" w:space="0" w:color="auto"/>
        <w:bottom w:val="none" w:sz="0" w:space="0" w:color="auto"/>
        <w:right w:val="none" w:sz="0" w:space="0" w:color="auto"/>
      </w:divBdr>
    </w:div>
    <w:div w:id="2044357679">
      <w:bodyDiv w:val="1"/>
      <w:marLeft w:val="0"/>
      <w:marRight w:val="0"/>
      <w:marTop w:val="0"/>
      <w:marBottom w:val="0"/>
      <w:divBdr>
        <w:top w:val="none" w:sz="0" w:space="0" w:color="auto"/>
        <w:left w:val="none" w:sz="0" w:space="0" w:color="auto"/>
        <w:bottom w:val="none" w:sz="0" w:space="0" w:color="auto"/>
        <w:right w:val="none" w:sz="0" w:space="0" w:color="auto"/>
      </w:divBdr>
    </w:div>
    <w:div w:id="2081517449">
      <w:bodyDiv w:val="1"/>
      <w:marLeft w:val="0"/>
      <w:marRight w:val="0"/>
      <w:marTop w:val="0"/>
      <w:marBottom w:val="0"/>
      <w:divBdr>
        <w:top w:val="none" w:sz="0" w:space="0" w:color="auto"/>
        <w:left w:val="none" w:sz="0" w:space="0" w:color="auto"/>
        <w:bottom w:val="none" w:sz="0" w:space="0" w:color="auto"/>
        <w:right w:val="none" w:sz="0" w:space="0" w:color="auto"/>
      </w:divBdr>
    </w:div>
    <w:div w:id="2093549063">
      <w:bodyDiv w:val="1"/>
      <w:marLeft w:val="0"/>
      <w:marRight w:val="0"/>
      <w:marTop w:val="0"/>
      <w:marBottom w:val="0"/>
      <w:divBdr>
        <w:top w:val="none" w:sz="0" w:space="0" w:color="auto"/>
        <w:left w:val="none" w:sz="0" w:space="0" w:color="auto"/>
        <w:bottom w:val="none" w:sz="0" w:space="0" w:color="auto"/>
        <w:right w:val="none" w:sz="0" w:space="0" w:color="auto"/>
      </w:divBdr>
    </w:div>
    <w:div w:id="2105104741">
      <w:bodyDiv w:val="1"/>
      <w:marLeft w:val="0"/>
      <w:marRight w:val="0"/>
      <w:marTop w:val="0"/>
      <w:marBottom w:val="0"/>
      <w:divBdr>
        <w:top w:val="none" w:sz="0" w:space="0" w:color="auto"/>
        <w:left w:val="none" w:sz="0" w:space="0" w:color="auto"/>
        <w:bottom w:val="none" w:sz="0" w:space="0" w:color="auto"/>
        <w:right w:val="none" w:sz="0" w:space="0" w:color="auto"/>
      </w:divBdr>
    </w:div>
    <w:div w:id="2127776044">
      <w:bodyDiv w:val="1"/>
      <w:marLeft w:val="0"/>
      <w:marRight w:val="0"/>
      <w:marTop w:val="0"/>
      <w:marBottom w:val="0"/>
      <w:divBdr>
        <w:top w:val="none" w:sz="0" w:space="0" w:color="auto"/>
        <w:left w:val="none" w:sz="0" w:space="0" w:color="auto"/>
        <w:bottom w:val="none" w:sz="0" w:space="0" w:color="auto"/>
        <w:right w:val="none" w:sz="0" w:space="0" w:color="auto"/>
      </w:divBdr>
    </w:div>
    <w:div w:id="2131701746">
      <w:bodyDiv w:val="1"/>
      <w:marLeft w:val="0"/>
      <w:marRight w:val="0"/>
      <w:marTop w:val="0"/>
      <w:marBottom w:val="0"/>
      <w:divBdr>
        <w:top w:val="none" w:sz="0" w:space="0" w:color="auto"/>
        <w:left w:val="none" w:sz="0" w:space="0" w:color="auto"/>
        <w:bottom w:val="none" w:sz="0" w:space="0" w:color="auto"/>
        <w:right w:val="none" w:sz="0" w:space="0" w:color="auto"/>
      </w:divBdr>
    </w:div>
    <w:div w:id="2139376915">
      <w:bodyDiv w:val="1"/>
      <w:marLeft w:val="0"/>
      <w:marRight w:val="0"/>
      <w:marTop w:val="0"/>
      <w:marBottom w:val="0"/>
      <w:divBdr>
        <w:top w:val="none" w:sz="0" w:space="0" w:color="auto"/>
        <w:left w:val="none" w:sz="0" w:space="0" w:color="auto"/>
        <w:bottom w:val="none" w:sz="0" w:space="0" w:color="auto"/>
        <w:right w:val="none" w:sz="0" w:space="0" w:color="auto"/>
      </w:divBdr>
      <w:divsChild>
        <w:div w:id="1352222294">
          <w:marLeft w:val="0"/>
          <w:marRight w:val="0"/>
          <w:marTop w:val="0"/>
          <w:marBottom w:val="0"/>
          <w:divBdr>
            <w:top w:val="none" w:sz="0" w:space="0" w:color="auto"/>
            <w:left w:val="none" w:sz="0" w:space="0" w:color="auto"/>
            <w:bottom w:val="none" w:sz="0" w:space="0" w:color="auto"/>
            <w:right w:val="none" w:sz="0" w:space="0" w:color="auto"/>
          </w:divBdr>
          <w:divsChild>
            <w:div w:id="3080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eader" Target="header6.xml"/><Relationship Id="rId16" Type="http://schemas.openxmlformats.org/officeDocument/2006/relationships/image" Target="media/image5.png"/><Relationship Id="rId107" Type="http://schemas.openxmlformats.org/officeDocument/2006/relationships/header" Target="header3.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footer" Target="footer3.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header" Target="header5.xml"/><Relationship Id="rId115"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header" Target="header7.xml"/><Relationship Id="rId118"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header" Target="header4.xml"/><Relationship Id="rId116" Type="http://schemas.openxmlformats.org/officeDocument/2006/relationships/footer" Target="footer7.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footer" Target="footer6.xml"/><Relationship Id="rId119" Type="http://schemas.microsoft.com/office/2007/relationships/stylesWithEffects" Target="stylesWithEffects.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tga.copyright@tga.gov.au" TargetMode="Externa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footer" Target="footer4.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48BE2-7081-48FB-8202-06068464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2670</TotalTime>
  <Pages>88</Pages>
  <Words>27714</Words>
  <Characters>157976</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Therapeutic Goods Administration</Company>
  <LinksUpToDate>false</LinksUpToDate>
  <CharactersWithSpaces>185320</CharactersWithSpaces>
  <SharedDoc>false</SharedDoc>
  <HLinks>
    <vt:vector size="240" baseType="variant">
      <vt:variant>
        <vt:i4>1114157</vt:i4>
      </vt:variant>
      <vt:variant>
        <vt:i4>261</vt:i4>
      </vt:variant>
      <vt:variant>
        <vt:i4>0</vt:i4>
      </vt:variant>
      <vt:variant>
        <vt:i4>5</vt:i4>
      </vt:variant>
      <vt:variant>
        <vt:lpwstr>http://www.tga.gov.au_/</vt:lpwstr>
      </vt:variant>
      <vt:variant>
        <vt:lpwstr/>
      </vt:variant>
      <vt:variant>
        <vt:i4>1638458</vt:i4>
      </vt:variant>
      <vt:variant>
        <vt:i4>233</vt:i4>
      </vt:variant>
      <vt:variant>
        <vt:i4>0</vt:i4>
      </vt:variant>
      <vt:variant>
        <vt:i4>5</vt:i4>
      </vt:variant>
      <vt:variant>
        <vt:lpwstr/>
      </vt:variant>
      <vt:variant>
        <vt:lpwstr>_Toc341089034</vt:lpwstr>
      </vt:variant>
      <vt:variant>
        <vt:i4>1638458</vt:i4>
      </vt:variant>
      <vt:variant>
        <vt:i4>227</vt:i4>
      </vt:variant>
      <vt:variant>
        <vt:i4>0</vt:i4>
      </vt:variant>
      <vt:variant>
        <vt:i4>5</vt:i4>
      </vt:variant>
      <vt:variant>
        <vt:lpwstr/>
      </vt:variant>
      <vt:variant>
        <vt:lpwstr>_Toc341089033</vt:lpwstr>
      </vt:variant>
      <vt:variant>
        <vt:i4>1638458</vt:i4>
      </vt:variant>
      <vt:variant>
        <vt:i4>221</vt:i4>
      </vt:variant>
      <vt:variant>
        <vt:i4>0</vt:i4>
      </vt:variant>
      <vt:variant>
        <vt:i4>5</vt:i4>
      </vt:variant>
      <vt:variant>
        <vt:lpwstr/>
      </vt:variant>
      <vt:variant>
        <vt:lpwstr>_Toc341089032</vt:lpwstr>
      </vt:variant>
      <vt:variant>
        <vt:i4>1638458</vt:i4>
      </vt:variant>
      <vt:variant>
        <vt:i4>215</vt:i4>
      </vt:variant>
      <vt:variant>
        <vt:i4>0</vt:i4>
      </vt:variant>
      <vt:variant>
        <vt:i4>5</vt:i4>
      </vt:variant>
      <vt:variant>
        <vt:lpwstr/>
      </vt:variant>
      <vt:variant>
        <vt:lpwstr>_Toc341089031</vt:lpwstr>
      </vt:variant>
      <vt:variant>
        <vt:i4>1638458</vt:i4>
      </vt:variant>
      <vt:variant>
        <vt:i4>209</vt:i4>
      </vt:variant>
      <vt:variant>
        <vt:i4>0</vt:i4>
      </vt:variant>
      <vt:variant>
        <vt:i4>5</vt:i4>
      </vt:variant>
      <vt:variant>
        <vt:lpwstr/>
      </vt:variant>
      <vt:variant>
        <vt:lpwstr>_Toc341089030</vt:lpwstr>
      </vt:variant>
      <vt:variant>
        <vt:i4>1572922</vt:i4>
      </vt:variant>
      <vt:variant>
        <vt:i4>203</vt:i4>
      </vt:variant>
      <vt:variant>
        <vt:i4>0</vt:i4>
      </vt:variant>
      <vt:variant>
        <vt:i4>5</vt:i4>
      </vt:variant>
      <vt:variant>
        <vt:lpwstr/>
      </vt:variant>
      <vt:variant>
        <vt:lpwstr>_Toc341089029</vt:lpwstr>
      </vt:variant>
      <vt:variant>
        <vt:i4>1572922</vt:i4>
      </vt:variant>
      <vt:variant>
        <vt:i4>197</vt:i4>
      </vt:variant>
      <vt:variant>
        <vt:i4>0</vt:i4>
      </vt:variant>
      <vt:variant>
        <vt:i4>5</vt:i4>
      </vt:variant>
      <vt:variant>
        <vt:lpwstr/>
      </vt:variant>
      <vt:variant>
        <vt:lpwstr>_Toc341089028</vt:lpwstr>
      </vt:variant>
      <vt:variant>
        <vt:i4>1572922</vt:i4>
      </vt:variant>
      <vt:variant>
        <vt:i4>191</vt:i4>
      </vt:variant>
      <vt:variant>
        <vt:i4>0</vt:i4>
      </vt:variant>
      <vt:variant>
        <vt:i4>5</vt:i4>
      </vt:variant>
      <vt:variant>
        <vt:lpwstr/>
      </vt:variant>
      <vt:variant>
        <vt:lpwstr>_Toc341089027</vt:lpwstr>
      </vt:variant>
      <vt:variant>
        <vt:i4>1572922</vt:i4>
      </vt:variant>
      <vt:variant>
        <vt:i4>185</vt:i4>
      </vt:variant>
      <vt:variant>
        <vt:i4>0</vt:i4>
      </vt:variant>
      <vt:variant>
        <vt:i4>5</vt:i4>
      </vt:variant>
      <vt:variant>
        <vt:lpwstr/>
      </vt:variant>
      <vt:variant>
        <vt:lpwstr>_Toc341089026</vt:lpwstr>
      </vt:variant>
      <vt:variant>
        <vt:i4>1572922</vt:i4>
      </vt:variant>
      <vt:variant>
        <vt:i4>179</vt:i4>
      </vt:variant>
      <vt:variant>
        <vt:i4>0</vt:i4>
      </vt:variant>
      <vt:variant>
        <vt:i4>5</vt:i4>
      </vt:variant>
      <vt:variant>
        <vt:lpwstr/>
      </vt:variant>
      <vt:variant>
        <vt:lpwstr>_Toc341089025</vt:lpwstr>
      </vt:variant>
      <vt:variant>
        <vt:i4>1572922</vt:i4>
      </vt:variant>
      <vt:variant>
        <vt:i4>173</vt:i4>
      </vt:variant>
      <vt:variant>
        <vt:i4>0</vt:i4>
      </vt:variant>
      <vt:variant>
        <vt:i4>5</vt:i4>
      </vt:variant>
      <vt:variant>
        <vt:lpwstr/>
      </vt:variant>
      <vt:variant>
        <vt:lpwstr>_Toc341089024</vt:lpwstr>
      </vt:variant>
      <vt:variant>
        <vt:i4>1572922</vt:i4>
      </vt:variant>
      <vt:variant>
        <vt:i4>167</vt:i4>
      </vt:variant>
      <vt:variant>
        <vt:i4>0</vt:i4>
      </vt:variant>
      <vt:variant>
        <vt:i4>5</vt:i4>
      </vt:variant>
      <vt:variant>
        <vt:lpwstr/>
      </vt:variant>
      <vt:variant>
        <vt:lpwstr>_Toc341089023</vt:lpwstr>
      </vt:variant>
      <vt:variant>
        <vt:i4>1572922</vt:i4>
      </vt:variant>
      <vt:variant>
        <vt:i4>161</vt:i4>
      </vt:variant>
      <vt:variant>
        <vt:i4>0</vt:i4>
      </vt:variant>
      <vt:variant>
        <vt:i4>5</vt:i4>
      </vt:variant>
      <vt:variant>
        <vt:lpwstr/>
      </vt:variant>
      <vt:variant>
        <vt:lpwstr>_Toc341089022</vt:lpwstr>
      </vt:variant>
      <vt:variant>
        <vt:i4>1572922</vt:i4>
      </vt:variant>
      <vt:variant>
        <vt:i4>155</vt:i4>
      </vt:variant>
      <vt:variant>
        <vt:i4>0</vt:i4>
      </vt:variant>
      <vt:variant>
        <vt:i4>5</vt:i4>
      </vt:variant>
      <vt:variant>
        <vt:lpwstr/>
      </vt:variant>
      <vt:variant>
        <vt:lpwstr>_Toc341089021</vt:lpwstr>
      </vt:variant>
      <vt:variant>
        <vt:i4>1572922</vt:i4>
      </vt:variant>
      <vt:variant>
        <vt:i4>149</vt:i4>
      </vt:variant>
      <vt:variant>
        <vt:i4>0</vt:i4>
      </vt:variant>
      <vt:variant>
        <vt:i4>5</vt:i4>
      </vt:variant>
      <vt:variant>
        <vt:lpwstr/>
      </vt:variant>
      <vt:variant>
        <vt:lpwstr>_Toc341089020</vt:lpwstr>
      </vt:variant>
      <vt:variant>
        <vt:i4>1769530</vt:i4>
      </vt:variant>
      <vt:variant>
        <vt:i4>143</vt:i4>
      </vt:variant>
      <vt:variant>
        <vt:i4>0</vt:i4>
      </vt:variant>
      <vt:variant>
        <vt:i4>5</vt:i4>
      </vt:variant>
      <vt:variant>
        <vt:lpwstr/>
      </vt:variant>
      <vt:variant>
        <vt:lpwstr>_Toc341089019</vt:lpwstr>
      </vt:variant>
      <vt:variant>
        <vt:i4>1769530</vt:i4>
      </vt:variant>
      <vt:variant>
        <vt:i4>137</vt:i4>
      </vt:variant>
      <vt:variant>
        <vt:i4>0</vt:i4>
      </vt:variant>
      <vt:variant>
        <vt:i4>5</vt:i4>
      </vt:variant>
      <vt:variant>
        <vt:lpwstr/>
      </vt:variant>
      <vt:variant>
        <vt:lpwstr>_Toc341089018</vt:lpwstr>
      </vt:variant>
      <vt:variant>
        <vt:i4>1769530</vt:i4>
      </vt:variant>
      <vt:variant>
        <vt:i4>131</vt:i4>
      </vt:variant>
      <vt:variant>
        <vt:i4>0</vt:i4>
      </vt:variant>
      <vt:variant>
        <vt:i4>5</vt:i4>
      </vt:variant>
      <vt:variant>
        <vt:lpwstr/>
      </vt:variant>
      <vt:variant>
        <vt:lpwstr>_Toc341089017</vt:lpwstr>
      </vt:variant>
      <vt:variant>
        <vt:i4>1769530</vt:i4>
      </vt:variant>
      <vt:variant>
        <vt:i4>125</vt:i4>
      </vt:variant>
      <vt:variant>
        <vt:i4>0</vt:i4>
      </vt:variant>
      <vt:variant>
        <vt:i4>5</vt:i4>
      </vt:variant>
      <vt:variant>
        <vt:lpwstr/>
      </vt:variant>
      <vt:variant>
        <vt:lpwstr>_Toc341089016</vt:lpwstr>
      </vt:variant>
      <vt:variant>
        <vt:i4>1769530</vt:i4>
      </vt:variant>
      <vt:variant>
        <vt:i4>119</vt:i4>
      </vt:variant>
      <vt:variant>
        <vt:i4>0</vt:i4>
      </vt:variant>
      <vt:variant>
        <vt:i4>5</vt:i4>
      </vt:variant>
      <vt:variant>
        <vt:lpwstr/>
      </vt:variant>
      <vt:variant>
        <vt:lpwstr>_Toc341089015</vt:lpwstr>
      </vt:variant>
      <vt:variant>
        <vt:i4>1769530</vt:i4>
      </vt:variant>
      <vt:variant>
        <vt:i4>113</vt:i4>
      </vt:variant>
      <vt:variant>
        <vt:i4>0</vt:i4>
      </vt:variant>
      <vt:variant>
        <vt:i4>5</vt:i4>
      </vt:variant>
      <vt:variant>
        <vt:lpwstr/>
      </vt:variant>
      <vt:variant>
        <vt:lpwstr>_Toc341089014</vt:lpwstr>
      </vt:variant>
      <vt:variant>
        <vt:i4>1769530</vt:i4>
      </vt:variant>
      <vt:variant>
        <vt:i4>107</vt:i4>
      </vt:variant>
      <vt:variant>
        <vt:i4>0</vt:i4>
      </vt:variant>
      <vt:variant>
        <vt:i4>5</vt:i4>
      </vt:variant>
      <vt:variant>
        <vt:lpwstr/>
      </vt:variant>
      <vt:variant>
        <vt:lpwstr>_Toc341089013</vt:lpwstr>
      </vt:variant>
      <vt:variant>
        <vt:i4>1769530</vt:i4>
      </vt:variant>
      <vt:variant>
        <vt:i4>101</vt:i4>
      </vt:variant>
      <vt:variant>
        <vt:i4>0</vt:i4>
      </vt:variant>
      <vt:variant>
        <vt:i4>5</vt:i4>
      </vt:variant>
      <vt:variant>
        <vt:lpwstr/>
      </vt:variant>
      <vt:variant>
        <vt:lpwstr>_Toc341089012</vt:lpwstr>
      </vt:variant>
      <vt:variant>
        <vt:i4>1769530</vt:i4>
      </vt:variant>
      <vt:variant>
        <vt:i4>95</vt:i4>
      </vt:variant>
      <vt:variant>
        <vt:i4>0</vt:i4>
      </vt:variant>
      <vt:variant>
        <vt:i4>5</vt:i4>
      </vt:variant>
      <vt:variant>
        <vt:lpwstr/>
      </vt:variant>
      <vt:variant>
        <vt:lpwstr>_Toc341089011</vt:lpwstr>
      </vt:variant>
      <vt:variant>
        <vt:i4>1769530</vt:i4>
      </vt:variant>
      <vt:variant>
        <vt:i4>89</vt:i4>
      </vt:variant>
      <vt:variant>
        <vt:i4>0</vt:i4>
      </vt:variant>
      <vt:variant>
        <vt:i4>5</vt:i4>
      </vt:variant>
      <vt:variant>
        <vt:lpwstr/>
      </vt:variant>
      <vt:variant>
        <vt:lpwstr>_Toc341089010</vt:lpwstr>
      </vt:variant>
      <vt:variant>
        <vt:i4>1703994</vt:i4>
      </vt:variant>
      <vt:variant>
        <vt:i4>83</vt:i4>
      </vt:variant>
      <vt:variant>
        <vt:i4>0</vt:i4>
      </vt:variant>
      <vt:variant>
        <vt:i4>5</vt:i4>
      </vt:variant>
      <vt:variant>
        <vt:lpwstr/>
      </vt:variant>
      <vt:variant>
        <vt:lpwstr>_Toc341089009</vt:lpwstr>
      </vt:variant>
      <vt:variant>
        <vt:i4>1703994</vt:i4>
      </vt:variant>
      <vt:variant>
        <vt:i4>77</vt:i4>
      </vt:variant>
      <vt:variant>
        <vt:i4>0</vt:i4>
      </vt:variant>
      <vt:variant>
        <vt:i4>5</vt:i4>
      </vt:variant>
      <vt:variant>
        <vt:lpwstr/>
      </vt:variant>
      <vt:variant>
        <vt:lpwstr>_Toc341089008</vt:lpwstr>
      </vt:variant>
      <vt:variant>
        <vt:i4>1703994</vt:i4>
      </vt:variant>
      <vt:variant>
        <vt:i4>71</vt:i4>
      </vt:variant>
      <vt:variant>
        <vt:i4>0</vt:i4>
      </vt:variant>
      <vt:variant>
        <vt:i4>5</vt:i4>
      </vt:variant>
      <vt:variant>
        <vt:lpwstr/>
      </vt:variant>
      <vt:variant>
        <vt:lpwstr>_Toc341089007</vt:lpwstr>
      </vt:variant>
      <vt:variant>
        <vt:i4>1703994</vt:i4>
      </vt:variant>
      <vt:variant>
        <vt:i4>65</vt:i4>
      </vt:variant>
      <vt:variant>
        <vt:i4>0</vt:i4>
      </vt:variant>
      <vt:variant>
        <vt:i4>5</vt:i4>
      </vt:variant>
      <vt:variant>
        <vt:lpwstr/>
      </vt:variant>
      <vt:variant>
        <vt:lpwstr>_Toc341089006</vt:lpwstr>
      </vt:variant>
      <vt:variant>
        <vt:i4>1703994</vt:i4>
      </vt:variant>
      <vt:variant>
        <vt:i4>59</vt:i4>
      </vt:variant>
      <vt:variant>
        <vt:i4>0</vt:i4>
      </vt:variant>
      <vt:variant>
        <vt:i4>5</vt:i4>
      </vt:variant>
      <vt:variant>
        <vt:lpwstr/>
      </vt:variant>
      <vt:variant>
        <vt:lpwstr>_Toc341089005</vt:lpwstr>
      </vt:variant>
      <vt:variant>
        <vt:i4>1703994</vt:i4>
      </vt:variant>
      <vt:variant>
        <vt:i4>53</vt:i4>
      </vt:variant>
      <vt:variant>
        <vt:i4>0</vt:i4>
      </vt:variant>
      <vt:variant>
        <vt:i4>5</vt:i4>
      </vt:variant>
      <vt:variant>
        <vt:lpwstr/>
      </vt:variant>
      <vt:variant>
        <vt:lpwstr>_Toc341089004</vt:lpwstr>
      </vt:variant>
      <vt:variant>
        <vt:i4>1703994</vt:i4>
      </vt:variant>
      <vt:variant>
        <vt:i4>47</vt:i4>
      </vt:variant>
      <vt:variant>
        <vt:i4>0</vt:i4>
      </vt:variant>
      <vt:variant>
        <vt:i4>5</vt:i4>
      </vt:variant>
      <vt:variant>
        <vt:lpwstr/>
      </vt:variant>
      <vt:variant>
        <vt:lpwstr>_Toc341089003</vt:lpwstr>
      </vt:variant>
      <vt:variant>
        <vt:i4>1703994</vt:i4>
      </vt:variant>
      <vt:variant>
        <vt:i4>41</vt:i4>
      </vt:variant>
      <vt:variant>
        <vt:i4>0</vt:i4>
      </vt:variant>
      <vt:variant>
        <vt:i4>5</vt:i4>
      </vt:variant>
      <vt:variant>
        <vt:lpwstr/>
      </vt:variant>
      <vt:variant>
        <vt:lpwstr>_Toc341089002</vt:lpwstr>
      </vt:variant>
      <vt:variant>
        <vt:i4>1703994</vt:i4>
      </vt:variant>
      <vt:variant>
        <vt:i4>35</vt:i4>
      </vt:variant>
      <vt:variant>
        <vt:i4>0</vt:i4>
      </vt:variant>
      <vt:variant>
        <vt:i4>5</vt:i4>
      </vt:variant>
      <vt:variant>
        <vt:lpwstr/>
      </vt:variant>
      <vt:variant>
        <vt:lpwstr>_Toc341089001</vt:lpwstr>
      </vt:variant>
      <vt:variant>
        <vt:i4>1703994</vt:i4>
      </vt:variant>
      <vt:variant>
        <vt:i4>29</vt:i4>
      </vt:variant>
      <vt:variant>
        <vt:i4>0</vt:i4>
      </vt:variant>
      <vt:variant>
        <vt:i4>5</vt:i4>
      </vt:variant>
      <vt:variant>
        <vt:lpwstr/>
      </vt:variant>
      <vt:variant>
        <vt:lpwstr>_Toc341089000</vt:lpwstr>
      </vt:variant>
      <vt:variant>
        <vt:i4>1179699</vt:i4>
      </vt:variant>
      <vt:variant>
        <vt:i4>23</vt:i4>
      </vt:variant>
      <vt:variant>
        <vt:i4>0</vt:i4>
      </vt:variant>
      <vt:variant>
        <vt:i4>5</vt:i4>
      </vt:variant>
      <vt:variant>
        <vt:lpwstr/>
      </vt:variant>
      <vt:variant>
        <vt:lpwstr>_Toc341088999</vt:lpwstr>
      </vt:variant>
      <vt:variant>
        <vt:i4>1179699</vt:i4>
      </vt:variant>
      <vt:variant>
        <vt:i4>17</vt:i4>
      </vt:variant>
      <vt:variant>
        <vt:i4>0</vt:i4>
      </vt:variant>
      <vt:variant>
        <vt:i4>5</vt:i4>
      </vt:variant>
      <vt:variant>
        <vt:lpwstr/>
      </vt:variant>
      <vt:variant>
        <vt:lpwstr>_Toc341088998</vt:lpwstr>
      </vt:variant>
      <vt:variant>
        <vt:i4>1179699</vt:i4>
      </vt:variant>
      <vt:variant>
        <vt:i4>11</vt:i4>
      </vt:variant>
      <vt:variant>
        <vt:i4>0</vt:i4>
      </vt:variant>
      <vt:variant>
        <vt:i4>5</vt:i4>
      </vt:variant>
      <vt:variant>
        <vt:lpwstr/>
      </vt:variant>
      <vt:variant>
        <vt:lpwstr>_Toc341088997</vt:lpwstr>
      </vt:variant>
      <vt:variant>
        <vt:i4>6291548</vt:i4>
      </vt:variant>
      <vt:variant>
        <vt:i4>6</vt:i4>
      </vt:variant>
      <vt:variant>
        <vt:i4>0</vt:i4>
      </vt:variant>
      <vt:variant>
        <vt:i4>5</vt:i4>
      </vt:variant>
      <vt:variant>
        <vt:lpwstr>mailto:tga.copyright@tga.gov.au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Cyclizine lactate</dc:title>
  <dc:subject>prescription medicine regulation</dc:subject>
  <dc:creator>Therapeutic Goods Administration</dc:creator>
  <cp:keywords>auspar, prescription, medicine, assessment, regulation, australia, cyclizine, valoid</cp:keywords>
  <cp:lastModifiedBy>Wrigley, Andrew</cp:lastModifiedBy>
  <cp:revision>22</cp:revision>
  <cp:lastPrinted>2012-11-16T07:15:00Z</cp:lastPrinted>
  <dcterms:created xsi:type="dcterms:W3CDTF">2013-01-15T05:49:00Z</dcterms:created>
  <dcterms:modified xsi:type="dcterms:W3CDTF">2013-03-12T23:51:00Z</dcterms:modified>
</cp:coreProperties>
</file>